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7A2B4" w14:textId="77777777" w:rsidR="001F2580" w:rsidRDefault="001F2580" w:rsidP="001F2580">
      <w:pPr>
        <w:jc w:val="both"/>
        <w:rPr>
          <w:rFonts w:ascii="Verdana" w:hAnsi="Verdana" w:cs="Arial"/>
          <w:b/>
          <w:bCs/>
          <w:lang w:val="es-MX"/>
        </w:rPr>
      </w:pPr>
      <w:bookmarkStart w:id="0" w:name="_Hlk143780582"/>
      <w:bookmarkStart w:id="1" w:name="_Hlk202875225"/>
      <w:bookmarkStart w:id="2" w:name="_Hlk203032812"/>
      <w:bookmarkStart w:id="3" w:name="_Hlk204367265"/>
      <w:bookmarkStart w:id="4" w:name="_Hlk206116713"/>
      <w:bookmarkStart w:id="5" w:name="_Hlk208772221"/>
      <w:r w:rsidRPr="001F2580">
        <w:rPr>
          <w:rFonts w:ascii="Verdana" w:hAnsi="Verdana" w:cs="Arial"/>
          <w:b/>
          <w:bCs/>
          <w:lang w:val="es-MX"/>
        </w:rPr>
        <w:t xml:space="preserve">INHABILIDADES ─ Definición ─ Finalidad ─ Limitación capacidad contractual </w:t>
      </w:r>
    </w:p>
    <w:p w14:paraId="4FAB9717" w14:textId="77777777" w:rsidR="001F2580" w:rsidRDefault="001F2580" w:rsidP="001F2580">
      <w:pPr>
        <w:spacing w:after="0" w:line="240" w:lineRule="auto"/>
        <w:jc w:val="both"/>
        <w:rPr>
          <w:rFonts w:ascii="Verdana" w:eastAsia="Calibri" w:hAnsi="Verdana" w:cs="Arial"/>
          <w:sz w:val="20"/>
          <w:szCs w:val="20"/>
          <w:lang w:val="es-MX"/>
        </w:rPr>
      </w:pPr>
      <w:r w:rsidRPr="001F2580">
        <w:rPr>
          <w:rFonts w:ascii="Verdana" w:eastAsia="Calibri" w:hAnsi="Verdana" w:cs="Arial"/>
          <w:sz w:val="20"/>
          <w:szCs w:val="20"/>
          <w:lang w:val="es-MX"/>
        </w:rPr>
        <w:t xml:space="preserve">Las inhabilidades son circunstancias establecidas por la Constitución o la ley que impiden que personas naturales o jurídicas sean elegidas o designadas en un cargo público o celebren contratos con el Estado, con el objetivo de garantizar la idoneidad, imparcialidad, probidad, transparencia y moralidad de la función pública, garantizando el interés general.  </w:t>
      </w:r>
    </w:p>
    <w:p w14:paraId="40BE97DD" w14:textId="77777777" w:rsidR="001F2580" w:rsidRDefault="001F2580" w:rsidP="001F2580">
      <w:pPr>
        <w:spacing w:after="0" w:line="240" w:lineRule="auto"/>
        <w:jc w:val="both"/>
        <w:rPr>
          <w:rFonts w:ascii="Verdana" w:eastAsia="Calibri" w:hAnsi="Verdana" w:cs="Arial"/>
          <w:sz w:val="20"/>
          <w:szCs w:val="20"/>
          <w:lang w:val="es-MX"/>
        </w:rPr>
      </w:pPr>
    </w:p>
    <w:p w14:paraId="087C280F" w14:textId="13B4C99D" w:rsidR="001F2580" w:rsidRPr="001F2580" w:rsidRDefault="001F2580" w:rsidP="00D15D5E">
      <w:pPr>
        <w:spacing w:after="0" w:line="240" w:lineRule="auto"/>
        <w:jc w:val="both"/>
        <w:rPr>
          <w:rFonts w:ascii="Verdana" w:eastAsia="Calibri" w:hAnsi="Verdana" w:cs="Arial"/>
          <w:sz w:val="20"/>
          <w:szCs w:val="20"/>
          <w:lang w:val="es-MX"/>
        </w:rPr>
      </w:pPr>
      <w:r w:rsidRPr="001F2580">
        <w:rPr>
          <w:rFonts w:ascii="Verdana" w:eastAsia="Calibri" w:hAnsi="Verdana" w:cs="Arial"/>
          <w:sz w:val="20"/>
          <w:szCs w:val="20"/>
          <w:lang w:val="es-MX"/>
        </w:rPr>
        <w:t>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w:t>
      </w:r>
      <w:r w:rsidR="00D15D5E">
        <w:rPr>
          <w:rFonts w:ascii="Verdana" w:eastAsia="Calibri" w:hAnsi="Verdana" w:cs="Arial"/>
          <w:sz w:val="20"/>
          <w:szCs w:val="20"/>
          <w:lang w:val="es-MX"/>
        </w:rPr>
        <w:t xml:space="preserve"> </w:t>
      </w:r>
      <w:r w:rsidR="00D15D5E" w:rsidRPr="00D15D5E">
        <w:rPr>
          <w:rFonts w:ascii="Verdana" w:eastAsia="Calibri" w:hAnsi="Verdana" w:cs="Arial"/>
          <w:sz w:val="20"/>
          <w:szCs w:val="20"/>
          <w:lang w:val="es-MX"/>
        </w:rPr>
        <w:t>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r w:rsidR="00D15D5E">
        <w:rPr>
          <w:rFonts w:ascii="Verdana" w:eastAsia="Calibri" w:hAnsi="Verdana" w:cs="Arial"/>
          <w:sz w:val="20"/>
          <w:szCs w:val="20"/>
          <w:lang w:val="es-MX"/>
        </w:rPr>
        <w:t>.</w:t>
      </w:r>
    </w:p>
    <w:p w14:paraId="37068DBF" w14:textId="77777777" w:rsidR="00D15D5E" w:rsidRDefault="00D15D5E" w:rsidP="00D15D5E">
      <w:pPr>
        <w:spacing w:after="0" w:line="240" w:lineRule="auto"/>
        <w:jc w:val="both"/>
        <w:rPr>
          <w:rFonts w:ascii="Verdana" w:hAnsi="Verdana" w:cs="Arial"/>
          <w:lang w:val="es-MX"/>
        </w:rPr>
      </w:pPr>
    </w:p>
    <w:p w14:paraId="70788EC5" w14:textId="1D8CA0EE" w:rsidR="001F2580" w:rsidRPr="001F2580" w:rsidRDefault="001F2580" w:rsidP="00D15D5E">
      <w:pPr>
        <w:spacing w:after="0" w:line="240" w:lineRule="auto"/>
        <w:jc w:val="both"/>
        <w:rPr>
          <w:rFonts w:ascii="Verdana" w:hAnsi="Verdana" w:cs="Arial"/>
          <w:b/>
          <w:bCs/>
          <w:lang w:val="es-ES_tradnl"/>
        </w:rPr>
      </w:pPr>
      <w:r w:rsidRPr="001F2580">
        <w:rPr>
          <w:rFonts w:ascii="Verdana" w:hAnsi="Verdana" w:cs="Arial"/>
          <w:b/>
          <w:bCs/>
          <w:lang w:val="es-ES_tradnl"/>
        </w:rPr>
        <w:t>INHABILIDADES – Taxatividad – Principio de legalidad – Interpretación restrictiva</w:t>
      </w:r>
      <w:r w:rsidRPr="001F2580" w:rsidDel="00A75E55">
        <w:rPr>
          <w:rFonts w:ascii="Verdana" w:hAnsi="Verdana" w:cs="Arial"/>
          <w:b/>
          <w:bCs/>
          <w:lang w:val="es-ES_tradnl"/>
        </w:rPr>
        <w:t xml:space="preserve"> </w:t>
      </w:r>
      <w:r w:rsidRPr="001F2580">
        <w:rPr>
          <w:rFonts w:ascii="Verdana" w:hAnsi="Verdana" w:cs="Arial"/>
          <w:b/>
          <w:bCs/>
          <w:lang w:val="es-ES_tradnl"/>
        </w:rPr>
        <w:t xml:space="preserve"> </w:t>
      </w:r>
    </w:p>
    <w:p w14:paraId="40674C12" w14:textId="77777777" w:rsidR="00D15D5E" w:rsidRDefault="00D15D5E" w:rsidP="00D15D5E">
      <w:pPr>
        <w:spacing w:after="0" w:line="240" w:lineRule="auto"/>
        <w:jc w:val="both"/>
        <w:rPr>
          <w:rFonts w:ascii="Verdana" w:hAnsi="Verdana" w:cs="Arial"/>
          <w:b/>
          <w:bCs/>
          <w:lang w:val="es-ES_tradnl"/>
        </w:rPr>
      </w:pPr>
    </w:p>
    <w:p w14:paraId="1357D204" w14:textId="77777777" w:rsidR="001930EE" w:rsidRDefault="00D15D5E" w:rsidP="001930EE">
      <w:pPr>
        <w:spacing w:after="0" w:line="240" w:lineRule="auto"/>
        <w:jc w:val="both"/>
        <w:rPr>
          <w:rFonts w:ascii="Verdana" w:hAnsi="Verdana" w:cs="Arial"/>
          <w:b/>
          <w:bCs/>
          <w:sz w:val="20"/>
          <w:szCs w:val="20"/>
          <w:lang w:val="es-MX"/>
        </w:rPr>
      </w:pPr>
      <w:r w:rsidRPr="00D15D5E">
        <w:rPr>
          <w:rFonts w:ascii="Verdana" w:hAnsi="Verdana" w:cs="Arial"/>
          <w:sz w:val="20"/>
          <w:szCs w:val="20"/>
          <w:lang w:val="es-ES_tradnl"/>
        </w:rPr>
        <w:t>[…]</w:t>
      </w:r>
      <w:r w:rsidRPr="00D15D5E">
        <w:rPr>
          <w:rFonts w:ascii="Verdana" w:hAnsi="Verdana" w:cs="Arial"/>
          <w:b/>
          <w:bCs/>
          <w:sz w:val="20"/>
          <w:szCs w:val="20"/>
          <w:lang w:val="es-ES_tradnl"/>
        </w:rPr>
        <w:t xml:space="preserve"> </w:t>
      </w:r>
      <w:r w:rsidRPr="00D15D5E">
        <w:rPr>
          <w:rFonts w:ascii="Verdana" w:eastAsia="Calibri" w:hAnsi="Verdana" w:cs="Arial"/>
          <w:sz w:val="20"/>
          <w:szCs w:val="20"/>
          <w:lang w:val="es-MX"/>
        </w:rPr>
        <w:t>las inhabilidades son medios que garantizan la transparencia y eficiencia en la actividad contractual del Estado, imponiendo restricciones en la personalidad jurídica, la igualdad, la libre empresa y, particularmente, en el derecho a participar en procesos de selección y celebrar contratos con el Estado. La Corte Constitucional ha reconocido que estas limitaciones deben justificarse en la salvaguarda del interés general y que su interpretación es taxativa y restrictiva</w:t>
      </w:r>
      <w:r w:rsidR="001930EE">
        <w:rPr>
          <w:rFonts w:ascii="Verdana" w:eastAsia="Calibri" w:hAnsi="Verdana" w:cs="Arial"/>
          <w:sz w:val="20"/>
          <w:szCs w:val="20"/>
          <w:lang w:val="es-MX"/>
        </w:rPr>
        <w:t>.</w:t>
      </w:r>
    </w:p>
    <w:p w14:paraId="67A0474C" w14:textId="77777777" w:rsidR="001930EE" w:rsidRDefault="001930EE" w:rsidP="001930EE">
      <w:pPr>
        <w:spacing w:after="0" w:line="240" w:lineRule="auto"/>
        <w:jc w:val="both"/>
        <w:rPr>
          <w:rFonts w:ascii="Verdana" w:hAnsi="Verdana" w:cs="Arial"/>
          <w:sz w:val="20"/>
          <w:szCs w:val="20"/>
          <w:lang w:val="es-ES_tradnl"/>
        </w:rPr>
      </w:pPr>
    </w:p>
    <w:p w14:paraId="3BA80D41" w14:textId="680374AF" w:rsidR="001930EE" w:rsidRPr="001930EE" w:rsidRDefault="001930EE" w:rsidP="001930EE">
      <w:pPr>
        <w:spacing w:after="0" w:line="240" w:lineRule="auto"/>
        <w:jc w:val="both"/>
        <w:rPr>
          <w:rFonts w:ascii="Verdana" w:hAnsi="Verdana" w:cs="Arial"/>
          <w:b/>
          <w:bCs/>
          <w:sz w:val="20"/>
          <w:szCs w:val="20"/>
          <w:lang w:val="es-ES_tradnl"/>
        </w:rPr>
      </w:pPr>
      <w:r w:rsidRPr="001930EE">
        <w:rPr>
          <w:rFonts w:ascii="Verdana" w:hAnsi="Verdana" w:cs="Arial"/>
          <w:sz w:val="20"/>
          <w:szCs w:val="20"/>
          <w:lang w:val="es-ES_tradnl"/>
        </w:rPr>
        <w:t xml:space="preserve">[…] </w:t>
      </w:r>
      <w:r w:rsidRPr="001930EE">
        <w:rPr>
          <w:rFonts w:ascii="Verdana" w:eastAsia="Calibri" w:hAnsi="Verdana" w:cs="Arial"/>
          <w:sz w:val="20"/>
          <w:szCs w:val="20"/>
          <w:lang w:val="es-ES_tradnl"/>
        </w:rPr>
        <w:t xml:space="preserve">Ahora bien,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1930EE">
        <w:rPr>
          <w:rFonts w:ascii="Verdana" w:eastAsia="Calibri" w:hAnsi="Verdana" w:cs="Arial"/>
          <w:i/>
          <w:iCs/>
          <w:sz w:val="20"/>
          <w:szCs w:val="20"/>
          <w:lang w:val="es-ES_tradnl"/>
        </w:rPr>
        <w:t xml:space="preserve">restrictiva, </w:t>
      </w:r>
      <w:r w:rsidRPr="001930EE">
        <w:rPr>
          <w:rFonts w:ascii="Verdana" w:eastAsia="Calibri" w:hAnsi="Verdana" w:cs="Arial"/>
          <w:sz w:val="20"/>
          <w:szCs w:val="20"/>
          <w:lang w:val="es-ES_tradnl"/>
        </w:rPr>
        <w:t xml:space="preserve">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20188CC7" w14:textId="39113FD2" w:rsidR="001930EE" w:rsidRDefault="001930EE" w:rsidP="001930EE">
      <w:pPr>
        <w:spacing w:after="0" w:line="240" w:lineRule="auto"/>
        <w:jc w:val="both"/>
        <w:rPr>
          <w:rFonts w:ascii="Verdana" w:hAnsi="Verdana" w:cs="Arial"/>
          <w:b/>
          <w:bCs/>
          <w:lang w:val="es-ES_tradnl"/>
        </w:rPr>
      </w:pPr>
    </w:p>
    <w:p w14:paraId="652DA119" w14:textId="57F0ADB5" w:rsidR="001F2580" w:rsidRPr="001F2580" w:rsidRDefault="001F2580" w:rsidP="001F2580">
      <w:pPr>
        <w:spacing w:after="0" w:line="240" w:lineRule="auto"/>
        <w:jc w:val="both"/>
        <w:rPr>
          <w:rFonts w:ascii="Verdana" w:hAnsi="Verdana" w:cs="Arial"/>
          <w:b/>
          <w:bCs/>
          <w:lang w:val="es-ES_tradnl"/>
        </w:rPr>
      </w:pPr>
      <w:r w:rsidRPr="001F2580">
        <w:rPr>
          <w:rFonts w:ascii="Verdana" w:hAnsi="Verdana" w:cs="Arial"/>
          <w:b/>
          <w:bCs/>
          <w:lang w:val="es-ES_tradnl"/>
        </w:rPr>
        <w:t xml:space="preserve">INHABILIDADES E INCOMPATIBILIDADES – Ley 80 de 1993 </w:t>
      </w:r>
    </w:p>
    <w:p w14:paraId="4D378A67" w14:textId="77777777" w:rsidR="001930EE" w:rsidRDefault="001930EE" w:rsidP="001930EE">
      <w:pPr>
        <w:spacing w:after="0" w:line="240" w:lineRule="auto"/>
        <w:jc w:val="both"/>
        <w:rPr>
          <w:rFonts w:ascii="Verdana" w:hAnsi="Verdana" w:cs="Arial"/>
          <w:b/>
          <w:bCs/>
          <w:lang w:val="es-ES_tradnl"/>
        </w:rPr>
      </w:pPr>
    </w:p>
    <w:p w14:paraId="5CF8F30D" w14:textId="282276E2" w:rsidR="001930EE" w:rsidRPr="001930EE" w:rsidRDefault="001930EE" w:rsidP="001930EE">
      <w:pPr>
        <w:spacing w:after="0" w:line="240" w:lineRule="auto"/>
        <w:jc w:val="both"/>
        <w:rPr>
          <w:rFonts w:ascii="Verdana" w:eastAsia="Calibri" w:hAnsi="Verdana" w:cs="Arial"/>
          <w:sz w:val="20"/>
          <w:szCs w:val="20"/>
          <w:lang w:val="es-ES"/>
        </w:rPr>
      </w:pPr>
      <w:r w:rsidRPr="001930EE">
        <w:rPr>
          <w:rFonts w:ascii="Verdana" w:eastAsia="Calibri" w:hAnsi="Verdana" w:cs="Arial"/>
          <w:sz w:val="20"/>
          <w:szCs w:val="20"/>
          <w:lang w:val="es-ES"/>
        </w:rPr>
        <w:t xml:space="preserve">Ahora bien, en relación con la inhabilidad para contratar por parentesco, la Ley 80 de 1993 en su artículo 8, establece en el literal b) del numeral 2°, que no podrán participar en procedimientos de selección ni celebrar contratos estatales con la entidad respectiva “Las personas que tengan vínculos de parentesco, hasta el segundo grado de </w:t>
      </w:r>
      <w:r w:rsidRPr="001930EE">
        <w:rPr>
          <w:rFonts w:ascii="Verdana" w:eastAsia="Calibri" w:hAnsi="Verdana" w:cs="Arial"/>
          <w:sz w:val="20"/>
          <w:szCs w:val="20"/>
          <w:lang w:val="es-ES"/>
        </w:rPr>
        <w:lastRenderedPageBreak/>
        <w:t xml:space="preserve">consanguinidad, segundo de afinidad o primero civil con los servidores públicos de los niveles directivo, asesor, ejecutivo o con los miembros de la junta o consejo directivo, o con las personas que ejerzan el control interno o fiscal de la entidad contratante”. </w:t>
      </w:r>
    </w:p>
    <w:p w14:paraId="0FC3F3F3" w14:textId="77777777" w:rsidR="001930EE" w:rsidRDefault="001930EE" w:rsidP="001930EE">
      <w:pPr>
        <w:spacing w:after="0" w:line="240" w:lineRule="auto"/>
        <w:jc w:val="both"/>
        <w:rPr>
          <w:rFonts w:ascii="Verdana" w:hAnsi="Verdana" w:cs="Arial"/>
          <w:b/>
          <w:bCs/>
          <w:lang w:val="es-ES"/>
        </w:rPr>
      </w:pPr>
    </w:p>
    <w:p w14:paraId="4F4BD915" w14:textId="7A21EBB7" w:rsidR="001F2580" w:rsidRPr="001F2580" w:rsidRDefault="001F2580" w:rsidP="001930EE">
      <w:pPr>
        <w:spacing w:after="0" w:line="240" w:lineRule="auto"/>
        <w:jc w:val="both"/>
        <w:rPr>
          <w:rFonts w:ascii="Verdana" w:hAnsi="Verdana" w:cs="Arial"/>
          <w:b/>
          <w:bCs/>
          <w:lang w:val="es-ES_tradnl"/>
        </w:rPr>
      </w:pPr>
      <w:r w:rsidRPr="001F2580">
        <w:rPr>
          <w:rFonts w:ascii="Verdana" w:hAnsi="Verdana" w:cs="Arial"/>
          <w:b/>
          <w:bCs/>
          <w:lang w:val="es-ES_tradnl"/>
        </w:rPr>
        <w:t xml:space="preserve">PROHIBICIONES </w:t>
      </w:r>
      <w:r w:rsidR="00F46717" w:rsidRPr="00F46717">
        <w:rPr>
          <w:rFonts w:ascii="Verdana" w:hAnsi="Verdana" w:cs="Arial"/>
          <w:b/>
          <w:bCs/>
          <w:lang w:val="es-ES"/>
        </w:rPr>
        <w:t>–</w:t>
      </w:r>
      <w:r w:rsidRPr="001F2580">
        <w:rPr>
          <w:rFonts w:ascii="Verdana" w:hAnsi="Verdana" w:cs="Arial"/>
          <w:b/>
          <w:bCs/>
          <w:lang w:val="es-ES_tradnl"/>
        </w:rPr>
        <w:t xml:space="preserve"> Ley 617 de 2000 – Norma especial </w:t>
      </w:r>
    </w:p>
    <w:p w14:paraId="21A3AE5A" w14:textId="77777777" w:rsidR="001930EE" w:rsidRDefault="001930EE" w:rsidP="001930EE">
      <w:pPr>
        <w:widowControl w:val="0"/>
        <w:autoSpaceDE w:val="0"/>
        <w:autoSpaceDN w:val="0"/>
        <w:spacing w:after="0" w:line="240" w:lineRule="auto"/>
        <w:jc w:val="both"/>
        <w:rPr>
          <w:rFonts w:ascii="Verdana" w:eastAsia="Calibri" w:hAnsi="Verdana" w:cs="Arial"/>
          <w:lang w:val="es-ES_tradnl"/>
        </w:rPr>
      </w:pPr>
    </w:p>
    <w:p w14:paraId="4062C121" w14:textId="4B6C0E78" w:rsidR="001930EE" w:rsidRDefault="001930EE" w:rsidP="001930EE">
      <w:pPr>
        <w:widowControl w:val="0"/>
        <w:autoSpaceDE w:val="0"/>
        <w:autoSpaceDN w:val="0"/>
        <w:spacing w:after="0" w:line="240" w:lineRule="auto"/>
        <w:jc w:val="both"/>
        <w:rPr>
          <w:rFonts w:ascii="Verdana" w:hAnsi="Verdana" w:cs="Open Sans"/>
          <w:sz w:val="20"/>
          <w:szCs w:val="20"/>
        </w:rPr>
      </w:pPr>
      <w:r>
        <w:rPr>
          <w:rFonts w:ascii="Verdana" w:eastAsia="Calibri" w:hAnsi="Verdana" w:cs="Arial"/>
          <w:sz w:val="20"/>
          <w:szCs w:val="20"/>
          <w:lang w:val="es-ES_tradnl"/>
        </w:rPr>
        <w:t xml:space="preserve">[…] </w:t>
      </w:r>
      <w:r w:rsidRPr="001930EE">
        <w:rPr>
          <w:rFonts w:ascii="Verdana" w:eastAsia="Calibri" w:hAnsi="Verdana" w:cs="Arial"/>
          <w:sz w:val="20"/>
          <w:szCs w:val="20"/>
          <w:lang w:val="es-ES_tradnl"/>
        </w:rPr>
        <w:t xml:space="preserve">el inciso tercero del artículo 49 de la Ley 617 de 2000 –modificado por las Leyes 821 de 2003, 1148 de 2007 y 1296 de 2009– introduce una </w:t>
      </w:r>
      <w:r w:rsidRPr="001930EE">
        <w:rPr>
          <w:rFonts w:ascii="Verdana" w:eastAsia="Calibri" w:hAnsi="Verdana" w:cs="Arial"/>
          <w:i/>
          <w:iCs/>
          <w:sz w:val="20"/>
          <w:szCs w:val="20"/>
          <w:lang w:val="es-ES_tradnl"/>
        </w:rPr>
        <w:t>regla especial</w:t>
      </w:r>
      <w:r w:rsidRPr="001930EE">
        <w:rPr>
          <w:rFonts w:ascii="Verdana" w:eastAsia="Calibri" w:hAnsi="Verdana" w:cs="Arial"/>
          <w:sz w:val="20"/>
          <w:szCs w:val="20"/>
          <w:lang w:val="es-ES_tradnl"/>
        </w:rPr>
        <w:t xml:space="preserve"> que restringe la contratación de las gobernaciones, asambleas, alcaldías y concejos:</w:t>
      </w:r>
      <w:r>
        <w:rPr>
          <w:rFonts w:ascii="Verdana" w:eastAsia="Calibri" w:hAnsi="Verdana" w:cs="Arial"/>
          <w:sz w:val="20"/>
          <w:szCs w:val="20"/>
          <w:lang w:val="es-ES_tradnl"/>
        </w:rPr>
        <w:t xml:space="preserve"> </w:t>
      </w:r>
      <w:r w:rsidRPr="001930EE">
        <w:rPr>
          <w:rFonts w:ascii="Verdana" w:eastAsia="Calibri" w:hAnsi="Verdana" w:cs="Arial"/>
          <w:sz w:val="20"/>
          <w:szCs w:val="20"/>
          <w:lang w:val="es-ES_tradnl"/>
        </w:rPr>
        <w:t xml:space="preserve">“(…) </w:t>
      </w:r>
      <w:r w:rsidRPr="001930EE">
        <w:rPr>
          <w:rFonts w:ascii="Verdana" w:hAnsi="Verdana" w:cs="Open Sans"/>
          <w:sz w:val="20"/>
          <w:szCs w:val="20"/>
        </w:rPr>
        <w:t>Los cónyuges o </w:t>
      </w:r>
      <w:r w:rsidRPr="001930EE">
        <w:rPr>
          <w:rFonts w:ascii="Verdana" w:hAnsi="Verdana" w:cs="Open Sans"/>
          <w:sz w:val="20"/>
          <w:szCs w:val="20"/>
          <w:u w:val="single"/>
        </w:rPr>
        <w:t>compañeros permanentes</w:t>
      </w:r>
      <w:r w:rsidRPr="001930EE">
        <w:rPr>
          <w:rFonts w:ascii="Verdana" w:hAnsi="Verdana" w:cs="Open Sans"/>
          <w:sz w:val="20"/>
          <w:szCs w:val="20"/>
        </w:rPr>
        <w:t> de los gobernadores, diputados, alcaldes municipales y distritales, concejales municipales y distritales y sus parientes </w:t>
      </w:r>
      <w:r w:rsidRPr="001930EE">
        <w:rPr>
          <w:rStyle w:val="iaj"/>
          <w:rFonts w:ascii="Verdana" w:hAnsi="Verdana" w:cs="Open Sans"/>
          <w:i/>
          <w:iCs/>
          <w:sz w:val="20"/>
          <w:szCs w:val="20"/>
        </w:rPr>
        <w:t>dentro del cuarto grado de consanguinidad,</w:t>
      </w:r>
      <w:r w:rsidRPr="001930EE">
        <w:rPr>
          <w:rFonts w:ascii="Verdana" w:hAnsi="Verdana" w:cs="Open Sans"/>
          <w:sz w:val="20"/>
          <w:szCs w:val="20"/>
        </w:rPr>
        <w:t> segundo de afinidad, o primero civil </w:t>
      </w:r>
      <w:r w:rsidRPr="001930EE">
        <w:rPr>
          <w:rStyle w:val="iaj"/>
          <w:rFonts w:ascii="Verdana" w:hAnsi="Verdana" w:cs="Open Sans"/>
          <w:i/>
          <w:iCs/>
          <w:sz w:val="20"/>
          <w:szCs w:val="20"/>
        </w:rPr>
        <w:t>no podrán ser contratistas</w:t>
      </w:r>
      <w:r w:rsidRPr="001930EE">
        <w:rPr>
          <w:rFonts w:ascii="Verdana" w:hAnsi="Verdana" w:cs="Open Sans"/>
          <w:sz w:val="20"/>
          <w:szCs w:val="20"/>
        </w:rPr>
        <w:t> del respectivo departamento, distrito o municipio, o de sus entidades descentralizadas, ni directa, ni indirectamente (…)”.</w:t>
      </w:r>
      <w:r>
        <w:rPr>
          <w:rFonts w:ascii="Verdana" w:hAnsi="Verdana" w:cs="Open Sans"/>
          <w:sz w:val="20"/>
          <w:szCs w:val="20"/>
        </w:rPr>
        <w:t xml:space="preserve"> </w:t>
      </w:r>
    </w:p>
    <w:p w14:paraId="7B7A57B4" w14:textId="77777777" w:rsidR="001930EE" w:rsidRDefault="001930EE" w:rsidP="001930EE">
      <w:pPr>
        <w:widowControl w:val="0"/>
        <w:autoSpaceDE w:val="0"/>
        <w:autoSpaceDN w:val="0"/>
        <w:spacing w:after="0" w:line="240" w:lineRule="auto"/>
        <w:jc w:val="both"/>
        <w:rPr>
          <w:rFonts w:ascii="Verdana" w:hAnsi="Verdana" w:cs="Open Sans"/>
          <w:sz w:val="20"/>
          <w:szCs w:val="20"/>
        </w:rPr>
      </w:pPr>
    </w:p>
    <w:p w14:paraId="6DD28E67" w14:textId="62D20F49" w:rsidR="001930EE" w:rsidRPr="001930EE" w:rsidRDefault="001930EE" w:rsidP="001930EE">
      <w:pPr>
        <w:spacing w:after="0" w:line="240" w:lineRule="auto"/>
        <w:jc w:val="both"/>
        <w:rPr>
          <w:rFonts w:ascii="Verdana" w:eastAsia="Calibri" w:hAnsi="Verdana" w:cs="Arial"/>
          <w:color w:val="000000" w:themeColor="text1"/>
          <w:sz w:val="20"/>
          <w:szCs w:val="20"/>
          <w:lang w:val="es-ES"/>
        </w:rPr>
      </w:pPr>
      <w:r w:rsidRPr="001930EE">
        <w:rPr>
          <w:rFonts w:ascii="Verdana" w:eastAsia="Calibri" w:hAnsi="Verdana" w:cs="Arial"/>
          <w:sz w:val="20"/>
          <w:szCs w:val="20"/>
          <w:lang w:val="es-ES"/>
        </w:rPr>
        <w:t xml:space="preserve">[…] Así, esta regla especial contenida en el artículo 49 de la Ley 617 de 2000 dispone en primer lugar una prohibición que </w:t>
      </w:r>
      <w:r w:rsidRPr="001930EE">
        <w:rPr>
          <w:rFonts w:ascii="Verdana" w:eastAsia="Calibri" w:hAnsi="Verdana" w:cs="Arial"/>
          <w:color w:val="000000" w:themeColor="text1"/>
          <w:sz w:val="20"/>
          <w:szCs w:val="20"/>
          <w:lang w:val="es-ES"/>
        </w:rPr>
        <w:t xml:space="preserve">aplica a los cónyuges o compañeros permanentes de los gobernadores, diputados, alcaldes o concejales, así como a sus parientes dentro del cuarto grado de consanguinidad, segundo de afinidad o primero civil, quienes no podrán celebrar contratos directa ni indirectamente con el departamento, distrito o municipio, o con sus entidades descentralizadas, tratándose de los municipios de primera, segunda y tercera categoría. </w:t>
      </w:r>
    </w:p>
    <w:p w14:paraId="5E7C2A63" w14:textId="77777777" w:rsidR="001930EE" w:rsidRPr="001930EE" w:rsidRDefault="001930EE" w:rsidP="001930EE">
      <w:pPr>
        <w:spacing w:after="0" w:line="240" w:lineRule="auto"/>
        <w:jc w:val="both"/>
        <w:rPr>
          <w:rFonts w:ascii="Verdana" w:hAnsi="Verdana" w:cs="Arial"/>
          <w:b/>
          <w:bCs/>
          <w:sz w:val="20"/>
          <w:szCs w:val="20"/>
          <w:lang w:val="es-ES"/>
        </w:rPr>
      </w:pPr>
    </w:p>
    <w:p w14:paraId="71058F76" w14:textId="3D12186E" w:rsidR="001F2580" w:rsidRDefault="001F2580" w:rsidP="0025041B">
      <w:pPr>
        <w:spacing w:after="0" w:line="240" w:lineRule="auto"/>
        <w:jc w:val="both"/>
        <w:rPr>
          <w:rFonts w:ascii="Verdana" w:hAnsi="Verdana" w:cs="Arial"/>
          <w:b/>
          <w:bCs/>
          <w:lang w:val="es-ES_tradnl"/>
        </w:rPr>
      </w:pPr>
      <w:r w:rsidRPr="001F2580">
        <w:rPr>
          <w:rFonts w:ascii="Verdana" w:hAnsi="Verdana" w:cs="Arial"/>
          <w:b/>
          <w:bCs/>
          <w:lang w:val="es-ES_tradnl"/>
        </w:rPr>
        <w:t xml:space="preserve">LEY 617 DE 2000 – Contratación directa e indirecta – inciso tercero del artículo 49 – Alcance </w:t>
      </w:r>
    </w:p>
    <w:p w14:paraId="6AE8D7EA" w14:textId="77777777" w:rsidR="0025041B" w:rsidRDefault="0025041B" w:rsidP="0025041B">
      <w:pPr>
        <w:spacing w:after="0" w:line="240" w:lineRule="auto"/>
        <w:jc w:val="both"/>
        <w:rPr>
          <w:rFonts w:ascii="Verdana" w:eastAsia="Calibri" w:hAnsi="Verdana" w:cs="Arial"/>
          <w:color w:val="000000" w:themeColor="text1"/>
          <w:sz w:val="20"/>
          <w:szCs w:val="20"/>
          <w:lang w:val="es-ES"/>
        </w:rPr>
      </w:pPr>
    </w:p>
    <w:p w14:paraId="6620908A" w14:textId="58E1D658" w:rsidR="001930EE" w:rsidRDefault="001930EE" w:rsidP="0025041B">
      <w:pPr>
        <w:spacing w:after="0" w:line="240" w:lineRule="auto"/>
        <w:jc w:val="both"/>
        <w:rPr>
          <w:rFonts w:ascii="Verdana" w:eastAsia="Calibri" w:hAnsi="Verdana" w:cs="Arial"/>
          <w:color w:val="000000"/>
          <w:sz w:val="20"/>
          <w:szCs w:val="20"/>
          <w:lang w:val="es-ES_tradnl"/>
        </w:rPr>
      </w:pPr>
      <w:r w:rsidRPr="001930EE">
        <w:rPr>
          <w:rFonts w:ascii="Verdana" w:eastAsia="Calibri" w:hAnsi="Verdana" w:cs="Arial"/>
          <w:color w:val="000000" w:themeColor="text1"/>
          <w:sz w:val="20"/>
          <w:szCs w:val="20"/>
          <w:lang w:val="es-ES"/>
        </w:rPr>
        <w:t>Por su parte, el parágrafo tercero del mencionado artículo 49 determina que, la prohibición relativa a la celebración de contratos se aplica únicamente para los concejales de los municipios de cuarta, quinta y sexta categoría, cuyos parientes sean los cónyuges o compañeros permanentes y parientes hasta el segundo grado de consanguinidad, primero de afinidad o único civil. En ese sentido, para los parientes que se encuentran dentro del tercer grado de consanguinidad de un concejal de un municipio de cuarta, quinta o sexta categoría, no operaría la prohibición</w:t>
      </w:r>
      <w:r w:rsidRPr="001930EE">
        <w:rPr>
          <w:rFonts w:ascii="Verdana" w:eastAsia="Calibri" w:hAnsi="Verdana" w:cs="Arial"/>
          <w:color w:val="000000"/>
          <w:sz w:val="20"/>
          <w:szCs w:val="20"/>
          <w:lang w:val="es-ES_tradnl"/>
        </w:rPr>
        <w:t>.</w:t>
      </w:r>
    </w:p>
    <w:p w14:paraId="5DB12FF8" w14:textId="77777777" w:rsidR="0025041B" w:rsidRDefault="0025041B" w:rsidP="0025041B">
      <w:pPr>
        <w:spacing w:after="0" w:line="240" w:lineRule="auto"/>
        <w:jc w:val="both"/>
        <w:rPr>
          <w:rFonts w:ascii="Verdana" w:eastAsia="Calibri" w:hAnsi="Verdana" w:cs="Arial"/>
          <w:color w:val="000000"/>
          <w:sz w:val="20"/>
          <w:szCs w:val="20"/>
          <w:lang w:val="es-ES_tradnl"/>
        </w:rPr>
      </w:pPr>
    </w:p>
    <w:p w14:paraId="684B5092" w14:textId="122EE24B" w:rsidR="001930EE" w:rsidRPr="001930EE" w:rsidRDefault="001930EE" w:rsidP="0025041B">
      <w:pPr>
        <w:spacing w:after="0" w:line="240" w:lineRule="auto"/>
        <w:jc w:val="both"/>
        <w:rPr>
          <w:rFonts w:ascii="Verdana" w:eastAsia="Calibri" w:hAnsi="Verdana" w:cs="Arial"/>
          <w:sz w:val="20"/>
          <w:szCs w:val="20"/>
          <w:lang w:val="es-ES_tradnl"/>
        </w:rPr>
      </w:pPr>
      <w:r w:rsidRPr="001930EE">
        <w:rPr>
          <w:rFonts w:ascii="Verdana" w:eastAsia="Calibri" w:hAnsi="Verdana" w:cs="Arial"/>
          <w:sz w:val="20"/>
          <w:szCs w:val="20"/>
          <w:lang w:val="es-ES"/>
        </w:rPr>
        <w:t>Por lo tanto, en principio</w:t>
      </w:r>
      <w:r w:rsidRPr="001930EE">
        <w:rPr>
          <w:rFonts w:ascii="Verdana" w:eastAsia="Calibri" w:hAnsi="Verdana" w:cs="Arial"/>
          <w:color w:val="000000"/>
          <w:sz w:val="20"/>
          <w:szCs w:val="20"/>
          <w:lang w:val="es-MX"/>
        </w:rPr>
        <w:t xml:space="preserve">, todas las entidades y funcionarios del artículo 2 de la Ley 80 de 1993 se rigen por las causales de inhabilidad del artículo 8 </w:t>
      </w:r>
      <w:r w:rsidRPr="001930EE">
        <w:rPr>
          <w:rFonts w:ascii="Verdana" w:eastAsia="Calibri" w:hAnsi="Verdana" w:cs="Arial"/>
          <w:i/>
          <w:iCs/>
          <w:color w:val="000000"/>
          <w:sz w:val="20"/>
          <w:szCs w:val="20"/>
          <w:lang w:val="es-MX"/>
        </w:rPr>
        <w:t>ibidem</w:t>
      </w:r>
      <w:r w:rsidRPr="001930EE">
        <w:rPr>
          <w:rFonts w:ascii="Verdana" w:eastAsia="Calibri" w:hAnsi="Verdana" w:cs="Arial"/>
          <w:color w:val="000000"/>
          <w:sz w:val="20"/>
          <w:szCs w:val="20"/>
          <w:lang w:val="es-MX"/>
        </w:rPr>
        <w:t xml:space="preserve">, incluyendo la del literal b) del numeral 2 explicada </w:t>
      </w:r>
      <w:r w:rsidRPr="001930EE">
        <w:rPr>
          <w:rFonts w:ascii="Verdana" w:eastAsia="Calibri" w:hAnsi="Verdana" w:cs="Arial"/>
          <w:i/>
          <w:iCs/>
          <w:color w:val="000000"/>
          <w:sz w:val="20"/>
          <w:szCs w:val="20"/>
          <w:lang w:val="es-MX"/>
        </w:rPr>
        <w:t>ut supra</w:t>
      </w:r>
      <w:r w:rsidRPr="001930EE">
        <w:rPr>
          <w:rFonts w:ascii="Verdana" w:eastAsia="Calibri" w:hAnsi="Verdana" w:cs="Arial"/>
          <w:color w:val="000000"/>
          <w:sz w:val="20"/>
          <w:szCs w:val="20"/>
          <w:lang w:val="es-MX"/>
        </w:rPr>
        <w:t>, p</w:t>
      </w:r>
      <w:proofErr w:type="spellStart"/>
      <w:r w:rsidRPr="001930EE">
        <w:rPr>
          <w:rFonts w:ascii="Verdana" w:eastAsia="Calibri" w:hAnsi="Verdana" w:cs="Arial"/>
          <w:sz w:val="20"/>
          <w:szCs w:val="20"/>
          <w:lang w:val="es-ES_tradnl"/>
        </w:rPr>
        <w:t>ues</w:t>
      </w:r>
      <w:proofErr w:type="spellEnd"/>
      <w:r w:rsidRPr="001930EE">
        <w:rPr>
          <w:rFonts w:ascii="Verdana" w:eastAsia="Calibri" w:hAnsi="Verdana" w:cs="Arial"/>
          <w:sz w:val="20"/>
          <w:szCs w:val="20"/>
          <w:lang w:val="es-ES_tradnl"/>
        </w:rPr>
        <w:t xml:space="preserve"> es la </w:t>
      </w:r>
      <w:r w:rsidRPr="001930EE">
        <w:rPr>
          <w:rFonts w:ascii="Verdana" w:eastAsia="Calibri" w:hAnsi="Verdana" w:cs="Arial"/>
          <w:i/>
          <w:iCs/>
          <w:sz w:val="20"/>
          <w:szCs w:val="20"/>
          <w:lang w:val="es-ES_tradnl"/>
        </w:rPr>
        <w:t>regla general</w:t>
      </w:r>
      <w:r w:rsidRPr="001930EE">
        <w:rPr>
          <w:rFonts w:ascii="Verdana" w:eastAsia="Calibri" w:hAnsi="Verdana" w:cs="Arial"/>
          <w:sz w:val="20"/>
          <w:szCs w:val="20"/>
          <w:lang w:val="es-ES_tradnl"/>
        </w:rPr>
        <w:t xml:space="preserve"> en materia de inhabilidades e incompatibilidades para la contratación de las entidades sometidas a la Ley 80 de 1993. Sin embargo, el artículo 49 de la Ley 617 de 2000 se trata de una </w:t>
      </w:r>
      <w:r w:rsidRPr="001930EE">
        <w:rPr>
          <w:rFonts w:ascii="Verdana" w:eastAsia="Calibri" w:hAnsi="Verdana" w:cs="Arial"/>
          <w:i/>
          <w:iCs/>
          <w:sz w:val="20"/>
          <w:szCs w:val="20"/>
          <w:lang w:val="es-ES_tradnl"/>
        </w:rPr>
        <w:t>regla especial</w:t>
      </w:r>
      <w:r w:rsidRPr="001930EE">
        <w:rPr>
          <w:rFonts w:ascii="Verdana" w:eastAsia="Calibri" w:hAnsi="Verdana" w:cs="Arial"/>
          <w:sz w:val="20"/>
          <w:szCs w:val="20"/>
          <w:lang w:val="es-ES_tradnl"/>
        </w:rPr>
        <w:t xml:space="preserve">, la cual se ratifica en las modificaciones posteriores del artículo 1º de las Leyes 821 de 2003, 1148 de 2007 y 1296 de 2009. Según esta regla, los cónyuges o compañeros permanentes de los gobernadores, diputados, alcaldes o concejales, así como a sus parientes dentro del cuarto grado de consanguinidad, segundo de afinidad o primero civil, no pueden celebrar contratos directa ni indirectamente con el departamento, distrito o municipio, o con sus entidades descentralizadas. </w:t>
      </w:r>
    </w:p>
    <w:p w14:paraId="2C5ED153" w14:textId="77777777" w:rsidR="001930EE" w:rsidRPr="001930EE" w:rsidRDefault="001930EE" w:rsidP="001930EE">
      <w:pPr>
        <w:spacing w:after="0" w:line="240" w:lineRule="auto"/>
        <w:jc w:val="both"/>
        <w:rPr>
          <w:rFonts w:ascii="Verdana" w:eastAsia="Calibri" w:hAnsi="Verdana" w:cs="Arial"/>
          <w:sz w:val="20"/>
          <w:szCs w:val="20"/>
          <w:lang w:val="es-ES"/>
        </w:rPr>
      </w:pPr>
      <w:r w:rsidRPr="001930EE">
        <w:rPr>
          <w:rFonts w:ascii="Verdana" w:eastAsia="Calibri" w:hAnsi="Verdana" w:cs="Arial"/>
          <w:sz w:val="20"/>
          <w:szCs w:val="20"/>
          <w:lang w:val="es-ES"/>
        </w:rPr>
        <w:lastRenderedPageBreak/>
        <w:t>Empero dado que la interpretación de este tipo de normativa debe ser restrictiva se encuentra que, según lo dispuesto en el parágrafo tercero del artículo 49 de la Ley 617 de 2000 tratándose</w:t>
      </w:r>
      <w:r w:rsidRPr="001930EE">
        <w:rPr>
          <w:rFonts w:ascii="Verdana" w:eastAsia="Calibri" w:hAnsi="Verdana" w:cs="Arial"/>
          <w:color w:val="000000" w:themeColor="text1"/>
          <w:sz w:val="20"/>
          <w:szCs w:val="20"/>
          <w:lang w:val="es-ES"/>
        </w:rPr>
        <w:t xml:space="preserve"> de concejales de municipios de cuarta, quinta y sexta categoría, se aplica la prohibición únicamente a los cónyuges o compañeros permanentes y parientes hasta el segundo grado de consanguinidad, primero de afinidad o único civil.</w:t>
      </w:r>
    </w:p>
    <w:p w14:paraId="7A6AA510" w14:textId="77777777" w:rsidR="001930EE" w:rsidRDefault="001930EE" w:rsidP="001F2580">
      <w:pPr>
        <w:jc w:val="both"/>
        <w:rPr>
          <w:rFonts w:ascii="Verdana" w:hAnsi="Verdana" w:cs="Arial"/>
          <w:b/>
          <w:bCs/>
          <w:lang w:val="es-ES"/>
        </w:rPr>
      </w:pPr>
    </w:p>
    <w:p w14:paraId="0454B3AA" w14:textId="77777777" w:rsidR="001930EE" w:rsidRDefault="001930EE" w:rsidP="001F2580">
      <w:pPr>
        <w:jc w:val="both"/>
        <w:rPr>
          <w:rFonts w:ascii="Verdana" w:hAnsi="Verdana" w:cs="Arial"/>
          <w:b/>
          <w:bCs/>
          <w:lang w:val="es-ES"/>
        </w:rPr>
      </w:pPr>
    </w:p>
    <w:p w14:paraId="1E8610C1" w14:textId="77777777" w:rsidR="001930EE" w:rsidRDefault="001930EE" w:rsidP="001F2580">
      <w:pPr>
        <w:jc w:val="both"/>
        <w:rPr>
          <w:rFonts w:ascii="Verdana" w:hAnsi="Verdana" w:cs="Arial"/>
          <w:b/>
          <w:bCs/>
          <w:lang w:val="es-ES"/>
        </w:rPr>
      </w:pPr>
    </w:p>
    <w:p w14:paraId="0C24B509" w14:textId="77777777" w:rsidR="001930EE" w:rsidRDefault="001930EE" w:rsidP="001F2580">
      <w:pPr>
        <w:jc w:val="both"/>
        <w:rPr>
          <w:rFonts w:ascii="Verdana" w:hAnsi="Verdana" w:cs="Arial"/>
          <w:b/>
          <w:bCs/>
          <w:lang w:val="es-ES"/>
        </w:rPr>
      </w:pPr>
    </w:p>
    <w:p w14:paraId="30CCDD97" w14:textId="77777777" w:rsidR="001930EE" w:rsidRDefault="001930EE" w:rsidP="001F2580">
      <w:pPr>
        <w:jc w:val="both"/>
        <w:rPr>
          <w:rFonts w:ascii="Verdana" w:hAnsi="Verdana" w:cs="Arial"/>
          <w:b/>
          <w:bCs/>
          <w:lang w:val="es-ES"/>
        </w:rPr>
      </w:pPr>
    </w:p>
    <w:p w14:paraId="29A00996" w14:textId="77777777" w:rsidR="001930EE" w:rsidRDefault="001930EE" w:rsidP="001F2580">
      <w:pPr>
        <w:jc w:val="both"/>
        <w:rPr>
          <w:rFonts w:ascii="Verdana" w:hAnsi="Verdana" w:cs="Arial"/>
          <w:b/>
          <w:bCs/>
          <w:lang w:val="es-ES"/>
        </w:rPr>
      </w:pPr>
    </w:p>
    <w:p w14:paraId="3E2C8C29" w14:textId="77777777" w:rsidR="001930EE" w:rsidRDefault="001930EE" w:rsidP="001F2580">
      <w:pPr>
        <w:jc w:val="both"/>
        <w:rPr>
          <w:rFonts w:ascii="Verdana" w:hAnsi="Verdana" w:cs="Arial"/>
          <w:b/>
          <w:bCs/>
          <w:lang w:val="es-ES"/>
        </w:rPr>
      </w:pPr>
    </w:p>
    <w:p w14:paraId="697B4297" w14:textId="77777777" w:rsidR="001930EE" w:rsidRDefault="001930EE" w:rsidP="001F2580">
      <w:pPr>
        <w:jc w:val="both"/>
        <w:rPr>
          <w:rFonts w:ascii="Verdana" w:hAnsi="Verdana" w:cs="Arial"/>
          <w:b/>
          <w:bCs/>
          <w:lang w:val="es-ES"/>
        </w:rPr>
      </w:pPr>
    </w:p>
    <w:p w14:paraId="4D484413" w14:textId="77777777" w:rsidR="001930EE" w:rsidRDefault="001930EE" w:rsidP="001F2580">
      <w:pPr>
        <w:jc w:val="both"/>
        <w:rPr>
          <w:rFonts w:ascii="Verdana" w:hAnsi="Verdana" w:cs="Arial"/>
          <w:b/>
          <w:bCs/>
          <w:lang w:val="es-ES"/>
        </w:rPr>
      </w:pPr>
    </w:p>
    <w:p w14:paraId="075FE287" w14:textId="77777777" w:rsidR="001930EE" w:rsidRDefault="001930EE" w:rsidP="001F2580">
      <w:pPr>
        <w:jc w:val="both"/>
        <w:rPr>
          <w:rFonts w:ascii="Verdana" w:hAnsi="Verdana" w:cs="Arial"/>
          <w:b/>
          <w:bCs/>
          <w:lang w:val="es-ES"/>
        </w:rPr>
      </w:pPr>
    </w:p>
    <w:p w14:paraId="0C6DDDE8" w14:textId="77777777" w:rsidR="001930EE" w:rsidRDefault="001930EE" w:rsidP="001F2580">
      <w:pPr>
        <w:jc w:val="both"/>
        <w:rPr>
          <w:rFonts w:ascii="Verdana" w:hAnsi="Verdana" w:cs="Arial"/>
          <w:b/>
          <w:bCs/>
          <w:lang w:val="es-ES"/>
        </w:rPr>
      </w:pPr>
    </w:p>
    <w:p w14:paraId="463EBE03" w14:textId="77777777" w:rsidR="001930EE" w:rsidRDefault="001930EE" w:rsidP="001F2580">
      <w:pPr>
        <w:jc w:val="both"/>
        <w:rPr>
          <w:rFonts w:ascii="Verdana" w:hAnsi="Verdana" w:cs="Arial"/>
          <w:b/>
          <w:bCs/>
          <w:lang w:val="es-ES"/>
        </w:rPr>
      </w:pPr>
    </w:p>
    <w:p w14:paraId="2693A694" w14:textId="77777777" w:rsidR="001930EE" w:rsidRDefault="001930EE" w:rsidP="001F2580">
      <w:pPr>
        <w:jc w:val="both"/>
        <w:rPr>
          <w:rFonts w:ascii="Verdana" w:hAnsi="Verdana" w:cs="Arial"/>
          <w:b/>
          <w:bCs/>
          <w:lang w:val="es-ES"/>
        </w:rPr>
      </w:pPr>
    </w:p>
    <w:p w14:paraId="4E20FB77" w14:textId="77777777" w:rsidR="001930EE" w:rsidRDefault="001930EE" w:rsidP="001F2580">
      <w:pPr>
        <w:jc w:val="both"/>
        <w:rPr>
          <w:rFonts w:ascii="Verdana" w:hAnsi="Verdana" w:cs="Arial"/>
          <w:b/>
          <w:bCs/>
          <w:lang w:val="es-ES"/>
        </w:rPr>
      </w:pPr>
    </w:p>
    <w:p w14:paraId="797FE8EA" w14:textId="77777777" w:rsidR="001930EE" w:rsidRDefault="001930EE" w:rsidP="001F2580">
      <w:pPr>
        <w:jc w:val="both"/>
        <w:rPr>
          <w:rFonts w:ascii="Verdana" w:hAnsi="Verdana" w:cs="Arial"/>
          <w:b/>
          <w:bCs/>
          <w:lang w:val="es-ES"/>
        </w:rPr>
      </w:pPr>
    </w:p>
    <w:p w14:paraId="0947C40F" w14:textId="77777777" w:rsidR="001930EE" w:rsidRDefault="001930EE" w:rsidP="001F2580">
      <w:pPr>
        <w:jc w:val="both"/>
        <w:rPr>
          <w:rFonts w:ascii="Verdana" w:hAnsi="Verdana" w:cs="Arial"/>
          <w:b/>
          <w:bCs/>
          <w:lang w:val="es-ES"/>
        </w:rPr>
      </w:pPr>
    </w:p>
    <w:p w14:paraId="27FECAA0" w14:textId="77777777" w:rsidR="001930EE" w:rsidRDefault="001930EE" w:rsidP="001F2580">
      <w:pPr>
        <w:jc w:val="both"/>
        <w:rPr>
          <w:rFonts w:ascii="Verdana" w:hAnsi="Verdana" w:cs="Arial"/>
          <w:b/>
          <w:bCs/>
          <w:lang w:val="es-ES"/>
        </w:rPr>
      </w:pPr>
    </w:p>
    <w:p w14:paraId="253E8B7C" w14:textId="77777777" w:rsidR="001930EE" w:rsidRDefault="001930EE" w:rsidP="001F2580">
      <w:pPr>
        <w:jc w:val="both"/>
        <w:rPr>
          <w:rFonts w:ascii="Verdana" w:hAnsi="Verdana" w:cs="Arial"/>
          <w:b/>
          <w:bCs/>
          <w:lang w:val="es-ES"/>
        </w:rPr>
      </w:pPr>
    </w:p>
    <w:p w14:paraId="3CC8103F" w14:textId="77777777" w:rsidR="001930EE" w:rsidRDefault="001930EE" w:rsidP="001F2580">
      <w:pPr>
        <w:jc w:val="both"/>
        <w:rPr>
          <w:rFonts w:ascii="Verdana" w:hAnsi="Verdana" w:cs="Arial"/>
          <w:b/>
          <w:bCs/>
          <w:lang w:val="es-ES"/>
        </w:rPr>
      </w:pPr>
    </w:p>
    <w:p w14:paraId="1B36C4DF" w14:textId="77777777" w:rsidR="001930EE" w:rsidRDefault="001930EE" w:rsidP="001F2580">
      <w:pPr>
        <w:jc w:val="both"/>
        <w:rPr>
          <w:rFonts w:ascii="Verdana" w:hAnsi="Verdana" w:cs="Arial"/>
          <w:b/>
          <w:bCs/>
          <w:lang w:val="es-ES"/>
        </w:rPr>
      </w:pPr>
    </w:p>
    <w:p w14:paraId="5B8F9C83" w14:textId="77777777" w:rsidR="001930EE" w:rsidRDefault="001930EE" w:rsidP="001F2580">
      <w:pPr>
        <w:jc w:val="both"/>
        <w:rPr>
          <w:rFonts w:ascii="Verdana" w:hAnsi="Verdana" w:cs="Arial"/>
          <w:b/>
          <w:bCs/>
          <w:lang w:val="es-ES"/>
        </w:rPr>
      </w:pPr>
    </w:p>
    <w:p w14:paraId="18F95787" w14:textId="77777777" w:rsidR="001930EE" w:rsidRDefault="001930EE" w:rsidP="001F2580">
      <w:pPr>
        <w:jc w:val="both"/>
        <w:rPr>
          <w:rFonts w:ascii="Verdana" w:hAnsi="Verdana" w:cs="Arial"/>
          <w:b/>
          <w:bCs/>
          <w:lang w:val="es-ES"/>
        </w:rPr>
      </w:pPr>
    </w:p>
    <w:p w14:paraId="75E63675" w14:textId="77777777" w:rsidR="001930EE" w:rsidRDefault="001930EE" w:rsidP="00662485">
      <w:pPr>
        <w:spacing w:after="0" w:line="240" w:lineRule="auto"/>
        <w:jc w:val="both"/>
        <w:rPr>
          <w:rFonts w:ascii="Verdana" w:hAnsi="Verdana" w:cs="Arial"/>
          <w:b/>
          <w:bCs/>
          <w:lang w:val="es-ES"/>
        </w:rPr>
      </w:pPr>
    </w:p>
    <w:p w14:paraId="210E4143" w14:textId="24039037" w:rsidR="00662485" w:rsidRDefault="000C4B5C" w:rsidP="00662485">
      <w:pPr>
        <w:spacing w:after="0" w:line="240" w:lineRule="auto"/>
        <w:jc w:val="both"/>
        <w:rPr>
          <w:rFonts w:ascii="Verdana" w:eastAsia="Geomanist Light" w:hAnsi="Verdana" w:cs="Arial"/>
          <w:color w:val="000000" w:themeColor="text1"/>
          <w:lang w:val="es-MX"/>
        </w:rPr>
      </w:pPr>
      <w:bookmarkStart w:id="6" w:name="_Hlk197462763"/>
      <w:bookmarkStart w:id="7" w:name="_Hlk197529996"/>
      <w:r w:rsidRPr="000C4B5C">
        <w:rPr>
          <w:rFonts w:ascii="Verdana" w:eastAsia="Geomanist Light" w:hAnsi="Verdana" w:cs="Arial"/>
          <w:color w:val="000000" w:themeColor="text1"/>
          <w:lang w:val="es-MX"/>
        </w:rPr>
        <w:lastRenderedPageBreak/>
        <w:t>Bogotá D.C., 07 de Julio de 2026</w:t>
      </w:r>
    </w:p>
    <w:p w14:paraId="68C0D2F6" w14:textId="77777777" w:rsidR="000C4B5C" w:rsidRDefault="000C4B5C" w:rsidP="00662485">
      <w:pPr>
        <w:spacing w:after="0" w:line="240" w:lineRule="auto"/>
        <w:jc w:val="both"/>
        <w:rPr>
          <w:rFonts w:ascii="Verdana" w:eastAsia="Calibri" w:hAnsi="Verdana" w:cs="Arial"/>
          <w:lang w:eastAsia="es-ES"/>
        </w:rPr>
      </w:pPr>
    </w:p>
    <w:p w14:paraId="7A2B0640" w14:textId="18279E35" w:rsidR="00362FBF" w:rsidRDefault="00362FBF" w:rsidP="00F236DA">
      <w:pPr>
        <w:spacing w:after="0" w:line="240" w:lineRule="auto"/>
        <w:jc w:val="right"/>
        <w:rPr>
          <w:rFonts w:ascii="Verdana" w:eastAsia="Calibri" w:hAnsi="Verdana" w:cs="Arial"/>
          <w:lang w:eastAsia="es-ES"/>
        </w:rPr>
      </w:pPr>
    </w:p>
    <w:p w14:paraId="3AEA7DA8" w14:textId="42ED1BE4" w:rsidR="00662485" w:rsidRPr="001B421A" w:rsidRDefault="00F46717" w:rsidP="00662485">
      <w:pPr>
        <w:spacing w:after="0" w:line="240" w:lineRule="auto"/>
        <w:jc w:val="both"/>
        <w:rPr>
          <w:rFonts w:ascii="Verdana" w:eastAsia="Calibri" w:hAnsi="Verdana" w:cs="Arial"/>
          <w:lang w:eastAsia="es-ES"/>
        </w:rPr>
      </w:pPr>
      <w:r w:rsidRPr="000C4B5C">
        <w:rPr>
          <w:rFonts w:ascii="Verdana" w:eastAsia="Calibri" w:hAnsi="Verdana" w:cs="Arial"/>
          <w:noProof/>
          <w:lang w:eastAsia="es-ES"/>
        </w:rPr>
        <w:drawing>
          <wp:anchor distT="0" distB="0" distL="114300" distR="114300" simplePos="0" relativeHeight="251658240" behindDoc="0" locked="0" layoutInCell="1" allowOverlap="1" wp14:anchorId="18B9FEA8" wp14:editId="1D53CA5C">
            <wp:simplePos x="0" y="0"/>
            <wp:positionH relativeFrom="margin">
              <wp:align>right</wp:align>
            </wp:positionH>
            <wp:positionV relativeFrom="paragraph">
              <wp:posOffset>5715</wp:posOffset>
            </wp:positionV>
            <wp:extent cx="2693035" cy="789940"/>
            <wp:effectExtent l="0" t="0" r="0" b="0"/>
            <wp:wrapSquare wrapText="bothSides"/>
            <wp:docPr id="17000329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032937" name=""/>
                    <pic:cNvPicPr/>
                  </pic:nvPicPr>
                  <pic:blipFill>
                    <a:blip r:embed="rId10">
                      <a:extLst>
                        <a:ext uri="{28A0092B-C50C-407E-A947-70E740481C1C}">
                          <a14:useLocalDpi xmlns:a14="http://schemas.microsoft.com/office/drawing/2010/main" val="0"/>
                        </a:ext>
                      </a:extLst>
                    </a:blip>
                    <a:stretch>
                      <a:fillRect/>
                    </a:stretch>
                  </pic:blipFill>
                  <pic:spPr>
                    <a:xfrm>
                      <a:off x="0" y="0"/>
                      <a:ext cx="2693035" cy="789940"/>
                    </a:xfrm>
                    <a:prstGeom prst="rect">
                      <a:avLst/>
                    </a:prstGeom>
                  </pic:spPr>
                </pic:pic>
              </a:graphicData>
            </a:graphic>
            <wp14:sizeRelH relativeFrom="margin">
              <wp14:pctWidth>0</wp14:pctWidth>
            </wp14:sizeRelH>
            <wp14:sizeRelV relativeFrom="margin">
              <wp14:pctHeight>0</wp14:pctHeight>
            </wp14:sizeRelV>
          </wp:anchor>
        </w:drawing>
      </w:r>
      <w:r w:rsidR="00662485" w:rsidRPr="001B421A">
        <w:rPr>
          <w:rFonts w:ascii="Verdana" w:eastAsia="Calibri" w:hAnsi="Verdana" w:cs="Arial"/>
          <w:lang w:eastAsia="es-ES"/>
        </w:rPr>
        <w:t>Señora</w:t>
      </w:r>
      <w:r w:rsidR="00D47825" w:rsidRPr="001B421A">
        <w:rPr>
          <w:rFonts w:ascii="Verdana" w:eastAsia="Calibri" w:hAnsi="Verdana" w:cs="Arial"/>
          <w:lang w:eastAsia="es-ES"/>
        </w:rPr>
        <w:t xml:space="preserve"> </w:t>
      </w:r>
    </w:p>
    <w:p w14:paraId="329ACE48" w14:textId="2A091DA9" w:rsidR="001B421A" w:rsidRPr="001B421A" w:rsidRDefault="001B421A" w:rsidP="00662485">
      <w:pPr>
        <w:spacing w:after="0" w:line="240" w:lineRule="auto"/>
        <w:jc w:val="both"/>
        <w:rPr>
          <w:rFonts w:ascii="Verdana" w:eastAsia="Calibri" w:hAnsi="Verdana" w:cs="Arial"/>
          <w:b/>
          <w:lang w:eastAsia="es-ES_tradnl"/>
        </w:rPr>
      </w:pPr>
      <w:r w:rsidRPr="001B421A">
        <w:rPr>
          <w:rFonts w:ascii="Verdana" w:eastAsia="Calibri" w:hAnsi="Verdana" w:cs="Arial"/>
          <w:b/>
          <w:lang w:eastAsia="es-ES_tradnl"/>
        </w:rPr>
        <w:t>Fernanda Castellanos</w:t>
      </w:r>
    </w:p>
    <w:p w14:paraId="02011B26" w14:textId="36CB0B9D" w:rsidR="001B421A" w:rsidRPr="001B421A" w:rsidRDefault="001B421A" w:rsidP="00662485">
      <w:pPr>
        <w:spacing w:after="0" w:line="240" w:lineRule="auto"/>
        <w:jc w:val="both"/>
        <w:rPr>
          <w:rFonts w:ascii="Verdana" w:hAnsi="Verdana"/>
        </w:rPr>
      </w:pPr>
      <w:hyperlink r:id="rId11" w:history="1">
        <w:r w:rsidRPr="001B421A">
          <w:rPr>
            <w:rStyle w:val="Hipervnculo"/>
            <w:rFonts w:ascii="Verdana" w:hAnsi="Verdana"/>
          </w:rPr>
          <w:t>castellanosfernanda404@gmail.com</w:t>
        </w:r>
      </w:hyperlink>
    </w:p>
    <w:p w14:paraId="3794F7F8" w14:textId="467E9AB0" w:rsidR="00662485" w:rsidRPr="001B421A" w:rsidRDefault="00662485" w:rsidP="00662485">
      <w:pPr>
        <w:spacing w:after="0" w:line="240" w:lineRule="auto"/>
        <w:jc w:val="both"/>
        <w:rPr>
          <w:rFonts w:ascii="Verdana" w:eastAsia="Calibri" w:hAnsi="Verdana" w:cs="Arial"/>
          <w:bCs/>
          <w:lang w:eastAsia="es-ES_tradnl"/>
        </w:rPr>
      </w:pPr>
      <w:r w:rsidRPr="001B421A">
        <w:rPr>
          <w:rFonts w:ascii="Verdana" w:eastAsia="Calibri" w:hAnsi="Verdana" w:cs="Arial"/>
          <w:bCs/>
          <w:lang w:eastAsia="es-ES_tradnl"/>
        </w:rPr>
        <w:t xml:space="preserve">Ciudad </w:t>
      </w:r>
    </w:p>
    <w:p w14:paraId="68F9BCE8" w14:textId="77777777" w:rsidR="00662485" w:rsidRPr="005B4C57" w:rsidRDefault="00662485" w:rsidP="00662485">
      <w:pPr>
        <w:spacing w:after="0" w:line="240" w:lineRule="auto"/>
        <w:jc w:val="both"/>
        <w:rPr>
          <w:rFonts w:ascii="Verdana" w:eastAsia="Calibri" w:hAnsi="Verdana" w:cs="Arial"/>
          <w:b/>
          <w:bCs/>
          <w:color w:val="000000"/>
          <w:lang w:val="it-CH"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662485" w:rsidRPr="002842E0" w14:paraId="5A74A1DB" w14:textId="77777777" w:rsidTr="0023368A">
        <w:trPr>
          <w:trHeight w:val="162"/>
        </w:trPr>
        <w:tc>
          <w:tcPr>
            <w:tcW w:w="3119" w:type="dxa"/>
          </w:tcPr>
          <w:p w14:paraId="4FD10BFD" w14:textId="77777777" w:rsidR="00662485" w:rsidRPr="005B4C57" w:rsidRDefault="00662485" w:rsidP="0023368A">
            <w:pPr>
              <w:jc w:val="both"/>
              <w:rPr>
                <w:rFonts w:ascii="Verdana" w:eastAsia="Calibri" w:hAnsi="Verdana" w:cs="Arial"/>
                <w:b/>
                <w:bCs/>
                <w:color w:val="7030A0"/>
                <w:lang w:val="it-CH" w:eastAsia="es-ES_tradnl"/>
              </w:rPr>
            </w:pPr>
          </w:p>
        </w:tc>
        <w:tc>
          <w:tcPr>
            <w:tcW w:w="5670" w:type="dxa"/>
          </w:tcPr>
          <w:p w14:paraId="21C5BE7B" w14:textId="5ECBF016" w:rsidR="00662485" w:rsidRPr="00801462" w:rsidRDefault="00662485" w:rsidP="0023368A">
            <w:pPr>
              <w:jc w:val="both"/>
              <w:rPr>
                <w:rFonts w:ascii="Verdana" w:eastAsia="Calibri" w:hAnsi="Verdana" w:cs="Arial"/>
                <w:b/>
                <w:bCs/>
                <w:lang w:eastAsia="es-ES"/>
              </w:rPr>
            </w:pPr>
            <w:r w:rsidRPr="00801462">
              <w:rPr>
                <w:rFonts w:ascii="Verdana" w:eastAsia="Calibri" w:hAnsi="Verdana" w:cs="Arial"/>
                <w:b/>
                <w:bCs/>
                <w:lang w:eastAsia="es-ES"/>
              </w:rPr>
              <w:t xml:space="preserve">Concepto </w:t>
            </w:r>
            <w:r w:rsidR="001B421A" w:rsidRPr="001B421A">
              <w:rPr>
                <w:rFonts w:ascii="Verdana" w:eastAsia="Calibri" w:hAnsi="Verdana" w:cs="Arial"/>
                <w:b/>
                <w:bCs/>
                <w:lang w:eastAsia="es-ES"/>
              </w:rPr>
              <w:t>C-879</w:t>
            </w:r>
            <w:r w:rsidR="001B421A">
              <w:rPr>
                <w:rFonts w:ascii="Verdana" w:eastAsia="Calibri" w:hAnsi="Verdana" w:cs="Arial"/>
                <w:b/>
                <w:bCs/>
                <w:lang w:eastAsia="es-ES"/>
              </w:rPr>
              <w:t xml:space="preserve"> </w:t>
            </w:r>
            <w:r w:rsidRPr="00801462">
              <w:rPr>
                <w:rFonts w:ascii="Verdana" w:eastAsia="Calibri" w:hAnsi="Verdana" w:cs="Arial"/>
                <w:b/>
                <w:bCs/>
                <w:lang w:eastAsia="es-ES"/>
              </w:rPr>
              <w:t>de 202</w:t>
            </w:r>
            <w:r w:rsidR="001B421A">
              <w:rPr>
                <w:rFonts w:ascii="Verdana" w:eastAsia="Calibri" w:hAnsi="Verdana" w:cs="Arial"/>
                <w:b/>
                <w:bCs/>
                <w:lang w:eastAsia="es-ES"/>
              </w:rPr>
              <w:t>6</w:t>
            </w:r>
          </w:p>
          <w:p w14:paraId="3A2938CB" w14:textId="77777777" w:rsidR="00662485" w:rsidRPr="00801462" w:rsidRDefault="00662485" w:rsidP="0023368A">
            <w:pPr>
              <w:jc w:val="both"/>
              <w:rPr>
                <w:rFonts w:ascii="Verdana" w:eastAsia="Calibri" w:hAnsi="Verdana" w:cs="Arial"/>
                <w:b/>
                <w:bCs/>
                <w:color w:val="7030A0"/>
                <w:lang w:eastAsia="es-ES"/>
              </w:rPr>
            </w:pPr>
          </w:p>
        </w:tc>
      </w:tr>
      <w:tr w:rsidR="00662485" w:rsidRPr="002842E0" w14:paraId="6C804431" w14:textId="77777777" w:rsidTr="0023368A">
        <w:trPr>
          <w:trHeight w:val="884"/>
        </w:trPr>
        <w:tc>
          <w:tcPr>
            <w:tcW w:w="3119" w:type="dxa"/>
          </w:tcPr>
          <w:p w14:paraId="47722DCB" w14:textId="77777777" w:rsidR="00662485" w:rsidRPr="00801462" w:rsidRDefault="00662485" w:rsidP="0023368A">
            <w:pPr>
              <w:jc w:val="both"/>
              <w:rPr>
                <w:rFonts w:ascii="Verdana" w:eastAsia="Calibri" w:hAnsi="Verdana" w:cs="Arial"/>
                <w:color w:val="000000"/>
                <w:lang w:eastAsia="es-ES_tradnl"/>
              </w:rPr>
            </w:pPr>
            <w:r w:rsidRPr="00801462">
              <w:rPr>
                <w:rFonts w:ascii="Verdana" w:eastAsia="Calibri" w:hAnsi="Verdana" w:cs="Arial"/>
                <w:b/>
                <w:color w:val="000000"/>
                <w:lang w:eastAsia="es-ES_tradnl"/>
              </w:rPr>
              <w:t>Temas:</w:t>
            </w:r>
            <w:r w:rsidRPr="00801462">
              <w:rPr>
                <w:rFonts w:ascii="Verdana" w:eastAsia="Calibri" w:hAnsi="Verdana" w:cs="Arial"/>
                <w:color w:val="000000"/>
                <w:lang w:eastAsia="es-ES_tradnl"/>
              </w:rPr>
              <w:t xml:space="preserve">                   </w:t>
            </w:r>
          </w:p>
        </w:tc>
        <w:tc>
          <w:tcPr>
            <w:tcW w:w="5670" w:type="dxa"/>
          </w:tcPr>
          <w:p w14:paraId="0253996B" w14:textId="466CEFE9" w:rsidR="00662485" w:rsidRPr="0060163E" w:rsidRDefault="00662485" w:rsidP="0023368A">
            <w:pPr>
              <w:jc w:val="both"/>
              <w:rPr>
                <w:rFonts w:ascii="Verdana" w:hAnsi="Verdana" w:cs="Arial"/>
                <w:lang w:val="es-ES_tradnl"/>
              </w:rPr>
            </w:pPr>
            <w:r w:rsidRPr="0060163E">
              <w:rPr>
                <w:rFonts w:ascii="Verdana" w:hAnsi="Verdana" w:cs="Arial"/>
                <w:lang w:val="es-MX"/>
              </w:rPr>
              <w:t xml:space="preserve">INHABILIDADES ─ Definición ─ Finalidad ─ Limitación capacidad contractual </w:t>
            </w:r>
            <w:r w:rsidRPr="0060163E">
              <w:rPr>
                <w:rFonts w:ascii="Verdana" w:hAnsi="Verdana" w:cs="Arial"/>
                <w:lang w:val="es-ES_tradnl"/>
              </w:rPr>
              <w:t>/ INHABILIDADES – Taxatividad – Principio de legalidad – Interpretación restrictiva</w:t>
            </w:r>
            <w:r w:rsidRPr="0060163E" w:rsidDel="00A75E55">
              <w:rPr>
                <w:rFonts w:ascii="Verdana" w:hAnsi="Verdana" w:cs="Arial"/>
                <w:lang w:val="es-ES_tradnl"/>
              </w:rPr>
              <w:t xml:space="preserve"> </w:t>
            </w:r>
            <w:r w:rsidRPr="0060163E">
              <w:rPr>
                <w:rFonts w:ascii="Verdana" w:hAnsi="Verdana" w:cs="Arial"/>
                <w:lang w:val="es-ES_tradnl"/>
              </w:rPr>
              <w:t>/ INHABILIDADES E INCOMPATIBILIDADES – Ley 80 de 1993</w:t>
            </w:r>
            <w:r w:rsidR="001B421A">
              <w:rPr>
                <w:rFonts w:ascii="Verdana" w:hAnsi="Verdana" w:cs="Arial"/>
                <w:lang w:val="es-ES_tradnl"/>
              </w:rPr>
              <w:t xml:space="preserve"> /</w:t>
            </w:r>
            <w:r w:rsidRPr="0060163E">
              <w:rPr>
                <w:rFonts w:ascii="Verdana" w:hAnsi="Verdana" w:cs="Arial"/>
                <w:lang w:val="es-ES_tradnl"/>
              </w:rPr>
              <w:t xml:space="preserve"> </w:t>
            </w:r>
            <w:r>
              <w:rPr>
                <w:rFonts w:ascii="Verdana" w:hAnsi="Verdana" w:cs="Arial"/>
                <w:lang w:val="es-ES_tradnl"/>
              </w:rPr>
              <w:t>PR</w:t>
            </w:r>
            <w:r w:rsidR="001F2580">
              <w:rPr>
                <w:rFonts w:ascii="Verdana" w:hAnsi="Verdana" w:cs="Arial"/>
                <w:lang w:val="es-ES_tradnl"/>
              </w:rPr>
              <w:t>O</w:t>
            </w:r>
            <w:r>
              <w:rPr>
                <w:rFonts w:ascii="Verdana" w:hAnsi="Verdana" w:cs="Arial"/>
                <w:lang w:val="es-ES_tradnl"/>
              </w:rPr>
              <w:t xml:space="preserve">HIBICIONES </w:t>
            </w:r>
            <w:r w:rsidRPr="0060163E">
              <w:rPr>
                <w:rFonts w:ascii="Verdana" w:hAnsi="Verdana" w:cs="Arial"/>
                <w:lang w:val="es-ES_tradnl"/>
              </w:rPr>
              <w:t xml:space="preserve">Ley 617 de 2000 – Norma especial / LEY 617 DE 2000 – Contratación directa e indirecta – </w:t>
            </w:r>
            <w:r w:rsidR="00D47825">
              <w:rPr>
                <w:rFonts w:ascii="Verdana" w:hAnsi="Verdana" w:cs="Arial"/>
                <w:lang w:val="es-ES_tradnl"/>
              </w:rPr>
              <w:t>I</w:t>
            </w:r>
            <w:r w:rsidRPr="0060163E">
              <w:rPr>
                <w:rFonts w:ascii="Verdana" w:hAnsi="Verdana" w:cs="Arial"/>
                <w:lang w:val="es-ES_tradnl"/>
              </w:rPr>
              <w:t xml:space="preserve">nciso tercero del artículo 49 – Alcance </w:t>
            </w:r>
          </w:p>
          <w:p w14:paraId="5C315B16" w14:textId="77777777" w:rsidR="00662485" w:rsidRPr="004108F3" w:rsidRDefault="00662485" w:rsidP="0023368A">
            <w:pPr>
              <w:jc w:val="both"/>
              <w:rPr>
                <w:rFonts w:ascii="Verdana" w:eastAsia="Calibri" w:hAnsi="Verdana" w:cs="Arial"/>
                <w:b/>
                <w:lang w:val="es-ES_tradnl" w:eastAsia="es-ES"/>
              </w:rPr>
            </w:pPr>
          </w:p>
        </w:tc>
      </w:tr>
      <w:tr w:rsidR="00662485" w:rsidRPr="002842E0" w14:paraId="0816A182" w14:textId="77777777" w:rsidTr="0023368A">
        <w:tc>
          <w:tcPr>
            <w:tcW w:w="3119" w:type="dxa"/>
          </w:tcPr>
          <w:p w14:paraId="0FC4FD8C" w14:textId="77777777" w:rsidR="00662485" w:rsidRPr="00801462" w:rsidRDefault="00662485" w:rsidP="0023368A">
            <w:pPr>
              <w:jc w:val="both"/>
              <w:rPr>
                <w:rFonts w:ascii="Verdana" w:eastAsia="Calibri" w:hAnsi="Verdana" w:cs="Arial"/>
                <w:b/>
                <w:lang w:eastAsia="es-ES_tradnl"/>
              </w:rPr>
            </w:pPr>
            <w:r w:rsidRPr="00801462">
              <w:rPr>
                <w:rFonts w:ascii="Verdana" w:eastAsia="Calibri" w:hAnsi="Verdana" w:cs="Arial"/>
                <w:b/>
                <w:lang w:eastAsia="es-ES_tradnl"/>
              </w:rPr>
              <w:t>Radicación:</w:t>
            </w:r>
            <w:r w:rsidRPr="00801462">
              <w:rPr>
                <w:rFonts w:ascii="Verdana" w:eastAsia="Calibri" w:hAnsi="Verdana" w:cs="Arial"/>
                <w:lang w:eastAsia="es-ES_tradnl"/>
              </w:rPr>
              <w:t xml:space="preserve">               </w:t>
            </w:r>
          </w:p>
        </w:tc>
        <w:tc>
          <w:tcPr>
            <w:tcW w:w="5670" w:type="dxa"/>
          </w:tcPr>
          <w:p w14:paraId="133F8D26" w14:textId="402F50B2" w:rsidR="00662485" w:rsidRPr="00801462" w:rsidRDefault="00662485" w:rsidP="0023368A">
            <w:pPr>
              <w:jc w:val="both"/>
              <w:rPr>
                <w:rFonts w:ascii="Verdana" w:eastAsia="Calibri" w:hAnsi="Verdana" w:cs="Arial"/>
                <w:lang w:eastAsia="es-ES_tradnl"/>
              </w:rPr>
            </w:pPr>
            <w:r w:rsidRPr="00801462">
              <w:rPr>
                <w:rFonts w:ascii="Verdana" w:eastAsia="Calibri" w:hAnsi="Verdana" w:cs="Arial"/>
                <w:lang w:eastAsia="es-ES_tradnl"/>
              </w:rPr>
              <w:t xml:space="preserve">Respuesta a consulta con radicado </w:t>
            </w:r>
            <w:r w:rsidR="001B421A" w:rsidRPr="001B421A">
              <w:rPr>
                <w:rFonts w:ascii="Verdana" w:eastAsia="Calibri" w:hAnsi="Verdana" w:cs="Arial"/>
                <w:lang w:eastAsia="es-ES_tradnl"/>
              </w:rPr>
              <w:t>1_2026_05_26_007077</w:t>
            </w:r>
          </w:p>
        </w:tc>
      </w:tr>
    </w:tbl>
    <w:p w14:paraId="673E9C44" w14:textId="77777777" w:rsidR="00662485" w:rsidRDefault="00662485" w:rsidP="00662485">
      <w:pPr>
        <w:spacing w:after="0" w:line="276" w:lineRule="auto"/>
        <w:jc w:val="both"/>
        <w:rPr>
          <w:rFonts w:ascii="Verdana" w:eastAsia="Calibri" w:hAnsi="Verdana" w:cs="Arial"/>
          <w:lang w:eastAsia="es-ES_tradnl"/>
        </w:rPr>
      </w:pPr>
    </w:p>
    <w:p w14:paraId="67FDC4B4" w14:textId="7F95C512" w:rsidR="00662485" w:rsidRPr="008E4F36" w:rsidRDefault="00662485" w:rsidP="00662485">
      <w:pPr>
        <w:spacing w:after="0" w:line="276" w:lineRule="auto"/>
        <w:jc w:val="both"/>
        <w:rPr>
          <w:rFonts w:ascii="Verdana" w:eastAsia="Calibri" w:hAnsi="Verdana" w:cs="Arial"/>
          <w:lang w:eastAsia="es-ES"/>
        </w:rPr>
      </w:pPr>
      <w:r w:rsidRPr="008E4F36">
        <w:rPr>
          <w:rFonts w:ascii="Verdana" w:eastAsia="Calibri" w:hAnsi="Verdana" w:cs="Arial"/>
          <w:lang w:eastAsia="es-ES"/>
        </w:rPr>
        <w:t>Estimad</w:t>
      </w:r>
      <w:r>
        <w:rPr>
          <w:rFonts w:ascii="Verdana" w:eastAsia="Calibri" w:hAnsi="Verdana" w:cs="Arial"/>
          <w:lang w:eastAsia="es-ES"/>
        </w:rPr>
        <w:t>a señora Fernanda</w:t>
      </w:r>
      <w:r w:rsidR="001B421A">
        <w:rPr>
          <w:rFonts w:ascii="Verdana" w:eastAsia="Calibri" w:hAnsi="Verdana" w:cs="Arial"/>
          <w:lang w:eastAsia="es-ES"/>
        </w:rPr>
        <w:t xml:space="preserve"> Castellanos</w:t>
      </w:r>
      <w:r>
        <w:rPr>
          <w:rFonts w:ascii="Verdana" w:eastAsia="Calibri" w:hAnsi="Verdana" w:cs="Arial"/>
          <w:lang w:eastAsia="es-ES"/>
        </w:rPr>
        <w:t>:</w:t>
      </w:r>
      <w:r w:rsidRPr="008E4F36">
        <w:rPr>
          <w:rFonts w:ascii="Verdana" w:eastAsia="Calibri" w:hAnsi="Verdana" w:cs="Arial"/>
          <w:lang w:eastAsia="es-ES"/>
        </w:rPr>
        <w:t xml:space="preserve"> </w:t>
      </w:r>
    </w:p>
    <w:p w14:paraId="0D700BBB" w14:textId="77777777" w:rsidR="00662485" w:rsidRDefault="00662485" w:rsidP="00662485">
      <w:pPr>
        <w:tabs>
          <w:tab w:val="left" w:pos="3768"/>
        </w:tabs>
        <w:spacing w:after="0" w:line="240" w:lineRule="auto"/>
        <w:jc w:val="both"/>
        <w:rPr>
          <w:rFonts w:ascii="Verdana" w:eastAsia="Calibri" w:hAnsi="Verdana" w:cs="Arial"/>
          <w:lang w:eastAsia="es-ES"/>
        </w:rPr>
      </w:pPr>
    </w:p>
    <w:p w14:paraId="1E7EAC59" w14:textId="18C5DC3A" w:rsidR="00662485" w:rsidRPr="00DE0B78" w:rsidRDefault="00662485" w:rsidP="00662485">
      <w:pPr>
        <w:tabs>
          <w:tab w:val="left" w:pos="3768"/>
        </w:tabs>
        <w:spacing w:after="0" w:line="276" w:lineRule="auto"/>
        <w:jc w:val="both"/>
        <w:rPr>
          <w:rFonts w:ascii="Verdana" w:eastAsia="Calibri" w:hAnsi="Verdana" w:cs="Arial"/>
          <w:lang w:eastAsia="es-ES"/>
        </w:rPr>
      </w:pPr>
      <w:r w:rsidRPr="00DE0B78">
        <w:rPr>
          <w:rFonts w:ascii="Verdana" w:eastAsia="Calibri" w:hAnsi="Verdana" w:cs="Arial"/>
          <w:lang w:eastAsia="es-ES"/>
        </w:rPr>
        <w:t>En ejercicio de la competencia otorgada por los artículos 3, numeral 5º, y 11, numeral 8º, del Decreto Ley 4170 de 2011,</w:t>
      </w:r>
      <w:r w:rsidRPr="00DE0B78">
        <w:rPr>
          <w:rFonts w:ascii="Verdana" w:eastAsia="Arial MT" w:hAnsi="Verdana" w:cs="Arial MT"/>
          <w:lang w:eastAsia="es-ES"/>
        </w:rPr>
        <w:t xml:space="preserve"> </w:t>
      </w:r>
      <w:r w:rsidRPr="00DE0B78">
        <w:rPr>
          <w:rFonts w:ascii="Verdana" w:hAnsi="Verdana" w:cs="Arial"/>
        </w:rPr>
        <w:t xml:space="preserve">así como lo establecido en el artículo 4 de la Resolución 1707 de 2018 expedida por esta Entidad, </w:t>
      </w:r>
      <w:r w:rsidRPr="00DE0B78">
        <w:rPr>
          <w:rFonts w:ascii="Verdana" w:eastAsia="Calibri" w:hAnsi="Verdana" w:cs="Arial"/>
          <w:lang w:eastAsia="es-ES"/>
        </w:rPr>
        <w:t>la Agencia Nacional de Contratació</w:t>
      </w:r>
      <w:r>
        <w:rPr>
          <w:rFonts w:ascii="Verdana" w:eastAsia="Calibri" w:hAnsi="Verdana" w:cs="Arial"/>
          <w:lang w:eastAsia="es-ES"/>
        </w:rPr>
        <w:t>n</w:t>
      </w:r>
      <w:r w:rsidRPr="00DE0B78">
        <w:rPr>
          <w:rFonts w:ascii="Verdana" w:eastAsia="Calibri" w:hAnsi="Verdana" w:cs="Arial"/>
          <w:lang w:eastAsia="es-ES"/>
        </w:rPr>
        <w:t xml:space="preserve"> Pública – Colombia Compra Eficiente– responde su solicitud de consulta de fecha </w:t>
      </w:r>
      <w:r w:rsidR="001B421A">
        <w:rPr>
          <w:rFonts w:ascii="Verdana" w:eastAsia="Calibri" w:hAnsi="Verdana" w:cs="Arial"/>
          <w:lang w:eastAsia="es-ES"/>
        </w:rPr>
        <w:t>26</w:t>
      </w:r>
      <w:r>
        <w:rPr>
          <w:rFonts w:ascii="Verdana" w:eastAsia="Calibri" w:hAnsi="Verdana" w:cs="Arial"/>
          <w:lang w:eastAsia="es-ES"/>
        </w:rPr>
        <w:t xml:space="preserve"> de </w:t>
      </w:r>
      <w:r w:rsidR="001B421A">
        <w:rPr>
          <w:rFonts w:ascii="Verdana" w:eastAsia="Calibri" w:hAnsi="Verdana" w:cs="Arial"/>
          <w:lang w:eastAsia="es-ES"/>
        </w:rPr>
        <w:t>mayo</w:t>
      </w:r>
      <w:r w:rsidRPr="00DE0B78">
        <w:rPr>
          <w:rFonts w:ascii="Verdana" w:eastAsia="Calibri" w:hAnsi="Verdana" w:cs="Arial"/>
          <w:lang w:eastAsia="es-ES"/>
        </w:rPr>
        <w:t xml:space="preserve"> de 202</w:t>
      </w:r>
      <w:r w:rsidR="001B421A">
        <w:rPr>
          <w:rFonts w:ascii="Verdana" w:eastAsia="Calibri" w:hAnsi="Verdana" w:cs="Arial"/>
          <w:lang w:eastAsia="es-ES"/>
        </w:rPr>
        <w:t>6</w:t>
      </w:r>
      <w:r w:rsidRPr="00DE0B78">
        <w:rPr>
          <w:rFonts w:ascii="Verdana" w:eastAsia="Calibri" w:hAnsi="Verdana" w:cs="Arial"/>
          <w:lang w:eastAsia="es-ES"/>
        </w:rPr>
        <w:t xml:space="preserve">: </w:t>
      </w:r>
    </w:p>
    <w:p w14:paraId="7CA69AA2" w14:textId="77777777" w:rsidR="00662485" w:rsidRPr="00DE0B78" w:rsidRDefault="00662485" w:rsidP="00662485">
      <w:pPr>
        <w:pStyle w:val="Prrafodelista"/>
        <w:tabs>
          <w:tab w:val="left" w:pos="142"/>
          <w:tab w:val="left" w:pos="284"/>
        </w:tabs>
        <w:spacing w:after="0" w:line="276" w:lineRule="auto"/>
        <w:ind w:left="142"/>
        <w:contextualSpacing w:val="0"/>
        <w:jc w:val="both"/>
        <w:rPr>
          <w:rFonts w:ascii="Verdana" w:eastAsia="Century Gothic" w:hAnsi="Verdana" w:cs="Century Gothic"/>
          <w:b/>
          <w:bCs/>
          <w:i/>
          <w:iCs/>
          <w:sz w:val="20"/>
          <w:szCs w:val="20"/>
        </w:rPr>
      </w:pPr>
    </w:p>
    <w:p w14:paraId="65EF559F" w14:textId="30FB441C" w:rsidR="001B421A" w:rsidRPr="001B421A" w:rsidRDefault="00662485" w:rsidP="001B421A">
      <w:pPr>
        <w:spacing w:after="0" w:line="240" w:lineRule="auto"/>
        <w:ind w:left="709" w:right="709"/>
        <w:jc w:val="both"/>
        <w:rPr>
          <w:rFonts w:ascii="Verdana" w:eastAsia="Century Gothic" w:hAnsi="Verdana" w:cs="Century Gothic"/>
          <w:sz w:val="20"/>
          <w:szCs w:val="20"/>
        </w:rPr>
      </w:pPr>
      <w:bookmarkStart w:id="8" w:name="_Hlk192699624"/>
      <w:bookmarkStart w:id="9" w:name="_Hlk199394899"/>
      <w:r>
        <w:rPr>
          <w:rFonts w:ascii="Verdana" w:eastAsia="Century Gothic" w:hAnsi="Verdana" w:cs="Century Gothic"/>
          <w:sz w:val="20"/>
          <w:szCs w:val="20"/>
        </w:rPr>
        <w:t>“</w:t>
      </w:r>
      <w:bookmarkEnd w:id="8"/>
      <w:bookmarkEnd w:id="9"/>
      <w:r w:rsidR="001B421A" w:rsidRPr="001B421A">
        <w:rPr>
          <w:rFonts w:ascii="Verdana" w:eastAsia="Century Gothic" w:hAnsi="Verdana" w:cs="Century Gothic"/>
          <w:sz w:val="20"/>
          <w:szCs w:val="20"/>
        </w:rPr>
        <w:t>¿Existe inhabilidad, incompatibilidad o conflicto de interés para que yo, cónyuge del alcalde municipal,</w:t>
      </w:r>
      <w:r w:rsidR="001B421A">
        <w:rPr>
          <w:rFonts w:ascii="Verdana" w:eastAsia="Century Gothic" w:hAnsi="Verdana" w:cs="Century Gothic"/>
          <w:sz w:val="20"/>
          <w:szCs w:val="20"/>
        </w:rPr>
        <w:t xml:space="preserve"> </w:t>
      </w:r>
      <w:r w:rsidR="001B421A" w:rsidRPr="001B421A">
        <w:rPr>
          <w:rFonts w:ascii="Verdana" w:eastAsia="Century Gothic" w:hAnsi="Verdana" w:cs="Century Gothic"/>
          <w:sz w:val="20"/>
          <w:szCs w:val="20"/>
        </w:rPr>
        <w:t>ejecute el contrato de prestación de servicios asistenciales de psicología suscrito con la ESE, teniendo</w:t>
      </w:r>
      <w:r w:rsidR="001B421A">
        <w:rPr>
          <w:rFonts w:ascii="Verdana" w:eastAsia="Century Gothic" w:hAnsi="Verdana" w:cs="Century Gothic"/>
          <w:sz w:val="20"/>
          <w:szCs w:val="20"/>
        </w:rPr>
        <w:t xml:space="preserve"> </w:t>
      </w:r>
      <w:r w:rsidR="001B421A" w:rsidRPr="001B421A">
        <w:rPr>
          <w:rFonts w:ascii="Verdana" w:eastAsia="Century Gothic" w:hAnsi="Verdana" w:cs="Century Gothic"/>
          <w:sz w:val="20"/>
          <w:szCs w:val="20"/>
        </w:rPr>
        <w:t>en cuenta que:</w:t>
      </w:r>
    </w:p>
    <w:p w14:paraId="29B4981E" w14:textId="77777777" w:rsidR="001B421A" w:rsidRPr="001B421A" w:rsidRDefault="001B421A" w:rsidP="001B421A">
      <w:pPr>
        <w:spacing w:after="0" w:line="240" w:lineRule="auto"/>
        <w:ind w:left="709" w:right="709"/>
        <w:jc w:val="both"/>
        <w:rPr>
          <w:rFonts w:ascii="Verdana" w:eastAsia="Century Gothic" w:hAnsi="Verdana" w:cs="Century Gothic"/>
          <w:sz w:val="20"/>
          <w:szCs w:val="20"/>
        </w:rPr>
      </w:pPr>
      <w:r w:rsidRPr="001B421A">
        <w:rPr>
          <w:rFonts w:ascii="Verdana" w:eastAsia="Century Gothic" w:hAnsi="Verdana" w:cs="Century Gothic"/>
          <w:sz w:val="20"/>
          <w:szCs w:val="20"/>
        </w:rPr>
        <w:t>a) No soy servidora pública,</w:t>
      </w:r>
    </w:p>
    <w:p w14:paraId="103C8B32" w14:textId="77777777" w:rsidR="001B421A" w:rsidRPr="001B421A" w:rsidRDefault="001B421A" w:rsidP="001B421A">
      <w:pPr>
        <w:spacing w:after="0" w:line="240" w:lineRule="auto"/>
        <w:ind w:left="709" w:right="709"/>
        <w:jc w:val="both"/>
        <w:rPr>
          <w:rFonts w:ascii="Verdana" w:eastAsia="Century Gothic" w:hAnsi="Verdana" w:cs="Century Gothic"/>
          <w:sz w:val="20"/>
          <w:szCs w:val="20"/>
        </w:rPr>
      </w:pPr>
      <w:r w:rsidRPr="001B421A">
        <w:rPr>
          <w:rFonts w:ascii="Verdana" w:eastAsia="Century Gothic" w:hAnsi="Verdana" w:cs="Century Gothic"/>
          <w:sz w:val="20"/>
          <w:szCs w:val="20"/>
        </w:rPr>
        <w:t>b) La ordenadora del gasto es la gerente de la ESE, y</w:t>
      </w:r>
    </w:p>
    <w:p w14:paraId="1E8743EC" w14:textId="46E3C3F7" w:rsidR="00662485" w:rsidRDefault="001B421A" w:rsidP="001B421A">
      <w:pPr>
        <w:spacing w:after="0" w:line="240" w:lineRule="auto"/>
        <w:ind w:left="709" w:right="709"/>
        <w:jc w:val="both"/>
        <w:rPr>
          <w:rFonts w:ascii="Verdana" w:hAnsi="Verdana"/>
          <w:sz w:val="20"/>
          <w:szCs w:val="20"/>
        </w:rPr>
      </w:pPr>
      <w:r w:rsidRPr="001B421A">
        <w:rPr>
          <w:rFonts w:ascii="Verdana" w:eastAsia="Century Gothic" w:hAnsi="Verdana" w:cs="Century Gothic"/>
          <w:sz w:val="20"/>
          <w:szCs w:val="20"/>
        </w:rPr>
        <w:t>c) El objeto contractual corresponde a servicios asistenciales de salud; PRESTACION DE SERVICIOS</w:t>
      </w:r>
      <w:r>
        <w:rPr>
          <w:rFonts w:ascii="Verdana" w:eastAsia="Century Gothic" w:hAnsi="Verdana" w:cs="Century Gothic"/>
          <w:sz w:val="20"/>
          <w:szCs w:val="20"/>
        </w:rPr>
        <w:t xml:space="preserve"> </w:t>
      </w:r>
      <w:r w:rsidRPr="001B421A">
        <w:rPr>
          <w:rFonts w:ascii="Verdana" w:eastAsia="Century Gothic" w:hAnsi="Verdana" w:cs="Century Gothic"/>
          <w:sz w:val="20"/>
          <w:szCs w:val="20"/>
        </w:rPr>
        <w:t>PROFESIONALES COMO PSICOLOGA PARA LOS EQUIPOS BASICOS EN SALUD DE ACUERDO A LOS</w:t>
      </w:r>
      <w:r>
        <w:rPr>
          <w:rFonts w:ascii="Verdana" w:eastAsia="Century Gothic" w:hAnsi="Verdana" w:cs="Century Gothic"/>
          <w:sz w:val="20"/>
          <w:szCs w:val="20"/>
        </w:rPr>
        <w:t xml:space="preserve"> </w:t>
      </w:r>
      <w:r w:rsidRPr="001B421A">
        <w:rPr>
          <w:rFonts w:ascii="Verdana" w:eastAsia="Century Gothic" w:hAnsi="Verdana" w:cs="Century Gothic"/>
          <w:sz w:val="20"/>
          <w:szCs w:val="20"/>
        </w:rPr>
        <w:t>LINEAMIENTOS ESTABLECIDOS POR EL MINISTERIO DE SALUD Y PROTECCION SOCIAL, PARA LA</w:t>
      </w:r>
      <w:r>
        <w:rPr>
          <w:rFonts w:ascii="Verdana" w:eastAsia="Century Gothic" w:hAnsi="Verdana" w:cs="Century Gothic"/>
          <w:sz w:val="20"/>
          <w:szCs w:val="20"/>
        </w:rPr>
        <w:t xml:space="preserve"> </w:t>
      </w:r>
      <w:r w:rsidRPr="001B421A">
        <w:rPr>
          <w:rFonts w:ascii="Verdana" w:eastAsia="Century Gothic" w:hAnsi="Verdana" w:cs="Century Gothic"/>
          <w:sz w:val="20"/>
          <w:szCs w:val="20"/>
        </w:rPr>
        <w:t>E.S.E CENTRO DE SALUD SANTA ISABEL DEL MUNICIPIO DE BUENAVISTA</w:t>
      </w:r>
      <w:r w:rsidR="00662485" w:rsidRPr="008A3F6C">
        <w:rPr>
          <w:rFonts w:ascii="Verdana" w:hAnsi="Verdana"/>
          <w:sz w:val="20"/>
          <w:szCs w:val="20"/>
        </w:rPr>
        <w:t>.</w:t>
      </w:r>
      <w:r>
        <w:rPr>
          <w:rFonts w:ascii="Verdana" w:hAnsi="Verdana"/>
          <w:sz w:val="20"/>
          <w:szCs w:val="20"/>
        </w:rPr>
        <w:t>”</w:t>
      </w:r>
    </w:p>
    <w:p w14:paraId="46456D01" w14:textId="77777777" w:rsidR="00662485" w:rsidRPr="005675E1" w:rsidRDefault="00662485" w:rsidP="00662485">
      <w:pPr>
        <w:spacing w:after="0" w:line="240" w:lineRule="auto"/>
        <w:ind w:left="709" w:right="709"/>
        <w:jc w:val="both"/>
        <w:rPr>
          <w:rFonts w:ascii="Verdana" w:hAnsi="Verdana"/>
          <w:sz w:val="20"/>
          <w:szCs w:val="20"/>
        </w:rPr>
      </w:pPr>
    </w:p>
    <w:p w14:paraId="7073A902" w14:textId="77777777" w:rsidR="00662485" w:rsidRDefault="00662485" w:rsidP="00662485">
      <w:pPr>
        <w:spacing w:after="120"/>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lastRenderedPageBreak/>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2027B647" w14:textId="77777777" w:rsidR="00662485" w:rsidRPr="00174E21" w:rsidRDefault="00662485" w:rsidP="00662485">
      <w:pPr>
        <w:spacing w:after="120"/>
        <w:ind w:firstLine="709"/>
        <w:jc w:val="both"/>
        <w:rPr>
          <w:rFonts w:ascii="Verdana" w:eastAsia="Calibri" w:hAnsi="Verdana" w:cs="Arial"/>
          <w:color w:val="000000"/>
          <w:lang w:eastAsia="es-ES"/>
        </w:rPr>
      </w:pPr>
      <w:r w:rsidRPr="008E4F36">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w:t>
      </w:r>
      <w:r>
        <w:rPr>
          <w:rFonts w:ascii="Verdana" w:eastAsia="Calibri" w:hAnsi="Verdana" w:cs="Arial"/>
          <w:color w:val="000000"/>
          <w:lang w:eastAsia="es-ES"/>
        </w:rPr>
        <w:t>con el problema jurídico de su consulta.</w:t>
      </w:r>
      <w:r w:rsidRPr="00174E21">
        <w:rPr>
          <w:rFonts w:ascii="Verdana" w:eastAsia="Calibri" w:hAnsi="Verdana" w:cs="Arial"/>
          <w:color w:val="000000"/>
          <w:lang w:eastAsia="es-ES"/>
        </w:rPr>
        <w:t xml:space="preserve">  </w:t>
      </w:r>
    </w:p>
    <w:p w14:paraId="2E8881B5" w14:textId="77777777" w:rsidR="00662485" w:rsidRPr="00174E21" w:rsidRDefault="00662485" w:rsidP="00662485">
      <w:pPr>
        <w:spacing w:after="0" w:line="240" w:lineRule="auto"/>
        <w:ind w:firstLine="709"/>
        <w:jc w:val="both"/>
        <w:rPr>
          <w:rFonts w:ascii="Verdana" w:eastAsia="Calibri" w:hAnsi="Verdana" w:cs="Arial"/>
          <w:color w:val="000000"/>
          <w:szCs w:val="24"/>
          <w:lang w:eastAsia="es-ES_tradnl"/>
        </w:rPr>
      </w:pPr>
    </w:p>
    <w:p w14:paraId="45E4D445" w14:textId="77777777" w:rsidR="00662485" w:rsidRPr="00174E21" w:rsidRDefault="00662485" w:rsidP="00662485">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174E21">
        <w:rPr>
          <w:rFonts w:ascii="Verdana" w:eastAsia="Century Gothic" w:hAnsi="Verdana" w:cs="Century Gothic"/>
          <w:b/>
          <w:bCs/>
        </w:rPr>
        <w:t>Problema planteado:</w:t>
      </w:r>
    </w:p>
    <w:p w14:paraId="76B03AE6" w14:textId="77777777" w:rsidR="00662485" w:rsidRPr="00174E21" w:rsidRDefault="00662485" w:rsidP="00662485">
      <w:pPr>
        <w:spacing w:after="0" w:line="240" w:lineRule="auto"/>
        <w:jc w:val="both"/>
        <w:rPr>
          <w:rFonts w:ascii="Verdana" w:eastAsia="Calibri" w:hAnsi="Verdana" w:cs="Arial"/>
          <w:color w:val="000000"/>
          <w:lang w:eastAsia="es-ES"/>
        </w:rPr>
      </w:pPr>
    </w:p>
    <w:p w14:paraId="61D06F9B" w14:textId="2FE936E0" w:rsidR="00662485" w:rsidRPr="00E236F0" w:rsidRDefault="00662485" w:rsidP="00662485">
      <w:pPr>
        <w:spacing w:after="120"/>
        <w:jc w:val="both"/>
        <w:rPr>
          <w:rFonts w:ascii="Verdana" w:eastAsia="Calibri" w:hAnsi="Verdana" w:cs="Arial"/>
          <w:color w:val="000000"/>
          <w:lang w:eastAsia="es-ES"/>
        </w:rPr>
      </w:pPr>
      <w:r w:rsidRPr="6894EB3A">
        <w:rPr>
          <w:rFonts w:ascii="Verdana" w:eastAsia="Calibri" w:hAnsi="Verdana" w:cs="Arial"/>
          <w:color w:val="000000" w:themeColor="text1"/>
          <w:lang w:eastAsia="es-ES"/>
        </w:rPr>
        <w:t>De acuerdo con el contenido de su solicitud, esta Agencia resolverá el siguiente problema jurídico</w:t>
      </w:r>
      <w:r w:rsidR="00CA279C">
        <w:rPr>
          <w:rFonts w:ascii="Verdana" w:eastAsia="Calibri" w:hAnsi="Verdana" w:cs="Arial"/>
          <w:color w:val="000000" w:themeColor="text1"/>
          <w:lang w:eastAsia="es-ES"/>
        </w:rPr>
        <w:t xml:space="preserve">: </w:t>
      </w:r>
      <w:r w:rsidRPr="6894EB3A">
        <w:rPr>
          <w:rFonts w:ascii="Verdana" w:eastAsia="Calibri" w:hAnsi="Verdana" w:cs="Arial"/>
          <w:color w:val="000000" w:themeColor="text1"/>
          <w:lang w:eastAsia="es-ES"/>
        </w:rPr>
        <w:t xml:space="preserve"> </w:t>
      </w:r>
      <w:r w:rsidR="00CA279C" w:rsidRPr="00CA279C">
        <w:rPr>
          <w:rFonts w:ascii="Verdana" w:eastAsia="Calibri" w:hAnsi="Verdana" w:cs="Arial"/>
          <w:color w:val="000000" w:themeColor="text1"/>
          <w:lang w:eastAsia="es-ES"/>
        </w:rPr>
        <w:t>¿Existe inhabilidad, incompatibilidad o prohibición legal para que el cónyuge o compañero permanente de un alcalde municipal celebre o ejecute un contrato de prestación de servicios profesionales con una Empresa Social del Estado (ESE) del orden municipal, cuando el ordenador del gasto es el gerente de la ESE y no el alcalde, y el objeto contractual corresponde a servicios asistenciales de salud?</w:t>
      </w:r>
    </w:p>
    <w:p w14:paraId="14567670" w14:textId="77777777" w:rsidR="00662485" w:rsidRDefault="00662485" w:rsidP="00662485">
      <w:pPr>
        <w:spacing w:after="0" w:line="276" w:lineRule="auto"/>
        <w:jc w:val="both"/>
        <w:rPr>
          <w:rFonts w:ascii="Verdana" w:eastAsia="Century Gothic" w:hAnsi="Verdana" w:cs="Century Gothic"/>
          <w:b/>
          <w:bCs/>
        </w:rPr>
      </w:pPr>
      <w:r w:rsidRPr="008E4F36">
        <w:rPr>
          <w:rFonts w:ascii="Verdana" w:eastAsia="Century Gothic" w:hAnsi="Verdana" w:cs="Century Gothic"/>
          <w:b/>
          <w:bCs/>
        </w:rPr>
        <w:t>2. Respuesta:</w:t>
      </w:r>
    </w:p>
    <w:p w14:paraId="540A5418" w14:textId="77777777" w:rsidR="00662485" w:rsidRPr="008E4F36" w:rsidRDefault="00662485" w:rsidP="00662485">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662485" w:rsidRPr="008E4F36" w14:paraId="3DD63337" w14:textId="77777777" w:rsidTr="6894EB3A">
        <w:tc>
          <w:tcPr>
            <w:tcW w:w="8828" w:type="dxa"/>
          </w:tcPr>
          <w:p w14:paraId="2B48F968" w14:textId="3EADE197" w:rsidR="00662485" w:rsidRDefault="00662485" w:rsidP="006F53CC">
            <w:pPr>
              <w:pStyle w:val="Textoindependiente"/>
              <w:numPr>
                <w:ilvl w:val="0"/>
                <w:numId w:val="18"/>
              </w:numPr>
              <w:spacing w:after="120" w:line="276" w:lineRule="auto"/>
              <w:ind w:left="0" w:firstLine="438"/>
              <w:jc w:val="both"/>
              <w:rPr>
                <w:rFonts w:ascii="Verdana" w:hAnsi="Verdana"/>
              </w:rPr>
            </w:pPr>
            <w:r w:rsidRPr="00A25C67">
              <w:rPr>
                <w:rFonts w:ascii="Verdana" w:hAnsi="Verdana"/>
              </w:rPr>
              <w:t>En relación con la inhabilidad para contratar por parentesco, la Ley 80 de 1993 en su artículo 8, establece en el literal b) del numeral 2°, que no podrán participar en procedimientos de selección ni celebrar contratos estatales con la entidad respectiva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w:t>
            </w:r>
          </w:p>
          <w:p w14:paraId="2994D8B5" w14:textId="77777777" w:rsidR="00662485" w:rsidRPr="00A25C67" w:rsidRDefault="00662485" w:rsidP="0023368A">
            <w:pPr>
              <w:pStyle w:val="Textoindependiente"/>
              <w:spacing w:after="120" w:line="276" w:lineRule="auto"/>
              <w:ind w:firstLine="708"/>
              <w:jc w:val="both"/>
              <w:rPr>
                <w:rFonts w:ascii="Verdana" w:hAnsi="Verdana"/>
              </w:rPr>
            </w:pPr>
            <w:r w:rsidRPr="00A25C67">
              <w:rPr>
                <w:rFonts w:ascii="Verdana" w:hAnsi="Verdana"/>
                <w:lang w:val="es-ES_tradnl"/>
              </w:rPr>
              <w:lastRenderedPageBreak/>
              <w:t xml:space="preserve">Esta inhabilidad es </w:t>
            </w:r>
            <w:r>
              <w:rPr>
                <w:rFonts w:ascii="Verdana" w:hAnsi="Verdana"/>
                <w:lang w:val="es-ES_tradnl"/>
              </w:rPr>
              <w:t xml:space="preserve">la </w:t>
            </w:r>
            <w:r w:rsidRPr="00A25C67">
              <w:rPr>
                <w:rFonts w:ascii="Verdana" w:hAnsi="Verdana"/>
                <w:i/>
                <w:iCs/>
                <w:lang w:val="es-ES_tradnl"/>
              </w:rPr>
              <w:t>regla general</w:t>
            </w:r>
            <w:r w:rsidRPr="00A25C67">
              <w:rPr>
                <w:rFonts w:ascii="Verdana" w:hAnsi="Verdana"/>
                <w:lang w:val="es-ES_tradnl"/>
              </w:rPr>
              <w:t xml:space="preserve"> tanto para las entidades sometidas al EGCAP como a las del régimen exceptuado. No obstante, considerando que –conforme al artículo 8, literal a) del numeral 1, de la Ley 80 de 1993– las personas que se hallen inhabilitadas para contratar por la Constitución y las leyes no pueden participar en procedimientos de selección ni celebrar contratos, el inciso tercero del artículo 49 de la Ley 617 de 2000 –modificado por las Leyes 821 de 2003, 1148 de 2007 y 1296 de 2009– introduce una </w:t>
            </w:r>
            <w:r w:rsidRPr="00A25C67">
              <w:rPr>
                <w:rFonts w:ascii="Verdana" w:hAnsi="Verdana"/>
                <w:i/>
                <w:iCs/>
                <w:lang w:val="es-ES_tradnl"/>
              </w:rPr>
              <w:t>regla especial</w:t>
            </w:r>
            <w:r w:rsidRPr="00A25C67">
              <w:rPr>
                <w:rFonts w:ascii="Verdana" w:hAnsi="Verdana"/>
                <w:lang w:val="es-ES_tradnl"/>
              </w:rPr>
              <w:t xml:space="preserve"> que restringe la contratación de las gobernaciones, asambleas, alcaldías y concejos:</w:t>
            </w:r>
          </w:p>
          <w:p w14:paraId="4E4A6DFF" w14:textId="7B7CB8D1" w:rsidR="00662485" w:rsidRPr="00A25C67" w:rsidRDefault="00662485" w:rsidP="6894EB3A">
            <w:pPr>
              <w:pStyle w:val="Textoindependiente"/>
              <w:spacing w:after="120" w:line="276" w:lineRule="auto"/>
              <w:ind w:firstLine="708"/>
              <w:jc w:val="both"/>
              <w:rPr>
                <w:rFonts w:ascii="Verdana" w:hAnsi="Verdana"/>
              </w:rPr>
            </w:pPr>
            <w:r w:rsidRPr="6894EB3A">
              <w:rPr>
                <w:rFonts w:ascii="Verdana" w:hAnsi="Verdana"/>
              </w:rPr>
              <w:t xml:space="preserve">“(…) </w:t>
            </w:r>
            <w:r w:rsidRPr="6894EB3A">
              <w:rPr>
                <w:rFonts w:ascii="Verdana" w:hAnsi="Verdana"/>
                <w:lang w:val="es-CO"/>
              </w:rPr>
              <w:t>Los cónyuges o </w:t>
            </w:r>
            <w:r w:rsidRPr="6894EB3A">
              <w:rPr>
                <w:rFonts w:ascii="Verdana" w:hAnsi="Verdana"/>
                <w:u w:val="single"/>
                <w:lang w:val="es-CO"/>
              </w:rPr>
              <w:t>compañeros permanentes</w:t>
            </w:r>
            <w:r w:rsidRPr="6894EB3A">
              <w:rPr>
                <w:rFonts w:ascii="Verdana" w:hAnsi="Verdana"/>
                <w:lang w:val="es-CO"/>
              </w:rPr>
              <w:t> de los gobernadores, diputados, alcaldes municipales y distritales, concejales municipales y distritales y sus parientes </w:t>
            </w:r>
            <w:r w:rsidRPr="6894EB3A">
              <w:rPr>
                <w:rFonts w:ascii="Verdana" w:hAnsi="Verdana"/>
                <w:i/>
                <w:iCs/>
                <w:lang w:val="es-CO"/>
              </w:rPr>
              <w:t>dentro del cuarto grado de consanguinidad,</w:t>
            </w:r>
            <w:r w:rsidRPr="6894EB3A">
              <w:rPr>
                <w:rFonts w:ascii="Verdana" w:hAnsi="Verdana"/>
                <w:lang w:val="es-CO"/>
              </w:rPr>
              <w:t> segundo de afinidad, o primero civil </w:t>
            </w:r>
            <w:r w:rsidRPr="6894EB3A">
              <w:rPr>
                <w:rFonts w:ascii="Verdana" w:hAnsi="Verdana"/>
                <w:i/>
                <w:iCs/>
                <w:lang w:val="es-CO"/>
              </w:rPr>
              <w:t>no podrán ser contratistas</w:t>
            </w:r>
            <w:r w:rsidRPr="6894EB3A">
              <w:rPr>
                <w:rFonts w:ascii="Verdana" w:hAnsi="Verdana"/>
                <w:lang w:val="es-CO"/>
              </w:rPr>
              <w:t> del respectivo departamento, distrito o municipio, o de sus entidades descentralizadas, ni directa, ni indirectamente (…)”.</w:t>
            </w:r>
          </w:p>
          <w:p w14:paraId="186AAC1A" w14:textId="77777777" w:rsidR="00662485" w:rsidRDefault="00662485" w:rsidP="0023368A">
            <w:pPr>
              <w:widowControl w:val="0"/>
              <w:autoSpaceDE w:val="0"/>
              <w:autoSpaceDN w:val="0"/>
              <w:spacing w:after="120" w:line="276" w:lineRule="auto"/>
              <w:ind w:firstLine="709"/>
              <w:jc w:val="both"/>
              <w:rPr>
                <w:rFonts w:ascii="Verdana" w:hAnsi="Verdana" w:cs="Open Sans"/>
              </w:rPr>
            </w:pPr>
            <w:r w:rsidRPr="6894EB3A">
              <w:rPr>
                <w:rFonts w:ascii="Verdana" w:eastAsia="Calibri" w:hAnsi="Verdana" w:cs="Arial"/>
                <w:lang w:val="es-ES"/>
              </w:rPr>
              <w:t>Además, el parágrafo tercero del mismo artículo 49 de la Ley 617 de 2000 hace una distinción para los concejales municipios de cuarta, quinta y sexta categoría en tanto: “</w:t>
            </w:r>
            <w:r w:rsidRPr="6894EB3A">
              <w:rPr>
                <w:rFonts w:ascii="Verdana" w:hAnsi="Verdana" w:cs="Open Sans"/>
              </w:rPr>
              <w:t xml:space="preserve">Tratándose de concejales de municipios de cuarta, quinta y sexta categoría, las prohibiciones establecidas en el presente artículo se aplicarán únicamente para los cónyuges o compañeros permanentes y parientes hasta el </w:t>
            </w:r>
            <w:r w:rsidRPr="00FC2009">
              <w:rPr>
                <w:rFonts w:ascii="Verdana" w:hAnsi="Verdana" w:cs="Open Sans"/>
              </w:rPr>
              <w:t>segundo grado</w:t>
            </w:r>
            <w:r w:rsidRPr="6894EB3A">
              <w:rPr>
                <w:rFonts w:ascii="Verdana" w:hAnsi="Verdana" w:cs="Open Sans"/>
              </w:rPr>
              <w:t xml:space="preserve"> de consanguinidad, p</w:t>
            </w:r>
            <w:r w:rsidRPr="040D60E1">
              <w:rPr>
                <w:rFonts w:ascii="Verdana" w:hAnsi="Verdana" w:cs="Open Sans"/>
              </w:rPr>
              <w:t>rimero de afinidad o único civil</w:t>
            </w:r>
            <w:r w:rsidRPr="6894EB3A">
              <w:rPr>
                <w:rFonts w:ascii="Verdana" w:hAnsi="Verdana" w:cs="Open Sans"/>
              </w:rPr>
              <w:t>.”</w:t>
            </w:r>
          </w:p>
          <w:p w14:paraId="4DCFA2C7" w14:textId="77777777" w:rsidR="006F53CC" w:rsidRDefault="00662485" w:rsidP="006F53CC">
            <w:pPr>
              <w:spacing w:after="120" w:line="276" w:lineRule="auto"/>
              <w:ind w:firstLine="709"/>
              <w:jc w:val="both"/>
              <w:rPr>
                <w:rFonts w:ascii="Verdana" w:eastAsia="Calibri" w:hAnsi="Verdana" w:cs="Arial"/>
                <w:color w:val="000000" w:themeColor="text1"/>
                <w:lang w:val="es-ES"/>
              </w:rPr>
            </w:pPr>
            <w:r w:rsidRPr="6894EB3A">
              <w:rPr>
                <w:rFonts w:ascii="Verdana" w:eastAsia="Calibri" w:hAnsi="Verdana" w:cs="Arial"/>
                <w:lang w:val="es-ES"/>
              </w:rPr>
              <w:t>Así, esta regla especial</w:t>
            </w:r>
            <w:r w:rsidR="00B745DD">
              <w:rPr>
                <w:rFonts w:ascii="Verdana" w:eastAsia="Calibri" w:hAnsi="Verdana" w:cs="Arial"/>
                <w:lang w:val="es-ES"/>
              </w:rPr>
              <w:t xml:space="preserve"> contenida en</w:t>
            </w:r>
            <w:r w:rsidR="00A4647D">
              <w:rPr>
                <w:rFonts w:ascii="Verdana" w:eastAsia="Calibri" w:hAnsi="Verdana" w:cs="Arial"/>
                <w:lang w:val="es-ES"/>
              </w:rPr>
              <w:t xml:space="preserve"> el artículo 49 de la Ley 617 de 2000</w:t>
            </w:r>
            <w:r w:rsidRPr="6894EB3A">
              <w:rPr>
                <w:rFonts w:ascii="Verdana" w:eastAsia="Calibri" w:hAnsi="Verdana" w:cs="Arial"/>
                <w:lang w:val="es-ES"/>
              </w:rPr>
              <w:t xml:space="preserve"> dispone </w:t>
            </w:r>
            <w:r w:rsidR="00A4647D">
              <w:rPr>
                <w:rFonts w:ascii="Verdana" w:eastAsia="Calibri" w:hAnsi="Verdana" w:cs="Arial"/>
                <w:lang w:val="es-ES"/>
              </w:rPr>
              <w:t xml:space="preserve">en primer lugar </w:t>
            </w:r>
            <w:r w:rsidRPr="6894EB3A">
              <w:rPr>
                <w:rFonts w:ascii="Verdana" w:eastAsia="Calibri" w:hAnsi="Verdana" w:cs="Arial"/>
                <w:lang w:val="es-ES"/>
              </w:rPr>
              <w:t xml:space="preserve">una prohibición que </w:t>
            </w:r>
            <w:r w:rsidRPr="6894EB3A">
              <w:rPr>
                <w:rFonts w:ascii="Verdana" w:eastAsia="Calibri" w:hAnsi="Verdana" w:cs="Arial"/>
                <w:color w:val="000000" w:themeColor="text1"/>
                <w:lang w:val="es-ES"/>
              </w:rPr>
              <w:t>aplica a los cónyuges o compañeros permanentes de los gobernadores, diputados, alcaldes o concejales, así como a sus parientes dentro del cuarto grado de consanguinidad, segundo de afinidad o primero civil, quienes no podrán celebrar contratos directa ni indirectamente con el departamento, distrito o municipio, o con sus entidades descentralizadas</w:t>
            </w:r>
            <w:r w:rsidR="009F57A5">
              <w:rPr>
                <w:rFonts w:ascii="Verdana" w:eastAsia="Calibri" w:hAnsi="Verdana" w:cs="Arial"/>
                <w:color w:val="000000" w:themeColor="text1"/>
                <w:lang w:val="es-ES"/>
              </w:rPr>
              <w:t>, tratándose de los municipios de primera, segunda y tercera categoría</w:t>
            </w:r>
            <w:r w:rsidRPr="6894EB3A">
              <w:rPr>
                <w:rFonts w:ascii="Verdana" w:eastAsia="Calibri" w:hAnsi="Verdana" w:cs="Arial"/>
                <w:color w:val="000000" w:themeColor="text1"/>
                <w:lang w:val="es-ES"/>
              </w:rPr>
              <w:t xml:space="preserve">. </w:t>
            </w:r>
          </w:p>
          <w:p w14:paraId="285929D6" w14:textId="7C546C67" w:rsidR="00662485" w:rsidRDefault="00662485" w:rsidP="006F53CC">
            <w:pPr>
              <w:spacing w:after="120" w:line="276" w:lineRule="auto"/>
              <w:ind w:firstLine="709"/>
              <w:jc w:val="both"/>
              <w:rPr>
                <w:rFonts w:ascii="Verdana" w:eastAsia="Calibri" w:hAnsi="Verdana" w:cs="Arial"/>
                <w:lang w:val="es-ES_tradnl"/>
              </w:rPr>
            </w:pPr>
            <w:r>
              <w:rPr>
                <w:rFonts w:ascii="Verdana" w:eastAsia="Calibri" w:hAnsi="Verdana" w:cs="Arial"/>
                <w:lang w:val="es-ES"/>
              </w:rPr>
              <w:t>Por lo tanto, en principio</w:t>
            </w:r>
            <w:r w:rsidRPr="0060163E">
              <w:rPr>
                <w:rFonts w:ascii="Verdana" w:eastAsia="Calibri" w:hAnsi="Verdana" w:cs="Arial"/>
                <w:color w:val="000000"/>
                <w:lang w:val="es-MX"/>
              </w:rPr>
              <w:t xml:space="preserve">, todas las entidades y funcionarios del artículo 2 de la Ley 80 de 1993 se rigen por las causales de inhabilidad del artículo 8 </w:t>
            </w:r>
            <w:r w:rsidRPr="0060163E">
              <w:rPr>
                <w:rFonts w:ascii="Verdana" w:eastAsia="Calibri" w:hAnsi="Verdana" w:cs="Arial"/>
                <w:i/>
                <w:iCs/>
                <w:color w:val="000000"/>
                <w:lang w:val="es-MX"/>
              </w:rPr>
              <w:t>ibidem</w:t>
            </w:r>
            <w:r w:rsidRPr="0060163E">
              <w:rPr>
                <w:rFonts w:ascii="Verdana" w:eastAsia="Calibri" w:hAnsi="Verdana" w:cs="Arial"/>
                <w:color w:val="000000"/>
                <w:lang w:val="es-MX"/>
              </w:rPr>
              <w:t xml:space="preserve">, incluyendo la del literal b) del numeral 2 explicada </w:t>
            </w:r>
            <w:r w:rsidRPr="0060163E">
              <w:rPr>
                <w:rFonts w:ascii="Verdana" w:eastAsia="Calibri" w:hAnsi="Verdana" w:cs="Arial"/>
                <w:i/>
                <w:iCs/>
                <w:color w:val="000000"/>
                <w:lang w:val="es-MX"/>
              </w:rPr>
              <w:t>ut supra</w:t>
            </w:r>
            <w:r>
              <w:rPr>
                <w:rFonts w:ascii="Verdana" w:eastAsia="Calibri" w:hAnsi="Verdana" w:cs="Arial"/>
                <w:color w:val="000000"/>
                <w:lang w:val="es-MX"/>
              </w:rPr>
              <w:t>, p</w:t>
            </w:r>
            <w:proofErr w:type="spellStart"/>
            <w:r w:rsidRPr="0060163E">
              <w:rPr>
                <w:rFonts w:ascii="Verdana" w:eastAsia="Calibri" w:hAnsi="Verdana" w:cs="Arial"/>
                <w:lang w:val="es-ES_tradnl"/>
              </w:rPr>
              <w:t>ues</w:t>
            </w:r>
            <w:proofErr w:type="spellEnd"/>
            <w:r w:rsidRPr="0060163E">
              <w:rPr>
                <w:rFonts w:ascii="Verdana" w:eastAsia="Calibri" w:hAnsi="Verdana" w:cs="Arial"/>
                <w:lang w:val="es-ES_tradnl"/>
              </w:rPr>
              <w:t xml:space="preserve"> es </w:t>
            </w:r>
            <w:r>
              <w:rPr>
                <w:rFonts w:ascii="Verdana" w:eastAsia="Calibri" w:hAnsi="Verdana" w:cs="Arial"/>
                <w:lang w:val="es-ES_tradnl"/>
              </w:rPr>
              <w:t xml:space="preserve">la </w:t>
            </w:r>
            <w:r w:rsidRPr="0060163E">
              <w:rPr>
                <w:rFonts w:ascii="Verdana" w:eastAsia="Calibri" w:hAnsi="Verdana" w:cs="Arial"/>
                <w:i/>
                <w:iCs/>
                <w:lang w:val="es-ES_tradnl"/>
              </w:rPr>
              <w:t>regla general</w:t>
            </w:r>
            <w:r w:rsidRPr="0060163E">
              <w:rPr>
                <w:rFonts w:ascii="Verdana" w:eastAsia="Calibri" w:hAnsi="Verdana" w:cs="Arial"/>
                <w:lang w:val="es-ES_tradnl"/>
              </w:rPr>
              <w:t xml:space="preserve"> en materia de inhabilidades e incompatibilidades para la contratación de las entidades sometidas a la Ley 80 de 1993. Sin embargo, el </w:t>
            </w:r>
            <w:r w:rsidRPr="0060163E">
              <w:rPr>
                <w:rFonts w:ascii="Verdana" w:eastAsia="Calibri" w:hAnsi="Verdana" w:cs="Arial"/>
                <w:lang w:val="es-ES_tradnl"/>
              </w:rPr>
              <w:lastRenderedPageBreak/>
              <w:t>artículo 49 de la Ley 617</w:t>
            </w:r>
            <w:r>
              <w:rPr>
                <w:rFonts w:ascii="Verdana" w:eastAsia="Calibri" w:hAnsi="Verdana" w:cs="Arial"/>
                <w:lang w:val="es-ES_tradnl"/>
              </w:rPr>
              <w:t xml:space="preserve"> de 2000</w:t>
            </w:r>
            <w:r w:rsidRPr="0060163E">
              <w:rPr>
                <w:rFonts w:ascii="Verdana" w:eastAsia="Calibri" w:hAnsi="Verdana" w:cs="Arial"/>
                <w:lang w:val="es-ES_tradnl"/>
              </w:rPr>
              <w:t xml:space="preserve"> </w:t>
            </w:r>
            <w:r>
              <w:rPr>
                <w:rFonts w:ascii="Verdana" w:eastAsia="Calibri" w:hAnsi="Verdana" w:cs="Arial"/>
                <w:lang w:val="es-ES_tradnl"/>
              </w:rPr>
              <w:t>se trata de una</w:t>
            </w:r>
            <w:r w:rsidRPr="0060163E">
              <w:rPr>
                <w:rFonts w:ascii="Verdana" w:eastAsia="Calibri" w:hAnsi="Verdana" w:cs="Arial"/>
                <w:lang w:val="es-ES_tradnl"/>
              </w:rPr>
              <w:t xml:space="preserve"> </w:t>
            </w:r>
            <w:r w:rsidRPr="0060163E">
              <w:rPr>
                <w:rFonts w:ascii="Verdana" w:eastAsia="Calibri" w:hAnsi="Verdana" w:cs="Arial"/>
                <w:i/>
                <w:iCs/>
                <w:lang w:val="es-ES_tradnl"/>
              </w:rPr>
              <w:t>regla especial</w:t>
            </w:r>
            <w:r w:rsidRPr="0060163E">
              <w:rPr>
                <w:rFonts w:ascii="Verdana" w:eastAsia="Calibri" w:hAnsi="Verdana" w:cs="Arial"/>
                <w:lang w:val="es-ES_tradnl"/>
              </w:rPr>
              <w:t>, la cual se ratifica en las modificaciones posteriores del artículo 1º de las Leyes 821 de 2003, 1148 de 2007 y 1296 de 2009. Según esta regla, los cónyuges o compañeros permanentes de los gobernadores, diputados, alcaldes o concejales, así como a sus parientes dentro del cuarto grado de consanguinidad, segundo de afinidad o primero civil, no pueden celebrar contratos directa ni indirectamente con el departamento, distrito o municipio, o con sus entidades descentralizadas.</w:t>
            </w:r>
            <w:r>
              <w:rPr>
                <w:rFonts w:ascii="Verdana" w:eastAsia="Calibri" w:hAnsi="Verdana" w:cs="Arial"/>
                <w:lang w:val="es-ES_tradnl"/>
              </w:rPr>
              <w:t xml:space="preserve"> </w:t>
            </w:r>
          </w:p>
          <w:p w14:paraId="55B6801D" w14:textId="4C2296C9" w:rsidR="006F53CC" w:rsidRPr="006F53CC" w:rsidRDefault="006F53CC" w:rsidP="006F53CC">
            <w:pPr>
              <w:pStyle w:val="Prrafodelista"/>
              <w:numPr>
                <w:ilvl w:val="0"/>
                <w:numId w:val="18"/>
              </w:numPr>
              <w:spacing w:after="120" w:line="276" w:lineRule="auto"/>
              <w:ind w:left="0" w:firstLine="438"/>
              <w:jc w:val="both"/>
              <w:rPr>
                <w:rFonts w:ascii="Verdana" w:eastAsia="Calibri" w:hAnsi="Verdana" w:cs="Arial"/>
                <w:lang w:val="es-ES_tradnl"/>
              </w:rPr>
            </w:pPr>
            <w:r w:rsidRPr="006F53CC">
              <w:rPr>
                <w:rFonts w:ascii="Verdana" w:eastAsia="Calibri" w:hAnsi="Verdana" w:cs="Arial"/>
                <w:lang w:val="es-ES_tradnl"/>
              </w:rPr>
              <w:t>Por lo tanto, conforme a los anteriores argumentos y desde la perspectiva de las normas generales del sistema de compras y contratación pública, existe una restricción legal para que el cónyuge de un alcalde municipal celebre o ejecute un contrato con una Empresa Social del Estado del orden municipal del mismo municipio, con fundamento en la regla especial del inciso tercero del artículo 49 de la Ley 617 de 2000, modificado por las Leyes 821 de 2003, 1148 de 2007 y 1296 de 2009.</w:t>
            </w:r>
          </w:p>
          <w:p w14:paraId="08D2BB8F" w14:textId="6F685124" w:rsidR="006F53CC" w:rsidRPr="006F53CC" w:rsidRDefault="00CA279C" w:rsidP="006F53CC">
            <w:pPr>
              <w:spacing w:after="120" w:line="276" w:lineRule="auto"/>
              <w:ind w:firstLine="709"/>
              <w:jc w:val="both"/>
              <w:rPr>
                <w:rFonts w:ascii="Verdana" w:eastAsia="Calibri" w:hAnsi="Verdana" w:cs="Arial"/>
                <w:lang w:val="es-ES_tradnl"/>
              </w:rPr>
            </w:pPr>
            <w:r>
              <w:rPr>
                <w:rFonts w:ascii="Verdana" w:eastAsia="Calibri" w:hAnsi="Verdana" w:cs="Arial"/>
                <w:lang w:val="es-ES_tradnl"/>
              </w:rPr>
              <w:t>Por tanto, d</w:t>
            </w:r>
            <w:r w:rsidR="006F53CC" w:rsidRPr="006F53CC">
              <w:rPr>
                <w:rFonts w:ascii="Verdana" w:eastAsia="Calibri" w:hAnsi="Verdana" w:cs="Arial"/>
                <w:lang w:val="es-ES_tradnl"/>
              </w:rPr>
              <w:t>ebe distinguirse entre la regla general del artículo 8° de la Ley 80 de 1993 y la regla especial del artículo 49 de la Ley 617 de 2000. Conforme a la regla general (literales b y c del numeral 2° del artículo 8° de la Ley 80 de 1993), la inhabilidad por parentesco se configura cuando el cónyuge o pariente ocupa un cargo directivo en la entidad contratante. Bajo esta sola regla, dado que el alcalde no es servidor de la ESE ni su ordenador del gasto, podría no configurarse la inhabilidad del literal c). Sin embargo, este análisis resulta incompleto.</w:t>
            </w:r>
          </w:p>
          <w:p w14:paraId="17721692" w14:textId="5475F222" w:rsidR="006F53CC" w:rsidRPr="006F53CC" w:rsidRDefault="006F53CC" w:rsidP="006F53CC">
            <w:pPr>
              <w:spacing w:after="120" w:line="276" w:lineRule="auto"/>
              <w:ind w:firstLine="709"/>
              <w:jc w:val="both"/>
              <w:rPr>
                <w:rFonts w:ascii="Verdana" w:eastAsia="Calibri" w:hAnsi="Verdana" w:cs="Arial"/>
                <w:lang w:val="es-ES_tradnl"/>
              </w:rPr>
            </w:pPr>
            <w:r w:rsidRPr="006F53CC">
              <w:rPr>
                <w:rFonts w:ascii="Verdana" w:eastAsia="Calibri" w:hAnsi="Verdana" w:cs="Arial"/>
                <w:lang w:val="es-ES_tradnl"/>
              </w:rPr>
              <w:t>La norma determinante es la regla especial del artículo 49 de la Ley 617 de 2000, que —conforme a la reseña que hace el Concepto C-1111 de 2025 de esta Agencia— prohíbe a los cónyuges de los alcaldes celebrar contratos con el respectivo municipio y con sus entidades descentralizadas. Dado que la ESE del orden municipal es una entidad descentralizada del mismo municipio del cual el cónyuge de la peticionaria es alcalde, el supuesto encuadra directamente en el ámbito de esta prohibición especial.</w:t>
            </w:r>
          </w:p>
          <w:p w14:paraId="0ED8ACAB" w14:textId="11AB5291" w:rsidR="006F53CC" w:rsidRPr="006F53CC" w:rsidRDefault="006F53CC" w:rsidP="006F53CC">
            <w:pPr>
              <w:spacing w:after="120" w:line="276" w:lineRule="auto"/>
              <w:ind w:firstLine="709"/>
              <w:jc w:val="both"/>
              <w:rPr>
                <w:rFonts w:ascii="Verdana" w:eastAsia="Calibri" w:hAnsi="Verdana" w:cs="Arial"/>
                <w:lang w:val="es-ES_tradnl"/>
              </w:rPr>
            </w:pPr>
            <w:r w:rsidRPr="006F53CC">
              <w:rPr>
                <w:rFonts w:ascii="Verdana" w:eastAsia="Calibri" w:hAnsi="Verdana" w:cs="Arial"/>
                <w:lang w:val="es-ES_tradnl"/>
              </w:rPr>
              <w:t xml:space="preserve">La circunstancia de que el ordenador del gasto sea el gerente de la ESE y no el alcalde no desvirtúa la restricción, pues la regla especial del artículo 49 de la Ley 617 de 2000 no exige que la autoridad territorial sea quien suscriba el contrato ni que ocupe cargo en la entidad descentralizada. La prohibición opera de manera objetiva por el solo hecho de que el cónyuge del </w:t>
            </w:r>
            <w:r w:rsidRPr="006F53CC">
              <w:rPr>
                <w:rFonts w:ascii="Verdana" w:eastAsia="Calibri" w:hAnsi="Verdana" w:cs="Arial"/>
                <w:lang w:val="es-ES_tradnl"/>
              </w:rPr>
              <w:lastRenderedPageBreak/>
              <w:t>alcalde pretenda contratar con una entidad descentralizada del respectivo municipio.</w:t>
            </w:r>
          </w:p>
          <w:p w14:paraId="7FA6D214" w14:textId="2FB54DE8" w:rsidR="00662485" w:rsidRPr="006F53CC" w:rsidRDefault="006F53CC" w:rsidP="006F53CC">
            <w:pPr>
              <w:spacing w:after="120" w:line="276" w:lineRule="auto"/>
              <w:ind w:firstLine="709"/>
              <w:jc w:val="both"/>
              <w:rPr>
                <w:rFonts w:ascii="Verdana" w:eastAsia="Calibri" w:hAnsi="Verdana" w:cs="Arial"/>
                <w:lang w:val="es-ES_tradnl"/>
              </w:rPr>
            </w:pPr>
            <w:r w:rsidRPr="006F53CC">
              <w:rPr>
                <w:rFonts w:ascii="Verdana" w:eastAsia="Calibri" w:hAnsi="Verdana" w:cs="Arial"/>
                <w:lang w:val="es-ES_tradnl"/>
              </w:rPr>
              <w:t>Corresponde a la ESE contratante, con la asesoría de su oficina jurídica, y en última instancia a las autoridades disciplinarias, fiscales y judiciales competentes, determinar en el caso concreto la configuración de la restricción y la eventual aplicación de alguna excepción legal.</w:t>
            </w:r>
          </w:p>
        </w:tc>
      </w:tr>
    </w:tbl>
    <w:p w14:paraId="5D7798D3" w14:textId="77777777" w:rsidR="00662485" w:rsidRDefault="00662485" w:rsidP="00662485">
      <w:pPr>
        <w:tabs>
          <w:tab w:val="left" w:pos="142"/>
          <w:tab w:val="left" w:pos="284"/>
        </w:tabs>
        <w:spacing w:after="0" w:line="276" w:lineRule="auto"/>
        <w:jc w:val="both"/>
        <w:rPr>
          <w:rFonts w:ascii="Verdana" w:eastAsia="Century Gothic" w:hAnsi="Verdana" w:cs="Century Gothic"/>
          <w:b/>
          <w:bCs/>
        </w:rPr>
      </w:pPr>
    </w:p>
    <w:p w14:paraId="502EBA4E" w14:textId="77777777" w:rsidR="00662485" w:rsidRPr="008E4F36" w:rsidRDefault="00662485" w:rsidP="00662485">
      <w:pPr>
        <w:tabs>
          <w:tab w:val="left" w:pos="142"/>
          <w:tab w:val="left" w:pos="284"/>
        </w:tabs>
        <w:spacing w:after="0" w:line="276" w:lineRule="auto"/>
        <w:jc w:val="both"/>
        <w:rPr>
          <w:rFonts w:ascii="Verdana" w:eastAsia="Century Gothic" w:hAnsi="Verdana" w:cs="Century Gothic"/>
          <w:b/>
          <w:bCs/>
        </w:rPr>
      </w:pPr>
      <w:r w:rsidRPr="008E4F36">
        <w:rPr>
          <w:rFonts w:ascii="Verdana" w:eastAsia="Century Gothic" w:hAnsi="Verdana" w:cs="Century Gothic"/>
          <w:b/>
          <w:bCs/>
        </w:rPr>
        <w:t>3. Razones de la respuesta:</w:t>
      </w:r>
    </w:p>
    <w:p w14:paraId="2BAE3281" w14:textId="77777777" w:rsidR="00662485" w:rsidRDefault="00662485" w:rsidP="00662485">
      <w:pPr>
        <w:pStyle w:val="Prrafodelista"/>
        <w:tabs>
          <w:tab w:val="left" w:pos="142"/>
          <w:tab w:val="left" w:pos="284"/>
        </w:tabs>
        <w:spacing w:after="0" w:line="276" w:lineRule="auto"/>
        <w:ind w:left="0"/>
        <w:contextualSpacing w:val="0"/>
        <w:jc w:val="both"/>
        <w:rPr>
          <w:rFonts w:ascii="Verdana" w:eastAsia="Calibri" w:hAnsi="Verdana" w:cs="Arial"/>
        </w:rPr>
      </w:pPr>
    </w:p>
    <w:p w14:paraId="54D4557B" w14:textId="77777777" w:rsidR="00662485" w:rsidRDefault="00662485" w:rsidP="00662485">
      <w:pPr>
        <w:pStyle w:val="Prrafodelista"/>
        <w:tabs>
          <w:tab w:val="left" w:pos="142"/>
          <w:tab w:val="left" w:pos="284"/>
        </w:tabs>
        <w:spacing w:after="0" w:line="276" w:lineRule="auto"/>
        <w:ind w:left="0"/>
        <w:contextualSpacing w:val="0"/>
        <w:jc w:val="both"/>
        <w:rPr>
          <w:rFonts w:ascii="Verdana" w:eastAsia="Calibri" w:hAnsi="Verdana" w:cs="Arial"/>
        </w:rPr>
      </w:pPr>
      <w:r w:rsidRPr="008E4F36">
        <w:rPr>
          <w:rFonts w:ascii="Verdana" w:eastAsia="Calibri" w:hAnsi="Verdana" w:cs="Arial"/>
        </w:rPr>
        <w:t xml:space="preserve">Lo anterior se sustenta en las siguientes consideraciones: </w:t>
      </w:r>
    </w:p>
    <w:p w14:paraId="129232BB" w14:textId="77777777" w:rsidR="006F53CC" w:rsidRDefault="006F53CC" w:rsidP="00662485">
      <w:pPr>
        <w:spacing w:after="120" w:line="276" w:lineRule="auto"/>
        <w:jc w:val="both"/>
        <w:rPr>
          <w:rFonts w:ascii="Verdana" w:eastAsia="Calibri" w:hAnsi="Verdana" w:cs="Arial"/>
          <w:lang w:val="es-MX"/>
        </w:rPr>
      </w:pPr>
    </w:p>
    <w:p w14:paraId="62834CE7" w14:textId="305D9E64" w:rsidR="00662485" w:rsidRPr="0060163E" w:rsidRDefault="00662485" w:rsidP="006F53CC">
      <w:pPr>
        <w:spacing w:after="120" w:line="276" w:lineRule="auto"/>
        <w:ind w:firstLine="567"/>
        <w:jc w:val="both"/>
        <w:rPr>
          <w:rFonts w:ascii="Verdana" w:eastAsia="Calibri" w:hAnsi="Verdana" w:cs="Arial"/>
          <w:lang w:val="es-MX"/>
        </w:rPr>
      </w:pPr>
      <w:r w:rsidRPr="0060163E">
        <w:rPr>
          <w:rFonts w:ascii="Verdana" w:eastAsia="Calibri" w:hAnsi="Verdana" w:cs="Arial"/>
          <w:lang w:val="es-MX"/>
        </w:rPr>
        <w:t xml:space="preserve"> Las inhabilidades son circunstancias establecidas por la Constitución o la ley que impiden que personas naturales o jurídicas sean elegidas o designadas en un cargo público o celebren contratos con el Estado, con el objetivo de garantizar la idoneidad, imparcialidad, probidad, transparencia y moralidad de la función pública, garantizando el interés general.  </w:t>
      </w:r>
    </w:p>
    <w:p w14:paraId="622A1E8B" w14:textId="77777777" w:rsidR="00662485" w:rsidRPr="0060163E" w:rsidRDefault="00662485" w:rsidP="00662485">
      <w:pPr>
        <w:spacing w:after="0" w:line="276" w:lineRule="auto"/>
        <w:ind w:firstLine="709"/>
        <w:jc w:val="both"/>
        <w:rPr>
          <w:rFonts w:ascii="Verdana" w:eastAsia="Calibri" w:hAnsi="Verdana" w:cs="Arial"/>
          <w:lang w:val="es-MX"/>
        </w:rPr>
      </w:pPr>
      <w:r w:rsidRPr="0060163E">
        <w:rPr>
          <w:rFonts w:ascii="Verdana" w:eastAsia="Calibri" w:hAnsi="Verdana" w:cs="Arial"/>
          <w:lang w:val="es-MX"/>
        </w:rPr>
        <w:t>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r w:rsidRPr="0060163E">
        <w:rPr>
          <w:rFonts w:ascii="Verdana" w:eastAsia="Calibri" w:hAnsi="Verdana" w:cs="Arial"/>
          <w:vertAlign w:val="superscript"/>
          <w:lang w:val="es-MX"/>
        </w:rPr>
        <w:footnoteReference w:id="1"/>
      </w:r>
      <w:r>
        <w:rPr>
          <w:rFonts w:ascii="Verdana" w:eastAsia="Calibri" w:hAnsi="Verdana" w:cs="Arial"/>
          <w:lang w:val="es-MX"/>
        </w:rPr>
        <w:t>.</w:t>
      </w:r>
    </w:p>
    <w:p w14:paraId="04E2B888" w14:textId="77777777" w:rsidR="00662485" w:rsidRPr="0060163E" w:rsidRDefault="00662485" w:rsidP="00662485">
      <w:pPr>
        <w:spacing w:before="120" w:after="0" w:line="276" w:lineRule="auto"/>
        <w:ind w:firstLine="709"/>
        <w:jc w:val="both"/>
        <w:rPr>
          <w:rFonts w:ascii="Verdana" w:eastAsia="Calibri" w:hAnsi="Verdana" w:cs="Arial"/>
          <w:lang w:val="es-MX"/>
        </w:rPr>
      </w:pPr>
      <w:r w:rsidRPr="0060163E">
        <w:rPr>
          <w:rFonts w:ascii="Verdana" w:eastAsia="Calibri" w:hAnsi="Verdana" w:cs="Arial"/>
          <w:lang w:val="es-MX"/>
        </w:rPr>
        <w:t xml:space="preserve">La regulación de las inhabilidades que implican limitaciones a la capacidad jurídica para contratar, que desarrolla los principios de la función administrativa consagrados en el artículo 209 de la Constitución Política, con especial énfasis el de moralidad. Así lo entiende el Consejo de Estado: </w:t>
      </w:r>
    </w:p>
    <w:p w14:paraId="08CDDA74" w14:textId="77777777" w:rsidR="00662485" w:rsidRPr="0060163E" w:rsidRDefault="00662485" w:rsidP="00662485">
      <w:pPr>
        <w:spacing w:after="0" w:line="240" w:lineRule="auto"/>
        <w:jc w:val="both"/>
        <w:rPr>
          <w:rFonts w:ascii="Verdana" w:eastAsia="Calibri" w:hAnsi="Verdana" w:cs="Arial"/>
          <w:lang w:val="es-MX"/>
        </w:rPr>
      </w:pPr>
    </w:p>
    <w:p w14:paraId="5C424B96" w14:textId="77777777" w:rsidR="00662485" w:rsidRPr="0060163E" w:rsidRDefault="00662485" w:rsidP="00662485">
      <w:pPr>
        <w:shd w:val="clear" w:color="auto" w:fill="FFFFFF"/>
        <w:spacing w:after="0" w:line="240" w:lineRule="auto"/>
        <w:ind w:left="709" w:right="709"/>
        <w:jc w:val="both"/>
        <w:rPr>
          <w:rFonts w:ascii="Verdana" w:eastAsia="Calibri" w:hAnsi="Verdana" w:cs="Arial"/>
          <w:sz w:val="20"/>
          <w:szCs w:val="20"/>
          <w:lang w:val="es-ES"/>
        </w:rPr>
      </w:pPr>
      <w:r w:rsidRPr="0060163E">
        <w:rPr>
          <w:rFonts w:ascii="Verdana" w:eastAsia="Calibri" w:hAnsi="Verdana" w:cs="Arial"/>
          <w:sz w:val="20"/>
          <w:szCs w:val="20"/>
          <w:lang w:val="es-ES"/>
        </w:rPr>
        <w:t xml:space="preserve">De manera primordial en esta reflexión debe advertirse que la consagración legal de las incompatibilidades e inhabilidades en materia contractual, no es sino desarrollo del Principio de Moralidad que la </w:t>
      </w:r>
      <w:r w:rsidRPr="0060163E">
        <w:rPr>
          <w:rFonts w:ascii="Verdana" w:eastAsia="Calibri" w:hAnsi="Verdana" w:cs="Arial"/>
          <w:sz w:val="20"/>
          <w:szCs w:val="20"/>
          <w:lang w:val="es-ES"/>
        </w:rPr>
        <w:lastRenderedPageBreak/>
        <w:t>Constitución Política consagra como uno de los rectores de la Función 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765AA337" w14:textId="77777777" w:rsidR="00662485" w:rsidRPr="0060163E" w:rsidRDefault="00662485" w:rsidP="00662485">
      <w:pPr>
        <w:shd w:val="clear" w:color="auto" w:fill="FFFFFF"/>
        <w:spacing w:after="0" w:line="240" w:lineRule="auto"/>
        <w:ind w:left="709" w:right="709"/>
        <w:jc w:val="both"/>
        <w:rPr>
          <w:rFonts w:ascii="Verdana" w:eastAsia="Calibri" w:hAnsi="Verdana" w:cs="Arial"/>
          <w:sz w:val="20"/>
          <w:szCs w:val="20"/>
          <w:lang w:val="es-ES"/>
        </w:rPr>
      </w:pPr>
    </w:p>
    <w:p w14:paraId="0E345A23" w14:textId="77777777" w:rsidR="00662485" w:rsidRPr="0060163E" w:rsidRDefault="00662485" w:rsidP="00662485">
      <w:pPr>
        <w:shd w:val="clear" w:color="auto" w:fill="FFFFFF"/>
        <w:spacing w:after="0" w:line="240" w:lineRule="auto"/>
        <w:ind w:left="709" w:right="709"/>
        <w:jc w:val="both"/>
        <w:rPr>
          <w:rFonts w:ascii="Verdana" w:eastAsia="Calibri" w:hAnsi="Verdana" w:cs="Arial"/>
          <w:sz w:val="20"/>
          <w:szCs w:val="20"/>
          <w:lang w:val="es-ES"/>
        </w:rPr>
      </w:pPr>
      <w:r w:rsidRPr="0060163E">
        <w:rPr>
          <w:rFonts w:ascii="Verdana" w:eastAsia="Calibri" w:hAnsi="Verdana" w:cs="Arial"/>
          <w:sz w:val="20"/>
          <w:szCs w:val="20"/>
          <w:lang w:val="es-ES"/>
        </w:rPr>
        <w:t>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razón de ese fin de interés general como regla legal prevalente, esto es que puede ser impuesta sobre el derecho individual a contratar con el Estado</w:t>
      </w:r>
      <w:r w:rsidRPr="0060163E">
        <w:rPr>
          <w:rFonts w:ascii="Verdana" w:eastAsia="Calibri" w:hAnsi="Verdana" w:cs="Arial"/>
          <w:sz w:val="20"/>
          <w:szCs w:val="20"/>
          <w:vertAlign w:val="superscript"/>
          <w:lang w:val="es-ES"/>
        </w:rPr>
        <w:footnoteReference w:id="2"/>
      </w:r>
      <w:r>
        <w:rPr>
          <w:rFonts w:ascii="Verdana" w:eastAsia="Calibri" w:hAnsi="Verdana" w:cs="Arial"/>
          <w:sz w:val="20"/>
          <w:szCs w:val="20"/>
          <w:lang w:val="es-ES"/>
        </w:rPr>
        <w:t>.</w:t>
      </w:r>
    </w:p>
    <w:p w14:paraId="0972AC96" w14:textId="77777777" w:rsidR="00662485" w:rsidRPr="0060163E" w:rsidRDefault="00662485" w:rsidP="00662485">
      <w:pPr>
        <w:shd w:val="clear" w:color="auto" w:fill="FFFFFF"/>
        <w:spacing w:after="0" w:line="240" w:lineRule="auto"/>
        <w:ind w:left="709" w:right="709"/>
        <w:jc w:val="both"/>
        <w:rPr>
          <w:rFonts w:ascii="Verdana" w:eastAsia="Calibri" w:hAnsi="Verdana" w:cs="Arial"/>
          <w:lang w:val="es-ES"/>
        </w:rPr>
      </w:pPr>
    </w:p>
    <w:p w14:paraId="0F53AEFE" w14:textId="77777777" w:rsidR="00662485" w:rsidRPr="0060163E" w:rsidRDefault="00662485" w:rsidP="00662485">
      <w:pPr>
        <w:spacing w:after="0" w:line="276" w:lineRule="auto"/>
        <w:ind w:firstLine="709"/>
        <w:jc w:val="both"/>
        <w:rPr>
          <w:rFonts w:ascii="Verdana" w:eastAsia="Calibri" w:hAnsi="Verdana" w:cs="Arial"/>
          <w:lang w:val="es-MX"/>
        </w:rPr>
      </w:pPr>
      <w:r w:rsidRPr="0060163E">
        <w:rPr>
          <w:rFonts w:ascii="Verdana" w:eastAsia="Calibri" w:hAnsi="Verdana" w:cs="Arial"/>
          <w:lang w:val="es-MX"/>
        </w:rPr>
        <w:t xml:space="preserve">Así las cosas, las inhabilidades son medios que garantizan la transparencia y eficiencia en la actividad contractual del Estado, imponiendo restricciones en la personalidad jurídica, la igualdad, la libre empresa y, particularmente, en el derecho a participar en procesos de selección y celebrar contratos con el Estado. La Corte Constitucional ha reconocido que estas limitaciones deben justificarse en la salvaguarda del interés general y que su interpretación es taxativa y restrictiva: </w:t>
      </w:r>
    </w:p>
    <w:p w14:paraId="186CF81A" w14:textId="77777777" w:rsidR="00662485" w:rsidRPr="0060163E" w:rsidRDefault="00662485" w:rsidP="00662485">
      <w:pPr>
        <w:spacing w:after="0" w:line="276" w:lineRule="auto"/>
        <w:rPr>
          <w:rFonts w:ascii="Verdana" w:eastAsia="Times New Roman" w:hAnsi="Verdana" w:cs="Arial"/>
          <w:shd w:val="clear" w:color="auto" w:fill="FFFFFF"/>
          <w:lang w:eastAsia="es-ES_tradnl"/>
        </w:rPr>
      </w:pPr>
    </w:p>
    <w:p w14:paraId="2776CF45" w14:textId="77777777" w:rsidR="00662485" w:rsidRPr="0060163E" w:rsidRDefault="00662485" w:rsidP="00662485">
      <w:pPr>
        <w:spacing w:after="0" w:line="240" w:lineRule="auto"/>
        <w:ind w:left="709" w:right="709"/>
        <w:jc w:val="both"/>
        <w:rPr>
          <w:rFonts w:ascii="Verdana" w:eastAsia="Calibri" w:hAnsi="Verdana" w:cs="Arial"/>
          <w:sz w:val="20"/>
          <w:szCs w:val="20"/>
          <w:lang w:val="es-MX"/>
        </w:rPr>
      </w:pPr>
      <w:r w:rsidRPr="0060163E">
        <w:rPr>
          <w:rFonts w:ascii="Verdana" w:eastAsia="Calibri" w:hAnsi="Verdana" w:cs="Arial"/>
          <w:sz w:val="20"/>
          <w:szCs w:val="20"/>
          <w:lang w:val="es-MX"/>
        </w:rPr>
        <w:t>Todo régimen de inhabilidades e incompatibilidades de suyo excluye a ciertas categorías de personas del proceso de contratación, generando incapacidades especiales, impedimentos y prohibiciones de variada naturaleza, que en cierta medida afectan el derecho a la personalidad jurídica traducido, a su turno, en el principio general de capacidad legal [CC arts. 1502 y 1503; ley 80 de 1993, art. 6]. De ordinario, como ocurre en la contratación estatal, la inobservancia del régimen de inhabilidades e incompatibilidades, se erige en causal de nulidad del contrato celebrado en esas condiciones (ley 80 de 1993, art. 44).</w:t>
      </w:r>
    </w:p>
    <w:p w14:paraId="13FA4B08" w14:textId="77777777" w:rsidR="00662485" w:rsidRPr="0060163E" w:rsidRDefault="00662485" w:rsidP="00662485">
      <w:pPr>
        <w:spacing w:after="0" w:line="240" w:lineRule="auto"/>
        <w:ind w:left="709" w:right="709"/>
        <w:jc w:val="both"/>
        <w:rPr>
          <w:rFonts w:ascii="Verdana" w:eastAsia="Calibri" w:hAnsi="Verdana" w:cs="Arial"/>
          <w:sz w:val="20"/>
          <w:szCs w:val="20"/>
          <w:lang w:val="es-MX"/>
        </w:rPr>
      </w:pPr>
    </w:p>
    <w:p w14:paraId="041D37E5" w14:textId="77777777" w:rsidR="00662485" w:rsidRPr="0060163E" w:rsidRDefault="00662485" w:rsidP="00662485">
      <w:pPr>
        <w:spacing w:after="0" w:line="240" w:lineRule="auto"/>
        <w:ind w:left="709" w:right="709"/>
        <w:jc w:val="both"/>
        <w:rPr>
          <w:rFonts w:ascii="Verdana" w:eastAsia="Calibri" w:hAnsi="Verdana" w:cs="Arial"/>
          <w:sz w:val="20"/>
          <w:szCs w:val="20"/>
          <w:lang w:val="es-MX"/>
        </w:rPr>
      </w:pPr>
      <w:r w:rsidRPr="0060163E">
        <w:rPr>
          <w:rFonts w:ascii="Verdana" w:eastAsia="Calibri" w:hAnsi="Verdana" w:cs="Arial"/>
          <w:sz w:val="20"/>
          <w:szCs w:val="20"/>
          <w:lang w:val="es-MX"/>
        </w:rPr>
        <w:t xml:space="preserve">El carácter reconocidamente taxativo y restrictivo de este régimen y el de las correlativas nulidades, obedece a la necesidad de salvaguardar el </w:t>
      </w:r>
      <w:r w:rsidRPr="0060163E">
        <w:rPr>
          <w:rFonts w:ascii="Verdana" w:eastAsia="Calibri" w:hAnsi="Verdana" w:cs="Arial"/>
          <w:sz w:val="20"/>
          <w:szCs w:val="20"/>
          <w:lang w:val="es-MX"/>
        </w:rPr>
        <w:lastRenderedPageBreak/>
        <w:t>interés general ínsito en la contratación pública de manera que implique el menor sacrificio posible al derecho de igualdad y de reconocimiento de la personalidad jurídica de quienes aspiran a contratar con el Estado. Es evidente que si la restricción legal [incompatibilidad o inhabilidad] no se sustenta en ninguna necesidad de protección del interés general o ésta es irrazonable o desproporcionada, en esa misma medida pierde justificación constitucional como medio legítimo para restringir, en ese caso, el derecho a la igualdad y el reconocimiento de la personalidad jurídica de las personas que resultan rechazadas del ámbito contractual del Estado</w:t>
      </w:r>
      <w:r w:rsidRPr="0060163E">
        <w:rPr>
          <w:rFonts w:ascii="Verdana" w:eastAsia="Calibri" w:hAnsi="Verdana" w:cs="Arial"/>
          <w:sz w:val="20"/>
          <w:szCs w:val="20"/>
          <w:vertAlign w:val="superscript"/>
          <w:lang w:val="es-MX"/>
        </w:rPr>
        <w:footnoteReference w:id="3"/>
      </w:r>
      <w:r w:rsidRPr="0060163E">
        <w:rPr>
          <w:rFonts w:ascii="Verdana" w:eastAsia="Calibri" w:hAnsi="Verdana" w:cs="Arial"/>
          <w:sz w:val="20"/>
          <w:szCs w:val="20"/>
          <w:lang w:val="es-MX"/>
        </w:rPr>
        <w:t xml:space="preserve">. </w:t>
      </w:r>
    </w:p>
    <w:p w14:paraId="6FF5F254" w14:textId="77777777" w:rsidR="00662485" w:rsidRPr="0060163E" w:rsidRDefault="00662485" w:rsidP="00662485">
      <w:pPr>
        <w:spacing w:after="0" w:line="276" w:lineRule="auto"/>
        <w:ind w:right="709"/>
        <w:jc w:val="both"/>
        <w:rPr>
          <w:rFonts w:ascii="Verdana" w:eastAsia="Calibri" w:hAnsi="Verdana" w:cs="Arial"/>
          <w:lang w:val="es-MX"/>
        </w:rPr>
      </w:pPr>
    </w:p>
    <w:p w14:paraId="495E6BD0" w14:textId="77777777" w:rsidR="00662485" w:rsidRPr="0060163E" w:rsidRDefault="00662485" w:rsidP="00662485">
      <w:pPr>
        <w:spacing w:after="0" w:line="276" w:lineRule="auto"/>
        <w:ind w:firstLine="709"/>
        <w:jc w:val="both"/>
        <w:rPr>
          <w:rFonts w:ascii="Verdana" w:eastAsia="Calibri" w:hAnsi="Verdana" w:cs="Arial"/>
          <w:lang w:val="es-MX"/>
        </w:rPr>
      </w:pPr>
      <w:r w:rsidRPr="0060163E">
        <w:rPr>
          <w:rFonts w:ascii="Verdana" w:eastAsia="Calibri" w:hAnsi="Verdana" w:cs="Arial"/>
          <w:lang w:val="es-MX"/>
        </w:rPr>
        <w:t>Además, la Corte Constitucional explica que el legislador tiene la competencia para determinar qué hechos o situaciones generan inhabilidad para contratar, pues este régimen es un aspecto propio del Estatuto General de Contratación de la Administración Pública – en adelante EGCAP –, cuya expedición compete al Congreso de la República a la luz del artículo 150 de la Constitución Política, y que en esta materia rige el principio de legalidad:</w:t>
      </w:r>
    </w:p>
    <w:p w14:paraId="465AE899" w14:textId="77777777" w:rsidR="00662485" w:rsidRDefault="00662485" w:rsidP="00662485">
      <w:pPr>
        <w:spacing w:after="0" w:line="240" w:lineRule="auto"/>
        <w:ind w:left="709" w:right="709"/>
        <w:jc w:val="both"/>
        <w:rPr>
          <w:rFonts w:ascii="Verdana" w:eastAsia="Calibri" w:hAnsi="Verdana" w:cs="Arial"/>
          <w:sz w:val="20"/>
          <w:szCs w:val="20"/>
          <w:lang w:val="es-MX"/>
        </w:rPr>
      </w:pPr>
    </w:p>
    <w:p w14:paraId="289A0DD9" w14:textId="77777777" w:rsidR="00662485" w:rsidRPr="0060163E" w:rsidRDefault="00662485" w:rsidP="00662485">
      <w:pPr>
        <w:spacing w:after="0" w:line="240" w:lineRule="auto"/>
        <w:ind w:left="709" w:right="709"/>
        <w:jc w:val="both"/>
        <w:rPr>
          <w:rFonts w:ascii="Verdana" w:eastAsia="Calibri" w:hAnsi="Verdana" w:cs="Arial"/>
          <w:sz w:val="20"/>
          <w:szCs w:val="20"/>
          <w:lang w:val="es-MX"/>
        </w:rPr>
      </w:pPr>
      <w:r w:rsidRPr="0060163E">
        <w:rPr>
          <w:rFonts w:ascii="Verdana" w:eastAsia="Calibri" w:hAnsi="Verdana" w:cs="Arial"/>
          <w:sz w:val="20"/>
          <w:szCs w:val="20"/>
          <w:lang w:val="es-MX"/>
        </w:rPr>
        <w:t xml:space="preserve">Las limitaciones y restricciones que se contienen en el citado estatuto, predicables de la relación Estado-particulares y que afectan los diversos momentos de formación, celebración y ejecución de los contratos estatales, se refieren a una faceta de la actividad del Estado y en la que se contempla, en los términos de la ley, una especial modalidad de participación o colaboración de los particulares en su papel de contratistas. La ley demandada recae sobre una materia que pertenece al dominio de la esfera estatal y pública, dentro de la cual no rige el principio pro libertate, sino el de legalidad, el que ordena que la función pública debe someterse estrictamente a lo que disponga la Constitución y la ley (CP art. 6). </w:t>
      </w:r>
    </w:p>
    <w:p w14:paraId="3912169F" w14:textId="77777777" w:rsidR="00662485" w:rsidRDefault="00662485" w:rsidP="00662485">
      <w:pPr>
        <w:spacing w:after="0" w:line="240" w:lineRule="auto"/>
        <w:ind w:left="709" w:right="709"/>
        <w:jc w:val="both"/>
        <w:rPr>
          <w:rFonts w:ascii="Verdana" w:eastAsia="Calibri" w:hAnsi="Verdana" w:cs="Arial"/>
          <w:sz w:val="20"/>
          <w:szCs w:val="20"/>
          <w:lang w:val="es-MX"/>
        </w:rPr>
      </w:pPr>
    </w:p>
    <w:p w14:paraId="05FAB4F8" w14:textId="77777777" w:rsidR="00662485" w:rsidRPr="0060163E" w:rsidRDefault="00662485" w:rsidP="00662485">
      <w:pPr>
        <w:spacing w:after="0" w:line="240" w:lineRule="auto"/>
        <w:ind w:left="709" w:right="709"/>
        <w:jc w:val="both"/>
        <w:rPr>
          <w:rFonts w:ascii="Verdana" w:eastAsia="Calibri" w:hAnsi="Verdana" w:cs="Arial"/>
          <w:sz w:val="20"/>
          <w:szCs w:val="20"/>
          <w:lang w:val="es-MX"/>
        </w:rPr>
      </w:pPr>
      <w:r w:rsidRPr="0060163E">
        <w:rPr>
          <w:rFonts w:ascii="Verdana" w:eastAsia="Calibri" w:hAnsi="Verdana" w:cs="Arial"/>
          <w:sz w:val="20"/>
          <w:szCs w:val="20"/>
          <w:lang w:val="es-MX"/>
        </w:rPr>
        <w:t xml:space="preserve">[…] </w:t>
      </w:r>
    </w:p>
    <w:p w14:paraId="7DFD5473" w14:textId="77777777" w:rsidR="00662485" w:rsidRDefault="00662485" w:rsidP="00662485">
      <w:pPr>
        <w:spacing w:after="0" w:line="240" w:lineRule="auto"/>
        <w:ind w:left="709" w:right="709"/>
        <w:jc w:val="both"/>
        <w:rPr>
          <w:rFonts w:ascii="Verdana" w:eastAsia="Calibri" w:hAnsi="Verdana" w:cs="Arial"/>
          <w:sz w:val="20"/>
          <w:szCs w:val="20"/>
          <w:lang w:val="es-MX"/>
        </w:rPr>
      </w:pPr>
    </w:p>
    <w:p w14:paraId="7A9DAF1E" w14:textId="77777777" w:rsidR="00662485" w:rsidRPr="0060163E" w:rsidRDefault="00662485" w:rsidP="00662485">
      <w:pPr>
        <w:spacing w:after="0" w:line="240" w:lineRule="auto"/>
        <w:ind w:left="709" w:right="709"/>
        <w:jc w:val="both"/>
        <w:rPr>
          <w:rFonts w:ascii="Verdana" w:eastAsia="Calibri" w:hAnsi="Verdana" w:cs="Arial"/>
          <w:sz w:val="20"/>
          <w:szCs w:val="20"/>
          <w:lang w:val="es-MX"/>
        </w:rPr>
      </w:pPr>
      <w:r w:rsidRPr="0060163E">
        <w:rPr>
          <w:rFonts w:ascii="Verdana" w:eastAsia="Calibri" w:hAnsi="Verdana" w:cs="Arial"/>
          <w:sz w:val="20"/>
          <w:szCs w:val="20"/>
          <w:lang w:val="es-MX"/>
        </w:rPr>
        <w:t>Se comprende con facilidad que el régimen de inhabilidades e incompatibilidades, corresponde a una materia de normal y obligada inclusión en un estatuto contractual. El legislador, a quien se ha confiado expedir el indicado estatuto, tiene, pues, competencia para establecerlo (CP art. 150)</w:t>
      </w:r>
      <w:r w:rsidRPr="0060163E">
        <w:rPr>
          <w:rFonts w:ascii="Verdana" w:eastAsia="Calibri" w:hAnsi="Verdana" w:cs="Arial"/>
          <w:sz w:val="20"/>
          <w:szCs w:val="20"/>
          <w:vertAlign w:val="superscript"/>
          <w:lang w:val="es-MX"/>
        </w:rPr>
        <w:footnoteReference w:id="4"/>
      </w:r>
      <w:r w:rsidRPr="0060163E">
        <w:rPr>
          <w:rFonts w:ascii="Verdana" w:eastAsia="Calibri" w:hAnsi="Verdana" w:cs="Arial"/>
          <w:sz w:val="20"/>
          <w:szCs w:val="20"/>
          <w:lang w:val="es-MX"/>
        </w:rPr>
        <w:t>.</w:t>
      </w:r>
    </w:p>
    <w:p w14:paraId="0E540F1B" w14:textId="77777777" w:rsidR="00662485" w:rsidRPr="0060163E" w:rsidRDefault="00662485" w:rsidP="00662485">
      <w:pPr>
        <w:spacing w:after="0" w:line="276" w:lineRule="auto"/>
        <w:ind w:left="709" w:right="709"/>
        <w:jc w:val="both"/>
        <w:rPr>
          <w:rFonts w:ascii="Verdana" w:eastAsia="Calibri" w:hAnsi="Verdana" w:cs="Arial"/>
          <w:lang w:val="es-MX"/>
        </w:rPr>
      </w:pPr>
    </w:p>
    <w:p w14:paraId="49D4465D" w14:textId="77777777" w:rsidR="00662485" w:rsidRPr="0060163E" w:rsidRDefault="00662485" w:rsidP="00662485">
      <w:pPr>
        <w:spacing w:after="120" w:line="276" w:lineRule="auto"/>
        <w:ind w:firstLine="709"/>
        <w:jc w:val="both"/>
        <w:rPr>
          <w:rFonts w:ascii="Verdana" w:eastAsia="Calibri" w:hAnsi="Verdana" w:cs="Arial"/>
          <w:lang w:val="es-MX"/>
        </w:rPr>
      </w:pPr>
      <w:r w:rsidRPr="0060163E">
        <w:rPr>
          <w:rFonts w:ascii="Verdana" w:eastAsia="Calibri" w:hAnsi="Verdana" w:cs="Arial"/>
          <w:lang w:val="es-MX"/>
        </w:rPr>
        <w:t xml:space="preserve">Conviene también distinguir las fuentes de las inhabilidades, las cuales han sido clasificadas en dos (2) grupos: i) inhabilidades-sanción y ii) inhabilidades-requisito. En el primer grupo se encuentran las inhabilidades que surgen como consecuencia de un proceso sancionatorio, en los ámbitos penal, </w:t>
      </w:r>
      <w:r w:rsidRPr="0060163E">
        <w:rPr>
          <w:rFonts w:ascii="Verdana" w:eastAsia="Calibri" w:hAnsi="Verdana" w:cs="Arial"/>
          <w:lang w:val="es-MX"/>
        </w:rPr>
        <w:lastRenderedPageBreak/>
        <w:t>disciplinario, contravencional o de pérdida de investidura. En el segundo grupo están aquellas que no devienen de un proceso sancionatorio, sino de condiciones propias de la persona y garantizan la moralidad, la imparcialidad, la eficacia y la transparencia</w:t>
      </w:r>
      <w:r w:rsidRPr="0060163E">
        <w:rPr>
          <w:rFonts w:ascii="Verdana" w:eastAsia="Calibri" w:hAnsi="Verdana" w:cs="Arial"/>
          <w:vertAlign w:val="superscript"/>
          <w:lang w:val="es-MX"/>
        </w:rPr>
        <w:footnoteReference w:id="5"/>
      </w:r>
      <w:r w:rsidRPr="0060163E">
        <w:rPr>
          <w:rFonts w:ascii="Verdana" w:eastAsia="Calibri" w:hAnsi="Verdana" w:cs="Arial"/>
          <w:lang w:val="es-MX"/>
        </w:rPr>
        <w:t>.</w:t>
      </w:r>
    </w:p>
    <w:p w14:paraId="6F9C4988" w14:textId="77777777" w:rsidR="00662485" w:rsidRPr="0060163E" w:rsidRDefault="00662485" w:rsidP="00662485">
      <w:pPr>
        <w:spacing w:before="120" w:after="120" w:line="276" w:lineRule="auto"/>
        <w:ind w:firstLine="708"/>
        <w:jc w:val="both"/>
        <w:rPr>
          <w:rFonts w:ascii="Verdana" w:eastAsia="Calibri" w:hAnsi="Verdana" w:cs="Arial"/>
          <w:lang w:val="es-MX"/>
        </w:rPr>
      </w:pPr>
      <w:r w:rsidRPr="0060163E">
        <w:rPr>
          <w:rFonts w:ascii="Verdana" w:eastAsia="Calibri" w:hAnsi="Verdana" w:cs="Arial"/>
          <w:lang w:val="es-MX"/>
        </w:rPr>
        <w:t>A manera de ejemplo, en materia contractual, los literales c), d) y j) del numeral 1 del artículo 8 de la Ley 80 de 1993</w:t>
      </w:r>
      <w:r w:rsidRPr="0060163E">
        <w:rPr>
          <w:rFonts w:ascii="Verdana" w:eastAsia="Calibri" w:hAnsi="Verdana" w:cs="Arial"/>
          <w:vertAlign w:val="superscript"/>
          <w:lang w:val="es-MX"/>
        </w:rPr>
        <w:footnoteReference w:id="6"/>
      </w:r>
      <w:r w:rsidRPr="0060163E">
        <w:rPr>
          <w:rFonts w:ascii="Verdana" w:eastAsia="Calibri" w:hAnsi="Verdana" w:cs="Arial"/>
          <w:lang w:val="es-MX"/>
        </w:rPr>
        <w:t xml:space="preserve"> establecen inhabilidades-sanción, </w:t>
      </w:r>
      <w:r w:rsidRPr="0060163E">
        <w:rPr>
          <w:rFonts w:ascii="Verdana" w:eastAsia="Calibri" w:hAnsi="Verdana" w:cs="Arial"/>
          <w:lang w:val="es-MX"/>
        </w:rPr>
        <w:lastRenderedPageBreak/>
        <w:t xml:space="preserve">porque la prohibición para contratar con el Estado en esos eventos es una consecuencia de una declaratoria de responsabilidad que surge luego de un proceso sancionatorio –administrativo, disciplinario o penal–; mientras que las inhabilidades de los literales f), g) y h) del numeral 1° de la norma citada establecen inhabilidades–requisito, pues no se configuran por la comisión previa de una falta o un delito que dio lugar a una declaratoria por parte de la Administración o el juez, sino de aspectos propios de la persona, derivados, por ejemplo, del parentesco o la afinidad o de la condición de servidor público. </w:t>
      </w:r>
    </w:p>
    <w:p w14:paraId="59BDC7E3" w14:textId="77777777" w:rsidR="00662485" w:rsidRPr="0060163E" w:rsidRDefault="00662485" w:rsidP="00662485">
      <w:pPr>
        <w:spacing w:before="120" w:after="120" w:line="276" w:lineRule="auto"/>
        <w:ind w:firstLine="709"/>
        <w:jc w:val="both"/>
        <w:rPr>
          <w:rFonts w:ascii="Verdana" w:eastAsia="Calibri" w:hAnsi="Verdana" w:cs="Arial"/>
          <w:lang w:val="es-MX"/>
        </w:rPr>
      </w:pPr>
      <w:r w:rsidRPr="0060163E">
        <w:rPr>
          <w:rFonts w:ascii="Verdana" w:eastAsia="Calibri" w:hAnsi="Verdana" w:cs="Arial"/>
          <w:lang w:val="es-MX"/>
        </w:rPr>
        <w:t xml:space="preserve">En ambos eventos, la inhabilidad tiene como fuente una situación o un hecho propio del proponente –una conducta o una condición– ajena a la oferta. La inhabilidad surge, entre otros, por su grado de parentesco o afinidad, por su condición de servidor público o por una declaratoria de responsabilidad penal, disciplinaria o sancionatoria contractual sobre él. </w:t>
      </w:r>
    </w:p>
    <w:p w14:paraId="60AA3571" w14:textId="77777777" w:rsidR="00662485" w:rsidRPr="0060163E" w:rsidRDefault="00662485" w:rsidP="00662485">
      <w:pPr>
        <w:spacing w:before="120" w:after="120" w:line="276" w:lineRule="auto"/>
        <w:ind w:firstLine="709"/>
        <w:jc w:val="both"/>
        <w:rPr>
          <w:rFonts w:ascii="Verdana" w:eastAsia="Calibri" w:hAnsi="Verdana" w:cs="Arial"/>
          <w:lang w:val="es-ES_tradnl"/>
        </w:rPr>
      </w:pPr>
      <w:r w:rsidRPr="0060163E">
        <w:rPr>
          <w:rFonts w:ascii="Verdana" w:eastAsia="Calibri" w:hAnsi="Verdana" w:cs="Arial"/>
          <w:lang w:val="es-ES_tradnl"/>
        </w:rPr>
        <w:t xml:space="preserve">Ahora bien,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60163E">
        <w:rPr>
          <w:rFonts w:ascii="Verdana" w:eastAsia="Calibri" w:hAnsi="Verdana" w:cs="Arial"/>
          <w:i/>
          <w:iCs/>
          <w:lang w:val="es-ES_tradnl"/>
        </w:rPr>
        <w:t>restrictiva</w:t>
      </w:r>
      <w:r w:rsidRPr="009D0DBE">
        <w:rPr>
          <w:rFonts w:ascii="Verdana" w:eastAsia="Calibri" w:hAnsi="Verdana" w:cs="Arial"/>
          <w:vertAlign w:val="superscript"/>
          <w:lang w:val="es-ES_tradnl"/>
        </w:rPr>
        <w:footnoteReference w:id="7"/>
      </w:r>
      <w:r w:rsidRPr="0060163E">
        <w:rPr>
          <w:rFonts w:ascii="Verdana" w:eastAsia="Calibri" w:hAnsi="Verdana" w:cs="Arial"/>
          <w:i/>
          <w:iCs/>
          <w:lang w:val="es-ES_tradnl"/>
        </w:rPr>
        <w:t xml:space="preserve">, </w:t>
      </w:r>
      <w:r w:rsidRPr="0060163E">
        <w:rPr>
          <w:rFonts w:ascii="Verdana" w:eastAsia="Calibri" w:hAnsi="Verdana" w:cs="Arial"/>
          <w:lang w:val="es-ES_tradnl"/>
        </w:rPr>
        <w:t xml:space="preserve">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7CD1120E" w14:textId="77777777" w:rsidR="00662485" w:rsidRPr="0060163E" w:rsidRDefault="00662485" w:rsidP="00662485">
      <w:pPr>
        <w:spacing w:after="120" w:line="276" w:lineRule="auto"/>
        <w:ind w:firstLine="709"/>
        <w:jc w:val="both"/>
        <w:rPr>
          <w:rFonts w:ascii="Verdana" w:eastAsia="Calibri" w:hAnsi="Verdana" w:cs="Arial"/>
          <w:lang w:val="es-ES_tradnl"/>
        </w:rPr>
      </w:pPr>
      <w:r w:rsidRPr="0060163E">
        <w:rPr>
          <w:rFonts w:ascii="Verdana" w:eastAsia="Calibri" w:hAnsi="Verdana" w:cs="Arial"/>
          <w:lang w:val="es-ES_tradnl"/>
        </w:rPr>
        <w:t xml:space="preserve">En efecto, el máximo tribunal constitucional ha indicado, al tratar de precisar el sentido de este tipo de normas, que </w:t>
      </w:r>
      <w:r>
        <w:rPr>
          <w:rFonts w:ascii="Verdana" w:eastAsia="Calibri" w:hAnsi="Verdana" w:cs="Arial"/>
          <w:lang w:val="es-ES_tradnl"/>
        </w:rPr>
        <w:t>“(…)</w:t>
      </w:r>
      <w:r w:rsidRPr="0060163E">
        <w:rPr>
          <w:rFonts w:ascii="Verdana" w:eastAsia="Calibri" w:hAnsi="Verdana" w:cs="Arial"/>
          <w:lang w:val="es-ES_tradnl"/>
        </w:rPr>
        <w:t xml:space="preserve"> el intérprete de las disposiciones legislativas en la materia ha de ceñirse en la mayor medida posible </w:t>
      </w:r>
      <w:r w:rsidRPr="0060163E">
        <w:rPr>
          <w:rFonts w:ascii="Verdana" w:eastAsia="Calibri" w:hAnsi="Verdana" w:cs="Arial"/>
          <w:lang w:val="es-ES_tradnl"/>
        </w:rPr>
        <w:lastRenderedPageBreak/>
        <w:t>al tenor literal y gramatical de los enunciados normativos, sin que pueda acudir prima facie a criterios interpretativos tales como la analogía, la interpretación extensiva para ampliar el alcance de las causales legalmente fijadas”</w:t>
      </w:r>
      <w:r w:rsidRPr="0060163E">
        <w:rPr>
          <w:rFonts w:ascii="Verdana" w:eastAsia="Calibri" w:hAnsi="Verdana" w:cs="Arial"/>
          <w:vertAlign w:val="superscript"/>
          <w:lang w:val="es-ES_tradnl"/>
        </w:rPr>
        <w:footnoteReference w:id="8"/>
      </w:r>
      <w:r w:rsidRPr="0060163E">
        <w:rPr>
          <w:rFonts w:ascii="Verdana" w:eastAsia="Calibri" w:hAnsi="Verdana" w:cs="Arial"/>
          <w:lang w:val="es-ES_tradnl"/>
        </w:rPr>
        <w:t xml:space="preserve">. </w:t>
      </w:r>
    </w:p>
    <w:p w14:paraId="7BAE9366" w14:textId="77777777" w:rsidR="00662485" w:rsidRPr="0060163E" w:rsidRDefault="00662485" w:rsidP="00662485">
      <w:pPr>
        <w:spacing w:after="0" w:line="276" w:lineRule="auto"/>
        <w:ind w:firstLine="709"/>
        <w:jc w:val="both"/>
        <w:rPr>
          <w:rFonts w:ascii="Verdana" w:eastAsia="Calibri" w:hAnsi="Verdana" w:cs="Arial"/>
          <w:lang w:val="es-ES_tradnl"/>
        </w:rPr>
      </w:pPr>
      <w:r w:rsidRPr="0060163E">
        <w:rPr>
          <w:rFonts w:ascii="Verdana" w:eastAsia="Calibri" w:hAnsi="Verdana" w:cs="Arial"/>
          <w:lang w:val="es-ES_tradnl"/>
        </w:rPr>
        <w:t>Por su parte, el Consejo de Estado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sidRPr="0060163E">
        <w:rPr>
          <w:rFonts w:ascii="Verdana" w:eastAsia="Calibri" w:hAnsi="Verdana" w:cs="Arial"/>
          <w:vertAlign w:val="superscript"/>
          <w:lang w:val="es-ES_tradnl"/>
        </w:rPr>
        <w:footnoteReference w:id="9"/>
      </w:r>
      <w:r w:rsidRPr="0060163E">
        <w:rPr>
          <w:rFonts w:ascii="Verdana" w:eastAsia="Calibri" w:hAnsi="Verdana" w:cs="Arial"/>
          <w:lang w:val="es-ES_tradnl"/>
        </w:rPr>
        <w:t>. En tal sentido, la Sección Tercera ha señalado que:</w:t>
      </w:r>
    </w:p>
    <w:p w14:paraId="7359BB0B" w14:textId="77777777" w:rsidR="00662485" w:rsidRPr="0060163E" w:rsidRDefault="00662485" w:rsidP="00662485">
      <w:pPr>
        <w:spacing w:after="0" w:line="276" w:lineRule="auto"/>
        <w:ind w:firstLine="709"/>
        <w:jc w:val="both"/>
        <w:rPr>
          <w:rFonts w:ascii="Verdana" w:eastAsia="Calibri" w:hAnsi="Verdana" w:cs="Arial"/>
          <w:lang w:val="es-ES_tradnl"/>
        </w:rPr>
      </w:pPr>
    </w:p>
    <w:p w14:paraId="54699319" w14:textId="77777777" w:rsidR="00662485" w:rsidRPr="0060163E" w:rsidRDefault="00662485" w:rsidP="00662485">
      <w:pPr>
        <w:spacing w:after="0" w:line="240" w:lineRule="auto"/>
        <w:ind w:left="709" w:right="709"/>
        <w:jc w:val="both"/>
        <w:rPr>
          <w:rFonts w:ascii="Verdana" w:eastAsia="Calibri" w:hAnsi="Verdana" w:cs="Arial"/>
          <w:sz w:val="20"/>
          <w:szCs w:val="20"/>
          <w:lang w:val="es-ES_tradnl"/>
        </w:rPr>
      </w:pPr>
      <w:r w:rsidRPr="0060163E">
        <w:rPr>
          <w:rFonts w:ascii="Verdana" w:eastAsia="Calibri" w:hAnsi="Verdana" w:cs="Arial"/>
          <w:sz w:val="20"/>
          <w:szCs w:val="20"/>
          <w:lang w:val="es-ES_tradnl"/>
        </w:rPr>
        <w:t>[…] de conformidad con la jurisprudencia uniforme y reiterada de esta Corporación, la aplicación de las normas que contemplan inhabilidades e incompatibilidades, como en general de todas aquellas que comportan prohibiciones o limitaciones, deben responder a una interpretación restrictiva que no permite su extensión, por vía de la figura de la analogía, a supuestos no contemplados por el ordenamiento</w:t>
      </w:r>
      <w:r w:rsidRPr="0060163E">
        <w:rPr>
          <w:rFonts w:ascii="Verdana" w:eastAsia="Calibri" w:hAnsi="Verdana" w:cs="Arial"/>
          <w:sz w:val="20"/>
          <w:szCs w:val="20"/>
          <w:vertAlign w:val="superscript"/>
          <w:lang w:val="es-ES_tradnl"/>
        </w:rPr>
        <w:footnoteReference w:id="10"/>
      </w:r>
      <w:r w:rsidRPr="0060163E">
        <w:rPr>
          <w:rFonts w:ascii="Verdana" w:eastAsia="Calibri" w:hAnsi="Verdana" w:cs="Arial"/>
          <w:sz w:val="20"/>
          <w:szCs w:val="20"/>
          <w:lang w:val="es-ES_tradnl"/>
        </w:rPr>
        <w:t>.</w:t>
      </w:r>
    </w:p>
    <w:p w14:paraId="713D1AE4" w14:textId="77777777" w:rsidR="00662485" w:rsidRPr="0060163E" w:rsidRDefault="00662485" w:rsidP="00662485">
      <w:pPr>
        <w:spacing w:after="0" w:line="240" w:lineRule="auto"/>
        <w:ind w:firstLine="709"/>
        <w:jc w:val="both"/>
        <w:rPr>
          <w:rFonts w:ascii="Verdana" w:eastAsia="Calibri" w:hAnsi="Verdana" w:cs="Arial"/>
          <w:sz w:val="20"/>
          <w:szCs w:val="20"/>
          <w:lang w:val="es-ES_tradnl"/>
        </w:rPr>
      </w:pPr>
    </w:p>
    <w:p w14:paraId="503DA3D9" w14:textId="77777777" w:rsidR="00662485" w:rsidRPr="0060163E" w:rsidRDefault="00662485" w:rsidP="00662485">
      <w:pPr>
        <w:spacing w:after="0" w:line="240" w:lineRule="auto"/>
        <w:ind w:firstLine="709"/>
        <w:jc w:val="both"/>
        <w:rPr>
          <w:rFonts w:ascii="Verdana" w:eastAsia="Calibri" w:hAnsi="Verdana" w:cs="Arial"/>
          <w:sz w:val="20"/>
          <w:szCs w:val="20"/>
          <w:lang w:val="es-ES_tradnl"/>
        </w:rPr>
      </w:pPr>
      <w:r w:rsidRPr="0060163E">
        <w:rPr>
          <w:rFonts w:ascii="Verdana" w:eastAsia="Calibri" w:hAnsi="Verdana" w:cs="Arial"/>
          <w:sz w:val="20"/>
          <w:szCs w:val="20"/>
          <w:lang w:val="es-ES_tradnl"/>
        </w:rPr>
        <w:t>También ha dicho que:</w:t>
      </w:r>
    </w:p>
    <w:p w14:paraId="67C3A1F5" w14:textId="77777777" w:rsidR="00662485" w:rsidRPr="0060163E" w:rsidRDefault="00662485" w:rsidP="00662485">
      <w:pPr>
        <w:spacing w:after="0" w:line="240" w:lineRule="auto"/>
        <w:ind w:left="709" w:right="616"/>
        <w:jc w:val="both"/>
        <w:rPr>
          <w:rFonts w:ascii="Verdana" w:eastAsia="Calibri" w:hAnsi="Verdana" w:cs="Arial"/>
          <w:sz w:val="20"/>
          <w:szCs w:val="20"/>
          <w:lang w:val="es-ES"/>
        </w:rPr>
      </w:pPr>
      <w:r w:rsidRPr="0060163E">
        <w:rPr>
          <w:rFonts w:ascii="Verdana" w:eastAsia="Calibri" w:hAnsi="Verdana" w:cs="Arial"/>
          <w:sz w:val="20"/>
          <w:szCs w:val="20"/>
          <w:lang w:val="es-ES"/>
        </w:rPr>
        <w:t xml:space="preserve">[…] la aplicación de estos preceptos exige una interpretación restrictiva, dado que según el principio hermenéutico </w:t>
      </w:r>
      <w:r w:rsidRPr="0060163E">
        <w:rPr>
          <w:rFonts w:ascii="Verdana" w:eastAsia="Calibri" w:hAnsi="Verdana" w:cs="Arial"/>
          <w:i/>
          <w:iCs/>
          <w:sz w:val="20"/>
          <w:szCs w:val="20"/>
          <w:lang w:val="es-ES"/>
        </w:rPr>
        <w:t xml:space="preserve">pro </w:t>
      </w:r>
      <w:proofErr w:type="spellStart"/>
      <w:r w:rsidRPr="0060163E">
        <w:rPr>
          <w:rFonts w:ascii="Verdana" w:eastAsia="Calibri" w:hAnsi="Verdana" w:cs="Arial"/>
          <w:i/>
          <w:iCs/>
          <w:sz w:val="20"/>
          <w:szCs w:val="20"/>
          <w:lang w:val="es-ES"/>
        </w:rPr>
        <w:t>libertate</w:t>
      </w:r>
      <w:proofErr w:type="spellEnd"/>
      <w:r w:rsidRPr="0060163E">
        <w:rPr>
          <w:rFonts w:ascii="Verdana" w:eastAsia="Calibri" w:hAnsi="Verdana" w:cs="Arial"/>
          <w:sz w:val="20"/>
          <w:szCs w:val="20"/>
          <w:lang w:val="es-ES"/>
        </w:rPr>
        <w:t xml:space="preserve">, entre varias interpretaciones posibles de una norma que regula una inhabilidad, debe preferirse aquella que menos limita el derecho de las personas; en otros términos, se encuentra prohibida constitucionalmente la interpretación extensiva de las causales de inhabilidad, toda vez que las palabras de la ley son la frontera que no se puede traspasar en el ejercicio hermenéutico de las mismas, pues de hacerlo se vulnerarían los derechos fundamentales al debido proceso (art. 29 CN) y a la igualdad (art. 13 Ibid.) </w:t>
      </w:r>
      <w:r>
        <w:rPr>
          <w:rFonts w:ascii="Verdana" w:eastAsia="Calibri" w:hAnsi="Verdana" w:cs="Arial"/>
          <w:sz w:val="20"/>
          <w:szCs w:val="20"/>
          <w:lang w:val="es-ES"/>
        </w:rPr>
        <w:t>(…)”</w:t>
      </w:r>
      <w:r w:rsidRPr="0060163E">
        <w:rPr>
          <w:rFonts w:ascii="Verdana" w:eastAsia="Calibri" w:hAnsi="Verdana" w:cs="Arial"/>
          <w:sz w:val="20"/>
          <w:szCs w:val="20"/>
          <w:vertAlign w:val="superscript"/>
          <w:lang w:val="es-ES"/>
        </w:rPr>
        <w:footnoteReference w:id="11"/>
      </w:r>
      <w:r w:rsidRPr="0060163E">
        <w:rPr>
          <w:rFonts w:ascii="Verdana" w:eastAsia="Calibri" w:hAnsi="Verdana" w:cs="Arial"/>
          <w:sz w:val="20"/>
          <w:szCs w:val="20"/>
          <w:lang w:val="es-ES"/>
        </w:rPr>
        <w:t>.</w:t>
      </w:r>
    </w:p>
    <w:p w14:paraId="572923F2" w14:textId="77777777" w:rsidR="00662485" w:rsidRPr="0060163E" w:rsidRDefault="00662485" w:rsidP="00662485">
      <w:pPr>
        <w:spacing w:after="0" w:line="276" w:lineRule="auto"/>
        <w:jc w:val="both"/>
        <w:rPr>
          <w:rFonts w:ascii="Verdana" w:eastAsia="Arial" w:hAnsi="Verdana" w:cs="Arial"/>
          <w:color w:val="000000"/>
          <w:lang w:val="es-ES_tradnl"/>
        </w:rPr>
      </w:pPr>
    </w:p>
    <w:p w14:paraId="6054E2FD" w14:textId="77777777" w:rsidR="00662485" w:rsidRPr="0060163E" w:rsidRDefault="00662485" w:rsidP="00662485">
      <w:pPr>
        <w:spacing w:after="120" w:line="276" w:lineRule="auto"/>
        <w:ind w:firstLine="708"/>
        <w:jc w:val="both"/>
        <w:rPr>
          <w:rFonts w:ascii="Verdana" w:eastAsia="Calibri" w:hAnsi="Verdana" w:cs="Arial"/>
          <w:color w:val="000000"/>
          <w:lang w:val="es-MX"/>
        </w:rPr>
      </w:pPr>
      <w:r w:rsidRPr="0060163E">
        <w:rPr>
          <w:rFonts w:ascii="Verdana" w:eastAsia="Arial" w:hAnsi="Verdana" w:cs="Arial"/>
          <w:color w:val="000000"/>
          <w:lang w:val="es-ES_tradnl"/>
        </w:rPr>
        <w:t xml:space="preserve">Como se aprecia, el principio </w:t>
      </w:r>
      <w:r w:rsidRPr="0060163E">
        <w:rPr>
          <w:rFonts w:ascii="Verdana" w:eastAsia="Arial" w:hAnsi="Verdana" w:cs="Arial"/>
          <w:i/>
          <w:iCs/>
          <w:color w:val="000000"/>
          <w:lang w:val="es-ES_tradnl"/>
        </w:rPr>
        <w:t xml:space="preserve">pro </w:t>
      </w:r>
      <w:proofErr w:type="spellStart"/>
      <w:r w:rsidRPr="0060163E">
        <w:rPr>
          <w:rFonts w:ascii="Verdana" w:eastAsia="Arial" w:hAnsi="Verdana" w:cs="Arial"/>
          <w:i/>
          <w:iCs/>
          <w:color w:val="000000"/>
          <w:lang w:val="es-ES_tradnl"/>
        </w:rPr>
        <w:t>libertate</w:t>
      </w:r>
      <w:proofErr w:type="spellEnd"/>
      <w:r w:rsidRPr="0060163E">
        <w:rPr>
          <w:rFonts w:ascii="Verdana" w:eastAsia="Arial" w:hAnsi="Verdana" w:cs="Arial"/>
          <w:color w:val="000000"/>
          <w:lang w:val="es-ES_tradnl"/>
        </w:rPr>
        <w:t xml:space="preserve"> es el que debe dirigir la interpretación de las disposiciones normativas que consagran restricciones de </w:t>
      </w:r>
      <w:r w:rsidRPr="0060163E">
        <w:rPr>
          <w:rFonts w:ascii="Verdana" w:eastAsia="Arial" w:hAnsi="Verdana" w:cs="Arial"/>
          <w:color w:val="000000"/>
          <w:lang w:val="es-ES_tradnl"/>
        </w:rPr>
        <w:lastRenderedPageBreak/>
        <w:t>derechos, como sucede con las causales de inhabilidad e incompatibilidad en la contratación estatal. Además, en relación con la determinación de las causales de inhabilidad e incompatibilidad, la</w:t>
      </w:r>
      <w:r w:rsidRPr="0060163E">
        <w:rPr>
          <w:rFonts w:ascii="Verdana" w:eastAsia="Calibri" w:hAnsi="Verdana" w:cs="Arial"/>
          <w:color w:val="000000"/>
          <w:lang w:val="es-MX"/>
        </w:rPr>
        <w:t xml:space="preserve"> Corte Constitucional ha resaltado que la competencia para determinar qué hechos o situaciones generan inhabilidades o incompatibilidades para contratar con el Estado la tiene el legislador, pues este régimen es un aspecto propio del Estatuto General de la Contratación de la Administración Pública, cuya expedición compete al Congreso de la República, conforme al artículo 150 de la Constitución Política, y que en esta materia rige el principio de legalidad</w:t>
      </w:r>
      <w:r w:rsidRPr="0060163E">
        <w:rPr>
          <w:rFonts w:ascii="Verdana" w:eastAsia="Calibri" w:hAnsi="Verdana" w:cs="Arial"/>
          <w:color w:val="000000"/>
          <w:vertAlign w:val="superscript"/>
          <w:lang w:val="es-MX"/>
        </w:rPr>
        <w:footnoteReference w:id="12"/>
      </w:r>
    </w:p>
    <w:p w14:paraId="3394E937" w14:textId="77777777" w:rsidR="00662485" w:rsidRPr="0060163E" w:rsidRDefault="00662485" w:rsidP="00662485">
      <w:pPr>
        <w:spacing w:after="120" w:line="276" w:lineRule="auto"/>
        <w:ind w:firstLine="708"/>
        <w:jc w:val="both"/>
        <w:rPr>
          <w:rFonts w:ascii="Verdana" w:eastAsia="Calibri" w:hAnsi="Verdana" w:cs="Arial"/>
          <w:lang w:val="es-ES"/>
        </w:rPr>
      </w:pPr>
      <w:r>
        <w:rPr>
          <w:rFonts w:ascii="Verdana" w:eastAsia="Calibri" w:hAnsi="Verdana" w:cs="Arial"/>
          <w:lang w:val="es-ES"/>
        </w:rPr>
        <w:t xml:space="preserve">Ahora bien, en relación con la inhabilidad para contratar por parentesco, la Ley 80 de 1993 en su artículo 8, establece en el literal </w:t>
      </w:r>
      <w:r w:rsidRPr="0060163E">
        <w:rPr>
          <w:rFonts w:ascii="Verdana" w:eastAsia="Calibri" w:hAnsi="Verdana" w:cs="Arial"/>
          <w:lang w:val="es-ES"/>
        </w:rPr>
        <w:t xml:space="preserve">b) del numeral 2°, </w:t>
      </w:r>
      <w:r>
        <w:rPr>
          <w:rFonts w:ascii="Verdana" w:eastAsia="Calibri" w:hAnsi="Verdana" w:cs="Arial"/>
          <w:lang w:val="es-ES"/>
        </w:rPr>
        <w:t>que</w:t>
      </w:r>
      <w:r w:rsidRPr="0060163E">
        <w:rPr>
          <w:rFonts w:ascii="Verdana" w:eastAsia="Calibri" w:hAnsi="Verdana" w:cs="Arial"/>
          <w:lang w:val="es-ES"/>
        </w:rPr>
        <w:t xml:space="preserve"> no podrán participar en procedimientos de selección ni celebrar contratos estatales con la entidad respectiva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w:t>
      </w:r>
    </w:p>
    <w:p w14:paraId="72C3ACA2" w14:textId="77777777" w:rsidR="00662485" w:rsidRPr="0060163E" w:rsidRDefault="00662485" w:rsidP="00662485">
      <w:pPr>
        <w:spacing w:after="120" w:line="276" w:lineRule="auto"/>
        <w:ind w:firstLine="708"/>
        <w:jc w:val="both"/>
        <w:rPr>
          <w:rFonts w:ascii="Verdana" w:eastAsia="Calibri" w:hAnsi="Verdana" w:cs="Arial"/>
          <w:lang w:val="es-ES_tradnl"/>
        </w:rPr>
      </w:pPr>
      <w:r w:rsidRPr="0060163E">
        <w:rPr>
          <w:rFonts w:ascii="Verdana" w:eastAsia="Calibri" w:hAnsi="Verdana" w:cs="Arial"/>
          <w:lang w:val="es-ES_tradnl"/>
        </w:rPr>
        <w:t>De acuerdo con lo explicado por la Corte Constitucional en la Sentencia C-429 de 1997, protege el principio de moralidad administrativa, ya que “[…]</w:t>
      </w:r>
      <w:r w:rsidRPr="0060163E">
        <w:rPr>
          <w:rFonts w:ascii="Verdana" w:eastAsia="Calibri" w:hAnsi="Verdana" w:cs="Times New Roman"/>
          <w:lang w:val="es-MX"/>
        </w:rPr>
        <w:t xml:space="preserve"> </w:t>
      </w:r>
      <w:r w:rsidRPr="0060163E">
        <w:rPr>
          <w:rFonts w:ascii="Verdana" w:eastAsia="Calibri" w:hAnsi="Verdana" w:cs="Arial"/>
          <w:lang w:val="es-ES_tradnl"/>
        </w:rPr>
        <w:t>se dirige a los familiares de aquellas personas que gozan del poder de decisión de adjudicar contratos, o pueden tener influencias que razonablemente puedan determinar la decisión, pues en tales casos esos vínculos colocan en peligro la transparencia y seriedad del proceso de contratación administrativa”.</w:t>
      </w:r>
    </w:p>
    <w:p w14:paraId="57C2B1E5" w14:textId="2C1E2BFF" w:rsidR="00662485" w:rsidRDefault="00662485" w:rsidP="00662485">
      <w:pPr>
        <w:widowControl w:val="0"/>
        <w:autoSpaceDE w:val="0"/>
        <w:autoSpaceDN w:val="0"/>
        <w:spacing w:after="120" w:line="276" w:lineRule="auto"/>
        <w:ind w:firstLine="708"/>
        <w:jc w:val="both"/>
        <w:rPr>
          <w:rFonts w:ascii="Verdana" w:eastAsia="Calibri" w:hAnsi="Verdana" w:cs="Arial"/>
          <w:lang w:val="es-ES_tradnl"/>
        </w:rPr>
      </w:pPr>
      <w:r w:rsidRPr="0060163E">
        <w:rPr>
          <w:rFonts w:ascii="Verdana" w:eastAsia="Calibri" w:hAnsi="Verdana" w:cs="Arial"/>
          <w:lang w:val="es-ES_tradnl"/>
        </w:rPr>
        <w:t xml:space="preserve">Esta inhabilidad es </w:t>
      </w:r>
      <w:r w:rsidR="00F90101">
        <w:rPr>
          <w:rFonts w:ascii="Verdana" w:eastAsia="Calibri" w:hAnsi="Verdana" w:cs="Arial"/>
          <w:lang w:val="es-ES_tradnl"/>
        </w:rPr>
        <w:t xml:space="preserve">la </w:t>
      </w:r>
      <w:r w:rsidRPr="0060163E">
        <w:rPr>
          <w:rFonts w:ascii="Verdana" w:eastAsia="Calibri" w:hAnsi="Verdana" w:cs="Arial"/>
          <w:i/>
          <w:iCs/>
          <w:lang w:val="es-ES_tradnl"/>
        </w:rPr>
        <w:t>regla general</w:t>
      </w:r>
      <w:r w:rsidRPr="0060163E">
        <w:rPr>
          <w:rFonts w:ascii="Verdana" w:eastAsia="Calibri" w:hAnsi="Verdana" w:cs="Arial"/>
          <w:lang w:val="es-ES_tradnl"/>
        </w:rPr>
        <w:t xml:space="preserve"> tanto para las entidades sometidas al EGCAP como a las del régimen exceptuado</w:t>
      </w:r>
      <w:r w:rsidRPr="0060163E">
        <w:rPr>
          <w:rFonts w:ascii="Verdana" w:eastAsia="Calibri" w:hAnsi="Verdana" w:cs="Arial"/>
          <w:vertAlign w:val="superscript"/>
          <w:lang w:val="es-ES_tradnl"/>
        </w:rPr>
        <w:footnoteReference w:id="13"/>
      </w:r>
      <w:r w:rsidRPr="0060163E">
        <w:rPr>
          <w:rFonts w:ascii="Verdana" w:eastAsia="Calibri" w:hAnsi="Verdana" w:cs="Arial"/>
          <w:lang w:val="es-ES_tradnl"/>
        </w:rPr>
        <w:t xml:space="preserve">. No obstante, considerando que –conforme al artículo 8, literal a) del numeral 1, de la Ley 80 de 1993– las personas que se hallen inhabilitadas para contratar por la Constitución y las leyes no pueden participar en procedimientos de selección ni celebrar contratos, el inciso tercero del artículo 49 de la Ley 617 de 2000 –modificado por las Leyes 821 de 2003, 1148 de 2007 y 1296 de 2009– introduce una </w:t>
      </w:r>
      <w:r w:rsidRPr="0060163E">
        <w:rPr>
          <w:rFonts w:ascii="Verdana" w:eastAsia="Calibri" w:hAnsi="Verdana" w:cs="Arial"/>
          <w:i/>
          <w:iCs/>
          <w:lang w:val="es-ES_tradnl"/>
        </w:rPr>
        <w:t>regla especial</w:t>
      </w:r>
      <w:r w:rsidRPr="0060163E">
        <w:rPr>
          <w:rFonts w:ascii="Verdana" w:eastAsia="Calibri" w:hAnsi="Verdana" w:cs="Arial"/>
          <w:lang w:val="es-ES_tradnl"/>
        </w:rPr>
        <w:t xml:space="preserve"> que </w:t>
      </w:r>
      <w:r w:rsidRPr="0060163E">
        <w:rPr>
          <w:rFonts w:ascii="Verdana" w:eastAsia="Calibri" w:hAnsi="Verdana" w:cs="Arial"/>
          <w:lang w:val="es-ES_tradnl"/>
        </w:rPr>
        <w:lastRenderedPageBreak/>
        <w:t>restringe la contratación de las gobernaciones, asambleas, alcaldías y concejos</w:t>
      </w:r>
      <w:r>
        <w:rPr>
          <w:rFonts w:ascii="Verdana" w:eastAsia="Calibri" w:hAnsi="Verdana" w:cs="Arial"/>
          <w:lang w:val="es-ES_tradnl"/>
        </w:rPr>
        <w:t>:</w:t>
      </w:r>
    </w:p>
    <w:p w14:paraId="632F7F85" w14:textId="77777777" w:rsidR="00662485" w:rsidRDefault="00662485" w:rsidP="00662485">
      <w:pPr>
        <w:widowControl w:val="0"/>
        <w:autoSpaceDE w:val="0"/>
        <w:autoSpaceDN w:val="0"/>
        <w:spacing w:after="0" w:line="240" w:lineRule="auto"/>
        <w:ind w:left="709" w:right="760"/>
        <w:jc w:val="both"/>
        <w:rPr>
          <w:rFonts w:ascii="Verdana" w:eastAsia="Calibri" w:hAnsi="Verdana" w:cs="Arial"/>
          <w:sz w:val="20"/>
          <w:szCs w:val="20"/>
          <w:lang w:val="es-ES_tradnl"/>
        </w:rPr>
      </w:pPr>
      <w:r>
        <w:rPr>
          <w:rFonts w:ascii="Verdana" w:eastAsia="Calibri" w:hAnsi="Verdana" w:cs="Arial"/>
          <w:sz w:val="20"/>
          <w:szCs w:val="20"/>
          <w:lang w:val="es-ES_tradnl"/>
        </w:rPr>
        <w:t>“(…)</w:t>
      </w:r>
      <w:r w:rsidRPr="008420DA">
        <w:rPr>
          <w:rFonts w:ascii="Verdana" w:eastAsia="Calibri" w:hAnsi="Verdana" w:cs="Arial"/>
          <w:sz w:val="20"/>
          <w:szCs w:val="20"/>
          <w:lang w:val="es-ES_tradnl"/>
        </w:rPr>
        <w:t xml:space="preserve"> </w:t>
      </w:r>
      <w:r w:rsidRPr="008420DA">
        <w:rPr>
          <w:rFonts w:ascii="Verdana" w:hAnsi="Verdana" w:cs="Open Sans"/>
          <w:sz w:val="20"/>
          <w:szCs w:val="20"/>
        </w:rPr>
        <w:t>Los cónyuges o </w:t>
      </w:r>
      <w:r w:rsidRPr="008420DA">
        <w:rPr>
          <w:rFonts w:ascii="Verdana" w:hAnsi="Verdana" w:cs="Open Sans"/>
          <w:sz w:val="20"/>
          <w:szCs w:val="20"/>
          <w:u w:val="single"/>
        </w:rPr>
        <w:t>compañeros permanentes</w:t>
      </w:r>
      <w:r w:rsidRPr="008420DA">
        <w:rPr>
          <w:rFonts w:ascii="Verdana" w:hAnsi="Verdana" w:cs="Open Sans"/>
          <w:sz w:val="20"/>
          <w:szCs w:val="20"/>
        </w:rPr>
        <w:t> de los gobernadores, diputados, alcaldes municipales y distritales, concejales municipales y distritales y sus parientes </w:t>
      </w:r>
      <w:r w:rsidRPr="008420DA">
        <w:rPr>
          <w:rStyle w:val="iaj"/>
          <w:rFonts w:ascii="Verdana" w:hAnsi="Verdana" w:cs="Open Sans"/>
          <w:i/>
          <w:iCs/>
          <w:sz w:val="20"/>
          <w:szCs w:val="20"/>
        </w:rPr>
        <w:t>dentro del cuarto grado de consanguinidad,</w:t>
      </w:r>
      <w:r w:rsidRPr="008420DA">
        <w:rPr>
          <w:rFonts w:ascii="Verdana" w:hAnsi="Verdana" w:cs="Open Sans"/>
          <w:sz w:val="20"/>
          <w:szCs w:val="20"/>
        </w:rPr>
        <w:t> segundo de afinidad, o primero civil </w:t>
      </w:r>
      <w:r w:rsidRPr="008420DA">
        <w:rPr>
          <w:rStyle w:val="iaj"/>
          <w:rFonts w:ascii="Verdana" w:hAnsi="Verdana" w:cs="Open Sans"/>
          <w:i/>
          <w:iCs/>
          <w:sz w:val="20"/>
          <w:szCs w:val="20"/>
        </w:rPr>
        <w:t>no podrán ser contratistas</w:t>
      </w:r>
      <w:r w:rsidRPr="008420DA">
        <w:rPr>
          <w:rFonts w:ascii="Verdana" w:hAnsi="Verdana" w:cs="Open Sans"/>
          <w:sz w:val="20"/>
          <w:szCs w:val="20"/>
        </w:rPr>
        <w:t> del respectivo departamento, distrito o municipio, o de sus entidades descentralizadas, ni directa, ni indirectamente</w:t>
      </w:r>
      <w:r>
        <w:rPr>
          <w:rFonts w:ascii="Verdana" w:hAnsi="Verdana" w:cs="Open Sans"/>
          <w:sz w:val="20"/>
          <w:szCs w:val="20"/>
        </w:rPr>
        <w:t xml:space="preserve"> (</w:t>
      </w:r>
      <w:r w:rsidRPr="008420DA">
        <w:rPr>
          <w:rFonts w:ascii="Verdana" w:hAnsi="Verdana" w:cs="Open Sans"/>
          <w:sz w:val="20"/>
          <w:szCs w:val="20"/>
        </w:rPr>
        <w:t>…</w:t>
      </w:r>
      <w:r>
        <w:rPr>
          <w:rFonts w:ascii="Verdana" w:hAnsi="Verdana" w:cs="Open Sans"/>
          <w:sz w:val="20"/>
          <w:szCs w:val="20"/>
        </w:rPr>
        <w:t>)”.</w:t>
      </w:r>
    </w:p>
    <w:p w14:paraId="303C0FA6" w14:textId="77777777" w:rsidR="00662485" w:rsidRPr="00327FFB" w:rsidRDefault="00662485" w:rsidP="00662485">
      <w:pPr>
        <w:widowControl w:val="0"/>
        <w:autoSpaceDE w:val="0"/>
        <w:autoSpaceDN w:val="0"/>
        <w:spacing w:after="0" w:line="240" w:lineRule="auto"/>
        <w:ind w:left="709" w:right="760"/>
        <w:jc w:val="both"/>
        <w:rPr>
          <w:rFonts w:ascii="Verdana" w:eastAsia="Calibri" w:hAnsi="Verdana" w:cs="Arial"/>
          <w:sz w:val="20"/>
          <w:szCs w:val="20"/>
          <w:lang w:val="es-ES_tradnl"/>
        </w:rPr>
      </w:pPr>
    </w:p>
    <w:p w14:paraId="0B31103A" w14:textId="77777777" w:rsidR="00662485" w:rsidRPr="008420DA" w:rsidRDefault="00662485" w:rsidP="00662485">
      <w:pPr>
        <w:widowControl w:val="0"/>
        <w:autoSpaceDE w:val="0"/>
        <w:autoSpaceDN w:val="0"/>
        <w:spacing w:after="120" w:line="276" w:lineRule="auto"/>
        <w:ind w:firstLine="709"/>
        <w:jc w:val="both"/>
        <w:rPr>
          <w:rFonts w:ascii="Verdana" w:eastAsia="Calibri" w:hAnsi="Verdana" w:cs="Arial"/>
          <w:lang w:val="es-ES"/>
        </w:rPr>
      </w:pPr>
      <w:r>
        <w:rPr>
          <w:rFonts w:ascii="Verdana" w:eastAsia="Calibri" w:hAnsi="Verdana" w:cs="Arial"/>
          <w:lang w:val="es-ES"/>
        </w:rPr>
        <w:t xml:space="preserve">Además, el parágrafo tercero del mismo </w:t>
      </w:r>
      <w:r w:rsidRPr="0060163E">
        <w:rPr>
          <w:rFonts w:ascii="Verdana" w:eastAsia="Calibri" w:hAnsi="Verdana" w:cs="Arial"/>
          <w:lang w:val="es-ES_tradnl"/>
        </w:rPr>
        <w:t>artículo 49 de la Ley 617 de 2000</w:t>
      </w:r>
      <w:r>
        <w:rPr>
          <w:rFonts w:ascii="Verdana" w:eastAsia="Calibri" w:hAnsi="Verdana" w:cs="Arial"/>
          <w:lang w:val="es-ES_tradnl"/>
        </w:rPr>
        <w:t xml:space="preserve"> hace una distinción para los concejales municipios de cuarta, quinta y sexta categoría en tanto</w:t>
      </w:r>
      <w:r w:rsidRPr="008420DA">
        <w:rPr>
          <w:rFonts w:ascii="Verdana" w:eastAsia="Calibri" w:hAnsi="Verdana" w:cs="Arial"/>
          <w:lang w:val="es-ES_tradnl"/>
        </w:rPr>
        <w:t>: “</w:t>
      </w:r>
      <w:r w:rsidRPr="008420DA">
        <w:rPr>
          <w:rFonts w:ascii="Verdana" w:hAnsi="Verdana" w:cs="Open Sans"/>
        </w:rPr>
        <w:t>Tratándose de concejales de municipios de cuarta, quinta y sexta categoría, las prohibiciones establecidas en el presente artículo se aplicarán únicamente para los cónyuges o </w:t>
      </w:r>
      <w:r w:rsidRPr="008420DA">
        <w:rPr>
          <w:rFonts w:ascii="Verdana" w:hAnsi="Verdana" w:cs="Open Sans"/>
          <w:u w:val="single"/>
        </w:rPr>
        <w:t>compañeros permanentes</w:t>
      </w:r>
      <w:r w:rsidRPr="008420DA">
        <w:rPr>
          <w:rFonts w:ascii="Verdana" w:hAnsi="Verdana" w:cs="Open Sans"/>
        </w:rPr>
        <w:t> y parientes hasta el segundo grado de consanguinidad, primero de afinidad o único civil.”</w:t>
      </w:r>
    </w:p>
    <w:p w14:paraId="74482808" w14:textId="77777777" w:rsidR="00662485" w:rsidRDefault="00662485" w:rsidP="00662485">
      <w:pPr>
        <w:widowControl w:val="0"/>
        <w:autoSpaceDE w:val="0"/>
        <w:autoSpaceDN w:val="0"/>
        <w:spacing w:after="120" w:line="276" w:lineRule="auto"/>
        <w:ind w:firstLine="709"/>
        <w:jc w:val="both"/>
        <w:rPr>
          <w:rFonts w:ascii="Verdana" w:eastAsia="Calibri" w:hAnsi="Verdana" w:cs="Arial"/>
          <w:lang w:val="es-ES"/>
        </w:rPr>
      </w:pPr>
      <w:r w:rsidRPr="008420DA">
        <w:rPr>
          <w:rFonts w:ascii="Verdana" w:eastAsia="Calibri" w:hAnsi="Verdana" w:cs="Arial"/>
          <w:lang w:val="es-ES"/>
        </w:rPr>
        <w:t>Teniendo en cue</w:t>
      </w:r>
      <w:r>
        <w:rPr>
          <w:rFonts w:ascii="Verdana" w:eastAsia="Calibri" w:hAnsi="Verdana" w:cs="Arial"/>
          <w:lang w:val="es-ES"/>
        </w:rPr>
        <w:t>nta dicha distinción, se resalta que la expresión “dentro del cuarto grado de consanguinidad” del inciso tercero del artículo 49 de la Ley 617 de 2000 fue declarada exequible por la Corte Constitucional</w:t>
      </w:r>
      <w:r>
        <w:rPr>
          <w:rStyle w:val="Refdenotaalpie"/>
          <w:rFonts w:ascii="Verdana" w:eastAsia="Calibri" w:hAnsi="Verdana" w:cs="Arial"/>
          <w:lang w:val="es-ES"/>
        </w:rPr>
        <w:footnoteReference w:id="14"/>
      </w:r>
      <w:r>
        <w:rPr>
          <w:rFonts w:ascii="Verdana" w:eastAsia="Calibri" w:hAnsi="Verdana" w:cs="Arial"/>
          <w:lang w:val="es-ES"/>
        </w:rPr>
        <w:t>, ante la demanda de constitucionalidad que argumentaba una vulneración al derecho a la igualdad, dado que en otras disposiciones normativas sobre inhabilidades solo se incluía hasta el segundo grado de consanguinidad, argumentando que:</w:t>
      </w:r>
    </w:p>
    <w:p w14:paraId="0F34A622" w14:textId="77777777" w:rsidR="00662485" w:rsidRDefault="00662485" w:rsidP="00662485">
      <w:pPr>
        <w:spacing w:after="0" w:line="240" w:lineRule="auto"/>
        <w:ind w:left="709" w:right="760"/>
        <w:jc w:val="both"/>
        <w:rPr>
          <w:rFonts w:ascii="Verdana" w:eastAsia="Times New Roman" w:hAnsi="Verdana" w:cs="Open Sans"/>
          <w:color w:val="000000"/>
          <w:sz w:val="20"/>
          <w:szCs w:val="20"/>
          <w:lang w:eastAsia="es-CO"/>
        </w:rPr>
      </w:pPr>
      <w:r>
        <w:rPr>
          <w:rFonts w:ascii="Open Sans" w:eastAsia="Times New Roman" w:hAnsi="Open Sans" w:cs="Open Sans"/>
          <w:b/>
          <w:bCs/>
          <w:color w:val="000000"/>
          <w:sz w:val="17"/>
          <w:szCs w:val="17"/>
          <w:lang w:eastAsia="es-CO"/>
        </w:rPr>
        <w:t xml:space="preserve"> </w:t>
      </w:r>
      <w:r>
        <w:rPr>
          <w:rFonts w:ascii="Verdana" w:eastAsia="Times New Roman" w:hAnsi="Verdana" w:cs="Open Sans"/>
          <w:color w:val="000000"/>
          <w:sz w:val="20"/>
          <w:szCs w:val="20"/>
          <w:lang w:eastAsia="es-CO"/>
        </w:rPr>
        <w:t xml:space="preserve">“(…) </w:t>
      </w:r>
      <w:r w:rsidRPr="00C83B98">
        <w:rPr>
          <w:rFonts w:ascii="Verdana" w:eastAsia="Times New Roman" w:hAnsi="Verdana" w:cs="Open Sans"/>
          <w:color w:val="000000"/>
          <w:sz w:val="20"/>
          <w:szCs w:val="20"/>
          <w:lang w:eastAsia="es-CO"/>
        </w:rPr>
        <w:t>Para la Sala, el trato diferenciado que contiene la disposición que se demanda es idóneo o adecuado para lograr la finalidad que persigue. En efecto, al hacer más estricto el régimen de inhabilidades de los parientes de los gobernadores, diputados, alcaldes y concejales para contratar con la respectiva entidad territorial, maximiza la realización de los principios constitucionales de prevalencia del interés general, moralidad e imparcialidad, que orientan la función administrativa. Esto es así, por cuanto, al impedir que en un mayor número de casos se presenten eventuales conflictos de interés en el ejercicio de la función administrativa por parte de estos servidores públicos, existe una mayor garantía en abstracto de que en los procesos de selección de contratistas del Estado no prevalezcan las relaciones de parentesco que puedan tener algunos de los oferentes con estos servidores públicos. De esta forma, es presumible inferir que la disposición logra una mayor realización de aquellos principios, que una norma que limite el régimen de inhabilidades sólo a los parientes de aquellos servidores únicamente hasta el segundo grado de consanguinidad.</w:t>
      </w:r>
    </w:p>
    <w:p w14:paraId="71D61721" w14:textId="77777777" w:rsidR="00662485" w:rsidRPr="00C83B98" w:rsidRDefault="00662485" w:rsidP="00662485">
      <w:pPr>
        <w:spacing w:after="0" w:line="240" w:lineRule="auto"/>
        <w:ind w:left="709" w:right="760"/>
        <w:jc w:val="both"/>
        <w:rPr>
          <w:rFonts w:ascii="Verdana" w:eastAsia="Times New Roman" w:hAnsi="Verdana" w:cs="Open Sans"/>
          <w:color w:val="4B4949"/>
          <w:sz w:val="20"/>
          <w:szCs w:val="20"/>
          <w:lang w:eastAsia="es-CO"/>
        </w:rPr>
      </w:pPr>
    </w:p>
    <w:p w14:paraId="3D423058" w14:textId="77777777" w:rsidR="00662485" w:rsidRPr="00C83B98" w:rsidRDefault="00662485" w:rsidP="00662485">
      <w:pPr>
        <w:spacing w:after="0" w:line="240" w:lineRule="auto"/>
        <w:ind w:left="709" w:right="760"/>
        <w:jc w:val="both"/>
        <w:rPr>
          <w:rFonts w:ascii="Verdana" w:eastAsia="Times New Roman" w:hAnsi="Verdana" w:cs="Open Sans"/>
          <w:color w:val="4B4949"/>
          <w:sz w:val="20"/>
          <w:szCs w:val="20"/>
          <w:lang w:eastAsia="es-CO"/>
        </w:rPr>
      </w:pPr>
      <w:r w:rsidRPr="00C83B98">
        <w:rPr>
          <w:rFonts w:ascii="Verdana" w:eastAsia="Times New Roman" w:hAnsi="Verdana" w:cs="Open Sans"/>
          <w:color w:val="000000"/>
          <w:sz w:val="20"/>
          <w:szCs w:val="20"/>
          <w:lang w:eastAsia="es-CO"/>
        </w:rPr>
        <w:t xml:space="preserve">En estos términos, la inhabilidad por parentesco para contratar que regula la disposición demandada evita que los servidores públicos otorguen un </w:t>
      </w:r>
      <w:r w:rsidRPr="00C83B98">
        <w:rPr>
          <w:rFonts w:ascii="Verdana" w:eastAsia="Times New Roman" w:hAnsi="Verdana" w:cs="Open Sans"/>
          <w:color w:val="000000"/>
          <w:sz w:val="20"/>
          <w:szCs w:val="20"/>
          <w:lang w:eastAsia="es-CO"/>
        </w:rPr>
        <w:lastRenderedPageBreak/>
        <w:t>tratamiento preferente a favor de sus parientes hasta el cuarto grado de consanguinidad o que incidan en que este se conceda, en perjuicio de la imparcialidad y moralidad, y, por tanto, del interés general que debe guiar el ejercicio de la función administrativa de la contratación estatal. Sobre el particular, resulta razonable que, dentro de su amplio margen de configuración, el legislador imponga una restricción mayor a los parientes de los diputados, gobernadores, concejales y alcaldes, para ser contratistas de las entidades territoriales en las cuales fueron elegidos, por cuanto, precisamente, a las asambleas y a los concejos compete adoptar, a iniciativa de los respectivos gobernadores y alcaldes, los planes de inversión para el correspondiente período, y los presupuestos anuales de gastos en los que se apropian las partidas para la ejecución de los mencionados planes, así como a las asambleas y a los concejos les corresponde autorizar a gobernadores y alcaldes para celebrar los contratos de la administración, en los términos de los artículos 300, 305, 313 y 315 de la Constitución, de manera concordante con la forma en que el legislador precisó este deber en el Estatuto General de Contratación de la Administración Pública</w:t>
      </w:r>
      <w:r>
        <w:rPr>
          <w:rFonts w:ascii="Verdana" w:eastAsia="Times New Roman" w:hAnsi="Verdana" w:cs="Open Sans"/>
          <w:color w:val="000000"/>
          <w:sz w:val="20"/>
          <w:szCs w:val="20"/>
          <w:lang w:eastAsia="es-CO"/>
        </w:rPr>
        <w:t xml:space="preserve"> (…)”.</w:t>
      </w:r>
    </w:p>
    <w:p w14:paraId="2F45746A" w14:textId="77777777" w:rsidR="00662485" w:rsidRDefault="00662485" w:rsidP="00662485">
      <w:pPr>
        <w:spacing w:after="0" w:line="240" w:lineRule="auto"/>
        <w:ind w:firstLine="709"/>
        <w:jc w:val="both"/>
        <w:rPr>
          <w:rFonts w:ascii="Verdana" w:eastAsia="Calibri" w:hAnsi="Verdana" w:cs="Arial"/>
          <w:lang w:val="es-ES"/>
        </w:rPr>
      </w:pPr>
    </w:p>
    <w:p w14:paraId="6856963A" w14:textId="77777777" w:rsidR="00745CE9" w:rsidRDefault="00745CE9" w:rsidP="00745CE9">
      <w:pPr>
        <w:spacing w:after="120" w:line="276" w:lineRule="auto"/>
        <w:ind w:firstLine="709"/>
        <w:jc w:val="both"/>
        <w:rPr>
          <w:rFonts w:ascii="Verdana" w:eastAsia="Calibri" w:hAnsi="Verdana" w:cs="Arial"/>
          <w:color w:val="000000" w:themeColor="text1"/>
          <w:lang w:val="es-ES"/>
        </w:rPr>
      </w:pPr>
      <w:r w:rsidRPr="6894EB3A">
        <w:rPr>
          <w:rFonts w:ascii="Verdana" w:eastAsia="Calibri" w:hAnsi="Verdana" w:cs="Arial"/>
          <w:lang w:val="es-ES"/>
        </w:rPr>
        <w:t>Así, esta regla especial</w:t>
      </w:r>
      <w:r>
        <w:rPr>
          <w:rFonts w:ascii="Verdana" w:eastAsia="Calibri" w:hAnsi="Verdana" w:cs="Arial"/>
          <w:lang w:val="es-ES"/>
        </w:rPr>
        <w:t xml:space="preserve"> contenida en el artículo 49 de la Ley 617 de 2000</w:t>
      </w:r>
      <w:r w:rsidRPr="6894EB3A">
        <w:rPr>
          <w:rFonts w:ascii="Verdana" w:eastAsia="Calibri" w:hAnsi="Verdana" w:cs="Arial"/>
          <w:lang w:val="es-ES"/>
        </w:rPr>
        <w:t xml:space="preserve"> dispone </w:t>
      </w:r>
      <w:r>
        <w:rPr>
          <w:rFonts w:ascii="Verdana" w:eastAsia="Calibri" w:hAnsi="Verdana" w:cs="Arial"/>
          <w:lang w:val="es-ES"/>
        </w:rPr>
        <w:t xml:space="preserve">en primer lugar </w:t>
      </w:r>
      <w:r w:rsidRPr="6894EB3A">
        <w:rPr>
          <w:rFonts w:ascii="Verdana" w:eastAsia="Calibri" w:hAnsi="Verdana" w:cs="Arial"/>
          <w:lang w:val="es-ES"/>
        </w:rPr>
        <w:t xml:space="preserve">una prohibición que </w:t>
      </w:r>
      <w:r w:rsidRPr="6894EB3A">
        <w:rPr>
          <w:rFonts w:ascii="Verdana" w:eastAsia="Calibri" w:hAnsi="Verdana" w:cs="Arial"/>
          <w:color w:val="000000" w:themeColor="text1"/>
          <w:lang w:val="es-ES"/>
        </w:rPr>
        <w:t>aplica a los cónyuges o compañeros permanentes de los gobernadores, diputados, alcaldes o concejales, así como a sus parientes dentro del cuarto grado de consanguinidad, segundo de afinidad o primero civil, quienes no podrán celebrar contratos directa ni indirectamente con el departamento, distrito o municipio, o con sus entidades descentralizadas</w:t>
      </w:r>
      <w:r>
        <w:rPr>
          <w:rFonts w:ascii="Verdana" w:eastAsia="Calibri" w:hAnsi="Verdana" w:cs="Arial"/>
          <w:color w:val="000000" w:themeColor="text1"/>
          <w:lang w:val="es-ES"/>
        </w:rPr>
        <w:t>, tratándose de los municipios de primera, segunda y tercera categoría</w:t>
      </w:r>
      <w:r w:rsidRPr="6894EB3A">
        <w:rPr>
          <w:rFonts w:ascii="Verdana" w:eastAsia="Calibri" w:hAnsi="Verdana" w:cs="Arial"/>
          <w:color w:val="000000" w:themeColor="text1"/>
          <w:lang w:val="es-ES"/>
        </w:rPr>
        <w:t xml:space="preserve">. </w:t>
      </w:r>
    </w:p>
    <w:p w14:paraId="0204D010" w14:textId="5C62236B" w:rsidR="002C413A" w:rsidRDefault="00745CE9" w:rsidP="00662485">
      <w:pPr>
        <w:spacing w:after="120" w:line="276" w:lineRule="auto"/>
        <w:ind w:firstLine="709"/>
        <w:jc w:val="both"/>
        <w:rPr>
          <w:rFonts w:ascii="Verdana" w:eastAsia="Calibri" w:hAnsi="Verdana" w:cs="Arial"/>
          <w:color w:val="000000"/>
          <w:lang w:val="es-ES_tradnl"/>
        </w:rPr>
      </w:pPr>
      <w:r>
        <w:rPr>
          <w:rFonts w:ascii="Verdana" w:eastAsia="Calibri" w:hAnsi="Verdana" w:cs="Arial"/>
          <w:color w:val="000000" w:themeColor="text1"/>
          <w:lang w:val="es-ES"/>
        </w:rPr>
        <w:t xml:space="preserve">Por su parte, el parágrafo tercero del mencionado artículo 49 determina que, </w:t>
      </w:r>
      <w:r w:rsidRPr="6894EB3A">
        <w:rPr>
          <w:rFonts w:ascii="Verdana" w:eastAsia="Calibri" w:hAnsi="Verdana" w:cs="Arial"/>
          <w:color w:val="000000" w:themeColor="text1"/>
          <w:lang w:val="es-ES"/>
        </w:rPr>
        <w:t xml:space="preserve">la prohibición </w:t>
      </w:r>
      <w:r>
        <w:rPr>
          <w:rFonts w:ascii="Verdana" w:eastAsia="Calibri" w:hAnsi="Verdana" w:cs="Arial"/>
          <w:color w:val="000000" w:themeColor="text1"/>
          <w:lang w:val="es-ES"/>
        </w:rPr>
        <w:t xml:space="preserve">relativa a la celebración de contratos </w:t>
      </w:r>
      <w:r w:rsidRPr="6894EB3A">
        <w:rPr>
          <w:rFonts w:ascii="Verdana" w:eastAsia="Calibri" w:hAnsi="Verdana" w:cs="Arial"/>
          <w:color w:val="000000" w:themeColor="text1"/>
          <w:lang w:val="es-ES"/>
        </w:rPr>
        <w:t xml:space="preserve">se aplica únicamente </w:t>
      </w:r>
      <w:r>
        <w:rPr>
          <w:rFonts w:ascii="Verdana" w:eastAsia="Calibri" w:hAnsi="Verdana" w:cs="Arial"/>
          <w:color w:val="000000" w:themeColor="text1"/>
          <w:lang w:val="es-ES"/>
        </w:rPr>
        <w:t xml:space="preserve">para los concejales de los municipios de cuarta, quinta y sexta categoría, cuyos parientes sean </w:t>
      </w:r>
      <w:r w:rsidR="002C413A">
        <w:rPr>
          <w:rFonts w:ascii="Verdana" w:eastAsia="Calibri" w:hAnsi="Verdana" w:cs="Arial"/>
          <w:color w:val="000000" w:themeColor="text1"/>
          <w:lang w:val="es-ES"/>
        </w:rPr>
        <w:t xml:space="preserve">los </w:t>
      </w:r>
      <w:r w:rsidR="002C413A" w:rsidRPr="6894EB3A">
        <w:rPr>
          <w:rFonts w:ascii="Verdana" w:eastAsia="Calibri" w:hAnsi="Verdana" w:cs="Arial"/>
          <w:color w:val="000000" w:themeColor="text1"/>
          <w:lang w:val="es-ES"/>
        </w:rPr>
        <w:t>cónyuges</w:t>
      </w:r>
      <w:r w:rsidRPr="6894EB3A">
        <w:rPr>
          <w:rFonts w:ascii="Verdana" w:eastAsia="Calibri" w:hAnsi="Verdana" w:cs="Arial"/>
          <w:color w:val="000000" w:themeColor="text1"/>
          <w:lang w:val="es-ES"/>
        </w:rPr>
        <w:t xml:space="preserve"> o compañeros permanentes y parientes hasta el segundo grado de consanguinidad, primero de afinidad o único civil. En ese sentido, para los parientes </w:t>
      </w:r>
      <w:r>
        <w:rPr>
          <w:rFonts w:ascii="Verdana" w:eastAsia="Calibri" w:hAnsi="Verdana" w:cs="Arial"/>
          <w:color w:val="000000" w:themeColor="text1"/>
          <w:lang w:val="es-ES"/>
        </w:rPr>
        <w:t xml:space="preserve">que se encuentran </w:t>
      </w:r>
      <w:r w:rsidRPr="6894EB3A">
        <w:rPr>
          <w:rFonts w:ascii="Verdana" w:eastAsia="Calibri" w:hAnsi="Verdana" w:cs="Arial"/>
          <w:color w:val="000000" w:themeColor="text1"/>
          <w:lang w:val="es-ES"/>
        </w:rPr>
        <w:t xml:space="preserve">dentro del </w:t>
      </w:r>
      <w:r>
        <w:rPr>
          <w:rFonts w:ascii="Verdana" w:eastAsia="Calibri" w:hAnsi="Verdana" w:cs="Arial"/>
          <w:color w:val="000000" w:themeColor="text1"/>
          <w:lang w:val="es-ES"/>
        </w:rPr>
        <w:t>tercer</w:t>
      </w:r>
      <w:r w:rsidRPr="6894EB3A">
        <w:rPr>
          <w:rFonts w:ascii="Verdana" w:eastAsia="Calibri" w:hAnsi="Verdana" w:cs="Arial"/>
          <w:color w:val="000000" w:themeColor="text1"/>
          <w:lang w:val="es-ES"/>
        </w:rPr>
        <w:t xml:space="preserve"> grado de consanguinidad de un concejal de un municipio de cuarta, quinta o sexta categoría, no operaría la prohibición</w:t>
      </w:r>
      <w:r w:rsidR="002C413A">
        <w:rPr>
          <w:rFonts w:ascii="Verdana" w:eastAsia="Calibri" w:hAnsi="Verdana" w:cs="Arial"/>
          <w:color w:val="000000"/>
          <w:lang w:val="es-ES_tradnl"/>
        </w:rPr>
        <w:t>.</w:t>
      </w:r>
    </w:p>
    <w:p w14:paraId="1BE31AF6" w14:textId="77777777" w:rsidR="00A404FA" w:rsidRDefault="00662485" w:rsidP="00A404FA">
      <w:pPr>
        <w:spacing w:after="120" w:line="276" w:lineRule="auto"/>
        <w:ind w:firstLine="709"/>
        <w:jc w:val="both"/>
        <w:rPr>
          <w:rFonts w:ascii="Verdana" w:eastAsia="Calibri" w:hAnsi="Verdana" w:cs="Arial"/>
          <w:lang w:val="es-ES_tradnl"/>
        </w:rPr>
      </w:pPr>
      <w:r>
        <w:rPr>
          <w:rFonts w:ascii="Verdana" w:eastAsia="Calibri" w:hAnsi="Verdana" w:cs="Arial"/>
          <w:lang w:val="es-ES"/>
        </w:rPr>
        <w:t>Por lo tanto, en principio</w:t>
      </w:r>
      <w:r w:rsidRPr="0060163E">
        <w:rPr>
          <w:rFonts w:ascii="Verdana" w:eastAsia="Calibri" w:hAnsi="Verdana" w:cs="Arial"/>
          <w:color w:val="000000"/>
          <w:lang w:val="es-MX"/>
        </w:rPr>
        <w:t xml:space="preserve">, todas las entidades y funcionarios del artículo 2 de la Ley 80 de 1993 se rigen por las causales de inhabilidad del artículo 8 </w:t>
      </w:r>
      <w:r w:rsidRPr="0060163E">
        <w:rPr>
          <w:rFonts w:ascii="Verdana" w:eastAsia="Calibri" w:hAnsi="Verdana" w:cs="Arial"/>
          <w:i/>
          <w:iCs/>
          <w:color w:val="000000"/>
          <w:lang w:val="es-MX"/>
        </w:rPr>
        <w:t>ibidem</w:t>
      </w:r>
      <w:r w:rsidRPr="0060163E">
        <w:rPr>
          <w:rFonts w:ascii="Verdana" w:eastAsia="Calibri" w:hAnsi="Verdana" w:cs="Arial"/>
          <w:color w:val="000000"/>
          <w:lang w:val="es-MX"/>
        </w:rPr>
        <w:t xml:space="preserve">, incluyendo la del literal b) del numeral 2 explicada </w:t>
      </w:r>
      <w:r w:rsidRPr="0060163E">
        <w:rPr>
          <w:rFonts w:ascii="Verdana" w:eastAsia="Calibri" w:hAnsi="Verdana" w:cs="Arial"/>
          <w:i/>
          <w:iCs/>
          <w:color w:val="000000"/>
          <w:lang w:val="es-MX"/>
        </w:rPr>
        <w:t>ut supra</w:t>
      </w:r>
      <w:r>
        <w:rPr>
          <w:rFonts w:ascii="Verdana" w:eastAsia="Calibri" w:hAnsi="Verdana" w:cs="Arial"/>
          <w:color w:val="000000"/>
          <w:lang w:val="es-MX"/>
        </w:rPr>
        <w:t>, p</w:t>
      </w:r>
      <w:proofErr w:type="spellStart"/>
      <w:r w:rsidRPr="0060163E">
        <w:rPr>
          <w:rFonts w:ascii="Verdana" w:eastAsia="Calibri" w:hAnsi="Verdana" w:cs="Arial"/>
          <w:lang w:val="es-ES_tradnl"/>
        </w:rPr>
        <w:t>ues</w:t>
      </w:r>
      <w:proofErr w:type="spellEnd"/>
      <w:r w:rsidRPr="0060163E">
        <w:rPr>
          <w:rFonts w:ascii="Verdana" w:eastAsia="Calibri" w:hAnsi="Verdana" w:cs="Arial"/>
          <w:lang w:val="es-ES_tradnl"/>
        </w:rPr>
        <w:t xml:space="preserve"> es </w:t>
      </w:r>
      <w:r>
        <w:rPr>
          <w:rFonts w:ascii="Verdana" w:eastAsia="Calibri" w:hAnsi="Verdana" w:cs="Arial"/>
          <w:lang w:val="es-ES_tradnl"/>
        </w:rPr>
        <w:t xml:space="preserve">la </w:t>
      </w:r>
      <w:r w:rsidRPr="0060163E">
        <w:rPr>
          <w:rFonts w:ascii="Verdana" w:eastAsia="Calibri" w:hAnsi="Verdana" w:cs="Arial"/>
          <w:i/>
          <w:iCs/>
          <w:lang w:val="es-ES_tradnl"/>
        </w:rPr>
        <w:t>regla general</w:t>
      </w:r>
      <w:r w:rsidRPr="0060163E">
        <w:rPr>
          <w:rFonts w:ascii="Verdana" w:eastAsia="Calibri" w:hAnsi="Verdana" w:cs="Arial"/>
          <w:lang w:val="es-ES_tradnl"/>
        </w:rPr>
        <w:t xml:space="preserve"> en materia de inhabilidades e incompatibilidades para la contratación de las entidades sometidas a la Ley 80 de 1993. Sin embargo, el artículo 49 de la Ley 617</w:t>
      </w:r>
      <w:r>
        <w:rPr>
          <w:rFonts w:ascii="Verdana" w:eastAsia="Calibri" w:hAnsi="Verdana" w:cs="Arial"/>
          <w:lang w:val="es-ES_tradnl"/>
        </w:rPr>
        <w:t xml:space="preserve"> de 2000</w:t>
      </w:r>
      <w:r w:rsidRPr="0060163E">
        <w:rPr>
          <w:rFonts w:ascii="Verdana" w:eastAsia="Calibri" w:hAnsi="Verdana" w:cs="Arial"/>
          <w:lang w:val="es-ES_tradnl"/>
        </w:rPr>
        <w:t xml:space="preserve"> </w:t>
      </w:r>
      <w:r>
        <w:rPr>
          <w:rFonts w:ascii="Verdana" w:eastAsia="Calibri" w:hAnsi="Verdana" w:cs="Arial"/>
          <w:lang w:val="es-ES_tradnl"/>
        </w:rPr>
        <w:t>se trata de una</w:t>
      </w:r>
      <w:r w:rsidRPr="0060163E">
        <w:rPr>
          <w:rFonts w:ascii="Verdana" w:eastAsia="Calibri" w:hAnsi="Verdana" w:cs="Arial"/>
          <w:lang w:val="es-ES_tradnl"/>
        </w:rPr>
        <w:t xml:space="preserve"> </w:t>
      </w:r>
      <w:r w:rsidRPr="0060163E">
        <w:rPr>
          <w:rFonts w:ascii="Verdana" w:eastAsia="Calibri" w:hAnsi="Verdana" w:cs="Arial"/>
          <w:i/>
          <w:iCs/>
          <w:lang w:val="es-ES_tradnl"/>
        </w:rPr>
        <w:t>regla especial</w:t>
      </w:r>
      <w:r w:rsidRPr="0060163E">
        <w:rPr>
          <w:rFonts w:ascii="Verdana" w:eastAsia="Calibri" w:hAnsi="Verdana" w:cs="Arial"/>
          <w:lang w:val="es-ES_tradnl"/>
        </w:rPr>
        <w:t xml:space="preserve">, la cual se ratifica </w:t>
      </w:r>
      <w:r w:rsidRPr="0060163E">
        <w:rPr>
          <w:rFonts w:ascii="Verdana" w:eastAsia="Calibri" w:hAnsi="Verdana" w:cs="Arial"/>
          <w:lang w:val="es-ES_tradnl"/>
        </w:rPr>
        <w:lastRenderedPageBreak/>
        <w:t>en las modificaciones posteriores del artículo 1º de las Leyes 821 de 2003, 1148 de 2007 y 1296 de 2009. Según esta regla, los cónyuges o compañeros permanentes de los gobernadores, diputados, alcaldes o concejales, así como a sus parientes dentro del cuarto grado de consanguinidad, segundo de afinidad o primero civil, no pueden celebrar contratos directa ni indirectamente con el departamento, distrito o municipio, o con sus entidades descentralizadas</w:t>
      </w:r>
      <w:r w:rsidRPr="0060163E">
        <w:rPr>
          <w:rFonts w:ascii="Verdana" w:eastAsia="Calibri" w:hAnsi="Verdana" w:cs="Arial"/>
          <w:vertAlign w:val="superscript"/>
          <w:lang w:val="es-ES_tradnl"/>
        </w:rPr>
        <w:footnoteReference w:id="15"/>
      </w:r>
      <w:r w:rsidRPr="0060163E">
        <w:rPr>
          <w:rFonts w:ascii="Verdana" w:eastAsia="Calibri" w:hAnsi="Verdana" w:cs="Arial"/>
          <w:lang w:val="es-ES_tradnl"/>
        </w:rPr>
        <w:t>.</w:t>
      </w:r>
      <w:r>
        <w:rPr>
          <w:rFonts w:ascii="Verdana" w:eastAsia="Calibri" w:hAnsi="Verdana" w:cs="Arial"/>
          <w:lang w:val="es-ES_tradnl"/>
        </w:rPr>
        <w:t xml:space="preserve"> </w:t>
      </w:r>
    </w:p>
    <w:p w14:paraId="635E29B9" w14:textId="7D3A7CB8" w:rsidR="00A404FA" w:rsidRPr="00A404FA" w:rsidRDefault="00A404FA" w:rsidP="00A404FA">
      <w:pPr>
        <w:spacing w:after="120" w:line="276" w:lineRule="auto"/>
        <w:ind w:firstLine="709"/>
        <w:jc w:val="both"/>
        <w:rPr>
          <w:rFonts w:ascii="Verdana" w:eastAsia="Calibri" w:hAnsi="Verdana" w:cs="Arial"/>
          <w:lang w:val="es-ES_tradnl"/>
        </w:rPr>
      </w:pPr>
      <w:r w:rsidRPr="00A404FA">
        <w:rPr>
          <w:rFonts w:ascii="Verdana" w:eastAsia="Calibri" w:hAnsi="Verdana" w:cs="Arial"/>
          <w:color w:val="000000"/>
          <w:lang w:val="es-ES_tradnl"/>
        </w:rPr>
        <w:t xml:space="preserve">Por último, </w:t>
      </w:r>
      <w:r>
        <w:rPr>
          <w:rFonts w:ascii="Verdana" w:eastAsia="Calibri" w:hAnsi="Verdana" w:cs="Arial"/>
          <w:color w:val="000000"/>
          <w:lang w:val="es-ES_tradnl"/>
        </w:rPr>
        <w:t xml:space="preserve">debe advertirse que </w:t>
      </w:r>
      <w:r w:rsidRPr="00A404FA">
        <w:rPr>
          <w:rFonts w:ascii="Verdana" w:eastAsia="Calibri" w:hAnsi="Verdana" w:cs="Arial"/>
          <w:color w:val="000000"/>
          <w:lang w:val="es-ES_tradnl"/>
        </w:rPr>
        <w:t xml:space="preserve">el análisis requerido para resolver problemas específicos en torno a la celebración de contratos debe ser realizado por quienes tengan interés en ello, de acuerdo con lo explicado </w:t>
      </w:r>
      <w:r>
        <w:rPr>
          <w:rFonts w:ascii="Verdana" w:eastAsia="Calibri" w:hAnsi="Verdana" w:cs="Arial"/>
          <w:color w:val="000000"/>
          <w:lang w:val="es-ES_tradnl"/>
        </w:rPr>
        <w:t xml:space="preserve">en </w:t>
      </w:r>
      <w:r w:rsidRPr="00A404FA">
        <w:rPr>
          <w:rFonts w:ascii="Verdana" w:eastAsia="Calibri" w:hAnsi="Verdana" w:cs="Arial"/>
          <w:color w:val="000000"/>
          <w:lang w:val="es-ES_tradnl"/>
        </w:rPr>
        <w:t>la aclaración preliminar del presente oficio. Por lo anterior,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p w14:paraId="6776128F" w14:textId="77777777" w:rsidR="00A404FA" w:rsidRDefault="00A404FA" w:rsidP="00662485">
      <w:pPr>
        <w:tabs>
          <w:tab w:val="left" w:pos="142"/>
          <w:tab w:val="left" w:pos="284"/>
        </w:tabs>
        <w:spacing w:after="0" w:line="240" w:lineRule="auto"/>
        <w:rPr>
          <w:rFonts w:ascii="Verdana" w:eastAsia="Calibri" w:hAnsi="Verdana" w:cs="Arial"/>
          <w:lang w:val="es-ES"/>
        </w:rPr>
      </w:pPr>
      <w:bookmarkStart w:id="11" w:name="_Hlk204854194"/>
    </w:p>
    <w:p w14:paraId="7D7A0CB9" w14:textId="77777777" w:rsidR="00A404FA" w:rsidRDefault="00A404FA" w:rsidP="00662485">
      <w:pPr>
        <w:tabs>
          <w:tab w:val="left" w:pos="142"/>
          <w:tab w:val="left" w:pos="284"/>
        </w:tabs>
        <w:spacing w:after="0" w:line="240" w:lineRule="auto"/>
        <w:rPr>
          <w:rFonts w:ascii="Verdana" w:eastAsia="Calibri" w:hAnsi="Verdana" w:cs="Arial"/>
          <w:lang w:val="es-ES"/>
        </w:rPr>
      </w:pPr>
    </w:p>
    <w:p w14:paraId="190463C6" w14:textId="77777777" w:rsidR="00A404FA" w:rsidRDefault="00A404FA" w:rsidP="00662485">
      <w:pPr>
        <w:tabs>
          <w:tab w:val="left" w:pos="142"/>
          <w:tab w:val="left" w:pos="284"/>
        </w:tabs>
        <w:spacing w:after="0" w:line="240" w:lineRule="auto"/>
        <w:rPr>
          <w:rFonts w:ascii="Verdana" w:eastAsia="Calibri" w:hAnsi="Verdana" w:cs="Arial"/>
          <w:lang w:val="es-ES"/>
        </w:rPr>
      </w:pPr>
    </w:p>
    <w:p w14:paraId="58327720" w14:textId="4E471BDA" w:rsidR="00662485" w:rsidRPr="001F283D" w:rsidRDefault="00662485" w:rsidP="00662485">
      <w:pPr>
        <w:tabs>
          <w:tab w:val="left" w:pos="142"/>
          <w:tab w:val="left" w:pos="284"/>
        </w:tabs>
        <w:spacing w:after="0" w:line="240" w:lineRule="auto"/>
        <w:rPr>
          <w:rFonts w:ascii="Verdana" w:eastAsia="Century Gothic" w:hAnsi="Verdana" w:cs="Century Gothic"/>
          <w:b/>
          <w:bCs/>
        </w:rPr>
      </w:pPr>
      <w:r>
        <w:rPr>
          <w:rFonts w:ascii="Verdana" w:eastAsia="Century Gothic" w:hAnsi="Verdana" w:cs="Century Gothic"/>
          <w:b/>
          <w:bCs/>
        </w:rPr>
        <w:t xml:space="preserve">4. </w:t>
      </w:r>
      <w:r w:rsidRPr="001F283D">
        <w:rPr>
          <w:rFonts w:ascii="Verdana" w:eastAsia="Century Gothic" w:hAnsi="Verdana" w:cs="Century Gothic"/>
          <w:b/>
          <w:bCs/>
        </w:rPr>
        <w:t>Referencias normativas:</w:t>
      </w:r>
    </w:p>
    <w:bookmarkEnd w:id="11"/>
    <w:p w14:paraId="2310EC61" w14:textId="77777777" w:rsidR="00662485" w:rsidRPr="00593A5F" w:rsidRDefault="00662485" w:rsidP="00662485">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662485" w:rsidRPr="002407CE" w14:paraId="78C2E00A" w14:textId="77777777" w:rsidTr="0023368A">
        <w:trPr>
          <w:trHeight w:val="870"/>
          <w:jc w:val="center"/>
        </w:trPr>
        <w:tc>
          <w:tcPr>
            <w:tcW w:w="8647" w:type="dxa"/>
          </w:tcPr>
          <w:p w14:paraId="5B491257" w14:textId="77777777" w:rsidR="00662485" w:rsidRPr="00A641BB" w:rsidRDefault="00662485" w:rsidP="0023368A">
            <w:pPr>
              <w:pStyle w:val="NormalWeb"/>
              <w:numPr>
                <w:ilvl w:val="0"/>
                <w:numId w:val="17"/>
              </w:numPr>
              <w:spacing w:before="120" w:beforeAutospacing="0" w:after="0" w:afterAutospacing="0"/>
              <w:ind w:left="714" w:hanging="357"/>
              <w:jc w:val="both"/>
              <w:rPr>
                <w:rFonts w:ascii="Verdana" w:hAnsi="Verdana" w:cs="Arial"/>
                <w:color w:val="000000" w:themeColor="text1"/>
                <w:sz w:val="22"/>
                <w:szCs w:val="22"/>
              </w:rPr>
            </w:pPr>
            <w:r>
              <w:rPr>
                <w:rFonts w:ascii="Verdana" w:hAnsi="Verdana"/>
                <w:sz w:val="22"/>
                <w:szCs w:val="22"/>
              </w:rPr>
              <w:t xml:space="preserve">Constitución Política. Artículo 209. </w:t>
            </w:r>
          </w:p>
          <w:p w14:paraId="1D5169ED" w14:textId="77777777" w:rsidR="00662485" w:rsidRDefault="00662485" w:rsidP="0023368A">
            <w:pPr>
              <w:pStyle w:val="NormalWeb"/>
              <w:numPr>
                <w:ilvl w:val="0"/>
                <w:numId w:val="17"/>
              </w:numPr>
              <w:spacing w:before="120" w:beforeAutospacing="0" w:after="0" w:afterAutospacing="0"/>
              <w:ind w:left="714" w:hanging="357"/>
              <w:jc w:val="both"/>
              <w:rPr>
                <w:rFonts w:ascii="Verdana" w:hAnsi="Verdana" w:cs="Arial"/>
                <w:color w:val="000000" w:themeColor="text1"/>
                <w:sz w:val="22"/>
                <w:szCs w:val="22"/>
              </w:rPr>
            </w:pPr>
            <w:r w:rsidRPr="00A25C67">
              <w:rPr>
                <w:rFonts w:ascii="Verdana" w:hAnsi="Verdana"/>
                <w:sz w:val="22"/>
                <w:szCs w:val="22"/>
              </w:rPr>
              <w:t>Ley 80 de 1993. Artículo 8.</w:t>
            </w:r>
          </w:p>
          <w:p w14:paraId="5759662A" w14:textId="77777777" w:rsidR="00662485" w:rsidRDefault="00662485" w:rsidP="0023368A">
            <w:pPr>
              <w:pStyle w:val="NormalWeb"/>
              <w:numPr>
                <w:ilvl w:val="0"/>
                <w:numId w:val="17"/>
              </w:numPr>
              <w:spacing w:before="120" w:beforeAutospacing="0" w:after="0" w:afterAutospacing="0"/>
              <w:ind w:left="714" w:hanging="357"/>
              <w:jc w:val="both"/>
              <w:rPr>
                <w:rFonts w:ascii="Verdana" w:hAnsi="Verdana" w:cs="Arial"/>
                <w:color w:val="000000" w:themeColor="text1"/>
                <w:sz w:val="22"/>
                <w:szCs w:val="22"/>
              </w:rPr>
            </w:pPr>
            <w:r>
              <w:rPr>
                <w:rFonts w:ascii="Verdana" w:hAnsi="Verdana" w:cs="Arial"/>
                <w:color w:val="000000" w:themeColor="text1"/>
                <w:sz w:val="22"/>
                <w:szCs w:val="22"/>
              </w:rPr>
              <w:t xml:space="preserve">Ley 617 de 2000. Artículo 49. </w:t>
            </w:r>
          </w:p>
          <w:p w14:paraId="1BB13486" w14:textId="77777777" w:rsidR="00662485" w:rsidRPr="00A25C67" w:rsidRDefault="00662485" w:rsidP="0023368A">
            <w:pPr>
              <w:pStyle w:val="NormalWeb"/>
              <w:numPr>
                <w:ilvl w:val="0"/>
                <w:numId w:val="17"/>
              </w:numPr>
              <w:spacing w:before="120" w:beforeAutospacing="0" w:after="0" w:afterAutospacing="0"/>
              <w:ind w:left="714" w:hanging="357"/>
              <w:jc w:val="both"/>
              <w:rPr>
                <w:rFonts w:ascii="Verdana" w:hAnsi="Verdana" w:cs="Arial"/>
                <w:color w:val="000000" w:themeColor="text1"/>
                <w:sz w:val="22"/>
                <w:szCs w:val="22"/>
              </w:rPr>
            </w:pPr>
            <w:r w:rsidRPr="00A25C67">
              <w:rPr>
                <w:rFonts w:ascii="Verdana" w:hAnsi="Verdana" w:cs="Arial"/>
                <w:color w:val="000000" w:themeColor="text1"/>
                <w:sz w:val="22"/>
                <w:szCs w:val="22"/>
              </w:rPr>
              <w:t xml:space="preserve">Consejo de Estado. Sala de lo Contencioso Administrativo. Sección Tercera. Subsección A. Sentencia del 13 de noviembre de 2013. Radicado: 25000-23-26-000-1999-02197-01 (25646). C.P. Mauricio Fajardo Gómez.  </w:t>
            </w:r>
          </w:p>
          <w:p w14:paraId="7838B54B" w14:textId="77777777" w:rsidR="00662485" w:rsidRPr="00A25C67" w:rsidRDefault="00662485" w:rsidP="0023368A">
            <w:pPr>
              <w:pStyle w:val="NormalWeb"/>
              <w:numPr>
                <w:ilvl w:val="0"/>
                <w:numId w:val="17"/>
              </w:numPr>
              <w:spacing w:before="120" w:beforeAutospacing="0" w:after="0" w:afterAutospacing="0"/>
              <w:ind w:left="714" w:hanging="357"/>
              <w:jc w:val="both"/>
              <w:rPr>
                <w:rFonts w:ascii="Verdana" w:hAnsi="Verdana"/>
                <w:sz w:val="22"/>
                <w:szCs w:val="22"/>
              </w:rPr>
            </w:pPr>
            <w:r w:rsidRPr="00A25C67">
              <w:rPr>
                <w:rFonts w:ascii="Verdana" w:hAnsi="Verdana"/>
                <w:sz w:val="22"/>
                <w:szCs w:val="22"/>
              </w:rPr>
              <w:t>Consejo de Estado. Sala de Consulta y Servicio Civil. Concepto del 30 de abril de 2015. Radicado: 11001-03-06-000-2015-00058-00 (2251). C.P: Álvaro Namén Vargas.</w:t>
            </w:r>
          </w:p>
          <w:p w14:paraId="328FFC6D" w14:textId="77777777" w:rsidR="00662485" w:rsidRPr="00A25C67" w:rsidRDefault="00662485" w:rsidP="0023368A">
            <w:pPr>
              <w:pStyle w:val="NormalWeb"/>
              <w:numPr>
                <w:ilvl w:val="0"/>
                <w:numId w:val="17"/>
              </w:numPr>
              <w:spacing w:before="120" w:beforeAutospacing="0" w:after="0" w:afterAutospacing="0"/>
              <w:ind w:left="714" w:hanging="357"/>
              <w:jc w:val="both"/>
              <w:rPr>
                <w:rFonts w:ascii="Verdana" w:hAnsi="Verdana"/>
                <w:sz w:val="22"/>
                <w:szCs w:val="22"/>
              </w:rPr>
            </w:pPr>
            <w:r w:rsidRPr="00A25C67">
              <w:rPr>
                <w:rFonts w:ascii="Verdana" w:hAnsi="Verdana"/>
                <w:sz w:val="22"/>
                <w:szCs w:val="22"/>
              </w:rPr>
              <w:t>Consejo de Estado. Sala de lo Contencioso Administrativo. Sección Tercera. Subsección A. Sentencia del 24 de junio de 2015. Radicado: 05001-23-31-000-1997-02636-01 (40.635). C.P: Hernán Andrade Rincón (E).</w:t>
            </w:r>
          </w:p>
          <w:p w14:paraId="58D3B6F1" w14:textId="77777777" w:rsidR="00662485" w:rsidRPr="00A25C67" w:rsidRDefault="00662485" w:rsidP="0023368A">
            <w:pPr>
              <w:pStyle w:val="NormalWeb"/>
              <w:numPr>
                <w:ilvl w:val="0"/>
                <w:numId w:val="17"/>
              </w:numPr>
              <w:spacing w:before="120" w:beforeAutospacing="0" w:after="0" w:afterAutospacing="0"/>
              <w:ind w:left="714" w:hanging="357"/>
              <w:jc w:val="both"/>
              <w:rPr>
                <w:rFonts w:ascii="Verdana" w:hAnsi="Verdana" w:cs="Arial"/>
                <w:color w:val="000000" w:themeColor="text1"/>
                <w:sz w:val="22"/>
                <w:szCs w:val="22"/>
              </w:rPr>
            </w:pPr>
            <w:r w:rsidRPr="00A25C67">
              <w:rPr>
                <w:rFonts w:ascii="Verdana" w:hAnsi="Verdana" w:cs="Arial"/>
                <w:color w:val="000000" w:themeColor="text1"/>
                <w:sz w:val="22"/>
                <w:szCs w:val="22"/>
              </w:rPr>
              <w:lastRenderedPageBreak/>
              <w:t xml:space="preserve">Consejo de Estado. Sala de lo Contencioso Administrativo. Sección Tercera. Subsección C. Sentencia del 22 de mayo de 2013. Radicado: 68001-23-15-000-1995-00152-01 (24.057). C.P: Olga Mélida Valle De </w:t>
            </w:r>
            <w:proofErr w:type="spellStart"/>
            <w:r w:rsidRPr="00A25C67">
              <w:rPr>
                <w:rFonts w:ascii="Verdana" w:hAnsi="Verdana" w:cs="Arial"/>
                <w:color w:val="000000" w:themeColor="text1"/>
                <w:sz w:val="22"/>
                <w:szCs w:val="22"/>
              </w:rPr>
              <w:t>De</w:t>
            </w:r>
            <w:proofErr w:type="spellEnd"/>
            <w:r w:rsidRPr="00A25C67">
              <w:rPr>
                <w:rFonts w:ascii="Verdana" w:hAnsi="Verdana" w:cs="Arial"/>
                <w:color w:val="000000" w:themeColor="text1"/>
                <w:sz w:val="22"/>
                <w:szCs w:val="22"/>
              </w:rPr>
              <w:t xml:space="preserve"> La Hoz.</w:t>
            </w:r>
          </w:p>
          <w:p w14:paraId="4D1E111E" w14:textId="77777777" w:rsidR="00662485" w:rsidRDefault="00662485" w:rsidP="0023368A">
            <w:pPr>
              <w:pStyle w:val="NormalWeb"/>
              <w:numPr>
                <w:ilvl w:val="0"/>
                <w:numId w:val="17"/>
              </w:numPr>
              <w:spacing w:before="120" w:beforeAutospacing="0" w:after="0" w:afterAutospacing="0"/>
              <w:ind w:left="714" w:hanging="357"/>
              <w:jc w:val="both"/>
              <w:rPr>
                <w:rFonts w:ascii="Verdana" w:hAnsi="Verdana" w:cs="Arial"/>
                <w:color w:val="000000" w:themeColor="text1"/>
                <w:sz w:val="22"/>
                <w:szCs w:val="22"/>
              </w:rPr>
            </w:pPr>
            <w:r w:rsidRPr="00A641BB">
              <w:rPr>
                <w:rFonts w:ascii="Verdana" w:hAnsi="Verdana" w:cs="Arial"/>
                <w:color w:val="000000" w:themeColor="text1"/>
                <w:sz w:val="22"/>
                <w:szCs w:val="22"/>
              </w:rPr>
              <w:t>Corte Constitucional. Sentencia C-1016 de 2012. M.P. Jorge Iván Palacio.</w:t>
            </w:r>
          </w:p>
          <w:p w14:paraId="15839660" w14:textId="77777777" w:rsidR="00662485" w:rsidRDefault="00662485" w:rsidP="0023368A">
            <w:pPr>
              <w:pStyle w:val="NormalWeb"/>
              <w:numPr>
                <w:ilvl w:val="0"/>
                <w:numId w:val="17"/>
              </w:numPr>
              <w:spacing w:before="120" w:beforeAutospacing="0" w:after="0" w:afterAutospacing="0"/>
              <w:ind w:left="714" w:hanging="357"/>
              <w:jc w:val="both"/>
              <w:rPr>
                <w:rFonts w:ascii="Verdana" w:hAnsi="Verdana" w:cs="Arial"/>
                <w:color w:val="000000" w:themeColor="text1"/>
                <w:sz w:val="22"/>
                <w:szCs w:val="22"/>
              </w:rPr>
            </w:pPr>
            <w:r w:rsidRPr="00A641BB">
              <w:rPr>
                <w:rFonts w:ascii="Verdana" w:hAnsi="Verdana" w:cs="Arial"/>
                <w:color w:val="000000" w:themeColor="text1"/>
                <w:sz w:val="22"/>
                <w:szCs w:val="22"/>
              </w:rPr>
              <w:t>Corte Constitucional. Sentencia C-415 de 1994. M.P. Eduardo Cifuentes Muñoz.</w:t>
            </w:r>
          </w:p>
          <w:p w14:paraId="742C989E" w14:textId="77777777" w:rsidR="00662485" w:rsidRPr="00662485" w:rsidRDefault="00662485" w:rsidP="0023368A">
            <w:pPr>
              <w:pStyle w:val="NormalWeb"/>
              <w:numPr>
                <w:ilvl w:val="0"/>
                <w:numId w:val="17"/>
              </w:numPr>
              <w:spacing w:before="120" w:beforeAutospacing="0" w:after="0" w:afterAutospacing="0"/>
              <w:ind w:left="714" w:hanging="357"/>
              <w:jc w:val="both"/>
              <w:rPr>
                <w:rFonts w:ascii="Verdana" w:hAnsi="Verdana" w:cs="Arial"/>
                <w:color w:val="000000" w:themeColor="text1"/>
                <w:sz w:val="22"/>
                <w:szCs w:val="22"/>
                <w:lang w:val="it-CH"/>
              </w:rPr>
            </w:pPr>
            <w:r w:rsidRPr="00A25C67">
              <w:rPr>
                <w:rFonts w:ascii="Verdana" w:hAnsi="Verdana" w:cs="Arial"/>
                <w:color w:val="000000" w:themeColor="text1"/>
                <w:sz w:val="22"/>
                <w:szCs w:val="22"/>
              </w:rPr>
              <w:t xml:space="preserve">Corte Constitucional. Sentencia T-1039 de 2006. </w:t>
            </w:r>
            <w:r w:rsidRPr="00A25C67">
              <w:rPr>
                <w:rFonts w:ascii="Verdana" w:hAnsi="Verdana" w:cs="Arial"/>
                <w:color w:val="000000" w:themeColor="text1"/>
                <w:sz w:val="22"/>
                <w:szCs w:val="22"/>
                <w:lang w:val="it-CH"/>
              </w:rPr>
              <w:t xml:space="preserve">M.P. Humberto Sierra Porto. </w:t>
            </w:r>
          </w:p>
          <w:p w14:paraId="6DE7EAFE" w14:textId="77777777" w:rsidR="00662485" w:rsidRDefault="00662485" w:rsidP="0023368A">
            <w:pPr>
              <w:pStyle w:val="NormalWeb"/>
              <w:numPr>
                <w:ilvl w:val="0"/>
                <w:numId w:val="17"/>
              </w:numPr>
              <w:spacing w:before="120" w:beforeAutospacing="0" w:after="0" w:afterAutospacing="0"/>
              <w:ind w:left="714" w:hanging="357"/>
              <w:jc w:val="both"/>
              <w:rPr>
                <w:rFonts w:ascii="Verdana" w:hAnsi="Verdana" w:cs="Arial"/>
                <w:color w:val="000000" w:themeColor="text1"/>
                <w:sz w:val="22"/>
                <w:szCs w:val="22"/>
              </w:rPr>
            </w:pPr>
            <w:r w:rsidRPr="00A25C67">
              <w:rPr>
                <w:rFonts w:ascii="Verdana" w:hAnsi="Verdana" w:cs="Arial"/>
                <w:color w:val="000000" w:themeColor="text1"/>
                <w:sz w:val="22"/>
                <w:szCs w:val="22"/>
              </w:rPr>
              <w:t>Corte Constitucional. Sentencia C-903 de 2008. M.P. Jaime Araujo Rentería</w:t>
            </w:r>
            <w:r>
              <w:rPr>
                <w:rFonts w:ascii="Verdana" w:hAnsi="Verdana" w:cs="Arial"/>
                <w:color w:val="000000" w:themeColor="text1"/>
                <w:sz w:val="22"/>
                <w:szCs w:val="22"/>
              </w:rPr>
              <w:t>.</w:t>
            </w:r>
          </w:p>
          <w:p w14:paraId="752F0D61" w14:textId="77777777" w:rsidR="00662485" w:rsidRDefault="00662485" w:rsidP="0023368A">
            <w:pPr>
              <w:pStyle w:val="NormalWeb"/>
              <w:numPr>
                <w:ilvl w:val="0"/>
                <w:numId w:val="17"/>
              </w:numPr>
              <w:spacing w:before="120" w:beforeAutospacing="0" w:after="0" w:afterAutospacing="0"/>
              <w:ind w:left="714" w:hanging="357"/>
              <w:jc w:val="both"/>
              <w:rPr>
                <w:rFonts w:ascii="Verdana" w:hAnsi="Verdana" w:cs="Arial"/>
                <w:color w:val="000000" w:themeColor="text1"/>
                <w:sz w:val="22"/>
                <w:szCs w:val="22"/>
              </w:rPr>
            </w:pPr>
            <w:r>
              <w:rPr>
                <w:rFonts w:ascii="Verdana" w:hAnsi="Verdana" w:cs="Arial"/>
                <w:color w:val="000000" w:themeColor="text1"/>
                <w:sz w:val="22"/>
                <w:szCs w:val="22"/>
              </w:rPr>
              <w:t>Corte Constitucional. Sentencia C</w:t>
            </w:r>
            <w:r w:rsidRPr="00A25C67">
              <w:rPr>
                <w:rFonts w:ascii="Verdana" w:hAnsi="Verdana" w:cs="Arial"/>
                <w:color w:val="000000" w:themeColor="text1"/>
                <w:sz w:val="22"/>
                <w:szCs w:val="22"/>
              </w:rPr>
              <w:t>-101 de 2018. M.P. Gloria Stella Ortiz Delgado</w:t>
            </w:r>
            <w:r>
              <w:rPr>
                <w:rFonts w:ascii="Verdana" w:hAnsi="Verdana" w:cs="Arial"/>
                <w:color w:val="000000" w:themeColor="text1"/>
                <w:sz w:val="22"/>
                <w:szCs w:val="22"/>
              </w:rPr>
              <w:t>.</w:t>
            </w:r>
          </w:p>
          <w:p w14:paraId="29212CDD" w14:textId="77777777" w:rsidR="00662485" w:rsidRPr="00D22B74" w:rsidRDefault="00662485" w:rsidP="0023368A">
            <w:pPr>
              <w:pStyle w:val="NormalWeb"/>
              <w:numPr>
                <w:ilvl w:val="0"/>
                <w:numId w:val="17"/>
              </w:numPr>
              <w:spacing w:before="120" w:beforeAutospacing="0" w:after="0" w:afterAutospacing="0"/>
              <w:ind w:left="714" w:hanging="357"/>
              <w:jc w:val="both"/>
              <w:rPr>
                <w:rFonts w:ascii="Verdana" w:hAnsi="Verdana" w:cs="Arial"/>
                <w:color w:val="000000" w:themeColor="text1"/>
                <w:sz w:val="22"/>
                <w:szCs w:val="22"/>
              </w:rPr>
            </w:pPr>
            <w:r w:rsidRPr="00A25C67">
              <w:rPr>
                <w:rFonts w:ascii="Verdana" w:hAnsi="Verdana" w:cs="Arial"/>
                <w:color w:val="000000" w:themeColor="text1"/>
                <w:sz w:val="22"/>
                <w:szCs w:val="22"/>
              </w:rPr>
              <w:t>Corte Constitucional. Sentencia C-087 de 2024. M.P: Antonio José Lizarazo Ocampo</w:t>
            </w:r>
            <w:r>
              <w:rPr>
                <w:rFonts w:ascii="Verdana" w:hAnsi="Verdana" w:cs="Arial"/>
                <w:color w:val="000000" w:themeColor="text1"/>
                <w:sz w:val="22"/>
                <w:szCs w:val="22"/>
              </w:rPr>
              <w:t>.</w:t>
            </w:r>
          </w:p>
        </w:tc>
      </w:tr>
    </w:tbl>
    <w:p w14:paraId="6719E3F4" w14:textId="77777777" w:rsidR="00662485" w:rsidRPr="00277E26" w:rsidRDefault="00662485" w:rsidP="00662485">
      <w:pPr>
        <w:widowControl w:val="0"/>
        <w:autoSpaceDE w:val="0"/>
        <w:autoSpaceDN w:val="0"/>
        <w:spacing w:after="0" w:line="276" w:lineRule="auto"/>
        <w:jc w:val="both"/>
        <w:rPr>
          <w:rFonts w:ascii="Verdana" w:hAnsi="Verdana" w:cs="Arial"/>
        </w:rPr>
      </w:pPr>
    </w:p>
    <w:p w14:paraId="674AFF73" w14:textId="77777777" w:rsidR="00662485" w:rsidRPr="001F283D" w:rsidRDefault="00662485" w:rsidP="00662485">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 xml:space="preserve">5. </w:t>
      </w:r>
      <w:r w:rsidRPr="001F283D">
        <w:rPr>
          <w:rFonts w:ascii="Verdana" w:eastAsia="Century Gothic" w:hAnsi="Verdana" w:cs="Century Gothic"/>
          <w:b/>
          <w:bCs/>
        </w:rPr>
        <w:t>Doctrina de la Agencia Nacional de Contratación Pública:</w:t>
      </w:r>
    </w:p>
    <w:p w14:paraId="4336C9A0" w14:textId="77777777" w:rsidR="00662485" w:rsidRPr="0021078E" w:rsidRDefault="00662485" w:rsidP="00662485">
      <w:pPr>
        <w:widowControl w:val="0"/>
        <w:autoSpaceDE w:val="0"/>
        <w:autoSpaceDN w:val="0"/>
        <w:spacing w:after="0" w:line="240" w:lineRule="auto"/>
        <w:jc w:val="both"/>
        <w:rPr>
          <w:rStyle w:val="normaltextrun"/>
          <w:rFonts w:ascii="Verdana" w:hAnsi="Verdana" w:cs="Arial"/>
          <w:shd w:val="clear" w:color="auto" w:fill="FFFFFF"/>
          <w:lang w:val="es-ES"/>
        </w:rPr>
      </w:pPr>
    </w:p>
    <w:p w14:paraId="27E1D9B7" w14:textId="5BB86F79" w:rsidR="00662485" w:rsidRPr="00AB70DD" w:rsidRDefault="00662485" w:rsidP="00662485">
      <w:pPr>
        <w:widowControl w:val="0"/>
        <w:autoSpaceDE w:val="0"/>
        <w:autoSpaceDN w:val="0"/>
        <w:spacing w:after="120" w:line="276" w:lineRule="auto"/>
        <w:jc w:val="both"/>
        <w:rPr>
          <w:rFonts w:ascii="Verdana" w:eastAsia="Calibri" w:hAnsi="Verdana" w:cs="Arial"/>
          <w:color w:val="000000" w:themeColor="text1"/>
          <w:lang w:val="es-ES_tradnl" w:eastAsia="es-ES_tradnl"/>
        </w:rPr>
      </w:pPr>
      <w:r w:rsidRPr="00E84A27">
        <w:rPr>
          <w:rFonts w:ascii="Verdana" w:hAnsi="Verdana" w:cs="Arial"/>
          <w:shd w:val="clear" w:color="auto" w:fill="FFFFFF"/>
        </w:rPr>
        <w:t xml:space="preserve">La Agencia Nacional de Contratación Pública – Colombia Compra Eficiente se ha pronunciado sobre </w:t>
      </w:r>
      <w:r w:rsidRPr="00E84A27">
        <w:rPr>
          <w:rFonts w:ascii="Verdana" w:eastAsia="Calibri" w:hAnsi="Verdana" w:cs="Arial"/>
          <w:lang w:val="es-ES_tradnl" w:eastAsia="es-ES_tradnl"/>
        </w:rPr>
        <w:t>el régimen de inhabilidades e incompatibilidades en los</w:t>
      </w:r>
      <w:r w:rsidRPr="00E84A27">
        <w:rPr>
          <w:rFonts w:ascii="Verdana" w:eastAsia="Calibri" w:hAnsi="Verdana" w:cs="Arial"/>
          <w:lang w:val="es-MX"/>
        </w:rPr>
        <w:t xml:space="preserve"> conceptos C−410 del 7 de julio de 2021, C−491 del 14 de septiembre de 2021, C−522 del 1 de octubre de 2021, C−128 del 25 de marzo de 2022, C−252 del 3 de mayo de 2022, C−376 del 14 de junio de 2022, C−413 del 24 de junio de 2022, C−691 del 20 de octubre de 2022, C−731 del 10 de noviembre de 2022, C−928 del 26 de enero de 2023, C−126 del 24 de abril de 2023, C−175 del 4 de mayo de 2023, C−234 del 5 de julio de 2023, C−010 del 31 de enero de 2024, la respuesta </w:t>
      </w:r>
      <w:r w:rsidRPr="00E84A27">
        <w:rPr>
          <w:rFonts w:ascii="Verdana" w:hAnsi="Verdana" w:cs="Arial"/>
        </w:rPr>
        <w:t xml:space="preserve">al radicado </w:t>
      </w:r>
      <w:r w:rsidRPr="00E84A27">
        <w:rPr>
          <w:rFonts w:ascii="Verdana" w:eastAsia="Aptos" w:hAnsi="Verdana" w:cs="Calibri"/>
        </w:rPr>
        <w:t>P20240308002646 del 24 de abril de 2024,</w:t>
      </w:r>
      <w:r w:rsidRPr="00E84A27">
        <w:rPr>
          <w:rFonts w:ascii="Verdana" w:eastAsia="Calibri" w:hAnsi="Verdana" w:cs="Arial"/>
          <w:lang w:val="es-MX"/>
        </w:rPr>
        <w:t xml:space="preserve"> el C-039 del 23 de abril de 2024, </w:t>
      </w:r>
      <w:r w:rsidRPr="00E84A27">
        <w:rPr>
          <w:rFonts w:ascii="Verdana" w:hAnsi="Verdana" w:cs="Arial"/>
        </w:rPr>
        <w:t xml:space="preserve">C-085 del 3 de marzo de 2025, </w:t>
      </w:r>
      <w:r w:rsidRPr="00E84A27">
        <w:rPr>
          <w:rFonts w:ascii="Verdana" w:eastAsia="Aptos" w:hAnsi="Verdana" w:cs="Calibri"/>
        </w:rPr>
        <w:t xml:space="preserve">C-170 del 19 de marzo de 2025 y </w:t>
      </w:r>
      <w:r w:rsidRPr="00E84A27">
        <w:rPr>
          <w:rFonts w:ascii="Verdana" w:hAnsi="Verdana" w:cs="Arial"/>
        </w:rPr>
        <w:t>C-201 de 26 de marzo de 2025</w:t>
      </w:r>
      <w:r w:rsidRPr="00E84A27">
        <w:rPr>
          <w:rFonts w:ascii="Verdana" w:hAnsi="Verdana" w:cs="Arial"/>
          <w:shd w:val="clear" w:color="auto" w:fill="FFFFFF"/>
        </w:rPr>
        <w:t>,</w:t>
      </w:r>
      <w:r w:rsidR="006F53CC">
        <w:rPr>
          <w:rFonts w:ascii="Verdana" w:hAnsi="Verdana" w:cs="Arial"/>
          <w:shd w:val="clear" w:color="auto" w:fill="FFFFFF"/>
        </w:rPr>
        <w:t xml:space="preserve"> </w:t>
      </w:r>
      <w:r w:rsidR="006F53CC" w:rsidRPr="006F53CC">
        <w:rPr>
          <w:rFonts w:ascii="Verdana" w:hAnsi="Verdana" w:cs="Arial"/>
          <w:shd w:val="clear" w:color="auto" w:fill="FFFFFF"/>
        </w:rPr>
        <w:t>C-1111 de 2025</w:t>
      </w:r>
      <w:r w:rsidR="006F53CC">
        <w:rPr>
          <w:rFonts w:ascii="Verdana" w:hAnsi="Verdana" w:cs="Arial"/>
          <w:shd w:val="clear" w:color="auto" w:fill="FFFFFF"/>
        </w:rPr>
        <w:t>,</w:t>
      </w:r>
      <w:r w:rsidRPr="00E84A27">
        <w:rPr>
          <w:rFonts w:ascii="Verdana" w:hAnsi="Verdana" w:cs="Arial"/>
          <w:shd w:val="clear" w:color="auto" w:fill="FFFFFF"/>
        </w:rPr>
        <w:t xml:space="preserve"> entre </w:t>
      </w:r>
      <w:r w:rsidRPr="00E84A27">
        <w:rPr>
          <w:rFonts w:ascii="Verdana" w:hAnsi="Verdana" w:cs="Arial"/>
        </w:rPr>
        <w:t>otros</w:t>
      </w:r>
      <w:r w:rsidRPr="00E84A27">
        <w:rPr>
          <w:rFonts w:ascii="Verdana" w:eastAsia="Times New Roman" w:hAnsi="Verdana" w:cs="Arial"/>
          <w:color w:val="000000"/>
          <w:lang w:val="es-ES"/>
        </w:rPr>
        <w:t xml:space="preserve">. Sobre la prohibición contenida en el artículo 49 de la Ley </w:t>
      </w:r>
      <w:r w:rsidRPr="00E84A27">
        <w:rPr>
          <w:rFonts w:ascii="Verdana" w:hAnsi="Verdana" w:cs="Arial"/>
          <w:lang w:val="es-ES_tradnl"/>
        </w:rPr>
        <w:t>617 de 2000 y el régimen de inhabilidades en la Ley 80 de 1993, se ha pronunciado esta Subdirección</w:t>
      </w:r>
      <w:r>
        <w:rPr>
          <w:rFonts w:ascii="Verdana" w:hAnsi="Verdana" w:cs="Arial"/>
          <w:lang w:val="es-ES_tradnl"/>
        </w:rPr>
        <w:t xml:space="preserve"> en los conceptos C- 201 del 26 de marzo de 2025, C-281 del 10 de abril de 2025, entre otros. </w:t>
      </w:r>
      <w:r w:rsidRPr="00D22B74">
        <w:rPr>
          <w:rFonts w:ascii="Verdana" w:hAnsi="Verdana" w:cs="Arial"/>
          <w:lang w:val="es-ES"/>
        </w:rPr>
        <w:t xml:space="preserve">Estos y otros </w:t>
      </w:r>
      <w:r w:rsidRPr="00D22B74">
        <w:rPr>
          <w:rFonts w:ascii="Verdana" w:hAnsi="Verdana"/>
        </w:rPr>
        <w:t>conceptos se encuentran disponibles para consulta en el Sistema de relatoría de la Agencia, al cual se puede acceder a través del siguiente enlace:</w:t>
      </w:r>
      <w:r w:rsidRPr="00D22B74">
        <w:rPr>
          <w:rFonts w:ascii="Verdana" w:hAnsi="Verdana" w:cs="Arial"/>
          <w:shd w:val="clear" w:color="auto" w:fill="FFFFFF"/>
        </w:rPr>
        <w:t xml:space="preserve"> </w:t>
      </w:r>
      <w:hyperlink r:id="rId12" w:history="1">
        <w:r w:rsidRPr="00D22B74">
          <w:rPr>
            <w:rFonts w:ascii="Verdana" w:hAnsi="Verdana" w:cs="Arial"/>
            <w:color w:val="0563C1" w:themeColor="hyperlink"/>
            <w:u w:val="single"/>
            <w:shd w:val="clear" w:color="auto" w:fill="FFFFFF"/>
          </w:rPr>
          <w:t>https://relatoria.colombiacompra.gov.co/busqueda/conceptos</w:t>
        </w:r>
      </w:hyperlink>
      <w:r w:rsidRPr="00D22B74">
        <w:rPr>
          <w:rFonts w:ascii="Verdana" w:hAnsi="Verdana" w:cs="Arial"/>
          <w:shd w:val="clear" w:color="auto" w:fill="FFFFFF"/>
        </w:rPr>
        <w:t>.</w:t>
      </w:r>
      <w:r w:rsidRPr="00AB70DD">
        <w:rPr>
          <w:rFonts w:ascii="Verdana" w:hAnsi="Verdana" w:cs="Arial"/>
          <w:color w:val="FF0000"/>
          <w:shd w:val="clear" w:color="auto" w:fill="FFFFFF"/>
        </w:rPr>
        <w:t xml:space="preserve"> </w:t>
      </w:r>
      <w:r w:rsidRPr="00AB70DD">
        <w:rPr>
          <w:rFonts w:ascii="Verdana" w:hAnsi="Verdana" w:cs="Arial"/>
          <w:color w:val="000000" w:themeColor="text1"/>
          <w:shd w:val="clear" w:color="auto" w:fill="FFFFFF"/>
        </w:rPr>
        <w:t>  </w:t>
      </w:r>
    </w:p>
    <w:p w14:paraId="417A9FB7" w14:textId="77777777" w:rsidR="006F53CC" w:rsidRDefault="006F53CC" w:rsidP="006F53CC">
      <w:pPr>
        <w:spacing w:after="0" w:line="276" w:lineRule="auto"/>
        <w:jc w:val="both"/>
        <w:textAlignment w:val="baseline"/>
        <w:rPr>
          <w:rFonts w:ascii="Verdana" w:hAnsi="Verdana"/>
        </w:rPr>
      </w:pPr>
      <w:r w:rsidRPr="006D2BE1">
        <w:rPr>
          <w:rFonts w:ascii="Verdana" w:eastAsia="Verdana" w:hAnsi="Verdana" w:cs="Verdana"/>
          <w:lang w:val="es-ES"/>
        </w:rPr>
        <w:lastRenderedPageBreak/>
        <w:t xml:space="preserve">La sostenibilidad no es una opción, es una obligación. Por ello, la Agencia Nacional de Contratación Pública –Colombia Compra Eficiente– te invita a realizar el </w:t>
      </w:r>
      <w:r w:rsidRPr="006D2BE1">
        <w:rPr>
          <w:rFonts w:ascii="Verdana" w:eastAsia="Verdana" w:hAnsi="Verdana" w:cs="Verdana"/>
          <w:b/>
          <w:bCs/>
          <w:lang w:val="es-ES"/>
        </w:rPr>
        <w:t>Curso de Contratación Pública Sostenible y Socialmente Responsable</w:t>
      </w:r>
      <w:r w:rsidRPr="006D2BE1">
        <w:rPr>
          <w:rFonts w:ascii="Verdana" w:eastAsia="Verdana" w:hAnsi="Verdana" w:cs="Verdana"/>
          <w:lang w:val="es-ES"/>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6D2BE1">
        <w:rPr>
          <w:rFonts w:ascii="Verdana" w:hAnsi="Verdana"/>
        </w:rPr>
        <w:br/>
      </w:r>
      <w:r w:rsidRPr="006D2BE1">
        <w:rPr>
          <w:rFonts w:ascii="Verdana" w:eastAsia="Verdana" w:hAnsi="Verdana" w:cs="Verdana"/>
          <w:lang w:val="es-ES"/>
        </w:rPr>
        <w:t xml:space="preserve"> </w:t>
      </w:r>
      <w:hyperlink r:id="rId13">
        <w:r w:rsidRPr="006D2BE1">
          <w:rPr>
            <w:rStyle w:val="Hipervnculo"/>
            <w:rFonts w:ascii="Verdana" w:hAnsi="Verdana"/>
            <w:lang w:val="es-ES"/>
          </w:rPr>
          <w:t>https://formacionvirtual.colombiacompra.gov.co/mod/page/view.php?id=3718</w:t>
        </w:r>
      </w:hyperlink>
    </w:p>
    <w:p w14:paraId="184DF46B" w14:textId="77777777" w:rsidR="006F53CC" w:rsidRPr="006D2BE1" w:rsidRDefault="006F53CC" w:rsidP="006F53CC">
      <w:pPr>
        <w:spacing w:after="0" w:line="276" w:lineRule="auto"/>
        <w:jc w:val="both"/>
        <w:textAlignment w:val="baseline"/>
        <w:rPr>
          <w:rFonts w:ascii="Verdana" w:hAnsi="Verdana"/>
        </w:rPr>
      </w:pPr>
    </w:p>
    <w:p w14:paraId="01A6648C" w14:textId="77777777" w:rsidR="006F53CC" w:rsidRPr="006D2BE1" w:rsidRDefault="006F53CC" w:rsidP="006F53CC">
      <w:pPr>
        <w:spacing w:after="0" w:line="276" w:lineRule="auto"/>
        <w:jc w:val="both"/>
        <w:textAlignment w:val="baseline"/>
        <w:rPr>
          <w:rFonts w:ascii="Verdana" w:hAnsi="Verdana"/>
        </w:rPr>
      </w:pPr>
      <w:r w:rsidRPr="006D2BE1">
        <w:rPr>
          <w:rFonts w:ascii="Verdana" w:eastAsia="Verdana" w:hAnsi="Verdana" w:cs="Verdana"/>
          <w:lang w:val="es-ES"/>
        </w:rPr>
        <w:t xml:space="preserve">De otro lado, te contamos que esta Agencia ha da un paso decisivo en la estandarización y modernización del </w:t>
      </w:r>
      <w:r w:rsidRPr="006D2BE1">
        <w:rPr>
          <w:rFonts w:ascii="Verdana" w:eastAsia="Verdana" w:hAnsi="Verdana" w:cs="Verdana"/>
          <w:b/>
          <w:bCs/>
          <w:lang w:val="es-ES"/>
        </w:rPr>
        <w:t>sector  social</w:t>
      </w:r>
      <w:r w:rsidRPr="006D2BE1">
        <w:rPr>
          <w:rFonts w:ascii="Verdana" w:eastAsia="Verdana" w:hAnsi="Verdana" w:cs="Verdana"/>
          <w:lang w:val="es-ES"/>
        </w:rPr>
        <w:t xml:space="preserve"> con la expedición de las </w:t>
      </w:r>
      <w:r w:rsidRPr="006D2BE1">
        <w:rPr>
          <w:rFonts w:ascii="Verdana" w:eastAsia="Verdana" w:hAnsi="Verdana" w:cs="Verdana"/>
          <w:b/>
          <w:bCs/>
          <w:lang w:val="es-ES"/>
        </w:rPr>
        <w:t>Resoluciones 539, 540, 541, 952 y 953 de 2025</w:t>
      </w:r>
      <w:r w:rsidRPr="006D2BE1">
        <w:rPr>
          <w:rFonts w:ascii="Verdana" w:eastAsia="Verdana" w:hAnsi="Verdana" w:cs="Verdana"/>
          <w:lang w:val="es-ES"/>
        </w:rPr>
        <w:t xml:space="preserve">, </w:t>
      </w:r>
      <w:r w:rsidRPr="006D2BE1">
        <w:rPr>
          <w:rFonts w:ascii="Verdana" w:eastAsia="Verdana" w:hAnsi="Verdana" w:cs="Verdana"/>
          <w:b/>
          <w:bCs/>
          <w:lang w:val="es-ES"/>
        </w:rPr>
        <w:t>mediante las cuales adoptó Documentos Tipo</w:t>
      </w:r>
      <w:r w:rsidRPr="006D2BE1">
        <w:rPr>
          <w:rFonts w:ascii="Verdana" w:eastAsia="Verdana" w:hAnsi="Verdana" w:cs="Verdana"/>
          <w:lang w:val="es-ES"/>
        </w:rPr>
        <w:t xml:space="preserve"> para las modalidades de selección de</w:t>
      </w:r>
      <w:r w:rsidRPr="006D2BE1">
        <w:rPr>
          <w:rFonts w:ascii="Verdana" w:eastAsia="Verdana" w:hAnsi="Verdana" w:cs="Verdana"/>
          <w:b/>
          <w:bCs/>
          <w:lang w:val="es-ES"/>
        </w:rPr>
        <w:t xml:space="preserve"> licitación pública (versión 2), selección abreviada de menor cuantía, mínima cuantía, consultoría e interventoría</w:t>
      </w:r>
      <w:r w:rsidRPr="006D2BE1">
        <w:rPr>
          <w:rFonts w:ascii="Verdana" w:eastAsia="Verdana" w:hAnsi="Verdana" w:cs="Verdana"/>
          <w:lang w:val="es-ES"/>
        </w:rPr>
        <w:t xml:space="preserve">, promoviendo procesos más transparentes, eficientes  competitivos y sostenibles en sectores estratégicos como educación, salud, cultura, recreación, deporte, institucional y vivienda. Consulta y descarga los documentos aquí: </w:t>
      </w:r>
      <w:hyperlink r:id="rId14">
        <w:r w:rsidRPr="006D2BE1">
          <w:rPr>
            <w:rStyle w:val="Hipervnculo"/>
            <w:rFonts w:ascii="Verdana" w:hAnsi="Verdana"/>
            <w:lang w:val="es-ES"/>
          </w:rPr>
          <w:t>https://www.colombiacompra.gov.co/normativa-y-relatoria/documentos-tipo</w:t>
        </w:r>
      </w:hyperlink>
    </w:p>
    <w:p w14:paraId="676C00C2" w14:textId="77777777" w:rsidR="006F53CC" w:rsidRDefault="006F53CC" w:rsidP="006F53CC">
      <w:pPr>
        <w:spacing w:after="0" w:line="276" w:lineRule="auto"/>
        <w:jc w:val="both"/>
        <w:textAlignment w:val="baseline"/>
        <w:rPr>
          <w:rFonts w:ascii="Verdana" w:eastAsia="Verdana" w:hAnsi="Verdana" w:cs="Verdana"/>
          <w:lang w:val="es-ES"/>
        </w:rPr>
      </w:pPr>
    </w:p>
    <w:p w14:paraId="356611A2" w14:textId="77777777" w:rsidR="006F53CC" w:rsidRPr="006D2BE1" w:rsidRDefault="006F53CC" w:rsidP="006F53CC">
      <w:pPr>
        <w:spacing w:after="0" w:line="276" w:lineRule="auto"/>
        <w:jc w:val="both"/>
        <w:textAlignment w:val="baseline"/>
        <w:rPr>
          <w:rFonts w:ascii="Verdana" w:hAnsi="Verdana"/>
        </w:rPr>
      </w:pPr>
      <w:r w:rsidRPr="006D2BE1">
        <w:rPr>
          <w:rFonts w:ascii="Verdana" w:eastAsia="Verdana" w:hAnsi="Verdana" w:cs="Verdana"/>
          <w:lang w:val="es-ES"/>
        </w:rPr>
        <w:t xml:space="preserve">Si quieres conocer más sobre la aplicación de Documentos Tipo puedes consultar la última versión de la </w:t>
      </w:r>
      <w:r w:rsidRPr="006D2BE1">
        <w:rPr>
          <w:rFonts w:ascii="Verdana" w:eastAsia="Verdana" w:hAnsi="Verdana" w:cs="Verdana"/>
          <w:b/>
          <w:bCs/>
          <w:lang w:val="es-ES"/>
        </w:rPr>
        <w:t>Guía para la comprensión e implementación de los Documentos Tipo de obra pública de infraestructura de transporte</w:t>
      </w:r>
      <w:r w:rsidRPr="006D2BE1">
        <w:rPr>
          <w:rFonts w:ascii="Verdana" w:eastAsia="Verdana" w:hAnsi="Verdana" w:cs="Verdana"/>
          <w:lang w:val="es-ES"/>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6D2BE1">
        <w:rPr>
          <w:rFonts w:ascii="Verdana" w:hAnsi="Verdana"/>
        </w:rPr>
        <w:br/>
      </w:r>
      <w:r w:rsidRPr="006D2BE1">
        <w:rPr>
          <w:rFonts w:ascii="Verdana" w:eastAsia="Verdana" w:hAnsi="Verdana" w:cs="Verdana"/>
          <w:lang w:val="es-ES"/>
        </w:rPr>
        <w:t xml:space="preserve"> </w:t>
      </w:r>
      <w:hyperlink r:id="rId15">
        <w:r w:rsidRPr="006D2BE1">
          <w:rPr>
            <w:rStyle w:val="Hipervnculo"/>
            <w:rFonts w:ascii="Verdana" w:hAnsi="Verdana"/>
            <w:lang w:val="es-ES"/>
          </w:rPr>
          <w:t>https://www.colombiacompra.gov.co/archivos/manual/guia-para-la-comprension-e-implementacion-de-los-documentos-tipo-de-obra-publica-de-infraestructura-de-transporte-bajo-las-diferentes-modalidades-de-contratacion-vigentes</w:t>
        </w:r>
      </w:hyperlink>
    </w:p>
    <w:p w14:paraId="27BF3C29" w14:textId="77777777" w:rsidR="006F53CC" w:rsidRPr="006D2BE1" w:rsidRDefault="006F53CC" w:rsidP="006F53CC">
      <w:pPr>
        <w:spacing w:after="0" w:line="276" w:lineRule="auto"/>
        <w:jc w:val="both"/>
        <w:textAlignment w:val="baseline"/>
        <w:rPr>
          <w:rFonts w:ascii="Verdana" w:hAnsi="Verdana"/>
        </w:rPr>
      </w:pPr>
      <w:r w:rsidRPr="006D2BE1">
        <w:rPr>
          <w:rFonts w:ascii="Verdana" w:eastAsia="Verdana" w:hAnsi="Verdana" w:cs="Verdana"/>
          <w:lang w:val="es-ES"/>
        </w:rPr>
        <w:t xml:space="preserve"> </w:t>
      </w:r>
    </w:p>
    <w:p w14:paraId="6E73AF3B" w14:textId="77777777" w:rsidR="006F53CC" w:rsidRPr="006D2BE1" w:rsidRDefault="006F53CC" w:rsidP="006F53CC">
      <w:pPr>
        <w:spacing w:after="0" w:line="276" w:lineRule="auto"/>
        <w:jc w:val="both"/>
        <w:textAlignment w:val="baseline"/>
        <w:rPr>
          <w:rFonts w:ascii="Verdana" w:hAnsi="Verdana"/>
        </w:rPr>
      </w:pPr>
      <w:r w:rsidRPr="006D2BE1">
        <w:rPr>
          <w:rFonts w:ascii="Verdana" w:eastAsia="Verdana" w:hAnsi="Verdana" w:cs="Verdana"/>
          <w:lang w:val="es-ES"/>
        </w:rPr>
        <w:t xml:space="preserve">Por último, lo invitamos a seguirnos en las redes sociales en las cuales se difunde información institucional: </w:t>
      </w:r>
    </w:p>
    <w:p w14:paraId="67166F6E" w14:textId="77777777" w:rsidR="006F53CC" w:rsidRPr="006D2BE1" w:rsidRDefault="006F53CC" w:rsidP="006F53CC">
      <w:pPr>
        <w:spacing w:after="0" w:line="276" w:lineRule="auto"/>
        <w:jc w:val="both"/>
        <w:textAlignment w:val="baseline"/>
        <w:rPr>
          <w:rFonts w:ascii="Verdana" w:hAnsi="Verdana"/>
        </w:rPr>
      </w:pPr>
      <w:r w:rsidRPr="006D2BE1">
        <w:rPr>
          <w:rFonts w:ascii="Verdana" w:eastAsia="Verdana" w:hAnsi="Verdana" w:cs="Verdana"/>
          <w:lang w:val="es-ES"/>
        </w:rPr>
        <w:t xml:space="preserve"> </w:t>
      </w:r>
    </w:p>
    <w:p w14:paraId="62BDB8AF" w14:textId="77777777" w:rsidR="006F53CC" w:rsidRPr="006D2BE1" w:rsidRDefault="006F53CC" w:rsidP="006F53CC">
      <w:pPr>
        <w:spacing w:after="0" w:line="276" w:lineRule="auto"/>
        <w:jc w:val="both"/>
        <w:textAlignment w:val="baseline"/>
        <w:rPr>
          <w:rFonts w:ascii="Verdana" w:hAnsi="Verdana"/>
        </w:rPr>
      </w:pPr>
      <w:r w:rsidRPr="006D2BE1">
        <w:rPr>
          <w:rFonts w:ascii="Verdana" w:eastAsia="Verdana" w:hAnsi="Verdana" w:cs="Verdana"/>
          <w:lang w:val="es-ES"/>
        </w:rPr>
        <w:lastRenderedPageBreak/>
        <w:t xml:space="preserve">Twitter: </w:t>
      </w:r>
      <w:r w:rsidRPr="006D2BE1">
        <w:rPr>
          <w:rFonts w:ascii="Verdana" w:eastAsia="Verdana" w:hAnsi="Verdana" w:cs="Verdana"/>
          <w:color w:val="4472C4" w:themeColor="accent1"/>
          <w:u w:val="single"/>
          <w:lang w:val="es-ES"/>
        </w:rPr>
        <w:t>@colombiacompra</w:t>
      </w:r>
      <w:r w:rsidRPr="006D2BE1">
        <w:rPr>
          <w:rFonts w:ascii="Verdana" w:eastAsia="Verdana" w:hAnsi="Verdana" w:cs="Verdana"/>
          <w:color w:val="4472C4" w:themeColor="accent1"/>
          <w:lang w:val="es-ES"/>
        </w:rPr>
        <w:t xml:space="preserve"> </w:t>
      </w:r>
    </w:p>
    <w:p w14:paraId="2362F6BB" w14:textId="77777777" w:rsidR="006F53CC" w:rsidRPr="006D2BE1" w:rsidRDefault="006F53CC" w:rsidP="006F53CC">
      <w:pPr>
        <w:spacing w:after="0" w:line="276" w:lineRule="auto"/>
        <w:jc w:val="both"/>
        <w:textAlignment w:val="baseline"/>
        <w:rPr>
          <w:rFonts w:ascii="Verdana" w:hAnsi="Verdana"/>
        </w:rPr>
      </w:pPr>
      <w:r w:rsidRPr="006D2BE1">
        <w:rPr>
          <w:rFonts w:ascii="Verdana" w:eastAsia="Verdana" w:hAnsi="Verdana" w:cs="Verdana"/>
          <w:lang w:val="es-ES"/>
        </w:rPr>
        <w:t xml:space="preserve">Facebook: </w:t>
      </w:r>
      <w:proofErr w:type="spellStart"/>
      <w:r w:rsidRPr="006D2BE1">
        <w:rPr>
          <w:rFonts w:ascii="Verdana" w:eastAsia="Verdana" w:hAnsi="Verdana" w:cs="Verdana"/>
          <w:color w:val="4472C4" w:themeColor="accent1"/>
          <w:u w:val="single"/>
          <w:lang w:val="es-ES"/>
        </w:rPr>
        <w:t>ColombiaCompraEficiente</w:t>
      </w:r>
      <w:proofErr w:type="spellEnd"/>
    </w:p>
    <w:p w14:paraId="26A01FA7" w14:textId="77777777" w:rsidR="006F53CC" w:rsidRPr="006D2BE1" w:rsidRDefault="006F53CC" w:rsidP="006F53CC">
      <w:pPr>
        <w:spacing w:after="0" w:line="276" w:lineRule="auto"/>
        <w:jc w:val="both"/>
        <w:textAlignment w:val="baseline"/>
        <w:rPr>
          <w:rFonts w:ascii="Verdana" w:hAnsi="Verdana"/>
        </w:rPr>
      </w:pPr>
      <w:r w:rsidRPr="006D2BE1">
        <w:rPr>
          <w:rFonts w:ascii="Verdana" w:eastAsia="Verdana" w:hAnsi="Verdana" w:cs="Verdana"/>
          <w:lang w:val="es-ES"/>
        </w:rPr>
        <w:t xml:space="preserve">LinkedIn: </w:t>
      </w:r>
      <w:r w:rsidRPr="006D2BE1">
        <w:rPr>
          <w:rFonts w:ascii="Verdana" w:eastAsia="Verdana" w:hAnsi="Verdana" w:cs="Verdana"/>
          <w:color w:val="4472C4" w:themeColor="accent1"/>
          <w:u w:val="single"/>
          <w:lang w:val="es-ES"/>
        </w:rPr>
        <w:t>Agencia Nacional de Contratación Pública - Colombia Compra Eficiente</w:t>
      </w:r>
      <w:r w:rsidRPr="006D2BE1">
        <w:rPr>
          <w:rFonts w:ascii="Verdana" w:eastAsia="Verdana" w:hAnsi="Verdana" w:cs="Verdana"/>
          <w:color w:val="4472C4" w:themeColor="accent1"/>
          <w:lang w:val="es-ES"/>
        </w:rPr>
        <w:t xml:space="preserve"> </w:t>
      </w:r>
      <w:r w:rsidRPr="006D2BE1">
        <w:rPr>
          <w:rFonts w:ascii="Verdana" w:eastAsia="Verdana" w:hAnsi="Verdana" w:cs="Verdana"/>
          <w:lang w:val="es-ES"/>
        </w:rPr>
        <w:t xml:space="preserve">Instagram: </w:t>
      </w:r>
      <w:r w:rsidRPr="006D2BE1">
        <w:rPr>
          <w:rFonts w:ascii="Verdana" w:eastAsia="Verdana" w:hAnsi="Verdana" w:cs="Verdana"/>
          <w:color w:val="4472C4" w:themeColor="accent1"/>
          <w:u w:val="single"/>
          <w:lang w:val="es-ES"/>
        </w:rPr>
        <w:t>@colombiacompraeficiente_cce</w:t>
      </w:r>
    </w:p>
    <w:p w14:paraId="67EB1A97" w14:textId="77777777" w:rsidR="006F53CC" w:rsidRPr="006D2BE1" w:rsidRDefault="006F53CC" w:rsidP="006F53CC">
      <w:pPr>
        <w:spacing w:after="0" w:line="276" w:lineRule="auto"/>
        <w:jc w:val="both"/>
        <w:textAlignment w:val="baseline"/>
        <w:rPr>
          <w:rFonts w:ascii="Verdana" w:hAnsi="Verdana"/>
        </w:rPr>
      </w:pPr>
      <w:r w:rsidRPr="006D2BE1">
        <w:rPr>
          <w:rFonts w:ascii="Verdana" w:eastAsia="Verdana" w:hAnsi="Verdana" w:cs="Verdana"/>
          <w:lang w:val="es-ES"/>
        </w:rPr>
        <w:t xml:space="preserve"> </w:t>
      </w:r>
    </w:p>
    <w:p w14:paraId="4167F34A" w14:textId="77777777" w:rsidR="006F53CC" w:rsidRPr="006D2BE1" w:rsidRDefault="006F53CC" w:rsidP="006F53CC">
      <w:pPr>
        <w:spacing w:after="0" w:line="276" w:lineRule="auto"/>
        <w:jc w:val="both"/>
        <w:textAlignment w:val="baseline"/>
        <w:rPr>
          <w:rFonts w:ascii="Verdana" w:hAnsi="Verdana"/>
        </w:rPr>
      </w:pPr>
      <w:r w:rsidRPr="006D2BE1">
        <w:rPr>
          <w:rFonts w:ascii="Verdana" w:eastAsia="Verdana" w:hAnsi="Verdana" w:cs="Verdana"/>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4BED2EF4" w14:textId="77777777" w:rsidR="006F53CC" w:rsidRPr="006D2BE1" w:rsidRDefault="006F53CC" w:rsidP="006F53CC">
      <w:pPr>
        <w:spacing w:after="0" w:line="276" w:lineRule="auto"/>
        <w:jc w:val="both"/>
        <w:textAlignment w:val="baseline"/>
        <w:rPr>
          <w:rFonts w:ascii="Verdana" w:hAnsi="Verdana"/>
        </w:rPr>
      </w:pPr>
      <w:r w:rsidRPr="006D2BE1">
        <w:rPr>
          <w:rFonts w:ascii="Verdana" w:eastAsia="Verdana" w:hAnsi="Verdana" w:cs="Verdana"/>
          <w:lang w:val="es-ES"/>
        </w:rPr>
        <w:t xml:space="preserve"> </w:t>
      </w:r>
    </w:p>
    <w:p w14:paraId="652F3502" w14:textId="77777777" w:rsidR="006F53CC" w:rsidRPr="00E67E08" w:rsidRDefault="006F53CC" w:rsidP="006F53CC">
      <w:pPr>
        <w:spacing w:after="0" w:line="276" w:lineRule="auto"/>
        <w:jc w:val="both"/>
        <w:textAlignment w:val="baseline"/>
        <w:rPr>
          <w:rFonts w:ascii="Verdana" w:hAnsi="Verdana"/>
        </w:rPr>
      </w:pPr>
      <w:r w:rsidRPr="006D2BE1">
        <w:rPr>
          <w:rFonts w:ascii="Verdana" w:eastAsia="Verdana" w:hAnsi="Verdana" w:cs="Verdana"/>
          <w:lang w:val="es-ES"/>
        </w:rPr>
        <w:t xml:space="preserve">Atentamente, </w:t>
      </w:r>
    </w:p>
    <w:p w14:paraId="06D7AEEC" w14:textId="77777777" w:rsidR="006F53CC" w:rsidRDefault="006F53CC" w:rsidP="006F53CC">
      <w:pPr>
        <w:spacing w:after="0" w:line="256" w:lineRule="auto"/>
        <w:rPr>
          <w:rFonts w:eastAsia="Calibri" w:cs="Times New Roman"/>
        </w:rPr>
      </w:pPr>
    </w:p>
    <w:p w14:paraId="1C343568" w14:textId="77777777" w:rsidR="006F53CC" w:rsidRDefault="006F53CC" w:rsidP="00662485">
      <w:pPr>
        <w:spacing w:after="0" w:line="256" w:lineRule="auto"/>
        <w:jc w:val="center"/>
        <w:rPr>
          <w:rFonts w:eastAsia="Calibri" w:cs="Times New Roman"/>
        </w:rPr>
      </w:pPr>
    </w:p>
    <w:p w14:paraId="6431E20D" w14:textId="5E10BA7F" w:rsidR="006F53CC" w:rsidRDefault="005B5852" w:rsidP="00662485">
      <w:pPr>
        <w:spacing w:after="0" w:line="256" w:lineRule="auto"/>
        <w:jc w:val="center"/>
        <w:rPr>
          <w:rFonts w:eastAsia="Calibri" w:cs="Times New Roman"/>
        </w:rPr>
      </w:pPr>
      <w:r>
        <w:rPr>
          <w:rFonts w:eastAsia="Calibri" w:cs="Times New Roman"/>
          <w:noProof/>
        </w:rPr>
        <w:drawing>
          <wp:inline distT="0" distB="0" distL="0" distR="0" wp14:anchorId="42CF8057" wp14:editId="261380F1">
            <wp:extent cx="3771900" cy="1400175"/>
            <wp:effectExtent l="0" t="0" r="0" b="9525"/>
            <wp:docPr id="1483136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3682" name="Imagen 148313682"/>
                    <pic:cNvPicPr/>
                  </pic:nvPicPr>
                  <pic:blipFill>
                    <a:blip r:embed="rId16">
                      <a:extLst>
                        <a:ext uri="{28A0092B-C50C-407E-A947-70E740481C1C}">
                          <a14:useLocalDpi xmlns:a14="http://schemas.microsoft.com/office/drawing/2010/main" val="0"/>
                        </a:ext>
                      </a:extLst>
                    </a:blip>
                    <a:stretch>
                      <a:fillRect/>
                    </a:stretch>
                  </pic:blipFill>
                  <pic:spPr>
                    <a:xfrm>
                      <a:off x="0" y="0"/>
                      <a:ext cx="3771900" cy="1400175"/>
                    </a:xfrm>
                    <a:prstGeom prst="rect">
                      <a:avLst/>
                    </a:prstGeom>
                  </pic:spPr>
                </pic:pic>
              </a:graphicData>
            </a:graphic>
          </wp:inline>
        </w:drawing>
      </w:r>
    </w:p>
    <w:p w14:paraId="3F16D0C0" w14:textId="77777777" w:rsidR="006F53CC" w:rsidRDefault="006F53CC" w:rsidP="00662485">
      <w:pPr>
        <w:spacing w:after="0" w:line="256" w:lineRule="auto"/>
        <w:jc w:val="center"/>
        <w:rPr>
          <w:rFonts w:eastAsia="Calibri" w:cs="Times New Roman"/>
        </w:rPr>
      </w:pPr>
    </w:p>
    <w:p w14:paraId="3913117C" w14:textId="77777777" w:rsidR="006F53CC" w:rsidRPr="00A85059" w:rsidRDefault="006F53CC" w:rsidP="00662485">
      <w:pPr>
        <w:spacing w:after="0" w:line="256" w:lineRule="auto"/>
        <w:jc w:val="center"/>
        <w:rPr>
          <w:rFonts w:ascii="Verdana" w:eastAsia="Calibri" w:hAnsi="Verdana" w:cs="Times New Roman"/>
        </w:rPr>
      </w:pPr>
    </w:p>
    <w:tbl>
      <w:tblPr>
        <w:tblStyle w:val="Tablaconcuadrcula"/>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061"/>
      </w:tblGrid>
      <w:tr w:rsidR="00662485" w:rsidRPr="008E4F36" w14:paraId="34DDCD2F" w14:textId="77777777" w:rsidTr="0023368A">
        <w:trPr>
          <w:trHeight w:val="315"/>
        </w:trPr>
        <w:tc>
          <w:tcPr>
            <w:tcW w:w="893" w:type="dxa"/>
            <w:vAlign w:val="center"/>
            <w:hideMark/>
          </w:tcPr>
          <w:p w14:paraId="2F82C7E7" w14:textId="77777777" w:rsidR="00662485" w:rsidRPr="008E4F36" w:rsidRDefault="00662485" w:rsidP="0023368A">
            <w:pPr>
              <w:contextualSpacing/>
              <w:rPr>
                <w:rFonts w:ascii="Verdana" w:hAnsi="Verdana" w:cs="Arial"/>
                <w:sz w:val="16"/>
                <w:szCs w:val="16"/>
                <w:lang w:eastAsia="es-ES"/>
              </w:rPr>
            </w:pPr>
            <w:r w:rsidRPr="008E4F36">
              <w:rPr>
                <w:rFonts w:ascii="Verdana" w:hAnsi="Verdana" w:cs="Arial"/>
                <w:sz w:val="16"/>
                <w:szCs w:val="16"/>
                <w:lang w:eastAsia="es-ES"/>
              </w:rPr>
              <w:t>Elaboró:</w:t>
            </w:r>
          </w:p>
        </w:tc>
        <w:tc>
          <w:tcPr>
            <w:tcW w:w="5061" w:type="dxa"/>
            <w:tcBorders>
              <w:top w:val="nil"/>
              <w:left w:val="nil"/>
              <w:bottom w:val="dotted" w:sz="4" w:space="0" w:color="7F7F7F" w:themeColor="text1" w:themeTint="80"/>
              <w:right w:val="nil"/>
            </w:tcBorders>
            <w:vAlign w:val="center"/>
            <w:hideMark/>
          </w:tcPr>
          <w:p w14:paraId="473BAF93" w14:textId="00402441" w:rsidR="00662485" w:rsidRPr="008E4F36" w:rsidRDefault="006F53CC" w:rsidP="0023368A">
            <w:pPr>
              <w:contextualSpacing/>
              <w:rPr>
                <w:rStyle w:val="normaltextrun"/>
                <w:rFonts w:ascii="Verdana" w:hAnsi="Verdana"/>
                <w:sz w:val="16"/>
                <w:szCs w:val="16"/>
              </w:rPr>
            </w:pPr>
            <w:r>
              <w:rPr>
                <w:rStyle w:val="normaltextrun"/>
                <w:rFonts w:ascii="Verdana" w:hAnsi="Verdana"/>
                <w:sz w:val="16"/>
                <w:szCs w:val="16"/>
              </w:rPr>
              <w:t xml:space="preserve">Camilo J Martínez M </w:t>
            </w:r>
          </w:p>
          <w:p w14:paraId="57CB7F41" w14:textId="77777777" w:rsidR="00662485" w:rsidRPr="008E4F36" w:rsidRDefault="00662485" w:rsidP="0023368A">
            <w:pPr>
              <w:contextualSpacing/>
              <w:rPr>
                <w:rFonts w:ascii="Verdana" w:eastAsia="Arial" w:hAnsi="Verdana" w:cs="Arial"/>
                <w:sz w:val="16"/>
                <w:szCs w:val="16"/>
              </w:rPr>
            </w:pPr>
            <w:r w:rsidRPr="008E4F36">
              <w:rPr>
                <w:rStyle w:val="normaltextrun"/>
                <w:rFonts w:ascii="Verdana" w:hAnsi="Verdana" w:cs="Arial"/>
                <w:sz w:val="16"/>
                <w:szCs w:val="16"/>
              </w:rPr>
              <w:t>Contratista de la Subdirección de Gestión Contractual</w:t>
            </w:r>
            <w:r w:rsidRPr="008E4F36">
              <w:rPr>
                <w:rStyle w:val="eop"/>
                <w:rFonts w:ascii="Verdana" w:hAnsi="Verdana" w:cs="Arial"/>
                <w:sz w:val="16"/>
                <w:szCs w:val="16"/>
              </w:rPr>
              <w:t> </w:t>
            </w:r>
          </w:p>
        </w:tc>
      </w:tr>
      <w:tr w:rsidR="00662485" w:rsidRPr="008E4F36" w14:paraId="60F085A6" w14:textId="77777777" w:rsidTr="0023368A">
        <w:trPr>
          <w:trHeight w:val="330"/>
        </w:trPr>
        <w:tc>
          <w:tcPr>
            <w:tcW w:w="893" w:type="dxa"/>
            <w:vAlign w:val="center"/>
            <w:hideMark/>
          </w:tcPr>
          <w:p w14:paraId="3C15657B" w14:textId="77777777" w:rsidR="00662485" w:rsidRPr="008E4F36" w:rsidRDefault="00662485" w:rsidP="0023368A">
            <w:pPr>
              <w:contextualSpacing/>
              <w:rPr>
                <w:rFonts w:ascii="Verdana" w:hAnsi="Verdana" w:cs="Arial"/>
                <w:sz w:val="16"/>
                <w:szCs w:val="16"/>
                <w:lang w:eastAsia="es-ES"/>
              </w:rPr>
            </w:pPr>
            <w:r w:rsidRPr="008E4F36">
              <w:rPr>
                <w:rFonts w:ascii="Verdana" w:hAnsi="Verdana" w:cs="Arial"/>
                <w:sz w:val="16"/>
                <w:szCs w:val="16"/>
                <w:lang w:eastAsia="es-ES"/>
              </w:rPr>
              <w:t>Revisó:</w:t>
            </w:r>
          </w:p>
        </w:tc>
        <w:tc>
          <w:tcPr>
            <w:tcW w:w="5061" w:type="dxa"/>
            <w:tcBorders>
              <w:top w:val="dotted" w:sz="4" w:space="0" w:color="7F7F7F" w:themeColor="text1" w:themeTint="80"/>
              <w:left w:val="nil"/>
              <w:bottom w:val="dotted" w:sz="4" w:space="0" w:color="7F7F7F" w:themeColor="text1" w:themeTint="80"/>
              <w:right w:val="nil"/>
            </w:tcBorders>
            <w:vAlign w:val="center"/>
            <w:hideMark/>
          </w:tcPr>
          <w:p w14:paraId="0EFA3065" w14:textId="77777777" w:rsidR="006F53CC" w:rsidRDefault="006F53CC" w:rsidP="006F53CC">
            <w:r w:rsidRPr="79B18DF3">
              <w:rPr>
                <w:rFonts w:ascii="Verdana" w:eastAsia="Verdana" w:hAnsi="Verdana" w:cs="Verdana"/>
                <w:sz w:val="16"/>
                <w:szCs w:val="16"/>
                <w:lang w:val="es"/>
              </w:rPr>
              <w:t xml:space="preserve">Diana Lucía Saavedra Castañeda </w:t>
            </w:r>
          </w:p>
          <w:p w14:paraId="6E4ED28E" w14:textId="77777777" w:rsidR="00662485" w:rsidRPr="008E4F36" w:rsidRDefault="00662485" w:rsidP="0023368A">
            <w:pPr>
              <w:pStyle w:val="paragraph"/>
              <w:spacing w:before="0" w:beforeAutospacing="0" w:after="0" w:afterAutospacing="0"/>
              <w:contextualSpacing/>
              <w:textAlignment w:val="baseline"/>
              <w:rPr>
                <w:rFonts w:ascii="Verdana" w:hAnsi="Verdana" w:cs="Segoe UI"/>
                <w:sz w:val="16"/>
                <w:szCs w:val="16"/>
              </w:rPr>
            </w:pPr>
            <w:r w:rsidRPr="008E4F36">
              <w:rPr>
                <w:rStyle w:val="normaltextrun"/>
                <w:rFonts w:ascii="Verdana" w:hAnsi="Verdana" w:cs="Arial"/>
                <w:sz w:val="16"/>
                <w:szCs w:val="16"/>
              </w:rPr>
              <w:t>Contratista de la Subdirección de Gestión Contractual</w:t>
            </w:r>
            <w:r w:rsidRPr="008E4F36">
              <w:rPr>
                <w:rStyle w:val="eop"/>
                <w:rFonts w:ascii="Verdana" w:hAnsi="Verdana" w:cs="Arial"/>
                <w:sz w:val="16"/>
                <w:szCs w:val="16"/>
              </w:rPr>
              <w:t> </w:t>
            </w:r>
          </w:p>
        </w:tc>
      </w:tr>
      <w:tr w:rsidR="00662485" w:rsidRPr="008E4F36" w14:paraId="6F27A11C" w14:textId="77777777" w:rsidTr="0023368A">
        <w:trPr>
          <w:trHeight w:val="300"/>
        </w:trPr>
        <w:tc>
          <w:tcPr>
            <w:tcW w:w="893" w:type="dxa"/>
            <w:vAlign w:val="center"/>
          </w:tcPr>
          <w:p w14:paraId="06441916" w14:textId="77777777" w:rsidR="00662485" w:rsidRPr="008E4F36" w:rsidRDefault="00662485" w:rsidP="0023368A">
            <w:pPr>
              <w:contextualSpacing/>
              <w:rPr>
                <w:rFonts w:ascii="Verdana" w:hAnsi="Verdana" w:cs="Arial"/>
                <w:sz w:val="16"/>
                <w:szCs w:val="16"/>
                <w:lang w:eastAsia="es-ES"/>
              </w:rPr>
            </w:pPr>
            <w:r w:rsidRPr="008E4F36">
              <w:rPr>
                <w:rFonts w:ascii="Verdana" w:hAnsi="Verdana" w:cs="Arial"/>
                <w:sz w:val="16"/>
                <w:szCs w:val="16"/>
                <w:lang w:eastAsia="es-ES"/>
              </w:rPr>
              <w:t>Aprobó:</w:t>
            </w:r>
          </w:p>
        </w:tc>
        <w:tc>
          <w:tcPr>
            <w:tcW w:w="5061" w:type="dxa"/>
            <w:tcBorders>
              <w:top w:val="dotted" w:sz="4" w:space="0" w:color="7F7F7F" w:themeColor="text1" w:themeTint="80"/>
              <w:left w:val="nil"/>
              <w:bottom w:val="dotted" w:sz="4" w:space="0" w:color="7F7F7F" w:themeColor="text1" w:themeTint="80"/>
              <w:right w:val="nil"/>
            </w:tcBorders>
            <w:vAlign w:val="center"/>
          </w:tcPr>
          <w:p w14:paraId="7D83040E" w14:textId="77777777" w:rsidR="00662485" w:rsidRPr="008E4F36" w:rsidRDefault="00662485" w:rsidP="0023368A">
            <w:pPr>
              <w:contextualSpacing/>
              <w:rPr>
                <w:rFonts w:ascii="Verdana" w:eastAsia="Calibri" w:hAnsi="Verdana" w:cs="Arial"/>
                <w:sz w:val="16"/>
                <w:szCs w:val="16"/>
                <w:lang w:eastAsia="es-ES"/>
              </w:rPr>
            </w:pPr>
            <w:r>
              <w:rPr>
                <w:rFonts w:ascii="Verdana" w:eastAsia="Calibri" w:hAnsi="Verdana" w:cs="Arial"/>
                <w:sz w:val="16"/>
                <w:szCs w:val="16"/>
                <w:lang w:eastAsia="es-ES"/>
              </w:rPr>
              <w:t>Carolina Quintero Gacharná</w:t>
            </w:r>
          </w:p>
          <w:p w14:paraId="263F8D97" w14:textId="77777777" w:rsidR="00662485" w:rsidRPr="008E4F36" w:rsidRDefault="00662485" w:rsidP="0023368A">
            <w:pPr>
              <w:contextualSpacing/>
              <w:rPr>
                <w:rFonts w:ascii="Verdana" w:eastAsia="Calibri" w:hAnsi="Verdana" w:cs="Arial"/>
                <w:sz w:val="16"/>
                <w:szCs w:val="16"/>
                <w:lang w:eastAsia="es-ES"/>
              </w:rPr>
            </w:pPr>
            <w:r w:rsidRPr="008E4F36">
              <w:rPr>
                <w:rFonts w:ascii="Verdana" w:eastAsia="Calibri" w:hAnsi="Verdana" w:cs="Arial"/>
                <w:sz w:val="16"/>
                <w:szCs w:val="16"/>
                <w:lang w:eastAsia="es-ES"/>
              </w:rPr>
              <w:t>Subdirectora de Gestión Contractual</w:t>
            </w:r>
            <w:r>
              <w:rPr>
                <w:rFonts w:ascii="Verdana" w:eastAsia="Calibri" w:hAnsi="Verdana" w:cs="Arial"/>
                <w:sz w:val="16"/>
                <w:szCs w:val="16"/>
                <w:lang w:eastAsia="es-ES"/>
              </w:rPr>
              <w:t xml:space="preserve"> </w:t>
            </w:r>
            <w:r w:rsidRPr="008E4F36">
              <w:rPr>
                <w:rFonts w:ascii="Verdana" w:eastAsia="Calibri" w:hAnsi="Verdana" w:cs="Arial"/>
                <w:sz w:val="16"/>
                <w:szCs w:val="16"/>
                <w:lang w:eastAsia="es-ES"/>
              </w:rPr>
              <w:t>ANCP – CCE</w:t>
            </w:r>
          </w:p>
        </w:tc>
      </w:tr>
      <w:bookmarkEnd w:id="0"/>
      <w:bookmarkEnd w:id="1"/>
      <w:bookmarkEnd w:id="2"/>
      <w:bookmarkEnd w:id="3"/>
      <w:bookmarkEnd w:id="4"/>
      <w:bookmarkEnd w:id="6"/>
      <w:bookmarkEnd w:id="7"/>
    </w:tbl>
    <w:p w14:paraId="13842371" w14:textId="6F7F374D" w:rsidR="00322A85" w:rsidRDefault="00322A85" w:rsidP="00322A85">
      <w:pPr>
        <w:spacing w:after="0" w:line="240" w:lineRule="auto"/>
        <w:textAlignment w:val="baseline"/>
        <w:rPr>
          <w:rFonts w:ascii="Verdana" w:eastAsia="Times New Roman" w:hAnsi="Verdana" w:cs="Segoe UI"/>
          <w:sz w:val="18"/>
          <w:szCs w:val="18"/>
          <w:lang w:eastAsia="es-CO"/>
        </w:rPr>
      </w:pPr>
    </w:p>
    <w:p w14:paraId="4B066DE8" w14:textId="77777777" w:rsidR="00F90101" w:rsidRPr="0044528D" w:rsidRDefault="00F90101" w:rsidP="00322A85">
      <w:pPr>
        <w:spacing w:after="0" w:line="240" w:lineRule="auto"/>
        <w:textAlignment w:val="baseline"/>
        <w:rPr>
          <w:rFonts w:ascii="Verdana" w:eastAsia="Times New Roman" w:hAnsi="Verdana" w:cs="Segoe UI"/>
          <w:sz w:val="18"/>
          <w:szCs w:val="18"/>
          <w:lang w:eastAsia="es-CO"/>
        </w:rPr>
      </w:pPr>
    </w:p>
    <w:p w14:paraId="43AEFC6C" w14:textId="0F70BC1B" w:rsidR="00322A85" w:rsidRPr="0044528D" w:rsidRDefault="00322A85" w:rsidP="00322A85">
      <w:pPr>
        <w:spacing w:after="0" w:line="240" w:lineRule="auto"/>
        <w:textAlignment w:val="baseline"/>
        <w:rPr>
          <w:rFonts w:ascii="Verdana" w:eastAsia="Times New Roman" w:hAnsi="Verdana" w:cs="Segoe UI"/>
          <w:sz w:val="18"/>
          <w:szCs w:val="18"/>
          <w:lang w:eastAsia="es-CO"/>
        </w:rPr>
      </w:pPr>
      <w:r w:rsidRPr="0044528D">
        <w:rPr>
          <w:rFonts w:ascii="Verdana" w:eastAsia="Times New Roman" w:hAnsi="Verdana" w:cs="Segoe UI"/>
          <w:color w:val="404040"/>
          <w:lang w:eastAsia="es-CO"/>
        </w:rPr>
        <w:t> </w:t>
      </w:r>
    </w:p>
    <w:p w14:paraId="2B16A3E9" w14:textId="5AA040CA" w:rsidR="00322A85" w:rsidRPr="0044528D" w:rsidRDefault="00322A85" w:rsidP="006F53CC">
      <w:pPr>
        <w:spacing w:after="0" w:line="240" w:lineRule="auto"/>
        <w:ind w:firstLine="2850"/>
        <w:textAlignment w:val="baseline"/>
        <w:rPr>
          <w:rFonts w:ascii="Verdana" w:eastAsia="Times New Roman" w:hAnsi="Verdana" w:cs="Segoe UI"/>
          <w:color w:val="000000"/>
          <w:sz w:val="18"/>
          <w:szCs w:val="18"/>
          <w:lang w:eastAsia="es-CO"/>
        </w:rPr>
      </w:pPr>
      <w:r w:rsidRPr="0044528D">
        <w:rPr>
          <w:rFonts w:ascii="Verdana" w:eastAsia="Times New Roman" w:hAnsi="Verdana" w:cs="Segoe UI"/>
          <w:color w:val="000000"/>
          <w:lang w:eastAsia="es-CO"/>
        </w:rPr>
        <w:t> </w:t>
      </w:r>
    </w:p>
    <w:p w14:paraId="0F293BF4" w14:textId="79DE69A2" w:rsidR="00127233" w:rsidRPr="00046945" w:rsidRDefault="00322A85" w:rsidP="00046945">
      <w:pPr>
        <w:spacing w:after="0" w:line="240" w:lineRule="auto"/>
        <w:jc w:val="both"/>
        <w:textAlignment w:val="baseline"/>
        <w:rPr>
          <w:rFonts w:ascii="Verdana" w:eastAsia="Times New Roman" w:hAnsi="Verdana" w:cs="Segoe UI"/>
          <w:sz w:val="18"/>
          <w:szCs w:val="18"/>
          <w:lang w:eastAsia="es-CO"/>
        </w:rPr>
      </w:pPr>
      <w:r w:rsidRPr="0044528D">
        <w:rPr>
          <w:rFonts w:ascii="Verdana" w:eastAsia="Times New Roman" w:hAnsi="Verdana" w:cs="Segoe UI"/>
          <w:lang w:eastAsia="es-CO"/>
        </w:rPr>
        <w:t> </w:t>
      </w:r>
      <w:bookmarkEnd w:id="5"/>
    </w:p>
    <w:sectPr w:rsidR="00127233" w:rsidRPr="00046945"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44E71" w14:textId="77777777" w:rsidR="00337194" w:rsidRDefault="00337194" w:rsidP="004A1847">
      <w:pPr>
        <w:spacing w:after="0" w:line="240" w:lineRule="auto"/>
      </w:pPr>
      <w:r>
        <w:separator/>
      </w:r>
    </w:p>
  </w:endnote>
  <w:endnote w:type="continuationSeparator" w:id="0">
    <w:p w14:paraId="0A0E3995" w14:textId="77777777" w:rsidR="00337194" w:rsidRDefault="00337194"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593AA28F" w:rsidR="006219F8" w:rsidRDefault="00D520D8"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00FA47C0" w:rsidRPr="004A305D">
      <w:rPr>
        <w:rFonts w:ascii="Century Gothic" w:eastAsia="Geo" w:hAnsi="Century Gothic" w:cs="Geo"/>
        <w:b/>
        <w:color w:val="000000"/>
        <w:sz w:val="16"/>
        <w:szCs w:val="16"/>
        <w:lang w:eastAsia="es-CO"/>
      </w:rPr>
      <w:t xml:space="preserve">Código: </w:t>
    </w:r>
    <w:r w:rsidR="00FA47C0" w:rsidRPr="004A305D">
      <w:rPr>
        <w:rFonts w:ascii="Century Gothic" w:eastAsia="Geo" w:hAnsi="Century Gothic" w:cs="Geo"/>
        <w:bCs/>
        <w:color w:val="000000"/>
        <w:sz w:val="16"/>
        <w:szCs w:val="16"/>
        <w:lang w:eastAsia="es-CO"/>
      </w:rPr>
      <w:t>CCE-</w:t>
    </w:r>
    <w:r w:rsidR="00FA47C0">
      <w:rPr>
        <w:rFonts w:ascii="Century Gothic" w:eastAsia="Geo" w:hAnsi="Century Gothic" w:cs="Geo"/>
        <w:bCs/>
        <w:color w:val="000000"/>
        <w:sz w:val="16"/>
        <w:szCs w:val="16"/>
        <w:lang w:eastAsia="es-CO"/>
      </w:rPr>
      <w:t>REC</w:t>
    </w:r>
    <w:r w:rsidR="00FA47C0" w:rsidRPr="004A305D">
      <w:rPr>
        <w:rFonts w:ascii="Century Gothic" w:eastAsia="Geo" w:hAnsi="Century Gothic" w:cs="Geo"/>
        <w:bCs/>
        <w:color w:val="000000"/>
        <w:sz w:val="16"/>
        <w:szCs w:val="16"/>
        <w:lang w:eastAsia="es-CO"/>
      </w:rPr>
      <w:t>-FM-</w:t>
    </w:r>
    <w:r w:rsidR="00FA47C0">
      <w:rPr>
        <w:rFonts w:ascii="Century Gothic" w:eastAsia="Geo" w:hAnsi="Century Gothic" w:cs="Geo"/>
        <w:bCs/>
        <w:color w:val="000000"/>
        <w:sz w:val="16"/>
        <w:szCs w:val="16"/>
        <w:lang w:eastAsia="es-CO"/>
      </w:rPr>
      <w:t>17</w:t>
    </w:r>
    <w:r w:rsidR="0025796E">
      <w:rPr>
        <w:rFonts w:ascii="Century Gothic" w:eastAsia="Geo" w:hAnsi="Century Gothic" w:cs="Geo"/>
        <w:bCs/>
        <w:color w:val="000000"/>
        <w:sz w:val="16"/>
        <w:szCs w:val="16"/>
        <w:lang w:eastAsia="es-CO"/>
      </w:rPr>
      <w:t xml:space="preserve"> </w:t>
    </w:r>
    <w:r w:rsidR="00FA47C0" w:rsidRPr="004A305D">
      <w:rPr>
        <w:rFonts w:ascii="Century Gothic" w:eastAsia="Geo" w:hAnsi="Century Gothic" w:cs="Geo"/>
        <w:b/>
        <w:color w:val="000000"/>
        <w:sz w:val="16"/>
        <w:szCs w:val="16"/>
        <w:lang w:eastAsia="es-CO"/>
      </w:rPr>
      <w:t>Versión</w:t>
    </w:r>
    <w:r w:rsidR="00FA47C0" w:rsidRPr="004A305D">
      <w:rPr>
        <w:rFonts w:ascii="Century Gothic" w:eastAsia="Arial Nova" w:hAnsi="Century Gothic" w:cs="Arial Nova"/>
        <w:b/>
        <w:color w:val="000000"/>
        <w:sz w:val="16"/>
        <w:szCs w:val="16"/>
        <w:lang w:eastAsia="es-CO"/>
      </w:rPr>
      <w:t xml:space="preserve">: </w:t>
    </w:r>
    <w:r w:rsidR="00FA47C0" w:rsidRPr="004A305D">
      <w:rPr>
        <w:rFonts w:ascii="Century Gothic" w:eastAsia="Geo" w:hAnsi="Century Gothic" w:cs="Geo"/>
        <w:sz w:val="16"/>
        <w:szCs w:val="16"/>
        <w:lang w:eastAsia="es-CO"/>
      </w:rPr>
      <w:t>0</w:t>
    </w:r>
    <w:r w:rsidR="00FA47C0">
      <w:rPr>
        <w:rFonts w:ascii="Century Gothic" w:eastAsia="Geo" w:hAnsi="Century Gothic" w:cs="Geo"/>
        <w:sz w:val="16"/>
        <w:szCs w:val="16"/>
        <w:lang w:eastAsia="es-CO"/>
      </w:rPr>
      <w:t>2</w:t>
    </w:r>
    <w:r w:rsidR="00FA47C0" w:rsidRPr="004A305D">
      <w:rPr>
        <w:rFonts w:ascii="Century Gothic" w:eastAsia="Geo" w:hAnsi="Century Gothic" w:cs="Geo"/>
        <w:sz w:val="16"/>
        <w:szCs w:val="16"/>
        <w:lang w:eastAsia="es-CO"/>
      </w:rPr>
      <w:t xml:space="preserve"> </w:t>
    </w:r>
    <w:r w:rsidR="0025796E">
      <w:rPr>
        <w:rFonts w:ascii="Century Gothic" w:eastAsia="Geo" w:hAnsi="Century Gothic" w:cs="Geo"/>
        <w:sz w:val="16"/>
        <w:szCs w:val="16"/>
        <w:lang w:eastAsia="es-CO"/>
      </w:rPr>
      <w:t>Fecha: 31-08-2023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795C4" w14:textId="77777777" w:rsidR="00337194" w:rsidRDefault="00337194" w:rsidP="004A1847">
      <w:pPr>
        <w:spacing w:after="0" w:line="240" w:lineRule="auto"/>
      </w:pPr>
      <w:r>
        <w:separator/>
      </w:r>
    </w:p>
  </w:footnote>
  <w:footnote w:type="continuationSeparator" w:id="0">
    <w:p w14:paraId="7E50000E" w14:textId="77777777" w:rsidR="00337194" w:rsidRDefault="00337194" w:rsidP="004A1847">
      <w:pPr>
        <w:spacing w:after="0" w:line="240" w:lineRule="auto"/>
      </w:pPr>
      <w:r>
        <w:continuationSeparator/>
      </w:r>
    </w:p>
  </w:footnote>
  <w:footnote w:id="1">
    <w:p w14:paraId="4906D14A" w14:textId="77777777" w:rsidR="00662485" w:rsidRDefault="00662485" w:rsidP="00662485">
      <w:pPr>
        <w:pStyle w:val="Textonotapie"/>
        <w:ind w:firstLine="708"/>
        <w:jc w:val="both"/>
        <w:rPr>
          <w:rFonts w:ascii="Verdana" w:hAnsi="Verdana"/>
          <w:sz w:val="14"/>
          <w:szCs w:val="14"/>
          <w:lang w:val="pt-BR"/>
        </w:rPr>
      </w:pPr>
      <w:r w:rsidRPr="00A028F3">
        <w:rPr>
          <w:rStyle w:val="Refdenotaalpie"/>
          <w:rFonts w:ascii="Verdana" w:hAnsi="Verdana"/>
          <w:sz w:val="14"/>
          <w:szCs w:val="14"/>
        </w:rPr>
        <w:footnoteRef/>
      </w:r>
      <w:r w:rsidRPr="00A028F3">
        <w:rPr>
          <w:rFonts w:ascii="Verdana" w:hAnsi="Verdana"/>
          <w:sz w:val="14"/>
          <w:szCs w:val="14"/>
          <w:lang w:val="pt-BR"/>
        </w:rPr>
        <w:t xml:space="preserve"> Corte Constitucional. Sentencia C-1016 de 2012. M.P. Jorge Iván Palacio.</w:t>
      </w:r>
    </w:p>
    <w:p w14:paraId="44007343" w14:textId="77777777" w:rsidR="0025041B" w:rsidRPr="00A028F3" w:rsidRDefault="0025041B" w:rsidP="00662485">
      <w:pPr>
        <w:pStyle w:val="Textonotapie"/>
        <w:ind w:firstLine="708"/>
        <w:jc w:val="both"/>
        <w:rPr>
          <w:rFonts w:ascii="Verdana" w:hAnsi="Verdana"/>
          <w:sz w:val="14"/>
          <w:szCs w:val="14"/>
          <w:lang w:val="pt-BR"/>
        </w:rPr>
      </w:pPr>
    </w:p>
  </w:footnote>
  <w:footnote w:id="2">
    <w:p w14:paraId="2597D867" w14:textId="77777777" w:rsidR="00662485" w:rsidRPr="00A028F3" w:rsidRDefault="00662485" w:rsidP="00662485">
      <w:pPr>
        <w:pStyle w:val="Textonotapie"/>
        <w:ind w:firstLine="708"/>
        <w:jc w:val="both"/>
        <w:rPr>
          <w:rFonts w:ascii="Verdana" w:hAnsi="Verdana"/>
          <w:sz w:val="14"/>
          <w:szCs w:val="14"/>
          <w:lang w:val="pt-BR"/>
        </w:rPr>
      </w:pPr>
      <w:r w:rsidRPr="00A028F3">
        <w:rPr>
          <w:rStyle w:val="Refdenotaalpie"/>
          <w:rFonts w:ascii="Verdana" w:hAnsi="Verdana"/>
          <w:sz w:val="14"/>
          <w:szCs w:val="14"/>
        </w:rPr>
        <w:footnoteRef/>
      </w:r>
      <w:r w:rsidRPr="00A028F3">
        <w:rPr>
          <w:rFonts w:ascii="Verdana" w:hAnsi="Verdana"/>
          <w:sz w:val="14"/>
          <w:szCs w:val="14"/>
        </w:rPr>
        <w:t xml:space="preserve"> C</w:t>
      </w:r>
      <w:r>
        <w:rPr>
          <w:rFonts w:ascii="Verdana" w:hAnsi="Verdana"/>
          <w:sz w:val="14"/>
          <w:szCs w:val="14"/>
        </w:rPr>
        <w:t xml:space="preserve">onsejo de Estado. Sala de lo Contencioso Administrativo. </w:t>
      </w:r>
      <w:r w:rsidRPr="00A028F3">
        <w:rPr>
          <w:rFonts w:ascii="Verdana" w:hAnsi="Verdana"/>
          <w:sz w:val="14"/>
          <w:szCs w:val="14"/>
        </w:rPr>
        <w:t xml:space="preserve">Sección Tercera. Subsección A. Sentencia del 13 de noviembre de 2013. </w:t>
      </w:r>
      <w:r w:rsidRPr="00A028F3">
        <w:rPr>
          <w:rFonts w:ascii="Verdana" w:hAnsi="Verdana"/>
          <w:sz w:val="14"/>
          <w:szCs w:val="14"/>
          <w:lang w:val="pt-BR"/>
        </w:rPr>
        <w:t>Rad</w:t>
      </w:r>
      <w:r>
        <w:rPr>
          <w:rFonts w:ascii="Verdana" w:hAnsi="Verdana"/>
          <w:sz w:val="14"/>
          <w:szCs w:val="14"/>
          <w:lang w:val="pt-BR"/>
        </w:rPr>
        <w:t xml:space="preserve">icado: </w:t>
      </w:r>
      <w:r w:rsidRPr="00A028F3">
        <w:rPr>
          <w:rFonts w:ascii="Verdana" w:hAnsi="Verdana"/>
          <w:sz w:val="14"/>
          <w:szCs w:val="14"/>
          <w:lang w:val="es-CO"/>
        </w:rPr>
        <w:t>25000-23-26-000-1999-02197-01</w:t>
      </w:r>
      <w:r w:rsidRPr="00A028F3">
        <w:rPr>
          <w:rFonts w:ascii="Verdana" w:hAnsi="Verdana"/>
          <w:sz w:val="14"/>
          <w:szCs w:val="14"/>
          <w:lang w:val="pt-BR"/>
        </w:rPr>
        <w:t xml:space="preserve"> </w:t>
      </w:r>
      <w:r>
        <w:rPr>
          <w:rFonts w:ascii="Verdana" w:hAnsi="Verdana"/>
          <w:sz w:val="14"/>
          <w:szCs w:val="14"/>
          <w:lang w:val="pt-BR"/>
        </w:rPr>
        <w:t>(</w:t>
      </w:r>
      <w:r w:rsidRPr="00A028F3">
        <w:rPr>
          <w:rFonts w:ascii="Verdana" w:hAnsi="Verdana"/>
          <w:sz w:val="14"/>
          <w:szCs w:val="14"/>
          <w:lang w:val="pt-BR"/>
        </w:rPr>
        <w:t>25646</w:t>
      </w:r>
      <w:r>
        <w:rPr>
          <w:rFonts w:ascii="Verdana" w:hAnsi="Verdana"/>
          <w:sz w:val="14"/>
          <w:szCs w:val="14"/>
          <w:lang w:val="pt-BR"/>
        </w:rPr>
        <w:t>)</w:t>
      </w:r>
      <w:r w:rsidRPr="00A028F3">
        <w:rPr>
          <w:rFonts w:ascii="Verdana" w:hAnsi="Verdana"/>
          <w:sz w:val="14"/>
          <w:szCs w:val="14"/>
          <w:lang w:val="pt-BR"/>
        </w:rPr>
        <w:t xml:space="preserve">. C.P. Mauricio Fajardo Gómez.  </w:t>
      </w:r>
    </w:p>
    <w:p w14:paraId="4D55BD0F" w14:textId="77777777" w:rsidR="00662485" w:rsidRPr="00A028F3" w:rsidRDefault="00662485" w:rsidP="00662485">
      <w:pPr>
        <w:pStyle w:val="Textonotapie"/>
        <w:jc w:val="both"/>
        <w:rPr>
          <w:rFonts w:ascii="Verdana" w:hAnsi="Verdana"/>
          <w:sz w:val="14"/>
          <w:szCs w:val="14"/>
          <w:lang w:val="pt-BR"/>
        </w:rPr>
      </w:pPr>
    </w:p>
  </w:footnote>
  <w:footnote w:id="3">
    <w:p w14:paraId="6D42D9E3" w14:textId="77777777" w:rsidR="00662485" w:rsidRPr="00A028F3" w:rsidRDefault="00662485" w:rsidP="00662485">
      <w:pPr>
        <w:pStyle w:val="Textonotapie"/>
        <w:ind w:firstLine="708"/>
        <w:jc w:val="both"/>
        <w:rPr>
          <w:rFonts w:ascii="Verdana" w:hAnsi="Verdana"/>
          <w:sz w:val="14"/>
          <w:szCs w:val="14"/>
          <w:lang w:val="pt-BR"/>
        </w:rPr>
      </w:pPr>
      <w:r w:rsidRPr="00A028F3">
        <w:rPr>
          <w:rStyle w:val="Refdenotaalpie"/>
          <w:rFonts w:ascii="Verdana" w:hAnsi="Verdana"/>
          <w:sz w:val="14"/>
          <w:szCs w:val="14"/>
        </w:rPr>
        <w:footnoteRef/>
      </w:r>
      <w:r w:rsidRPr="00A028F3">
        <w:rPr>
          <w:rFonts w:ascii="Verdana" w:hAnsi="Verdana"/>
          <w:sz w:val="14"/>
          <w:szCs w:val="14"/>
          <w:lang w:val="pt-BR"/>
        </w:rPr>
        <w:t xml:space="preserve"> Corte Constitucional. Sentencia C-415 de 1994. M.P. Eduardo Cifuentes Muñoz.</w:t>
      </w:r>
    </w:p>
  </w:footnote>
  <w:footnote w:id="4">
    <w:p w14:paraId="38ADD9D1" w14:textId="77777777" w:rsidR="00662485" w:rsidRPr="00A028F3" w:rsidRDefault="00662485" w:rsidP="00662485">
      <w:pPr>
        <w:pStyle w:val="Textonotapie"/>
        <w:ind w:firstLine="708"/>
        <w:jc w:val="both"/>
        <w:rPr>
          <w:rFonts w:ascii="Verdana" w:hAnsi="Verdana"/>
          <w:sz w:val="14"/>
          <w:szCs w:val="14"/>
          <w:lang w:val="pt-BR"/>
        </w:rPr>
      </w:pPr>
      <w:r w:rsidRPr="00A028F3">
        <w:rPr>
          <w:rStyle w:val="Refdenotaalpie"/>
          <w:rFonts w:ascii="Verdana" w:hAnsi="Verdana"/>
          <w:sz w:val="14"/>
          <w:szCs w:val="14"/>
        </w:rPr>
        <w:footnoteRef/>
      </w:r>
      <w:r w:rsidRPr="00A028F3">
        <w:rPr>
          <w:rFonts w:ascii="Verdana" w:hAnsi="Verdana"/>
          <w:sz w:val="14"/>
          <w:szCs w:val="14"/>
          <w:lang w:val="pt-BR"/>
        </w:rPr>
        <w:t xml:space="preserve"> Ibidem.</w:t>
      </w:r>
    </w:p>
    <w:p w14:paraId="008A069D" w14:textId="77777777" w:rsidR="00662485" w:rsidRPr="00A028F3" w:rsidRDefault="00662485" w:rsidP="00662485">
      <w:pPr>
        <w:pStyle w:val="Textonotapie"/>
        <w:jc w:val="both"/>
        <w:rPr>
          <w:rFonts w:ascii="Verdana" w:hAnsi="Verdana"/>
          <w:sz w:val="14"/>
          <w:szCs w:val="14"/>
          <w:lang w:val="pt-BR"/>
        </w:rPr>
      </w:pPr>
    </w:p>
  </w:footnote>
  <w:footnote w:id="5">
    <w:p w14:paraId="4A2C66CA" w14:textId="77777777" w:rsidR="00662485" w:rsidRPr="00A028F3" w:rsidRDefault="00662485" w:rsidP="00662485">
      <w:pPr>
        <w:pStyle w:val="Textonotapie"/>
        <w:ind w:firstLine="708"/>
        <w:jc w:val="both"/>
        <w:rPr>
          <w:rFonts w:ascii="Verdana" w:hAnsi="Verdana"/>
          <w:sz w:val="14"/>
          <w:szCs w:val="14"/>
          <w:lang w:val="es-CO"/>
        </w:rPr>
      </w:pPr>
      <w:r w:rsidRPr="00A028F3">
        <w:rPr>
          <w:rStyle w:val="Refdenotaalpie"/>
          <w:rFonts w:ascii="Verdana" w:hAnsi="Verdana"/>
          <w:sz w:val="14"/>
          <w:szCs w:val="14"/>
        </w:rPr>
        <w:footnoteRef/>
      </w:r>
      <w:r w:rsidRPr="00A028F3">
        <w:rPr>
          <w:rFonts w:ascii="Verdana" w:hAnsi="Verdana"/>
          <w:sz w:val="14"/>
          <w:szCs w:val="14"/>
          <w:lang w:val="pt-BR"/>
        </w:rPr>
        <w:t xml:space="preserve"> Corte Constitucional. </w:t>
      </w:r>
      <w:r w:rsidRPr="00A028F3">
        <w:rPr>
          <w:rFonts w:ascii="Verdana" w:hAnsi="Verdana"/>
          <w:sz w:val="14"/>
          <w:szCs w:val="14"/>
        </w:rPr>
        <w:t xml:space="preserve">Sentencia C-780 de 2001. </w:t>
      </w:r>
      <w:r w:rsidRPr="00A028F3">
        <w:rPr>
          <w:rFonts w:ascii="Verdana" w:hAnsi="Verdana"/>
          <w:sz w:val="14"/>
          <w:szCs w:val="14"/>
          <w:lang w:val="es-CO"/>
        </w:rPr>
        <w:t xml:space="preserve">M.P. Jaime Córdoba Triviño. </w:t>
      </w:r>
    </w:p>
    <w:p w14:paraId="24701E3D" w14:textId="77777777" w:rsidR="00662485" w:rsidRPr="00A028F3" w:rsidRDefault="00662485" w:rsidP="00662485">
      <w:pPr>
        <w:pStyle w:val="Textonotapie"/>
        <w:jc w:val="both"/>
        <w:rPr>
          <w:rFonts w:ascii="Verdana" w:hAnsi="Verdana"/>
          <w:sz w:val="14"/>
          <w:szCs w:val="14"/>
          <w:lang w:val="es-CO"/>
        </w:rPr>
      </w:pPr>
    </w:p>
  </w:footnote>
  <w:footnote w:id="6">
    <w:p w14:paraId="7C44DAB4" w14:textId="77777777" w:rsidR="00662485" w:rsidRPr="00A028F3" w:rsidRDefault="00662485" w:rsidP="00662485">
      <w:pPr>
        <w:pStyle w:val="NormalWeb"/>
        <w:spacing w:before="0" w:beforeAutospacing="0" w:after="0" w:afterAutospacing="0"/>
        <w:ind w:firstLine="708"/>
        <w:jc w:val="both"/>
        <w:rPr>
          <w:rFonts w:ascii="Verdana" w:eastAsia="Calibri" w:hAnsi="Verdana" w:cs="Arial"/>
          <w:sz w:val="14"/>
          <w:szCs w:val="14"/>
          <w:lang w:val="es-ES" w:eastAsia="en-US"/>
        </w:rPr>
      </w:pPr>
      <w:r w:rsidRPr="00A028F3">
        <w:rPr>
          <w:rStyle w:val="Refdenotaalpie"/>
          <w:rFonts w:ascii="Verdana" w:hAnsi="Verdana"/>
          <w:sz w:val="14"/>
          <w:szCs w:val="14"/>
        </w:rPr>
        <w:footnoteRef/>
      </w:r>
      <w:r w:rsidRPr="00A028F3">
        <w:rPr>
          <w:rFonts w:ascii="Verdana" w:hAnsi="Verdana"/>
          <w:sz w:val="14"/>
          <w:szCs w:val="14"/>
        </w:rPr>
        <w:t xml:space="preserve"> </w:t>
      </w:r>
      <w:r w:rsidRPr="00A028F3">
        <w:rPr>
          <w:rFonts w:ascii="Verdana" w:eastAsia="Calibri" w:hAnsi="Verdana" w:cs="Arial"/>
          <w:sz w:val="14"/>
          <w:szCs w:val="14"/>
          <w:lang w:val="es-ES" w:eastAsia="en-US"/>
        </w:rPr>
        <w:t>Ley 80 de 1993: «Artículo 8: 1o. Son inhábiles para participar en licitaciones o concursos y para celebrar contratos con las entidades estatales: </w:t>
      </w:r>
    </w:p>
    <w:p w14:paraId="788735B5" w14:textId="77777777" w:rsidR="00662485" w:rsidRPr="00A028F3"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A028F3">
        <w:rPr>
          <w:rFonts w:ascii="Verdana" w:eastAsia="Calibri" w:hAnsi="Verdana" w:cs="Arial"/>
          <w:sz w:val="14"/>
          <w:szCs w:val="14"/>
          <w:lang w:val="es-ES" w:eastAsia="en-US"/>
        </w:rPr>
        <w:t>  </w:t>
      </w:r>
      <w:r w:rsidRPr="00A028F3">
        <w:rPr>
          <w:rFonts w:ascii="Verdana" w:eastAsia="Calibri" w:hAnsi="Verdana" w:cs="Arial"/>
          <w:sz w:val="14"/>
          <w:szCs w:val="14"/>
          <w:lang w:val="es-ES" w:eastAsia="en-US"/>
        </w:rPr>
        <w:tab/>
        <w:t>a) Las personas que se hallen inhabilitadas para contratar por la Constitución y las leyes. </w:t>
      </w:r>
    </w:p>
    <w:p w14:paraId="76244694" w14:textId="77777777" w:rsidR="00662485" w:rsidRPr="00A028F3"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A028F3">
        <w:rPr>
          <w:rFonts w:ascii="Verdana" w:eastAsia="Calibri" w:hAnsi="Verdana" w:cs="Arial"/>
          <w:sz w:val="14"/>
          <w:szCs w:val="14"/>
          <w:lang w:val="es-ES" w:eastAsia="en-US"/>
        </w:rPr>
        <w:t>  </w:t>
      </w:r>
      <w:r w:rsidRPr="00A028F3">
        <w:rPr>
          <w:rFonts w:ascii="Verdana" w:eastAsia="Calibri" w:hAnsi="Verdana" w:cs="Arial"/>
          <w:sz w:val="14"/>
          <w:szCs w:val="14"/>
          <w:lang w:val="es-ES" w:eastAsia="en-US"/>
        </w:rPr>
        <w:tab/>
        <w:t>b) Quienes participaron en las licitaciones o concursos o celebraron los contratos de que trata el literal anterior estando inhabilitados. </w:t>
      </w:r>
    </w:p>
    <w:p w14:paraId="68B49645" w14:textId="77777777" w:rsidR="00662485" w:rsidRPr="00A028F3"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A028F3">
        <w:rPr>
          <w:rFonts w:ascii="Verdana" w:eastAsia="Calibri" w:hAnsi="Verdana" w:cs="Arial"/>
          <w:sz w:val="14"/>
          <w:szCs w:val="14"/>
          <w:lang w:val="es-ES" w:eastAsia="en-US"/>
        </w:rPr>
        <w:t>  </w:t>
      </w:r>
      <w:r w:rsidRPr="00A028F3">
        <w:rPr>
          <w:rFonts w:ascii="Verdana" w:eastAsia="Calibri" w:hAnsi="Verdana" w:cs="Arial"/>
          <w:sz w:val="14"/>
          <w:szCs w:val="14"/>
          <w:lang w:val="es-ES" w:eastAsia="en-US"/>
        </w:rPr>
        <w:tab/>
        <w:t>c) Quienes dieron lugar a la declaratoria de caducidad. </w:t>
      </w:r>
    </w:p>
    <w:p w14:paraId="72F5D4AB" w14:textId="77777777" w:rsidR="00662485" w:rsidRPr="00A028F3"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A028F3">
        <w:rPr>
          <w:rFonts w:ascii="Verdana" w:eastAsia="Calibri" w:hAnsi="Verdana" w:cs="Arial"/>
          <w:sz w:val="14"/>
          <w:szCs w:val="14"/>
          <w:lang w:val="es-ES" w:eastAsia="en-US"/>
        </w:rPr>
        <w:t>  </w:t>
      </w:r>
      <w:r w:rsidRPr="00A028F3">
        <w:rPr>
          <w:rFonts w:ascii="Verdana" w:eastAsia="Calibri" w:hAnsi="Verdana" w:cs="Arial"/>
          <w:sz w:val="14"/>
          <w:szCs w:val="14"/>
          <w:lang w:val="es-ES" w:eastAsia="en-US"/>
        </w:rPr>
        <w:tab/>
        <w:t>d) Quienes en sentencia judicial hayan sido condenados a la pena accesoria de interdicción de derechos y funciones públicas y quienes hayan sido sancionados disciplinariamente con destitución. </w:t>
      </w:r>
    </w:p>
    <w:p w14:paraId="5BEC8AC6" w14:textId="77777777" w:rsidR="00662485" w:rsidRPr="00A028F3"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A028F3">
        <w:rPr>
          <w:rFonts w:ascii="Verdana" w:eastAsia="Calibri" w:hAnsi="Verdana" w:cs="Arial"/>
          <w:sz w:val="14"/>
          <w:szCs w:val="14"/>
          <w:lang w:val="es-ES" w:eastAsia="en-US"/>
        </w:rPr>
        <w:t>  </w:t>
      </w:r>
      <w:r w:rsidRPr="00A028F3">
        <w:rPr>
          <w:rFonts w:ascii="Verdana" w:eastAsia="Calibri" w:hAnsi="Verdana" w:cs="Arial"/>
          <w:sz w:val="14"/>
          <w:szCs w:val="14"/>
          <w:lang w:val="es-ES" w:eastAsia="en-US"/>
        </w:rPr>
        <w:tab/>
        <w:t>e) Quienes sin justa causa se abstengan de suscribir el contrato estatal adjudicado. </w:t>
      </w:r>
    </w:p>
    <w:p w14:paraId="1C94A214" w14:textId="77777777" w:rsidR="00662485" w:rsidRPr="00A028F3"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A028F3">
        <w:rPr>
          <w:rFonts w:ascii="Verdana" w:eastAsia="Calibri" w:hAnsi="Verdana" w:cs="Arial"/>
          <w:sz w:val="14"/>
          <w:szCs w:val="14"/>
          <w:lang w:val="es-ES" w:eastAsia="en-US"/>
        </w:rPr>
        <w:t>  </w:t>
      </w:r>
      <w:r w:rsidRPr="00A028F3">
        <w:rPr>
          <w:rFonts w:ascii="Verdana" w:eastAsia="Calibri" w:hAnsi="Verdana" w:cs="Arial"/>
          <w:sz w:val="14"/>
          <w:szCs w:val="14"/>
          <w:lang w:val="es-ES" w:eastAsia="en-US"/>
        </w:rPr>
        <w:tab/>
        <w:t>f) Los servidores públicos. </w:t>
      </w:r>
    </w:p>
    <w:p w14:paraId="0D1A8C12" w14:textId="77777777" w:rsidR="00662485" w:rsidRPr="00A028F3"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A028F3">
        <w:rPr>
          <w:rFonts w:ascii="Verdana" w:eastAsia="Calibri" w:hAnsi="Verdana" w:cs="Arial"/>
          <w:sz w:val="14"/>
          <w:szCs w:val="14"/>
          <w:lang w:val="es-ES" w:eastAsia="en-US"/>
        </w:rPr>
        <w:t>  </w:t>
      </w:r>
      <w:r w:rsidRPr="00A028F3">
        <w:rPr>
          <w:rFonts w:ascii="Verdana" w:eastAsia="Calibri" w:hAnsi="Verdana" w:cs="Arial"/>
          <w:sz w:val="14"/>
          <w:szCs w:val="14"/>
          <w:lang w:val="es-ES" w:eastAsia="en-US"/>
        </w:rPr>
        <w:tab/>
        <w:t>g) Quienes sean cónyuges o compañeros permanentes y quienes se encuentren dentro del segundo grado de consanguinidad o segundo de afinidad con cualquier otra persona que formalmente haya presentado propuesta para una misma licitación o concurso. </w:t>
      </w:r>
    </w:p>
    <w:p w14:paraId="4E7C47DC" w14:textId="77777777" w:rsidR="00662485" w:rsidRPr="009D0DBE" w:rsidRDefault="00662485" w:rsidP="00662485">
      <w:pPr>
        <w:pStyle w:val="NormalWeb"/>
        <w:spacing w:before="0" w:beforeAutospacing="0" w:after="0" w:afterAutospacing="0"/>
        <w:ind w:firstLine="708"/>
        <w:jc w:val="both"/>
        <w:rPr>
          <w:rFonts w:ascii="Verdana" w:eastAsia="Calibri" w:hAnsi="Verdana" w:cs="Arial"/>
          <w:sz w:val="14"/>
          <w:szCs w:val="14"/>
          <w:lang w:val="es-ES" w:eastAsia="en-US"/>
        </w:rPr>
      </w:pPr>
      <w:r w:rsidRPr="009D0DBE">
        <w:rPr>
          <w:rFonts w:ascii="Verdana" w:eastAsia="Calibri" w:hAnsi="Verdana" w:cs="Arial"/>
          <w:sz w:val="14"/>
          <w:szCs w:val="14"/>
          <w:lang w:val="es-ES" w:eastAsia="en-US"/>
        </w:rPr>
        <w:t>h)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o concurso. </w:t>
      </w:r>
    </w:p>
    <w:p w14:paraId="10DD9B0A" w14:textId="77777777" w:rsidR="00662485" w:rsidRPr="009D0DBE"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9D0DBE">
        <w:rPr>
          <w:rFonts w:ascii="Verdana" w:eastAsia="Calibri" w:hAnsi="Verdana" w:cs="Arial"/>
          <w:sz w:val="14"/>
          <w:szCs w:val="14"/>
          <w:lang w:val="es-ES" w:eastAsia="en-US"/>
        </w:rPr>
        <w:t>  </w:t>
      </w:r>
      <w:r w:rsidRPr="009D0DBE">
        <w:rPr>
          <w:rFonts w:ascii="Verdana" w:eastAsia="Calibri" w:hAnsi="Verdana" w:cs="Arial"/>
          <w:sz w:val="14"/>
          <w:szCs w:val="14"/>
          <w:lang w:val="es-ES" w:eastAsia="en-US"/>
        </w:rPr>
        <w:tab/>
        <w:t>i) Los socios de sociedades de personas a las cuales se haya declarado la caducidad, así como las sociedades de personas de las que aquellos formen parte con posterioridad a dicha declaratoria. </w:t>
      </w:r>
    </w:p>
    <w:p w14:paraId="2091997D" w14:textId="77777777" w:rsidR="00662485" w:rsidRPr="009D0DBE"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9D0DBE">
        <w:rPr>
          <w:rFonts w:ascii="Verdana" w:eastAsia="Calibri" w:hAnsi="Verdana" w:cs="Arial"/>
          <w:sz w:val="14"/>
          <w:szCs w:val="14"/>
          <w:lang w:val="es-ES" w:eastAsia="en-US"/>
        </w:rPr>
        <w:t>  </w:t>
      </w:r>
      <w:r w:rsidRPr="009D0DBE">
        <w:rPr>
          <w:rFonts w:ascii="Verdana" w:eastAsia="Calibri" w:hAnsi="Verdana" w:cs="Arial"/>
          <w:sz w:val="14"/>
          <w:szCs w:val="14"/>
          <w:lang w:val="es-ES" w:eastAsia="en-US"/>
        </w:rPr>
        <w:tab/>
        <w:t>Las inhabilidades a que se refieren los literales c), d) e i) se extenderán por un término de cinco (5) años contado a partir de la fecha de ejecutoria del acto que declaró la caducidad, o de la sentencia que impuso la pena, o del acto que dispuso la destitución; las previstas en los literales b) y e), se extenderán por un término de cinco (5) años contado a partir de la fecha de ocurrencia del hecho de la participación en la licitación o concurso, o de la de celebración del contrato, o de la de expiración del plazo para su firma. </w:t>
      </w:r>
    </w:p>
    <w:p w14:paraId="0CBA157F" w14:textId="77777777" w:rsidR="00662485" w:rsidRPr="009D0DBE"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9D0DBE">
        <w:rPr>
          <w:rFonts w:ascii="Verdana" w:eastAsia="Calibri" w:hAnsi="Verdana" w:cs="Arial"/>
          <w:sz w:val="14"/>
          <w:szCs w:val="14"/>
          <w:lang w:val="es-ES" w:eastAsia="en-US"/>
        </w:rPr>
        <w:t>  </w:t>
      </w:r>
      <w:r w:rsidRPr="009D0DBE">
        <w:rPr>
          <w:rFonts w:ascii="Verdana" w:eastAsia="Calibri" w:hAnsi="Verdana" w:cs="Arial"/>
          <w:sz w:val="14"/>
          <w:szCs w:val="14"/>
          <w:lang w:val="es-ES" w:eastAsia="en-US"/>
        </w:rPr>
        <w:tab/>
        <w:t>j) Las personas naturales que hayan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w:t>
      </w:r>
    </w:p>
    <w:p w14:paraId="59D76EBE" w14:textId="77777777" w:rsidR="00662485" w:rsidRPr="009D0DBE"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9D0DBE">
        <w:rPr>
          <w:rFonts w:ascii="Verdana" w:eastAsia="Calibri" w:hAnsi="Verdana" w:cs="Arial"/>
          <w:sz w:val="14"/>
          <w:szCs w:val="14"/>
          <w:lang w:val="es-ES" w:eastAsia="en-US"/>
        </w:rPr>
        <w:t> </w:t>
      </w:r>
      <w:r w:rsidRPr="009D0DBE">
        <w:rPr>
          <w:rFonts w:ascii="Verdana" w:eastAsia="Calibri" w:hAnsi="Verdana" w:cs="Arial"/>
          <w:sz w:val="14"/>
          <w:szCs w:val="14"/>
          <w:lang w:val="es-ES" w:eastAsia="en-US"/>
        </w:rPr>
        <w:tab/>
        <w:t>Esta inhabilidad procederá preventivamente aún en los casos en los que esté pendiente la decisión sobre la impugnación de la sentencia condenatoria. Asimismo, la inhabilidad se extenderá a las sociedades de las que hagan parte dichas personas en calidad de administradores, represen</w:t>
      </w:r>
      <w:r w:rsidRPr="009D0DBE">
        <w:rPr>
          <w:rFonts w:ascii="Verdana" w:eastAsia="Calibri" w:hAnsi="Verdana" w:cs="Arial"/>
          <w:sz w:val="14"/>
          <w:szCs w:val="14"/>
          <w:lang w:val="es-ES" w:eastAsia="en-US"/>
        </w:rPr>
        <w:softHyphen/>
        <w:t>tantes legales, miembros de junta directiva o de socios controlantes, a sus matrices y a sus subordinadas, a los grupos empresariales a los que estas pertenezcan cuando la conducta delictiva haya sido parte de una política del grupo y a las sucursales de sociedades extranjeras, con ex</w:t>
      </w:r>
      <w:r w:rsidRPr="009D0DBE">
        <w:rPr>
          <w:rFonts w:ascii="Verdana" w:eastAsia="Calibri" w:hAnsi="Verdana" w:cs="Arial"/>
          <w:sz w:val="14"/>
          <w:szCs w:val="14"/>
          <w:lang w:val="es-ES" w:eastAsia="en-US"/>
        </w:rPr>
        <w:softHyphen/>
        <w:t>cepción de las sociedades anónimas abiertas. También se considerarán inhabilitadas para contratar, las personas jurídicas sobre las cuales se haya ordenado la suspensión de la perso</w:t>
      </w:r>
      <w:r w:rsidRPr="009D0DBE">
        <w:rPr>
          <w:rFonts w:ascii="Verdana" w:eastAsia="Calibri" w:hAnsi="Verdana" w:cs="Arial"/>
          <w:sz w:val="14"/>
          <w:szCs w:val="14"/>
          <w:lang w:val="es-ES" w:eastAsia="en-US"/>
        </w:rPr>
        <w:softHyphen/>
        <w:t>nería jurídica en los términos de ley, o cuyos representantes legales, ad</w:t>
      </w:r>
      <w:r w:rsidRPr="009D0DBE">
        <w:rPr>
          <w:rFonts w:ascii="Verdana" w:eastAsia="Calibri" w:hAnsi="Verdana" w:cs="Arial"/>
          <w:sz w:val="14"/>
          <w:szCs w:val="14"/>
          <w:lang w:val="es-ES" w:eastAsia="en-US"/>
        </w:rPr>
        <w:softHyphen/>
        <w:t>ministradores de hecho o de derecho, miembros de junta directiva o sus socios controlantes, sus matrices, subordinadas y/o las sucursales de sociedades extranjeras, hayan sido beneficiados con la aplicación de un principio de oportunidad por cualquier delito contra la Administración pública o el patrimonio del Estado.  La inhabilidad prevista en este literal se extenderá de forma perma</w:t>
      </w:r>
      <w:r w:rsidRPr="009D0DBE">
        <w:rPr>
          <w:rFonts w:ascii="Verdana" w:eastAsia="Calibri" w:hAnsi="Verdana" w:cs="Arial"/>
          <w:sz w:val="14"/>
          <w:szCs w:val="14"/>
          <w:lang w:val="es-ES" w:eastAsia="en-US"/>
        </w:rPr>
        <w:softHyphen/>
        <w:t>nente a las sociedades de las que hagan parte dichas personas en las calidades presentadas en los incisos anteriores, y se aplicará de igual forma a las personas naturales que hayan sido declaradas responsables judicialmente por la comisión de delitos mencionados en este literal. </w:t>
      </w:r>
    </w:p>
    <w:p w14:paraId="38C06569" w14:textId="77777777" w:rsidR="00662485" w:rsidRPr="009D0DBE"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9D0DBE">
        <w:rPr>
          <w:rFonts w:ascii="Verdana" w:eastAsia="Calibri" w:hAnsi="Verdana" w:cs="Arial"/>
          <w:sz w:val="14"/>
          <w:szCs w:val="14"/>
          <w:lang w:val="es-ES" w:eastAsia="en-US"/>
        </w:rPr>
        <w:t>[…]</w:t>
      </w:r>
    </w:p>
    <w:p w14:paraId="47FF46AF" w14:textId="77777777" w:rsidR="00662485" w:rsidRPr="009D0DBE" w:rsidRDefault="00662485" w:rsidP="00662485">
      <w:pPr>
        <w:pStyle w:val="NormalWeb"/>
        <w:spacing w:before="0" w:beforeAutospacing="0" w:after="0" w:afterAutospacing="0"/>
        <w:ind w:firstLine="708"/>
        <w:jc w:val="both"/>
        <w:rPr>
          <w:rFonts w:ascii="Verdana" w:eastAsia="Calibri" w:hAnsi="Verdana" w:cs="Arial"/>
          <w:sz w:val="14"/>
          <w:szCs w:val="14"/>
          <w:lang w:val="es-ES" w:eastAsia="en-US"/>
        </w:rPr>
      </w:pPr>
      <w:r w:rsidRPr="009D0DBE">
        <w:rPr>
          <w:rFonts w:ascii="Verdana" w:eastAsia="Calibri" w:hAnsi="Verdana" w:cs="Arial"/>
          <w:sz w:val="14"/>
          <w:szCs w:val="14"/>
          <w:lang w:val="es-ES" w:eastAsia="en-US"/>
        </w:rPr>
        <w:t>2o. Tampoco podrán participar en licitaciones o concursos ni celebrar contratos estatales con la entidad respectiva: </w:t>
      </w:r>
    </w:p>
    <w:p w14:paraId="274783BD" w14:textId="77777777" w:rsidR="00662485" w:rsidRPr="009D0DBE"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9D0DBE">
        <w:rPr>
          <w:rFonts w:ascii="Verdana" w:eastAsia="Calibri" w:hAnsi="Verdana" w:cs="Arial"/>
          <w:sz w:val="14"/>
          <w:szCs w:val="14"/>
          <w:lang w:val="es-ES" w:eastAsia="en-US"/>
        </w:rPr>
        <w:t>  </w:t>
      </w:r>
      <w:r w:rsidRPr="009D0DBE">
        <w:rPr>
          <w:rFonts w:ascii="Verdana" w:eastAsia="Calibri" w:hAnsi="Verdana" w:cs="Arial"/>
          <w:sz w:val="14"/>
          <w:szCs w:val="14"/>
          <w:lang w:val="es-ES" w:eastAsia="en-US"/>
        </w:rPr>
        <w:tab/>
        <w:t>a) Quienes fueron miembros de la junta o consejo directivo o servidores públicos de la entidad contratante. Esta incompatibilidad solo comprende a quienes desempeñaron funciones en los niveles directivo, asesor o ejecutivo y se extiende por el término de un (1) año, contado a partir de la fecha del retiro. </w:t>
      </w:r>
    </w:p>
    <w:p w14:paraId="7D95AD2B" w14:textId="77777777" w:rsidR="00662485" w:rsidRPr="009D0DBE"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9D0DBE">
        <w:rPr>
          <w:rFonts w:ascii="Verdana" w:eastAsia="Calibri" w:hAnsi="Verdana" w:cs="Arial"/>
          <w:sz w:val="14"/>
          <w:szCs w:val="14"/>
          <w:lang w:val="es-ES" w:eastAsia="en-US"/>
        </w:rPr>
        <w:t>  </w:t>
      </w:r>
      <w:r w:rsidRPr="009D0DBE">
        <w:rPr>
          <w:rFonts w:ascii="Verdana" w:eastAsia="Calibri" w:hAnsi="Verdana" w:cs="Arial"/>
          <w:sz w:val="14"/>
          <w:szCs w:val="14"/>
          <w:lang w:val="es-ES" w:eastAsia="en-US"/>
        </w:rPr>
        <w:tab/>
        <w:t>b)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w:t>
      </w:r>
    </w:p>
    <w:p w14:paraId="72213DB5" w14:textId="77777777" w:rsidR="00662485" w:rsidRPr="009D0DBE"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9D0DBE">
        <w:rPr>
          <w:rFonts w:ascii="Verdana" w:eastAsia="Calibri" w:hAnsi="Verdana" w:cs="Arial"/>
          <w:sz w:val="14"/>
          <w:szCs w:val="14"/>
          <w:lang w:val="es-ES" w:eastAsia="en-US"/>
        </w:rPr>
        <w:t>  </w:t>
      </w:r>
      <w:r w:rsidRPr="009D0DBE">
        <w:rPr>
          <w:rFonts w:ascii="Verdana" w:eastAsia="Calibri" w:hAnsi="Verdana" w:cs="Arial"/>
          <w:sz w:val="14"/>
          <w:szCs w:val="14"/>
          <w:lang w:val="es-ES" w:eastAsia="en-US"/>
        </w:rPr>
        <w:tab/>
        <w:t>c) El cónyuge, compañero o compañera permanente del servidor público en los niveles directivo, asesor, ejecutivo, o de un miembro de la junta o consejo directivo, o de quien ejerza funciones de control interno o de control fiscal. </w:t>
      </w:r>
    </w:p>
    <w:p w14:paraId="004948F6" w14:textId="77777777" w:rsidR="00662485" w:rsidRPr="009D0DBE"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9D0DBE">
        <w:rPr>
          <w:rFonts w:ascii="Verdana" w:eastAsia="Calibri" w:hAnsi="Verdana" w:cs="Arial"/>
          <w:sz w:val="14"/>
          <w:szCs w:val="14"/>
          <w:lang w:val="es-ES" w:eastAsia="en-US"/>
        </w:rPr>
        <w:t>  </w:t>
      </w:r>
      <w:r w:rsidRPr="009D0DBE">
        <w:rPr>
          <w:rFonts w:ascii="Verdana" w:eastAsia="Calibri" w:hAnsi="Verdana" w:cs="Arial"/>
          <w:sz w:val="14"/>
          <w:szCs w:val="14"/>
          <w:lang w:val="es-ES" w:eastAsia="en-US"/>
        </w:rPr>
        <w:tab/>
        <w:t>d)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w:t>
      </w:r>
    </w:p>
    <w:p w14:paraId="1680B0C1" w14:textId="77777777" w:rsidR="00662485" w:rsidRPr="009D0DBE" w:rsidRDefault="00662485" w:rsidP="00662485">
      <w:pPr>
        <w:pStyle w:val="NormalWeb"/>
        <w:spacing w:before="0" w:beforeAutospacing="0" w:after="0" w:afterAutospacing="0"/>
        <w:jc w:val="both"/>
        <w:rPr>
          <w:rFonts w:ascii="Verdana" w:eastAsia="Calibri" w:hAnsi="Verdana" w:cs="Arial"/>
          <w:sz w:val="14"/>
          <w:szCs w:val="14"/>
          <w:lang w:val="es-ES" w:eastAsia="en-US"/>
        </w:rPr>
      </w:pPr>
      <w:r w:rsidRPr="009D0DBE">
        <w:rPr>
          <w:rFonts w:ascii="Verdana" w:eastAsia="Calibri" w:hAnsi="Verdana" w:cs="Arial"/>
          <w:sz w:val="14"/>
          <w:szCs w:val="14"/>
          <w:lang w:val="es-ES" w:eastAsia="en-US"/>
        </w:rPr>
        <w:t>  </w:t>
      </w:r>
      <w:r w:rsidRPr="009D0DBE">
        <w:rPr>
          <w:rFonts w:ascii="Verdana" w:eastAsia="Calibri" w:hAnsi="Verdana" w:cs="Arial"/>
          <w:sz w:val="14"/>
          <w:szCs w:val="14"/>
          <w:lang w:val="es-ES" w:eastAsia="en-US"/>
        </w:rPr>
        <w:tab/>
        <w:t>e) Los miembros de las juntas o consejos directivos. Esta incompatibilidad sólo se predica respecto de la entidad a la cual prestan sus servicios y de las del sector administrativo al que la misma esté adscrita o vinculada. </w:t>
      </w:r>
    </w:p>
    <w:p w14:paraId="6209961C" w14:textId="77777777" w:rsidR="00662485" w:rsidRPr="009D0DBE" w:rsidRDefault="00662485" w:rsidP="00662485">
      <w:pPr>
        <w:pStyle w:val="NormalWeb"/>
        <w:spacing w:before="0" w:beforeAutospacing="0" w:after="0" w:afterAutospacing="0"/>
        <w:ind w:firstLine="708"/>
        <w:jc w:val="both"/>
        <w:rPr>
          <w:rFonts w:ascii="Verdana" w:eastAsia="Calibri" w:hAnsi="Verdana" w:cs="Arial"/>
          <w:sz w:val="14"/>
          <w:szCs w:val="14"/>
          <w:lang w:val="pt-BR" w:eastAsia="en-US"/>
        </w:rPr>
      </w:pPr>
      <w:r w:rsidRPr="009D0DBE">
        <w:rPr>
          <w:rFonts w:ascii="Verdana" w:eastAsia="Calibri" w:hAnsi="Verdana" w:cs="Arial"/>
          <w:sz w:val="14"/>
          <w:szCs w:val="14"/>
          <w:lang w:val="es-ES" w:eastAsia="en-US"/>
        </w:rPr>
        <w:t xml:space="preserve">f)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Esta incompatibilidad también operará para las personas que se encuentren dentro del primer grado de consanguinidad, primero de afinidad, o primero civil del ex empleado público. </w:t>
      </w:r>
      <w:r w:rsidRPr="009D0DBE">
        <w:rPr>
          <w:rFonts w:ascii="Verdana" w:eastAsia="Calibri" w:hAnsi="Verdana" w:cs="Arial"/>
          <w:sz w:val="14"/>
          <w:szCs w:val="14"/>
          <w:lang w:val="pt-BR" w:eastAsia="en-US"/>
        </w:rPr>
        <w:t xml:space="preserve">(…). </w:t>
      </w:r>
    </w:p>
    <w:p w14:paraId="24D088A5" w14:textId="77777777" w:rsidR="00662485" w:rsidRPr="009D0DBE" w:rsidRDefault="00662485" w:rsidP="00662485">
      <w:pPr>
        <w:pStyle w:val="Textonotapie"/>
        <w:jc w:val="both"/>
        <w:rPr>
          <w:rFonts w:ascii="Verdana" w:hAnsi="Verdana"/>
          <w:sz w:val="14"/>
          <w:szCs w:val="14"/>
          <w:lang w:val="pt-BR"/>
        </w:rPr>
      </w:pPr>
    </w:p>
  </w:footnote>
  <w:footnote w:id="7">
    <w:p w14:paraId="6F16F123" w14:textId="77777777" w:rsidR="00662485" w:rsidRDefault="00662485" w:rsidP="00662485">
      <w:pPr>
        <w:pStyle w:val="Textonotapie"/>
        <w:ind w:firstLine="708"/>
        <w:jc w:val="both"/>
        <w:rPr>
          <w:rFonts w:ascii="Verdana" w:hAnsi="Verdana" w:cs="Arial"/>
          <w:sz w:val="14"/>
          <w:szCs w:val="14"/>
          <w:lang w:val="pt-BR"/>
        </w:rPr>
      </w:pPr>
      <w:r w:rsidRPr="009D0DBE">
        <w:rPr>
          <w:rStyle w:val="Refdenotaalpie"/>
          <w:rFonts w:ascii="Verdana" w:hAnsi="Verdana"/>
          <w:sz w:val="14"/>
          <w:szCs w:val="14"/>
        </w:rPr>
        <w:footnoteRef/>
      </w:r>
      <w:r w:rsidRPr="009D0DBE">
        <w:rPr>
          <w:rFonts w:ascii="Verdana" w:hAnsi="Verdana"/>
          <w:sz w:val="14"/>
          <w:szCs w:val="14"/>
          <w:lang w:val="pt-BR"/>
        </w:rPr>
        <w:t xml:space="preserve"> </w:t>
      </w:r>
      <w:r w:rsidRPr="009D0DBE">
        <w:rPr>
          <w:rFonts w:ascii="Verdana" w:hAnsi="Verdana" w:cs="Arial"/>
          <w:sz w:val="14"/>
          <w:szCs w:val="14"/>
          <w:lang w:val="pt-BR"/>
        </w:rPr>
        <w:t>Ibídem. p. 69.</w:t>
      </w:r>
    </w:p>
    <w:p w14:paraId="5E2DCBB1" w14:textId="77777777" w:rsidR="00662485" w:rsidRPr="009D0DBE" w:rsidRDefault="00662485" w:rsidP="00662485">
      <w:pPr>
        <w:pStyle w:val="Textonotapie"/>
        <w:ind w:firstLine="708"/>
        <w:jc w:val="both"/>
        <w:rPr>
          <w:rFonts w:ascii="Verdana" w:hAnsi="Verdana"/>
          <w:sz w:val="14"/>
          <w:szCs w:val="14"/>
          <w:lang w:val="pt-BR"/>
        </w:rPr>
      </w:pPr>
    </w:p>
  </w:footnote>
  <w:footnote w:id="8">
    <w:p w14:paraId="1DEC286F" w14:textId="77777777" w:rsidR="00662485" w:rsidRPr="009D0DBE" w:rsidRDefault="00662485" w:rsidP="00662485">
      <w:pPr>
        <w:pStyle w:val="Textonotapie"/>
        <w:ind w:firstLine="708"/>
        <w:jc w:val="both"/>
        <w:rPr>
          <w:rFonts w:ascii="Verdana" w:hAnsi="Verdana" w:cs="Arial"/>
          <w:sz w:val="14"/>
          <w:szCs w:val="14"/>
          <w:lang w:val="es-ES"/>
        </w:rPr>
      </w:pPr>
      <w:r w:rsidRPr="009D0DBE">
        <w:rPr>
          <w:rStyle w:val="Refdenotaalpie"/>
          <w:rFonts w:ascii="Verdana" w:hAnsi="Verdana"/>
          <w:sz w:val="14"/>
          <w:szCs w:val="14"/>
        </w:rPr>
        <w:footnoteRef/>
      </w:r>
      <w:r w:rsidRPr="009D0DBE">
        <w:rPr>
          <w:rFonts w:ascii="Verdana" w:hAnsi="Verdana"/>
          <w:sz w:val="14"/>
          <w:szCs w:val="14"/>
          <w:lang w:val="pt-BR"/>
        </w:rPr>
        <w:t xml:space="preserve"> </w:t>
      </w:r>
      <w:r w:rsidRPr="009D0DBE">
        <w:rPr>
          <w:rFonts w:ascii="Verdana" w:hAnsi="Verdana" w:cs="Arial"/>
          <w:sz w:val="14"/>
          <w:szCs w:val="14"/>
          <w:lang w:val="pt-BR"/>
        </w:rPr>
        <w:t xml:space="preserve">Corte Constitucional. Sentencia T-1039 de 2006. M.P. Humberto Sierra Porto. </w:t>
      </w:r>
      <w:r w:rsidRPr="009D0DBE">
        <w:rPr>
          <w:rFonts w:ascii="Verdana" w:hAnsi="Verdana" w:cs="Arial"/>
          <w:sz w:val="14"/>
          <w:szCs w:val="14"/>
          <w:lang w:val="es-ES"/>
        </w:rPr>
        <w:t xml:space="preserve">La Corte Constitucional ha mantenido este criterio en las sentencias: C-903 de 2008. M.P. Jaime Araujo Rentería; C-101 de 2018. M.P. Gloria Stella Ortiz Delgado; entre otras. </w:t>
      </w:r>
    </w:p>
    <w:p w14:paraId="07D7E9B8" w14:textId="77777777" w:rsidR="00662485" w:rsidRPr="009D0DBE" w:rsidRDefault="00662485" w:rsidP="00662485">
      <w:pPr>
        <w:pStyle w:val="Textonotapie"/>
        <w:jc w:val="both"/>
        <w:rPr>
          <w:rFonts w:ascii="Verdana" w:hAnsi="Verdana" w:cs="Arial"/>
          <w:sz w:val="14"/>
          <w:szCs w:val="14"/>
          <w:lang w:val="es-ES"/>
        </w:rPr>
      </w:pPr>
    </w:p>
  </w:footnote>
  <w:footnote w:id="9">
    <w:p w14:paraId="012DDE96" w14:textId="77777777" w:rsidR="00662485" w:rsidRPr="00A25D67" w:rsidRDefault="00662485" w:rsidP="00662485">
      <w:pPr>
        <w:pStyle w:val="Textonotapie"/>
        <w:ind w:firstLine="708"/>
        <w:jc w:val="both"/>
        <w:rPr>
          <w:rFonts w:ascii="Verdana" w:hAnsi="Verdana" w:cs="Arial"/>
          <w:sz w:val="14"/>
          <w:szCs w:val="14"/>
          <w:lang w:val="es-ES"/>
        </w:rPr>
      </w:pPr>
      <w:r w:rsidRPr="00A25D67">
        <w:rPr>
          <w:rStyle w:val="Refdenotaalpie"/>
          <w:rFonts w:ascii="Verdana" w:hAnsi="Verdana"/>
          <w:sz w:val="14"/>
          <w:szCs w:val="14"/>
        </w:rPr>
        <w:footnoteRef/>
      </w:r>
      <w:r w:rsidRPr="00A25D67">
        <w:rPr>
          <w:rFonts w:ascii="Verdana" w:hAnsi="Verdana"/>
          <w:sz w:val="14"/>
          <w:szCs w:val="14"/>
        </w:rPr>
        <w:t xml:space="preserve"> </w:t>
      </w:r>
      <w:r w:rsidRPr="00A25D67">
        <w:rPr>
          <w:rFonts w:ascii="Verdana" w:hAnsi="Verdana" w:cs="Arial"/>
          <w:sz w:val="14"/>
          <w:szCs w:val="14"/>
          <w:lang w:val="es-ES"/>
        </w:rPr>
        <w:t xml:space="preserve">Consejo de Estado. Sala de Consulta y Servicio Civil. Concepto del 30 de abril de 2015. </w:t>
      </w:r>
      <w:r>
        <w:rPr>
          <w:rFonts w:ascii="Verdana" w:hAnsi="Verdana" w:cs="Arial"/>
          <w:sz w:val="14"/>
          <w:szCs w:val="14"/>
          <w:lang w:val="es-ES"/>
        </w:rPr>
        <w:t xml:space="preserve">Radicado: </w:t>
      </w:r>
      <w:r w:rsidRPr="00A25D67">
        <w:rPr>
          <w:rFonts w:ascii="Verdana" w:hAnsi="Verdana" w:cs="Arial"/>
          <w:sz w:val="14"/>
          <w:szCs w:val="14"/>
          <w:lang w:val="es-CO"/>
        </w:rPr>
        <w:t>11001-03-06-000-2015-00058-00</w:t>
      </w:r>
      <w:r>
        <w:rPr>
          <w:rFonts w:ascii="Verdana" w:hAnsi="Verdana" w:cs="Arial"/>
          <w:sz w:val="14"/>
          <w:szCs w:val="14"/>
          <w:lang w:val="es-CO"/>
        </w:rPr>
        <w:t xml:space="preserve"> (</w:t>
      </w:r>
      <w:r w:rsidRPr="00A25D67">
        <w:rPr>
          <w:rFonts w:ascii="Verdana" w:hAnsi="Verdana" w:cs="Arial"/>
          <w:sz w:val="14"/>
          <w:szCs w:val="14"/>
          <w:lang w:val="es-ES"/>
        </w:rPr>
        <w:t>2251</w:t>
      </w:r>
      <w:r>
        <w:rPr>
          <w:rFonts w:ascii="Verdana" w:hAnsi="Verdana" w:cs="Arial"/>
          <w:sz w:val="14"/>
          <w:szCs w:val="14"/>
          <w:lang w:val="es-ES"/>
        </w:rPr>
        <w:t>)</w:t>
      </w:r>
      <w:r w:rsidRPr="00A25D67">
        <w:rPr>
          <w:rFonts w:ascii="Verdana" w:hAnsi="Verdana" w:cs="Arial"/>
          <w:sz w:val="14"/>
          <w:szCs w:val="14"/>
          <w:lang w:val="es-ES"/>
        </w:rPr>
        <w:t>. C.P</w:t>
      </w:r>
      <w:r>
        <w:rPr>
          <w:rFonts w:ascii="Verdana" w:hAnsi="Verdana" w:cs="Arial"/>
          <w:sz w:val="14"/>
          <w:szCs w:val="14"/>
          <w:lang w:val="es-ES"/>
        </w:rPr>
        <w:t>:</w:t>
      </w:r>
      <w:r w:rsidRPr="00A25D67">
        <w:rPr>
          <w:rFonts w:ascii="Verdana" w:hAnsi="Verdana" w:cs="Arial"/>
          <w:sz w:val="14"/>
          <w:szCs w:val="14"/>
          <w:lang w:val="es-ES"/>
        </w:rPr>
        <w:t xml:space="preserve"> Álvaro Namén Vargas.</w:t>
      </w:r>
    </w:p>
    <w:p w14:paraId="57C0D072" w14:textId="77777777" w:rsidR="00662485" w:rsidRPr="00A25D67" w:rsidRDefault="00662485" w:rsidP="00662485">
      <w:pPr>
        <w:pStyle w:val="Textonotapie"/>
        <w:jc w:val="both"/>
        <w:rPr>
          <w:rFonts w:ascii="Verdana" w:hAnsi="Verdana"/>
          <w:sz w:val="14"/>
          <w:szCs w:val="14"/>
          <w:lang w:val="es-ES_tradnl"/>
        </w:rPr>
      </w:pPr>
    </w:p>
  </w:footnote>
  <w:footnote w:id="10">
    <w:p w14:paraId="1B0988D9" w14:textId="77777777" w:rsidR="00662485" w:rsidRPr="00720F72" w:rsidRDefault="00662485" w:rsidP="00662485">
      <w:pPr>
        <w:pStyle w:val="Textonotapie"/>
        <w:ind w:firstLine="708"/>
        <w:jc w:val="both"/>
        <w:rPr>
          <w:rFonts w:ascii="Verdana" w:hAnsi="Verdana" w:cs="Arial"/>
          <w:sz w:val="14"/>
          <w:szCs w:val="14"/>
        </w:rPr>
      </w:pPr>
      <w:r w:rsidRPr="00720F72">
        <w:rPr>
          <w:rStyle w:val="Refdenotaalpie"/>
          <w:rFonts w:ascii="Verdana" w:hAnsi="Verdana"/>
          <w:sz w:val="14"/>
          <w:szCs w:val="14"/>
        </w:rPr>
        <w:footnoteRef/>
      </w:r>
      <w:r w:rsidRPr="00720F72">
        <w:rPr>
          <w:rFonts w:ascii="Verdana" w:hAnsi="Verdana"/>
          <w:sz w:val="14"/>
          <w:szCs w:val="14"/>
        </w:rPr>
        <w:t xml:space="preserve"> </w:t>
      </w:r>
      <w:r w:rsidRPr="00720F72">
        <w:rPr>
          <w:rFonts w:ascii="Verdana" w:hAnsi="Verdana" w:cs="Arial"/>
          <w:sz w:val="14"/>
          <w:szCs w:val="14"/>
        </w:rPr>
        <w:t xml:space="preserve">Consejo de Estado. Sala de lo Contencioso Administrativo. Sección Tercera. Subsección A. Sentencia del 24 de junio de 2015. Radicado: </w:t>
      </w:r>
      <w:r w:rsidRPr="00720F72">
        <w:rPr>
          <w:rFonts w:ascii="Verdana" w:hAnsi="Verdana" w:cs="Arial"/>
          <w:sz w:val="14"/>
          <w:szCs w:val="14"/>
          <w:lang w:val="es-CO"/>
        </w:rPr>
        <w:t>05001-23-31-000-1997-02636-01</w:t>
      </w:r>
      <w:r w:rsidRPr="00720F72">
        <w:rPr>
          <w:rFonts w:ascii="Verdana" w:hAnsi="Verdana" w:cs="Arial"/>
          <w:sz w:val="14"/>
          <w:szCs w:val="14"/>
        </w:rPr>
        <w:t xml:space="preserve"> (40.635). C.P: Hernán Andrade Rincón (E).</w:t>
      </w:r>
    </w:p>
    <w:p w14:paraId="57D3AD32" w14:textId="77777777" w:rsidR="00662485" w:rsidRPr="00720F72" w:rsidRDefault="00662485" w:rsidP="00662485">
      <w:pPr>
        <w:pStyle w:val="Textonotapie"/>
        <w:jc w:val="both"/>
        <w:rPr>
          <w:rFonts w:ascii="Verdana" w:hAnsi="Verdana"/>
          <w:sz w:val="14"/>
          <w:szCs w:val="14"/>
          <w:lang w:val="es-ES_tradnl"/>
        </w:rPr>
      </w:pPr>
    </w:p>
  </w:footnote>
  <w:footnote w:id="11">
    <w:p w14:paraId="6EA83220" w14:textId="77777777" w:rsidR="00662485" w:rsidRPr="00720F72" w:rsidRDefault="00662485" w:rsidP="00662485">
      <w:pPr>
        <w:pStyle w:val="Textonotapie"/>
        <w:ind w:firstLine="708"/>
        <w:jc w:val="both"/>
        <w:rPr>
          <w:rFonts w:ascii="Verdana" w:hAnsi="Verdana" w:cs="Arial"/>
          <w:sz w:val="14"/>
          <w:szCs w:val="14"/>
        </w:rPr>
      </w:pPr>
      <w:r w:rsidRPr="00720F72">
        <w:rPr>
          <w:rStyle w:val="Refdenotaalpie"/>
          <w:rFonts w:ascii="Verdana" w:hAnsi="Verdana"/>
          <w:sz w:val="14"/>
          <w:szCs w:val="14"/>
        </w:rPr>
        <w:footnoteRef/>
      </w:r>
      <w:r w:rsidRPr="00720F72">
        <w:rPr>
          <w:rFonts w:ascii="Verdana" w:hAnsi="Verdana"/>
          <w:sz w:val="14"/>
          <w:szCs w:val="14"/>
        </w:rPr>
        <w:t xml:space="preserve"> </w:t>
      </w:r>
      <w:r w:rsidRPr="00720F72">
        <w:rPr>
          <w:rFonts w:ascii="Verdana" w:hAnsi="Verdana" w:cs="Arial"/>
          <w:sz w:val="14"/>
          <w:szCs w:val="14"/>
        </w:rPr>
        <w:t xml:space="preserve">Consejo de Estado. Sala de lo Contencioso Administrativo. Sección Tercera. Subsección C. Sentencia del 22 de mayo de 2013. Radicado: </w:t>
      </w:r>
      <w:r w:rsidRPr="00720F72">
        <w:rPr>
          <w:rFonts w:ascii="Verdana" w:hAnsi="Verdana" w:cs="Arial"/>
          <w:sz w:val="14"/>
          <w:szCs w:val="14"/>
          <w:lang w:val="es-CO"/>
        </w:rPr>
        <w:t>68001-23-15-000-1995-00152-01</w:t>
      </w:r>
      <w:r w:rsidRPr="00720F72">
        <w:rPr>
          <w:rFonts w:ascii="Verdana" w:hAnsi="Verdana" w:cs="Arial"/>
          <w:sz w:val="14"/>
          <w:szCs w:val="14"/>
        </w:rPr>
        <w:t xml:space="preserve"> (24.057). C.P: Olga Mélida Valle De De La Hoz.</w:t>
      </w:r>
    </w:p>
    <w:p w14:paraId="4597E318" w14:textId="77777777" w:rsidR="00662485" w:rsidRPr="00720F72" w:rsidRDefault="00662485" w:rsidP="00662485">
      <w:pPr>
        <w:pStyle w:val="Textonotapie"/>
        <w:ind w:firstLine="708"/>
        <w:jc w:val="both"/>
        <w:rPr>
          <w:rFonts w:ascii="Verdana" w:hAnsi="Verdana"/>
          <w:sz w:val="14"/>
          <w:szCs w:val="14"/>
          <w:lang w:val="es-ES_tradnl"/>
        </w:rPr>
      </w:pPr>
    </w:p>
  </w:footnote>
  <w:footnote w:id="12">
    <w:p w14:paraId="6EEFF817" w14:textId="77777777" w:rsidR="00662485" w:rsidRPr="00720F72" w:rsidRDefault="00662485" w:rsidP="00662485">
      <w:pPr>
        <w:pStyle w:val="Textonotapie"/>
        <w:ind w:firstLine="708"/>
        <w:jc w:val="both"/>
        <w:rPr>
          <w:rFonts w:ascii="Verdana" w:hAnsi="Verdana" w:cs="Arial"/>
          <w:sz w:val="14"/>
          <w:szCs w:val="14"/>
          <w:lang w:val="pt-BR"/>
        </w:rPr>
      </w:pPr>
      <w:r w:rsidRPr="00720F72">
        <w:rPr>
          <w:rStyle w:val="Refdenotaalpie"/>
          <w:rFonts w:ascii="Verdana" w:hAnsi="Verdana"/>
          <w:sz w:val="14"/>
          <w:szCs w:val="14"/>
        </w:rPr>
        <w:footnoteRef/>
      </w:r>
      <w:r w:rsidRPr="00720F72">
        <w:rPr>
          <w:rFonts w:ascii="Verdana" w:hAnsi="Verdana"/>
          <w:sz w:val="14"/>
          <w:szCs w:val="14"/>
          <w:lang w:val="pt-BR"/>
        </w:rPr>
        <w:t xml:space="preserve"> </w:t>
      </w:r>
      <w:r w:rsidRPr="00720F72">
        <w:rPr>
          <w:rFonts w:ascii="Verdana" w:hAnsi="Verdana" w:cs="Arial"/>
          <w:sz w:val="14"/>
          <w:szCs w:val="14"/>
          <w:lang w:val="pt-BR"/>
        </w:rPr>
        <w:t>Corte Constitucional. Sentencia C-415 de 1994. M.P. Eduardo Cifuentes Muñoz.</w:t>
      </w:r>
    </w:p>
    <w:p w14:paraId="070D8B89" w14:textId="77777777" w:rsidR="00662485" w:rsidRPr="00720F72" w:rsidRDefault="00662485" w:rsidP="00662485">
      <w:pPr>
        <w:pStyle w:val="Textonotapie"/>
        <w:jc w:val="both"/>
        <w:rPr>
          <w:rFonts w:ascii="Verdana" w:hAnsi="Verdana"/>
          <w:sz w:val="14"/>
          <w:szCs w:val="14"/>
          <w:lang w:val="pt-BR"/>
        </w:rPr>
      </w:pPr>
    </w:p>
  </w:footnote>
  <w:footnote w:id="13">
    <w:p w14:paraId="2DAEBFF1" w14:textId="77777777" w:rsidR="00662485" w:rsidRPr="00B947C6" w:rsidRDefault="00662485" w:rsidP="00662485">
      <w:pPr>
        <w:pStyle w:val="Textonotapie"/>
        <w:ind w:firstLine="708"/>
        <w:jc w:val="both"/>
        <w:rPr>
          <w:rFonts w:ascii="Verdana" w:hAnsi="Verdana" w:cs="Arial"/>
          <w:sz w:val="14"/>
          <w:szCs w:val="14"/>
        </w:rPr>
      </w:pPr>
      <w:r w:rsidRPr="00B947C6">
        <w:rPr>
          <w:rStyle w:val="Refdenotaalpie"/>
          <w:rFonts w:ascii="Verdana" w:hAnsi="Verdana"/>
          <w:sz w:val="14"/>
          <w:szCs w:val="14"/>
        </w:rPr>
        <w:footnoteRef/>
      </w:r>
      <w:r w:rsidRPr="00B947C6">
        <w:rPr>
          <w:rFonts w:ascii="Verdana" w:hAnsi="Verdana"/>
          <w:sz w:val="14"/>
          <w:szCs w:val="14"/>
        </w:rPr>
        <w:t xml:space="preserve"> </w:t>
      </w:r>
      <w:r w:rsidRPr="00B947C6">
        <w:rPr>
          <w:rFonts w:ascii="Verdana" w:hAnsi="Verdana" w:cs="Arial"/>
          <w:sz w:val="14"/>
          <w:szCs w:val="14"/>
        </w:rPr>
        <w:t>El artículo 13 de la Ley 1150 de 2007 dispone que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14:paraId="24064ABB" w14:textId="77777777" w:rsidR="00662485" w:rsidRPr="00B947C6" w:rsidRDefault="00662485" w:rsidP="00662485">
      <w:pPr>
        <w:pStyle w:val="Textonotapie"/>
        <w:jc w:val="both"/>
        <w:rPr>
          <w:rFonts w:ascii="Verdana" w:hAnsi="Verdana"/>
          <w:sz w:val="14"/>
          <w:szCs w:val="14"/>
          <w:lang w:val="es-ES"/>
        </w:rPr>
      </w:pPr>
    </w:p>
  </w:footnote>
  <w:footnote w:id="14">
    <w:p w14:paraId="206DBB08" w14:textId="77777777" w:rsidR="00662485" w:rsidRPr="00427634" w:rsidRDefault="00662485" w:rsidP="00662485">
      <w:pPr>
        <w:pStyle w:val="Textonotapie"/>
        <w:ind w:firstLine="709"/>
        <w:jc w:val="both"/>
        <w:rPr>
          <w:rFonts w:ascii="Verdana" w:hAnsi="Verdana"/>
          <w:sz w:val="14"/>
          <w:szCs w:val="14"/>
          <w:lang w:val="es-ES"/>
        </w:rPr>
      </w:pPr>
      <w:r w:rsidRPr="00427634">
        <w:rPr>
          <w:rStyle w:val="Refdenotaalpie"/>
          <w:rFonts w:ascii="Verdana" w:hAnsi="Verdana"/>
          <w:sz w:val="14"/>
          <w:szCs w:val="14"/>
        </w:rPr>
        <w:footnoteRef/>
      </w:r>
      <w:r w:rsidRPr="00427634">
        <w:rPr>
          <w:rFonts w:ascii="Verdana" w:hAnsi="Verdana"/>
          <w:sz w:val="14"/>
          <w:szCs w:val="14"/>
        </w:rPr>
        <w:t xml:space="preserve"> </w:t>
      </w:r>
      <w:bookmarkStart w:id="10" w:name="_Hlk195172243"/>
      <w:r w:rsidRPr="00427634">
        <w:rPr>
          <w:rFonts w:ascii="Verdana" w:hAnsi="Verdana"/>
          <w:sz w:val="14"/>
          <w:szCs w:val="14"/>
          <w:lang w:val="es-ES"/>
        </w:rPr>
        <w:t>Corte Constitucional. Sentencia C-087 de 2024. M.P: Antonio José Lizarazo Ocampo</w:t>
      </w:r>
      <w:bookmarkEnd w:id="10"/>
      <w:r>
        <w:rPr>
          <w:rFonts w:ascii="Verdana" w:hAnsi="Verdana"/>
          <w:sz w:val="14"/>
          <w:szCs w:val="14"/>
          <w:lang w:val="es-ES"/>
        </w:rPr>
        <w:t>.</w:t>
      </w:r>
    </w:p>
  </w:footnote>
  <w:footnote w:id="15">
    <w:p w14:paraId="2CACE63E" w14:textId="77777777" w:rsidR="00662485" w:rsidRPr="000B5921" w:rsidRDefault="00662485" w:rsidP="00662485">
      <w:pPr>
        <w:pStyle w:val="Textonotapie"/>
        <w:ind w:firstLine="708"/>
        <w:jc w:val="both"/>
        <w:rPr>
          <w:rFonts w:ascii="Verdana" w:hAnsi="Verdana"/>
          <w:sz w:val="14"/>
          <w:szCs w:val="14"/>
          <w:lang w:val="es-ES_tradnl"/>
        </w:rPr>
      </w:pPr>
      <w:r w:rsidRPr="000B5921">
        <w:rPr>
          <w:rStyle w:val="Refdenotaalpie"/>
          <w:rFonts w:ascii="Verdana" w:hAnsi="Verdana"/>
          <w:sz w:val="14"/>
          <w:szCs w:val="14"/>
        </w:rPr>
        <w:footnoteRef/>
      </w:r>
      <w:r w:rsidRPr="000B5921">
        <w:rPr>
          <w:rFonts w:ascii="Verdana" w:hAnsi="Verdana"/>
          <w:sz w:val="14"/>
          <w:szCs w:val="14"/>
        </w:rPr>
        <w:t xml:space="preserve"> </w:t>
      </w:r>
      <w:r w:rsidRPr="000B5921">
        <w:rPr>
          <w:rFonts w:ascii="Verdana" w:hAnsi="Verdana" w:cs="Arial"/>
          <w:sz w:val="14"/>
          <w:szCs w:val="14"/>
        </w:rPr>
        <w:t>De esta manera, la doctrina anota que «[…] Los conceptos de “regla general” y “regla particular” son correlativas. Una regla es particular en relación con otra si hecho condicionante es un caso particular del hecho condicionante de la otra regla […]» (Cfr. ROSS, Alf. Sobre el derecho y la justicia. Quinta edición. Buenos Aires: EUDEBA, 1994. p. 125).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pPr>
      <w:pStyle w:val="Encabezad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12DD542F">
          <wp:simplePos x="0" y="0"/>
          <wp:positionH relativeFrom="margin">
            <wp:align>center</wp:align>
          </wp:positionH>
          <wp:positionV relativeFrom="paragraph">
            <wp:posOffset>-345440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3079FC11" w14:textId="77777777" w:rsidR="00DC39FC" w:rsidRDefault="00DC39FC" w:rsidP="004A305D">
    <w:pPr>
      <w:spacing w:after="0"/>
      <w:rPr>
        <w:rFonts w:ascii="Verdana" w:hAnsi="Verdana"/>
        <w:b/>
        <w:bCs/>
      </w:rPr>
    </w:pPr>
  </w:p>
  <w:p w14:paraId="7FE1230C" w14:textId="77E53D9F" w:rsidR="004A305D" w:rsidRPr="00DC39FC" w:rsidRDefault="004A305D" w:rsidP="004A305D">
    <w:pPr>
      <w:spacing w:after="0"/>
      <w:rPr>
        <w:rFonts w:ascii="Verdana" w:hAnsi="Verdana"/>
        <w:b/>
        <w:bCs/>
      </w:rPr>
    </w:pPr>
    <w:r w:rsidRPr="00DC39FC">
      <w:rPr>
        <w:rFonts w:ascii="Verdana" w:hAnsi="Verdana"/>
        <w:b/>
        <w:bCs/>
      </w:rPr>
      <w:t>FORMATO PQRSD</w:t>
    </w: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6D74A3CF" w:rsidR="008A446D" w:rsidRDefault="008A446D" w:rsidP="00061B2A">
    <w:pPr>
      <w:pStyle w:val="Encabezado"/>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CB857A5"/>
    <w:multiLevelType w:val="hybridMultilevel"/>
    <w:tmpl w:val="A3660D3C"/>
    <w:lvl w:ilvl="0" w:tplc="E856C68C">
      <w:start w:val="1"/>
      <w:numFmt w:val="low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1"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341274352">
    <w:abstractNumId w:val="0"/>
  </w:num>
  <w:num w:numId="17" w16cid:durableId="679089576">
    <w:abstractNumId w:val="9"/>
  </w:num>
  <w:num w:numId="18" w16cid:durableId="1053165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90BAE"/>
    <w:rsid w:val="000A683E"/>
    <w:rsid w:val="000B19B9"/>
    <w:rsid w:val="000C4B5C"/>
    <w:rsid w:val="000D0334"/>
    <w:rsid w:val="000F6486"/>
    <w:rsid w:val="00125105"/>
    <w:rsid w:val="00127233"/>
    <w:rsid w:val="00134B86"/>
    <w:rsid w:val="001930EE"/>
    <w:rsid w:val="001B421A"/>
    <w:rsid w:val="001C31FF"/>
    <w:rsid w:val="001E4177"/>
    <w:rsid w:val="001F2580"/>
    <w:rsid w:val="001F7DC6"/>
    <w:rsid w:val="00202087"/>
    <w:rsid w:val="0023368A"/>
    <w:rsid w:val="002421BB"/>
    <w:rsid w:val="0025041B"/>
    <w:rsid w:val="0025796E"/>
    <w:rsid w:val="002707A2"/>
    <w:rsid w:val="002951A0"/>
    <w:rsid w:val="002962BC"/>
    <w:rsid w:val="002A093D"/>
    <w:rsid w:val="002A0DD0"/>
    <w:rsid w:val="002A49AC"/>
    <w:rsid w:val="002A64FD"/>
    <w:rsid w:val="002C413A"/>
    <w:rsid w:val="002C7A84"/>
    <w:rsid w:val="002E4FD9"/>
    <w:rsid w:val="00322A85"/>
    <w:rsid w:val="00324168"/>
    <w:rsid w:val="00337194"/>
    <w:rsid w:val="003448F4"/>
    <w:rsid w:val="00362FBF"/>
    <w:rsid w:val="00374F5E"/>
    <w:rsid w:val="00377E3E"/>
    <w:rsid w:val="003A779E"/>
    <w:rsid w:val="003D0F4D"/>
    <w:rsid w:val="003D5B0D"/>
    <w:rsid w:val="003E0499"/>
    <w:rsid w:val="003F3941"/>
    <w:rsid w:val="00406575"/>
    <w:rsid w:val="00414C74"/>
    <w:rsid w:val="0042722E"/>
    <w:rsid w:val="00427FB3"/>
    <w:rsid w:val="0044528D"/>
    <w:rsid w:val="004A1847"/>
    <w:rsid w:val="004A305D"/>
    <w:rsid w:val="004B1ECA"/>
    <w:rsid w:val="004F21C4"/>
    <w:rsid w:val="004F685F"/>
    <w:rsid w:val="00510130"/>
    <w:rsid w:val="00545EA3"/>
    <w:rsid w:val="00545EA9"/>
    <w:rsid w:val="0055031B"/>
    <w:rsid w:val="005566E8"/>
    <w:rsid w:val="00574867"/>
    <w:rsid w:val="00591460"/>
    <w:rsid w:val="005A7806"/>
    <w:rsid w:val="005B5852"/>
    <w:rsid w:val="005C3777"/>
    <w:rsid w:val="005C5CDC"/>
    <w:rsid w:val="005D476C"/>
    <w:rsid w:val="00607A2F"/>
    <w:rsid w:val="006219F8"/>
    <w:rsid w:val="006302F7"/>
    <w:rsid w:val="0063379E"/>
    <w:rsid w:val="00662485"/>
    <w:rsid w:val="00665D70"/>
    <w:rsid w:val="006739B0"/>
    <w:rsid w:val="006860F3"/>
    <w:rsid w:val="006900D9"/>
    <w:rsid w:val="006A760C"/>
    <w:rsid w:val="006F53CC"/>
    <w:rsid w:val="00706C16"/>
    <w:rsid w:val="00745CE9"/>
    <w:rsid w:val="00756841"/>
    <w:rsid w:val="007649AB"/>
    <w:rsid w:val="00771D0C"/>
    <w:rsid w:val="007775F0"/>
    <w:rsid w:val="007833AC"/>
    <w:rsid w:val="007A49AC"/>
    <w:rsid w:val="007B268C"/>
    <w:rsid w:val="007B7171"/>
    <w:rsid w:val="007C0C0F"/>
    <w:rsid w:val="007C3DC2"/>
    <w:rsid w:val="007E5497"/>
    <w:rsid w:val="00806F5F"/>
    <w:rsid w:val="00820278"/>
    <w:rsid w:val="0083718E"/>
    <w:rsid w:val="00867F95"/>
    <w:rsid w:val="008843B6"/>
    <w:rsid w:val="008863BC"/>
    <w:rsid w:val="00891928"/>
    <w:rsid w:val="00897A3A"/>
    <w:rsid w:val="008A446D"/>
    <w:rsid w:val="008D180B"/>
    <w:rsid w:val="008F0EA7"/>
    <w:rsid w:val="00923EEF"/>
    <w:rsid w:val="009419F9"/>
    <w:rsid w:val="0095685E"/>
    <w:rsid w:val="00961B09"/>
    <w:rsid w:val="00965334"/>
    <w:rsid w:val="0097093E"/>
    <w:rsid w:val="009A0DFA"/>
    <w:rsid w:val="009B25A8"/>
    <w:rsid w:val="009B2D26"/>
    <w:rsid w:val="009C71FA"/>
    <w:rsid w:val="009C72E7"/>
    <w:rsid w:val="009D13E1"/>
    <w:rsid w:val="009D3058"/>
    <w:rsid w:val="009F3A13"/>
    <w:rsid w:val="009F57A5"/>
    <w:rsid w:val="00A122D3"/>
    <w:rsid w:val="00A17F13"/>
    <w:rsid w:val="00A20739"/>
    <w:rsid w:val="00A33C78"/>
    <w:rsid w:val="00A404FA"/>
    <w:rsid w:val="00A4647D"/>
    <w:rsid w:val="00AA2539"/>
    <w:rsid w:val="00AB0ADB"/>
    <w:rsid w:val="00AD2338"/>
    <w:rsid w:val="00B00C0E"/>
    <w:rsid w:val="00B01B1A"/>
    <w:rsid w:val="00B149BD"/>
    <w:rsid w:val="00B44A47"/>
    <w:rsid w:val="00B72CD3"/>
    <w:rsid w:val="00B72FFF"/>
    <w:rsid w:val="00B745DD"/>
    <w:rsid w:val="00BB664D"/>
    <w:rsid w:val="00BC3D36"/>
    <w:rsid w:val="00BD6812"/>
    <w:rsid w:val="00BD7F72"/>
    <w:rsid w:val="00C04FB3"/>
    <w:rsid w:val="00C27C1F"/>
    <w:rsid w:val="00C330EB"/>
    <w:rsid w:val="00C754BE"/>
    <w:rsid w:val="00C76B1C"/>
    <w:rsid w:val="00CA279C"/>
    <w:rsid w:val="00CB6357"/>
    <w:rsid w:val="00CC1B26"/>
    <w:rsid w:val="00D15D5E"/>
    <w:rsid w:val="00D423A2"/>
    <w:rsid w:val="00D47825"/>
    <w:rsid w:val="00D520D8"/>
    <w:rsid w:val="00D6036F"/>
    <w:rsid w:val="00D63AC2"/>
    <w:rsid w:val="00D7383B"/>
    <w:rsid w:val="00D80D3B"/>
    <w:rsid w:val="00DA231B"/>
    <w:rsid w:val="00DA3281"/>
    <w:rsid w:val="00DC39FC"/>
    <w:rsid w:val="00DF5254"/>
    <w:rsid w:val="00E05AA0"/>
    <w:rsid w:val="00E16161"/>
    <w:rsid w:val="00E16408"/>
    <w:rsid w:val="00E20894"/>
    <w:rsid w:val="00E245AB"/>
    <w:rsid w:val="00E2764C"/>
    <w:rsid w:val="00E27F2E"/>
    <w:rsid w:val="00E50AFE"/>
    <w:rsid w:val="00E574E3"/>
    <w:rsid w:val="00E67A7C"/>
    <w:rsid w:val="00E75C92"/>
    <w:rsid w:val="00E771DC"/>
    <w:rsid w:val="00E8772A"/>
    <w:rsid w:val="00E90F6B"/>
    <w:rsid w:val="00E92C27"/>
    <w:rsid w:val="00E93CA8"/>
    <w:rsid w:val="00EA0E3D"/>
    <w:rsid w:val="00EC38A7"/>
    <w:rsid w:val="00EE1AA8"/>
    <w:rsid w:val="00F236DA"/>
    <w:rsid w:val="00F31EDC"/>
    <w:rsid w:val="00F351D3"/>
    <w:rsid w:val="00F462B3"/>
    <w:rsid w:val="00F46717"/>
    <w:rsid w:val="00F5664F"/>
    <w:rsid w:val="00F62586"/>
    <w:rsid w:val="00F666C4"/>
    <w:rsid w:val="00F76AFC"/>
    <w:rsid w:val="00F90101"/>
    <w:rsid w:val="00FA47C0"/>
    <w:rsid w:val="00FB5DD1"/>
    <w:rsid w:val="00FC2009"/>
    <w:rsid w:val="00FC2B5D"/>
    <w:rsid w:val="00FF1449"/>
    <w:rsid w:val="040D60E1"/>
    <w:rsid w:val="0A58532A"/>
    <w:rsid w:val="105F9814"/>
    <w:rsid w:val="12305421"/>
    <w:rsid w:val="13CDBDFD"/>
    <w:rsid w:val="1D1B47A9"/>
    <w:rsid w:val="2C8BD020"/>
    <w:rsid w:val="4414D198"/>
    <w:rsid w:val="462C4C4D"/>
    <w:rsid w:val="6894EB3A"/>
    <w:rsid w:val="70AAECB4"/>
    <w:rsid w:val="714261A2"/>
    <w:rsid w:val="7634E3EE"/>
    <w:rsid w:val="7BEC91E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6C59BFD2-29D3-4017-9EC9-06E83EBB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662485"/>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662485"/>
    <w:rPr>
      <w:rFonts w:ascii="Geomanist Light" w:hAnsi="Geomanist Light"/>
      <w:lang w:val="es-ES"/>
    </w:rPr>
  </w:style>
  <w:style w:type="character" w:customStyle="1" w:styleId="NormalWebCar">
    <w:name w:val="Normal (Web) Car"/>
    <w:link w:val="NormalWeb"/>
    <w:uiPriority w:val="99"/>
    <w:locked/>
    <w:rsid w:val="00662485"/>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uiPriority w:val="1"/>
    <w:qFormat/>
    <w:rsid w:val="00662485"/>
    <w:pPr>
      <w:widowControl w:val="0"/>
      <w:autoSpaceDE w:val="0"/>
      <w:autoSpaceDN w:val="0"/>
      <w:spacing w:after="0" w:line="240" w:lineRule="auto"/>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662485"/>
    <w:rPr>
      <w:rFonts w:ascii="Arial" w:eastAsia="Arial" w:hAnsi="Arial" w:cs="Arial"/>
      <w:lang w:val="es-ES"/>
    </w:rPr>
  </w:style>
  <w:style w:type="character" w:customStyle="1" w:styleId="iaj">
    <w:name w:val="i_aj"/>
    <w:basedOn w:val="Fuentedeprrafopredeter"/>
    <w:rsid w:val="00662485"/>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7775F0"/>
    <w:rPr>
      <w:b/>
      <w:bCs/>
    </w:rPr>
  </w:style>
  <w:style w:type="character" w:customStyle="1" w:styleId="AsuntodelcomentarioCar">
    <w:name w:val="Asunto del comentario Car"/>
    <w:basedOn w:val="TextocomentarioCar"/>
    <w:link w:val="Asuntodelcomentario"/>
    <w:uiPriority w:val="99"/>
    <w:semiHidden/>
    <w:rsid w:val="007775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stellanosfernanda404@g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85dbaf-23eb-4e57-a637-93dcacc8b1a1">
      <Terms xmlns="http://schemas.microsoft.com/office/infopath/2007/PartnerControls"/>
    </lcf76f155ced4ddcb4097134ff3c332f>
    <TaxCatchAll xmlns="a6cb9e4b-f1d1-4245-83ec-6cad768d538a" xsi:nil="true"/>
    <No xmlns="9d85dbaf-23eb-4e57-a637-93dcacc8b1a1" xsi:nil="true"/>
    <_Flow_SignoffStatus xmlns="9d85dbaf-23eb-4e57-a637-93dcacc8b1a1" xsi:nil="true"/>
  </documentManagement>
</p:properties>
</file>

<file path=customXml/itemProps1.xml><?xml version="1.0" encoding="utf-8"?>
<ds:datastoreItem xmlns:ds="http://schemas.openxmlformats.org/officeDocument/2006/customXml" ds:itemID="{4E856FF1-C0F3-477A-B600-2CA686967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6490</Words>
  <Characters>35695</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2023-01-11T00:18:00Z</cp:lastPrinted>
  <dcterms:created xsi:type="dcterms:W3CDTF">2026-07-07T03:14:00Z</dcterms:created>
  <dcterms:modified xsi:type="dcterms:W3CDTF">2026-07-29T13:56:00Z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