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4F382" w14:textId="4BF4D46A" w:rsidR="00A21950" w:rsidRDefault="00A21950" w:rsidP="00A21950">
      <w:pPr>
        <w:jc w:val="both"/>
        <w:rPr>
          <w:rFonts w:ascii="Verdana" w:hAnsi="Verdana" w:cs="Arial"/>
          <w:b/>
          <w:lang w:val="es-MX" w:eastAsia="es-ES_tradnl"/>
        </w:rPr>
      </w:pPr>
      <w:bookmarkStart w:id="0" w:name="_Hlk143780582"/>
      <w:r w:rsidRPr="00A21950">
        <w:rPr>
          <w:rFonts w:ascii="Verdana" w:hAnsi="Verdana" w:cs="Arial"/>
          <w:b/>
          <w:lang w:val="es-MX" w:eastAsia="es-ES_tradnl"/>
        </w:rPr>
        <w:t xml:space="preserve">LEY DE GARANTÍAS ELECTORALES ‒ Finalidad </w:t>
      </w:r>
    </w:p>
    <w:p w14:paraId="653E6EDB" w14:textId="0804EB56" w:rsidR="00B51E37" w:rsidRPr="00B51E37" w:rsidRDefault="00B51E37" w:rsidP="00B51E37">
      <w:pPr>
        <w:spacing w:after="120" w:line="240" w:lineRule="auto"/>
        <w:jc w:val="both"/>
        <w:rPr>
          <w:rFonts w:ascii="Verdana" w:eastAsia="Times New Roman" w:hAnsi="Verdana" w:cs="Arial"/>
          <w:sz w:val="20"/>
          <w:szCs w:val="20"/>
          <w:lang w:eastAsia="es-CO"/>
        </w:rPr>
      </w:pPr>
      <w:r w:rsidRPr="00B51E37">
        <w:rPr>
          <w:rFonts w:ascii="Verdana" w:eastAsia="Calibri" w:hAnsi="Verdana" w:cs="Arial"/>
          <w:sz w:val="20"/>
          <w:szCs w:val="20"/>
        </w:rPr>
        <w:t>E</w:t>
      </w:r>
      <w:r w:rsidRPr="00B51E37">
        <w:rPr>
          <w:rFonts w:ascii="Verdana" w:eastAsia="Calibri" w:hAnsi="Verdana" w:cs="Arial"/>
          <w:sz w:val="20"/>
          <w:szCs w:val="20"/>
        </w:rPr>
        <w:t>l ordenamiento jurídico colombiano contempla previsiones claras para evitar la obtención de beneficios personales en asuntos propios de la administración pública</w:t>
      </w:r>
      <w:r w:rsidRPr="00B51E37">
        <w:rPr>
          <w:rFonts w:ascii="Verdana" w:eastAsia="Calibri" w:hAnsi="Verdana" w:cs="Arial"/>
          <w:i/>
          <w:sz w:val="20"/>
          <w:szCs w:val="20"/>
        </w:rPr>
        <w:t xml:space="preserve">. </w:t>
      </w:r>
      <w:r w:rsidRPr="00B51E37">
        <w:rPr>
          <w:rFonts w:ascii="Verdana" w:eastAsia="Calibri" w:hAnsi="Verdana" w:cs="Arial"/>
          <w:sz w:val="20"/>
          <w:szCs w:val="20"/>
        </w:rPr>
        <w:t>Por ejemplo, el artículo 127 de la Constitución Política establece una prohibición contractual a los servidores públicos y, en cuanto a aspectos políticos, establece restricciones a ciertos empleados del Estado, incluso en época no electora</w:t>
      </w:r>
      <w:r>
        <w:rPr>
          <w:rFonts w:ascii="Verdana" w:eastAsia="Calibri" w:hAnsi="Verdana" w:cs="Arial"/>
          <w:sz w:val="20"/>
          <w:szCs w:val="20"/>
        </w:rPr>
        <w:t>l.</w:t>
      </w:r>
    </w:p>
    <w:p w14:paraId="42447183" w14:textId="5EB1BCE4" w:rsidR="00B51E37" w:rsidRPr="00B51E37" w:rsidRDefault="00B51E37" w:rsidP="00B51E37">
      <w:pPr>
        <w:spacing w:line="240" w:lineRule="auto"/>
        <w:jc w:val="both"/>
        <w:rPr>
          <w:rFonts w:ascii="Verdana" w:hAnsi="Verdana" w:cs="Arial"/>
          <w:b/>
          <w:sz w:val="20"/>
          <w:szCs w:val="20"/>
          <w:lang w:val="es-MX" w:eastAsia="es-ES_tradnl"/>
        </w:rPr>
      </w:pPr>
      <w:r w:rsidRPr="00B51E37">
        <w:rPr>
          <w:rFonts w:ascii="Verdana" w:eastAsia="Times New Roman" w:hAnsi="Verdana" w:cs="Arial"/>
          <w:sz w:val="20"/>
          <w:szCs w:val="20"/>
          <w:lang w:eastAsia="es-CO"/>
        </w:rPr>
        <w:t>En el mismo sentido</w:t>
      </w:r>
      <w:r w:rsidRPr="00B51E37">
        <w:rPr>
          <w:rFonts w:ascii="Verdana" w:eastAsia="Times New Roman" w:hAnsi="Verdana" w:cs="Arial"/>
          <w:sz w:val="20"/>
          <w:szCs w:val="20"/>
          <w:lang w:val="es-MX" w:eastAsia="es-CO"/>
        </w:rPr>
        <w:t>, 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w:t>
      </w:r>
      <w:r w:rsidR="00CF024D">
        <w:rPr>
          <w:rFonts w:ascii="Verdana" w:eastAsia="Times New Roman" w:hAnsi="Verdana" w:cs="Arial"/>
          <w:sz w:val="20"/>
          <w:szCs w:val="20"/>
          <w:lang w:val="es-MX" w:eastAsia="es-CO"/>
        </w:rPr>
        <w:t>l.</w:t>
      </w:r>
      <w:r w:rsidRPr="00B51E37">
        <w:rPr>
          <w:rFonts w:ascii="Verdana" w:eastAsia="Times New Roman" w:hAnsi="Verdana" w:cs="Arial"/>
          <w:sz w:val="20"/>
          <w:szCs w:val="20"/>
          <w:lang w:val="es-MX" w:eastAsia="es-CO"/>
        </w:rPr>
        <w:t xml:space="preserve"> En esta medida, introduce limitaciones para realizar nombramientos, postulaciones, contrataciones o cualquier otro tipo de actividad que implique destinación de recursos públicos bajo el devenir propio de las Entidades Estatales.</w:t>
      </w:r>
    </w:p>
    <w:p w14:paraId="67F340AE" w14:textId="5B37DB1F" w:rsidR="00A21950" w:rsidRDefault="00A21950" w:rsidP="00A21950">
      <w:pPr>
        <w:jc w:val="both"/>
        <w:rPr>
          <w:rFonts w:ascii="Verdana" w:hAnsi="Verdana" w:cs="Arial"/>
          <w:b/>
          <w:lang w:val="es-MX" w:eastAsia="es-ES_tradnl"/>
        </w:rPr>
      </w:pPr>
      <w:r w:rsidRPr="00A21950">
        <w:rPr>
          <w:rFonts w:ascii="Verdana" w:hAnsi="Verdana" w:cs="Arial"/>
          <w:b/>
          <w:lang w:val="es-MX" w:eastAsia="es-ES_tradnl"/>
        </w:rPr>
        <w:t>LEY DE GARANTÍAS ELECTORALES – Prohibición del artículo 33 – Destinatarios</w:t>
      </w:r>
    </w:p>
    <w:p w14:paraId="2D593800" w14:textId="77777777" w:rsidR="00FE4386" w:rsidRPr="00FE4386" w:rsidRDefault="00FE4386" w:rsidP="00FE4386">
      <w:pPr>
        <w:spacing w:after="120" w:line="240" w:lineRule="auto"/>
        <w:jc w:val="both"/>
        <w:rPr>
          <w:rFonts w:ascii="Verdana" w:eastAsia="Times New Roman" w:hAnsi="Verdana" w:cs="Arial"/>
          <w:bCs/>
          <w:sz w:val="20"/>
          <w:szCs w:val="20"/>
          <w:lang w:val="es-MX" w:eastAsia="x-none"/>
        </w:rPr>
      </w:pPr>
      <w:r w:rsidRPr="00FE4386">
        <w:rPr>
          <w:rFonts w:ascii="Verdana" w:hAnsi="Verdana" w:cs="Arial"/>
          <w:bCs/>
          <w:sz w:val="20"/>
          <w:szCs w:val="20"/>
          <w:lang w:val="es-MX" w:eastAsia="es-ES_tradnl"/>
        </w:rPr>
        <w:t xml:space="preserve">[…] </w:t>
      </w:r>
      <w:r w:rsidRPr="00FE4386">
        <w:rPr>
          <w:rFonts w:ascii="Verdana" w:eastAsia="Calibri" w:hAnsi="Verdana" w:cs="Arial"/>
          <w:bCs/>
          <w:sz w:val="20"/>
          <w:szCs w:val="20"/>
          <w:lang w:val="es-MX"/>
        </w:rPr>
        <w:t xml:space="preserve">en primer lugar, debe señalarse que, conforme a la interpretación general de las normas del sistema de compras públicas, la restricción prevista en el artículo 33 de la Ley 996 de 2005 – Ley de Garantías Electorales – </w:t>
      </w:r>
      <w:r w:rsidRPr="00FE4386">
        <w:rPr>
          <w:rFonts w:ascii="Verdana" w:eastAsia="Times New Roman" w:hAnsi="Verdana" w:cs="Arial"/>
          <w:bCs/>
          <w:sz w:val="20"/>
          <w:szCs w:val="20"/>
          <w:lang w:val="es-MX" w:eastAsia="x-none"/>
        </w:rPr>
        <w:t xml:space="preserve">cobija a </w:t>
      </w:r>
      <w:r w:rsidRPr="00FE4386">
        <w:rPr>
          <w:rFonts w:ascii="Verdana" w:eastAsia="Calibri" w:hAnsi="Verdana" w:cs="Arial"/>
          <w:bCs/>
          <w:sz w:val="20"/>
          <w:szCs w:val="20"/>
          <w:lang w:val="es-ES"/>
        </w:rPr>
        <w:t xml:space="preserve">todos los entes del Estado </w:t>
      </w:r>
      <w:r w:rsidRPr="00FE4386">
        <w:rPr>
          <w:rFonts w:ascii="Verdana" w:hAnsi="Verdana" w:cs="Arial"/>
          <w:bCs/>
          <w:color w:val="000000" w:themeColor="text1"/>
          <w:sz w:val="20"/>
          <w:szCs w:val="20"/>
          <w:lang w:val="es-MX" w:eastAsia="x-none"/>
        </w:rPr>
        <w:t>sin distinción del régimen jurídico</w:t>
      </w:r>
      <w:r w:rsidRPr="00FE4386">
        <w:rPr>
          <w:rFonts w:ascii="Verdana" w:eastAsia="Times New Roman" w:hAnsi="Verdana" w:cs="Arial"/>
          <w:bCs/>
          <w:sz w:val="20"/>
          <w:szCs w:val="20"/>
          <w:lang w:val="es-MX" w:eastAsia="x-none"/>
        </w:rPr>
        <w:t>, que pueda mediante la contratación directa romper el equilibrio entre los candidatos en desarrollo de las elecciones presidenciales</w:t>
      </w:r>
      <w:r w:rsidRPr="00FE4386">
        <w:rPr>
          <w:rFonts w:ascii="Verdana" w:eastAsia="Times New Roman" w:hAnsi="Verdana" w:cs="Arial"/>
          <w:bCs/>
          <w:sz w:val="20"/>
          <w:szCs w:val="20"/>
          <w:lang w:val="es-ES" w:eastAsia="es-ES_tradnl"/>
        </w:rPr>
        <w:t xml:space="preserve">. En ese sentido, independientemente de que el régimen contractual sea el derecho privado les aplicará la restricción de que trata el citado artículo. </w:t>
      </w:r>
    </w:p>
    <w:p w14:paraId="5EED9411" w14:textId="32FE7C4C" w:rsidR="00A21950" w:rsidRDefault="00A21950" w:rsidP="00A21950">
      <w:pPr>
        <w:jc w:val="both"/>
        <w:rPr>
          <w:rFonts w:ascii="Verdana" w:hAnsi="Verdana" w:cs="Arial"/>
          <w:b/>
          <w:lang w:val="es-MX" w:eastAsia="es-ES_tradnl"/>
        </w:rPr>
      </w:pPr>
      <w:r w:rsidRPr="00A21950">
        <w:rPr>
          <w:rFonts w:ascii="Verdana" w:hAnsi="Verdana" w:cs="Arial"/>
          <w:b/>
          <w:lang w:val="es-MX" w:eastAsia="es-ES_tradnl"/>
        </w:rPr>
        <w:t>LEY DE GARANTÍAS ELECTORALES – Prohibición del artículo 33 – Contratación directo – Concepto</w:t>
      </w:r>
    </w:p>
    <w:p w14:paraId="7B335AE6" w14:textId="1271362B" w:rsidR="00F423D4" w:rsidRPr="00CF024D" w:rsidRDefault="00F423D4" w:rsidP="00CF024D">
      <w:pPr>
        <w:spacing w:after="120" w:line="240" w:lineRule="auto"/>
        <w:jc w:val="both"/>
        <w:rPr>
          <w:rFonts w:ascii="Verdana" w:eastAsia="Times New Roman" w:hAnsi="Verdana" w:cs="Arial"/>
          <w:bCs/>
          <w:sz w:val="20"/>
          <w:szCs w:val="20"/>
          <w:lang w:eastAsia="x-none"/>
        </w:rPr>
      </w:pPr>
      <w:r w:rsidRPr="00CF024D">
        <w:rPr>
          <w:rFonts w:ascii="Verdana" w:eastAsia="Times New Roman" w:hAnsi="Verdana" w:cs="Arial"/>
          <w:sz w:val="20"/>
          <w:szCs w:val="20"/>
          <w:lang w:eastAsia="x-none"/>
        </w:rPr>
        <w:t xml:space="preserve">[…] </w:t>
      </w:r>
      <w:r w:rsidRPr="00CF024D">
        <w:rPr>
          <w:rFonts w:ascii="Verdana" w:eastAsia="Times New Roman" w:hAnsi="Verdana" w:cs="Arial"/>
          <w:sz w:val="20"/>
          <w:szCs w:val="20"/>
          <w:lang w:eastAsia="x-none"/>
        </w:rPr>
        <w:t xml:space="preserve">la prohibición del artículo 33 de la Ley de Garantías Electorales se refiere a </w:t>
      </w:r>
      <w:r w:rsidRPr="00CF024D">
        <w:rPr>
          <w:rFonts w:ascii="Verdana" w:eastAsia="Times New Roman" w:hAnsi="Verdana" w:cs="Arial"/>
          <w:sz w:val="20"/>
          <w:szCs w:val="20"/>
          <w:lang w:eastAsia="en-GB"/>
        </w:rPr>
        <w:t>“</w:t>
      </w:r>
      <w:r w:rsidRPr="00CF024D">
        <w:rPr>
          <w:rFonts w:ascii="Verdana" w:eastAsia="Times New Roman" w:hAnsi="Verdana" w:cs="Arial"/>
          <w:sz w:val="20"/>
          <w:szCs w:val="20"/>
          <w:lang w:eastAsia="x-none"/>
        </w:rPr>
        <w:t>cualquier sistema que no implique convocatoria pública y posibilidad de pluralidad de oferentes</w:t>
      </w:r>
      <w:r w:rsidRPr="00CF024D">
        <w:rPr>
          <w:rFonts w:ascii="Verdana" w:eastAsia="Times New Roman" w:hAnsi="Verdana" w:cs="Arial"/>
          <w:sz w:val="20"/>
          <w:szCs w:val="20"/>
          <w:lang w:eastAsia="en-GB"/>
        </w:rPr>
        <w:t>”</w:t>
      </w:r>
      <w:r w:rsidRPr="00CF024D">
        <w:rPr>
          <w:rFonts w:ascii="Verdana" w:eastAsia="Times New Roman" w:hAnsi="Verdana" w:cs="Arial"/>
          <w:sz w:val="20"/>
          <w:szCs w:val="20"/>
          <w:lang w:eastAsia="x-none"/>
        </w:rPr>
        <w:t xml:space="preserve">, por lo que excluye las demás modalidades de contratación previstas en la Ley 1150 de 2007, es decir, la licitación pública, la selección abreviada, el concurso de méritos </w:t>
      </w:r>
      <w:r w:rsidRPr="00CF024D">
        <w:rPr>
          <w:rFonts w:ascii="Verdana" w:eastAsia="Times New Roman" w:hAnsi="Verdana" w:cs="Arial"/>
          <w:sz w:val="20"/>
          <w:szCs w:val="20"/>
          <w:lang w:val="es-ES_tradnl" w:eastAsia="x-none"/>
        </w:rPr>
        <w:t xml:space="preserve">y la mínima cuantía </w:t>
      </w:r>
      <w:r w:rsidRPr="00CF024D">
        <w:rPr>
          <w:rFonts w:ascii="Verdana" w:eastAsia="Times New Roman" w:hAnsi="Verdana" w:cs="Arial"/>
          <w:sz w:val="20"/>
          <w:szCs w:val="20"/>
          <w:lang w:eastAsia="x-none"/>
        </w:rPr>
        <w:t>u otros previstos en normas especiales. Esta posición es congruente con la expedición de la Ley 1150 de 2007 que, entre otras reformas, introdujo la selección abreviada, rediseñó el concurso de mérito</w:t>
      </w:r>
      <w:r w:rsidR="00B05728" w:rsidRPr="00CF024D">
        <w:rPr>
          <w:rFonts w:ascii="Verdana" w:eastAsia="Times New Roman" w:hAnsi="Verdana" w:cs="Arial"/>
          <w:sz w:val="20"/>
          <w:szCs w:val="20"/>
          <w:lang w:eastAsia="x-none"/>
        </w:rPr>
        <w:t>s</w:t>
      </w:r>
      <w:r w:rsidRPr="00CF024D">
        <w:rPr>
          <w:rFonts w:ascii="Verdana" w:eastAsia="Times New Roman" w:hAnsi="Verdana" w:cs="Arial"/>
          <w:sz w:val="20"/>
          <w:szCs w:val="20"/>
          <w:lang w:eastAsia="x-none"/>
        </w:rPr>
        <w:t xml:space="preserve"> y sistematizó las causales de contratación direct</w:t>
      </w:r>
      <w:r w:rsidRPr="00CF024D">
        <w:rPr>
          <w:rFonts w:ascii="Verdana" w:eastAsia="Times New Roman" w:hAnsi="Verdana" w:cs="Arial"/>
          <w:sz w:val="20"/>
          <w:szCs w:val="20"/>
          <w:lang w:eastAsia="x-none"/>
        </w:rPr>
        <w:t>a</w:t>
      </w:r>
      <w:r w:rsidRPr="00CF024D">
        <w:rPr>
          <w:rFonts w:ascii="Verdana" w:eastAsia="Times New Roman" w:hAnsi="Verdana" w:cs="Arial"/>
          <w:sz w:val="20"/>
          <w:szCs w:val="20"/>
          <w:lang w:eastAsia="x-none"/>
        </w:rPr>
        <w:t xml:space="preserve">, </w:t>
      </w:r>
      <w:r w:rsidRPr="00CF024D">
        <w:rPr>
          <w:rFonts w:ascii="Verdana" w:eastAsia="Calibri" w:hAnsi="Verdana" w:cs="Arial"/>
          <w:sz w:val="20"/>
          <w:szCs w:val="20"/>
          <w:lang w:eastAsia="x-none"/>
        </w:rPr>
        <w:t>además lo es con la posterior creación de la modalidad de mínima cuantía establecida actualmente en el numeral 5 del artículo 2 de la Ley 1150 de 2007, de acuerdo con las modificaciones realizadas por leyes posteriores.</w:t>
      </w:r>
    </w:p>
    <w:p w14:paraId="7C33264F" w14:textId="00C17FFE" w:rsidR="00F423D4" w:rsidRPr="00CF024D" w:rsidRDefault="00F423D4" w:rsidP="00CF024D">
      <w:pPr>
        <w:spacing w:after="120" w:line="240" w:lineRule="auto"/>
        <w:jc w:val="both"/>
        <w:rPr>
          <w:rFonts w:ascii="Verdana" w:eastAsia="Times New Roman" w:hAnsi="Verdana" w:cs="Arial"/>
          <w:sz w:val="20"/>
          <w:szCs w:val="20"/>
          <w:lang w:val="es-MX" w:eastAsia="x-none"/>
        </w:rPr>
      </w:pPr>
      <w:r w:rsidRPr="00CF024D">
        <w:rPr>
          <w:rFonts w:ascii="Verdana" w:eastAsia="Times New Roman" w:hAnsi="Verdana" w:cs="Arial"/>
          <w:sz w:val="20"/>
          <w:szCs w:val="20"/>
          <w:lang w:eastAsia="x-none"/>
        </w:rPr>
        <w:t xml:space="preserve">De esta forma, con fundamento en la evolución de la normativa sobre la contratación pública, se ha depurado la noción de </w:t>
      </w:r>
      <w:r w:rsidRPr="00CF024D">
        <w:rPr>
          <w:rFonts w:ascii="Verdana" w:eastAsia="Times New Roman" w:hAnsi="Verdana" w:cs="Arial"/>
          <w:sz w:val="20"/>
          <w:szCs w:val="20"/>
          <w:lang w:eastAsia="en-GB"/>
        </w:rPr>
        <w:t>“</w:t>
      </w:r>
      <w:r w:rsidRPr="00CF024D">
        <w:rPr>
          <w:rFonts w:ascii="Verdana" w:eastAsia="Times New Roman" w:hAnsi="Verdana" w:cs="Arial"/>
          <w:sz w:val="20"/>
          <w:szCs w:val="20"/>
          <w:lang w:eastAsia="x-none"/>
        </w:rPr>
        <w:t>contratación directa</w:t>
      </w:r>
      <w:r w:rsidRPr="00CF024D">
        <w:rPr>
          <w:rFonts w:ascii="Verdana" w:eastAsia="Times New Roman" w:hAnsi="Verdana" w:cs="Arial"/>
          <w:sz w:val="20"/>
          <w:szCs w:val="20"/>
          <w:lang w:eastAsia="en-GB"/>
        </w:rPr>
        <w:t>”</w:t>
      </w:r>
      <w:r w:rsidRPr="00CF024D">
        <w:rPr>
          <w:rFonts w:ascii="Verdana" w:eastAsia="Times New Roman" w:hAnsi="Verdana" w:cs="Arial"/>
          <w:sz w:val="20"/>
          <w:szCs w:val="20"/>
          <w:lang w:eastAsia="x-none"/>
        </w:rPr>
        <w:t xml:space="preserve">, precisando el Consejo de Estado –en el concepto citado– que, “aun cuando no coincide única y exactamente con la regulación que de dicho sistema de selección hace el artículo 2º de la Ley 1150 de 2007, tampoco puede afirmarse que sea cualquier procedimiento de contratación distinto </w:t>
      </w:r>
      <w:r w:rsidRPr="00CF024D">
        <w:rPr>
          <w:rFonts w:ascii="Verdana" w:eastAsia="Times New Roman" w:hAnsi="Verdana" w:cs="Arial"/>
          <w:sz w:val="20"/>
          <w:szCs w:val="20"/>
          <w:lang w:eastAsia="x-none"/>
        </w:rPr>
        <w:lastRenderedPageBreak/>
        <w:t>de la licitación pública, pues esto sería tanto como desconocer que el legislador, no solo en el Estatuto General de la Contratación de la Administración Pública, sino también en leyes especiales e, incluso, en el derecho privad</w:t>
      </w:r>
      <w:r w:rsidR="00E93E0A">
        <w:rPr>
          <w:rFonts w:ascii="Verdana" w:eastAsia="Times New Roman" w:hAnsi="Verdana" w:cs="Arial"/>
          <w:sz w:val="20"/>
          <w:szCs w:val="20"/>
          <w:lang w:eastAsia="x-none"/>
        </w:rPr>
        <w:t>o</w:t>
      </w:r>
      <w:r w:rsidRPr="00CF024D">
        <w:rPr>
          <w:rFonts w:ascii="Verdana" w:eastAsia="Times New Roman" w:hAnsi="Verdana" w:cs="Arial"/>
          <w:sz w:val="20"/>
          <w:szCs w:val="20"/>
          <w:lang w:eastAsia="x-none"/>
        </w:rPr>
        <w:t>, han establecido sistemas de contratación que implican convocatoria pública y participación de varios oferentes</w:t>
      </w:r>
      <w:r w:rsidRPr="00CF024D">
        <w:rPr>
          <w:rFonts w:ascii="Verdana" w:eastAsia="Times New Roman" w:hAnsi="Verdana" w:cs="Arial"/>
          <w:sz w:val="20"/>
          <w:szCs w:val="20"/>
          <w:lang w:eastAsia="en-GB"/>
        </w:rPr>
        <w:t>”</w:t>
      </w:r>
      <w:r w:rsidRPr="00CF024D">
        <w:rPr>
          <w:rFonts w:ascii="Verdana" w:eastAsia="Times New Roman" w:hAnsi="Verdana" w:cs="Arial"/>
          <w:sz w:val="20"/>
          <w:szCs w:val="20"/>
          <w:lang w:eastAsia="x-none"/>
        </w:rPr>
        <w:t xml:space="preserve">. </w:t>
      </w:r>
    </w:p>
    <w:p w14:paraId="51518F2C" w14:textId="21B7A84C" w:rsidR="00F423D4" w:rsidRPr="00CF024D" w:rsidRDefault="00F423D4" w:rsidP="00CF024D">
      <w:pPr>
        <w:spacing w:after="120" w:line="240" w:lineRule="auto"/>
        <w:jc w:val="both"/>
        <w:rPr>
          <w:rFonts w:ascii="Verdana" w:eastAsia="Times New Roman" w:hAnsi="Verdana" w:cs="Arial"/>
          <w:bCs/>
          <w:sz w:val="20"/>
          <w:szCs w:val="20"/>
          <w:lang w:val="es-MX" w:eastAsia="es-CO"/>
        </w:rPr>
      </w:pPr>
      <w:r w:rsidRPr="00CF024D">
        <w:rPr>
          <w:rFonts w:ascii="Verdana" w:eastAsia="Times New Roman" w:hAnsi="Verdana" w:cs="Arial"/>
          <w:bCs/>
          <w:sz w:val="20"/>
          <w:szCs w:val="20"/>
          <w:lang w:val="es-MX" w:eastAsia="x-none"/>
        </w:rPr>
        <w:t>E</w:t>
      </w:r>
      <w:r w:rsidRPr="00CF024D">
        <w:rPr>
          <w:rFonts w:ascii="Verdana" w:eastAsia="Times New Roman" w:hAnsi="Verdana" w:cs="Arial"/>
          <w:sz w:val="20"/>
          <w:szCs w:val="20"/>
          <w:lang w:eastAsia="x-none"/>
        </w:rPr>
        <w:t>n efecto, vale la pena mencionar que, 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“contratación directa”, es que la convocatoria para inscribirse en forma previa se haga de manera pública, y que se permita la participación de una pluralidad de oferente</w:t>
      </w:r>
      <w:r w:rsidR="00E93E0A">
        <w:rPr>
          <w:rFonts w:ascii="Verdana" w:eastAsia="Times New Roman" w:hAnsi="Verdana" w:cs="Arial"/>
          <w:sz w:val="20"/>
          <w:szCs w:val="20"/>
          <w:lang w:eastAsia="x-none"/>
        </w:rPr>
        <w:t>s.</w:t>
      </w:r>
    </w:p>
    <w:p w14:paraId="40EE692B" w14:textId="77777777" w:rsidR="00F423D4" w:rsidRPr="00CF024D" w:rsidRDefault="00F423D4" w:rsidP="00CF024D">
      <w:pPr>
        <w:spacing w:after="120" w:line="240" w:lineRule="auto"/>
        <w:jc w:val="both"/>
        <w:rPr>
          <w:rFonts w:ascii="Verdana" w:eastAsia="Times New Roman" w:hAnsi="Verdana" w:cs="Arial"/>
          <w:bCs/>
          <w:sz w:val="20"/>
          <w:szCs w:val="20"/>
          <w:lang w:val="es-MX" w:eastAsia="es-CO"/>
        </w:rPr>
      </w:pPr>
      <w:r w:rsidRPr="00CF024D">
        <w:rPr>
          <w:rFonts w:ascii="Verdana" w:eastAsia="Times New Roman" w:hAnsi="Verdana" w:cs="Arial"/>
          <w:bCs/>
          <w:sz w:val="20"/>
          <w:szCs w:val="20"/>
          <w:lang w:val="es-MX" w:eastAsia="es-CO"/>
        </w:rPr>
        <w:t>Como se advierte de lo anterior, el Consejo de Estado realiza una interpretación amplia de la contratación directa, para efectos de aplicar las restricciones establecidas en la Ley de Garantías Electorales,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“contratación directa”.</w:t>
      </w:r>
    </w:p>
    <w:p w14:paraId="15457CD4" w14:textId="4F97B214" w:rsidR="00F423D4" w:rsidRPr="00CF024D" w:rsidRDefault="00F423D4" w:rsidP="00CF024D">
      <w:pPr>
        <w:spacing w:after="120" w:line="240" w:lineRule="auto"/>
        <w:jc w:val="both"/>
        <w:rPr>
          <w:rFonts w:ascii="Verdana" w:eastAsia="Times New Roman" w:hAnsi="Verdana" w:cs="Arial"/>
          <w:bCs/>
          <w:sz w:val="20"/>
          <w:szCs w:val="20"/>
          <w:lang w:val="es-MX" w:eastAsia="x-none"/>
        </w:rPr>
      </w:pPr>
      <w:r w:rsidRPr="00CF024D">
        <w:rPr>
          <w:rFonts w:ascii="Verdana" w:eastAsia="Times New Roman" w:hAnsi="Verdana" w:cs="Arial"/>
          <w:bCs/>
          <w:sz w:val="20"/>
          <w:szCs w:val="20"/>
          <w:lang w:val="es-MX" w:eastAsia="x-none"/>
        </w:rPr>
        <w:t xml:space="preserve"> 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w:t>
      </w:r>
      <w:r w:rsidR="00CF024D">
        <w:rPr>
          <w:rFonts w:ascii="Verdana" w:eastAsia="Times New Roman" w:hAnsi="Verdana" w:cs="Arial"/>
          <w:bCs/>
          <w:sz w:val="20"/>
          <w:szCs w:val="20"/>
          <w:lang w:val="es-MX" w:eastAsia="x-none"/>
        </w:rPr>
        <w:t>s.</w:t>
      </w:r>
    </w:p>
    <w:p w14:paraId="08A69F21" w14:textId="77777777" w:rsidR="00F423D4" w:rsidRPr="00CF024D" w:rsidRDefault="00F423D4" w:rsidP="00CF024D">
      <w:pPr>
        <w:spacing w:line="240" w:lineRule="auto"/>
        <w:jc w:val="both"/>
        <w:rPr>
          <w:rFonts w:ascii="Verdana" w:hAnsi="Verdana" w:cs="Arial"/>
          <w:b/>
          <w:sz w:val="20"/>
          <w:szCs w:val="20"/>
          <w:lang w:val="es-MX" w:eastAsia="es-ES_tradnl"/>
        </w:rPr>
      </w:pPr>
    </w:p>
    <w:p w14:paraId="0274719A" w14:textId="77777777" w:rsidR="00A21950" w:rsidRDefault="00A21950" w:rsidP="00B41362">
      <w:pPr>
        <w:spacing w:after="0" w:line="240" w:lineRule="auto"/>
        <w:rPr>
          <w:rFonts w:ascii="Verdana" w:eastAsia="Verdana" w:hAnsi="Verdana" w:cs="Verdana"/>
        </w:rPr>
      </w:pPr>
    </w:p>
    <w:p w14:paraId="79D66C89" w14:textId="77777777" w:rsidR="00A21950" w:rsidRDefault="00A21950" w:rsidP="00B41362">
      <w:pPr>
        <w:spacing w:after="0" w:line="240" w:lineRule="auto"/>
        <w:rPr>
          <w:rFonts w:ascii="Verdana" w:eastAsia="Verdana" w:hAnsi="Verdana" w:cs="Verdana"/>
        </w:rPr>
      </w:pPr>
    </w:p>
    <w:p w14:paraId="7B13BE1D" w14:textId="77777777" w:rsidR="00A21950" w:rsidRDefault="00A21950" w:rsidP="00B41362">
      <w:pPr>
        <w:spacing w:after="0" w:line="240" w:lineRule="auto"/>
        <w:rPr>
          <w:rFonts w:ascii="Verdana" w:eastAsia="Verdana" w:hAnsi="Verdana" w:cs="Verdana"/>
        </w:rPr>
      </w:pPr>
    </w:p>
    <w:p w14:paraId="7CBF19A5" w14:textId="77777777" w:rsidR="00A21950" w:rsidRDefault="00A21950" w:rsidP="00B41362">
      <w:pPr>
        <w:spacing w:after="0" w:line="240" w:lineRule="auto"/>
        <w:rPr>
          <w:rFonts w:ascii="Verdana" w:eastAsia="Verdana" w:hAnsi="Verdana" w:cs="Verdana"/>
        </w:rPr>
      </w:pPr>
    </w:p>
    <w:p w14:paraId="40A32799" w14:textId="77777777" w:rsidR="00A21950" w:rsidRDefault="00A21950" w:rsidP="00B41362">
      <w:pPr>
        <w:spacing w:after="0" w:line="240" w:lineRule="auto"/>
        <w:rPr>
          <w:rFonts w:ascii="Verdana" w:eastAsia="Verdana" w:hAnsi="Verdana" w:cs="Verdana"/>
        </w:rPr>
      </w:pPr>
    </w:p>
    <w:p w14:paraId="146E00B1" w14:textId="77777777" w:rsidR="00A21950" w:rsidRDefault="00A21950" w:rsidP="00B41362">
      <w:pPr>
        <w:spacing w:after="0" w:line="240" w:lineRule="auto"/>
        <w:rPr>
          <w:rFonts w:ascii="Verdana" w:eastAsia="Verdana" w:hAnsi="Verdana" w:cs="Verdana"/>
        </w:rPr>
      </w:pPr>
    </w:p>
    <w:p w14:paraId="0E2117BB" w14:textId="77777777" w:rsidR="00A21950" w:rsidRDefault="00A21950" w:rsidP="00B41362">
      <w:pPr>
        <w:spacing w:after="0" w:line="240" w:lineRule="auto"/>
        <w:rPr>
          <w:rFonts w:ascii="Verdana" w:eastAsia="Verdana" w:hAnsi="Verdana" w:cs="Verdana"/>
        </w:rPr>
      </w:pPr>
    </w:p>
    <w:p w14:paraId="35845899" w14:textId="77777777" w:rsidR="00A21950" w:rsidRDefault="00A21950" w:rsidP="00B41362">
      <w:pPr>
        <w:spacing w:after="0" w:line="240" w:lineRule="auto"/>
        <w:rPr>
          <w:rFonts w:ascii="Verdana" w:eastAsia="Verdana" w:hAnsi="Verdana" w:cs="Verdana"/>
        </w:rPr>
      </w:pPr>
    </w:p>
    <w:p w14:paraId="28C3C131" w14:textId="77777777" w:rsidR="00A21950" w:rsidRDefault="00A21950" w:rsidP="00B41362">
      <w:pPr>
        <w:spacing w:after="0" w:line="240" w:lineRule="auto"/>
        <w:rPr>
          <w:rFonts w:ascii="Verdana" w:eastAsia="Verdana" w:hAnsi="Verdana" w:cs="Verdana"/>
        </w:rPr>
      </w:pPr>
    </w:p>
    <w:p w14:paraId="7566ECF7" w14:textId="77777777" w:rsidR="00A21950" w:rsidRDefault="00A21950" w:rsidP="00B41362">
      <w:pPr>
        <w:spacing w:after="0" w:line="240" w:lineRule="auto"/>
        <w:rPr>
          <w:rFonts w:ascii="Verdana" w:eastAsia="Verdana" w:hAnsi="Verdana" w:cs="Verdana"/>
        </w:rPr>
      </w:pPr>
    </w:p>
    <w:p w14:paraId="2529D8F9" w14:textId="77777777" w:rsidR="00A21950" w:rsidRDefault="00A21950" w:rsidP="00B41362">
      <w:pPr>
        <w:spacing w:after="0" w:line="240" w:lineRule="auto"/>
        <w:rPr>
          <w:rFonts w:ascii="Verdana" w:eastAsia="Verdana" w:hAnsi="Verdana" w:cs="Verdana"/>
        </w:rPr>
      </w:pPr>
    </w:p>
    <w:p w14:paraId="24C11EBF" w14:textId="77777777" w:rsidR="00A21950" w:rsidRDefault="00A21950" w:rsidP="00B41362">
      <w:pPr>
        <w:spacing w:after="0" w:line="240" w:lineRule="auto"/>
        <w:rPr>
          <w:rFonts w:ascii="Verdana" w:eastAsia="Verdana" w:hAnsi="Verdana" w:cs="Verdana"/>
        </w:rPr>
      </w:pPr>
    </w:p>
    <w:p w14:paraId="6E81CCAB" w14:textId="77777777" w:rsidR="00A21950" w:rsidRDefault="00A21950" w:rsidP="00B41362">
      <w:pPr>
        <w:spacing w:after="0" w:line="240" w:lineRule="auto"/>
        <w:rPr>
          <w:rFonts w:ascii="Verdana" w:eastAsia="Verdana" w:hAnsi="Verdana" w:cs="Verdana"/>
        </w:rPr>
      </w:pPr>
    </w:p>
    <w:p w14:paraId="7B811AB2" w14:textId="77777777" w:rsidR="00A21950" w:rsidRDefault="00A21950" w:rsidP="00B41362">
      <w:pPr>
        <w:spacing w:after="0" w:line="240" w:lineRule="auto"/>
        <w:rPr>
          <w:rFonts w:ascii="Verdana" w:eastAsia="Verdana" w:hAnsi="Verdana" w:cs="Verdana"/>
        </w:rPr>
      </w:pPr>
    </w:p>
    <w:p w14:paraId="0C330B04" w14:textId="77777777" w:rsidR="00A21950" w:rsidRDefault="00A21950" w:rsidP="00B41362">
      <w:pPr>
        <w:spacing w:after="0" w:line="240" w:lineRule="auto"/>
        <w:rPr>
          <w:rFonts w:ascii="Verdana" w:eastAsia="Verdana" w:hAnsi="Verdana" w:cs="Verdana"/>
        </w:rPr>
      </w:pPr>
    </w:p>
    <w:p w14:paraId="5FA26517" w14:textId="77777777" w:rsidR="00A21950" w:rsidRDefault="00A21950" w:rsidP="00B41362">
      <w:pPr>
        <w:spacing w:after="0" w:line="240" w:lineRule="auto"/>
        <w:rPr>
          <w:rFonts w:ascii="Verdana" w:eastAsia="Verdana" w:hAnsi="Verdana" w:cs="Verdana"/>
        </w:rPr>
      </w:pPr>
    </w:p>
    <w:p w14:paraId="32D887A3" w14:textId="77777777" w:rsidR="00A21950" w:rsidRDefault="00A21950" w:rsidP="00B41362">
      <w:pPr>
        <w:spacing w:after="0" w:line="240" w:lineRule="auto"/>
        <w:rPr>
          <w:rFonts w:ascii="Verdana" w:eastAsia="Verdana" w:hAnsi="Verdana" w:cs="Verdana"/>
        </w:rPr>
      </w:pPr>
    </w:p>
    <w:p w14:paraId="1468C46D" w14:textId="1703E3FA" w:rsidR="00C15139" w:rsidRPr="0024624F" w:rsidRDefault="00677925" w:rsidP="00B41362">
      <w:pPr>
        <w:spacing w:after="0" w:line="240" w:lineRule="auto"/>
        <w:rPr>
          <w:rFonts w:ascii="Verdana" w:eastAsia="Verdana" w:hAnsi="Verdana" w:cs="Verdana"/>
        </w:rPr>
      </w:pPr>
      <w:r w:rsidRPr="00677925">
        <w:rPr>
          <w:rFonts w:ascii="Verdana" w:eastAsia="Calibri" w:hAnsi="Verdana" w:cs="Arial"/>
          <w:lang w:eastAsia="es-ES"/>
        </w:rPr>
        <w:lastRenderedPageBreak/>
        <w:drawing>
          <wp:anchor distT="0" distB="0" distL="114300" distR="114300" simplePos="0" relativeHeight="251659264" behindDoc="1" locked="0" layoutInCell="1" allowOverlap="1" wp14:anchorId="220BF4AC" wp14:editId="1DA76ABE">
            <wp:simplePos x="0" y="0"/>
            <wp:positionH relativeFrom="column">
              <wp:posOffset>2896235</wp:posOffset>
            </wp:positionH>
            <wp:positionV relativeFrom="paragraph">
              <wp:posOffset>5080</wp:posOffset>
            </wp:positionV>
            <wp:extent cx="2757488" cy="800100"/>
            <wp:effectExtent l="0" t="0" r="5080" b="0"/>
            <wp:wrapNone/>
            <wp:docPr id="7541030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103004" name=""/>
                    <pic:cNvPicPr/>
                  </pic:nvPicPr>
                  <pic:blipFill>
                    <a:blip r:embed="rId10">
                      <a:extLst>
                        <a:ext uri="{28A0092B-C50C-407E-A947-70E740481C1C}">
                          <a14:useLocalDpi xmlns:a14="http://schemas.microsoft.com/office/drawing/2010/main" val="0"/>
                        </a:ext>
                      </a:extLst>
                    </a:blip>
                    <a:stretch>
                      <a:fillRect/>
                    </a:stretch>
                  </pic:blipFill>
                  <pic:spPr>
                    <a:xfrm>
                      <a:off x="0" y="0"/>
                      <a:ext cx="2757488" cy="800100"/>
                    </a:xfrm>
                    <a:prstGeom prst="rect">
                      <a:avLst/>
                    </a:prstGeom>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 xml:space="preserve">Bogotá D.C., </w:t>
      </w:r>
      <w:r>
        <w:rPr>
          <w:rFonts w:ascii="Verdana" w:eastAsia="Verdana" w:hAnsi="Verdana" w:cs="Verdana"/>
        </w:rPr>
        <w:t>07 Julio 2026</w:t>
      </w:r>
      <w:r w:rsidR="00C15139" w:rsidRPr="00B41362">
        <w:rPr>
          <w:rFonts w:ascii="Verdana" w:hAnsi="Verdana"/>
        </w:rPr>
        <w:br/>
      </w:r>
      <w:r w:rsidR="00C15139" w:rsidRPr="00B41362">
        <w:rPr>
          <w:rFonts w:ascii="Verdana" w:hAnsi="Verdana"/>
        </w:rPr>
        <w:tab/>
      </w:r>
    </w:p>
    <w:p w14:paraId="47B2223A" w14:textId="1C8E37EB" w:rsidR="00B046AB" w:rsidRPr="0018723E" w:rsidRDefault="00B046AB" w:rsidP="00B046AB">
      <w:pPr>
        <w:spacing w:after="0" w:line="240" w:lineRule="auto"/>
        <w:jc w:val="both"/>
        <w:rPr>
          <w:rFonts w:ascii="Verdana" w:eastAsia="Calibri" w:hAnsi="Verdana" w:cs="Arial"/>
          <w:lang w:eastAsia="es-ES"/>
        </w:rPr>
      </w:pPr>
      <w:r w:rsidRPr="001129A3">
        <w:rPr>
          <w:rFonts w:ascii="Verdana" w:eastAsia="Calibri" w:hAnsi="Verdana" w:cs="Arial"/>
          <w:lang w:eastAsia="es-ES"/>
        </w:rPr>
        <w:t>Señor</w:t>
      </w:r>
      <w:r w:rsidR="00677925" w:rsidRPr="00677925">
        <w:rPr>
          <w:noProof/>
        </w:rPr>
        <w:t xml:space="preserve"> </w:t>
      </w:r>
    </w:p>
    <w:p w14:paraId="17D7DEEB" w14:textId="7C2C45C4" w:rsidR="00B046AB" w:rsidRDefault="00960F9F" w:rsidP="00B046AB">
      <w:pPr>
        <w:spacing w:after="0" w:line="240" w:lineRule="auto"/>
        <w:rPr>
          <w:rFonts w:ascii="Verdana" w:eastAsia="Calibri" w:hAnsi="Verdana" w:cs="Arial"/>
          <w:b/>
          <w:lang w:eastAsia="es-ES_tradnl"/>
        </w:rPr>
      </w:pPr>
      <w:r>
        <w:rPr>
          <w:rFonts w:ascii="Verdana" w:eastAsia="Calibri" w:hAnsi="Verdana" w:cs="Arial"/>
          <w:b/>
          <w:lang w:eastAsia="es-ES_tradnl"/>
        </w:rPr>
        <w:t>Andrés Felipe Quiñonez Salcedo</w:t>
      </w:r>
    </w:p>
    <w:p w14:paraId="5CFD70EC" w14:textId="4836C4E4" w:rsidR="00960F9F" w:rsidRPr="00960F9F" w:rsidRDefault="00960F9F" w:rsidP="00B046AB">
      <w:pPr>
        <w:spacing w:after="0" w:line="240" w:lineRule="auto"/>
        <w:rPr>
          <w:rFonts w:ascii="Verdana" w:hAnsi="Verdana"/>
        </w:rPr>
      </w:pPr>
      <w:hyperlink r:id="rId11" w:history="1">
        <w:r w:rsidRPr="00960F9F">
          <w:rPr>
            <w:rStyle w:val="Hipervnculo"/>
            <w:rFonts w:ascii="Verdana" w:hAnsi="Verdana"/>
          </w:rPr>
          <w:t>anfequisa@hotmail.com</w:t>
        </w:r>
      </w:hyperlink>
    </w:p>
    <w:p w14:paraId="532D3590" w14:textId="20C1FE78" w:rsidR="00B046AB" w:rsidRPr="00AB1F39" w:rsidRDefault="00960F9F" w:rsidP="00B046AB">
      <w:pPr>
        <w:spacing w:after="0" w:line="240" w:lineRule="auto"/>
        <w:rPr>
          <w:rFonts w:ascii="Verdana" w:hAnsi="Verdana"/>
        </w:rPr>
      </w:pPr>
      <w:r>
        <w:rPr>
          <w:rFonts w:ascii="Verdana" w:hAnsi="Verdana"/>
        </w:rPr>
        <w:t>Cali</w:t>
      </w:r>
      <w:r w:rsidR="00B046AB">
        <w:rPr>
          <w:rFonts w:ascii="Verdana" w:hAnsi="Verdana"/>
        </w:rPr>
        <w:t xml:space="preserve"> – </w:t>
      </w:r>
      <w:r>
        <w:rPr>
          <w:rFonts w:ascii="Verdana" w:hAnsi="Verdana"/>
        </w:rPr>
        <w:t>Valle del Cauca</w:t>
      </w:r>
      <w:r w:rsidR="00B046AB">
        <w:rPr>
          <w:rFonts w:ascii="Verdana" w:hAnsi="Verdana"/>
        </w:rPr>
        <w:t>, Colombia</w:t>
      </w:r>
    </w:p>
    <w:p w14:paraId="086CABEF" w14:textId="77777777" w:rsidR="00B046AB" w:rsidRPr="001129A3" w:rsidRDefault="00B046AB" w:rsidP="00B046AB">
      <w:pPr>
        <w:spacing w:after="0" w:line="240" w:lineRule="auto"/>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B046AB" w:rsidRPr="001129A3" w14:paraId="3EE3D1AC" w14:textId="77777777" w:rsidTr="00E00FCC">
        <w:trPr>
          <w:trHeight w:val="162"/>
        </w:trPr>
        <w:tc>
          <w:tcPr>
            <w:tcW w:w="3119" w:type="dxa"/>
          </w:tcPr>
          <w:p w14:paraId="4C0CA267" w14:textId="77777777" w:rsidR="00B046AB" w:rsidRPr="001129A3" w:rsidRDefault="00B046AB" w:rsidP="00E00FCC">
            <w:pPr>
              <w:jc w:val="both"/>
              <w:rPr>
                <w:rFonts w:ascii="Verdana" w:eastAsia="Calibri" w:hAnsi="Verdana" w:cs="Arial"/>
                <w:b/>
                <w:bCs/>
                <w:color w:val="7030A0"/>
                <w:lang w:eastAsia="es-ES_tradnl"/>
              </w:rPr>
            </w:pPr>
          </w:p>
        </w:tc>
        <w:tc>
          <w:tcPr>
            <w:tcW w:w="5670" w:type="dxa"/>
          </w:tcPr>
          <w:p w14:paraId="1BBF1433" w14:textId="7B1B92FE" w:rsidR="00B046AB" w:rsidRPr="001129A3" w:rsidRDefault="00B046AB" w:rsidP="00E00FCC">
            <w:pPr>
              <w:rPr>
                <w:rFonts w:ascii="Verdana" w:eastAsia="Calibri" w:hAnsi="Verdana" w:cs="Arial"/>
                <w:b/>
                <w:bCs/>
                <w:lang w:eastAsia="es-ES"/>
              </w:rPr>
            </w:pPr>
            <w:r w:rsidRPr="001129A3">
              <w:rPr>
                <w:rFonts w:ascii="Verdana" w:eastAsia="Calibri" w:hAnsi="Verdana" w:cs="Arial"/>
                <w:b/>
                <w:bCs/>
                <w:lang w:eastAsia="es-ES"/>
              </w:rPr>
              <w:t xml:space="preserve">Concepto </w:t>
            </w:r>
            <w:r w:rsidR="00FD5D8D" w:rsidRPr="00FD5D8D">
              <w:rPr>
                <w:rFonts w:ascii="Verdana" w:eastAsia="Calibri" w:hAnsi="Verdana" w:cs="Arial"/>
                <w:b/>
                <w:bCs/>
                <w:lang w:eastAsia="es-ES"/>
              </w:rPr>
              <w:t>C-882</w:t>
            </w:r>
            <w:r w:rsidRPr="001129A3">
              <w:rPr>
                <w:rFonts w:ascii="Verdana" w:eastAsia="Calibri" w:hAnsi="Verdana" w:cs="Arial"/>
                <w:b/>
                <w:bCs/>
                <w:lang w:eastAsia="es-ES"/>
              </w:rPr>
              <w:t xml:space="preserve"> de 2026</w:t>
            </w:r>
          </w:p>
          <w:p w14:paraId="0C76A6A5" w14:textId="77777777" w:rsidR="00B046AB" w:rsidRPr="001129A3" w:rsidRDefault="00B046AB" w:rsidP="00E00FCC">
            <w:pPr>
              <w:jc w:val="center"/>
              <w:rPr>
                <w:rFonts w:ascii="Verdana" w:eastAsia="Calibri" w:hAnsi="Verdana" w:cs="Arial"/>
                <w:b/>
                <w:bCs/>
                <w:color w:val="7030A0"/>
                <w:lang w:eastAsia="es-ES"/>
              </w:rPr>
            </w:pPr>
          </w:p>
        </w:tc>
      </w:tr>
      <w:tr w:rsidR="00B046AB" w:rsidRPr="00BF6D60" w14:paraId="74223AA4" w14:textId="77777777" w:rsidTr="00E00FCC">
        <w:trPr>
          <w:trHeight w:val="884"/>
        </w:trPr>
        <w:tc>
          <w:tcPr>
            <w:tcW w:w="3119" w:type="dxa"/>
          </w:tcPr>
          <w:p w14:paraId="44EF8322" w14:textId="77777777" w:rsidR="00B046AB" w:rsidRPr="0018723E" w:rsidRDefault="00B046AB" w:rsidP="00E00FCC">
            <w:pPr>
              <w:jc w:val="both"/>
              <w:rPr>
                <w:rFonts w:ascii="Verdana" w:eastAsia="Calibri" w:hAnsi="Verdana" w:cs="Arial"/>
                <w:color w:val="000000"/>
                <w:lang w:eastAsia="es-ES_tradnl"/>
              </w:rPr>
            </w:pPr>
            <w:r w:rsidRPr="001129A3">
              <w:rPr>
                <w:rFonts w:ascii="Verdana" w:eastAsia="Calibri" w:hAnsi="Verdana" w:cs="Arial"/>
                <w:b/>
                <w:color w:val="000000"/>
                <w:lang w:eastAsia="es-ES_tradnl"/>
              </w:rPr>
              <w:t>Temas:</w:t>
            </w:r>
            <w:r w:rsidRPr="001129A3">
              <w:rPr>
                <w:rFonts w:ascii="Verdana" w:eastAsia="Calibri" w:hAnsi="Verdana" w:cs="Arial"/>
                <w:color w:val="000000"/>
                <w:lang w:eastAsia="es-ES_tradnl"/>
              </w:rPr>
              <w:t xml:space="preserve">                   </w:t>
            </w:r>
          </w:p>
        </w:tc>
        <w:tc>
          <w:tcPr>
            <w:tcW w:w="5670" w:type="dxa"/>
          </w:tcPr>
          <w:p w14:paraId="372D9BE2" w14:textId="696F6B55" w:rsidR="008463EF" w:rsidRPr="0071228E" w:rsidRDefault="0071228E" w:rsidP="008463EF">
            <w:pPr>
              <w:jc w:val="both"/>
              <w:rPr>
                <w:rFonts w:ascii="Verdana" w:hAnsi="Verdana" w:cs="Arial"/>
                <w:bCs/>
                <w:lang w:val="es-MX" w:eastAsia="es-ES_tradnl"/>
              </w:rPr>
            </w:pPr>
            <w:r w:rsidRPr="0071228E">
              <w:rPr>
                <w:rFonts w:ascii="Verdana" w:hAnsi="Verdana" w:cs="Arial"/>
                <w:bCs/>
                <w:lang w:val="es-MX" w:eastAsia="es-ES_tradnl"/>
              </w:rPr>
              <w:t>LEY DE GARANTÍAS ELECTORALES ‒ Finalidad /</w:t>
            </w:r>
            <w:r w:rsidR="00CB2717">
              <w:rPr>
                <w:rFonts w:ascii="Verdana" w:hAnsi="Verdana" w:cs="Arial"/>
                <w:bCs/>
                <w:lang w:val="es-MX" w:eastAsia="es-ES_tradnl"/>
              </w:rPr>
              <w:t xml:space="preserve"> </w:t>
            </w:r>
            <w:r w:rsidRPr="0071228E">
              <w:rPr>
                <w:rFonts w:ascii="Verdana" w:hAnsi="Verdana" w:cs="Arial"/>
                <w:bCs/>
                <w:lang w:val="es-MX" w:eastAsia="es-ES_tradnl"/>
              </w:rPr>
              <w:t>L</w:t>
            </w:r>
            <w:r w:rsidR="008463EF" w:rsidRPr="0071228E">
              <w:rPr>
                <w:rFonts w:ascii="Verdana" w:hAnsi="Verdana" w:cs="Arial"/>
                <w:bCs/>
                <w:lang w:val="es-MX" w:eastAsia="es-ES_tradnl"/>
              </w:rPr>
              <w:t xml:space="preserve">EY DE GARANTÍAS ELECTORALES – Prohibición del artículo 33 – Destinatarios </w:t>
            </w:r>
            <w:r w:rsidR="00EC2CF0">
              <w:rPr>
                <w:rFonts w:ascii="Verdana" w:hAnsi="Verdana" w:cs="Arial"/>
                <w:bCs/>
                <w:lang w:val="es-MX" w:eastAsia="es-ES_tradnl"/>
              </w:rPr>
              <w:t xml:space="preserve">/ </w:t>
            </w:r>
            <w:r w:rsidR="00EC2CF0" w:rsidRPr="00904D08">
              <w:rPr>
                <w:rFonts w:ascii="Verdana" w:hAnsi="Verdana" w:cs="Arial"/>
                <w:bCs/>
                <w:lang w:val="es-MX" w:eastAsia="es-ES_tradnl"/>
              </w:rPr>
              <w:t>LEY DE GARANTÍAS ELECTORALES – Prohibición del artículo 33 –</w:t>
            </w:r>
            <w:r w:rsidR="00EC2CF0">
              <w:rPr>
                <w:rFonts w:ascii="Verdana" w:hAnsi="Verdana" w:cs="Arial"/>
                <w:bCs/>
                <w:lang w:val="es-MX" w:eastAsia="es-ES_tradnl"/>
              </w:rPr>
              <w:t xml:space="preserve"> Contratación directo – Concepto</w:t>
            </w:r>
          </w:p>
          <w:p w14:paraId="4BC588E9" w14:textId="77777777" w:rsidR="00B046AB" w:rsidRPr="00A740A9" w:rsidRDefault="00B046AB" w:rsidP="00E00FCC">
            <w:pPr>
              <w:jc w:val="both"/>
              <w:rPr>
                <w:rFonts w:ascii="Verdana" w:eastAsia="Calibri" w:hAnsi="Verdana" w:cs="Arial"/>
                <w:highlight w:val="yellow"/>
                <w:lang w:val="es-ES" w:eastAsia="es-ES"/>
              </w:rPr>
            </w:pPr>
          </w:p>
        </w:tc>
      </w:tr>
      <w:tr w:rsidR="00B046AB" w:rsidRPr="001129A3" w14:paraId="37271037" w14:textId="77777777" w:rsidTr="00E00FCC">
        <w:tc>
          <w:tcPr>
            <w:tcW w:w="3119" w:type="dxa"/>
          </w:tcPr>
          <w:p w14:paraId="6030AA46" w14:textId="77777777" w:rsidR="00B046AB" w:rsidRPr="0018723E" w:rsidRDefault="00B046AB" w:rsidP="00E00FCC">
            <w:pPr>
              <w:jc w:val="both"/>
              <w:rPr>
                <w:rFonts w:ascii="Verdana" w:eastAsia="Calibri" w:hAnsi="Verdana" w:cs="Arial"/>
                <w:b/>
                <w:lang w:eastAsia="es-ES_tradnl"/>
              </w:rPr>
            </w:pPr>
            <w:r>
              <w:rPr>
                <w:rFonts w:ascii="Verdana" w:eastAsia="Calibri" w:hAnsi="Verdana" w:cs="Arial"/>
                <w:b/>
                <w:lang w:eastAsia="es-ES_tradnl"/>
              </w:rPr>
              <w:t xml:space="preserve"> </w:t>
            </w:r>
            <w:r w:rsidRPr="001129A3">
              <w:rPr>
                <w:rFonts w:ascii="Verdana" w:eastAsia="Calibri" w:hAnsi="Verdana" w:cs="Arial"/>
                <w:b/>
                <w:lang w:eastAsia="es-ES_tradnl"/>
              </w:rPr>
              <w:t>Radicación:</w:t>
            </w:r>
            <w:r w:rsidRPr="001129A3">
              <w:rPr>
                <w:rFonts w:ascii="Verdana" w:eastAsia="Calibri" w:hAnsi="Verdana" w:cs="Arial"/>
                <w:lang w:eastAsia="es-ES_tradnl"/>
              </w:rPr>
              <w:t xml:space="preserve">               </w:t>
            </w:r>
          </w:p>
        </w:tc>
        <w:tc>
          <w:tcPr>
            <w:tcW w:w="5670" w:type="dxa"/>
          </w:tcPr>
          <w:p w14:paraId="460133A5" w14:textId="2261AABB" w:rsidR="00B046AB" w:rsidRPr="001129A3" w:rsidRDefault="00B046AB" w:rsidP="00E00FCC">
            <w:pPr>
              <w:jc w:val="both"/>
              <w:rPr>
                <w:rFonts w:ascii="Verdana" w:eastAsia="Calibri" w:hAnsi="Verdana" w:cs="Arial"/>
                <w:lang w:eastAsia="es-ES_tradnl"/>
              </w:rPr>
            </w:pPr>
            <w:r w:rsidRPr="001129A3">
              <w:rPr>
                <w:rFonts w:ascii="Verdana" w:eastAsia="Calibri" w:hAnsi="Verdana" w:cs="Arial"/>
                <w:lang w:eastAsia="es-ES_tradnl"/>
              </w:rPr>
              <w:t xml:space="preserve">Respuesta a consulta con radicado No. </w:t>
            </w:r>
            <w:r w:rsidR="000277D4" w:rsidRPr="000277D4">
              <w:rPr>
                <w:rFonts w:ascii="Verdana" w:eastAsia="Calibri" w:hAnsi="Verdana" w:cs="Arial"/>
                <w:lang w:eastAsia="es-ES_tradnl"/>
              </w:rPr>
              <w:t>1_2026_05_26_007100</w:t>
            </w:r>
          </w:p>
        </w:tc>
      </w:tr>
    </w:tbl>
    <w:p w14:paraId="70A5EE8F" w14:textId="77777777" w:rsidR="00B046AB" w:rsidRPr="001129A3" w:rsidRDefault="00B046AB" w:rsidP="00B046AB">
      <w:pPr>
        <w:spacing w:after="0" w:line="240" w:lineRule="auto"/>
        <w:jc w:val="both"/>
        <w:rPr>
          <w:rFonts w:ascii="Verdana" w:eastAsia="Calibri" w:hAnsi="Verdana" w:cs="Arial"/>
          <w:lang w:eastAsia="es-ES_tradnl"/>
        </w:rPr>
      </w:pPr>
    </w:p>
    <w:p w14:paraId="28BDE953" w14:textId="07B6A661" w:rsidR="00B046AB" w:rsidRPr="000952AC" w:rsidRDefault="00B046AB" w:rsidP="00904D08">
      <w:pPr>
        <w:spacing w:after="0" w:line="276" w:lineRule="auto"/>
        <w:jc w:val="both"/>
        <w:rPr>
          <w:rFonts w:ascii="Verdana" w:eastAsia="Calibri" w:hAnsi="Verdana" w:cs="Arial"/>
          <w:lang w:eastAsia="es-ES"/>
        </w:rPr>
      </w:pPr>
      <w:r w:rsidRPr="000952AC">
        <w:rPr>
          <w:rFonts w:ascii="Verdana" w:eastAsia="Calibri" w:hAnsi="Verdana" w:cs="Arial"/>
          <w:lang w:eastAsia="es-ES"/>
        </w:rPr>
        <w:t>Estimad</w:t>
      </w:r>
      <w:r>
        <w:rPr>
          <w:rFonts w:ascii="Verdana" w:eastAsia="Calibri" w:hAnsi="Verdana" w:cs="Arial"/>
          <w:lang w:eastAsia="es-ES"/>
        </w:rPr>
        <w:t>o</w:t>
      </w:r>
      <w:r w:rsidRPr="000952AC">
        <w:rPr>
          <w:rFonts w:ascii="Verdana" w:eastAsia="Calibri" w:hAnsi="Verdana" w:cs="Arial"/>
          <w:lang w:eastAsia="es-ES"/>
        </w:rPr>
        <w:t xml:space="preserve"> señor</w:t>
      </w:r>
      <w:r>
        <w:rPr>
          <w:rFonts w:ascii="Verdana" w:eastAsia="Calibri" w:hAnsi="Verdana" w:cs="Arial"/>
          <w:lang w:eastAsia="es-ES"/>
        </w:rPr>
        <w:t xml:space="preserve">, </w:t>
      </w:r>
      <w:r w:rsidR="000277D4">
        <w:rPr>
          <w:rFonts w:ascii="Verdana" w:eastAsia="Calibri" w:hAnsi="Verdana" w:cs="Arial"/>
          <w:lang w:eastAsia="es-ES"/>
        </w:rPr>
        <w:t>Quiñonez</w:t>
      </w:r>
      <w:r>
        <w:rPr>
          <w:rFonts w:ascii="Verdana" w:eastAsia="Calibri" w:hAnsi="Verdana" w:cs="Arial"/>
          <w:lang w:eastAsia="es-ES"/>
        </w:rPr>
        <w:t>:</w:t>
      </w:r>
      <w:r w:rsidRPr="000952AC">
        <w:rPr>
          <w:rFonts w:ascii="Verdana" w:eastAsia="Calibri" w:hAnsi="Verdana" w:cs="Arial"/>
          <w:lang w:eastAsia="es-ES"/>
        </w:rPr>
        <w:t xml:space="preserve"> </w:t>
      </w:r>
    </w:p>
    <w:p w14:paraId="553AF913" w14:textId="77777777" w:rsidR="00904D08" w:rsidRPr="00904D08" w:rsidRDefault="00904D08" w:rsidP="00B41362">
      <w:pPr>
        <w:spacing w:after="0" w:line="276" w:lineRule="auto"/>
        <w:jc w:val="both"/>
        <w:rPr>
          <w:rFonts w:ascii="Verdana" w:eastAsia="Calibri" w:hAnsi="Verdana" w:cs="Arial"/>
          <w:lang w:eastAsia="es-ES"/>
        </w:rPr>
      </w:pPr>
    </w:p>
    <w:p w14:paraId="18ACD4EB" w14:textId="0EABF492" w:rsidR="00B046AB" w:rsidRPr="000952AC" w:rsidRDefault="00B046AB" w:rsidP="00B046AB">
      <w:pPr>
        <w:spacing w:after="0" w:line="276" w:lineRule="auto"/>
        <w:jc w:val="both"/>
        <w:rPr>
          <w:rFonts w:ascii="Verdana" w:eastAsia="Calibri" w:hAnsi="Verdana" w:cs="Arial"/>
          <w:lang w:eastAsia="es-ES"/>
        </w:rPr>
      </w:pPr>
      <w:r w:rsidRPr="000952AC">
        <w:rPr>
          <w:rFonts w:ascii="Verdana" w:eastAsia="Calibri" w:hAnsi="Verdana" w:cs="Arial"/>
          <w:color w:val="000000" w:themeColor="text1"/>
          <w:lang w:eastAsia="es-ES"/>
        </w:rPr>
        <w:t>En ejercicio de la competencia otorgada por los artículos 3, numeral 5º, y 11, numeral 8º, del Decreto Ley 4170 de 2011,</w:t>
      </w:r>
      <w:r w:rsidRPr="000952AC">
        <w:rPr>
          <w:rFonts w:ascii="Verdana" w:eastAsia="Arial MT" w:hAnsi="Verdana" w:cs="Arial MT"/>
          <w:lang w:eastAsia="es-ES"/>
        </w:rPr>
        <w:t xml:space="preserve"> </w:t>
      </w:r>
      <w:r w:rsidRPr="000952AC">
        <w:rPr>
          <w:rFonts w:ascii="Verdana" w:hAnsi="Verdana" w:cs="Arial"/>
        </w:rPr>
        <w:t xml:space="preserve">así como lo establecido en el artículo 4 de la Resolución 1707 de 2018 expedida por esta Entidad, </w:t>
      </w:r>
      <w:r w:rsidRPr="000952AC">
        <w:rPr>
          <w:rFonts w:ascii="Verdana" w:eastAsia="Calibri" w:hAnsi="Verdana" w:cs="Arial"/>
          <w:color w:val="000000" w:themeColor="text1"/>
          <w:lang w:eastAsia="es-ES"/>
        </w:rPr>
        <w:t xml:space="preserve">la Agencia Nacional de Contratación </w:t>
      </w:r>
      <w:r w:rsidRPr="000952AC">
        <w:rPr>
          <w:rFonts w:ascii="Verdana" w:eastAsia="Calibri" w:hAnsi="Verdana" w:cs="Arial"/>
          <w:lang w:eastAsia="es-ES"/>
        </w:rPr>
        <w:t>Pública – Colombia Compra Eficiente– responde su solicitud de consulta de fecha</w:t>
      </w:r>
      <w:r>
        <w:rPr>
          <w:rFonts w:ascii="Verdana" w:eastAsia="Calibri" w:hAnsi="Verdana" w:cs="Arial"/>
          <w:lang w:eastAsia="es-ES"/>
        </w:rPr>
        <w:t xml:space="preserve"> </w:t>
      </w:r>
      <w:r w:rsidR="000277D4">
        <w:rPr>
          <w:rFonts w:ascii="Verdana" w:eastAsia="Calibri" w:hAnsi="Verdana" w:cs="Arial"/>
          <w:lang w:eastAsia="es-ES"/>
        </w:rPr>
        <w:t>25</w:t>
      </w:r>
      <w:r>
        <w:rPr>
          <w:rFonts w:ascii="Verdana" w:eastAsia="Calibri" w:hAnsi="Verdana" w:cs="Arial"/>
          <w:lang w:eastAsia="es-ES"/>
        </w:rPr>
        <w:t xml:space="preserve"> de mayo</w:t>
      </w:r>
      <w:r w:rsidRPr="000952AC">
        <w:rPr>
          <w:rFonts w:ascii="Verdana" w:eastAsia="Calibri" w:hAnsi="Verdana" w:cs="Arial"/>
          <w:lang w:eastAsia="es-ES"/>
        </w:rPr>
        <w:t xml:space="preserve"> de 202</w:t>
      </w:r>
      <w:r>
        <w:rPr>
          <w:rFonts w:ascii="Verdana" w:eastAsia="Calibri" w:hAnsi="Verdana" w:cs="Arial"/>
          <w:lang w:eastAsia="es-ES"/>
        </w:rPr>
        <w:t>6</w:t>
      </w:r>
      <w:r w:rsidRPr="000952AC">
        <w:rPr>
          <w:rFonts w:ascii="Verdana" w:eastAsia="Calibri" w:hAnsi="Verdana" w:cs="Arial"/>
          <w:lang w:eastAsia="es-ES"/>
        </w:rPr>
        <w:t xml:space="preserve">, en la cual manifiesta lo siguiente: </w:t>
      </w:r>
    </w:p>
    <w:p w14:paraId="397104F4" w14:textId="77777777" w:rsidR="00B046AB" w:rsidRDefault="00B046AB" w:rsidP="00B41362">
      <w:pPr>
        <w:spacing w:after="0" w:line="276" w:lineRule="auto"/>
        <w:ind w:left="709" w:right="709"/>
        <w:jc w:val="both"/>
        <w:rPr>
          <w:rFonts w:ascii="Verdana" w:eastAsia="Century Gothic" w:hAnsi="Verdana" w:cs="Century Gothic"/>
          <w:i/>
          <w:iCs/>
          <w:sz w:val="20"/>
          <w:szCs w:val="20"/>
        </w:rPr>
      </w:pPr>
      <w:bookmarkStart w:id="1" w:name="_Hlk192699624"/>
      <w:bookmarkStart w:id="2" w:name="_Hlk199394899"/>
    </w:p>
    <w:p w14:paraId="3FD7C65A" w14:textId="77777777" w:rsidR="00B046AB" w:rsidRPr="00690AC0" w:rsidRDefault="00B046AB" w:rsidP="00B046AB">
      <w:pPr>
        <w:spacing w:after="0" w:line="240" w:lineRule="auto"/>
        <w:ind w:left="709" w:right="709"/>
        <w:jc w:val="both"/>
        <w:rPr>
          <w:rFonts w:ascii="Verdana" w:eastAsia="Century Gothic" w:hAnsi="Verdana" w:cs="Century Gothic"/>
          <w:i/>
          <w:iCs/>
          <w:sz w:val="20"/>
          <w:szCs w:val="20"/>
        </w:rPr>
      </w:pPr>
      <w:r w:rsidRPr="00690AC0">
        <w:rPr>
          <w:rFonts w:ascii="Verdana" w:eastAsia="Century Gothic" w:hAnsi="Verdana" w:cs="Century Gothic"/>
          <w:i/>
          <w:iCs/>
          <w:sz w:val="20"/>
          <w:szCs w:val="20"/>
        </w:rPr>
        <w:t>“</w:t>
      </w:r>
      <w:bookmarkEnd w:id="1"/>
      <w:r w:rsidRPr="00690AC0">
        <w:rPr>
          <w:rFonts w:ascii="Verdana" w:eastAsia="Century Gothic" w:hAnsi="Verdana" w:cs="Century Gothic"/>
          <w:i/>
          <w:iCs/>
          <w:sz w:val="20"/>
          <w:szCs w:val="20"/>
        </w:rPr>
        <w:t>(…)</w:t>
      </w:r>
    </w:p>
    <w:p w14:paraId="57B28976" w14:textId="77777777" w:rsidR="009C761E" w:rsidRPr="009C761E" w:rsidRDefault="009C761E" w:rsidP="009C761E">
      <w:pPr>
        <w:spacing w:after="0" w:line="240" w:lineRule="auto"/>
        <w:ind w:left="709" w:right="709"/>
        <w:jc w:val="both"/>
        <w:rPr>
          <w:rFonts w:ascii="Verdana" w:hAnsi="Verdana"/>
          <w:i/>
          <w:iCs/>
          <w:sz w:val="20"/>
          <w:szCs w:val="20"/>
        </w:rPr>
      </w:pPr>
      <w:r w:rsidRPr="009C761E">
        <w:rPr>
          <w:rFonts w:ascii="Verdana" w:hAnsi="Verdana"/>
          <w:i/>
          <w:iCs/>
          <w:sz w:val="20"/>
          <w:szCs w:val="20"/>
        </w:rPr>
        <w:t xml:space="preserve"> </w:t>
      </w:r>
    </w:p>
    <w:p w14:paraId="4D31483A" w14:textId="77777777" w:rsidR="009C761E" w:rsidRDefault="009C761E" w:rsidP="009C761E">
      <w:pPr>
        <w:spacing w:after="0" w:line="240" w:lineRule="auto"/>
        <w:ind w:left="709" w:right="709"/>
        <w:jc w:val="both"/>
        <w:rPr>
          <w:rFonts w:ascii="Verdana" w:hAnsi="Verdana"/>
          <w:i/>
          <w:iCs/>
          <w:sz w:val="20"/>
          <w:szCs w:val="20"/>
        </w:rPr>
      </w:pPr>
      <w:r>
        <w:rPr>
          <w:rFonts w:ascii="Verdana" w:hAnsi="Verdana"/>
          <w:i/>
          <w:iCs/>
          <w:sz w:val="20"/>
          <w:szCs w:val="20"/>
        </w:rPr>
        <w:t xml:space="preserve">1 </w:t>
      </w:r>
      <w:r w:rsidRPr="009C761E">
        <w:rPr>
          <w:rFonts w:ascii="Verdana" w:hAnsi="Verdana"/>
          <w:i/>
          <w:iCs/>
          <w:sz w:val="20"/>
          <w:szCs w:val="20"/>
        </w:rPr>
        <w:t xml:space="preserve">¿Es jurídicamente procedente que una Empresa Industrial y Comercial del Estado - EICE prestadora de servicios públicos domiciliarios, sometida a régimen contractual especial tramite el pago de servicios de capacitación, formación o actualización profesional bajo la modalidad de inscripción, afiliación o suscripción, regulada como contratación especial exceptuada en su Manual de Contratación, sin que dicha actuación deba considerarse una modalidad de contratación directa restringida por la Ley 996 de 2005 (Ley de Garantías Electorales)? </w:t>
      </w:r>
    </w:p>
    <w:p w14:paraId="5C4F6FAF" w14:textId="77777777" w:rsidR="009C761E" w:rsidRDefault="009C761E" w:rsidP="009C761E">
      <w:pPr>
        <w:spacing w:after="0" w:line="240" w:lineRule="auto"/>
        <w:ind w:left="709" w:right="709"/>
        <w:jc w:val="both"/>
        <w:rPr>
          <w:rFonts w:ascii="Verdana" w:hAnsi="Verdana"/>
          <w:i/>
          <w:iCs/>
          <w:sz w:val="20"/>
          <w:szCs w:val="20"/>
        </w:rPr>
      </w:pPr>
    </w:p>
    <w:p w14:paraId="5977FCEA" w14:textId="77777777" w:rsidR="009C761E" w:rsidRDefault="009C761E" w:rsidP="009C761E">
      <w:pPr>
        <w:spacing w:after="0" w:line="240" w:lineRule="auto"/>
        <w:ind w:left="709" w:right="709"/>
        <w:jc w:val="both"/>
        <w:rPr>
          <w:rFonts w:ascii="Verdana" w:hAnsi="Verdana"/>
          <w:i/>
          <w:iCs/>
          <w:sz w:val="20"/>
          <w:szCs w:val="20"/>
        </w:rPr>
      </w:pPr>
      <w:r>
        <w:rPr>
          <w:rFonts w:ascii="Verdana" w:hAnsi="Verdana"/>
          <w:i/>
          <w:iCs/>
          <w:sz w:val="20"/>
          <w:szCs w:val="20"/>
        </w:rPr>
        <w:t xml:space="preserve">2. </w:t>
      </w:r>
      <w:r w:rsidRPr="009C761E">
        <w:rPr>
          <w:rFonts w:ascii="Verdana" w:hAnsi="Verdana"/>
          <w:i/>
          <w:iCs/>
          <w:sz w:val="20"/>
          <w:szCs w:val="20"/>
        </w:rPr>
        <w:t xml:space="preserve">¿Puede considerarse que los procedimientos de contratación especial exceptuada en regímenes de derecho privado constituyen una categoría autónoma distinta de la contratación directa prevista en las normas de contratación? </w:t>
      </w:r>
    </w:p>
    <w:p w14:paraId="71E8451D" w14:textId="77777777" w:rsidR="009C761E" w:rsidRDefault="009C761E" w:rsidP="009C761E">
      <w:pPr>
        <w:spacing w:after="0" w:line="240" w:lineRule="auto"/>
        <w:ind w:left="709" w:right="709"/>
        <w:jc w:val="both"/>
        <w:rPr>
          <w:rFonts w:ascii="Verdana" w:hAnsi="Verdana"/>
          <w:i/>
          <w:iCs/>
          <w:sz w:val="20"/>
          <w:szCs w:val="20"/>
        </w:rPr>
      </w:pPr>
    </w:p>
    <w:p w14:paraId="1BE9400F" w14:textId="77777777" w:rsidR="00656950" w:rsidRDefault="009C761E" w:rsidP="00656950">
      <w:pPr>
        <w:spacing w:after="0" w:line="240" w:lineRule="auto"/>
        <w:ind w:left="709" w:right="709"/>
        <w:jc w:val="both"/>
        <w:rPr>
          <w:rFonts w:ascii="Verdana" w:hAnsi="Verdana"/>
          <w:i/>
          <w:iCs/>
          <w:sz w:val="20"/>
          <w:szCs w:val="20"/>
        </w:rPr>
      </w:pPr>
      <w:r>
        <w:rPr>
          <w:rFonts w:ascii="Verdana" w:hAnsi="Verdana"/>
          <w:i/>
          <w:iCs/>
          <w:sz w:val="20"/>
          <w:szCs w:val="20"/>
        </w:rPr>
        <w:lastRenderedPageBreak/>
        <w:t xml:space="preserve">3. </w:t>
      </w:r>
      <w:r w:rsidRPr="009C761E">
        <w:rPr>
          <w:rFonts w:ascii="Verdana" w:hAnsi="Verdana"/>
          <w:i/>
          <w:iCs/>
          <w:sz w:val="20"/>
          <w:szCs w:val="20"/>
        </w:rPr>
        <w:t xml:space="preserve">¿Resulta jurídicamente válido aplicar por analogía las restricciones de la Ley 996 de 2005 a modalidades contractuales no previstas expresamente por el legislador? </w:t>
      </w:r>
    </w:p>
    <w:p w14:paraId="052448D4" w14:textId="77777777" w:rsidR="00656950" w:rsidRDefault="00656950" w:rsidP="00656950">
      <w:pPr>
        <w:spacing w:after="0" w:line="240" w:lineRule="auto"/>
        <w:ind w:left="709" w:right="709"/>
        <w:jc w:val="both"/>
        <w:rPr>
          <w:rFonts w:ascii="Verdana" w:hAnsi="Verdana"/>
          <w:i/>
          <w:iCs/>
          <w:sz w:val="20"/>
          <w:szCs w:val="20"/>
        </w:rPr>
      </w:pPr>
    </w:p>
    <w:p w14:paraId="566FD970" w14:textId="5C0A8D9C" w:rsidR="009C761E" w:rsidRPr="009C761E" w:rsidRDefault="00656950" w:rsidP="00656950">
      <w:pPr>
        <w:spacing w:after="0" w:line="240" w:lineRule="auto"/>
        <w:ind w:left="709" w:right="709"/>
        <w:jc w:val="both"/>
        <w:rPr>
          <w:rFonts w:ascii="Verdana" w:hAnsi="Verdana"/>
          <w:i/>
          <w:iCs/>
          <w:sz w:val="20"/>
          <w:szCs w:val="20"/>
        </w:rPr>
      </w:pPr>
      <w:proofErr w:type="gramStart"/>
      <w:r>
        <w:rPr>
          <w:rFonts w:ascii="Verdana" w:hAnsi="Verdana"/>
          <w:i/>
          <w:iCs/>
          <w:sz w:val="20"/>
          <w:szCs w:val="20"/>
        </w:rPr>
        <w:t>4</w:t>
      </w:r>
      <w:r w:rsidR="009C761E" w:rsidRPr="009C761E">
        <w:rPr>
          <w:rFonts w:ascii="Verdana" w:hAnsi="Verdana"/>
          <w:i/>
          <w:iCs/>
          <w:sz w:val="20"/>
          <w:szCs w:val="20"/>
        </w:rPr>
        <w:t>¿</w:t>
      </w:r>
      <w:proofErr w:type="gramEnd"/>
      <w:r w:rsidR="009C761E" w:rsidRPr="009C761E">
        <w:rPr>
          <w:rFonts w:ascii="Verdana" w:hAnsi="Verdana"/>
          <w:i/>
          <w:iCs/>
          <w:sz w:val="20"/>
          <w:szCs w:val="20"/>
        </w:rPr>
        <w:t xml:space="preserve">La naturaleza del gasto (capacitación y fortalecimiento del talento humano) incide en la inaplicabilidad de las restricciones de la Ley de Garantías? </w:t>
      </w:r>
    </w:p>
    <w:p w14:paraId="61911900" w14:textId="77777777" w:rsidR="00B046AB" w:rsidRPr="00690AC0" w:rsidRDefault="00B046AB" w:rsidP="00B046AB">
      <w:pPr>
        <w:spacing w:after="0" w:line="240" w:lineRule="auto"/>
        <w:ind w:left="709" w:right="709"/>
        <w:jc w:val="both"/>
        <w:rPr>
          <w:rFonts w:ascii="Verdana" w:hAnsi="Verdana"/>
          <w:i/>
          <w:iCs/>
          <w:sz w:val="20"/>
          <w:szCs w:val="20"/>
        </w:rPr>
      </w:pPr>
    </w:p>
    <w:p w14:paraId="16790086" w14:textId="77777777" w:rsidR="00B046AB" w:rsidRPr="00690AC0" w:rsidRDefault="00B046AB" w:rsidP="00B046AB">
      <w:pPr>
        <w:spacing w:after="0" w:line="240" w:lineRule="auto"/>
        <w:ind w:left="709" w:right="709"/>
        <w:jc w:val="both"/>
        <w:rPr>
          <w:rFonts w:ascii="Verdana" w:hAnsi="Verdana"/>
          <w:i/>
          <w:iCs/>
          <w:sz w:val="20"/>
          <w:szCs w:val="20"/>
        </w:rPr>
      </w:pPr>
      <w:r w:rsidRPr="00690AC0">
        <w:rPr>
          <w:rFonts w:ascii="Verdana" w:hAnsi="Verdana"/>
          <w:i/>
          <w:iCs/>
          <w:sz w:val="20"/>
          <w:szCs w:val="20"/>
        </w:rPr>
        <w:t>(…)”.</w:t>
      </w:r>
      <w:bookmarkEnd w:id="2"/>
    </w:p>
    <w:p w14:paraId="3B15E142" w14:textId="77777777" w:rsidR="00B046AB" w:rsidRPr="001C2143" w:rsidRDefault="00B046AB" w:rsidP="00B046AB">
      <w:pPr>
        <w:spacing w:after="0" w:line="240" w:lineRule="auto"/>
        <w:ind w:left="709" w:right="709"/>
        <w:jc w:val="both"/>
        <w:rPr>
          <w:rFonts w:ascii="Verdana" w:hAnsi="Verdana"/>
          <w:i/>
          <w:iCs/>
          <w:sz w:val="20"/>
          <w:szCs w:val="20"/>
        </w:rPr>
      </w:pPr>
    </w:p>
    <w:p w14:paraId="516F6CE1" w14:textId="77777777" w:rsidR="00B046AB" w:rsidRPr="000952AC" w:rsidRDefault="00B046AB" w:rsidP="00B046AB">
      <w:pPr>
        <w:spacing w:after="120" w:line="276" w:lineRule="auto"/>
        <w:ind w:firstLine="709"/>
        <w:jc w:val="both"/>
        <w:rPr>
          <w:rFonts w:ascii="Verdana" w:eastAsia="Calibri" w:hAnsi="Verdana" w:cs="Arial"/>
          <w:color w:val="000000"/>
          <w:szCs w:val="24"/>
          <w:lang w:eastAsia="es-ES_tradnl"/>
        </w:rPr>
      </w:pPr>
      <w:r w:rsidRPr="000952AC">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 </w:t>
      </w:r>
      <w:r w:rsidRPr="000952AC">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0952AC">
        <w:rPr>
          <w:rFonts w:ascii="Verdana" w:eastAsia="Calibri" w:hAnsi="Verdana" w:cs="Arial"/>
          <w:color w:val="000000"/>
          <w:szCs w:val="24"/>
          <w:lang w:eastAsia="es-ES_tradnl"/>
        </w:rPr>
        <w:tab/>
      </w:r>
    </w:p>
    <w:p w14:paraId="3AB0CDA7" w14:textId="77777777" w:rsidR="00B046AB" w:rsidRDefault="00B046AB" w:rsidP="00B046AB">
      <w:pPr>
        <w:spacing w:after="0" w:line="276" w:lineRule="auto"/>
        <w:ind w:firstLine="709"/>
        <w:jc w:val="both"/>
        <w:rPr>
          <w:rFonts w:ascii="Verdana" w:eastAsia="Calibri" w:hAnsi="Verdana" w:cs="Arial"/>
          <w:color w:val="000000"/>
          <w:lang w:eastAsia="es-ES"/>
        </w:rPr>
      </w:pPr>
      <w:r w:rsidRPr="000952AC">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con </w:t>
      </w:r>
      <w:r w:rsidRPr="00BF0229">
        <w:rPr>
          <w:rFonts w:ascii="Verdana" w:eastAsia="Calibri" w:hAnsi="Verdana" w:cs="Arial"/>
          <w:color w:val="000000"/>
          <w:lang w:eastAsia="es-ES"/>
        </w:rPr>
        <w:t>el problema jurídico de su consulta.</w:t>
      </w:r>
      <w:r w:rsidRPr="000952AC">
        <w:rPr>
          <w:rFonts w:ascii="Verdana" w:eastAsia="Calibri" w:hAnsi="Verdana" w:cs="Arial"/>
          <w:color w:val="000000"/>
          <w:lang w:eastAsia="es-ES"/>
        </w:rPr>
        <w:t xml:space="preserve">  </w:t>
      </w:r>
    </w:p>
    <w:p w14:paraId="2BCE584F" w14:textId="77777777" w:rsidR="00B046AB" w:rsidRPr="000952AC" w:rsidRDefault="00B046AB" w:rsidP="00B046AB">
      <w:pPr>
        <w:spacing w:after="0" w:line="276" w:lineRule="auto"/>
        <w:ind w:firstLine="709"/>
        <w:jc w:val="both"/>
        <w:rPr>
          <w:rFonts w:ascii="Verdana" w:eastAsia="Calibri" w:hAnsi="Verdana" w:cs="Arial"/>
          <w:color w:val="000000"/>
          <w:lang w:eastAsia="es-ES"/>
        </w:rPr>
      </w:pPr>
    </w:p>
    <w:p w14:paraId="261EA3F8" w14:textId="77777777" w:rsidR="00B046AB" w:rsidRDefault="00B046AB" w:rsidP="00B046AB">
      <w:pPr>
        <w:numPr>
          <w:ilvl w:val="0"/>
          <w:numId w:val="16"/>
        </w:numPr>
        <w:spacing w:after="0" w:line="276" w:lineRule="auto"/>
        <w:jc w:val="both"/>
        <w:rPr>
          <w:rFonts w:ascii="Verdana" w:eastAsia="Century Gothic" w:hAnsi="Verdana" w:cs="Century Gothic"/>
          <w:b/>
          <w:bCs/>
        </w:rPr>
      </w:pPr>
      <w:r w:rsidRPr="00C05088">
        <w:rPr>
          <w:rFonts w:ascii="Verdana" w:eastAsia="Century Gothic" w:hAnsi="Verdana" w:cs="Century Gothic"/>
          <w:b/>
          <w:bCs/>
        </w:rPr>
        <w:t>Problema planteado:</w:t>
      </w:r>
    </w:p>
    <w:p w14:paraId="00852FB3" w14:textId="77777777" w:rsidR="00B046AB" w:rsidRPr="00C05088" w:rsidRDefault="00B046AB" w:rsidP="00B046AB">
      <w:pPr>
        <w:spacing w:after="0" w:line="276" w:lineRule="auto"/>
        <w:ind w:left="720"/>
        <w:jc w:val="both"/>
        <w:rPr>
          <w:rFonts w:ascii="Verdana" w:eastAsia="Century Gothic" w:hAnsi="Verdana" w:cs="Century Gothic"/>
          <w:b/>
          <w:bCs/>
        </w:rPr>
      </w:pPr>
    </w:p>
    <w:p w14:paraId="39512CC6" w14:textId="0AC8F982" w:rsidR="009364F9" w:rsidRPr="002069C6" w:rsidRDefault="00B046AB" w:rsidP="009364F9">
      <w:pPr>
        <w:spacing w:after="0" w:line="276" w:lineRule="auto"/>
        <w:jc w:val="both"/>
        <w:rPr>
          <w:rFonts w:ascii="Verdana" w:eastAsia="Century Gothic" w:hAnsi="Verdana" w:cs="Century Gothic"/>
          <w:color w:val="000000" w:themeColor="text1"/>
          <w:lang w:val="es-ES"/>
        </w:rPr>
      </w:pPr>
      <w:r w:rsidRPr="00C05088">
        <w:rPr>
          <w:rFonts w:ascii="Verdana" w:eastAsia="Calibri" w:hAnsi="Verdana" w:cs="Arial"/>
          <w:color w:val="000000"/>
          <w:szCs w:val="24"/>
          <w:lang w:eastAsia="es-ES_tradnl"/>
        </w:rPr>
        <w:t>D</w:t>
      </w:r>
      <w:r w:rsidRPr="00C05088">
        <w:rPr>
          <w:rFonts w:ascii="Verdana" w:eastAsia="Century Gothic" w:hAnsi="Verdana" w:cs="Century Gothic"/>
        </w:rPr>
        <w:t xml:space="preserve">e acuerdo con el contenido de su solicitud, esta Agencia resolverá el siguiente problema jurídico: </w:t>
      </w:r>
      <w:r w:rsidR="009364F9">
        <w:rPr>
          <w:rFonts w:ascii="Verdana" w:eastAsia="Century Gothic" w:hAnsi="Verdana" w:cs="Century Gothic"/>
          <w:color w:val="000000" w:themeColor="text1"/>
          <w:lang w:val="es-ES"/>
        </w:rPr>
        <w:t>¿Cómo procede la</w:t>
      </w:r>
      <w:r w:rsidR="009364F9" w:rsidRPr="002069C6">
        <w:rPr>
          <w:rFonts w:ascii="Verdana" w:eastAsia="Century Gothic" w:hAnsi="Verdana" w:cs="Century Gothic"/>
          <w:color w:val="000000" w:themeColor="text1"/>
          <w:lang w:val="es-ES"/>
        </w:rPr>
        <w:t xml:space="preserve"> </w:t>
      </w:r>
      <w:r w:rsidR="00054B0E">
        <w:rPr>
          <w:rFonts w:ascii="Verdana" w:eastAsia="Calibri" w:hAnsi="Verdana" w:cs="Arial"/>
          <w:lang w:val="es-MX"/>
        </w:rPr>
        <w:t xml:space="preserve">Ley 996 de 2005 – Ley de Garantías Electorales </w:t>
      </w:r>
      <w:r w:rsidR="004D74C1">
        <w:rPr>
          <w:rFonts w:ascii="Verdana" w:eastAsia="Calibri" w:hAnsi="Verdana" w:cs="Arial"/>
          <w:lang w:val="es-MX"/>
        </w:rPr>
        <w:t>para</w:t>
      </w:r>
      <w:r w:rsidR="009364F9" w:rsidRPr="002069C6">
        <w:rPr>
          <w:rFonts w:ascii="Verdana" w:eastAsia="Century Gothic" w:hAnsi="Verdana" w:cs="Century Gothic"/>
          <w:color w:val="000000" w:themeColor="text1"/>
          <w:lang w:val="es-ES"/>
        </w:rPr>
        <w:t xml:space="preserve"> las Empresas Industriales y Comerciales del Estado?</w:t>
      </w:r>
    </w:p>
    <w:p w14:paraId="210139EE" w14:textId="7A2F88CF" w:rsidR="00B046AB" w:rsidRDefault="00B046AB" w:rsidP="00B046AB">
      <w:pPr>
        <w:spacing w:after="0" w:line="276" w:lineRule="auto"/>
        <w:jc w:val="both"/>
        <w:rPr>
          <w:rFonts w:ascii="Verdana" w:eastAsia="Century Gothic" w:hAnsi="Verdana" w:cs="Century Gothic"/>
        </w:rPr>
      </w:pPr>
    </w:p>
    <w:p w14:paraId="4718275B" w14:textId="77777777" w:rsidR="00B046AB" w:rsidRDefault="00B046AB" w:rsidP="00B046AB">
      <w:pPr>
        <w:numPr>
          <w:ilvl w:val="0"/>
          <w:numId w:val="16"/>
        </w:numPr>
        <w:spacing w:after="0" w:line="276" w:lineRule="auto"/>
        <w:jc w:val="both"/>
        <w:rPr>
          <w:rFonts w:ascii="Verdana" w:eastAsia="Century Gothic" w:hAnsi="Verdana" w:cs="Century Gothic"/>
          <w:b/>
          <w:bCs/>
        </w:rPr>
      </w:pPr>
      <w:r w:rsidRPr="00C05088">
        <w:rPr>
          <w:rFonts w:ascii="Verdana" w:eastAsia="Century Gothic" w:hAnsi="Verdana" w:cs="Century Gothic"/>
          <w:b/>
          <w:bCs/>
        </w:rPr>
        <w:t>Respuesta:</w:t>
      </w:r>
    </w:p>
    <w:p w14:paraId="04AA9F9F" w14:textId="77777777" w:rsidR="00B046AB" w:rsidRPr="007D4309" w:rsidRDefault="00B046AB" w:rsidP="00B046AB">
      <w:pPr>
        <w:spacing w:after="0" w:line="276" w:lineRule="auto"/>
        <w:ind w:left="360"/>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B046AB" w:rsidRPr="000952AC" w14:paraId="13DC8F83" w14:textId="77777777" w:rsidTr="00E00FCC">
        <w:tc>
          <w:tcPr>
            <w:tcW w:w="8828" w:type="dxa"/>
          </w:tcPr>
          <w:p w14:paraId="72CE8890" w14:textId="30C7CCDA" w:rsidR="007E300B" w:rsidRDefault="004F156D" w:rsidP="002A0A7E">
            <w:pPr>
              <w:widowControl w:val="0"/>
              <w:autoSpaceDE w:val="0"/>
              <w:autoSpaceDN w:val="0"/>
              <w:spacing w:after="120" w:line="276" w:lineRule="auto"/>
              <w:ind w:right="49"/>
              <w:jc w:val="both"/>
              <w:rPr>
                <w:rFonts w:ascii="Verdana" w:eastAsia="Verdana" w:hAnsi="Verdana" w:cs="Verdana"/>
                <w:lang w:val="es-ES"/>
              </w:rPr>
            </w:pPr>
            <w:r>
              <w:rPr>
                <w:rFonts w:ascii="Verdana" w:eastAsia="Calibri" w:hAnsi="Verdana" w:cs="Arial"/>
                <w:lang w:val="es-ES"/>
              </w:rPr>
              <w:t>D</w:t>
            </w:r>
            <w:r w:rsidRPr="00515C0B">
              <w:rPr>
                <w:rFonts w:ascii="Verdana" w:eastAsia="Calibri" w:hAnsi="Verdana" w:cs="Arial"/>
                <w:lang w:val="es-ES"/>
              </w:rPr>
              <w:t xml:space="preserve">entro de la estructura de la Administración Pública se encuentran las </w:t>
            </w:r>
            <w:r w:rsidRPr="00515C0B">
              <w:rPr>
                <w:rFonts w:ascii="Verdana" w:eastAsia="Calibri" w:hAnsi="Verdana" w:cs="Arial"/>
                <w:lang w:val="es-ES"/>
              </w:rPr>
              <w:lastRenderedPageBreak/>
              <w:t>entidades descentralizadas por servicios. A esta categoría pertenecen las Empresas Industriales y Comerciales del Estado, las cuales –sin perjuicio del control de tutela– tienen personería jurídica, autonomía administrativa y patrimonio propio. Estas entidades, como su nombre lo indica, se caracterizan por desarrollar actividades de carácter industrial o comercial.</w:t>
            </w:r>
          </w:p>
          <w:p w14:paraId="620612E7" w14:textId="5E515FA1" w:rsidR="002A0A7E" w:rsidRPr="002069C6" w:rsidRDefault="002A0A7E" w:rsidP="00B41362">
            <w:pPr>
              <w:widowControl w:val="0"/>
              <w:autoSpaceDE w:val="0"/>
              <w:autoSpaceDN w:val="0"/>
              <w:spacing w:after="120" w:line="276" w:lineRule="auto"/>
              <w:ind w:right="49" w:firstLine="709"/>
              <w:jc w:val="both"/>
              <w:rPr>
                <w:rFonts w:ascii="Verdana" w:eastAsia="Verdana" w:hAnsi="Verdana" w:cs="Verdana"/>
                <w:lang w:val="es-ES"/>
              </w:rPr>
            </w:pPr>
            <w:r w:rsidRPr="002069C6">
              <w:rPr>
                <w:rFonts w:ascii="Verdana" w:eastAsia="Verdana" w:hAnsi="Verdana" w:cs="Verdana"/>
                <w:lang w:val="es-ES"/>
              </w:rPr>
              <w:t>En virtud de lo dispuesto en el artículo 14 de la Ley 1150 de 2007,</w:t>
            </w:r>
            <w:r w:rsidRPr="002069C6">
              <w:rPr>
                <w:rFonts w:ascii="Verdana" w:eastAsia="Verdana" w:hAnsi="Verdana" w:cs="Verdana"/>
                <w:spacing w:val="-11"/>
                <w:lang w:val="es-ES"/>
              </w:rPr>
              <w:t xml:space="preserve"> </w:t>
            </w:r>
            <w:r w:rsidRPr="002069C6">
              <w:rPr>
                <w:rFonts w:ascii="Verdana" w:eastAsia="Verdana" w:hAnsi="Verdana" w:cs="Verdana"/>
                <w:lang w:val="es-ES"/>
              </w:rPr>
              <w:t>modificado</w:t>
            </w:r>
            <w:r w:rsidRPr="002069C6">
              <w:rPr>
                <w:rFonts w:ascii="Verdana" w:eastAsia="Verdana" w:hAnsi="Verdana" w:cs="Verdana"/>
                <w:spacing w:val="-10"/>
                <w:lang w:val="es-ES"/>
              </w:rPr>
              <w:t xml:space="preserve"> </w:t>
            </w:r>
            <w:r w:rsidRPr="002069C6">
              <w:rPr>
                <w:rFonts w:ascii="Verdana" w:eastAsia="Verdana" w:hAnsi="Verdana" w:cs="Verdana"/>
                <w:lang w:val="es-ES"/>
              </w:rPr>
              <w:t>por</w:t>
            </w:r>
            <w:r w:rsidRPr="002069C6">
              <w:rPr>
                <w:rFonts w:ascii="Verdana" w:eastAsia="Verdana" w:hAnsi="Verdana" w:cs="Verdana"/>
                <w:spacing w:val="-10"/>
                <w:lang w:val="es-ES"/>
              </w:rPr>
              <w:t xml:space="preserve"> </w:t>
            </w:r>
            <w:r w:rsidRPr="002069C6">
              <w:rPr>
                <w:rFonts w:ascii="Verdana" w:eastAsia="Verdana" w:hAnsi="Verdana" w:cs="Verdana"/>
                <w:lang w:val="es-ES"/>
              </w:rPr>
              <w:t>el</w:t>
            </w:r>
            <w:r w:rsidRPr="002069C6">
              <w:rPr>
                <w:rFonts w:ascii="Verdana" w:eastAsia="Verdana" w:hAnsi="Verdana" w:cs="Verdana"/>
                <w:spacing w:val="-11"/>
                <w:lang w:val="es-ES"/>
              </w:rPr>
              <w:t xml:space="preserve"> </w:t>
            </w:r>
            <w:r w:rsidRPr="002069C6">
              <w:rPr>
                <w:rFonts w:ascii="Verdana" w:eastAsia="Verdana" w:hAnsi="Verdana" w:cs="Verdana"/>
                <w:lang w:val="es-ES"/>
              </w:rPr>
              <w:t>artículo</w:t>
            </w:r>
            <w:r w:rsidRPr="002069C6">
              <w:rPr>
                <w:rFonts w:ascii="Verdana" w:eastAsia="Verdana" w:hAnsi="Verdana" w:cs="Verdana"/>
                <w:spacing w:val="-10"/>
                <w:lang w:val="es-ES"/>
              </w:rPr>
              <w:t xml:space="preserve"> </w:t>
            </w:r>
            <w:r w:rsidRPr="002069C6">
              <w:rPr>
                <w:rFonts w:ascii="Verdana" w:eastAsia="Verdana" w:hAnsi="Verdana" w:cs="Verdana"/>
                <w:lang w:val="es-ES"/>
              </w:rPr>
              <w:t>93</w:t>
            </w:r>
            <w:r w:rsidRPr="002069C6">
              <w:rPr>
                <w:rFonts w:ascii="Verdana" w:eastAsia="Verdana" w:hAnsi="Verdana" w:cs="Verdana"/>
                <w:spacing w:val="-11"/>
                <w:lang w:val="es-ES"/>
              </w:rPr>
              <w:t xml:space="preserve"> </w:t>
            </w:r>
            <w:r w:rsidRPr="002069C6">
              <w:rPr>
                <w:rFonts w:ascii="Verdana" w:eastAsia="Verdana" w:hAnsi="Verdana" w:cs="Verdana"/>
                <w:lang w:val="es-ES"/>
              </w:rPr>
              <w:t>de</w:t>
            </w:r>
            <w:r w:rsidRPr="002069C6">
              <w:rPr>
                <w:rFonts w:ascii="Verdana" w:eastAsia="Verdana" w:hAnsi="Verdana" w:cs="Verdana"/>
                <w:spacing w:val="-12"/>
                <w:lang w:val="es-ES"/>
              </w:rPr>
              <w:t xml:space="preserve"> </w:t>
            </w:r>
            <w:r w:rsidRPr="002069C6">
              <w:rPr>
                <w:rFonts w:ascii="Verdana" w:eastAsia="Verdana" w:hAnsi="Verdana" w:cs="Verdana"/>
                <w:lang w:val="es-ES"/>
              </w:rPr>
              <w:t>la</w:t>
            </w:r>
            <w:r w:rsidRPr="002069C6">
              <w:rPr>
                <w:rFonts w:ascii="Verdana" w:eastAsia="Verdana" w:hAnsi="Verdana" w:cs="Verdana"/>
                <w:spacing w:val="-13"/>
                <w:lang w:val="es-ES"/>
              </w:rPr>
              <w:t xml:space="preserve"> </w:t>
            </w:r>
            <w:r w:rsidRPr="002069C6">
              <w:rPr>
                <w:rFonts w:ascii="Verdana" w:eastAsia="Verdana" w:hAnsi="Verdana" w:cs="Verdana"/>
                <w:lang w:val="es-ES"/>
              </w:rPr>
              <w:t>Ley</w:t>
            </w:r>
            <w:r w:rsidRPr="002069C6">
              <w:rPr>
                <w:rFonts w:ascii="Verdana" w:eastAsia="Verdana" w:hAnsi="Verdana" w:cs="Verdana"/>
                <w:spacing w:val="-11"/>
                <w:lang w:val="es-ES"/>
              </w:rPr>
              <w:t xml:space="preserve"> </w:t>
            </w:r>
            <w:r w:rsidRPr="002069C6">
              <w:rPr>
                <w:rFonts w:ascii="Verdana" w:eastAsia="Verdana" w:hAnsi="Verdana" w:cs="Verdana"/>
                <w:lang w:val="es-ES"/>
              </w:rPr>
              <w:t>1474</w:t>
            </w:r>
            <w:r w:rsidRPr="002069C6">
              <w:rPr>
                <w:rFonts w:ascii="Verdana" w:eastAsia="Verdana" w:hAnsi="Verdana" w:cs="Verdana"/>
                <w:spacing w:val="-11"/>
                <w:lang w:val="es-ES"/>
              </w:rPr>
              <w:t xml:space="preserve"> </w:t>
            </w:r>
            <w:r w:rsidRPr="002069C6">
              <w:rPr>
                <w:rFonts w:ascii="Verdana" w:eastAsia="Verdana" w:hAnsi="Verdana" w:cs="Verdana"/>
                <w:lang w:val="es-ES"/>
              </w:rPr>
              <w:t>de</w:t>
            </w:r>
            <w:r w:rsidRPr="002069C6">
              <w:rPr>
                <w:rFonts w:ascii="Verdana" w:eastAsia="Verdana" w:hAnsi="Verdana" w:cs="Verdana"/>
                <w:spacing w:val="-12"/>
                <w:lang w:val="es-ES"/>
              </w:rPr>
              <w:t xml:space="preserve"> </w:t>
            </w:r>
            <w:r w:rsidRPr="002069C6">
              <w:rPr>
                <w:rFonts w:ascii="Verdana" w:eastAsia="Verdana" w:hAnsi="Verdana" w:cs="Verdana"/>
                <w:lang w:val="es-ES"/>
              </w:rPr>
              <w:t>2011,</w:t>
            </w:r>
            <w:r w:rsidRPr="002069C6">
              <w:rPr>
                <w:rFonts w:ascii="Verdana" w:eastAsia="Verdana" w:hAnsi="Verdana" w:cs="Verdana"/>
                <w:spacing w:val="-11"/>
                <w:lang w:val="es-ES"/>
              </w:rPr>
              <w:t xml:space="preserve"> </w:t>
            </w:r>
            <w:r w:rsidRPr="002069C6">
              <w:rPr>
                <w:rFonts w:ascii="Verdana" w:eastAsia="Verdana" w:hAnsi="Verdana" w:cs="Verdana"/>
                <w:lang w:val="es-ES"/>
              </w:rPr>
              <w:t>las Empresas Industriales y Comerciales del Estado están sometidas, por regla general, al Estatuto</w:t>
            </w:r>
            <w:r w:rsidRPr="002069C6">
              <w:rPr>
                <w:rFonts w:ascii="Verdana" w:eastAsia="Verdana" w:hAnsi="Verdana" w:cs="Verdana"/>
                <w:spacing w:val="-8"/>
                <w:lang w:val="es-ES"/>
              </w:rPr>
              <w:t xml:space="preserve"> </w:t>
            </w:r>
            <w:r w:rsidRPr="002069C6">
              <w:rPr>
                <w:rFonts w:ascii="Verdana" w:eastAsia="Verdana" w:hAnsi="Verdana" w:cs="Verdana"/>
                <w:lang w:val="es-ES"/>
              </w:rPr>
              <w:t>General</w:t>
            </w:r>
            <w:r w:rsidRPr="002069C6">
              <w:rPr>
                <w:rFonts w:ascii="Verdana" w:eastAsia="Verdana" w:hAnsi="Verdana" w:cs="Verdana"/>
                <w:spacing w:val="-9"/>
                <w:lang w:val="es-ES"/>
              </w:rPr>
              <w:t xml:space="preserve"> </w:t>
            </w:r>
            <w:r w:rsidRPr="002069C6">
              <w:rPr>
                <w:rFonts w:ascii="Verdana" w:eastAsia="Verdana" w:hAnsi="Verdana" w:cs="Verdana"/>
                <w:lang w:val="es-ES"/>
              </w:rPr>
              <w:t>de</w:t>
            </w:r>
            <w:r w:rsidRPr="002069C6">
              <w:rPr>
                <w:rFonts w:ascii="Verdana" w:eastAsia="Verdana" w:hAnsi="Verdana" w:cs="Verdana"/>
                <w:spacing w:val="-10"/>
                <w:lang w:val="es-ES"/>
              </w:rPr>
              <w:t xml:space="preserve"> </w:t>
            </w:r>
            <w:r w:rsidRPr="002069C6">
              <w:rPr>
                <w:rFonts w:ascii="Verdana" w:eastAsia="Verdana" w:hAnsi="Verdana" w:cs="Verdana"/>
                <w:lang w:val="es-ES"/>
              </w:rPr>
              <w:t>Contratación</w:t>
            </w:r>
            <w:r w:rsidRPr="002069C6">
              <w:rPr>
                <w:rFonts w:ascii="Verdana" w:eastAsia="Verdana" w:hAnsi="Verdana" w:cs="Verdana"/>
                <w:spacing w:val="-9"/>
                <w:lang w:val="es-ES"/>
              </w:rPr>
              <w:t xml:space="preserve"> </w:t>
            </w:r>
            <w:r w:rsidRPr="002069C6">
              <w:rPr>
                <w:rFonts w:ascii="Verdana" w:eastAsia="Verdana" w:hAnsi="Verdana" w:cs="Verdana"/>
                <w:lang w:val="es-ES"/>
              </w:rPr>
              <w:t>de</w:t>
            </w:r>
            <w:r w:rsidRPr="002069C6">
              <w:rPr>
                <w:rFonts w:ascii="Verdana" w:eastAsia="Verdana" w:hAnsi="Verdana" w:cs="Verdana"/>
                <w:spacing w:val="-10"/>
                <w:lang w:val="es-ES"/>
              </w:rPr>
              <w:t xml:space="preserve"> </w:t>
            </w:r>
            <w:r w:rsidRPr="002069C6">
              <w:rPr>
                <w:rFonts w:ascii="Verdana" w:eastAsia="Verdana" w:hAnsi="Verdana" w:cs="Verdana"/>
                <w:lang w:val="es-ES"/>
              </w:rPr>
              <w:t>la</w:t>
            </w:r>
            <w:r w:rsidRPr="002069C6">
              <w:rPr>
                <w:rFonts w:ascii="Verdana" w:eastAsia="Verdana" w:hAnsi="Verdana" w:cs="Verdana"/>
                <w:spacing w:val="-11"/>
                <w:lang w:val="es-ES"/>
              </w:rPr>
              <w:t xml:space="preserve"> </w:t>
            </w:r>
            <w:r w:rsidRPr="002069C6">
              <w:rPr>
                <w:rFonts w:ascii="Verdana" w:eastAsia="Verdana" w:hAnsi="Verdana" w:cs="Verdana"/>
                <w:lang w:val="es-ES"/>
              </w:rPr>
              <w:t>Administración</w:t>
            </w:r>
            <w:r w:rsidRPr="002069C6">
              <w:rPr>
                <w:rFonts w:ascii="Verdana" w:eastAsia="Verdana" w:hAnsi="Verdana" w:cs="Verdana"/>
                <w:spacing w:val="-9"/>
                <w:lang w:val="es-ES"/>
              </w:rPr>
              <w:t xml:space="preserve"> </w:t>
            </w:r>
            <w:r w:rsidRPr="002069C6">
              <w:rPr>
                <w:rFonts w:ascii="Verdana" w:eastAsia="Verdana" w:hAnsi="Verdana" w:cs="Verdana"/>
                <w:lang w:val="es-ES"/>
              </w:rPr>
              <w:t>Pública,</w:t>
            </w:r>
            <w:r w:rsidRPr="002069C6">
              <w:rPr>
                <w:rFonts w:ascii="Verdana" w:eastAsia="Verdana" w:hAnsi="Verdana" w:cs="Verdana"/>
                <w:spacing w:val="-9"/>
                <w:lang w:val="es-ES"/>
              </w:rPr>
              <w:t xml:space="preserve"> </w:t>
            </w:r>
            <w:r w:rsidRPr="002069C6">
              <w:rPr>
                <w:rFonts w:ascii="Verdana" w:eastAsia="Verdana" w:hAnsi="Verdana" w:cs="Verdana"/>
                <w:lang w:val="es-ES"/>
              </w:rPr>
              <w:t>excepto</w:t>
            </w:r>
            <w:r w:rsidRPr="002069C6">
              <w:rPr>
                <w:rFonts w:ascii="Verdana" w:eastAsia="Verdana" w:hAnsi="Verdana" w:cs="Verdana"/>
                <w:spacing w:val="-8"/>
                <w:lang w:val="es-ES"/>
              </w:rPr>
              <w:t xml:space="preserve"> </w:t>
            </w:r>
            <w:r>
              <w:rPr>
                <w:rFonts w:ascii="Verdana" w:eastAsia="Verdana" w:hAnsi="Verdana" w:cs="Verdana"/>
                <w:spacing w:val="-8"/>
                <w:lang w:val="es-ES"/>
              </w:rPr>
              <w:t>cuando</w:t>
            </w:r>
            <w:r w:rsidRPr="002069C6">
              <w:rPr>
                <w:rFonts w:ascii="Verdana" w:eastAsia="Verdana" w:hAnsi="Verdana" w:cs="Verdana"/>
                <w:lang w:val="es-ES"/>
              </w:rPr>
              <w:t xml:space="preserve">: i) desarrollen actividades comerciales en competencia con el sector privado y/o público, nacional o internacional; o </w:t>
            </w:r>
            <w:proofErr w:type="spellStart"/>
            <w:r w:rsidRPr="002069C6">
              <w:rPr>
                <w:rFonts w:ascii="Verdana" w:eastAsia="Verdana" w:hAnsi="Verdana" w:cs="Verdana"/>
                <w:lang w:val="es-ES"/>
              </w:rPr>
              <w:t>ii</w:t>
            </w:r>
            <w:proofErr w:type="spellEnd"/>
            <w:r w:rsidRPr="002069C6">
              <w:rPr>
                <w:rFonts w:ascii="Verdana" w:eastAsia="Verdana" w:hAnsi="Verdana" w:cs="Verdana"/>
                <w:lang w:val="es-ES"/>
              </w:rPr>
              <w:t>) desarrollen actividades en mercados regulados, eventos en los cuales se regirán por las disposiciones legales y reglamentarias aplicables a sus actividades económicas y comerciales.</w:t>
            </w:r>
          </w:p>
          <w:p w14:paraId="547A2BAA" w14:textId="643CB93E" w:rsidR="00C06BA9" w:rsidRDefault="00BE2191" w:rsidP="00B41362">
            <w:pPr>
              <w:spacing w:after="120" w:line="276" w:lineRule="auto"/>
              <w:ind w:firstLine="709"/>
              <w:jc w:val="both"/>
              <w:rPr>
                <w:rFonts w:ascii="Verdana" w:eastAsia="Times New Roman" w:hAnsi="Verdana" w:cs="Arial"/>
                <w:bCs/>
                <w:lang w:val="es-MX" w:eastAsia="x-none"/>
              </w:rPr>
            </w:pPr>
            <w:r>
              <w:rPr>
                <w:rFonts w:ascii="Verdana" w:eastAsia="Calibri" w:hAnsi="Verdana" w:cs="Arial"/>
                <w:lang w:val="es-MX"/>
              </w:rPr>
              <w:t xml:space="preserve">En relación con el problema jurídico planteado, </w:t>
            </w:r>
            <w:r w:rsidR="0041204F">
              <w:rPr>
                <w:rFonts w:ascii="Verdana" w:eastAsia="Calibri" w:hAnsi="Verdana" w:cs="Arial"/>
                <w:lang w:val="es-MX"/>
              </w:rPr>
              <w:t xml:space="preserve">en primer </w:t>
            </w:r>
            <w:r w:rsidR="000B6B49">
              <w:rPr>
                <w:rFonts w:ascii="Verdana" w:eastAsia="Calibri" w:hAnsi="Verdana" w:cs="Arial"/>
                <w:lang w:val="es-MX"/>
              </w:rPr>
              <w:t>lugar,</w:t>
            </w:r>
            <w:r w:rsidR="0041204F">
              <w:rPr>
                <w:rFonts w:ascii="Verdana" w:eastAsia="Calibri" w:hAnsi="Verdana" w:cs="Arial"/>
                <w:lang w:val="es-MX"/>
              </w:rPr>
              <w:t xml:space="preserve"> debe </w:t>
            </w:r>
            <w:r>
              <w:rPr>
                <w:rFonts w:ascii="Verdana" w:eastAsia="Calibri" w:hAnsi="Verdana" w:cs="Arial"/>
                <w:lang w:val="es-MX"/>
              </w:rPr>
              <w:t xml:space="preserve">señalarse que, </w:t>
            </w:r>
            <w:r w:rsidR="0041204F">
              <w:rPr>
                <w:rFonts w:ascii="Verdana" w:eastAsia="Calibri" w:hAnsi="Verdana" w:cs="Arial"/>
                <w:lang w:val="es-MX"/>
              </w:rPr>
              <w:t>c</w:t>
            </w:r>
            <w:r w:rsidR="00C06BA9">
              <w:rPr>
                <w:rFonts w:ascii="Verdana" w:eastAsia="Calibri" w:hAnsi="Verdana" w:cs="Arial"/>
                <w:lang w:val="es-MX"/>
              </w:rPr>
              <w:t xml:space="preserve">onforme a la interpretación general de las normas del sistema de compras públicas, la restricción prevista en el artículo 33 de la Ley 996 de 2005 </w:t>
            </w:r>
            <w:r w:rsidR="00E00DF8">
              <w:rPr>
                <w:rFonts w:ascii="Verdana" w:eastAsia="Calibri" w:hAnsi="Verdana" w:cs="Arial"/>
                <w:lang w:val="es-MX"/>
              </w:rPr>
              <w:t>– Ley de Garantías Electorales –</w:t>
            </w:r>
            <w:r w:rsidR="00C06BA9">
              <w:rPr>
                <w:rFonts w:ascii="Verdana" w:eastAsia="Calibri" w:hAnsi="Verdana" w:cs="Arial"/>
                <w:lang w:val="es-MX"/>
              </w:rPr>
              <w:t xml:space="preserve"> </w:t>
            </w:r>
            <w:r w:rsidR="00C06BA9">
              <w:rPr>
                <w:rFonts w:ascii="Verdana" w:eastAsia="Times New Roman" w:hAnsi="Verdana" w:cs="Arial"/>
                <w:bCs/>
                <w:lang w:val="es-MX" w:eastAsia="x-none"/>
              </w:rPr>
              <w:t xml:space="preserve">cobija a </w:t>
            </w:r>
            <w:r w:rsidR="00293983">
              <w:rPr>
                <w:rFonts w:ascii="Verdana" w:eastAsia="Calibri" w:hAnsi="Verdana" w:cs="Arial"/>
                <w:lang w:val="es-ES"/>
              </w:rPr>
              <w:t xml:space="preserve">todos los entes del Estado </w:t>
            </w:r>
            <w:r w:rsidR="00E97FEF" w:rsidRPr="00195E24">
              <w:rPr>
                <w:rFonts w:ascii="Verdana" w:hAnsi="Verdana" w:cs="Arial"/>
                <w:bCs/>
                <w:color w:val="000000" w:themeColor="text1"/>
                <w:lang w:val="es-MX" w:eastAsia="x-none"/>
              </w:rPr>
              <w:t>sin distinción del régimen jurídico</w:t>
            </w:r>
            <w:r w:rsidR="00C06BA9">
              <w:rPr>
                <w:rFonts w:ascii="Verdana" w:eastAsia="Times New Roman" w:hAnsi="Verdana" w:cs="Arial"/>
                <w:bCs/>
                <w:lang w:val="es-MX" w:eastAsia="x-none"/>
              </w:rPr>
              <w:t>, que pueda mediante la contratación directa romper el equilibrio entre los candidatos en desarrollo de las elecciones presidenciales</w:t>
            </w:r>
            <w:r w:rsidR="00C06BA9">
              <w:rPr>
                <w:rFonts w:ascii="Verdana" w:eastAsia="Times New Roman" w:hAnsi="Verdana" w:cs="Arial"/>
                <w:lang w:val="es-ES" w:eastAsia="es-ES_tradnl"/>
              </w:rPr>
              <w:t xml:space="preserve">. </w:t>
            </w:r>
            <w:r w:rsidR="00DB6A3F">
              <w:rPr>
                <w:rFonts w:ascii="Verdana" w:eastAsia="Times New Roman" w:hAnsi="Verdana" w:cs="Arial"/>
                <w:lang w:val="es-ES" w:eastAsia="es-ES_tradnl"/>
              </w:rPr>
              <w:t xml:space="preserve">En ese sentido, independientemente de que el régimen contractual sea el derecho privado les aplicará la restricción de que trata el citado artículo. </w:t>
            </w:r>
          </w:p>
          <w:p w14:paraId="6938F10C" w14:textId="4D9BA581" w:rsidR="00A07728" w:rsidRDefault="00C06BA9" w:rsidP="00581EFE">
            <w:pPr>
              <w:spacing w:after="120" w:line="276" w:lineRule="auto"/>
              <w:ind w:firstLine="709"/>
              <w:jc w:val="both"/>
              <w:rPr>
                <w:rFonts w:ascii="Verdana" w:eastAsia="Times New Roman" w:hAnsi="Verdana" w:cs="Arial"/>
                <w:bCs/>
                <w:lang w:val="es-MX" w:eastAsia="x-none"/>
              </w:rPr>
            </w:pPr>
            <w:r>
              <w:rPr>
                <w:rFonts w:ascii="Verdana" w:eastAsia="Times New Roman" w:hAnsi="Verdana" w:cs="Arial"/>
                <w:bCs/>
                <w:lang w:val="es-MX" w:eastAsia="x-none"/>
              </w:rPr>
              <w:t xml:space="preserve">En </w:t>
            </w:r>
            <w:r w:rsidR="000B6B49">
              <w:rPr>
                <w:rFonts w:ascii="Verdana" w:eastAsia="Times New Roman" w:hAnsi="Verdana" w:cs="Arial"/>
                <w:bCs/>
                <w:lang w:val="es-MX" w:eastAsia="x-none"/>
              </w:rPr>
              <w:t>segundo lugar, es necesario</w:t>
            </w:r>
            <w:r w:rsidR="00E53700">
              <w:rPr>
                <w:rFonts w:ascii="Verdana" w:eastAsia="Times New Roman" w:hAnsi="Verdana" w:cs="Arial"/>
                <w:bCs/>
                <w:lang w:val="es-MX" w:eastAsia="x-none"/>
              </w:rPr>
              <w:t xml:space="preserve"> señalar</w:t>
            </w:r>
            <w:r>
              <w:rPr>
                <w:rFonts w:ascii="Verdana" w:eastAsia="Times New Roman" w:hAnsi="Verdana" w:cs="Arial"/>
                <w:bCs/>
                <w:lang w:val="es-MX" w:eastAsia="x-none"/>
              </w:rPr>
              <w:t xml:space="preserve"> que la restricción del artículo 33 de la Ley 996 de 2005 aplica frente a la </w:t>
            </w:r>
            <w:r w:rsidRPr="00B41362">
              <w:rPr>
                <w:rFonts w:ascii="Verdana" w:eastAsia="Times New Roman" w:hAnsi="Verdana" w:cs="Arial"/>
                <w:i/>
                <w:lang w:val="es-MX" w:eastAsia="x-none"/>
              </w:rPr>
              <w:t>contratación directa</w:t>
            </w:r>
            <w:r>
              <w:rPr>
                <w:rFonts w:ascii="Verdana" w:eastAsia="Times New Roman" w:hAnsi="Verdana" w:cs="Arial"/>
                <w:bCs/>
                <w:lang w:val="es-MX" w:eastAsia="x-none"/>
              </w:rPr>
              <w:t xml:space="preserve">, entendida como cualquier sistema de selección o procedimiento de contratación utilizada por las entidades estatales que </w:t>
            </w:r>
            <w:r w:rsidRPr="004A07C4">
              <w:rPr>
                <w:rFonts w:ascii="Verdana" w:eastAsia="Times New Roman" w:hAnsi="Verdana" w:cs="Arial"/>
                <w:bCs/>
                <w:i/>
                <w:iCs/>
                <w:lang w:val="es-MX" w:eastAsia="x-none"/>
              </w:rPr>
              <w:t>no incluya la convocatoria pública en alguna de sus etapas</w:t>
            </w:r>
            <w:r>
              <w:rPr>
                <w:rFonts w:ascii="Verdana" w:eastAsia="Times New Roman" w:hAnsi="Verdana" w:cs="Arial"/>
                <w:bCs/>
                <w:lang w:val="es-MX" w:eastAsia="x-none"/>
              </w:rPr>
              <w:t xml:space="preserve">, </w:t>
            </w:r>
            <w:r w:rsidRPr="004A07C4">
              <w:rPr>
                <w:rFonts w:ascii="Verdana" w:eastAsia="Times New Roman" w:hAnsi="Verdana" w:cs="Arial"/>
                <w:bCs/>
                <w:i/>
                <w:iCs/>
                <w:lang w:val="es-MX" w:eastAsia="x-none"/>
              </w:rPr>
              <w:t>ni permita la participación de una pluralidad de oferentes</w:t>
            </w:r>
            <w:r>
              <w:rPr>
                <w:rFonts w:ascii="Verdana" w:eastAsia="Times New Roman" w:hAnsi="Verdana" w:cs="Arial"/>
                <w:bCs/>
                <w:lang w:val="es-MX" w:eastAsia="x-none"/>
              </w:rPr>
              <w:t>, ya sea en aplicación de normas del Estatuto General de Contratación de la Administración Pública</w:t>
            </w:r>
            <w:r w:rsidR="00DB6A3F">
              <w:rPr>
                <w:rFonts w:ascii="Verdana" w:eastAsia="Times New Roman" w:hAnsi="Verdana" w:cs="Arial"/>
                <w:bCs/>
                <w:lang w:val="es-MX" w:eastAsia="x-none"/>
              </w:rPr>
              <w:t xml:space="preserve"> – en adelante EGCAP -</w:t>
            </w:r>
            <w:r>
              <w:rPr>
                <w:rFonts w:ascii="Verdana" w:eastAsia="Times New Roman" w:hAnsi="Verdana" w:cs="Arial"/>
                <w:bCs/>
                <w:lang w:val="es-MX" w:eastAsia="x-none"/>
              </w:rPr>
              <w:t>, así como de regímenes especiales</w:t>
            </w:r>
            <w:r w:rsidR="00DB6A3F">
              <w:rPr>
                <w:rFonts w:ascii="Verdana" w:eastAsia="Times New Roman" w:hAnsi="Verdana" w:cs="Arial"/>
                <w:bCs/>
                <w:lang w:val="es-MX" w:eastAsia="x-none"/>
              </w:rPr>
              <w:t>, como el que refiere en su consulta</w:t>
            </w:r>
            <w:r>
              <w:rPr>
                <w:rFonts w:ascii="Verdana" w:eastAsia="Times New Roman" w:hAnsi="Verdana" w:cs="Arial"/>
                <w:bCs/>
                <w:lang w:val="es-MX" w:eastAsia="x-none"/>
              </w:rPr>
              <w:t xml:space="preserve">. </w:t>
            </w:r>
          </w:p>
          <w:p w14:paraId="6DE9FAFC" w14:textId="67293521" w:rsidR="00C06BA9" w:rsidRDefault="00C06BA9" w:rsidP="00B41362">
            <w:pPr>
              <w:spacing w:after="120" w:line="276" w:lineRule="auto"/>
              <w:ind w:firstLine="709"/>
              <w:jc w:val="both"/>
              <w:rPr>
                <w:rFonts w:ascii="Verdana" w:eastAsia="Times New Roman" w:hAnsi="Verdana" w:cs="Arial"/>
                <w:bCs/>
                <w:lang w:val="es-MX" w:eastAsia="x-none"/>
              </w:rPr>
            </w:pPr>
            <w:r>
              <w:rPr>
                <w:rFonts w:ascii="Verdana" w:eastAsia="Times New Roman" w:hAnsi="Verdana" w:cs="Arial"/>
                <w:bCs/>
                <w:lang w:val="es-MX" w:eastAsia="x-none"/>
              </w:rPr>
              <w:t xml:space="preserve">Esto, sin perjuicio de las excepciones a la prohibición establecidas en el inciso segundo del mismo artículo 33, como son: i) la defensa y seguridad del Estado; </w:t>
            </w:r>
            <w:proofErr w:type="spellStart"/>
            <w:r>
              <w:rPr>
                <w:rFonts w:ascii="Verdana" w:eastAsia="Times New Roman" w:hAnsi="Verdana" w:cs="Arial"/>
                <w:bCs/>
                <w:lang w:val="es-MX" w:eastAsia="x-none"/>
              </w:rPr>
              <w:t>ii</w:t>
            </w:r>
            <w:proofErr w:type="spellEnd"/>
            <w:r>
              <w:rPr>
                <w:rFonts w:ascii="Verdana" w:eastAsia="Times New Roman" w:hAnsi="Verdana" w:cs="Arial"/>
                <w:bCs/>
                <w:lang w:val="es-MX" w:eastAsia="x-none"/>
              </w:rPr>
              <w:t xml:space="preserve">) los contratos de crédito público; </w:t>
            </w:r>
            <w:proofErr w:type="spellStart"/>
            <w:r>
              <w:rPr>
                <w:rFonts w:ascii="Verdana" w:eastAsia="Times New Roman" w:hAnsi="Verdana" w:cs="Arial"/>
                <w:bCs/>
                <w:lang w:val="es-MX" w:eastAsia="x-none"/>
              </w:rPr>
              <w:t>iii</w:t>
            </w:r>
            <w:proofErr w:type="spellEnd"/>
            <w:r>
              <w:rPr>
                <w:rFonts w:ascii="Verdana" w:eastAsia="Times New Roman" w:hAnsi="Verdana" w:cs="Arial"/>
                <w:bCs/>
                <w:lang w:val="es-MX" w:eastAsia="x-none"/>
              </w:rPr>
              <w:t xml:space="preserve">) los requeridos para cubrir las emergencias educativas, sanitarias y desastres; </w:t>
            </w:r>
            <w:proofErr w:type="spellStart"/>
            <w:r>
              <w:rPr>
                <w:rFonts w:ascii="Verdana" w:eastAsia="Times New Roman" w:hAnsi="Verdana" w:cs="Arial"/>
                <w:bCs/>
                <w:lang w:val="es-MX" w:eastAsia="x-none"/>
              </w:rPr>
              <w:t>iv</w:t>
            </w:r>
            <w:proofErr w:type="spellEnd"/>
            <w:r>
              <w:rPr>
                <w:rFonts w:ascii="Verdana" w:eastAsia="Times New Roman" w:hAnsi="Verdana" w:cs="Arial"/>
                <w:bCs/>
                <w:lang w:val="es-MX" w:eastAsia="x-none"/>
              </w:rPr>
              <w:t xml:space="preserve">) los utilizados para la reconstrucción de vías, puentes, carreteras, infraestructura energética y de </w:t>
            </w:r>
            <w:r>
              <w:rPr>
                <w:rFonts w:ascii="Verdana" w:eastAsia="Times New Roman" w:hAnsi="Verdana" w:cs="Arial"/>
                <w:bCs/>
                <w:lang w:val="es-MX" w:eastAsia="x-none"/>
              </w:rPr>
              <w:lastRenderedPageBreak/>
              <w:t xml:space="preserve">comunicaciones, en caso de que hayan sido objeto de atentados, acciones terroristas, desastres naturales o casos de fuerza mayor; y, v) los que deban realizar las entidades sanitarias y hospitalarias. </w:t>
            </w:r>
            <w:r w:rsidR="00C9294C">
              <w:rPr>
                <w:rFonts w:ascii="Verdana" w:eastAsia="Times New Roman" w:hAnsi="Verdana" w:cs="Arial"/>
                <w:bCs/>
                <w:lang w:val="es-MX" w:eastAsia="x-none"/>
              </w:rPr>
              <w:t>Conforme a dichas excepciones, e</w:t>
            </w:r>
            <w:r>
              <w:rPr>
                <w:rFonts w:ascii="Verdana" w:eastAsia="Times New Roman" w:hAnsi="Verdana" w:cs="Arial"/>
                <w:bCs/>
                <w:lang w:val="es-MX" w:eastAsia="x-none"/>
              </w:rPr>
              <w:t>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0207E508" w14:textId="0940F6AD" w:rsidR="00252F8F" w:rsidRDefault="00C02425" w:rsidP="00B41362">
            <w:pPr>
              <w:spacing w:after="120" w:line="276" w:lineRule="auto"/>
              <w:ind w:firstLine="709"/>
              <w:jc w:val="both"/>
              <w:rPr>
                <w:rFonts w:ascii="Verdana" w:eastAsia="Times New Roman" w:hAnsi="Verdana" w:cs="Arial"/>
                <w:bCs/>
                <w:lang w:val="es-MX" w:eastAsia="x-none"/>
              </w:rPr>
            </w:pPr>
            <w:r w:rsidRPr="00C02425">
              <w:rPr>
                <w:rFonts w:ascii="Verdana" w:eastAsia="Times New Roman" w:hAnsi="Verdana" w:cs="Arial"/>
                <w:bCs/>
                <w:lang w:eastAsia="x-none"/>
              </w:rPr>
              <w:t>En ese contexto, respecto de su consulta, es pertinente señalar que las empresas industriales y comerciales del Estado, durante la vigencia de las restricciones previstas en la Ley 996 de 2005, no podrán celebrar contratos mediante la modalidad de contratación directa, debiendo acudir a mecanismos competitivos que impliquen convocatoria pública y la posibilidad de concurrencia de una pluralidad de oferentes. En todo caso, para determinar la aplicabilidad de la prohibición contenida en el artículo 33 de dicha ley, no resulta suficiente atender a la denominación que el Manual de Contratación otorgue al procedimiento, sino que es necesario analizar su naturaleza y la forma en que este opera materialmente. En consecuencia, si el procedimiento especial incorpora mecanismos que garantizan la competencia entre posibles contratistas, no podrá asimilarse a la contratación directa para efectos de la Ley de Garantías Electorales; por el contrario, cuando comporte la selección directa de un proveedor, sin mediar escenarios de concurrencia o competencia, podrá entenderse comprendido dentro del ámbito de aplicación de la referida prohibición.</w:t>
            </w:r>
          </w:p>
          <w:p w14:paraId="7E40B7EA" w14:textId="444E9AC5" w:rsidR="00B046AB" w:rsidRPr="00170C47" w:rsidRDefault="00C06BA9" w:rsidP="00B41362">
            <w:pPr>
              <w:spacing w:after="120" w:line="276" w:lineRule="auto"/>
              <w:ind w:firstLine="709"/>
              <w:contextualSpacing/>
              <w:jc w:val="both"/>
              <w:rPr>
                <w:rFonts w:ascii="Verdana" w:eastAsia="Arial" w:hAnsi="Verdana" w:cs="Arial"/>
                <w:color w:val="000000" w:themeColor="text1"/>
                <w:lang w:val="es-ES"/>
              </w:rPr>
            </w:pPr>
            <w:r>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0F7A3FAD" w14:textId="77777777" w:rsidR="00B046AB" w:rsidRPr="000952AC" w:rsidRDefault="00B046AB" w:rsidP="00B046AB">
      <w:pPr>
        <w:tabs>
          <w:tab w:val="left" w:pos="142"/>
          <w:tab w:val="left" w:pos="284"/>
        </w:tabs>
        <w:spacing w:after="0" w:line="276" w:lineRule="auto"/>
        <w:jc w:val="both"/>
        <w:rPr>
          <w:rFonts w:ascii="Verdana" w:eastAsia="Century Gothic" w:hAnsi="Verdana" w:cs="Century Gothic"/>
          <w:b/>
          <w:bCs/>
        </w:rPr>
      </w:pPr>
    </w:p>
    <w:p w14:paraId="5FE99455" w14:textId="77777777" w:rsidR="00B046AB" w:rsidRPr="000952AC" w:rsidRDefault="00B046AB" w:rsidP="00B046AB">
      <w:pPr>
        <w:tabs>
          <w:tab w:val="left" w:pos="142"/>
          <w:tab w:val="left" w:pos="284"/>
        </w:tabs>
        <w:spacing w:after="0" w:line="276" w:lineRule="auto"/>
        <w:jc w:val="both"/>
        <w:rPr>
          <w:rFonts w:ascii="Verdana" w:eastAsia="Century Gothic" w:hAnsi="Verdana" w:cs="Century Gothic"/>
          <w:b/>
          <w:bCs/>
        </w:rPr>
      </w:pPr>
      <w:r w:rsidRPr="000952AC">
        <w:rPr>
          <w:rFonts w:ascii="Verdana" w:eastAsia="Century Gothic" w:hAnsi="Verdana" w:cs="Century Gothic"/>
          <w:b/>
          <w:bCs/>
        </w:rPr>
        <w:t>3. Razones de la respuesta:</w:t>
      </w:r>
    </w:p>
    <w:p w14:paraId="1EEC5B78" w14:textId="77777777" w:rsidR="00B046AB" w:rsidRDefault="00B046AB" w:rsidP="00B046AB">
      <w:pPr>
        <w:tabs>
          <w:tab w:val="left" w:pos="142"/>
          <w:tab w:val="left" w:pos="284"/>
        </w:tabs>
        <w:spacing w:after="0" w:line="276" w:lineRule="auto"/>
        <w:jc w:val="both"/>
        <w:rPr>
          <w:rFonts w:ascii="Verdana" w:eastAsia="Calibri" w:hAnsi="Verdana" w:cs="Arial"/>
        </w:rPr>
      </w:pPr>
    </w:p>
    <w:p w14:paraId="6C7DD538" w14:textId="77777777" w:rsidR="00B046AB" w:rsidRDefault="00B046AB" w:rsidP="00B046AB">
      <w:pPr>
        <w:tabs>
          <w:tab w:val="left" w:pos="142"/>
          <w:tab w:val="left" w:pos="284"/>
        </w:tabs>
        <w:spacing w:after="0" w:line="276" w:lineRule="auto"/>
        <w:jc w:val="both"/>
        <w:rPr>
          <w:rFonts w:ascii="Verdana" w:eastAsia="Calibri" w:hAnsi="Verdana" w:cs="Arial"/>
        </w:rPr>
      </w:pPr>
      <w:r w:rsidRPr="000952AC">
        <w:rPr>
          <w:rFonts w:ascii="Verdana" w:eastAsia="Calibri" w:hAnsi="Verdana" w:cs="Arial"/>
        </w:rPr>
        <w:lastRenderedPageBreak/>
        <w:t xml:space="preserve">Lo anterior se sustenta en las siguientes consideraciones: </w:t>
      </w:r>
    </w:p>
    <w:p w14:paraId="29626181" w14:textId="77777777" w:rsidR="001D75D4" w:rsidRDefault="001D75D4" w:rsidP="00B046AB">
      <w:pPr>
        <w:tabs>
          <w:tab w:val="left" w:pos="142"/>
          <w:tab w:val="left" w:pos="284"/>
        </w:tabs>
        <w:spacing w:after="0" w:line="276" w:lineRule="auto"/>
        <w:jc w:val="both"/>
        <w:rPr>
          <w:rFonts w:ascii="Verdana" w:eastAsia="Calibri" w:hAnsi="Verdana" w:cs="Arial"/>
        </w:rPr>
      </w:pPr>
    </w:p>
    <w:p w14:paraId="458D4CB9" w14:textId="77777777" w:rsidR="002F5531" w:rsidRPr="002069C6" w:rsidRDefault="002F5531" w:rsidP="00B41362">
      <w:pPr>
        <w:spacing w:after="120" w:line="276" w:lineRule="auto"/>
        <w:jc w:val="both"/>
        <w:rPr>
          <w:rFonts w:ascii="Verdana" w:eastAsia="Calibri" w:hAnsi="Verdana" w:cs="Arial"/>
          <w:lang w:val="es-ES"/>
        </w:rPr>
      </w:pPr>
      <w:r w:rsidRPr="002069C6">
        <w:rPr>
          <w:rFonts w:ascii="Verdana" w:eastAsia="Calibri" w:hAnsi="Verdana" w:cs="Arial"/>
          <w:lang w:val="es-ES"/>
        </w:rPr>
        <w:t xml:space="preserve">Dentro de la estructura de la Administración Pública se encuentran las entidades descentralizadas por servicios. A esta categoría pertenecen las Empresas Industriales y Comerciales del Estado, las cuales –sin perjuicio del control de tutela– tienen personería jurídica, autonomía administrativa y patrimonio propio. Estas entidades, como su nombre lo indica, se caracterizan por desarrollar actividades de carácter industrial o comercial. </w:t>
      </w:r>
      <w:r w:rsidRPr="002069C6">
        <w:rPr>
          <w:rFonts w:ascii="Verdana" w:eastAsia="Calibri" w:hAnsi="Verdana" w:cs="Arial"/>
          <w:color w:val="000000" w:themeColor="text1"/>
        </w:rPr>
        <w:t>Así, por ejemplo, son Empresas Industriales y Comerciales del Estado la Imprenta Nacional de Colombia, Coljuegos, Indumil, la Caja Promotora de Vivienda Militar y de Policía, Colpensiones, entre otras</w:t>
      </w:r>
      <w:r w:rsidRPr="002069C6">
        <w:rPr>
          <w:rFonts w:ascii="Verdana" w:hAnsi="Verdana"/>
          <w:vertAlign w:val="superscript"/>
        </w:rPr>
        <w:footnoteReference w:id="1"/>
      </w:r>
      <w:r w:rsidRPr="002069C6">
        <w:rPr>
          <w:rFonts w:ascii="Verdana" w:eastAsia="Calibri" w:hAnsi="Verdana" w:cs="Arial"/>
          <w:color w:val="000000" w:themeColor="text1"/>
        </w:rPr>
        <w:t>.</w:t>
      </w:r>
    </w:p>
    <w:p w14:paraId="58C52561" w14:textId="77777777" w:rsidR="002F5531" w:rsidRPr="002069C6" w:rsidRDefault="002F5531" w:rsidP="002F5531">
      <w:pPr>
        <w:spacing w:after="0" w:line="276" w:lineRule="auto"/>
        <w:ind w:firstLine="708"/>
        <w:jc w:val="both"/>
        <w:rPr>
          <w:rFonts w:ascii="Verdana" w:eastAsia="Calibri" w:hAnsi="Verdana" w:cs="Arial"/>
          <w:lang w:val="es-ES"/>
        </w:rPr>
      </w:pPr>
      <w:r w:rsidRPr="002069C6">
        <w:rPr>
          <w:rFonts w:ascii="Verdana" w:eastAsia="Calibri" w:hAnsi="Verdana" w:cs="Arial"/>
          <w:lang w:val="es-ES"/>
        </w:rPr>
        <w:t>Las Empresas Industriales y Comerciales del Estado, bajo la denominación de Entidades Estatales, quedaron sometidas al Estatuto General de Contratación de la Administración Pública –Ley 80 de 1993, artículo 2, numeral 1, literal a</w:t>
      </w:r>
      <w:r w:rsidRPr="002069C6">
        <w:rPr>
          <w:rFonts w:ascii="Verdana" w:eastAsia="Calibri" w:hAnsi="Verdana" w:cs="Arial"/>
          <w:vertAlign w:val="superscript"/>
          <w:lang w:val="es-ES"/>
        </w:rPr>
        <w:footnoteReference w:id="2"/>
      </w:r>
      <w:r w:rsidRPr="002069C6">
        <w:rPr>
          <w:rFonts w:ascii="Verdana" w:eastAsia="Calibri" w:hAnsi="Verdana" w:cs="Arial"/>
          <w:lang w:val="es-ES"/>
        </w:rPr>
        <w:t>. Posteriormente, la Ley 489 de 1998, mediante el cual se regula la organización y funcionamiento de las entidades de orden nacional, en su artículo 93 estableció el régimen jurídico aplicable a los contratos celebrados por las Empresas Industriales y Comerciales del Estado, como sigue:</w:t>
      </w:r>
    </w:p>
    <w:p w14:paraId="1E37E1B7" w14:textId="77777777" w:rsidR="002F5531" w:rsidRPr="002069C6" w:rsidRDefault="002F5531" w:rsidP="002F5531">
      <w:pPr>
        <w:spacing w:after="0" w:line="276" w:lineRule="auto"/>
        <w:ind w:firstLine="708"/>
        <w:jc w:val="both"/>
        <w:rPr>
          <w:rFonts w:ascii="Verdana" w:eastAsia="Calibri" w:hAnsi="Verdana" w:cs="Arial"/>
          <w:lang w:val="es-ES"/>
        </w:rPr>
      </w:pPr>
    </w:p>
    <w:p w14:paraId="60DAFD66" w14:textId="77777777" w:rsidR="002F5531" w:rsidRPr="002069C6" w:rsidRDefault="002F5531" w:rsidP="002F5531">
      <w:pPr>
        <w:spacing w:after="0" w:line="240" w:lineRule="auto"/>
        <w:ind w:left="709" w:right="709"/>
        <w:contextualSpacing/>
        <w:jc w:val="both"/>
        <w:rPr>
          <w:rFonts w:ascii="Verdana" w:eastAsia="Times New Roman" w:hAnsi="Verdana" w:cs="Arial"/>
          <w:sz w:val="20"/>
          <w:szCs w:val="20"/>
          <w:lang w:eastAsia="es-ES_tradnl"/>
        </w:rPr>
      </w:pPr>
      <w:r w:rsidRPr="002069C6">
        <w:rPr>
          <w:rFonts w:ascii="Verdana" w:eastAsia="Times New Roman" w:hAnsi="Verdana" w:cs="Arial"/>
          <w:sz w:val="20"/>
          <w:szCs w:val="20"/>
          <w:lang w:eastAsia="es-ES_tradnl"/>
        </w:rPr>
        <w:lastRenderedPageBreak/>
        <w:t>“Artículo 93. Régimen de los actos y contratos. Los actos que expidan las empresas industriales y comerciales del Estado para el desarrollo de su actividad propia, industrial o comercial o de gestión económica se sujetarán a las disposiciones del Derecho Privado. Los contratos que celebren para el cumplimiento de su objeto se sujetarán a las disposiciones del Estatuto General de Contratación de las entidades estatales”.</w:t>
      </w:r>
    </w:p>
    <w:p w14:paraId="4C381CAD" w14:textId="77777777" w:rsidR="002F5531" w:rsidRPr="002069C6" w:rsidRDefault="002F5531" w:rsidP="002F5531">
      <w:pPr>
        <w:widowControl w:val="0"/>
        <w:autoSpaceDE w:val="0"/>
        <w:autoSpaceDN w:val="0"/>
        <w:spacing w:after="0" w:line="276" w:lineRule="auto"/>
        <w:rPr>
          <w:rFonts w:ascii="Verdana" w:eastAsia="Verdana" w:hAnsi="Verdana" w:cs="Verdana"/>
          <w:sz w:val="20"/>
        </w:rPr>
      </w:pPr>
    </w:p>
    <w:p w14:paraId="1FB104E6" w14:textId="77777777" w:rsidR="002F5531" w:rsidRPr="002069C6" w:rsidRDefault="002F5531" w:rsidP="00B41362">
      <w:pPr>
        <w:widowControl w:val="0"/>
        <w:autoSpaceDE w:val="0"/>
        <w:autoSpaceDN w:val="0"/>
        <w:spacing w:after="0" w:line="276" w:lineRule="auto"/>
        <w:ind w:firstLine="708"/>
        <w:jc w:val="both"/>
        <w:rPr>
          <w:rFonts w:ascii="Verdana" w:eastAsia="Verdana" w:hAnsi="Verdana" w:cs="Verdana"/>
          <w:lang w:val="es-ES"/>
        </w:rPr>
      </w:pPr>
      <w:bookmarkStart w:id="3" w:name="_bookmark7"/>
      <w:bookmarkEnd w:id="3"/>
      <w:r w:rsidRPr="002069C6">
        <w:rPr>
          <w:rFonts w:ascii="Verdana" w:eastAsia="Verdana" w:hAnsi="Verdana" w:cs="Verdana"/>
          <w:lang w:val="es-ES"/>
        </w:rPr>
        <w:t xml:space="preserve">No obstante las dificultades hermenéuticas </w:t>
      </w:r>
      <w:r>
        <w:rPr>
          <w:rFonts w:ascii="Verdana" w:eastAsia="Verdana" w:hAnsi="Verdana" w:cs="Verdana"/>
          <w:lang w:val="es-ES"/>
        </w:rPr>
        <w:t xml:space="preserve">derivadas de </w:t>
      </w:r>
      <w:r w:rsidRPr="002069C6">
        <w:rPr>
          <w:rFonts w:ascii="Verdana" w:eastAsia="Verdana" w:hAnsi="Verdana" w:cs="Verdana"/>
          <w:lang w:val="es-ES"/>
        </w:rPr>
        <w:t>la disposición anterior,</w:t>
      </w:r>
      <w:r w:rsidRPr="002069C6">
        <w:rPr>
          <w:rFonts w:ascii="Verdana" w:eastAsia="Verdana" w:hAnsi="Verdana" w:cs="Verdana"/>
          <w:spacing w:val="-8"/>
          <w:lang w:val="es-ES"/>
        </w:rPr>
        <w:t xml:space="preserve"> </w:t>
      </w:r>
      <w:r w:rsidRPr="002069C6">
        <w:rPr>
          <w:rFonts w:ascii="Verdana" w:eastAsia="Verdana" w:hAnsi="Verdana" w:cs="Verdana"/>
          <w:lang w:val="es-ES"/>
        </w:rPr>
        <w:t>el</w:t>
      </w:r>
      <w:r w:rsidRPr="002069C6">
        <w:rPr>
          <w:rFonts w:ascii="Verdana" w:eastAsia="Verdana" w:hAnsi="Verdana" w:cs="Verdana"/>
          <w:spacing w:val="-8"/>
          <w:lang w:val="es-ES"/>
        </w:rPr>
        <w:t xml:space="preserve"> </w:t>
      </w:r>
      <w:r w:rsidRPr="002069C6">
        <w:rPr>
          <w:rFonts w:ascii="Verdana" w:eastAsia="Verdana" w:hAnsi="Verdana" w:cs="Verdana"/>
          <w:lang w:val="es-ES"/>
        </w:rPr>
        <w:t>artículo</w:t>
      </w:r>
      <w:r w:rsidRPr="002069C6">
        <w:rPr>
          <w:rFonts w:ascii="Verdana" w:eastAsia="Verdana" w:hAnsi="Verdana" w:cs="Verdana"/>
          <w:spacing w:val="-7"/>
          <w:lang w:val="es-ES"/>
        </w:rPr>
        <w:t xml:space="preserve"> </w:t>
      </w:r>
      <w:r w:rsidRPr="002069C6">
        <w:rPr>
          <w:rFonts w:ascii="Verdana" w:eastAsia="Verdana" w:hAnsi="Verdana" w:cs="Verdana"/>
          <w:lang w:val="es-ES"/>
        </w:rPr>
        <w:t>14</w:t>
      </w:r>
      <w:r w:rsidRPr="002069C6">
        <w:rPr>
          <w:rFonts w:ascii="Verdana" w:eastAsia="Verdana" w:hAnsi="Verdana" w:cs="Verdana"/>
          <w:spacing w:val="-8"/>
          <w:lang w:val="es-ES"/>
        </w:rPr>
        <w:t xml:space="preserve"> </w:t>
      </w:r>
      <w:r w:rsidRPr="002069C6">
        <w:rPr>
          <w:rFonts w:ascii="Verdana" w:eastAsia="Verdana" w:hAnsi="Verdana" w:cs="Verdana"/>
          <w:lang w:val="es-ES"/>
        </w:rPr>
        <w:t>de</w:t>
      </w:r>
      <w:r w:rsidRPr="002069C6">
        <w:rPr>
          <w:rFonts w:ascii="Verdana" w:eastAsia="Verdana" w:hAnsi="Verdana" w:cs="Verdana"/>
          <w:spacing w:val="-9"/>
          <w:lang w:val="es-ES"/>
        </w:rPr>
        <w:t xml:space="preserve"> </w:t>
      </w:r>
      <w:r w:rsidRPr="002069C6">
        <w:rPr>
          <w:rFonts w:ascii="Verdana" w:eastAsia="Verdana" w:hAnsi="Verdana" w:cs="Verdana"/>
          <w:lang w:val="es-ES"/>
        </w:rPr>
        <w:t>la</w:t>
      </w:r>
      <w:r w:rsidRPr="002069C6">
        <w:rPr>
          <w:rFonts w:ascii="Verdana" w:eastAsia="Verdana" w:hAnsi="Verdana" w:cs="Verdana"/>
          <w:spacing w:val="-10"/>
          <w:lang w:val="es-ES"/>
        </w:rPr>
        <w:t xml:space="preserve"> </w:t>
      </w:r>
      <w:r w:rsidRPr="002069C6">
        <w:rPr>
          <w:rFonts w:ascii="Verdana" w:eastAsia="Verdana" w:hAnsi="Verdana" w:cs="Verdana"/>
          <w:lang w:val="es-ES"/>
        </w:rPr>
        <w:t>Ley</w:t>
      </w:r>
      <w:r w:rsidRPr="002069C6">
        <w:rPr>
          <w:rFonts w:ascii="Verdana" w:eastAsia="Verdana" w:hAnsi="Verdana" w:cs="Verdana"/>
          <w:spacing w:val="-8"/>
          <w:lang w:val="es-ES"/>
        </w:rPr>
        <w:t xml:space="preserve"> </w:t>
      </w:r>
      <w:r w:rsidRPr="002069C6">
        <w:rPr>
          <w:rFonts w:ascii="Verdana" w:eastAsia="Verdana" w:hAnsi="Verdana" w:cs="Verdana"/>
          <w:lang w:val="es-ES"/>
        </w:rPr>
        <w:t>1150</w:t>
      </w:r>
      <w:r w:rsidRPr="002069C6">
        <w:rPr>
          <w:rFonts w:ascii="Verdana" w:eastAsia="Verdana" w:hAnsi="Verdana" w:cs="Verdana"/>
          <w:spacing w:val="-8"/>
          <w:lang w:val="es-ES"/>
        </w:rPr>
        <w:t xml:space="preserve"> </w:t>
      </w:r>
      <w:r w:rsidRPr="002069C6">
        <w:rPr>
          <w:rFonts w:ascii="Verdana" w:eastAsia="Verdana" w:hAnsi="Verdana" w:cs="Verdana"/>
          <w:lang w:val="es-ES"/>
        </w:rPr>
        <w:t>de</w:t>
      </w:r>
      <w:r w:rsidRPr="002069C6">
        <w:rPr>
          <w:rFonts w:ascii="Verdana" w:eastAsia="Verdana" w:hAnsi="Verdana" w:cs="Verdana"/>
          <w:spacing w:val="-9"/>
          <w:lang w:val="es-ES"/>
        </w:rPr>
        <w:t xml:space="preserve"> </w:t>
      </w:r>
      <w:r w:rsidRPr="002069C6">
        <w:rPr>
          <w:rFonts w:ascii="Verdana" w:eastAsia="Verdana" w:hAnsi="Verdana" w:cs="Verdana"/>
          <w:lang w:val="es-ES"/>
        </w:rPr>
        <w:t>2007 –modificado</w:t>
      </w:r>
      <w:r w:rsidRPr="002069C6">
        <w:rPr>
          <w:rFonts w:ascii="Verdana" w:eastAsia="Verdana" w:hAnsi="Verdana" w:cs="Verdana"/>
          <w:spacing w:val="-7"/>
          <w:lang w:val="es-ES"/>
        </w:rPr>
        <w:t xml:space="preserve"> </w:t>
      </w:r>
      <w:r w:rsidRPr="002069C6">
        <w:rPr>
          <w:rFonts w:ascii="Verdana" w:eastAsia="Verdana" w:hAnsi="Verdana" w:cs="Verdana"/>
          <w:lang w:val="es-ES"/>
        </w:rPr>
        <w:t>por</w:t>
      </w:r>
      <w:r w:rsidRPr="002069C6">
        <w:rPr>
          <w:rFonts w:ascii="Verdana" w:eastAsia="Verdana" w:hAnsi="Verdana" w:cs="Verdana"/>
          <w:spacing w:val="-7"/>
          <w:lang w:val="es-ES"/>
        </w:rPr>
        <w:t xml:space="preserve"> </w:t>
      </w:r>
      <w:r w:rsidRPr="002069C6">
        <w:rPr>
          <w:rFonts w:ascii="Verdana" w:eastAsia="Verdana" w:hAnsi="Verdana" w:cs="Verdana"/>
          <w:lang w:val="es-ES"/>
        </w:rPr>
        <w:t>el</w:t>
      </w:r>
      <w:r w:rsidRPr="002069C6">
        <w:rPr>
          <w:rFonts w:ascii="Verdana" w:eastAsia="Verdana" w:hAnsi="Verdana" w:cs="Verdana"/>
          <w:spacing w:val="-8"/>
          <w:lang w:val="es-ES"/>
        </w:rPr>
        <w:t xml:space="preserve"> </w:t>
      </w:r>
      <w:r w:rsidRPr="002069C6">
        <w:rPr>
          <w:rFonts w:ascii="Verdana" w:eastAsia="Verdana" w:hAnsi="Verdana" w:cs="Verdana"/>
          <w:lang w:val="es-ES"/>
        </w:rPr>
        <w:t>artículo</w:t>
      </w:r>
      <w:r w:rsidRPr="002069C6">
        <w:rPr>
          <w:rFonts w:ascii="Verdana" w:eastAsia="Verdana" w:hAnsi="Verdana" w:cs="Verdana"/>
          <w:spacing w:val="-7"/>
          <w:lang w:val="es-ES"/>
        </w:rPr>
        <w:t xml:space="preserve"> </w:t>
      </w:r>
      <w:r w:rsidRPr="002069C6">
        <w:rPr>
          <w:rFonts w:ascii="Verdana" w:eastAsia="Verdana" w:hAnsi="Verdana" w:cs="Verdana"/>
          <w:lang w:val="es-ES"/>
        </w:rPr>
        <w:t>93</w:t>
      </w:r>
      <w:r w:rsidRPr="002069C6">
        <w:rPr>
          <w:rFonts w:ascii="Verdana" w:eastAsia="Verdana" w:hAnsi="Verdana" w:cs="Verdana"/>
          <w:spacing w:val="-12"/>
          <w:lang w:val="es-ES"/>
        </w:rPr>
        <w:t xml:space="preserve"> </w:t>
      </w:r>
      <w:r w:rsidRPr="002069C6">
        <w:rPr>
          <w:rFonts w:ascii="Verdana" w:eastAsia="Verdana" w:hAnsi="Verdana" w:cs="Verdana"/>
          <w:lang w:val="es-ES"/>
        </w:rPr>
        <w:t xml:space="preserve">de la Ley 1474 de 2011– dispuso un régimen </w:t>
      </w:r>
      <w:r>
        <w:rPr>
          <w:rFonts w:ascii="Verdana" w:eastAsia="Verdana" w:hAnsi="Verdana" w:cs="Verdana"/>
          <w:lang w:val="es-ES"/>
        </w:rPr>
        <w:t xml:space="preserve">especial </w:t>
      </w:r>
      <w:r w:rsidRPr="002069C6">
        <w:rPr>
          <w:rFonts w:ascii="Verdana" w:eastAsia="Verdana" w:hAnsi="Verdana" w:cs="Verdana"/>
          <w:lang w:val="es-ES"/>
        </w:rPr>
        <w:t>de aplicación del derecho privado para la actividad contractual de las Empresas Industriales y Comerciales del Estado que ejercen su actividad en competencia</w:t>
      </w:r>
      <w:r w:rsidRPr="002069C6">
        <w:rPr>
          <w:rFonts w:ascii="Verdana" w:eastAsia="Verdana" w:hAnsi="Verdana" w:cs="Verdana"/>
          <w:spacing w:val="-20"/>
          <w:lang w:val="es-ES"/>
        </w:rPr>
        <w:t xml:space="preserve"> </w:t>
      </w:r>
      <w:r w:rsidRPr="002069C6">
        <w:rPr>
          <w:rFonts w:ascii="Verdana" w:eastAsia="Verdana" w:hAnsi="Verdana" w:cs="Verdana"/>
          <w:lang w:val="es-ES"/>
        </w:rPr>
        <w:t>con</w:t>
      </w:r>
      <w:r w:rsidRPr="002069C6">
        <w:rPr>
          <w:rFonts w:ascii="Verdana" w:eastAsia="Verdana" w:hAnsi="Verdana" w:cs="Verdana"/>
          <w:spacing w:val="-19"/>
          <w:lang w:val="es-ES"/>
        </w:rPr>
        <w:t xml:space="preserve"> </w:t>
      </w:r>
      <w:r w:rsidRPr="002069C6">
        <w:rPr>
          <w:rFonts w:ascii="Verdana" w:eastAsia="Verdana" w:hAnsi="Verdana" w:cs="Verdana"/>
          <w:lang w:val="es-ES"/>
        </w:rPr>
        <w:t>el</w:t>
      </w:r>
      <w:r w:rsidRPr="002069C6">
        <w:rPr>
          <w:rFonts w:ascii="Verdana" w:eastAsia="Verdana" w:hAnsi="Verdana" w:cs="Verdana"/>
          <w:spacing w:val="-19"/>
          <w:lang w:val="es-ES"/>
        </w:rPr>
        <w:t xml:space="preserve"> </w:t>
      </w:r>
      <w:r w:rsidRPr="002069C6">
        <w:rPr>
          <w:rFonts w:ascii="Verdana" w:eastAsia="Verdana" w:hAnsi="Verdana" w:cs="Verdana"/>
          <w:lang w:val="es-ES"/>
        </w:rPr>
        <w:t>sector</w:t>
      </w:r>
      <w:r w:rsidRPr="002069C6">
        <w:rPr>
          <w:rFonts w:ascii="Verdana" w:eastAsia="Verdana" w:hAnsi="Verdana" w:cs="Verdana"/>
          <w:spacing w:val="-20"/>
          <w:lang w:val="es-ES"/>
        </w:rPr>
        <w:t xml:space="preserve"> </w:t>
      </w:r>
      <w:r w:rsidRPr="002069C6">
        <w:rPr>
          <w:rFonts w:ascii="Verdana" w:eastAsia="Verdana" w:hAnsi="Verdana" w:cs="Verdana"/>
          <w:lang w:val="es-ES"/>
        </w:rPr>
        <w:t>público</w:t>
      </w:r>
      <w:r w:rsidRPr="002069C6">
        <w:rPr>
          <w:rFonts w:ascii="Verdana" w:eastAsia="Verdana" w:hAnsi="Verdana" w:cs="Verdana"/>
          <w:spacing w:val="-19"/>
          <w:lang w:val="es-ES"/>
        </w:rPr>
        <w:t xml:space="preserve"> </w:t>
      </w:r>
      <w:r w:rsidRPr="002069C6">
        <w:rPr>
          <w:rFonts w:ascii="Verdana" w:eastAsia="Verdana" w:hAnsi="Verdana" w:cs="Verdana"/>
          <w:lang w:val="es-ES"/>
        </w:rPr>
        <w:t>o</w:t>
      </w:r>
      <w:r w:rsidRPr="002069C6">
        <w:rPr>
          <w:rFonts w:ascii="Verdana" w:eastAsia="Verdana" w:hAnsi="Verdana" w:cs="Verdana"/>
          <w:spacing w:val="-20"/>
          <w:lang w:val="es-ES"/>
        </w:rPr>
        <w:t xml:space="preserve"> </w:t>
      </w:r>
      <w:r w:rsidRPr="002069C6">
        <w:rPr>
          <w:rFonts w:ascii="Verdana" w:eastAsia="Verdana" w:hAnsi="Verdana" w:cs="Verdana"/>
          <w:lang w:val="es-ES"/>
        </w:rPr>
        <w:t>privado,</w:t>
      </w:r>
      <w:r w:rsidRPr="002069C6">
        <w:rPr>
          <w:rFonts w:ascii="Verdana" w:eastAsia="Verdana" w:hAnsi="Verdana" w:cs="Verdana"/>
          <w:spacing w:val="-19"/>
          <w:lang w:val="es-ES"/>
        </w:rPr>
        <w:t xml:space="preserve"> </w:t>
      </w:r>
      <w:r w:rsidRPr="002069C6">
        <w:rPr>
          <w:rFonts w:ascii="Verdana" w:eastAsia="Verdana" w:hAnsi="Verdana" w:cs="Verdana"/>
          <w:lang w:val="es-ES"/>
        </w:rPr>
        <w:t>o</w:t>
      </w:r>
      <w:r w:rsidRPr="002069C6">
        <w:rPr>
          <w:rFonts w:ascii="Verdana" w:eastAsia="Verdana" w:hAnsi="Verdana" w:cs="Verdana"/>
          <w:spacing w:val="-19"/>
          <w:lang w:val="es-ES"/>
        </w:rPr>
        <w:t xml:space="preserve"> </w:t>
      </w:r>
      <w:r w:rsidRPr="002069C6">
        <w:rPr>
          <w:rFonts w:ascii="Verdana" w:eastAsia="Verdana" w:hAnsi="Verdana" w:cs="Verdana"/>
          <w:lang w:val="es-ES"/>
        </w:rPr>
        <w:t>en</w:t>
      </w:r>
      <w:r w:rsidRPr="002069C6">
        <w:rPr>
          <w:rFonts w:ascii="Verdana" w:eastAsia="Verdana" w:hAnsi="Verdana" w:cs="Verdana"/>
          <w:spacing w:val="-20"/>
          <w:lang w:val="es-ES"/>
        </w:rPr>
        <w:t xml:space="preserve"> </w:t>
      </w:r>
      <w:r w:rsidRPr="002069C6">
        <w:rPr>
          <w:rFonts w:ascii="Verdana" w:eastAsia="Verdana" w:hAnsi="Verdana" w:cs="Verdana"/>
          <w:lang w:val="es-ES"/>
        </w:rPr>
        <w:t>mercados</w:t>
      </w:r>
      <w:r w:rsidRPr="002069C6">
        <w:rPr>
          <w:rFonts w:ascii="Verdana" w:eastAsia="Verdana" w:hAnsi="Verdana" w:cs="Verdana"/>
          <w:spacing w:val="-19"/>
          <w:lang w:val="es-ES"/>
        </w:rPr>
        <w:t xml:space="preserve"> </w:t>
      </w:r>
      <w:r w:rsidRPr="002069C6">
        <w:rPr>
          <w:rFonts w:ascii="Verdana" w:eastAsia="Verdana" w:hAnsi="Verdana" w:cs="Verdana"/>
          <w:lang w:val="es-ES"/>
        </w:rPr>
        <w:t>regulados,</w:t>
      </w:r>
      <w:r w:rsidRPr="002069C6">
        <w:rPr>
          <w:rFonts w:ascii="Verdana" w:eastAsia="Verdana" w:hAnsi="Verdana" w:cs="Verdana"/>
          <w:spacing w:val="-19"/>
          <w:lang w:val="es-ES"/>
        </w:rPr>
        <w:t xml:space="preserve"> </w:t>
      </w:r>
      <w:r w:rsidRPr="002069C6">
        <w:rPr>
          <w:rFonts w:ascii="Verdana" w:eastAsia="Verdana" w:hAnsi="Verdana" w:cs="Verdana"/>
          <w:lang w:val="es-ES"/>
        </w:rPr>
        <w:t>quedando las otras empresas de esta índole dentro del ámbito de aplicación del Estatuto General de Contratación de la Administración Pública</w:t>
      </w:r>
      <w:r w:rsidRPr="002069C6">
        <w:rPr>
          <w:rFonts w:ascii="Verdana" w:eastAsia="Verdana" w:hAnsi="Verdana" w:cs="Verdana"/>
          <w:vertAlign w:val="superscript"/>
          <w:lang w:val="es-ES"/>
        </w:rPr>
        <w:footnoteReference w:id="3"/>
      </w:r>
      <w:r w:rsidRPr="002069C6">
        <w:rPr>
          <w:rFonts w:ascii="Verdana" w:eastAsia="Verdana" w:hAnsi="Verdana" w:cs="Verdana"/>
          <w:lang w:val="es-ES"/>
        </w:rPr>
        <w:t xml:space="preserve">. </w:t>
      </w:r>
      <w:r>
        <w:rPr>
          <w:rFonts w:ascii="Verdana" w:eastAsia="Verdana" w:hAnsi="Verdana" w:cs="Verdana"/>
          <w:lang w:val="es-ES"/>
        </w:rPr>
        <w:t>L</w:t>
      </w:r>
      <w:r w:rsidRPr="002069C6">
        <w:rPr>
          <w:rFonts w:ascii="Verdana" w:eastAsia="Verdana" w:hAnsi="Verdana" w:cs="Verdana"/>
          <w:lang w:val="es-ES"/>
        </w:rPr>
        <w:t>a norma</w:t>
      </w:r>
      <w:r w:rsidRPr="002069C6">
        <w:rPr>
          <w:rFonts w:ascii="Verdana" w:eastAsia="Verdana" w:hAnsi="Verdana" w:cs="Verdana"/>
          <w:spacing w:val="-1"/>
          <w:lang w:val="es-ES"/>
        </w:rPr>
        <w:t xml:space="preserve"> </w:t>
      </w:r>
      <w:r w:rsidRPr="002069C6">
        <w:rPr>
          <w:rFonts w:ascii="Verdana" w:eastAsia="Verdana" w:hAnsi="Verdana" w:cs="Verdana"/>
          <w:lang w:val="es-ES"/>
        </w:rPr>
        <w:t>vigente respecto a</w:t>
      </w:r>
      <w:r w:rsidRPr="002069C6">
        <w:rPr>
          <w:rFonts w:ascii="Verdana" w:eastAsia="Verdana" w:hAnsi="Verdana" w:cs="Verdana"/>
          <w:spacing w:val="-1"/>
          <w:lang w:val="es-ES"/>
        </w:rPr>
        <w:t xml:space="preserve"> </w:t>
      </w:r>
      <w:r w:rsidRPr="002069C6">
        <w:rPr>
          <w:rFonts w:ascii="Verdana" w:eastAsia="Verdana" w:hAnsi="Verdana" w:cs="Verdana"/>
          <w:lang w:val="es-ES"/>
        </w:rPr>
        <w:t>su régimen contractual establece:</w:t>
      </w:r>
    </w:p>
    <w:p w14:paraId="65159C2E" w14:textId="77777777" w:rsidR="002F5531" w:rsidRPr="002069C6" w:rsidRDefault="002F5531" w:rsidP="002F5531">
      <w:pPr>
        <w:widowControl w:val="0"/>
        <w:autoSpaceDE w:val="0"/>
        <w:autoSpaceDN w:val="0"/>
        <w:spacing w:after="0" w:line="276" w:lineRule="auto"/>
        <w:ind w:firstLine="709"/>
        <w:jc w:val="both"/>
        <w:rPr>
          <w:rFonts w:ascii="Verdana" w:eastAsia="Arial" w:hAnsi="Verdana" w:cs="Arial"/>
          <w:color w:val="EE0000"/>
          <w:lang w:val="es-ES"/>
        </w:rPr>
      </w:pPr>
    </w:p>
    <w:p w14:paraId="09158C7F" w14:textId="77777777" w:rsidR="002F5531" w:rsidRPr="002069C6" w:rsidRDefault="002F5531" w:rsidP="002F5531">
      <w:pPr>
        <w:spacing w:after="0" w:line="240" w:lineRule="auto"/>
        <w:ind w:left="709" w:right="709"/>
        <w:contextualSpacing/>
        <w:jc w:val="both"/>
        <w:rPr>
          <w:rFonts w:ascii="Verdana" w:eastAsia="Times New Roman" w:hAnsi="Verdana" w:cs="Arial"/>
          <w:sz w:val="20"/>
          <w:szCs w:val="20"/>
          <w:lang w:eastAsia="es-ES_tradnl"/>
        </w:rPr>
      </w:pPr>
      <w:r w:rsidRPr="002069C6">
        <w:rPr>
          <w:rFonts w:ascii="Verdana" w:eastAsia="Times New Roman" w:hAnsi="Verdana" w:cs="Arial"/>
          <w:sz w:val="20"/>
          <w:szCs w:val="20"/>
          <w:lang w:eastAsia="es-ES_tradnl"/>
        </w:rPr>
        <w:t>“Artículo 14. Del régimen contractual de las empresas industriales y comerciales del estado, las sociedades de economía mixta, sus filiales y empresas con participación mayoritaria del estado. Las Empresas Industriales y Comerciales del Estado, las Sociedades de Economía Mixta en las que el Estado tenga participación superior al cincuenta por ciento (50%), sus filiales y las Sociedades entre Entidades Públicas con participación mayoritaria del Estado superior al cincuenta por ciento (50%), estarán sometidas al Estatuto General de Contratación de la Administración Pública, con excepción de aquellas que desarrollen actividades comerciales en competencia con el sector privado y/o público, nacional o internacional o en mercados regulados, caso en el cual se regirán por las disposiciones legales y reglamentarias aplicables a sus actividades económicas y comerciales, sin perjuicio de lo previsto en el artículo 13 de la presente ley. Se exceptúan los contratos de ciencia y tecnología, que se regirán por la Ley 29 de 1990 y las disposiciones normativas existentes”</w:t>
      </w:r>
      <w:r w:rsidRPr="002069C6">
        <w:rPr>
          <w:rFonts w:ascii="Verdana" w:eastAsia="Times New Roman" w:hAnsi="Verdana" w:cs="Arial"/>
          <w:sz w:val="20"/>
          <w:szCs w:val="20"/>
          <w:vertAlign w:val="superscript"/>
          <w:lang w:eastAsia="es-ES_tradnl"/>
        </w:rPr>
        <w:footnoteReference w:id="4"/>
      </w:r>
      <w:r w:rsidRPr="002069C6">
        <w:rPr>
          <w:rFonts w:ascii="Verdana" w:eastAsia="Times New Roman" w:hAnsi="Verdana" w:cs="Arial"/>
          <w:sz w:val="20"/>
          <w:szCs w:val="20"/>
          <w:lang w:eastAsia="es-ES_tradnl"/>
        </w:rPr>
        <w:t>.</w:t>
      </w:r>
    </w:p>
    <w:p w14:paraId="1ABB9A50" w14:textId="77777777" w:rsidR="002F5531" w:rsidRPr="002069C6" w:rsidRDefault="002F5531" w:rsidP="002F5531">
      <w:pPr>
        <w:spacing w:after="0"/>
        <w:ind w:left="709" w:right="709"/>
        <w:jc w:val="both"/>
        <w:rPr>
          <w:rFonts w:ascii="Verdana" w:eastAsia="Calibri" w:hAnsi="Verdana" w:cs="Times New Roman"/>
          <w:sz w:val="21"/>
          <w:szCs w:val="21"/>
        </w:rPr>
      </w:pPr>
    </w:p>
    <w:p w14:paraId="2A1BAF0E" w14:textId="77777777" w:rsidR="002F5531" w:rsidRPr="002069C6" w:rsidRDefault="002F5531" w:rsidP="00B41362">
      <w:pPr>
        <w:widowControl w:val="0"/>
        <w:autoSpaceDE w:val="0"/>
        <w:autoSpaceDN w:val="0"/>
        <w:spacing w:after="120" w:line="276" w:lineRule="auto"/>
        <w:ind w:firstLine="709"/>
        <w:jc w:val="both"/>
        <w:rPr>
          <w:rFonts w:ascii="Verdana" w:hAnsi="Verdana" w:cs="Arial"/>
        </w:rPr>
      </w:pPr>
      <w:r w:rsidRPr="002069C6">
        <w:rPr>
          <w:rFonts w:ascii="Verdana" w:eastAsia="Verdana" w:hAnsi="Verdana" w:cs="Verdana"/>
          <w:lang w:val="es-ES"/>
        </w:rPr>
        <w:lastRenderedPageBreak/>
        <w:t>El sometimiento parcial de las Empresas Industriales y Comerciales del Estado</w:t>
      </w:r>
      <w:r w:rsidRPr="002069C6">
        <w:rPr>
          <w:rFonts w:ascii="Verdana" w:eastAsia="Verdana" w:hAnsi="Verdana" w:cs="Verdana"/>
          <w:spacing w:val="-14"/>
          <w:lang w:val="es-ES"/>
        </w:rPr>
        <w:t xml:space="preserve"> </w:t>
      </w:r>
      <w:r w:rsidRPr="002069C6">
        <w:rPr>
          <w:rFonts w:ascii="Verdana" w:eastAsia="Verdana" w:hAnsi="Verdana" w:cs="Verdana"/>
          <w:lang w:val="es-ES"/>
        </w:rPr>
        <w:t>al</w:t>
      </w:r>
      <w:r w:rsidRPr="002069C6">
        <w:rPr>
          <w:rFonts w:ascii="Verdana" w:eastAsia="Verdana" w:hAnsi="Verdana" w:cs="Verdana"/>
          <w:spacing w:val="-14"/>
          <w:lang w:val="es-ES"/>
        </w:rPr>
        <w:t xml:space="preserve"> </w:t>
      </w:r>
      <w:r w:rsidRPr="002069C6">
        <w:rPr>
          <w:rFonts w:ascii="Verdana" w:eastAsia="Verdana" w:hAnsi="Verdana" w:cs="Verdana"/>
          <w:lang w:val="es-ES"/>
        </w:rPr>
        <w:t>régimen</w:t>
      </w:r>
      <w:r w:rsidRPr="002069C6">
        <w:rPr>
          <w:rFonts w:ascii="Verdana" w:eastAsia="Verdana" w:hAnsi="Verdana" w:cs="Verdana"/>
          <w:spacing w:val="-14"/>
          <w:lang w:val="es-ES"/>
        </w:rPr>
        <w:t xml:space="preserve"> </w:t>
      </w:r>
      <w:r w:rsidRPr="002069C6">
        <w:rPr>
          <w:rFonts w:ascii="Verdana" w:eastAsia="Verdana" w:hAnsi="Verdana" w:cs="Verdana"/>
          <w:lang w:val="es-ES"/>
        </w:rPr>
        <w:t>de</w:t>
      </w:r>
      <w:r w:rsidRPr="002069C6">
        <w:rPr>
          <w:rFonts w:ascii="Verdana" w:eastAsia="Verdana" w:hAnsi="Verdana" w:cs="Verdana"/>
          <w:spacing w:val="-15"/>
          <w:lang w:val="es-ES"/>
        </w:rPr>
        <w:t xml:space="preserve"> </w:t>
      </w:r>
      <w:r w:rsidRPr="002069C6">
        <w:rPr>
          <w:rFonts w:ascii="Verdana" w:eastAsia="Verdana" w:hAnsi="Verdana" w:cs="Verdana"/>
          <w:lang w:val="es-ES"/>
        </w:rPr>
        <w:t>derecho</w:t>
      </w:r>
      <w:r w:rsidRPr="002069C6">
        <w:rPr>
          <w:rFonts w:ascii="Verdana" w:eastAsia="Verdana" w:hAnsi="Verdana" w:cs="Verdana"/>
          <w:spacing w:val="-13"/>
          <w:lang w:val="es-ES"/>
        </w:rPr>
        <w:t xml:space="preserve"> </w:t>
      </w:r>
      <w:r w:rsidRPr="002069C6">
        <w:rPr>
          <w:rFonts w:ascii="Verdana" w:eastAsia="Verdana" w:hAnsi="Verdana" w:cs="Verdana"/>
          <w:lang w:val="es-ES"/>
        </w:rPr>
        <w:t>privado</w:t>
      </w:r>
      <w:r w:rsidRPr="002069C6">
        <w:rPr>
          <w:rFonts w:ascii="Verdana" w:eastAsia="Verdana" w:hAnsi="Verdana" w:cs="Verdana"/>
          <w:spacing w:val="-14"/>
          <w:lang w:val="es-ES"/>
        </w:rPr>
        <w:t xml:space="preserve"> </w:t>
      </w:r>
      <w:r w:rsidRPr="002069C6">
        <w:rPr>
          <w:rFonts w:ascii="Verdana" w:eastAsia="Verdana" w:hAnsi="Verdana" w:cs="Verdana"/>
          <w:lang w:val="es-ES"/>
        </w:rPr>
        <w:t>se</w:t>
      </w:r>
      <w:r w:rsidRPr="002069C6">
        <w:rPr>
          <w:rFonts w:ascii="Verdana" w:eastAsia="Verdana" w:hAnsi="Verdana" w:cs="Verdana"/>
          <w:spacing w:val="-20"/>
          <w:lang w:val="es-ES"/>
        </w:rPr>
        <w:t xml:space="preserve"> </w:t>
      </w:r>
      <w:r w:rsidRPr="002069C6">
        <w:rPr>
          <w:rFonts w:ascii="Verdana" w:eastAsia="Verdana" w:hAnsi="Verdana" w:cs="Verdana"/>
          <w:lang w:val="es-ES"/>
        </w:rPr>
        <w:t>ha</w:t>
      </w:r>
      <w:r w:rsidRPr="002069C6">
        <w:rPr>
          <w:rFonts w:ascii="Verdana" w:eastAsia="Verdana" w:hAnsi="Verdana" w:cs="Verdana"/>
          <w:spacing w:val="-15"/>
          <w:lang w:val="es-ES"/>
        </w:rPr>
        <w:t xml:space="preserve"> </w:t>
      </w:r>
      <w:r w:rsidRPr="002069C6">
        <w:rPr>
          <w:rFonts w:ascii="Verdana" w:eastAsia="Verdana" w:hAnsi="Verdana" w:cs="Verdana"/>
          <w:lang w:val="es-ES"/>
        </w:rPr>
        <w:t>justificado</w:t>
      </w:r>
      <w:r w:rsidRPr="002069C6">
        <w:rPr>
          <w:rFonts w:ascii="Verdana" w:eastAsia="Verdana" w:hAnsi="Verdana" w:cs="Verdana"/>
          <w:spacing w:val="-13"/>
          <w:lang w:val="es-ES"/>
        </w:rPr>
        <w:t xml:space="preserve"> </w:t>
      </w:r>
      <w:r w:rsidRPr="002069C6">
        <w:rPr>
          <w:rFonts w:ascii="Verdana" w:eastAsia="Verdana" w:hAnsi="Verdana" w:cs="Verdana"/>
          <w:lang w:val="es-ES"/>
        </w:rPr>
        <w:t>por “la</w:t>
      </w:r>
      <w:r w:rsidRPr="002069C6">
        <w:rPr>
          <w:rFonts w:ascii="Verdana" w:eastAsia="Verdana" w:hAnsi="Verdana" w:cs="Verdana"/>
          <w:spacing w:val="-20"/>
          <w:lang w:val="es-ES"/>
        </w:rPr>
        <w:t xml:space="preserve"> </w:t>
      </w:r>
      <w:r w:rsidRPr="002069C6">
        <w:rPr>
          <w:rFonts w:ascii="Verdana" w:eastAsia="Verdana" w:hAnsi="Verdana" w:cs="Verdana"/>
          <w:lang w:val="es-ES"/>
        </w:rPr>
        <w:t>necesidad</w:t>
      </w:r>
      <w:r w:rsidRPr="002069C6">
        <w:rPr>
          <w:rFonts w:ascii="Verdana" w:eastAsia="Verdana" w:hAnsi="Verdana" w:cs="Verdana"/>
          <w:spacing w:val="-15"/>
          <w:lang w:val="es-ES"/>
        </w:rPr>
        <w:t xml:space="preserve"> </w:t>
      </w:r>
      <w:r w:rsidRPr="002069C6">
        <w:rPr>
          <w:rFonts w:ascii="Verdana" w:eastAsia="Verdana" w:hAnsi="Verdana" w:cs="Verdana"/>
          <w:lang w:val="es-ES"/>
        </w:rPr>
        <w:t>de</w:t>
      </w:r>
      <w:r w:rsidRPr="002069C6">
        <w:rPr>
          <w:rFonts w:ascii="Verdana" w:eastAsia="Verdana" w:hAnsi="Verdana" w:cs="Verdana"/>
          <w:spacing w:val="-15"/>
          <w:lang w:val="es-ES"/>
        </w:rPr>
        <w:t xml:space="preserve"> </w:t>
      </w:r>
      <w:r w:rsidRPr="002069C6">
        <w:rPr>
          <w:rFonts w:ascii="Verdana" w:eastAsia="Verdana" w:hAnsi="Verdana" w:cs="Verdana"/>
          <w:lang w:val="es-ES"/>
        </w:rPr>
        <w:t>que en</w:t>
      </w:r>
      <w:r w:rsidRPr="002069C6">
        <w:rPr>
          <w:rFonts w:ascii="Verdana" w:eastAsia="Verdana" w:hAnsi="Verdana" w:cs="Verdana"/>
          <w:spacing w:val="-7"/>
          <w:lang w:val="es-ES"/>
        </w:rPr>
        <w:t xml:space="preserve"> </w:t>
      </w:r>
      <w:r w:rsidRPr="002069C6">
        <w:rPr>
          <w:rFonts w:ascii="Verdana" w:eastAsia="Verdana" w:hAnsi="Verdana" w:cs="Verdana"/>
          <w:lang w:val="es-ES"/>
        </w:rPr>
        <w:t>su</w:t>
      </w:r>
      <w:r w:rsidRPr="002069C6">
        <w:rPr>
          <w:rFonts w:ascii="Verdana" w:eastAsia="Verdana" w:hAnsi="Verdana" w:cs="Verdana"/>
          <w:spacing w:val="-6"/>
          <w:lang w:val="es-ES"/>
        </w:rPr>
        <w:t xml:space="preserve"> </w:t>
      </w:r>
      <w:r w:rsidRPr="002069C6">
        <w:rPr>
          <w:rFonts w:ascii="Verdana" w:eastAsia="Verdana" w:hAnsi="Verdana" w:cs="Verdana"/>
          <w:lang w:val="es-ES"/>
        </w:rPr>
        <w:t>actividad</w:t>
      </w:r>
      <w:r w:rsidRPr="002069C6">
        <w:rPr>
          <w:rFonts w:ascii="Verdana" w:eastAsia="Verdana" w:hAnsi="Verdana" w:cs="Verdana"/>
          <w:spacing w:val="-9"/>
          <w:lang w:val="es-ES"/>
        </w:rPr>
        <w:t xml:space="preserve"> </w:t>
      </w:r>
      <w:r w:rsidRPr="002069C6">
        <w:rPr>
          <w:rFonts w:ascii="Verdana" w:eastAsia="Verdana" w:hAnsi="Verdana" w:cs="Verdana"/>
          <w:lang w:val="es-ES"/>
        </w:rPr>
        <w:t>industrial</w:t>
      </w:r>
      <w:r w:rsidRPr="002069C6">
        <w:rPr>
          <w:rFonts w:ascii="Verdana" w:eastAsia="Verdana" w:hAnsi="Verdana" w:cs="Verdana"/>
          <w:spacing w:val="-7"/>
          <w:lang w:val="es-ES"/>
        </w:rPr>
        <w:t xml:space="preserve"> </w:t>
      </w:r>
      <w:r w:rsidRPr="002069C6">
        <w:rPr>
          <w:rFonts w:ascii="Verdana" w:eastAsia="Verdana" w:hAnsi="Verdana" w:cs="Verdana"/>
          <w:lang w:val="es-ES"/>
        </w:rPr>
        <w:t>y</w:t>
      </w:r>
      <w:r w:rsidRPr="002069C6">
        <w:rPr>
          <w:rFonts w:ascii="Verdana" w:eastAsia="Verdana" w:hAnsi="Verdana" w:cs="Verdana"/>
          <w:spacing w:val="-7"/>
          <w:lang w:val="es-ES"/>
        </w:rPr>
        <w:t xml:space="preserve"> </w:t>
      </w:r>
      <w:r w:rsidRPr="002069C6">
        <w:rPr>
          <w:rFonts w:ascii="Verdana" w:eastAsia="Verdana" w:hAnsi="Verdana" w:cs="Verdana"/>
          <w:lang w:val="es-ES"/>
        </w:rPr>
        <w:t>comercial,</w:t>
      </w:r>
      <w:r w:rsidRPr="002069C6">
        <w:rPr>
          <w:rFonts w:ascii="Verdana" w:eastAsia="Verdana" w:hAnsi="Verdana" w:cs="Verdana"/>
          <w:spacing w:val="-7"/>
          <w:lang w:val="es-ES"/>
        </w:rPr>
        <w:t xml:space="preserve"> </w:t>
      </w:r>
      <w:r w:rsidRPr="002069C6">
        <w:rPr>
          <w:rFonts w:ascii="Verdana" w:eastAsia="Verdana" w:hAnsi="Verdana" w:cs="Verdana"/>
          <w:lang w:val="es-ES"/>
        </w:rPr>
        <w:t>tradicionalmente</w:t>
      </w:r>
      <w:r w:rsidRPr="002069C6">
        <w:rPr>
          <w:rFonts w:ascii="Verdana" w:eastAsia="Verdana" w:hAnsi="Verdana" w:cs="Verdana"/>
          <w:spacing w:val="-8"/>
          <w:lang w:val="es-ES"/>
        </w:rPr>
        <w:t xml:space="preserve"> </w:t>
      </w:r>
      <w:r w:rsidRPr="002069C6">
        <w:rPr>
          <w:rFonts w:ascii="Verdana" w:eastAsia="Verdana" w:hAnsi="Verdana" w:cs="Verdana"/>
          <w:lang w:val="es-ES"/>
        </w:rPr>
        <w:t>ajena</w:t>
      </w:r>
      <w:r w:rsidRPr="002069C6">
        <w:rPr>
          <w:rFonts w:ascii="Verdana" w:eastAsia="Verdana" w:hAnsi="Verdana" w:cs="Verdana"/>
          <w:spacing w:val="-9"/>
          <w:lang w:val="es-ES"/>
        </w:rPr>
        <w:t xml:space="preserve"> </w:t>
      </w:r>
      <w:r w:rsidRPr="002069C6">
        <w:rPr>
          <w:rFonts w:ascii="Verdana" w:eastAsia="Verdana" w:hAnsi="Verdana" w:cs="Verdana"/>
          <w:lang w:val="es-ES"/>
        </w:rPr>
        <w:t>al</w:t>
      </w:r>
      <w:r w:rsidRPr="002069C6">
        <w:rPr>
          <w:rFonts w:ascii="Verdana" w:eastAsia="Verdana" w:hAnsi="Verdana" w:cs="Verdana"/>
          <w:spacing w:val="-7"/>
          <w:lang w:val="es-ES"/>
        </w:rPr>
        <w:t xml:space="preserve"> </w:t>
      </w:r>
      <w:r w:rsidRPr="002069C6">
        <w:rPr>
          <w:rFonts w:ascii="Verdana" w:eastAsia="Verdana" w:hAnsi="Verdana" w:cs="Verdana"/>
          <w:lang w:val="es-ES"/>
        </w:rPr>
        <w:t>Estado</w:t>
      </w:r>
      <w:r w:rsidRPr="002069C6">
        <w:rPr>
          <w:rFonts w:ascii="Verdana" w:eastAsia="Verdana" w:hAnsi="Verdana" w:cs="Verdana"/>
          <w:spacing w:val="-6"/>
          <w:lang w:val="es-ES"/>
        </w:rPr>
        <w:t xml:space="preserve"> </w:t>
      </w:r>
      <w:r w:rsidRPr="002069C6">
        <w:rPr>
          <w:rFonts w:ascii="Verdana" w:eastAsia="Verdana" w:hAnsi="Verdana" w:cs="Verdana"/>
          <w:lang w:val="es-ES"/>
        </w:rPr>
        <w:t>y</w:t>
      </w:r>
      <w:r w:rsidRPr="002069C6">
        <w:rPr>
          <w:rFonts w:ascii="Verdana" w:eastAsia="Verdana" w:hAnsi="Verdana" w:cs="Verdana"/>
          <w:spacing w:val="-7"/>
          <w:lang w:val="es-ES"/>
        </w:rPr>
        <w:t xml:space="preserve"> </w:t>
      </w:r>
      <w:r w:rsidRPr="002069C6">
        <w:rPr>
          <w:rFonts w:ascii="Verdana" w:eastAsia="Verdana" w:hAnsi="Verdana" w:cs="Verdana"/>
          <w:lang w:val="es-ES"/>
        </w:rPr>
        <w:t>propia de los particulares, ellas actúen en términos equivalentes a éstos cuando realicen actividades similares, sin tener prerrogativas exorbitantes que atenten contra</w:t>
      </w:r>
      <w:r w:rsidRPr="002069C6">
        <w:rPr>
          <w:rFonts w:ascii="Verdana" w:eastAsia="Verdana" w:hAnsi="Verdana" w:cs="Verdana"/>
          <w:spacing w:val="-15"/>
          <w:lang w:val="es-ES"/>
        </w:rPr>
        <w:t xml:space="preserve"> </w:t>
      </w:r>
      <w:r w:rsidRPr="002069C6">
        <w:rPr>
          <w:rFonts w:ascii="Verdana" w:eastAsia="Verdana" w:hAnsi="Verdana" w:cs="Verdana"/>
          <w:lang w:val="es-ES"/>
        </w:rPr>
        <w:t>el</w:t>
      </w:r>
      <w:r w:rsidRPr="002069C6">
        <w:rPr>
          <w:rFonts w:ascii="Verdana" w:eastAsia="Verdana" w:hAnsi="Verdana" w:cs="Verdana"/>
          <w:spacing w:val="-13"/>
          <w:lang w:val="es-ES"/>
        </w:rPr>
        <w:t xml:space="preserve"> </w:t>
      </w:r>
      <w:r w:rsidRPr="002069C6">
        <w:rPr>
          <w:rFonts w:ascii="Verdana" w:eastAsia="Verdana" w:hAnsi="Verdana" w:cs="Verdana"/>
          <w:lang w:val="es-ES"/>
        </w:rPr>
        <w:t>derecho</w:t>
      </w:r>
      <w:r w:rsidRPr="002069C6">
        <w:rPr>
          <w:rFonts w:ascii="Verdana" w:eastAsia="Verdana" w:hAnsi="Verdana" w:cs="Verdana"/>
          <w:spacing w:val="-12"/>
          <w:lang w:val="es-ES"/>
        </w:rPr>
        <w:t xml:space="preserve"> </w:t>
      </w:r>
      <w:r w:rsidRPr="002069C6">
        <w:rPr>
          <w:rFonts w:ascii="Verdana" w:eastAsia="Verdana" w:hAnsi="Verdana" w:cs="Verdana"/>
          <w:lang w:val="es-ES"/>
        </w:rPr>
        <w:t>a</w:t>
      </w:r>
      <w:r w:rsidRPr="002069C6">
        <w:rPr>
          <w:rFonts w:ascii="Verdana" w:eastAsia="Verdana" w:hAnsi="Verdana" w:cs="Verdana"/>
          <w:spacing w:val="-15"/>
          <w:lang w:val="es-ES"/>
        </w:rPr>
        <w:t xml:space="preserve"> </w:t>
      </w:r>
      <w:r w:rsidRPr="002069C6">
        <w:rPr>
          <w:rFonts w:ascii="Verdana" w:eastAsia="Verdana" w:hAnsi="Verdana" w:cs="Verdana"/>
          <w:lang w:val="es-ES"/>
        </w:rPr>
        <w:t>la</w:t>
      </w:r>
      <w:r w:rsidRPr="002069C6">
        <w:rPr>
          <w:rFonts w:ascii="Verdana" w:eastAsia="Verdana" w:hAnsi="Verdana" w:cs="Verdana"/>
          <w:spacing w:val="-19"/>
          <w:lang w:val="es-ES"/>
        </w:rPr>
        <w:t xml:space="preserve"> </w:t>
      </w:r>
      <w:r w:rsidRPr="002069C6">
        <w:rPr>
          <w:rFonts w:ascii="Verdana" w:eastAsia="Verdana" w:hAnsi="Verdana" w:cs="Verdana"/>
          <w:lang w:val="es-ES"/>
        </w:rPr>
        <w:t>igualdad</w:t>
      </w:r>
      <w:r w:rsidRPr="002069C6">
        <w:rPr>
          <w:rFonts w:ascii="Verdana" w:eastAsia="Verdana" w:hAnsi="Verdana" w:cs="Verdana"/>
          <w:spacing w:val="-15"/>
          <w:lang w:val="es-ES"/>
        </w:rPr>
        <w:t xml:space="preserve"> </w:t>
      </w:r>
      <w:r w:rsidRPr="002069C6">
        <w:rPr>
          <w:rFonts w:ascii="Verdana" w:eastAsia="Verdana" w:hAnsi="Verdana" w:cs="Verdana"/>
          <w:lang w:val="es-ES"/>
        </w:rPr>
        <w:t>ni</w:t>
      </w:r>
      <w:r w:rsidRPr="002069C6">
        <w:rPr>
          <w:rFonts w:ascii="Verdana" w:eastAsia="Verdana" w:hAnsi="Verdana" w:cs="Verdana"/>
          <w:spacing w:val="-13"/>
          <w:lang w:val="es-ES"/>
        </w:rPr>
        <w:t xml:space="preserve"> </w:t>
      </w:r>
      <w:r w:rsidRPr="002069C6">
        <w:rPr>
          <w:rFonts w:ascii="Verdana" w:eastAsia="Verdana" w:hAnsi="Verdana" w:cs="Verdana"/>
          <w:lang w:val="es-ES"/>
        </w:rPr>
        <w:t>estar</w:t>
      </w:r>
      <w:r w:rsidRPr="002069C6">
        <w:rPr>
          <w:rFonts w:ascii="Verdana" w:eastAsia="Verdana" w:hAnsi="Verdana" w:cs="Verdana"/>
          <w:spacing w:val="-12"/>
          <w:lang w:val="es-ES"/>
        </w:rPr>
        <w:t xml:space="preserve"> </w:t>
      </w:r>
      <w:r w:rsidRPr="002069C6">
        <w:rPr>
          <w:rFonts w:ascii="Verdana" w:eastAsia="Verdana" w:hAnsi="Verdana" w:cs="Verdana"/>
          <w:lang w:val="es-ES"/>
        </w:rPr>
        <w:t>sujetas</w:t>
      </w:r>
      <w:r w:rsidRPr="002069C6">
        <w:rPr>
          <w:rFonts w:ascii="Verdana" w:eastAsia="Verdana" w:hAnsi="Verdana" w:cs="Verdana"/>
          <w:spacing w:val="-13"/>
          <w:lang w:val="es-ES"/>
        </w:rPr>
        <w:t xml:space="preserve"> </w:t>
      </w:r>
      <w:r w:rsidRPr="002069C6">
        <w:rPr>
          <w:rFonts w:ascii="Verdana" w:eastAsia="Verdana" w:hAnsi="Verdana" w:cs="Verdana"/>
          <w:lang w:val="es-ES"/>
        </w:rPr>
        <w:t>a</w:t>
      </w:r>
      <w:r w:rsidRPr="002069C6">
        <w:rPr>
          <w:rFonts w:ascii="Verdana" w:eastAsia="Verdana" w:hAnsi="Verdana" w:cs="Verdana"/>
          <w:spacing w:val="-15"/>
          <w:lang w:val="es-ES"/>
        </w:rPr>
        <w:t xml:space="preserve"> </w:t>
      </w:r>
      <w:r w:rsidRPr="002069C6">
        <w:rPr>
          <w:rFonts w:ascii="Verdana" w:eastAsia="Verdana" w:hAnsi="Verdana" w:cs="Verdana"/>
          <w:lang w:val="es-ES"/>
        </w:rPr>
        <w:t>procedimientos</w:t>
      </w:r>
      <w:r w:rsidRPr="002069C6">
        <w:rPr>
          <w:rFonts w:ascii="Verdana" w:eastAsia="Verdana" w:hAnsi="Verdana" w:cs="Verdana"/>
          <w:spacing w:val="-13"/>
          <w:lang w:val="es-ES"/>
        </w:rPr>
        <w:t xml:space="preserve"> </w:t>
      </w:r>
      <w:r w:rsidRPr="002069C6">
        <w:rPr>
          <w:rFonts w:ascii="Verdana" w:eastAsia="Verdana" w:hAnsi="Verdana" w:cs="Verdana"/>
          <w:lang w:val="es-ES"/>
        </w:rPr>
        <w:t>administrativos que entraben sus actuaciones y las pongan en situación de desventaja</w:t>
      </w:r>
      <w:r w:rsidRPr="002069C6">
        <w:rPr>
          <w:rFonts w:ascii="Verdana" w:eastAsia="Verdana" w:hAnsi="Verdana" w:cs="Verdana"/>
          <w:spacing w:val="-1"/>
          <w:lang w:val="es-ES"/>
        </w:rPr>
        <w:t xml:space="preserve"> </w:t>
      </w:r>
      <w:r w:rsidRPr="002069C6">
        <w:rPr>
          <w:rFonts w:ascii="Verdana" w:eastAsia="Verdana" w:hAnsi="Verdana" w:cs="Verdana"/>
          <w:lang w:val="es-ES"/>
        </w:rPr>
        <w:t>frente a sus</w:t>
      </w:r>
      <w:r w:rsidRPr="002069C6">
        <w:rPr>
          <w:rFonts w:ascii="Verdana" w:eastAsia="Verdana" w:hAnsi="Verdana" w:cs="Verdana"/>
          <w:spacing w:val="-1"/>
          <w:lang w:val="es-ES"/>
        </w:rPr>
        <w:t xml:space="preserve"> </w:t>
      </w:r>
      <w:r w:rsidRPr="002069C6">
        <w:rPr>
          <w:rFonts w:ascii="Verdana" w:eastAsia="Verdana" w:hAnsi="Verdana" w:cs="Verdana"/>
          <w:lang w:val="es-ES"/>
        </w:rPr>
        <w:t>competidores</w:t>
      </w:r>
      <w:r w:rsidRPr="002069C6">
        <w:rPr>
          <w:rFonts w:ascii="Verdana" w:eastAsia="Verdana" w:hAnsi="Verdana" w:cs="Verdana"/>
          <w:spacing w:val="-1"/>
          <w:lang w:val="es-ES"/>
        </w:rPr>
        <w:t xml:space="preserve"> </w:t>
      </w:r>
      <w:r w:rsidRPr="002069C6">
        <w:rPr>
          <w:rFonts w:ascii="Verdana" w:eastAsia="Verdana" w:hAnsi="Verdana" w:cs="Verdana"/>
          <w:lang w:val="es-ES"/>
        </w:rPr>
        <w:t>[…].</w:t>
      </w:r>
      <w:r w:rsidRPr="002069C6">
        <w:rPr>
          <w:rFonts w:ascii="Verdana" w:eastAsia="Verdana" w:hAnsi="Verdana" w:cs="Verdana"/>
          <w:spacing w:val="-6"/>
          <w:lang w:val="es-ES"/>
        </w:rPr>
        <w:t xml:space="preserve"> </w:t>
      </w:r>
      <w:r w:rsidRPr="002069C6">
        <w:rPr>
          <w:rFonts w:ascii="Verdana" w:eastAsia="Verdana" w:hAnsi="Verdana" w:cs="Verdana"/>
          <w:lang w:val="es-ES"/>
        </w:rPr>
        <w:t>Por</w:t>
      </w:r>
      <w:r w:rsidRPr="002069C6">
        <w:rPr>
          <w:rFonts w:ascii="Verdana" w:eastAsia="Verdana" w:hAnsi="Verdana" w:cs="Verdana"/>
          <w:spacing w:val="-5"/>
          <w:lang w:val="es-ES"/>
        </w:rPr>
        <w:t xml:space="preserve"> </w:t>
      </w:r>
      <w:r w:rsidRPr="002069C6">
        <w:rPr>
          <w:rFonts w:ascii="Verdana" w:eastAsia="Verdana" w:hAnsi="Verdana" w:cs="Verdana"/>
          <w:lang w:val="es-ES"/>
        </w:rPr>
        <w:t>ello,</w:t>
      </w:r>
      <w:r w:rsidRPr="002069C6">
        <w:rPr>
          <w:rFonts w:ascii="Verdana" w:eastAsia="Verdana" w:hAnsi="Verdana" w:cs="Verdana"/>
          <w:spacing w:val="-2"/>
          <w:lang w:val="es-ES"/>
        </w:rPr>
        <w:t xml:space="preserve"> </w:t>
      </w:r>
      <w:r w:rsidRPr="002069C6">
        <w:rPr>
          <w:rFonts w:ascii="Verdana" w:eastAsia="Verdana" w:hAnsi="Verdana" w:cs="Verdana"/>
          <w:lang w:val="es-ES"/>
        </w:rPr>
        <w:t>la</w:t>
      </w:r>
      <w:r w:rsidRPr="002069C6">
        <w:rPr>
          <w:rFonts w:ascii="Verdana" w:eastAsia="Verdana" w:hAnsi="Verdana" w:cs="Verdana"/>
          <w:spacing w:val="-3"/>
          <w:lang w:val="es-ES"/>
        </w:rPr>
        <w:t xml:space="preserve"> </w:t>
      </w:r>
      <w:r w:rsidRPr="002069C6">
        <w:rPr>
          <w:rFonts w:ascii="Verdana" w:eastAsia="Verdana" w:hAnsi="Verdana" w:cs="Verdana"/>
          <w:lang w:val="es-ES"/>
        </w:rPr>
        <w:t>regla</w:t>
      </w:r>
      <w:r w:rsidRPr="002069C6">
        <w:rPr>
          <w:rFonts w:ascii="Verdana" w:eastAsia="Verdana" w:hAnsi="Verdana" w:cs="Verdana"/>
          <w:spacing w:val="-3"/>
          <w:lang w:val="es-ES"/>
        </w:rPr>
        <w:t xml:space="preserve"> </w:t>
      </w:r>
      <w:r w:rsidRPr="002069C6">
        <w:rPr>
          <w:rFonts w:ascii="Verdana" w:eastAsia="Verdana" w:hAnsi="Verdana" w:cs="Verdana"/>
          <w:lang w:val="es-ES"/>
        </w:rPr>
        <w:t>general</w:t>
      </w:r>
      <w:r w:rsidRPr="002069C6">
        <w:rPr>
          <w:rFonts w:ascii="Verdana" w:eastAsia="Verdana" w:hAnsi="Verdana" w:cs="Verdana"/>
          <w:spacing w:val="-1"/>
          <w:lang w:val="es-ES"/>
        </w:rPr>
        <w:t xml:space="preserve"> </w:t>
      </w:r>
      <w:r w:rsidRPr="002069C6">
        <w:rPr>
          <w:rFonts w:ascii="Verdana" w:eastAsia="Verdana" w:hAnsi="Verdana" w:cs="Verdana"/>
          <w:lang w:val="es-ES"/>
        </w:rPr>
        <w:t>es</w:t>
      </w:r>
      <w:r w:rsidRPr="002069C6">
        <w:rPr>
          <w:rFonts w:ascii="Verdana" w:eastAsia="Verdana" w:hAnsi="Verdana" w:cs="Verdana"/>
          <w:spacing w:val="-1"/>
          <w:lang w:val="es-ES"/>
        </w:rPr>
        <w:t xml:space="preserve"> </w:t>
      </w:r>
      <w:r w:rsidRPr="002069C6">
        <w:rPr>
          <w:rFonts w:ascii="Verdana" w:eastAsia="Verdana" w:hAnsi="Verdana" w:cs="Verdana"/>
          <w:lang w:val="es-ES"/>
        </w:rPr>
        <w:t>que</w:t>
      </w:r>
      <w:r w:rsidRPr="002069C6">
        <w:rPr>
          <w:rFonts w:ascii="Verdana" w:eastAsia="Verdana" w:hAnsi="Verdana" w:cs="Verdana"/>
          <w:spacing w:val="-2"/>
          <w:lang w:val="es-ES"/>
        </w:rPr>
        <w:t xml:space="preserve"> </w:t>
      </w:r>
      <w:r w:rsidRPr="002069C6">
        <w:rPr>
          <w:rFonts w:ascii="Verdana" w:eastAsia="Verdana" w:hAnsi="Verdana" w:cs="Verdana"/>
          <w:lang w:val="es-ES"/>
        </w:rPr>
        <w:t>en</w:t>
      </w:r>
      <w:r w:rsidRPr="002069C6">
        <w:rPr>
          <w:rFonts w:ascii="Verdana" w:eastAsia="Verdana" w:hAnsi="Verdana" w:cs="Verdana"/>
          <w:spacing w:val="-1"/>
          <w:lang w:val="es-ES"/>
        </w:rPr>
        <w:t xml:space="preserve"> </w:t>
      </w:r>
      <w:r w:rsidRPr="002069C6">
        <w:rPr>
          <w:rFonts w:ascii="Verdana" w:eastAsia="Verdana" w:hAnsi="Verdana" w:cs="Verdana"/>
          <w:lang w:val="es-ES"/>
        </w:rPr>
        <w:t>sus</w:t>
      </w:r>
      <w:r w:rsidRPr="002069C6">
        <w:rPr>
          <w:rFonts w:ascii="Verdana" w:eastAsia="Verdana" w:hAnsi="Verdana" w:cs="Verdana"/>
          <w:spacing w:val="-6"/>
          <w:lang w:val="es-ES"/>
        </w:rPr>
        <w:t xml:space="preserve"> </w:t>
      </w:r>
      <w:r w:rsidRPr="002069C6">
        <w:rPr>
          <w:rFonts w:ascii="Verdana" w:eastAsia="Verdana" w:hAnsi="Verdana" w:cs="Verdana"/>
          <w:lang w:val="es-ES"/>
        </w:rPr>
        <w:t>actos</w:t>
      </w:r>
      <w:r w:rsidRPr="002069C6">
        <w:rPr>
          <w:rFonts w:ascii="Verdana" w:eastAsia="Verdana" w:hAnsi="Verdana" w:cs="Verdana"/>
          <w:spacing w:val="-1"/>
          <w:lang w:val="es-ES"/>
        </w:rPr>
        <w:t xml:space="preserve"> </w:t>
      </w:r>
      <w:r w:rsidRPr="002069C6">
        <w:rPr>
          <w:rFonts w:ascii="Verdana" w:eastAsia="Verdana" w:hAnsi="Verdana" w:cs="Verdana"/>
          <w:lang w:val="es-ES"/>
        </w:rPr>
        <w:t>y</w:t>
      </w:r>
      <w:r w:rsidRPr="002069C6">
        <w:rPr>
          <w:rFonts w:ascii="Verdana" w:eastAsia="Verdana" w:hAnsi="Verdana" w:cs="Verdana"/>
          <w:spacing w:val="-2"/>
          <w:lang w:val="es-ES"/>
        </w:rPr>
        <w:t xml:space="preserve"> </w:t>
      </w:r>
      <w:r w:rsidRPr="002069C6">
        <w:rPr>
          <w:rFonts w:ascii="Verdana" w:eastAsia="Verdana" w:hAnsi="Verdana" w:cs="Verdana"/>
          <w:lang w:val="es-ES"/>
        </w:rPr>
        <w:t>contratos rijan las normas de derecho privado, salvo en cuanto a sus relaciones con la Administración y en aquellos casos en los que por expresa disposición legal ejerzan</w:t>
      </w:r>
      <w:r w:rsidRPr="002069C6">
        <w:rPr>
          <w:rFonts w:ascii="Verdana" w:eastAsia="Verdana" w:hAnsi="Verdana" w:cs="Verdana"/>
          <w:spacing w:val="-4"/>
          <w:lang w:val="es-ES"/>
        </w:rPr>
        <w:t xml:space="preserve"> </w:t>
      </w:r>
      <w:r w:rsidRPr="002069C6">
        <w:rPr>
          <w:rFonts w:ascii="Verdana" w:eastAsia="Verdana" w:hAnsi="Verdana" w:cs="Verdana"/>
          <w:lang w:val="es-ES"/>
        </w:rPr>
        <w:t>alguna</w:t>
      </w:r>
      <w:r w:rsidRPr="002069C6">
        <w:rPr>
          <w:rFonts w:ascii="Verdana" w:eastAsia="Verdana" w:hAnsi="Verdana" w:cs="Verdana"/>
          <w:spacing w:val="-7"/>
          <w:lang w:val="es-ES"/>
        </w:rPr>
        <w:t xml:space="preserve"> </w:t>
      </w:r>
      <w:r w:rsidRPr="002069C6">
        <w:rPr>
          <w:rFonts w:ascii="Verdana" w:eastAsia="Verdana" w:hAnsi="Verdana" w:cs="Verdana"/>
          <w:lang w:val="es-ES"/>
        </w:rPr>
        <w:t>función</w:t>
      </w:r>
      <w:r w:rsidRPr="002069C6">
        <w:rPr>
          <w:rFonts w:ascii="Verdana" w:eastAsia="Verdana" w:hAnsi="Verdana" w:cs="Verdana"/>
          <w:spacing w:val="-9"/>
          <w:lang w:val="es-ES"/>
        </w:rPr>
        <w:t xml:space="preserve"> </w:t>
      </w:r>
      <w:r w:rsidRPr="002069C6">
        <w:rPr>
          <w:rFonts w:ascii="Verdana" w:eastAsia="Verdana" w:hAnsi="Verdana" w:cs="Verdana"/>
          <w:lang w:val="es-ES"/>
        </w:rPr>
        <w:t>administrativa,</w:t>
      </w:r>
      <w:r w:rsidRPr="002069C6">
        <w:rPr>
          <w:rFonts w:ascii="Verdana" w:eastAsia="Verdana" w:hAnsi="Verdana" w:cs="Verdana"/>
          <w:spacing w:val="-5"/>
          <w:lang w:val="es-ES"/>
        </w:rPr>
        <w:t xml:space="preserve"> </w:t>
      </w:r>
      <w:r w:rsidRPr="002069C6">
        <w:rPr>
          <w:rFonts w:ascii="Verdana" w:eastAsia="Verdana" w:hAnsi="Verdana" w:cs="Verdana"/>
          <w:lang w:val="es-ES"/>
        </w:rPr>
        <w:t>puesto que</w:t>
      </w:r>
      <w:r w:rsidRPr="002069C6">
        <w:rPr>
          <w:rFonts w:ascii="Verdana" w:eastAsia="Verdana" w:hAnsi="Verdana" w:cs="Verdana"/>
          <w:spacing w:val="-5"/>
          <w:lang w:val="es-ES"/>
        </w:rPr>
        <w:t xml:space="preserve"> </w:t>
      </w:r>
      <w:r w:rsidRPr="002069C6">
        <w:rPr>
          <w:rFonts w:ascii="Verdana" w:eastAsia="Verdana" w:hAnsi="Verdana" w:cs="Verdana"/>
          <w:lang w:val="es-ES"/>
        </w:rPr>
        <w:t>allí</w:t>
      </w:r>
      <w:r w:rsidRPr="002069C6">
        <w:rPr>
          <w:rFonts w:ascii="Verdana" w:eastAsia="Verdana" w:hAnsi="Verdana" w:cs="Verdana"/>
          <w:spacing w:val="-4"/>
          <w:lang w:val="es-ES"/>
        </w:rPr>
        <w:t xml:space="preserve"> </w:t>
      </w:r>
      <w:r w:rsidRPr="002069C6">
        <w:rPr>
          <w:rFonts w:ascii="Verdana" w:eastAsia="Verdana" w:hAnsi="Verdana" w:cs="Verdana"/>
          <w:lang w:val="es-ES"/>
        </w:rPr>
        <w:t>sí</w:t>
      </w:r>
      <w:r w:rsidRPr="002069C6">
        <w:rPr>
          <w:rFonts w:ascii="Verdana" w:eastAsia="Verdana" w:hAnsi="Verdana" w:cs="Verdana"/>
          <w:spacing w:val="-9"/>
          <w:lang w:val="es-ES"/>
        </w:rPr>
        <w:t xml:space="preserve"> </w:t>
      </w:r>
      <w:r w:rsidRPr="002069C6">
        <w:rPr>
          <w:rFonts w:ascii="Verdana" w:eastAsia="Verdana" w:hAnsi="Verdana" w:cs="Verdana"/>
          <w:lang w:val="es-ES"/>
        </w:rPr>
        <w:t>deberá</w:t>
      </w:r>
      <w:r w:rsidRPr="002069C6">
        <w:rPr>
          <w:rFonts w:ascii="Verdana" w:eastAsia="Verdana" w:hAnsi="Verdana" w:cs="Verdana"/>
          <w:spacing w:val="-7"/>
          <w:lang w:val="es-ES"/>
        </w:rPr>
        <w:t xml:space="preserve"> </w:t>
      </w:r>
      <w:r w:rsidRPr="002069C6">
        <w:rPr>
          <w:rFonts w:ascii="Verdana" w:eastAsia="Verdana" w:hAnsi="Verdana" w:cs="Verdana"/>
          <w:lang w:val="es-ES"/>
        </w:rPr>
        <w:t>dar</w:t>
      </w:r>
      <w:r w:rsidRPr="002069C6">
        <w:rPr>
          <w:rFonts w:ascii="Verdana" w:eastAsia="Verdana" w:hAnsi="Verdana" w:cs="Verdana"/>
          <w:spacing w:val="-3"/>
          <w:lang w:val="es-ES"/>
        </w:rPr>
        <w:t xml:space="preserve"> </w:t>
      </w:r>
      <w:r w:rsidRPr="002069C6">
        <w:rPr>
          <w:rFonts w:ascii="Verdana" w:eastAsia="Verdana" w:hAnsi="Verdana" w:cs="Verdana"/>
          <w:lang w:val="es-ES"/>
        </w:rPr>
        <w:t>aplicación</w:t>
      </w:r>
      <w:r w:rsidRPr="002069C6">
        <w:rPr>
          <w:rFonts w:ascii="Verdana" w:eastAsia="Verdana" w:hAnsi="Verdana" w:cs="Verdana"/>
          <w:spacing w:val="-4"/>
          <w:lang w:val="es-ES"/>
        </w:rPr>
        <w:t xml:space="preserve"> </w:t>
      </w:r>
      <w:r w:rsidRPr="002069C6">
        <w:rPr>
          <w:rFonts w:ascii="Verdana" w:eastAsia="Verdana" w:hAnsi="Verdana" w:cs="Verdana"/>
          <w:lang w:val="es-ES"/>
        </w:rPr>
        <w:t>a las reglas de derecho público pertinentes […]”</w:t>
      </w:r>
      <w:r w:rsidRPr="002069C6">
        <w:rPr>
          <w:rFonts w:ascii="Verdana" w:eastAsia="Verdana" w:hAnsi="Verdana" w:cs="Verdana"/>
          <w:vertAlign w:val="superscript"/>
          <w:lang w:val="es-ES"/>
        </w:rPr>
        <w:footnoteReference w:id="5"/>
      </w:r>
      <w:r w:rsidRPr="002069C6">
        <w:rPr>
          <w:rFonts w:ascii="Verdana" w:eastAsia="Verdana" w:hAnsi="Verdana" w:cs="Verdana"/>
          <w:lang w:val="es-ES"/>
        </w:rPr>
        <w:t xml:space="preserve">. </w:t>
      </w:r>
    </w:p>
    <w:p w14:paraId="03176436" w14:textId="77777777" w:rsidR="002F5531" w:rsidRPr="002069C6" w:rsidRDefault="002F5531" w:rsidP="00B41362">
      <w:pPr>
        <w:widowControl w:val="0"/>
        <w:autoSpaceDE w:val="0"/>
        <w:autoSpaceDN w:val="0"/>
        <w:spacing w:after="0" w:line="276" w:lineRule="auto"/>
        <w:ind w:firstLine="709"/>
        <w:jc w:val="both"/>
        <w:rPr>
          <w:rFonts w:ascii="Verdana" w:hAnsi="Verdana" w:cs="Arial"/>
        </w:rPr>
      </w:pPr>
      <w:r w:rsidRPr="002069C6">
        <w:rPr>
          <w:rFonts w:ascii="Verdana" w:hAnsi="Verdana" w:cs="Arial"/>
        </w:rPr>
        <w:t xml:space="preserve">De acuerdo con la jurisprudencia, lo anterior se </w:t>
      </w:r>
      <w:r>
        <w:rPr>
          <w:rFonts w:ascii="Verdana" w:hAnsi="Verdana" w:cs="Arial"/>
        </w:rPr>
        <w:t xml:space="preserve">fundamenta </w:t>
      </w:r>
      <w:r w:rsidRPr="002069C6">
        <w:rPr>
          <w:rFonts w:ascii="Verdana" w:hAnsi="Verdana" w:cs="Arial"/>
        </w:rPr>
        <w:t>en el principio de igualdad, ya que, si el Estado desarrolla actividades similares a los particulares, debe actuar desprovisto de poderes exorbitantes</w:t>
      </w:r>
      <w:r>
        <w:rPr>
          <w:rFonts w:ascii="Verdana" w:hAnsi="Verdana" w:cs="Arial"/>
        </w:rPr>
        <w:t xml:space="preserve">, y </w:t>
      </w:r>
      <w:r w:rsidRPr="002069C6">
        <w:rPr>
          <w:rFonts w:ascii="Verdana" w:hAnsi="Verdana" w:cs="Arial"/>
        </w:rPr>
        <w:t>con la misma eficacia y eficiencia que los sujetos de derecho privado:</w:t>
      </w:r>
    </w:p>
    <w:p w14:paraId="336C20F8" w14:textId="77777777" w:rsidR="002F5531" w:rsidRPr="002069C6" w:rsidRDefault="002F5531" w:rsidP="002F5531">
      <w:pPr>
        <w:spacing w:after="0" w:line="276" w:lineRule="auto"/>
        <w:ind w:firstLine="709"/>
        <w:jc w:val="both"/>
        <w:rPr>
          <w:rFonts w:ascii="Verdana" w:eastAsia="Calibri" w:hAnsi="Verdana" w:cs="Arial"/>
          <w:color w:val="000000" w:themeColor="text1"/>
        </w:rPr>
      </w:pPr>
    </w:p>
    <w:p w14:paraId="56398A29" w14:textId="77777777" w:rsidR="002F5531" w:rsidRPr="002069C6" w:rsidRDefault="002F5531" w:rsidP="002F5531">
      <w:pPr>
        <w:spacing w:after="0" w:line="240" w:lineRule="auto"/>
        <w:ind w:left="709" w:right="709"/>
        <w:jc w:val="both"/>
        <w:rPr>
          <w:rFonts w:ascii="Verdana" w:eastAsia="Calibri" w:hAnsi="Verdana" w:cs="Arial"/>
          <w:color w:val="000000" w:themeColor="text1"/>
          <w:sz w:val="20"/>
          <w:szCs w:val="20"/>
        </w:rPr>
      </w:pPr>
      <w:r w:rsidRPr="002069C6">
        <w:rPr>
          <w:rFonts w:ascii="Verdana" w:eastAsia="Calibri" w:hAnsi="Verdana" w:cs="Arial"/>
          <w:color w:val="000000" w:themeColor="text1"/>
          <w:sz w:val="20"/>
          <w:szCs w:val="20"/>
        </w:rPr>
        <w:t>“La razón de ser de la aplicación del régimen de derecho privado a estas entidades radica en la necesidad de que en su actividad industrial y comercial, tradicionalmente ajena al Estado y propia de los particulares, ellas actúen en términos equivalentes a éstos cuando realicen actividades similares, sin tener prerrogativas exorbitantes que atenten contra el derecho a la igualdad ni estar sujetas a procedimientos administrativos que entraben sus actuaciones y las pongan en situación de desventaja frente a sus competidores.</w:t>
      </w:r>
    </w:p>
    <w:p w14:paraId="4502B6FB" w14:textId="77777777" w:rsidR="008A6A4E" w:rsidRPr="002069C6" w:rsidRDefault="008A6A4E" w:rsidP="002F5531">
      <w:pPr>
        <w:spacing w:after="0" w:line="240" w:lineRule="auto"/>
        <w:ind w:left="709" w:right="709"/>
        <w:jc w:val="both"/>
        <w:rPr>
          <w:rFonts w:ascii="Verdana" w:eastAsia="Calibri" w:hAnsi="Verdana" w:cs="Arial"/>
          <w:color w:val="000000" w:themeColor="text1"/>
          <w:sz w:val="20"/>
          <w:szCs w:val="20"/>
        </w:rPr>
      </w:pPr>
    </w:p>
    <w:p w14:paraId="78761CFC" w14:textId="32E82914" w:rsidR="002F5531" w:rsidRPr="002069C6" w:rsidRDefault="002F5531" w:rsidP="002F5531">
      <w:pPr>
        <w:spacing w:after="0" w:line="240" w:lineRule="auto"/>
        <w:ind w:left="709" w:right="709"/>
        <w:jc w:val="both"/>
        <w:rPr>
          <w:rFonts w:ascii="Verdana" w:eastAsia="Calibri" w:hAnsi="Verdana" w:cs="Arial"/>
          <w:color w:val="000000" w:themeColor="text1"/>
          <w:sz w:val="20"/>
          <w:szCs w:val="20"/>
        </w:rPr>
      </w:pPr>
      <w:r w:rsidRPr="002069C6">
        <w:rPr>
          <w:rFonts w:ascii="Verdana" w:eastAsia="Calibri" w:hAnsi="Verdana" w:cs="Arial"/>
          <w:color w:val="000000" w:themeColor="text1"/>
          <w:sz w:val="20"/>
          <w:szCs w:val="20"/>
        </w:rPr>
        <w:t xml:space="preserve">Se trata pues, de que sus actividades de explotación industrial o comercial se desarrollen con las </w:t>
      </w:r>
      <w:proofErr w:type="gramStart"/>
      <w:r w:rsidRPr="002069C6">
        <w:rPr>
          <w:rFonts w:ascii="Verdana" w:eastAsia="Calibri" w:hAnsi="Verdana" w:cs="Arial"/>
          <w:color w:val="000000" w:themeColor="text1"/>
          <w:sz w:val="20"/>
          <w:szCs w:val="20"/>
        </w:rPr>
        <w:t>mismas oportunidades y las mismas ventajas</w:t>
      </w:r>
      <w:proofErr w:type="gramEnd"/>
      <w:r w:rsidRPr="002069C6">
        <w:rPr>
          <w:rFonts w:ascii="Verdana" w:eastAsia="Calibri" w:hAnsi="Verdana" w:cs="Arial"/>
          <w:color w:val="000000" w:themeColor="text1"/>
          <w:sz w:val="20"/>
          <w:szCs w:val="20"/>
        </w:rPr>
        <w:t xml:space="preserve"> o desventajas que las adelantadas por aquellos, sin que influya para nada su investidura de entidad estatal; que puedan actuar como particulares, frente a las exigencias de la economía y del mercado”</w:t>
      </w:r>
      <w:r w:rsidR="008A6A4E">
        <w:rPr>
          <w:rFonts w:ascii="Verdana" w:eastAsia="Calibri" w:hAnsi="Verdana" w:cs="Arial"/>
          <w:color w:val="000000" w:themeColor="text1"/>
          <w:sz w:val="20"/>
          <w:szCs w:val="20"/>
        </w:rPr>
        <w:t>.</w:t>
      </w:r>
    </w:p>
    <w:p w14:paraId="6642E46F" w14:textId="77777777" w:rsidR="002F5531" w:rsidRPr="002069C6" w:rsidRDefault="002F5531" w:rsidP="002F5531">
      <w:pPr>
        <w:widowControl w:val="0"/>
        <w:autoSpaceDE w:val="0"/>
        <w:autoSpaceDN w:val="0"/>
        <w:spacing w:after="0" w:line="276" w:lineRule="auto"/>
        <w:ind w:right="51" w:firstLine="709"/>
        <w:jc w:val="both"/>
        <w:rPr>
          <w:rFonts w:ascii="Verdana" w:eastAsia="Verdana" w:hAnsi="Verdana" w:cs="Verdana"/>
        </w:rPr>
      </w:pPr>
    </w:p>
    <w:p w14:paraId="2F425DF4" w14:textId="77777777" w:rsidR="002F5531" w:rsidRPr="00BB2DE5" w:rsidRDefault="002F5531" w:rsidP="00BB2DE5">
      <w:pPr>
        <w:spacing w:after="120" w:line="276" w:lineRule="auto"/>
        <w:ind w:firstLine="709"/>
        <w:jc w:val="both"/>
        <w:rPr>
          <w:rFonts w:ascii="Verdana" w:eastAsia="Arial" w:hAnsi="Verdana" w:cs="Arial"/>
          <w:lang w:val="es-ES" w:eastAsia="es-ES" w:bidi="es-ES"/>
        </w:rPr>
      </w:pPr>
      <w:r w:rsidRPr="002069C6">
        <w:rPr>
          <w:rFonts w:ascii="Verdana" w:eastAsia="Verdana" w:hAnsi="Verdana" w:cs="Verdana"/>
          <w:lang w:val="es-ES"/>
        </w:rPr>
        <w:t>Ahora bien, el artículo 14 de la Ley 1150 de 2007,</w:t>
      </w:r>
      <w:r w:rsidRPr="002069C6">
        <w:rPr>
          <w:rFonts w:ascii="Verdana" w:eastAsia="Verdana" w:hAnsi="Verdana" w:cs="Verdana"/>
          <w:spacing w:val="-11"/>
          <w:lang w:val="es-ES"/>
        </w:rPr>
        <w:t xml:space="preserve"> </w:t>
      </w:r>
      <w:r w:rsidRPr="002069C6">
        <w:rPr>
          <w:rFonts w:ascii="Verdana" w:eastAsia="Verdana" w:hAnsi="Verdana" w:cs="Verdana"/>
          <w:lang w:val="es-ES"/>
        </w:rPr>
        <w:t>modificado</w:t>
      </w:r>
      <w:r w:rsidRPr="002069C6">
        <w:rPr>
          <w:rFonts w:ascii="Verdana" w:eastAsia="Verdana" w:hAnsi="Verdana" w:cs="Verdana"/>
          <w:spacing w:val="-10"/>
          <w:lang w:val="es-ES"/>
        </w:rPr>
        <w:t xml:space="preserve"> </w:t>
      </w:r>
      <w:r w:rsidRPr="002069C6">
        <w:rPr>
          <w:rFonts w:ascii="Verdana" w:eastAsia="Verdana" w:hAnsi="Verdana" w:cs="Verdana"/>
          <w:lang w:val="es-ES"/>
        </w:rPr>
        <w:t>por</w:t>
      </w:r>
      <w:r w:rsidRPr="002069C6">
        <w:rPr>
          <w:rFonts w:ascii="Verdana" w:eastAsia="Verdana" w:hAnsi="Verdana" w:cs="Verdana"/>
          <w:spacing w:val="-10"/>
          <w:lang w:val="es-ES"/>
        </w:rPr>
        <w:t xml:space="preserve"> </w:t>
      </w:r>
      <w:r w:rsidRPr="002069C6">
        <w:rPr>
          <w:rFonts w:ascii="Verdana" w:eastAsia="Verdana" w:hAnsi="Verdana" w:cs="Verdana"/>
          <w:lang w:val="es-ES"/>
        </w:rPr>
        <w:t>el</w:t>
      </w:r>
      <w:r w:rsidRPr="002069C6">
        <w:rPr>
          <w:rFonts w:ascii="Verdana" w:eastAsia="Verdana" w:hAnsi="Verdana" w:cs="Verdana"/>
          <w:spacing w:val="-11"/>
          <w:lang w:val="es-ES"/>
        </w:rPr>
        <w:t xml:space="preserve"> </w:t>
      </w:r>
      <w:r w:rsidRPr="002069C6">
        <w:rPr>
          <w:rFonts w:ascii="Verdana" w:eastAsia="Verdana" w:hAnsi="Verdana" w:cs="Verdana"/>
          <w:lang w:val="es-ES"/>
        </w:rPr>
        <w:t>artículo</w:t>
      </w:r>
      <w:r w:rsidRPr="002069C6">
        <w:rPr>
          <w:rFonts w:ascii="Verdana" w:eastAsia="Verdana" w:hAnsi="Verdana" w:cs="Verdana"/>
          <w:spacing w:val="-10"/>
          <w:lang w:val="es-ES"/>
        </w:rPr>
        <w:t xml:space="preserve"> </w:t>
      </w:r>
      <w:r w:rsidRPr="002069C6">
        <w:rPr>
          <w:rFonts w:ascii="Verdana" w:eastAsia="Verdana" w:hAnsi="Verdana" w:cs="Verdana"/>
          <w:lang w:val="es-ES"/>
        </w:rPr>
        <w:t>93</w:t>
      </w:r>
      <w:r w:rsidRPr="002069C6">
        <w:rPr>
          <w:rFonts w:ascii="Verdana" w:eastAsia="Verdana" w:hAnsi="Verdana" w:cs="Verdana"/>
          <w:spacing w:val="-11"/>
          <w:lang w:val="es-ES"/>
        </w:rPr>
        <w:t xml:space="preserve"> </w:t>
      </w:r>
      <w:r w:rsidRPr="002069C6">
        <w:rPr>
          <w:rFonts w:ascii="Verdana" w:eastAsia="Verdana" w:hAnsi="Verdana" w:cs="Verdana"/>
          <w:lang w:val="es-ES"/>
        </w:rPr>
        <w:t>de</w:t>
      </w:r>
      <w:r w:rsidRPr="002069C6">
        <w:rPr>
          <w:rFonts w:ascii="Verdana" w:eastAsia="Verdana" w:hAnsi="Verdana" w:cs="Verdana"/>
          <w:spacing w:val="-12"/>
          <w:lang w:val="es-ES"/>
        </w:rPr>
        <w:t xml:space="preserve"> </w:t>
      </w:r>
      <w:r w:rsidRPr="002069C6">
        <w:rPr>
          <w:rFonts w:ascii="Verdana" w:eastAsia="Verdana" w:hAnsi="Verdana" w:cs="Verdana"/>
          <w:lang w:val="es-ES"/>
        </w:rPr>
        <w:t>la</w:t>
      </w:r>
      <w:r w:rsidRPr="002069C6">
        <w:rPr>
          <w:rFonts w:ascii="Verdana" w:eastAsia="Verdana" w:hAnsi="Verdana" w:cs="Verdana"/>
          <w:spacing w:val="-13"/>
          <w:lang w:val="es-ES"/>
        </w:rPr>
        <w:t xml:space="preserve"> </w:t>
      </w:r>
      <w:r w:rsidRPr="002069C6">
        <w:rPr>
          <w:rFonts w:ascii="Verdana" w:eastAsia="Verdana" w:hAnsi="Verdana" w:cs="Verdana"/>
          <w:lang w:val="es-ES"/>
        </w:rPr>
        <w:t>Ley</w:t>
      </w:r>
      <w:r w:rsidRPr="002069C6">
        <w:rPr>
          <w:rFonts w:ascii="Verdana" w:eastAsia="Verdana" w:hAnsi="Verdana" w:cs="Verdana"/>
          <w:spacing w:val="-11"/>
          <w:lang w:val="es-ES"/>
        </w:rPr>
        <w:t xml:space="preserve"> </w:t>
      </w:r>
      <w:r w:rsidRPr="002069C6">
        <w:rPr>
          <w:rFonts w:ascii="Verdana" w:eastAsia="Verdana" w:hAnsi="Verdana" w:cs="Verdana"/>
          <w:lang w:val="es-ES"/>
        </w:rPr>
        <w:t>1474</w:t>
      </w:r>
      <w:r w:rsidRPr="002069C6">
        <w:rPr>
          <w:rFonts w:ascii="Verdana" w:eastAsia="Verdana" w:hAnsi="Verdana" w:cs="Verdana"/>
          <w:spacing w:val="-11"/>
          <w:lang w:val="es-ES"/>
        </w:rPr>
        <w:t xml:space="preserve"> </w:t>
      </w:r>
      <w:r w:rsidRPr="002069C6">
        <w:rPr>
          <w:rFonts w:ascii="Verdana" w:eastAsia="Verdana" w:hAnsi="Verdana" w:cs="Verdana"/>
          <w:lang w:val="es-ES"/>
        </w:rPr>
        <w:t>de</w:t>
      </w:r>
      <w:r w:rsidRPr="002069C6">
        <w:rPr>
          <w:rFonts w:ascii="Verdana" w:eastAsia="Verdana" w:hAnsi="Verdana" w:cs="Verdana"/>
          <w:spacing w:val="-12"/>
          <w:lang w:val="es-ES"/>
        </w:rPr>
        <w:t xml:space="preserve"> </w:t>
      </w:r>
      <w:r w:rsidRPr="002069C6">
        <w:rPr>
          <w:rFonts w:ascii="Verdana" w:eastAsia="Verdana" w:hAnsi="Verdana" w:cs="Verdana"/>
          <w:lang w:val="es-ES"/>
        </w:rPr>
        <w:t>2011,</w:t>
      </w:r>
      <w:r w:rsidRPr="002069C6">
        <w:rPr>
          <w:rFonts w:ascii="Verdana" w:eastAsia="Verdana" w:hAnsi="Verdana" w:cs="Verdana"/>
          <w:spacing w:val="-11"/>
          <w:lang w:val="es-ES"/>
        </w:rPr>
        <w:t xml:space="preserve"> </w:t>
      </w:r>
      <w:r w:rsidRPr="002069C6">
        <w:rPr>
          <w:rFonts w:ascii="Verdana" w:eastAsia="Verdana" w:hAnsi="Verdana" w:cs="Verdana"/>
          <w:lang w:val="es-ES"/>
        </w:rPr>
        <w:t>esclareció</w:t>
      </w:r>
      <w:r w:rsidRPr="002069C6">
        <w:rPr>
          <w:rFonts w:ascii="Verdana" w:eastAsia="Verdana" w:hAnsi="Verdana" w:cs="Verdana"/>
          <w:spacing w:val="-10"/>
          <w:lang w:val="es-ES"/>
        </w:rPr>
        <w:t xml:space="preserve"> </w:t>
      </w:r>
      <w:r w:rsidRPr="002069C6">
        <w:rPr>
          <w:rFonts w:ascii="Verdana" w:eastAsia="Verdana" w:hAnsi="Verdana" w:cs="Verdana"/>
          <w:lang w:val="es-ES"/>
        </w:rPr>
        <w:t>las</w:t>
      </w:r>
      <w:r w:rsidRPr="002069C6">
        <w:rPr>
          <w:rFonts w:ascii="Verdana" w:eastAsia="Verdana" w:hAnsi="Verdana" w:cs="Verdana"/>
          <w:spacing w:val="-11"/>
          <w:lang w:val="es-ES"/>
        </w:rPr>
        <w:t xml:space="preserve"> </w:t>
      </w:r>
      <w:r w:rsidRPr="002069C6">
        <w:rPr>
          <w:rFonts w:ascii="Verdana" w:eastAsia="Verdana" w:hAnsi="Verdana" w:cs="Verdana"/>
          <w:lang w:val="es-ES"/>
        </w:rPr>
        <w:t xml:space="preserve">dudas que producía el confuso artículo 93 de la Ley 489 de 1998 sobre el régimen contractual de estas entidades. Por lo tanto, las Empresas Industriales y Comerciales del Estado, las Sociedades de Economía Mixta, sus filiales y las Sociedades entre Entidades </w:t>
      </w:r>
      <w:r w:rsidRPr="002069C6">
        <w:rPr>
          <w:rFonts w:ascii="Verdana" w:eastAsia="Verdana" w:hAnsi="Verdana" w:cs="Verdana"/>
          <w:lang w:val="es-ES"/>
        </w:rPr>
        <w:lastRenderedPageBreak/>
        <w:t>Públicas en las que el Estado tenga participación superior al cincuenta por ciento (50%) están sometidas, por regla general, al Estatuto</w:t>
      </w:r>
      <w:r w:rsidRPr="002069C6">
        <w:rPr>
          <w:rFonts w:ascii="Verdana" w:eastAsia="Verdana" w:hAnsi="Verdana" w:cs="Verdana"/>
          <w:spacing w:val="-8"/>
          <w:lang w:val="es-ES"/>
        </w:rPr>
        <w:t xml:space="preserve"> </w:t>
      </w:r>
      <w:r w:rsidRPr="002069C6">
        <w:rPr>
          <w:rFonts w:ascii="Verdana" w:eastAsia="Verdana" w:hAnsi="Verdana" w:cs="Verdana"/>
          <w:lang w:val="es-ES"/>
        </w:rPr>
        <w:t>General</w:t>
      </w:r>
      <w:r w:rsidRPr="002069C6">
        <w:rPr>
          <w:rFonts w:ascii="Verdana" w:eastAsia="Verdana" w:hAnsi="Verdana" w:cs="Verdana"/>
          <w:spacing w:val="-9"/>
          <w:lang w:val="es-ES"/>
        </w:rPr>
        <w:t xml:space="preserve"> </w:t>
      </w:r>
      <w:r w:rsidRPr="002069C6">
        <w:rPr>
          <w:rFonts w:ascii="Verdana" w:eastAsia="Verdana" w:hAnsi="Verdana" w:cs="Verdana"/>
          <w:lang w:val="es-ES"/>
        </w:rPr>
        <w:t>de</w:t>
      </w:r>
      <w:r w:rsidRPr="002069C6">
        <w:rPr>
          <w:rFonts w:ascii="Verdana" w:eastAsia="Verdana" w:hAnsi="Verdana" w:cs="Verdana"/>
          <w:spacing w:val="-10"/>
          <w:lang w:val="es-ES"/>
        </w:rPr>
        <w:t xml:space="preserve"> </w:t>
      </w:r>
      <w:r w:rsidRPr="002069C6">
        <w:rPr>
          <w:rFonts w:ascii="Verdana" w:eastAsia="Verdana" w:hAnsi="Verdana" w:cs="Verdana"/>
          <w:lang w:val="es-ES"/>
        </w:rPr>
        <w:t>Contratación</w:t>
      </w:r>
      <w:r w:rsidRPr="002069C6">
        <w:rPr>
          <w:rFonts w:ascii="Verdana" w:eastAsia="Verdana" w:hAnsi="Verdana" w:cs="Verdana"/>
          <w:spacing w:val="-9"/>
          <w:lang w:val="es-ES"/>
        </w:rPr>
        <w:t xml:space="preserve"> </w:t>
      </w:r>
      <w:r w:rsidRPr="002069C6">
        <w:rPr>
          <w:rFonts w:ascii="Verdana" w:eastAsia="Verdana" w:hAnsi="Verdana" w:cs="Verdana"/>
          <w:lang w:val="es-ES"/>
        </w:rPr>
        <w:t>de</w:t>
      </w:r>
      <w:r w:rsidRPr="002069C6">
        <w:rPr>
          <w:rFonts w:ascii="Verdana" w:eastAsia="Verdana" w:hAnsi="Verdana" w:cs="Verdana"/>
          <w:spacing w:val="-10"/>
          <w:lang w:val="es-ES"/>
        </w:rPr>
        <w:t xml:space="preserve"> </w:t>
      </w:r>
      <w:r w:rsidRPr="002069C6">
        <w:rPr>
          <w:rFonts w:ascii="Verdana" w:eastAsia="Verdana" w:hAnsi="Verdana" w:cs="Verdana"/>
          <w:lang w:val="es-ES"/>
        </w:rPr>
        <w:t>la</w:t>
      </w:r>
      <w:r w:rsidRPr="002069C6">
        <w:rPr>
          <w:rFonts w:ascii="Verdana" w:eastAsia="Verdana" w:hAnsi="Verdana" w:cs="Verdana"/>
          <w:spacing w:val="-11"/>
          <w:lang w:val="es-ES"/>
        </w:rPr>
        <w:t xml:space="preserve"> </w:t>
      </w:r>
      <w:r w:rsidRPr="002069C6">
        <w:rPr>
          <w:rFonts w:ascii="Verdana" w:eastAsia="Verdana" w:hAnsi="Verdana" w:cs="Verdana"/>
          <w:lang w:val="es-ES"/>
        </w:rPr>
        <w:t>Administración</w:t>
      </w:r>
      <w:r w:rsidRPr="002069C6">
        <w:rPr>
          <w:rFonts w:ascii="Verdana" w:eastAsia="Verdana" w:hAnsi="Verdana" w:cs="Verdana"/>
          <w:spacing w:val="-9"/>
          <w:lang w:val="es-ES"/>
        </w:rPr>
        <w:t xml:space="preserve"> </w:t>
      </w:r>
      <w:r w:rsidRPr="002069C6">
        <w:rPr>
          <w:rFonts w:ascii="Verdana" w:eastAsia="Verdana" w:hAnsi="Verdana" w:cs="Verdana"/>
          <w:lang w:val="es-ES"/>
        </w:rPr>
        <w:t>Pública,</w:t>
      </w:r>
      <w:r w:rsidRPr="002069C6">
        <w:rPr>
          <w:rFonts w:ascii="Verdana" w:eastAsia="Verdana" w:hAnsi="Verdana" w:cs="Verdana"/>
          <w:spacing w:val="-9"/>
          <w:lang w:val="es-ES"/>
        </w:rPr>
        <w:t xml:space="preserve"> </w:t>
      </w:r>
      <w:r w:rsidRPr="002069C6">
        <w:rPr>
          <w:rFonts w:ascii="Verdana" w:eastAsia="Verdana" w:hAnsi="Verdana" w:cs="Verdana"/>
          <w:lang w:val="es-ES"/>
        </w:rPr>
        <w:t>excepto</w:t>
      </w:r>
      <w:r w:rsidRPr="002069C6">
        <w:rPr>
          <w:rFonts w:ascii="Verdana" w:eastAsia="Verdana" w:hAnsi="Verdana" w:cs="Verdana"/>
          <w:spacing w:val="-8"/>
          <w:lang w:val="es-ES"/>
        </w:rPr>
        <w:t xml:space="preserve"> </w:t>
      </w:r>
      <w:r w:rsidRPr="002069C6">
        <w:rPr>
          <w:rFonts w:ascii="Verdana" w:eastAsia="Verdana" w:hAnsi="Verdana" w:cs="Verdana"/>
          <w:lang w:val="es-ES"/>
        </w:rPr>
        <w:t xml:space="preserve">aquellas Empresas Industriales y Comerciales del Estado que: i) desarrollen actividades comerciales en competencia con el sector privado y/o público, nacional o internacional o </w:t>
      </w:r>
      <w:proofErr w:type="spellStart"/>
      <w:r w:rsidRPr="002069C6">
        <w:rPr>
          <w:rFonts w:ascii="Verdana" w:eastAsia="Verdana" w:hAnsi="Verdana" w:cs="Verdana"/>
          <w:lang w:val="es-ES"/>
        </w:rPr>
        <w:t>ii</w:t>
      </w:r>
      <w:proofErr w:type="spellEnd"/>
      <w:r w:rsidRPr="002069C6">
        <w:rPr>
          <w:rFonts w:ascii="Verdana" w:eastAsia="Verdana" w:hAnsi="Verdana" w:cs="Verdana"/>
          <w:lang w:val="es-ES"/>
        </w:rPr>
        <w:t>) desarrollen actividades en mercados regulados, eventos en los cuales</w:t>
      </w:r>
      <w:r w:rsidRPr="002069C6">
        <w:rPr>
          <w:rFonts w:ascii="Verdana" w:eastAsia="Verdana" w:hAnsi="Verdana" w:cs="Verdana"/>
          <w:spacing w:val="-19"/>
          <w:lang w:val="es-ES"/>
        </w:rPr>
        <w:t xml:space="preserve"> </w:t>
      </w:r>
      <w:r w:rsidRPr="002069C6">
        <w:rPr>
          <w:rFonts w:ascii="Verdana" w:eastAsia="Verdana" w:hAnsi="Verdana" w:cs="Verdana"/>
          <w:lang w:val="es-ES"/>
        </w:rPr>
        <w:t xml:space="preserve">se regirán </w:t>
      </w:r>
      <w:r w:rsidRPr="00BB2DE5">
        <w:rPr>
          <w:rFonts w:ascii="Verdana" w:eastAsia="Arial" w:hAnsi="Verdana" w:cs="Arial"/>
          <w:lang w:val="es-ES" w:eastAsia="es-ES" w:bidi="es-ES"/>
        </w:rPr>
        <w:t>por las disposiciones que regulen su actividad.</w:t>
      </w:r>
    </w:p>
    <w:p w14:paraId="615B2E14" w14:textId="77777777" w:rsidR="00BB2DE5" w:rsidRPr="00BB2DE5" w:rsidRDefault="002F5531" w:rsidP="00BB2DE5">
      <w:pPr>
        <w:spacing w:after="120" w:line="276" w:lineRule="auto"/>
        <w:ind w:firstLine="709"/>
        <w:jc w:val="both"/>
        <w:rPr>
          <w:rFonts w:ascii="Verdana" w:eastAsia="Verdana" w:hAnsi="Verdana" w:cs="Verdana"/>
          <w:lang w:val="es-ES"/>
        </w:rPr>
      </w:pPr>
      <w:r w:rsidRPr="00BB2DE5">
        <w:rPr>
          <w:rFonts w:ascii="Verdana" w:eastAsia="Arial" w:hAnsi="Verdana" w:cs="Arial"/>
          <w:lang w:val="es-ES" w:eastAsia="es-ES" w:bidi="es-ES"/>
        </w:rPr>
        <w:t>De conformidad</w:t>
      </w:r>
      <w:r w:rsidRPr="002069C6">
        <w:rPr>
          <w:rFonts w:ascii="Verdana" w:eastAsia="Verdana" w:hAnsi="Verdana" w:cs="Verdana"/>
          <w:lang w:val="es-ES"/>
        </w:rPr>
        <w:t xml:space="preserve"> con lo expuesto, cada Empresa Industrial y Comercial del Estado deberá analizar</w:t>
      </w:r>
      <w:r w:rsidRPr="002069C6">
        <w:rPr>
          <w:rFonts w:ascii="Verdana" w:eastAsia="Verdana" w:hAnsi="Verdana" w:cs="Verdana"/>
          <w:spacing w:val="-10"/>
          <w:lang w:val="es-ES"/>
        </w:rPr>
        <w:t xml:space="preserve"> </w:t>
      </w:r>
      <w:r w:rsidRPr="002069C6">
        <w:rPr>
          <w:rFonts w:ascii="Verdana" w:eastAsia="Verdana" w:hAnsi="Verdana" w:cs="Verdana"/>
          <w:lang w:val="es-ES"/>
        </w:rPr>
        <w:t>si</w:t>
      </w:r>
      <w:r w:rsidRPr="002069C6">
        <w:rPr>
          <w:rFonts w:ascii="Verdana" w:eastAsia="Verdana" w:hAnsi="Verdana" w:cs="Verdana"/>
          <w:spacing w:val="-11"/>
          <w:lang w:val="es-ES"/>
        </w:rPr>
        <w:t xml:space="preserve"> </w:t>
      </w:r>
      <w:r w:rsidRPr="002069C6">
        <w:rPr>
          <w:rFonts w:ascii="Verdana" w:eastAsia="Verdana" w:hAnsi="Verdana" w:cs="Verdana"/>
          <w:lang w:val="es-ES"/>
        </w:rPr>
        <w:t>se</w:t>
      </w:r>
      <w:r w:rsidRPr="002069C6">
        <w:rPr>
          <w:rFonts w:ascii="Verdana" w:eastAsia="Verdana" w:hAnsi="Verdana" w:cs="Verdana"/>
          <w:spacing w:val="-12"/>
          <w:lang w:val="es-ES"/>
        </w:rPr>
        <w:t xml:space="preserve"> </w:t>
      </w:r>
      <w:r w:rsidRPr="002069C6">
        <w:rPr>
          <w:rFonts w:ascii="Verdana" w:eastAsia="Verdana" w:hAnsi="Verdana" w:cs="Verdana"/>
          <w:lang w:val="es-ES"/>
        </w:rPr>
        <w:t>encuentra</w:t>
      </w:r>
      <w:r w:rsidRPr="002069C6">
        <w:rPr>
          <w:rFonts w:ascii="Verdana" w:eastAsia="Verdana" w:hAnsi="Verdana" w:cs="Verdana"/>
          <w:spacing w:val="-13"/>
          <w:lang w:val="es-ES"/>
        </w:rPr>
        <w:t xml:space="preserve"> </w:t>
      </w:r>
      <w:r w:rsidRPr="002069C6">
        <w:rPr>
          <w:rFonts w:ascii="Verdana" w:eastAsia="Verdana" w:hAnsi="Verdana" w:cs="Verdana"/>
          <w:lang w:val="es-ES"/>
        </w:rPr>
        <w:t>en</w:t>
      </w:r>
      <w:r w:rsidRPr="002069C6">
        <w:rPr>
          <w:rFonts w:ascii="Verdana" w:eastAsia="Verdana" w:hAnsi="Verdana" w:cs="Verdana"/>
          <w:spacing w:val="-11"/>
          <w:lang w:val="es-ES"/>
        </w:rPr>
        <w:t xml:space="preserve"> </w:t>
      </w:r>
      <w:r w:rsidRPr="002069C6">
        <w:rPr>
          <w:rFonts w:ascii="Verdana" w:eastAsia="Verdana" w:hAnsi="Verdana" w:cs="Verdana"/>
          <w:lang w:val="es-ES"/>
        </w:rPr>
        <w:t>alguno</w:t>
      </w:r>
      <w:r w:rsidRPr="002069C6">
        <w:rPr>
          <w:rFonts w:ascii="Verdana" w:eastAsia="Verdana" w:hAnsi="Verdana" w:cs="Verdana"/>
          <w:spacing w:val="-10"/>
          <w:lang w:val="es-ES"/>
        </w:rPr>
        <w:t xml:space="preserve"> </w:t>
      </w:r>
      <w:r w:rsidRPr="002069C6">
        <w:rPr>
          <w:rFonts w:ascii="Verdana" w:eastAsia="Verdana" w:hAnsi="Verdana" w:cs="Verdana"/>
          <w:lang w:val="es-ES"/>
        </w:rPr>
        <w:t>de</w:t>
      </w:r>
      <w:r w:rsidRPr="002069C6">
        <w:rPr>
          <w:rFonts w:ascii="Verdana" w:eastAsia="Verdana" w:hAnsi="Verdana" w:cs="Verdana"/>
          <w:spacing w:val="-12"/>
          <w:lang w:val="es-ES"/>
        </w:rPr>
        <w:t xml:space="preserve"> </w:t>
      </w:r>
      <w:r w:rsidRPr="002069C6">
        <w:rPr>
          <w:rFonts w:ascii="Verdana" w:eastAsia="Verdana" w:hAnsi="Verdana" w:cs="Verdana"/>
          <w:lang w:val="es-ES"/>
        </w:rPr>
        <w:t>los</w:t>
      </w:r>
      <w:r w:rsidRPr="002069C6">
        <w:rPr>
          <w:rFonts w:ascii="Verdana" w:eastAsia="Verdana" w:hAnsi="Verdana" w:cs="Verdana"/>
          <w:spacing w:val="-11"/>
          <w:lang w:val="es-ES"/>
        </w:rPr>
        <w:t xml:space="preserve"> </w:t>
      </w:r>
      <w:r w:rsidRPr="002069C6">
        <w:rPr>
          <w:rFonts w:ascii="Verdana" w:eastAsia="Verdana" w:hAnsi="Verdana" w:cs="Verdana"/>
          <w:lang w:val="es-ES"/>
        </w:rPr>
        <w:t>supuestos</w:t>
      </w:r>
      <w:r w:rsidRPr="002069C6">
        <w:rPr>
          <w:rFonts w:ascii="Verdana" w:eastAsia="Verdana" w:hAnsi="Verdana" w:cs="Verdana"/>
          <w:spacing w:val="-11"/>
          <w:lang w:val="es-ES"/>
        </w:rPr>
        <w:t xml:space="preserve"> </w:t>
      </w:r>
      <w:r w:rsidRPr="002069C6">
        <w:rPr>
          <w:rFonts w:ascii="Verdana" w:eastAsia="Verdana" w:hAnsi="Verdana" w:cs="Verdana"/>
          <w:lang w:val="es-ES"/>
        </w:rPr>
        <w:t>establecidos</w:t>
      </w:r>
      <w:r w:rsidRPr="002069C6">
        <w:rPr>
          <w:rFonts w:ascii="Verdana" w:eastAsia="Verdana" w:hAnsi="Verdana" w:cs="Verdana"/>
          <w:spacing w:val="-11"/>
          <w:lang w:val="es-ES"/>
        </w:rPr>
        <w:t xml:space="preserve"> </w:t>
      </w:r>
      <w:r w:rsidRPr="002069C6">
        <w:rPr>
          <w:rFonts w:ascii="Verdana" w:eastAsia="Verdana" w:hAnsi="Verdana" w:cs="Verdana"/>
          <w:lang w:val="es-ES"/>
        </w:rPr>
        <w:t>en el artículo 14</w:t>
      </w:r>
      <w:r w:rsidRPr="002069C6">
        <w:rPr>
          <w:rFonts w:ascii="Verdana" w:eastAsia="Verdana" w:hAnsi="Verdana" w:cs="Verdana"/>
          <w:spacing w:val="-1"/>
          <w:lang w:val="es-ES"/>
        </w:rPr>
        <w:t xml:space="preserve"> </w:t>
      </w:r>
      <w:r w:rsidRPr="002069C6">
        <w:rPr>
          <w:rFonts w:ascii="Verdana" w:eastAsia="Verdana" w:hAnsi="Verdana" w:cs="Verdana"/>
          <w:lang w:val="es-ES"/>
        </w:rPr>
        <w:t>de la Ley</w:t>
      </w:r>
      <w:r w:rsidRPr="002069C6">
        <w:rPr>
          <w:rFonts w:ascii="Verdana" w:eastAsia="Verdana" w:hAnsi="Verdana" w:cs="Verdana"/>
          <w:spacing w:val="-2"/>
          <w:lang w:val="es-ES"/>
        </w:rPr>
        <w:t xml:space="preserve"> </w:t>
      </w:r>
      <w:r w:rsidRPr="002069C6">
        <w:rPr>
          <w:rFonts w:ascii="Verdana" w:eastAsia="Verdana" w:hAnsi="Verdana" w:cs="Verdana"/>
          <w:lang w:val="es-ES"/>
        </w:rPr>
        <w:t>1150 de 2007, con el fin de definir si</w:t>
      </w:r>
      <w:r w:rsidRPr="002069C6">
        <w:rPr>
          <w:rFonts w:ascii="Verdana" w:eastAsia="Verdana" w:hAnsi="Verdana" w:cs="Verdana"/>
          <w:spacing w:val="-1"/>
          <w:lang w:val="es-ES"/>
        </w:rPr>
        <w:t xml:space="preserve"> </w:t>
      </w:r>
      <w:r w:rsidRPr="002069C6">
        <w:rPr>
          <w:rFonts w:ascii="Verdana" w:eastAsia="Verdana" w:hAnsi="Verdana" w:cs="Verdana"/>
          <w:lang w:val="es-ES"/>
        </w:rPr>
        <w:t>su</w:t>
      </w:r>
      <w:r w:rsidRPr="002069C6">
        <w:rPr>
          <w:rFonts w:ascii="Verdana" w:eastAsia="Verdana" w:hAnsi="Verdana" w:cs="Verdana"/>
          <w:spacing w:val="-1"/>
          <w:lang w:val="es-ES"/>
        </w:rPr>
        <w:t xml:space="preserve"> </w:t>
      </w:r>
      <w:r w:rsidRPr="002069C6">
        <w:rPr>
          <w:rFonts w:ascii="Verdana" w:eastAsia="Verdana" w:hAnsi="Verdana" w:cs="Verdana"/>
          <w:lang w:val="es-ES"/>
        </w:rPr>
        <w:t>régimen contractual es el Estatuto General de Contratación de la Administración Pública o si están exceptuadas</w:t>
      </w:r>
      <w:r w:rsidRPr="002069C6">
        <w:rPr>
          <w:rFonts w:ascii="Verdana" w:eastAsia="Verdana" w:hAnsi="Verdana" w:cs="Verdana"/>
          <w:spacing w:val="-20"/>
          <w:lang w:val="es-ES"/>
        </w:rPr>
        <w:t xml:space="preserve"> </w:t>
      </w:r>
      <w:r w:rsidRPr="002069C6">
        <w:rPr>
          <w:rFonts w:ascii="Verdana" w:eastAsia="Verdana" w:hAnsi="Verdana" w:cs="Verdana"/>
          <w:lang w:val="es-ES"/>
        </w:rPr>
        <w:t>de</w:t>
      </w:r>
      <w:r w:rsidRPr="002069C6">
        <w:rPr>
          <w:rFonts w:ascii="Verdana" w:eastAsia="Verdana" w:hAnsi="Verdana" w:cs="Verdana"/>
          <w:spacing w:val="-17"/>
          <w:lang w:val="es-ES"/>
        </w:rPr>
        <w:t xml:space="preserve"> </w:t>
      </w:r>
      <w:r w:rsidRPr="002069C6">
        <w:rPr>
          <w:rFonts w:ascii="Verdana" w:eastAsia="Verdana" w:hAnsi="Verdana" w:cs="Verdana"/>
          <w:lang w:val="es-ES"/>
        </w:rPr>
        <w:t>él y, por</w:t>
      </w:r>
      <w:r w:rsidRPr="002069C6">
        <w:rPr>
          <w:rFonts w:ascii="Verdana" w:eastAsia="Verdana" w:hAnsi="Verdana" w:cs="Verdana"/>
          <w:spacing w:val="-3"/>
          <w:lang w:val="es-ES"/>
        </w:rPr>
        <w:t xml:space="preserve"> </w:t>
      </w:r>
      <w:r w:rsidRPr="002069C6">
        <w:rPr>
          <w:rFonts w:ascii="Verdana" w:eastAsia="Verdana" w:hAnsi="Verdana" w:cs="Verdana"/>
          <w:lang w:val="es-ES"/>
        </w:rPr>
        <w:t xml:space="preserve">tanto, se </w:t>
      </w:r>
      <w:r>
        <w:rPr>
          <w:rFonts w:ascii="Verdana" w:eastAsia="Verdana" w:hAnsi="Verdana" w:cs="Verdana"/>
          <w:lang w:val="es-ES"/>
        </w:rPr>
        <w:t xml:space="preserve">someten a un </w:t>
      </w:r>
      <w:r w:rsidRPr="002069C6">
        <w:rPr>
          <w:rFonts w:ascii="Verdana" w:eastAsia="Verdana" w:hAnsi="Verdana" w:cs="Verdana"/>
          <w:lang w:val="es-ES"/>
        </w:rPr>
        <w:t>régimen especial de</w:t>
      </w:r>
      <w:r>
        <w:rPr>
          <w:rFonts w:ascii="Verdana" w:eastAsia="Verdana" w:hAnsi="Verdana" w:cs="Verdana"/>
          <w:lang w:val="es-ES"/>
        </w:rPr>
        <w:t xml:space="preserve"> </w:t>
      </w:r>
      <w:r w:rsidRPr="00BB2DE5">
        <w:rPr>
          <w:rFonts w:ascii="Verdana" w:eastAsia="Verdana" w:hAnsi="Verdana" w:cs="Verdana"/>
          <w:lang w:val="es-ES"/>
        </w:rPr>
        <w:t>contratación.</w:t>
      </w:r>
    </w:p>
    <w:p w14:paraId="7FA30CB0" w14:textId="7706F7BE" w:rsidR="00566725" w:rsidRDefault="002F5531" w:rsidP="00BB2DE5">
      <w:pPr>
        <w:spacing w:after="120" w:line="276" w:lineRule="auto"/>
        <w:ind w:firstLine="709"/>
        <w:jc w:val="both"/>
        <w:rPr>
          <w:rFonts w:ascii="Verdana" w:eastAsia="Times New Roman" w:hAnsi="Verdana" w:cs="Arial"/>
          <w:lang w:eastAsia="es-CO"/>
        </w:rPr>
      </w:pPr>
      <w:r w:rsidRPr="00BB2DE5">
        <w:rPr>
          <w:rFonts w:ascii="Verdana" w:eastAsia="Verdana" w:hAnsi="Verdana" w:cs="Verdana"/>
          <w:lang w:val="es-ES"/>
        </w:rPr>
        <w:t>Ahora</w:t>
      </w:r>
      <w:r>
        <w:rPr>
          <w:rFonts w:ascii="Verdana" w:eastAsia="Calibri" w:hAnsi="Verdana" w:cs="Arial"/>
        </w:rPr>
        <w:t xml:space="preserve"> bien, e</w:t>
      </w:r>
      <w:r w:rsidR="00566725">
        <w:rPr>
          <w:rFonts w:ascii="Verdana" w:eastAsia="Calibri" w:hAnsi="Verdana" w:cs="Arial"/>
        </w:rPr>
        <w:t>l ordenamiento jurídico colombiano contempla previsiones claras para evitar la obtención de beneficios personales en asuntos propios de la administración pública</w:t>
      </w:r>
      <w:r w:rsidR="00566725">
        <w:rPr>
          <w:rFonts w:ascii="Verdana" w:eastAsia="Calibri" w:hAnsi="Verdana" w:cs="Arial"/>
          <w:i/>
        </w:rPr>
        <w:t xml:space="preserve">. </w:t>
      </w:r>
      <w:r w:rsidR="00566725">
        <w:rPr>
          <w:rFonts w:ascii="Verdana" w:eastAsia="Calibri" w:hAnsi="Verdana" w:cs="Arial"/>
        </w:rPr>
        <w:t>Por ejemplo, el artículo 127 de la Constitución Política establece una prohibición contractual a los servidores públicos y, en cuanto a aspectos políticos, establece restricciones a ciertos empleados del Estado, incluso en época no electoral</w:t>
      </w:r>
      <w:r w:rsidR="00566725">
        <w:rPr>
          <w:rFonts w:ascii="Verdana" w:hAnsi="Verdana"/>
          <w:vertAlign w:val="superscript"/>
        </w:rPr>
        <w:footnoteReference w:id="6"/>
      </w:r>
      <w:r w:rsidR="00566725">
        <w:rPr>
          <w:rFonts w:ascii="Verdana" w:eastAsia="Calibri" w:hAnsi="Verdana" w:cs="Arial"/>
        </w:rPr>
        <w:t xml:space="preserve">. </w:t>
      </w:r>
    </w:p>
    <w:p w14:paraId="2D2ABD7D" w14:textId="77777777" w:rsidR="00566725" w:rsidRDefault="00566725" w:rsidP="00566725">
      <w:pPr>
        <w:tabs>
          <w:tab w:val="left" w:pos="426"/>
        </w:tabs>
        <w:spacing w:after="0" w:line="276" w:lineRule="auto"/>
        <w:ind w:firstLine="709"/>
        <w:jc w:val="both"/>
        <w:rPr>
          <w:rFonts w:ascii="Verdana" w:eastAsia="Calibri" w:hAnsi="Verdana" w:cs="Arial"/>
          <w:lang w:val="es-ES_tradnl"/>
        </w:rPr>
      </w:pPr>
      <w:r>
        <w:rPr>
          <w:rFonts w:ascii="Verdana" w:eastAsia="Times New Roman" w:hAnsi="Verdana" w:cs="Arial"/>
          <w:lang w:eastAsia="es-CO"/>
        </w:rPr>
        <w:t>En el mismo sentido</w:t>
      </w:r>
      <w:r>
        <w:rPr>
          <w:rFonts w:ascii="Verdana" w:eastAsia="Times New Roman" w:hAnsi="Verdana" w:cs="Arial"/>
          <w:lang w:val="es-MX" w:eastAsia="es-CO"/>
        </w:rPr>
        <w:t xml:space="preserve">, </w:t>
      </w:r>
      <w:bookmarkStart w:id="5" w:name="_Hlk99576829"/>
      <w:r>
        <w:rPr>
          <w:rFonts w:ascii="Verdana" w:eastAsia="Times New Roman" w:hAnsi="Verdana" w:cs="Arial"/>
          <w:lang w:val="es-MX" w:eastAsia="es-CO"/>
        </w:rPr>
        <w:t>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Pr>
          <w:rFonts w:ascii="Verdana" w:eastAsia="Times New Roman" w:hAnsi="Verdana" w:cs="Arial"/>
          <w:vertAlign w:val="superscript"/>
          <w:lang w:val="es-MX" w:eastAsia="es-CO"/>
        </w:rPr>
        <w:footnoteReference w:id="7"/>
      </w:r>
      <w:r>
        <w:rPr>
          <w:rFonts w:ascii="Verdana" w:eastAsia="Times New Roman" w:hAnsi="Verdana" w:cs="Arial"/>
          <w:lang w:val="es-MX" w:eastAsia="es-CO"/>
        </w:rPr>
        <w:t>. En esta medida, introduce limitaciones para realizar nombramientos, postulaciones, contrataciones o cualquier otro tipo de actividad que implique destinación de recursos públicos bajo el devenir propio de las Entidades Estatales.</w:t>
      </w:r>
      <w:r>
        <w:rPr>
          <w:rFonts w:ascii="Verdana" w:eastAsia="Calibri" w:hAnsi="Verdana" w:cs="Arial"/>
          <w:lang w:val="es-ES_tradnl"/>
        </w:rPr>
        <w:t xml:space="preserve"> </w:t>
      </w:r>
      <w:bookmarkEnd w:id="5"/>
      <w:r>
        <w:rPr>
          <w:rFonts w:ascii="Verdana" w:eastAsia="Times New Roman" w:hAnsi="Verdana" w:cs="Arial"/>
          <w:lang w:val="es-MX" w:eastAsia="es-CO"/>
        </w:rPr>
        <w:t xml:space="preserve">En armonía </w:t>
      </w:r>
      <w:r>
        <w:rPr>
          <w:rFonts w:ascii="Verdana" w:eastAsia="Times New Roman" w:hAnsi="Verdana" w:cs="Arial"/>
          <w:lang w:val="es-MX" w:eastAsia="es-CO"/>
        </w:rPr>
        <w:lastRenderedPageBreak/>
        <w:t>con lo anterior, la Corte Constitucional ha abordado la definición de la Ley de Garantías Electorales. De esta manera, explica que tiene como propósito:</w:t>
      </w:r>
    </w:p>
    <w:p w14:paraId="5BB4407F" w14:textId="77777777" w:rsidR="00566725" w:rsidRDefault="00566725" w:rsidP="00566725">
      <w:pPr>
        <w:spacing w:after="0" w:line="276" w:lineRule="auto"/>
        <w:ind w:right="709"/>
        <w:contextualSpacing/>
        <w:jc w:val="both"/>
        <w:rPr>
          <w:rFonts w:ascii="Verdana" w:eastAsia="Times New Roman" w:hAnsi="Verdana" w:cs="Arial"/>
          <w:lang w:val="es-ES" w:eastAsia="es-CO"/>
        </w:rPr>
      </w:pPr>
    </w:p>
    <w:p w14:paraId="2D1B2B0B" w14:textId="77777777" w:rsidR="00566725" w:rsidRDefault="00566725" w:rsidP="00566725">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ES" w:eastAsia="es-CO"/>
        </w:rPr>
        <w:t xml:space="preserve">“[…] </w:t>
      </w:r>
      <w:r>
        <w:rPr>
          <w:rFonts w:ascii="Verdana" w:eastAsia="Times New Roman" w:hAnsi="Verdana" w:cs="Arial"/>
          <w:sz w:val="20"/>
          <w:szCs w:val="20"/>
          <w:lang w:val="es-MX" w:eastAsia="es-CO"/>
        </w:rPr>
        <w:t>la definición de reglas claras que permitan acceder a los canales de expresión democrática de manera efectiva e igualitaria. El objetivo de una ley de garantías es definir esas reglas.</w:t>
      </w:r>
    </w:p>
    <w:p w14:paraId="064F15D9" w14:textId="77777777" w:rsidR="00566725" w:rsidRDefault="00566725" w:rsidP="00566725">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 xml:space="preserve">[…] </w:t>
      </w:r>
    </w:p>
    <w:p w14:paraId="2305D8EF" w14:textId="77777777" w:rsidR="00566725" w:rsidRDefault="00566725" w:rsidP="00566725">
      <w:pPr>
        <w:spacing w:after="0" w:line="240" w:lineRule="auto"/>
        <w:ind w:left="709" w:right="709"/>
        <w:contextualSpacing/>
        <w:jc w:val="both"/>
        <w:rPr>
          <w:rFonts w:ascii="Verdana" w:eastAsia="Times New Roman" w:hAnsi="Verdana" w:cs="Arial"/>
          <w:sz w:val="12"/>
          <w:szCs w:val="12"/>
          <w:lang w:val="es-MX" w:eastAsia="es-CO"/>
        </w:rPr>
      </w:pPr>
    </w:p>
    <w:p w14:paraId="32601E05" w14:textId="77777777" w:rsidR="00566725" w:rsidRDefault="00566725" w:rsidP="00566725">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Pr>
          <w:rFonts w:ascii="Verdana" w:eastAsia="Calibri" w:hAnsi="Verdana" w:cs="Arial"/>
          <w:sz w:val="20"/>
          <w:szCs w:val="20"/>
          <w:vertAlign w:val="superscript"/>
          <w:lang w:val="es-MX"/>
        </w:rPr>
        <w:footnoteReference w:id="8"/>
      </w:r>
    </w:p>
    <w:p w14:paraId="2C6C6D73" w14:textId="77777777" w:rsidR="00566725" w:rsidRDefault="00566725" w:rsidP="00566725">
      <w:pPr>
        <w:spacing w:after="0" w:line="276" w:lineRule="auto"/>
        <w:ind w:firstLine="709"/>
        <w:jc w:val="both"/>
        <w:rPr>
          <w:rFonts w:ascii="Verdana" w:eastAsia="Times New Roman" w:hAnsi="Verdana" w:cs="Arial"/>
          <w:lang w:val="es-MX" w:eastAsia="es-CO"/>
        </w:rPr>
      </w:pPr>
      <w:bookmarkStart w:id="6" w:name="_Hlk78818186"/>
    </w:p>
    <w:p w14:paraId="56AFA121" w14:textId="77777777" w:rsidR="00566725" w:rsidRDefault="00566725" w:rsidP="00566725">
      <w:pPr>
        <w:spacing w:after="0" w:line="276" w:lineRule="auto"/>
        <w:ind w:firstLine="709"/>
        <w:jc w:val="both"/>
        <w:rPr>
          <w:rFonts w:ascii="Verdana" w:eastAsia="Times New Roman" w:hAnsi="Verdana" w:cs="Arial"/>
          <w:lang w:val="es-MX" w:eastAsia="es-CO"/>
        </w:rPr>
      </w:pPr>
      <w:r>
        <w:rPr>
          <w:rFonts w:ascii="Verdana" w:eastAsia="Times New Roman" w:hAnsi="Verdana" w:cs="Arial"/>
          <w:lang w:val="es-MX" w:eastAsia="es-CO"/>
        </w:rPr>
        <w:t xml:space="preserve">En este contexto, la Ley de Garantías Electorales establece el marco jurídico para el desarrollo de las elecciones, procurando condiciones de igualdad y transparencia para los aspirantes. Paralelamente, se incluyen restricciones en las actuaciones de los servidores públicos, evitando interferencias en la contienda electoral, así como la posible desviación de recursos públicos en aspiraciones electorales. </w:t>
      </w:r>
      <w:bookmarkEnd w:id="6"/>
      <w:r>
        <w:rPr>
          <w:rFonts w:ascii="Verdana" w:eastAsia="Times New Roman" w:hAnsi="Verdana" w:cs="Arial"/>
          <w:lang w:val="es-MX" w:eastAsia="es-CO"/>
        </w:rPr>
        <w:t>Por ello, varias de las disposiciones de la Ley 996 de 2005, al contener normas prohibitivas, no admiten una interpretación amplia, sino que deben interpretarse restrictivamente. En efecto, la Sala de Consulta y Servicio Civil del Consejo de Estado, precisó:</w:t>
      </w:r>
    </w:p>
    <w:p w14:paraId="2AC54C5A" w14:textId="77777777" w:rsidR="00566725" w:rsidRDefault="00566725" w:rsidP="00566725">
      <w:pPr>
        <w:spacing w:after="0" w:line="276" w:lineRule="auto"/>
        <w:ind w:firstLine="709"/>
        <w:jc w:val="both"/>
        <w:rPr>
          <w:rFonts w:ascii="Verdana" w:eastAsia="Times New Roman" w:hAnsi="Verdana" w:cs="Arial"/>
          <w:lang w:val="es-MX" w:eastAsia="es-CO"/>
        </w:rPr>
      </w:pPr>
    </w:p>
    <w:p w14:paraId="6E0ED89B" w14:textId="77777777" w:rsidR="00566725" w:rsidRDefault="00566725" w:rsidP="00566725">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 xml:space="preserve">“No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w:t>
      </w:r>
      <w:proofErr w:type="spellStart"/>
      <w:r>
        <w:rPr>
          <w:rFonts w:ascii="Verdana" w:eastAsia="Times New Roman" w:hAnsi="Verdana" w:cs="Arial"/>
          <w:sz w:val="20"/>
          <w:szCs w:val="20"/>
          <w:lang w:val="es-MX" w:eastAsia="es-CO"/>
        </w:rPr>
        <w:t>legis</w:t>
      </w:r>
      <w:proofErr w:type="spellEnd"/>
      <w:r>
        <w:rPr>
          <w:rFonts w:ascii="Verdana" w:eastAsia="Times New Roman" w:hAnsi="Verdana" w:cs="Arial"/>
          <w:sz w:val="20"/>
          <w:szCs w:val="20"/>
          <w:lang w:val="es-MX" w:eastAsia="es-CO"/>
        </w:rPr>
        <w:t xml:space="preserve">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4A98B030" w14:textId="77777777" w:rsidR="00566725" w:rsidRDefault="00566725" w:rsidP="00566725">
      <w:pPr>
        <w:spacing w:after="0" w:line="240" w:lineRule="auto"/>
        <w:ind w:right="709"/>
        <w:contextualSpacing/>
        <w:jc w:val="both"/>
        <w:rPr>
          <w:rFonts w:ascii="Verdana" w:eastAsia="Times New Roman" w:hAnsi="Verdana" w:cs="Arial"/>
          <w:sz w:val="12"/>
          <w:szCs w:val="12"/>
          <w:lang w:val="es-MX" w:eastAsia="es-CO"/>
        </w:rPr>
      </w:pPr>
    </w:p>
    <w:p w14:paraId="5EAC0145" w14:textId="77777777" w:rsidR="00566725" w:rsidRDefault="00566725" w:rsidP="00566725">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lastRenderedPageBreak/>
        <w:t>La jurisprudencia de la Corte Constitucional</w:t>
      </w:r>
      <w:r>
        <w:rPr>
          <w:rFonts w:ascii="Verdana" w:eastAsia="Times New Roman" w:hAnsi="Verdana" w:cs="Arial"/>
          <w:sz w:val="20"/>
          <w:szCs w:val="20"/>
          <w:vertAlign w:val="superscript"/>
          <w:lang w:val="es-MX" w:eastAsia="es-CO"/>
        </w:rPr>
        <w:footnoteReference w:id="9"/>
      </w:r>
      <w:r>
        <w:rPr>
          <w:rFonts w:ascii="Verdana" w:eastAsia="Times New Roman" w:hAnsi="Verdana" w:cs="Arial"/>
          <w:sz w:val="20"/>
          <w:szCs w:val="20"/>
          <w:lang w:val="es-MX" w:eastAsia="es-CO"/>
        </w:rPr>
        <w:t> y del Consejo de Estado</w:t>
      </w:r>
      <w:r>
        <w:rPr>
          <w:rFonts w:ascii="Verdana" w:eastAsia="Times New Roman" w:hAnsi="Verdana" w:cs="Arial"/>
          <w:sz w:val="20"/>
          <w:szCs w:val="20"/>
          <w:vertAlign w:val="superscript"/>
          <w:lang w:val="es-MX" w:eastAsia="es-CO"/>
        </w:rPr>
        <w:footnoteReference w:id="10"/>
      </w:r>
      <w:r>
        <w:rPr>
          <w:rFonts w:ascii="Verdana" w:eastAsia="Times New Roman" w:hAnsi="Verdana" w:cs="Arial"/>
          <w:sz w:val="20"/>
          <w:szCs w:val="20"/>
          <w:lang w:val="es-MX"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Pr>
          <w:rFonts w:ascii="Verdana" w:eastAsia="Times New Roman" w:hAnsi="Verdana" w:cs="Arial"/>
          <w:sz w:val="20"/>
          <w:szCs w:val="20"/>
          <w:vertAlign w:val="superscript"/>
          <w:lang w:val="es-MX" w:eastAsia="es-CO"/>
        </w:rPr>
        <w:footnoteReference w:id="11"/>
      </w:r>
      <w:r>
        <w:rPr>
          <w:rFonts w:ascii="Verdana" w:eastAsia="Times New Roman" w:hAnsi="Verdana" w:cs="Arial"/>
          <w:sz w:val="20"/>
          <w:szCs w:val="20"/>
          <w:lang w:val="es-MX" w:eastAsia="es-CO"/>
        </w:rPr>
        <w:t>.</w:t>
      </w:r>
    </w:p>
    <w:p w14:paraId="07B99A1F" w14:textId="77777777" w:rsidR="00566725" w:rsidRDefault="00566725" w:rsidP="00566725">
      <w:pPr>
        <w:spacing w:after="0" w:line="276" w:lineRule="auto"/>
        <w:jc w:val="both"/>
        <w:rPr>
          <w:rFonts w:ascii="Verdana" w:eastAsia="Calibri" w:hAnsi="Verdana" w:cs="Arial"/>
          <w:bCs/>
          <w:lang w:val="es-ES_tradnl"/>
        </w:rPr>
      </w:pPr>
    </w:p>
    <w:p w14:paraId="0336AC36" w14:textId="5102A71B" w:rsidR="00566725" w:rsidRDefault="00566725" w:rsidP="00BB2DE5">
      <w:pPr>
        <w:spacing w:after="120" w:line="276" w:lineRule="auto"/>
        <w:ind w:firstLine="709"/>
        <w:jc w:val="both"/>
        <w:rPr>
          <w:rFonts w:ascii="Verdana" w:eastAsia="Arial" w:hAnsi="Verdana" w:cs="Arial"/>
          <w:lang w:val="es-ES" w:eastAsia="es-ES" w:bidi="es-ES"/>
        </w:rPr>
      </w:pPr>
      <w:r>
        <w:rPr>
          <w:rFonts w:ascii="Verdana" w:eastAsia="Times New Roman" w:hAnsi="Verdana" w:cs="Arial"/>
          <w:lang w:val="es-MX" w:eastAsia="es-CO"/>
        </w:rPr>
        <w:t>De</w:t>
      </w:r>
      <w:r>
        <w:rPr>
          <w:rFonts w:ascii="Verdana" w:eastAsia="Arial" w:hAnsi="Verdana" w:cs="Arial"/>
          <w:lang w:val="es-ES" w:eastAsia="es-ES" w:bidi="es-ES"/>
        </w:rPr>
        <w:t xml:space="preserve"> conformidad con lo anterior, </w:t>
      </w:r>
      <w:bookmarkStart w:id="7" w:name="_Hlk77236098"/>
      <w:bookmarkStart w:id="8" w:name="_Hlk100679383"/>
      <w:r>
        <w:rPr>
          <w:rFonts w:ascii="Verdana" w:eastAsia="Arial" w:hAnsi="Verdana" w:cs="Arial"/>
          <w:lang w:val="es-ES" w:eastAsia="es-ES" w:bidi="es-ES"/>
        </w:rPr>
        <w:t xml:space="preserve">la Ley de Garantías Electorales estableció 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6379522E" w14:textId="24FB3095" w:rsidR="00566725" w:rsidRDefault="00566725" w:rsidP="00BB2DE5">
      <w:pPr>
        <w:spacing w:after="120" w:line="276" w:lineRule="auto"/>
        <w:ind w:firstLine="709"/>
        <w:jc w:val="both"/>
        <w:rPr>
          <w:rFonts w:ascii="Verdana" w:eastAsia="Arial" w:hAnsi="Verdana" w:cs="Arial"/>
          <w:lang w:val="es-ES" w:eastAsia="es-ES" w:bidi="es-ES"/>
        </w:rPr>
      </w:pPr>
      <w:r>
        <w:rPr>
          <w:rFonts w:ascii="Verdana" w:eastAsia="Arial" w:hAnsi="Verdana" w:cs="Arial"/>
          <w:lang w:val="es-ES" w:eastAsia="es-ES" w:bidi="es-ES"/>
        </w:rPr>
        <w:t>Precisado el propósito de la Ley, es pertinente señalar que las restricciones consagradas en la citada Ley se dirigen a dos (2) tipos de campañas electorales claramente diferenciadas: las presidenciales y las demás que se adelanten para la elección de los demás cargos de elección popular, tanto a nivel nacional como territorial.</w:t>
      </w:r>
      <w:bookmarkEnd w:id="7"/>
    </w:p>
    <w:p w14:paraId="4052A241" w14:textId="77777777" w:rsidR="00566725" w:rsidRDefault="00566725" w:rsidP="00566725">
      <w:pPr>
        <w:spacing w:after="120" w:line="276" w:lineRule="auto"/>
        <w:ind w:firstLine="708"/>
        <w:jc w:val="both"/>
        <w:rPr>
          <w:rFonts w:ascii="Verdana" w:eastAsia="Calibri" w:hAnsi="Verdana" w:cs="Arial"/>
        </w:rPr>
      </w:pPr>
      <w:r>
        <w:rPr>
          <w:rFonts w:ascii="Verdana" w:eastAsia="Calibri" w:hAnsi="Verdana" w:cs="Arial"/>
        </w:rPr>
        <w:t xml:space="preserve">Por un lado, el </w:t>
      </w:r>
      <w:r>
        <w:rPr>
          <w:rFonts w:ascii="Verdana" w:eastAsia="Calibri" w:hAnsi="Verdana" w:cs="Arial"/>
          <w:i/>
          <w:iCs/>
        </w:rPr>
        <w:t>artículo 33 de la Ley 996 de 2005</w:t>
      </w:r>
      <w:r>
        <w:rPr>
          <w:rFonts w:ascii="Verdana" w:eastAsia="Calibri" w:hAnsi="Verdana" w:cs="Arial"/>
        </w:rPr>
        <w:t xml:space="preserve">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w:t>
      </w:r>
      <w:r>
        <w:rPr>
          <w:rFonts w:ascii="Verdana" w:eastAsia="Calibri" w:hAnsi="Verdana" w:cs="Arial"/>
        </w:rPr>
        <w:lastRenderedPageBreak/>
        <w:t>acciones terroristas, desastres naturales o casos de fuerza mayor, y los que deban realizar las entidades sanitarias y hospitalarias”</w:t>
      </w:r>
      <w:r>
        <w:rPr>
          <w:vertAlign w:val="superscript"/>
        </w:rPr>
        <w:footnoteReference w:id="12"/>
      </w:r>
      <w:r>
        <w:rPr>
          <w:rFonts w:ascii="Verdana" w:eastAsia="Calibri" w:hAnsi="Verdana" w:cs="Arial"/>
        </w:rPr>
        <w:t>.</w:t>
      </w:r>
    </w:p>
    <w:p w14:paraId="3D27658A" w14:textId="77777777" w:rsidR="00566725" w:rsidRDefault="00566725" w:rsidP="00566725">
      <w:pPr>
        <w:widowControl w:val="0"/>
        <w:autoSpaceDE w:val="0"/>
        <w:autoSpaceDN w:val="0"/>
        <w:spacing w:after="120" w:line="276" w:lineRule="auto"/>
        <w:ind w:right="113" w:firstLine="709"/>
        <w:jc w:val="both"/>
        <w:rPr>
          <w:rFonts w:ascii="Verdana" w:eastAsia="Arial" w:hAnsi="Verdana" w:cs="Arial"/>
          <w:lang w:val="es-ES" w:eastAsia="es-ES" w:bidi="es-ES"/>
        </w:rPr>
      </w:pPr>
      <w:r>
        <w:rPr>
          <w:rFonts w:ascii="Verdana" w:eastAsia="Calibri" w:hAnsi="Verdana" w:cs="Arial"/>
        </w:rPr>
        <w:t xml:space="preserve">Por otro lado, </w:t>
      </w:r>
      <w:r>
        <w:rPr>
          <w:rFonts w:ascii="Verdana" w:eastAsia="Calibri" w:hAnsi="Verdana" w:cs="Arial"/>
          <w:i/>
          <w:iCs/>
        </w:rPr>
        <w:t>el parágrafo del artículo 38 de la Ley 996 de 2005</w:t>
      </w:r>
      <w:r>
        <w:rPr>
          <w:rFonts w:ascii="Verdana" w:eastAsia="Calibri" w:hAnsi="Verdana" w:cs="Arial"/>
        </w:rPr>
        <w:t xml:space="preserve"> prevé una restricción, aplicable respecto de cualquier tipo de contienda electoral, que prohíbe a los gobernadores, alcaldes municipales o distritales, secretarios, gerentes y directores de entidades descentralizadas del orden municipal, departamental o distrital “[…] </w:t>
      </w:r>
      <w:r>
        <w:rPr>
          <w:rFonts w:ascii="Verdana" w:eastAsia="Calibri" w:hAnsi="Verdana" w:cs="Arial"/>
          <w:lang w:val="es-MX"/>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Pr>
          <w:rFonts w:ascii="Verdana" w:eastAsia="Calibri" w:hAnsi="Verdana" w:cs="Arial"/>
        </w:rPr>
        <w:t>”</w:t>
      </w:r>
      <w:bookmarkEnd w:id="8"/>
      <w:r>
        <w:rPr>
          <w:rFonts w:ascii="Verdana" w:eastAsia="Calibri" w:hAnsi="Verdana" w:cs="Arial"/>
          <w:vertAlign w:val="superscript"/>
        </w:rPr>
        <w:footnoteReference w:id="13"/>
      </w:r>
      <w:r>
        <w:rPr>
          <w:rFonts w:ascii="Verdana" w:eastAsia="Calibri" w:hAnsi="Verdana" w:cs="Arial"/>
          <w:lang w:val="es-MX"/>
        </w:rPr>
        <w:t>.</w:t>
      </w:r>
      <w:r>
        <w:rPr>
          <w:rFonts w:ascii="Verdana" w:eastAsia="Arial" w:hAnsi="Verdana" w:cs="Arial"/>
          <w:lang w:val="es-ES" w:eastAsia="es-ES" w:bidi="es-ES"/>
        </w:rPr>
        <w:t xml:space="preserve"> </w:t>
      </w:r>
    </w:p>
    <w:p w14:paraId="2B6F3560" w14:textId="77777777" w:rsidR="00566725" w:rsidRDefault="00566725" w:rsidP="00566725">
      <w:pPr>
        <w:spacing w:after="120" w:line="276" w:lineRule="auto"/>
        <w:ind w:firstLine="708"/>
        <w:jc w:val="both"/>
        <w:rPr>
          <w:rFonts w:ascii="Verdana" w:eastAsia="Times New Roman" w:hAnsi="Verdana" w:cs="Arial"/>
          <w:bCs/>
          <w:lang w:eastAsia="es-CO"/>
        </w:rPr>
      </w:pPr>
      <w:r>
        <w:rPr>
          <w:rFonts w:ascii="Verdana" w:eastAsia="Times New Roman" w:hAnsi="Verdana" w:cs="Arial"/>
          <w:bCs/>
          <w:lang w:val="es-MX" w:eastAsia="es-CO"/>
        </w:rPr>
        <w:t>Para entender el momento de aplicación de estas restricciones, es preciso señalar que el vocablo “celebrar” es definido por el Diccionario Panhispánico del Español Jurídico como: “</w:t>
      </w:r>
      <w:r>
        <w:rPr>
          <w:rFonts w:ascii="Verdana" w:eastAsia="Times New Roman" w:hAnsi="Verdana" w:cs="Arial"/>
          <w:bCs/>
          <w:lang w:eastAsia="es-CO"/>
        </w:rPr>
        <w:t>1. </w:t>
      </w:r>
      <w:r>
        <w:rPr>
          <w:rFonts w:ascii="Verdana" w:eastAsia="Times New Roman" w:hAnsi="Verdana" w:cs="Arial"/>
          <w:bCs/>
          <w:i/>
          <w:iCs/>
          <w:lang w:eastAsia="es-CO"/>
        </w:rPr>
        <w:t>Gral.</w:t>
      </w:r>
      <w:r>
        <w:rPr>
          <w:rFonts w:ascii="Verdana" w:eastAsia="Times New Roman" w:hAnsi="Verdana" w:cs="Arial"/>
          <w:bCs/>
          <w:lang w:eastAsia="es-CO"/>
        </w:rPr>
        <w:t xml:space="preserve"> Otorgar o firmar un contrato. 2. </w:t>
      </w:r>
      <w:proofErr w:type="spellStart"/>
      <w:r>
        <w:rPr>
          <w:rFonts w:ascii="Verdana" w:eastAsia="Times New Roman" w:hAnsi="Verdana" w:cs="Arial"/>
          <w:bCs/>
          <w:i/>
          <w:iCs/>
          <w:lang w:eastAsia="es-CO"/>
        </w:rPr>
        <w:t>Proc</w:t>
      </w:r>
      <w:proofErr w:type="spellEnd"/>
      <w:r>
        <w:rPr>
          <w:rFonts w:ascii="Verdana" w:eastAsia="Times New Roman" w:hAnsi="Verdana" w:cs="Arial"/>
          <w:bCs/>
          <w:i/>
          <w:iCs/>
          <w:lang w:eastAsia="es-CO"/>
        </w:rPr>
        <w:t>.</w:t>
      </w:r>
      <w:r>
        <w:rPr>
          <w:rFonts w:ascii="Verdana" w:eastAsia="Times New Roman" w:hAnsi="Verdana" w:cs="Arial"/>
          <w:bCs/>
          <w:lang w:eastAsia="es-CO"/>
        </w:rPr>
        <w:t xml:space="preserve"> Realizar los actos procesales propios de un juicio o vista”. Dentro de las dos definiciones, la que se acerca a la expresión “celebrar” en el contexto de la Ley de Garantías Electorales es la primera, esto es, al perfeccionamiento del contrato. </w:t>
      </w:r>
    </w:p>
    <w:p w14:paraId="645F8056" w14:textId="77777777" w:rsidR="00566725" w:rsidRDefault="00566725" w:rsidP="00566725">
      <w:pPr>
        <w:spacing w:after="120" w:line="276" w:lineRule="auto"/>
        <w:ind w:firstLine="708"/>
        <w:jc w:val="both"/>
        <w:rPr>
          <w:rFonts w:ascii="Verdana" w:eastAsia="Times New Roman" w:hAnsi="Verdana" w:cs="Arial"/>
          <w:bCs/>
          <w:lang w:val="es-ES" w:eastAsia="es-CO"/>
        </w:rPr>
      </w:pPr>
      <w:r>
        <w:rPr>
          <w:rFonts w:ascii="Verdana" w:eastAsia="Times New Roman" w:hAnsi="Verdana" w:cs="Arial"/>
          <w:bCs/>
          <w:lang w:eastAsia="es-CO"/>
        </w:rPr>
        <w:t xml:space="preserve">En efecto, el concepto de celebración en el marco de la contratación estatal se relaciona con el perfeccionamiento, es decir, con los requisitos para que exista un contrato estatal. Al respecto, se destaca que en entidades sometidas al Estatuto General de Contratación de la Administración Pública </w:t>
      </w:r>
      <w:r>
        <w:rPr>
          <w:rFonts w:ascii="Verdana" w:eastAsia="Times New Roman" w:hAnsi="Verdana" w:cs="Arial"/>
          <w:bCs/>
          <w:lang w:val="es-ES" w:eastAsia="es-CO"/>
        </w:rPr>
        <w:t xml:space="preserve">la existencia de los contratos estatales, es decir, la producción de efectos jurídicos en los términos del artículo 1501 </w:t>
      </w:r>
      <w:proofErr w:type="spellStart"/>
      <w:r>
        <w:rPr>
          <w:rFonts w:ascii="Verdana" w:eastAsia="Times New Roman" w:hAnsi="Verdana" w:cs="Arial"/>
          <w:bCs/>
          <w:i/>
          <w:lang w:val="es-ES" w:eastAsia="es-CO"/>
        </w:rPr>
        <w:t>ibídem</w:t>
      </w:r>
      <w:proofErr w:type="spellEnd"/>
      <w:r>
        <w:rPr>
          <w:rFonts w:ascii="Verdana" w:eastAsia="Times New Roman" w:hAnsi="Verdana" w:cs="Arial"/>
          <w:bCs/>
          <w:lang w:val="es-ES" w:eastAsia="es-CO"/>
        </w:rPr>
        <w:t xml:space="preserve">, depende de la regulación del inciso primero de los artículos 39 y 41 de la Ley 80 de 1993. Por un lado, “Los contratos que celebren las entidades estatales constarán por escrito y no requerirán ser elevados a escritura pública, con excepción de aquellos que impliquen mutación del dominio o imposición de gravámenes y servidumbres sobre bienes inmuebles </w:t>
      </w:r>
      <w:r>
        <w:rPr>
          <w:rFonts w:ascii="Verdana" w:eastAsia="Times New Roman" w:hAnsi="Verdana" w:cs="Arial"/>
          <w:bCs/>
          <w:lang w:val="es-ES" w:eastAsia="es-CO"/>
        </w:rPr>
        <w:lastRenderedPageBreak/>
        <w:t xml:space="preserve">y, en general, aquellos que conforme a las normas legales vigentes deban cumplir con dicha formalidad”. Por otra parte, “Los contratos del Estado se perfeccionan cuando se logre acuerdo sobre el objeto y la contraprestación y éste se eleve a escrito”. </w:t>
      </w:r>
    </w:p>
    <w:p w14:paraId="3ECB42A0" w14:textId="77777777" w:rsidR="00566725" w:rsidRDefault="00566725" w:rsidP="00566725">
      <w:pPr>
        <w:spacing w:after="120" w:line="276" w:lineRule="auto"/>
        <w:ind w:firstLine="708"/>
        <w:jc w:val="both"/>
        <w:rPr>
          <w:rFonts w:ascii="Verdana" w:eastAsia="Times New Roman" w:hAnsi="Verdana" w:cs="Arial"/>
          <w:bCs/>
          <w:lang w:val="es-ES" w:eastAsia="es-CO"/>
        </w:rPr>
      </w:pPr>
      <w:r>
        <w:rPr>
          <w:rFonts w:ascii="Verdana" w:eastAsia="Times New Roman" w:hAnsi="Verdana" w:cs="Arial"/>
          <w:bCs/>
          <w:lang w:val="es-ES" w:eastAsia="es-CO"/>
        </w:rPr>
        <w:t xml:space="preserve">De este modo, esta Agencia precisa que el concepto “celebrar” para efectos de las restricciones en la contratación dispuesta por la Ley de Garantías Electorales se refiere a los requisitos de perfeccionamiento del contrato estatal. Por tanto, no se refiere a los requisitos de ejecución, es decir, aquellas condiciones para iniciar un contrato, como es la aprobación de las garantías o el registro presupuestal, o en algunos casos, la firma del acta de inicio, si así se determinó. </w:t>
      </w:r>
    </w:p>
    <w:p w14:paraId="16C7D6BC" w14:textId="77777777" w:rsidR="00566725" w:rsidRDefault="00566725" w:rsidP="00566725">
      <w:pPr>
        <w:spacing w:after="120" w:line="276" w:lineRule="auto"/>
        <w:ind w:firstLine="708"/>
        <w:jc w:val="both"/>
        <w:rPr>
          <w:rFonts w:ascii="Verdana" w:eastAsia="Times New Roman" w:hAnsi="Verdana" w:cs="Arial"/>
          <w:bCs/>
          <w:lang w:val="es-ES" w:eastAsia="es-CO"/>
        </w:rPr>
      </w:pPr>
      <w:r>
        <w:rPr>
          <w:rFonts w:ascii="Verdana" w:eastAsia="Times New Roman" w:hAnsi="Verdana" w:cs="Arial"/>
          <w:bCs/>
          <w:lang w:val="es-ES" w:eastAsia="es-CO"/>
        </w:rPr>
        <w:t xml:space="preserve">Así mismo, </w:t>
      </w:r>
      <w:r>
        <w:rPr>
          <w:rFonts w:ascii="Verdana" w:eastAsia="Times New Roman" w:hAnsi="Verdana" w:cs="Arial"/>
          <w:bCs/>
          <w:lang w:val="es-MX" w:eastAsia="es-CO"/>
        </w:rPr>
        <w:t xml:space="preserve">como en otras oportunidades lo ha manifestado esta Agencia, las prórrogas, modificaciones o adiciones de los contratos suscritos antes de la </w:t>
      </w:r>
      <w:proofErr w:type="gramStart"/>
      <w:r>
        <w:rPr>
          <w:rFonts w:ascii="Verdana" w:eastAsia="Times New Roman" w:hAnsi="Verdana" w:cs="Arial"/>
          <w:bCs/>
          <w:lang w:val="es-MX" w:eastAsia="es-CO"/>
        </w:rPr>
        <w:t>entrada en vigencia</w:t>
      </w:r>
      <w:proofErr w:type="gramEnd"/>
      <w:r>
        <w:rPr>
          <w:rFonts w:ascii="Verdana" w:eastAsia="Times New Roman" w:hAnsi="Verdana" w:cs="Arial"/>
          <w:bCs/>
          <w:lang w:val="es-MX" w:eastAsia="es-CO"/>
        </w:rPr>
        <w:t xml:space="preserve"> de las prohibiciones anotadas, así como la cesión de </w:t>
      </w:r>
      <w:proofErr w:type="gramStart"/>
      <w:r>
        <w:rPr>
          <w:rFonts w:ascii="Verdana" w:eastAsia="Times New Roman" w:hAnsi="Verdana" w:cs="Arial"/>
          <w:bCs/>
          <w:lang w:val="es-MX" w:eastAsia="es-CO"/>
        </w:rPr>
        <w:t>los mismos</w:t>
      </w:r>
      <w:proofErr w:type="gramEnd"/>
      <w:r>
        <w:rPr>
          <w:rFonts w:ascii="Verdana" w:eastAsia="Times New Roman" w:hAnsi="Verdana" w:cs="Arial"/>
          <w:bCs/>
          <w:lang w:val="es-MX" w:eastAsia="es-CO"/>
        </w:rPr>
        <w:t>, pueden tener lugar en el período de aplicación de la Ley de Garantías, sin que ello haga nugatoria la restricción de la contratación directa y siempre que cumplan los principios de planeación, transparencia y responsabilidad</w:t>
      </w:r>
      <w:r>
        <w:rPr>
          <w:rFonts w:ascii="Verdana" w:eastAsia="Times New Roman" w:hAnsi="Verdana" w:cs="Arial"/>
          <w:bCs/>
          <w:vertAlign w:val="superscript"/>
          <w:lang w:val="es-MX" w:eastAsia="es-CO"/>
        </w:rPr>
        <w:footnoteReference w:id="14"/>
      </w:r>
      <w:r>
        <w:rPr>
          <w:rFonts w:ascii="Verdana" w:eastAsia="Times New Roman" w:hAnsi="Verdana" w:cs="Arial"/>
          <w:bCs/>
          <w:lang w:val="es-MX" w:eastAsia="es-CO"/>
        </w:rPr>
        <w:t xml:space="preserve">. </w:t>
      </w:r>
    </w:p>
    <w:p w14:paraId="0B859F46" w14:textId="77777777" w:rsidR="00566725" w:rsidRDefault="00566725" w:rsidP="00566725">
      <w:pPr>
        <w:widowControl w:val="0"/>
        <w:autoSpaceDE w:val="0"/>
        <w:autoSpaceDN w:val="0"/>
        <w:spacing w:after="0" w:line="276" w:lineRule="auto"/>
        <w:ind w:right="113" w:firstLine="708"/>
        <w:contextualSpacing/>
        <w:jc w:val="both"/>
        <w:rPr>
          <w:rFonts w:ascii="Verdana" w:eastAsia="Arial" w:hAnsi="Verdana" w:cs="Arial"/>
          <w:lang w:val="es-ES" w:eastAsia="es-ES" w:bidi="es-ES"/>
        </w:rPr>
      </w:pPr>
      <w:r>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w:t>
      </w:r>
    </w:p>
    <w:p w14:paraId="203C0404" w14:textId="77777777" w:rsidR="00566725" w:rsidRDefault="00566725" w:rsidP="00566725">
      <w:pPr>
        <w:widowControl w:val="0"/>
        <w:autoSpaceDE w:val="0"/>
        <w:autoSpaceDN w:val="0"/>
        <w:spacing w:after="0" w:line="276" w:lineRule="auto"/>
        <w:ind w:left="805" w:right="812"/>
        <w:contextualSpacing/>
        <w:jc w:val="both"/>
        <w:rPr>
          <w:rFonts w:ascii="Verdana" w:eastAsia="Arial" w:hAnsi="Verdana" w:cs="Arial"/>
          <w:lang w:val="es-ES" w:eastAsia="es-ES" w:bidi="es-ES"/>
        </w:rPr>
      </w:pPr>
    </w:p>
    <w:p w14:paraId="3972E126" w14:textId="77777777" w:rsidR="00566725" w:rsidRDefault="00566725" w:rsidP="00566725">
      <w:pPr>
        <w:widowControl w:val="0"/>
        <w:autoSpaceDE w:val="0"/>
        <w:autoSpaceDN w:val="0"/>
        <w:spacing w:after="0" w:line="240" w:lineRule="auto"/>
        <w:ind w:left="709" w:right="709"/>
        <w:jc w:val="both"/>
        <w:rPr>
          <w:rFonts w:ascii="Verdana" w:eastAsia="Arial" w:hAnsi="Verdana" w:cs="Arial"/>
          <w:sz w:val="20"/>
          <w:szCs w:val="20"/>
          <w:lang w:eastAsia="es-ES" w:bidi="es-ES"/>
        </w:rPr>
      </w:pPr>
      <w:r>
        <w:rPr>
          <w:rFonts w:ascii="Verdana" w:eastAsia="Arial" w:hAnsi="Verdana" w:cs="Arial"/>
          <w:sz w:val="20"/>
          <w:szCs w:val="20"/>
          <w:lang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w:t>
      </w:r>
      <w:bookmarkStart w:id="11" w:name="_Hlk76109421"/>
      <w:r>
        <w:rPr>
          <w:rFonts w:ascii="Verdana" w:eastAsia="Arial" w:hAnsi="Verdana" w:cs="Arial"/>
          <w:sz w:val="20"/>
          <w:szCs w:val="20"/>
          <w:lang w:eastAsia="es-ES" w:bidi="es-ES"/>
        </w:rPr>
        <w:t>se integran parcialmente</w:t>
      </w:r>
      <w:bookmarkEnd w:id="11"/>
      <w:r>
        <w:rPr>
          <w:rFonts w:ascii="Verdana" w:eastAsia="Arial" w:hAnsi="Verdana" w:cs="Arial"/>
          <w:sz w:val="20"/>
          <w:szCs w:val="20"/>
          <w:lang w:eastAsia="es-ES" w:bidi="es-ES"/>
        </w:rPr>
        <w:t xml:space="preserve">, lo que permite concluir que 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Presidente de la República, a las autoridades territoriales allí mencionadas sólo se aplican las restricciones </w:t>
      </w:r>
      <w:r>
        <w:rPr>
          <w:rFonts w:ascii="Verdana" w:eastAsia="Arial" w:hAnsi="Verdana" w:cs="Arial"/>
          <w:sz w:val="20"/>
          <w:szCs w:val="20"/>
          <w:lang w:eastAsia="es-ES" w:bidi="es-ES"/>
        </w:rPr>
        <w:lastRenderedPageBreak/>
        <w:t>contenidas en el parágrafo del artículo 38”.</w:t>
      </w:r>
      <w:r>
        <w:rPr>
          <w:rFonts w:ascii="Verdana" w:eastAsia="Arial" w:hAnsi="Verdana" w:cs="Arial"/>
          <w:sz w:val="20"/>
          <w:szCs w:val="20"/>
          <w:vertAlign w:val="superscript"/>
          <w:lang w:eastAsia="es-ES" w:bidi="es-ES"/>
        </w:rPr>
        <w:footnoteReference w:id="15"/>
      </w:r>
    </w:p>
    <w:p w14:paraId="07344487" w14:textId="77777777" w:rsidR="00566725" w:rsidRDefault="00566725" w:rsidP="00566725">
      <w:pPr>
        <w:widowControl w:val="0"/>
        <w:autoSpaceDE w:val="0"/>
        <w:autoSpaceDN w:val="0"/>
        <w:spacing w:line="276" w:lineRule="auto"/>
        <w:contextualSpacing/>
        <w:rPr>
          <w:rFonts w:ascii="Verdana" w:eastAsia="Arial" w:hAnsi="Verdana" w:cs="Arial"/>
          <w:lang w:val="es-ES" w:eastAsia="es-ES" w:bidi="es-ES"/>
        </w:rPr>
      </w:pPr>
    </w:p>
    <w:p w14:paraId="7B359AB9" w14:textId="77777777" w:rsidR="00566725" w:rsidRDefault="00566725" w:rsidP="00566725">
      <w:pPr>
        <w:spacing w:after="120" w:line="276" w:lineRule="auto"/>
        <w:ind w:firstLine="709"/>
        <w:jc w:val="both"/>
        <w:rPr>
          <w:rFonts w:ascii="Verdana" w:eastAsia="Arial" w:hAnsi="Verdana" w:cs="Arial"/>
          <w:lang w:val="es-ES" w:eastAsia="es-ES" w:bidi="es-ES"/>
        </w:rPr>
      </w:pPr>
      <w:r>
        <w:rPr>
          <w:rFonts w:ascii="Verdana" w:eastAsia="Arial" w:hAnsi="Verdana" w:cs="Arial"/>
          <w:lang w:val="es-ES" w:eastAsia="es-ES" w:bidi="es-ES"/>
        </w:rPr>
        <w:t xml:space="preserve">De conformidad con lo anterior, </w:t>
      </w:r>
      <w:bookmarkStart w:id="12" w:name="_Hlk77236420"/>
      <w:bookmarkStart w:id="13" w:name="_Hlk78818435"/>
      <w:bookmarkStart w:id="14" w:name="_Hlk75780333"/>
      <w:r>
        <w:rPr>
          <w:rFonts w:ascii="Verdana" w:eastAsia="Arial" w:hAnsi="Verdana" w:cs="Arial"/>
          <w:lang w:val="es-ES" w:eastAsia="es-ES" w:bidi="es-ES"/>
        </w:rPr>
        <w:t xml:space="preserve">la Ley 996 de 2005 establece dos (2) tipos de restricciones en materia de contratación, las cuales coinciden parcialmente. </w:t>
      </w:r>
      <w:r>
        <w:rPr>
          <w:rFonts w:ascii="Verdana" w:eastAsia="Arial" w:hAnsi="Verdana" w:cs="Arial"/>
          <w:i/>
          <w:lang w:val="es-ES" w:eastAsia="es-ES" w:bidi="es-ES"/>
        </w:rPr>
        <w:t>En primer lugar</w:t>
      </w:r>
      <w:r>
        <w:rPr>
          <w:rFonts w:ascii="Verdana" w:eastAsia="Arial" w:hAnsi="Verdana" w:cs="Arial"/>
          <w:lang w:val="es-ES" w:eastAsia="es-ES" w:bidi="es-ES"/>
        </w:rPr>
        <w:t xml:space="preserve">, la del artículo 33 que aplica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Pr>
          <w:rFonts w:ascii="Verdana" w:eastAsia="Arial" w:hAnsi="Verdana" w:cs="Arial"/>
          <w:i/>
          <w:lang w:val="es-ES" w:eastAsia="es-ES" w:bidi="es-ES"/>
        </w:rPr>
        <w:t>En segundo lugar</w:t>
      </w:r>
      <w:r>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bookmarkEnd w:id="12"/>
    </w:p>
    <w:bookmarkEnd w:id="13"/>
    <w:p w14:paraId="527DA770" w14:textId="77777777" w:rsidR="00566725" w:rsidRDefault="00566725" w:rsidP="00566725">
      <w:pPr>
        <w:spacing w:after="120" w:line="276" w:lineRule="auto"/>
        <w:ind w:firstLine="709"/>
        <w:jc w:val="both"/>
        <w:rPr>
          <w:rFonts w:ascii="Verdana" w:eastAsia="Arial" w:hAnsi="Verdana" w:cs="Arial"/>
          <w:lang w:val="es-ES" w:eastAsia="es-ES" w:bidi="es-ES"/>
        </w:rPr>
      </w:pPr>
      <w:r>
        <w:rPr>
          <w:rFonts w:ascii="Verdana" w:eastAsia="Arial" w:hAnsi="Verdana" w:cs="Arial"/>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bookmarkEnd w:id="14"/>
    <w:p w14:paraId="7DD57AD9" w14:textId="62BFF5F5" w:rsidR="00566725" w:rsidRDefault="00566725" w:rsidP="00DA41CF">
      <w:pPr>
        <w:spacing w:after="0" w:line="276" w:lineRule="auto"/>
        <w:ind w:firstLine="709"/>
        <w:jc w:val="both"/>
        <w:rPr>
          <w:rFonts w:ascii="Verdana" w:eastAsia="Arial" w:hAnsi="Verdana" w:cs="Arial"/>
          <w:lang w:val="es-ES" w:eastAsia="es-ES" w:bidi="es-ES"/>
        </w:rPr>
      </w:pPr>
      <w:r>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(6)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w:t>
      </w:r>
      <w:r>
        <w:rPr>
          <w:rFonts w:ascii="Verdana" w:eastAsia="Arial" w:hAnsi="Verdana" w:cs="Arial"/>
          <w:lang w:val="es-ES" w:eastAsia="es-ES" w:bidi="es-ES"/>
        </w:rPr>
        <w:lastRenderedPageBreak/>
        <w:t xml:space="preserve">reelección presidencial, restablecida por el Acto Legislativo 2 de 2015. Esto excepto para el Vicepresidente que no haya ejercido la presidencia o que la haya ejercido por un tiempo inferior a tres (3) meses durante el respectivo cuatrienio, en forma continua o discontinua, conforme al artículo 197 de la Constitución Política. </w:t>
      </w:r>
      <w:bookmarkStart w:id="15" w:name="_Hlk78820161"/>
    </w:p>
    <w:p w14:paraId="01D6D5B1" w14:textId="71FA1CDD" w:rsidR="00566725" w:rsidRDefault="00566725" w:rsidP="00B41362">
      <w:pPr>
        <w:spacing w:before="240" w:after="0" w:line="276" w:lineRule="auto"/>
        <w:ind w:firstLine="709"/>
        <w:jc w:val="both"/>
        <w:rPr>
          <w:rFonts w:ascii="Verdana" w:eastAsia="Times New Roman" w:hAnsi="Verdana" w:cs="Arial"/>
          <w:bCs/>
          <w:lang w:val="es-MX" w:eastAsia="es-CO"/>
        </w:rPr>
      </w:pPr>
      <w:r>
        <w:rPr>
          <w:rFonts w:ascii="Verdana" w:eastAsia="Times New Roman" w:hAnsi="Verdana" w:cs="Arial"/>
          <w:bCs/>
          <w:lang w:val="es-MX" w:eastAsia="x-none"/>
        </w:rPr>
        <w:t xml:space="preserve">El ámbito material de la prohibición contenida en el artículo 33 de la ley 996 de 2005 está delimitado por la expresión </w:t>
      </w:r>
      <w:r>
        <w:rPr>
          <w:rFonts w:ascii="Verdana" w:eastAsia="Calibri" w:hAnsi="Verdana" w:cs="Arial"/>
          <w:bCs/>
          <w:sz w:val="20"/>
          <w:szCs w:val="20"/>
          <w:lang w:val="es-MX"/>
        </w:rPr>
        <w:t>“</w:t>
      </w:r>
      <w:r>
        <w:rPr>
          <w:rFonts w:ascii="Verdana" w:eastAsia="Times New Roman" w:hAnsi="Verdana" w:cs="Arial"/>
          <w:bCs/>
          <w:lang w:val="es-MX" w:eastAsia="x-none"/>
        </w:rPr>
        <w:t>queda prohibida la contratación directa</w:t>
      </w:r>
      <w:r>
        <w:rPr>
          <w:rFonts w:ascii="Verdana" w:eastAsia="Calibri" w:hAnsi="Verdana" w:cs="Arial"/>
          <w:sz w:val="20"/>
          <w:szCs w:val="20"/>
          <w:lang w:val="es-MX"/>
        </w:rPr>
        <w:t>”</w:t>
      </w:r>
      <w:r>
        <w:rPr>
          <w:rFonts w:ascii="Verdana" w:eastAsia="Times New Roman" w:hAnsi="Verdana" w:cs="Arial"/>
          <w:bCs/>
          <w:lang w:val="es-MX" w:eastAsia="x-none"/>
        </w:rPr>
        <w:t xml:space="preserve">. </w:t>
      </w:r>
      <w:r>
        <w:rPr>
          <w:rFonts w:ascii="Verdana" w:eastAsia="Times New Roman" w:hAnsi="Verdana" w:cs="Arial"/>
          <w:lang w:val="es-MX" w:eastAsia="es-CO"/>
        </w:rPr>
        <w:t xml:space="preserve"> A propósito de </w:t>
      </w:r>
      <w:r>
        <w:rPr>
          <w:rFonts w:ascii="Verdana" w:eastAsia="Times New Roman" w:hAnsi="Verdana" w:cs="Arial"/>
          <w:lang w:eastAsia="es-CO"/>
        </w:rPr>
        <w:t>esta restricción de la Ley de Garantías Electorales, la Sala de Consulta y Servicio Civil del Consejo de Estado ha considerado que:</w:t>
      </w:r>
    </w:p>
    <w:p w14:paraId="29D08859" w14:textId="77777777" w:rsidR="00566725" w:rsidRDefault="00566725" w:rsidP="00566725">
      <w:pPr>
        <w:spacing w:after="0" w:line="276" w:lineRule="auto"/>
        <w:ind w:left="708" w:right="709"/>
        <w:jc w:val="both"/>
        <w:rPr>
          <w:rFonts w:ascii="Verdana" w:eastAsia="Calibri" w:hAnsi="Verdana" w:cs="Arial"/>
          <w:lang w:val="es-MX"/>
        </w:rPr>
      </w:pPr>
    </w:p>
    <w:p w14:paraId="400B75C8" w14:textId="77777777" w:rsidR="00566725" w:rsidRDefault="00566725" w:rsidP="003B664C">
      <w:pPr>
        <w:spacing w:after="0" w:line="240" w:lineRule="auto"/>
        <w:ind w:left="709" w:right="709"/>
        <w:jc w:val="both"/>
        <w:rPr>
          <w:rFonts w:ascii="Verdana" w:eastAsia="Calibri" w:hAnsi="Verdana" w:cs="Arial"/>
          <w:sz w:val="20"/>
          <w:szCs w:val="20"/>
          <w:lang w:val="es-MX"/>
        </w:rPr>
      </w:pPr>
      <w:r>
        <w:rPr>
          <w:rFonts w:ascii="Verdana" w:eastAsia="Calibri" w:hAnsi="Verdana" w:cs="Arial"/>
          <w:sz w:val="20"/>
          <w:szCs w:val="20"/>
          <w:lang w:val="es-MX"/>
        </w:rPr>
        <w:t>“La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Pr>
          <w:rFonts w:ascii="Verdana" w:eastAsia="Times New Roman" w:hAnsi="Verdana" w:cs="Arial"/>
          <w:sz w:val="20"/>
          <w:szCs w:val="20"/>
          <w:vertAlign w:val="superscript"/>
          <w:lang w:eastAsia="es-CO"/>
        </w:rPr>
        <w:footnoteReference w:id="16"/>
      </w:r>
      <w:r>
        <w:rPr>
          <w:rFonts w:ascii="Verdana" w:eastAsia="Calibri" w:hAnsi="Verdana" w:cs="Arial"/>
          <w:sz w:val="20"/>
          <w:szCs w:val="20"/>
          <w:lang w:val="es-MX"/>
        </w:rPr>
        <w:t>.</w:t>
      </w:r>
    </w:p>
    <w:p w14:paraId="4C30D126" w14:textId="77777777" w:rsidR="003B664C" w:rsidRDefault="003B664C" w:rsidP="00B41362">
      <w:pPr>
        <w:spacing w:after="0" w:line="240" w:lineRule="auto"/>
        <w:ind w:left="709" w:right="709"/>
        <w:jc w:val="both"/>
        <w:rPr>
          <w:rFonts w:ascii="Verdana" w:eastAsia="Calibri" w:hAnsi="Verdana" w:cs="Arial"/>
          <w:sz w:val="20"/>
          <w:szCs w:val="20"/>
          <w:lang w:val="es-MX"/>
        </w:rPr>
      </w:pPr>
    </w:p>
    <w:p w14:paraId="12B25406" w14:textId="77777777" w:rsidR="00566725" w:rsidRDefault="00566725" w:rsidP="00566725">
      <w:pPr>
        <w:spacing w:after="0" w:line="240" w:lineRule="auto"/>
        <w:ind w:left="708" w:right="709"/>
        <w:jc w:val="both"/>
        <w:rPr>
          <w:rFonts w:ascii="Verdana" w:eastAsia="Calibri" w:hAnsi="Verdana" w:cs="Arial"/>
          <w:sz w:val="20"/>
          <w:szCs w:val="20"/>
          <w:lang w:val="es-MX"/>
        </w:rPr>
      </w:pPr>
      <w:r>
        <w:rPr>
          <w:rFonts w:ascii="Verdana" w:eastAsia="Calibri" w:hAnsi="Verdana" w:cs="Arial"/>
          <w:sz w:val="20"/>
          <w:szCs w:val="20"/>
          <w:lang w:val="es-MX"/>
        </w:rPr>
        <w:t xml:space="preserve">Esta Sala ha entendido </w:t>
      </w:r>
      <w:proofErr w:type="gramStart"/>
      <w:r>
        <w:rPr>
          <w:rFonts w:ascii="Verdana" w:eastAsia="Calibri" w:hAnsi="Verdana" w:cs="Arial"/>
          <w:sz w:val="20"/>
          <w:szCs w:val="20"/>
          <w:lang w:val="es-MX"/>
        </w:rPr>
        <w:t>que</w:t>
      </w:r>
      <w:proofErr w:type="gramEnd"/>
      <w:r>
        <w:rPr>
          <w:rFonts w:ascii="Verdana" w:eastAsia="Calibri" w:hAnsi="Verdana" w:cs="Arial"/>
          <w:sz w:val="20"/>
          <w:szCs w:val="20"/>
          <w:lang w:val="es-MX"/>
        </w:rPr>
        <w:t xml:space="preserve"> para los efectos de la ley de garantías, y dada su finalidad, el enunciado ´contratación directa´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w:t>
      </w:r>
      <w:r>
        <w:rPr>
          <w:rFonts w:ascii="Verdana" w:eastAsia="Times New Roman" w:hAnsi="Verdana" w:cs="Arial"/>
          <w:sz w:val="20"/>
          <w:szCs w:val="20"/>
          <w:vertAlign w:val="superscript"/>
          <w:lang w:val="es-MX"/>
        </w:rPr>
        <w:footnoteReference w:id="17"/>
      </w:r>
      <w:r>
        <w:rPr>
          <w:rFonts w:ascii="Verdana" w:eastAsia="Times New Roman" w:hAnsi="Verdana" w:cs="Arial"/>
          <w:sz w:val="20"/>
          <w:szCs w:val="20"/>
          <w:vertAlign w:val="superscript"/>
          <w:lang w:val="es-MX"/>
        </w:rPr>
        <w:t>.</w:t>
      </w:r>
      <w:r>
        <w:rPr>
          <w:rFonts w:ascii="Verdana" w:eastAsia="Calibri" w:hAnsi="Verdana" w:cs="Arial"/>
          <w:sz w:val="20"/>
          <w:szCs w:val="20"/>
          <w:lang w:val="es-MX"/>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Pr>
          <w:rFonts w:ascii="Verdana" w:eastAsia="Times New Roman" w:hAnsi="Verdana" w:cs="Arial"/>
          <w:sz w:val="20"/>
          <w:szCs w:val="20"/>
          <w:vertAlign w:val="superscript"/>
          <w:lang w:eastAsia="es-CO"/>
        </w:rPr>
        <w:footnoteReference w:id="18"/>
      </w:r>
      <w:r>
        <w:rPr>
          <w:rFonts w:ascii="Verdana" w:eastAsia="Calibri" w:hAnsi="Verdana" w:cs="Arial"/>
          <w:sz w:val="20"/>
          <w:szCs w:val="20"/>
          <w:lang w:val="es-MX"/>
        </w:rPr>
        <w:t>.</w:t>
      </w:r>
    </w:p>
    <w:p w14:paraId="5E4E1FE7" w14:textId="77777777" w:rsidR="00566725" w:rsidRDefault="00566725" w:rsidP="00566725">
      <w:pPr>
        <w:shd w:val="clear" w:color="auto" w:fill="FFFFFF"/>
        <w:spacing w:after="0" w:line="276" w:lineRule="auto"/>
        <w:ind w:firstLine="709"/>
        <w:jc w:val="both"/>
        <w:rPr>
          <w:rFonts w:ascii="Verdana" w:eastAsia="Times New Roman" w:hAnsi="Verdana" w:cs="Arial"/>
          <w:lang w:eastAsia="x-none"/>
        </w:rPr>
      </w:pPr>
    </w:p>
    <w:p w14:paraId="762AC3D2" w14:textId="77777777" w:rsidR="00566725" w:rsidRDefault="00566725" w:rsidP="00566725">
      <w:pPr>
        <w:spacing w:after="120" w:line="276" w:lineRule="auto"/>
        <w:ind w:firstLine="708"/>
        <w:jc w:val="both"/>
        <w:rPr>
          <w:rFonts w:ascii="Verdana" w:eastAsia="Times New Roman" w:hAnsi="Verdana" w:cs="Arial"/>
          <w:bCs/>
          <w:lang w:eastAsia="x-none"/>
        </w:rPr>
      </w:pPr>
      <w:r>
        <w:rPr>
          <w:rFonts w:ascii="Verdana" w:eastAsia="Times New Roman" w:hAnsi="Verdana" w:cs="Arial"/>
          <w:lang w:eastAsia="x-none"/>
        </w:rPr>
        <w:t xml:space="preserve">De acuerdo con el citado concepto, la prohibición del artículo 33 de la Ley de Garantías Electorales se refiere a </w:t>
      </w:r>
      <w:r>
        <w:rPr>
          <w:rFonts w:ascii="Verdana" w:eastAsia="Times New Roman" w:hAnsi="Verdana" w:cs="Arial"/>
          <w:sz w:val="19"/>
          <w:szCs w:val="19"/>
          <w:lang w:eastAsia="en-GB"/>
        </w:rPr>
        <w:t>“</w:t>
      </w:r>
      <w:r>
        <w:rPr>
          <w:rFonts w:ascii="Verdana" w:eastAsia="Times New Roman" w:hAnsi="Verdana" w:cs="Arial"/>
          <w:lang w:eastAsia="x-none"/>
        </w:rPr>
        <w:t>cualquier sistema que no implique convocatoria pública y posibilidad de pluralidad de oferentes</w:t>
      </w:r>
      <w:r>
        <w:rPr>
          <w:rFonts w:ascii="Verdana" w:eastAsia="Times New Roman" w:hAnsi="Verdana" w:cs="Arial"/>
          <w:lang w:eastAsia="en-GB"/>
        </w:rPr>
        <w:t>”</w:t>
      </w:r>
      <w:r>
        <w:rPr>
          <w:rFonts w:ascii="Verdana" w:eastAsia="Times New Roman" w:hAnsi="Verdana" w:cs="Arial"/>
          <w:lang w:eastAsia="x-none"/>
        </w:rPr>
        <w:t xml:space="preserve">, por lo que excluye las demás modalidades de contratación previstas en la Ley 1150 de 2007, es decir, la licitación pública, la selección abreviada, el concurso de méritos </w:t>
      </w:r>
      <w:r>
        <w:rPr>
          <w:rFonts w:ascii="Verdana" w:eastAsia="Times New Roman" w:hAnsi="Verdana" w:cs="Arial"/>
          <w:lang w:val="es-ES_tradnl" w:eastAsia="x-none"/>
        </w:rPr>
        <w:t xml:space="preserve">y la </w:t>
      </w:r>
      <w:r>
        <w:rPr>
          <w:rFonts w:ascii="Verdana" w:eastAsia="Times New Roman" w:hAnsi="Verdana" w:cs="Arial"/>
          <w:lang w:val="es-ES_tradnl" w:eastAsia="x-none"/>
        </w:rPr>
        <w:lastRenderedPageBreak/>
        <w:t xml:space="preserve">mínima cuantía </w:t>
      </w:r>
      <w:r>
        <w:rPr>
          <w:rFonts w:ascii="Verdana" w:eastAsia="Times New Roman" w:hAnsi="Verdana" w:cs="Arial"/>
          <w:lang w:eastAsia="x-none"/>
        </w:rPr>
        <w:t>u otros previstos en normas especiales. Esta posición es congruente con la expedición de la Ley 1150 de 2007 que, entre otras reformas, introdujo la selección abreviada, rediseñó el concurso de méritos</w:t>
      </w:r>
      <w:r>
        <w:rPr>
          <w:rFonts w:ascii="Verdana" w:eastAsia="Times New Roman" w:hAnsi="Verdana" w:cs="Arial"/>
          <w:vertAlign w:val="superscript"/>
          <w:lang w:val="en-GB" w:eastAsia="x-none"/>
        </w:rPr>
        <w:footnoteReference w:id="19"/>
      </w:r>
      <w:r>
        <w:rPr>
          <w:rFonts w:ascii="Verdana" w:eastAsia="Times New Roman" w:hAnsi="Verdana" w:cs="Arial"/>
          <w:lang w:eastAsia="x-none"/>
        </w:rPr>
        <w:t xml:space="preserve"> y sistematizó las causales de contratación directa</w:t>
      </w:r>
      <w:r>
        <w:rPr>
          <w:rFonts w:ascii="Verdana" w:eastAsia="Times New Roman" w:hAnsi="Verdana" w:cs="Arial"/>
          <w:vertAlign w:val="superscript"/>
          <w:lang w:val="en-GB" w:eastAsia="x-none"/>
        </w:rPr>
        <w:footnoteReference w:id="20"/>
      </w:r>
      <w:r>
        <w:rPr>
          <w:rFonts w:ascii="Verdana" w:eastAsia="Times New Roman" w:hAnsi="Verdana" w:cs="Arial"/>
          <w:lang w:eastAsia="x-none"/>
        </w:rPr>
        <w:t xml:space="preserve">, </w:t>
      </w:r>
      <w:r>
        <w:rPr>
          <w:rFonts w:ascii="Verdana" w:eastAsia="Calibri" w:hAnsi="Verdana" w:cs="Arial"/>
          <w:szCs w:val="24"/>
          <w:lang w:eastAsia="x-none"/>
        </w:rPr>
        <w:t>además lo es con la posterior creación de la modalidad de mínima cuantía establecida actualmente en el numeral 5 del artículo 2 de la Ley 1150 de 2007, de acuerdo con las modificaciones realizadas por leyes posteriores.</w:t>
      </w:r>
    </w:p>
    <w:p w14:paraId="61A74680" w14:textId="77777777" w:rsidR="00566725" w:rsidRDefault="00566725" w:rsidP="00566725">
      <w:pPr>
        <w:spacing w:after="120" w:line="276" w:lineRule="auto"/>
        <w:ind w:firstLine="708"/>
        <w:jc w:val="both"/>
        <w:rPr>
          <w:rFonts w:ascii="Verdana" w:eastAsia="Times New Roman" w:hAnsi="Verdana" w:cs="Arial"/>
          <w:lang w:val="es-MX" w:eastAsia="x-none"/>
        </w:rPr>
      </w:pPr>
      <w:r>
        <w:rPr>
          <w:rFonts w:ascii="Verdana" w:eastAsia="Times New Roman" w:hAnsi="Verdana" w:cs="Arial"/>
          <w:lang w:eastAsia="x-none"/>
        </w:rPr>
        <w:t xml:space="preserve">De esta forma, con fundamento en la evolución de la normativa sobre la contratación pública, se ha depurado la noción de </w:t>
      </w:r>
      <w:r>
        <w:rPr>
          <w:rFonts w:ascii="Verdana" w:eastAsia="Times New Roman" w:hAnsi="Verdana" w:cs="Arial"/>
          <w:sz w:val="19"/>
          <w:szCs w:val="19"/>
          <w:lang w:eastAsia="en-GB"/>
        </w:rPr>
        <w:t>“</w:t>
      </w:r>
      <w:r>
        <w:rPr>
          <w:rFonts w:ascii="Verdana" w:eastAsia="Times New Roman" w:hAnsi="Verdana" w:cs="Arial"/>
          <w:lang w:eastAsia="x-none"/>
        </w:rPr>
        <w:t>contratación directa</w:t>
      </w:r>
      <w:r>
        <w:rPr>
          <w:rFonts w:ascii="Verdana" w:eastAsia="Times New Roman" w:hAnsi="Verdana" w:cs="Arial"/>
          <w:lang w:eastAsia="en-GB"/>
        </w:rPr>
        <w:t>”</w:t>
      </w:r>
      <w:r>
        <w:rPr>
          <w:rFonts w:ascii="Verdana" w:eastAsia="Times New Roman" w:hAnsi="Verdana" w:cs="Arial"/>
          <w:lang w:eastAsia="x-none"/>
        </w:rPr>
        <w:t>, precisando el Consejo de Estado –en el concepto citado– que, “aun cuando no coincide única y exactamente con la regulación que de dicho sistema de selección hace el artículo 2º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Pr>
          <w:rFonts w:ascii="Verdana" w:eastAsia="Times New Roman" w:hAnsi="Verdana" w:cs="Arial"/>
          <w:vertAlign w:val="superscript"/>
          <w:lang w:val="en-GB" w:eastAsia="x-none"/>
        </w:rPr>
        <w:footnoteReference w:id="21"/>
      </w:r>
      <w:r>
        <w:rPr>
          <w:rFonts w:ascii="Verdana" w:eastAsia="Times New Roman" w:hAnsi="Verdana" w:cs="Arial"/>
          <w:lang w:eastAsia="x-none"/>
        </w:rPr>
        <w:t>, han establecido sistemas de contratación que implican convocatoria pública y participación de varios oferentes</w:t>
      </w:r>
      <w:r>
        <w:rPr>
          <w:rFonts w:ascii="Verdana" w:eastAsia="Times New Roman" w:hAnsi="Verdana" w:cs="Arial"/>
          <w:lang w:eastAsia="en-GB"/>
        </w:rPr>
        <w:t>”</w:t>
      </w:r>
      <w:r>
        <w:rPr>
          <w:rFonts w:ascii="Verdana" w:eastAsia="Times New Roman" w:hAnsi="Verdana" w:cs="Arial"/>
          <w:lang w:eastAsia="x-none"/>
        </w:rPr>
        <w:t xml:space="preserve">. </w:t>
      </w:r>
    </w:p>
    <w:p w14:paraId="6948760A" w14:textId="77777777" w:rsidR="00566725" w:rsidRDefault="00566725" w:rsidP="00566725">
      <w:pPr>
        <w:spacing w:after="120" w:line="276" w:lineRule="auto"/>
        <w:ind w:firstLine="708"/>
        <w:jc w:val="both"/>
        <w:rPr>
          <w:rFonts w:ascii="Verdana" w:eastAsia="Times New Roman" w:hAnsi="Verdana" w:cs="Arial"/>
          <w:bCs/>
          <w:lang w:val="es-MX" w:eastAsia="es-CO"/>
        </w:rPr>
      </w:pPr>
      <w:r>
        <w:rPr>
          <w:rFonts w:ascii="Verdana" w:eastAsia="Times New Roman" w:hAnsi="Verdana" w:cs="Arial"/>
          <w:bCs/>
          <w:lang w:val="es-MX" w:eastAsia="x-none"/>
        </w:rPr>
        <w:t>E</w:t>
      </w:r>
      <w:r>
        <w:rPr>
          <w:rFonts w:ascii="Verdana" w:eastAsia="Times New Roman" w:hAnsi="Verdana" w:cs="Arial"/>
          <w:lang w:eastAsia="x-none"/>
        </w:rPr>
        <w:t>n efecto, vale la pena mencionar que, 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“contratación directa”, es que la convocatoria para inscribirse en forma previa se haga de manera pública, y que se permita la participación de una pluralidad de oferentes</w:t>
      </w:r>
      <w:r>
        <w:rPr>
          <w:vertAlign w:val="superscript"/>
        </w:rPr>
        <w:footnoteReference w:id="22"/>
      </w:r>
      <w:r>
        <w:rPr>
          <w:rFonts w:ascii="Verdana" w:eastAsia="Times New Roman" w:hAnsi="Verdana" w:cs="Arial"/>
          <w:lang w:eastAsia="x-none"/>
        </w:rPr>
        <w:t xml:space="preserve">. </w:t>
      </w:r>
    </w:p>
    <w:p w14:paraId="1BE539CC" w14:textId="0F7CA1EF" w:rsidR="00566725" w:rsidRDefault="00566725" w:rsidP="00566725">
      <w:pPr>
        <w:spacing w:after="120" w:line="276" w:lineRule="auto"/>
        <w:ind w:firstLine="708"/>
        <w:jc w:val="both"/>
        <w:rPr>
          <w:rFonts w:ascii="Verdana" w:eastAsia="Times New Roman" w:hAnsi="Verdana" w:cs="Arial"/>
          <w:bCs/>
          <w:lang w:val="es-MX" w:eastAsia="es-CO"/>
        </w:rPr>
      </w:pPr>
      <w:r>
        <w:rPr>
          <w:rFonts w:ascii="Verdana" w:eastAsia="Times New Roman" w:hAnsi="Verdana" w:cs="Arial"/>
          <w:bCs/>
          <w:lang w:val="es-MX" w:eastAsia="es-CO"/>
        </w:rPr>
        <w:t>Como se advierte de lo anterior, el Consejo de Estado realiza una interpretación amplia de la contratación directa, para efectos de aplicar las restricciones establecidas en la Ley de Garantías</w:t>
      </w:r>
      <w:r w:rsidR="00680E23">
        <w:rPr>
          <w:rFonts w:ascii="Verdana" w:eastAsia="Times New Roman" w:hAnsi="Verdana" w:cs="Arial"/>
          <w:bCs/>
          <w:lang w:val="es-MX" w:eastAsia="es-CO"/>
        </w:rPr>
        <w:t xml:space="preserve"> Electorales</w:t>
      </w:r>
      <w:r>
        <w:rPr>
          <w:rFonts w:ascii="Verdana" w:eastAsia="Times New Roman" w:hAnsi="Verdana" w:cs="Arial"/>
          <w:bCs/>
          <w:lang w:val="es-MX" w:eastAsia="es-CO"/>
        </w:rPr>
        <w:t xml:space="preserve">, al señalar que no solo aplica frente a las entidades sometidas al Estatuto </w:t>
      </w:r>
      <w:r w:rsidR="00680E23">
        <w:rPr>
          <w:rFonts w:ascii="Verdana" w:eastAsia="Times New Roman" w:hAnsi="Verdana" w:cs="Arial"/>
          <w:bCs/>
          <w:lang w:val="es-MX" w:eastAsia="es-CO"/>
        </w:rPr>
        <w:t xml:space="preserve">General </w:t>
      </w:r>
      <w:r>
        <w:rPr>
          <w:rFonts w:ascii="Verdana" w:eastAsia="Times New Roman" w:hAnsi="Verdana" w:cs="Arial"/>
          <w:bCs/>
          <w:lang w:val="es-MX" w:eastAsia="es-CO"/>
        </w:rPr>
        <w:t xml:space="preserve">de Contratación </w:t>
      </w:r>
      <w:r>
        <w:rPr>
          <w:rFonts w:ascii="Verdana" w:eastAsia="Times New Roman" w:hAnsi="Verdana" w:cs="Arial"/>
          <w:bCs/>
          <w:lang w:val="es-MX" w:eastAsia="es-CO"/>
        </w:rPr>
        <w:lastRenderedPageBreak/>
        <w:t>de la Administración Pública, sino también frente a las entidades que tengan un régimen especial de contratación. No obstante, también se observa que luego de la expedición de Ley 1150 de 2007, el Consejo de Estado comenzó a delimitar con mayor precisión el término de “contratación directa”.</w:t>
      </w:r>
    </w:p>
    <w:p w14:paraId="43E70A9F" w14:textId="77777777" w:rsidR="00566725" w:rsidRDefault="00566725" w:rsidP="00566725">
      <w:pPr>
        <w:spacing w:after="120" w:line="276" w:lineRule="auto"/>
        <w:ind w:firstLine="708"/>
        <w:jc w:val="both"/>
        <w:rPr>
          <w:rFonts w:ascii="Verdana" w:eastAsia="Times New Roman" w:hAnsi="Verdana" w:cs="Arial"/>
          <w:bCs/>
          <w:lang w:val="es-MX" w:eastAsia="x-none"/>
        </w:rPr>
      </w:pPr>
      <w:r>
        <w:rPr>
          <w:rFonts w:ascii="Verdana" w:eastAsia="Times New Roman" w:hAnsi="Verdana" w:cs="Arial"/>
          <w:bCs/>
          <w:lang w:val="es-MX" w:eastAsia="x-none"/>
        </w:rPr>
        <w:t xml:space="preserve"> 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Pr>
          <w:rFonts w:ascii="Verdana" w:eastAsia="Times New Roman" w:hAnsi="Verdana" w:cs="Arial"/>
          <w:vertAlign w:val="superscript"/>
          <w:lang w:eastAsia="x-none"/>
        </w:rPr>
        <w:footnoteReference w:id="23"/>
      </w:r>
      <w:r>
        <w:rPr>
          <w:rFonts w:ascii="Verdana" w:eastAsia="Times New Roman" w:hAnsi="Verdana" w:cs="Arial"/>
          <w:bCs/>
          <w:lang w:val="es-MX" w:eastAsia="x-none"/>
        </w:rPr>
        <w:t>.</w:t>
      </w:r>
      <w:r>
        <w:rPr>
          <w:rFonts w:ascii="Verdana" w:eastAsia="Times New Roman" w:hAnsi="Verdana" w:cs="Arial"/>
          <w:vertAlign w:val="superscript"/>
          <w:lang w:val="es-MX" w:eastAsia="x-none"/>
        </w:rPr>
        <w:t xml:space="preserve"> </w:t>
      </w:r>
    </w:p>
    <w:p w14:paraId="118F427E" w14:textId="77777777" w:rsidR="00566725" w:rsidRDefault="00566725" w:rsidP="00566725">
      <w:pPr>
        <w:spacing w:after="120" w:line="276" w:lineRule="auto"/>
        <w:ind w:firstLine="708"/>
        <w:jc w:val="both"/>
        <w:rPr>
          <w:rFonts w:ascii="Verdana" w:eastAsia="Times New Roman" w:hAnsi="Verdana" w:cs="Arial"/>
          <w:lang w:eastAsia="x-none"/>
        </w:rPr>
      </w:pPr>
      <w:r>
        <w:rPr>
          <w:rFonts w:ascii="Verdana" w:eastAsia="Times New Roman" w:hAnsi="Verdana" w:cs="Arial"/>
          <w:bCs/>
          <w:lang w:val="es-MX" w:eastAsia="x-none"/>
        </w:rPr>
        <w:t>De lo anterior se desprende que la restricción aplica, sin perjuicio de las excepciones establecidas en la misma ley, para celebrar cualquier contrato de forma directa, esto es, sin que exista un proceso abierto y competitivo.</w:t>
      </w:r>
      <w:r>
        <w:rPr>
          <w:rFonts w:ascii="Verdana" w:eastAsia="Times New Roman" w:hAnsi="Verdana" w:cs="Arial"/>
          <w:lang w:eastAsia="x-none"/>
        </w:rPr>
        <w:t xml:space="preserve"> Por tanto, no son materia de la prohibición las demás modalidades de selección previstas en la Ley 1150 de 2007, es decir, la licitación pública, el concurso de méritos, la selección abreviada y la mínima cuantía, razón por la cual en ese período preelectoral de que trata la disposición las entidades públicas pueden seguir contratando bajo estos sistemas.</w:t>
      </w:r>
    </w:p>
    <w:p w14:paraId="3FF68F40" w14:textId="77777777" w:rsidR="00566725" w:rsidRDefault="00566725" w:rsidP="00566725">
      <w:pPr>
        <w:spacing w:after="120" w:line="276" w:lineRule="auto"/>
        <w:ind w:firstLine="708"/>
        <w:jc w:val="both"/>
        <w:rPr>
          <w:rFonts w:ascii="Verdana" w:eastAsia="Times New Roman" w:hAnsi="Verdana" w:cs="Arial"/>
          <w:bCs/>
          <w:lang w:val="es-MX" w:eastAsia="es-CO"/>
        </w:rPr>
      </w:pPr>
      <w:r>
        <w:rPr>
          <w:rFonts w:ascii="Verdana" w:eastAsia="Times New Roman" w:hAnsi="Verdana" w:cs="Arial"/>
          <w:bCs/>
          <w:lang w:val="es-MX" w:eastAsia="es-CO"/>
        </w:rPr>
        <w:t xml:space="preserve">Como en otras oportunidades lo ha manifestado esta Agencia, las prórrogas, modificaciones o adiciones de los contratos suscritos antes de la </w:t>
      </w:r>
      <w:proofErr w:type="gramStart"/>
      <w:r>
        <w:rPr>
          <w:rFonts w:ascii="Verdana" w:eastAsia="Times New Roman" w:hAnsi="Verdana" w:cs="Arial"/>
          <w:bCs/>
          <w:lang w:val="es-MX" w:eastAsia="es-CO"/>
        </w:rPr>
        <w:t>entrada en vigencia</w:t>
      </w:r>
      <w:proofErr w:type="gramEnd"/>
      <w:r>
        <w:rPr>
          <w:rFonts w:ascii="Verdana" w:eastAsia="Times New Roman" w:hAnsi="Verdana" w:cs="Arial"/>
          <w:bCs/>
          <w:lang w:val="es-MX" w:eastAsia="es-CO"/>
        </w:rPr>
        <w:t xml:space="preserve"> de las prohibiciones anotadas, así como la cesión de </w:t>
      </w:r>
      <w:proofErr w:type="gramStart"/>
      <w:r>
        <w:rPr>
          <w:rFonts w:ascii="Verdana" w:eastAsia="Times New Roman" w:hAnsi="Verdana" w:cs="Arial"/>
          <w:bCs/>
          <w:lang w:val="es-MX" w:eastAsia="es-CO"/>
        </w:rPr>
        <w:t>los mismos</w:t>
      </w:r>
      <w:proofErr w:type="gramEnd"/>
      <w:r>
        <w:rPr>
          <w:rFonts w:ascii="Verdana" w:eastAsia="Times New Roman" w:hAnsi="Verdana" w:cs="Arial"/>
          <w:bCs/>
          <w:lang w:val="es-MX" w:eastAsia="es-CO"/>
        </w:rPr>
        <w:t>, pueden tener lugar en el período de aplicación de la Ley de Garantías, sin que ello haga nugatoria la restricción de la contratación directa y siempre que cumplan los principios de planeación, transparencia y responsabilidad</w:t>
      </w:r>
      <w:r>
        <w:rPr>
          <w:vertAlign w:val="superscript"/>
        </w:rPr>
        <w:footnoteReference w:id="24"/>
      </w:r>
      <w:r>
        <w:rPr>
          <w:rFonts w:ascii="Verdana" w:eastAsia="Times New Roman" w:hAnsi="Verdana" w:cs="Arial"/>
          <w:bCs/>
          <w:lang w:val="es-MX" w:eastAsia="es-CO"/>
        </w:rPr>
        <w:t xml:space="preserve">. Además, también es posible que contratos celebrados previamente se continúen ejecutando con normalidad. </w:t>
      </w:r>
    </w:p>
    <w:p w14:paraId="70E25BEB" w14:textId="77777777" w:rsidR="00566725" w:rsidRDefault="00566725" w:rsidP="00566725">
      <w:pPr>
        <w:spacing w:after="120" w:line="276" w:lineRule="auto"/>
        <w:ind w:firstLine="708"/>
        <w:jc w:val="both"/>
        <w:rPr>
          <w:rFonts w:ascii="Verdana" w:eastAsia="Times New Roman" w:hAnsi="Verdana" w:cs="Arial"/>
          <w:bCs/>
          <w:lang w:val="es-MX" w:eastAsia="es-CO"/>
        </w:rPr>
      </w:pPr>
      <w:r>
        <w:rPr>
          <w:rFonts w:ascii="Verdana" w:eastAsia="Times New Roman" w:hAnsi="Verdana" w:cs="Arial"/>
          <w:bCs/>
          <w:lang w:val="es-MX" w:eastAsia="x-none"/>
        </w:rPr>
        <w:t xml:space="preserve">De otro lado, las excepciones a la restricción prevista en la Ley de Garantías, con fundamento en las cuales podrán las entidades públicas adelantar procedimientos de selección directa en períodos previos a la contienda electoral por la Presidencia, se encuentran consagradas expresamente en el inciso final </w:t>
      </w:r>
      <w:r>
        <w:rPr>
          <w:rFonts w:ascii="Verdana" w:eastAsia="Times New Roman" w:hAnsi="Verdana" w:cs="Arial"/>
          <w:bCs/>
          <w:lang w:val="es-MX" w:eastAsia="x-none"/>
        </w:rPr>
        <w:lastRenderedPageBreak/>
        <w:t xml:space="preserve">del citado artículo 33 de la Ley 996 de 2005 en lo referente a i) la defensa y seguridad del Estado; </w:t>
      </w:r>
      <w:proofErr w:type="spellStart"/>
      <w:r>
        <w:rPr>
          <w:rFonts w:ascii="Verdana" w:eastAsia="Times New Roman" w:hAnsi="Verdana" w:cs="Arial"/>
          <w:bCs/>
          <w:lang w:val="es-MX" w:eastAsia="x-none"/>
        </w:rPr>
        <w:t>ii</w:t>
      </w:r>
      <w:proofErr w:type="spellEnd"/>
      <w:r>
        <w:rPr>
          <w:rFonts w:ascii="Verdana" w:eastAsia="Times New Roman" w:hAnsi="Verdana" w:cs="Arial"/>
          <w:bCs/>
          <w:lang w:val="es-MX" w:eastAsia="x-none"/>
        </w:rPr>
        <w:t xml:space="preserve">) los contratos de crédito público; </w:t>
      </w:r>
      <w:proofErr w:type="spellStart"/>
      <w:r>
        <w:rPr>
          <w:rFonts w:ascii="Verdana" w:eastAsia="Times New Roman" w:hAnsi="Verdana" w:cs="Arial"/>
          <w:bCs/>
          <w:lang w:val="es-MX" w:eastAsia="x-none"/>
        </w:rPr>
        <w:t>iii</w:t>
      </w:r>
      <w:proofErr w:type="spellEnd"/>
      <w:r>
        <w:rPr>
          <w:rFonts w:ascii="Verdana" w:eastAsia="Times New Roman" w:hAnsi="Verdana" w:cs="Arial"/>
          <w:bCs/>
          <w:lang w:val="es-MX" w:eastAsia="x-none"/>
        </w:rPr>
        <w:t xml:space="preserve">) los requeridos para cubrir las emergencias educativas, sanitarias y desastres; </w:t>
      </w:r>
      <w:proofErr w:type="spellStart"/>
      <w:r>
        <w:rPr>
          <w:rFonts w:ascii="Verdana" w:eastAsia="Times New Roman" w:hAnsi="Verdana" w:cs="Arial"/>
          <w:bCs/>
          <w:lang w:val="es-MX" w:eastAsia="x-none"/>
        </w:rPr>
        <w:t>iv</w:t>
      </w:r>
      <w:proofErr w:type="spellEnd"/>
      <w:r>
        <w:rPr>
          <w:rFonts w:ascii="Verdana" w:eastAsia="Times New Roman" w:hAnsi="Verdana" w:cs="Arial"/>
          <w:bCs/>
          <w:lang w:val="es-MX" w:eastAsia="x-none"/>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r>
        <w:rPr>
          <w:rFonts w:ascii="Verdana" w:eastAsia="Times New Roman" w:hAnsi="Verdana" w:cs="Arial"/>
          <w:bCs/>
          <w:lang w:val="es-MX" w:eastAsia="es-CO"/>
        </w:rPr>
        <w:t xml:space="preserve"> Es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36ED4620" w14:textId="77777777" w:rsidR="00566725" w:rsidRDefault="00566725" w:rsidP="00566725">
      <w:pPr>
        <w:spacing w:after="120" w:line="276" w:lineRule="auto"/>
        <w:ind w:firstLine="709"/>
        <w:jc w:val="both"/>
        <w:rPr>
          <w:rFonts w:ascii="Verdana" w:eastAsia="Times New Roman" w:hAnsi="Verdana" w:cs="Arial"/>
          <w:bCs/>
          <w:lang w:val="es-MX" w:eastAsia="x-none"/>
        </w:rPr>
      </w:pPr>
      <w:r>
        <w:rPr>
          <w:rFonts w:ascii="Verdana" w:eastAsia="Times New Roman" w:hAnsi="Verdana" w:cs="Arial"/>
          <w:bCs/>
          <w:lang w:val="es-MX" w:eastAsia="x-none"/>
        </w:rPr>
        <w:t>En esta labor es importante tener en cuenta, como lo anotó la Corte Constitucional, en Sentencia C-1153 de noviembre 11 de 2005 que “si bien la limitación garantiza la igualdad de condiciones, también es necesario que tal limitación que pretende la igualdad no termine yendo en detrimento de intereses públicos, cuya garantía está en cabeza del ejecutivo, como son los inmersos en las excepciones para la prohibición de contratación”</w:t>
      </w:r>
      <w:r>
        <w:rPr>
          <w:rFonts w:ascii="Verdana" w:eastAsia="Calibri" w:hAnsi="Verdana" w:cs="Arial"/>
          <w:vertAlign w:val="superscript"/>
          <w:lang w:val="es-MX"/>
        </w:rPr>
        <w:footnoteReference w:id="25"/>
      </w:r>
      <w:r>
        <w:rPr>
          <w:rFonts w:ascii="Verdana" w:eastAsia="Times New Roman" w:hAnsi="Verdana" w:cs="Arial"/>
          <w:bCs/>
          <w:lang w:val="es-MX" w:eastAsia="x-none"/>
        </w:rPr>
        <w:t>. De ahí que la Corte haya señalado que las excepciones a la restricción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p>
    <w:p w14:paraId="47A807ED" w14:textId="77777777" w:rsidR="00566725" w:rsidRDefault="00566725" w:rsidP="00566725">
      <w:pPr>
        <w:spacing w:after="0" w:line="276" w:lineRule="auto"/>
        <w:ind w:firstLine="708"/>
        <w:jc w:val="both"/>
        <w:rPr>
          <w:rFonts w:ascii="Verdana" w:eastAsia="Times New Roman" w:hAnsi="Verdana" w:cs="Arial"/>
          <w:bCs/>
          <w:lang w:val="es-MX" w:eastAsia="x-none"/>
        </w:rPr>
      </w:pPr>
      <w:r>
        <w:rPr>
          <w:rFonts w:ascii="Verdana" w:eastAsia="Times New Roman" w:hAnsi="Verdana" w:cs="Arial"/>
          <w:bCs/>
          <w:lang w:val="es-MX" w:eastAsia="x-none"/>
        </w:rPr>
        <w:t>En relación con los destinatarios de la restricción analizada, el artículo 33 de la Ley 996 de 2005 los señala expresamente, en el sentido de que son “todos los entes del Estado”, expresión que contempla a los diferentes organismos o entidades autorizadas por la ley para suscribir contratos.</w:t>
      </w:r>
      <w:r>
        <w:rPr>
          <w:rFonts w:ascii="Verdana" w:eastAsia="Calibri" w:hAnsi="Verdana" w:cs="Arial"/>
          <w:sz w:val="24"/>
          <w:lang w:val="es-MX"/>
        </w:rPr>
        <w:t xml:space="preserve"> </w:t>
      </w:r>
      <w:r>
        <w:rPr>
          <w:rFonts w:ascii="Verdana" w:eastAsia="Times New Roman" w:hAnsi="Verdana" w:cs="Arial"/>
          <w:bCs/>
          <w:lang w:val="es-MX" w:eastAsia="x-none"/>
        </w:rPr>
        <w:t>En efecto, tal como lo ha sostenido el Consejo de Estado, el vocablo “todos” utilizado por el legislador comprende</w:t>
      </w:r>
      <w:r>
        <w:rPr>
          <w:rFonts w:ascii="Verdana" w:eastAsia="Calibri" w:hAnsi="Verdana" w:cs="Arial"/>
          <w:sz w:val="24"/>
          <w:lang w:val="es-MX"/>
        </w:rPr>
        <w:t xml:space="preserve"> </w:t>
      </w:r>
      <w:r>
        <w:rPr>
          <w:rFonts w:ascii="Verdana" w:eastAsia="Times New Roman" w:hAnsi="Verdana" w:cs="Arial"/>
          <w:bCs/>
          <w:lang w:val="es-MX" w:eastAsia="x-none"/>
        </w:rPr>
        <w:t xml:space="preserve">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r>
        <w:rPr>
          <w:rFonts w:ascii="Verdana" w:eastAsia="Times New Roman" w:hAnsi="Verdana" w:cs="Arial"/>
          <w:bCs/>
          <w:lang w:val="es-ES_tradnl" w:eastAsia="x-none"/>
        </w:rPr>
        <w:t xml:space="preserve">La Sala de </w:t>
      </w:r>
      <w:r>
        <w:rPr>
          <w:rFonts w:ascii="Verdana" w:eastAsia="Times New Roman" w:hAnsi="Verdana" w:cs="Arial"/>
          <w:bCs/>
          <w:lang w:val="es-ES_tradnl" w:eastAsia="x-none"/>
        </w:rPr>
        <w:lastRenderedPageBreak/>
        <w:t xml:space="preserve">Consulta y Servicio Civil del Consejo de Estado, en Concepto 1727 de fecha 20 de febrero de 2006, consideró que: </w:t>
      </w:r>
    </w:p>
    <w:p w14:paraId="1444E1D2" w14:textId="77777777" w:rsidR="00566725" w:rsidRDefault="00566725" w:rsidP="00566725">
      <w:pPr>
        <w:spacing w:after="0" w:line="276" w:lineRule="auto"/>
        <w:jc w:val="both"/>
        <w:rPr>
          <w:rFonts w:ascii="Verdana" w:eastAsia="Times New Roman" w:hAnsi="Verdana" w:cs="Arial"/>
          <w:bCs/>
          <w:lang w:val="es-MX" w:eastAsia="x-none"/>
        </w:rPr>
      </w:pPr>
    </w:p>
    <w:p w14:paraId="3197FD26" w14:textId="77777777" w:rsidR="00566725" w:rsidRDefault="00566725" w:rsidP="00566725">
      <w:pPr>
        <w:spacing w:after="0" w:line="240" w:lineRule="auto"/>
        <w:ind w:left="708" w:right="709"/>
        <w:jc w:val="both"/>
        <w:rPr>
          <w:rFonts w:ascii="Verdana" w:eastAsia="Times New Roman" w:hAnsi="Verdana" w:cs="Arial"/>
          <w:bCs/>
          <w:sz w:val="20"/>
          <w:szCs w:val="20"/>
          <w:lang w:val="es-MX" w:eastAsia="es-CO"/>
        </w:rPr>
      </w:pPr>
      <w:r>
        <w:rPr>
          <w:rFonts w:ascii="Verdana" w:eastAsia="Times New Roman" w:hAnsi="Verdana" w:cs="Arial"/>
          <w:bCs/>
          <w:sz w:val="20"/>
          <w:szCs w:val="20"/>
          <w:lang w:val="es-MX" w:eastAsia="x-none"/>
        </w:rPr>
        <w:t>“El artículo 33 de la ley 996 de 2005, efectivamente se aplica incluso a las entidades estatales con régimen especial de contratación y que están exceptuadas del ámbito de aplicación del Estatuto General de Contratación de la Administración Pública, como por ejemplo los prestadores de servicios públicos domiciliarios (empresas de servicios públicos oficiales y empresas industriales y comerciales del Estado) y a los municipios prestadores directos, incluyendo las excepciones contenidas en el segundo inciso de esta norma”</w:t>
      </w:r>
      <w:r>
        <w:rPr>
          <w:vertAlign w:val="superscript"/>
        </w:rPr>
        <w:footnoteReference w:id="26"/>
      </w:r>
      <w:r>
        <w:rPr>
          <w:rFonts w:ascii="Verdana" w:eastAsia="Times New Roman" w:hAnsi="Verdana" w:cs="Arial"/>
          <w:bCs/>
          <w:sz w:val="20"/>
          <w:szCs w:val="20"/>
          <w:lang w:val="es-MX" w:eastAsia="x-none"/>
        </w:rPr>
        <w:t>.</w:t>
      </w:r>
      <w:r>
        <w:rPr>
          <w:rFonts w:ascii="Verdana" w:eastAsia="Times New Roman" w:hAnsi="Verdana" w:cs="Arial"/>
          <w:bCs/>
          <w:sz w:val="20"/>
          <w:szCs w:val="20"/>
          <w:lang w:val="es-MX" w:eastAsia="es-CO"/>
        </w:rPr>
        <w:t xml:space="preserve"> </w:t>
      </w:r>
    </w:p>
    <w:p w14:paraId="2ED755B3" w14:textId="77777777" w:rsidR="00566725" w:rsidRDefault="00566725" w:rsidP="00566725">
      <w:pPr>
        <w:spacing w:after="0" w:line="276" w:lineRule="auto"/>
        <w:ind w:firstLine="708"/>
        <w:jc w:val="both"/>
        <w:rPr>
          <w:rFonts w:ascii="Verdana" w:eastAsia="Times New Roman" w:hAnsi="Verdana" w:cs="Arial"/>
          <w:bCs/>
          <w:lang w:val="es-MX" w:eastAsia="es-CO"/>
        </w:rPr>
      </w:pPr>
    </w:p>
    <w:p w14:paraId="15FF8507" w14:textId="77777777" w:rsidR="00566725" w:rsidRDefault="00566725" w:rsidP="00566725">
      <w:pPr>
        <w:spacing w:after="0" w:line="276" w:lineRule="auto"/>
        <w:ind w:firstLine="708"/>
        <w:jc w:val="both"/>
        <w:rPr>
          <w:rFonts w:ascii="Verdana" w:eastAsia="Calibri" w:hAnsi="Verdana" w:cs="Arial"/>
          <w:lang w:val="es-MX"/>
        </w:rPr>
      </w:pPr>
      <w:r>
        <w:rPr>
          <w:rFonts w:ascii="Verdana" w:eastAsia="Times New Roman" w:hAnsi="Verdana" w:cs="Arial"/>
          <w:bCs/>
          <w:lang w:val="es-MX" w:eastAsia="x-none"/>
        </w:rPr>
        <w:t>De igual forma, en Concepto con radicado 1738 del 6 de abril de 2006, esa misma Corporación manifestó que “Las restricciones de la Ley de Garantías en materia de contratación directa y celebración de convenios interadministrativos, se aplican a las empresas industriales y comerciales del Estado y a las Sociedades de Economía Mixta, salvo cuando la celebración de un convenio interadministrativo sea ordenada, para ambas partes, por el Legislador”</w:t>
      </w:r>
      <w:r w:rsidRPr="00B41362">
        <w:rPr>
          <w:rFonts w:ascii="Verdana" w:eastAsia="Calibri" w:hAnsi="Verdana" w:cs="Arial"/>
          <w:vertAlign w:val="superscript"/>
          <w:lang w:val="es-MX"/>
        </w:rPr>
        <w:footnoteReference w:id="27"/>
      </w:r>
      <w:r>
        <w:rPr>
          <w:rFonts w:ascii="Verdana" w:eastAsia="Times New Roman" w:hAnsi="Verdana" w:cs="Arial"/>
          <w:bCs/>
          <w:lang w:val="es-MX" w:eastAsia="x-none"/>
        </w:rPr>
        <w:t>.</w:t>
      </w:r>
      <w:r>
        <w:rPr>
          <w:rFonts w:ascii="Verdana" w:eastAsia="Calibri" w:hAnsi="Verdana" w:cs="Arial"/>
          <w:lang w:val="es-MX"/>
        </w:rPr>
        <w:t xml:space="preserve"> Además, la Sala de Consulta y Servicio Civil del Consejo de Estado realizó la siguiente distinción, retomando el pronunciamiento de la misma sala del 20 de febrero de 2006, citado anteriormente:</w:t>
      </w:r>
    </w:p>
    <w:p w14:paraId="069F1E96" w14:textId="77777777" w:rsidR="00566725" w:rsidRDefault="00566725" w:rsidP="00566725">
      <w:pPr>
        <w:spacing w:after="0" w:line="276" w:lineRule="auto"/>
        <w:jc w:val="both"/>
        <w:rPr>
          <w:rFonts w:ascii="Verdana" w:eastAsia="Calibri" w:hAnsi="Verdana" w:cs="Arial"/>
          <w:lang w:val="es-MX"/>
        </w:rPr>
      </w:pPr>
    </w:p>
    <w:p w14:paraId="21650715" w14:textId="77777777" w:rsidR="00566725" w:rsidRDefault="00566725" w:rsidP="00566725">
      <w:pPr>
        <w:spacing w:after="0" w:line="240" w:lineRule="auto"/>
        <w:ind w:left="708" w:right="709"/>
        <w:jc w:val="both"/>
        <w:rPr>
          <w:rFonts w:ascii="Verdana" w:eastAsia="Calibri" w:hAnsi="Verdana" w:cs="Arial"/>
          <w:sz w:val="20"/>
          <w:szCs w:val="20"/>
          <w:lang w:val="es-MX"/>
        </w:rPr>
      </w:pPr>
      <w:r>
        <w:rPr>
          <w:rFonts w:ascii="Verdana" w:eastAsia="Calibri" w:hAnsi="Verdana" w:cs="Arial"/>
          <w:sz w:val="20"/>
          <w:szCs w:val="20"/>
          <w:lang w:val="es-MX"/>
        </w:rPr>
        <w:t xml:space="preserve">“En el concepto No. 1727 de fecha 20 de febrero de 2006, ésta Sala distinguió dos clases de contratos en relación con las empresas de servicios públicos domiciliarios: unos, en los que la posición de la empresa es la de consumidora de las prestaciones objeto del contrato, que utiliza para la prestación de los servicios a su cargo, y los otros, en los que la empresa entrega esos servicios a los usuarios, conforme a unas reglas uniformes para todos ellos y sin que haya privilegios o tratos desiguales. En los primeros contratos, es claro que la empresa debe adquirir esos bienes previa licitación pública, según se expuso anteriormente, pero en el segundo caso, las empresas no pueden dejar de entregar los servicios </w:t>
      </w:r>
      <w:r>
        <w:rPr>
          <w:rFonts w:ascii="Verdana" w:eastAsia="Calibri" w:hAnsi="Verdana" w:cs="Arial"/>
          <w:sz w:val="20"/>
          <w:szCs w:val="20"/>
          <w:lang w:val="es-MX"/>
        </w:rPr>
        <w:lastRenderedPageBreak/>
        <w:t>públicos a su cargo a nuevas personas, ni dejar de renovar los contratos existentes, pues significaría la parálisis de una actividad propia de la administración, que incluso podría desconocer los derechos fundamentales.</w:t>
      </w:r>
    </w:p>
    <w:p w14:paraId="3BCD7903" w14:textId="77777777" w:rsidR="00566725" w:rsidRDefault="00566725" w:rsidP="00566725">
      <w:pPr>
        <w:spacing w:after="0" w:line="240" w:lineRule="auto"/>
        <w:ind w:right="709"/>
        <w:jc w:val="both"/>
        <w:rPr>
          <w:rFonts w:ascii="Verdana" w:eastAsia="Calibri" w:hAnsi="Verdana" w:cs="Arial"/>
          <w:sz w:val="12"/>
          <w:szCs w:val="12"/>
          <w:lang w:val="es-MX"/>
        </w:rPr>
      </w:pPr>
      <w:r>
        <w:rPr>
          <w:rFonts w:ascii="Verdana" w:eastAsia="Calibri" w:hAnsi="Verdana" w:cs="Arial"/>
          <w:sz w:val="20"/>
          <w:szCs w:val="20"/>
          <w:lang w:val="es-MX"/>
        </w:rPr>
        <w:tab/>
      </w:r>
    </w:p>
    <w:p w14:paraId="54A82D66" w14:textId="77777777" w:rsidR="00566725" w:rsidRDefault="00566725" w:rsidP="00566725">
      <w:pPr>
        <w:spacing w:after="0" w:line="240" w:lineRule="auto"/>
        <w:ind w:left="708" w:right="709"/>
        <w:jc w:val="both"/>
        <w:rPr>
          <w:rFonts w:ascii="Verdana" w:eastAsia="Calibri" w:hAnsi="Verdana" w:cs="Arial"/>
          <w:sz w:val="20"/>
          <w:szCs w:val="20"/>
          <w:lang w:val="es-MX"/>
        </w:rPr>
      </w:pPr>
      <w:r>
        <w:rPr>
          <w:rFonts w:ascii="Verdana" w:eastAsia="Times New Roman" w:hAnsi="Verdana" w:cs="Arial"/>
          <w:bCs/>
          <w:sz w:val="20"/>
          <w:szCs w:val="20"/>
          <w:lang w:val="es-MX" w:eastAsia="x-none"/>
        </w:rPr>
        <w:t>Aplicando este razonamiento a los establecimientos de crédito, a las sociedades de servicios financieros y a las entidades aseguradoras, encontramos que no pueden adquirir los suministros de bienes y servicios necesarios para la realización de su actividad por contratación directa sino por el mecanismo de la licitación pública, pero es obvio que si una de éstas entidades va a prestar un servicio financiero o de seguros a un particular, lo puede hacer, pues éstos se ofrecen a toda la comunidad en condiciones de igualdad. Si se supusiera que está prohibida su contratación directa, significaría la parálisis de tal actividad de interés público, lo que de ninguna manera es lo querido por la ley 996 de 2005”</w:t>
      </w:r>
      <w:r>
        <w:rPr>
          <w:rFonts w:ascii="Verdana" w:eastAsia="Calibri" w:hAnsi="Verdana" w:cs="Arial"/>
          <w:sz w:val="20"/>
          <w:szCs w:val="20"/>
          <w:vertAlign w:val="superscript"/>
          <w:lang w:val="es-MX"/>
        </w:rPr>
        <w:footnoteReference w:id="28"/>
      </w:r>
      <w:r>
        <w:rPr>
          <w:rFonts w:ascii="Verdana" w:eastAsia="Times New Roman" w:hAnsi="Verdana" w:cs="Arial"/>
          <w:bCs/>
          <w:sz w:val="20"/>
          <w:szCs w:val="20"/>
          <w:lang w:val="es-MX" w:eastAsia="x-none"/>
        </w:rPr>
        <w:t>.</w:t>
      </w:r>
    </w:p>
    <w:p w14:paraId="52E27C91" w14:textId="77777777" w:rsidR="00566725" w:rsidRDefault="00566725" w:rsidP="00566725">
      <w:pPr>
        <w:spacing w:after="0" w:line="276" w:lineRule="auto"/>
        <w:jc w:val="both"/>
        <w:rPr>
          <w:rFonts w:ascii="Verdana" w:eastAsia="Calibri" w:hAnsi="Verdana" w:cs="Arial"/>
          <w:lang w:val="es-MX"/>
        </w:rPr>
      </w:pPr>
    </w:p>
    <w:p w14:paraId="55D1B0B3" w14:textId="77777777" w:rsidR="00566725" w:rsidRDefault="00566725" w:rsidP="00566725">
      <w:pPr>
        <w:spacing w:after="120" w:line="276" w:lineRule="auto"/>
        <w:ind w:firstLine="709"/>
        <w:jc w:val="both"/>
        <w:rPr>
          <w:rFonts w:ascii="Verdana" w:eastAsia="Times New Roman" w:hAnsi="Verdana" w:cs="Arial"/>
          <w:lang w:eastAsia="es-CO"/>
        </w:rPr>
      </w:pPr>
      <w:r>
        <w:rPr>
          <w:rFonts w:ascii="Verdana" w:eastAsia="Calibri" w:hAnsi="Verdana" w:cs="Arial"/>
          <w:lang w:val="es-MX"/>
        </w:rPr>
        <w:t xml:space="preserve">De acuerdo con estos pronunciamientos de la Sala de Consulta y Servicio Civil del Consejo de Estado, la prohibición de la contratación directa también aplica frente a las entidades exceptuadas de la aplicación del EGCAP y que se rigen en materia contractual por el derecho privado. Sin embargo, señaló que algunas de estas entidades, como sucede con las empresas de servicios públicos domiciliarios, los </w:t>
      </w:r>
      <w:r>
        <w:rPr>
          <w:rFonts w:ascii="Verdana" w:eastAsia="Times New Roman" w:hAnsi="Verdana" w:cs="Arial"/>
          <w:bCs/>
          <w:lang w:val="es-MX" w:eastAsia="x-none"/>
        </w:rPr>
        <w:t>establecimientos de crédito, las sociedades de servicios financieros y las entidades aseguradoras</w:t>
      </w:r>
      <w:r>
        <w:rPr>
          <w:rFonts w:ascii="Verdana" w:eastAsia="Calibri" w:hAnsi="Verdana" w:cs="Arial"/>
          <w:lang w:val="es-MX"/>
        </w:rPr>
        <w:t xml:space="preserve"> no 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r>
        <w:rPr>
          <w:vertAlign w:val="superscript"/>
        </w:rPr>
        <w:footnoteReference w:id="29"/>
      </w:r>
      <w:r>
        <w:rPr>
          <w:rFonts w:ascii="Verdana" w:eastAsia="Calibri" w:hAnsi="Verdana" w:cs="Arial"/>
          <w:lang w:val="es-MX"/>
        </w:rPr>
        <w:t>.</w:t>
      </w:r>
      <w:r>
        <w:rPr>
          <w:rFonts w:ascii="Verdana" w:eastAsia="Times New Roman" w:hAnsi="Verdana" w:cs="Arial"/>
          <w:lang w:val="es-MX" w:eastAsia="es-CO"/>
        </w:rPr>
        <w:t xml:space="preserve"> </w:t>
      </w:r>
    </w:p>
    <w:p w14:paraId="68749DB0" w14:textId="77777777" w:rsidR="00566725" w:rsidRDefault="00566725" w:rsidP="00566725">
      <w:pPr>
        <w:spacing w:after="120" w:line="276" w:lineRule="auto"/>
        <w:ind w:firstLine="709"/>
        <w:jc w:val="both"/>
        <w:rPr>
          <w:rFonts w:ascii="Verdana" w:eastAsia="Times New Roman" w:hAnsi="Verdana" w:cs="Arial"/>
          <w:bCs/>
          <w:lang w:val="es-MX" w:eastAsia="x-none"/>
        </w:rPr>
      </w:pPr>
      <w:r>
        <w:rPr>
          <w:rFonts w:ascii="Verdana" w:eastAsia="Times New Roman" w:hAnsi="Verdana" w:cs="Arial"/>
          <w:lang w:eastAsia="es-CO"/>
        </w:rPr>
        <w:t>Sin perjuicio de estos pronunciamientos de la Sala de Consulta y Servicio Civil</w:t>
      </w:r>
      <w:r>
        <w:rPr>
          <w:rFonts w:ascii="Verdana" w:eastAsia="Calibri" w:hAnsi="Verdana" w:cs="Arial"/>
          <w:lang w:val="es-MX"/>
        </w:rPr>
        <w:t xml:space="preserve">, como la ha señalado esa misma Corporación, la restricción prevista en la Ley 996 de 2005 </w:t>
      </w:r>
      <w:r>
        <w:rPr>
          <w:rFonts w:ascii="Verdana" w:eastAsia="Times New Roman" w:hAnsi="Verdana" w:cs="Arial"/>
          <w:bCs/>
          <w:lang w:val="es-MX" w:eastAsia="x-none"/>
        </w:rPr>
        <w:t xml:space="preserve">cobija a cualquier entidad pública independiente del régimen jurídico, que pueda mediante la contratación directa romper el equilibrio entre los candidatos en desarrollo de las elecciones presidenciales. Tampoco existe un supuesto de exoneración a la prohibición por tener un régimen especial de los actos o contratos o por la ejecución de un cierto tipo de recursos en sus </w:t>
      </w:r>
      <w:r>
        <w:rPr>
          <w:rFonts w:ascii="Verdana" w:eastAsia="Times New Roman" w:hAnsi="Verdana" w:cs="Arial"/>
          <w:bCs/>
          <w:lang w:val="es-MX" w:eastAsia="x-none"/>
        </w:rPr>
        <w:lastRenderedPageBreak/>
        <w:t>contrataciones, pues, la posibilidad de que los entes del Estado usen la contratación con fines políticos, esto es, con la intención de influir a los electores y alterar la voluntad popular en las contiendas electorales, puede presentarse tanto en la contratación regulada por la Ley 80 de 1993 como en la regida por normas especiales.</w:t>
      </w:r>
    </w:p>
    <w:bookmarkEnd w:id="15"/>
    <w:p w14:paraId="19C8DC13" w14:textId="0B044ECF" w:rsidR="00DF324D" w:rsidRPr="00037A75" w:rsidRDefault="00566725" w:rsidP="00CA4409">
      <w:pPr>
        <w:spacing w:after="120" w:line="276" w:lineRule="auto"/>
        <w:ind w:firstLine="709"/>
        <w:jc w:val="both"/>
        <w:rPr>
          <w:rFonts w:ascii="Verdana" w:eastAsia="Times New Roman" w:hAnsi="Verdana" w:cs="Arial"/>
          <w:bCs/>
          <w:lang w:eastAsia="x-none"/>
        </w:rPr>
      </w:pPr>
      <w:r>
        <w:rPr>
          <w:rFonts w:ascii="Verdana" w:eastAsia="Times New Roman" w:hAnsi="Verdana" w:cs="Arial"/>
          <w:bCs/>
          <w:lang w:val="es-MX" w:eastAsia="x-none"/>
        </w:rPr>
        <w:t xml:space="preserve">En tal sentido, se reitera que la restricción del artículo 33 de la Ley 996 de 2005 aplica frente a la contratación directa, entendida como cualquier sistema de selección o procedimiento de contratación utilizada por las entidades estatales que </w:t>
      </w:r>
      <w:r w:rsidRPr="00BB2DE5">
        <w:rPr>
          <w:rFonts w:ascii="Verdana" w:eastAsia="Times New Roman" w:hAnsi="Verdana" w:cs="Arial"/>
          <w:bCs/>
          <w:i/>
          <w:iCs/>
          <w:lang w:val="es-MX" w:eastAsia="x-none"/>
        </w:rPr>
        <w:t>no incluya la convocatoria pública en alguna de sus etapas, ni permita la participación de una pluralidad de oferentes</w:t>
      </w:r>
      <w:r>
        <w:rPr>
          <w:rFonts w:ascii="Verdana" w:eastAsia="Times New Roman" w:hAnsi="Verdana" w:cs="Arial"/>
          <w:bCs/>
          <w:lang w:val="es-MX" w:eastAsia="x-none"/>
        </w:rPr>
        <w:t>, ya sea en aplicación de normas del Estatuto General de Contratación de la Administración Pública, así como de regímenes especiales</w:t>
      </w:r>
      <w:r w:rsidR="00CA4409">
        <w:rPr>
          <w:rFonts w:ascii="Verdana" w:eastAsia="Times New Roman" w:hAnsi="Verdana" w:cs="Arial"/>
          <w:bCs/>
          <w:lang w:val="es-MX" w:eastAsia="x-none"/>
        </w:rPr>
        <w:t xml:space="preserve">, por tanto, las entidades que se rigen por el derecho privado podrán celebrar contratos de acuerdo con los procedimientos contractuales desarrollados en sus manuales de contratación, bajo el entendido que estos permitan la participación de una pluralidad de oferentes. </w:t>
      </w:r>
    </w:p>
    <w:p w14:paraId="066724C5" w14:textId="77AE9AE1" w:rsidR="00566725" w:rsidRDefault="00CA4409" w:rsidP="00B41362">
      <w:pPr>
        <w:spacing w:after="120" w:line="276" w:lineRule="auto"/>
        <w:ind w:firstLine="709"/>
        <w:jc w:val="both"/>
        <w:rPr>
          <w:rFonts w:ascii="Verdana" w:eastAsia="Times New Roman" w:hAnsi="Verdana" w:cs="Arial"/>
          <w:bCs/>
          <w:lang w:val="es-MX" w:eastAsia="x-none"/>
        </w:rPr>
      </w:pPr>
      <w:r>
        <w:rPr>
          <w:rFonts w:ascii="Verdana" w:eastAsia="Times New Roman" w:hAnsi="Verdana" w:cs="Arial"/>
          <w:bCs/>
          <w:lang w:val="es-MX" w:eastAsia="x-none"/>
        </w:rPr>
        <w:t>Lo anterior</w:t>
      </w:r>
      <w:r w:rsidR="00566725">
        <w:rPr>
          <w:rFonts w:ascii="Verdana" w:eastAsia="Times New Roman" w:hAnsi="Verdana" w:cs="Arial"/>
          <w:bCs/>
          <w:lang w:val="es-MX" w:eastAsia="x-none"/>
        </w:rPr>
        <w:t xml:space="preserve">, sin perjuicio de las excepciones a la prohibición establecidas en el inciso segundo del mismo artículo 33, como son: i) la defensa y seguridad del Estado; </w:t>
      </w:r>
      <w:proofErr w:type="spellStart"/>
      <w:r w:rsidR="00566725">
        <w:rPr>
          <w:rFonts w:ascii="Verdana" w:eastAsia="Times New Roman" w:hAnsi="Verdana" w:cs="Arial"/>
          <w:bCs/>
          <w:lang w:val="es-MX" w:eastAsia="x-none"/>
        </w:rPr>
        <w:t>ii</w:t>
      </w:r>
      <w:proofErr w:type="spellEnd"/>
      <w:r w:rsidR="00566725">
        <w:rPr>
          <w:rFonts w:ascii="Verdana" w:eastAsia="Times New Roman" w:hAnsi="Verdana" w:cs="Arial"/>
          <w:bCs/>
          <w:lang w:val="es-MX" w:eastAsia="x-none"/>
        </w:rPr>
        <w:t xml:space="preserve">) los contratos de crédito público; </w:t>
      </w:r>
      <w:proofErr w:type="spellStart"/>
      <w:r w:rsidR="00566725">
        <w:rPr>
          <w:rFonts w:ascii="Verdana" w:eastAsia="Times New Roman" w:hAnsi="Verdana" w:cs="Arial"/>
          <w:bCs/>
          <w:lang w:val="es-MX" w:eastAsia="x-none"/>
        </w:rPr>
        <w:t>iii</w:t>
      </w:r>
      <w:proofErr w:type="spellEnd"/>
      <w:r w:rsidR="00566725">
        <w:rPr>
          <w:rFonts w:ascii="Verdana" w:eastAsia="Times New Roman" w:hAnsi="Verdana" w:cs="Arial"/>
          <w:bCs/>
          <w:lang w:val="es-MX" w:eastAsia="x-none"/>
        </w:rPr>
        <w:t xml:space="preserve">) los requeridos para cubrir las emergencias educativas, sanitarias y desastres; </w:t>
      </w:r>
      <w:proofErr w:type="spellStart"/>
      <w:r w:rsidR="00566725">
        <w:rPr>
          <w:rFonts w:ascii="Verdana" w:eastAsia="Times New Roman" w:hAnsi="Verdana" w:cs="Arial"/>
          <w:bCs/>
          <w:lang w:val="es-MX" w:eastAsia="x-none"/>
        </w:rPr>
        <w:t>iv</w:t>
      </w:r>
      <w:proofErr w:type="spellEnd"/>
      <w:r w:rsidR="00566725">
        <w:rPr>
          <w:rFonts w:ascii="Verdana" w:eastAsia="Times New Roman" w:hAnsi="Verdana" w:cs="Arial"/>
          <w:bCs/>
          <w:lang w:val="es-MX" w:eastAsia="x-none"/>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 Es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67BC465E" w14:textId="1A167D13" w:rsidR="00BB2DE5" w:rsidRDefault="00BB2DE5" w:rsidP="005E458C">
      <w:pPr>
        <w:spacing w:after="120" w:line="276" w:lineRule="auto"/>
        <w:ind w:firstLine="709"/>
        <w:jc w:val="both"/>
        <w:rPr>
          <w:rFonts w:ascii="Verdana" w:eastAsia="Times New Roman" w:hAnsi="Verdana" w:cs="Arial"/>
          <w:bCs/>
          <w:lang w:val="es-MX" w:eastAsia="x-none"/>
        </w:rPr>
      </w:pPr>
      <w:r w:rsidRPr="00C02425">
        <w:rPr>
          <w:rFonts w:ascii="Verdana" w:eastAsia="Times New Roman" w:hAnsi="Verdana" w:cs="Arial"/>
          <w:bCs/>
          <w:lang w:eastAsia="x-none"/>
        </w:rPr>
        <w:t xml:space="preserve">En ese contexto, es pertinente señalar que las empresas industriales y comerciales del Estado, durante la vigencia de las restricciones previstas en la Ley 996 de 2005, no podrán celebrar contratos mediante la modalidad de contratación directa, debiendo acudir a mecanismos competitivos que impliquen convocatoria pública y la posibilidad de concurrencia de una pluralidad de oferentes. En todo caso, para determinar la aplicabilidad de la prohibición contenida en el artículo 33 de dicha ley, no resulta suficiente atender a la denominación que el Manual de Contratación otorgue al procedimiento, sino que </w:t>
      </w:r>
      <w:r w:rsidRPr="00C02425">
        <w:rPr>
          <w:rFonts w:ascii="Verdana" w:eastAsia="Times New Roman" w:hAnsi="Verdana" w:cs="Arial"/>
          <w:bCs/>
          <w:lang w:eastAsia="x-none"/>
        </w:rPr>
        <w:lastRenderedPageBreak/>
        <w:t>es necesario analizar su naturaleza y la forma en que este opera materialmente. En consecuencia, si el procedimiento especial incorpora mecanismos que garantizan la competencia entre posibles contratistas, no podrá asimilarse a la contratación directa para efectos de la Ley de Garantías Electorales; por el contrario, cuando comporte la selección directa de un proveedor, sin mediar escenarios de concurrencia o competencia, podrá entenderse comprendido dentro del ámbito de aplicación de la referida prohibición.</w:t>
      </w:r>
    </w:p>
    <w:p w14:paraId="5C19A638" w14:textId="72EEF60B" w:rsidR="00B046AB" w:rsidRPr="002E6505" w:rsidRDefault="00566725" w:rsidP="00DF324D">
      <w:pPr>
        <w:spacing w:after="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77A78AC" w14:textId="77777777" w:rsidR="00DF324D" w:rsidRPr="002E6505" w:rsidRDefault="00DF324D" w:rsidP="00B41362">
      <w:pPr>
        <w:spacing w:after="0" w:line="276" w:lineRule="auto"/>
        <w:ind w:firstLine="709"/>
        <w:jc w:val="both"/>
        <w:rPr>
          <w:rFonts w:ascii="Verdana" w:eastAsia="Calibri" w:hAnsi="Verdana" w:cs="Arial"/>
          <w:bCs/>
          <w:color w:val="000000" w:themeColor="text1"/>
        </w:rPr>
      </w:pPr>
    </w:p>
    <w:p w14:paraId="5F0A92DA" w14:textId="3F501F89" w:rsidR="00B046AB" w:rsidRPr="00B87488" w:rsidRDefault="00B046AB" w:rsidP="00B41362">
      <w:pPr>
        <w:pStyle w:val="Prrafodelista"/>
        <w:numPr>
          <w:ilvl w:val="0"/>
          <w:numId w:val="16"/>
        </w:numPr>
        <w:spacing w:after="0" w:line="276" w:lineRule="auto"/>
        <w:rPr>
          <w:rFonts w:ascii="Verdana" w:eastAsia="Calibri" w:hAnsi="Verdana" w:cs="Times New Roman"/>
          <w:b/>
        </w:rPr>
      </w:pPr>
      <w:r w:rsidRPr="00B87488">
        <w:rPr>
          <w:rFonts w:ascii="Verdana" w:eastAsia="Calibri" w:hAnsi="Verdana" w:cs="Times New Roman"/>
          <w:b/>
        </w:rPr>
        <w:t>Referencias normativas, jurisprudenciales y otras fuentes:</w:t>
      </w:r>
    </w:p>
    <w:p w14:paraId="34442D37" w14:textId="77777777" w:rsidR="00DF324D" w:rsidRPr="00B41362" w:rsidRDefault="00DF324D" w:rsidP="00B41362">
      <w:pPr>
        <w:pStyle w:val="Prrafodelista"/>
        <w:spacing w:after="0" w:line="276" w:lineRule="auto"/>
        <w:rPr>
          <w:rFonts w:ascii="Verdana" w:eastAsia="Calibri" w:hAnsi="Verdana" w:cs="Times New Roman"/>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046AB" w:rsidRPr="004A2375" w14:paraId="01922689" w14:textId="77777777" w:rsidTr="00E00FCC">
        <w:trPr>
          <w:trHeight w:val="870"/>
          <w:jc w:val="center"/>
        </w:trPr>
        <w:tc>
          <w:tcPr>
            <w:tcW w:w="8647" w:type="dxa"/>
          </w:tcPr>
          <w:p w14:paraId="37AA7AEC" w14:textId="77777777" w:rsidR="003460C5" w:rsidRDefault="003460C5" w:rsidP="00B41362">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Constitución Política de 1991, artículos 127, 197 y 209.</w:t>
            </w:r>
          </w:p>
          <w:p w14:paraId="3B52175A" w14:textId="29A7E564" w:rsidR="003460C5" w:rsidRPr="00BE4C5F" w:rsidRDefault="003460C5" w:rsidP="00B41362">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80 de 1993, artículos 2, 32, 39 y 41.</w:t>
            </w:r>
          </w:p>
          <w:p w14:paraId="57569A9B" w14:textId="77777777" w:rsidR="003460C5" w:rsidRDefault="003460C5" w:rsidP="00B41362">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996 de 2005, artículos 33 y 38.</w:t>
            </w:r>
          </w:p>
          <w:p w14:paraId="30760E04" w14:textId="77777777" w:rsidR="003460C5" w:rsidRDefault="003460C5" w:rsidP="00B41362">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artículos 1 y 2.</w:t>
            </w:r>
          </w:p>
          <w:p w14:paraId="2C0352A1" w14:textId="77777777" w:rsidR="00CF6980" w:rsidRPr="00CF6980" w:rsidRDefault="00CF6980" w:rsidP="00B41362">
            <w:pPr>
              <w:pStyle w:val="Prrafodelista"/>
              <w:numPr>
                <w:ilvl w:val="0"/>
                <w:numId w:val="17"/>
              </w:numPr>
              <w:spacing w:after="120" w:line="276" w:lineRule="auto"/>
              <w:contextualSpacing w:val="0"/>
              <w:rPr>
                <w:rFonts w:ascii="Verdana" w:hAnsi="Verdana" w:cs="Arial"/>
                <w:lang w:val="es-CO"/>
              </w:rPr>
            </w:pPr>
            <w:r w:rsidRPr="00CF6980">
              <w:rPr>
                <w:rFonts w:ascii="Verdana" w:hAnsi="Verdana" w:cs="Arial"/>
                <w:lang w:val="es-CO"/>
              </w:rPr>
              <w:t>Corte Constitucional. Sentencia C-1153-05 de 11 de noviembre de 2005, Magistrado Ponente Marco Gerardo Monroy Cabra.</w:t>
            </w:r>
          </w:p>
          <w:p w14:paraId="1685B21F" w14:textId="77777777" w:rsidR="00CF6980" w:rsidRPr="00CF6980" w:rsidRDefault="00CF6980" w:rsidP="00B41362">
            <w:pPr>
              <w:pStyle w:val="Prrafodelista"/>
              <w:numPr>
                <w:ilvl w:val="0"/>
                <w:numId w:val="17"/>
              </w:numPr>
              <w:spacing w:after="120" w:line="276" w:lineRule="auto"/>
              <w:contextualSpacing w:val="0"/>
              <w:rPr>
                <w:rFonts w:ascii="Verdana" w:hAnsi="Verdana" w:cs="Arial"/>
                <w:lang w:val="es-CO"/>
              </w:rPr>
            </w:pPr>
            <w:r w:rsidRPr="00CF6980">
              <w:rPr>
                <w:rFonts w:ascii="Verdana" w:hAnsi="Verdana" w:cs="Arial"/>
                <w:lang w:val="es-CO"/>
              </w:rPr>
              <w:t>Consejo de Estado. Sala de Consulta y Servicio Civil. Concepto de 20 de febrero de 2006. Radicación Número: 11001-03-06-000-2006-00026-00 (1727). C.P. Enrique José Arboleda Perdomo.</w:t>
            </w:r>
          </w:p>
          <w:p w14:paraId="220F1B9E" w14:textId="77777777" w:rsidR="00CF6980" w:rsidRPr="00CF6980" w:rsidRDefault="00CF6980" w:rsidP="00B41362">
            <w:pPr>
              <w:pStyle w:val="Prrafodelista"/>
              <w:numPr>
                <w:ilvl w:val="0"/>
                <w:numId w:val="17"/>
              </w:numPr>
              <w:spacing w:after="120" w:line="276" w:lineRule="auto"/>
              <w:contextualSpacing w:val="0"/>
              <w:rPr>
                <w:rFonts w:ascii="Verdana" w:hAnsi="Verdana" w:cs="Arial"/>
                <w:lang w:val="es-CO"/>
              </w:rPr>
            </w:pPr>
            <w:r w:rsidRPr="00CF6980">
              <w:rPr>
                <w:rFonts w:ascii="Verdana" w:hAnsi="Verdana" w:cs="Arial"/>
                <w:lang w:val="es-CO"/>
              </w:rPr>
              <w:t>Consejo de Estado. Sala de Consulta y Servicio Civil. Concepto de 6 de abril de 2006. Radicación Número: 11001-03-06-000-2006-00038-00(1738). Consejero Ponente: Enrique José Arboleda Perdomo.</w:t>
            </w:r>
          </w:p>
          <w:p w14:paraId="38A33366" w14:textId="77777777" w:rsidR="00CF6980" w:rsidRPr="00CF6980" w:rsidRDefault="00CF6980" w:rsidP="00B41362">
            <w:pPr>
              <w:pStyle w:val="Prrafodelista"/>
              <w:numPr>
                <w:ilvl w:val="0"/>
                <w:numId w:val="17"/>
              </w:numPr>
              <w:spacing w:after="120" w:line="276" w:lineRule="auto"/>
              <w:contextualSpacing w:val="0"/>
              <w:rPr>
                <w:rFonts w:ascii="Verdana" w:hAnsi="Verdana" w:cs="Arial"/>
                <w:lang w:val="es-CO"/>
              </w:rPr>
            </w:pPr>
            <w:r w:rsidRPr="00CF6980">
              <w:rPr>
                <w:rFonts w:ascii="Verdana" w:hAnsi="Verdana" w:cs="Arial"/>
                <w:lang w:val="es-CO"/>
              </w:rPr>
              <w:lastRenderedPageBreak/>
              <w:t>Consejo de Estado. Sala de Consulta y Servicio Civil. Concepto del 2 de septiembre de 2013. Radicación número: 11001-03-06-000-2013-00412-00 (2168). Consejero Ponente: Álvaro Namén Vargas.</w:t>
            </w:r>
          </w:p>
          <w:p w14:paraId="35045087" w14:textId="4AC0159E" w:rsidR="00CF6980" w:rsidRPr="00BE4C5F" w:rsidRDefault="00CF6980" w:rsidP="00B41362">
            <w:pPr>
              <w:pStyle w:val="Prrafodelista"/>
              <w:numPr>
                <w:ilvl w:val="0"/>
                <w:numId w:val="17"/>
              </w:numPr>
              <w:spacing w:line="276" w:lineRule="auto"/>
              <w:contextualSpacing w:val="0"/>
              <w:rPr>
                <w:rFonts w:ascii="Verdana" w:hAnsi="Verdana" w:cs="Arial"/>
                <w:lang w:val="es-CO"/>
              </w:rPr>
            </w:pPr>
            <w:r w:rsidRPr="00CF6980">
              <w:rPr>
                <w:rFonts w:ascii="Verdana" w:hAnsi="Verdana" w:cs="Arial"/>
                <w:lang w:val="es-CO"/>
              </w:rPr>
              <w:t xml:space="preserve">Consejo de Estado. Sala de Consulta y Servicio Civil. Concepto del 08 de mayo de 2018. </w:t>
            </w:r>
            <w:proofErr w:type="spellStart"/>
            <w:r w:rsidRPr="00CF6980">
              <w:rPr>
                <w:rFonts w:ascii="Verdana" w:hAnsi="Verdana" w:cs="Arial"/>
                <w:lang w:val="es-CO"/>
              </w:rPr>
              <w:t>Exp</w:t>
            </w:r>
            <w:proofErr w:type="spellEnd"/>
            <w:r w:rsidRPr="00CF6980">
              <w:rPr>
                <w:rFonts w:ascii="Verdana" w:hAnsi="Verdana" w:cs="Arial"/>
                <w:lang w:val="es-CO"/>
              </w:rPr>
              <w:t>. 2.382. C.P. Álvaro Namén Vargas.</w:t>
            </w:r>
          </w:p>
        </w:tc>
      </w:tr>
    </w:tbl>
    <w:p w14:paraId="5EDD00ED" w14:textId="77777777" w:rsidR="00B046AB" w:rsidRPr="004A2375" w:rsidRDefault="00B046AB" w:rsidP="00B046AB">
      <w:pPr>
        <w:spacing w:after="0" w:line="276" w:lineRule="auto"/>
        <w:ind w:right="709"/>
        <w:jc w:val="both"/>
        <w:rPr>
          <w:rFonts w:ascii="Verdana" w:hAnsi="Verdana" w:cs="Arial"/>
          <w:color w:val="000000" w:themeColor="text1"/>
        </w:rPr>
      </w:pPr>
    </w:p>
    <w:p w14:paraId="5F7975EA" w14:textId="77777777" w:rsidR="00B046AB" w:rsidRPr="004A2375" w:rsidRDefault="00B046AB" w:rsidP="00B41362">
      <w:pPr>
        <w:spacing w:after="0" w:line="276" w:lineRule="auto"/>
        <w:rPr>
          <w:rFonts w:ascii="Verdana" w:eastAsia="Calibri" w:hAnsi="Verdana" w:cs="Times New Roman"/>
          <w:b/>
          <w:bCs/>
        </w:rPr>
      </w:pPr>
      <w:r w:rsidRPr="004A2375">
        <w:rPr>
          <w:rFonts w:ascii="Verdana" w:eastAsia="Calibri" w:hAnsi="Verdana" w:cs="Times New Roman"/>
          <w:b/>
          <w:bCs/>
        </w:rPr>
        <w:t>5. Doctrina de la Agencia Nacional de Contratación Pública:</w:t>
      </w:r>
    </w:p>
    <w:p w14:paraId="40B6E8F7" w14:textId="77777777" w:rsidR="00EC2CF0" w:rsidRDefault="00EC2CF0" w:rsidP="00DF324D">
      <w:pPr>
        <w:widowControl w:val="0"/>
        <w:autoSpaceDE w:val="0"/>
        <w:autoSpaceDN w:val="0"/>
        <w:spacing w:after="0" w:line="276" w:lineRule="auto"/>
        <w:jc w:val="both"/>
        <w:rPr>
          <w:rFonts w:ascii="Verdana" w:hAnsi="Verdana" w:cs="Arial"/>
          <w:shd w:val="clear" w:color="auto" w:fill="FFFFFF"/>
        </w:rPr>
      </w:pPr>
    </w:p>
    <w:p w14:paraId="5D3AB0D3" w14:textId="2493447B" w:rsidR="00261E40" w:rsidRPr="00B41362" w:rsidRDefault="00261E40" w:rsidP="00261E40">
      <w:pPr>
        <w:widowControl w:val="0"/>
        <w:autoSpaceDE w:val="0"/>
        <w:autoSpaceDN w:val="0"/>
        <w:spacing w:after="0" w:line="276" w:lineRule="auto"/>
        <w:jc w:val="both"/>
        <w:rPr>
          <w:rStyle w:val="normaltextrun"/>
          <w:rFonts w:ascii="Verdana" w:hAnsi="Verdana"/>
          <w:shd w:val="clear" w:color="auto" w:fill="FFFFFF"/>
        </w:rPr>
      </w:pPr>
      <w:r>
        <w:rPr>
          <w:rFonts w:ascii="Verdana" w:hAnsi="Verdana" w:cs="Arial"/>
          <w:shd w:val="clear" w:color="auto" w:fill="FFFFFF"/>
        </w:rPr>
        <w:t>Sobre la finalidad y propósito de la Ley de Garantías Electorales, la ANCP- CCE se ha pronunciado en los Conceptos 4201913000004536 de 17 de julio de 2019, 4201912000005556 del 12 de septiembre de 2019, 4201913000005175 del 13 de septiembre de 2019, 4201913000006452 del 07 de octubre de 2019, 4201913000005082 del 17 de octubre de 2019, 4201913000006306 del 21 de octubre de 2019, 4201912000006552 del 07 de noviembre de 2019, 4201913000006604 del 17 de diciembre de 2019,  C-227 del 24 de mayo de 2021 y 396 del 13 de agosto de 2021, C-439 del 27 de agosto de 2021, C-456 del 3 de septiembre, C-481 del 9 de septiembre de 2021, C- 528 del 27 de septiembre de 2021, C-550 del 5 de octubre de 2021 y C-523 del 10 de octubre de 2021, C-606 del 28 de octubre de 2021 y C-614 del 2 de noviembre de 2021, C-636 del 16 de noviembre de 2021, 681 del 7 de diciembre de 2021, C-686 del 21 de diciembre de 2021, C-697 del 3 de enero de 2022, C-317 del 25 de abril de 2025, C-510 del 4 de junio de 2025, 646 del 26 de junio de 2025, C-957 del 23 de agosto de 2025, C-975 del 28 de agosto de 2025, C-1015 del 4 de septiembre de 2025, C-1096 del 28 de agosto de 2025, C-1174 del 29 de septiembre de 2025, C- 1170 del 16 de septiembre de 2025, C-1194 del 3 de octubre de 2025, C-1343 del 20 de octubre de 2025, entre otros</w:t>
      </w:r>
      <w:r>
        <w:rPr>
          <w:rFonts w:ascii="Verdana" w:hAnsi="Verdana"/>
        </w:rPr>
        <w:t>.</w:t>
      </w:r>
      <w:r>
        <w:rPr>
          <w:rFonts w:ascii="Verdana" w:hAnsi="Verdana" w:cs="Arial"/>
          <w:shd w:val="clear" w:color="auto" w:fill="FFFFFF"/>
        </w:rPr>
        <w:t xml:space="preserve"> Estos y otros </w:t>
      </w:r>
      <w:r>
        <w:rPr>
          <w:rStyle w:val="normaltextrun"/>
          <w:rFonts w:ascii="Verdana" w:hAnsi="Verdana" w:cs="Arial"/>
          <w:shd w:val="clear" w:color="auto" w:fill="FFFFFF"/>
        </w:rPr>
        <w:t xml:space="preserve">se encuentran disponibles para consulta en el Sistema de relatoría de la Agencia, al cual puede accederse a través del siguiente enlace: </w:t>
      </w:r>
      <w:hyperlink r:id="rId12" w:history="1">
        <w:r>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62DBECDE" w14:textId="77777777" w:rsidR="00EC2CF0" w:rsidRDefault="00EC2CF0" w:rsidP="00DF324D">
      <w:pPr>
        <w:spacing w:after="0" w:line="276" w:lineRule="auto"/>
        <w:jc w:val="both"/>
        <w:rPr>
          <w:rFonts w:ascii="Verdana" w:hAnsi="Verdana"/>
        </w:rPr>
      </w:pPr>
    </w:p>
    <w:p w14:paraId="0645A78A" w14:textId="343EA8BB" w:rsidR="00B046AB" w:rsidRPr="004A2375" w:rsidRDefault="00B046AB" w:rsidP="00B41362">
      <w:pPr>
        <w:spacing w:after="0" w:line="276" w:lineRule="auto"/>
        <w:jc w:val="both"/>
        <w:rPr>
          <w:rFonts w:ascii="Verdana" w:hAnsi="Verdana"/>
        </w:rPr>
      </w:pPr>
      <w:r w:rsidRPr="004A2375">
        <w:rPr>
          <w:rFonts w:ascii="Verdana" w:hAnsi="Verdana"/>
        </w:rPr>
        <w:t xml:space="preserve">La sostenibilidad no es una opción, es una obligación. Por ello, la Agencia Nacional de Contratación Pública –Colombia Compra Eficiente– te invita a realizar el </w:t>
      </w:r>
      <w:r w:rsidRPr="004A2375">
        <w:rPr>
          <w:rFonts w:ascii="Verdana" w:hAnsi="Verdana"/>
          <w:b/>
          <w:bCs/>
        </w:rPr>
        <w:t>Curso de Contratación Pública Sostenible y Socialmente Responsable</w:t>
      </w:r>
      <w:r w:rsidRPr="004A2375">
        <w:rPr>
          <w:rFonts w:ascii="Verdana" w:hAnsi="Verdana"/>
        </w:rPr>
        <w:t xml:space="preserve">, una herramienta clave para fortalecer las capacidades de todos los compradores públicos, proveedores, servidores públicos v para generar mayor valor público. Accede al curso y aprende como implementar criterios </w:t>
      </w:r>
      <w:r w:rsidRPr="004A2375">
        <w:rPr>
          <w:rFonts w:ascii="Verdana" w:hAnsi="Verdana"/>
        </w:rPr>
        <w:lastRenderedPageBreak/>
        <w:t>sociales y ambientales en las diferentes etapas del proceso de contratación:</w:t>
      </w:r>
      <w:r w:rsidRPr="004A2375">
        <w:rPr>
          <w:rFonts w:ascii="Verdana" w:hAnsi="Verdana"/>
        </w:rPr>
        <w:br/>
      </w:r>
      <w:hyperlink r:id="rId13" w:tgtFrame="_new" w:history="1">
        <w:r w:rsidRPr="008548E4">
          <w:rPr>
            <w:rStyle w:val="Hipervnculo"/>
            <w:rFonts w:ascii="Verdana" w:hAnsi="Verdana"/>
          </w:rPr>
          <w:t>https://formacionvirtual.colombiacompra.gov.co/mod/page/view.php?id=3718</w:t>
        </w:r>
      </w:hyperlink>
    </w:p>
    <w:p w14:paraId="2958F376" w14:textId="77777777" w:rsidR="00EC2CF0" w:rsidRDefault="00EC2CF0" w:rsidP="00DF324D">
      <w:pPr>
        <w:spacing w:after="0" w:line="276" w:lineRule="auto"/>
        <w:jc w:val="both"/>
        <w:rPr>
          <w:rFonts w:ascii="Verdana" w:hAnsi="Verdana"/>
        </w:rPr>
      </w:pPr>
    </w:p>
    <w:p w14:paraId="39391B72" w14:textId="15DBB91B" w:rsidR="00B046AB" w:rsidRPr="004A2375" w:rsidRDefault="00B046AB" w:rsidP="00B41362">
      <w:pPr>
        <w:spacing w:after="0" w:line="276" w:lineRule="auto"/>
        <w:jc w:val="both"/>
        <w:rPr>
          <w:rFonts w:ascii="Verdana" w:hAnsi="Verdana"/>
        </w:rPr>
      </w:pPr>
      <w:r w:rsidRPr="004A2375">
        <w:rPr>
          <w:rFonts w:ascii="Verdana" w:hAnsi="Verdana"/>
        </w:rPr>
        <w:t xml:space="preserve">De otro lado, te contamos que esta Agencia ha da un paso decisivo en la estandarización y modernización del </w:t>
      </w:r>
      <w:r w:rsidRPr="004A2375">
        <w:rPr>
          <w:rFonts w:ascii="Verdana" w:hAnsi="Verdana"/>
          <w:b/>
          <w:bCs/>
        </w:rPr>
        <w:t>sector  social</w:t>
      </w:r>
      <w:r w:rsidRPr="004A2375">
        <w:rPr>
          <w:rFonts w:ascii="Verdana" w:hAnsi="Verdana"/>
        </w:rPr>
        <w:t xml:space="preserve"> con la expedición de las </w:t>
      </w:r>
      <w:r w:rsidRPr="004A2375">
        <w:rPr>
          <w:rFonts w:ascii="Verdana" w:hAnsi="Verdana"/>
          <w:b/>
          <w:bCs/>
        </w:rPr>
        <w:t>Resoluciones 539, 540, 541, 952 y 953 de 2025</w:t>
      </w:r>
      <w:r w:rsidRPr="004A2375">
        <w:rPr>
          <w:rFonts w:ascii="Verdana" w:hAnsi="Verdana"/>
        </w:rPr>
        <w:t xml:space="preserve">, </w:t>
      </w:r>
      <w:r w:rsidRPr="004A2375">
        <w:rPr>
          <w:rFonts w:ascii="Verdana" w:hAnsi="Verdana"/>
          <w:b/>
          <w:bCs/>
        </w:rPr>
        <w:t>mediante las cuales adoptó Documentos Tipo</w:t>
      </w:r>
      <w:r w:rsidRPr="004A2375">
        <w:rPr>
          <w:rFonts w:ascii="Verdana" w:hAnsi="Verdana"/>
        </w:rPr>
        <w:t xml:space="preserve"> para las modalidades de selección de</w:t>
      </w:r>
      <w:r w:rsidRPr="004A2375">
        <w:rPr>
          <w:rFonts w:ascii="Verdana" w:hAnsi="Verdana"/>
          <w:b/>
          <w:bCs/>
        </w:rPr>
        <w:t xml:space="preserve"> licitación pública (versión 2), selección abreviada de menor cuantía, mínima cuantía, consultoría e interventoría</w:t>
      </w:r>
      <w:r w:rsidRPr="004A2375">
        <w:rPr>
          <w:rFonts w:ascii="Verdana" w:hAnsi="Verdana"/>
        </w:rPr>
        <w:t xml:space="preserve">, promoviendo procesos más transparentes, eficientes  competitivos y sostenibles en sectores estratégicos como educación, salud, cultura, recreación, deporte, institucional y vivienda. </w:t>
      </w:r>
      <w:r w:rsidRPr="008548E4">
        <w:rPr>
          <w:rFonts w:ascii="Verdana" w:hAnsi="Verdana"/>
        </w:rPr>
        <w:t xml:space="preserve">Consulta y descarga los documentos aquí: </w:t>
      </w:r>
      <w:hyperlink r:id="rId14" w:tgtFrame="_new" w:history="1">
        <w:r w:rsidRPr="008548E4">
          <w:rPr>
            <w:rStyle w:val="Hipervnculo"/>
            <w:rFonts w:ascii="Verdana" w:hAnsi="Verdana"/>
          </w:rPr>
          <w:t>https://www.colombiacompra.gov.co/normativa-y-relatoria/documentos-tipo</w:t>
        </w:r>
      </w:hyperlink>
    </w:p>
    <w:p w14:paraId="411B34EE" w14:textId="77777777" w:rsidR="00EC2CF0" w:rsidRDefault="00EC2CF0" w:rsidP="00DF324D">
      <w:pPr>
        <w:spacing w:after="0" w:line="276" w:lineRule="auto"/>
        <w:jc w:val="both"/>
        <w:rPr>
          <w:rFonts w:ascii="Verdana" w:hAnsi="Verdana"/>
        </w:rPr>
      </w:pPr>
    </w:p>
    <w:p w14:paraId="5EDEB4BC" w14:textId="6282704D" w:rsidR="00B046AB" w:rsidRPr="004A2375" w:rsidRDefault="00B046AB" w:rsidP="00DF324D">
      <w:pPr>
        <w:spacing w:after="0" w:line="276" w:lineRule="auto"/>
        <w:jc w:val="both"/>
        <w:rPr>
          <w:rFonts w:ascii="Verdana" w:hAnsi="Verdana"/>
        </w:rPr>
      </w:pPr>
      <w:r w:rsidRPr="004A2375">
        <w:rPr>
          <w:rFonts w:ascii="Verdana" w:hAnsi="Verdana"/>
        </w:rPr>
        <w:t xml:space="preserve">Si quieres conocer más sobre la aplicación de Documentos Tipo puedes consultar la última versión de la </w:t>
      </w:r>
      <w:r w:rsidRPr="004A2375">
        <w:rPr>
          <w:rFonts w:ascii="Verdana" w:hAnsi="Verdana"/>
          <w:b/>
          <w:bCs/>
        </w:rPr>
        <w:t>Guía para la comprensión e implementación de los Documentos Tipo de obra pública de infraestructura de transporte</w:t>
      </w:r>
      <w:r w:rsidRPr="004A2375">
        <w:rPr>
          <w:rFonts w:ascii="Verdana" w:hAnsi="Verdana"/>
        </w:rPr>
        <w:t xml:space="preserve">. En esta actualización se incorporaron orientaciones prácticas dirigidas a entidades públicas, proveedores, organismos de control y demás interesados, con el propósito de facilitar la adecuada implementación de estos instrumentos en los procesos contractuales. </w:t>
      </w:r>
      <w:r w:rsidRPr="008548E4">
        <w:rPr>
          <w:rFonts w:ascii="Verdana" w:hAnsi="Verdana"/>
        </w:rPr>
        <w:t>Además se incluyeron lineamientos que orientan la implementación de los criterios ambientales y sociales incluidos en los documentos tipo: Consulta la guía aquí:</w:t>
      </w:r>
      <w:r w:rsidRPr="008548E4">
        <w:rPr>
          <w:rFonts w:ascii="Verdana" w:hAnsi="Verdana"/>
        </w:rPr>
        <w:br/>
      </w:r>
      <w:hyperlink r:id="rId15" w:tgtFrame="_new" w:history="1">
        <w:r w:rsidRPr="008548E4">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13D9465C" w14:textId="77777777" w:rsidR="00EC2CF0" w:rsidRPr="00DF324D" w:rsidRDefault="00EC2CF0" w:rsidP="00B41362">
      <w:pPr>
        <w:spacing w:after="0" w:line="276" w:lineRule="auto"/>
        <w:jc w:val="both"/>
        <w:rPr>
          <w:rFonts w:ascii="Verdana" w:hAnsi="Verdana"/>
        </w:rPr>
      </w:pPr>
    </w:p>
    <w:p w14:paraId="20C885B6" w14:textId="63982280" w:rsidR="00B046AB" w:rsidRPr="004A2375" w:rsidRDefault="00B046AB" w:rsidP="00DF324D">
      <w:pPr>
        <w:spacing w:after="0" w:line="276" w:lineRule="auto"/>
        <w:jc w:val="both"/>
        <w:rPr>
          <w:rFonts w:ascii="Verdana" w:hAnsi="Verdana"/>
        </w:rPr>
      </w:pPr>
      <w:r w:rsidRPr="004A2375">
        <w:rPr>
          <w:rFonts w:ascii="Verdana" w:hAnsi="Verdana"/>
        </w:rPr>
        <w:t xml:space="preserve">Aprovechamos la oportunidad para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56E61C76" w14:textId="77777777" w:rsidR="00EC2CF0" w:rsidRPr="00DF324D" w:rsidRDefault="00EC2CF0" w:rsidP="00B41362">
      <w:pPr>
        <w:spacing w:after="0" w:line="276" w:lineRule="auto"/>
        <w:jc w:val="both"/>
        <w:rPr>
          <w:rFonts w:ascii="Verdana" w:hAnsi="Verdana"/>
        </w:rPr>
      </w:pPr>
    </w:p>
    <w:p w14:paraId="47BE62CB" w14:textId="688E1AD3" w:rsidR="00B046AB" w:rsidRPr="004A2375" w:rsidRDefault="00B046AB" w:rsidP="00B046AB">
      <w:pPr>
        <w:numPr>
          <w:ilvl w:val="0"/>
          <w:numId w:val="15"/>
        </w:numPr>
        <w:spacing w:after="0" w:line="276" w:lineRule="auto"/>
        <w:jc w:val="both"/>
        <w:rPr>
          <w:rFonts w:ascii="Verdana" w:hAnsi="Verdana"/>
        </w:rPr>
      </w:pPr>
      <w:r w:rsidRPr="004A2375">
        <w:rPr>
          <w:rFonts w:ascii="Verdana" w:hAnsi="Verdana"/>
        </w:rPr>
        <w:t>Línea nacional gratuita o servicio a la ciudadanía: 01800 0520808</w:t>
      </w:r>
    </w:p>
    <w:p w14:paraId="6DE0F11E" w14:textId="77777777" w:rsidR="00B046AB" w:rsidRPr="004A2375" w:rsidRDefault="00B046AB" w:rsidP="00B046AB">
      <w:pPr>
        <w:numPr>
          <w:ilvl w:val="0"/>
          <w:numId w:val="15"/>
        </w:numPr>
        <w:spacing w:after="0" w:line="276" w:lineRule="auto"/>
        <w:jc w:val="both"/>
        <w:rPr>
          <w:rFonts w:ascii="Verdana" w:hAnsi="Verdana"/>
        </w:rPr>
      </w:pPr>
      <w:r w:rsidRPr="004A2375">
        <w:rPr>
          <w:rFonts w:ascii="Verdana" w:hAnsi="Verdana"/>
        </w:rPr>
        <w:t>Línea en Bogotá (Mesa de servicio): +57 601 7456788</w:t>
      </w:r>
    </w:p>
    <w:p w14:paraId="698EF0E6" w14:textId="34E4AC23" w:rsidR="00B046AB" w:rsidRPr="004A2375" w:rsidRDefault="00B046AB" w:rsidP="00B046AB">
      <w:pPr>
        <w:numPr>
          <w:ilvl w:val="0"/>
          <w:numId w:val="15"/>
        </w:numPr>
        <w:spacing w:after="0" w:line="276" w:lineRule="auto"/>
        <w:jc w:val="both"/>
        <w:rPr>
          <w:rFonts w:ascii="Verdana" w:hAnsi="Verdana"/>
        </w:rPr>
      </w:pPr>
      <w:r w:rsidRPr="004A2375">
        <w:rPr>
          <w:rFonts w:ascii="Verdana" w:hAnsi="Verdana"/>
        </w:rPr>
        <w:lastRenderedPageBreak/>
        <w:t>Línea de servicio y atención al ciudadano: +57 601 7956600</w:t>
      </w:r>
    </w:p>
    <w:p w14:paraId="2BBCA210" w14:textId="00B3E25A" w:rsidR="00B046AB" w:rsidRPr="004A2375" w:rsidRDefault="00B046AB" w:rsidP="00B046AB">
      <w:pPr>
        <w:numPr>
          <w:ilvl w:val="0"/>
          <w:numId w:val="15"/>
        </w:numPr>
        <w:spacing w:after="0" w:line="276" w:lineRule="auto"/>
        <w:jc w:val="both"/>
        <w:rPr>
          <w:rFonts w:ascii="Verdana" w:hAnsi="Verdana"/>
        </w:rPr>
      </w:pPr>
      <w:r w:rsidRPr="008548E4">
        <w:rPr>
          <w:rFonts w:ascii="Verdana" w:hAnsi="Verdana"/>
        </w:rPr>
        <w:t xml:space="preserve">Página web: </w:t>
      </w:r>
      <w:hyperlink r:id="rId16" w:history="1">
        <w:r w:rsidRPr="008548E4">
          <w:rPr>
            <w:rStyle w:val="Hipervnculo"/>
            <w:rFonts w:ascii="Verdana" w:hAnsi="Verdana"/>
          </w:rPr>
          <w:t>www.colombiacompra.gov.co</w:t>
        </w:r>
      </w:hyperlink>
    </w:p>
    <w:p w14:paraId="13EFC5C9" w14:textId="77777777" w:rsidR="00EC2CF0" w:rsidRDefault="00EC2CF0" w:rsidP="00DF324D">
      <w:pPr>
        <w:spacing w:after="0" w:line="276" w:lineRule="auto"/>
        <w:jc w:val="both"/>
        <w:rPr>
          <w:rFonts w:ascii="Verdana" w:hAnsi="Verdana"/>
        </w:rPr>
      </w:pPr>
    </w:p>
    <w:p w14:paraId="7EA218F9" w14:textId="750D2275" w:rsidR="00B046AB" w:rsidRPr="004A2375" w:rsidRDefault="00B046AB" w:rsidP="00DF324D">
      <w:pPr>
        <w:spacing w:after="0" w:line="276" w:lineRule="auto"/>
        <w:jc w:val="both"/>
        <w:rPr>
          <w:rFonts w:ascii="Verdana" w:hAnsi="Verdana"/>
        </w:rPr>
      </w:pPr>
      <w:r w:rsidRPr="004A2375">
        <w:rPr>
          <w:rFonts w:ascii="Verdana" w:hAnsi="Verdana"/>
        </w:rPr>
        <w:t xml:space="preserve">Por último, lo invitamos a seguirnos en las redes sociales en las cuales se difunde información institucional: </w:t>
      </w:r>
    </w:p>
    <w:p w14:paraId="0E18CD97" w14:textId="77777777" w:rsidR="00EC2CF0" w:rsidRPr="00DF324D" w:rsidRDefault="00EC2CF0" w:rsidP="00B41362">
      <w:pPr>
        <w:spacing w:after="0" w:line="276" w:lineRule="auto"/>
        <w:jc w:val="both"/>
        <w:rPr>
          <w:rFonts w:ascii="Verdana" w:hAnsi="Verdana"/>
        </w:rPr>
      </w:pPr>
    </w:p>
    <w:p w14:paraId="2BA50E81" w14:textId="02BD7516" w:rsidR="00B046AB" w:rsidRPr="004A2375" w:rsidRDefault="00B046AB" w:rsidP="00B046AB">
      <w:pPr>
        <w:spacing w:after="0" w:line="276" w:lineRule="auto"/>
        <w:jc w:val="both"/>
        <w:rPr>
          <w:rFonts w:ascii="Verdana" w:hAnsi="Verdana"/>
        </w:rPr>
      </w:pPr>
      <w:r w:rsidRPr="004A2375">
        <w:rPr>
          <w:rFonts w:ascii="Verdana" w:hAnsi="Verdana"/>
        </w:rPr>
        <w:t xml:space="preserve">Twitter: </w:t>
      </w:r>
      <w:r w:rsidRPr="004A2375">
        <w:rPr>
          <w:rStyle w:val="Hipervnculo"/>
          <w:rFonts w:ascii="Verdana" w:hAnsi="Verdana"/>
        </w:rPr>
        <w:t>@colombiacompra</w:t>
      </w:r>
      <w:r w:rsidRPr="004A2375">
        <w:rPr>
          <w:rFonts w:ascii="Verdana" w:hAnsi="Verdana"/>
        </w:rPr>
        <w:t xml:space="preserve"> </w:t>
      </w:r>
    </w:p>
    <w:p w14:paraId="762A430D" w14:textId="77777777" w:rsidR="00B046AB" w:rsidRPr="004A2375" w:rsidRDefault="00B046AB" w:rsidP="00B046AB">
      <w:pPr>
        <w:spacing w:after="0" w:line="276" w:lineRule="auto"/>
        <w:jc w:val="both"/>
        <w:rPr>
          <w:rFonts w:ascii="Verdana" w:hAnsi="Verdana"/>
        </w:rPr>
      </w:pPr>
      <w:r w:rsidRPr="004A2375">
        <w:rPr>
          <w:rFonts w:ascii="Verdana" w:hAnsi="Verdana"/>
        </w:rPr>
        <w:t xml:space="preserve">Facebook: </w:t>
      </w:r>
      <w:proofErr w:type="spellStart"/>
      <w:r w:rsidRPr="004A2375">
        <w:rPr>
          <w:rStyle w:val="Hipervnculo"/>
          <w:rFonts w:ascii="Verdana" w:hAnsi="Verdana"/>
        </w:rPr>
        <w:t>ColombiaCompraEficiente</w:t>
      </w:r>
      <w:proofErr w:type="spellEnd"/>
    </w:p>
    <w:p w14:paraId="4E5B41E8" w14:textId="5B01253D" w:rsidR="00B046AB" w:rsidRPr="004A2375" w:rsidRDefault="00B046AB" w:rsidP="00B046AB">
      <w:pPr>
        <w:spacing w:after="0" w:line="276" w:lineRule="auto"/>
        <w:jc w:val="both"/>
        <w:rPr>
          <w:rFonts w:ascii="Verdana" w:hAnsi="Verdana"/>
        </w:rPr>
      </w:pPr>
      <w:r w:rsidRPr="004A2375">
        <w:rPr>
          <w:rFonts w:ascii="Verdana" w:hAnsi="Verdana"/>
        </w:rPr>
        <w:t xml:space="preserve">LinkedIn: </w:t>
      </w:r>
      <w:r w:rsidRPr="004A2375">
        <w:rPr>
          <w:rStyle w:val="Hipervnculo"/>
          <w:rFonts w:ascii="Verdana" w:hAnsi="Verdana"/>
        </w:rPr>
        <w:t>Agencia Nacional de Contratación Pública - Colombia Compra Eficiente</w:t>
      </w:r>
      <w:r w:rsidRPr="004A2375">
        <w:rPr>
          <w:rFonts w:ascii="Verdana" w:hAnsi="Verdana"/>
        </w:rPr>
        <w:t xml:space="preserve"> Instagram: </w:t>
      </w:r>
      <w:r w:rsidRPr="004A2375">
        <w:rPr>
          <w:rStyle w:val="Hipervnculo"/>
          <w:rFonts w:ascii="Verdana" w:hAnsi="Verdana"/>
        </w:rPr>
        <w:t>@colombiacompraeficiente_cce</w:t>
      </w:r>
    </w:p>
    <w:p w14:paraId="176E9F12" w14:textId="77777777" w:rsidR="00EC2CF0" w:rsidRDefault="00EC2CF0" w:rsidP="00DF324D">
      <w:pPr>
        <w:spacing w:after="0" w:line="276" w:lineRule="auto"/>
        <w:jc w:val="both"/>
        <w:rPr>
          <w:rFonts w:ascii="Verdana" w:eastAsia="Calibri" w:hAnsi="Verdana" w:cs="Times New Roman"/>
        </w:rPr>
      </w:pPr>
    </w:p>
    <w:p w14:paraId="1DFC489C" w14:textId="16A01C69" w:rsidR="00B046AB" w:rsidRPr="004A2375" w:rsidRDefault="00B046AB" w:rsidP="00B41362">
      <w:pPr>
        <w:spacing w:after="0" w:line="276" w:lineRule="auto"/>
        <w:jc w:val="both"/>
        <w:rPr>
          <w:rFonts w:ascii="Verdana" w:eastAsia="Calibri" w:hAnsi="Verdana" w:cs="Times New Roman"/>
          <w:bCs/>
        </w:rPr>
      </w:pPr>
      <w:r w:rsidRPr="004A2375">
        <w:rPr>
          <w:rFonts w:ascii="Verdana" w:eastAsia="Calibri" w:hAnsi="Verdana" w:cs="Times New Roman"/>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3B414124" w14:textId="77777777" w:rsidR="00EC2CF0" w:rsidRDefault="00EC2CF0" w:rsidP="00DF324D">
      <w:pPr>
        <w:spacing w:after="0" w:line="276" w:lineRule="auto"/>
        <w:jc w:val="both"/>
        <w:rPr>
          <w:rFonts w:ascii="Verdana" w:eastAsia="Calibri" w:hAnsi="Verdana" w:cs="Times New Roman"/>
        </w:rPr>
      </w:pPr>
    </w:p>
    <w:p w14:paraId="7AC99901" w14:textId="2107776C" w:rsidR="00913AE0" w:rsidRPr="00913AE0" w:rsidRDefault="00B046AB" w:rsidP="00913AE0">
      <w:pPr>
        <w:spacing w:after="0" w:line="276" w:lineRule="auto"/>
        <w:jc w:val="both"/>
        <w:rPr>
          <w:rFonts w:ascii="Verdana" w:eastAsia="Calibri" w:hAnsi="Verdana" w:cs="Times New Roman"/>
        </w:rPr>
      </w:pPr>
      <w:r w:rsidRPr="004A2375">
        <w:rPr>
          <w:rFonts w:ascii="Verdana" w:eastAsia="Calibri" w:hAnsi="Verdana" w:cs="Times New Roman"/>
        </w:rPr>
        <w:t xml:space="preserve">Atentamente,  </w:t>
      </w:r>
    </w:p>
    <w:p w14:paraId="63871C61" w14:textId="367D26C7" w:rsidR="003018DD" w:rsidRPr="003018DD" w:rsidRDefault="003018DD" w:rsidP="003018DD">
      <w:pPr>
        <w:spacing w:after="0" w:line="276" w:lineRule="auto"/>
        <w:jc w:val="both"/>
        <w:rPr>
          <w:rFonts w:ascii="Verdana" w:eastAsia="Calibri" w:hAnsi="Verdana" w:cs="Times New Roman"/>
        </w:rPr>
      </w:pPr>
      <w:r w:rsidRPr="003018DD">
        <w:rPr>
          <w:rFonts w:ascii="Verdana" w:eastAsia="Calibri" w:hAnsi="Verdana" w:cs="Times New Roman"/>
        </w:rPr>
        <w:drawing>
          <wp:anchor distT="0" distB="0" distL="114300" distR="114300" simplePos="0" relativeHeight="251660288" behindDoc="1" locked="0" layoutInCell="1" allowOverlap="1" wp14:anchorId="6A97FB0D" wp14:editId="22A7ABB0">
            <wp:simplePos x="0" y="0"/>
            <wp:positionH relativeFrom="margin">
              <wp:align>center</wp:align>
            </wp:positionH>
            <wp:positionV relativeFrom="paragraph">
              <wp:posOffset>10160</wp:posOffset>
            </wp:positionV>
            <wp:extent cx="3771900" cy="1400175"/>
            <wp:effectExtent l="0" t="0" r="0" b="9525"/>
            <wp:wrapNone/>
            <wp:docPr id="2568964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1900" cy="1400175"/>
                    </a:xfrm>
                    <a:prstGeom prst="rect">
                      <a:avLst/>
                    </a:prstGeom>
                    <a:noFill/>
                    <a:ln>
                      <a:noFill/>
                    </a:ln>
                  </pic:spPr>
                </pic:pic>
              </a:graphicData>
            </a:graphic>
          </wp:anchor>
        </w:drawing>
      </w:r>
    </w:p>
    <w:p w14:paraId="7A7FFFC6" w14:textId="64305191" w:rsidR="00B046AB" w:rsidRPr="00683AF3" w:rsidRDefault="00B046AB" w:rsidP="00B046AB">
      <w:pPr>
        <w:spacing w:after="0" w:line="276" w:lineRule="auto"/>
        <w:jc w:val="both"/>
        <w:rPr>
          <w:rFonts w:ascii="Verdana" w:eastAsia="Calibri" w:hAnsi="Verdana" w:cs="Times New Roman"/>
        </w:rPr>
      </w:pPr>
    </w:p>
    <w:p w14:paraId="1B845A4D" w14:textId="77777777" w:rsidR="00B046AB" w:rsidRPr="00E0051B" w:rsidRDefault="00B046AB" w:rsidP="00B046AB">
      <w:pPr>
        <w:spacing w:after="0" w:line="276" w:lineRule="auto"/>
        <w:jc w:val="both"/>
        <w:rPr>
          <w:rFonts w:ascii="Verdana" w:eastAsia="Calibri" w:hAnsi="Verdana" w:cs="Times New Roman"/>
        </w:rPr>
      </w:pPr>
    </w:p>
    <w:p w14:paraId="3F88E9C1" w14:textId="77777777" w:rsidR="00B046AB" w:rsidRPr="000548CB" w:rsidRDefault="00B046AB" w:rsidP="00B046AB">
      <w:pPr>
        <w:spacing w:after="0" w:line="276" w:lineRule="auto"/>
        <w:jc w:val="both"/>
        <w:rPr>
          <w:rFonts w:ascii="Verdana" w:eastAsia="Calibri" w:hAnsi="Verdana" w:cs="Times New Roman"/>
        </w:rPr>
      </w:pPr>
    </w:p>
    <w:p w14:paraId="027C6A48" w14:textId="77777777" w:rsidR="00B046AB" w:rsidRPr="00FD1C41" w:rsidRDefault="00B046AB" w:rsidP="00B046AB">
      <w:pPr>
        <w:spacing w:after="0" w:line="276" w:lineRule="auto"/>
        <w:jc w:val="both"/>
        <w:rPr>
          <w:rFonts w:ascii="Verdana" w:eastAsia="Calibri" w:hAnsi="Verdana" w:cs="Times New Roman"/>
        </w:rPr>
      </w:pPr>
    </w:p>
    <w:p w14:paraId="7A060579" w14:textId="77777777" w:rsidR="00B046AB" w:rsidRPr="00E57F10" w:rsidRDefault="00B046AB" w:rsidP="00B046AB">
      <w:pPr>
        <w:spacing w:after="0" w:line="256" w:lineRule="auto"/>
        <w:jc w:val="center"/>
        <w:rPr>
          <w:rFonts w:ascii="Verdana" w:eastAsia="Times New Roman" w:hAnsi="Verdana" w:cs="Arial"/>
          <w:sz w:val="24"/>
          <w:szCs w:val="24"/>
        </w:rPr>
      </w:pPr>
    </w:p>
    <w:p w14:paraId="540CF170" w14:textId="77777777" w:rsidR="00B046AB" w:rsidRDefault="00B046AB" w:rsidP="00B046AB">
      <w:pPr>
        <w:spacing w:after="0" w:line="256" w:lineRule="auto"/>
        <w:jc w:val="center"/>
        <w:rPr>
          <w:rFonts w:ascii="Verdana" w:eastAsia="Times New Roman" w:hAnsi="Verdana" w:cs="Arial"/>
          <w:sz w:val="24"/>
          <w:szCs w:val="24"/>
        </w:rPr>
      </w:pPr>
    </w:p>
    <w:p w14:paraId="0F97379F" w14:textId="77777777" w:rsidR="00B046AB" w:rsidRDefault="00B046AB" w:rsidP="00B046AB">
      <w:pPr>
        <w:spacing w:after="0" w:line="256" w:lineRule="auto"/>
        <w:jc w:val="center"/>
        <w:rPr>
          <w:rFonts w:ascii="Verdana" w:eastAsia="Times New Roman" w:hAnsi="Verdana" w:cs="Arial"/>
          <w:sz w:val="24"/>
          <w:szCs w:val="24"/>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046AB" w:rsidRPr="00432BAE" w14:paraId="732052E1" w14:textId="77777777" w:rsidTr="00E00FCC">
        <w:trPr>
          <w:trHeight w:val="315"/>
        </w:trPr>
        <w:tc>
          <w:tcPr>
            <w:tcW w:w="893" w:type="dxa"/>
            <w:vAlign w:val="center"/>
            <w:hideMark/>
          </w:tcPr>
          <w:p w14:paraId="500D3510" w14:textId="77777777" w:rsidR="00B046AB" w:rsidRPr="004F246A" w:rsidRDefault="00B046AB" w:rsidP="00E00FCC">
            <w:pPr>
              <w:spacing w:line="276" w:lineRule="auto"/>
              <w:rPr>
                <w:rFonts w:ascii="Verdana" w:eastAsia="Times New Roman" w:hAnsi="Verdana" w:cs="Arial"/>
                <w:color w:val="000000"/>
                <w:sz w:val="16"/>
                <w:szCs w:val="16"/>
                <w:lang w:eastAsia="es-ES"/>
              </w:rPr>
            </w:pPr>
            <w:r w:rsidRPr="004F246A">
              <w:rPr>
                <w:rFonts w:ascii="Verdana" w:eastAsia="Times New Roman" w:hAnsi="Verdana" w:cs="Arial"/>
                <w:color w:val="000000"/>
                <w:sz w:val="16"/>
                <w:szCs w:val="16"/>
                <w:lang w:eastAsia="es-ES"/>
              </w:rPr>
              <w:t>Elaboró:</w:t>
            </w:r>
          </w:p>
        </w:tc>
        <w:tc>
          <w:tcPr>
            <w:tcW w:w="5628" w:type="dxa"/>
            <w:tcBorders>
              <w:top w:val="nil"/>
              <w:left w:val="nil"/>
              <w:bottom w:val="dotted" w:sz="4" w:space="0" w:color="7F7F7F"/>
              <w:right w:val="nil"/>
            </w:tcBorders>
            <w:vAlign w:val="center"/>
            <w:hideMark/>
          </w:tcPr>
          <w:p w14:paraId="25B97723" w14:textId="77777777" w:rsidR="00B046AB" w:rsidRPr="004F246A" w:rsidRDefault="00B046AB" w:rsidP="00E00FCC">
            <w:pPr>
              <w:spacing w:line="276" w:lineRule="auto"/>
              <w:rPr>
                <w:rFonts w:ascii="Verdana" w:eastAsia="Arial" w:hAnsi="Verdana" w:cs="Arial"/>
                <w:color w:val="000000"/>
                <w:sz w:val="16"/>
                <w:szCs w:val="16"/>
              </w:rPr>
            </w:pPr>
            <w:r w:rsidRPr="004F246A">
              <w:rPr>
                <w:rFonts w:ascii="Verdana" w:eastAsia="Arial" w:hAnsi="Verdana" w:cs="Arial"/>
                <w:color w:val="000000"/>
                <w:sz w:val="16"/>
                <w:szCs w:val="16"/>
              </w:rPr>
              <w:t>Ángela María Olmos Andrade</w:t>
            </w:r>
          </w:p>
          <w:p w14:paraId="571C48C3" w14:textId="77777777" w:rsidR="00B046AB" w:rsidRPr="004F246A" w:rsidRDefault="00B046AB" w:rsidP="00E00FCC">
            <w:pPr>
              <w:spacing w:line="276" w:lineRule="auto"/>
              <w:rPr>
                <w:rFonts w:ascii="Verdana" w:eastAsia="Arial" w:hAnsi="Verdana" w:cs="Arial"/>
                <w:color w:val="000000"/>
                <w:sz w:val="16"/>
                <w:szCs w:val="16"/>
              </w:rPr>
            </w:pPr>
            <w:r w:rsidRPr="004F246A">
              <w:rPr>
                <w:rFonts w:ascii="Verdana" w:eastAsia="Arial" w:hAnsi="Verdana" w:cs="Arial"/>
                <w:color w:val="000000"/>
                <w:sz w:val="16"/>
                <w:szCs w:val="16"/>
              </w:rPr>
              <w:t>Analista T2 - 02 de la Subdirección de Gestión Contractual</w:t>
            </w:r>
          </w:p>
        </w:tc>
      </w:tr>
      <w:tr w:rsidR="00B046AB" w:rsidRPr="00432BAE" w14:paraId="5D365ED4" w14:textId="77777777" w:rsidTr="00E00FCC">
        <w:trPr>
          <w:trHeight w:val="330"/>
        </w:trPr>
        <w:tc>
          <w:tcPr>
            <w:tcW w:w="893" w:type="dxa"/>
            <w:vAlign w:val="center"/>
            <w:hideMark/>
          </w:tcPr>
          <w:p w14:paraId="3A186D1C" w14:textId="77777777" w:rsidR="00B046AB" w:rsidRPr="004F246A" w:rsidRDefault="00B046AB" w:rsidP="00E00FCC">
            <w:pPr>
              <w:spacing w:line="276" w:lineRule="auto"/>
              <w:rPr>
                <w:rFonts w:ascii="Verdana" w:eastAsia="Times New Roman" w:hAnsi="Verdana" w:cs="Arial"/>
                <w:color w:val="000000"/>
                <w:sz w:val="16"/>
                <w:szCs w:val="16"/>
                <w:lang w:eastAsia="es-ES"/>
              </w:rPr>
            </w:pPr>
            <w:r w:rsidRPr="004F246A">
              <w:rPr>
                <w:rFonts w:ascii="Verdana" w:eastAsia="Times New Roman" w:hAnsi="Verdana" w:cs="Arial"/>
                <w:color w:val="000000"/>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561EB040" w14:textId="77777777" w:rsidR="00B046AB" w:rsidRPr="004F246A" w:rsidRDefault="00B046AB" w:rsidP="00E00FCC">
            <w:pPr>
              <w:spacing w:line="276" w:lineRule="auto"/>
              <w:rPr>
                <w:rFonts w:ascii="Verdana" w:eastAsia="Times New Roman" w:hAnsi="Verdana" w:cs="Arial"/>
                <w:color w:val="000000"/>
                <w:sz w:val="16"/>
                <w:szCs w:val="16"/>
              </w:rPr>
            </w:pPr>
            <w:r>
              <w:rPr>
                <w:rFonts w:ascii="Verdana" w:eastAsia="Times New Roman" w:hAnsi="Verdana" w:cs="Arial"/>
                <w:color w:val="000000"/>
                <w:sz w:val="16"/>
                <w:szCs w:val="16"/>
              </w:rPr>
              <w:t>Diana Lucia Saavedra Castañeda</w:t>
            </w:r>
          </w:p>
          <w:p w14:paraId="725C625C" w14:textId="77777777" w:rsidR="00B046AB" w:rsidRPr="004F246A" w:rsidRDefault="00B046AB" w:rsidP="00E00FCC">
            <w:pPr>
              <w:spacing w:line="276" w:lineRule="auto"/>
              <w:textAlignment w:val="baseline"/>
              <w:rPr>
                <w:rFonts w:ascii="Verdana" w:eastAsia="Times New Roman" w:hAnsi="Verdana" w:cs="Arial"/>
                <w:color w:val="000000"/>
                <w:sz w:val="16"/>
                <w:szCs w:val="16"/>
              </w:rPr>
            </w:pPr>
            <w:r>
              <w:rPr>
                <w:rFonts w:ascii="Verdana" w:eastAsia="Times New Roman" w:hAnsi="Verdana" w:cs="Arial"/>
                <w:color w:val="000000"/>
                <w:sz w:val="16"/>
                <w:szCs w:val="16"/>
              </w:rPr>
              <w:t>Contratista</w:t>
            </w:r>
            <w:r w:rsidRPr="004F246A">
              <w:rPr>
                <w:rFonts w:ascii="Verdana" w:eastAsia="Times New Roman" w:hAnsi="Verdana" w:cs="Arial"/>
                <w:color w:val="000000"/>
                <w:sz w:val="16"/>
                <w:szCs w:val="16"/>
              </w:rPr>
              <w:t xml:space="preserve"> de la Subdirección de Gestión Contractual</w:t>
            </w:r>
          </w:p>
        </w:tc>
      </w:tr>
      <w:tr w:rsidR="00B046AB" w:rsidRPr="00432BAE" w14:paraId="3AE77CE9" w14:textId="77777777" w:rsidTr="00E00FCC">
        <w:trPr>
          <w:trHeight w:val="300"/>
        </w:trPr>
        <w:tc>
          <w:tcPr>
            <w:tcW w:w="893" w:type="dxa"/>
            <w:vAlign w:val="center"/>
            <w:hideMark/>
          </w:tcPr>
          <w:p w14:paraId="09E0CB27" w14:textId="77777777" w:rsidR="00B046AB" w:rsidRPr="004F246A" w:rsidRDefault="00B046AB" w:rsidP="00E00FCC">
            <w:pPr>
              <w:spacing w:line="276" w:lineRule="auto"/>
              <w:rPr>
                <w:rFonts w:ascii="Verdana" w:eastAsia="Times New Roman" w:hAnsi="Verdana" w:cs="Arial"/>
                <w:color w:val="000000"/>
                <w:sz w:val="16"/>
                <w:szCs w:val="16"/>
                <w:lang w:eastAsia="es-ES"/>
              </w:rPr>
            </w:pPr>
            <w:r w:rsidRPr="004F246A">
              <w:rPr>
                <w:rFonts w:ascii="Verdana" w:eastAsia="Times New Roman" w:hAnsi="Verdana" w:cs="Arial"/>
                <w:color w:val="000000"/>
                <w:sz w:val="16"/>
                <w:szCs w:val="16"/>
                <w:lang w:eastAsia="es-ES"/>
              </w:rPr>
              <w:t>Aprobó:</w:t>
            </w:r>
          </w:p>
        </w:tc>
        <w:tc>
          <w:tcPr>
            <w:tcW w:w="5628" w:type="dxa"/>
            <w:tcBorders>
              <w:top w:val="dotted" w:sz="4" w:space="0" w:color="7F7F7F"/>
              <w:left w:val="nil"/>
              <w:bottom w:val="dotted" w:sz="4" w:space="0" w:color="7F7F7F"/>
              <w:right w:val="nil"/>
            </w:tcBorders>
            <w:vAlign w:val="center"/>
            <w:hideMark/>
          </w:tcPr>
          <w:p w14:paraId="0FDE4C5F" w14:textId="77777777" w:rsidR="00B046AB" w:rsidRPr="004F246A" w:rsidRDefault="00B046AB" w:rsidP="00E00FCC">
            <w:pPr>
              <w:spacing w:line="276" w:lineRule="auto"/>
              <w:rPr>
                <w:rFonts w:ascii="Verdana" w:eastAsia="Times New Roman" w:hAnsi="Verdana" w:cs="Arial"/>
                <w:color w:val="000000"/>
                <w:sz w:val="16"/>
                <w:szCs w:val="16"/>
              </w:rPr>
            </w:pPr>
            <w:r w:rsidRPr="004F246A">
              <w:rPr>
                <w:rFonts w:ascii="Verdana" w:eastAsia="Times New Roman" w:hAnsi="Verdana" w:cs="Arial"/>
                <w:color w:val="000000"/>
                <w:sz w:val="16"/>
                <w:szCs w:val="16"/>
              </w:rPr>
              <w:t>Carolina Quintero Gacharná</w:t>
            </w:r>
          </w:p>
          <w:p w14:paraId="5E248AA3" w14:textId="77777777" w:rsidR="00B046AB" w:rsidRPr="004F246A" w:rsidRDefault="00B046AB" w:rsidP="00E00FCC">
            <w:pPr>
              <w:spacing w:line="276" w:lineRule="auto"/>
              <w:rPr>
                <w:rFonts w:ascii="Verdana" w:eastAsia="Times New Roman" w:hAnsi="Verdana" w:cs="Arial"/>
                <w:color w:val="000000"/>
                <w:sz w:val="16"/>
                <w:szCs w:val="16"/>
              </w:rPr>
            </w:pPr>
            <w:r w:rsidRPr="004F246A">
              <w:rPr>
                <w:rFonts w:ascii="Verdana" w:eastAsia="Times New Roman" w:hAnsi="Verdana" w:cs="Arial"/>
                <w:color w:val="000000"/>
                <w:sz w:val="16"/>
                <w:szCs w:val="16"/>
              </w:rPr>
              <w:t>Subdirectora de Gestión Contractual ANCP – CCE</w:t>
            </w:r>
          </w:p>
        </w:tc>
      </w:tr>
    </w:tbl>
    <w:p w14:paraId="5DAFCD7C" w14:textId="77777777" w:rsidR="00B046AB" w:rsidRPr="00E02524" w:rsidRDefault="00B046AB" w:rsidP="00B046AB">
      <w:pPr>
        <w:spacing w:after="0" w:line="240" w:lineRule="auto"/>
        <w:jc w:val="both"/>
        <w:rPr>
          <w:rFonts w:ascii="Verdana" w:eastAsia="Verdana" w:hAnsi="Verdana" w:cs="Verdana"/>
          <w:b/>
          <w:bCs/>
          <w:lang w:val="es-MX"/>
        </w:rPr>
      </w:pPr>
    </w:p>
    <w:p w14:paraId="69BC4D14" w14:textId="529CCB4E"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bookmarkEnd w:id="0"/>
    <w:p w14:paraId="324BBD3F" w14:textId="77777777" w:rsidR="0022400B" w:rsidRPr="00E02524" w:rsidRDefault="0022400B" w:rsidP="30821638">
      <w:pPr>
        <w:spacing w:after="0" w:line="240" w:lineRule="auto"/>
        <w:jc w:val="both"/>
        <w:textAlignment w:val="baseline"/>
        <w:rPr>
          <w:rFonts w:ascii="Verdana" w:eastAsia="Verdana" w:hAnsi="Verdana" w:cs="Verdana"/>
          <w:lang w:eastAsia="es-CO"/>
        </w:rPr>
      </w:pPr>
    </w:p>
    <w:p w14:paraId="0F293BF4" w14:textId="04928722" w:rsidR="00127233" w:rsidRPr="0015699B" w:rsidRDefault="00127233" w:rsidP="009C07A7">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43553" w14:textId="77777777" w:rsidR="00496E2B" w:rsidRDefault="00496E2B" w:rsidP="004A1847">
      <w:pPr>
        <w:spacing w:after="0" w:line="240" w:lineRule="auto"/>
      </w:pPr>
      <w:r>
        <w:separator/>
      </w:r>
    </w:p>
  </w:endnote>
  <w:endnote w:type="continuationSeparator" w:id="0">
    <w:p w14:paraId="5ACA3F16" w14:textId="77777777" w:rsidR="00496E2B" w:rsidRDefault="00496E2B"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AF45" w14:textId="77777777" w:rsidR="00496E2B" w:rsidRDefault="00496E2B" w:rsidP="004A1847">
      <w:pPr>
        <w:spacing w:after="0" w:line="240" w:lineRule="auto"/>
      </w:pPr>
      <w:r>
        <w:separator/>
      </w:r>
    </w:p>
  </w:footnote>
  <w:footnote w:type="continuationSeparator" w:id="0">
    <w:p w14:paraId="6F5FD4A3" w14:textId="77777777" w:rsidR="00496E2B" w:rsidRDefault="00496E2B" w:rsidP="004A1847">
      <w:pPr>
        <w:spacing w:after="0" w:line="240" w:lineRule="auto"/>
      </w:pPr>
      <w:r>
        <w:continuationSeparator/>
      </w:r>
    </w:p>
  </w:footnote>
  <w:footnote w:id="1">
    <w:p w14:paraId="4A069BBB" w14:textId="77777777" w:rsidR="002F5531" w:rsidRPr="00545C20" w:rsidRDefault="002F5531" w:rsidP="002F5531">
      <w:pPr>
        <w:pStyle w:val="Textonotapie"/>
        <w:snapToGrid w:val="0"/>
        <w:ind w:firstLine="708"/>
        <w:jc w:val="both"/>
        <w:rPr>
          <w:rFonts w:ascii="Verdana" w:hAnsi="Verdana" w:cs="Arial"/>
          <w:sz w:val="14"/>
          <w:szCs w:val="14"/>
        </w:rPr>
      </w:pPr>
      <w:r w:rsidRPr="00545C20">
        <w:rPr>
          <w:rStyle w:val="Refdenotaalpie"/>
          <w:rFonts w:ascii="Verdana" w:hAnsi="Verdana" w:cs="Arial"/>
          <w:sz w:val="14"/>
          <w:szCs w:val="14"/>
        </w:rPr>
        <w:footnoteRef/>
      </w:r>
      <w:r w:rsidRPr="00545C20">
        <w:rPr>
          <w:rFonts w:ascii="Verdana" w:hAnsi="Verdana" w:cs="Arial"/>
          <w:sz w:val="14"/>
          <w:szCs w:val="14"/>
        </w:rPr>
        <w:t xml:space="preserve"> Ley 489 de 1998: “Artículo 85. Empresas industriales y comerciales del Estado. Las empresas industriales y comerciales del Estado son organismos creados por la ley o autorizados por ésta, que desarrollan actividades de naturaleza industrial o comercial y de gestión económica conforme a las reglas del Derecho Privado, salvo las excepciones que consagra la ley, y que reúnen las siguientes características: </w:t>
      </w:r>
    </w:p>
    <w:p w14:paraId="7A9141BA" w14:textId="77777777" w:rsidR="002F5531" w:rsidRPr="00545C20" w:rsidRDefault="002F5531" w:rsidP="002F5531">
      <w:pPr>
        <w:pStyle w:val="Textonotapie"/>
        <w:snapToGrid w:val="0"/>
        <w:ind w:firstLine="708"/>
        <w:jc w:val="both"/>
        <w:rPr>
          <w:rFonts w:ascii="Verdana" w:hAnsi="Verdana" w:cs="Arial"/>
          <w:sz w:val="14"/>
          <w:szCs w:val="14"/>
        </w:rPr>
      </w:pPr>
      <w:r w:rsidRPr="00545C20">
        <w:rPr>
          <w:rFonts w:ascii="Verdana" w:hAnsi="Verdana" w:cs="Arial"/>
          <w:sz w:val="14"/>
          <w:szCs w:val="14"/>
        </w:rPr>
        <w:t xml:space="preserve">a) Personería jurídica; </w:t>
      </w:r>
    </w:p>
    <w:p w14:paraId="319372E2" w14:textId="77777777" w:rsidR="002F5531" w:rsidRPr="00545C20" w:rsidRDefault="002F5531" w:rsidP="002F5531">
      <w:pPr>
        <w:pStyle w:val="Textonotapie"/>
        <w:snapToGrid w:val="0"/>
        <w:ind w:firstLine="708"/>
        <w:jc w:val="both"/>
        <w:rPr>
          <w:rFonts w:ascii="Verdana" w:hAnsi="Verdana" w:cs="Arial"/>
          <w:sz w:val="14"/>
          <w:szCs w:val="14"/>
        </w:rPr>
      </w:pPr>
      <w:r w:rsidRPr="00545C20">
        <w:rPr>
          <w:rFonts w:ascii="Verdana" w:hAnsi="Verdana" w:cs="Arial"/>
          <w:sz w:val="14"/>
          <w:szCs w:val="14"/>
        </w:rPr>
        <w:t xml:space="preserve">b) Autonomía administrativa y financiera; </w:t>
      </w:r>
    </w:p>
    <w:p w14:paraId="00AB1AC0" w14:textId="77777777" w:rsidR="002F5531" w:rsidRPr="00545C20" w:rsidRDefault="002F5531" w:rsidP="002F5531">
      <w:pPr>
        <w:pStyle w:val="Textonotapie"/>
        <w:snapToGrid w:val="0"/>
        <w:ind w:firstLine="708"/>
        <w:jc w:val="both"/>
        <w:rPr>
          <w:rFonts w:ascii="Verdana" w:hAnsi="Verdana" w:cs="Arial"/>
          <w:sz w:val="14"/>
          <w:szCs w:val="14"/>
        </w:rPr>
      </w:pPr>
      <w:r w:rsidRPr="00545C20">
        <w:rPr>
          <w:rFonts w:ascii="Verdana" w:hAnsi="Verdana" w:cs="Arial"/>
          <w:sz w:val="14"/>
          <w:szCs w:val="14"/>
        </w:rPr>
        <w:t xml:space="preserve">c) Capital independiente, constituido totalmente con bienes o fondos públicos comunes, los productos de ellos, o el rendimiento de tasas que perciban por las funciones o servicios, y contribuciones de destinación especial en los casos autorizados por la Constitución. </w:t>
      </w:r>
    </w:p>
    <w:p w14:paraId="3F2DF8A3" w14:textId="77777777" w:rsidR="002F5531" w:rsidRPr="00545C20" w:rsidRDefault="002F5531" w:rsidP="002F5531">
      <w:pPr>
        <w:pStyle w:val="Textonotapie"/>
        <w:snapToGrid w:val="0"/>
        <w:ind w:firstLine="708"/>
        <w:jc w:val="both"/>
        <w:rPr>
          <w:rFonts w:ascii="Verdana" w:hAnsi="Verdana" w:cs="Arial"/>
          <w:sz w:val="14"/>
          <w:szCs w:val="14"/>
        </w:rPr>
      </w:pPr>
      <w:r w:rsidRPr="00545C20">
        <w:rPr>
          <w:rFonts w:ascii="Verdana" w:hAnsi="Verdana" w:cs="Arial"/>
          <w:sz w:val="14"/>
          <w:szCs w:val="14"/>
        </w:rPr>
        <w:t xml:space="preserve">El capital de las empresas industriales y comerciales del Estado podrá estar representado en cuotas o acciones de igual valor nominal. </w:t>
      </w:r>
    </w:p>
    <w:p w14:paraId="61A86A98" w14:textId="77777777" w:rsidR="002F5531" w:rsidRPr="00545C20" w:rsidRDefault="002F5531" w:rsidP="002F5531">
      <w:pPr>
        <w:pStyle w:val="Textonotapie"/>
        <w:snapToGrid w:val="0"/>
        <w:ind w:firstLine="708"/>
        <w:jc w:val="both"/>
        <w:rPr>
          <w:rFonts w:ascii="Verdana" w:hAnsi="Verdana" w:cs="Arial"/>
          <w:sz w:val="14"/>
          <w:szCs w:val="14"/>
        </w:rPr>
      </w:pPr>
      <w:r w:rsidRPr="00545C20">
        <w:rPr>
          <w:rFonts w:ascii="Verdana" w:hAnsi="Verdana" w:cs="Arial"/>
          <w:sz w:val="14"/>
          <w:szCs w:val="14"/>
        </w:rPr>
        <w:t xml:space="preserve">A las empresas industriales y comerciales del Estado y a las sociedades de economía mixta se les aplicará en lo pertinente los artículos 19, numerales 2°, 4°, 5°, 6°, 12, 13, 17, 27, numerales 2°, 3°, 4°, 5°, y 7°, y 183 de la Ley 142 de 1994. </w:t>
      </w:r>
    </w:p>
    <w:p w14:paraId="150E254F" w14:textId="77777777" w:rsidR="002F5531" w:rsidRPr="00545C20" w:rsidRDefault="002F5531" w:rsidP="002F5531">
      <w:pPr>
        <w:pStyle w:val="Textonotapie"/>
        <w:snapToGrid w:val="0"/>
        <w:ind w:firstLine="708"/>
        <w:jc w:val="both"/>
        <w:rPr>
          <w:rFonts w:ascii="Verdana" w:hAnsi="Verdana" w:cs="Arial"/>
          <w:sz w:val="14"/>
          <w:szCs w:val="14"/>
        </w:rPr>
      </w:pPr>
      <w:r w:rsidRPr="00545C20">
        <w:rPr>
          <w:rFonts w:ascii="Verdana" w:hAnsi="Verdana" w:cs="Arial"/>
          <w:sz w:val="14"/>
          <w:szCs w:val="14"/>
        </w:rPr>
        <w:t xml:space="preserve">Parágrafo. Las disposiciones legales que protegen el secreto industrial y la información comercial se aplicarán a aquellos secretos e informaciones de esa naturaleza que desarrollen y posean las empresas industriales y comerciales del Estado”. </w:t>
      </w:r>
    </w:p>
  </w:footnote>
  <w:footnote w:id="2">
    <w:p w14:paraId="5ABA043D" w14:textId="77777777" w:rsidR="002F5531" w:rsidRPr="00545C20" w:rsidRDefault="002F5531" w:rsidP="002F5531">
      <w:pPr>
        <w:snapToGrid w:val="0"/>
        <w:spacing w:after="0" w:line="240" w:lineRule="auto"/>
        <w:ind w:right="49" w:firstLine="709"/>
        <w:jc w:val="both"/>
        <w:rPr>
          <w:rFonts w:ascii="Verdana" w:hAnsi="Verdana"/>
          <w:sz w:val="14"/>
          <w:szCs w:val="14"/>
        </w:rPr>
      </w:pPr>
      <w:r w:rsidRPr="00545C20">
        <w:rPr>
          <w:rStyle w:val="Refdenotaalpie"/>
          <w:rFonts w:ascii="Verdana" w:hAnsi="Verdana"/>
          <w:sz w:val="14"/>
          <w:szCs w:val="14"/>
        </w:rPr>
        <w:footnoteRef/>
      </w:r>
      <w:r w:rsidRPr="00545C20">
        <w:rPr>
          <w:rFonts w:ascii="Verdana" w:hAnsi="Verdana"/>
          <w:sz w:val="14"/>
          <w:szCs w:val="14"/>
        </w:rPr>
        <w:t xml:space="preserve"> El estatuto estableció como regla general para la selección del contratista la licitación pública o el concurso público, con algunas excepciones en las cuales la selección se haría mediante el procedimiento de contratación directa, entre ellas, la prevista en el literal m) del numeral 1 del artículo 24: “m) Los actos y contratos que tengan por objeto directo las actividades comerciales e industriales propias de las empresas industriales</w:t>
      </w:r>
      <w:r w:rsidRPr="00545C20">
        <w:rPr>
          <w:rFonts w:ascii="Verdana" w:hAnsi="Verdana"/>
          <w:spacing w:val="-15"/>
          <w:sz w:val="14"/>
          <w:szCs w:val="14"/>
        </w:rPr>
        <w:t xml:space="preserve"> </w:t>
      </w:r>
      <w:r w:rsidRPr="00545C20">
        <w:rPr>
          <w:rFonts w:ascii="Verdana" w:hAnsi="Verdana"/>
          <w:sz w:val="14"/>
          <w:szCs w:val="14"/>
        </w:rPr>
        <w:t>y comerciales estatales y de las sociedades de economía mixta, con excepción de los contratos que a título enunciativo identifica el artículo 32 de esta ley”, o sea, los de obra, consultoría, prestación de servicios,</w:t>
      </w:r>
      <w:r w:rsidRPr="00545C20">
        <w:rPr>
          <w:rFonts w:ascii="Verdana" w:hAnsi="Verdana"/>
          <w:spacing w:val="-7"/>
          <w:sz w:val="14"/>
          <w:szCs w:val="14"/>
        </w:rPr>
        <w:t xml:space="preserve"> </w:t>
      </w:r>
      <w:r w:rsidRPr="00545C20">
        <w:rPr>
          <w:rFonts w:ascii="Verdana" w:hAnsi="Verdana"/>
          <w:sz w:val="14"/>
          <w:szCs w:val="14"/>
        </w:rPr>
        <w:t>concesión,</w:t>
      </w:r>
      <w:r w:rsidRPr="00545C20">
        <w:rPr>
          <w:rFonts w:ascii="Verdana" w:hAnsi="Verdana"/>
          <w:spacing w:val="-7"/>
          <w:sz w:val="14"/>
          <w:szCs w:val="14"/>
        </w:rPr>
        <w:t xml:space="preserve"> </w:t>
      </w:r>
      <w:r w:rsidRPr="00545C20">
        <w:rPr>
          <w:rFonts w:ascii="Verdana" w:hAnsi="Verdana"/>
          <w:sz w:val="14"/>
          <w:szCs w:val="14"/>
        </w:rPr>
        <w:t>encargos</w:t>
      </w:r>
      <w:r w:rsidRPr="00545C20">
        <w:rPr>
          <w:rFonts w:ascii="Verdana" w:hAnsi="Verdana"/>
          <w:spacing w:val="-7"/>
          <w:sz w:val="14"/>
          <w:szCs w:val="14"/>
        </w:rPr>
        <w:t xml:space="preserve"> </w:t>
      </w:r>
      <w:r w:rsidRPr="00545C20">
        <w:rPr>
          <w:rFonts w:ascii="Verdana" w:hAnsi="Verdana"/>
          <w:sz w:val="14"/>
          <w:szCs w:val="14"/>
        </w:rPr>
        <w:t>fiduciarios</w:t>
      </w:r>
      <w:r w:rsidRPr="00545C20">
        <w:rPr>
          <w:rFonts w:ascii="Verdana" w:hAnsi="Verdana"/>
          <w:spacing w:val="-7"/>
          <w:sz w:val="14"/>
          <w:szCs w:val="14"/>
        </w:rPr>
        <w:t xml:space="preserve"> </w:t>
      </w:r>
      <w:r w:rsidRPr="00545C20">
        <w:rPr>
          <w:rFonts w:ascii="Verdana" w:hAnsi="Verdana"/>
          <w:sz w:val="14"/>
          <w:szCs w:val="14"/>
        </w:rPr>
        <w:t>y</w:t>
      </w:r>
      <w:r w:rsidRPr="00545C20">
        <w:rPr>
          <w:rFonts w:ascii="Verdana" w:hAnsi="Verdana"/>
          <w:spacing w:val="-8"/>
          <w:sz w:val="14"/>
          <w:szCs w:val="14"/>
        </w:rPr>
        <w:t xml:space="preserve"> </w:t>
      </w:r>
      <w:r w:rsidRPr="00545C20">
        <w:rPr>
          <w:rFonts w:ascii="Verdana" w:hAnsi="Verdana"/>
          <w:sz w:val="14"/>
          <w:szCs w:val="14"/>
        </w:rPr>
        <w:t>fiducia</w:t>
      </w:r>
      <w:r w:rsidRPr="00545C20">
        <w:rPr>
          <w:rFonts w:ascii="Verdana" w:hAnsi="Verdana"/>
          <w:spacing w:val="-9"/>
          <w:sz w:val="14"/>
          <w:szCs w:val="14"/>
        </w:rPr>
        <w:t xml:space="preserve"> </w:t>
      </w:r>
      <w:r w:rsidRPr="00545C20">
        <w:rPr>
          <w:rFonts w:ascii="Verdana" w:hAnsi="Verdana"/>
          <w:sz w:val="14"/>
          <w:szCs w:val="14"/>
        </w:rPr>
        <w:t>pública,</w:t>
      </w:r>
      <w:r w:rsidRPr="00545C20">
        <w:rPr>
          <w:rFonts w:ascii="Verdana" w:hAnsi="Verdana"/>
          <w:spacing w:val="-7"/>
          <w:sz w:val="14"/>
          <w:szCs w:val="14"/>
        </w:rPr>
        <w:t xml:space="preserve"> </w:t>
      </w:r>
      <w:r w:rsidRPr="00545C20">
        <w:rPr>
          <w:rFonts w:ascii="Verdana" w:hAnsi="Verdana"/>
          <w:sz w:val="14"/>
          <w:szCs w:val="14"/>
        </w:rPr>
        <w:t>que</w:t>
      </w:r>
      <w:r w:rsidRPr="00545C20">
        <w:rPr>
          <w:rFonts w:ascii="Verdana" w:hAnsi="Verdana"/>
          <w:spacing w:val="-13"/>
          <w:sz w:val="14"/>
          <w:szCs w:val="14"/>
        </w:rPr>
        <w:t xml:space="preserve"> </w:t>
      </w:r>
      <w:r w:rsidRPr="00545C20">
        <w:rPr>
          <w:rFonts w:ascii="Verdana" w:hAnsi="Verdana"/>
          <w:sz w:val="14"/>
          <w:szCs w:val="14"/>
        </w:rPr>
        <w:t>se</w:t>
      </w:r>
      <w:r w:rsidRPr="00545C20">
        <w:rPr>
          <w:rFonts w:ascii="Verdana" w:hAnsi="Verdana"/>
          <w:spacing w:val="-8"/>
          <w:sz w:val="14"/>
          <w:szCs w:val="14"/>
        </w:rPr>
        <w:t xml:space="preserve"> </w:t>
      </w:r>
      <w:r w:rsidRPr="00545C20">
        <w:rPr>
          <w:rFonts w:ascii="Verdana" w:hAnsi="Verdana"/>
          <w:sz w:val="14"/>
          <w:szCs w:val="14"/>
        </w:rPr>
        <w:t>regirían</w:t>
      </w:r>
      <w:r w:rsidRPr="00545C20">
        <w:rPr>
          <w:rFonts w:ascii="Verdana" w:hAnsi="Verdana"/>
          <w:spacing w:val="-9"/>
          <w:sz w:val="14"/>
          <w:szCs w:val="14"/>
        </w:rPr>
        <w:t xml:space="preserve"> </w:t>
      </w:r>
      <w:r w:rsidRPr="00545C20">
        <w:rPr>
          <w:rFonts w:ascii="Verdana" w:hAnsi="Verdana"/>
          <w:sz w:val="14"/>
          <w:szCs w:val="14"/>
        </w:rPr>
        <w:t>por</w:t>
      </w:r>
      <w:r w:rsidRPr="00545C20">
        <w:rPr>
          <w:rFonts w:ascii="Verdana" w:hAnsi="Verdana"/>
          <w:spacing w:val="-7"/>
          <w:sz w:val="14"/>
          <w:szCs w:val="14"/>
        </w:rPr>
        <w:t xml:space="preserve"> </w:t>
      </w:r>
      <w:r w:rsidRPr="00545C20">
        <w:rPr>
          <w:rFonts w:ascii="Verdana" w:hAnsi="Verdana"/>
          <w:sz w:val="14"/>
          <w:szCs w:val="14"/>
        </w:rPr>
        <w:t>la</w:t>
      </w:r>
      <w:r w:rsidRPr="00545C20">
        <w:rPr>
          <w:rFonts w:ascii="Verdana" w:hAnsi="Verdana"/>
          <w:spacing w:val="-9"/>
          <w:sz w:val="14"/>
          <w:szCs w:val="14"/>
        </w:rPr>
        <w:t xml:space="preserve"> </w:t>
      </w:r>
      <w:r w:rsidRPr="00545C20">
        <w:rPr>
          <w:rFonts w:ascii="Verdana" w:hAnsi="Verdana"/>
          <w:sz w:val="14"/>
          <w:szCs w:val="14"/>
        </w:rPr>
        <w:t>regla</w:t>
      </w:r>
      <w:r w:rsidRPr="00545C20">
        <w:rPr>
          <w:rFonts w:ascii="Verdana" w:hAnsi="Verdana"/>
          <w:spacing w:val="-9"/>
          <w:sz w:val="14"/>
          <w:szCs w:val="14"/>
        </w:rPr>
        <w:t xml:space="preserve"> </w:t>
      </w:r>
      <w:r w:rsidRPr="00545C20">
        <w:rPr>
          <w:rFonts w:ascii="Verdana" w:hAnsi="Verdana"/>
          <w:sz w:val="14"/>
          <w:szCs w:val="14"/>
        </w:rPr>
        <w:t>general,</w:t>
      </w:r>
      <w:r w:rsidRPr="00545C20">
        <w:rPr>
          <w:rFonts w:ascii="Verdana" w:hAnsi="Verdana"/>
          <w:spacing w:val="-7"/>
          <w:sz w:val="14"/>
          <w:szCs w:val="14"/>
        </w:rPr>
        <w:t xml:space="preserve"> </w:t>
      </w:r>
      <w:r w:rsidRPr="00545C20">
        <w:rPr>
          <w:rFonts w:ascii="Verdana" w:hAnsi="Verdana"/>
          <w:sz w:val="14"/>
          <w:szCs w:val="14"/>
        </w:rPr>
        <w:t>salvo</w:t>
      </w:r>
      <w:r w:rsidRPr="00545C20">
        <w:rPr>
          <w:rFonts w:ascii="Verdana" w:hAnsi="Verdana"/>
          <w:spacing w:val="-10"/>
          <w:sz w:val="14"/>
          <w:szCs w:val="14"/>
        </w:rPr>
        <w:t xml:space="preserve"> </w:t>
      </w:r>
      <w:r w:rsidRPr="00545C20">
        <w:rPr>
          <w:rFonts w:ascii="Verdana" w:hAnsi="Verdana"/>
          <w:sz w:val="14"/>
          <w:szCs w:val="14"/>
        </w:rPr>
        <w:t>los</w:t>
      </w:r>
      <w:r w:rsidRPr="00545C20">
        <w:rPr>
          <w:rFonts w:ascii="Verdana" w:hAnsi="Verdana"/>
          <w:spacing w:val="-7"/>
          <w:sz w:val="14"/>
          <w:szCs w:val="14"/>
        </w:rPr>
        <w:t xml:space="preserve"> </w:t>
      </w:r>
      <w:r w:rsidRPr="00545C20">
        <w:rPr>
          <w:rFonts w:ascii="Verdana" w:hAnsi="Verdana"/>
          <w:sz w:val="14"/>
          <w:szCs w:val="14"/>
        </w:rPr>
        <w:t>casos de</w:t>
      </w:r>
      <w:r w:rsidRPr="00545C20">
        <w:rPr>
          <w:rFonts w:ascii="Verdana" w:hAnsi="Verdana"/>
          <w:spacing w:val="-2"/>
          <w:sz w:val="14"/>
          <w:szCs w:val="14"/>
        </w:rPr>
        <w:t xml:space="preserve"> </w:t>
      </w:r>
      <w:r w:rsidRPr="00545C20">
        <w:rPr>
          <w:rFonts w:ascii="Verdana" w:hAnsi="Verdana"/>
          <w:sz w:val="14"/>
          <w:szCs w:val="14"/>
        </w:rPr>
        <w:t>menor cuantía –previstos en el ordinal a), numeral 1 del artículo 24, original, de la Ley 80 de 1993</w:t>
      </w:r>
      <w:r w:rsidRPr="00545C20">
        <w:rPr>
          <w:rFonts w:ascii="Verdana" w:hAnsi="Verdana"/>
          <w:spacing w:val="-15"/>
          <w:sz w:val="14"/>
          <w:szCs w:val="14"/>
        </w:rPr>
        <w:t xml:space="preserve"> </w:t>
      </w:r>
      <w:r w:rsidRPr="00545C20">
        <w:rPr>
          <w:rFonts w:ascii="Verdana" w:hAnsi="Verdana"/>
          <w:sz w:val="14"/>
          <w:szCs w:val="14"/>
        </w:rPr>
        <w:t>–. Además,</w:t>
      </w:r>
      <w:r w:rsidRPr="00545C20">
        <w:rPr>
          <w:rFonts w:ascii="Verdana" w:hAnsi="Verdana"/>
          <w:spacing w:val="-1"/>
          <w:sz w:val="14"/>
          <w:szCs w:val="14"/>
        </w:rPr>
        <w:t xml:space="preserve"> </w:t>
      </w:r>
      <w:r w:rsidRPr="00545C20">
        <w:rPr>
          <w:rFonts w:ascii="Verdana" w:hAnsi="Verdana"/>
          <w:sz w:val="14"/>
          <w:szCs w:val="14"/>
        </w:rPr>
        <w:t>en</w:t>
      </w:r>
      <w:r w:rsidRPr="00545C20">
        <w:rPr>
          <w:rFonts w:ascii="Verdana" w:hAnsi="Verdana"/>
          <w:spacing w:val="-5"/>
          <w:sz w:val="14"/>
          <w:szCs w:val="14"/>
        </w:rPr>
        <w:t xml:space="preserve"> </w:t>
      </w:r>
      <w:r w:rsidRPr="00545C20">
        <w:rPr>
          <w:rFonts w:ascii="Verdana" w:hAnsi="Verdana"/>
          <w:sz w:val="14"/>
          <w:szCs w:val="14"/>
        </w:rPr>
        <w:t>el</w:t>
      </w:r>
      <w:r w:rsidRPr="00545C20">
        <w:rPr>
          <w:rFonts w:ascii="Verdana" w:hAnsi="Verdana"/>
          <w:spacing w:val="-2"/>
          <w:sz w:val="14"/>
          <w:szCs w:val="14"/>
        </w:rPr>
        <w:t xml:space="preserve"> </w:t>
      </w:r>
      <w:r w:rsidRPr="00545C20">
        <w:rPr>
          <w:rFonts w:ascii="Verdana" w:hAnsi="Verdana"/>
          <w:sz w:val="14"/>
          <w:szCs w:val="14"/>
        </w:rPr>
        <w:t>parágrafo</w:t>
      </w:r>
      <w:r w:rsidRPr="00545C20">
        <w:rPr>
          <w:rFonts w:ascii="Verdana" w:hAnsi="Verdana"/>
          <w:spacing w:val="-5"/>
          <w:sz w:val="14"/>
          <w:szCs w:val="14"/>
        </w:rPr>
        <w:t xml:space="preserve"> </w:t>
      </w:r>
      <w:r w:rsidRPr="00545C20">
        <w:rPr>
          <w:rFonts w:ascii="Verdana" w:hAnsi="Verdana"/>
          <w:sz w:val="14"/>
          <w:szCs w:val="14"/>
        </w:rPr>
        <w:t>del</w:t>
      </w:r>
      <w:r w:rsidRPr="00545C20">
        <w:rPr>
          <w:rFonts w:ascii="Verdana" w:hAnsi="Verdana"/>
          <w:spacing w:val="-2"/>
          <w:sz w:val="14"/>
          <w:szCs w:val="14"/>
        </w:rPr>
        <w:t xml:space="preserve"> </w:t>
      </w:r>
      <w:r w:rsidRPr="00545C20">
        <w:rPr>
          <w:rFonts w:ascii="Verdana" w:hAnsi="Verdana"/>
          <w:sz w:val="14"/>
          <w:szCs w:val="14"/>
        </w:rPr>
        <w:t>artículo</w:t>
      </w:r>
      <w:r w:rsidRPr="00545C20">
        <w:rPr>
          <w:rFonts w:ascii="Verdana" w:hAnsi="Verdana"/>
          <w:spacing w:val="-5"/>
          <w:sz w:val="14"/>
          <w:szCs w:val="14"/>
        </w:rPr>
        <w:t xml:space="preserve"> </w:t>
      </w:r>
      <w:r w:rsidRPr="00545C20">
        <w:rPr>
          <w:rFonts w:ascii="Verdana" w:hAnsi="Verdana"/>
          <w:sz w:val="14"/>
          <w:szCs w:val="14"/>
        </w:rPr>
        <w:t>14</w:t>
      </w:r>
      <w:r w:rsidRPr="00545C20">
        <w:rPr>
          <w:rFonts w:ascii="Verdana" w:hAnsi="Verdana"/>
          <w:spacing w:val="-5"/>
          <w:sz w:val="14"/>
          <w:szCs w:val="14"/>
        </w:rPr>
        <w:t xml:space="preserve"> </w:t>
      </w:r>
      <w:r w:rsidRPr="00545C20">
        <w:rPr>
          <w:rFonts w:ascii="Verdana" w:hAnsi="Verdana"/>
          <w:sz w:val="14"/>
          <w:szCs w:val="14"/>
        </w:rPr>
        <w:t>de</w:t>
      </w:r>
      <w:r w:rsidRPr="00545C20">
        <w:rPr>
          <w:rFonts w:ascii="Verdana" w:hAnsi="Verdana"/>
          <w:spacing w:val="-3"/>
          <w:sz w:val="14"/>
          <w:szCs w:val="14"/>
        </w:rPr>
        <w:t xml:space="preserve"> </w:t>
      </w:r>
      <w:r w:rsidRPr="00545C20">
        <w:rPr>
          <w:rFonts w:ascii="Verdana" w:hAnsi="Verdana"/>
          <w:sz w:val="14"/>
          <w:szCs w:val="14"/>
        </w:rPr>
        <w:t>la</w:t>
      </w:r>
      <w:r w:rsidRPr="00545C20">
        <w:rPr>
          <w:rFonts w:ascii="Verdana" w:hAnsi="Verdana"/>
          <w:spacing w:val="-4"/>
          <w:sz w:val="14"/>
          <w:szCs w:val="14"/>
        </w:rPr>
        <w:t xml:space="preserve"> </w:t>
      </w:r>
      <w:r w:rsidRPr="00545C20">
        <w:rPr>
          <w:rFonts w:ascii="Verdana" w:hAnsi="Verdana"/>
          <w:sz w:val="14"/>
          <w:szCs w:val="14"/>
        </w:rPr>
        <w:t>Ley</w:t>
      </w:r>
      <w:r w:rsidRPr="00545C20">
        <w:rPr>
          <w:rFonts w:ascii="Verdana" w:hAnsi="Verdana"/>
          <w:spacing w:val="-3"/>
          <w:sz w:val="14"/>
          <w:szCs w:val="14"/>
        </w:rPr>
        <w:t xml:space="preserve"> </w:t>
      </w:r>
      <w:r w:rsidRPr="00545C20">
        <w:rPr>
          <w:rFonts w:ascii="Verdana" w:hAnsi="Verdana"/>
          <w:sz w:val="14"/>
          <w:szCs w:val="14"/>
        </w:rPr>
        <w:t>80</w:t>
      </w:r>
      <w:r w:rsidRPr="00545C20">
        <w:rPr>
          <w:rFonts w:ascii="Verdana" w:hAnsi="Verdana"/>
          <w:spacing w:val="-5"/>
          <w:sz w:val="14"/>
          <w:szCs w:val="14"/>
        </w:rPr>
        <w:t xml:space="preserve"> </w:t>
      </w:r>
      <w:r w:rsidRPr="00545C20">
        <w:rPr>
          <w:rFonts w:ascii="Verdana" w:hAnsi="Verdana"/>
          <w:sz w:val="14"/>
          <w:szCs w:val="14"/>
        </w:rPr>
        <w:t>de</w:t>
      </w:r>
      <w:r w:rsidRPr="00545C20">
        <w:rPr>
          <w:rFonts w:ascii="Verdana" w:hAnsi="Verdana"/>
          <w:spacing w:val="-3"/>
          <w:sz w:val="14"/>
          <w:szCs w:val="14"/>
        </w:rPr>
        <w:t xml:space="preserve"> </w:t>
      </w:r>
      <w:r w:rsidRPr="00545C20">
        <w:rPr>
          <w:rFonts w:ascii="Verdana" w:hAnsi="Verdana"/>
          <w:sz w:val="14"/>
          <w:szCs w:val="14"/>
        </w:rPr>
        <w:t>1993,</w:t>
      </w:r>
      <w:r w:rsidRPr="00545C20">
        <w:rPr>
          <w:rFonts w:ascii="Verdana" w:hAnsi="Verdana"/>
          <w:spacing w:val="-1"/>
          <w:sz w:val="14"/>
          <w:szCs w:val="14"/>
        </w:rPr>
        <w:t xml:space="preserve"> </w:t>
      </w:r>
      <w:r w:rsidRPr="00545C20">
        <w:rPr>
          <w:rFonts w:ascii="Verdana" w:hAnsi="Verdana"/>
          <w:sz w:val="14"/>
          <w:szCs w:val="14"/>
        </w:rPr>
        <w:t>se</w:t>
      </w:r>
      <w:r w:rsidRPr="00545C20">
        <w:rPr>
          <w:rFonts w:ascii="Verdana" w:hAnsi="Verdana"/>
          <w:spacing w:val="-3"/>
          <w:sz w:val="14"/>
          <w:szCs w:val="14"/>
        </w:rPr>
        <w:t xml:space="preserve"> </w:t>
      </w:r>
      <w:r w:rsidRPr="00545C20">
        <w:rPr>
          <w:rFonts w:ascii="Verdana" w:hAnsi="Verdana"/>
          <w:sz w:val="14"/>
          <w:szCs w:val="14"/>
        </w:rPr>
        <w:t>señaló</w:t>
      </w:r>
      <w:r w:rsidRPr="00545C20">
        <w:rPr>
          <w:rFonts w:ascii="Verdana" w:hAnsi="Verdana"/>
          <w:spacing w:val="-5"/>
          <w:sz w:val="14"/>
          <w:szCs w:val="14"/>
        </w:rPr>
        <w:t xml:space="preserve"> </w:t>
      </w:r>
      <w:r w:rsidRPr="00545C20">
        <w:rPr>
          <w:rFonts w:ascii="Verdana" w:hAnsi="Verdana"/>
          <w:sz w:val="14"/>
          <w:szCs w:val="14"/>
        </w:rPr>
        <w:t>que</w:t>
      </w:r>
      <w:r w:rsidRPr="00545C20">
        <w:rPr>
          <w:rFonts w:ascii="Verdana" w:hAnsi="Verdana"/>
          <w:spacing w:val="-3"/>
          <w:sz w:val="14"/>
          <w:szCs w:val="14"/>
        </w:rPr>
        <w:t xml:space="preserve"> </w:t>
      </w:r>
      <w:r w:rsidRPr="00545C20">
        <w:rPr>
          <w:rFonts w:ascii="Verdana" w:hAnsi="Verdana"/>
          <w:sz w:val="14"/>
          <w:szCs w:val="14"/>
        </w:rPr>
        <w:t>“en</w:t>
      </w:r>
      <w:r w:rsidRPr="00545C20">
        <w:rPr>
          <w:rFonts w:ascii="Verdana" w:hAnsi="Verdana"/>
          <w:spacing w:val="-5"/>
          <w:sz w:val="14"/>
          <w:szCs w:val="14"/>
        </w:rPr>
        <w:t xml:space="preserve"> </w:t>
      </w:r>
      <w:r w:rsidRPr="00545C20">
        <w:rPr>
          <w:rFonts w:ascii="Verdana" w:hAnsi="Verdana"/>
          <w:sz w:val="14"/>
          <w:szCs w:val="14"/>
        </w:rPr>
        <w:t>los</w:t>
      </w:r>
      <w:r w:rsidRPr="00545C20">
        <w:rPr>
          <w:rFonts w:ascii="Verdana" w:hAnsi="Verdana"/>
          <w:spacing w:val="-2"/>
          <w:sz w:val="14"/>
          <w:szCs w:val="14"/>
        </w:rPr>
        <w:t xml:space="preserve"> </w:t>
      </w:r>
      <w:r w:rsidRPr="00545C20">
        <w:rPr>
          <w:rFonts w:ascii="Verdana" w:hAnsi="Verdana"/>
          <w:sz w:val="14"/>
          <w:szCs w:val="14"/>
        </w:rPr>
        <w:t>contratos</w:t>
      </w:r>
      <w:r w:rsidRPr="00545C20">
        <w:rPr>
          <w:rFonts w:ascii="Verdana" w:hAnsi="Verdana"/>
          <w:spacing w:val="-2"/>
          <w:sz w:val="14"/>
          <w:szCs w:val="14"/>
        </w:rPr>
        <w:t xml:space="preserve"> </w:t>
      </w:r>
      <w:r w:rsidRPr="00545C20">
        <w:rPr>
          <w:rFonts w:ascii="Verdana" w:hAnsi="Verdana"/>
          <w:sz w:val="14"/>
          <w:szCs w:val="14"/>
        </w:rPr>
        <w:t>que</w:t>
      </w:r>
      <w:r w:rsidRPr="00545C20">
        <w:rPr>
          <w:rFonts w:ascii="Verdana" w:hAnsi="Verdana"/>
          <w:spacing w:val="-3"/>
          <w:sz w:val="14"/>
          <w:szCs w:val="14"/>
        </w:rPr>
        <w:t xml:space="preserve"> </w:t>
      </w:r>
      <w:r w:rsidRPr="00545C20">
        <w:rPr>
          <w:rFonts w:ascii="Verdana" w:hAnsi="Verdana"/>
          <w:sz w:val="14"/>
          <w:szCs w:val="14"/>
        </w:rPr>
        <w:t>tengan</w:t>
      </w:r>
      <w:r w:rsidRPr="00545C20">
        <w:rPr>
          <w:rFonts w:ascii="Verdana" w:hAnsi="Verdana"/>
          <w:spacing w:val="-4"/>
          <w:sz w:val="14"/>
          <w:szCs w:val="14"/>
        </w:rPr>
        <w:t xml:space="preserve"> </w:t>
      </w:r>
      <w:r w:rsidRPr="00545C20">
        <w:rPr>
          <w:rFonts w:ascii="Verdana" w:hAnsi="Verdana"/>
          <w:sz w:val="14"/>
          <w:szCs w:val="14"/>
        </w:rPr>
        <w:t>por objeto</w:t>
      </w:r>
      <w:r w:rsidRPr="00545C20">
        <w:rPr>
          <w:rFonts w:ascii="Verdana" w:hAnsi="Verdana"/>
          <w:spacing w:val="-1"/>
          <w:sz w:val="14"/>
          <w:szCs w:val="14"/>
        </w:rPr>
        <w:t xml:space="preserve"> </w:t>
      </w:r>
      <w:r w:rsidRPr="00545C20">
        <w:rPr>
          <w:rFonts w:ascii="Verdana" w:hAnsi="Verdana"/>
          <w:sz w:val="14"/>
          <w:szCs w:val="14"/>
        </w:rPr>
        <w:t>actividades comerciales o</w:t>
      </w:r>
      <w:r w:rsidRPr="00545C20">
        <w:rPr>
          <w:rFonts w:ascii="Verdana" w:hAnsi="Verdana"/>
          <w:spacing w:val="-1"/>
          <w:sz w:val="14"/>
          <w:szCs w:val="14"/>
        </w:rPr>
        <w:t xml:space="preserve"> </w:t>
      </w:r>
      <w:r w:rsidRPr="00545C20">
        <w:rPr>
          <w:rFonts w:ascii="Verdana" w:hAnsi="Verdana"/>
          <w:sz w:val="14"/>
          <w:szCs w:val="14"/>
        </w:rPr>
        <w:t>industriales de las entidades</w:t>
      </w:r>
      <w:r w:rsidRPr="00545C20">
        <w:rPr>
          <w:rFonts w:ascii="Verdana" w:hAnsi="Verdana"/>
          <w:spacing w:val="-3"/>
          <w:sz w:val="14"/>
          <w:szCs w:val="14"/>
        </w:rPr>
        <w:t xml:space="preserve"> </w:t>
      </w:r>
      <w:r w:rsidRPr="00545C20">
        <w:rPr>
          <w:rFonts w:ascii="Verdana" w:hAnsi="Verdana"/>
          <w:sz w:val="14"/>
          <w:szCs w:val="14"/>
        </w:rPr>
        <w:t>estatales que no</w:t>
      </w:r>
      <w:r w:rsidRPr="00545C20">
        <w:rPr>
          <w:rFonts w:ascii="Verdana" w:hAnsi="Verdana"/>
          <w:spacing w:val="-1"/>
          <w:sz w:val="14"/>
          <w:szCs w:val="14"/>
        </w:rPr>
        <w:t xml:space="preserve"> </w:t>
      </w:r>
      <w:r w:rsidRPr="00545C20">
        <w:rPr>
          <w:rFonts w:ascii="Verdana" w:hAnsi="Verdana"/>
          <w:sz w:val="14"/>
          <w:szCs w:val="14"/>
        </w:rPr>
        <w:t xml:space="preserve">correspondan a las señaladas en el numeral 2º de este artículo (…) se prescindirá de la utilización de las cláusulas o estipulaciones </w:t>
      </w:r>
      <w:r w:rsidRPr="00545C20">
        <w:rPr>
          <w:rFonts w:ascii="Verdana" w:hAnsi="Verdana"/>
          <w:spacing w:val="-2"/>
          <w:sz w:val="14"/>
          <w:szCs w:val="14"/>
        </w:rPr>
        <w:t>excepcionales”.</w:t>
      </w:r>
    </w:p>
  </w:footnote>
  <w:footnote w:id="3">
    <w:p w14:paraId="2D418F5F" w14:textId="77777777" w:rsidR="002F5531" w:rsidRPr="00545C20" w:rsidRDefault="002F5531" w:rsidP="002F5531">
      <w:pPr>
        <w:tabs>
          <w:tab w:val="left" w:pos="142"/>
          <w:tab w:val="left" w:pos="8789"/>
        </w:tabs>
        <w:snapToGrid w:val="0"/>
        <w:spacing w:after="0" w:line="240" w:lineRule="auto"/>
        <w:ind w:right="49" w:firstLine="709"/>
        <w:jc w:val="both"/>
        <w:rPr>
          <w:rFonts w:ascii="Verdana" w:hAnsi="Verdana"/>
          <w:sz w:val="14"/>
          <w:szCs w:val="14"/>
        </w:rPr>
      </w:pPr>
      <w:r w:rsidRPr="00545C20">
        <w:rPr>
          <w:rStyle w:val="Refdenotaalpie"/>
          <w:rFonts w:ascii="Verdana" w:hAnsi="Verdana"/>
          <w:sz w:val="14"/>
          <w:szCs w:val="14"/>
        </w:rPr>
        <w:footnoteRef/>
      </w:r>
      <w:r w:rsidRPr="00545C20">
        <w:rPr>
          <w:rFonts w:ascii="Verdana" w:hAnsi="Verdana"/>
          <w:sz w:val="14"/>
          <w:szCs w:val="14"/>
        </w:rPr>
        <w:t xml:space="preserve"> </w:t>
      </w:r>
      <w:bookmarkStart w:id="4" w:name="_Hlk199860326"/>
      <w:r w:rsidRPr="00545C20">
        <w:rPr>
          <w:rFonts w:ascii="Verdana" w:hAnsi="Verdana"/>
          <w:sz w:val="14"/>
          <w:szCs w:val="14"/>
        </w:rPr>
        <w:t>Sin perjuicio</w:t>
      </w:r>
      <w:r w:rsidRPr="00545C20">
        <w:rPr>
          <w:rFonts w:ascii="Verdana" w:hAnsi="Verdana"/>
          <w:spacing w:val="-1"/>
          <w:sz w:val="14"/>
          <w:szCs w:val="14"/>
        </w:rPr>
        <w:t xml:space="preserve"> </w:t>
      </w:r>
      <w:r w:rsidRPr="00545C20">
        <w:rPr>
          <w:rFonts w:ascii="Verdana" w:hAnsi="Verdana"/>
          <w:sz w:val="14"/>
          <w:szCs w:val="14"/>
        </w:rPr>
        <w:t>de la regla indicada, es importante</w:t>
      </w:r>
      <w:r w:rsidRPr="00545C20">
        <w:rPr>
          <w:rFonts w:ascii="Verdana" w:hAnsi="Verdana"/>
          <w:spacing w:val="-4"/>
          <w:sz w:val="14"/>
          <w:szCs w:val="14"/>
        </w:rPr>
        <w:t xml:space="preserve"> </w:t>
      </w:r>
      <w:r w:rsidRPr="00545C20">
        <w:rPr>
          <w:rFonts w:ascii="Verdana" w:hAnsi="Verdana"/>
          <w:sz w:val="14"/>
          <w:szCs w:val="14"/>
        </w:rPr>
        <w:t>señalar que el literal</w:t>
      </w:r>
      <w:r w:rsidRPr="00545C20">
        <w:rPr>
          <w:rFonts w:ascii="Verdana" w:hAnsi="Verdana"/>
          <w:spacing w:val="-3"/>
          <w:sz w:val="14"/>
          <w:szCs w:val="14"/>
        </w:rPr>
        <w:t xml:space="preserve"> </w:t>
      </w:r>
      <w:r w:rsidRPr="00545C20">
        <w:rPr>
          <w:rFonts w:ascii="Verdana" w:hAnsi="Verdana"/>
          <w:sz w:val="14"/>
          <w:szCs w:val="14"/>
        </w:rPr>
        <w:t>g, numeral 2, artículo</w:t>
      </w:r>
      <w:r w:rsidRPr="00545C20">
        <w:rPr>
          <w:rFonts w:ascii="Verdana" w:hAnsi="Verdana"/>
          <w:spacing w:val="-1"/>
          <w:sz w:val="14"/>
          <w:szCs w:val="14"/>
        </w:rPr>
        <w:t xml:space="preserve"> </w:t>
      </w:r>
      <w:r w:rsidRPr="00545C20">
        <w:rPr>
          <w:rFonts w:ascii="Verdana" w:hAnsi="Verdana"/>
          <w:sz w:val="14"/>
          <w:szCs w:val="14"/>
        </w:rPr>
        <w:t>2</w:t>
      </w:r>
      <w:r w:rsidRPr="00545C20">
        <w:rPr>
          <w:rFonts w:ascii="Verdana" w:hAnsi="Verdana"/>
          <w:spacing w:val="-1"/>
          <w:sz w:val="14"/>
          <w:szCs w:val="14"/>
        </w:rPr>
        <w:t xml:space="preserve"> </w:t>
      </w:r>
      <w:r w:rsidRPr="00545C20">
        <w:rPr>
          <w:rFonts w:ascii="Verdana" w:hAnsi="Verdana"/>
          <w:sz w:val="14"/>
          <w:szCs w:val="14"/>
        </w:rPr>
        <w:t>de la Ley 1150 de 2007, prevé como causal de selección abreviada: “Los actos y contratos que tengan por objeto directo</w:t>
      </w:r>
      <w:r w:rsidRPr="00545C20">
        <w:rPr>
          <w:rFonts w:ascii="Verdana" w:hAnsi="Verdana"/>
          <w:spacing w:val="-10"/>
          <w:sz w:val="14"/>
          <w:szCs w:val="14"/>
        </w:rPr>
        <w:t xml:space="preserve"> </w:t>
      </w:r>
      <w:r w:rsidRPr="00545C20">
        <w:rPr>
          <w:rFonts w:ascii="Verdana" w:hAnsi="Verdana"/>
          <w:sz w:val="14"/>
          <w:szCs w:val="14"/>
        </w:rPr>
        <w:t>las</w:t>
      </w:r>
      <w:r w:rsidRPr="00545C20">
        <w:rPr>
          <w:rFonts w:ascii="Verdana" w:hAnsi="Verdana"/>
          <w:spacing w:val="-7"/>
          <w:sz w:val="14"/>
          <w:szCs w:val="14"/>
        </w:rPr>
        <w:t xml:space="preserve"> </w:t>
      </w:r>
      <w:r w:rsidRPr="00545C20">
        <w:rPr>
          <w:rFonts w:ascii="Verdana" w:hAnsi="Verdana"/>
          <w:sz w:val="14"/>
          <w:szCs w:val="14"/>
        </w:rPr>
        <w:t>actividades</w:t>
      </w:r>
      <w:r w:rsidRPr="00545C20">
        <w:rPr>
          <w:rFonts w:ascii="Verdana" w:hAnsi="Verdana"/>
          <w:spacing w:val="-7"/>
          <w:sz w:val="14"/>
          <w:szCs w:val="14"/>
        </w:rPr>
        <w:t xml:space="preserve"> </w:t>
      </w:r>
      <w:r w:rsidRPr="00545C20">
        <w:rPr>
          <w:rFonts w:ascii="Verdana" w:hAnsi="Verdana"/>
          <w:sz w:val="14"/>
          <w:szCs w:val="14"/>
        </w:rPr>
        <w:t>comerciales</w:t>
      </w:r>
      <w:r w:rsidRPr="00545C20">
        <w:rPr>
          <w:rFonts w:ascii="Verdana" w:hAnsi="Verdana"/>
          <w:spacing w:val="-7"/>
          <w:sz w:val="14"/>
          <w:szCs w:val="14"/>
        </w:rPr>
        <w:t xml:space="preserve"> </w:t>
      </w:r>
      <w:r w:rsidRPr="00545C20">
        <w:rPr>
          <w:rFonts w:ascii="Verdana" w:hAnsi="Verdana"/>
          <w:sz w:val="14"/>
          <w:szCs w:val="14"/>
        </w:rPr>
        <w:t>e</w:t>
      </w:r>
      <w:r w:rsidRPr="00545C20">
        <w:rPr>
          <w:rFonts w:ascii="Verdana" w:hAnsi="Verdana"/>
          <w:spacing w:val="-8"/>
          <w:sz w:val="14"/>
          <w:szCs w:val="14"/>
        </w:rPr>
        <w:t xml:space="preserve"> </w:t>
      </w:r>
      <w:r w:rsidRPr="00545C20">
        <w:rPr>
          <w:rFonts w:ascii="Verdana" w:hAnsi="Verdana"/>
          <w:sz w:val="14"/>
          <w:szCs w:val="14"/>
        </w:rPr>
        <w:t>industriales</w:t>
      </w:r>
      <w:r w:rsidRPr="00545C20">
        <w:rPr>
          <w:rFonts w:ascii="Verdana" w:hAnsi="Verdana"/>
          <w:spacing w:val="-7"/>
          <w:sz w:val="14"/>
          <w:szCs w:val="14"/>
        </w:rPr>
        <w:t xml:space="preserve"> </w:t>
      </w:r>
      <w:r w:rsidRPr="00545C20">
        <w:rPr>
          <w:rFonts w:ascii="Verdana" w:hAnsi="Verdana"/>
          <w:sz w:val="14"/>
          <w:szCs w:val="14"/>
        </w:rPr>
        <w:t>propias</w:t>
      </w:r>
      <w:r w:rsidRPr="00545C20">
        <w:rPr>
          <w:rFonts w:ascii="Verdana" w:hAnsi="Verdana"/>
          <w:spacing w:val="-7"/>
          <w:sz w:val="14"/>
          <w:szCs w:val="14"/>
        </w:rPr>
        <w:t xml:space="preserve"> </w:t>
      </w:r>
      <w:r w:rsidRPr="00545C20">
        <w:rPr>
          <w:rFonts w:ascii="Verdana" w:hAnsi="Verdana"/>
          <w:sz w:val="14"/>
          <w:szCs w:val="14"/>
        </w:rPr>
        <w:t>de</w:t>
      </w:r>
      <w:r w:rsidRPr="00545C20">
        <w:rPr>
          <w:rFonts w:ascii="Verdana" w:hAnsi="Verdana"/>
          <w:spacing w:val="-8"/>
          <w:sz w:val="14"/>
          <w:szCs w:val="14"/>
        </w:rPr>
        <w:t xml:space="preserve"> </w:t>
      </w:r>
      <w:r w:rsidRPr="00545C20">
        <w:rPr>
          <w:rFonts w:ascii="Verdana" w:hAnsi="Verdana"/>
          <w:sz w:val="14"/>
          <w:szCs w:val="14"/>
        </w:rPr>
        <w:t>las</w:t>
      </w:r>
      <w:r w:rsidRPr="00545C20">
        <w:rPr>
          <w:rFonts w:ascii="Verdana" w:hAnsi="Verdana"/>
          <w:spacing w:val="-7"/>
          <w:sz w:val="14"/>
          <w:szCs w:val="14"/>
        </w:rPr>
        <w:t xml:space="preserve"> </w:t>
      </w:r>
      <w:r w:rsidRPr="00545C20">
        <w:rPr>
          <w:rFonts w:ascii="Verdana" w:hAnsi="Verdana"/>
          <w:sz w:val="14"/>
          <w:szCs w:val="14"/>
        </w:rPr>
        <w:t>Empresas</w:t>
      </w:r>
      <w:r w:rsidRPr="00545C20">
        <w:rPr>
          <w:rFonts w:ascii="Verdana" w:hAnsi="Verdana"/>
          <w:spacing w:val="-7"/>
          <w:sz w:val="14"/>
          <w:szCs w:val="14"/>
        </w:rPr>
        <w:t xml:space="preserve"> </w:t>
      </w:r>
      <w:r w:rsidRPr="00545C20">
        <w:rPr>
          <w:rFonts w:ascii="Verdana" w:hAnsi="Verdana"/>
          <w:sz w:val="14"/>
          <w:szCs w:val="14"/>
        </w:rPr>
        <w:t>Industriales</w:t>
      </w:r>
      <w:r w:rsidRPr="00545C20">
        <w:rPr>
          <w:rFonts w:ascii="Verdana" w:hAnsi="Verdana"/>
          <w:spacing w:val="-7"/>
          <w:sz w:val="14"/>
          <w:szCs w:val="14"/>
        </w:rPr>
        <w:t xml:space="preserve"> </w:t>
      </w:r>
      <w:r w:rsidRPr="00545C20">
        <w:rPr>
          <w:rFonts w:ascii="Verdana" w:hAnsi="Verdana"/>
          <w:sz w:val="14"/>
          <w:szCs w:val="14"/>
        </w:rPr>
        <w:t>y</w:t>
      </w:r>
      <w:r w:rsidRPr="00545C20">
        <w:rPr>
          <w:rFonts w:ascii="Verdana" w:hAnsi="Verdana"/>
          <w:spacing w:val="-8"/>
          <w:sz w:val="14"/>
          <w:szCs w:val="14"/>
        </w:rPr>
        <w:t xml:space="preserve"> </w:t>
      </w:r>
      <w:r w:rsidRPr="00545C20">
        <w:rPr>
          <w:rFonts w:ascii="Verdana" w:hAnsi="Verdana"/>
          <w:sz w:val="14"/>
          <w:szCs w:val="14"/>
        </w:rPr>
        <w:t>Comerciales</w:t>
      </w:r>
      <w:r w:rsidRPr="00545C20">
        <w:rPr>
          <w:rFonts w:ascii="Verdana" w:hAnsi="Verdana"/>
          <w:spacing w:val="-7"/>
          <w:sz w:val="14"/>
          <w:szCs w:val="14"/>
        </w:rPr>
        <w:t xml:space="preserve"> </w:t>
      </w:r>
      <w:r w:rsidRPr="00545C20">
        <w:rPr>
          <w:rFonts w:ascii="Verdana" w:hAnsi="Verdana"/>
          <w:sz w:val="14"/>
          <w:szCs w:val="14"/>
        </w:rPr>
        <w:t>Estatales y de las Sociedades de Economía Mixta, con excepción de los contratos que a título enunciativo identifica el artículo</w:t>
      </w:r>
      <w:r w:rsidRPr="00545C20">
        <w:rPr>
          <w:rFonts w:ascii="Verdana" w:hAnsi="Verdana"/>
          <w:spacing w:val="-15"/>
          <w:sz w:val="14"/>
          <w:szCs w:val="14"/>
        </w:rPr>
        <w:t xml:space="preserve"> </w:t>
      </w:r>
      <w:r w:rsidRPr="00545C20">
        <w:rPr>
          <w:rFonts w:ascii="Verdana" w:hAnsi="Verdana"/>
          <w:sz w:val="14"/>
          <w:szCs w:val="14"/>
        </w:rPr>
        <w:t>32</w:t>
      </w:r>
      <w:r w:rsidRPr="00545C20">
        <w:rPr>
          <w:rFonts w:ascii="Verdana" w:hAnsi="Verdana"/>
          <w:spacing w:val="-14"/>
          <w:sz w:val="14"/>
          <w:szCs w:val="14"/>
        </w:rPr>
        <w:t xml:space="preserve"> </w:t>
      </w:r>
      <w:r w:rsidRPr="00545C20">
        <w:rPr>
          <w:rFonts w:ascii="Verdana" w:hAnsi="Verdana"/>
          <w:sz w:val="14"/>
          <w:szCs w:val="14"/>
        </w:rPr>
        <w:t>de</w:t>
      </w:r>
      <w:r w:rsidRPr="00545C20">
        <w:rPr>
          <w:rFonts w:ascii="Verdana" w:hAnsi="Verdana"/>
          <w:spacing w:val="-14"/>
          <w:sz w:val="14"/>
          <w:szCs w:val="14"/>
        </w:rPr>
        <w:t xml:space="preserve"> </w:t>
      </w:r>
      <w:r w:rsidRPr="00545C20">
        <w:rPr>
          <w:rFonts w:ascii="Verdana" w:hAnsi="Verdana"/>
          <w:sz w:val="14"/>
          <w:szCs w:val="14"/>
        </w:rPr>
        <w:t>la</w:t>
      </w:r>
      <w:r w:rsidRPr="00545C20">
        <w:rPr>
          <w:rFonts w:ascii="Verdana" w:hAnsi="Verdana"/>
          <w:spacing w:val="-14"/>
          <w:sz w:val="14"/>
          <w:szCs w:val="14"/>
        </w:rPr>
        <w:t xml:space="preserve"> </w:t>
      </w:r>
      <w:r w:rsidRPr="00545C20">
        <w:rPr>
          <w:rFonts w:ascii="Verdana" w:hAnsi="Verdana"/>
          <w:sz w:val="14"/>
          <w:szCs w:val="14"/>
        </w:rPr>
        <w:t>Ley</w:t>
      </w:r>
      <w:r w:rsidRPr="00545C20">
        <w:rPr>
          <w:rFonts w:ascii="Verdana" w:hAnsi="Verdana"/>
          <w:spacing w:val="-14"/>
          <w:sz w:val="14"/>
          <w:szCs w:val="14"/>
        </w:rPr>
        <w:t xml:space="preserve"> </w:t>
      </w:r>
      <w:r w:rsidRPr="00545C20">
        <w:rPr>
          <w:rFonts w:ascii="Verdana" w:hAnsi="Verdana"/>
          <w:sz w:val="14"/>
          <w:szCs w:val="14"/>
        </w:rPr>
        <w:t>80</w:t>
      </w:r>
      <w:r w:rsidRPr="00545C20">
        <w:rPr>
          <w:rFonts w:ascii="Verdana" w:hAnsi="Verdana"/>
          <w:spacing w:val="-14"/>
          <w:sz w:val="14"/>
          <w:szCs w:val="14"/>
        </w:rPr>
        <w:t xml:space="preserve"> </w:t>
      </w:r>
      <w:r w:rsidRPr="00545C20">
        <w:rPr>
          <w:rFonts w:ascii="Verdana" w:hAnsi="Verdana"/>
          <w:sz w:val="14"/>
          <w:szCs w:val="14"/>
        </w:rPr>
        <w:t>de</w:t>
      </w:r>
      <w:r w:rsidRPr="00545C20">
        <w:rPr>
          <w:rFonts w:ascii="Verdana" w:hAnsi="Verdana"/>
          <w:spacing w:val="-14"/>
          <w:sz w:val="14"/>
          <w:szCs w:val="14"/>
        </w:rPr>
        <w:t xml:space="preserve"> </w:t>
      </w:r>
      <w:r w:rsidRPr="00545C20">
        <w:rPr>
          <w:rFonts w:ascii="Verdana" w:hAnsi="Verdana"/>
          <w:sz w:val="14"/>
          <w:szCs w:val="14"/>
        </w:rPr>
        <w:t>1993</w:t>
      </w:r>
      <w:r w:rsidRPr="00545C20">
        <w:rPr>
          <w:rFonts w:ascii="Verdana" w:hAnsi="Verdana"/>
          <w:spacing w:val="-14"/>
          <w:sz w:val="14"/>
          <w:szCs w:val="14"/>
        </w:rPr>
        <w:t xml:space="preserve"> </w:t>
      </w:r>
      <w:r w:rsidRPr="00545C20">
        <w:rPr>
          <w:rFonts w:ascii="Verdana" w:hAnsi="Verdana"/>
          <w:sz w:val="14"/>
          <w:szCs w:val="14"/>
        </w:rPr>
        <w:t>[obra,</w:t>
      </w:r>
      <w:r w:rsidRPr="00545C20">
        <w:rPr>
          <w:rFonts w:ascii="Verdana" w:hAnsi="Verdana"/>
          <w:spacing w:val="-14"/>
          <w:sz w:val="14"/>
          <w:szCs w:val="14"/>
        </w:rPr>
        <w:t xml:space="preserve"> </w:t>
      </w:r>
      <w:r w:rsidRPr="00545C20">
        <w:rPr>
          <w:rFonts w:ascii="Verdana" w:hAnsi="Verdana"/>
          <w:sz w:val="14"/>
          <w:szCs w:val="14"/>
        </w:rPr>
        <w:t>concesión,</w:t>
      </w:r>
      <w:r w:rsidRPr="00545C20">
        <w:rPr>
          <w:rFonts w:ascii="Verdana" w:hAnsi="Verdana"/>
          <w:spacing w:val="-14"/>
          <w:sz w:val="14"/>
          <w:szCs w:val="14"/>
        </w:rPr>
        <w:t xml:space="preserve"> </w:t>
      </w:r>
      <w:r w:rsidRPr="00545C20">
        <w:rPr>
          <w:rFonts w:ascii="Verdana" w:hAnsi="Verdana"/>
          <w:sz w:val="14"/>
          <w:szCs w:val="14"/>
        </w:rPr>
        <w:t>prestación</w:t>
      </w:r>
      <w:r w:rsidRPr="00545C20">
        <w:rPr>
          <w:rFonts w:ascii="Verdana" w:hAnsi="Verdana"/>
          <w:spacing w:val="-14"/>
          <w:sz w:val="14"/>
          <w:szCs w:val="14"/>
        </w:rPr>
        <w:t xml:space="preserve"> </w:t>
      </w:r>
      <w:r w:rsidRPr="00545C20">
        <w:rPr>
          <w:rFonts w:ascii="Verdana" w:hAnsi="Verdana"/>
          <w:sz w:val="14"/>
          <w:szCs w:val="14"/>
        </w:rPr>
        <w:t>de</w:t>
      </w:r>
      <w:r w:rsidRPr="00545C20">
        <w:rPr>
          <w:rFonts w:ascii="Verdana" w:hAnsi="Verdana"/>
          <w:spacing w:val="-14"/>
          <w:sz w:val="14"/>
          <w:szCs w:val="14"/>
        </w:rPr>
        <w:t xml:space="preserve"> </w:t>
      </w:r>
      <w:r w:rsidRPr="00545C20">
        <w:rPr>
          <w:rFonts w:ascii="Verdana" w:hAnsi="Verdana"/>
          <w:sz w:val="14"/>
          <w:szCs w:val="14"/>
        </w:rPr>
        <w:t>servicios,</w:t>
      </w:r>
      <w:r w:rsidRPr="00545C20">
        <w:rPr>
          <w:rFonts w:ascii="Verdana" w:hAnsi="Verdana"/>
          <w:spacing w:val="-14"/>
          <w:sz w:val="14"/>
          <w:szCs w:val="14"/>
        </w:rPr>
        <w:t xml:space="preserve"> </w:t>
      </w:r>
      <w:r w:rsidRPr="00545C20">
        <w:rPr>
          <w:rFonts w:ascii="Verdana" w:hAnsi="Verdana"/>
          <w:sz w:val="14"/>
          <w:szCs w:val="14"/>
        </w:rPr>
        <w:t>consultoría,</w:t>
      </w:r>
      <w:r w:rsidRPr="00545C20">
        <w:rPr>
          <w:rFonts w:ascii="Verdana" w:hAnsi="Verdana"/>
          <w:spacing w:val="-14"/>
          <w:sz w:val="14"/>
          <w:szCs w:val="14"/>
        </w:rPr>
        <w:t xml:space="preserve"> </w:t>
      </w:r>
      <w:r w:rsidRPr="00545C20">
        <w:rPr>
          <w:rFonts w:ascii="Verdana" w:hAnsi="Verdana"/>
          <w:sz w:val="14"/>
          <w:szCs w:val="14"/>
        </w:rPr>
        <w:t>fiducia</w:t>
      </w:r>
      <w:r w:rsidRPr="00545C20">
        <w:rPr>
          <w:rFonts w:ascii="Verdana" w:hAnsi="Verdana"/>
          <w:spacing w:val="-14"/>
          <w:sz w:val="14"/>
          <w:szCs w:val="14"/>
        </w:rPr>
        <w:t xml:space="preserve"> </w:t>
      </w:r>
      <w:r w:rsidRPr="00545C20">
        <w:rPr>
          <w:rFonts w:ascii="Verdana" w:hAnsi="Verdana"/>
          <w:sz w:val="14"/>
          <w:szCs w:val="14"/>
        </w:rPr>
        <w:t>pública]”.</w:t>
      </w:r>
      <w:r w:rsidRPr="00545C20">
        <w:rPr>
          <w:rFonts w:ascii="Verdana" w:hAnsi="Verdana"/>
          <w:spacing w:val="-15"/>
          <w:sz w:val="14"/>
          <w:szCs w:val="14"/>
        </w:rPr>
        <w:t xml:space="preserve"> </w:t>
      </w:r>
      <w:r w:rsidRPr="00545C20">
        <w:rPr>
          <w:rFonts w:ascii="Verdana" w:hAnsi="Verdana"/>
          <w:sz w:val="14"/>
          <w:szCs w:val="14"/>
        </w:rPr>
        <w:t>g)</w:t>
      </w:r>
      <w:r w:rsidRPr="00545C20">
        <w:rPr>
          <w:rFonts w:ascii="Verdana" w:hAnsi="Verdana"/>
          <w:spacing w:val="23"/>
          <w:sz w:val="14"/>
          <w:szCs w:val="14"/>
        </w:rPr>
        <w:t xml:space="preserve"> </w:t>
      </w:r>
      <w:r w:rsidRPr="00545C20">
        <w:rPr>
          <w:rFonts w:ascii="Verdana" w:hAnsi="Verdana"/>
          <w:sz w:val="14"/>
          <w:szCs w:val="14"/>
        </w:rPr>
        <w:t>Los actos y contratos que tengan por objeto directo las actividades comerciales e industriales propias de las Empresas Industriales y Comerciales Estatales y de las Sociedades de Economía Mixta, con excepción de los contratos</w:t>
      </w:r>
      <w:r w:rsidRPr="00545C20">
        <w:rPr>
          <w:rFonts w:ascii="Verdana" w:hAnsi="Verdana"/>
          <w:spacing w:val="-6"/>
          <w:sz w:val="14"/>
          <w:szCs w:val="14"/>
        </w:rPr>
        <w:t xml:space="preserve"> </w:t>
      </w:r>
      <w:r w:rsidRPr="00545C20">
        <w:rPr>
          <w:rFonts w:ascii="Verdana" w:hAnsi="Verdana"/>
          <w:sz w:val="14"/>
          <w:szCs w:val="14"/>
        </w:rPr>
        <w:t>que</w:t>
      </w:r>
      <w:r w:rsidRPr="00545C20">
        <w:rPr>
          <w:rFonts w:ascii="Verdana" w:hAnsi="Verdana"/>
          <w:spacing w:val="-7"/>
          <w:sz w:val="14"/>
          <w:szCs w:val="14"/>
        </w:rPr>
        <w:t xml:space="preserve"> </w:t>
      </w:r>
      <w:r w:rsidRPr="00545C20">
        <w:rPr>
          <w:rFonts w:ascii="Verdana" w:hAnsi="Verdana"/>
          <w:sz w:val="14"/>
          <w:szCs w:val="14"/>
        </w:rPr>
        <w:t>a</w:t>
      </w:r>
      <w:r w:rsidRPr="00545C20">
        <w:rPr>
          <w:rFonts w:ascii="Verdana" w:hAnsi="Verdana"/>
          <w:spacing w:val="-3"/>
          <w:sz w:val="14"/>
          <w:szCs w:val="14"/>
        </w:rPr>
        <w:t xml:space="preserve"> </w:t>
      </w:r>
      <w:r w:rsidRPr="00545C20">
        <w:rPr>
          <w:rFonts w:ascii="Verdana" w:hAnsi="Verdana"/>
          <w:sz w:val="14"/>
          <w:szCs w:val="14"/>
        </w:rPr>
        <w:t>título</w:t>
      </w:r>
      <w:r w:rsidRPr="00545C20">
        <w:rPr>
          <w:rFonts w:ascii="Verdana" w:hAnsi="Verdana"/>
          <w:spacing w:val="-9"/>
          <w:sz w:val="14"/>
          <w:szCs w:val="14"/>
        </w:rPr>
        <w:t xml:space="preserve"> </w:t>
      </w:r>
      <w:r w:rsidRPr="00545C20">
        <w:rPr>
          <w:rFonts w:ascii="Verdana" w:hAnsi="Verdana"/>
          <w:sz w:val="14"/>
          <w:szCs w:val="14"/>
        </w:rPr>
        <w:t>enunciativo</w:t>
      </w:r>
      <w:r w:rsidRPr="00545C20">
        <w:rPr>
          <w:rFonts w:ascii="Verdana" w:hAnsi="Verdana"/>
          <w:spacing w:val="-9"/>
          <w:sz w:val="14"/>
          <w:szCs w:val="14"/>
        </w:rPr>
        <w:t xml:space="preserve"> </w:t>
      </w:r>
      <w:r w:rsidRPr="00545C20">
        <w:rPr>
          <w:rFonts w:ascii="Verdana" w:hAnsi="Verdana"/>
          <w:sz w:val="14"/>
          <w:szCs w:val="14"/>
        </w:rPr>
        <w:t>identifica</w:t>
      </w:r>
      <w:r w:rsidRPr="00545C20">
        <w:rPr>
          <w:rFonts w:ascii="Verdana" w:hAnsi="Verdana"/>
          <w:spacing w:val="-8"/>
          <w:sz w:val="14"/>
          <w:szCs w:val="14"/>
        </w:rPr>
        <w:t xml:space="preserve"> </w:t>
      </w:r>
      <w:r w:rsidRPr="00545C20">
        <w:rPr>
          <w:rFonts w:ascii="Verdana" w:hAnsi="Verdana"/>
          <w:sz w:val="14"/>
          <w:szCs w:val="14"/>
        </w:rPr>
        <w:t>el</w:t>
      </w:r>
      <w:r w:rsidRPr="00545C20">
        <w:rPr>
          <w:rFonts w:ascii="Verdana" w:hAnsi="Verdana"/>
          <w:spacing w:val="-1"/>
          <w:sz w:val="14"/>
          <w:szCs w:val="14"/>
        </w:rPr>
        <w:t xml:space="preserve"> </w:t>
      </w:r>
      <w:r w:rsidRPr="00545C20">
        <w:rPr>
          <w:rFonts w:ascii="Verdana" w:hAnsi="Verdana"/>
          <w:sz w:val="14"/>
          <w:szCs w:val="14"/>
        </w:rPr>
        <w:t>artículo</w:t>
      </w:r>
      <w:r w:rsidRPr="00545C20">
        <w:rPr>
          <w:rFonts w:ascii="Verdana" w:hAnsi="Verdana"/>
          <w:spacing w:val="-9"/>
          <w:sz w:val="14"/>
          <w:szCs w:val="14"/>
        </w:rPr>
        <w:t xml:space="preserve"> </w:t>
      </w:r>
      <w:r w:rsidRPr="00545C20">
        <w:rPr>
          <w:rFonts w:ascii="Verdana" w:hAnsi="Verdana"/>
          <w:sz w:val="14"/>
          <w:szCs w:val="14"/>
        </w:rPr>
        <w:t>32</w:t>
      </w:r>
      <w:r w:rsidRPr="00545C20">
        <w:rPr>
          <w:rFonts w:ascii="Verdana" w:hAnsi="Verdana"/>
          <w:spacing w:val="-4"/>
          <w:sz w:val="14"/>
          <w:szCs w:val="14"/>
        </w:rPr>
        <w:t xml:space="preserve"> </w:t>
      </w:r>
      <w:r w:rsidRPr="00545C20">
        <w:rPr>
          <w:rFonts w:ascii="Verdana" w:hAnsi="Verdana"/>
          <w:sz w:val="14"/>
          <w:szCs w:val="14"/>
        </w:rPr>
        <w:t>de</w:t>
      </w:r>
      <w:r w:rsidRPr="00545C20">
        <w:rPr>
          <w:rFonts w:ascii="Verdana" w:hAnsi="Verdana"/>
          <w:spacing w:val="-7"/>
          <w:sz w:val="14"/>
          <w:szCs w:val="14"/>
        </w:rPr>
        <w:t xml:space="preserve"> </w:t>
      </w:r>
      <w:r w:rsidRPr="00545C20">
        <w:rPr>
          <w:rFonts w:ascii="Verdana" w:hAnsi="Verdana"/>
          <w:sz w:val="14"/>
          <w:szCs w:val="14"/>
        </w:rPr>
        <w:t>la Ley</w:t>
      </w:r>
      <w:r w:rsidRPr="00545C20">
        <w:rPr>
          <w:rFonts w:ascii="Verdana" w:hAnsi="Verdana"/>
          <w:spacing w:val="-7"/>
          <w:sz w:val="14"/>
          <w:szCs w:val="14"/>
        </w:rPr>
        <w:t xml:space="preserve"> </w:t>
      </w:r>
      <w:r w:rsidRPr="00545C20">
        <w:rPr>
          <w:rFonts w:ascii="Verdana" w:hAnsi="Verdana"/>
          <w:sz w:val="14"/>
          <w:szCs w:val="14"/>
        </w:rPr>
        <w:t>80</w:t>
      </w:r>
      <w:r w:rsidRPr="00545C20">
        <w:rPr>
          <w:rFonts w:ascii="Verdana" w:hAnsi="Verdana"/>
          <w:spacing w:val="-4"/>
          <w:sz w:val="14"/>
          <w:szCs w:val="14"/>
        </w:rPr>
        <w:t xml:space="preserve"> </w:t>
      </w:r>
      <w:r w:rsidRPr="00545C20">
        <w:rPr>
          <w:rFonts w:ascii="Verdana" w:hAnsi="Verdana"/>
          <w:sz w:val="14"/>
          <w:szCs w:val="14"/>
        </w:rPr>
        <w:t>de</w:t>
      </w:r>
      <w:r w:rsidRPr="00545C20">
        <w:rPr>
          <w:rFonts w:ascii="Verdana" w:hAnsi="Verdana"/>
          <w:spacing w:val="-2"/>
          <w:sz w:val="14"/>
          <w:szCs w:val="14"/>
        </w:rPr>
        <w:t xml:space="preserve"> </w:t>
      </w:r>
      <w:r w:rsidRPr="00545C20">
        <w:rPr>
          <w:rFonts w:ascii="Verdana" w:hAnsi="Verdana"/>
          <w:sz w:val="14"/>
          <w:szCs w:val="14"/>
        </w:rPr>
        <w:t>1993.</w:t>
      </w:r>
      <w:bookmarkEnd w:id="4"/>
    </w:p>
  </w:footnote>
  <w:footnote w:id="4">
    <w:p w14:paraId="472608FA" w14:textId="77777777" w:rsidR="002F5531" w:rsidRPr="00545C20" w:rsidRDefault="002F5531" w:rsidP="002F5531">
      <w:pPr>
        <w:pStyle w:val="Textonotapie"/>
        <w:snapToGrid w:val="0"/>
        <w:ind w:right="49" w:firstLine="709"/>
        <w:jc w:val="both"/>
        <w:rPr>
          <w:rFonts w:ascii="Verdana" w:hAnsi="Verdana"/>
          <w:sz w:val="14"/>
          <w:szCs w:val="14"/>
        </w:rPr>
      </w:pPr>
      <w:r w:rsidRPr="00545C20">
        <w:rPr>
          <w:rStyle w:val="Refdenotaalpie"/>
          <w:rFonts w:ascii="Verdana" w:hAnsi="Verdana"/>
          <w:sz w:val="14"/>
          <w:szCs w:val="14"/>
        </w:rPr>
        <w:footnoteRef/>
      </w:r>
      <w:r w:rsidRPr="00545C20">
        <w:rPr>
          <w:rFonts w:ascii="Verdana" w:hAnsi="Verdana"/>
          <w:sz w:val="14"/>
          <w:szCs w:val="14"/>
        </w:rPr>
        <w:t xml:space="preserve"> El artículo</w:t>
      </w:r>
      <w:r w:rsidRPr="00545C20">
        <w:rPr>
          <w:rFonts w:ascii="Verdana" w:hAnsi="Verdana"/>
          <w:spacing w:val="-2"/>
          <w:sz w:val="14"/>
          <w:szCs w:val="14"/>
        </w:rPr>
        <w:t xml:space="preserve"> </w:t>
      </w:r>
      <w:r w:rsidRPr="00545C20">
        <w:rPr>
          <w:rFonts w:ascii="Verdana" w:hAnsi="Verdana"/>
          <w:sz w:val="14"/>
          <w:szCs w:val="14"/>
        </w:rPr>
        <w:t>14</w:t>
      </w:r>
      <w:r w:rsidRPr="00545C20">
        <w:rPr>
          <w:rFonts w:ascii="Verdana" w:hAnsi="Verdana"/>
          <w:spacing w:val="-2"/>
          <w:sz w:val="14"/>
          <w:szCs w:val="14"/>
        </w:rPr>
        <w:t xml:space="preserve"> </w:t>
      </w:r>
      <w:r w:rsidRPr="00545C20">
        <w:rPr>
          <w:rFonts w:ascii="Verdana" w:hAnsi="Verdana"/>
          <w:sz w:val="14"/>
          <w:szCs w:val="14"/>
        </w:rPr>
        <w:t>original de la</w:t>
      </w:r>
      <w:r w:rsidRPr="00545C20">
        <w:rPr>
          <w:rFonts w:ascii="Verdana" w:hAnsi="Verdana"/>
          <w:spacing w:val="-1"/>
          <w:sz w:val="14"/>
          <w:szCs w:val="14"/>
        </w:rPr>
        <w:t xml:space="preserve"> </w:t>
      </w:r>
      <w:r w:rsidRPr="00545C20">
        <w:rPr>
          <w:rFonts w:ascii="Verdana" w:hAnsi="Verdana"/>
          <w:sz w:val="14"/>
          <w:szCs w:val="14"/>
        </w:rPr>
        <w:t>Ley 1150</w:t>
      </w:r>
      <w:r w:rsidRPr="00545C20">
        <w:rPr>
          <w:rFonts w:ascii="Verdana" w:hAnsi="Verdana"/>
          <w:spacing w:val="-2"/>
          <w:sz w:val="14"/>
          <w:szCs w:val="14"/>
        </w:rPr>
        <w:t xml:space="preserve"> </w:t>
      </w:r>
      <w:r w:rsidRPr="00545C20">
        <w:rPr>
          <w:rFonts w:ascii="Verdana" w:hAnsi="Verdana"/>
          <w:sz w:val="14"/>
          <w:szCs w:val="14"/>
        </w:rPr>
        <w:t>de 2007</w:t>
      </w:r>
      <w:r w:rsidRPr="00545C20">
        <w:rPr>
          <w:rFonts w:ascii="Verdana" w:hAnsi="Verdana"/>
          <w:spacing w:val="-2"/>
          <w:sz w:val="14"/>
          <w:szCs w:val="14"/>
        </w:rPr>
        <w:t xml:space="preserve"> </w:t>
      </w:r>
      <w:r w:rsidRPr="00545C20">
        <w:rPr>
          <w:rFonts w:ascii="Verdana" w:hAnsi="Verdana"/>
          <w:sz w:val="14"/>
          <w:szCs w:val="14"/>
        </w:rPr>
        <w:t>excluía</w:t>
      </w:r>
      <w:r w:rsidRPr="00545C20">
        <w:rPr>
          <w:rFonts w:ascii="Verdana" w:hAnsi="Verdana"/>
          <w:spacing w:val="-1"/>
          <w:sz w:val="14"/>
          <w:szCs w:val="14"/>
        </w:rPr>
        <w:t xml:space="preserve"> </w:t>
      </w:r>
      <w:r w:rsidRPr="00545C20">
        <w:rPr>
          <w:rFonts w:ascii="Verdana" w:hAnsi="Verdana"/>
          <w:sz w:val="14"/>
          <w:szCs w:val="14"/>
        </w:rPr>
        <w:t>además aquellas cuya</w:t>
      </w:r>
      <w:r w:rsidRPr="00545C20">
        <w:rPr>
          <w:rFonts w:ascii="Verdana" w:hAnsi="Verdana"/>
          <w:spacing w:val="-1"/>
          <w:sz w:val="14"/>
          <w:szCs w:val="14"/>
        </w:rPr>
        <w:t xml:space="preserve"> </w:t>
      </w:r>
      <w:r w:rsidRPr="00545C20">
        <w:rPr>
          <w:rFonts w:ascii="Verdana" w:hAnsi="Verdana"/>
          <w:sz w:val="14"/>
          <w:szCs w:val="14"/>
        </w:rPr>
        <w:t>actividad</w:t>
      </w:r>
      <w:r w:rsidRPr="00545C20">
        <w:rPr>
          <w:rFonts w:ascii="Verdana" w:hAnsi="Verdana"/>
          <w:spacing w:val="-5"/>
          <w:sz w:val="14"/>
          <w:szCs w:val="14"/>
        </w:rPr>
        <w:t xml:space="preserve"> </w:t>
      </w:r>
      <w:r w:rsidRPr="00545C20">
        <w:rPr>
          <w:rFonts w:ascii="Verdana" w:hAnsi="Verdana"/>
          <w:sz w:val="14"/>
          <w:szCs w:val="14"/>
        </w:rPr>
        <w:t>se realizaba en</w:t>
      </w:r>
      <w:r w:rsidRPr="00545C20">
        <w:rPr>
          <w:rFonts w:ascii="Verdana" w:hAnsi="Verdana"/>
          <w:spacing w:val="-6"/>
          <w:sz w:val="14"/>
          <w:szCs w:val="14"/>
        </w:rPr>
        <w:t xml:space="preserve"> </w:t>
      </w:r>
      <w:r w:rsidRPr="00545C20">
        <w:rPr>
          <w:rFonts w:ascii="Verdana" w:hAnsi="Verdana"/>
          <w:sz w:val="14"/>
          <w:szCs w:val="14"/>
        </w:rPr>
        <w:t>“mercados</w:t>
      </w:r>
      <w:r w:rsidRPr="00545C20">
        <w:rPr>
          <w:rFonts w:ascii="Verdana" w:hAnsi="Verdana"/>
          <w:spacing w:val="-3"/>
          <w:sz w:val="14"/>
          <w:szCs w:val="14"/>
        </w:rPr>
        <w:t xml:space="preserve"> </w:t>
      </w:r>
      <w:r w:rsidRPr="00545C20">
        <w:rPr>
          <w:rFonts w:ascii="Verdana" w:hAnsi="Verdana"/>
          <w:sz w:val="14"/>
          <w:szCs w:val="14"/>
        </w:rPr>
        <w:t>monopolísticos”,</w:t>
      </w:r>
      <w:r w:rsidRPr="00545C20">
        <w:rPr>
          <w:rFonts w:ascii="Verdana" w:hAnsi="Verdana"/>
          <w:spacing w:val="-2"/>
          <w:sz w:val="14"/>
          <w:szCs w:val="14"/>
        </w:rPr>
        <w:t xml:space="preserve"> </w:t>
      </w:r>
      <w:r w:rsidRPr="00545C20">
        <w:rPr>
          <w:rFonts w:ascii="Verdana" w:hAnsi="Verdana"/>
          <w:sz w:val="14"/>
          <w:szCs w:val="14"/>
        </w:rPr>
        <w:t>pero,</w:t>
      </w:r>
      <w:r w:rsidRPr="00545C20">
        <w:rPr>
          <w:rFonts w:ascii="Verdana" w:hAnsi="Verdana"/>
          <w:spacing w:val="-2"/>
          <w:sz w:val="14"/>
          <w:szCs w:val="14"/>
        </w:rPr>
        <w:t xml:space="preserve"> </w:t>
      </w:r>
      <w:r w:rsidRPr="00545C20">
        <w:rPr>
          <w:rFonts w:ascii="Verdana" w:hAnsi="Verdana"/>
          <w:sz w:val="14"/>
          <w:szCs w:val="14"/>
        </w:rPr>
        <w:t>con</w:t>
      </w:r>
      <w:r w:rsidRPr="00545C20">
        <w:rPr>
          <w:rFonts w:ascii="Verdana" w:hAnsi="Verdana"/>
          <w:spacing w:val="-5"/>
          <w:sz w:val="14"/>
          <w:szCs w:val="14"/>
        </w:rPr>
        <w:t xml:space="preserve"> </w:t>
      </w:r>
      <w:r w:rsidRPr="00545C20">
        <w:rPr>
          <w:rFonts w:ascii="Verdana" w:hAnsi="Verdana"/>
          <w:sz w:val="14"/>
          <w:szCs w:val="14"/>
        </w:rPr>
        <w:t>buen</w:t>
      </w:r>
      <w:r w:rsidRPr="00545C20">
        <w:rPr>
          <w:rFonts w:ascii="Verdana" w:hAnsi="Verdana"/>
          <w:spacing w:val="-6"/>
          <w:sz w:val="14"/>
          <w:szCs w:val="14"/>
        </w:rPr>
        <w:t xml:space="preserve"> </w:t>
      </w:r>
      <w:r w:rsidRPr="00545C20">
        <w:rPr>
          <w:rFonts w:ascii="Verdana" w:hAnsi="Verdana"/>
          <w:sz w:val="14"/>
          <w:szCs w:val="14"/>
        </w:rPr>
        <w:t>tino,</w:t>
      </w:r>
      <w:r w:rsidRPr="00545C20">
        <w:rPr>
          <w:rFonts w:ascii="Verdana" w:hAnsi="Verdana"/>
          <w:spacing w:val="-2"/>
          <w:sz w:val="14"/>
          <w:szCs w:val="14"/>
        </w:rPr>
        <w:t xml:space="preserve"> </w:t>
      </w:r>
      <w:r w:rsidRPr="00545C20">
        <w:rPr>
          <w:rFonts w:ascii="Verdana" w:hAnsi="Verdana"/>
          <w:sz w:val="14"/>
          <w:szCs w:val="14"/>
        </w:rPr>
        <w:t>se</w:t>
      </w:r>
      <w:r w:rsidRPr="00545C20">
        <w:rPr>
          <w:rFonts w:ascii="Verdana" w:hAnsi="Verdana"/>
          <w:spacing w:val="-4"/>
          <w:sz w:val="14"/>
          <w:szCs w:val="14"/>
        </w:rPr>
        <w:t xml:space="preserve"> </w:t>
      </w:r>
      <w:r w:rsidRPr="00545C20">
        <w:rPr>
          <w:rFonts w:ascii="Verdana" w:hAnsi="Verdana"/>
          <w:sz w:val="14"/>
          <w:szCs w:val="14"/>
        </w:rPr>
        <w:t>eliminó</w:t>
      </w:r>
      <w:r w:rsidRPr="00545C20">
        <w:rPr>
          <w:rFonts w:ascii="Verdana" w:hAnsi="Verdana"/>
          <w:spacing w:val="-6"/>
          <w:sz w:val="14"/>
          <w:szCs w:val="14"/>
        </w:rPr>
        <w:t xml:space="preserve"> </w:t>
      </w:r>
      <w:r w:rsidRPr="00545C20">
        <w:rPr>
          <w:rFonts w:ascii="Verdana" w:hAnsi="Verdana"/>
          <w:sz w:val="14"/>
          <w:szCs w:val="14"/>
        </w:rPr>
        <w:t>en</w:t>
      </w:r>
      <w:r w:rsidRPr="00545C20">
        <w:rPr>
          <w:rFonts w:ascii="Verdana" w:hAnsi="Verdana"/>
          <w:spacing w:val="-6"/>
          <w:sz w:val="14"/>
          <w:szCs w:val="14"/>
        </w:rPr>
        <w:t xml:space="preserve"> </w:t>
      </w:r>
      <w:r w:rsidRPr="00545C20">
        <w:rPr>
          <w:rFonts w:ascii="Verdana" w:hAnsi="Verdana"/>
          <w:sz w:val="14"/>
          <w:szCs w:val="14"/>
        </w:rPr>
        <w:t>el</w:t>
      </w:r>
      <w:r w:rsidRPr="00545C20">
        <w:rPr>
          <w:rFonts w:ascii="Verdana" w:hAnsi="Verdana"/>
          <w:spacing w:val="-3"/>
          <w:sz w:val="14"/>
          <w:szCs w:val="14"/>
        </w:rPr>
        <w:t xml:space="preserve"> </w:t>
      </w:r>
      <w:r w:rsidRPr="00545C20">
        <w:rPr>
          <w:rFonts w:ascii="Verdana" w:hAnsi="Verdana"/>
          <w:sz w:val="14"/>
          <w:szCs w:val="14"/>
        </w:rPr>
        <w:t>artículo</w:t>
      </w:r>
      <w:r w:rsidRPr="00545C20">
        <w:rPr>
          <w:rFonts w:ascii="Verdana" w:hAnsi="Verdana"/>
          <w:spacing w:val="-6"/>
          <w:sz w:val="14"/>
          <w:szCs w:val="14"/>
        </w:rPr>
        <w:t xml:space="preserve"> </w:t>
      </w:r>
      <w:r w:rsidRPr="00545C20">
        <w:rPr>
          <w:rFonts w:ascii="Verdana" w:hAnsi="Verdana"/>
          <w:sz w:val="14"/>
          <w:szCs w:val="14"/>
        </w:rPr>
        <w:t>93</w:t>
      </w:r>
      <w:r w:rsidRPr="00545C20">
        <w:rPr>
          <w:rFonts w:ascii="Verdana" w:hAnsi="Verdana"/>
          <w:spacing w:val="-6"/>
          <w:sz w:val="14"/>
          <w:szCs w:val="14"/>
        </w:rPr>
        <w:t xml:space="preserve"> </w:t>
      </w:r>
      <w:r w:rsidRPr="00545C20">
        <w:rPr>
          <w:rFonts w:ascii="Verdana" w:hAnsi="Verdana"/>
          <w:sz w:val="14"/>
          <w:szCs w:val="14"/>
        </w:rPr>
        <w:t>de</w:t>
      </w:r>
      <w:r w:rsidRPr="00545C20">
        <w:rPr>
          <w:rFonts w:ascii="Verdana" w:hAnsi="Verdana"/>
          <w:spacing w:val="-4"/>
          <w:sz w:val="14"/>
          <w:szCs w:val="14"/>
        </w:rPr>
        <w:t xml:space="preserve"> </w:t>
      </w:r>
      <w:r w:rsidRPr="00545C20">
        <w:rPr>
          <w:rFonts w:ascii="Verdana" w:hAnsi="Verdana"/>
          <w:sz w:val="14"/>
          <w:szCs w:val="14"/>
        </w:rPr>
        <w:t>la</w:t>
      </w:r>
      <w:r w:rsidRPr="00545C20">
        <w:rPr>
          <w:rFonts w:ascii="Verdana" w:hAnsi="Verdana"/>
          <w:spacing w:val="-5"/>
          <w:sz w:val="14"/>
          <w:szCs w:val="14"/>
        </w:rPr>
        <w:t xml:space="preserve"> </w:t>
      </w:r>
      <w:r w:rsidRPr="00545C20">
        <w:rPr>
          <w:rFonts w:ascii="Verdana" w:hAnsi="Verdana"/>
          <w:sz w:val="14"/>
          <w:szCs w:val="14"/>
        </w:rPr>
        <w:t>Ley</w:t>
      </w:r>
      <w:r w:rsidRPr="00545C20">
        <w:rPr>
          <w:rFonts w:ascii="Verdana" w:hAnsi="Verdana"/>
          <w:spacing w:val="-4"/>
          <w:sz w:val="14"/>
          <w:szCs w:val="14"/>
        </w:rPr>
        <w:t xml:space="preserve"> </w:t>
      </w:r>
      <w:r w:rsidRPr="00545C20">
        <w:rPr>
          <w:rFonts w:ascii="Verdana" w:hAnsi="Verdana"/>
          <w:sz w:val="14"/>
          <w:szCs w:val="14"/>
        </w:rPr>
        <w:t>1474</w:t>
      </w:r>
      <w:r w:rsidRPr="00545C20">
        <w:rPr>
          <w:rFonts w:ascii="Verdana" w:hAnsi="Verdana"/>
          <w:spacing w:val="-6"/>
          <w:sz w:val="14"/>
          <w:szCs w:val="14"/>
        </w:rPr>
        <w:t xml:space="preserve"> </w:t>
      </w:r>
      <w:r w:rsidRPr="00545C20">
        <w:rPr>
          <w:rFonts w:ascii="Verdana" w:hAnsi="Verdana"/>
          <w:sz w:val="14"/>
          <w:szCs w:val="14"/>
        </w:rPr>
        <w:t>de</w:t>
      </w:r>
      <w:r w:rsidRPr="00545C20">
        <w:rPr>
          <w:rFonts w:ascii="Verdana" w:hAnsi="Verdana"/>
          <w:spacing w:val="-4"/>
          <w:sz w:val="14"/>
          <w:szCs w:val="14"/>
        </w:rPr>
        <w:t xml:space="preserve"> </w:t>
      </w:r>
      <w:r w:rsidRPr="00545C20">
        <w:rPr>
          <w:rFonts w:ascii="Verdana" w:hAnsi="Verdana"/>
          <w:sz w:val="14"/>
          <w:szCs w:val="14"/>
        </w:rPr>
        <w:t>2011,</w:t>
      </w:r>
      <w:r w:rsidRPr="00545C20">
        <w:rPr>
          <w:rFonts w:ascii="Verdana" w:hAnsi="Verdana"/>
          <w:spacing w:val="-2"/>
          <w:sz w:val="14"/>
          <w:szCs w:val="14"/>
        </w:rPr>
        <w:t xml:space="preserve"> </w:t>
      </w:r>
      <w:r w:rsidRPr="00545C20">
        <w:rPr>
          <w:rFonts w:ascii="Verdana" w:hAnsi="Verdana"/>
          <w:sz w:val="14"/>
          <w:szCs w:val="14"/>
        </w:rPr>
        <w:t>pues en ese caso no se está en presencia de los fundamentos que soportan la excepción de no aplicar el Estatuto General de Contratación de la Administración Pública, cual es la “competencia y el libre juego del mercado”.</w:t>
      </w:r>
    </w:p>
  </w:footnote>
  <w:footnote w:id="5">
    <w:p w14:paraId="19333404" w14:textId="77777777" w:rsidR="002F5531" w:rsidRPr="00545C20" w:rsidRDefault="002F5531" w:rsidP="002F5531">
      <w:pPr>
        <w:pStyle w:val="Textonotapie"/>
        <w:tabs>
          <w:tab w:val="left" w:pos="993"/>
        </w:tabs>
        <w:snapToGrid w:val="0"/>
        <w:ind w:right="333" w:firstLine="709"/>
        <w:jc w:val="both"/>
        <w:rPr>
          <w:rFonts w:ascii="Verdana" w:hAnsi="Verdana"/>
          <w:spacing w:val="-7"/>
          <w:sz w:val="14"/>
          <w:szCs w:val="14"/>
        </w:rPr>
      </w:pPr>
      <w:r w:rsidRPr="00545C20">
        <w:rPr>
          <w:rStyle w:val="Refdenotaalpie"/>
          <w:rFonts w:ascii="Verdana" w:hAnsi="Verdana"/>
          <w:sz w:val="14"/>
          <w:szCs w:val="14"/>
        </w:rPr>
        <w:footnoteRef/>
      </w:r>
      <w:r w:rsidRPr="00545C20">
        <w:rPr>
          <w:rFonts w:ascii="Verdana" w:hAnsi="Verdana"/>
          <w:sz w:val="14"/>
          <w:szCs w:val="14"/>
        </w:rPr>
        <w:t xml:space="preserve"> Consejo</w:t>
      </w:r>
      <w:r w:rsidRPr="00545C20">
        <w:rPr>
          <w:rFonts w:ascii="Verdana" w:hAnsi="Verdana"/>
          <w:spacing w:val="-8"/>
          <w:sz w:val="14"/>
          <w:szCs w:val="14"/>
        </w:rPr>
        <w:t xml:space="preserve"> </w:t>
      </w:r>
      <w:r w:rsidRPr="00545C20">
        <w:rPr>
          <w:rFonts w:ascii="Verdana" w:hAnsi="Verdana"/>
          <w:sz w:val="14"/>
          <w:szCs w:val="14"/>
        </w:rPr>
        <w:t>de</w:t>
      </w:r>
      <w:r w:rsidRPr="00545C20">
        <w:rPr>
          <w:rFonts w:ascii="Verdana" w:hAnsi="Verdana"/>
          <w:spacing w:val="-10"/>
          <w:sz w:val="14"/>
          <w:szCs w:val="14"/>
        </w:rPr>
        <w:t xml:space="preserve"> </w:t>
      </w:r>
      <w:r w:rsidRPr="00545C20">
        <w:rPr>
          <w:rFonts w:ascii="Verdana" w:hAnsi="Verdana"/>
          <w:sz w:val="14"/>
          <w:szCs w:val="14"/>
        </w:rPr>
        <w:t>Estado.</w:t>
      </w:r>
      <w:r w:rsidRPr="00545C20">
        <w:rPr>
          <w:rFonts w:ascii="Verdana" w:hAnsi="Verdana"/>
          <w:spacing w:val="-9"/>
          <w:sz w:val="14"/>
          <w:szCs w:val="14"/>
        </w:rPr>
        <w:t xml:space="preserve"> </w:t>
      </w:r>
      <w:r w:rsidRPr="00545C20">
        <w:rPr>
          <w:rFonts w:ascii="Verdana" w:hAnsi="Verdana"/>
          <w:sz w:val="14"/>
          <w:szCs w:val="14"/>
        </w:rPr>
        <w:t>Sección</w:t>
      </w:r>
      <w:r w:rsidRPr="00545C20">
        <w:rPr>
          <w:rFonts w:ascii="Verdana" w:hAnsi="Verdana"/>
          <w:spacing w:val="-10"/>
          <w:sz w:val="14"/>
          <w:szCs w:val="14"/>
        </w:rPr>
        <w:t xml:space="preserve"> </w:t>
      </w:r>
      <w:r w:rsidRPr="00545C20">
        <w:rPr>
          <w:rFonts w:ascii="Verdana" w:hAnsi="Verdana"/>
          <w:sz w:val="14"/>
          <w:szCs w:val="14"/>
        </w:rPr>
        <w:t>Tercera,</w:t>
      </w:r>
      <w:r w:rsidRPr="00545C20">
        <w:rPr>
          <w:rFonts w:ascii="Verdana" w:hAnsi="Verdana"/>
          <w:spacing w:val="-9"/>
          <w:sz w:val="14"/>
          <w:szCs w:val="14"/>
        </w:rPr>
        <w:t xml:space="preserve"> </w:t>
      </w:r>
      <w:r w:rsidRPr="00545C20">
        <w:rPr>
          <w:rFonts w:ascii="Verdana" w:hAnsi="Verdana"/>
          <w:sz w:val="14"/>
          <w:szCs w:val="14"/>
        </w:rPr>
        <w:t>Sentencia</w:t>
      </w:r>
      <w:r w:rsidRPr="00545C20">
        <w:rPr>
          <w:rFonts w:ascii="Verdana" w:hAnsi="Verdana"/>
          <w:spacing w:val="-10"/>
          <w:sz w:val="14"/>
          <w:szCs w:val="14"/>
        </w:rPr>
        <w:t xml:space="preserve"> </w:t>
      </w:r>
      <w:r w:rsidRPr="00545C20">
        <w:rPr>
          <w:rFonts w:ascii="Verdana" w:hAnsi="Verdana"/>
          <w:sz w:val="14"/>
          <w:szCs w:val="14"/>
        </w:rPr>
        <w:t>del</w:t>
      </w:r>
      <w:r w:rsidRPr="00545C20">
        <w:rPr>
          <w:rFonts w:ascii="Verdana" w:hAnsi="Verdana"/>
          <w:spacing w:val="-9"/>
          <w:sz w:val="14"/>
          <w:szCs w:val="14"/>
        </w:rPr>
        <w:t xml:space="preserve"> </w:t>
      </w:r>
      <w:r w:rsidRPr="00545C20">
        <w:rPr>
          <w:rFonts w:ascii="Verdana" w:hAnsi="Verdana"/>
          <w:sz w:val="14"/>
          <w:szCs w:val="14"/>
        </w:rPr>
        <w:t>19</w:t>
      </w:r>
      <w:r w:rsidRPr="00545C20">
        <w:rPr>
          <w:rFonts w:ascii="Verdana" w:hAnsi="Verdana"/>
          <w:spacing w:val="-11"/>
          <w:sz w:val="14"/>
          <w:szCs w:val="14"/>
        </w:rPr>
        <w:t xml:space="preserve"> </w:t>
      </w:r>
      <w:r w:rsidRPr="00545C20">
        <w:rPr>
          <w:rFonts w:ascii="Verdana" w:hAnsi="Verdana"/>
          <w:sz w:val="14"/>
          <w:szCs w:val="14"/>
        </w:rPr>
        <w:t>de</w:t>
      </w:r>
      <w:r w:rsidRPr="00545C20">
        <w:rPr>
          <w:rFonts w:ascii="Verdana" w:hAnsi="Verdana"/>
          <w:spacing w:val="-5"/>
          <w:sz w:val="14"/>
          <w:szCs w:val="14"/>
        </w:rPr>
        <w:t xml:space="preserve"> </w:t>
      </w:r>
      <w:r w:rsidRPr="00545C20">
        <w:rPr>
          <w:rFonts w:ascii="Verdana" w:hAnsi="Verdana"/>
          <w:sz w:val="14"/>
          <w:szCs w:val="14"/>
        </w:rPr>
        <w:t>agosto</w:t>
      </w:r>
      <w:r w:rsidRPr="00545C20">
        <w:rPr>
          <w:rFonts w:ascii="Verdana" w:hAnsi="Verdana"/>
          <w:spacing w:val="-11"/>
          <w:sz w:val="14"/>
          <w:szCs w:val="14"/>
        </w:rPr>
        <w:t xml:space="preserve"> </w:t>
      </w:r>
      <w:r w:rsidRPr="00545C20">
        <w:rPr>
          <w:rFonts w:ascii="Verdana" w:hAnsi="Verdana"/>
          <w:sz w:val="14"/>
          <w:szCs w:val="14"/>
        </w:rPr>
        <w:t>de</w:t>
      </w:r>
      <w:r w:rsidRPr="00545C20">
        <w:rPr>
          <w:rFonts w:ascii="Verdana" w:hAnsi="Verdana"/>
          <w:spacing w:val="-10"/>
          <w:sz w:val="14"/>
          <w:szCs w:val="14"/>
        </w:rPr>
        <w:t xml:space="preserve"> </w:t>
      </w:r>
      <w:r w:rsidRPr="00545C20">
        <w:rPr>
          <w:rFonts w:ascii="Verdana" w:hAnsi="Verdana"/>
          <w:sz w:val="14"/>
          <w:szCs w:val="14"/>
        </w:rPr>
        <w:t>2004</w:t>
      </w:r>
      <w:r w:rsidRPr="00545C20">
        <w:rPr>
          <w:rFonts w:ascii="Verdana" w:hAnsi="Verdana"/>
          <w:spacing w:val="-7"/>
          <w:sz w:val="14"/>
          <w:szCs w:val="14"/>
        </w:rPr>
        <w:t xml:space="preserve"> </w:t>
      </w:r>
      <w:proofErr w:type="spellStart"/>
      <w:r w:rsidRPr="00545C20">
        <w:rPr>
          <w:rFonts w:ascii="Verdana" w:hAnsi="Verdana"/>
          <w:sz w:val="14"/>
          <w:szCs w:val="14"/>
        </w:rPr>
        <w:t>Exp</w:t>
      </w:r>
      <w:proofErr w:type="spellEnd"/>
      <w:r w:rsidRPr="00545C20">
        <w:rPr>
          <w:rFonts w:ascii="Verdana" w:hAnsi="Verdana"/>
          <w:sz w:val="14"/>
          <w:szCs w:val="14"/>
        </w:rPr>
        <w:t>.</w:t>
      </w:r>
      <w:r w:rsidRPr="00545C20">
        <w:rPr>
          <w:rFonts w:ascii="Verdana" w:hAnsi="Verdana"/>
          <w:spacing w:val="-9"/>
          <w:sz w:val="14"/>
          <w:szCs w:val="14"/>
        </w:rPr>
        <w:t xml:space="preserve"> </w:t>
      </w:r>
      <w:r w:rsidRPr="00545C20">
        <w:rPr>
          <w:rFonts w:ascii="Verdana" w:hAnsi="Verdana"/>
          <w:sz w:val="14"/>
          <w:szCs w:val="14"/>
        </w:rPr>
        <w:t>12.342,</w:t>
      </w:r>
      <w:r w:rsidRPr="00545C20">
        <w:rPr>
          <w:rFonts w:ascii="Verdana" w:hAnsi="Verdana"/>
          <w:spacing w:val="-9"/>
          <w:sz w:val="14"/>
          <w:szCs w:val="14"/>
        </w:rPr>
        <w:t xml:space="preserve"> </w:t>
      </w:r>
      <w:r w:rsidRPr="00545C20">
        <w:rPr>
          <w:rFonts w:ascii="Verdana" w:hAnsi="Verdana"/>
          <w:sz w:val="14"/>
          <w:szCs w:val="14"/>
        </w:rPr>
        <w:t>reiterada</w:t>
      </w:r>
      <w:r w:rsidRPr="00545C20">
        <w:rPr>
          <w:rFonts w:ascii="Verdana" w:hAnsi="Verdana"/>
          <w:spacing w:val="-10"/>
          <w:sz w:val="14"/>
          <w:szCs w:val="14"/>
        </w:rPr>
        <w:t xml:space="preserve"> </w:t>
      </w:r>
      <w:r w:rsidRPr="00545C20">
        <w:rPr>
          <w:rFonts w:ascii="Verdana" w:hAnsi="Verdana"/>
          <w:sz w:val="14"/>
          <w:szCs w:val="14"/>
        </w:rPr>
        <w:t xml:space="preserve">en sentencia de 6 de febrero de 2006, </w:t>
      </w:r>
      <w:proofErr w:type="spellStart"/>
      <w:r w:rsidRPr="00545C20">
        <w:rPr>
          <w:rFonts w:ascii="Verdana" w:hAnsi="Verdana"/>
          <w:sz w:val="14"/>
          <w:szCs w:val="14"/>
        </w:rPr>
        <w:t>Exp</w:t>
      </w:r>
      <w:proofErr w:type="spellEnd"/>
      <w:r w:rsidRPr="00545C20">
        <w:rPr>
          <w:rFonts w:ascii="Verdana" w:hAnsi="Verdana"/>
          <w:sz w:val="14"/>
          <w:szCs w:val="14"/>
        </w:rPr>
        <w:t>. 13.414.</w:t>
      </w:r>
    </w:p>
  </w:footnote>
  <w:footnote w:id="6">
    <w:p w14:paraId="38C0B6D3" w14:textId="77777777" w:rsidR="00566725" w:rsidRPr="00B41362" w:rsidRDefault="00566725" w:rsidP="00566725">
      <w:pPr>
        <w:pStyle w:val="Textonotapie"/>
        <w:ind w:firstLine="709"/>
        <w:jc w:val="both"/>
        <w:rPr>
          <w:rFonts w:ascii="Verdana" w:hAnsi="Verdana" w:cs="Arial"/>
          <w:sz w:val="14"/>
          <w:szCs w:val="14"/>
        </w:rPr>
      </w:pPr>
      <w:r w:rsidRPr="00B41362">
        <w:rPr>
          <w:rStyle w:val="Refdenotaalpie"/>
          <w:rFonts w:ascii="Verdana" w:hAnsi="Verdana" w:cs="Arial"/>
          <w:sz w:val="14"/>
          <w:szCs w:val="14"/>
        </w:rPr>
        <w:footnoteRef/>
      </w:r>
      <w:r w:rsidRPr="00B41362">
        <w:rPr>
          <w:rFonts w:ascii="Verdana" w:hAnsi="Verdana" w:cs="Arial"/>
          <w:sz w:val="14"/>
          <w:szCs w:val="14"/>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54329537" w14:textId="77777777" w:rsidR="00566725" w:rsidRPr="00B41362" w:rsidRDefault="00566725" w:rsidP="00566725">
      <w:pPr>
        <w:pStyle w:val="Textonotapie"/>
        <w:ind w:firstLine="709"/>
        <w:jc w:val="both"/>
        <w:rPr>
          <w:rFonts w:ascii="Verdana" w:hAnsi="Verdana" w:cs="Arial"/>
          <w:sz w:val="14"/>
          <w:szCs w:val="14"/>
        </w:rPr>
      </w:pPr>
      <w:r w:rsidRPr="00B41362">
        <w:rPr>
          <w:rFonts w:ascii="Verdana" w:hAnsi="Verdana" w:cs="Arial"/>
          <w:sz w:val="14"/>
          <w:szCs w:val="14"/>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footnote>
  <w:footnote w:id="7">
    <w:p w14:paraId="339353A5" w14:textId="77777777" w:rsidR="00566725" w:rsidRPr="00B41362" w:rsidRDefault="00566725" w:rsidP="00566725">
      <w:pPr>
        <w:pStyle w:val="Textonotapie"/>
        <w:ind w:firstLine="709"/>
        <w:jc w:val="both"/>
        <w:rPr>
          <w:rFonts w:ascii="Verdana" w:hAnsi="Verdana" w:cs="Arial"/>
          <w:sz w:val="14"/>
          <w:szCs w:val="14"/>
        </w:rPr>
      </w:pPr>
      <w:r w:rsidRPr="00B41362">
        <w:rPr>
          <w:rStyle w:val="Refdenotaalpie"/>
          <w:rFonts w:ascii="Verdana" w:hAnsi="Verdana" w:cs="Arial"/>
          <w:sz w:val="14"/>
          <w:szCs w:val="14"/>
        </w:rPr>
        <w:footnoteRef/>
      </w:r>
      <w:r w:rsidRPr="00B41362">
        <w:rPr>
          <w:rFonts w:ascii="Verdana" w:hAnsi="Verdana" w:cs="Arial"/>
          <w:sz w:val="14"/>
          <w:szCs w:val="14"/>
        </w:rPr>
        <w:t xml:space="preserve"> Gaceta del Congreso de la República No. 71 del 2005.</w:t>
      </w:r>
    </w:p>
  </w:footnote>
  <w:footnote w:id="8">
    <w:p w14:paraId="35FCB3AA" w14:textId="77777777" w:rsidR="00566725" w:rsidRPr="00B41362" w:rsidRDefault="00566725" w:rsidP="00566725">
      <w:pPr>
        <w:pStyle w:val="Textonotapie"/>
        <w:ind w:firstLine="709"/>
        <w:jc w:val="both"/>
        <w:rPr>
          <w:rFonts w:ascii="Verdana" w:hAnsi="Verdana" w:cs="Arial"/>
          <w:sz w:val="14"/>
          <w:szCs w:val="14"/>
          <w:lang w:val="pt-BR"/>
        </w:rPr>
      </w:pPr>
      <w:r w:rsidRPr="00B41362">
        <w:rPr>
          <w:rStyle w:val="Refdenotaalpie"/>
          <w:rFonts w:ascii="Verdana" w:hAnsi="Verdana" w:cs="Arial"/>
          <w:sz w:val="14"/>
          <w:szCs w:val="14"/>
        </w:rPr>
        <w:footnoteRef/>
      </w:r>
      <w:r w:rsidRPr="00B41362">
        <w:rPr>
          <w:rFonts w:ascii="Verdana" w:hAnsi="Verdana" w:cs="Arial"/>
          <w:sz w:val="14"/>
          <w:szCs w:val="14"/>
          <w:lang w:val="pt-BR"/>
        </w:rPr>
        <w:t xml:space="preserve"> Corte Constitucional, Sentencia C- 1153 de 2005, M.P. Marco Gerardo </w:t>
      </w:r>
      <w:proofErr w:type="spellStart"/>
      <w:r w:rsidRPr="00B41362">
        <w:rPr>
          <w:rFonts w:ascii="Verdana" w:hAnsi="Verdana" w:cs="Arial"/>
          <w:sz w:val="14"/>
          <w:szCs w:val="14"/>
          <w:lang w:val="pt-BR"/>
        </w:rPr>
        <w:t>Monroy</w:t>
      </w:r>
      <w:proofErr w:type="spellEnd"/>
      <w:r w:rsidRPr="00B41362">
        <w:rPr>
          <w:rFonts w:ascii="Verdana" w:hAnsi="Verdana" w:cs="Arial"/>
          <w:sz w:val="14"/>
          <w:szCs w:val="14"/>
          <w:lang w:val="pt-BR"/>
        </w:rPr>
        <w:t xml:space="preserve"> Cabra.</w:t>
      </w:r>
    </w:p>
  </w:footnote>
  <w:footnote w:id="9">
    <w:p w14:paraId="3A85489D" w14:textId="77777777" w:rsidR="00566725" w:rsidRPr="00B41362" w:rsidRDefault="00566725" w:rsidP="00566725">
      <w:pPr>
        <w:pStyle w:val="Textonotapie"/>
        <w:ind w:firstLine="709"/>
        <w:jc w:val="both"/>
        <w:rPr>
          <w:rFonts w:ascii="Verdana" w:hAnsi="Verdana" w:cs="Arial"/>
          <w:sz w:val="14"/>
          <w:szCs w:val="14"/>
          <w:lang w:val="pt-BR"/>
        </w:rPr>
      </w:pPr>
      <w:r w:rsidRPr="00B41362">
        <w:rPr>
          <w:rStyle w:val="Refdenotaalpie"/>
          <w:rFonts w:ascii="Verdana" w:hAnsi="Verdana" w:cs="Arial"/>
          <w:sz w:val="14"/>
          <w:szCs w:val="14"/>
        </w:rPr>
        <w:footnoteRef/>
      </w:r>
      <w:r w:rsidRPr="00B41362">
        <w:rPr>
          <w:rFonts w:ascii="Verdana" w:hAnsi="Verdana" w:cs="Arial"/>
          <w:sz w:val="14"/>
          <w:szCs w:val="14"/>
          <w:lang w:val="pt-BR"/>
        </w:rPr>
        <w:t xml:space="preserve"> Corte Constitucional. Sentencias: C-233 de 4 de abril de 2002, expediente: D-3704; C-551 de 9 de </w:t>
      </w:r>
      <w:proofErr w:type="spellStart"/>
      <w:r w:rsidRPr="00B41362">
        <w:rPr>
          <w:rFonts w:ascii="Verdana" w:hAnsi="Verdana" w:cs="Arial"/>
          <w:sz w:val="14"/>
          <w:szCs w:val="14"/>
          <w:lang w:val="pt-BR"/>
        </w:rPr>
        <w:t>julio</w:t>
      </w:r>
      <w:proofErr w:type="spellEnd"/>
      <w:r w:rsidRPr="00B41362">
        <w:rPr>
          <w:rFonts w:ascii="Verdana" w:hAnsi="Verdana" w:cs="Arial"/>
          <w:sz w:val="14"/>
          <w:szCs w:val="14"/>
          <w:lang w:val="pt-BR"/>
        </w:rPr>
        <w:t xml:space="preserve"> de 2003, expediente: CRF-001 de 9 de </w:t>
      </w:r>
      <w:proofErr w:type="spellStart"/>
      <w:r w:rsidRPr="00B41362">
        <w:rPr>
          <w:rFonts w:ascii="Verdana" w:hAnsi="Verdana" w:cs="Arial"/>
          <w:sz w:val="14"/>
          <w:szCs w:val="14"/>
          <w:lang w:val="pt-BR"/>
        </w:rPr>
        <w:t>julio</w:t>
      </w:r>
      <w:proofErr w:type="spellEnd"/>
      <w:r w:rsidRPr="00B41362">
        <w:rPr>
          <w:rFonts w:ascii="Verdana" w:hAnsi="Verdana" w:cs="Arial"/>
          <w:sz w:val="14"/>
          <w:szCs w:val="14"/>
          <w:lang w:val="pt-BR"/>
        </w:rPr>
        <w:t xml:space="preserve"> de 2003; C-652 de 5 de agosto de 2003, expediente: D-4330; C-353 de 20 de </w:t>
      </w:r>
      <w:proofErr w:type="spellStart"/>
      <w:r w:rsidRPr="00B41362">
        <w:rPr>
          <w:rFonts w:ascii="Verdana" w:hAnsi="Verdana" w:cs="Arial"/>
          <w:sz w:val="14"/>
          <w:szCs w:val="14"/>
          <w:lang w:val="pt-BR"/>
        </w:rPr>
        <w:t>mayo</w:t>
      </w:r>
      <w:proofErr w:type="spellEnd"/>
      <w:r w:rsidRPr="00B41362">
        <w:rPr>
          <w:rFonts w:ascii="Verdana" w:hAnsi="Verdana" w:cs="Arial"/>
          <w:sz w:val="14"/>
          <w:szCs w:val="14"/>
          <w:lang w:val="pt-BR"/>
        </w:rPr>
        <w:t xml:space="preserve"> de 2009, expediente: D-7518, C-541 de 30 de </w:t>
      </w:r>
      <w:proofErr w:type="spellStart"/>
      <w:r w:rsidRPr="00B41362">
        <w:rPr>
          <w:rFonts w:ascii="Verdana" w:hAnsi="Verdana" w:cs="Arial"/>
          <w:sz w:val="14"/>
          <w:szCs w:val="14"/>
          <w:lang w:val="pt-BR"/>
        </w:rPr>
        <w:t>junio</w:t>
      </w:r>
      <w:proofErr w:type="spellEnd"/>
      <w:r w:rsidRPr="00B41362">
        <w:rPr>
          <w:rFonts w:ascii="Verdana" w:hAnsi="Verdana" w:cs="Arial"/>
          <w:sz w:val="14"/>
          <w:szCs w:val="14"/>
          <w:lang w:val="pt-BR"/>
        </w:rPr>
        <w:t xml:space="preserve"> de 2010, expediente: DD7966; entre </w:t>
      </w:r>
      <w:proofErr w:type="spellStart"/>
      <w:r w:rsidRPr="00B41362">
        <w:rPr>
          <w:rFonts w:ascii="Verdana" w:hAnsi="Verdana" w:cs="Arial"/>
          <w:sz w:val="14"/>
          <w:szCs w:val="14"/>
          <w:lang w:val="pt-BR"/>
        </w:rPr>
        <w:t>otras</w:t>
      </w:r>
      <w:proofErr w:type="spellEnd"/>
      <w:r w:rsidRPr="00B41362">
        <w:rPr>
          <w:rFonts w:ascii="Verdana" w:hAnsi="Verdana" w:cs="Arial"/>
          <w:sz w:val="14"/>
          <w:szCs w:val="14"/>
          <w:lang w:val="pt-BR"/>
        </w:rPr>
        <w:t>.</w:t>
      </w:r>
    </w:p>
  </w:footnote>
  <w:footnote w:id="10">
    <w:p w14:paraId="263F904B" w14:textId="77777777" w:rsidR="00566725" w:rsidRPr="00B41362" w:rsidRDefault="00566725" w:rsidP="00566725">
      <w:pPr>
        <w:pStyle w:val="Textonotapie"/>
        <w:ind w:firstLine="709"/>
        <w:jc w:val="both"/>
        <w:rPr>
          <w:rFonts w:ascii="Verdana" w:hAnsi="Verdana" w:cs="Arial"/>
          <w:sz w:val="14"/>
          <w:szCs w:val="14"/>
          <w:lang w:val="es-CO"/>
        </w:rPr>
      </w:pPr>
      <w:r w:rsidRPr="00B41362">
        <w:rPr>
          <w:rStyle w:val="Refdenotaalpie"/>
          <w:rFonts w:ascii="Verdana" w:hAnsi="Verdana" w:cs="Arial"/>
          <w:sz w:val="14"/>
          <w:szCs w:val="14"/>
        </w:rPr>
        <w:footnoteRef/>
      </w:r>
      <w:r w:rsidRPr="00B41362">
        <w:rPr>
          <w:rFonts w:ascii="Verdana" w:hAnsi="Verdana" w:cs="Arial"/>
          <w:sz w:val="14"/>
          <w:szCs w:val="14"/>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11">
    <w:p w14:paraId="6F8F5E3E" w14:textId="77777777" w:rsidR="00566725" w:rsidRPr="00B41362" w:rsidRDefault="00566725" w:rsidP="00566725">
      <w:pPr>
        <w:pStyle w:val="Textonotapie"/>
        <w:ind w:firstLine="709"/>
        <w:jc w:val="both"/>
        <w:rPr>
          <w:rFonts w:ascii="Verdana" w:hAnsi="Verdana" w:cs="Arial"/>
          <w:sz w:val="14"/>
          <w:szCs w:val="14"/>
        </w:rPr>
      </w:pPr>
      <w:r w:rsidRPr="00B41362">
        <w:rPr>
          <w:rStyle w:val="Refdenotaalpie"/>
          <w:rFonts w:ascii="Verdana" w:hAnsi="Verdana" w:cs="Arial"/>
          <w:sz w:val="14"/>
          <w:szCs w:val="14"/>
        </w:rPr>
        <w:footnoteRef/>
      </w:r>
      <w:r w:rsidRPr="00B41362">
        <w:rPr>
          <w:rFonts w:ascii="Verdana" w:hAnsi="Verdana" w:cs="Arial"/>
          <w:sz w:val="14"/>
          <w:szCs w:val="14"/>
        </w:rPr>
        <w:t xml:space="preserve"> Consejo de Estado, Sala de Consulta y Servicio Civil de fecha 24 de julio de 2013, radicado 2166, C. P. Álvaro Namén Vargas.  </w:t>
      </w:r>
    </w:p>
  </w:footnote>
  <w:footnote w:id="12">
    <w:p w14:paraId="6A1F57EC" w14:textId="77777777" w:rsidR="00566725" w:rsidRPr="00B41362" w:rsidRDefault="00566725" w:rsidP="00566725">
      <w:pPr>
        <w:spacing w:after="0" w:line="240" w:lineRule="auto"/>
        <w:ind w:firstLine="709"/>
        <w:jc w:val="both"/>
        <w:rPr>
          <w:rFonts w:ascii="Verdana" w:eastAsia="Times New Roman" w:hAnsi="Verdana" w:cs="Arial"/>
          <w:sz w:val="14"/>
          <w:szCs w:val="14"/>
        </w:rPr>
      </w:pPr>
      <w:r w:rsidRPr="00B41362">
        <w:rPr>
          <w:rStyle w:val="Refdenotaalpie"/>
          <w:rFonts w:ascii="Verdana" w:hAnsi="Verdana" w:cs="Arial"/>
          <w:sz w:val="14"/>
          <w:szCs w:val="14"/>
        </w:rPr>
        <w:footnoteRef/>
      </w:r>
      <w:r w:rsidRPr="00B41362">
        <w:rPr>
          <w:rFonts w:ascii="Verdana" w:hAnsi="Verdana" w:cs="Arial"/>
          <w:sz w:val="14"/>
          <w:szCs w:val="14"/>
        </w:rPr>
        <w:t xml:space="preserve"> </w:t>
      </w:r>
      <w:r w:rsidRPr="00B41362">
        <w:rPr>
          <w:rFonts w:ascii="Verdana" w:eastAsia="Calibri" w:hAnsi="Verdana" w:cs="Arial"/>
          <w:color w:val="000000"/>
          <w:sz w:val="14"/>
          <w:szCs w:val="14"/>
        </w:rPr>
        <w:t>“</w:t>
      </w:r>
      <w:bookmarkStart w:id="9" w:name="33"/>
      <w:r w:rsidRPr="00B41362">
        <w:rPr>
          <w:rFonts w:ascii="Verdana" w:eastAsia="Times New Roman" w:hAnsi="Verdana" w:cs="Arial"/>
          <w:sz w:val="14"/>
          <w:szCs w:val="14"/>
        </w:rPr>
        <w:t>Artículo 33. Restricciones a la contratación pública.</w:t>
      </w:r>
      <w:bookmarkEnd w:id="9"/>
      <w:r w:rsidRPr="00B41362">
        <w:rPr>
          <w:rFonts w:ascii="Verdana" w:eastAsia="Times New Roman" w:hAnsi="Verdana" w:cs="Arial"/>
          <w:sz w:val="14"/>
          <w:szCs w:val="14"/>
        </w:rPr>
        <w:t> Durante los cuatro (4) meses anteriores a la elección presidencial y hasta la realización de la elección en la segunda vuelta, si fuere el caso, queda prohibida la contratación directa por parte de todos los entes del Estado.</w:t>
      </w:r>
    </w:p>
    <w:p w14:paraId="4F7CEC0C" w14:textId="77777777" w:rsidR="00566725" w:rsidRPr="00B41362" w:rsidRDefault="00566725" w:rsidP="00566725">
      <w:pPr>
        <w:spacing w:after="0" w:line="240" w:lineRule="auto"/>
        <w:ind w:firstLine="709"/>
        <w:jc w:val="both"/>
        <w:rPr>
          <w:rFonts w:ascii="Verdana" w:eastAsia="Times New Roman" w:hAnsi="Verdana" w:cs="Arial"/>
          <w:sz w:val="14"/>
          <w:szCs w:val="14"/>
        </w:rPr>
      </w:pPr>
      <w:r w:rsidRPr="00B41362">
        <w:rPr>
          <w:rFonts w:ascii="Verdana" w:eastAsia="Times New Roman" w:hAnsi="Verdana" w:cs="Arial"/>
          <w:sz w:val="14"/>
          <w:szCs w:val="14"/>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B41362">
        <w:rPr>
          <w:rFonts w:ascii="Verdana" w:eastAsia="Calibri" w:hAnsi="Verdana" w:cs="Arial"/>
          <w:color w:val="000000"/>
          <w:sz w:val="14"/>
          <w:szCs w:val="14"/>
        </w:rPr>
        <w:t>”</w:t>
      </w:r>
      <w:r w:rsidRPr="00B41362">
        <w:rPr>
          <w:rFonts w:ascii="Verdana" w:eastAsia="Times New Roman" w:hAnsi="Verdana" w:cs="Arial"/>
          <w:sz w:val="14"/>
          <w:szCs w:val="14"/>
        </w:rPr>
        <w:t>.</w:t>
      </w:r>
    </w:p>
  </w:footnote>
  <w:footnote w:id="13">
    <w:p w14:paraId="0678771B" w14:textId="77777777" w:rsidR="00566725" w:rsidRPr="00B41362" w:rsidRDefault="00566725" w:rsidP="00566725">
      <w:pPr>
        <w:pStyle w:val="NormalWeb"/>
        <w:spacing w:before="0" w:beforeAutospacing="0" w:after="0" w:afterAutospacing="0"/>
        <w:ind w:firstLine="709"/>
        <w:jc w:val="both"/>
        <w:rPr>
          <w:rFonts w:ascii="Verdana" w:hAnsi="Verdana" w:cs="Arial"/>
          <w:sz w:val="14"/>
          <w:szCs w:val="14"/>
          <w:lang w:val="es-MX"/>
        </w:rPr>
      </w:pPr>
      <w:r w:rsidRPr="00B41362">
        <w:rPr>
          <w:rStyle w:val="Refdenotaalpie"/>
          <w:rFonts w:ascii="Verdana" w:hAnsi="Verdana" w:cs="Arial"/>
          <w:sz w:val="14"/>
          <w:szCs w:val="14"/>
        </w:rPr>
        <w:footnoteRef/>
      </w:r>
      <w:r w:rsidRPr="00B41362">
        <w:rPr>
          <w:rFonts w:ascii="Verdana" w:hAnsi="Verdana" w:cs="Arial"/>
          <w:sz w:val="14"/>
          <w:szCs w:val="14"/>
        </w:rPr>
        <w:t xml:space="preserve"> </w:t>
      </w:r>
      <w:r w:rsidRPr="00B41362">
        <w:rPr>
          <w:rFonts w:ascii="Verdana" w:eastAsia="Calibri" w:hAnsi="Verdana" w:cs="Arial"/>
          <w:color w:val="000000"/>
          <w:sz w:val="14"/>
          <w:szCs w:val="14"/>
        </w:rPr>
        <w:t>“</w:t>
      </w:r>
      <w:bookmarkStart w:id="10" w:name="38"/>
      <w:r w:rsidRPr="00B41362">
        <w:rPr>
          <w:rFonts w:ascii="Verdana" w:hAnsi="Verdana" w:cs="Arial"/>
          <w:sz w:val="14"/>
          <w:szCs w:val="14"/>
          <w:lang w:val="es-MX"/>
        </w:rPr>
        <w:t>Artículo 38. Prohibiciones para los servidores públicos. A los empleados del Estado les está prohibido:</w:t>
      </w:r>
      <w:bookmarkEnd w:id="10"/>
      <w:r w:rsidRPr="00B41362">
        <w:rPr>
          <w:rFonts w:ascii="Verdana" w:hAnsi="Verdana" w:cs="Arial"/>
          <w:sz w:val="14"/>
          <w:szCs w:val="14"/>
          <w:lang w:val="es-MX"/>
        </w:rPr>
        <w:t xml:space="preserve"> […]</w:t>
      </w:r>
    </w:p>
    <w:p w14:paraId="567E0C1E" w14:textId="77777777" w:rsidR="00566725" w:rsidRPr="00B41362" w:rsidRDefault="00566725" w:rsidP="00566725">
      <w:pPr>
        <w:pStyle w:val="NormalWeb"/>
        <w:spacing w:before="0" w:beforeAutospacing="0" w:after="0" w:afterAutospacing="0"/>
        <w:ind w:firstLine="709"/>
        <w:jc w:val="both"/>
        <w:rPr>
          <w:rFonts w:ascii="Verdana" w:hAnsi="Verdana" w:cs="Arial"/>
          <w:sz w:val="14"/>
          <w:szCs w:val="14"/>
          <w:lang w:val="es-MX"/>
        </w:rPr>
      </w:pPr>
      <w:r w:rsidRPr="00B41362">
        <w:rPr>
          <w:rStyle w:val="baj"/>
          <w:rFonts w:ascii="Verdana" w:hAnsi="Verdana" w:cs="Arial"/>
          <w:sz w:val="14"/>
          <w:szCs w:val="14"/>
          <w:lang w:val="es-MX"/>
        </w:rPr>
        <w:t>Parágrafo.</w:t>
      </w:r>
      <w:r w:rsidRPr="00B41362">
        <w:rPr>
          <w:rFonts w:ascii="Verdana" w:hAnsi="Verdana" w:cs="Arial"/>
          <w:sz w:val="14"/>
          <w:szCs w:val="14"/>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B41362">
        <w:rPr>
          <w:rFonts w:ascii="Verdana" w:eastAsia="Calibri" w:hAnsi="Verdana" w:cs="Arial"/>
          <w:color w:val="000000"/>
          <w:sz w:val="14"/>
          <w:szCs w:val="14"/>
        </w:rPr>
        <w:t>”</w:t>
      </w:r>
      <w:r w:rsidRPr="00B41362">
        <w:rPr>
          <w:rFonts w:ascii="Verdana" w:hAnsi="Verdana" w:cs="Arial"/>
          <w:sz w:val="14"/>
          <w:szCs w:val="14"/>
          <w:lang w:val="es-MX"/>
        </w:rPr>
        <w:t>.</w:t>
      </w:r>
    </w:p>
  </w:footnote>
  <w:footnote w:id="14">
    <w:p w14:paraId="3CA3B56A" w14:textId="77777777" w:rsidR="00566725" w:rsidRPr="00B41362" w:rsidRDefault="00566725" w:rsidP="00566725">
      <w:pPr>
        <w:pStyle w:val="Textonotapie"/>
        <w:ind w:firstLine="708"/>
        <w:jc w:val="both"/>
        <w:rPr>
          <w:rFonts w:ascii="Verdana" w:hAnsi="Verdana" w:cs="Arial"/>
          <w:sz w:val="14"/>
          <w:szCs w:val="14"/>
        </w:rPr>
      </w:pPr>
      <w:r w:rsidRPr="00B41362">
        <w:rPr>
          <w:rStyle w:val="Refdenotaalpie"/>
          <w:rFonts w:ascii="Verdana" w:hAnsi="Verdana" w:cs="Arial"/>
          <w:sz w:val="14"/>
          <w:szCs w:val="14"/>
        </w:rPr>
        <w:footnoteRef/>
      </w:r>
      <w:r w:rsidRPr="00B41362">
        <w:rPr>
          <w:rFonts w:ascii="Verdana" w:hAnsi="Verdana" w:cs="Arial"/>
          <w:sz w:val="14"/>
          <w:szCs w:val="14"/>
        </w:rPr>
        <w:t xml:space="preserve"> Colombia Compra Eficiente. Circular Externa Única. Numeral 16.5. </w:t>
      </w:r>
    </w:p>
  </w:footnote>
  <w:footnote w:id="15">
    <w:p w14:paraId="6F73672A" w14:textId="77777777" w:rsidR="00566725" w:rsidRPr="00B41362" w:rsidRDefault="00566725" w:rsidP="00566725">
      <w:pPr>
        <w:spacing w:after="0" w:line="240" w:lineRule="auto"/>
        <w:ind w:left="100" w:right="244" w:firstLine="608"/>
        <w:jc w:val="both"/>
        <w:rPr>
          <w:rFonts w:ascii="Verdana" w:hAnsi="Verdana" w:cs="Arial"/>
          <w:sz w:val="14"/>
          <w:szCs w:val="14"/>
          <w:lang w:val="es-ES"/>
        </w:rPr>
      </w:pPr>
      <w:r w:rsidRPr="00B41362">
        <w:rPr>
          <w:rStyle w:val="Refdenotaalpie"/>
          <w:rFonts w:ascii="Verdana" w:hAnsi="Verdana" w:cs="Arial"/>
          <w:sz w:val="14"/>
          <w:szCs w:val="14"/>
        </w:rPr>
        <w:footnoteRef/>
      </w:r>
      <w:r w:rsidRPr="00B41362">
        <w:rPr>
          <w:rFonts w:ascii="Verdana" w:hAnsi="Verdana" w:cs="Arial"/>
          <w:sz w:val="14"/>
          <w:szCs w:val="14"/>
        </w:rPr>
        <w:t xml:space="preserve"> Consejo de Estado. Sala de Consulta y Servicio Civil. Concepto del 17 de febrero de 2015. C.P. William Zambrano Cetina. Radicación No. 11001-03-06-000-2015-00164-00(2269).</w:t>
      </w:r>
    </w:p>
  </w:footnote>
  <w:footnote w:id="16">
    <w:p w14:paraId="3949B749" w14:textId="77777777" w:rsidR="00566725" w:rsidRPr="00B41362" w:rsidRDefault="00566725" w:rsidP="00566725">
      <w:pPr>
        <w:pStyle w:val="Textonotapie"/>
        <w:ind w:right="51" w:firstLine="709"/>
        <w:jc w:val="both"/>
        <w:rPr>
          <w:rFonts w:ascii="Verdana" w:hAnsi="Verdana" w:cs="Arial"/>
          <w:sz w:val="14"/>
          <w:szCs w:val="14"/>
        </w:rPr>
      </w:pPr>
      <w:r w:rsidRPr="00B41362">
        <w:rPr>
          <w:rStyle w:val="Refdenotaalpie"/>
          <w:rFonts w:ascii="Verdana" w:hAnsi="Verdana" w:cs="Arial"/>
          <w:sz w:val="14"/>
          <w:szCs w:val="14"/>
        </w:rPr>
        <w:footnoteRef/>
      </w:r>
      <w:r w:rsidRPr="00B41362">
        <w:rPr>
          <w:rFonts w:ascii="Verdana" w:hAnsi="Verdana" w:cs="Arial"/>
          <w:sz w:val="14"/>
          <w:szCs w:val="14"/>
        </w:rPr>
        <w:t xml:space="preserve"> “</w:t>
      </w:r>
      <w:r w:rsidRPr="00B41362">
        <w:rPr>
          <w:rFonts w:ascii="Verdana" w:hAnsi="Verdana" w:cs="Arial"/>
          <w:sz w:val="14"/>
          <w:szCs w:val="14"/>
          <w:lang w:val="es-ES"/>
        </w:rPr>
        <w:t xml:space="preserve">[25] </w:t>
      </w:r>
      <w:r w:rsidRPr="00B41362">
        <w:rPr>
          <w:rFonts w:ascii="Verdana" w:hAnsi="Verdana" w:cs="Arial"/>
          <w:sz w:val="14"/>
          <w:szCs w:val="14"/>
        </w:rPr>
        <w:t>Cfr. Consejo de Estado. Sección Tercera. Sentencia de 3 de diciembre de 2007. Radicados: 24.715, 25.206, 25.409, 24.524, 27.834, 25.410, 26.105, 28.244, 31.447 -acumulados</w:t>
      </w:r>
      <w:proofErr w:type="gramStart"/>
      <w:r w:rsidRPr="00B41362">
        <w:rPr>
          <w:rFonts w:ascii="Verdana" w:hAnsi="Verdana" w:cs="Arial"/>
          <w:sz w:val="14"/>
          <w:szCs w:val="14"/>
        </w:rPr>
        <w:t>-“</w:t>
      </w:r>
      <w:proofErr w:type="gramEnd"/>
      <w:r w:rsidRPr="00B41362">
        <w:rPr>
          <w:rFonts w:ascii="Verdana" w:hAnsi="Verdana" w:cs="Arial"/>
          <w:sz w:val="14"/>
          <w:szCs w:val="14"/>
        </w:rPr>
        <w:t>.</w:t>
      </w:r>
    </w:p>
  </w:footnote>
  <w:footnote w:id="17">
    <w:p w14:paraId="5C093D44" w14:textId="77777777" w:rsidR="00566725" w:rsidRPr="00B41362" w:rsidRDefault="00566725" w:rsidP="00566725">
      <w:pPr>
        <w:pStyle w:val="Textonotapie"/>
        <w:ind w:right="51" w:firstLine="709"/>
        <w:jc w:val="both"/>
        <w:rPr>
          <w:rFonts w:ascii="Verdana" w:hAnsi="Verdana" w:cs="Arial"/>
          <w:sz w:val="14"/>
          <w:szCs w:val="14"/>
        </w:rPr>
      </w:pPr>
      <w:r w:rsidRPr="00B41362">
        <w:rPr>
          <w:rStyle w:val="Refdenotaalpie"/>
          <w:rFonts w:ascii="Verdana" w:hAnsi="Verdana" w:cs="Arial"/>
          <w:sz w:val="14"/>
          <w:szCs w:val="14"/>
        </w:rPr>
        <w:footnoteRef/>
      </w:r>
      <w:r w:rsidRPr="00B41362">
        <w:rPr>
          <w:rFonts w:ascii="Verdana" w:hAnsi="Verdana" w:cs="Arial"/>
          <w:sz w:val="14"/>
          <w:szCs w:val="14"/>
        </w:rPr>
        <w:t xml:space="preserve"> “</w:t>
      </w:r>
      <w:r w:rsidRPr="00B41362">
        <w:rPr>
          <w:rFonts w:ascii="Verdana" w:hAnsi="Verdana" w:cs="Arial"/>
          <w:sz w:val="14"/>
          <w:szCs w:val="14"/>
          <w:lang w:val="es-ES"/>
        </w:rPr>
        <w:t xml:space="preserve">[26] </w:t>
      </w:r>
      <w:r w:rsidRPr="00B41362">
        <w:rPr>
          <w:rFonts w:ascii="Verdana" w:hAnsi="Verdana" w:cs="Arial"/>
          <w:sz w:val="14"/>
          <w:szCs w:val="14"/>
        </w:rPr>
        <w:t>Al respecto ver el concepto 1712 de 2 de febrero de 2006. Consejo de Estado Sala de Consulta y Servicio Civil”.</w:t>
      </w:r>
    </w:p>
  </w:footnote>
  <w:footnote w:id="18">
    <w:p w14:paraId="69803A0F" w14:textId="77777777" w:rsidR="00566725" w:rsidRPr="00B41362" w:rsidRDefault="00566725" w:rsidP="00566725">
      <w:pPr>
        <w:pStyle w:val="Textonotapie"/>
        <w:ind w:firstLine="709"/>
        <w:jc w:val="both"/>
        <w:rPr>
          <w:rFonts w:ascii="Verdana" w:hAnsi="Verdana" w:cs="Arial"/>
          <w:sz w:val="14"/>
          <w:szCs w:val="14"/>
        </w:rPr>
      </w:pPr>
      <w:r w:rsidRPr="00B41362">
        <w:rPr>
          <w:rStyle w:val="Refdenotaalpie"/>
          <w:rFonts w:ascii="Verdana" w:hAnsi="Verdana" w:cs="Arial"/>
          <w:sz w:val="14"/>
          <w:szCs w:val="14"/>
        </w:rPr>
        <w:footnoteRef/>
      </w:r>
      <w:r w:rsidRPr="00B41362">
        <w:rPr>
          <w:rFonts w:ascii="Verdana" w:hAnsi="Verdana" w:cs="Arial"/>
          <w:sz w:val="14"/>
          <w:szCs w:val="14"/>
        </w:rPr>
        <w:t xml:space="preserve"> Consejo de Estado. Sala de Consulta y Servicio Civil. Concepto del 2 de septiembre de 2013. Radicación número: 11001-03-06-000-2013-00412-00 (2168). Consejero Ponente: Álvaro Namén Vargas.</w:t>
      </w:r>
    </w:p>
  </w:footnote>
  <w:footnote w:id="19">
    <w:p w14:paraId="774041EA" w14:textId="77777777" w:rsidR="00566725" w:rsidRPr="00B41362" w:rsidRDefault="00566725" w:rsidP="00566725">
      <w:pPr>
        <w:pStyle w:val="Textonotapie"/>
        <w:ind w:firstLine="709"/>
        <w:jc w:val="both"/>
        <w:rPr>
          <w:rFonts w:ascii="Verdana" w:hAnsi="Verdana" w:cs="Arial"/>
          <w:sz w:val="14"/>
          <w:szCs w:val="14"/>
          <w:lang w:val="es-ES"/>
        </w:rPr>
      </w:pPr>
      <w:r w:rsidRPr="00B41362">
        <w:rPr>
          <w:rStyle w:val="Refdenotaalpie"/>
          <w:rFonts w:ascii="Verdana" w:hAnsi="Verdana" w:cs="Arial"/>
          <w:sz w:val="14"/>
          <w:szCs w:val="14"/>
        </w:rPr>
        <w:footnoteRef/>
      </w:r>
      <w:r w:rsidRPr="00B41362">
        <w:rPr>
          <w:rFonts w:ascii="Verdana" w:hAnsi="Verdana" w:cs="Arial"/>
          <w:sz w:val="14"/>
          <w:szCs w:val="14"/>
        </w:rPr>
        <w:t xml:space="preserve"> </w:t>
      </w:r>
      <w:r w:rsidRPr="00B41362">
        <w:rPr>
          <w:rFonts w:ascii="Verdana" w:hAnsi="Verdana" w:cs="Arial"/>
          <w:sz w:val="14"/>
          <w:szCs w:val="14"/>
          <w:lang w:val="es-ES"/>
        </w:rPr>
        <w:t xml:space="preserve">Artículo 2. </w:t>
      </w:r>
    </w:p>
  </w:footnote>
  <w:footnote w:id="20">
    <w:p w14:paraId="772DA07F" w14:textId="77777777" w:rsidR="00566725" w:rsidRPr="00B41362" w:rsidRDefault="00566725" w:rsidP="00566725">
      <w:pPr>
        <w:pStyle w:val="Textonotapie"/>
        <w:ind w:firstLine="709"/>
        <w:jc w:val="both"/>
        <w:rPr>
          <w:rFonts w:ascii="Verdana" w:hAnsi="Verdana" w:cs="Arial"/>
          <w:sz w:val="14"/>
          <w:szCs w:val="14"/>
          <w:lang w:val="es-ES"/>
        </w:rPr>
      </w:pPr>
      <w:r w:rsidRPr="00B41362">
        <w:rPr>
          <w:rStyle w:val="Refdenotaalpie"/>
          <w:rFonts w:ascii="Verdana" w:hAnsi="Verdana" w:cs="Arial"/>
          <w:sz w:val="14"/>
          <w:szCs w:val="14"/>
        </w:rPr>
        <w:footnoteRef/>
      </w:r>
      <w:r w:rsidRPr="00B41362">
        <w:rPr>
          <w:rFonts w:ascii="Verdana" w:hAnsi="Verdana" w:cs="Arial"/>
          <w:sz w:val="14"/>
          <w:szCs w:val="14"/>
        </w:rPr>
        <w:t xml:space="preserve"> </w:t>
      </w:r>
      <w:r w:rsidRPr="00B41362">
        <w:rPr>
          <w:rFonts w:ascii="Verdana" w:hAnsi="Verdana" w:cs="Arial"/>
          <w:i/>
          <w:sz w:val="14"/>
          <w:szCs w:val="14"/>
          <w:lang w:val="es-ES"/>
        </w:rPr>
        <w:t>Ídem</w:t>
      </w:r>
      <w:r w:rsidRPr="00B41362">
        <w:rPr>
          <w:rFonts w:ascii="Verdana" w:hAnsi="Verdana" w:cs="Arial"/>
          <w:sz w:val="14"/>
          <w:szCs w:val="14"/>
          <w:lang w:val="es-ES"/>
        </w:rPr>
        <w:t>.</w:t>
      </w:r>
    </w:p>
  </w:footnote>
  <w:footnote w:id="21">
    <w:p w14:paraId="2C7316F5" w14:textId="77777777" w:rsidR="00566725" w:rsidRPr="00B41362" w:rsidRDefault="00566725" w:rsidP="00566725">
      <w:pPr>
        <w:pStyle w:val="Textonotapie"/>
        <w:ind w:firstLine="709"/>
        <w:jc w:val="both"/>
        <w:rPr>
          <w:rFonts w:ascii="Verdana" w:hAnsi="Verdana" w:cs="Arial"/>
          <w:sz w:val="14"/>
          <w:szCs w:val="14"/>
          <w:lang w:val="es-ES"/>
        </w:rPr>
      </w:pPr>
      <w:r w:rsidRPr="00B41362">
        <w:rPr>
          <w:rStyle w:val="Refdenotaalpie"/>
          <w:rFonts w:ascii="Verdana" w:hAnsi="Verdana" w:cs="Arial"/>
          <w:sz w:val="14"/>
          <w:szCs w:val="14"/>
        </w:rPr>
        <w:footnoteRef/>
      </w:r>
      <w:r w:rsidRPr="00B41362">
        <w:rPr>
          <w:rStyle w:val="Refdenotaalpie"/>
          <w:rFonts w:ascii="Verdana" w:hAnsi="Verdana" w:cs="Arial"/>
          <w:sz w:val="14"/>
          <w:szCs w:val="14"/>
        </w:rPr>
        <w:t xml:space="preserve"> </w:t>
      </w:r>
      <w:r w:rsidRPr="00B41362">
        <w:rPr>
          <w:rFonts w:ascii="Verdana" w:hAnsi="Verdana" w:cs="Arial"/>
          <w:sz w:val="14"/>
          <w:szCs w:val="14"/>
          <w:lang w:val="es-ES"/>
        </w:rPr>
        <w:t xml:space="preserve">“[…] A este respecto, cabe recordar que el artículo 860 del Código de Comercio regula la licitación en el derecho privado”. </w:t>
      </w:r>
    </w:p>
  </w:footnote>
  <w:footnote w:id="22">
    <w:p w14:paraId="5644815B" w14:textId="77777777" w:rsidR="00566725" w:rsidRPr="00B41362" w:rsidRDefault="00566725" w:rsidP="00566725">
      <w:pPr>
        <w:shd w:val="clear" w:color="auto" w:fill="FFFFFF"/>
        <w:spacing w:after="0" w:line="240" w:lineRule="auto"/>
        <w:ind w:firstLine="709"/>
        <w:jc w:val="both"/>
        <w:rPr>
          <w:rFonts w:ascii="Verdana" w:hAnsi="Verdana" w:cs="Arial"/>
          <w:sz w:val="14"/>
          <w:szCs w:val="14"/>
          <w:lang w:val="es-ES"/>
        </w:rPr>
      </w:pPr>
      <w:r w:rsidRPr="00B41362">
        <w:rPr>
          <w:rStyle w:val="Refdenotaalpie"/>
          <w:rFonts w:ascii="Verdana" w:hAnsi="Verdana" w:cs="Arial"/>
          <w:sz w:val="14"/>
          <w:szCs w:val="14"/>
        </w:rPr>
        <w:footnoteRef/>
      </w:r>
      <w:r w:rsidRPr="00B41362">
        <w:rPr>
          <w:rStyle w:val="Refdenotaalpie"/>
          <w:rFonts w:ascii="Verdana" w:hAnsi="Verdana" w:cs="Arial"/>
          <w:sz w:val="14"/>
          <w:szCs w:val="14"/>
        </w:rPr>
        <w:t xml:space="preserve"> </w:t>
      </w:r>
      <w:r w:rsidRPr="00B41362">
        <w:rPr>
          <w:rFonts w:ascii="Verdana" w:hAnsi="Verdana" w:cs="Arial"/>
          <w:sz w:val="14"/>
          <w:szCs w:val="14"/>
          <w:lang w:val="es-ES"/>
        </w:rPr>
        <w:t>Consejo de Estado. Sala de Consulta y Servicio Civil, Concepto de 8 de mayo de 2018. Radicación Número: 11001-03-06-000-2018-00095-00(2382). C.P. Álvaro Namén Vargas.</w:t>
      </w:r>
    </w:p>
  </w:footnote>
  <w:footnote w:id="23">
    <w:p w14:paraId="1D235D6C" w14:textId="77777777" w:rsidR="00566725" w:rsidRPr="00B41362" w:rsidRDefault="00566725" w:rsidP="00566725">
      <w:pPr>
        <w:pStyle w:val="Textonotapie"/>
        <w:ind w:firstLine="709"/>
        <w:jc w:val="both"/>
        <w:rPr>
          <w:rFonts w:ascii="Verdana" w:hAnsi="Verdana" w:cs="Arial"/>
          <w:sz w:val="14"/>
          <w:szCs w:val="14"/>
        </w:rPr>
      </w:pPr>
      <w:r w:rsidRPr="00B41362">
        <w:rPr>
          <w:rStyle w:val="Refdenotaalpie"/>
          <w:rFonts w:ascii="Verdana" w:hAnsi="Verdana" w:cs="Arial"/>
          <w:sz w:val="14"/>
          <w:szCs w:val="14"/>
        </w:rPr>
        <w:footnoteRef/>
      </w:r>
      <w:r w:rsidRPr="00B41362">
        <w:rPr>
          <w:rFonts w:ascii="Verdana" w:hAnsi="Verdana" w:cs="Arial"/>
          <w:sz w:val="14"/>
          <w:szCs w:val="14"/>
        </w:rPr>
        <w:t xml:space="preserve"> Consejo de Estado. Sala de Consulta y Servicio Civil. Concepto del 08 de mayo de 2018. </w:t>
      </w:r>
      <w:proofErr w:type="spellStart"/>
      <w:r w:rsidRPr="00B41362">
        <w:rPr>
          <w:rFonts w:ascii="Verdana" w:hAnsi="Verdana" w:cs="Arial"/>
          <w:sz w:val="14"/>
          <w:szCs w:val="14"/>
        </w:rPr>
        <w:t>Exp</w:t>
      </w:r>
      <w:proofErr w:type="spellEnd"/>
      <w:r w:rsidRPr="00B41362">
        <w:rPr>
          <w:rFonts w:ascii="Verdana" w:hAnsi="Verdana" w:cs="Arial"/>
          <w:sz w:val="14"/>
          <w:szCs w:val="14"/>
        </w:rPr>
        <w:t>. 2.382. C.P. Álvaro Namén Vargas.</w:t>
      </w:r>
    </w:p>
  </w:footnote>
  <w:footnote w:id="24">
    <w:p w14:paraId="70C3B825" w14:textId="77777777" w:rsidR="00566725" w:rsidRPr="00B41362" w:rsidRDefault="00566725" w:rsidP="00566725">
      <w:pPr>
        <w:pStyle w:val="Textonotapie"/>
        <w:ind w:firstLine="708"/>
        <w:jc w:val="both"/>
        <w:rPr>
          <w:rFonts w:ascii="Verdana" w:hAnsi="Verdana" w:cs="Arial"/>
          <w:sz w:val="14"/>
          <w:szCs w:val="14"/>
        </w:rPr>
      </w:pPr>
      <w:r w:rsidRPr="00B41362">
        <w:rPr>
          <w:rStyle w:val="Refdenotaalpie"/>
          <w:rFonts w:ascii="Verdana" w:hAnsi="Verdana" w:cs="Arial"/>
          <w:sz w:val="14"/>
          <w:szCs w:val="14"/>
        </w:rPr>
        <w:footnoteRef/>
      </w:r>
      <w:r w:rsidRPr="00B41362">
        <w:rPr>
          <w:rFonts w:ascii="Verdana" w:hAnsi="Verdana" w:cs="Arial"/>
          <w:sz w:val="14"/>
          <w:szCs w:val="14"/>
        </w:rPr>
        <w:t xml:space="preserve"> Colombia Compra Eficiente. Circular Externa Única. Numeral 16.5. En este sentido, la Agencia ha expresado: “[…] las prórrogas, modificaciones o adiciones, y la cesión de los contratos suscritos antes del período de la campaña electoral, pueden realizarse en cualquier tiempo antes o después del comienzo de la aplicación de la Ley de Garantías, siempre y cuando el contrato se encuentre vigente y se observen las demás disposiciones conforme a las cuales deben realizarse dichas actuaciones”.</w:t>
      </w:r>
    </w:p>
  </w:footnote>
  <w:footnote w:id="25">
    <w:p w14:paraId="1F7C6153" w14:textId="77777777" w:rsidR="00566725" w:rsidRPr="00B41362" w:rsidRDefault="00566725" w:rsidP="00566725">
      <w:pPr>
        <w:pStyle w:val="Textonotapie"/>
        <w:ind w:firstLine="709"/>
        <w:jc w:val="both"/>
        <w:rPr>
          <w:rFonts w:ascii="Verdana" w:hAnsi="Verdana" w:cs="Arial"/>
          <w:sz w:val="14"/>
          <w:szCs w:val="14"/>
        </w:rPr>
      </w:pPr>
      <w:r w:rsidRPr="00B41362">
        <w:rPr>
          <w:rStyle w:val="Refdenotaalpie"/>
          <w:rFonts w:ascii="Verdana" w:hAnsi="Verdana" w:cs="Arial"/>
          <w:sz w:val="14"/>
          <w:szCs w:val="14"/>
        </w:rPr>
        <w:footnoteRef/>
      </w:r>
      <w:r w:rsidRPr="00B41362">
        <w:rPr>
          <w:rFonts w:ascii="Verdana" w:hAnsi="Verdana" w:cs="Arial"/>
          <w:sz w:val="14"/>
          <w:szCs w:val="14"/>
        </w:rPr>
        <w:t xml:space="preserve"> La Corte Constitucional mediante Sentencia C-1153-05 de 11 de noviembre de 2005, Magistrado Ponente Marco Gerardo Monroy Cabra, efectuó el Control constitucional al Proyecto de Ley Estatutaria </w:t>
      </w:r>
      <w:proofErr w:type="spellStart"/>
      <w:r w:rsidRPr="00B41362">
        <w:rPr>
          <w:rFonts w:ascii="Verdana" w:hAnsi="Verdana" w:cs="Arial"/>
          <w:sz w:val="14"/>
          <w:szCs w:val="14"/>
        </w:rPr>
        <w:t>N°</w:t>
      </w:r>
      <w:proofErr w:type="spellEnd"/>
      <w:r w:rsidRPr="00B41362">
        <w:rPr>
          <w:rFonts w:ascii="Verdana" w:hAnsi="Verdana" w:cs="Arial"/>
          <w:sz w:val="14"/>
          <w:szCs w:val="14"/>
        </w:rPr>
        <w:t xml:space="preserve"> 216/05 Senado, </w:t>
      </w:r>
      <w:proofErr w:type="spellStart"/>
      <w:r w:rsidRPr="00B41362">
        <w:rPr>
          <w:rFonts w:ascii="Verdana" w:hAnsi="Verdana" w:cs="Arial"/>
          <w:sz w:val="14"/>
          <w:szCs w:val="14"/>
        </w:rPr>
        <w:t>N°</w:t>
      </w:r>
      <w:proofErr w:type="spellEnd"/>
      <w:r w:rsidRPr="00B41362">
        <w:rPr>
          <w:rFonts w:ascii="Verdana" w:hAnsi="Verdana" w:cs="Arial"/>
          <w:sz w:val="14"/>
          <w:szCs w:val="14"/>
        </w:rPr>
        <w:t xml:space="preserve"> 235-Cámara que dio lugar a la Ley de Garantías Electorales.</w:t>
      </w:r>
    </w:p>
  </w:footnote>
  <w:footnote w:id="26">
    <w:p w14:paraId="01AE66A0" w14:textId="77777777" w:rsidR="00566725" w:rsidRPr="00B41362" w:rsidRDefault="00566725" w:rsidP="00566725">
      <w:pPr>
        <w:spacing w:after="0" w:line="240" w:lineRule="auto"/>
        <w:ind w:firstLine="709"/>
        <w:jc w:val="both"/>
        <w:rPr>
          <w:rFonts w:ascii="Verdana" w:hAnsi="Verdana" w:cs="Arial"/>
          <w:sz w:val="14"/>
          <w:szCs w:val="14"/>
        </w:rPr>
      </w:pPr>
      <w:r w:rsidRPr="00B41362">
        <w:rPr>
          <w:rStyle w:val="Refdenotaalpie"/>
          <w:rFonts w:ascii="Verdana" w:hAnsi="Verdana" w:cs="Arial"/>
          <w:sz w:val="14"/>
          <w:szCs w:val="14"/>
        </w:rPr>
        <w:footnoteRef/>
      </w:r>
      <w:r w:rsidRPr="00B41362">
        <w:rPr>
          <w:rFonts w:ascii="Verdana" w:hAnsi="Verdana" w:cs="Arial"/>
          <w:sz w:val="14"/>
          <w:szCs w:val="14"/>
        </w:rPr>
        <w:t xml:space="preserve"> Consejo de Estado. Sala de Consulta y Servicio Civil. Concepto de 20 de febrero de 2006. Radicación Número: 11001-03-06-000-2006-00026-00 (1727). C.P.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footnote>
  <w:footnote w:id="27">
    <w:p w14:paraId="1AA3C7D1" w14:textId="77777777" w:rsidR="00566725" w:rsidRPr="00B41362" w:rsidRDefault="00566725" w:rsidP="00566725">
      <w:pPr>
        <w:pStyle w:val="Textonotapie"/>
        <w:ind w:right="51" w:firstLine="709"/>
        <w:jc w:val="both"/>
        <w:rPr>
          <w:rFonts w:ascii="Verdana" w:eastAsia="Times New Roman" w:hAnsi="Verdana" w:cs="Arial"/>
          <w:sz w:val="14"/>
          <w:szCs w:val="14"/>
          <w:lang w:eastAsia="x-none"/>
        </w:rPr>
      </w:pPr>
      <w:r w:rsidRPr="00B41362">
        <w:rPr>
          <w:rStyle w:val="Refdenotaalpie"/>
          <w:rFonts w:ascii="Verdana" w:hAnsi="Verdana" w:cs="Arial"/>
          <w:sz w:val="14"/>
          <w:szCs w:val="14"/>
        </w:rPr>
        <w:footnoteRef/>
      </w:r>
      <w:r w:rsidRPr="00B41362">
        <w:rPr>
          <w:rFonts w:ascii="Verdana" w:hAnsi="Verdana" w:cs="Arial"/>
          <w:sz w:val="14"/>
          <w:szCs w:val="14"/>
        </w:rPr>
        <w:t xml:space="preserve"> Consejo de Estado. Sala de Consulta y Servicio Civil. Concepto de 6 de abril de 2006. Radicación Número: 11001-03-06-000-2006-00038-00 (1738). C.P. Enrique José Arboleda Perdomo:</w:t>
      </w:r>
      <w:r w:rsidRPr="00B41362">
        <w:rPr>
          <w:rFonts w:ascii="Verdana" w:eastAsia="Times New Roman" w:hAnsi="Verdana" w:cs="Arial"/>
          <w:sz w:val="14"/>
          <w:szCs w:val="14"/>
          <w:lang w:eastAsia="x-none"/>
        </w:rPr>
        <w:t xml:space="preserve"> “</w:t>
      </w:r>
      <w:r w:rsidRPr="00B41362">
        <w:rPr>
          <w:rFonts w:ascii="Verdana" w:hAnsi="Verdana" w:cs="Arial"/>
          <w:sz w:val="14"/>
          <w:szCs w:val="14"/>
        </w:rPr>
        <w:t>Si bien en el tema del concepto del que se extractaron los párrafos transcritos, se hacía referencia a las empresas de servicios públicos domiciliarios mixtas, la explicación dada cobija también a las empresas industriales y comerciales del estado y a las de crédito, pues todas ellas hacen parte de la definición de administración pública de la ley 489 de 1998, y además encajan dentro de la noción de todos los entes del Estado que trae la ley 996 de 2005 en el artículo 33, de manera que no es lógico pretender exonerarse de ésta prohibición alegando un régimen especial de los actos o contratos</w:t>
      </w:r>
      <w:r w:rsidRPr="00B41362">
        <w:rPr>
          <w:rFonts w:ascii="Verdana" w:eastAsia="Times New Roman" w:hAnsi="Verdana" w:cs="Arial"/>
          <w:sz w:val="14"/>
          <w:szCs w:val="14"/>
          <w:lang w:eastAsia="x-none"/>
        </w:rPr>
        <w:t>”.</w:t>
      </w:r>
    </w:p>
  </w:footnote>
  <w:footnote w:id="28">
    <w:p w14:paraId="18355F8B" w14:textId="77777777" w:rsidR="00566725" w:rsidRPr="00B41362" w:rsidRDefault="00566725" w:rsidP="00566725">
      <w:pPr>
        <w:spacing w:after="0" w:line="240" w:lineRule="auto"/>
        <w:ind w:firstLine="708"/>
        <w:jc w:val="both"/>
        <w:rPr>
          <w:rFonts w:ascii="Verdana" w:hAnsi="Verdana" w:cs="Arial"/>
          <w:sz w:val="14"/>
          <w:szCs w:val="14"/>
        </w:rPr>
      </w:pPr>
      <w:r w:rsidRPr="00B41362">
        <w:rPr>
          <w:rStyle w:val="Refdenotaalpie"/>
          <w:rFonts w:ascii="Verdana" w:hAnsi="Verdana" w:cs="Arial"/>
          <w:sz w:val="14"/>
          <w:szCs w:val="14"/>
        </w:rPr>
        <w:footnoteRef/>
      </w:r>
      <w:r w:rsidRPr="00B41362">
        <w:rPr>
          <w:rFonts w:ascii="Verdana" w:hAnsi="Verdana" w:cs="Arial"/>
          <w:sz w:val="14"/>
          <w:szCs w:val="14"/>
        </w:rPr>
        <w:t xml:space="preserve"> Consejo de Estado. Sala de Consulta y Servicio Civil. Concepto de 6 de abril de 2006. Radicación Número: 11001-03-06-000-2006-00038-00(1738). Consejero Ponente: Enrique José Arboleda Perdomo. </w:t>
      </w:r>
    </w:p>
  </w:footnote>
  <w:footnote w:id="29">
    <w:p w14:paraId="529F0DF8" w14:textId="77777777" w:rsidR="00566725" w:rsidRPr="00B41362" w:rsidRDefault="00566725" w:rsidP="00566725">
      <w:pPr>
        <w:pStyle w:val="Textonotapie"/>
        <w:ind w:right="51" w:firstLine="709"/>
        <w:jc w:val="both"/>
        <w:rPr>
          <w:rFonts w:ascii="Verdana" w:hAnsi="Verdana" w:cs="Arial"/>
          <w:sz w:val="14"/>
          <w:szCs w:val="14"/>
        </w:rPr>
      </w:pPr>
      <w:r w:rsidRPr="00B41362">
        <w:rPr>
          <w:rStyle w:val="Refdenotaalpie"/>
          <w:rFonts w:ascii="Verdana" w:hAnsi="Verdana" w:cs="Arial"/>
          <w:sz w:val="14"/>
          <w:szCs w:val="14"/>
        </w:rPr>
        <w:footnoteRef/>
      </w:r>
      <w:r w:rsidRPr="00B41362">
        <w:rPr>
          <w:rFonts w:ascii="Verdana" w:hAnsi="Verdana" w:cs="Arial"/>
          <w:sz w:val="14"/>
          <w:szCs w:val="14"/>
        </w:rPr>
        <w:t xml:space="preserve"> Consejo de Estado. Sala de Consulta y Servicio Civil,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94D3CB0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FCC7F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A25003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10314EA3"/>
    <w:multiLevelType w:val="hybridMultilevel"/>
    <w:tmpl w:val="5DFE51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726F5"/>
    <w:multiLevelType w:val="hybridMultilevel"/>
    <w:tmpl w:val="1DF81B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4"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9"/>
  </w:num>
  <w:num w:numId="2" w16cid:durableId="19822139">
    <w:abstractNumId w:val="4"/>
  </w:num>
  <w:num w:numId="3" w16cid:durableId="876742304">
    <w:abstractNumId w:val="7"/>
  </w:num>
  <w:num w:numId="4" w16cid:durableId="245186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4"/>
  </w:num>
  <w:num w:numId="6" w16cid:durableId="316692925">
    <w:abstractNumId w:val="16"/>
  </w:num>
  <w:num w:numId="7" w16cid:durableId="1946422806">
    <w:abstractNumId w:val="8"/>
  </w:num>
  <w:num w:numId="8" w16cid:durableId="152644682">
    <w:abstractNumId w:val="15"/>
  </w:num>
  <w:num w:numId="9" w16cid:durableId="1317221377">
    <w:abstractNumId w:val="10"/>
  </w:num>
  <w:num w:numId="10" w16cid:durableId="1471245386">
    <w:abstractNumId w:val="14"/>
  </w:num>
  <w:num w:numId="11" w16cid:durableId="289172385">
    <w:abstractNumId w:val="11"/>
  </w:num>
  <w:num w:numId="12" w16cid:durableId="1470781324">
    <w:abstractNumId w:val="3"/>
  </w:num>
  <w:num w:numId="13" w16cid:durableId="1512908409">
    <w:abstractNumId w:val="6"/>
  </w:num>
  <w:num w:numId="14" w16cid:durableId="895897244">
    <w:abstractNumId w:val="17"/>
  </w:num>
  <w:num w:numId="15" w16cid:durableId="390349800">
    <w:abstractNumId w:val="13"/>
  </w:num>
  <w:num w:numId="16" w16cid:durableId="595017302">
    <w:abstractNumId w:val="5"/>
  </w:num>
  <w:num w:numId="17" w16cid:durableId="679089576">
    <w:abstractNumId w:val="12"/>
  </w:num>
  <w:num w:numId="18" w16cid:durableId="1518692323">
    <w:abstractNumId w:val="0"/>
  </w:num>
  <w:num w:numId="19" w16cid:durableId="1008096669">
    <w:abstractNumId w:val="2"/>
  </w:num>
  <w:num w:numId="20" w16cid:durableId="889608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77D4"/>
    <w:rsid w:val="00034AC8"/>
    <w:rsid w:val="00037A75"/>
    <w:rsid w:val="000438C7"/>
    <w:rsid w:val="00046945"/>
    <w:rsid w:val="00054B0E"/>
    <w:rsid w:val="00061B2A"/>
    <w:rsid w:val="00082362"/>
    <w:rsid w:val="000A683E"/>
    <w:rsid w:val="000B19B9"/>
    <w:rsid w:val="000B6B49"/>
    <w:rsid w:val="000D0334"/>
    <w:rsid w:val="000D5DA7"/>
    <w:rsid w:val="000F6486"/>
    <w:rsid w:val="00116940"/>
    <w:rsid w:val="001179A7"/>
    <w:rsid w:val="00125105"/>
    <w:rsid w:val="00127233"/>
    <w:rsid w:val="00127D67"/>
    <w:rsid w:val="001447A5"/>
    <w:rsid w:val="00155B35"/>
    <w:rsid w:val="0015699B"/>
    <w:rsid w:val="001A33BF"/>
    <w:rsid w:val="001D75D4"/>
    <w:rsid w:val="001E4177"/>
    <w:rsid w:val="001F0B24"/>
    <w:rsid w:val="001F7DC6"/>
    <w:rsid w:val="0022400B"/>
    <w:rsid w:val="002421BB"/>
    <w:rsid w:val="00252F8F"/>
    <w:rsid w:val="0025796E"/>
    <w:rsid w:val="00261E40"/>
    <w:rsid w:val="0026388B"/>
    <w:rsid w:val="002707A2"/>
    <w:rsid w:val="00293983"/>
    <w:rsid w:val="002951A0"/>
    <w:rsid w:val="002962BC"/>
    <w:rsid w:val="002A093D"/>
    <w:rsid w:val="002A0A7E"/>
    <w:rsid w:val="002A0DD0"/>
    <w:rsid w:val="002A49AC"/>
    <w:rsid w:val="002A64FD"/>
    <w:rsid w:val="002C7A84"/>
    <w:rsid w:val="002E2BF8"/>
    <w:rsid w:val="002E4FD9"/>
    <w:rsid w:val="002E6505"/>
    <w:rsid w:val="002F5531"/>
    <w:rsid w:val="003018DD"/>
    <w:rsid w:val="00304107"/>
    <w:rsid w:val="0030657A"/>
    <w:rsid w:val="00322A85"/>
    <w:rsid w:val="00324168"/>
    <w:rsid w:val="00330834"/>
    <w:rsid w:val="003448F4"/>
    <w:rsid w:val="003460C5"/>
    <w:rsid w:val="00373D4E"/>
    <w:rsid w:val="00374F5E"/>
    <w:rsid w:val="00377E3E"/>
    <w:rsid w:val="003A4512"/>
    <w:rsid w:val="003A779E"/>
    <w:rsid w:val="003B664C"/>
    <w:rsid w:val="003D0F4D"/>
    <w:rsid w:val="003D5B0D"/>
    <w:rsid w:val="003E0499"/>
    <w:rsid w:val="003E4F80"/>
    <w:rsid w:val="003E6439"/>
    <w:rsid w:val="003F3941"/>
    <w:rsid w:val="00406575"/>
    <w:rsid w:val="0041204F"/>
    <w:rsid w:val="00414C74"/>
    <w:rsid w:val="0042722E"/>
    <w:rsid w:val="0044528D"/>
    <w:rsid w:val="00466E39"/>
    <w:rsid w:val="00496E2B"/>
    <w:rsid w:val="004A07C4"/>
    <w:rsid w:val="004A1847"/>
    <w:rsid w:val="004A305D"/>
    <w:rsid w:val="004B07FE"/>
    <w:rsid w:val="004C100B"/>
    <w:rsid w:val="004C6E77"/>
    <w:rsid w:val="004D74C1"/>
    <w:rsid w:val="004E1E7A"/>
    <w:rsid w:val="004F156D"/>
    <w:rsid w:val="004F21C4"/>
    <w:rsid w:val="004F685F"/>
    <w:rsid w:val="005566E8"/>
    <w:rsid w:val="00566725"/>
    <w:rsid w:val="00574867"/>
    <w:rsid w:val="00581EFE"/>
    <w:rsid w:val="00591460"/>
    <w:rsid w:val="00596D68"/>
    <w:rsid w:val="005A65E0"/>
    <w:rsid w:val="005C3777"/>
    <w:rsid w:val="005C5CDC"/>
    <w:rsid w:val="005D077C"/>
    <w:rsid w:val="005D476C"/>
    <w:rsid w:val="005E458C"/>
    <w:rsid w:val="006067D7"/>
    <w:rsid w:val="00606B83"/>
    <w:rsid w:val="00607CFC"/>
    <w:rsid w:val="006200BF"/>
    <w:rsid w:val="006219F8"/>
    <w:rsid w:val="006302F7"/>
    <w:rsid w:val="00646B9F"/>
    <w:rsid w:val="00656950"/>
    <w:rsid w:val="00665D70"/>
    <w:rsid w:val="00677925"/>
    <w:rsid w:val="00680E23"/>
    <w:rsid w:val="006900D9"/>
    <w:rsid w:val="00706C16"/>
    <w:rsid w:val="0071228E"/>
    <w:rsid w:val="007340C3"/>
    <w:rsid w:val="0075235A"/>
    <w:rsid w:val="00756841"/>
    <w:rsid w:val="007649AB"/>
    <w:rsid w:val="00771D0C"/>
    <w:rsid w:val="007833AC"/>
    <w:rsid w:val="007B268C"/>
    <w:rsid w:val="007B7171"/>
    <w:rsid w:val="007C0C0F"/>
    <w:rsid w:val="007C3DC2"/>
    <w:rsid w:val="007E300B"/>
    <w:rsid w:val="007E5497"/>
    <w:rsid w:val="00806F5F"/>
    <w:rsid w:val="008070E0"/>
    <w:rsid w:val="00820278"/>
    <w:rsid w:val="0082217F"/>
    <w:rsid w:val="008258C9"/>
    <w:rsid w:val="00844AE9"/>
    <w:rsid w:val="008463EF"/>
    <w:rsid w:val="00850C41"/>
    <w:rsid w:val="00867F95"/>
    <w:rsid w:val="00870E0F"/>
    <w:rsid w:val="008831CC"/>
    <w:rsid w:val="008843B6"/>
    <w:rsid w:val="00891928"/>
    <w:rsid w:val="008A446D"/>
    <w:rsid w:val="008A6A4E"/>
    <w:rsid w:val="008B25F1"/>
    <w:rsid w:val="008D180B"/>
    <w:rsid w:val="008F0EA7"/>
    <w:rsid w:val="00904D08"/>
    <w:rsid w:val="00913AE0"/>
    <w:rsid w:val="00923EEF"/>
    <w:rsid w:val="009364F9"/>
    <w:rsid w:val="009419F9"/>
    <w:rsid w:val="0095685E"/>
    <w:rsid w:val="00960F9F"/>
    <w:rsid w:val="00961B09"/>
    <w:rsid w:val="00965334"/>
    <w:rsid w:val="0097093E"/>
    <w:rsid w:val="00977434"/>
    <w:rsid w:val="00981889"/>
    <w:rsid w:val="009A0DFA"/>
    <w:rsid w:val="009A1C6F"/>
    <w:rsid w:val="009A6EA5"/>
    <w:rsid w:val="009B2D26"/>
    <w:rsid w:val="009C07A7"/>
    <w:rsid w:val="009C16B3"/>
    <w:rsid w:val="009C71FA"/>
    <w:rsid w:val="009C72E7"/>
    <w:rsid w:val="009C761E"/>
    <w:rsid w:val="009C776C"/>
    <w:rsid w:val="009C7F7E"/>
    <w:rsid w:val="009D3058"/>
    <w:rsid w:val="009F3A13"/>
    <w:rsid w:val="00A07728"/>
    <w:rsid w:val="00A122D3"/>
    <w:rsid w:val="00A14468"/>
    <w:rsid w:val="00A164B8"/>
    <w:rsid w:val="00A17F13"/>
    <w:rsid w:val="00A20739"/>
    <w:rsid w:val="00A21950"/>
    <w:rsid w:val="00A23AF9"/>
    <w:rsid w:val="00A33C78"/>
    <w:rsid w:val="00AB0ADB"/>
    <w:rsid w:val="00B00C0E"/>
    <w:rsid w:val="00B01B1A"/>
    <w:rsid w:val="00B0381D"/>
    <w:rsid w:val="00B046AB"/>
    <w:rsid w:val="00B05728"/>
    <w:rsid w:val="00B41362"/>
    <w:rsid w:val="00B44A47"/>
    <w:rsid w:val="00B51E37"/>
    <w:rsid w:val="00B72CD3"/>
    <w:rsid w:val="00B72FFF"/>
    <w:rsid w:val="00B87488"/>
    <w:rsid w:val="00BB2DE5"/>
    <w:rsid w:val="00BC0691"/>
    <w:rsid w:val="00BC3D36"/>
    <w:rsid w:val="00BD54A6"/>
    <w:rsid w:val="00BD7F72"/>
    <w:rsid w:val="00BE2191"/>
    <w:rsid w:val="00BE4C5F"/>
    <w:rsid w:val="00BF7425"/>
    <w:rsid w:val="00C02425"/>
    <w:rsid w:val="00C04FB3"/>
    <w:rsid w:val="00C06BA9"/>
    <w:rsid w:val="00C11D8B"/>
    <w:rsid w:val="00C15139"/>
    <w:rsid w:val="00C330EB"/>
    <w:rsid w:val="00C50D69"/>
    <w:rsid w:val="00C5365C"/>
    <w:rsid w:val="00C754BE"/>
    <w:rsid w:val="00C76B1C"/>
    <w:rsid w:val="00C925AC"/>
    <w:rsid w:val="00C9294C"/>
    <w:rsid w:val="00CA4409"/>
    <w:rsid w:val="00CB2717"/>
    <w:rsid w:val="00CB6357"/>
    <w:rsid w:val="00CC1B26"/>
    <w:rsid w:val="00CC65A4"/>
    <w:rsid w:val="00CF024D"/>
    <w:rsid w:val="00CF6980"/>
    <w:rsid w:val="00CF76D6"/>
    <w:rsid w:val="00D260D9"/>
    <w:rsid w:val="00D35008"/>
    <w:rsid w:val="00D361FD"/>
    <w:rsid w:val="00D423A2"/>
    <w:rsid w:val="00D44E26"/>
    <w:rsid w:val="00D520D8"/>
    <w:rsid w:val="00D63AC2"/>
    <w:rsid w:val="00D7383B"/>
    <w:rsid w:val="00D760C7"/>
    <w:rsid w:val="00D7788A"/>
    <w:rsid w:val="00DA231B"/>
    <w:rsid w:val="00DA41CF"/>
    <w:rsid w:val="00DB6A3F"/>
    <w:rsid w:val="00DC39FC"/>
    <w:rsid w:val="00DF324D"/>
    <w:rsid w:val="00DF5254"/>
    <w:rsid w:val="00E00DF8"/>
    <w:rsid w:val="00E02524"/>
    <w:rsid w:val="00E16408"/>
    <w:rsid w:val="00E20894"/>
    <w:rsid w:val="00E245AB"/>
    <w:rsid w:val="00E2764C"/>
    <w:rsid w:val="00E27F2E"/>
    <w:rsid w:val="00E50AFE"/>
    <w:rsid w:val="00E53700"/>
    <w:rsid w:val="00E75C92"/>
    <w:rsid w:val="00E771DC"/>
    <w:rsid w:val="00E8772A"/>
    <w:rsid w:val="00E90F6B"/>
    <w:rsid w:val="00E92C27"/>
    <w:rsid w:val="00E93E0A"/>
    <w:rsid w:val="00E97FEF"/>
    <w:rsid w:val="00EA0E3D"/>
    <w:rsid w:val="00EC04C8"/>
    <w:rsid w:val="00EC2CF0"/>
    <w:rsid w:val="00EC38A7"/>
    <w:rsid w:val="00EE1AA8"/>
    <w:rsid w:val="00EF4A69"/>
    <w:rsid w:val="00F049D4"/>
    <w:rsid w:val="00F23FEA"/>
    <w:rsid w:val="00F31EDC"/>
    <w:rsid w:val="00F423D4"/>
    <w:rsid w:val="00F462B3"/>
    <w:rsid w:val="00F5664F"/>
    <w:rsid w:val="00F666C4"/>
    <w:rsid w:val="00F76AFC"/>
    <w:rsid w:val="00FA47C0"/>
    <w:rsid w:val="00FB5DD1"/>
    <w:rsid w:val="00FC2B5D"/>
    <w:rsid w:val="00FD5D8D"/>
    <w:rsid w:val="00FE4386"/>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F,R,Footnote Reference"/>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uiPriority w:val="99"/>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B046AB"/>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B046AB"/>
    <w:rPr>
      <w:rFonts w:ascii="Geomanist Light" w:hAnsi="Geomanist Light"/>
      <w:lang w:val="es-ES"/>
    </w:rPr>
  </w:style>
  <w:style w:type="character" w:customStyle="1" w:styleId="s15">
    <w:name w:val="s15"/>
    <w:basedOn w:val="Fuentedeprrafopredeter"/>
    <w:rsid w:val="00C06BA9"/>
  </w:style>
  <w:style w:type="character" w:customStyle="1" w:styleId="NormalWebCar">
    <w:name w:val="Normal (Web) Car"/>
    <w:link w:val="NormalWeb"/>
    <w:uiPriority w:val="99"/>
    <w:semiHidden/>
    <w:locked/>
    <w:rsid w:val="00566725"/>
    <w:rPr>
      <w:rFonts w:ascii="Times New Roman" w:eastAsia="Times New Roman" w:hAnsi="Times New Roman" w:cs="Times New Roman"/>
      <w:sz w:val="24"/>
      <w:szCs w:val="24"/>
      <w:lang w:eastAsia="es-CO"/>
    </w:rPr>
  </w:style>
  <w:style w:type="character" w:customStyle="1" w:styleId="baj">
    <w:name w:val="b_aj"/>
    <w:basedOn w:val="Fuentedeprrafopredeter"/>
    <w:rsid w:val="00566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colombiacompra.gov.c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fequisa@hot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252753FF-A9A7-4A5C-B381-BFC3C14D62EA}"/>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31</TotalTime>
  <Pages>26</Pages>
  <Words>8832</Words>
  <Characters>48576</Characters>
  <Application>Microsoft Office Word</Application>
  <DocSecurity>0</DocSecurity>
  <Lines>404</Lines>
  <Paragraphs>114</Paragraphs>
  <ScaleCrop>false</ScaleCrop>
  <Company/>
  <LinksUpToDate>false</LinksUpToDate>
  <CharactersWithSpaces>57294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Angela Maria Olmos Andrade</cp:lastModifiedBy>
  <cp:revision>15</cp:revision>
  <cp:lastPrinted>2023-01-10T21:18:00Z</cp:lastPrinted>
  <dcterms:created xsi:type="dcterms:W3CDTF">2026-07-07T17:20:00Z</dcterms:created>
  <dcterms:modified xsi:type="dcterms:W3CDTF">2026-07-08T20:09:00Z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