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126850" w14:textId="77777777" w:rsidR="00CA46F7" w:rsidRPr="00077A34" w:rsidRDefault="00CA46F7" w:rsidP="00CA46F7">
      <w:pPr>
        <w:spacing w:after="0" w:line="276" w:lineRule="auto"/>
        <w:jc w:val="both"/>
        <w:rPr>
          <w:rFonts w:ascii="Verdana" w:eastAsia="Calibri" w:hAnsi="Verdana" w:cs="Arial"/>
          <w:b/>
          <w:bCs/>
          <w:lang w:val="es-ES" w:eastAsia="es-ES_tradnl"/>
        </w:rPr>
      </w:pPr>
      <w:bookmarkStart w:id="0" w:name="_Hlk143780582"/>
      <w:r w:rsidRPr="00077A34">
        <w:rPr>
          <w:rFonts w:ascii="Verdana" w:eastAsia="Calibri" w:hAnsi="Verdana" w:cs="Arial"/>
          <w:b/>
          <w:bCs/>
          <w:lang w:val="es-ES" w:eastAsia="es-ES_tradnl"/>
        </w:rPr>
        <w:t>REQUISITOS HABILITANTES – Capacidad financiera – Autonomía</w:t>
      </w:r>
    </w:p>
    <w:p w14:paraId="733887F8" w14:textId="77777777" w:rsidR="00CA46F7" w:rsidRPr="00077A34" w:rsidRDefault="00CA46F7" w:rsidP="00CA46F7">
      <w:pPr>
        <w:spacing w:after="0" w:line="276" w:lineRule="auto"/>
        <w:jc w:val="both"/>
        <w:rPr>
          <w:rFonts w:ascii="Verdana" w:eastAsia="Calibri" w:hAnsi="Verdana" w:cs="Arial"/>
          <w:b/>
          <w:bCs/>
          <w:sz w:val="20"/>
          <w:szCs w:val="20"/>
          <w:lang w:val="es-ES" w:eastAsia="es-ES_tradnl"/>
        </w:rPr>
      </w:pPr>
    </w:p>
    <w:p w14:paraId="2D99F011" w14:textId="5991A62C" w:rsidR="00CA46F7" w:rsidRPr="00077A34" w:rsidRDefault="00CA46F7" w:rsidP="00CA46F7">
      <w:pPr>
        <w:spacing w:after="0" w:line="240" w:lineRule="auto"/>
        <w:jc w:val="both"/>
        <w:rPr>
          <w:rFonts w:ascii="Verdana" w:eastAsia="Calibri" w:hAnsi="Verdana" w:cs="Arial"/>
          <w:sz w:val="20"/>
          <w:szCs w:val="20"/>
          <w:lang w:val="es-MX"/>
        </w:rPr>
      </w:pPr>
      <w:r w:rsidRPr="00077A34">
        <w:rPr>
          <w:rFonts w:ascii="Verdana" w:eastAsia="Calibri" w:hAnsi="Verdana" w:cs="Arial"/>
          <w:sz w:val="20"/>
          <w:szCs w:val="20"/>
          <w:lang w:val="es-MX"/>
        </w:rPr>
        <w:t>“[…] Los requisitos habilitantes se definen como exigencias de participación en los procedimientos de selección, establecidos en disposiciones normativas, de carácter legal o reglamentario, o contenidas en el acto administrativo que regula las reglas de la convocatoria, es decir, en el pliego de condiciones o el documento equivalente a este. Se diferencian de los criterios de evaluación –también conocidos como criterios de calificación– en que estos son los factores definidos por la Entidad Estatal para la asignación de puntaje en el momento de la comparación de las ofertas, y que, a partir de su ponderación, permiten establecer el orden de elegibilidad y, por ende, la propuesta ganadora</w:t>
      </w:r>
      <w:r>
        <w:rPr>
          <w:rFonts w:ascii="Verdana" w:eastAsia="Calibri" w:hAnsi="Verdana" w:cs="Arial"/>
          <w:sz w:val="20"/>
          <w:szCs w:val="20"/>
          <w:lang w:val="es-MX"/>
        </w:rPr>
        <w:t xml:space="preserve"> </w:t>
      </w:r>
      <w:r w:rsidRPr="00077A34">
        <w:rPr>
          <w:rFonts w:ascii="Verdana" w:eastAsia="Calibri" w:hAnsi="Verdana" w:cs="Arial"/>
          <w:sz w:val="20"/>
          <w:szCs w:val="20"/>
          <w:lang w:val="es-MX"/>
        </w:rPr>
        <w:t>[…]</w:t>
      </w:r>
    </w:p>
    <w:p w14:paraId="059B8B61" w14:textId="77777777" w:rsidR="00CA46F7" w:rsidRPr="00077A34" w:rsidRDefault="00CA46F7" w:rsidP="00CA46F7">
      <w:pPr>
        <w:spacing w:after="0" w:line="240" w:lineRule="auto"/>
        <w:jc w:val="both"/>
        <w:rPr>
          <w:rFonts w:ascii="Verdana" w:eastAsia="Calibri" w:hAnsi="Verdana" w:cs="Arial"/>
          <w:color w:val="000000"/>
          <w:sz w:val="20"/>
          <w:szCs w:val="20"/>
          <w:lang w:val="es-MX" w:eastAsia="es-ES_tradnl"/>
        </w:rPr>
      </w:pPr>
    </w:p>
    <w:p w14:paraId="3B3EBB7D" w14:textId="63B881F7" w:rsidR="00CA46F7" w:rsidRDefault="00CA46F7" w:rsidP="00CA46F7">
      <w:pPr>
        <w:spacing w:after="0" w:line="240" w:lineRule="auto"/>
        <w:jc w:val="both"/>
        <w:rPr>
          <w:rFonts w:ascii="Verdana" w:eastAsia="Calibri" w:hAnsi="Verdana" w:cs="Arial"/>
          <w:sz w:val="20"/>
          <w:szCs w:val="20"/>
          <w:lang w:val="es-MX"/>
        </w:rPr>
      </w:pPr>
      <w:r w:rsidRPr="00077A34">
        <w:rPr>
          <w:rFonts w:ascii="Verdana" w:eastAsia="Calibri" w:hAnsi="Verdana" w:cs="Arial"/>
          <w:color w:val="000000"/>
          <w:sz w:val="20"/>
          <w:szCs w:val="20"/>
          <w:lang w:val="es-MX" w:eastAsia="es-ES_tradnl"/>
        </w:rPr>
        <w:t xml:space="preserve">Ahora bien, dentro de los requisitos habilitantes se destaca la capacidad financiera, la cual </w:t>
      </w:r>
      <w:r w:rsidRPr="00077A34">
        <w:rPr>
          <w:rFonts w:ascii="Verdana" w:eastAsia="Calibri" w:hAnsi="Verdana" w:cs="Arial"/>
          <w:sz w:val="20"/>
          <w:szCs w:val="20"/>
          <w:lang w:val="es-MX"/>
        </w:rPr>
        <w:t xml:space="preserve">se deriva del comportamiento contable de la empresa, su liquidez y endeudamiento, para determinar que sus recursos y solidez financiera le permita cumplir los compromisos que adquiera. Como explica esta Agencia en el </w:t>
      </w:r>
      <w:r w:rsidRPr="00077A34">
        <w:rPr>
          <w:rFonts w:ascii="Verdana" w:eastAsia="Calibri" w:hAnsi="Verdana" w:cs="Arial"/>
          <w:i/>
          <w:iCs/>
          <w:sz w:val="20"/>
          <w:szCs w:val="20"/>
          <w:lang w:val="es-MX"/>
        </w:rPr>
        <w:t>Manual para determinar y verificar los requisitos habilitantes en los procesos de contratación</w:t>
      </w:r>
      <w:r w:rsidRPr="00077A34">
        <w:rPr>
          <w:rFonts w:ascii="Verdana" w:eastAsia="Calibri" w:hAnsi="Verdana" w:cs="Arial"/>
          <w:sz w:val="20"/>
          <w:szCs w:val="20"/>
          <w:lang w:val="es-MX"/>
        </w:rPr>
        <w:t xml:space="preserve">: </w:t>
      </w:r>
      <w:r w:rsidRPr="00077A34">
        <w:rPr>
          <w:rFonts w:ascii="Verdana" w:eastAsia="Calibri" w:hAnsi="Verdana" w:cs="Arial"/>
          <w:i/>
          <w:iCs/>
          <w:sz w:val="20"/>
          <w:szCs w:val="20"/>
          <w:lang w:val="es-MX"/>
        </w:rPr>
        <w:t>“Los indicadores de capacidad financiera buscan establecer unas condiciones mínimas que reflejan la salud financiera de los proponentes a través de su liquidez y endeudamiento. Estas condiciones muestran la aptitud del proponente para cumplir oportuna y cabalmente el objeto del contrato”</w:t>
      </w:r>
      <w:r w:rsidRPr="00077A34">
        <w:rPr>
          <w:rFonts w:ascii="Verdana" w:eastAsia="Calibri" w:hAnsi="Verdana" w:cs="Arial"/>
          <w:i/>
          <w:iCs/>
          <w:color w:val="000000"/>
          <w:sz w:val="20"/>
          <w:szCs w:val="20"/>
          <w:lang w:val="es-ES_tradnl" w:eastAsia="es-ES_tradnl"/>
        </w:rPr>
        <w:t>.</w:t>
      </w:r>
      <w:r w:rsidRPr="00077A34">
        <w:rPr>
          <w:rFonts w:ascii="Verdana" w:eastAsia="Calibri" w:hAnsi="Verdana" w:cs="Arial"/>
          <w:color w:val="000000"/>
          <w:sz w:val="20"/>
          <w:szCs w:val="20"/>
          <w:lang w:val="es-MX" w:eastAsia="es-ES_tradnl"/>
        </w:rPr>
        <w:t xml:space="preserve"> La Entidad Estatal, como responsable de la estructuración de su procedimiento de selección, es autónoma para determinar la capacidad financiera necesaria de acuerdo con el objeto contractual que se pretende satisfacer, no obstante, en atención a lo dispuesto en el artículo 2.2.1.1.1.6.2 del Decreto 1082 de 2015, debe ser establecida con sustento en el estudio del sector y sus componentes como la identificación de riesgos, el mercado y precio del bien, obra o servicio a contratar</w:t>
      </w:r>
      <w:r>
        <w:rPr>
          <w:rFonts w:ascii="Verdana" w:eastAsia="Calibri" w:hAnsi="Verdana" w:cs="Arial"/>
          <w:color w:val="000000"/>
          <w:sz w:val="20"/>
          <w:szCs w:val="20"/>
          <w:lang w:val="es-MX" w:eastAsia="es-ES_tradnl"/>
        </w:rPr>
        <w:t xml:space="preserve"> </w:t>
      </w:r>
      <w:r w:rsidRPr="00077A34">
        <w:rPr>
          <w:rFonts w:ascii="Verdana" w:eastAsia="Calibri" w:hAnsi="Verdana" w:cs="Arial"/>
          <w:sz w:val="20"/>
          <w:szCs w:val="20"/>
          <w:lang w:val="es-MX"/>
        </w:rPr>
        <w:t>[…]”</w:t>
      </w:r>
    </w:p>
    <w:p w14:paraId="19F13A0D" w14:textId="77777777" w:rsidR="00CA46F7" w:rsidRDefault="00CA46F7" w:rsidP="00CA46F7">
      <w:pPr>
        <w:spacing w:after="0" w:line="240" w:lineRule="auto"/>
        <w:jc w:val="both"/>
        <w:rPr>
          <w:rFonts w:ascii="Verdana" w:eastAsia="Calibri" w:hAnsi="Verdana" w:cs="Arial"/>
          <w:sz w:val="20"/>
          <w:szCs w:val="20"/>
          <w:lang w:val="es-MX"/>
        </w:rPr>
      </w:pPr>
    </w:p>
    <w:p w14:paraId="5FB305E1" w14:textId="77777777" w:rsidR="00CA46F7" w:rsidRPr="00077A34" w:rsidRDefault="00CA46F7" w:rsidP="00CA46F7">
      <w:pPr>
        <w:spacing w:after="0" w:line="276" w:lineRule="auto"/>
        <w:jc w:val="both"/>
        <w:rPr>
          <w:rFonts w:ascii="Verdana" w:eastAsia="Calibri" w:hAnsi="Verdana" w:cs="Arial"/>
          <w:b/>
          <w:color w:val="000000" w:themeColor="text1"/>
          <w:szCs w:val="24"/>
          <w:lang w:val="es-MX" w:eastAsia="es-ES_tradnl"/>
        </w:rPr>
      </w:pPr>
      <w:r w:rsidRPr="00077A34">
        <w:rPr>
          <w:rFonts w:ascii="Verdana" w:eastAsia="Calibri" w:hAnsi="Verdana" w:cs="Arial"/>
          <w:b/>
          <w:color w:val="000000" w:themeColor="text1"/>
          <w:szCs w:val="24"/>
          <w:lang w:val="es-MX" w:eastAsia="es-ES_tradnl"/>
        </w:rPr>
        <w:t>CAPACIDAD FINANCIERA – Indicadores financieros</w:t>
      </w:r>
    </w:p>
    <w:p w14:paraId="71F57801" w14:textId="77777777" w:rsidR="00CA46F7" w:rsidRPr="00077A34" w:rsidRDefault="00CA46F7" w:rsidP="00CA46F7">
      <w:pPr>
        <w:spacing w:after="0" w:line="276" w:lineRule="auto"/>
        <w:jc w:val="both"/>
        <w:rPr>
          <w:rFonts w:ascii="Verdana" w:eastAsia="Calibri" w:hAnsi="Verdana" w:cs="Arial"/>
          <w:b/>
          <w:color w:val="000000" w:themeColor="text1"/>
          <w:szCs w:val="24"/>
          <w:lang w:val="es-MX" w:eastAsia="es-ES_tradnl"/>
        </w:rPr>
      </w:pPr>
    </w:p>
    <w:p w14:paraId="7109B473" w14:textId="77777777" w:rsidR="00CA46F7" w:rsidRPr="00077A34" w:rsidRDefault="00CA46F7" w:rsidP="00CA46F7">
      <w:pPr>
        <w:spacing w:after="0" w:line="240" w:lineRule="auto"/>
        <w:jc w:val="both"/>
        <w:rPr>
          <w:rFonts w:ascii="Verdana" w:eastAsia="Calibri" w:hAnsi="Verdana" w:cs="Arial"/>
          <w:color w:val="000000"/>
          <w:sz w:val="20"/>
          <w:szCs w:val="20"/>
          <w:lang w:val="es-ES_tradnl" w:eastAsia="es-ES_tradnl"/>
        </w:rPr>
      </w:pPr>
      <w:r w:rsidRPr="00077A34">
        <w:rPr>
          <w:rFonts w:ascii="Verdana" w:eastAsia="Calibri" w:hAnsi="Verdana" w:cs="Arial"/>
          <w:sz w:val="20"/>
          <w:szCs w:val="20"/>
          <w:lang w:val="es-MX"/>
        </w:rPr>
        <w:t xml:space="preserve">“[…] </w:t>
      </w:r>
      <w:r w:rsidRPr="00077A34">
        <w:rPr>
          <w:rFonts w:ascii="Verdana" w:eastAsia="Calibri" w:hAnsi="Verdana" w:cs="Arial"/>
          <w:color w:val="000000"/>
          <w:sz w:val="20"/>
          <w:szCs w:val="20"/>
          <w:lang w:val="es-ES_tradnl" w:eastAsia="es-ES_tradnl"/>
        </w:rPr>
        <w:t xml:space="preserve">Según el artículo 2.2.1.1.1.5.3. del Decreto 1082 de 2015, el RUP contempla como indicadores de capacidad financiera los siguientes: i) el </w:t>
      </w:r>
      <w:r w:rsidRPr="00077A34">
        <w:rPr>
          <w:rFonts w:ascii="Verdana" w:eastAsia="Calibri" w:hAnsi="Verdana" w:cs="Arial"/>
          <w:i/>
          <w:iCs/>
          <w:color w:val="000000"/>
          <w:sz w:val="20"/>
          <w:szCs w:val="20"/>
          <w:lang w:val="es-ES_tradnl" w:eastAsia="es-ES_tradnl"/>
        </w:rPr>
        <w:t>índice de liquidez</w:t>
      </w:r>
      <w:r w:rsidRPr="00077A34">
        <w:rPr>
          <w:rFonts w:ascii="Verdana" w:eastAsia="Calibri" w:hAnsi="Verdana" w:cs="Arial"/>
          <w:color w:val="000000"/>
          <w:sz w:val="20"/>
          <w:szCs w:val="20"/>
          <w:lang w:val="es-ES_tradnl" w:eastAsia="es-ES_tradnl"/>
        </w:rPr>
        <w:t xml:space="preserve">, que corresponde a la división entre el activo corriente y el pasivo corriente, y que determina la capacidad que tiene el proponente para cumplir con sus obligaciones de corto plazo; </w:t>
      </w:r>
      <w:proofErr w:type="spellStart"/>
      <w:r w:rsidRPr="00077A34">
        <w:rPr>
          <w:rFonts w:ascii="Verdana" w:eastAsia="Calibri" w:hAnsi="Verdana" w:cs="Arial"/>
          <w:color w:val="000000"/>
          <w:sz w:val="20"/>
          <w:szCs w:val="20"/>
          <w:lang w:val="es-ES_tradnl" w:eastAsia="es-ES_tradnl"/>
        </w:rPr>
        <w:t>ii</w:t>
      </w:r>
      <w:proofErr w:type="spellEnd"/>
      <w:r w:rsidRPr="00077A34">
        <w:rPr>
          <w:rFonts w:ascii="Verdana" w:eastAsia="Calibri" w:hAnsi="Verdana" w:cs="Arial"/>
          <w:color w:val="000000"/>
          <w:sz w:val="20"/>
          <w:szCs w:val="20"/>
          <w:lang w:val="es-ES_tradnl" w:eastAsia="es-ES_tradnl"/>
        </w:rPr>
        <w:t xml:space="preserve">) el </w:t>
      </w:r>
      <w:r w:rsidRPr="00077A34">
        <w:rPr>
          <w:rFonts w:ascii="Verdana" w:eastAsia="Calibri" w:hAnsi="Verdana" w:cs="Arial"/>
          <w:i/>
          <w:iCs/>
          <w:color w:val="000000"/>
          <w:sz w:val="20"/>
          <w:szCs w:val="20"/>
          <w:lang w:val="es-ES_tradnl" w:eastAsia="es-ES_tradnl"/>
        </w:rPr>
        <w:t>índice de endeudamiento</w:t>
      </w:r>
      <w:r w:rsidRPr="00077A34">
        <w:rPr>
          <w:rFonts w:ascii="Verdana" w:eastAsia="Calibri" w:hAnsi="Verdana" w:cs="Arial"/>
          <w:color w:val="000000"/>
          <w:sz w:val="20"/>
          <w:szCs w:val="20"/>
          <w:lang w:val="es-ES_tradnl" w:eastAsia="es-ES_tradnl"/>
        </w:rPr>
        <w:t xml:space="preserve">, que se calcula dividiendo el pasivo total por el activo total, el cual determina el grado de endeudamiento en la estructura de financiación del proponente; y </w:t>
      </w:r>
      <w:proofErr w:type="spellStart"/>
      <w:r w:rsidRPr="00077A34">
        <w:rPr>
          <w:rFonts w:ascii="Verdana" w:eastAsia="Calibri" w:hAnsi="Verdana" w:cs="Arial"/>
          <w:color w:val="000000"/>
          <w:sz w:val="20"/>
          <w:szCs w:val="20"/>
          <w:lang w:val="es-ES_tradnl" w:eastAsia="es-ES_tradnl"/>
        </w:rPr>
        <w:t>iii</w:t>
      </w:r>
      <w:proofErr w:type="spellEnd"/>
      <w:r w:rsidRPr="00077A34">
        <w:rPr>
          <w:rFonts w:ascii="Verdana" w:eastAsia="Calibri" w:hAnsi="Verdana" w:cs="Arial"/>
          <w:color w:val="000000"/>
          <w:sz w:val="20"/>
          <w:szCs w:val="20"/>
          <w:lang w:val="es-ES_tradnl" w:eastAsia="es-ES_tradnl"/>
        </w:rPr>
        <w:t xml:space="preserve">) la </w:t>
      </w:r>
      <w:r w:rsidRPr="00077A34">
        <w:rPr>
          <w:rFonts w:ascii="Verdana" w:eastAsia="Calibri" w:hAnsi="Verdana" w:cs="Arial"/>
          <w:i/>
          <w:iCs/>
          <w:color w:val="000000"/>
          <w:sz w:val="20"/>
          <w:szCs w:val="20"/>
          <w:lang w:val="es-ES_tradnl" w:eastAsia="es-ES_tradnl"/>
        </w:rPr>
        <w:t>razón de cobertura de intereses</w:t>
      </w:r>
      <w:r w:rsidRPr="00077A34">
        <w:rPr>
          <w:rFonts w:ascii="Verdana" w:eastAsia="Calibri" w:hAnsi="Verdana" w:cs="Arial"/>
          <w:color w:val="000000"/>
          <w:sz w:val="20"/>
          <w:szCs w:val="20"/>
          <w:lang w:val="es-ES_tradnl" w:eastAsia="es-ES_tradnl"/>
        </w:rPr>
        <w:t xml:space="preserve">, que es igual a la utilidad operacional, sobre los gastos de intereses, y que refleja la capacidad del proponente para cumplir con sus obligaciones financieras. Adicionalmente, la Agencia Nacional de Contratación Pública – Colombia Compra Eficiente recomienda valorar otro tipo de indicadores como el </w:t>
      </w:r>
      <w:r w:rsidRPr="00077A34">
        <w:rPr>
          <w:rFonts w:ascii="Verdana" w:eastAsia="Calibri" w:hAnsi="Verdana" w:cs="Arial"/>
          <w:i/>
          <w:iCs/>
          <w:color w:val="000000"/>
          <w:sz w:val="20"/>
          <w:szCs w:val="20"/>
          <w:lang w:val="es-ES_tradnl" w:eastAsia="es-ES_tradnl"/>
        </w:rPr>
        <w:t>capital de trabajo</w:t>
      </w:r>
      <w:r w:rsidRPr="00077A34">
        <w:rPr>
          <w:rFonts w:ascii="Verdana" w:eastAsia="Calibri" w:hAnsi="Verdana" w:cs="Arial"/>
          <w:color w:val="000000"/>
          <w:sz w:val="20"/>
          <w:szCs w:val="20"/>
          <w:lang w:val="es-ES_tradnl" w:eastAsia="es-ES_tradnl"/>
        </w:rPr>
        <w:t xml:space="preserve">, la </w:t>
      </w:r>
      <w:r w:rsidRPr="00077A34">
        <w:rPr>
          <w:rFonts w:ascii="Verdana" w:eastAsia="Calibri" w:hAnsi="Verdana" w:cs="Arial"/>
          <w:i/>
          <w:iCs/>
          <w:color w:val="000000"/>
          <w:sz w:val="20"/>
          <w:szCs w:val="20"/>
          <w:lang w:val="es-ES_tradnl" w:eastAsia="es-ES_tradnl"/>
        </w:rPr>
        <w:t>razón de efectivo</w:t>
      </w:r>
      <w:r w:rsidRPr="00077A34">
        <w:rPr>
          <w:rFonts w:ascii="Verdana" w:eastAsia="Calibri" w:hAnsi="Verdana" w:cs="Arial"/>
          <w:color w:val="000000"/>
          <w:sz w:val="20"/>
          <w:szCs w:val="20"/>
          <w:lang w:val="es-ES_tradnl" w:eastAsia="es-ES_tradnl"/>
        </w:rPr>
        <w:t xml:space="preserve">, la denominada </w:t>
      </w:r>
      <w:r w:rsidRPr="00077A34">
        <w:rPr>
          <w:rFonts w:ascii="Verdana" w:eastAsia="Calibri" w:hAnsi="Verdana" w:cs="Arial"/>
          <w:i/>
          <w:iCs/>
          <w:color w:val="000000"/>
          <w:sz w:val="20"/>
          <w:szCs w:val="20"/>
          <w:lang w:val="es-ES_tradnl" w:eastAsia="es-ES_tradnl"/>
        </w:rPr>
        <w:t>prueba ácida</w:t>
      </w:r>
      <w:r w:rsidRPr="00077A34">
        <w:rPr>
          <w:rFonts w:ascii="Verdana" w:eastAsia="Calibri" w:hAnsi="Verdana" w:cs="Arial"/>
          <w:color w:val="000000"/>
          <w:sz w:val="20"/>
          <w:szCs w:val="20"/>
          <w:lang w:val="es-ES_tradnl" w:eastAsia="es-ES_tradnl"/>
        </w:rPr>
        <w:t xml:space="preserve">, la </w:t>
      </w:r>
      <w:r w:rsidRPr="00077A34">
        <w:rPr>
          <w:rFonts w:ascii="Verdana" w:eastAsia="Calibri" w:hAnsi="Verdana" w:cs="Arial"/>
          <w:i/>
          <w:iCs/>
          <w:color w:val="000000"/>
          <w:sz w:val="20"/>
          <w:szCs w:val="20"/>
          <w:lang w:val="es-ES_tradnl" w:eastAsia="es-ES_tradnl"/>
        </w:rPr>
        <w:t xml:space="preserve">concentración de endeudamiento a corto </w:t>
      </w:r>
      <w:r w:rsidRPr="00077A34">
        <w:rPr>
          <w:rFonts w:ascii="Verdana" w:eastAsia="Calibri" w:hAnsi="Verdana" w:cs="Arial"/>
          <w:color w:val="000000"/>
          <w:sz w:val="20"/>
          <w:szCs w:val="20"/>
          <w:lang w:val="es-ES_tradnl" w:eastAsia="es-ES_tradnl"/>
        </w:rPr>
        <w:t>y</w:t>
      </w:r>
      <w:r w:rsidRPr="00077A34">
        <w:rPr>
          <w:rFonts w:ascii="Verdana" w:eastAsia="Calibri" w:hAnsi="Verdana" w:cs="Arial"/>
          <w:i/>
          <w:iCs/>
          <w:color w:val="000000"/>
          <w:sz w:val="20"/>
          <w:szCs w:val="20"/>
          <w:lang w:val="es-ES_tradnl" w:eastAsia="es-ES_tradnl"/>
        </w:rPr>
        <w:t xml:space="preserve"> a largo plazo</w:t>
      </w:r>
      <w:r w:rsidRPr="00077A34">
        <w:rPr>
          <w:rFonts w:ascii="Verdana" w:eastAsia="Calibri" w:hAnsi="Verdana" w:cs="Arial"/>
          <w:color w:val="000000"/>
          <w:sz w:val="20"/>
          <w:szCs w:val="20"/>
          <w:lang w:val="es-ES_tradnl" w:eastAsia="es-ES_tradnl"/>
        </w:rPr>
        <w:t xml:space="preserve"> y el </w:t>
      </w:r>
      <w:r w:rsidRPr="00077A34">
        <w:rPr>
          <w:rFonts w:ascii="Verdana" w:eastAsia="Calibri" w:hAnsi="Verdana" w:cs="Arial"/>
          <w:i/>
          <w:iCs/>
          <w:color w:val="000000"/>
          <w:sz w:val="20"/>
          <w:szCs w:val="20"/>
          <w:lang w:val="es-ES_tradnl" w:eastAsia="es-ES_tradnl"/>
        </w:rPr>
        <w:t>patrimonio</w:t>
      </w:r>
      <w:r w:rsidRPr="00077A34">
        <w:rPr>
          <w:rFonts w:ascii="Verdana" w:eastAsia="Calibri" w:hAnsi="Verdana" w:cs="Arial"/>
          <w:color w:val="000000"/>
          <w:sz w:val="20"/>
          <w:szCs w:val="20"/>
          <w:lang w:val="es-ES_tradnl" w:eastAsia="es-ES_tradnl"/>
        </w:rPr>
        <w:t>.</w:t>
      </w:r>
    </w:p>
    <w:p w14:paraId="1C5C83CF" w14:textId="77777777" w:rsidR="00CA46F7" w:rsidRPr="00077A34" w:rsidRDefault="00CA46F7" w:rsidP="00CA46F7">
      <w:pPr>
        <w:spacing w:after="0" w:line="240" w:lineRule="auto"/>
        <w:jc w:val="both"/>
        <w:rPr>
          <w:rFonts w:ascii="Verdana" w:eastAsia="Calibri" w:hAnsi="Verdana" w:cs="Arial"/>
          <w:color w:val="000000"/>
          <w:sz w:val="20"/>
          <w:szCs w:val="20"/>
          <w:lang w:val="es-ES_tradnl" w:eastAsia="es-ES_tradnl"/>
        </w:rPr>
      </w:pPr>
    </w:p>
    <w:p w14:paraId="2439628F" w14:textId="77777777" w:rsidR="00CA46F7" w:rsidRDefault="00CA46F7" w:rsidP="00CA46F7">
      <w:pPr>
        <w:spacing w:after="0" w:line="240" w:lineRule="auto"/>
        <w:jc w:val="both"/>
        <w:rPr>
          <w:rFonts w:ascii="Verdana" w:eastAsia="Calibri" w:hAnsi="Verdana" w:cs="Arial"/>
          <w:sz w:val="20"/>
          <w:szCs w:val="20"/>
          <w:lang w:val="es-MX"/>
        </w:rPr>
      </w:pPr>
      <w:r w:rsidRPr="00077A34">
        <w:rPr>
          <w:rFonts w:ascii="Verdana" w:eastAsia="Calibri" w:hAnsi="Verdana" w:cs="Arial"/>
          <w:color w:val="000000" w:themeColor="text1"/>
          <w:sz w:val="20"/>
          <w:szCs w:val="20"/>
          <w:lang w:val="es-ES_tradnl" w:eastAsia="es-ES_tradnl"/>
        </w:rPr>
        <w:t xml:space="preserve">De igual forma, es importante tener en cuenta que el numeral 3 del artículo 2.2.1.1.1.5.3. del Decreto 1082 de 2015 se refiere a los aspectos de la capacidad financiera que deben verificar las cámaras de comercio al momento de la inscripción, </w:t>
      </w:r>
      <w:r w:rsidRPr="00077A34">
        <w:rPr>
          <w:rFonts w:ascii="Verdana" w:eastAsia="Calibri" w:hAnsi="Verdana" w:cs="Arial"/>
          <w:color w:val="000000" w:themeColor="text1"/>
          <w:sz w:val="20"/>
          <w:szCs w:val="20"/>
          <w:lang w:val="es-ES_tradnl" w:eastAsia="es-ES_tradnl"/>
        </w:rPr>
        <w:lastRenderedPageBreak/>
        <w:t>renovación o actualización del Registro Único de Proponentes. Sin embargo, no dispone expresamente que el índice de liquidez, el índice de endeudamiento y la razón de cobertura de intereses sean aspectos que deban validarse obligatoriamente en cada proceso de selección. Una cosa son los requisitos de capacidad financiera que debe certificar el registro y otra, muy diferente, los aspectos de este requisito habilitante que la entidad verifica en cada procedimiento contractual. Mientras los primeros están regulados en el artículo 2.2.1.1.1.5.3. del Decreto 1082 de 2015, los segundos debe establecerlos la entidad contratante en el pliego de condiciones o la invitación, según corresponda.</w:t>
      </w:r>
      <w:r w:rsidRPr="00077A34">
        <w:rPr>
          <w:rFonts w:ascii="Verdana" w:eastAsia="Calibri" w:hAnsi="Verdana" w:cs="Arial"/>
          <w:sz w:val="20"/>
          <w:szCs w:val="20"/>
          <w:lang w:val="es-MX"/>
        </w:rPr>
        <w:t xml:space="preserve"> […]”</w:t>
      </w:r>
    </w:p>
    <w:p w14:paraId="2AC4AAD6" w14:textId="77777777" w:rsidR="00CA46F7" w:rsidRDefault="00CA46F7" w:rsidP="00CA46F7">
      <w:pPr>
        <w:spacing w:after="0" w:line="240" w:lineRule="auto"/>
        <w:jc w:val="both"/>
        <w:rPr>
          <w:rFonts w:ascii="Verdana" w:eastAsia="Calibri" w:hAnsi="Verdana" w:cs="Arial"/>
          <w:sz w:val="20"/>
          <w:szCs w:val="20"/>
          <w:lang w:val="es-MX"/>
        </w:rPr>
      </w:pPr>
    </w:p>
    <w:p w14:paraId="0147C456" w14:textId="3D8F1178" w:rsidR="00CA46F7" w:rsidRDefault="00CA46F7" w:rsidP="00CA46F7">
      <w:pPr>
        <w:spacing w:after="0" w:line="240" w:lineRule="auto"/>
        <w:jc w:val="both"/>
        <w:rPr>
          <w:rFonts w:ascii="Verdana" w:eastAsia="Calibri" w:hAnsi="Verdana" w:cs="Arial"/>
          <w:b/>
          <w:bCs/>
          <w:lang w:val="es-ES" w:eastAsia="es-ES"/>
        </w:rPr>
      </w:pPr>
      <w:r w:rsidRPr="00CA46F7">
        <w:rPr>
          <w:rFonts w:ascii="Verdana" w:eastAsia="Calibri" w:hAnsi="Verdana" w:cs="Arial"/>
          <w:b/>
          <w:bCs/>
          <w:lang w:val="es-ES" w:eastAsia="es-ES"/>
        </w:rPr>
        <w:t>R</w:t>
      </w:r>
      <w:r w:rsidRPr="00CA46F7">
        <w:rPr>
          <w:rFonts w:ascii="Verdana" w:eastAsia="Calibri" w:hAnsi="Verdana" w:cs="Arial"/>
          <w:b/>
          <w:bCs/>
          <w:lang w:val="es-ES" w:eastAsia="es-ES"/>
        </w:rPr>
        <w:t xml:space="preserve">EQUISITOS HABILITANTES – Sucursal en lugar de ejecución – Alcance </w:t>
      </w:r>
    </w:p>
    <w:p w14:paraId="23FE0BC6" w14:textId="77777777" w:rsidR="00CA46F7" w:rsidRDefault="00CA46F7" w:rsidP="00CA46F7">
      <w:pPr>
        <w:spacing w:after="0" w:line="240" w:lineRule="auto"/>
        <w:jc w:val="both"/>
        <w:rPr>
          <w:rFonts w:ascii="Verdana" w:eastAsia="Calibri" w:hAnsi="Verdana" w:cs="Arial"/>
          <w:b/>
          <w:bCs/>
          <w:lang w:val="es-ES" w:eastAsia="es-ES"/>
        </w:rPr>
      </w:pPr>
    </w:p>
    <w:p w14:paraId="4B91F209" w14:textId="22322AC7" w:rsidR="00CA46F7" w:rsidRPr="00CA46F7" w:rsidRDefault="00CA46F7" w:rsidP="00CA46F7">
      <w:pPr>
        <w:widowControl w:val="0"/>
        <w:autoSpaceDE w:val="0"/>
        <w:autoSpaceDN w:val="0"/>
        <w:spacing w:after="0" w:line="240" w:lineRule="auto"/>
        <w:jc w:val="both"/>
        <w:rPr>
          <w:rFonts w:ascii="Verdana" w:eastAsia="Times New Roman" w:hAnsi="Verdana" w:cs="Arial"/>
          <w:sz w:val="20"/>
          <w:szCs w:val="20"/>
          <w:lang w:val="es-ES" w:eastAsia="es-ES"/>
        </w:rPr>
      </w:pPr>
      <w:r w:rsidRPr="00CA46F7">
        <w:rPr>
          <w:rFonts w:ascii="Verdana" w:eastAsia="Times New Roman" w:hAnsi="Verdana" w:cs="Arial"/>
          <w:sz w:val="20"/>
          <w:szCs w:val="20"/>
          <w:lang w:val="es-ES" w:eastAsia="es-ES"/>
        </w:rPr>
        <w:t>Por otra parte, en relación con la exigencia de contar con una sucursal formalmente registrada y en funcionamiento en el lugar de ejecución, es</w:t>
      </w:r>
      <w:r>
        <w:rPr>
          <w:rFonts w:ascii="Verdana" w:eastAsia="Times New Roman" w:hAnsi="Verdana" w:cs="Arial"/>
          <w:sz w:val="20"/>
          <w:szCs w:val="20"/>
          <w:lang w:val="es-ES" w:eastAsia="es-ES"/>
        </w:rPr>
        <w:t xml:space="preserve"> </w:t>
      </w:r>
      <w:r w:rsidRPr="00CA46F7">
        <w:rPr>
          <w:rFonts w:ascii="Verdana" w:eastAsia="Times New Roman" w:hAnsi="Verdana" w:cs="Arial"/>
          <w:sz w:val="20"/>
          <w:szCs w:val="20"/>
          <w:lang w:val="es-ES" w:eastAsia="es-ES"/>
        </w:rPr>
        <w:t>importante resaltar que, salvo las excepciones establecidas por el legislador, como es el caso de las convocatorias limitadas a Mipymes nacionales o territoriales, los principios de igualdad y libre concurrencia rigen los procedimientos de selección competitivos de las entidades sometidas al Estatuto General de Contratación de la Administración Pública y proscriben los tratos discriminatorios respecto de la posibilidad de presentar ofertas, por ejemplo, en razón del lugar de operación o domicilio del proponente. Por ello, en los conceptos 2201913000006511 del 3 de septiembre de 2019 y C-032 del 16 de abril de 2024, esta Agencia sostuvo que, por regla general, las entidades no pueden exigir como requisito habilitante que el proponente tenga residencia en el lugar donde se ejecutará el contrato, pues ello afecta la libre competencia, constituye una cláusula discriminatoria y no garantiza la aptitud del proponente para ejecutar el objeto contractual; análisis que resulta igualmente procedente frente a la exigencia de una sucursal formalmente registrada y en funcionamiento en el municipio de ejecución como condición de participación.</w:t>
      </w:r>
    </w:p>
    <w:p w14:paraId="7A2376BC" w14:textId="77777777" w:rsidR="00CA46F7" w:rsidRPr="00CA46F7" w:rsidRDefault="00CA46F7" w:rsidP="00CA46F7">
      <w:pPr>
        <w:spacing w:after="0" w:line="240" w:lineRule="auto"/>
        <w:jc w:val="both"/>
        <w:rPr>
          <w:rFonts w:ascii="Verdana" w:eastAsia="Calibri" w:hAnsi="Verdana" w:cs="Arial"/>
          <w:b/>
          <w:bCs/>
          <w:lang w:val="es-ES" w:eastAsia="es-ES"/>
        </w:rPr>
      </w:pPr>
    </w:p>
    <w:p w14:paraId="3C14DA6C" w14:textId="3943D3DC" w:rsidR="00CA46F7" w:rsidRPr="00CA46F7" w:rsidRDefault="00CA46F7" w:rsidP="00CA46F7">
      <w:pPr>
        <w:spacing w:after="0" w:line="240" w:lineRule="auto"/>
        <w:jc w:val="both"/>
        <w:rPr>
          <w:rFonts w:ascii="Verdana" w:eastAsia="Calibri" w:hAnsi="Verdana" w:cs="Arial"/>
          <w:b/>
          <w:bCs/>
          <w:color w:val="000000"/>
          <w:sz w:val="20"/>
          <w:szCs w:val="20"/>
          <w:lang w:val="es-ES_tradnl" w:eastAsia="es-ES_tradnl"/>
        </w:rPr>
      </w:pPr>
      <w:r w:rsidRPr="00CA46F7">
        <w:rPr>
          <w:rFonts w:ascii="Verdana" w:eastAsia="Calibri" w:hAnsi="Verdana" w:cs="Arial"/>
          <w:b/>
          <w:bCs/>
          <w:lang w:val="es-ES" w:eastAsia="es-ES"/>
        </w:rPr>
        <w:t>REQUISITOS HABILITANTES – Límites – Adecuación y proporcionalidad</w:t>
      </w:r>
    </w:p>
    <w:p w14:paraId="5B8D884E" w14:textId="77777777" w:rsidR="00CA46F7" w:rsidRPr="00077A34" w:rsidRDefault="00CA46F7" w:rsidP="00CA46F7">
      <w:pPr>
        <w:spacing w:after="0" w:line="240" w:lineRule="auto"/>
        <w:jc w:val="both"/>
        <w:rPr>
          <w:rFonts w:ascii="Verdana" w:eastAsia="Calibri" w:hAnsi="Verdana" w:cs="Arial"/>
          <w:sz w:val="20"/>
          <w:szCs w:val="20"/>
          <w:lang w:val="es-MX"/>
        </w:rPr>
      </w:pPr>
    </w:p>
    <w:p w14:paraId="14C593D6" w14:textId="77777777" w:rsidR="00CA46F7" w:rsidRPr="00CA46F7" w:rsidRDefault="00CA46F7" w:rsidP="00CA46F7">
      <w:pPr>
        <w:widowControl w:val="0"/>
        <w:autoSpaceDE w:val="0"/>
        <w:autoSpaceDN w:val="0"/>
        <w:spacing w:after="120" w:line="240" w:lineRule="auto"/>
        <w:jc w:val="both"/>
        <w:rPr>
          <w:rFonts w:ascii="Verdana" w:eastAsia="Times New Roman" w:hAnsi="Verdana" w:cs="Arial"/>
          <w:sz w:val="20"/>
          <w:szCs w:val="20"/>
          <w:lang w:val="es-ES" w:eastAsia="es-ES"/>
        </w:rPr>
      </w:pPr>
      <w:r w:rsidRPr="00CA46F7">
        <w:rPr>
          <w:rFonts w:ascii="Verdana" w:eastAsia="Times New Roman" w:hAnsi="Verdana" w:cs="Arial"/>
          <w:sz w:val="20"/>
          <w:szCs w:val="20"/>
          <w:lang w:val="es-ES" w:eastAsia="es-ES"/>
        </w:rPr>
        <w:t xml:space="preserve">En este sentido, una cosa son los aspectos de la capacidad financiera que certifican las cámaras de comercio en el Registro Único de Proponentes, conforme al artículo 2.2.1.1.1.5.3 del Decreto 1082 de 2015 —índice de liquidez, índice de endeudamiento y razón de cobertura de intereses—, y otra, muy diferente, los aspectos de este requisito habilitante que la entidad verifica en cada procedimiento contractual, los cuales debe establecer la entidad contratante en el pliego de condiciones o la invitación, según corresponda. De este modo, los requisitos habilitantes previstos en la Ley 1150 de 2007 no son taxativos y la entidad puede definir indicadores o mecanismos adicionales de verificación de la capacidad financiera; sin embargo, esta autonomía no constituye una facultad irrestricta o arbitraria, pues los requisitos que se establezcan deben ser adecuados —esto es, guardar relación directa con el objeto del contrato— y proporcionales —es decir, no imponer condiciones más allá de las necesarias para verificar la idoneidad de los proponentes—, so pena de limitar injustificadamente la libre concurrencia. </w:t>
      </w:r>
    </w:p>
    <w:p w14:paraId="46DA9C40" w14:textId="6BE46B4F" w:rsidR="005D0A82" w:rsidRPr="00DD0F57" w:rsidRDefault="005D0A82" w:rsidP="005D0A82">
      <w:pPr>
        <w:spacing w:after="0"/>
        <w:rPr>
          <w:rFonts w:ascii="Verdana" w:hAnsi="Verdana"/>
          <w:lang w:val="es-ES"/>
        </w:rPr>
      </w:pPr>
      <w:r w:rsidRPr="00DD0F57">
        <w:rPr>
          <w:rFonts w:ascii="Verdana" w:hAnsi="Verdana"/>
          <w:lang w:val="es-ES"/>
        </w:rPr>
        <w:lastRenderedPageBreak/>
        <w:t xml:space="preserve">Bogotá D.C., </w:t>
      </w:r>
      <w:r w:rsidR="008077FE">
        <w:rPr>
          <w:rFonts w:ascii="Verdana" w:hAnsi="Verdana"/>
          <w:lang w:val="es-ES"/>
        </w:rPr>
        <w:t>08 de Julio de 2026</w:t>
      </w:r>
      <w:r w:rsidRPr="00DD0F57">
        <w:rPr>
          <w:rFonts w:ascii="Verdana" w:hAnsi="Verdana"/>
          <w:lang w:val="es-ES"/>
        </w:rPr>
        <w:tab/>
      </w:r>
    </w:p>
    <w:p w14:paraId="4BA92D6C" w14:textId="7D72EFFD" w:rsidR="005D0A82" w:rsidRPr="00DD0F57" w:rsidRDefault="005D0A82" w:rsidP="005D0A82">
      <w:pPr>
        <w:spacing w:after="0"/>
        <w:rPr>
          <w:rFonts w:ascii="Verdana" w:hAnsi="Verdana"/>
          <w:lang w:val="es-ES"/>
        </w:rPr>
      </w:pPr>
    </w:p>
    <w:p w14:paraId="344070D6" w14:textId="4EA76E05" w:rsidR="005D0A82" w:rsidRPr="00DD0F57" w:rsidRDefault="008077FE" w:rsidP="005D0A82">
      <w:pPr>
        <w:spacing w:after="0" w:line="240" w:lineRule="auto"/>
        <w:jc w:val="both"/>
        <w:rPr>
          <w:rFonts w:ascii="Verdana" w:eastAsia="Calibri" w:hAnsi="Verdana" w:cs="Arial"/>
          <w:color w:val="000000" w:themeColor="text1"/>
          <w:lang w:val="es-ES" w:eastAsia="es-ES"/>
        </w:rPr>
      </w:pPr>
      <w:r>
        <w:rPr>
          <w:rFonts w:ascii="Verdana" w:eastAsia="Calibri" w:hAnsi="Verdana" w:cs="Arial"/>
          <w:noProof/>
          <w:color w:val="000000" w:themeColor="text1"/>
          <w:lang w:val="es-ES" w:eastAsia="es-ES_tradnl"/>
        </w:rPr>
        <w:drawing>
          <wp:anchor distT="0" distB="0" distL="114300" distR="114300" simplePos="0" relativeHeight="251659264" behindDoc="0" locked="0" layoutInCell="1" allowOverlap="1" wp14:anchorId="3BB69228" wp14:editId="2079323A">
            <wp:simplePos x="0" y="0"/>
            <wp:positionH relativeFrom="column">
              <wp:posOffset>2899186</wp:posOffset>
            </wp:positionH>
            <wp:positionV relativeFrom="paragraph">
              <wp:posOffset>52070</wp:posOffset>
            </wp:positionV>
            <wp:extent cx="2465070" cy="671830"/>
            <wp:effectExtent l="0" t="0" r="0" b="1270"/>
            <wp:wrapSquare wrapText="bothSides"/>
            <wp:docPr id="997564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564362" name="Picture 997564362"/>
                    <pic:cNvPicPr/>
                  </pic:nvPicPr>
                  <pic:blipFill>
                    <a:blip r:embed="rId11">
                      <a:extLst>
                        <a:ext uri="{28A0092B-C50C-407E-A947-70E740481C1C}">
                          <a14:useLocalDpi xmlns:a14="http://schemas.microsoft.com/office/drawing/2010/main" val="0"/>
                        </a:ext>
                      </a:extLst>
                    </a:blip>
                    <a:stretch>
                      <a:fillRect/>
                    </a:stretch>
                  </pic:blipFill>
                  <pic:spPr>
                    <a:xfrm>
                      <a:off x="0" y="0"/>
                      <a:ext cx="2465070" cy="671830"/>
                    </a:xfrm>
                    <a:prstGeom prst="rect">
                      <a:avLst/>
                    </a:prstGeom>
                  </pic:spPr>
                </pic:pic>
              </a:graphicData>
            </a:graphic>
            <wp14:sizeRelH relativeFrom="page">
              <wp14:pctWidth>0</wp14:pctWidth>
            </wp14:sizeRelH>
            <wp14:sizeRelV relativeFrom="page">
              <wp14:pctHeight>0</wp14:pctHeight>
            </wp14:sizeRelV>
          </wp:anchor>
        </w:drawing>
      </w:r>
      <w:r w:rsidR="005D0A82">
        <w:rPr>
          <w:rFonts w:ascii="Verdana" w:eastAsia="Calibri" w:hAnsi="Verdana" w:cs="Arial"/>
          <w:color w:val="000000" w:themeColor="text1"/>
          <w:lang w:val="es-ES" w:eastAsia="es-ES"/>
        </w:rPr>
        <w:t>Señora</w:t>
      </w:r>
    </w:p>
    <w:p w14:paraId="27358B19" w14:textId="1736C1EA" w:rsidR="005D0A82" w:rsidRPr="004B11BB" w:rsidRDefault="005D0A82" w:rsidP="005D0A82">
      <w:pPr>
        <w:spacing w:after="0" w:line="240" w:lineRule="auto"/>
        <w:jc w:val="both"/>
        <w:rPr>
          <w:rFonts w:ascii="Verdana" w:eastAsia="Calibri" w:hAnsi="Verdana" w:cs="Arial"/>
          <w:b/>
          <w:bCs/>
          <w:color w:val="000000" w:themeColor="text1"/>
          <w:lang w:val="en-CO" w:eastAsia="es-ES"/>
        </w:rPr>
      </w:pPr>
      <w:r w:rsidRPr="004B11BB">
        <w:rPr>
          <w:rFonts w:ascii="Verdana" w:eastAsia="Calibri" w:hAnsi="Verdana" w:cs="Arial"/>
          <w:b/>
          <w:bCs/>
          <w:color w:val="000000" w:themeColor="text1"/>
          <w:lang w:val="en-CO" w:eastAsia="es-ES"/>
        </w:rPr>
        <w:t>Karen V</w:t>
      </w:r>
      <w:r>
        <w:rPr>
          <w:rFonts w:ascii="Verdana" w:eastAsia="Calibri" w:hAnsi="Verdana" w:cs="Arial"/>
          <w:b/>
          <w:bCs/>
          <w:color w:val="000000" w:themeColor="text1"/>
          <w:lang w:val="en-CO" w:eastAsia="es-ES"/>
        </w:rPr>
        <w:t>é</w:t>
      </w:r>
      <w:r w:rsidRPr="004B11BB">
        <w:rPr>
          <w:rFonts w:ascii="Verdana" w:eastAsia="Calibri" w:hAnsi="Verdana" w:cs="Arial"/>
          <w:b/>
          <w:bCs/>
          <w:color w:val="000000" w:themeColor="text1"/>
          <w:lang w:val="en-CO" w:eastAsia="es-ES"/>
        </w:rPr>
        <w:t>lez Zapata</w:t>
      </w:r>
    </w:p>
    <w:p w14:paraId="4C261141" w14:textId="57F0DEFD" w:rsidR="005D0A82" w:rsidRPr="004B11BB" w:rsidRDefault="005D0A82" w:rsidP="005D0A82">
      <w:pPr>
        <w:spacing w:after="0" w:line="240" w:lineRule="auto"/>
        <w:jc w:val="both"/>
        <w:rPr>
          <w:rFonts w:ascii="Verdana" w:eastAsia="Calibri" w:hAnsi="Verdana" w:cs="Arial"/>
          <w:color w:val="000000" w:themeColor="text1"/>
          <w:lang w:val="en-CO" w:eastAsia="es-ES"/>
        </w:rPr>
      </w:pPr>
      <w:hyperlink r:id="rId12" w:history="1">
        <w:r w:rsidRPr="004B11BB">
          <w:rPr>
            <w:rStyle w:val="Hyperlink"/>
            <w:rFonts w:ascii="Verdana" w:eastAsia="Calibri" w:hAnsi="Verdana" w:cs="Arial"/>
            <w:lang w:val="en-CO" w:eastAsia="es-ES"/>
          </w:rPr>
          <w:t>karenvelez5927@gmail.com</w:t>
        </w:r>
      </w:hyperlink>
      <w:r>
        <w:rPr>
          <w:rFonts w:ascii="Verdana" w:eastAsia="Calibri" w:hAnsi="Verdana" w:cs="Arial"/>
          <w:lang w:val="es-ES" w:eastAsia="es-ES"/>
        </w:rPr>
        <w:t xml:space="preserve"> </w:t>
      </w:r>
    </w:p>
    <w:p w14:paraId="6B70B5EA" w14:textId="53F8B522" w:rsidR="005D0A82" w:rsidRPr="00DD0F57" w:rsidRDefault="005D0A82" w:rsidP="005D0A82">
      <w:pPr>
        <w:spacing w:after="0" w:line="240" w:lineRule="auto"/>
        <w:rPr>
          <w:rFonts w:ascii="Verdana" w:eastAsia="Calibri" w:hAnsi="Verdana" w:cs="Arial"/>
          <w:color w:val="000000" w:themeColor="text1"/>
          <w:lang w:val="es-ES" w:eastAsia="es-ES_tradnl"/>
        </w:rPr>
      </w:pPr>
      <w:r w:rsidRPr="00DD0F57">
        <w:rPr>
          <w:rFonts w:ascii="Verdana" w:eastAsia="Calibri" w:hAnsi="Verdana" w:cs="Arial"/>
          <w:color w:val="000000" w:themeColor="text1"/>
          <w:lang w:val="es-ES" w:eastAsia="es-ES_tradnl"/>
        </w:rPr>
        <w:t>Bogotá D.C.</w:t>
      </w:r>
    </w:p>
    <w:p w14:paraId="5DFFC0E6" w14:textId="77777777" w:rsidR="005D0A82" w:rsidRPr="00DD0F57" w:rsidRDefault="005D0A82" w:rsidP="005D0A82">
      <w:pPr>
        <w:spacing w:after="0" w:line="240" w:lineRule="auto"/>
        <w:rPr>
          <w:rFonts w:ascii="Verdana" w:eastAsia="Calibri" w:hAnsi="Verdana" w:cs="Arial"/>
          <w:b/>
          <w:bCs/>
          <w:color w:val="000000" w:themeColor="text1"/>
          <w:lang w:val="es-ES" w:eastAsia="es-ES_tradnl"/>
        </w:rPr>
      </w:pPr>
    </w:p>
    <w:tbl>
      <w:tblPr>
        <w:tblStyle w:val="TableGrid"/>
        <w:tblW w:w="12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gridCol w:w="4179"/>
      </w:tblGrid>
      <w:tr w:rsidR="005D0A82" w:rsidRPr="00DD0F57" w14:paraId="4260508C" w14:textId="77777777" w:rsidTr="001966D9">
        <w:trPr>
          <w:gridAfter w:val="1"/>
          <w:wAfter w:w="4179" w:type="dxa"/>
          <w:trHeight w:val="304"/>
        </w:trPr>
        <w:tc>
          <w:tcPr>
            <w:tcW w:w="2689" w:type="dxa"/>
          </w:tcPr>
          <w:p w14:paraId="3798312A" w14:textId="77777777" w:rsidR="005D0A82" w:rsidRPr="00DD0F57" w:rsidRDefault="005D0A82" w:rsidP="001966D9">
            <w:pPr>
              <w:jc w:val="both"/>
              <w:rPr>
                <w:rFonts w:ascii="Verdana" w:eastAsia="Calibri" w:hAnsi="Verdana" w:cs="Arial"/>
                <w:b/>
                <w:bCs/>
                <w:color w:val="000000" w:themeColor="text1"/>
                <w:lang w:val="es-ES" w:eastAsia="es-ES_tradnl"/>
              </w:rPr>
            </w:pPr>
          </w:p>
        </w:tc>
        <w:tc>
          <w:tcPr>
            <w:tcW w:w="6100" w:type="dxa"/>
          </w:tcPr>
          <w:p w14:paraId="64A2EA87" w14:textId="533D93C7" w:rsidR="005D0A82" w:rsidRPr="00DD0F57" w:rsidRDefault="005D0A82" w:rsidP="001966D9">
            <w:pPr>
              <w:jc w:val="both"/>
              <w:rPr>
                <w:rFonts w:ascii="Verdana" w:eastAsia="Calibri" w:hAnsi="Verdana" w:cs="Arial"/>
                <w:b/>
                <w:bCs/>
                <w:color w:val="000000" w:themeColor="text1"/>
                <w:lang w:val="es-ES" w:eastAsia="es-ES"/>
              </w:rPr>
            </w:pPr>
            <w:r w:rsidRPr="00DD0F57">
              <w:rPr>
                <w:rFonts w:ascii="Verdana" w:eastAsia="Calibri" w:hAnsi="Verdana" w:cs="Arial"/>
                <w:b/>
                <w:bCs/>
                <w:color w:val="000000" w:themeColor="text1"/>
                <w:lang w:val="es-ES" w:eastAsia="es-ES"/>
              </w:rPr>
              <w:t>Concepto C-</w:t>
            </w:r>
            <w:r>
              <w:rPr>
                <w:rFonts w:ascii="Verdana" w:eastAsia="Calibri" w:hAnsi="Verdana" w:cs="Arial"/>
                <w:b/>
                <w:bCs/>
                <w:color w:val="000000" w:themeColor="text1"/>
                <w:lang w:val="es-ES" w:eastAsia="es-ES"/>
              </w:rPr>
              <w:t>8</w:t>
            </w:r>
            <w:r w:rsidR="002A5325">
              <w:rPr>
                <w:rFonts w:ascii="Verdana" w:eastAsia="Calibri" w:hAnsi="Verdana" w:cs="Arial"/>
                <w:b/>
                <w:bCs/>
                <w:color w:val="000000" w:themeColor="text1"/>
                <w:lang w:val="es-ES" w:eastAsia="es-ES"/>
              </w:rPr>
              <w:t>83</w:t>
            </w:r>
            <w:r w:rsidRPr="00DD0F57">
              <w:rPr>
                <w:rFonts w:ascii="Verdana" w:eastAsia="Calibri" w:hAnsi="Verdana" w:cs="Arial"/>
                <w:b/>
                <w:bCs/>
                <w:color w:val="000000" w:themeColor="text1"/>
                <w:lang w:val="es-ES" w:eastAsia="es-ES"/>
              </w:rPr>
              <w:t xml:space="preserve"> de 2026</w:t>
            </w:r>
          </w:p>
          <w:p w14:paraId="590C27D1" w14:textId="77777777" w:rsidR="005D0A82" w:rsidRPr="00DD0F57" w:rsidRDefault="005D0A82" w:rsidP="001966D9">
            <w:pPr>
              <w:jc w:val="both"/>
              <w:rPr>
                <w:rFonts w:ascii="Verdana" w:eastAsia="Calibri" w:hAnsi="Verdana" w:cs="Arial"/>
                <w:b/>
                <w:bCs/>
                <w:color w:val="000000" w:themeColor="text1"/>
                <w:lang w:val="es-ES" w:eastAsia="es-ES"/>
              </w:rPr>
            </w:pPr>
          </w:p>
        </w:tc>
      </w:tr>
      <w:tr w:rsidR="005D0A82" w:rsidRPr="00DD0F57" w14:paraId="49D47491" w14:textId="77777777" w:rsidTr="001966D9">
        <w:trPr>
          <w:trHeight w:val="884"/>
        </w:trPr>
        <w:tc>
          <w:tcPr>
            <w:tcW w:w="2689" w:type="dxa"/>
          </w:tcPr>
          <w:p w14:paraId="03FED99D" w14:textId="77777777" w:rsidR="005D0A82" w:rsidRPr="00DD0F57" w:rsidRDefault="005D0A82" w:rsidP="001966D9">
            <w:pPr>
              <w:jc w:val="both"/>
              <w:rPr>
                <w:rFonts w:ascii="Verdana" w:eastAsia="Calibri" w:hAnsi="Verdana" w:cs="Arial"/>
                <w:color w:val="000000" w:themeColor="text1"/>
                <w:lang w:val="es-ES" w:eastAsia="es-ES_tradnl"/>
              </w:rPr>
            </w:pPr>
            <w:r w:rsidRPr="00DD0F57">
              <w:rPr>
                <w:rFonts w:ascii="Verdana" w:eastAsia="Calibri" w:hAnsi="Verdana" w:cs="Arial"/>
                <w:b/>
                <w:color w:val="000000" w:themeColor="text1"/>
                <w:lang w:val="es-ES" w:eastAsia="es-ES_tradnl"/>
              </w:rPr>
              <w:t>Temas:</w:t>
            </w:r>
            <w:r w:rsidRPr="00DD0F57">
              <w:rPr>
                <w:rFonts w:ascii="Verdana" w:eastAsia="Calibri" w:hAnsi="Verdana" w:cs="Arial"/>
                <w:color w:val="000000" w:themeColor="text1"/>
                <w:lang w:val="es-ES" w:eastAsia="es-ES_tradnl"/>
              </w:rPr>
              <w:t xml:space="preserve">                   </w:t>
            </w:r>
          </w:p>
        </w:tc>
        <w:tc>
          <w:tcPr>
            <w:tcW w:w="6100" w:type="dxa"/>
          </w:tcPr>
          <w:p w14:paraId="62EF0BD6" w14:textId="77777777" w:rsidR="005D0A82" w:rsidRDefault="005D0A82" w:rsidP="001966D9">
            <w:pPr>
              <w:jc w:val="both"/>
              <w:rPr>
                <w:rFonts w:ascii="Verdana" w:eastAsia="Calibri" w:hAnsi="Verdana" w:cs="Arial"/>
                <w:lang w:val="es-ES" w:eastAsia="es-ES"/>
              </w:rPr>
            </w:pPr>
            <w:r w:rsidRPr="00077A34">
              <w:rPr>
                <w:rFonts w:ascii="Verdana" w:eastAsia="Calibri" w:hAnsi="Verdana" w:cs="Arial"/>
                <w:lang w:val="es-ES" w:eastAsia="es-ES"/>
              </w:rPr>
              <w:t>REQUISITOS HABILITANTES – Capacidad financiera – Autonomía / CAPACIDAD FINANCIERA – Indicadores financieros</w:t>
            </w:r>
            <w:r>
              <w:rPr>
                <w:rFonts w:ascii="Verdana" w:eastAsia="Calibri" w:hAnsi="Verdana" w:cs="Arial"/>
                <w:lang w:val="es-ES" w:eastAsia="es-ES"/>
              </w:rPr>
              <w:t xml:space="preserve"> /</w:t>
            </w:r>
            <w:r w:rsidRPr="00077A34">
              <w:rPr>
                <w:rFonts w:ascii="Verdana" w:eastAsia="Calibri" w:hAnsi="Verdana" w:cs="Arial"/>
                <w:lang w:val="es-ES" w:eastAsia="es-ES"/>
              </w:rPr>
              <w:t xml:space="preserve"> REQUISITOS HABILITANTES</w:t>
            </w:r>
            <w:r>
              <w:rPr>
                <w:rFonts w:ascii="Verdana" w:eastAsia="Calibri" w:hAnsi="Verdana" w:cs="Arial"/>
                <w:lang w:val="es-ES" w:eastAsia="es-ES"/>
              </w:rPr>
              <w:t xml:space="preserve"> </w:t>
            </w:r>
            <w:r w:rsidRPr="00077A34">
              <w:rPr>
                <w:rFonts w:ascii="Verdana" w:eastAsia="Calibri" w:hAnsi="Verdana" w:cs="Arial"/>
                <w:lang w:val="es-ES" w:eastAsia="es-ES"/>
              </w:rPr>
              <w:t>–</w:t>
            </w:r>
            <w:r>
              <w:rPr>
                <w:rFonts w:ascii="Verdana" w:eastAsia="Calibri" w:hAnsi="Verdana" w:cs="Arial"/>
                <w:lang w:val="es-ES" w:eastAsia="es-ES"/>
              </w:rPr>
              <w:t xml:space="preserve"> Sucursal en lugar de ejecución </w:t>
            </w:r>
            <w:r w:rsidRPr="00077A34">
              <w:rPr>
                <w:rFonts w:ascii="Verdana" w:eastAsia="Calibri" w:hAnsi="Verdana" w:cs="Arial"/>
                <w:lang w:val="es-ES" w:eastAsia="es-ES"/>
              </w:rPr>
              <w:t>–</w:t>
            </w:r>
            <w:r>
              <w:rPr>
                <w:rFonts w:ascii="Verdana" w:eastAsia="Calibri" w:hAnsi="Verdana" w:cs="Arial"/>
                <w:lang w:val="es-ES" w:eastAsia="es-ES"/>
              </w:rPr>
              <w:t xml:space="preserve"> Alcance /</w:t>
            </w:r>
            <w:r w:rsidRPr="00077A34">
              <w:rPr>
                <w:rFonts w:ascii="Verdana" w:eastAsia="Calibri" w:hAnsi="Verdana" w:cs="Arial"/>
                <w:lang w:val="es-ES" w:eastAsia="es-ES"/>
              </w:rPr>
              <w:t xml:space="preserve"> REQUISITOS HABILITANTES</w:t>
            </w:r>
            <w:r>
              <w:rPr>
                <w:rFonts w:ascii="Verdana" w:eastAsia="Calibri" w:hAnsi="Verdana" w:cs="Arial"/>
                <w:lang w:val="es-ES" w:eastAsia="es-ES"/>
              </w:rPr>
              <w:t xml:space="preserve"> </w:t>
            </w:r>
            <w:r w:rsidRPr="00077A34">
              <w:rPr>
                <w:rFonts w:ascii="Verdana" w:eastAsia="Calibri" w:hAnsi="Verdana" w:cs="Arial"/>
                <w:lang w:val="es-ES" w:eastAsia="es-ES"/>
              </w:rPr>
              <w:t>–</w:t>
            </w:r>
            <w:r>
              <w:rPr>
                <w:rFonts w:ascii="Verdana" w:eastAsia="Calibri" w:hAnsi="Verdana" w:cs="Arial"/>
                <w:lang w:val="es-ES" w:eastAsia="es-ES"/>
              </w:rPr>
              <w:t xml:space="preserve"> Límites </w:t>
            </w:r>
            <w:r w:rsidRPr="00077A34">
              <w:rPr>
                <w:rFonts w:ascii="Verdana" w:eastAsia="Calibri" w:hAnsi="Verdana" w:cs="Arial"/>
                <w:lang w:val="es-ES" w:eastAsia="es-ES"/>
              </w:rPr>
              <w:t>–</w:t>
            </w:r>
            <w:r>
              <w:rPr>
                <w:rFonts w:ascii="Verdana" w:eastAsia="Calibri" w:hAnsi="Verdana" w:cs="Arial"/>
                <w:lang w:val="es-ES" w:eastAsia="es-ES"/>
              </w:rPr>
              <w:t xml:space="preserve"> Adecuación y proporcionalidad</w:t>
            </w:r>
          </w:p>
          <w:p w14:paraId="07A60C9A" w14:textId="77777777" w:rsidR="005D0A82" w:rsidRPr="00DD0F57" w:rsidRDefault="005D0A82" w:rsidP="001966D9">
            <w:pPr>
              <w:jc w:val="both"/>
              <w:rPr>
                <w:rFonts w:ascii="Verdana" w:eastAsia="Calibri" w:hAnsi="Verdana" w:cs="Arial"/>
                <w:color w:val="000000" w:themeColor="text1"/>
                <w:lang w:val="es-ES" w:eastAsia="es-ES"/>
              </w:rPr>
            </w:pPr>
          </w:p>
        </w:tc>
        <w:tc>
          <w:tcPr>
            <w:tcW w:w="4179" w:type="dxa"/>
          </w:tcPr>
          <w:p w14:paraId="083E2D17" w14:textId="77777777" w:rsidR="005D0A82" w:rsidRPr="00DD0F57" w:rsidRDefault="005D0A82" w:rsidP="001966D9">
            <w:pPr>
              <w:spacing w:line="276" w:lineRule="auto"/>
              <w:jc w:val="both"/>
              <w:rPr>
                <w:rFonts w:ascii="Verdana" w:eastAsia="Calibri" w:hAnsi="Verdana" w:cs="Arial"/>
                <w:b/>
                <w:bCs/>
                <w:color w:val="000000" w:themeColor="text1"/>
                <w:lang w:val="es-ES" w:eastAsia="es-ES"/>
              </w:rPr>
            </w:pPr>
          </w:p>
          <w:p w14:paraId="54548739" w14:textId="77777777" w:rsidR="005D0A82" w:rsidRPr="00DD0F57" w:rsidRDefault="005D0A82" w:rsidP="001966D9">
            <w:pPr>
              <w:rPr>
                <w:rFonts w:ascii="Verdana" w:hAnsi="Verdana"/>
                <w:lang w:val="es-ES"/>
              </w:rPr>
            </w:pPr>
          </w:p>
        </w:tc>
      </w:tr>
      <w:tr w:rsidR="005D0A82" w:rsidRPr="00DD0F57" w14:paraId="1BD5C6EC" w14:textId="77777777" w:rsidTr="001966D9">
        <w:trPr>
          <w:gridAfter w:val="1"/>
          <w:wAfter w:w="4179" w:type="dxa"/>
        </w:trPr>
        <w:tc>
          <w:tcPr>
            <w:tcW w:w="2689" w:type="dxa"/>
          </w:tcPr>
          <w:p w14:paraId="7688B6DD" w14:textId="77777777" w:rsidR="005D0A82" w:rsidRPr="00DD0F57" w:rsidRDefault="005D0A82" w:rsidP="001966D9">
            <w:pPr>
              <w:jc w:val="both"/>
              <w:rPr>
                <w:rFonts w:ascii="Verdana" w:eastAsia="Calibri" w:hAnsi="Verdana" w:cs="Arial"/>
                <w:b/>
                <w:color w:val="000000" w:themeColor="text1"/>
                <w:lang w:val="es-ES" w:eastAsia="es-ES_tradnl"/>
              </w:rPr>
            </w:pPr>
            <w:r w:rsidRPr="00DD0F57">
              <w:rPr>
                <w:rFonts w:ascii="Verdana" w:eastAsia="Calibri" w:hAnsi="Verdana" w:cs="Arial"/>
                <w:b/>
                <w:color w:val="000000" w:themeColor="text1"/>
                <w:lang w:val="es-ES" w:eastAsia="es-ES_tradnl"/>
              </w:rPr>
              <w:t>Radicación:</w:t>
            </w:r>
            <w:r w:rsidRPr="00DD0F57">
              <w:rPr>
                <w:rFonts w:ascii="Verdana" w:eastAsia="Calibri" w:hAnsi="Verdana" w:cs="Arial"/>
                <w:color w:val="000000" w:themeColor="text1"/>
                <w:lang w:val="es-ES" w:eastAsia="es-ES_tradnl"/>
              </w:rPr>
              <w:t xml:space="preserve">               </w:t>
            </w:r>
          </w:p>
        </w:tc>
        <w:tc>
          <w:tcPr>
            <w:tcW w:w="6100" w:type="dxa"/>
          </w:tcPr>
          <w:p w14:paraId="75DC3478" w14:textId="77777777" w:rsidR="005D0A82" w:rsidRPr="00DD0F57" w:rsidRDefault="005D0A82" w:rsidP="001966D9">
            <w:pPr>
              <w:jc w:val="both"/>
              <w:rPr>
                <w:rFonts w:ascii="Verdana" w:eastAsia="Calibri" w:hAnsi="Verdana" w:cs="Arial"/>
                <w:color w:val="000000" w:themeColor="text1"/>
                <w:lang w:val="es-ES" w:eastAsia="es-ES_tradnl"/>
              </w:rPr>
            </w:pPr>
            <w:r w:rsidRPr="00DD0F57">
              <w:rPr>
                <w:rFonts w:ascii="Verdana" w:eastAsia="Calibri" w:hAnsi="Verdana" w:cs="Arial"/>
                <w:color w:val="000000" w:themeColor="text1"/>
                <w:lang w:val="es-ES" w:eastAsia="es-ES_tradnl"/>
              </w:rPr>
              <w:t xml:space="preserve">Respuesta a </w:t>
            </w:r>
            <w:r>
              <w:rPr>
                <w:rFonts w:ascii="Verdana" w:eastAsia="Calibri" w:hAnsi="Verdana" w:cs="Arial"/>
                <w:color w:val="000000" w:themeColor="text1"/>
                <w:lang w:val="es-ES" w:eastAsia="es-ES_tradnl"/>
              </w:rPr>
              <w:t>las c</w:t>
            </w:r>
            <w:r w:rsidRPr="00DD0F57">
              <w:rPr>
                <w:rFonts w:ascii="Verdana" w:eastAsia="Calibri" w:hAnsi="Verdana" w:cs="Arial"/>
                <w:color w:val="000000" w:themeColor="text1"/>
                <w:lang w:val="es-ES" w:eastAsia="es-ES_tradnl"/>
              </w:rPr>
              <w:t>onsulta</w:t>
            </w:r>
            <w:r>
              <w:rPr>
                <w:rFonts w:ascii="Verdana" w:eastAsia="Calibri" w:hAnsi="Verdana" w:cs="Arial"/>
                <w:color w:val="000000" w:themeColor="text1"/>
                <w:lang w:val="es-ES" w:eastAsia="es-ES_tradnl"/>
              </w:rPr>
              <w:t>s</w:t>
            </w:r>
            <w:r w:rsidRPr="00DD0F57">
              <w:rPr>
                <w:rFonts w:ascii="Verdana" w:eastAsia="Calibri" w:hAnsi="Verdana" w:cs="Arial"/>
                <w:color w:val="000000" w:themeColor="text1"/>
                <w:lang w:val="es-ES" w:eastAsia="es-ES_tradnl"/>
              </w:rPr>
              <w:t xml:space="preserve"> con radicado</w:t>
            </w:r>
            <w:r>
              <w:rPr>
                <w:rFonts w:ascii="Verdana" w:eastAsia="Calibri" w:hAnsi="Verdana" w:cs="Arial"/>
                <w:color w:val="000000" w:themeColor="text1"/>
                <w:lang w:val="es-ES" w:eastAsia="es-ES_tradnl"/>
              </w:rPr>
              <w:t>s</w:t>
            </w:r>
            <w:r w:rsidRPr="00DD0F57">
              <w:rPr>
                <w:rFonts w:ascii="Verdana" w:eastAsia="Calibri" w:hAnsi="Verdana" w:cs="Arial"/>
                <w:color w:val="000000" w:themeColor="text1"/>
                <w:lang w:val="es-ES" w:eastAsia="es-ES_tradnl"/>
              </w:rPr>
              <w:t xml:space="preserve"> No. </w:t>
            </w:r>
            <w:r w:rsidRPr="004B11BB">
              <w:rPr>
                <w:rFonts w:ascii="Verdana" w:eastAsia="Calibri" w:hAnsi="Verdana" w:cs="Arial"/>
                <w:color w:val="000000" w:themeColor="text1"/>
                <w:lang w:val="es-ES" w:eastAsia="es-ES_tradnl"/>
              </w:rPr>
              <w:t>1_2026_05_26_007102</w:t>
            </w:r>
            <w:r>
              <w:rPr>
                <w:rFonts w:ascii="Verdana" w:eastAsia="Calibri" w:hAnsi="Verdana" w:cs="Arial"/>
                <w:color w:val="000000" w:themeColor="text1"/>
                <w:lang w:val="es-ES" w:eastAsia="es-ES_tradnl"/>
              </w:rPr>
              <w:t xml:space="preserve"> y </w:t>
            </w:r>
            <w:r w:rsidRPr="004B11BB">
              <w:rPr>
                <w:rFonts w:ascii="Verdana" w:eastAsia="Calibri" w:hAnsi="Verdana" w:cs="Arial"/>
                <w:color w:val="000000" w:themeColor="text1"/>
                <w:lang w:eastAsia="es-ES_tradnl"/>
              </w:rPr>
              <w:t>1_2026_05_26_007104 (acumuladas)</w:t>
            </w:r>
          </w:p>
        </w:tc>
      </w:tr>
    </w:tbl>
    <w:p w14:paraId="733D11CA" w14:textId="77777777" w:rsidR="005D0A82" w:rsidRPr="00DD0F57" w:rsidRDefault="005D0A82" w:rsidP="005D0A82">
      <w:pPr>
        <w:spacing w:after="0" w:line="276" w:lineRule="auto"/>
        <w:jc w:val="both"/>
        <w:rPr>
          <w:rFonts w:ascii="Verdana" w:eastAsia="Calibri" w:hAnsi="Verdana" w:cs="Arial"/>
          <w:color w:val="000000" w:themeColor="text1"/>
          <w:lang w:val="es-ES" w:eastAsia="es-ES_tradnl"/>
        </w:rPr>
      </w:pPr>
    </w:p>
    <w:p w14:paraId="08E06C38" w14:textId="77777777" w:rsidR="005D0A82" w:rsidRPr="00DD0F57" w:rsidRDefault="005D0A82" w:rsidP="005D0A82">
      <w:pPr>
        <w:spacing w:after="0" w:line="276" w:lineRule="auto"/>
        <w:jc w:val="both"/>
        <w:rPr>
          <w:rFonts w:ascii="Verdana" w:eastAsia="Calibri" w:hAnsi="Verdana" w:cs="Arial"/>
          <w:color w:val="000000" w:themeColor="text1"/>
          <w:lang w:val="es-ES" w:eastAsia="es-ES"/>
        </w:rPr>
      </w:pPr>
      <w:r w:rsidRPr="00DD0F57">
        <w:rPr>
          <w:rFonts w:ascii="Verdana" w:eastAsia="Calibri" w:hAnsi="Verdana" w:cs="Arial"/>
          <w:color w:val="000000" w:themeColor="text1"/>
          <w:lang w:val="es-ES" w:eastAsia="es-ES"/>
        </w:rPr>
        <w:t>Estimad</w:t>
      </w:r>
      <w:r>
        <w:rPr>
          <w:rFonts w:ascii="Verdana" w:eastAsia="Calibri" w:hAnsi="Verdana" w:cs="Arial"/>
          <w:color w:val="000000" w:themeColor="text1"/>
          <w:lang w:val="es-ES" w:eastAsia="es-ES"/>
        </w:rPr>
        <w:t>a</w:t>
      </w:r>
      <w:r w:rsidRPr="00DD0F57">
        <w:rPr>
          <w:rFonts w:ascii="Verdana" w:eastAsia="Calibri" w:hAnsi="Verdana" w:cs="Arial"/>
          <w:color w:val="000000" w:themeColor="text1"/>
          <w:lang w:val="es-ES" w:eastAsia="es-ES"/>
        </w:rPr>
        <w:t xml:space="preserve"> </w:t>
      </w:r>
      <w:r>
        <w:rPr>
          <w:rFonts w:ascii="Verdana" w:eastAsia="Calibri" w:hAnsi="Verdana" w:cs="Arial"/>
          <w:color w:val="000000" w:themeColor="text1"/>
          <w:lang w:val="es-ES" w:eastAsia="es-ES"/>
        </w:rPr>
        <w:t>señora</w:t>
      </w:r>
      <w:r w:rsidRPr="00DD0F57">
        <w:rPr>
          <w:rFonts w:ascii="Verdana" w:eastAsia="Calibri" w:hAnsi="Verdana" w:cs="Arial"/>
          <w:color w:val="000000" w:themeColor="text1"/>
          <w:lang w:val="es-ES" w:eastAsia="es-ES"/>
        </w:rPr>
        <w:t xml:space="preserve"> </w:t>
      </w:r>
      <w:r>
        <w:rPr>
          <w:rFonts w:ascii="Verdana" w:eastAsia="Calibri" w:hAnsi="Verdana" w:cs="Arial"/>
          <w:color w:val="000000" w:themeColor="text1"/>
          <w:lang w:val="es-ES" w:eastAsia="es-ES"/>
        </w:rPr>
        <w:t>Vélez</w:t>
      </w:r>
      <w:r w:rsidRPr="00DD0F57">
        <w:rPr>
          <w:rFonts w:ascii="Verdana" w:eastAsia="Calibri" w:hAnsi="Verdana" w:cs="Arial"/>
          <w:color w:val="000000" w:themeColor="text1"/>
          <w:lang w:val="es-ES" w:eastAsia="es-ES"/>
        </w:rPr>
        <w:t>:</w:t>
      </w:r>
    </w:p>
    <w:p w14:paraId="24A4614F" w14:textId="77777777" w:rsidR="005D0A82" w:rsidRPr="00DD0F57" w:rsidRDefault="005D0A82" w:rsidP="005D0A82">
      <w:pPr>
        <w:tabs>
          <w:tab w:val="left" w:pos="3768"/>
        </w:tabs>
        <w:spacing w:after="0" w:line="276" w:lineRule="auto"/>
        <w:jc w:val="both"/>
        <w:rPr>
          <w:rFonts w:ascii="Verdana" w:eastAsia="Calibri" w:hAnsi="Verdana" w:cs="Arial"/>
          <w:color w:val="000000" w:themeColor="text1"/>
          <w:lang w:val="es-ES" w:eastAsia="es-ES"/>
        </w:rPr>
      </w:pPr>
      <w:r w:rsidRPr="00DD0F57">
        <w:rPr>
          <w:rFonts w:ascii="Verdana" w:eastAsia="Calibri" w:hAnsi="Verdana" w:cs="Arial"/>
          <w:color w:val="000000" w:themeColor="text1"/>
          <w:lang w:val="es-ES" w:eastAsia="es-ES"/>
        </w:rPr>
        <w:tab/>
      </w:r>
    </w:p>
    <w:p w14:paraId="5135D9AE" w14:textId="77777777" w:rsidR="005D0A82" w:rsidRPr="00DD0F57" w:rsidRDefault="005D0A82" w:rsidP="005D0A82">
      <w:pPr>
        <w:spacing w:after="0" w:line="276" w:lineRule="auto"/>
        <w:jc w:val="both"/>
        <w:rPr>
          <w:rFonts w:ascii="Verdana" w:eastAsia="Calibri" w:hAnsi="Verdana" w:cs="Arial"/>
          <w:color w:val="000000" w:themeColor="text1"/>
          <w:lang w:val="es-ES" w:eastAsia="es-ES"/>
        </w:rPr>
      </w:pPr>
      <w:r w:rsidRPr="00DD0F57">
        <w:rPr>
          <w:rFonts w:ascii="Verdana" w:eastAsia="Calibri" w:hAnsi="Verdana" w:cs="Arial"/>
          <w:color w:val="000000" w:themeColor="text1"/>
          <w:lang w:val="es-ES" w:eastAsia="es-ES"/>
        </w:rPr>
        <w:t>En ejercicio de la competencia otorgada por los artículos 3, numeral 5º, y 11, numeral 8º, del Decreto Ley 4170 de 2011,</w:t>
      </w:r>
      <w:r w:rsidRPr="00DD0F57">
        <w:rPr>
          <w:rFonts w:ascii="Verdana" w:eastAsia="Arial MT" w:hAnsi="Verdana" w:cs="Arial MT"/>
          <w:color w:val="000000" w:themeColor="text1"/>
          <w:lang w:val="es-ES" w:eastAsia="es-ES"/>
        </w:rPr>
        <w:t xml:space="preserve"> </w:t>
      </w:r>
      <w:r w:rsidRPr="00DD0F57">
        <w:rPr>
          <w:rFonts w:ascii="Verdana" w:hAnsi="Verdana" w:cs="Arial"/>
          <w:color w:val="000000" w:themeColor="text1"/>
          <w:lang w:val="es-ES"/>
        </w:rPr>
        <w:t>así como lo establecido en el artículo 4 de la Resolución 1707 de 2018 expedida por esta Entidad, la Agencia Nacional de Contratación Pública – Colombia Compra Eficiente– responde su</w:t>
      </w:r>
      <w:r>
        <w:rPr>
          <w:rFonts w:ascii="Verdana" w:hAnsi="Verdana" w:cs="Arial"/>
          <w:color w:val="000000" w:themeColor="text1"/>
          <w:lang w:val="es-ES"/>
        </w:rPr>
        <w:t xml:space="preserve">s </w:t>
      </w:r>
      <w:r w:rsidRPr="00DD0F57">
        <w:rPr>
          <w:rFonts w:ascii="Verdana" w:hAnsi="Verdana" w:cs="Arial"/>
          <w:color w:val="000000" w:themeColor="text1"/>
          <w:lang w:val="es-ES"/>
        </w:rPr>
        <w:t>solicitud</w:t>
      </w:r>
      <w:r>
        <w:rPr>
          <w:rFonts w:ascii="Verdana" w:hAnsi="Verdana" w:cs="Arial"/>
          <w:color w:val="000000" w:themeColor="text1"/>
          <w:lang w:val="es-ES"/>
        </w:rPr>
        <w:t>es</w:t>
      </w:r>
      <w:r w:rsidRPr="00DD0F57">
        <w:rPr>
          <w:rFonts w:ascii="Verdana" w:hAnsi="Verdana" w:cs="Arial"/>
          <w:color w:val="000000" w:themeColor="text1"/>
          <w:lang w:val="es-ES"/>
        </w:rPr>
        <w:t xml:space="preserve"> de concepto del </w:t>
      </w:r>
      <w:r>
        <w:rPr>
          <w:rFonts w:ascii="Verdana" w:hAnsi="Verdana" w:cs="Arial"/>
          <w:color w:val="000000" w:themeColor="text1"/>
          <w:lang w:val="es-ES"/>
        </w:rPr>
        <w:t xml:space="preserve">26 de mayo de </w:t>
      </w:r>
      <w:r w:rsidRPr="00DD0F57">
        <w:rPr>
          <w:rFonts w:ascii="Verdana" w:hAnsi="Verdana" w:cs="Arial"/>
          <w:color w:val="000000" w:themeColor="text1"/>
          <w:lang w:val="es-ES"/>
        </w:rPr>
        <w:t>2026, en la</w:t>
      </w:r>
      <w:r>
        <w:rPr>
          <w:rFonts w:ascii="Verdana" w:hAnsi="Verdana" w:cs="Arial"/>
          <w:color w:val="000000" w:themeColor="text1"/>
          <w:lang w:val="es-ES"/>
        </w:rPr>
        <w:t>s</w:t>
      </w:r>
      <w:r w:rsidRPr="00DD0F57">
        <w:rPr>
          <w:rFonts w:ascii="Verdana" w:hAnsi="Verdana" w:cs="Arial"/>
          <w:color w:val="000000" w:themeColor="text1"/>
          <w:lang w:val="es-ES"/>
        </w:rPr>
        <w:t xml:space="preserve"> cual</w:t>
      </w:r>
      <w:r>
        <w:rPr>
          <w:rFonts w:ascii="Verdana" w:hAnsi="Verdana" w:cs="Arial"/>
          <w:color w:val="000000" w:themeColor="text1"/>
          <w:lang w:val="es-ES"/>
        </w:rPr>
        <w:t xml:space="preserve">es </w:t>
      </w:r>
      <w:r w:rsidRPr="00DD0F57">
        <w:rPr>
          <w:rFonts w:ascii="Verdana" w:hAnsi="Verdana" w:cs="Arial"/>
          <w:color w:val="000000" w:themeColor="text1"/>
          <w:lang w:val="es-ES"/>
        </w:rPr>
        <w:t>manifiesta lo siguiente:</w:t>
      </w:r>
      <w:r w:rsidRPr="00DD0F57">
        <w:rPr>
          <w:rFonts w:ascii="Verdana" w:eastAsia="Calibri" w:hAnsi="Verdana" w:cs="Arial"/>
          <w:color w:val="000000" w:themeColor="text1"/>
          <w:lang w:val="es-ES" w:eastAsia="es-ES"/>
        </w:rPr>
        <w:t xml:space="preserve"> </w:t>
      </w:r>
    </w:p>
    <w:p w14:paraId="19ECDB14" w14:textId="77777777" w:rsidR="005D0A82" w:rsidRPr="00DD0F57" w:rsidRDefault="005D0A82" w:rsidP="005D0A82">
      <w:pPr>
        <w:spacing w:after="0" w:line="276" w:lineRule="auto"/>
        <w:jc w:val="both"/>
        <w:rPr>
          <w:rFonts w:ascii="Verdana" w:eastAsia="Calibri" w:hAnsi="Verdana" w:cs="Arial"/>
          <w:color w:val="000000" w:themeColor="text1"/>
          <w:lang w:val="es-ES" w:eastAsia="es-ES"/>
        </w:rPr>
      </w:pPr>
    </w:p>
    <w:p w14:paraId="2E9D5333" w14:textId="77777777" w:rsidR="005D0A82" w:rsidRDefault="005D0A82" w:rsidP="005D0A82">
      <w:pPr>
        <w:spacing w:after="0"/>
        <w:ind w:left="709" w:right="709"/>
        <w:contextualSpacing/>
        <w:jc w:val="both"/>
        <w:rPr>
          <w:rFonts w:ascii="Verdana" w:eastAsia="Century Gothic" w:hAnsi="Verdana" w:cs="Century Gothic"/>
          <w:i/>
          <w:color w:val="000000" w:themeColor="text1"/>
          <w:sz w:val="20"/>
          <w:szCs w:val="20"/>
        </w:rPr>
      </w:pPr>
      <w:r w:rsidRPr="00DD0F57">
        <w:rPr>
          <w:rFonts w:ascii="Verdana" w:eastAsia="Century Gothic" w:hAnsi="Verdana" w:cs="Century Gothic"/>
          <w:i/>
          <w:iCs/>
          <w:color w:val="000000" w:themeColor="text1"/>
          <w:sz w:val="20"/>
          <w:szCs w:val="20"/>
          <w:lang w:val="es-ES"/>
        </w:rPr>
        <w:t>“</w:t>
      </w:r>
      <w:r w:rsidRPr="004B11BB">
        <w:rPr>
          <w:rFonts w:ascii="Verdana" w:eastAsia="Century Gothic" w:hAnsi="Verdana" w:cs="Century Gothic"/>
          <w:i/>
          <w:color w:val="000000" w:themeColor="text1"/>
          <w:sz w:val="20"/>
          <w:szCs w:val="20"/>
          <w:lang w:val="en-CO"/>
        </w:rPr>
        <w:t>¿Es jurídicamente viable que una entidad estatal regida por el estatuto de contratación exija una certificación de cupo de crédito preaprobado como requisito habilitante de capacidad financiera en el pliego de condiciones? Esta exigencia corresponde a una garantía de la entidad para que el proponente adjudicatario cuente con la capacidad financiera y liquidez para ejecutar las actividades objeto del contrato</w:t>
      </w:r>
      <w:r w:rsidRPr="00036189">
        <w:rPr>
          <w:rFonts w:ascii="Verdana" w:eastAsia="Century Gothic" w:hAnsi="Verdana" w:cs="Century Gothic"/>
          <w:i/>
          <w:color w:val="000000" w:themeColor="text1"/>
          <w:sz w:val="20"/>
          <w:szCs w:val="20"/>
        </w:rPr>
        <w:t>”</w:t>
      </w:r>
    </w:p>
    <w:p w14:paraId="648DA98F" w14:textId="77777777" w:rsidR="005D0A82" w:rsidRDefault="005D0A82" w:rsidP="005D0A82">
      <w:pPr>
        <w:spacing w:after="0"/>
        <w:ind w:left="709" w:right="709"/>
        <w:contextualSpacing/>
        <w:jc w:val="both"/>
        <w:rPr>
          <w:rFonts w:ascii="Verdana" w:eastAsia="Century Gothic" w:hAnsi="Verdana" w:cs="Century Gothic"/>
          <w:i/>
          <w:color w:val="000000" w:themeColor="text1"/>
          <w:sz w:val="20"/>
          <w:szCs w:val="20"/>
        </w:rPr>
      </w:pPr>
    </w:p>
    <w:p w14:paraId="29AED194" w14:textId="77777777" w:rsidR="005D0A82" w:rsidRDefault="005D0A82" w:rsidP="005D0A82">
      <w:pPr>
        <w:spacing w:after="0"/>
        <w:ind w:left="709" w:right="709"/>
        <w:contextualSpacing/>
        <w:jc w:val="both"/>
        <w:rPr>
          <w:rFonts w:ascii="Verdana" w:eastAsia="Century Gothic" w:hAnsi="Verdana" w:cs="Century Gothic"/>
          <w:i/>
          <w:color w:val="000000" w:themeColor="text1"/>
          <w:sz w:val="20"/>
          <w:szCs w:val="20"/>
        </w:rPr>
      </w:pPr>
      <w:r>
        <w:rPr>
          <w:rFonts w:ascii="Verdana" w:eastAsia="Century Gothic" w:hAnsi="Verdana" w:cs="Century Gothic"/>
          <w:i/>
          <w:color w:val="000000" w:themeColor="text1"/>
          <w:sz w:val="20"/>
          <w:szCs w:val="20"/>
        </w:rPr>
        <w:t xml:space="preserve">[…] </w:t>
      </w:r>
    </w:p>
    <w:p w14:paraId="32AAF38F" w14:textId="77777777" w:rsidR="005D0A82" w:rsidRDefault="005D0A82" w:rsidP="005D0A82">
      <w:pPr>
        <w:spacing w:after="0"/>
        <w:ind w:left="709" w:right="709"/>
        <w:contextualSpacing/>
        <w:jc w:val="both"/>
        <w:rPr>
          <w:rFonts w:ascii="Verdana" w:eastAsia="Century Gothic" w:hAnsi="Verdana" w:cs="Century Gothic"/>
          <w:i/>
          <w:color w:val="000000" w:themeColor="text1"/>
          <w:sz w:val="20"/>
          <w:szCs w:val="20"/>
        </w:rPr>
      </w:pPr>
    </w:p>
    <w:p w14:paraId="634E71CA" w14:textId="77777777" w:rsidR="005D0A82" w:rsidRPr="00B5050F" w:rsidRDefault="005D0A82" w:rsidP="005D0A82">
      <w:pPr>
        <w:spacing w:after="0"/>
        <w:ind w:left="709" w:right="709"/>
        <w:contextualSpacing/>
        <w:jc w:val="both"/>
        <w:rPr>
          <w:rFonts w:ascii="Verdana" w:eastAsia="Century Gothic" w:hAnsi="Verdana" w:cs="Century Gothic"/>
          <w:i/>
          <w:color w:val="000000" w:themeColor="text1"/>
          <w:sz w:val="20"/>
          <w:szCs w:val="20"/>
          <w:lang w:val="en-US"/>
        </w:rPr>
      </w:pPr>
      <w:r w:rsidRPr="2F828784">
        <w:rPr>
          <w:rFonts w:ascii="Verdana" w:eastAsia="Century Gothic" w:hAnsi="Verdana" w:cs="Century Gothic"/>
          <w:i/>
          <w:color w:val="000000" w:themeColor="text1"/>
          <w:sz w:val="20"/>
          <w:szCs w:val="20"/>
          <w:lang w:val="en-US"/>
        </w:rPr>
        <w:t xml:space="preserve">¿Es jurídicamente viable que una entidad estatal regida por el estatuto general de contratación incluya como requisito habilitante la exigencia de contar con una sucursal formalmente registrada y en funcionamiento en </w:t>
      </w:r>
      <w:r w:rsidRPr="2F828784">
        <w:rPr>
          <w:rFonts w:ascii="Verdana" w:eastAsia="Century Gothic" w:hAnsi="Verdana" w:cs="Century Gothic"/>
          <w:i/>
          <w:color w:val="000000" w:themeColor="text1"/>
          <w:sz w:val="20"/>
          <w:szCs w:val="20"/>
          <w:lang w:val="en-US"/>
        </w:rPr>
        <w:lastRenderedPageBreak/>
        <w:t>el municipio donde se ejecutara el contrato, basándose en razones de inmediatez operativa y seguridad jurídica (gestión de proveedores, stock</w:t>
      </w:r>
    </w:p>
    <w:p w14:paraId="53703F1A" w14:textId="77777777" w:rsidR="005D0A82" w:rsidRPr="004B11BB" w:rsidRDefault="005D0A82" w:rsidP="005D0A82">
      <w:pPr>
        <w:spacing w:after="0"/>
        <w:ind w:left="709" w:right="709"/>
        <w:contextualSpacing/>
        <w:jc w:val="both"/>
        <w:rPr>
          <w:rFonts w:ascii="Verdana" w:eastAsia="Century Gothic" w:hAnsi="Verdana" w:cs="Century Gothic"/>
          <w:i/>
          <w:color w:val="000000" w:themeColor="text1"/>
          <w:sz w:val="20"/>
          <w:szCs w:val="20"/>
          <w:lang w:val="en-US"/>
        </w:rPr>
      </w:pPr>
      <w:r w:rsidRPr="2F828784">
        <w:rPr>
          <w:rFonts w:ascii="Verdana" w:eastAsia="Century Gothic" w:hAnsi="Verdana" w:cs="Century Gothic"/>
          <w:i/>
          <w:color w:val="000000" w:themeColor="text1"/>
          <w:sz w:val="20"/>
          <w:szCs w:val="20"/>
          <w:lang w:val="en-US"/>
        </w:rPr>
        <w:t xml:space="preserve">de materiales y herramientas, conocimiento del mercado y territorio local) sin vulnerar los principios de libre concurrencia, selección objetiva e igualdad? </w:t>
      </w:r>
    </w:p>
    <w:p w14:paraId="1431B7CB" w14:textId="77777777" w:rsidR="005D0A82" w:rsidRPr="00DD0F57" w:rsidRDefault="005D0A82" w:rsidP="005D0A82">
      <w:pPr>
        <w:spacing w:after="0"/>
        <w:ind w:left="709" w:right="709"/>
        <w:jc w:val="both"/>
        <w:rPr>
          <w:rFonts w:ascii="Verdana" w:eastAsia="Century Gothic" w:hAnsi="Verdana" w:cs="Century Gothic"/>
          <w:i/>
          <w:iCs/>
          <w:color w:val="000000" w:themeColor="text1"/>
          <w:sz w:val="20"/>
          <w:szCs w:val="20"/>
          <w:lang w:val="es-ES"/>
        </w:rPr>
      </w:pPr>
    </w:p>
    <w:p w14:paraId="52649713" w14:textId="77777777" w:rsidR="005D0A82" w:rsidRPr="00DD0F57" w:rsidRDefault="005D0A82" w:rsidP="005D0A82">
      <w:pPr>
        <w:spacing w:after="0" w:line="276" w:lineRule="auto"/>
        <w:contextualSpacing/>
        <w:jc w:val="both"/>
        <w:rPr>
          <w:rFonts w:ascii="Verdana" w:eastAsia="Calibri" w:hAnsi="Verdana" w:cs="Arial"/>
          <w:color w:val="000000" w:themeColor="text1"/>
          <w:szCs w:val="24"/>
          <w:lang w:val="es-ES" w:eastAsia="es-ES_tradnl"/>
        </w:rPr>
      </w:pPr>
      <w:r w:rsidRPr="00DD0F57">
        <w:rPr>
          <w:rFonts w:ascii="Verdana" w:eastAsia="Calibri" w:hAnsi="Verdana" w:cs="Arial"/>
          <w:color w:val="000000" w:themeColor="text1"/>
          <w:lang w:val="es-ES" w:eastAsia="es-ES"/>
        </w:rPr>
        <w:tab/>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DD0F57">
        <w:rPr>
          <w:rFonts w:ascii="Verdana" w:eastAsia="Calibri" w:hAnsi="Verdana" w:cs="Arial"/>
          <w:color w:val="000000" w:themeColor="text1"/>
          <w:szCs w:val="24"/>
          <w:lang w:val="es-ES" w:eastAsia="es-ES_tradnl"/>
        </w:rPr>
        <w:tab/>
      </w:r>
    </w:p>
    <w:p w14:paraId="780493CF" w14:textId="77777777" w:rsidR="005D0A82" w:rsidRPr="00DD0F57" w:rsidRDefault="005D0A82" w:rsidP="005D0A82">
      <w:pPr>
        <w:spacing w:before="120" w:after="120" w:line="276" w:lineRule="auto"/>
        <w:ind w:firstLine="709"/>
        <w:jc w:val="both"/>
        <w:rPr>
          <w:rFonts w:ascii="Verdana" w:eastAsia="Calibri" w:hAnsi="Verdana" w:cs="Arial"/>
          <w:color w:val="000000" w:themeColor="text1"/>
          <w:lang w:val="es-ES" w:eastAsia="es-ES"/>
        </w:rPr>
      </w:pPr>
      <w:r w:rsidRPr="00DD0F57">
        <w:rPr>
          <w:rFonts w:ascii="Verdana" w:eastAsia="Calibri" w:hAnsi="Verdana" w:cs="Arial"/>
          <w:color w:val="000000" w:themeColor="text1"/>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w:t>
      </w:r>
      <w:r>
        <w:rPr>
          <w:rFonts w:ascii="Verdana" w:eastAsia="Calibri" w:hAnsi="Verdana" w:cs="Arial"/>
          <w:color w:val="000000" w:themeColor="text1"/>
          <w:lang w:val="es-ES" w:eastAsia="es-ES"/>
        </w:rPr>
        <w:t xml:space="preserve">los </w:t>
      </w:r>
      <w:r w:rsidRPr="00DD0F57">
        <w:rPr>
          <w:rFonts w:ascii="Verdana" w:eastAsia="Calibri" w:hAnsi="Verdana" w:cs="Arial"/>
          <w:color w:val="000000" w:themeColor="text1"/>
          <w:lang w:val="es-ES" w:eastAsia="es-ES"/>
        </w:rPr>
        <w:t>problema</w:t>
      </w:r>
      <w:r>
        <w:rPr>
          <w:rFonts w:ascii="Verdana" w:eastAsia="Calibri" w:hAnsi="Verdana" w:cs="Arial"/>
          <w:color w:val="000000" w:themeColor="text1"/>
          <w:lang w:val="es-ES" w:eastAsia="es-ES"/>
        </w:rPr>
        <w:t>s</w:t>
      </w:r>
      <w:r w:rsidRPr="00DD0F57">
        <w:rPr>
          <w:rFonts w:ascii="Verdana" w:eastAsia="Calibri" w:hAnsi="Verdana" w:cs="Arial"/>
          <w:color w:val="000000" w:themeColor="text1"/>
          <w:lang w:val="es-ES" w:eastAsia="es-ES"/>
        </w:rPr>
        <w:t xml:space="preserve"> jurídico</w:t>
      </w:r>
      <w:r>
        <w:rPr>
          <w:rFonts w:ascii="Verdana" w:eastAsia="Calibri" w:hAnsi="Verdana" w:cs="Arial"/>
          <w:color w:val="000000" w:themeColor="text1"/>
          <w:lang w:val="es-ES" w:eastAsia="es-ES"/>
        </w:rPr>
        <w:t>s</w:t>
      </w:r>
      <w:r w:rsidRPr="00DD0F57">
        <w:rPr>
          <w:rFonts w:ascii="Verdana" w:eastAsia="Calibri" w:hAnsi="Verdana" w:cs="Arial"/>
          <w:color w:val="000000" w:themeColor="text1"/>
          <w:lang w:val="es-ES" w:eastAsia="es-ES"/>
        </w:rPr>
        <w:t xml:space="preserve"> de su consulta. </w:t>
      </w:r>
    </w:p>
    <w:p w14:paraId="62A75938" w14:textId="77777777" w:rsidR="005D0A82" w:rsidRPr="00DD0F57" w:rsidRDefault="005D0A82" w:rsidP="005D0A82">
      <w:pPr>
        <w:spacing w:after="0" w:line="276" w:lineRule="auto"/>
        <w:jc w:val="both"/>
        <w:rPr>
          <w:rFonts w:ascii="Verdana" w:eastAsia="Calibri" w:hAnsi="Verdana" w:cs="Arial"/>
          <w:color w:val="000000" w:themeColor="text1"/>
          <w:lang w:val="es-ES" w:eastAsia="es-ES"/>
        </w:rPr>
      </w:pPr>
    </w:p>
    <w:p w14:paraId="49169E46" w14:textId="77777777" w:rsidR="005D0A82" w:rsidRPr="00DD0F57" w:rsidRDefault="005D0A82" w:rsidP="005D0A82">
      <w:pPr>
        <w:pStyle w:val="ListParagraph"/>
        <w:numPr>
          <w:ilvl w:val="0"/>
          <w:numId w:val="16"/>
        </w:numPr>
        <w:tabs>
          <w:tab w:val="left" w:pos="142"/>
          <w:tab w:val="left" w:pos="284"/>
        </w:tabs>
        <w:spacing w:after="0" w:line="276" w:lineRule="auto"/>
        <w:ind w:left="0" w:firstLine="0"/>
        <w:jc w:val="both"/>
        <w:rPr>
          <w:rFonts w:ascii="Verdana" w:eastAsia="Century Gothic" w:hAnsi="Verdana" w:cs="Century Gothic"/>
          <w:b/>
          <w:bCs/>
          <w:color w:val="000000" w:themeColor="text1"/>
        </w:rPr>
      </w:pPr>
      <w:r w:rsidRPr="00DD0F57">
        <w:rPr>
          <w:rFonts w:ascii="Verdana" w:eastAsia="Century Gothic" w:hAnsi="Verdana" w:cs="Century Gothic"/>
          <w:b/>
          <w:bCs/>
          <w:color w:val="000000" w:themeColor="text1"/>
        </w:rPr>
        <w:t>Problema planteado:</w:t>
      </w:r>
    </w:p>
    <w:p w14:paraId="03C2B09C" w14:textId="77777777" w:rsidR="005D0A82" w:rsidRPr="00DD0F57" w:rsidRDefault="005D0A82" w:rsidP="005D0A82">
      <w:pPr>
        <w:tabs>
          <w:tab w:val="left" w:pos="426"/>
        </w:tabs>
        <w:spacing w:after="0" w:line="276" w:lineRule="auto"/>
        <w:jc w:val="both"/>
        <w:rPr>
          <w:rFonts w:ascii="Verdana" w:eastAsia="Century Gothic" w:hAnsi="Verdana" w:cs="Century Gothic"/>
          <w:color w:val="000000" w:themeColor="text1"/>
          <w:lang w:val="es-ES"/>
        </w:rPr>
      </w:pPr>
    </w:p>
    <w:p w14:paraId="52763187" w14:textId="4AF49B33" w:rsidR="005D0A82" w:rsidRPr="00DD0F57" w:rsidRDefault="005D0A82" w:rsidP="005D0A82">
      <w:pPr>
        <w:spacing w:after="0" w:line="276" w:lineRule="auto"/>
        <w:jc w:val="both"/>
        <w:rPr>
          <w:rFonts w:ascii="Verdana" w:eastAsia="Century Gothic" w:hAnsi="Verdana" w:cs="Century Gothic"/>
          <w:color w:val="000000" w:themeColor="text1"/>
          <w:lang w:val="es-ES"/>
        </w:rPr>
      </w:pPr>
      <w:r w:rsidRPr="00DD0F57">
        <w:rPr>
          <w:rFonts w:ascii="Verdana" w:eastAsia="Century Gothic" w:hAnsi="Verdana" w:cs="Century Gothic"/>
          <w:color w:val="000000" w:themeColor="text1"/>
          <w:lang w:val="es-ES"/>
        </w:rPr>
        <w:t xml:space="preserve">De acuerdo con el contenido de su solicitud, esta Agencia resolverá </w:t>
      </w:r>
      <w:r>
        <w:rPr>
          <w:rFonts w:ascii="Verdana" w:eastAsia="Century Gothic" w:hAnsi="Verdana" w:cs="Century Gothic"/>
          <w:color w:val="000000" w:themeColor="text1"/>
          <w:lang w:val="es-ES"/>
        </w:rPr>
        <w:t>los</w:t>
      </w:r>
      <w:r w:rsidRPr="00DD0F57">
        <w:rPr>
          <w:rFonts w:ascii="Verdana" w:eastAsia="Century Gothic" w:hAnsi="Verdana" w:cs="Century Gothic"/>
          <w:color w:val="000000" w:themeColor="text1"/>
          <w:lang w:val="es-ES"/>
        </w:rPr>
        <w:t xml:space="preserve"> siguiente</w:t>
      </w:r>
      <w:r>
        <w:rPr>
          <w:rFonts w:ascii="Verdana" w:eastAsia="Century Gothic" w:hAnsi="Verdana" w:cs="Century Gothic"/>
          <w:color w:val="000000" w:themeColor="text1"/>
          <w:lang w:val="es-ES"/>
        </w:rPr>
        <w:t>s</w:t>
      </w:r>
      <w:r w:rsidRPr="00DD0F57">
        <w:rPr>
          <w:rFonts w:ascii="Verdana" w:eastAsia="Century Gothic" w:hAnsi="Verdana" w:cs="Century Gothic"/>
          <w:color w:val="000000" w:themeColor="text1"/>
          <w:lang w:val="es-ES"/>
        </w:rPr>
        <w:t xml:space="preserve"> problema</w:t>
      </w:r>
      <w:r>
        <w:rPr>
          <w:rFonts w:ascii="Verdana" w:eastAsia="Century Gothic" w:hAnsi="Verdana" w:cs="Century Gothic"/>
          <w:color w:val="000000" w:themeColor="text1"/>
          <w:lang w:val="es-ES"/>
        </w:rPr>
        <w:t>s</w:t>
      </w:r>
      <w:r w:rsidRPr="00DD0F57">
        <w:rPr>
          <w:rFonts w:ascii="Verdana" w:eastAsia="Century Gothic" w:hAnsi="Verdana" w:cs="Century Gothic"/>
          <w:color w:val="000000" w:themeColor="text1"/>
          <w:lang w:val="es-ES"/>
        </w:rPr>
        <w:t xml:space="preserve"> jurídico</w:t>
      </w:r>
      <w:r>
        <w:rPr>
          <w:rFonts w:ascii="Verdana" w:eastAsia="Century Gothic" w:hAnsi="Verdana" w:cs="Century Gothic"/>
          <w:color w:val="000000" w:themeColor="text1"/>
          <w:lang w:val="es-ES"/>
        </w:rPr>
        <w:t>s</w:t>
      </w:r>
      <w:r w:rsidRPr="00DD0F57">
        <w:rPr>
          <w:rFonts w:ascii="Verdana" w:eastAsia="Century Gothic" w:hAnsi="Verdana" w:cs="Century Gothic"/>
          <w:color w:val="000000" w:themeColor="text1"/>
          <w:lang w:val="es-ES"/>
        </w:rPr>
        <w:t xml:space="preserve">: </w:t>
      </w:r>
      <w:r>
        <w:rPr>
          <w:rFonts w:ascii="Verdana" w:eastAsia="Century Gothic" w:hAnsi="Verdana" w:cs="Century Gothic"/>
          <w:color w:val="000000" w:themeColor="text1"/>
          <w:lang w:val="es-ES"/>
        </w:rPr>
        <w:t xml:space="preserve">i) </w:t>
      </w:r>
      <w:r w:rsidRPr="00DD0F57">
        <w:rPr>
          <w:rFonts w:ascii="Verdana" w:eastAsia="Century Gothic" w:hAnsi="Verdana" w:cs="Century Gothic"/>
          <w:color w:val="000000" w:themeColor="text1"/>
          <w:lang w:val="es-ES"/>
        </w:rPr>
        <w:t>¿</w:t>
      </w:r>
      <w:r>
        <w:rPr>
          <w:rFonts w:ascii="Verdana" w:eastAsia="Verdana" w:hAnsi="Verdana" w:cs="Verdana"/>
          <w:lang w:val="es-ES"/>
        </w:rPr>
        <w:t>d</w:t>
      </w:r>
      <w:r w:rsidRPr="6AF64649">
        <w:rPr>
          <w:rFonts w:ascii="Verdana" w:eastAsia="Verdana" w:hAnsi="Verdana" w:cs="Verdana"/>
          <w:lang w:val="es-ES"/>
        </w:rPr>
        <w:t>e qué manera</w:t>
      </w:r>
      <w:r w:rsidRPr="00077A34">
        <w:rPr>
          <w:rFonts w:ascii="Verdana" w:eastAsia="Verdana" w:hAnsi="Verdana" w:cs="Verdana"/>
          <w:lang w:val="es-ES"/>
        </w:rPr>
        <w:t xml:space="preserve"> las Entidades Estatales </w:t>
      </w:r>
      <w:r w:rsidRPr="6AF64649">
        <w:rPr>
          <w:rFonts w:ascii="Verdana" w:eastAsia="Verdana" w:hAnsi="Verdana" w:cs="Verdana"/>
          <w:lang w:val="es-ES"/>
        </w:rPr>
        <w:t xml:space="preserve">deben establecer los </w:t>
      </w:r>
      <w:r>
        <w:rPr>
          <w:rFonts w:ascii="Verdana" w:eastAsia="Verdana" w:hAnsi="Verdana" w:cs="Verdana"/>
          <w:lang w:val="es-ES"/>
        </w:rPr>
        <w:t>requisitos</w:t>
      </w:r>
      <w:r w:rsidRPr="6AF64649">
        <w:rPr>
          <w:rFonts w:ascii="Verdana" w:eastAsia="Verdana" w:hAnsi="Verdana" w:cs="Verdana"/>
          <w:lang w:val="es-ES"/>
        </w:rPr>
        <w:t xml:space="preserve"> de</w:t>
      </w:r>
      <w:r w:rsidRPr="00077A34">
        <w:rPr>
          <w:rFonts w:ascii="Verdana" w:eastAsia="Verdana" w:hAnsi="Verdana" w:cs="Verdana"/>
          <w:lang w:val="es-ES"/>
        </w:rPr>
        <w:t xml:space="preserve"> capacidad financiera en un Proceso de Contratación</w:t>
      </w:r>
      <w:r>
        <w:rPr>
          <w:rFonts w:ascii="Verdana" w:eastAsia="Verdana" w:hAnsi="Verdana" w:cs="Verdana"/>
          <w:lang w:val="es-ES"/>
        </w:rPr>
        <w:t xml:space="preserve">? y </w:t>
      </w:r>
      <w:proofErr w:type="spellStart"/>
      <w:r>
        <w:rPr>
          <w:rFonts w:ascii="Verdana" w:eastAsia="Verdana" w:hAnsi="Verdana" w:cs="Verdana"/>
          <w:lang w:val="es-ES"/>
        </w:rPr>
        <w:t>ii</w:t>
      </w:r>
      <w:proofErr w:type="spellEnd"/>
      <w:r>
        <w:rPr>
          <w:rFonts w:ascii="Verdana" w:eastAsia="Verdana" w:hAnsi="Verdana" w:cs="Verdana"/>
          <w:lang w:val="es-ES"/>
        </w:rPr>
        <w:t>) ¿las entidades pueden exigir como requisito habilitante que el proponente cuente con una sucursal en el lugar de ejecución del contrato?</w:t>
      </w:r>
    </w:p>
    <w:p w14:paraId="1B56E3AF" w14:textId="77777777" w:rsidR="005D0A82" w:rsidRPr="00DD0F57" w:rsidRDefault="005D0A82" w:rsidP="005D0A82">
      <w:pPr>
        <w:spacing w:after="0" w:line="276" w:lineRule="auto"/>
        <w:jc w:val="both"/>
        <w:rPr>
          <w:rFonts w:ascii="Verdana" w:eastAsia="Calibri" w:hAnsi="Verdana" w:cs="Arial"/>
          <w:color w:val="000000" w:themeColor="text1"/>
          <w:lang w:val="es-ES"/>
        </w:rPr>
      </w:pPr>
    </w:p>
    <w:p w14:paraId="6F6969AB" w14:textId="77777777" w:rsidR="005D0A82" w:rsidRPr="00DD0F57" w:rsidRDefault="005D0A82" w:rsidP="005D0A82">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DD0F57">
        <w:rPr>
          <w:rFonts w:ascii="Verdana" w:eastAsia="Century Gothic" w:hAnsi="Verdana" w:cs="Century Gothic"/>
          <w:b/>
          <w:bCs/>
          <w:color w:val="000000" w:themeColor="text1"/>
        </w:rPr>
        <w:t>Respuesta:</w:t>
      </w:r>
    </w:p>
    <w:p w14:paraId="3A07AEB2" w14:textId="77777777" w:rsidR="005D0A82" w:rsidRPr="00DD0F57" w:rsidRDefault="005D0A82" w:rsidP="005D0A82">
      <w:pPr>
        <w:tabs>
          <w:tab w:val="left" w:pos="142"/>
          <w:tab w:val="left" w:pos="284"/>
        </w:tabs>
        <w:spacing w:after="0" w:line="276" w:lineRule="auto"/>
        <w:jc w:val="both"/>
        <w:rPr>
          <w:rFonts w:ascii="Verdana" w:eastAsia="Century Gothic" w:hAnsi="Verdana" w:cs="Century Gothic"/>
          <w:b/>
          <w:bCs/>
          <w:color w:val="000000" w:themeColor="text1"/>
          <w:lang w:val="es-ES"/>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5D0A82" w:rsidRPr="00DD0F57" w14:paraId="65919B76" w14:textId="77777777" w:rsidTr="001966D9">
        <w:tc>
          <w:tcPr>
            <w:tcW w:w="8828" w:type="dxa"/>
          </w:tcPr>
          <w:p w14:paraId="53C5B9F4" w14:textId="77777777" w:rsidR="005D0A82" w:rsidRDefault="005D0A82" w:rsidP="001966D9">
            <w:pPr>
              <w:widowControl w:val="0"/>
              <w:autoSpaceDE w:val="0"/>
              <w:autoSpaceDN w:val="0"/>
              <w:spacing w:before="120" w:after="120" w:line="276" w:lineRule="auto"/>
              <w:jc w:val="both"/>
              <w:rPr>
                <w:rFonts w:ascii="Verdana" w:eastAsia="Times New Roman" w:hAnsi="Verdana" w:cs="Arial"/>
                <w:lang w:val="en-CO" w:eastAsia="es-ES_tradnl"/>
              </w:rPr>
            </w:pPr>
            <w:r w:rsidRPr="001C051C">
              <w:rPr>
                <w:rFonts w:ascii="Verdana" w:eastAsia="Times New Roman" w:hAnsi="Verdana" w:cs="Arial"/>
                <w:lang w:val="en-CO" w:eastAsia="es-ES_tradnl"/>
              </w:rPr>
              <w:t xml:space="preserve">De conformidad con el artículo 5, numeral 1, de la Ley 1150 de 2007, la </w:t>
            </w:r>
            <w:r w:rsidRPr="001C051C">
              <w:rPr>
                <w:rFonts w:ascii="Verdana" w:eastAsia="Times New Roman" w:hAnsi="Verdana" w:cs="Arial"/>
                <w:lang w:val="en-CO" w:eastAsia="es-ES_tradnl"/>
              </w:rPr>
              <w:lastRenderedPageBreak/>
              <w:t xml:space="preserve">capacidad jurídica y las condiciones de experiencia, capacidad financiera y de organización de los proponentes serán objeto de verificación como requisitos habilitantes, cuya exigencia debe ser adecuada y proporcional a la naturaleza del contrato a suscribir y a su valor. </w:t>
            </w:r>
          </w:p>
          <w:p w14:paraId="637BB6EE" w14:textId="77777777" w:rsidR="005D0A82" w:rsidRPr="001C051C" w:rsidRDefault="005D0A82" w:rsidP="001966D9">
            <w:pPr>
              <w:widowControl w:val="0"/>
              <w:autoSpaceDE w:val="0"/>
              <w:autoSpaceDN w:val="0"/>
              <w:spacing w:before="120" w:after="120" w:line="276" w:lineRule="auto"/>
              <w:ind w:firstLine="738"/>
              <w:jc w:val="both"/>
              <w:rPr>
                <w:rFonts w:ascii="Verdana" w:eastAsia="Times New Roman" w:hAnsi="Verdana" w:cs="Arial"/>
                <w:lang w:val="es-ES" w:eastAsia="es-ES"/>
              </w:rPr>
            </w:pPr>
            <w:r w:rsidRPr="2F828784">
              <w:rPr>
                <w:rFonts w:ascii="Verdana" w:eastAsia="Times New Roman" w:hAnsi="Verdana" w:cs="Arial"/>
                <w:lang w:val="es-ES" w:eastAsia="es-ES"/>
              </w:rPr>
              <w:t>La Entidad Estatal, como responsable de la estructuración de su procedimiento de selección, es autónoma para determinar la capacidad financiera necesaria de acuerdo con el objeto contractual que pretende satisfacer; no obstante, en atención a lo dispuesto en el artículo 2.2.1.1.1.6.2 del Decreto 1082 de 2015, esta debe establecerse con sustento en el estudio del sector y sus componentes, como la identificación de riesgos, el mercado y el precio del bien, obra o servicio a contratar, teniendo en cuenta, además: (i) el Riesgo del Proceso de Contratación; (ii) el valor del contrato; (iii) el análisis del sector económico respectivo; y (iv) el conocimiento de fondo de los posibles oferentes desde la perspectiva comercial, sin limitarse a la aplicación mecánica de fórmulas financieras.</w:t>
            </w:r>
          </w:p>
          <w:p w14:paraId="1C25BAE1" w14:textId="77777777" w:rsidR="005D0A82" w:rsidRDefault="005D0A82" w:rsidP="001966D9">
            <w:pPr>
              <w:widowControl w:val="0"/>
              <w:autoSpaceDE w:val="0"/>
              <w:autoSpaceDN w:val="0"/>
              <w:spacing w:before="120" w:after="120" w:line="276" w:lineRule="auto"/>
              <w:ind w:firstLine="738"/>
              <w:jc w:val="both"/>
              <w:rPr>
                <w:rFonts w:ascii="Verdana" w:eastAsia="Times New Roman" w:hAnsi="Verdana" w:cs="Arial"/>
                <w:lang w:val="en-US" w:eastAsia="es-ES"/>
              </w:rPr>
            </w:pPr>
            <w:r w:rsidRPr="2F828784">
              <w:rPr>
                <w:rFonts w:ascii="Verdana" w:eastAsia="Times New Roman" w:hAnsi="Verdana" w:cs="Arial"/>
                <w:lang w:val="en-US" w:eastAsia="es-ES"/>
              </w:rPr>
              <w:t xml:space="preserve">En este sentido, una cosa son los aspectos de la capacidad financiera que certifican las cámaras de comercio en el Registro Único de Proponentes, conforme al artículo 2.2.1.1.1.5.3 del Decreto 1082 de 2015 —índice de liquidez, índice de endeudamiento y razón de cobertura de intereses—, y otra, muy diferente, los aspectos de este requisito habilitante que la entidad verifica en cada procedimiento contractual, los cuales debe establecer la entidad contratante en el pliego de condiciones o la invitación, según corresponda. De este modo, los requisitos habilitantes previstos en la Ley 1150 de 2007 no son taxativos y la entidad puede definir indicadores o mecanismos adicionales de verificación de la capacidad financiera; sin embargo, esta autonomía no constituye una facultad irrestricta o arbitraria, pues los requisitos que se establezcan deben ser adecuados —esto es, guardar relación directa con el objeto del contrato— y proporcionales —es decir, no imponer condiciones más allá de las necesarias para verificar la idoneidad de los proponentes—, so pena de limitar injustificadamente la libre concurrencia. </w:t>
            </w:r>
          </w:p>
          <w:p w14:paraId="6E7F0B39" w14:textId="77777777" w:rsidR="005D0A82" w:rsidRPr="001C051C" w:rsidRDefault="005D0A82" w:rsidP="001966D9">
            <w:pPr>
              <w:widowControl w:val="0"/>
              <w:autoSpaceDE w:val="0"/>
              <w:autoSpaceDN w:val="0"/>
              <w:spacing w:before="120" w:after="120" w:line="276" w:lineRule="auto"/>
              <w:ind w:firstLine="738"/>
              <w:jc w:val="both"/>
              <w:rPr>
                <w:rFonts w:ascii="Verdana" w:eastAsia="Times New Roman" w:hAnsi="Verdana" w:cs="Arial"/>
                <w:lang w:val="en-US" w:eastAsia="es-ES"/>
              </w:rPr>
            </w:pPr>
            <w:r w:rsidRPr="2F828784">
              <w:rPr>
                <w:rFonts w:ascii="Verdana" w:eastAsia="Times New Roman" w:hAnsi="Verdana" w:cs="Arial"/>
                <w:lang w:val="en-US" w:eastAsia="es-ES"/>
              </w:rPr>
              <w:t xml:space="preserve">Corresponde entonces a la entidad determinar, con fundamento en el análisis del sector, si una exigencia como la referida en la consulta resulta adecuada y proporcional para garantizar la liquidez requerida para la ejecución del contrato, o si dicha finalidad se satisface con indicadores como el índice de liquidez, el índice de endeudamiento o el capital de trabajo, verificables </w:t>
            </w:r>
            <w:r w:rsidRPr="2F828784">
              <w:rPr>
                <w:rFonts w:ascii="Verdana" w:eastAsia="Times New Roman" w:hAnsi="Verdana" w:cs="Arial"/>
                <w:lang w:val="en-US" w:eastAsia="es-ES"/>
              </w:rPr>
              <w:lastRenderedPageBreak/>
              <w:t>directamente en el RUP y que pueden resultar menos restrictivos de la libre competencia económica.</w:t>
            </w:r>
          </w:p>
          <w:p w14:paraId="1ADE8079" w14:textId="77777777" w:rsidR="005D0A82" w:rsidRPr="001C051C" w:rsidRDefault="005D0A82" w:rsidP="001966D9">
            <w:pPr>
              <w:widowControl w:val="0"/>
              <w:autoSpaceDE w:val="0"/>
              <w:autoSpaceDN w:val="0"/>
              <w:spacing w:before="120" w:after="120" w:line="276" w:lineRule="auto"/>
              <w:ind w:firstLine="738"/>
              <w:jc w:val="both"/>
              <w:rPr>
                <w:rFonts w:ascii="Verdana" w:eastAsia="Times New Roman" w:hAnsi="Verdana" w:cs="Arial"/>
                <w:lang w:val="es-ES" w:eastAsia="es-ES"/>
              </w:rPr>
            </w:pPr>
            <w:r w:rsidRPr="2F828784">
              <w:rPr>
                <w:rFonts w:ascii="Verdana" w:eastAsia="Times New Roman" w:hAnsi="Verdana" w:cs="Arial"/>
                <w:lang w:val="es-ES" w:eastAsia="es-ES"/>
              </w:rPr>
              <w:t>Por otra parte, en relación con la exigencia de contar con una sucursal formalmente registrada y en funcionamiento en el lugar de ejecución, esimportante resaltar que, salvo las excepciones establecidas por el legislador, como es el caso de las convocatorias limitadas a Mipymes nacionales o territoriales, los principios de igualdad y libre concurrencia rigen los procedimientos de selección competitivos de las entidades sometidas al Estatuto General de Contratación de la Administración Pública y proscriben los tratos discriminatorios respecto de la posibilidad de presentar ofertas, por ejemplo, en razón del lugar de operación o domicilio del proponente. Por ello, en los conceptos 2201913000006511 del 3 de septiembre de 2019 y C-032 del 16 de abril de 2024, esta Agencia sostuvo que, por regla general, las entidades no pueden exigir como requisito habilitante que el proponente tenga residencia en el lugar donde se ejecutará el contrato, pues ello afecta la libre competencia, constituye una cláusula discriminatoria y no garantiza la aptitud del proponente para ejecutar el objeto contractual; análisis que resulta igualmente procedente frente a la exigencia de una sucursal formalmente registrada y en funcionamiento en el municipio de ejecución como condición de participación.</w:t>
            </w:r>
          </w:p>
          <w:p w14:paraId="64F351AF" w14:textId="77777777" w:rsidR="005D0A82" w:rsidRPr="00B310CF" w:rsidRDefault="005D0A82" w:rsidP="001966D9">
            <w:pPr>
              <w:widowControl w:val="0"/>
              <w:autoSpaceDE w:val="0"/>
              <w:autoSpaceDN w:val="0"/>
              <w:spacing w:before="120" w:after="120" w:line="276" w:lineRule="auto"/>
              <w:ind w:firstLine="738"/>
              <w:jc w:val="both"/>
              <w:rPr>
                <w:rFonts w:ascii="Verdana" w:eastAsia="Times New Roman" w:hAnsi="Verdana" w:cs="Arial"/>
                <w:lang w:val="en-US" w:eastAsia="es-ES"/>
              </w:rPr>
            </w:pPr>
            <w:r w:rsidRPr="2F828784">
              <w:rPr>
                <w:rFonts w:ascii="Verdana" w:eastAsia="Times New Roman" w:hAnsi="Verdana" w:cs="Arial"/>
                <w:lang w:val="en-US" w:eastAsia="es-ES"/>
              </w:rPr>
              <w:t>En todo caso, al tratarse de un análisis que debe realizarse en cada procedimiento contractual específico, la Agencia no puede definir un criterio universal y absoluto por vía consultiva, sino que brinda elementos de carácter general para que los partícipes del sistema de compras y contratación pública, previo concepto de sus asesores, adopten la decisión que corresponda, sin que sea atribución de Colombia Compra Eficiente validar sus actuaciones.</w:t>
            </w:r>
          </w:p>
        </w:tc>
      </w:tr>
    </w:tbl>
    <w:p w14:paraId="1E05E57F" w14:textId="77777777" w:rsidR="005D0A82" w:rsidRPr="00DD0F57" w:rsidRDefault="005D0A82" w:rsidP="005D0A82">
      <w:pPr>
        <w:tabs>
          <w:tab w:val="left" w:pos="142"/>
          <w:tab w:val="left" w:pos="284"/>
        </w:tabs>
        <w:spacing w:after="0" w:line="276" w:lineRule="auto"/>
        <w:jc w:val="both"/>
        <w:rPr>
          <w:rFonts w:ascii="Verdana" w:eastAsia="Century Gothic" w:hAnsi="Verdana" w:cs="Century Gothic"/>
          <w:b/>
          <w:bCs/>
          <w:color w:val="000000" w:themeColor="text1"/>
          <w:lang w:val="es-ES"/>
        </w:rPr>
      </w:pPr>
    </w:p>
    <w:p w14:paraId="6341F4A1" w14:textId="77777777" w:rsidR="005D0A82" w:rsidRPr="00DD0F57" w:rsidRDefault="005D0A82" w:rsidP="005D0A82">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DD0F57">
        <w:rPr>
          <w:rFonts w:ascii="Verdana" w:eastAsia="Century Gothic" w:hAnsi="Verdana" w:cs="Century Gothic"/>
          <w:b/>
          <w:bCs/>
          <w:color w:val="000000" w:themeColor="text1"/>
        </w:rPr>
        <w:t>Razones de la respuesta:</w:t>
      </w:r>
    </w:p>
    <w:p w14:paraId="7452A6DE" w14:textId="77777777" w:rsidR="005D0A82" w:rsidRPr="00DD0F57" w:rsidRDefault="005D0A82" w:rsidP="005D0A82">
      <w:pPr>
        <w:spacing w:after="0" w:line="276" w:lineRule="auto"/>
        <w:jc w:val="both"/>
        <w:rPr>
          <w:rFonts w:ascii="Verdana" w:eastAsia="Calibri" w:hAnsi="Verdana" w:cs="Arial"/>
          <w:color w:val="000000" w:themeColor="text1"/>
          <w:lang w:val="es-ES"/>
        </w:rPr>
      </w:pPr>
    </w:p>
    <w:p w14:paraId="21D87F72" w14:textId="77777777" w:rsidR="005D0A82" w:rsidRPr="00DD0F57" w:rsidRDefault="005D0A82" w:rsidP="005D0A82">
      <w:pPr>
        <w:spacing w:after="0" w:line="276" w:lineRule="auto"/>
        <w:jc w:val="both"/>
        <w:rPr>
          <w:rFonts w:ascii="Verdana" w:eastAsia="Calibri" w:hAnsi="Verdana" w:cs="Arial"/>
          <w:color w:val="000000" w:themeColor="text1"/>
          <w:lang w:val="es-ES"/>
        </w:rPr>
      </w:pPr>
      <w:r w:rsidRPr="00DD0F57">
        <w:rPr>
          <w:rFonts w:ascii="Verdana" w:eastAsia="Calibri" w:hAnsi="Verdana" w:cs="Arial"/>
          <w:color w:val="000000" w:themeColor="text1"/>
          <w:lang w:val="es-ES"/>
        </w:rPr>
        <w:t xml:space="preserve">Lo anterior se sustenta en las siguientes consideraciones: </w:t>
      </w:r>
    </w:p>
    <w:p w14:paraId="099E085E" w14:textId="77777777" w:rsidR="005D0A82" w:rsidRPr="00DD0F57" w:rsidRDefault="005D0A82" w:rsidP="005D0A82">
      <w:pPr>
        <w:spacing w:after="0" w:line="276" w:lineRule="auto"/>
        <w:jc w:val="both"/>
        <w:rPr>
          <w:rFonts w:ascii="Verdana" w:eastAsia="Calibri" w:hAnsi="Verdana" w:cs="Arial"/>
          <w:lang w:val="es-ES"/>
        </w:rPr>
      </w:pPr>
    </w:p>
    <w:p w14:paraId="0EB3AA5C" w14:textId="77777777" w:rsidR="005D0A82" w:rsidRDefault="005D0A82" w:rsidP="005D0A82">
      <w:pPr>
        <w:spacing w:after="120" w:line="276" w:lineRule="auto"/>
        <w:jc w:val="both"/>
        <w:rPr>
          <w:rFonts w:ascii="Verdana" w:eastAsia="Calibri" w:hAnsi="Verdana" w:cs="Arial"/>
          <w:color w:val="000000" w:themeColor="text1"/>
          <w:lang w:val="es-ES_tradnl" w:eastAsia="es-ES_tradnl"/>
        </w:rPr>
      </w:pPr>
      <w:r w:rsidRPr="00984765">
        <w:rPr>
          <w:rFonts w:ascii="Verdana" w:eastAsia="Calibri" w:hAnsi="Verdana" w:cs="Arial"/>
          <w:bCs/>
          <w:lang w:val="es-ES"/>
        </w:rPr>
        <w:t>i.</w:t>
      </w:r>
      <w:r w:rsidRPr="00984765">
        <w:rPr>
          <w:rFonts w:ascii="Verdana" w:eastAsia="Calibri" w:hAnsi="Verdana" w:cs="Arial"/>
          <w:color w:val="000000"/>
          <w:lang w:val="es-ES"/>
        </w:rPr>
        <w:t xml:space="preserve"> </w:t>
      </w:r>
      <w:r w:rsidRPr="00984765">
        <w:rPr>
          <w:rFonts w:ascii="Verdana" w:eastAsia="Calibri" w:hAnsi="Verdana" w:cs="Arial"/>
          <w:color w:val="000000" w:themeColor="text1"/>
          <w:lang w:val="es-ES_tradnl" w:eastAsia="es-ES_tradnl"/>
        </w:rPr>
        <w:t xml:space="preserve">Los </w:t>
      </w:r>
      <w:r w:rsidRPr="00984765">
        <w:rPr>
          <w:rFonts w:ascii="Verdana" w:eastAsia="Calibri" w:hAnsi="Verdana" w:cs="Arial"/>
          <w:i/>
          <w:iCs/>
          <w:color w:val="000000" w:themeColor="text1"/>
          <w:lang w:val="es-ES_tradnl" w:eastAsia="es-ES_tradnl"/>
        </w:rPr>
        <w:t>requisitos habilitantes</w:t>
      </w:r>
      <w:r w:rsidRPr="00984765">
        <w:rPr>
          <w:rFonts w:ascii="Verdana" w:eastAsia="Calibri" w:hAnsi="Verdana" w:cs="Arial"/>
          <w:color w:val="000000" w:themeColor="text1"/>
          <w:lang w:val="es-ES_tradnl" w:eastAsia="es-ES_tradnl"/>
        </w:rPr>
        <w:t xml:space="preserve"> se definen como exigencias de participación en los procedimientos de selección, establecidos en disposiciones normativas, de carácter legal o reglamentario, o contenidas en el acto administrativo que regula las reglas de la convocatoria, es decir, en el pliego de condiciones o el documento </w:t>
      </w:r>
      <w:r w:rsidRPr="00984765">
        <w:rPr>
          <w:rFonts w:ascii="Verdana" w:eastAsia="Calibri" w:hAnsi="Verdana" w:cs="Arial"/>
          <w:color w:val="000000" w:themeColor="text1"/>
          <w:lang w:val="es-ES_tradnl" w:eastAsia="es-ES_tradnl"/>
        </w:rPr>
        <w:lastRenderedPageBreak/>
        <w:t xml:space="preserve">equivalente a este. Se diferencian de los </w:t>
      </w:r>
      <w:r w:rsidRPr="00984765">
        <w:rPr>
          <w:rFonts w:ascii="Verdana" w:eastAsia="Calibri" w:hAnsi="Verdana" w:cs="Arial"/>
          <w:i/>
          <w:iCs/>
          <w:color w:val="000000" w:themeColor="text1"/>
          <w:lang w:val="es-ES_tradnl" w:eastAsia="es-ES_tradnl"/>
        </w:rPr>
        <w:t>criterios de evaluación</w:t>
      </w:r>
      <w:r w:rsidRPr="00984765">
        <w:rPr>
          <w:rFonts w:ascii="Verdana" w:eastAsia="Calibri" w:hAnsi="Verdana" w:cs="Arial"/>
          <w:color w:val="000000" w:themeColor="text1"/>
          <w:lang w:val="es-ES_tradnl" w:eastAsia="es-ES_tradnl"/>
        </w:rPr>
        <w:t xml:space="preserve"> –también conocidos como </w:t>
      </w:r>
      <w:r w:rsidRPr="00984765">
        <w:rPr>
          <w:rFonts w:ascii="Verdana" w:eastAsia="Calibri" w:hAnsi="Verdana" w:cs="Arial"/>
          <w:i/>
          <w:iCs/>
          <w:color w:val="000000" w:themeColor="text1"/>
          <w:lang w:val="es-ES_tradnl" w:eastAsia="es-ES_tradnl"/>
        </w:rPr>
        <w:t>criterios de calificación</w:t>
      </w:r>
      <w:r w:rsidRPr="00984765">
        <w:rPr>
          <w:rFonts w:ascii="Verdana" w:eastAsia="Calibri" w:hAnsi="Verdana" w:cs="Arial"/>
          <w:color w:val="000000" w:themeColor="text1"/>
          <w:lang w:val="es-ES_tradnl" w:eastAsia="es-ES_tradnl"/>
        </w:rPr>
        <w:t xml:space="preserve">– en que estos son los factores definidos por la Entidad Estatal para la asignación de puntaje en el momento de la comparación de las ofertas, y que, a partir de su ponderación, permiten establecer el orden de elegibilidad y, por ende, la propuesta ganadora. </w:t>
      </w:r>
    </w:p>
    <w:p w14:paraId="1D9B4558" w14:textId="77777777" w:rsidR="005D0A82" w:rsidRDefault="005D0A82" w:rsidP="005D0A82">
      <w:pPr>
        <w:spacing w:after="120" w:line="276" w:lineRule="auto"/>
        <w:ind w:firstLine="709"/>
        <w:jc w:val="both"/>
        <w:rPr>
          <w:rFonts w:ascii="Verdana" w:eastAsia="Calibri" w:hAnsi="Verdana" w:cs="Arial"/>
          <w:color w:val="000000" w:themeColor="text1"/>
          <w:lang w:val="es-ES_tradnl" w:eastAsia="es-ES_tradnl"/>
        </w:rPr>
      </w:pPr>
      <w:r w:rsidRPr="00984765">
        <w:rPr>
          <w:rFonts w:ascii="Verdana" w:eastAsia="Calibri" w:hAnsi="Verdana" w:cs="Arial"/>
          <w:color w:val="000000" w:themeColor="text1"/>
          <w:lang w:eastAsia="es-ES"/>
        </w:rPr>
        <w:t>A partir de lo anterior se deduce que los requisitos habilitantes, si bien constituyen obligaciones que los proponentes deben cumplir y acreditar para participar en el procedimiento de selección, no se valoran con un puntaje que determine el orden de escogencia, sino que se analizan como criterios previos a la evaluación en sentido estricto, de manera que quienes no los reúnan no pueden continuar en el procedimiento de selección, o sea, incurren en causal de rechazo. Esto sin perjuicio del derecho que tienen los oferentes de subsanar los defectos que se presenten en la prueba de tales requisitos, de conformidad con el artículo 5, parágrafos 1º al 4º, de la Ley 1150 de 2007.</w:t>
      </w:r>
    </w:p>
    <w:p w14:paraId="68C0041A" w14:textId="77777777" w:rsidR="005D0A82" w:rsidRDefault="005D0A82" w:rsidP="005D0A82">
      <w:pPr>
        <w:spacing w:after="0" w:line="276" w:lineRule="auto"/>
        <w:ind w:firstLine="709"/>
        <w:jc w:val="both"/>
        <w:rPr>
          <w:rFonts w:ascii="Verdana" w:eastAsia="Calibri" w:hAnsi="Verdana" w:cs="Arial"/>
          <w:color w:val="000000" w:themeColor="text1"/>
          <w:lang w:eastAsia="es-ES"/>
        </w:rPr>
      </w:pPr>
      <w:r w:rsidRPr="004B73BB">
        <w:rPr>
          <w:rFonts w:ascii="Verdana" w:eastAsia="Calibri" w:hAnsi="Verdana" w:cs="Arial"/>
          <w:color w:val="000000" w:themeColor="text1"/>
          <w:lang w:eastAsia="es-ES"/>
        </w:rPr>
        <w:t xml:space="preserve">El mencionado artículo dispone que se considera </w:t>
      </w:r>
      <w:r w:rsidRPr="004B73BB">
        <w:rPr>
          <w:rFonts w:ascii="Verdana" w:eastAsia="Calibri" w:hAnsi="Verdana" w:cs="Arial"/>
          <w:i/>
          <w:iCs/>
          <w:color w:val="000000" w:themeColor="text1"/>
          <w:lang w:eastAsia="es-ES"/>
        </w:rPr>
        <w:t>“objetiva la selección en la cual la escogencia se haga al ofrecimiento más favorable a la entidad y a los fines que ella busca, sin tener en consideración factores de afecto o de interés y, en general, cualquier clase de motivación subjetiva”.</w:t>
      </w:r>
      <w:r w:rsidRPr="004B73BB">
        <w:rPr>
          <w:rFonts w:ascii="Verdana" w:eastAsia="Calibri" w:hAnsi="Verdana" w:cs="Arial"/>
          <w:color w:val="000000" w:themeColor="text1"/>
          <w:lang w:eastAsia="es-ES"/>
        </w:rPr>
        <w:t xml:space="preserve"> En ese contexto, los factores de escogencia y calificación que establezcan las entidades en los pliegos de condiciones o sus documentos equivalentes deberán tener en cuenta, entre otras cuestiones, los criterios establecidos en dicha disposición. Específicamente, el numeral 1º del artículo referido establece que en los procesos de selección de contratistas serán objeto de verificación, como requisitos habilitantes, </w:t>
      </w:r>
      <w:r w:rsidRPr="004B73BB">
        <w:rPr>
          <w:rFonts w:ascii="Verdana" w:eastAsia="Calibri" w:hAnsi="Verdana" w:cs="Arial"/>
          <w:i/>
          <w:iCs/>
          <w:color w:val="000000" w:themeColor="text1"/>
          <w:lang w:eastAsia="es-ES"/>
        </w:rPr>
        <w:t>entre otros</w:t>
      </w:r>
      <w:r w:rsidRPr="004B73BB">
        <w:rPr>
          <w:rFonts w:ascii="Verdana" w:eastAsia="Calibri" w:hAnsi="Verdana" w:cs="Arial"/>
          <w:color w:val="000000" w:themeColor="text1"/>
          <w:lang w:eastAsia="es-ES"/>
        </w:rPr>
        <w:t xml:space="preserve">, los siguientes: i) la capacidad jurídica; </w:t>
      </w:r>
      <w:proofErr w:type="spellStart"/>
      <w:r w:rsidRPr="004B73BB">
        <w:rPr>
          <w:rFonts w:ascii="Verdana" w:eastAsia="Calibri" w:hAnsi="Verdana" w:cs="Arial"/>
          <w:color w:val="000000" w:themeColor="text1"/>
          <w:lang w:eastAsia="es-ES"/>
        </w:rPr>
        <w:t>ii</w:t>
      </w:r>
      <w:proofErr w:type="spellEnd"/>
      <w:r w:rsidRPr="004B73BB">
        <w:rPr>
          <w:rFonts w:ascii="Verdana" w:eastAsia="Calibri" w:hAnsi="Verdana" w:cs="Arial"/>
          <w:color w:val="000000" w:themeColor="text1"/>
          <w:lang w:eastAsia="es-ES"/>
        </w:rPr>
        <w:t xml:space="preserve">) la experiencia; </w:t>
      </w:r>
      <w:proofErr w:type="spellStart"/>
      <w:r w:rsidRPr="004B73BB">
        <w:rPr>
          <w:rFonts w:ascii="Verdana" w:eastAsia="Calibri" w:hAnsi="Verdana" w:cs="Arial"/>
          <w:color w:val="000000" w:themeColor="text1"/>
          <w:lang w:eastAsia="es-ES"/>
        </w:rPr>
        <w:t>iii</w:t>
      </w:r>
      <w:proofErr w:type="spellEnd"/>
      <w:r w:rsidRPr="004B73BB">
        <w:rPr>
          <w:rFonts w:ascii="Verdana" w:eastAsia="Calibri" w:hAnsi="Verdana" w:cs="Arial"/>
          <w:color w:val="000000" w:themeColor="text1"/>
          <w:lang w:eastAsia="es-ES"/>
        </w:rPr>
        <w:t xml:space="preserve">) la capacidad financiera y </w:t>
      </w:r>
      <w:proofErr w:type="spellStart"/>
      <w:r w:rsidRPr="004B73BB">
        <w:rPr>
          <w:rFonts w:ascii="Verdana" w:eastAsia="Calibri" w:hAnsi="Verdana" w:cs="Arial"/>
          <w:color w:val="000000" w:themeColor="text1"/>
          <w:lang w:eastAsia="es-ES"/>
        </w:rPr>
        <w:t>iv</w:t>
      </w:r>
      <w:proofErr w:type="spellEnd"/>
      <w:r w:rsidRPr="004B73BB">
        <w:rPr>
          <w:rFonts w:ascii="Verdana" w:eastAsia="Calibri" w:hAnsi="Verdana" w:cs="Arial"/>
          <w:color w:val="000000" w:themeColor="text1"/>
          <w:lang w:eastAsia="es-ES"/>
        </w:rPr>
        <w:t>) la capacidad de organización. En efecto, la norma citada prescribe lo siguiente:</w:t>
      </w:r>
    </w:p>
    <w:p w14:paraId="296A500F" w14:textId="77777777" w:rsidR="005D0A82" w:rsidRPr="004C13CA" w:rsidRDefault="005D0A82" w:rsidP="005D0A82">
      <w:pPr>
        <w:spacing w:after="0" w:line="276" w:lineRule="auto"/>
        <w:ind w:firstLine="709"/>
        <w:jc w:val="both"/>
        <w:rPr>
          <w:rFonts w:ascii="Verdana" w:eastAsia="Calibri" w:hAnsi="Verdana" w:cs="Arial"/>
          <w:color w:val="000000" w:themeColor="text1"/>
          <w:lang w:val="es-ES_tradnl" w:eastAsia="es-ES_tradnl"/>
        </w:rPr>
      </w:pPr>
    </w:p>
    <w:p w14:paraId="6E8E1787" w14:textId="77777777" w:rsidR="005D0A82" w:rsidRPr="004C13CA" w:rsidRDefault="005D0A82" w:rsidP="005D0A82">
      <w:pPr>
        <w:spacing w:after="0" w:line="240" w:lineRule="auto"/>
        <w:ind w:left="709" w:right="709"/>
        <w:jc w:val="both"/>
        <w:rPr>
          <w:rFonts w:ascii="Verdana" w:eastAsia="Calibri" w:hAnsi="Verdana" w:cs="Arial"/>
          <w:color w:val="000000" w:themeColor="text1"/>
          <w:sz w:val="21"/>
          <w:szCs w:val="21"/>
          <w:lang w:val="es-ES_tradnl" w:eastAsia="es-ES_tradnl"/>
        </w:rPr>
      </w:pPr>
      <w:r w:rsidRPr="004C13CA">
        <w:rPr>
          <w:rFonts w:ascii="Verdana" w:eastAsia="Calibri" w:hAnsi="Verdana" w:cs="Arial"/>
          <w:i/>
          <w:iCs/>
          <w:color w:val="000000" w:themeColor="text1"/>
          <w:sz w:val="21"/>
          <w:szCs w:val="21"/>
          <w:lang w:val="es-ES_tradnl" w:eastAsia="es-ES_tradnl"/>
        </w:rPr>
        <w:t>“</w:t>
      </w:r>
      <w:r w:rsidRPr="004C13CA">
        <w:rPr>
          <w:rFonts w:ascii="Verdana" w:eastAsia="Calibri" w:hAnsi="Verdana" w:cs="Arial"/>
          <w:color w:val="000000" w:themeColor="text1"/>
          <w:sz w:val="21"/>
          <w:szCs w:val="21"/>
          <w:lang w:val="es-ES_tradnl" w:eastAsia="es-ES_tradnl"/>
        </w:rPr>
        <w:t xml:space="preserve">Artículo 5. De la Selección Objetiva. </w:t>
      </w:r>
    </w:p>
    <w:p w14:paraId="5C298C34" w14:textId="77777777" w:rsidR="005D0A82" w:rsidRPr="004C13CA" w:rsidRDefault="005D0A82" w:rsidP="005D0A82">
      <w:pPr>
        <w:spacing w:after="0" w:line="240" w:lineRule="auto"/>
        <w:ind w:left="709" w:right="709"/>
        <w:jc w:val="both"/>
        <w:rPr>
          <w:rFonts w:ascii="Verdana" w:eastAsia="Calibri" w:hAnsi="Verdana" w:cs="Arial"/>
          <w:color w:val="000000" w:themeColor="text1"/>
          <w:sz w:val="21"/>
          <w:szCs w:val="21"/>
          <w:lang w:val="es-ES_tradnl" w:eastAsia="es-ES_tradnl"/>
        </w:rPr>
      </w:pPr>
    </w:p>
    <w:p w14:paraId="40F491F7" w14:textId="77777777" w:rsidR="005D0A82" w:rsidRPr="004C13CA" w:rsidRDefault="005D0A82" w:rsidP="005D0A82">
      <w:pPr>
        <w:spacing w:after="0" w:line="240" w:lineRule="auto"/>
        <w:ind w:left="709" w:right="709"/>
        <w:jc w:val="both"/>
        <w:rPr>
          <w:rFonts w:ascii="Verdana" w:eastAsia="Calibri" w:hAnsi="Verdana" w:cs="Arial"/>
          <w:color w:val="000000" w:themeColor="text1"/>
          <w:sz w:val="21"/>
          <w:szCs w:val="21"/>
          <w:lang w:val="es-ES_tradnl" w:eastAsia="es-ES_tradnl"/>
        </w:rPr>
      </w:pPr>
      <w:r w:rsidRPr="004C13CA">
        <w:rPr>
          <w:rFonts w:ascii="Verdana" w:eastAsia="Calibri" w:hAnsi="Verdana" w:cs="Arial"/>
          <w:color w:val="000000" w:themeColor="text1"/>
          <w:sz w:val="21"/>
          <w:szCs w:val="21"/>
          <w:lang w:val="es-ES_tradnl" w:eastAsia="es-ES_tradnl"/>
        </w:rPr>
        <w:t>[…]</w:t>
      </w:r>
    </w:p>
    <w:p w14:paraId="019079DD" w14:textId="77777777" w:rsidR="005D0A82" w:rsidRPr="004C13CA" w:rsidRDefault="005D0A82" w:rsidP="005D0A82">
      <w:pPr>
        <w:spacing w:after="0" w:line="240" w:lineRule="auto"/>
        <w:ind w:left="709" w:right="709"/>
        <w:jc w:val="both"/>
        <w:rPr>
          <w:rFonts w:ascii="Verdana" w:eastAsia="Calibri" w:hAnsi="Verdana" w:cs="Arial"/>
          <w:color w:val="000000" w:themeColor="text1"/>
          <w:sz w:val="21"/>
          <w:szCs w:val="21"/>
          <w:lang w:val="es-ES_tradnl" w:eastAsia="es-ES_tradnl"/>
        </w:rPr>
      </w:pPr>
    </w:p>
    <w:p w14:paraId="1E9FD18E" w14:textId="77777777" w:rsidR="005D0A82" w:rsidRPr="004C13CA" w:rsidRDefault="005D0A82" w:rsidP="005D0A82">
      <w:pPr>
        <w:spacing w:after="0" w:line="240" w:lineRule="auto"/>
        <w:ind w:left="709" w:right="709"/>
        <w:jc w:val="both"/>
        <w:rPr>
          <w:rFonts w:ascii="Verdana" w:eastAsia="Calibri" w:hAnsi="Verdana" w:cs="Arial"/>
          <w:color w:val="000000" w:themeColor="text1"/>
          <w:sz w:val="21"/>
          <w:szCs w:val="21"/>
        </w:rPr>
      </w:pPr>
      <w:r w:rsidRPr="004C13CA">
        <w:rPr>
          <w:rFonts w:ascii="Verdana" w:eastAsia="Calibri" w:hAnsi="Verdana" w:cs="Arial"/>
          <w:color w:val="000000" w:themeColor="text1"/>
          <w:sz w:val="21"/>
          <w:szCs w:val="21"/>
        </w:rPr>
        <w:t xml:space="preserve">La capacidad jurídica y las condiciones de experiencia, capacidad financiera y de organización de los proponentes serán objeto de verificación de cumplimiento como requisitos habilitantes para la participación en el proceso de selección y no otorgarán puntaje, con excepción de lo previsto en el numeral 4 del presente artículo. La exigencia de tales condiciones debe ser adecuada y proporcional a la </w:t>
      </w:r>
      <w:r w:rsidRPr="004C13CA">
        <w:rPr>
          <w:rFonts w:ascii="Verdana" w:eastAsia="Calibri" w:hAnsi="Verdana" w:cs="Arial"/>
          <w:color w:val="000000" w:themeColor="text1"/>
          <w:sz w:val="21"/>
          <w:szCs w:val="21"/>
        </w:rPr>
        <w:lastRenderedPageBreak/>
        <w:t>naturaleza del contrato a suscribir y a su valor. La verificación documental de las condiciones antes señaladas será efectuada por las Cámaras de Comercio de conformidad con lo establecido en el artículo 6 de la presente ley, de acuerdo con lo cual se expedirá la respectiva certificación”.</w:t>
      </w:r>
    </w:p>
    <w:p w14:paraId="7436E5E3" w14:textId="77777777" w:rsidR="005D0A82" w:rsidRPr="00077A34" w:rsidRDefault="005D0A82" w:rsidP="005D0A82">
      <w:pPr>
        <w:pStyle w:val="ListParagraph"/>
        <w:spacing w:after="0" w:line="240" w:lineRule="auto"/>
        <w:ind w:left="1494" w:right="709"/>
        <w:jc w:val="both"/>
        <w:rPr>
          <w:rFonts w:ascii="Verdana" w:eastAsia="Calibri" w:hAnsi="Verdana" w:cs="Arial"/>
          <w:color w:val="000000" w:themeColor="text1"/>
          <w:sz w:val="20"/>
          <w:szCs w:val="20"/>
          <w:lang w:val="es-ES_tradnl"/>
        </w:rPr>
      </w:pPr>
    </w:p>
    <w:p w14:paraId="791E2EBC" w14:textId="77777777" w:rsidR="005D0A82" w:rsidRDefault="005D0A82" w:rsidP="005D0A82">
      <w:pPr>
        <w:spacing w:after="120" w:line="276" w:lineRule="auto"/>
        <w:ind w:firstLine="709"/>
        <w:jc w:val="both"/>
        <w:rPr>
          <w:rFonts w:ascii="Verdana" w:eastAsia="Calibri" w:hAnsi="Verdana" w:cs="Arial"/>
          <w:lang w:val="es-MX"/>
        </w:rPr>
      </w:pPr>
      <w:r w:rsidRPr="004B73BB">
        <w:rPr>
          <w:rFonts w:ascii="Verdana" w:eastAsia="Calibri" w:hAnsi="Verdana" w:cs="Arial"/>
          <w:lang w:val="es-MX"/>
        </w:rPr>
        <w:t>Una vez fijados los requisitos habilitantes por la Entidad Estatal, quienes presenten ofertas deben acreditar que cumplen con los mismos, pues, en el evento contrario, las propuestas deberán ser rechazadas. El ente encargado de verificar el cumplimiento por parte de los proponentes sobre los requisitos que haya considerado la entidad como habilitantes será la Cámara de Comercio, esto en la medida en que, mediante el Registro Único de Proponentes –RUP</w:t>
      </w:r>
      <w:r w:rsidRPr="00077A34">
        <w:rPr>
          <w:color w:val="000000" w:themeColor="text1"/>
          <w:vertAlign w:val="superscript"/>
          <w:lang w:val="es-ES_tradnl" w:eastAsia="es-ES_tradnl"/>
        </w:rPr>
        <w:footnoteReference w:id="2"/>
      </w:r>
      <w:r w:rsidRPr="004B73BB">
        <w:rPr>
          <w:rFonts w:ascii="Verdana" w:eastAsia="Calibri" w:hAnsi="Verdana" w:cs="Arial"/>
          <w:lang w:val="es-MX"/>
        </w:rPr>
        <w:t xml:space="preserve">–, se pondrá de presente toda la información relacionada con la experiencia, capacidad jurídica, capacidad financiera y organizacional, así como la clasificación del proponente. </w:t>
      </w:r>
    </w:p>
    <w:p w14:paraId="15F3CEDF" w14:textId="77777777" w:rsidR="005D0A82" w:rsidRDefault="005D0A82" w:rsidP="005D0A82">
      <w:pPr>
        <w:spacing w:after="120" w:line="276" w:lineRule="auto"/>
        <w:ind w:firstLine="709"/>
        <w:jc w:val="both"/>
        <w:rPr>
          <w:rFonts w:ascii="Verdana" w:eastAsia="Calibri" w:hAnsi="Verdana" w:cs="Arial"/>
          <w:lang w:val="es-MX"/>
        </w:rPr>
      </w:pPr>
      <w:r w:rsidRPr="004B73BB">
        <w:rPr>
          <w:rFonts w:ascii="Verdana" w:eastAsia="Calibri" w:hAnsi="Verdana" w:cs="Arial"/>
          <w:lang w:val="es-MX"/>
        </w:rPr>
        <w:t xml:space="preserve">El artículo 6 de la Ley 1150 de 2007, que regula los sujetos que deben inscribirse en el RUP, señaló que deben hacerlo las personas naturales o jurídicas, nacionales o extranjeras que tengan domicilio o sucursal en el país. Estas personas tienen la obligación de registrarse en el RUP, en dos casos: a) cuando pretendan celebrar contratos estatales y b) si el procedimiento de contratación es de aquellos en los cuales no se exceptúa el RUP, de acuerdo con el inciso segundo del artículo 6 de la Ley 1150 de 2007 –contratación directa, contratos para la prestación de servicios de salud, contratos de mínima cuantía, entre otros puestos de presente por la norma–. </w:t>
      </w:r>
    </w:p>
    <w:p w14:paraId="4553FC21" w14:textId="77777777" w:rsidR="005D0A82" w:rsidRPr="004B73BB" w:rsidRDefault="005D0A82" w:rsidP="005D0A82">
      <w:pPr>
        <w:spacing w:after="120" w:line="276" w:lineRule="auto"/>
        <w:ind w:firstLine="709"/>
        <w:jc w:val="both"/>
        <w:rPr>
          <w:rFonts w:ascii="Verdana" w:eastAsia="Calibri" w:hAnsi="Verdana" w:cs="Arial"/>
          <w:lang w:val="es-MX"/>
        </w:rPr>
      </w:pPr>
      <w:r w:rsidRPr="004B73BB">
        <w:rPr>
          <w:rFonts w:ascii="Verdana" w:eastAsia="Calibri" w:hAnsi="Verdana" w:cs="Arial"/>
          <w:lang w:val="es-MX"/>
        </w:rPr>
        <w:t xml:space="preserve">De esto se desprende que las personas extranjeras sin domicilio o sucursal en Colombia que pretendan celebrar contratos con el Estado colombiano no están obligadas a inscribirse en el RUP, puesto que, tratándose de proponentes extranjeros la norma únicamente señala como obligados a quienes tengan </w:t>
      </w:r>
      <w:r w:rsidRPr="004B73BB">
        <w:rPr>
          <w:rFonts w:ascii="Verdana" w:eastAsia="Calibri" w:hAnsi="Verdana" w:cs="Arial"/>
          <w:lang w:val="es-MX"/>
        </w:rPr>
        <w:lastRenderedPageBreak/>
        <w:t>domicilio o sucursal en el país. En consecuencia, este tipo de proponentes extranjeros deberán acreditar la experiencia y los demás requisitos habilitantes exigidos en los procesos de selección de contratación pública en los que participen mediante la presentación de los documentos que cumplan con los requisitos dispuestos por la ley y el pliego de condiciones que haya determinado previamente la Entidad Estatal, para que sirvan de prueba, y la Entidad Estatal deberá realizar una verificación directa del cumplimiento de los requisitos habilitantes.</w:t>
      </w:r>
    </w:p>
    <w:p w14:paraId="41FC63E4" w14:textId="77777777" w:rsidR="005D0A82" w:rsidRDefault="005D0A82" w:rsidP="005D0A82">
      <w:pPr>
        <w:spacing w:after="120" w:line="276" w:lineRule="auto"/>
        <w:ind w:firstLine="709"/>
        <w:jc w:val="both"/>
        <w:rPr>
          <w:rFonts w:ascii="Verdana" w:eastAsia="Calibri" w:hAnsi="Verdana" w:cs="Arial"/>
          <w:color w:val="000000"/>
          <w:lang w:val="es-MX" w:eastAsia="es-ES_tradnl"/>
        </w:rPr>
      </w:pPr>
      <w:r w:rsidRPr="004B73BB">
        <w:rPr>
          <w:rFonts w:ascii="Verdana" w:eastAsia="Calibri" w:hAnsi="Verdana" w:cs="Arial"/>
          <w:color w:val="000000"/>
          <w:lang w:val="es-MX" w:eastAsia="es-ES_tradnl"/>
        </w:rPr>
        <w:t xml:space="preserve">Ahora bien, dentro de los requisitos habilitantes se destaca la capacidad financiera, la cual </w:t>
      </w:r>
      <w:r w:rsidRPr="004B73BB">
        <w:rPr>
          <w:rFonts w:ascii="Verdana" w:eastAsia="Calibri" w:hAnsi="Verdana" w:cs="Arial"/>
          <w:lang w:val="es-MX"/>
        </w:rPr>
        <w:t>se deriva del comportamiento contable de la empresa, su liquidez y endeudamiento, para determinar que sus recursos y solidez financiera le permita</w:t>
      </w:r>
      <w:r>
        <w:rPr>
          <w:rFonts w:ascii="Verdana" w:eastAsia="Calibri" w:hAnsi="Verdana" w:cs="Arial"/>
          <w:lang w:val="es-MX"/>
        </w:rPr>
        <w:t>n</w:t>
      </w:r>
      <w:r w:rsidRPr="004B73BB">
        <w:rPr>
          <w:rFonts w:ascii="Verdana" w:eastAsia="Calibri" w:hAnsi="Verdana" w:cs="Arial"/>
          <w:lang w:val="es-MX"/>
        </w:rPr>
        <w:t xml:space="preserve"> cumplir los compromisos que adquiera. Como explica esta Agencia en el </w:t>
      </w:r>
      <w:r>
        <w:rPr>
          <w:rFonts w:ascii="Verdana" w:eastAsia="Calibri" w:hAnsi="Verdana" w:cs="Arial"/>
          <w:lang w:val="es-MX"/>
        </w:rPr>
        <w:t>“</w:t>
      </w:r>
      <w:r w:rsidRPr="0016107E">
        <w:rPr>
          <w:rFonts w:ascii="Verdana" w:eastAsia="Calibri" w:hAnsi="Verdana" w:cs="Arial"/>
          <w:lang w:val="es-MX"/>
        </w:rPr>
        <w:t>Manual para determinar y verificar los requisitos habilitantes en los procesos de contratación</w:t>
      </w:r>
      <w:r>
        <w:rPr>
          <w:rFonts w:ascii="Verdana" w:eastAsia="Calibri" w:hAnsi="Verdana" w:cs="Arial"/>
          <w:lang w:val="es-MX"/>
        </w:rPr>
        <w:t>”</w:t>
      </w:r>
      <w:r w:rsidRPr="004B73BB">
        <w:rPr>
          <w:rFonts w:ascii="Verdana" w:eastAsia="Calibri" w:hAnsi="Verdana" w:cs="Arial"/>
          <w:lang w:val="es-MX"/>
        </w:rPr>
        <w:t xml:space="preserve">: </w:t>
      </w:r>
      <w:r w:rsidRPr="004B73BB">
        <w:rPr>
          <w:rFonts w:ascii="Verdana" w:eastAsia="Calibri" w:hAnsi="Verdana" w:cs="Arial"/>
          <w:i/>
          <w:iCs/>
          <w:lang w:val="es-MX"/>
        </w:rPr>
        <w:t>“Los indicadores de capacidad financiera buscan establecer unas condiciones mínimas que reflejan la salud financiera de los proponentes a través de su liquidez y endeudamiento. Estas condiciones muestran la aptitud del proponente para cumplir oportuna y cabalmente el objeto del contrato”</w:t>
      </w:r>
      <w:r w:rsidRPr="00077A34">
        <w:rPr>
          <w:i/>
          <w:iCs/>
          <w:color w:val="000000"/>
          <w:vertAlign w:val="superscript"/>
          <w:lang w:val="es-ES_tradnl" w:eastAsia="es-ES_tradnl"/>
        </w:rPr>
        <w:footnoteReference w:id="3"/>
      </w:r>
      <w:r w:rsidRPr="004B73BB">
        <w:rPr>
          <w:rFonts w:ascii="Verdana" w:eastAsia="Calibri" w:hAnsi="Verdana" w:cs="Arial"/>
          <w:i/>
          <w:iCs/>
          <w:color w:val="000000"/>
          <w:lang w:val="es-ES_tradnl" w:eastAsia="es-ES_tradnl"/>
        </w:rPr>
        <w:t>.</w:t>
      </w:r>
      <w:r w:rsidRPr="004B73BB">
        <w:rPr>
          <w:rFonts w:ascii="Verdana" w:eastAsia="Calibri" w:hAnsi="Verdana" w:cs="Arial"/>
          <w:color w:val="000000"/>
          <w:lang w:val="es-MX" w:eastAsia="es-ES_tradnl"/>
        </w:rPr>
        <w:t xml:space="preserve"> </w:t>
      </w:r>
    </w:p>
    <w:p w14:paraId="0A90FCDF" w14:textId="77777777" w:rsidR="005D0A82" w:rsidRDefault="005D0A82" w:rsidP="005D0A82">
      <w:pPr>
        <w:spacing w:after="120" w:line="276" w:lineRule="auto"/>
        <w:ind w:firstLine="709"/>
        <w:jc w:val="both"/>
        <w:rPr>
          <w:rFonts w:ascii="Verdana" w:eastAsia="Calibri" w:hAnsi="Verdana" w:cs="Arial"/>
          <w:color w:val="000000"/>
          <w:lang w:val="es-MX" w:eastAsia="es-ES_tradnl"/>
        </w:rPr>
      </w:pPr>
      <w:r w:rsidRPr="004B73BB">
        <w:rPr>
          <w:rFonts w:ascii="Verdana" w:eastAsia="Calibri" w:hAnsi="Verdana" w:cs="Arial"/>
          <w:color w:val="000000"/>
          <w:lang w:val="es-MX" w:eastAsia="es-ES_tradnl"/>
        </w:rPr>
        <w:t>La Entidad Estatal, como responsable de la estructuración de su procedimiento de selección, es autónoma para determinar la capacidad financiera necesaria de acuerdo con el objeto contractual que se pretende satisfacer, no obstante, en atención a lo dispuesto en el artículo 2.2.1.1.1.6.2 del Decreto 1082 de 2015, debe ser establecida con sustento en el estudio del sector</w:t>
      </w:r>
      <w:r w:rsidRPr="00077A34">
        <w:rPr>
          <w:color w:val="000000"/>
          <w:vertAlign w:val="superscript"/>
          <w:lang w:val="es-MX" w:eastAsia="es-ES_tradnl"/>
        </w:rPr>
        <w:footnoteReference w:id="4"/>
      </w:r>
      <w:r w:rsidRPr="004B73BB">
        <w:rPr>
          <w:rFonts w:ascii="Verdana" w:eastAsia="Calibri" w:hAnsi="Verdana" w:cs="Arial"/>
          <w:color w:val="000000"/>
          <w:lang w:val="es-MX" w:eastAsia="es-ES_tradnl"/>
        </w:rPr>
        <w:t xml:space="preserve"> y sus componentes</w:t>
      </w:r>
      <w:r>
        <w:rPr>
          <w:rFonts w:ascii="Verdana" w:eastAsia="Calibri" w:hAnsi="Verdana" w:cs="Arial"/>
          <w:color w:val="000000"/>
          <w:lang w:val="es-MX" w:eastAsia="es-ES_tradnl"/>
        </w:rPr>
        <w:t>,</w:t>
      </w:r>
      <w:r w:rsidRPr="004B73BB">
        <w:rPr>
          <w:rFonts w:ascii="Verdana" w:eastAsia="Calibri" w:hAnsi="Verdana" w:cs="Arial"/>
          <w:color w:val="000000"/>
          <w:lang w:val="es-MX" w:eastAsia="es-ES_tradnl"/>
        </w:rPr>
        <w:t xml:space="preserve"> como la identificación de riesgos, el mercado y precio del bien, obra o servicio a contratar</w:t>
      </w:r>
      <w:r w:rsidRPr="00077A34">
        <w:rPr>
          <w:color w:val="000000"/>
          <w:vertAlign w:val="superscript"/>
          <w:lang w:val="es-MX" w:eastAsia="es-ES_tradnl"/>
        </w:rPr>
        <w:footnoteReference w:id="5"/>
      </w:r>
      <w:r w:rsidRPr="004B73BB">
        <w:rPr>
          <w:rFonts w:ascii="Verdana" w:eastAsia="Calibri" w:hAnsi="Verdana" w:cs="Arial"/>
          <w:color w:val="000000"/>
          <w:lang w:val="es-MX" w:eastAsia="es-ES_tradnl"/>
        </w:rPr>
        <w:t>.</w:t>
      </w:r>
    </w:p>
    <w:p w14:paraId="77419EB8" w14:textId="77777777" w:rsidR="005D0A82" w:rsidRDefault="005D0A82" w:rsidP="005D0A82">
      <w:pPr>
        <w:spacing w:after="120" w:line="276" w:lineRule="auto"/>
        <w:ind w:firstLine="709"/>
        <w:jc w:val="both"/>
        <w:rPr>
          <w:rFonts w:ascii="Verdana" w:eastAsia="Calibri" w:hAnsi="Verdana" w:cs="Arial"/>
          <w:color w:val="000000"/>
          <w:lang w:val="es-ES_tradnl" w:eastAsia="es-ES_tradnl"/>
        </w:rPr>
      </w:pPr>
      <w:r>
        <w:rPr>
          <w:rFonts w:ascii="Verdana" w:eastAsia="Calibri" w:hAnsi="Verdana" w:cs="Arial"/>
          <w:color w:val="000000"/>
          <w:lang w:val="es-MX" w:eastAsia="es-ES_tradnl"/>
        </w:rPr>
        <w:lastRenderedPageBreak/>
        <w:t xml:space="preserve">Adicionalmente, </w:t>
      </w:r>
      <w:r>
        <w:rPr>
          <w:rFonts w:ascii="Verdana" w:eastAsia="Calibri" w:hAnsi="Verdana" w:cs="Arial"/>
          <w:color w:val="000000"/>
          <w:lang w:val="es-ES_tradnl" w:eastAsia="es-ES_tradnl"/>
        </w:rPr>
        <w:t>d</w:t>
      </w:r>
      <w:r w:rsidRPr="004B73BB">
        <w:rPr>
          <w:rFonts w:ascii="Verdana" w:eastAsia="Calibri" w:hAnsi="Verdana" w:cs="Arial"/>
          <w:color w:val="000000"/>
          <w:lang w:val="es-ES_tradnl" w:eastAsia="es-ES_tradnl"/>
        </w:rPr>
        <w:t>e conformidad con lo dispuesto en los artículos 5, numeral 1 de la Ley 1150 de 2007 y 2.2.1.1.1.5.3 del Decreto 1082 de 2015, por regla general, la acreditación del requisito habilitante de capacidad financiera se realiza a través del RUP. En atención a esto, para los tr</w:t>
      </w:r>
      <w:r>
        <w:rPr>
          <w:rFonts w:ascii="Verdana" w:eastAsia="Calibri" w:hAnsi="Verdana" w:cs="Arial"/>
          <w:color w:val="000000"/>
          <w:lang w:val="es-ES_tradnl" w:eastAsia="es-ES_tradnl"/>
        </w:rPr>
        <w:t>á</w:t>
      </w:r>
      <w:r w:rsidRPr="004B73BB">
        <w:rPr>
          <w:rFonts w:ascii="Verdana" w:eastAsia="Calibri" w:hAnsi="Verdana" w:cs="Arial"/>
          <w:color w:val="000000"/>
          <w:lang w:val="es-ES_tradnl" w:eastAsia="es-ES_tradnl"/>
        </w:rPr>
        <w:t xml:space="preserve">mites de inscripción, renovación y actualización el numeral 2.3 del artículo 2.2.1.1.1.5.2 del Decreto 1082 de 2015 exige la presentación de los </w:t>
      </w:r>
      <w:r w:rsidRPr="004B73BB">
        <w:rPr>
          <w:rFonts w:ascii="Verdana" w:eastAsia="Calibri" w:hAnsi="Verdana" w:cs="Arial"/>
          <w:i/>
          <w:iCs/>
          <w:color w:val="000000"/>
          <w:lang w:val="es-ES_tradnl" w:eastAsia="es-ES_tradnl"/>
        </w:rPr>
        <w:t>“</w:t>
      </w:r>
      <w:r w:rsidRPr="004B73BB">
        <w:rPr>
          <w:rFonts w:ascii="Verdana" w:hAnsi="Verdana" w:cs="Arial"/>
          <w:i/>
          <w:iCs/>
          <w:color w:val="000000"/>
        </w:rPr>
        <w:t>Estados financieros de la sociedad y los estados financieros consolidados del grupo empresarial, cuando la norma aplicable lo exige, auditados con sus notas […]”</w:t>
      </w:r>
      <w:r w:rsidRPr="004B73BB">
        <w:rPr>
          <w:rFonts w:ascii="Verdana" w:eastAsia="Calibri" w:hAnsi="Verdana" w:cs="Arial"/>
          <w:color w:val="000000"/>
          <w:lang w:val="es-ES_tradnl" w:eastAsia="es-ES_tradnl"/>
        </w:rPr>
        <w:t>,</w:t>
      </w:r>
      <w:r>
        <w:rPr>
          <w:rFonts w:ascii="Verdana" w:eastAsia="Calibri" w:hAnsi="Verdana" w:cs="Arial"/>
          <w:color w:val="000000"/>
          <w:lang w:val="es-ES_tradnl" w:eastAsia="es-ES_tradnl"/>
        </w:rPr>
        <w:t xml:space="preserve"> junto con </w:t>
      </w:r>
      <w:r w:rsidRPr="004B73BB">
        <w:rPr>
          <w:rFonts w:ascii="Verdana" w:eastAsia="Calibri" w:hAnsi="Verdana" w:cs="Arial"/>
          <w:color w:val="000000"/>
          <w:lang w:val="es-ES_tradnl" w:eastAsia="es-ES_tradnl"/>
        </w:rPr>
        <w:t>unos anexos dirigidos a servir de medio de verificación de la salud financiera de los proponentes</w:t>
      </w:r>
      <w:r w:rsidRPr="00077A34">
        <w:rPr>
          <w:rStyle w:val="FootnoteReference"/>
          <w:rFonts w:ascii="Verdana" w:eastAsia="Calibri" w:hAnsi="Verdana" w:cs="Arial"/>
          <w:color w:val="000000"/>
          <w:lang w:val="es-ES_tradnl" w:eastAsia="es-ES_tradnl"/>
        </w:rPr>
        <w:footnoteReference w:id="6"/>
      </w:r>
      <w:r w:rsidRPr="004B73BB">
        <w:rPr>
          <w:rFonts w:ascii="Verdana" w:eastAsia="Calibri" w:hAnsi="Verdana" w:cs="Arial"/>
          <w:color w:val="000000"/>
          <w:lang w:val="es-ES_tradnl" w:eastAsia="es-ES_tradnl"/>
        </w:rPr>
        <w:t xml:space="preserve">.  De este modo, lo que se verifica con el registro es que el proponente cumpla con los indicadores financieros solicitados por la entidad para medir la capacidad financiera requerida para el procedimiento de selección. </w:t>
      </w:r>
    </w:p>
    <w:p w14:paraId="2B730363" w14:textId="77777777" w:rsidR="005D0A82" w:rsidRDefault="005D0A82" w:rsidP="005D0A82">
      <w:pPr>
        <w:spacing w:after="120" w:line="276" w:lineRule="auto"/>
        <w:ind w:firstLine="709"/>
        <w:jc w:val="both"/>
        <w:rPr>
          <w:rFonts w:ascii="Verdana" w:eastAsia="Calibri" w:hAnsi="Verdana" w:cs="Arial"/>
          <w:color w:val="000000"/>
          <w:lang w:eastAsia="es-ES"/>
        </w:rPr>
      </w:pPr>
      <w:r w:rsidRPr="004B73BB">
        <w:rPr>
          <w:rFonts w:ascii="Verdana" w:eastAsia="Calibri" w:hAnsi="Verdana" w:cs="Arial"/>
          <w:color w:val="000000"/>
          <w:lang w:eastAsia="es-ES"/>
        </w:rPr>
        <w:t xml:space="preserve">Según el artículo 2.2.1.1.1.5.3. del Decreto 1082 de 2015, el RUP contempla como indicadores de capacidad financiera los siguientes: i) el </w:t>
      </w:r>
      <w:r w:rsidRPr="004B73BB">
        <w:rPr>
          <w:rFonts w:ascii="Verdana" w:eastAsia="Calibri" w:hAnsi="Verdana" w:cs="Arial"/>
          <w:i/>
          <w:iCs/>
          <w:color w:val="000000"/>
          <w:lang w:eastAsia="es-ES"/>
        </w:rPr>
        <w:t>índice de liquidez</w:t>
      </w:r>
      <w:r w:rsidRPr="004B73BB">
        <w:rPr>
          <w:rFonts w:ascii="Verdana" w:eastAsia="Calibri" w:hAnsi="Verdana" w:cs="Arial"/>
          <w:color w:val="000000"/>
          <w:lang w:eastAsia="es-ES"/>
        </w:rPr>
        <w:t xml:space="preserve">, que corresponde a la división entre el activo corriente y el pasivo corriente, y que determina la capacidad que tiene el proponente para cumplir con sus obligaciones de corto plazo; </w:t>
      </w:r>
      <w:proofErr w:type="spellStart"/>
      <w:r w:rsidRPr="004B73BB">
        <w:rPr>
          <w:rFonts w:ascii="Verdana" w:eastAsia="Calibri" w:hAnsi="Verdana" w:cs="Arial"/>
          <w:color w:val="000000"/>
          <w:lang w:eastAsia="es-ES"/>
        </w:rPr>
        <w:t>ii</w:t>
      </w:r>
      <w:proofErr w:type="spellEnd"/>
      <w:r w:rsidRPr="004B73BB">
        <w:rPr>
          <w:rFonts w:ascii="Verdana" w:eastAsia="Calibri" w:hAnsi="Verdana" w:cs="Arial"/>
          <w:color w:val="000000"/>
          <w:lang w:eastAsia="es-ES"/>
        </w:rPr>
        <w:t xml:space="preserve">) el </w:t>
      </w:r>
      <w:r w:rsidRPr="004B73BB">
        <w:rPr>
          <w:rFonts w:ascii="Verdana" w:eastAsia="Calibri" w:hAnsi="Verdana" w:cs="Arial"/>
          <w:i/>
          <w:iCs/>
          <w:color w:val="000000"/>
          <w:lang w:eastAsia="es-ES"/>
        </w:rPr>
        <w:t>índice de endeudamiento</w:t>
      </w:r>
      <w:r w:rsidRPr="004B73BB">
        <w:rPr>
          <w:rFonts w:ascii="Verdana" w:eastAsia="Calibri" w:hAnsi="Verdana" w:cs="Arial"/>
          <w:color w:val="000000"/>
          <w:lang w:eastAsia="es-ES"/>
        </w:rPr>
        <w:t xml:space="preserve">, que se calcula dividiendo el pasivo total por el activo total, el cual determina el grado de endeudamiento en la estructura de financiación del proponente; y </w:t>
      </w:r>
      <w:proofErr w:type="spellStart"/>
      <w:r w:rsidRPr="004B73BB">
        <w:rPr>
          <w:rFonts w:ascii="Verdana" w:eastAsia="Calibri" w:hAnsi="Verdana" w:cs="Arial"/>
          <w:color w:val="000000"/>
          <w:lang w:eastAsia="es-ES"/>
        </w:rPr>
        <w:t>iii</w:t>
      </w:r>
      <w:proofErr w:type="spellEnd"/>
      <w:r w:rsidRPr="004B73BB">
        <w:rPr>
          <w:rFonts w:ascii="Verdana" w:eastAsia="Calibri" w:hAnsi="Verdana" w:cs="Arial"/>
          <w:color w:val="000000"/>
          <w:lang w:eastAsia="es-ES"/>
        </w:rPr>
        <w:t xml:space="preserve">) la </w:t>
      </w:r>
      <w:r w:rsidRPr="004B73BB">
        <w:rPr>
          <w:rFonts w:ascii="Verdana" w:eastAsia="Calibri" w:hAnsi="Verdana" w:cs="Arial"/>
          <w:i/>
          <w:iCs/>
          <w:color w:val="000000"/>
          <w:lang w:eastAsia="es-ES"/>
        </w:rPr>
        <w:t>razón de cobertura de intereses</w:t>
      </w:r>
      <w:r w:rsidRPr="004B73BB">
        <w:rPr>
          <w:rFonts w:ascii="Verdana" w:eastAsia="Calibri" w:hAnsi="Verdana" w:cs="Arial"/>
          <w:color w:val="000000"/>
          <w:lang w:eastAsia="es-ES"/>
        </w:rPr>
        <w:t xml:space="preserve">, que es igual a la utilidad operacional, sobre los gastos de intereses, y que refleja la capacidad del proponente para cumplir con sus obligaciones financieras. Adicionalmente, la Agencia Nacional de Contratación Pública – Colombia Compra Eficiente recomienda valorar otro tipo de indicadores </w:t>
      </w:r>
      <w:r w:rsidRPr="004B73BB">
        <w:rPr>
          <w:rFonts w:ascii="Verdana" w:eastAsia="Calibri" w:hAnsi="Verdana" w:cs="Arial"/>
          <w:color w:val="000000"/>
          <w:lang w:eastAsia="es-ES"/>
        </w:rPr>
        <w:lastRenderedPageBreak/>
        <w:t xml:space="preserve">como el </w:t>
      </w:r>
      <w:r w:rsidRPr="004B73BB">
        <w:rPr>
          <w:rFonts w:ascii="Verdana" w:eastAsia="Calibri" w:hAnsi="Verdana" w:cs="Arial"/>
          <w:i/>
          <w:iCs/>
          <w:color w:val="000000"/>
          <w:lang w:eastAsia="es-ES"/>
        </w:rPr>
        <w:t>capital de trabajo</w:t>
      </w:r>
      <w:r w:rsidRPr="004B73BB">
        <w:rPr>
          <w:rFonts w:ascii="Verdana" w:eastAsia="Calibri" w:hAnsi="Verdana" w:cs="Arial"/>
          <w:color w:val="000000"/>
          <w:lang w:eastAsia="es-ES"/>
        </w:rPr>
        <w:t xml:space="preserve">, la </w:t>
      </w:r>
      <w:r w:rsidRPr="004B73BB">
        <w:rPr>
          <w:rFonts w:ascii="Verdana" w:eastAsia="Calibri" w:hAnsi="Verdana" w:cs="Arial"/>
          <w:i/>
          <w:iCs/>
          <w:color w:val="000000"/>
          <w:lang w:eastAsia="es-ES"/>
        </w:rPr>
        <w:t>razón de efectivo</w:t>
      </w:r>
      <w:r w:rsidRPr="004B73BB">
        <w:rPr>
          <w:rFonts w:ascii="Verdana" w:eastAsia="Calibri" w:hAnsi="Verdana" w:cs="Arial"/>
          <w:color w:val="000000"/>
          <w:lang w:eastAsia="es-ES"/>
        </w:rPr>
        <w:t xml:space="preserve">, la denominada </w:t>
      </w:r>
      <w:r w:rsidRPr="004B73BB">
        <w:rPr>
          <w:rFonts w:ascii="Verdana" w:eastAsia="Calibri" w:hAnsi="Verdana" w:cs="Arial"/>
          <w:i/>
          <w:iCs/>
          <w:color w:val="000000"/>
          <w:lang w:eastAsia="es-ES"/>
        </w:rPr>
        <w:t>prueba ácida</w:t>
      </w:r>
      <w:r w:rsidRPr="00077A34">
        <w:rPr>
          <w:vertAlign w:val="superscript"/>
          <w:lang w:eastAsia="es-ES"/>
        </w:rPr>
        <w:footnoteReference w:id="7"/>
      </w:r>
      <w:r w:rsidRPr="004B73BB">
        <w:rPr>
          <w:rFonts w:ascii="Verdana" w:eastAsia="Calibri" w:hAnsi="Verdana" w:cs="Arial"/>
          <w:color w:val="000000"/>
          <w:lang w:eastAsia="es-ES"/>
        </w:rPr>
        <w:t xml:space="preserve">, la </w:t>
      </w:r>
      <w:r w:rsidRPr="004B73BB">
        <w:rPr>
          <w:rFonts w:ascii="Verdana" w:eastAsia="Calibri" w:hAnsi="Verdana" w:cs="Arial"/>
          <w:i/>
          <w:iCs/>
          <w:color w:val="000000"/>
          <w:lang w:eastAsia="es-ES"/>
        </w:rPr>
        <w:t xml:space="preserve">concentración de endeudamiento a corto </w:t>
      </w:r>
      <w:r w:rsidRPr="004B73BB">
        <w:rPr>
          <w:rFonts w:ascii="Verdana" w:eastAsia="Calibri" w:hAnsi="Verdana" w:cs="Arial"/>
          <w:color w:val="000000"/>
          <w:lang w:eastAsia="es-ES"/>
        </w:rPr>
        <w:t>y</w:t>
      </w:r>
      <w:r w:rsidRPr="004B73BB">
        <w:rPr>
          <w:rFonts w:ascii="Verdana" w:eastAsia="Calibri" w:hAnsi="Verdana" w:cs="Arial"/>
          <w:i/>
          <w:iCs/>
          <w:color w:val="000000"/>
          <w:lang w:eastAsia="es-ES"/>
        </w:rPr>
        <w:t xml:space="preserve"> a largo plazo</w:t>
      </w:r>
      <w:r w:rsidRPr="004B73BB">
        <w:rPr>
          <w:rFonts w:ascii="Verdana" w:eastAsia="Calibri" w:hAnsi="Verdana" w:cs="Arial"/>
          <w:color w:val="000000"/>
          <w:lang w:eastAsia="es-ES"/>
        </w:rPr>
        <w:t xml:space="preserve"> y el </w:t>
      </w:r>
      <w:r w:rsidRPr="004B73BB">
        <w:rPr>
          <w:rFonts w:ascii="Verdana" w:eastAsia="Calibri" w:hAnsi="Verdana" w:cs="Arial"/>
          <w:i/>
          <w:iCs/>
          <w:color w:val="000000"/>
          <w:lang w:eastAsia="es-ES"/>
        </w:rPr>
        <w:t>patrimonio</w:t>
      </w:r>
      <w:r w:rsidRPr="00077A34">
        <w:rPr>
          <w:i/>
          <w:iCs/>
          <w:vertAlign w:val="superscript"/>
          <w:lang w:eastAsia="es-ES"/>
        </w:rPr>
        <w:footnoteReference w:id="8"/>
      </w:r>
      <w:r w:rsidRPr="004B73BB">
        <w:rPr>
          <w:rFonts w:ascii="Verdana" w:eastAsia="Calibri" w:hAnsi="Verdana" w:cs="Arial"/>
          <w:color w:val="000000"/>
          <w:lang w:eastAsia="es-ES"/>
        </w:rPr>
        <w:t>.</w:t>
      </w:r>
    </w:p>
    <w:p w14:paraId="7655C142" w14:textId="77777777" w:rsidR="005D0A82" w:rsidRDefault="005D0A82" w:rsidP="005D0A82">
      <w:pPr>
        <w:spacing w:after="120" w:line="276" w:lineRule="auto"/>
        <w:ind w:firstLine="709"/>
        <w:jc w:val="both"/>
        <w:rPr>
          <w:rFonts w:ascii="Verdana" w:eastAsia="Calibri" w:hAnsi="Verdana" w:cs="Arial"/>
          <w:color w:val="000000" w:themeColor="text1"/>
          <w:lang w:eastAsia="es-ES"/>
        </w:rPr>
      </w:pPr>
      <w:r w:rsidRPr="004B73BB">
        <w:rPr>
          <w:rFonts w:ascii="Verdana" w:eastAsia="Calibri" w:hAnsi="Verdana" w:cs="Arial"/>
          <w:color w:val="000000" w:themeColor="text1"/>
          <w:lang w:eastAsia="es-ES"/>
        </w:rPr>
        <w:t xml:space="preserve">En línea con lo expuesto, es importante tener en cuenta que el numeral 3 del artículo 2.2.1.1.1.5.3. del Decreto 1082 de 2015 se refiere a los aspectos de la capacidad financiera que deben verificar las cámaras de comercio al momento de la inscripción, renovación o actualización del Registro Único de Proponentes. Sin embargo, no dispone expresamente que el índice de liquidez, el índice de endeudamiento y la razón de cobertura de intereses sean </w:t>
      </w:r>
      <w:r>
        <w:rPr>
          <w:rFonts w:ascii="Verdana" w:eastAsia="Calibri" w:hAnsi="Verdana" w:cs="Arial"/>
          <w:color w:val="000000" w:themeColor="text1"/>
          <w:lang w:eastAsia="es-ES"/>
        </w:rPr>
        <w:t xml:space="preserve">los </w:t>
      </w:r>
      <w:r w:rsidRPr="004B73BB">
        <w:rPr>
          <w:rFonts w:ascii="Verdana" w:eastAsia="Calibri" w:hAnsi="Verdana" w:cs="Arial"/>
          <w:color w:val="000000" w:themeColor="text1"/>
          <w:lang w:eastAsia="es-ES"/>
        </w:rPr>
        <w:t>aspectos que deban validarse obligatoriamente en cada proceso de selección. Una cosa son los requisitos de capacidad financiera que debe certificar el registro y otra, muy diferente, los aspectos de este requisito habilitante que la entidad verifica en cada procedimiento contractual. Mientras los primeros están regulados en el artículo 2.2.1.1.1.5.3. del Decreto 1082 de 2015, los segundos debe establecerlos la entidad contratante en el pliego de condiciones o la invitación, según corresponda.</w:t>
      </w:r>
    </w:p>
    <w:p w14:paraId="52E3E814" w14:textId="77777777" w:rsidR="005D0A82" w:rsidRDefault="005D0A82" w:rsidP="005D0A82">
      <w:pPr>
        <w:spacing w:after="120" w:line="276" w:lineRule="auto"/>
        <w:ind w:firstLine="709"/>
        <w:jc w:val="both"/>
        <w:rPr>
          <w:rFonts w:ascii="Verdana" w:eastAsia="Calibri" w:hAnsi="Verdana" w:cs="Arial"/>
          <w:color w:val="000000"/>
          <w:lang w:eastAsia="es-ES_tradnl"/>
        </w:rPr>
      </w:pPr>
      <w:r w:rsidRPr="00406DA8">
        <w:rPr>
          <w:rFonts w:ascii="Verdana" w:eastAsia="Calibri" w:hAnsi="Verdana" w:cs="Arial"/>
          <w:color w:val="000000" w:themeColor="text1"/>
          <w:lang w:eastAsia="es-ES"/>
        </w:rPr>
        <w:t>Independientemente de esta distinción, es claro que la autonomía de la entidad para establecer los requisitos habilitantes y sus medios de acreditación no implica una facultad irrestricta o arbitraria.</w:t>
      </w:r>
      <w:r>
        <w:rPr>
          <w:rFonts w:ascii="Verdana" w:eastAsia="Calibri" w:hAnsi="Verdana" w:cs="Arial"/>
          <w:color w:val="000000" w:themeColor="text1"/>
          <w:lang w:eastAsia="es-ES"/>
        </w:rPr>
        <w:t xml:space="preserve">  Tal como lo señala esta Agencia en el “</w:t>
      </w:r>
      <w:r w:rsidRPr="00053BD7">
        <w:rPr>
          <w:rFonts w:ascii="Verdana" w:eastAsia="Calibri" w:hAnsi="Verdana" w:cs="Arial"/>
          <w:color w:val="000000" w:themeColor="text1"/>
          <w:lang w:eastAsia="es-ES"/>
        </w:rPr>
        <w:t>Manual Para Determinar Y Verificar Los Requisitos Habilitantes En Los Procesos De Contratación</w:t>
      </w:r>
      <w:r>
        <w:rPr>
          <w:rFonts w:ascii="Verdana" w:eastAsia="Calibri" w:hAnsi="Verdana" w:cs="Arial"/>
          <w:color w:val="000000" w:themeColor="text1"/>
          <w:lang w:eastAsia="es-ES"/>
        </w:rPr>
        <w:t xml:space="preserve">”, </w:t>
      </w:r>
      <w:r>
        <w:rPr>
          <w:rFonts w:ascii="Verdana" w:eastAsia="Calibri" w:hAnsi="Verdana" w:cs="Arial"/>
          <w:color w:val="000000"/>
          <w:lang w:eastAsia="es-ES_tradnl"/>
        </w:rPr>
        <w:t>l</w:t>
      </w:r>
      <w:r w:rsidRPr="00053BD7">
        <w:rPr>
          <w:rFonts w:ascii="Verdana" w:eastAsia="Calibri" w:hAnsi="Verdana" w:cs="Arial"/>
          <w:color w:val="000000"/>
          <w:lang w:eastAsia="es-ES_tradnl"/>
        </w:rPr>
        <w:t xml:space="preserve">as Entidades Estatales deben establecer los requisitos habilitantes de forma </w:t>
      </w:r>
      <w:r w:rsidRPr="00406DA8">
        <w:rPr>
          <w:rFonts w:ascii="Verdana" w:eastAsia="Calibri" w:hAnsi="Verdana" w:cs="Arial"/>
          <w:i/>
          <w:iCs/>
          <w:color w:val="000000"/>
          <w:lang w:eastAsia="es-ES_tradnl"/>
        </w:rPr>
        <w:t>adecuada y proporcional</w:t>
      </w:r>
      <w:r w:rsidRPr="00053BD7">
        <w:rPr>
          <w:rFonts w:ascii="Verdana" w:eastAsia="Calibri" w:hAnsi="Verdana" w:cs="Arial"/>
          <w:color w:val="000000"/>
          <w:lang w:eastAsia="es-ES_tradnl"/>
        </w:rPr>
        <w:t xml:space="preserve"> a la naturaleza y valor del contrato. Que deban ser </w:t>
      </w:r>
      <w:r w:rsidRPr="00406DA8">
        <w:rPr>
          <w:rFonts w:ascii="Verdana" w:eastAsia="Calibri" w:hAnsi="Verdana" w:cs="Arial"/>
          <w:i/>
          <w:iCs/>
          <w:color w:val="000000"/>
          <w:lang w:eastAsia="es-ES_tradnl"/>
        </w:rPr>
        <w:t>adecuados</w:t>
      </w:r>
      <w:r w:rsidRPr="00053BD7">
        <w:rPr>
          <w:rFonts w:ascii="Verdana" w:eastAsia="Calibri" w:hAnsi="Verdana" w:cs="Arial"/>
          <w:color w:val="000000"/>
          <w:lang w:eastAsia="es-ES_tradnl"/>
        </w:rPr>
        <w:t xml:space="preserve">, significa que los requisitos habilitantes que se contemplen deben tener una relación directa con el objeto del contrato, de suerte que su acreditación sea efectiva para demostrar que el proponente es idóneo para ejecutar el contrato. A su vez, los requisitos que se establezcan deben ser </w:t>
      </w:r>
      <w:r w:rsidRPr="00406DA8">
        <w:rPr>
          <w:rFonts w:ascii="Verdana" w:eastAsia="Calibri" w:hAnsi="Verdana" w:cs="Arial"/>
          <w:i/>
          <w:iCs/>
          <w:color w:val="000000"/>
          <w:lang w:eastAsia="es-ES_tradnl"/>
        </w:rPr>
        <w:t>proporcionales</w:t>
      </w:r>
      <w:r w:rsidRPr="00053BD7">
        <w:rPr>
          <w:rFonts w:ascii="Verdana" w:eastAsia="Calibri" w:hAnsi="Verdana" w:cs="Arial"/>
          <w:color w:val="000000"/>
          <w:lang w:eastAsia="es-ES_tradnl"/>
        </w:rPr>
        <w:t xml:space="preserve"> a las condiciones del contrato, de tal manera que los mismos no establezcan condiciones más allá de las necesarias para verificar la idoneidad requerida de los proponentes respecto del objeto ofertado, ya que lo contrario limita la libre concurrencia. </w:t>
      </w:r>
    </w:p>
    <w:p w14:paraId="0C4B1EB6" w14:textId="77777777" w:rsidR="005D0A82" w:rsidRDefault="005D0A82" w:rsidP="005D0A82">
      <w:pPr>
        <w:spacing w:after="120" w:line="276" w:lineRule="auto"/>
        <w:ind w:firstLine="709"/>
        <w:jc w:val="both"/>
        <w:rPr>
          <w:rFonts w:ascii="Verdana" w:eastAsia="Calibri" w:hAnsi="Verdana" w:cs="Arial"/>
          <w:color w:val="000000"/>
          <w:lang w:eastAsia="es-ES_tradnl"/>
        </w:rPr>
      </w:pPr>
      <w:r>
        <w:rPr>
          <w:rFonts w:ascii="Verdana" w:eastAsia="Calibri" w:hAnsi="Verdana" w:cs="Arial"/>
          <w:color w:val="000000"/>
          <w:lang w:eastAsia="es-ES_tradnl"/>
        </w:rPr>
        <w:t>Dentro de este marco, el referido Manual señala que, p</w:t>
      </w:r>
      <w:r w:rsidRPr="00053BD7">
        <w:rPr>
          <w:rFonts w:ascii="Verdana" w:eastAsia="Calibri" w:hAnsi="Verdana" w:cs="Arial"/>
          <w:color w:val="000000"/>
          <w:lang w:eastAsia="es-ES_tradnl"/>
        </w:rPr>
        <w:t>ara fijar estos requisitos</w:t>
      </w:r>
      <w:r>
        <w:rPr>
          <w:rFonts w:ascii="Verdana" w:eastAsia="Calibri" w:hAnsi="Verdana" w:cs="Arial"/>
          <w:color w:val="000000"/>
          <w:lang w:eastAsia="es-ES_tradnl"/>
        </w:rPr>
        <w:t>,</w:t>
      </w:r>
      <w:r w:rsidRPr="00053BD7">
        <w:rPr>
          <w:rFonts w:ascii="Verdana" w:eastAsia="Calibri" w:hAnsi="Verdana" w:cs="Arial"/>
          <w:color w:val="000000"/>
          <w:lang w:eastAsia="es-ES_tradnl"/>
        </w:rPr>
        <w:t xml:space="preserve"> la Entidad Estatal debe tener como parámetros: (i) el Riesgo del </w:t>
      </w:r>
      <w:r w:rsidRPr="00053BD7">
        <w:rPr>
          <w:rFonts w:ascii="Verdana" w:eastAsia="Calibri" w:hAnsi="Verdana" w:cs="Arial"/>
          <w:color w:val="000000"/>
          <w:lang w:eastAsia="es-ES_tradnl"/>
        </w:rPr>
        <w:lastRenderedPageBreak/>
        <w:t>Proceso de Contratación; (</w:t>
      </w:r>
      <w:proofErr w:type="spellStart"/>
      <w:r w:rsidRPr="00053BD7">
        <w:rPr>
          <w:rFonts w:ascii="Verdana" w:eastAsia="Calibri" w:hAnsi="Verdana" w:cs="Arial"/>
          <w:color w:val="000000"/>
          <w:lang w:eastAsia="es-ES_tradnl"/>
        </w:rPr>
        <w:t>ii</w:t>
      </w:r>
      <w:proofErr w:type="spellEnd"/>
      <w:r w:rsidRPr="00053BD7">
        <w:rPr>
          <w:rFonts w:ascii="Verdana" w:eastAsia="Calibri" w:hAnsi="Verdana" w:cs="Arial"/>
          <w:color w:val="000000"/>
          <w:lang w:eastAsia="es-ES_tradnl"/>
        </w:rPr>
        <w:t>) el valor del contrato objeto del Proceso de Contratación; (</w:t>
      </w:r>
      <w:proofErr w:type="spellStart"/>
      <w:r w:rsidRPr="00053BD7">
        <w:rPr>
          <w:rFonts w:ascii="Verdana" w:eastAsia="Calibri" w:hAnsi="Verdana" w:cs="Arial"/>
          <w:color w:val="000000"/>
          <w:lang w:eastAsia="es-ES_tradnl"/>
        </w:rPr>
        <w:t>iii</w:t>
      </w:r>
      <w:proofErr w:type="spellEnd"/>
      <w:r w:rsidRPr="00053BD7">
        <w:rPr>
          <w:rFonts w:ascii="Verdana" w:eastAsia="Calibri" w:hAnsi="Verdana" w:cs="Arial"/>
          <w:color w:val="000000"/>
          <w:lang w:eastAsia="es-ES_tradnl"/>
        </w:rPr>
        <w:t>) el análisis del sector económico respectivo; y (</w:t>
      </w:r>
      <w:proofErr w:type="spellStart"/>
      <w:r w:rsidRPr="00053BD7">
        <w:rPr>
          <w:rFonts w:ascii="Verdana" w:eastAsia="Calibri" w:hAnsi="Verdana" w:cs="Arial"/>
          <w:color w:val="000000"/>
          <w:lang w:eastAsia="es-ES_tradnl"/>
        </w:rPr>
        <w:t>iv</w:t>
      </w:r>
      <w:proofErr w:type="spellEnd"/>
      <w:r w:rsidRPr="00053BD7">
        <w:rPr>
          <w:rFonts w:ascii="Verdana" w:eastAsia="Calibri" w:hAnsi="Verdana" w:cs="Arial"/>
          <w:color w:val="000000"/>
          <w:lang w:eastAsia="es-ES_tradnl"/>
        </w:rPr>
        <w:t xml:space="preserve">) el conocimiento de fondo de los posibles oferentes desde la perspectiva comercial. </w:t>
      </w:r>
      <w:r>
        <w:rPr>
          <w:rFonts w:ascii="Verdana" w:eastAsia="Calibri" w:hAnsi="Verdana" w:cs="Arial"/>
          <w:color w:val="000000"/>
          <w:lang w:eastAsia="es-ES_tradnl"/>
        </w:rPr>
        <w:t xml:space="preserve">En consecuencia, la exigencia o determinación de los requisitos habilitantes podrá depender de la complejidad del </w:t>
      </w:r>
      <w:r w:rsidRPr="00053BD7">
        <w:rPr>
          <w:rFonts w:ascii="Verdana" w:eastAsia="Calibri" w:hAnsi="Verdana" w:cs="Arial"/>
          <w:color w:val="000000"/>
          <w:lang w:eastAsia="es-ES_tradnl"/>
        </w:rPr>
        <w:t xml:space="preserve">Proceso de Contratación. </w:t>
      </w:r>
    </w:p>
    <w:p w14:paraId="38E5DE9F" w14:textId="77777777" w:rsidR="005D0A82" w:rsidRDefault="005D0A82" w:rsidP="005D0A82">
      <w:pPr>
        <w:spacing w:after="120" w:line="276" w:lineRule="auto"/>
        <w:ind w:firstLine="709"/>
        <w:jc w:val="both"/>
        <w:rPr>
          <w:rFonts w:ascii="Verdana" w:eastAsia="Calibri" w:hAnsi="Verdana" w:cs="Arial"/>
          <w:color w:val="000000"/>
          <w:lang w:eastAsia="es-ES_tradnl"/>
        </w:rPr>
      </w:pPr>
      <w:r>
        <w:rPr>
          <w:rFonts w:ascii="Verdana" w:eastAsia="Calibri" w:hAnsi="Verdana" w:cs="Arial"/>
          <w:color w:val="000000"/>
          <w:lang w:eastAsia="es-ES_tradnl"/>
        </w:rPr>
        <w:t xml:space="preserve">Con el fin de determinar si los requisitos habilitantes de capacidad financiera son adecuados y proporcionales, </w:t>
      </w:r>
      <w:r w:rsidRPr="001A024B">
        <w:rPr>
          <w:rFonts w:ascii="Verdana" w:eastAsia="Calibri" w:hAnsi="Verdana" w:cs="Arial"/>
          <w:color w:val="000000"/>
          <w:lang w:eastAsia="es-ES_tradnl"/>
        </w:rPr>
        <w:t xml:space="preserve">Colombia Compra Eficiente recomienda a la Entidad Estatal hacerse las </w:t>
      </w:r>
      <w:r>
        <w:rPr>
          <w:rFonts w:ascii="Verdana" w:eastAsia="Calibri" w:hAnsi="Verdana" w:cs="Arial"/>
          <w:color w:val="000000"/>
          <w:lang w:eastAsia="es-ES_tradnl"/>
        </w:rPr>
        <w:t xml:space="preserve">siguientes </w:t>
      </w:r>
      <w:r w:rsidRPr="001A024B">
        <w:rPr>
          <w:rFonts w:ascii="Verdana" w:eastAsia="Calibri" w:hAnsi="Verdana" w:cs="Arial"/>
          <w:color w:val="000000"/>
          <w:lang w:eastAsia="es-ES_tradnl"/>
        </w:rPr>
        <w:t>preguntas</w:t>
      </w:r>
      <w:r>
        <w:rPr>
          <w:rFonts w:ascii="Verdana" w:eastAsia="Calibri" w:hAnsi="Verdana" w:cs="Arial"/>
          <w:color w:val="000000"/>
          <w:lang w:eastAsia="es-ES_tradnl"/>
        </w:rPr>
        <w:t>:</w:t>
      </w:r>
    </w:p>
    <w:p w14:paraId="659A3D92" w14:textId="77777777" w:rsidR="005D0A82" w:rsidRDefault="005D0A82" w:rsidP="005D0A82">
      <w:pPr>
        <w:spacing w:after="120" w:line="276" w:lineRule="auto"/>
        <w:ind w:firstLine="709"/>
        <w:jc w:val="both"/>
        <w:rPr>
          <w:rFonts w:ascii="Verdana" w:eastAsia="Calibri" w:hAnsi="Verdana" w:cs="Arial"/>
          <w:color w:val="000000" w:themeColor="text1"/>
          <w:lang w:eastAsia="es-ES"/>
        </w:rPr>
      </w:pPr>
      <w:r>
        <w:rPr>
          <w:rFonts w:ascii="Verdana" w:eastAsia="Calibri" w:hAnsi="Verdana" w:cs="Arial"/>
          <w:color w:val="000000" w:themeColor="text1"/>
          <w:lang w:eastAsia="es-ES"/>
        </w:rPr>
        <w:t xml:space="preserve">a) </w:t>
      </w:r>
      <w:r w:rsidRPr="001A024B">
        <w:rPr>
          <w:rFonts w:ascii="Verdana" w:eastAsia="Calibri" w:hAnsi="Verdana" w:cs="Arial"/>
          <w:color w:val="000000" w:themeColor="text1"/>
          <w:lang w:eastAsia="es-ES"/>
        </w:rPr>
        <w:t>¿La capacidad financiera exigida para el Proceso de Contratación es acorde con las condiciones financieras del mercado de los bienes y servicios a los que se refiere el Proceso de Contratación? ▪ ¿Los requisitos habilitantes permiten la participación de la mayoría de los actores del mercado que ofrecen los bienes y servicios a los que se refiere el Proceso de Contratación?</w:t>
      </w:r>
    </w:p>
    <w:p w14:paraId="6938F2A3" w14:textId="77777777" w:rsidR="005D0A82" w:rsidRDefault="005D0A82" w:rsidP="005D0A82">
      <w:pPr>
        <w:spacing w:after="120" w:line="276" w:lineRule="auto"/>
        <w:ind w:firstLine="709"/>
        <w:jc w:val="both"/>
        <w:rPr>
          <w:rFonts w:ascii="Verdana" w:eastAsia="Calibri" w:hAnsi="Verdana" w:cs="Arial"/>
          <w:color w:val="000000" w:themeColor="text1"/>
          <w:lang w:eastAsia="es-ES"/>
        </w:rPr>
      </w:pPr>
      <w:r>
        <w:rPr>
          <w:rFonts w:ascii="Verdana" w:eastAsia="Calibri" w:hAnsi="Verdana" w:cs="Arial"/>
          <w:color w:val="000000" w:themeColor="text1"/>
          <w:lang w:eastAsia="es-ES"/>
        </w:rPr>
        <w:t xml:space="preserve">b) </w:t>
      </w:r>
      <w:r w:rsidRPr="001A024B">
        <w:rPr>
          <w:rFonts w:ascii="Verdana" w:eastAsia="Calibri" w:hAnsi="Verdana" w:cs="Arial"/>
          <w:color w:val="000000" w:themeColor="text1"/>
          <w:lang w:eastAsia="es-ES"/>
        </w:rPr>
        <w:t>¿Qui</w:t>
      </w:r>
      <w:r>
        <w:rPr>
          <w:rFonts w:ascii="Verdana" w:eastAsia="Calibri" w:hAnsi="Verdana" w:cs="Arial"/>
          <w:color w:val="000000" w:themeColor="text1"/>
          <w:lang w:eastAsia="es-ES"/>
        </w:rPr>
        <w:t>e</w:t>
      </w:r>
      <w:r w:rsidRPr="001A024B">
        <w:rPr>
          <w:rFonts w:ascii="Verdana" w:eastAsia="Calibri" w:hAnsi="Verdana" w:cs="Arial"/>
          <w:color w:val="000000" w:themeColor="text1"/>
          <w:lang w:eastAsia="es-ES"/>
        </w:rPr>
        <w:t>n cumple con los requisitos habilitantes está en posibilidad de ejecutar el objeto del contrato dentro del cronograma y el presupuesto previstos en el Proceso de Contratación?</w:t>
      </w:r>
    </w:p>
    <w:p w14:paraId="48C146EF" w14:textId="77777777" w:rsidR="005D0A82" w:rsidRDefault="005D0A82" w:rsidP="005D0A82">
      <w:pPr>
        <w:spacing w:after="120" w:line="276" w:lineRule="auto"/>
        <w:ind w:firstLine="709"/>
        <w:jc w:val="both"/>
        <w:rPr>
          <w:rFonts w:ascii="Verdana" w:eastAsia="Calibri" w:hAnsi="Verdana" w:cs="Arial"/>
          <w:color w:val="000000" w:themeColor="text1"/>
          <w:lang w:eastAsia="es-ES"/>
        </w:rPr>
      </w:pPr>
      <w:r>
        <w:rPr>
          <w:rFonts w:ascii="Verdana" w:eastAsia="Calibri" w:hAnsi="Verdana" w:cs="Arial"/>
          <w:color w:val="000000" w:themeColor="text1"/>
          <w:lang w:eastAsia="es-ES"/>
        </w:rPr>
        <w:t xml:space="preserve">c) </w:t>
      </w:r>
      <w:r w:rsidRPr="001A024B">
        <w:rPr>
          <w:rFonts w:ascii="Verdana" w:eastAsia="Calibri" w:hAnsi="Verdana" w:cs="Arial"/>
          <w:color w:val="000000" w:themeColor="text1"/>
          <w:lang w:eastAsia="es-ES"/>
        </w:rPr>
        <w:t>¿Cuáles han sido los requisitos habilitantes en Procesos de Contratación similares? y ¿cuántos proponentes se presentaron?</w:t>
      </w:r>
    </w:p>
    <w:p w14:paraId="39CB11FF" w14:textId="77777777" w:rsidR="005D0A82" w:rsidRDefault="005D0A82" w:rsidP="005D0A82">
      <w:pPr>
        <w:spacing w:after="120" w:line="276" w:lineRule="auto"/>
        <w:ind w:firstLine="709"/>
        <w:jc w:val="both"/>
        <w:rPr>
          <w:rFonts w:ascii="Verdana" w:eastAsia="Calibri" w:hAnsi="Verdana" w:cs="Arial"/>
          <w:color w:val="000000" w:themeColor="text1"/>
          <w:lang w:eastAsia="es-ES"/>
        </w:rPr>
      </w:pPr>
      <w:r>
        <w:rPr>
          <w:rFonts w:ascii="Verdana" w:eastAsia="Calibri" w:hAnsi="Verdana" w:cs="Arial"/>
          <w:color w:val="000000" w:themeColor="text1"/>
          <w:lang w:eastAsia="es-ES"/>
        </w:rPr>
        <w:t xml:space="preserve">d) </w:t>
      </w:r>
      <w:r w:rsidRPr="001A024B">
        <w:rPr>
          <w:rFonts w:ascii="Verdana" w:eastAsia="Calibri" w:hAnsi="Verdana" w:cs="Arial"/>
          <w:color w:val="000000" w:themeColor="text1"/>
          <w:lang w:eastAsia="es-ES"/>
        </w:rPr>
        <w:t>¿Existen factores coyunturales o macroeconómicos que impacten el análisis del sector y deban ser considerados en la determinación de los requisitos habilitantes?</w:t>
      </w:r>
    </w:p>
    <w:p w14:paraId="3E7E2EF1" w14:textId="77777777" w:rsidR="005D0A82" w:rsidRDefault="005D0A82" w:rsidP="005D0A82">
      <w:pPr>
        <w:spacing w:after="120" w:line="276" w:lineRule="auto"/>
        <w:ind w:firstLine="709"/>
        <w:jc w:val="both"/>
        <w:rPr>
          <w:rFonts w:ascii="Verdana" w:eastAsia="Calibri" w:hAnsi="Verdana" w:cs="Arial"/>
          <w:color w:val="000000" w:themeColor="text1"/>
          <w:lang w:eastAsia="es-ES"/>
        </w:rPr>
      </w:pPr>
      <w:r>
        <w:rPr>
          <w:rFonts w:ascii="Verdana" w:eastAsia="Calibri" w:hAnsi="Verdana" w:cs="Arial"/>
          <w:color w:val="000000" w:themeColor="text1"/>
          <w:lang w:eastAsia="es-ES"/>
        </w:rPr>
        <w:t xml:space="preserve">De esta forma, para determinar si en un determinado proceso es procedente incluir el requisito objeto de consulta es indispensable considerar que la libre competencia es </w:t>
      </w:r>
      <w:r w:rsidRPr="001A024B">
        <w:rPr>
          <w:rFonts w:ascii="Verdana" w:eastAsia="Calibri" w:hAnsi="Verdana" w:cs="Arial"/>
          <w:color w:val="000000" w:themeColor="text1"/>
          <w:lang w:eastAsia="es-ES"/>
        </w:rPr>
        <w:t>uno de los objetivos del sistema de compras y contratación pública, por lo que la determinación de los requisitos habilitantes no puede ejercerse de forma arbitraria, caprichosa y, mucho menos, con el ánimo de direccionar el Proceso de Contratación o favorecer a alguno de los potenciales proponentes, así como tampoco puede ejercerse desconociendo límites legales, como, por ejemplo, el que estable</w:t>
      </w:r>
      <w:r>
        <w:rPr>
          <w:rFonts w:ascii="Verdana" w:eastAsia="Calibri" w:hAnsi="Verdana" w:cs="Arial"/>
          <w:color w:val="000000" w:themeColor="text1"/>
          <w:lang w:eastAsia="es-ES"/>
        </w:rPr>
        <w:t>ce</w:t>
      </w:r>
      <w:r w:rsidRPr="001A024B">
        <w:rPr>
          <w:rFonts w:ascii="Verdana" w:eastAsia="Calibri" w:hAnsi="Verdana" w:cs="Arial"/>
          <w:color w:val="000000" w:themeColor="text1"/>
          <w:lang w:eastAsia="es-ES"/>
        </w:rPr>
        <w:t xml:space="preserve"> el artículo 5, parágrafo 2, de la Ley 1150 de 2007, relacionado con la prohibición de exigir certificaciones de sistemas de gestión de calidad como requisito habilitante.</w:t>
      </w:r>
    </w:p>
    <w:p w14:paraId="09DB9C16" w14:textId="77777777" w:rsidR="005D0A82" w:rsidRDefault="005D0A82" w:rsidP="005D0A82">
      <w:pPr>
        <w:spacing w:after="120" w:line="276" w:lineRule="auto"/>
        <w:ind w:firstLine="709"/>
        <w:jc w:val="both"/>
      </w:pPr>
      <w:r w:rsidRPr="001A024B">
        <w:rPr>
          <w:rFonts w:ascii="Verdana" w:eastAsia="Calibri" w:hAnsi="Verdana" w:cs="Arial"/>
          <w:color w:val="000000" w:themeColor="text1"/>
          <w:lang w:eastAsia="es-ES"/>
        </w:rPr>
        <w:t xml:space="preserve">En conclusión, </w:t>
      </w:r>
      <w:r>
        <w:rPr>
          <w:rFonts w:ascii="Verdana" w:eastAsia="Calibri" w:hAnsi="Verdana" w:cs="Arial"/>
          <w:color w:val="000000" w:themeColor="text1"/>
          <w:lang w:eastAsia="es-ES"/>
        </w:rPr>
        <w:t>a</w:t>
      </w:r>
      <w:r w:rsidRPr="001A024B">
        <w:rPr>
          <w:rFonts w:ascii="Verdana" w:eastAsia="Calibri" w:hAnsi="Verdana" w:cs="Arial"/>
          <w:color w:val="000000" w:themeColor="text1"/>
          <w:lang w:eastAsia="es-ES"/>
        </w:rPr>
        <w:t xml:space="preserve">unque la Ley 1150 de 2007 estableció unos requisitos habilitantes para los proponentes –la capacidad jurídica, las condiciones de experiencia, la capacidad financiera y la capacidad de organización–, lo cierto es </w:t>
      </w:r>
      <w:r w:rsidRPr="001A024B">
        <w:rPr>
          <w:rFonts w:ascii="Verdana" w:eastAsia="Calibri" w:hAnsi="Verdana" w:cs="Arial"/>
          <w:color w:val="000000" w:themeColor="text1"/>
          <w:lang w:eastAsia="es-ES"/>
        </w:rPr>
        <w:lastRenderedPageBreak/>
        <w:t xml:space="preserve">que los mismos no son taxativos. </w:t>
      </w:r>
      <w:r>
        <w:rPr>
          <w:rFonts w:ascii="Verdana" w:eastAsia="Calibri" w:hAnsi="Verdana" w:cs="Arial"/>
          <w:color w:val="000000" w:themeColor="text1"/>
          <w:lang w:eastAsia="es-ES"/>
        </w:rPr>
        <w:t>Sin embargo, a pesar de la autonomía con la que cuentan las entidades para determinarlos,</w:t>
      </w:r>
      <w:r w:rsidRPr="001A024B">
        <w:rPr>
          <w:rFonts w:ascii="Verdana" w:eastAsia="Calibri" w:hAnsi="Verdana" w:cs="Arial"/>
          <w:color w:val="000000" w:themeColor="text1"/>
          <w:lang w:eastAsia="es-ES"/>
        </w:rPr>
        <w:t xml:space="preserve"> </w:t>
      </w:r>
      <w:r>
        <w:rPr>
          <w:rFonts w:ascii="Verdana" w:eastAsia="Calibri" w:hAnsi="Verdana" w:cs="Arial"/>
          <w:color w:val="000000" w:themeColor="text1"/>
          <w:lang w:eastAsia="es-ES"/>
        </w:rPr>
        <w:t xml:space="preserve">estos </w:t>
      </w:r>
      <w:r w:rsidRPr="001A024B">
        <w:rPr>
          <w:rFonts w:ascii="Verdana" w:eastAsia="Calibri" w:hAnsi="Verdana" w:cs="Arial"/>
          <w:color w:val="000000" w:themeColor="text1"/>
          <w:lang w:eastAsia="es-ES"/>
        </w:rPr>
        <w:t>deben ser establecidos por la Entidad Estatal en cada proceso competitivo, después de adelantar un análisis del sector y de acuerdo con los parámetros fijados en las disposiciones legales y reglamentarias.</w:t>
      </w:r>
      <w:r w:rsidRPr="001A024B">
        <w:t xml:space="preserve"> </w:t>
      </w:r>
    </w:p>
    <w:p w14:paraId="48FFA4E0" w14:textId="77777777" w:rsidR="005D0A82" w:rsidRDefault="005D0A82" w:rsidP="005D0A82">
      <w:pPr>
        <w:spacing w:after="120" w:line="276" w:lineRule="auto"/>
        <w:ind w:firstLine="709"/>
        <w:jc w:val="both"/>
        <w:rPr>
          <w:rFonts w:ascii="Verdana" w:eastAsia="Calibri" w:hAnsi="Verdana" w:cs="Arial"/>
          <w:color w:val="000000" w:themeColor="text1"/>
          <w:lang w:eastAsia="es-ES"/>
        </w:rPr>
      </w:pPr>
      <w:r w:rsidRPr="001A024B">
        <w:rPr>
          <w:rFonts w:ascii="Verdana" w:eastAsia="Calibri" w:hAnsi="Verdana" w:cs="Arial"/>
          <w:color w:val="000000" w:themeColor="text1"/>
          <w:lang w:eastAsia="es-ES"/>
        </w:rPr>
        <w:t>Las Entidades Estatales deben fijar los requisitos habilitantes durante la etapa de planeación del contrato estatal, después de haber adelantado el análisis del sector relativo al objeto del Proceso de Contratación, de tal manera que la determinación de las condiciones habilitantes se realice a partir del conocimiento de fondo de los posibles oferentes desde el punto de vista comercial y el análisis de Riesgo. Este análisis permite conocer las particularidades correspondientes a cada sector económico, como el tamaño empresarial de los posibles oferentes, su modelo de negocio y si es posible que se presenten proponentes plurales. Estas particularidades deben ser tenidas en cuenta para evitar direccionar los requisitos habilitantes hacia un tipo de proponente.</w:t>
      </w:r>
    </w:p>
    <w:p w14:paraId="1264F7A6" w14:textId="77777777" w:rsidR="005D0A82" w:rsidRDefault="005D0A82" w:rsidP="005D0A82">
      <w:pPr>
        <w:spacing w:after="120" w:line="276" w:lineRule="auto"/>
        <w:ind w:firstLine="709"/>
        <w:jc w:val="both"/>
        <w:rPr>
          <w:rFonts w:ascii="Verdana" w:eastAsia="Calibri" w:hAnsi="Verdana" w:cs="Arial"/>
          <w:color w:val="000000" w:themeColor="text1"/>
          <w:lang w:eastAsia="es-ES"/>
        </w:rPr>
      </w:pPr>
      <w:r>
        <w:rPr>
          <w:rFonts w:ascii="Verdana" w:eastAsia="Calibri" w:hAnsi="Verdana" w:cs="Arial"/>
          <w:color w:val="000000" w:themeColor="text1"/>
          <w:lang w:eastAsia="es-ES"/>
        </w:rPr>
        <w:t xml:space="preserve">Con respecto a la capacidad financiera, la entidad debe tener en cuenta que este requisito </w:t>
      </w:r>
      <w:r w:rsidRPr="001A024B">
        <w:rPr>
          <w:rFonts w:ascii="Verdana" w:eastAsia="Calibri" w:hAnsi="Verdana" w:cs="Arial"/>
          <w:color w:val="000000" w:themeColor="text1"/>
          <w:lang w:eastAsia="es-ES"/>
        </w:rPr>
        <w:t xml:space="preserve">busca establecer </w:t>
      </w:r>
      <w:r w:rsidRPr="001A024B">
        <w:rPr>
          <w:rFonts w:ascii="Verdana" w:eastAsia="Calibri" w:hAnsi="Verdana" w:cs="Arial"/>
          <w:i/>
          <w:iCs/>
          <w:color w:val="000000" w:themeColor="text1"/>
          <w:lang w:eastAsia="es-ES"/>
        </w:rPr>
        <w:t>condiciones mínimas</w:t>
      </w:r>
      <w:r w:rsidRPr="001A024B">
        <w:rPr>
          <w:rFonts w:ascii="Verdana" w:eastAsia="Calibri" w:hAnsi="Verdana" w:cs="Arial"/>
          <w:color w:val="000000" w:themeColor="text1"/>
          <w:lang w:eastAsia="es-ES"/>
        </w:rPr>
        <w:t xml:space="preserve"> en relación con la salud financiera de los proponentes, particularmente demostrar su aptitud para cumplir oportuna y cabalmente el objeto del contrato a través del análisis de su liquidez, endeudamiento y razón de cobertura de intereses. En ese sentido, la capacidad financiera que la entidad requiera para un Proceso de Contratación debe ser adecuada y proporcional a la naturaleza, forma de pago, plazo, complejidad, riesgo y al valor del contrato. Además, los requisitos de capacidad financiera deben ser establecidos con fundamento en los estudios del sector</w:t>
      </w:r>
      <w:r>
        <w:rPr>
          <w:rFonts w:ascii="Verdana" w:eastAsia="Calibri" w:hAnsi="Verdana" w:cs="Arial"/>
          <w:color w:val="000000" w:themeColor="text1"/>
          <w:lang w:eastAsia="es-ES"/>
        </w:rPr>
        <w:t>. De esta forma, e</w:t>
      </w:r>
      <w:r w:rsidRPr="001A024B">
        <w:rPr>
          <w:rFonts w:ascii="Verdana" w:eastAsia="Calibri" w:hAnsi="Verdana" w:cs="Arial"/>
          <w:color w:val="000000" w:themeColor="text1"/>
          <w:lang w:eastAsia="es-ES"/>
        </w:rPr>
        <w:t>n atención a la naturaleza del contrato a suscribir y su valor, plazo y forma de pago, la entidad debe hacer uso de los indicadores que considere adecuados respecto del objeto del Proceso de Contratació</w:t>
      </w:r>
      <w:r>
        <w:rPr>
          <w:rFonts w:ascii="Verdana" w:eastAsia="Calibri" w:hAnsi="Verdana" w:cs="Arial"/>
          <w:color w:val="000000" w:themeColor="text1"/>
          <w:lang w:eastAsia="es-ES"/>
        </w:rPr>
        <w:t xml:space="preserve">n. </w:t>
      </w:r>
    </w:p>
    <w:p w14:paraId="467D5FB7" w14:textId="77777777" w:rsidR="005D0A82" w:rsidRPr="00053BD7" w:rsidRDefault="005D0A82" w:rsidP="005D0A82">
      <w:pPr>
        <w:spacing w:after="120" w:line="276" w:lineRule="auto"/>
        <w:ind w:firstLine="709"/>
        <w:jc w:val="both"/>
        <w:rPr>
          <w:rFonts w:ascii="Verdana" w:eastAsia="Calibri" w:hAnsi="Verdana" w:cs="Arial"/>
          <w:color w:val="000000" w:themeColor="text1"/>
          <w:lang w:eastAsia="es-ES"/>
        </w:rPr>
      </w:pPr>
      <w:r>
        <w:rPr>
          <w:rFonts w:ascii="Verdana" w:eastAsia="Calibri" w:hAnsi="Verdana" w:cs="Arial"/>
          <w:color w:val="000000" w:themeColor="text1"/>
          <w:lang w:eastAsia="es-ES"/>
        </w:rPr>
        <w:t>Así por ejemplo, la entidad debe determinar si resulta proporcional o adecuado con respecto a las características del proceso de contratación e</w:t>
      </w:r>
      <w:r w:rsidRPr="00585DCA">
        <w:rPr>
          <w:rFonts w:ascii="Verdana" w:eastAsia="Calibri" w:hAnsi="Verdana" w:cs="Arial"/>
          <w:color w:val="000000" w:themeColor="text1"/>
          <w:lang w:eastAsia="es-ES"/>
        </w:rPr>
        <w:t xml:space="preserve">xigir </w:t>
      </w:r>
      <w:r>
        <w:rPr>
          <w:rFonts w:ascii="Verdana" w:eastAsia="Calibri" w:hAnsi="Verdana" w:cs="Arial"/>
          <w:color w:val="000000" w:themeColor="text1"/>
          <w:lang w:eastAsia="es-ES"/>
        </w:rPr>
        <w:t xml:space="preserve">el </w:t>
      </w:r>
      <w:r w:rsidRPr="00585DCA">
        <w:rPr>
          <w:rFonts w:ascii="Verdana" w:eastAsia="Calibri" w:hAnsi="Verdana" w:cs="Arial"/>
          <w:color w:val="000000" w:themeColor="text1"/>
          <w:lang w:eastAsia="es-ES"/>
        </w:rPr>
        <w:t>cupo de crédito</w:t>
      </w:r>
      <w:r>
        <w:rPr>
          <w:rFonts w:ascii="Verdana" w:eastAsia="Calibri" w:hAnsi="Verdana" w:cs="Arial"/>
          <w:color w:val="000000" w:themeColor="text1"/>
          <w:lang w:eastAsia="es-ES"/>
        </w:rPr>
        <w:t xml:space="preserve"> en los términos de su consulta con el fin de </w:t>
      </w:r>
      <w:r w:rsidRPr="00585DCA">
        <w:rPr>
          <w:rFonts w:ascii="Verdana" w:eastAsia="Calibri" w:hAnsi="Verdana" w:cs="Arial"/>
          <w:color w:val="000000" w:themeColor="text1"/>
          <w:lang w:eastAsia="es-ES"/>
        </w:rPr>
        <w:t>garantizar que el adjudicatario tenga liquidez para ejecutar el contrato</w:t>
      </w:r>
      <w:r>
        <w:rPr>
          <w:rFonts w:ascii="Verdana" w:eastAsia="Calibri" w:hAnsi="Verdana" w:cs="Arial"/>
          <w:color w:val="000000" w:themeColor="text1"/>
          <w:lang w:eastAsia="es-ES"/>
        </w:rPr>
        <w:t>,</w:t>
      </w:r>
      <w:r w:rsidRPr="00585DCA">
        <w:rPr>
          <w:rFonts w:ascii="Verdana" w:eastAsia="Calibri" w:hAnsi="Verdana" w:cs="Arial"/>
          <w:color w:val="000000" w:themeColor="text1"/>
          <w:lang w:eastAsia="es-ES"/>
        </w:rPr>
        <w:t xml:space="preserve"> </w:t>
      </w:r>
      <w:r>
        <w:rPr>
          <w:rFonts w:ascii="Verdana" w:eastAsia="Calibri" w:hAnsi="Verdana" w:cs="Arial"/>
          <w:color w:val="000000" w:themeColor="text1"/>
          <w:lang w:eastAsia="es-ES"/>
        </w:rPr>
        <w:t xml:space="preserve">o si esta finalidad se cumple con la verificación de indicadores como el índice de liquidez, el cual </w:t>
      </w:r>
      <w:r w:rsidRPr="00585DCA">
        <w:rPr>
          <w:rFonts w:ascii="Verdana" w:eastAsia="Calibri" w:hAnsi="Verdana" w:cs="Arial"/>
          <w:color w:val="000000" w:themeColor="text1"/>
          <w:lang w:eastAsia="es-ES"/>
        </w:rPr>
        <w:t>representa la capacidad que tiene el proponente para cumplir con sus obligaciones de corto plazo</w:t>
      </w:r>
      <w:r>
        <w:rPr>
          <w:rFonts w:ascii="Verdana" w:eastAsia="Calibri" w:hAnsi="Verdana" w:cs="Arial"/>
          <w:color w:val="000000" w:themeColor="text1"/>
          <w:lang w:eastAsia="es-ES"/>
        </w:rPr>
        <w:t>, el í</w:t>
      </w:r>
      <w:r w:rsidRPr="00585DCA">
        <w:rPr>
          <w:rFonts w:ascii="Verdana" w:eastAsia="Calibri" w:hAnsi="Verdana" w:cs="Arial"/>
          <w:color w:val="000000" w:themeColor="text1"/>
          <w:lang w:eastAsia="es-ES"/>
        </w:rPr>
        <w:t>ndice de endeudamiento</w:t>
      </w:r>
      <w:r>
        <w:rPr>
          <w:rFonts w:ascii="Verdana" w:eastAsia="Calibri" w:hAnsi="Verdana" w:cs="Arial"/>
          <w:color w:val="000000" w:themeColor="text1"/>
          <w:lang w:eastAsia="es-ES"/>
        </w:rPr>
        <w:t xml:space="preserve">, el capital de trabajo, entre otros que pueden verificarse directamente en el RUP y que pueden resultar </w:t>
      </w:r>
      <w:r>
        <w:rPr>
          <w:rFonts w:ascii="Verdana" w:eastAsia="Calibri" w:hAnsi="Verdana" w:cs="Arial"/>
          <w:color w:val="000000" w:themeColor="text1"/>
          <w:lang w:eastAsia="es-ES"/>
        </w:rPr>
        <w:lastRenderedPageBreak/>
        <w:t>menos restrictivos a la libre competencia económica según las características propias del proceso.</w:t>
      </w:r>
    </w:p>
    <w:p w14:paraId="52CDC31A" w14:textId="77777777" w:rsidR="005D0A82" w:rsidRDefault="005D0A82" w:rsidP="005D0A82">
      <w:pPr>
        <w:spacing w:after="120" w:line="276" w:lineRule="auto"/>
        <w:jc w:val="both"/>
        <w:rPr>
          <w:rFonts w:ascii="Verdana" w:eastAsia="Calibri" w:hAnsi="Verdana" w:cs="Arial"/>
          <w:lang w:val="es-MX"/>
        </w:rPr>
      </w:pPr>
      <w:r>
        <w:rPr>
          <w:rFonts w:ascii="Verdana" w:eastAsia="Calibri" w:hAnsi="Verdana" w:cs="Arial"/>
          <w:lang w:val="es-MX"/>
        </w:rPr>
        <w:t xml:space="preserve">ii. Similar es el análisis aplicable en el caso del segundo problema jurídico planteado, en cuanto a que los requisitos que establezca la Entidad Estatal deben resultar proporcionales y adecuados, de modo que no impongan barreras innecesarias a la libre competencia o limiten la selección objetiva. </w:t>
      </w:r>
    </w:p>
    <w:p w14:paraId="3AC28B32" w14:textId="77777777" w:rsidR="005D0A82" w:rsidRPr="00E40017" w:rsidRDefault="005D0A82" w:rsidP="005D0A82">
      <w:pPr>
        <w:spacing w:after="0" w:line="276" w:lineRule="auto"/>
        <w:ind w:firstLine="709"/>
        <w:jc w:val="both"/>
        <w:rPr>
          <w:rFonts w:ascii="Verdana" w:eastAsia="Calibri" w:hAnsi="Verdana" w:cs="Arial"/>
          <w:lang w:val="es-MX"/>
        </w:rPr>
      </w:pPr>
      <w:r w:rsidRPr="00BD16FF">
        <w:rPr>
          <w:rFonts w:ascii="Verdana" w:eastAsia="Calibri" w:hAnsi="Verdana" w:cs="Arial"/>
          <w:lang w:val="es-MX"/>
        </w:rPr>
        <w:t xml:space="preserve">En el marco de lo anterior, </w:t>
      </w:r>
      <w:r w:rsidRPr="00BD16FF">
        <w:rPr>
          <w:rFonts w:ascii="Verdana" w:eastAsia="Calibri" w:hAnsi="Verdana" w:cs="Arial"/>
          <w:color w:val="000000" w:themeColor="text1"/>
        </w:rPr>
        <w:t xml:space="preserve">salvo las convocatorias limitadas a Mipymes nacionales o territoriales que corresponden a excepciones establecidas por el legislador, los principios de igualdad y concurrencia rigen en los procedimientos de selección competitivos de las entidades sometidas al Estatuto General de Contratación de la Administración Pública. Con las excepciones previstas en el ordenamiento jurídico, </w:t>
      </w:r>
      <w:r w:rsidRPr="00E40017">
        <w:rPr>
          <w:rFonts w:ascii="Verdana" w:eastAsia="Calibri" w:hAnsi="Verdana" w:cs="Arial"/>
          <w:color w:val="000000" w:themeColor="text1"/>
        </w:rPr>
        <w:t>esto significa que las Entidades Estatales deben garantizar la pluralidad de oferentes como condición necesaria para escoger la oferta más favorable a los intereses de la entidad. Esta prohibición de trato discriminatorio respecto a la posibilidad que tienen los proponentes de presentarse a las licitaciones o concursos, por ejemplo, con respecto al lugar de operación o domicilio, es acorde al principio de selección objetiva, el cual define el artículo 5 de la Ley 1150 de 2007 como la escogencia realizada sin tener en consideración factores de afecto o de interés y, en general, cualquier clase de motivación subjetiva. En el mismo sentido, la doctrina considera que:</w:t>
      </w:r>
    </w:p>
    <w:p w14:paraId="5462D355" w14:textId="77777777" w:rsidR="005D0A82" w:rsidRPr="00E40017" w:rsidRDefault="005D0A82" w:rsidP="005D0A82">
      <w:pPr>
        <w:spacing w:after="0" w:line="276" w:lineRule="auto"/>
        <w:jc w:val="both"/>
        <w:rPr>
          <w:rFonts w:ascii="Verdana" w:eastAsia="Calibri" w:hAnsi="Verdana" w:cs="Arial"/>
          <w:color w:val="000000" w:themeColor="text1"/>
        </w:rPr>
      </w:pPr>
    </w:p>
    <w:p w14:paraId="6E52395F" w14:textId="77777777" w:rsidR="005D0A82" w:rsidRPr="00E40017" w:rsidRDefault="005D0A82" w:rsidP="005D0A82">
      <w:pPr>
        <w:spacing w:after="0" w:line="240" w:lineRule="auto"/>
        <w:ind w:left="709" w:right="709"/>
        <w:jc w:val="both"/>
        <w:rPr>
          <w:rFonts w:ascii="Verdana" w:eastAsia="Calibri" w:hAnsi="Verdana" w:cs="Arial"/>
          <w:color w:val="000000" w:themeColor="text1"/>
          <w:sz w:val="21"/>
          <w:szCs w:val="21"/>
        </w:rPr>
      </w:pPr>
      <w:r w:rsidRPr="00E40017">
        <w:rPr>
          <w:rFonts w:ascii="Verdana" w:eastAsia="Calibri" w:hAnsi="Verdana" w:cs="Arial"/>
          <w:color w:val="000000" w:themeColor="text1"/>
          <w:sz w:val="21"/>
          <w:szCs w:val="21"/>
        </w:rPr>
        <w:t>“La concurrencia tiene por objeto lograr que al procedimiento licitatorio se presente la mayor cantidad posible de oferentes; porque si lo que la Administración pretende para satisfacer en la mejor forma sus intereses públicos, es contratar con el particular que ofrezca las mejores garantías para el cumplimiento del objeto contractual, es necesario que a la compulsa hayan podido acudir todos los interesados en participar que estén capacitados para brindar la prestación requerida.</w:t>
      </w:r>
    </w:p>
    <w:p w14:paraId="636FD504" w14:textId="77777777" w:rsidR="005D0A82" w:rsidRPr="00E40017" w:rsidRDefault="005D0A82" w:rsidP="005D0A82">
      <w:pPr>
        <w:spacing w:after="120" w:line="240" w:lineRule="auto"/>
        <w:ind w:left="709" w:right="709"/>
        <w:jc w:val="both"/>
        <w:rPr>
          <w:rFonts w:ascii="Verdana" w:eastAsia="Calibri" w:hAnsi="Verdana" w:cs="Arial"/>
          <w:color w:val="000000" w:themeColor="text1"/>
          <w:sz w:val="21"/>
          <w:szCs w:val="21"/>
        </w:rPr>
      </w:pPr>
      <w:r w:rsidRPr="00E40017">
        <w:rPr>
          <w:rFonts w:ascii="Verdana" w:eastAsia="Calibri" w:hAnsi="Verdana" w:cs="Arial"/>
          <w:color w:val="000000" w:themeColor="text1"/>
          <w:sz w:val="21"/>
          <w:szCs w:val="21"/>
        </w:rPr>
        <w:t>[…]</w:t>
      </w:r>
    </w:p>
    <w:p w14:paraId="544BDCAF" w14:textId="77777777" w:rsidR="005D0A82" w:rsidRPr="00E40017" w:rsidRDefault="005D0A82" w:rsidP="005D0A82">
      <w:pPr>
        <w:spacing w:after="120" w:line="240" w:lineRule="auto"/>
        <w:ind w:left="709" w:right="709"/>
        <w:jc w:val="both"/>
        <w:rPr>
          <w:rFonts w:ascii="Verdana" w:eastAsia="Calibri" w:hAnsi="Verdana" w:cs="Arial"/>
          <w:color w:val="000000" w:themeColor="text1"/>
          <w:sz w:val="21"/>
          <w:szCs w:val="21"/>
        </w:rPr>
      </w:pPr>
      <w:r w:rsidRPr="00E40017">
        <w:rPr>
          <w:rFonts w:ascii="Verdana" w:eastAsia="Calibri" w:hAnsi="Verdana" w:cs="Arial"/>
          <w:color w:val="000000" w:themeColor="text1"/>
          <w:sz w:val="21"/>
          <w:szCs w:val="21"/>
        </w:rPr>
        <w:t>La concurrencia no significa enfrentamiento en el sentido de disputa entre los interesados, ella no supone el litigio en el sentido técnico procesal; es decir, que no hay litis, porque los participantes no acuden ante la autoridad administrativa para que ésta resuelva, como juez, un conflicto jurídico; los participantes son, en realidad, proponentes cuya actividad se limita, en principio, a presentar sus antecedentes y propuestas, en orden al emprendimiento licitado.</w:t>
      </w:r>
    </w:p>
    <w:p w14:paraId="7D5E046E" w14:textId="77777777" w:rsidR="005D0A82" w:rsidRPr="00E40017" w:rsidRDefault="005D0A82" w:rsidP="005D0A82">
      <w:pPr>
        <w:spacing w:after="0" w:line="240" w:lineRule="auto"/>
        <w:ind w:left="709" w:right="709"/>
        <w:jc w:val="both"/>
        <w:rPr>
          <w:rFonts w:ascii="Verdana" w:eastAsia="Calibri" w:hAnsi="Verdana" w:cs="Arial"/>
          <w:color w:val="000000" w:themeColor="text1"/>
          <w:sz w:val="21"/>
          <w:szCs w:val="21"/>
        </w:rPr>
      </w:pPr>
      <w:r w:rsidRPr="00E40017">
        <w:rPr>
          <w:rFonts w:ascii="Verdana" w:eastAsia="Calibri" w:hAnsi="Verdana" w:cs="Arial"/>
          <w:color w:val="000000" w:themeColor="text1"/>
          <w:sz w:val="21"/>
          <w:szCs w:val="21"/>
        </w:rPr>
        <w:lastRenderedPageBreak/>
        <w:t>Existe, sí, oposición, la que consiste en un procedimiento selectivo que da lugar a que se comparen y evalúen las distintas ofertas, para escoger de entre ellas la más conveniente; pero no se da entre los postulantes una situación de contienda, sino, en todo caso, de competencia industrial, comercial, profesional, técnica o de todas ellas combinadas, entre quienes aspiran a ser admitidos en igualdad de condiciones en ese procedimiento y tratados con equidad”</w:t>
      </w:r>
      <w:r w:rsidRPr="00E40017">
        <w:rPr>
          <w:rStyle w:val="FootnoteReference"/>
          <w:rFonts w:ascii="Verdana" w:eastAsia="Calibri" w:hAnsi="Verdana" w:cs="Arial"/>
          <w:color w:val="000000" w:themeColor="text1"/>
          <w:sz w:val="21"/>
          <w:szCs w:val="21"/>
        </w:rPr>
        <w:footnoteReference w:id="9"/>
      </w:r>
      <w:r w:rsidRPr="00E40017">
        <w:rPr>
          <w:rFonts w:ascii="Verdana" w:eastAsia="Calibri" w:hAnsi="Verdana" w:cs="Arial"/>
          <w:color w:val="000000" w:themeColor="text1"/>
          <w:sz w:val="21"/>
          <w:szCs w:val="21"/>
        </w:rPr>
        <w:t>.</w:t>
      </w:r>
    </w:p>
    <w:p w14:paraId="1ADCEE84" w14:textId="77777777" w:rsidR="005D0A82" w:rsidRPr="00E40017" w:rsidRDefault="005D0A82" w:rsidP="005D0A82">
      <w:pPr>
        <w:spacing w:after="0" w:line="276" w:lineRule="auto"/>
        <w:jc w:val="both"/>
        <w:rPr>
          <w:rFonts w:ascii="Verdana" w:eastAsia="Calibri" w:hAnsi="Verdana" w:cs="Arial"/>
          <w:color w:val="000000" w:themeColor="text1"/>
          <w:sz w:val="21"/>
          <w:szCs w:val="21"/>
        </w:rPr>
      </w:pPr>
    </w:p>
    <w:p w14:paraId="28B70FDA" w14:textId="77777777" w:rsidR="005D0A82" w:rsidRPr="00E40017" w:rsidRDefault="005D0A82" w:rsidP="005D0A82">
      <w:pPr>
        <w:spacing w:after="120" w:line="276" w:lineRule="auto"/>
        <w:ind w:firstLine="708"/>
        <w:jc w:val="both"/>
        <w:rPr>
          <w:rFonts w:ascii="Verdana" w:eastAsia="Calibri" w:hAnsi="Verdana" w:cs="Arial"/>
          <w:color w:val="000000" w:themeColor="text1"/>
        </w:rPr>
      </w:pPr>
      <w:r w:rsidRPr="00E40017">
        <w:rPr>
          <w:rFonts w:ascii="Verdana" w:eastAsia="Calibri" w:hAnsi="Verdana" w:cs="Arial"/>
          <w:color w:val="000000" w:themeColor="text1"/>
        </w:rPr>
        <w:t>El principio jurídico de la libre concurrencia garantiza la oposición entre los oferentes, y –como contrapartida– establece una prohibición para el Estado de restringir su participación</w:t>
      </w:r>
      <w:r w:rsidRPr="00E40017">
        <w:rPr>
          <w:rStyle w:val="FootnoteReference"/>
          <w:rFonts w:ascii="Verdana" w:eastAsia="Calibri" w:hAnsi="Verdana" w:cs="Arial"/>
          <w:color w:val="000000" w:themeColor="text1"/>
        </w:rPr>
        <w:footnoteReference w:id="10"/>
      </w:r>
      <w:r w:rsidRPr="00E40017">
        <w:rPr>
          <w:rFonts w:ascii="Verdana" w:eastAsia="Calibri" w:hAnsi="Verdana" w:cs="Arial"/>
          <w:color w:val="000000" w:themeColor="text1"/>
        </w:rPr>
        <w:t>. En esta perspectiva, es una derivación del principio de igualdad, pues supone la intervención del mayor número de candidatos en un régimen de libre competencia. Ambos se concretan en la prohibición de limitar la presentación de ofertas, pues son importantes para evitar discriminaciones, por ejemplo, por razón de la nacionalidad pretendiendo favorecer a los nacionales frente a extranjeros, y también se oponen a la exigencia de criterios de territorialidad que vulneren la libertad de empresa en una economía de mercado</w:t>
      </w:r>
      <w:r w:rsidRPr="00E40017">
        <w:rPr>
          <w:rStyle w:val="FootnoteReference"/>
          <w:rFonts w:ascii="Verdana" w:eastAsia="Calibri" w:hAnsi="Verdana" w:cs="Arial"/>
          <w:color w:val="000000" w:themeColor="text1"/>
        </w:rPr>
        <w:footnoteReference w:id="11"/>
      </w:r>
      <w:r w:rsidRPr="00E40017">
        <w:rPr>
          <w:rFonts w:ascii="Verdana" w:eastAsia="Calibri" w:hAnsi="Verdana" w:cs="Arial"/>
          <w:color w:val="000000" w:themeColor="text1"/>
        </w:rPr>
        <w:t xml:space="preserve">. </w:t>
      </w:r>
    </w:p>
    <w:p w14:paraId="11E7E621" w14:textId="77777777" w:rsidR="005D0A82" w:rsidRPr="00E40017" w:rsidRDefault="005D0A82" w:rsidP="005D0A82">
      <w:pPr>
        <w:spacing w:after="120" w:line="276" w:lineRule="auto"/>
        <w:ind w:firstLine="708"/>
        <w:jc w:val="both"/>
        <w:rPr>
          <w:rFonts w:ascii="Verdana" w:eastAsia="Century Gothic" w:hAnsi="Verdana" w:cs="Century Gothic"/>
          <w:i/>
          <w:color w:val="000000" w:themeColor="text1"/>
          <w:sz w:val="20"/>
          <w:szCs w:val="20"/>
          <w:lang w:val="en-CO"/>
        </w:rPr>
      </w:pPr>
      <w:r w:rsidRPr="00E40017">
        <w:rPr>
          <w:rFonts w:ascii="Verdana" w:eastAsia="Calibri" w:hAnsi="Verdana" w:cs="Arial"/>
          <w:color w:val="000000" w:themeColor="text1"/>
        </w:rPr>
        <w:t>Por ello, en el Concepto</w:t>
      </w:r>
      <w:r w:rsidRPr="00E40017">
        <w:rPr>
          <w:rFonts w:ascii="Verdana" w:eastAsia="Calibri" w:hAnsi="Verdana" w:cs="Arial"/>
          <w:color w:val="000000" w:themeColor="text1"/>
          <w:lang w:val="es-ES"/>
        </w:rPr>
        <w:t xml:space="preserve"> 2201913000006511 del 3 de septiembre de 2019 </w:t>
      </w:r>
      <w:r w:rsidRPr="00E40017">
        <w:rPr>
          <w:rFonts w:ascii="Verdana" w:eastAsia="Calibri" w:hAnsi="Verdana" w:cs="Arial"/>
          <w:color w:val="000000" w:themeColor="text1"/>
        </w:rPr>
        <w:t>y en el C–032 del 16 de abril de 2024, la Agencia</w:t>
      </w:r>
      <w:r w:rsidRPr="00E40017">
        <w:rPr>
          <w:rFonts w:ascii="Verdana" w:eastAsia="Calibri" w:hAnsi="Verdana" w:cs="Arial"/>
          <w:color w:val="000000" w:themeColor="text1"/>
          <w:lang w:val="es-ES"/>
        </w:rPr>
        <w:t xml:space="preserve"> sostuvo que, por regla general, las entidades no pueden exigir como requisito habilitante que el proponente tenga residencia en el lugar donde se ejecutará el contrato, pues afecta la libre competencia de los procesos de contratación y es una cláusula discriminatoria, sin dejar de lado que no garantiza la aptitud del proponente para ejecutar el </w:t>
      </w:r>
      <w:r w:rsidRPr="00E40017">
        <w:rPr>
          <w:rFonts w:ascii="Verdana" w:eastAsia="Calibri" w:hAnsi="Verdana" w:cs="Arial"/>
          <w:color w:val="000000" w:themeColor="text1"/>
          <w:lang w:val="es-ES"/>
        </w:rPr>
        <w:lastRenderedPageBreak/>
        <w:t>objeto del contrato</w:t>
      </w:r>
      <w:r w:rsidRPr="00E40017">
        <w:rPr>
          <w:rStyle w:val="FootnoteReference"/>
          <w:rFonts w:ascii="Verdana" w:eastAsia="Calibri" w:hAnsi="Verdana" w:cs="Arial"/>
          <w:color w:val="000000" w:themeColor="text1"/>
          <w:lang w:val="es-ES"/>
        </w:rPr>
        <w:footnoteReference w:id="12"/>
      </w:r>
      <w:r w:rsidRPr="00E40017">
        <w:rPr>
          <w:rFonts w:ascii="Verdana" w:eastAsia="Calibri" w:hAnsi="Verdana" w:cs="Arial"/>
          <w:color w:val="000000" w:themeColor="text1"/>
          <w:lang w:val="es-ES"/>
        </w:rPr>
        <w:t xml:space="preserve"> </w:t>
      </w:r>
      <w:r w:rsidRPr="00E40017">
        <w:rPr>
          <w:rStyle w:val="FootnoteReference"/>
          <w:rFonts w:ascii="Verdana" w:eastAsia="Calibri" w:hAnsi="Verdana" w:cs="Arial"/>
          <w:color w:val="000000" w:themeColor="text1"/>
          <w:lang w:val="es-ES"/>
        </w:rPr>
        <w:footnoteReference w:id="13"/>
      </w:r>
      <w:r w:rsidRPr="00E40017">
        <w:rPr>
          <w:rFonts w:ascii="Verdana" w:eastAsia="Calibri" w:hAnsi="Verdana" w:cs="Arial"/>
          <w:color w:val="000000" w:themeColor="text1"/>
          <w:lang w:val="es-ES"/>
        </w:rPr>
        <w:t>; análisis que también es procedente con respecto a la inclusión de requisitos como el referido en su consulta frente a la existencia de una sucursal formalmente registrada y en funcionamiento como requisito para participar en el Proceso de Contratación.</w:t>
      </w:r>
      <w:r w:rsidRPr="00E40017">
        <w:rPr>
          <w:rFonts w:ascii="Verdana" w:eastAsia="Century Gothic" w:hAnsi="Verdana" w:cs="Century Gothic"/>
          <w:i/>
          <w:color w:val="000000" w:themeColor="text1"/>
          <w:sz w:val="20"/>
          <w:szCs w:val="20"/>
          <w:lang w:val="en-CO"/>
        </w:rPr>
        <w:t xml:space="preserve"> </w:t>
      </w:r>
    </w:p>
    <w:p w14:paraId="087441DB" w14:textId="77777777" w:rsidR="005D0A82" w:rsidRPr="00E40017" w:rsidRDefault="005D0A82" w:rsidP="005D0A82">
      <w:pPr>
        <w:spacing w:after="120" w:line="276" w:lineRule="auto"/>
        <w:ind w:right="51" w:firstLine="709"/>
        <w:jc w:val="both"/>
        <w:rPr>
          <w:rFonts w:ascii="Verdana" w:eastAsia="Calibri" w:hAnsi="Verdana" w:cs="Arial"/>
          <w:color w:val="000000" w:themeColor="text1"/>
          <w:lang w:val="es-MX"/>
        </w:rPr>
      </w:pPr>
      <w:r w:rsidRPr="001E77F1">
        <w:rPr>
          <w:rFonts w:ascii="Verdana" w:eastAsia="Calibri" w:hAnsi="Verdana" w:cs="Arial"/>
          <w:color w:val="000000" w:themeColor="text1"/>
          <w:lang w:val="es-MX"/>
        </w:rPr>
        <w:t>Muestra de lo anterior es que incluso en el caso de las sociedades extranjeras, frente a las cuales el artículo 471</w:t>
      </w:r>
      <w:r w:rsidRPr="00E40017">
        <w:rPr>
          <w:rFonts w:ascii="Verdana" w:hAnsi="Verdana" w:cs="Arial"/>
          <w:color w:val="000000" w:themeColor="text1"/>
        </w:rPr>
        <w:t xml:space="preserve"> del Código de Comercio impone que deban establecer una sucursal con domicilio en el territorio nacional, la </w:t>
      </w:r>
      <w:r w:rsidRPr="00E40017">
        <w:rPr>
          <w:rFonts w:ascii="Verdana" w:eastAsia="Calibri" w:hAnsi="Verdana" w:cs="Arial"/>
          <w:color w:val="000000" w:themeColor="text1"/>
        </w:rPr>
        <w:t>Agencia Nacional de Contratación Pública – Colombia Compra Eficiente ha precisado que “</w:t>
      </w:r>
      <w:r w:rsidRPr="00E40017">
        <w:rPr>
          <w:rFonts w:ascii="Verdana" w:eastAsia="Calibri" w:hAnsi="Verdana" w:cs="Arial"/>
          <w:color w:val="000000" w:themeColor="text1"/>
          <w:lang w:val="es-MX"/>
        </w:rPr>
        <w:t>Para la presentación de la oferta no será necesario que se constituya una sucursal en Colombia pues esto solo es obligatorio si se resulta adjudicatario en Procesos de Contratación que tengan por objeto la construcción de obras o la prestación de servicios, pues en estos dos casos, se entiende que la persona jurídica extranjera está ejerciendo negocios permanentes en Colombia”</w:t>
      </w:r>
      <w:r w:rsidRPr="00E40017">
        <w:rPr>
          <w:rStyle w:val="FootnoteReference"/>
          <w:rFonts w:ascii="Verdana" w:hAnsi="Verdana" w:cs="Arial"/>
          <w:color w:val="000000" w:themeColor="text1"/>
        </w:rPr>
        <w:footnoteReference w:id="14"/>
      </w:r>
      <w:r w:rsidRPr="00E40017">
        <w:rPr>
          <w:rFonts w:ascii="Verdana" w:eastAsia="Calibri" w:hAnsi="Verdana" w:cs="Arial"/>
          <w:color w:val="000000" w:themeColor="text1"/>
          <w:lang w:val="es-MX"/>
        </w:rPr>
        <w:t>.</w:t>
      </w:r>
      <w:r w:rsidRPr="00E40017">
        <w:rPr>
          <w:rFonts w:ascii="Verdana" w:eastAsia="Calibri" w:hAnsi="Verdana" w:cs="Arial"/>
          <w:color w:val="000000" w:themeColor="text1"/>
        </w:rPr>
        <w:t xml:space="preserve"> En efecto, resultaría aún más gravoso exigir a una sociedad nacional, frente a la cual la norma no lo impone, la constitución o existencia previa de una sucursal en un territorio específico, como requisito para la participación o habilitación en el marco de un Proceso de Contratación estatal. </w:t>
      </w:r>
    </w:p>
    <w:p w14:paraId="6F0F1512" w14:textId="77777777" w:rsidR="005D0A82" w:rsidRPr="00BD16FF" w:rsidRDefault="005D0A82" w:rsidP="005D0A82">
      <w:pPr>
        <w:spacing w:before="120" w:after="0" w:line="276" w:lineRule="auto"/>
        <w:ind w:firstLine="708"/>
        <w:jc w:val="both"/>
        <w:rPr>
          <w:rFonts w:ascii="Verdana" w:hAnsi="Verdana"/>
        </w:rPr>
      </w:pPr>
      <w:r w:rsidRPr="00BD16FF">
        <w:rPr>
          <w:rFonts w:ascii="Verdana" w:hAnsi="Verdana" w:cs="Arial"/>
          <w:lang w:eastAsia="es-ES"/>
        </w:rPr>
        <w:lastRenderedPageBreak/>
        <w:t>Al margen de la explicación precedente debe advertirse que el análisis requerido para resolver problemas específicos en torno a la gestión contractual debe ser realizado por quienes tengan interés en ello, de acuerdo con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30A83B51" w14:textId="77777777" w:rsidR="005D0A82" w:rsidRPr="00BD16FF" w:rsidRDefault="005D0A82" w:rsidP="005D0A82">
      <w:pPr>
        <w:spacing w:before="120" w:after="0" w:line="276" w:lineRule="auto"/>
        <w:ind w:firstLine="709"/>
        <w:jc w:val="both"/>
        <w:rPr>
          <w:rFonts w:ascii="Verdana" w:hAnsi="Verdana" w:cs="Arial"/>
          <w:lang w:eastAsia="es-ES"/>
        </w:rPr>
      </w:pPr>
      <w:r w:rsidRPr="00BD16FF">
        <w:rPr>
          <w:rFonts w:ascii="Verdana" w:hAnsi="Verdana" w:cs="Arial"/>
          <w:lang w:eastAsia="es-ES"/>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De esta manera, cada entidad definirá la forma de adelantar su gestión contractual, sin que sea atribución de Colombia Compra Eficiente validar sus actuaciones.</w:t>
      </w:r>
    </w:p>
    <w:p w14:paraId="40F85BEE" w14:textId="77777777" w:rsidR="005D0A82" w:rsidRPr="00DD0F57" w:rsidRDefault="005D0A82" w:rsidP="005D0A82">
      <w:pPr>
        <w:spacing w:after="0" w:line="276" w:lineRule="auto"/>
        <w:ind w:firstLine="708"/>
        <w:jc w:val="both"/>
        <w:rPr>
          <w:rFonts w:ascii="Verdana" w:hAnsi="Verdana" w:cs="Arial"/>
          <w:lang w:val="es-ES"/>
        </w:rPr>
      </w:pPr>
    </w:p>
    <w:p w14:paraId="12EB9A92" w14:textId="77777777" w:rsidR="005D0A82" w:rsidRPr="00DD0F57" w:rsidRDefault="005D0A82" w:rsidP="005D0A82">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DD0F57">
        <w:rPr>
          <w:rFonts w:ascii="Verdana" w:eastAsia="Century Gothic" w:hAnsi="Verdana" w:cs="Century Gothic"/>
          <w:b/>
          <w:bCs/>
          <w:color w:val="000000" w:themeColor="text1"/>
        </w:rPr>
        <w:t>Referencias normativas, jurisprudenciales y otras fuentes:</w:t>
      </w:r>
    </w:p>
    <w:p w14:paraId="73959619" w14:textId="77777777" w:rsidR="005D0A82" w:rsidRPr="00DD0F57" w:rsidRDefault="005D0A82" w:rsidP="005D0A82">
      <w:pPr>
        <w:pStyle w:val="ListParagraph"/>
        <w:tabs>
          <w:tab w:val="left" w:pos="142"/>
          <w:tab w:val="left" w:pos="284"/>
        </w:tabs>
        <w:spacing w:after="0" w:line="276" w:lineRule="auto"/>
        <w:ind w:left="0"/>
        <w:jc w:val="both"/>
        <w:rPr>
          <w:rFonts w:ascii="Verdana" w:eastAsia="Century Gothic" w:hAnsi="Verdana" w:cs="Century Gothic"/>
          <w:b/>
          <w:bCs/>
          <w:color w:val="000000" w:themeColor="text1"/>
        </w:rPr>
      </w:pPr>
    </w:p>
    <w:tbl>
      <w:tblPr>
        <w:tblStyle w:val="TableGrid"/>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5D0A82" w:rsidRPr="00DD0F57" w14:paraId="2DF385FF" w14:textId="77777777" w:rsidTr="001966D9">
        <w:trPr>
          <w:trHeight w:val="870"/>
        </w:trPr>
        <w:tc>
          <w:tcPr>
            <w:tcW w:w="8647" w:type="dxa"/>
          </w:tcPr>
          <w:p w14:paraId="4CAC2CBA" w14:textId="77777777" w:rsidR="005D0A82" w:rsidRPr="00997B39" w:rsidRDefault="005D0A82" w:rsidP="001966D9">
            <w:pPr>
              <w:widowControl w:val="0"/>
              <w:numPr>
                <w:ilvl w:val="0"/>
                <w:numId w:val="17"/>
              </w:numPr>
              <w:autoSpaceDE w:val="0"/>
              <w:autoSpaceDN w:val="0"/>
              <w:snapToGrid w:val="0"/>
              <w:spacing w:before="120" w:after="120"/>
              <w:jc w:val="both"/>
              <w:rPr>
                <w:rFonts w:ascii="Verdana" w:hAnsi="Verdana" w:cs="Arial"/>
              </w:rPr>
            </w:pPr>
            <w:r w:rsidRPr="00997B39">
              <w:rPr>
                <w:rFonts w:ascii="Verdana" w:hAnsi="Verdana" w:cs="Arial"/>
              </w:rPr>
              <w:t>Ley 1150 de 2007, artículo 5 y artículo 6.</w:t>
            </w:r>
          </w:p>
          <w:p w14:paraId="043CA7ED" w14:textId="77777777" w:rsidR="005D0A82" w:rsidRPr="00997B39" w:rsidRDefault="005D0A82" w:rsidP="001966D9">
            <w:pPr>
              <w:widowControl w:val="0"/>
              <w:numPr>
                <w:ilvl w:val="0"/>
                <w:numId w:val="17"/>
              </w:numPr>
              <w:autoSpaceDE w:val="0"/>
              <w:autoSpaceDN w:val="0"/>
              <w:snapToGrid w:val="0"/>
              <w:spacing w:before="120" w:after="120"/>
              <w:jc w:val="both"/>
              <w:rPr>
                <w:rFonts w:ascii="Verdana" w:hAnsi="Verdana" w:cs="Arial"/>
              </w:rPr>
            </w:pPr>
            <w:r w:rsidRPr="00997B39">
              <w:rPr>
                <w:rFonts w:ascii="Verdana" w:hAnsi="Verdana" w:cs="Arial"/>
              </w:rPr>
              <w:t>Decreto 1082 de 2015, artículos 2.2.1.1.1.3.1; 2.2.1.1.1.5.2; 2.2.1.1.1.5.3; 2.2.1.1.1.6.2 y 2.2.1.2.4.2.4.</w:t>
            </w:r>
          </w:p>
          <w:p w14:paraId="2602E619" w14:textId="77777777" w:rsidR="005D0A82" w:rsidRPr="00997B39" w:rsidRDefault="005D0A82" w:rsidP="001966D9">
            <w:pPr>
              <w:widowControl w:val="0"/>
              <w:numPr>
                <w:ilvl w:val="0"/>
                <w:numId w:val="17"/>
              </w:numPr>
              <w:autoSpaceDE w:val="0"/>
              <w:autoSpaceDN w:val="0"/>
              <w:snapToGrid w:val="0"/>
              <w:spacing w:before="120" w:after="120"/>
              <w:jc w:val="both"/>
              <w:rPr>
                <w:rFonts w:ascii="Verdana" w:hAnsi="Verdana" w:cs="Arial"/>
              </w:rPr>
            </w:pPr>
            <w:r w:rsidRPr="00997B39">
              <w:rPr>
                <w:rFonts w:ascii="Verdana" w:hAnsi="Verdana" w:cs="Arial"/>
              </w:rPr>
              <w:t>Código de Comercio, artículos 471 y 474.</w:t>
            </w:r>
          </w:p>
          <w:p w14:paraId="58420CFF" w14:textId="77777777" w:rsidR="005D0A82" w:rsidRPr="00997B39" w:rsidRDefault="005D0A82" w:rsidP="001966D9">
            <w:pPr>
              <w:widowControl w:val="0"/>
              <w:numPr>
                <w:ilvl w:val="0"/>
                <w:numId w:val="17"/>
              </w:numPr>
              <w:autoSpaceDE w:val="0"/>
              <w:autoSpaceDN w:val="0"/>
              <w:snapToGrid w:val="0"/>
              <w:spacing w:before="120" w:after="120"/>
              <w:jc w:val="both"/>
              <w:rPr>
                <w:rFonts w:ascii="Verdana" w:hAnsi="Verdana" w:cs="Arial"/>
              </w:rPr>
            </w:pPr>
            <w:r w:rsidRPr="00997B39">
              <w:rPr>
                <w:rFonts w:ascii="Verdana" w:hAnsi="Verdana" w:cs="Arial"/>
              </w:rPr>
              <w:t>Ley 2166 de 2021, artículos 9 y 95.</w:t>
            </w:r>
          </w:p>
          <w:p w14:paraId="78F96A26" w14:textId="77777777" w:rsidR="005D0A82" w:rsidRPr="00997B39" w:rsidRDefault="005D0A82" w:rsidP="001966D9">
            <w:pPr>
              <w:widowControl w:val="0"/>
              <w:numPr>
                <w:ilvl w:val="0"/>
                <w:numId w:val="17"/>
              </w:numPr>
              <w:autoSpaceDE w:val="0"/>
              <w:autoSpaceDN w:val="0"/>
              <w:snapToGrid w:val="0"/>
              <w:spacing w:before="120" w:after="120"/>
              <w:jc w:val="both"/>
              <w:rPr>
                <w:rFonts w:ascii="Verdana" w:hAnsi="Verdana" w:cs="Arial"/>
              </w:rPr>
            </w:pPr>
            <w:r w:rsidRPr="00997B39">
              <w:rPr>
                <w:rFonts w:ascii="Verdana" w:hAnsi="Verdana" w:cs="Arial"/>
              </w:rPr>
              <w:t>Ley 2294 de 2023, artículo 101.</w:t>
            </w:r>
          </w:p>
          <w:p w14:paraId="136A3A01" w14:textId="77777777" w:rsidR="005D0A82" w:rsidRPr="00997B39" w:rsidRDefault="005D0A82" w:rsidP="001966D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997B39">
              <w:rPr>
                <w:rFonts w:ascii="Verdana" w:eastAsia="Calibri" w:hAnsi="Verdana" w:cs="Arial"/>
                <w:color w:val="000000" w:themeColor="text1"/>
                <w:lang w:val="es-ES"/>
              </w:rPr>
              <w:t>Manual para determinar y verificar los requisitos habilitantes en los Procesos de Contratación (CCE-EICP-MA-04, V3).</w:t>
            </w:r>
            <w:r w:rsidRPr="00997B39">
              <w:t xml:space="preserve"> </w:t>
            </w:r>
            <w:hyperlink r:id="rId13" w:history="1">
              <w:r w:rsidRPr="004B6011">
                <w:rPr>
                  <w:rStyle w:val="Hyperlink"/>
                  <w:rFonts w:ascii="Verdana" w:eastAsia="Calibri" w:hAnsi="Verdana" w:cs="Arial"/>
                </w:rPr>
                <w:t>https://www.colombiacompra.gov.co/sites/cce_public/files/cce_documents/cce-eicp-ma-04._manual_requisitos_habilitantes_v3_29-09-2023.pdf</w:t>
              </w:r>
            </w:hyperlink>
            <w:r>
              <w:rPr>
                <w:rFonts w:ascii="Verdana" w:eastAsia="Calibri" w:hAnsi="Verdana" w:cs="Arial"/>
                <w:color w:val="000000" w:themeColor="text1"/>
              </w:rPr>
              <w:t xml:space="preserve"> </w:t>
            </w:r>
          </w:p>
          <w:p w14:paraId="6D3FF820" w14:textId="6AA87987" w:rsidR="005D0A82" w:rsidRPr="00997B39" w:rsidRDefault="005D0A82" w:rsidP="001966D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997B39">
              <w:rPr>
                <w:rFonts w:ascii="Verdana" w:eastAsia="Calibri" w:hAnsi="Verdana" w:cs="Arial"/>
                <w:color w:val="000000" w:themeColor="text1"/>
                <w:lang w:val="es-ES"/>
              </w:rPr>
              <w:t>Guía de Elaboración de Estudios del Sector</w:t>
            </w:r>
            <w:r>
              <w:rPr>
                <w:rFonts w:ascii="Verdana" w:eastAsia="Calibri" w:hAnsi="Verdana" w:cs="Arial"/>
                <w:color w:val="000000" w:themeColor="text1"/>
                <w:lang w:val="es-ES"/>
              </w:rPr>
              <w:t>.</w:t>
            </w:r>
            <w:r w:rsidR="00367948" w:rsidRPr="00367948">
              <w:t xml:space="preserve"> </w:t>
            </w:r>
            <w:hyperlink r:id="rId14" w:history="1">
              <w:r w:rsidR="00367948" w:rsidRPr="004B6011">
                <w:rPr>
                  <w:rStyle w:val="Hyperlink"/>
                  <w:rFonts w:ascii="Verdana" w:eastAsia="Calibri" w:hAnsi="Verdana" w:cs="Arial"/>
                </w:rPr>
                <w:t>https://colombiacompra.gov.co/wp-content/uploads/2024/08/2022-</w:t>
              </w:r>
              <w:r w:rsidR="00367948" w:rsidRPr="004B6011">
                <w:rPr>
                  <w:rStyle w:val="Hyperlink"/>
                  <w:rFonts w:ascii="Verdana" w:eastAsia="Calibri" w:hAnsi="Verdana" w:cs="Arial"/>
                </w:rPr>
                <w:lastRenderedPageBreak/>
                <w:t>Guia-para-la-elaboracion-de-Estudios-de-Sector-CCE-EICP-GI-18.pdf</w:t>
              </w:r>
            </w:hyperlink>
            <w:r w:rsidR="00367948">
              <w:rPr>
                <w:rFonts w:ascii="Verdana" w:eastAsia="Calibri" w:hAnsi="Verdana" w:cs="Arial"/>
                <w:color w:val="000000" w:themeColor="text1"/>
              </w:rPr>
              <w:t xml:space="preserve"> </w:t>
            </w:r>
          </w:p>
          <w:p w14:paraId="4A1ED391" w14:textId="7812FD89" w:rsidR="005D0A82" w:rsidRDefault="005D0A82" w:rsidP="001966D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997B39">
              <w:rPr>
                <w:rFonts w:ascii="Verdana" w:eastAsia="Calibri" w:hAnsi="Verdana" w:cs="Arial"/>
                <w:color w:val="000000" w:themeColor="text1"/>
                <w:lang w:val="es-ES"/>
              </w:rPr>
              <w:t>Guía de Asuntos Corporativos en los Procesos de Contratación.</w:t>
            </w:r>
            <w:r w:rsidR="00367948" w:rsidRPr="00367948">
              <w:t xml:space="preserve"> </w:t>
            </w:r>
            <w:hyperlink r:id="rId15" w:history="1">
              <w:r w:rsidR="00367948" w:rsidRPr="004B6011">
                <w:rPr>
                  <w:rStyle w:val="Hyperlink"/>
                  <w:rFonts w:ascii="Verdana" w:eastAsia="Calibri" w:hAnsi="Verdana" w:cs="Arial"/>
                </w:rPr>
                <w:t>https://colombiacompra.gov.co/wp-content/uploads/2024/08/cce_guia_asuntos_corporativos.pdf</w:t>
              </w:r>
            </w:hyperlink>
            <w:r w:rsidR="00367948">
              <w:rPr>
                <w:rFonts w:ascii="Verdana" w:eastAsia="Calibri" w:hAnsi="Verdana" w:cs="Arial"/>
                <w:color w:val="000000" w:themeColor="text1"/>
              </w:rPr>
              <w:t xml:space="preserve"> </w:t>
            </w:r>
          </w:p>
          <w:p w14:paraId="1BA749E7" w14:textId="77777777" w:rsidR="005D0A82" w:rsidRPr="00997B39" w:rsidRDefault="005D0A82" w:rsidP="001966D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997B39">
              <w:rPr>
                <w:rFonts w:ascii="Verdana" w:eastAsia="Calibri" w:hAnsi="Verdana" w:cs="Arial"/>
                <w:color w:val="000000" w:themeColor="text1"/>
                <w:lang w:val="es-ES"/>
              </w:rPr>
              <w:t>COMADIRA, Julio Rodolfo. La licitación pública como procedimiento administrativo especial: protección jurídica al oferente. Madrid: Instituto Nacional de Administración Pública, 2001.</w:t>
            </w:r>
          </w:p>
          <w:p w14:paraId="7BCAEFCB" w14:textId="77777777" w:rsidR="005D0A82" w:rsidRPr="00997B39" w:rsidRDefault="005D0A82" w:rsidP="001966D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997B39">
              <w:rPr>
                <w:rFonts w:ascii="Verdana" w:eastAsia="Calibri" w:hAnsi="Verdana" w:cs="Arial"/>
                <w:color w:val="000000" w:themeColor="text1"/>
                <w:lang w:val="es-ES"/>
              </w:rPr>
              <w:t>DROMI, Roberto. La licitación pública. Buenos Aires: Ciudad Argentina, 1980.</w:t>
            </w:r>
          </w:p>
          <w:p w14:paraId="335E2686" w14:textId="77777777" w:rsidR="005D0A82" w:rsidRPr="00997B39" w:rsidRDefault="005D0A82" w:rsidP="001966D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997B39">
              <w:rPr>
                <w:rFonts w:ascii="Verdana" w:eastAsia="Calibri" w:hAnsi="Verdana" w:cs="Arial"/>
                <w:color w:val="000000" w:themeColor="text1"/>
                <w:lang w:val="es-ES"/>
              </w:rPr>
              <w:t>ESCOBAR GIL, Rodrigo. Teoría general de los contratos de la Administración Pública. Bogotá: Legis, 2000.</w:t>
            </w:r>
          </w:p>
          <w:p w14:paraId="3DF8AC2F" w14:textId="77777777" w:rsidR="005D0A82" w:rsidRPr="00997B39" w:rsidRDefault="005D0A82" w:rsidP="001966D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997B39">
              <w:rPr>
                <w:rFonts w:ascii="Verdana" w:eastAsia="Calibri" w:hAnsi="Verdana" w:cs="Arial"/>
                <w:color w:val="000000" w:themeColor="text1"/>
                <w:lang w:val="es-ES"/>
              </w:rPr>
              <w:t>RAZQUIN LIZARRAGA, Martín María. Los principios generales de la contratación pública. En: Tratado de los contratos del sector público. Tomo I. Valencia: Tirant lo Blanch, 2018.</w:t>
            </w:r>
          </w:p>
          <w:p w14:paraId="07F2682F" w14:textId="77777777" w:rsidR="005D0A82" w:rsidRPr="00997B39" w:rsidRDefault="005D0A82" w:rsidP="001966D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997B39">
              <w:rPr>
                <w:rFonts w:ascii="Verdana" w:eastAsia="Calibri" w:hAnsi="Verdana" w:cs="Arial"/>
                <w:color w:val="000000" w:themeColor="text1"/>
                <w:lang w:val="es-ES"/>
              </w:rPr>
              <w:t>PALACIO HINCAPIÉ, Juan Ángel. La contratación de las entidades estatales. Octava edición. Medellín: Librería Jurídica Sánchez R. SAS, 2020.</w:t>
            </w:r>
          </w:p>
          <w:p w14:paraId="79939622" w14:textId="77777777" w:rsidR="005D0A82" w:rsidRPr="00DD0F57" w:rsidRDefault="005D0A82" w:rsidP="001966D9">
            <w:pPr>
              <w:widowControl w:val="0"/>
              <w:numPr>
                <w:ilvl w:val="0"/>
                <w:numId w:val="17"/>
              </w:numPr>
              <w:autoSpaceDE w:val="0"/>
              <w:autoSpaceDN w:val="0"/>
              <w:snapToGrid w:val="0"/>
              <w:spacing w:before="120" w:after="120"/>
              <w:jc w:val="both"/>
              <w:rPr>
                <w:rFonts w:ascii="Verdana" w:eastAsia="Calibri" w:hAnsi="Verdana" w:cs="Arial"/>
                <w:color w:val="000000" w:themeColor="text1"/>
                <w:lang w:val="es-ES"/>
              </w:rPr>
            </w:pPr>
            <w:r w:rsidRPr="00997B39">
              <w:rPr>
                <w:rFonts w:ascii="Verdana" w:eastAsia="Calibri" w:hAnsi="Verdana" w:cs="Arial"/>
                <w:color w:val="000000" w:themeColor="text1"/>
                <w:lang w:val="es-ES"/>
              </w:rPr>
              <w:t>GONZÁLEZ LÓPEZ, Edgar. El pliego de condiciones en la contratación estatal. Bogotá: Universidad Externado de Colombia, 2012.</w:t>
            </w:r>
          </w:p>
        </w:tc>
      </w:tr>
    </w:tbl>
    <w:p w14:paraId="726853FC" w14:textId="77777777" w:rsidR="005D0A82" w:rsidRPr="00DD0F57" w:rsidRDefault="005D0A82" w:rsidP="005D0A82">
      <w:pPr>
        <w:widowControl w:val="0"/>
        <w:autoSpaceDE w:val="0"/>
        <w:autoSpaceDN w:val="0"/>
        <w:spacing w:after="0" w:line="276" w:lineRule="auto"/>
        <w:jc w:val="both"/>
        <w:rPr>
          <w:rFonts w:ascii="Verdana" w:hAnsi="Verdana" w:cs="Arial"/>
          <w:color w:val="000000" w:themeColor="text1"/>
          <w:lang w:val="es-ES"/>
        </w:rPr>
      </w:pPr>
    </w:p>
    <w:p w14:paraId="276AEE46" w14:textId="77777777" w:rsidR="005D0A82" w:rsidRPr="00DD0F57" w:rsidRDefault="005D0A82" w:rsidP="005D0A82">
      <w:pPr>
        <w:pStyle w:val="ListParagraph"/>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color w:val="000000" w:themeColor="text1"/>
        </w:rPr>
      </w:pPr>
      <w:r w:rsidRPr="00DD0F57">
        <w:rPr>
          <w:rFonts w:ascii="Verdana" w:eastAsia="Century Gothic" w:hAnsi="Verdana" w:cs="Century Gothic"/>
          <w:b/>
          <w:bCs/>
          <w:color w:val="000000" w:themeColor="text1"/>
        </w:rPr>
        <w:t>Doctrina de la Agencia Nacional de Contratación Pública:</w:t>
      </w:r>
    </w:p>
    <w:p w14:paraId="4C43B37E" w14:textId="77777777" w:rsidR="005D0A82" w:rsidRPr="00DD0F57" w:rsidRDefault="005D0A82" w:rsidP="005D0A82">
      <w:pPr>
        <w:widowControl w:val="0"/>
        <w:autoSpaceDE w:val="0"/>
        <w:autoSpaceDN w:val="0"/>
        <w:spacing w:after="0" w:line="276" w:lineRule="auto"/>
        <w:jc w:val="both"/>
        <w:rPr>
          <w:rFonts w:ascii="Verdana" w:hAnsi="Verdana" w:cs="Arial"/>
          <w:color w:val="000000" w:themeColor="text1"/>
          <w:lang w:val="es-ES"/>
        </w:rPr>
      </w:pPr>
    </w:p>
    <w:p w14:paraId="5C49CE3A" w14:textId="77777777" w:rsidR="005D0A82" w:rsidRPr="00DD0F57" w:rsidRDefault="005D0A82" w:rsidP="005D0A82">
      <w:pPr>
        <w:jc w:val="both"/>
        <w:rPr>
          <w:rStyle w:val="normaltextrun"/>
          <w:rFonts w:ascii="Verdana" w:eastAsia="Calibri" w:hAnsi="Verdana" w:cs="Arial"/>
          <w:b/>
          <w:bCs/>
          <w:color w:val="000000" w:themeColor="text1"/>
          <w:lang w:val="es-ES" w:eastAsia="es-ES"/>
        </w:rPr>
      </w:pPr>
      <w:r w:rsidRPr="00DD0F57">
        <w:rPr>
          <w:rStyle w:val="normaltextrun"/>
          <w:rFonts w:ascii="Verdana" w:hAnsi="Verdana" w:cs="Arial"/>
          <w:color w:val="000000" w:themeColor="text1"/>
          <w:shd w:val="clear" w:color="auto" w:fill="FFFFFF"/>
          <w:lang w:val="es-ES"/>
        </w:rPr>
        <w:t>La Agencia Nacional de Contratación Pública – Colombia Compra Eficiente</w:t>
      </w:r>
      <w:r>
        <w:rPr>
          <w:rStyle w:val="normaltextrun"/>
          <w:rFonts w:ascii="Verdana" w:hAnsi="Verdana" w:cs="Arial"/>
          <w:color w:val="000000" w:themeColor="text1"/>
          <w:shd w:val="clear" w:color="auto" w:fill="FFFFFF"/>
          <w:lang w:val="es-ES"/>
        </w:rPr>
        <w:t xml:space="preserve"> se ha pronunciado sobre </w:t>
      </w:r>
      <w:r w:rsidRPr="004B73BB">
        <w:rPr>
          <w:rFonts w:ascii="Verdana" w:hAnsi="Verdana" w:cs="Arial"/>
        </w:rPr>
        <w:t xml:space="preserve">la capacidad financiera como requisito habilitante en los conceptos Nro. 4201912000006798 del 24 de octubre de 2019, C-002 del 12 de febrero de 2020, C-089 del 4 de marzo de 2020, C-099 del 06 de abril de 2020, C-166 del 14 de abril de 2020, C-233 del 16 de abril de 2020, C-326 del 9 de junio de 2020, C-140 del 9 de abril de 2021, C-215 del 27 de junio de 2023, C-006 del 14 de marzo de 2024, C-026 del 02 de abril de 2024, C-028 del 22 de marzo de 2024, C-029 </w:t>
      </w:r>
      <w:r>
        <w:rPr>
          <w:rFonts w:ascii="Verdana" w:hAnsi="Verdana" w:cs="Arial"/>
        </w:rPr>
        <w:t xml:space="preserve">del </w:t>
      </w:r>
      <w:r w:rsidRPr="004B73BB">
        <w:rPr>
          <w:rFonts w:ascii="Verdana" w:hAnsi="Verdana" w:cs="Arial"/>
        </w:rPr>
        <w:t>02 de abril de 2024, C-333 del 27 de agosto de 2024, C-334 del  27 de agosto de 2024, C-530 del 04 de octubre de 2024, C-595 del 24 de octubre de 2024, C-865 del 30 de diciembre de 2024, C-899 del 30 de diciembre de 2024 y C-996 del 29 de enero de 2025</w:t>
      </w:r>
      <w:r>
        <w:rPr>
          <w:rFonts w:ascii="Verdana" w:hAnsi="Verdana" w:cs="Arial"/>
        </w:rPr>
        <w:t xml:space="preserve">, </w:t>
      </w:r>
      <w:r w:rsidRPr="00F350BF">
        <w:rPr>
          <w:rFonts w:ascii="Verdana" w:eastAsia="Calibri" w:hAnsi="Verdana" w:cs="Arial"/>
          <w:lang w:eastAsia="es-ES"/>
        </w:rPr>
        <w:t>C-097 del 05 de marzo de 2025</w:t>
      </w:r>
      <w:r w:rsidRPr="00DD0F57">
        <w:rPr>
          <w:rStyle w:val="normaltextrun"/>
          <w:rFonts w:ascii="Verdana" w:hAnsi="Verdana" w:cs="Arial"/>
          <w:shd w:val="clear" w:color="auto" w:fill="FFFFFF"/>
          <w:lang w:val="es-ES"/>
        </w:rPr>
        <w:t>.</w:t>
      </w:r>
      <w:r>
        <w:rPr>
          <w:rStyle w:val="normaltextrun"/>
          <w:rFonts w:ascii="Verdana" w:hAnsi="Verdana" w:cs="Arial"/>
          <w:shd w:val="clear" w:color="auto" w:fill="FFFFFF"/>
          <w:lang w:val="es-ES"/>
        </w:rPr>
        <w:t xml:space="preserve"> Estos y</w:t>
      </w:r>
      <w:r w:rsidRPr="00DD0F57">
        <w:rPr>
          <w:rStyle w:val="normaltextrun"/>
          <w:rFonts w:ascii="Verdana" w:hAnsi="Verdana" w:cs="Arial"/>
          <w:shd w:val="clear" w:color="auto" w:fill="FFFFFF"/>
          <w:lang w:val="es-ES"/>
        </w:rPr>
        <w:t xml:space="preserve"> </w:t>
      </w:r>
      <w:r>
        <w:rPr>
          <w:rStyle w:val="normaltextrun"/>
          <w:rFonts w:ascii="Verdana" w:hAnsi="Verdana" w:cs="Arial"/>
          <w:shd w:val="clear" w:color="auto" w:fill="FFFFFF"/>
          <w:lang w:val="es-ES"/>
        </w:rPr>
        <w:t>o</w:t>
      </w:r>
      <w:r w:rsidRPr="00DD0F57">
        <w:rPr>
          <w:rStyle w:val="normaltextrun"/>
          <w:rFonts w:ascii="Verdana" w:hAnsi="Verdana" w:cs="Arial"/>
          <w:shd w:val="clear" w:color="auto" w:fill="FFFFFF"/>
          <w:lang w:val="es-ES"/>
        </w:rPr>
        <w:t>tros conceptos se encuentran disponibles para consulta en el Sistema de relatoría de la Agencia</w:t>
      </w:r>
      <w:r w:rsidRPr="00DD0F57">
        <w:rPr>
          <w:rFonts w:ascii="Verdana" w:hAnsi="Verdana"/>
          <w:lang w:val="es-ES"/>
        </w:rPr>
        <w:t>, al cual puede accederse a través del siguiente enlace:</w:t>
      </w:r>
      <w:r w:rsidRPr="00DD0F57">
        <w:rPr>
          <w:rStyle w:val="normaltextrun"/>
          <w:rFonts w:ascii="Verdana" w:hAnsi="Verdana" w:cs="Arial"/>
          <w:shd w:val="clear" w:color="auto" w:fill="FFFFFF"/>
          <w:lang w:val="es-ES"/>
        </w:rPr>
        <w:t xml:space="preserve"> </w:t>
      </w:r>
      <w:hyperlink r:id="rId16" w:history="1">
        <w:r w:rsidRPr="00DD0F57">
          <w:rPr>
            <w:rStyle w:val="Hyperlink"/>
            <w:rFonts w:ascii="Verdana" w:hAnsi="Verdana" w:cs="Arial"/>
            <w:shd w:val="clear" w:color="auto" w:fill="FFFFFF"/>
            <w:lang w:val="es-ES"/>
          </w:rPr>
          <w:t>https://relatoria.colombiacompra.gov.co/busqueda/conceptos</w:t>
        </w:r>
      </w:hyperlink>
      <w:r w:rsidRPr="00DD0F57">
        <w:rPr>
          <w:rStyle w:val="normaltextrun"/>
          <w:rFonts w:ascii="Verdana" w:hAnsi="Verdana" w:cs="Arial"/>
          <w:shd w:val="clear" w:color="auto" w:fill="FFFFFF"/>
          <w:lang w:val="es-ES"/>
        </w:rPr>
        <w:t>.</w:t>
      </w:r>
      <w:r w:rsidRPr="00DD0F57">
        <w:rPr>
          <w:rStyle w:val="normaltextrun"/>
          <w:rFonts w:ascii="Verdana" w:hAnsi="Verdana" w:cs="Arial"/>
          <w:color w:val="FF0000"/>
          <w:shd w:val="clear" w:color="auto" w:fill="FFFFFF"/>
          <w:lang w:val="es-ES"/>
        </w:rPr>
        <w:t xml:space="preserve"> </w:t>
      </w:r>
    </w:p>
    <w:p w14:paraId="16795EAA" w14:textId="77777777" w:rsidR="005D0A82" w:rsidRPr="00DD0F57" w:rsidRDefault="005D0A82" w:rsidP="005D0A82">
      <w:pPr>
        <w:widowControl w:val="0"/>
        <w:autoSpaceDE w:val="0"/>
        <w:autoSpaceDN w:val="0"/>
        <w:spacing w:after="0" w:line="276" w:lineRule="auto"/>
        <w:jc w:val="both"/>
        <w:rPr>
          <w:rStyle w:val="normaltextrun"/>
          <w:rFonts w:ascii="Verdana" w:hAnsi="Verdana" w:cs="Arial"/>
          <w:color w:val="FF0000"/>
          <w:shd w:val="clear" w:color="auto" w:fill="FFFFFF"/>
          <w:lang w:val="es-ES"/>
        </w:rPr>
      </w:pPr>
    </w:p>
    <w:p w14:paraId="49316032" w14:textId="77777777" w:rsidR="005D0A82" w:rsidRPr="00DD0F57" w:rsidRDefault="005D0A82" w:rsidP="005D0A82">
      <w:pPr>
        <w:spacing w:after="0" w:line="276" w:lineRule="auto"/>
        <w:jc w:val="both"/>
        <w:rPr>
          <w:rFonts w:ascii="Verdana" w:hAnsi="Verdana"/>
          <w:lang w:val="es-ES"/>
        </w:rPr>
      </w:pPr>
      <w:r w:rsidRPr="00DD0F57">
        <w:rPr>
          <w:rFonts w:ascii="Verdana" w:hAnsi="Verdana"/>
          <w:lang w:val="es-ES"/>
        </w:rPr>
        <w:t xml:space="preserve">Por último, lo invitamos a seguirnos en las redes sociales en las cuales se difunde información institucional: </w:t>
      </w:r>
    </w:p>
    <w:p w14:paraId="06444019" w14:textId="77777777" w:rsidR="005D0A82" w:rsidRPr="00DD0F57" w:rsidRDefault="005D0A82" w:rsidP="005D0A82">
      <w:pPr>
        <w:spacing w:after="0" w:line="276" w:lineRule="auto"/>
        <w:jc w:val="both"/>
        <w:rPr>
          <w:rFonts w:ascii="Verdana" w:hAnsi="Verdana"/>
          <w:lang w:val="es-ES"/>
        </w:rPr>
      </w:pPr>
    </w:p>
    <w:p w14:paraId="035BC212" w14:textId="77777777" w:rsidR="005D0A82" w:rsidRPr="00DD0F57" w:rsidRDefault="005D0A82" w:rsidP="005D0A82">
      <w:pPr>
        <w:spacing w:after="0" w:line="276" w:lineRule="auto"/>
        <w:jc w:val="both"/>
        <w:rPr>
          <w:rFonts w:ascii="Verdana" w:hAnsi="Verdana"/>
          <w:lang w:val="es-ES"/>
        </w:rPr>
      </w:pPr>
      <w:r w:rsidRPr="00DD0F57">
        <w:rPr>
          <w:rFonts w:ascii="Verdana" w:hAnsi="Verdana"/>
          <w:lang w:val="es-ES"/>
        </w:rPr>
        <w:t xml:space="preserve">Twitter: </w:t>
      </w:r>
      <w:r w:rsidRPr="00DD0F57">
        <w:rPr>
          <w:rStyle w:val="Hyperlink"/>
          <w:rFonts w:ascii="Verdana" w:hAnsi="Verdana" w:cs="Arial"/>
          <w:shd w:val="clear" w:color="auto" w:fill="FFFFFF"/>
          <w:lang w:val="es-ES"/>
        </w:rPr>
        <w:t>@colombiacompra</w:t>
      </w:r>
      <w:r w:rsidRPr="00DD0F57">
        <w:rPr>
          <w:rFonts w:ascii="Verdana" w:hAnsi="Verdana"/>
          <w:color w:val="4472C4" w:themeColor="accent1"/>
          <w:lang w:val="es-ES"/>
        </w:rPr>
        <w:t xml:space="preserve"> </w:t>
      </w:r>
    </w:p>
    <w:p w14:paraId="7230EED9" w14:textId="77777777" w:rsidR="005D0A82" w:rsidRPr="00DD0F57" w:rsidRDefault="005D0A82" w:rsidP="005D0A82">
      <w:pPr>
        <w:spacing w:after="0" w:line="276" w:lineRule="auto"/>
        <w:jc w:val="both"/>
        <w:rPr>
          <w:rFonts w:ascii="Verdana" w:hAnsi="Verdana"/>
          <w:lang w:val="es-ES"/>
        </w:rPr>
      </w:pPr>
      <w:r w:rsidRPr="00DD0F57">
        <w:rPr>
          <w:rFonts w:ascii="Verdana" w:hAnsi="Verdana"/>
          <w:lang w:val="es-ES"/>
        </w:rPr>
        <w:t xml:space="preserve">Facebook: </w:t>
      </w:r>
      <w:proofErr w:type="spellStart"/>
      <w:r w:rsidRPr="00DD0F57">
        <w:rPr>
          <w:rStyle w:val="Hyperlink"/>
          <w:rFonts w:ascii="Verdana" w:hAnsi="Verdana" w:cs="Arial"/>
          <w:shd w:val="clear" w:color="auto" w:fill="FFFFFF"/>
          <w:lang w:val="es-ES"/>
        </w:rPr>
        <w:t>ColombiaCompraEficiente</w:t>
      </w:r>
      <w:proofErr w:type="spellEnd"/>
    </w:p>
    <w:p w14:paraId="5A47F184" w14:textId="77777777" w:rsidR="005D0A82" w:rsidRPr="00DD0F57" w:rsidRDefault="005D0A82" w:rsidP="005D0A82">
      <w:pPr>
        <w:spacing w:after="0" w:line="276" w:lineRule="auto"/>
        <w:jc w:val="both"/>
        <w:rPr>
          <w:rFonts w:ascii="Verdana" w:hAnsi="Verdana"/>
          <w:lang w:val="es-ES"/>
        </w:rPr>
      </w:pPr>
      <w:r w:rsidRPr="00DD0F57">
        <w:rPr>
          <w:rFonts w:ascii="Verdana" w:hAnsi="Verdana"/>
          <w:lang w:val="es-ES"/>
        </w:rPr>
        <w:t xml:space="preserve">LinkedIn: </w:t>
      </w:r>
      <w:r w:rsidRPr="00DD0F57">
        <w:rPr>
          <w:rStyle w:val="Hyperlink"/>
          <w:rFonts w:ascii="Verdana" w:hAnsi="Verdana" w:cs="Arial"/>
          <w:shd w:val="clear" w:color="auto" w:fill="FFFFFF"/>
          <w:lang w:val="es-ES"/>
        </w:rPr>
        <w:t xml:space="preserve">Agencia Nacional de Contratación Pública - Colombia Compra Eficiente </w:t>
      </w:r>
      <w:r w:rsidRPr="00DD0F57">
        <w:rPr>
          <w:rFonts w:ascii="Verdana" w:hAnsi="Verdana"/>
          <w:lang w:val="es-ES"/>
        </w:rPr>
        <w:t xml:space="preserve">Instagram: </w:t>
      </w:r>
      <w:r w:rsidRPr="00DD0F57">
        <w:rPr>
          <w:rStyle w:val="Hyperlink"/>
          <w:rFonts w:ascii="Verdana" w:hAnsi="Verdana" w:cs="Arial"/>
          <w:shd w:val="clear" w:color="auto" w:fill="FFFFFF"/>
          <w:lang w:val="es-ES"/>
        </w:rPr>
        <w:t>@colombiacompraeficiente_cce</w:t>
      </w:r>
    </w:p>
    <w:p w14:paraId="15094A5E" w14:textId="77777777" w:rsidR="005D0A82" w:rsidRPr="00DD0F57" w:rsidRDefault="005D0A82" w:rsidP="005D0A82">
      <w:pPr>
        <w:widowControl w:val="0"/>
        <w:autoSpaceDE w:val="0"/>
        <w:autoSpaceDN w:val="0"/>
        <w:spacing w:after="0" w:line="276" w:lineRule="auto"/>
        <w:jc w:val="both"/>
        <w:rPr>
          <w:rFonts w:ascii="Verdana" w:hAnsi="Verdana" w:cs="Arial"/>
          <w:color w:val="000000" w:themeColor="text1"/>
          <w:lang w:val="es-ES"/>
        </w:rPr>
      </w:pPr>
    </w:p>
    <w:p w14:paraId="2076C3D4" w14:textId="77777777" w:rsidR="005D0A82" w:rsidRPr="00DD0F57" w:rsidRDefault="005D0A82" w:rsidP="005D0A82">
      <w:pPr>
        <w:widowControl w:val="0"/>
        <w:autoSpaceDE w:val="0"/>
        <w:autoSpaceDN w:val="0"/>
        <w:spacing w:after="0" w:line="276" w:lineRule="auto"/>
        <w:jc w:val="both"/>
        <w:rPr>
          <w:rFonts w:ascii="Verdana" w:hAnsi="Verdana" w:cs="Arial"/>
          <w:color w:val="000000" w:themeColor="text1"/>
          <w:lang w:val="es-ES"/>
        </w:rPr>
      </w:pPr>
      <w:r w:rsidRPr="00DD0F57">
        <w:rPr>
          <w:rFonts w:ascii="Verdana" w:hAnsi="Verdana" w:cs="Arial"/>
          <w:color w:val="000000" w:themeColor="text1"/>
          <w:lang w:val="es-ES"/>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07436107" w14:textId="77777777" w:rsidR="005D0A82" w:rsidRPr="00DD0F57" w:rsidRDefault="005D0A82" w:rsidP="005D0A82">
      <w:pPr>
        <w:widowControl w:val="0"/>
        <w:autoSpaceDE w:val="0"/>
        <w:autoSpaceDN w:val="0"/>
        <w:spacing w:after="0" w:line="276" w:lineRule="auto"/>
        <w:jc w:val="both"/>
        <w:rPr>
          <w:rFonts w:ascii="Verdana" w:hAnsi="Verdana" w:cs="Arial"/>
          <w:color w:val="000000" w:themeColor="text1"/>
          <w:lang w:val="es-ES"/>
        </w:rPr>
      </w:pPr>
    </w:p>
    <w:p w14:paraId="3EEE082F" w14:textId="1F7C08A4" w:rsidR="005D0A82" w:rsidRDefault="008077FE" w:rsidP="005D0A82">
      <w:pPr>
        <w:spacing w:after="0" w:line="276" w:lineRule="auto"/>
        <w:rPr>
          <w:rFonts w:ascii="Verdana" w:hAnsi="Verdana" w:cs="Arial"/>
          <w:color w:val="000000" w:themeColor="text1"/>
          <w:lang w:val="es-ES" w:eastAsia="es-CO"/>
        </w:rPr>
      </w:pPr>
      <w:r w:rsidRPr="004D5C25">
        <w:rPr>
          <w:rFonts w:ascii="Century Gothic" w:hAnsi="Century Gothic"/>
          <w:noProof/>
        </w:rPr>
        <w:drawing>
          <wp:anchor distT="0" distB="0" distL="114300" distR="114300" simplePos="0" relativeHeight="251658240" behindDoc="0" locked="0" layoutInCell="1" allowOverlap="1" wp14:anchorId="04F2795A" wp14:editId="08F16B53">
            <wp:simplePos x="0" y="0"/>
            <wp:positionH relativeFrom="column">
              <wp:posOffset>1259130</wp:posOffset>
            </wp:positionH>
            <wp:positionV relativeFrom="paragraph">
              <wp:posOffset>194945</wp:posOffset>
            </wp:positionV>
            <wp:extent cx="3465830" cy="1487805"/>
            <wp:effectExtent l="0" t="0" r="1270" b="0"/>
            <wp:wrapSquare wrapText="bothSides"/>
            <wp:docPr id="1822740040"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740040" name="Imagen 1" descr="Texto&#10;&#10;Descripción generada automáticamente"/>
                    <pic:cNvPicPr/>
                  </pic:nvPicPr>
                  <pic:blipFill>
                    <a:blip r:embed="rId17">
                      <a:extLst>
                        <a:ext uri="{28A0092B-C50C-407E-A947-70E740481C1C}">
                          <a14:useLocalDpi xmlns:a14="http://schemas.microsoft.com/office/drawing/2010/main" val="0"/>
                        </a:ext>
                      </a:extLst>
                    </a:blip>
                    <a:stretch>
                      <a:fillRect/>
                    </a:stretch>
                  </pic:blipFill>
                  <pic:spPr>
                    <a:xfrm>
                      <a:off x="0" y="0"/>
                      <a:ext cx="3465830" cy="1487805"/>
                    </a:xfrm>
                    <a:prstGeom prst="rect">
                      <a:avLst/>
                    </a:prstGeom>
                  </pic:spPr>
                </pic:pic>
              </a:graphicData>
            </a:graphic>
            <wp14:sizeRelH relativeFrom="page">
              <wp14:pctWidth>0</wp14:pctWidth>
            </wp14:sizeRelH>
            <wp14:sizeRelV relativeFrom="page">
              <wp14:pctHeight>0</wp14:pctHeight>
            </wp14:sizeRelV>
          </wp:anchor>
        </w:drawing>
      </w:r>
      <w:r w:rsidR="005D0A82" w:rsidRPr="00DD0F57">
        <w:rPr>
          <w:rFonts w:ascii="Verdana" w:eastAsia="Times New Roman" w:hAnsi="Verdana" w:cs="Arial"/>
          <w:color w:val="000000" w:themeColor="text1"/>
          <w:lang w:val="es-ES" w:eastAsia="es-CO"/>
        </w:rPr>
        <w:t>Atentamente,</w:t>
      </w:r>
      <w:r w:rsidR="005D0A82" w:rsidRPr="00DD0F57">
        <w:rPr>
          <w:rFonts w:ascii="Verdana" w:hAnsi="Verdana" w:cs="Arial"/>
          <w:color w:val="000000" w:themeColor="text1"/>
          <w:lang w:val="es-ES" w:eastAsia="es-CO"/>
        </w:rPr>
        <w:t xml:space="preserve"> </w:t>
      </w:r>
    </w:p>
    <w:p w14:paraId="685C4DA3" w14:textId="060F9962" w:rsidR="008077FE" w:rsidRPr="00DD0F57" w:rsidRDefault="008077FE" w:rsidP="005D0A82">
      <w:pPr>
        <w:spacing w:after="0" w:line="276" w:lineRule="auto"/>
        <w:rPr>
          <w:rFonts w:ascii="Verdana" w:hAnsi="Verdana" w:cs="Arial"/>
          <w:color w:val="000000" w:themeColor="text1"/>
          <w:lang w:val="es-ES" w:eastAsia="es-CO"/>
        </w:rPr>
      </w:pPr>
    </w:p>
    <w:p w14:paraId="4CBCC738" w14:textId="77777777" w:rsidR="005D0A82" w:rsidRPr="00DD0F57" w:rsidRDefault="005D0A82" w:rsidP="005D0A82">
      <w:pPr>
        <w:spacing w:line="276" w:lineRule="auto"/>
        <w:rPr>
          <w:lang w:val="es-ES"/>
        </w:rPr>
      </w:pPr>
    </w:p>
    <w:tbl>
      <w:tblPr>
        <w:tblStyle w:val="TableGrid"/>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5D0A82" w:rsidRPr="00DD0F57" w14:paraId="4769DB32" w14:textId="77777777" w:rsidTr="001966D9">
        <w:trPr>
          <w:trHeight w:val="315"/>
        </w:trPr>
        <w:tc>
          <w:tcPr>
            <w:tcW w:w="893" w:type="dxa"/>
            <w:vAlign w:val="center"/>
            <w:hideMark/>
          </w:tcPr>
          <w:p w14:paraId="01338883" w14:textId="77777777" w:rsidR="005D0A82" w:rsidRPr="00DD0F57" w:rsidRDefault="005D0A82" w:rsidP="001966D9">
            <w:pPr>
              <w:contextualSpacing/>
              <w:rPr>
                <w:rFonts w:ascii="Verdana" w:hAnsi="Verdana" w:cs="Arial"/>
                <w:sz w:val="15"/>
                <w:szCs w:val="15"/>
                <w:lang w:val="es-ES" w:eastAsia="es-ES"/>
              </w:rPr>
            </w:pPr>
            <w:r w:rsidRPr="00DD0F57">
              <w:rPr>
                <w:rFonts w:ascii="Verdana" w:hAnsi="Verdana" w:cs="Arial"/>
                <w:sz w:val="15"/>
                <w:szCs w:val="15"/>
                <w:lang w:val="es-ES" w:eastAsia="es-ES"/>
              </w:rPr>
              <w:t>Elaboró:</w:t>
            </w:r>
          </w:p>
        </w:tc>
        <w:tc>
          <w:tcPr>
            <w:tcW w:w="5628" w:type="dxa"/>
            <w:tcBorders>
              <w:top w:val="nil"/>
              <w:left w:val="nil"/>
              <w:bottom w:val="dotted" w:sz="4" w:space="0" w:color="7F7F7F" w:themeColor="text1" w:themeTint="80"/>
              <w:right w:val="nil"/>
            </w:tcBorders>
            <w:vAlign w:val="center"/>
            <w:hideMark/>
          </w:tcPr>
          <w:p w14:paraId="3108C2E9" w14:textId="77777777" w:rsidR="005D0A82" w:rsidRPr="00DD0F57" w:rsidRDefault="005D0A82" w:rsidP="001966D9">
            <w:pPr>
              <w:contextualSpacing/>
              <w:rPr>
                <w:rFonts w:ascii="Verdana" w:eastAsia="Arial" w:hAnsi="Verdana" w:cs="Arial"/>
                <w:color w:val="000000" w:themeColor="text1"/>
                <w:sz w:val="15"/>
                <w:szCs w:val="15"/>
                <w:lang w:val="es-ES"/>
              </w:rPr>
            </w:pPr>
            <w:r w:rsidRPr="00DD0F57">
              <w:rPr>
                <w:rFonts w:ascii="Verdana" w:eastAsia="Arial" w:hAnsi="Verdana" w:cs="Arial"/>
                <w:color w:val="000000" w:themeColor="text1"/>
                <w:sz w:val="15"/>
                <w:szCs w:val="15"/>
                <w:lang w:val="es-ES"/>
              </w:rPr>
              <w:t>Anamaría Bonilla Prieto</w:t>
            </w:r>
          </w:p>
          <w:p w14:paraId="382A3CC3" w14:textId="77777777" w:rsidR="005D0A82" w:rsidRPr="00DD0F57" w:rsidRDefault="005D0A82" w:rsidP="001966D9">
            <w:pPr>
              <w:contextualSpacing/>
              <w:rPr>
                <w:rFonts w:ascii="Verdana" w:eastAsia="Arial" w:hAnsi="Verdana" w:cs="Arial"/>
                <w:sz w:val="15"/>
                <w:szCs w:val="15"/>
                <w:lang w:val="es-ES"/>
              </w:rPr>
            </w:pPr>
            <w:r w:rsidRPr="00DD0F57">
              <w:rPr>
                <w:rStyle w:val="normaltextrun"/>
                <w:rFonts w:ascii="Verdana" w:eastAsia="Arial" w:hAnsi="Verdana" w:cs="Arial"/>
                <w:color w:val="000000" w:themeColor="text1"/>
                <w:sz w:val="15"/>
                <w:szCs w:val="15"/>
                <w:lang w:val="es-ES"/>
              </w:rPr>
              <w:t xml:space="preserve">Contratista de la Subdirección </w:t>
            </w:r>
            <w:r w:rsidRPr="00DD0F57">
              <w:rPr>
                <w:rStyle w:val="normaltextrun"/>
                <w:rFonts w:ascii="Verdana" w:eastAsia="Arial" w:hAnsi="Verdana" w:cs="Arial"/>
                <w:sz w:val="15"/>
                <w:szCs w:val="15"/>
                <w:lang w:val="es-ES"/>
              </w:rPr>
              <w:t>de Gestión Contractual</w:t>
            </w:r>
          </w:p>
        </w:tc>
      </w:tr>
      <w:tr w:rsidR="005D0A82" w:rsidRPr="00DD0F57" w14:paraId="1EE828A1" w14:textId="77777777" w:rsidTr="001966D9">
        <w:trPr>
          <w:trHeight w:val="330"/>
        </w:trPr>
        <w:tc>
          <w:tcPr>
            <w:tcW w:w="893" w:type="dxa"/>
            <w:vAlign w:val="center"/>
            <w:hideMark/>
          </w:tcPr>
          <w:p w14:paraId="430AE0EF" w14:textId="77777777" w:rsidR="005D0A82" w:rsidRPr="00DD0F57" w:rsidRDefault="005D0A82" w:rsidP="001966D9">
            <w:pPr>
              <w:contextualSpacing/>
              <w:rPr>
                <w:rFonts w:ascii="Verdana" w:hAnsi="Verdana" w:cs="Arial"/>
                <w:sz w:val="15"/>
                <w:szCs w:val="15"/>
                <w:lang w:val="es-ES" w:eastAsia="es-ES"/>
              </w:rPr>
            </w:pPr>
            <w:r w:rsidRPr="00DD0F57">
              <w:rPr>
                <w:rFonts w:ascii="Verdana" w:hAnsi="Verdana" w:cs="Arial"/>
                <w:sz w:val="15"/>
                <w:szCs w:val="15"/>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13640D83" w14:textId="77777777" w:rsidR="005D0A82" w:rsidRPr="00DD0F57" w:rsidRDefault="005D0A82" w:rsidP="001966D9">
            <w:pPr>
              <w:contextualSpacing/>
              <w:rPr>
                <w:rFonts w:ascii="Verdana" w:eastAsia="Arial" w:hAnsi="Verdana" w:cs="Arial"/>
                <w:color w:val="000000" w:themeColor="text1"/>
                <w:sz w:val="15"/>
                <w:szCs w:val="15"/>
                <w:lang w:val="es-ES"/>
              </w:rPr>
            </w:pPr>
            <w:r w:rsidRPr="00DD0F57">
              <w:rPr>
                <w:rFonts w:ascii="Verdana" w:eastAsia="Arial" w:hAnsi="Verdana" w:cs="Arial"/>
                <w:color w:val="000000" w:themeColor="text1"/>
                <w:sz w:val="15"/>
                <w:szCs w:val="15"/>
                <w:lang w:val="es-ES"/>
              </w:rPr>
              <w:t>Alejandro Sarmiento Cantillo</w:t>
            </w:r>
          </w:p>
          <w:p w14:paraId="00672885" w14:textId="77777777" w:rsidR="005D0A82" w:rsidRPr="00DD0F57" w:rsidRDefault="005D0A82" w:rsidP="001966D9">
            <w:pPr>
              <w:pStyle w:val="paragraph"/>
              <w:spacing w:before="0" w:beforeAutospacing="0" w:after="0" w:afterAutospacing="0"/>
              <w:contextualSpacing/>
              <w:textAlignment w:val="baseline"/>
              <w:rPr>
                <w:rFonts w:ascii="Verdana" w:hAnsi="Verdana" w:cs="Segoe UI"/>
                <w:sz w:val="15"/>
                <w:szCs w:val="15"/>
                <w:lang w:val="es-ES"/>
              </w:rPr>
            </w:pPr>
            <w:r w:rsidRPr="00DD0F57">
              <w:rPr>
                <w:rFonts w:ascii="Verdana" w:eastAsia="Arial" w:hAnsi="Verdana" w:cs="Arial"/>
                <w:color w:val="000000" w:themeColor="text1"/>
                <w:sz w:val="15"/>
                <w:szCs w:val="15"/>
                <w:lang w:val="es-ES"/>
              </w:rPr>
              <w:t>Gestor T1 – 15 de la Subdirección de Gestión Contractual</w:t>
            </w:r>
            <w:r w:rsidRPr="00DD0F57">
              <w:rPr>
                <w:rFonts w:ascii="Verdana" w:hAnsi="Verdana" w:cs="Segoe UI"/>
                <w:sz w:val="15"/>
                <w:szCs w:val="15"/>
                <w:lang w:val="es-ES"/>
              </w:rPr>
              <w:t> </w:t>
            </w:r>
          </w:p>
          <w:p w14:paraId="108A2633" w14:textId="77777777" w:rsidR="005D0A82" w:rsidRPr="00DD0F57" w:rsidRDefault="005D0A82" w:rsidP="001966D9">
            <w:pPr>
              <w:pStyle w:val="paragraph"/>
              <w:spacing w:before="0" w:beforeAutospacing="0" w:after="0" w:afterAutospacing="0"/>
              <w:contextualSpacing/>
              <w:textAlignment w:val="baseline"/>
              <w:rPr>
                <w:rFonts w:ascii="Verdana" w:hAnsi="Verdana" w:cs="Segoe UI"/>
                <w:sz w:val="15"/>
                <w:szCs w:val="15"/>
                <w:lang w:val="es-ES"/>
              </w:rPr>
            </w:pPr>
          </w:p>
        </w:tc>
      </w:tr>
      <w:tr w:rsidR="005D0A82" w:rsidRPr="00DD0F57" w14:paraId="77BDDBC7" w14:textId="77777777" w:rsidTr="001966D9">
        <w:trPr>
          <w:trHeight w:val="300"/>
        </w:trPr>
        <w:tc>
          <w:tcPr>
            <w:tcW w:w="893" w:type="dxa"/>
            <w:vAlign w:val="center"/>
          </w:tcPr>
          <w:p w14:paraId="4B6B6FE0" w14:textId="77777777" w:rsidR="005D0A82" w:rsidRPr="00DD0F57" w:rsidRDefault="005D0A82" w:rsidP="001966D9">
            <w:pPr>
              <w:contextualSpacing/>
              <w:rPr>
                <w:rFonts w:ascii="Verdana" w:hAnsi="Verdana" w:cs="Arial"/>
                <w:sz w:val="15"/>
                <w:szCs w:val="15"/>
                <w:lang w:val="es-ES" w:eastAsia="es-ES"/>
              </w:rPr>
            </w:pPr>
            <w:r w:rsidRPr="00DD0F57">
              <w:rPr>
                <w:rFonts w:ascii="Verdana" w:hAnsi="Verdana" w:cs="Arial"/>
                <w:sz w:val="15"/>
                <w:szCs w:val="15"/>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73AFCA0D" w14:textId="77777777" w:rsidR="005D0A82" w:rsidRPr="00DD0F57" w:rsidRDefault="005D0A82" w:rsidP="001966D9">
            <w:pPr>
              <w:contextualSpacing/>
              <w:rPr>
                <w:rFonts w:ascii="Verdana" w:eastAsia="Calibri" w:hAnsi="Verdana" w:cs="Arial"/>
                <w:sz w:val="16"/>
                <w:szCs w:val="16"/>
                <w:lang w:val="es-ES" w:eastAsia="es-ES"/>
              </w:rPr>
            </w:pPr>
            <w:r w:rsidRPr="00DD0F57">
              <w:rPr>
                <w:rFonts w:ascii="Verdana" w:eastAsia="Calibri" w:hAnsi="Verdana" w:cs="Arial"/>
                <w:sz w:val="16"/>
                <w:szCs w:val="16"/>
                <w:lang w:val="es-ES" w:eastAsia="es-ES"/>
              </w:rPr>
              <w:t>Carolina Quintero Gacharná</w:t>
            </w:r>
          </w:p>
          <w:p w14:paraId="39E74138" w14:textId="77777777" w:rsidR="005D0A82" w:rsidRPr="00DD0F57" w:rsidRDefault="005D0A82" w:rsidP="001966D9">
            <w:pPr>
              <w:contextualSpacing/>
              <w:rPr>
                <w:rFonts w:ascii="Verdana" w:eastAsia="Calibri" w:hAnsi="Verdana" w:cs="Arial"/>
                <w:sz w:val="15"/>
                <w:szCs w:val="15"/>
                <w:lang w:val="es-ES" w:eastAsia="es-ES"/>
              </w:rPr>
            </w:pPr>
            <w:r w:rsidRPr="00DD0F57">
              <w:rPr>
                <w:rFonts w:ascii="Verdana" w:eastAsia="Calibri" w:hAnsi="Verdana" w:cs="Arial"/>
                <w:sz w:val="16"/>
                <w:szCs w:val="16"/>
                <w:lang w:val="es-ES" w:eastAsia="es-ES"/>
              </w:rPr>
              <w:t>Subdirectora de Gestión Contractual ANCP – CCE</w:t>
            </w:r>
          </w:p>
        </w:tc>
      </w:tr>
      <w:bookmarkEnd w:id="0"/>
    </w:tbl>
    <w:p w14:paraId="57D31B3F" w14:textId="77777777" w:rsidR="005D0A82" w:rsidRPr="00DD0F57" w:rsidRDefault="005D0A82" w:rsidP="005D0A82">
      <w:pPr>
        <w:rPr>
          <w:lang w:val="es-ES"/>
        </w:rPr>
      </w:pPr>
    </w:p>
    <w:p w14:paraId="0F293BF4" w14:textId="097FC987" w:rsidR="00127233" w:rsidRPr="00467385" w:rsidRDefault="00127233" w:rsidP="00467385"/>
    <w:sectPr w:rsidR="00127233" w:rsidRPr="00467385" w:rsidSect="007C0C0F">
      <w:headerReference w:type="default" r:id="rId18"/>
      <w:footerReference w:type="default" r:id="rId19"/>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0B6FA1" w14:textId="77777777" w:rsidR="009A270F" w:rsidRDefault="009A270F" w:rsidP="004A1847">
      <w:pPr>
        <w:spacing w:after="0" w:line="240" w:lineRule="auto"/>
      </w:pPr>
      <w:r>
        <w:separator/>
      </w:r>
    </w:p>
  </w:endnote>
  <w:endnote w:type="continuationSeparator" w:id="0">
    <w:p w14:paraId="15E81FD7" w14:textId="77777777" w:rsidR="009A270F" w:rsidRDefault="009A270F" w:rsidP="004A1847">
      <w:pPr>
        <w:spacing w:after="0" w:line="240" w:lineRule="auto"/>
      </w:pPr>
      <w:r>
        <w:continuationSeparator/>
      </w:r>
    </w:p>
  </w:endnote>
  <w:endnote w:type="continuationNotice" w:id="1">
    <w:p w14:paraId="5B0EFE0E" w14:textId="77777777" w:rsidR="009A270F" w:rsidRDefault="009A27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eomanist Light">
    <w:altName w:val="Calibri"/>
    <w:panose1 w:val="020B0604020202020204"/>
    <w:charset w:val="00"/>
    <w:family w:val="modern"/>
    <w:notTrueType/>
    <w:pitch w:val="variable"/>
    <w:sig w:usb0="A000002F" w:usb1="1000004A" w:usb2="00000000" w:usb3="00000000" w:csb0="00000193" w:csb1="00000000"/>
  </w:font>
  <w:font w:name="Geomanist">
    <w:altName w:val="Calibri"/>
    <w:panose1 w:val="020B06040202020202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10006FF" w:usb1="4000205B" w:usb2="00000010" w:usb3="00000000" w:csb0="0000019F" w:csb1="00000000"/>
  </w:font>
  <w:font w:name="Arial MT">
    <w:altName w:val="Arial"/>
    <w:panose1 w:val="020B0604020202020204"/>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20B0604020202020204"/>
    <w:charset w:val="00"/>
    <w:family w:val="modern"/>
    <w:notTrueType/>
    <w:pitch w:val="variable"/>
    <w:sig w:usb0="A000002F" w:usb1="1000004A" w:usb2="00000000" w:usb3="00000000" w:csb0="00000193" w:csb1="00000000"/>
  </w:font>
  <w:font w:name="Geo">
    <w:altName w:val="Calibri"/>
    <w:panose1 w:val="020B0604020202020204"/>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11A32" w14:textId="6CE791A4" w:rsidR="004A1847" w:rsidRDefault="004A1847">
    <w:pPr>
      <w:pStyle w:val="Footer"/>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6C8D41" w14:textId="77777777" w:rsidR="009A270F" w:rsidRDefault="009A270F" w:rsidP="004A1847">
      <w:pPr>
        <w:spacing w:after="0" w:line="240" w:lineRule="auto"/>
      </w:pPr>
      <w:r>
        <w:separator/>
      </w:r>
    </w:p>
  </w:footnote>
  <w:footnote w:type="continuationSeparator" w:id="0">
    <w:p w14:paraId="4B28454F" w14:textId="77777777" w:rsidR="009A270F" w:rsidRDefault="009A270F" w:rsidP="004A1847">
      <w:pPr>
        <w:spacing w:after="0" w:line="240" w:lineRule="auto"/>
      </w:pPr>
      <w:r>
        <w:continuationSeparator/>
      </w:r>
    </w:p>
  </w:footnote>
  <w:footnote w:type="continuationNotice" w:id="1">
    <w:p w14:paraId="54B1C959" w14:textId="77777777" w:rsidR="009A270F" w:rsidRDefault="009A270F">
      <w:pPr>
        <w:spacing w:after="0" w:line="240" w:lineRule="auto"/>
      </w:pPr>
    </w:p>
  </w:footnote>
  <w:footnote w:id="2">
    <w:p w14:paraId="2032A4AB" w14:textId="77777777" w:rsidR="005D0A82" w:rsidRPr="00E40017" w:rsidRDefault="005D0A82" w:rsidP="005D0A82">
      <w:pPr>
        <w:pStyle w:val="NormalWeb"/>
        <w:spacing w:before="0" w:beforeAutospacing="0" w:after="0" w:afterAutospacing="0"/>
        <w:ind w:firstLine="708"/>
        <w:jc w:val="both"/>
        <w:rPr>
          <w:rFonts w:ascii="Verdana" w:eastAsia="Calibri" w:hAnsi="Verdana" w:cs="Arial"/>
          <w:color w:val="000000"/>
          <w:sz w:val="15"/>
          <w:szCs w:val="15"/>
          <w:lang w:val="es-ES_tradnl" w:eastAsia="es-ES_tradnl"/>
        </w:rPr>
      </w:pPr>
      <w:r w:rsidRPr="00E40017">
        <w:rPr>
          <w:rStyle w:val="FootnoteReference"/>
          <w:rFonts w:ascii="Verdana" w:hAnsi="Verdana" w:cs="Arial"/>
          <w:color w:val="000000" w:themeColor="text1"/>
          <w:sz w:val="15"/>
          <w:szCs w:val="15"/>
        </w:rPr>
        <w:footnoteRef/>
      </w:r>
      <w:r w:rsidRPr="00E40017">
        <w:rPr>
          <w:rFonts w:ascii="Verdana" w:hAnsi="Verdana" w:cs="Arial"/>
          <w:color w:val="000000" w:themeColor="text1"/>
          <w:sz w:val="15"/>
          <w:szCs w:val="15"/>
        </w:rPr>
        <w:t xml:space="preserve"> </w:t>
      </w:r>
      <w:r w:rsidRPr="00E40017">
        <w:rPr>
          <w:rFonts w:ascii="Verdana" w:eastAsia="Calibri" w:hAnsi="Verdana" w:cs="Arial"/>
          <w:color w:val="000000"/>
          <w:sz w:val="15"/>
          <w:szCs w:val="15"/>
          <w:lang w:val="es-ES_tradnl" w:eastAsia="es-ES_tradnl"/>
        </w:rPr>
        <w:t>Ley 1150 de 2007: “Artículo 6. 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51E3F1C9" w14:textId="77777777" w:rsidR="005D0A82" w:rsidRPr="00E40017" w:rsidRDefault="005D0A82" w:rsidP="005D0A82">
      <w:pPr>
        <w:pStyle w:val="NormalWeb"/>
        <w:spacing w:before="0" w:beforeAutospacing="0" w:after="0" w:afterAutospacing="0"/>
        <w:ind w:firstLine="708"/>
        <w:jc w:val="both"/>
        <w:rPr>
          <w:rFonts w:ascii="Verdana" w:eastAsia="Calibri" w:hAnsi="Verdana" w:cs="Arial"/>
          <w:color w:val="000000"/>
          <w:sz w:val="15"/>
          <w:szCs w:val="15"/>
          <w:lang w:val="es-ES_tradnl" w:eastAsia="es-ES_tradnl"/>
        </w:rPr>
      </w:pPr>
      <w:r w:rsidRPr="00E40017">
        <w:rPr>
          <w:rFonts w:ascii="Verdana" w:eastAsia="Calibri" w:hAnsi="Verdana" w:cs="Arial"/>
          <w:color w:val="000000"/>
          <w:sz w:val="15"/>
          <w:szCs w:val="15"/>
          <w:lang w:val="es-ES_tradnl" w:eastAsia="es-ES_tradnl"/>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p w14:paraId="30BF98AB" w14:textId="77777777" w:rsidR="005D0A82" w:rsidRPr="00E40017" w:rsidRDefault="005D0A82" w:rsidP="005D0A82">
      <w:pPr>
        <w:pStyle w:val="NormalWeb"/>
        <w:spacing w:before="0" w:beforeAutospacing="0" w:after="0" w:afterAutospacing="0"/>
        <w:ind w:firstLine="708"/>
        <w:jc w:val="both"/>
        <w:rPr>
          <w:rFonts w:ascii="Verdana" w:hAnsi="Verdana" w:cs="Arial"/>
          <w:color w:val="000000" w:themeColor="text1"/>
          <w:sz w:val="15"/>
          <w:szCs w:val="15"/>
        </w:rPr>
      </w:pPr>
      <w:r w:rsidRPr="00E40017">
        <w:rPr>
          <w:rFonts w:ascii="Verdana" w:eastAsia="Calibri" w:hAnsi="Verdana" w:cs="Arial"/>
          <w:color w:val="000000"/>
          <w:sz w:val="15"/>
          <w:szCs w:val="15"/>
          <w:lang w:val="es-ES_tradnl" w:eastAsia="es-ES_tradnl"/>
        </w:rPr>
        <w:t>En dicho registro constará la información relacionada con la experiencia, capacidad jurídica, financiera y de organización del proponente y su clasificación”.</w:t>
      </w:r>
    </w:p>
  </w:footnote>
  <w:footnote w:id="3">
    <w:p w14:paraId="41509A22" w14:textId="77777777" w:rsidR="005D0A82" w:rsidRPr="00E40017" w:rsidRDefault="005D0A82" w:rsidP="005D0A82">
      <w:pPr>
        <w:pStyle w:val="FootnoteText"/>
        <w:ind w:firstLine="709"/>
        <w:jc w:val="both"/>
        <w:rPr>
          <w:rFonts w:ascii="Verdana" w:hAnsi="Verdana" w:cs="Arial"/>
          <w:sz w:val="15"/>
          <w:szCs w:val="15"/>
          <w:lang w:val="es-ES"/>
        </w:rPr>
      </w:pPr>
      <w:r w:rsidRPr="00E40017">
        <w:rPr>
          <w:rStyle w:val="FootnoteReference"/>
          <w:rFonts w:ascii="Verdana" w:hAnsi="Verdana" w:cs="Arial"/>
          <w:sz w:val="15"/>
          <w:szCs w:val="15"/>
        </w:rPr>
        <w:footnoteRef/>
      </w:r>
      <w:r w:rsidRPr="00E40017">
        <w:rPr>
          <w:rFonts w:ascii="Verdana" w:hAnsi="Verdana" w:cs="Arial"/>
          <w:sz w:val="15"/>
          <w:szCs w:val="15"/>
        </w:rPr>
        <w:t xml:space="preserve"> </w:t>
      </w:r>
      <w:r w:rsidRPr="00BE13B9">
        <w:rPr>
          <w:rFonts w:ascii="Verdana" w:hAnsi="Verdana" w:cs="Arial"/>
          <w:sz w:val="15"/>
          <w:szCs w:val="15"/>
          <w:lang w:val="es-CO"/>
        </w:rPr>
        <w:t xml:space="preserve">Agencia Nacional de Contratación Pública – Colombia Compra Eficiente. "Manual para determinar y verificar los requisitos habilitantes en los Procesos de Contratación". Disponible en: </w:t>
      </w:r>
      <w:hyperlink r:id="rId1" w:history="1">
        <w:r w:rsidRPr="00BE13B9">
          <w:rPr>
            <w:rStyle w:val="Hyperlink"/>
            <w:rFonts w:ascii="Verdana" w:hAnsi="Verdana" w:cs="Arial"/>
            <w:sz w:val="15"/>
            <w:szCs w:val="15"/>
            <w:lang w:val="es-CO"/>
          </w:rPr>
          <w:t>https://www.colombiacompra.gov.co/sites/cce_public/files/cce_documents/cce-eicp-ma-04._manual_requisitos_habilitantes_v3_29-09-2023.pdf</w:t>
        </w:r>
      </w:hyperlink>
    </w:p>
    <w:p w14:paraId="4C35E52A" w14:textId="77777777" w:rsidR="005D0A82" w:rsidRPr="00E40017" w:rsidRDefault="005D0A82" w:rsidP="005D0A82">
      <w:pPr>
        <w:pStyle w:val="FootnoteText"/>
        <w:ind w:firstLine="709"/>
        <w:jc w:val="both"/>
        <w:rPr>
          <w:rFonts w:ascii="Verdana" w:hAnsi="Verdana" w:cs="Arial"/>
          <w:sz w:val="15"/>
          <w:szCs w:val="15"/>
          <w:lang w:val="es-ES"/>
        </w:rPr>
      </w:pPr>
    </w:p>
  </w:footnote>
  <w:footnote w:id="4">
    <w:p w14:paraId="4AA55BCB" w14:textId="77777777" w:rsidR="005D0A82" w:rsidRPr="00E40017" w:rsidRDefault="005D0A82" w:rsidP="005D0A82">
      <w:pPr>
        <w:pStyle w:val="FootnoteText"/>
        <w:ind w:firstLine="708"/>
        <w:jc w:val="both"/>
        <w:rPr>
          <w:rFonts w:ascii="Verdana" w:eastAsia="Calibri" w:hAnsi="Verdana" w:cs="Arial"/>
          <w:color w:val="000000"/>
          <w:sz w:val="15"/>
          <w:szCs w:val="15"/>
          <w:lang w:val="es-ES_tradnl" w:eastAsia="es-ES_tradnl"/>
        </w:rPr>
      </w:pPr>
      <w:r w:rsidRPr="00BE13B9">
        <w:rPr>
          <w:rFonts w:ascii="Verdana" w:eastAsia="Calibri" w:hAnsi="Verdana"/>
          <w:color w:val="000000"/>
          <w:sz w:val="15"/>
          <w:szCs w:val="15"/>
          <w:vertAlign w:val="superscript"/>
          <w:lang w:val="es-ES_tradnl" w:eastAsia="es-ES_tradnl"/>
        </w:rPr>
        <w:footnoteRef/>
      </w:r>
      <w:r w:rsidRPr="00E40017">
        <w:rPr>
          <w:rFonts w:ascii="Verdana" w:eastAsia="Calibri" w:hAnsi="Verdana" w:cs="Arial"/>
          <w:color w:val="000000"/>
          <w:sz w:val="15"/>
          <w:szCs w:val="15"/>
          <w:lang w:val="es-ES_tradnl" w:eastAsia="es-ES_tradnl"/>
        </w:rPr>
        <w:t xml:space="preserve"> Para la realización de los respectivos análisis del sector de los Procesos de Contratación, esta Agencia recomienda tener en cuenta la última modificación de la “Guía de Elaboración de Estudios del Sector”, que puede ser consultada en el siguiente link: </w:t>
      </w:r>
      <w:hyperlink r:id="rId2" w:history="1">
        <w:r w:rsidRPr="00E40017">
          <w:rPr>
            <w:rFonts w:ascii="Verdana" w:hAnsi="Verdana"/>
            <w:color w:val="000000"/>
            <w:sz w:val="15"/>
            <w:szCs w:val="15"/>
            <w:lang w:val="es-ES_tradnl" w:eastAsia="es-ES_tradnl"/>
          </w:rPr>
          <w:t>https://www.colombiacompra.gov.co/sites/cce_public/files/cce_documentos/cce-eicp-gi-18._gees_v.2_2.pdf</w:t>
        </w:r>
      </w:hyperlink>
      <w:r w:rsidRPr="00E40017">
        <w:rPr>
          <w:rFonts w:ascii="Verdana" w:eastAsia="Calibri" w:hAnsi="Verdana" w:cs="Arial"/>
          <w:color w:val="000000"/>
          <w:sz w:val="15"/>
          <w:szCs w:val="15"/>
          <w:lang w:val="es-ES_tradnl" w:eastAsia="es-ES_tradnl"/>
        </w:rPr>
        <w:t xml:space="preserve"> </w:t>
      </w:r>
    </w:p>
    <w:p w14:paraId="44BF44ED" w14:textId="77777777" w:rsidR="005D0A82" w:rsidRPr="00E40017" w:rsidRDefault="005D0A82" w:rsidP="005D0A82">
      <w:pPr>
        <w:pStyle w:val="FootnoteText"/>
        <w:ind w:firstLine="708"/>
        <w:jc w:val="both"/>
        <w:rPr>
          <w:rFonts w:ascii="Verdana" w:eastAsia="Calibri" w:hAnsi="Verdana" w:cs="Arial"/>
          <w:color w:val="000000"/>
          <w:sz w:val="15"/>
          <w:szCs w:val="15"/>
          <w:lang w:val="es-ES_tradnl" w:eastAsia="es-ES_tradnl"/>
        </w:rPr>
      </w:pPr>
    </w:p>
  </w:footnote>
  <w:footnote w:id="5">
    <w:p w14:paraId="78C40B31" w14:textId="77777777" w:rsidR="005D0A82" w:rsidRPr="00E40017" w:rsidRDefault="005D0A82" w:rsidP="005D0A82">
      <w:pPr>
        <w:pStyle w:val="FootnoteText"/>
        <w:ind w:firstLine="708"/>
        <w:jc w:val="both"/>
        <w:rPr>
          <w:rFonts w:ascii="Verdana" w:eastAsia="Calibri" w:hAnsi="Verdana" w:cs="Arial"/>
          <w:color w:val="000000"/>
          <w:sz w:val="15"/>
          <w:szCs w:val="15"/>
          <w:lang w:val="es-ES_tradnl" w:eastAsia="es-ES_tradnl"/>
        </w:rPr>
      </w:pPr>
      <w:r w:rsidRPr="00BE13B9">
        <w:rPr>
          <w:rFonts w:ascii="Verdana" w:eastAsia="Calibri" w:hAnsi="Verdana"/>
          <w:color w:val="000000"/>
          <w:sz w:val="15"/>
          <w:szCs w:val="15"/>
          <w:vertAlign w:val="superscript"/>
          <w:lang w:val="es-ES_tradnl" w:eastAsia="es-ES_tradnl"/>
        </w:rPr>
        <w:footnoteRef/>
      </w:r>
      <w:r w:rsidRPr="00BE13B9">
        <w:rPr>
          <w:rFonts w:ascii="Verdana" w:eastAsia="Calibri" w:hAnsi="Verdana" w:cs="Arial"/>
          <w:color w:val="000000"/>
          <w:sz w:val="15"/>
          <w:szCs w:val="15"/>
          <w:vertAlign w:val="superscript"/>
          <w:lang w:val="es-ES_tradnl" w:eastAsia="es-ES_tradnl"/>
        </w:rPr>
        <w:t xml:space="preserve"> </w:t>
      </w:r>
      <w:r w:rsidRPr="00E40017">
        <w:rPr>
          <w:rFonts w:ascii="Verdana" w:eastAsia="Calibri" w:hAnsi="Verdana" w:cs="Arial"/>
          <w:color w:val="000000"/>
          <w:sz w:val="15"/>
          <w:szCs w:val="15"/>
          <w:lang w:val="es-ES_tradnl" w:eastAsia="es-ES_tradnl"/>
        </w:rPr>
        <w:t>Decreto 1082 de 2015: “Artículo 2.2.1.1.1.6.2. Determinación de los Requisitos Habilitantes. La Entidad Estatal debe establecer los requisitos habilitantes en los pliegos de condiciones o en la invitación, teniendo en cuenta: (a) el Riesgo del Proceso de Contratación; (b) el valor del contrato objeto del Proceso de Contratación; (c) el análisis del sector económico respectivo; y (d) el conocimiento de fondo de los posibles oferentes desde la perspectiva comercial. La Entidad Estatal no debe limitarse a la aplicación mecánica de fórmulas financieras para verificar los requisitos habilitantes”.</w:t>
      </w:r>
    </w:p>
  </w:footnote>
  <w:footnote w:id="6">
    <w:p w14:paraId="13EE4180" w14:textId="77777777" w:rsidR="005D0A82" w:rsidRPr="00E40017" w:rsidRDefault="005D0A82" w:rsidP="005D0A82">
      <w:pPr>
        <w:pStyle w:val="FootnoteText"/>
        <w:ind w:firstLine="708"/>
        <w:jc w:val="both"/>
        <w:rPr>
          <w:rFonts w:ascii="Verdana" w:eastAsia="Calibri" w:hAnsi="Verdana" w:cs="Arial"/>
          <w:color w:val="000000"/>
          <w:sz w:val="15"/>
          <w:szCs w:val="15"/>
          <w:lang w:val="es-ES_tradnl" w:eastAsia="es-ES_tradnl"/>
        </w:rPr>
      </w:pPr>
    </w:p>
    <w:p w14:paraId="36539827" w14:textId="77777777" w:rsidR="005D0A82" w:rsidRPr="00E40017" w:rsidRDefault="005D0A82" w:rsidP="005D0A82">
      <w:pPr>
        <w:pStyle w:val="FootnoteText"/>
        <w:ind w:firstLine="708"/>
        <w:jc w:val="both"/>
        <w:rPr>
          <w:rFonts w:ascii="Verdana" w:eastAsia="Calibri" w:hAnsi="Verdana" w:cs="Arial"/>
          <w:color w:val="000000"/>
          <w:sz w:val="15"/>
          <w:szCs w:val="15"/>
          <w:lang w:val="es-ES_tradnl" w:eastAsia="es-ES_tradnl"/>
        </w:rPr>
      </w:pPr>
      <w:r w:rsidRPr="00E40017">
        <w:rPr>
          <w:rFonts w:ascii="Verdana" w:eastAsia="Calibri" w:hAnsi="Verdana"/>
          <w:color w:val="000000"/>
          <w:sz w:val="15"/>
          <w:szCs w:val="15"/>
          <w:lang w:val="es-ES_tradnl" w:eastAsia="es-ES_tradnl"/>
        </w:rPr>
        <w:footnoteRef/>
      </w:r>
      <w:r w:rsidRPr="00E40017">
        <w:rPr>
          <w:rFonts w:ascii="Verdana" w:eastAsia="Calibri" w:hAnsi="Verdana" w:cs="Arial"/>
          <w:color w:val="000000"/>
          <w:sz w:val="15"/>
          <w:szCs w:val="15"/>
          <w:lang w:val="es-ES_tradnl" w:eastAsia="es-ES_tradnl"/>
        </w:rPr>
        <w:t xml:space="preserve"> Decreto 1082 de 2015: “</w:t>
      </w:r>
      <w:r w:rsidRPr="00E40017">
        <w:rPr>
          <w:rFonts w:ascii="Verdana" w:eastAsia="Calibri" w:hAnsi="Verdana"/>
          <w:sz w:val="15"/>
          <w:szCs w:val="15"/>
          <w:lang w:val="es-ES_tradnl" w:eastAsia="es-ES_tradnl"/>
        </w:rPr>
        <w:t>Artículo 2.2.1.1.1.5.2. </w:t>
      </w:r>
      <w:r w:rsidRPr="00E40017">
        <w:rPr>
          <w:rFonts w:ascii="Verdana" w:eastAsia="Calibri" w:hAnsi="Verdana"/>
          <w:i/>
          <w:iCs/>
          <w:sz w:val="15"/>
          <w:szCs w:val="15"/>
          <w:lang w:val="es-ES_tradnl" w:eastAsia="es-ES_tradnl"/>
        </w:rPr>
        <w:t>Información para inscripción, renovación o actualización. </w:t>
      </w:r>
      <w:r w:rsidRPr="00E40017">
        <w:rPr>
          <w:rFonts w:ascii="Verdana" w:eastAsia="Calibri" w:hAnsi="Verdana" w:cs="Arial"/>
          <w:color w:val="000000"/>
          <w:sz w:val="15"/>
          <w:szCs w:val="15"/>
          <w:lang w:val="es-ES_tradnl" w:eastAsia="es-ES_tradnl"/>
        </w:rPr>
        <w:t>El interesado debe presentar a cualquier cámara de comercio del país una solicitud de registro, acompañada de la siguiente información. La cámara de comercio del domicilio del solicitante es la responsable de la inscripción, renovación o actualización correspondiente: </w:t>
      </w:r>
    </w:p>
    <w:p w14:paraId="4000E30A" w14:textId="77777777" w:rsidR="005D0A82" w:rsidRPr="00E40017" w:rsidRDefault="005D0A82" w:rsidP="005D0A82">
      <w:pPr>
        <w:pStyle w:val="FootnoteText"/>
        <w:ind w:firstLine="708"/>
        <w:jc w:val="both"/>
        <w:rPr>
          <w:rFonts w:ascii="Verdana" w:eastAsia="Calibri" w:hAnsi="Verdana" w:cs="Arial"/>
          <w:color w:val="000000"/>
          <w:sz w:val="15"/>
          <w:szCs w:val="15"/>
          <w:lang w:val="es-ES_tradnl" w:eastAsia="es-ES_tradnl"/>
        </w:rPr>
      </w:pPr>
      <w:r w:rsidRPr="00E40017">
        <w:rPr>
          <w:rFonts w:ascii="Verdana" w:eastAsia="Calibri" w:hAnsi="Verdana" w:cs="Arial"/>
          <w:color w:val="000000"/>
          <w:sz w:val="15"/>
          <w:szCs w:val="15"/>
          <w:lang w:val="es-ES_tradnl" w:eastAsia="es-ES_tradnl"/>
        </w:rPr>
        <w:t>[…]</w:t>
      </w:r>
    </w:p>
    <w:p w14:paraId="7D12CC6C" w14:textId="77777777" w:rsidR="005D0A82" w:rsidRPr="00E40017" w:rsidRDefault="005D0A82" w:rsidP="005D0A82">
      <w:pPr>
        <w:pStyle w:val="FootnoteText"/>
        <w:ind w:firstLine="708"/>
        <w:jc w:val="both"/>
        <w:rPr>
          <w:rFonts w:ascii="Verdana" w:eastAsia="Calibri" w:hAnsi="Verdana" w:cs="Arial"/>
          <w:color w:val="000000"/>
          <w:sz w:val="15"/>
          <w:szCs w:val="15"/>
          <w:lang w:val="es-ES_tradnl" w:eastAsia="es-ES_tradnl"/>
        </w:rPr>
      </w:pPr>
      <w:r w:rsidRPr="00E40017">
        <w:rPr>
          <w:rFonts w:ascii="Verdana" w:eastAsia="Calibri" w:hAnsi="Verdana" w:cs="Arial"/>
          <w:color w:val="000000"/>
          <w:sz w:val="15"/>
          <w:szCs w:val="15"/>
          <w:lang w:val="es-ES_tradnl" w:eastAsia="es-ES_tradnl"/>
        </w:rPr>
        <w:t xml:space="preserve">2.3. Estados financieros de la sociedad y los estados financieros consolidados del grupo empresarial, cuando la norma aplicable lo exige, auditados con sus notas y los siguientes anexos, suscritos por el representante legal y el revisor fiscal, si la persona jurídica está obligada a tenerlo, o suscritos por el representante legal y el auditor o contador si la persona jurídica no está obligada a tener revisor fiscal: </w:t>
      </w:r>
    </w:p>
    <w:p w14:paraId="55394A9D" w14:textId="77777777" w:rsidR="005D0A82" w:rsidRPr="00E40017" w:rsidRDefault="005D0A82" w:rsidP="005D0A82">
      <w:pPr>
        <w:pStyle w:val="FootnoteText"/>
        <w:ind w:firstLine="708"/>
        <w:jc w:val="both"/>
        <w:rPr>
          <w:rFonts w:ascii="Verdana" w:eastAsia="Calibri" w:hAnsi="Verdana" w:cs="Arial"/>
          <w:color w:val="000000"/>
          <w:sz w:val="15"/>
          <w:szCs w:val="15"/>
          <w:lang w:val="es-ES_tradnl" w:eastAsia="es-ES_tradnl"/>
        </w:rPr>
      </w:pPr>
      <w:r w:rsidRPr="00E40017">
        <w:rPr>
          <w:rFonts w:ascii="Verdana" w:eastAsia="Calibri" w:hAnsi="Verdana" w:cs="Arial"/>
          <w:color w:val="000000"/>
          <w:sz w:val="15"/>
          <w:szCs w:val="15"/>
          <w:lang w:val="es-ES_tradnl" w:eastAsia="es-ES_tradnl"/>
        </w:rPr>
        <w:t xml:space="preserve">I. Principales cuentas detalladas del balance general. </w:t>
      </w:r>
    </w:p>
    <w:p w14:paraId="11F03AC9" w14:textId="77777777" w:rsidR="005D0A82" w:rsidRPr="00E40017" w:rsidRDefault="005D0A82" w:rsidP="005D0A82">
      <w:pPr>
        <w:pStyle w:val="FootnoteText"/>
        <w:ind w:firstLine="708"/>
        <w:jc w:val="both"/>
        <w:rPr>
          <w:rFonts w:ascii="Verdana" w:eastAsia="Calibri" w:hAnsi="Verdana" w:cs="Arial"/>
          <w:color w:val="000000"/>
          <w:sz w:val="15"/>
          <w:szCs w:val="15"/>
          <w:lang w:val="es-ES_tradnl" w:eastAsia="es-ES_tradnl"/>
        </w:rPr>
      </w:pPr>
      <w:r w:rsidRPr="00E40017">
        <w:rPr>
          <w:rFonts w:ascii="Verdana" w:eastAsia="Calibri" w:hAnsi="Verdana" w:cs="Arial"/>
          <w:color w:val="000000"/>
          <w:sz w:val="15"/>
          <w:szCs w:val="15"/>
          <w:lang w:val="es-ES_tradnl" w:eastAsia="es-ES_tradnl"/>
        </w:rPr>
        <w:t xml:space="preserve">II. Principales cuentas del estado de pérdidas y ganancias. </w:t>
      </w:r>
    </w:p>
    <w:p w14:paraId="480BEB04" w14:textId="77777777" w:rsidR="005D0A82" w:rsidRPr="00E40017" w:rsidRDefault="005D0A82" w:rsidP="005D0A82">
      <w:pPr>
        <w:pStyle w:val="FootnoteText"/>
        <w:ind w:firstLine="708"/>
        <w:jc w:val="both"/>
        <w:rPr>
          <w:rFonts w:ascii="Verdana" w:eastAsia="Calibri" w:hAnsi="Verdana" w:cs="Arial"/>
          <w:color w:val="000000"/>
          <w:sz w:val="15"/>
          <w:szCs w:val="15"/>
          <w:lang w:val="es-ES_tradnl" w:eastAsia="es-ES_tradnl"/>
        </w:rPr>
      </w:pPr>
      <w:r w:rsidRPr="00E40017">
        <w:rPr>
          <w:rFonts w:ascii="Verdana" w:eastAsia="Calibri" w:hAnsi="Verdana" w:cs="Arial"/>
          <w:color w:val="000000"/>
          <w:sz w:val="15"/>
          <w:szCs w:val="15"/>
          <w:lang w:val="es-ES_tradnl" w:eastAsia="es-ES_tradnl"/>
        </w:rPr>
        <w:t xml:space="preserve">III. Cuentas contingentes deudoras y acreedoras. </w:t>
      </w:r>
    </w:p>
    <w:p w14:paraId="0C43C290" w14:textId="77777777" w:rsidR="005D0A82" w:rsidRPr="00E40017" w:rsidRDefault="005D0A82" w:rsidP="005D0A82">
      <w:pPr>
        <w:pStyle w:val="FootnoteText"/>
        <w:ind w:firstLine="708"/>
        <w:jc w:val="both"/>
        <w:rPr>
          <w:rFonts w:ascii="Verdana" w:hAnsi="Verdana" w:cs="Arial"/>
          <w:sz w:val="15"/>
          <w:szCs w:val="15"/>
        </w:rPr>
      </w:pPr>
      <w:r w:rsidRPr="00E40017">
        <w:rPr>
          <w:rFonts w:ascii="Verdana" w:eastAsia="Calibri" w:hAnsi="Verdana" w:cs="Arial"/>
          <w:color w:val="000000"/>
          <w:sz w:val="15"/>
          <w:szCs w:val="15"/>
          <w:lang w:val="es-ES_tradnl" w:eastAsia="es-ES_tradnl"/>
        </w:rPr>
        <w:t>Si el interesado no tiene antigüedad suficiente para tener estados financieros auditados a 31 de diciembre, debe inscribirse con estados financieros de corte trimestral, suscritos por el representante legal y el auditor o contador o estados financieros de apertura[...]”</w:t>
      </w:r>
      <w:r w:rsidRPr="00E40017">
        <w:rPr>
          <w:rFonts w:ascii="Verdana" w:hAnsi="Verdana" w:cs="Arial"/>
          <w:sz w:val="15"/>
          <w:szCs w:val="15"/>
        </w:rPr>
        <w:t xml:space="preserve">  </w:t>
      </w:r>
    </w:p>
    <w:p w14:paraId="1E8BB414" w14:textId="77777777" w:rsidR="005D0A82" w:rsidRPr="00E40017" w:rsidRDefault="005D0A82" w:rsidP="005D0A82">
      <w:pPr>
        <w:pStyle w:val="FootnoteText"/>
        <w:ind w:firstLine="708"/>
        <w:jc w:val="both"/>
        <w:rPr>
          <w:rFonts w:ascii="Verdana" w:hAnsi="Verdana" w:cs="Arial"/>
          <w:sz w:val="15"/>
          <w:szCs w:val="15"/>
        </w:rPr>
      </w:pPr>
    </w:p>
  </w:footnote>
  <w:footnote w:id="7">
    <w:p w14:paraId="70882BB8" w14:textId="77777777" w:rsidR="005D0A82" w:rsidRPr="00E40017" w:rsidRDefault="005D0A82" w:rsidP="005D0A82">
      <w:pPr>
        <w:pStyle w:val="FootnoteText"/>
        <w:ind w:firstLine="708"/>
        <w:jc w:val="both"/>
        <w:rPr>
          <w:rFonts w:ascii="Verdana" w:eastAsia="Calibri" w:hAnsi="Verdana" w:cs="Arial"/>
          <w:color w:val="000000"/>
          <w:sz w:val="15"/>
          <w:szCs w:val="15"/>
          <w:lang w:val="es-ES_tradnl" w:eastAsia="es-ES_tradnl"/>
        </w:rPr>
      </w:pPr>
      <w:r w:rsidRPr="00E40017">
        <w:rPr>
          <w:rStyle w:val="FootnoteReference"/>
          <w:rFonts w:ascii="Verdana" w:hAnsi="Verdana" w:cs="Arial"/>
          <w:sz w:val="15"/>
          <w:szCs w:val="15"/>
        </w:rPr>
        <w:footnoteRef/>
      </w:r>
      <w:r w:rsidRPr="00E40017">
        <w:rPr>
          <w:rFonts w:ascii="Verdana" w:hAnsi="Verdana" w:cs="Arial"/>
          <w:sz w:val="15"/>
          <w:szCs w:val="15"/>
        </w:rPr>
        <w:t xml:space="preserve"> </w:t>
      </w:r>
      <w:r w:rsidRPr="00E40017">
        <w:rPr>
          <w:rFonts w:ascii="Verdana" w:eastAsia="Calibri" w:hAnsi="Verdana" w:cs="Arial"/>
          <w:color w:val="000000"/>
          <w:sz w:val="15"/>
          <w:szCs w:val="15"/>
          <w:lang w:val="es-ES_tradnl" w:eastAsia="es-ES_tradnl"/>
        </w:rPr>
        <w:t>Mide la liquidez del proponente de manera más estricta que el índice de liquidez, pues no tiene en cuenta su inventario. El inventario es excluido, teniendo en cuenta que es la cuenta menos líquida del activo corriente y no debe ser usada para pagar las obligaciones de corto plazo.</w:t>
      </w:r>
    </w:p>
  </w:footnote>
  <w:footnote w:id="8">
    <w:p w14:paraId="3302247C" w14:textId="77777777" w:rsidR="005D0A82" w:rsidRPr="00E40017" w:rsidRDefault="005D0A82" w:rsidP="005D0A82">
      <w:pPr>
        <w:pStyle w:val="FootnoteText"/>
        <w:ind w:firstLine="708"/>
        <w:jc w:val="both"/>
        <w:rPr>
          <w:rFonts w:ascii="Verdana" w:eastAsia="Calibri" w:hAnsi="Verdana" w:cs="Arial"/>
          <w:color w:val="000000"/>
          <w:sz w:val="15"/>
          <w:szCs w:val="15"/>
          <w:lang w:val="es-ES_tradnl" w:eastAsia="es-ES_tradnl"/>
        </w:rPr>
      </w:pPr>
      <w:r w:rsidRPr="00E40017">
        <w:rPr>
          <w:rFonts w:ascii="Verdana" w:eastAsia="Calibri" w:hAnsi="Verdana"/>
          <w:color w:val="000000"/>
          <w:sz w:val="15"/>
          <w:szCs w:val="15"/>
          <w:vertAlign w:val="superscript"/>
          <w:lang w:val="es-ES_tradnl" w:eastAsia="es-ES_tradnl"/>
        </w:rPr>
        <w:footnoteRef/>
      </w:r>
      <w:r w:rsidRPr="00E40017">
        <w:rPr>
          <w:rFonts w:ascii="Verdana" w:eastAsia="Calibri" w:hAnsi="Verdana" w:cs="Arial"/>
          <w:color w:val="000000"/>
          <w:sz w:val="15"/>
          <w:szCs w:val="15"/>
          <w:vertAlign w:val="superscript"/>
          <w:lang w:val="es-ES_tradnl" w:eastAsia="es-ES_tradnl"/>
        </w:rPr>
        <w:t xml:space="preserve"> </w:t>
      </w:r>
      <w:r w:rsidRPr="00E40017">
        <w:rPr>
          <w:rFonts w:ascii="Verdana" w:eastAsia="Calibri" w:hAnsi="Verdana" w:cs="Arial"/>
          <w:color w:val="000000"/>
          <w:sz w:val="15"/>
          <w:szCs w:val="15"/>
          <w:lang w:val="es-ES_tradnl" w:eastAsia="es-ES_tradnl"/>
        </w:rPr>
        <w:t>Agencia Nacional de Contratación Pública – Colombia Compra Eficiente, “Manual para determinar y verificar los requisitos habilitantes en los Procesos de Contratación”.</w:t>
      </w:r>
    </w:p>
  </w:footnote>
  <w:footnote w:id="9">
    <w:p w14:paraId="743E7F96" w14:textId="77777777" w:rsidR="005D0A82" w:rsidRPr="00E40017" w:rsidRDefault="005D0A82" w:rsidP="005D0A82">
      <w:pPr>
        <w:pStyle w:val="FootnoteText"/>
        <w:ind w:firstLine="708"/>
        <w:jc w:val="both"/>
        <w:rPr>
          <w:rFonts w:ascii="Verdana" w:hAnsi="Verdana" w:cs="Arial"/>
          <w:sz w:val="15"/>
          <w:szCs w:val="15"/>
        </w:rPr>
      </w:pPr>
      <w:r w:rsidRPr="00E40017">
        <w:rPr>
          <w:rStyle w:val="FootnoteReference"/>
          <w:rFonts w:ascii="Verdana" w:hAnsi="Verdana" w:cs="Arial"/>
          <w:sz w:val="15"/>
          <w:szCs w:val="15"/>
        </w:rPr>
        <w:footnoteRef/>
      </w:r>
      <w:r w:rsidRPr="00E40017">
        <w:rPr>
          <w:rFonts w:ascii="Verdana" w:hAnsi="Verdana" w:cs="Arial"/>
          <w:sz w:val="15"/>
          <w:szCs w:val="15"/>
        </w:rPr>
        <w:t xml:space="preserve"> COMADIRA, Julio Rodolfo. La licitación pública como procedimiento administrativo especial: protección jurídica al oferente. En: El procedimiento administrativo y el control judicial de la administración pública. Madrid: Instituto Nacional de Administración Pública, 2001. pp. 305-307.</w:t>
      </w:r>
    </w:p>
  </w:footnote>
  <w:footnote w:id="10">
    <w:p w14:paraId="1CB195D4" w14:textId="77777777" w:rsidR="005D0A82" w:rsidRPr="00E40017" w:rsidRDefault="005D0A82" w:rsidP="005D0A82">
      <w:pPr>
        <w:pStyle w:val="FootnoteText"/>
        <w:ind w:firstLine="708"/>
        <w:jc w:val="both"/>
        <w:rPr>
          <w:rFonts w:ascii="Verdana" w:hAnsi="Verdana" w:cs="Arial"/>
          <w:sz w:val="15"/>
          <w:szCs w:val="15"/>
        </w:rPr>
      </w:pPr>
      <w:r w:rsidRPr="00E40017">
        <w:rPr>
          <w:rStyle w:val="FootnoteReference"/>
          <w:rFonts w:ascii="Verdana" w:hAnsi="Verdana" w:cs="Arial"/>
          <w:sz w:val="15"/>
          <w:szCs w:val="15"/>
        </w:rPr>
        <w:footnoteRef/>
      </w:r>
      <w:r w:rsidRPr="00E40017">
        <w:rPr>
          <w:rFonts w:ascii="Verdana" w:hAnsi="Verdana" w:cs="Arial"/>
          <w:sz w:val="15"/>
          <w:szCs w:val="15"/>
        </w:rPr>
        <w:t xml:space="preserve"> Cfr. DROMI, Roberto. La licitación pública. Buenos Aires: Ciudad Argentina, 1980. p. 134. Para ESCOBAR GIL, “La finalidad del principio es doble: en primer término, asegura a los asociados la igualdad de oportunidades promoviendo la participación del mayor número de oferentes, y en segundo lugar, facilitar la selección de quien presente la propuesta más favorable en beneficio del interés público […].</w:t>
      </w:r>
    </w:p>
    <w:p w14:paraId="63CDB510" w14:textId="77777777" w:rsidR="005D0A82" w:rsidRPr="00E40017" w:rsidRDefault="005D0A82" w:rsidP="005D0A82">
      <w:pPr>
        <w:pStyle w:val="FootnoteText"/>
        <w:ind w:firstLine="708"/>
        <w:jc w:val="both"/>
        <w:rPr>
          <w:rFonts w:ascii="Verdana" w:hAnsi="Verdana" w:cs="Arial"/>
          <w:sz w:val="15"/>
          <w:szCs w:val="15"/>
        </w:rPr>
      </w:pPr>
      <w:r w:rsidRPr="00E40017">
        <w:rPr>
          <w:rFonts w:ascii="Verdana" w:hAnsi="Verdana" w:cs="Arial"/>
          <w:sz w:val="15"/>
          <w:szCs w:val="15"/>
        </w:rPr>
        <w:t>[…]</w:t>
      </w:r>
    </w:p>
    <w:p w14:paraId="65A818DA" w14:textId="77777777" w:rsidR="005D0A82" w:rsidRPr="00E40017" w:rsidRDefault="005D0A82" w:rsidP="005D0A82">
      <w:pPr>
        <w:pStyle w:val="FootnoteText"/>
        <w:ind w:firstLine="708"/>
        <w:jc w:val="both"/>
        <w:rPr>
          <w:rFonts w:ascii="Verdana" w:hAnsi="Verdana" w:cs="Arial"/>
          <w:sz w:val="15"/>
          <w:szCs w:val="15"/>
        </w:rPr>
      </w:pPr>
      <w:r w:rsidRPr="00E40017">
        <w:rPr>
          <w:rFonts w:ascii="Verdana" w:hAnsi="Verdana" w:cs="Arial"/>
          <w:sz w:val="15"/>
          <w:szCs w:val="15"/>
        </w:rPr>
        <w:t xml:space="preserve">Así mismo, repugna al principio de libertad de concurrencia, la fijación por parte de la Administración Pública de obstáculos y trabas a la participación de los proponentes […]” (Cfr. ESCOBAR GIL, Rodrigo. Teoría general de los contratos de la Administración Pública. Bogotá: Legis, 2000. pp. 154-155).   </w:t>
      </w:r>
    </w:p>
  </w:footnote>
  <w:footnote w:id="11">
    <w:p w14:paraId="7CCE4E90" w14:textId="77777777" w:rsidR="005D0A82" w:rsidRPr="00E40017" w:rsidRDefault="005D0A82" w:rsidP="005D0A82">
      <w:pPr>
        <w:pStyle w:val="FootnoteText"/>
        <w:ind w:firstLine="708"/>
        <w:jc w:val="both"/>
        <w:rPr>
          <w:rFonts w:ascii="Verdana" w:hAnsi="Verdana" w:cs="Arial"/>
          <w:sz w:val="15"/>
          <w:szCs w:val="15"/>
        </w:rPr>
      </w:pPr>
      <w:r w:rsidRPr="00E40017">
        <w:rPr>
          <w:rStyle w:val="FootnoteReference"/>
          <w:rFonts w:ascii="Verdana" w:hAnsi="Verdana" w:cs="Arial"/>
          <w:sz w:val="15"/>
          <w:szCs w:val="15"/>
        </w:rPr>
        <w:footnoteRef/>
      </w:r>
      <w:r w:rsidRPr="00E40017">
        <w:rPr>
          <w:rFonts w:ascii="Verdana" w:hAnsi="Verdana" w:cs="Arial"/>
          <w:sz w:val="15"/>
          <w:szCs w:val="15"/>
        </w:rPr>
        <w:t xml:space="preserve"> Cfr. RAZQUIN LIZARRAGA, Martín María. Los principios generales de la contratación pública. En: Tratado de los contratos del sector público. Tomo I. Valencia: Tirant lo Blanch, 2018. p. 194 y 210.</w:t>
      </w:r>
    </w:p>
  </w:footnote>
  <w:footnote w:id="12">
    <w:p w14:paraId="11A8F5AF" w14:textId="77777777" w:rsidR="005D0A82" w:rsidRPr="00E40017" w:rsidRDefault="005D0A82" w:rsidP="005D0A82">
      <w:pPr>
        <w:pStyle w:val="FootnoteText"/>
        <w:ind w:firstLine="708"/>
        <w:jc w:val="both"/>
        <w:rPr>
          <w:rFonts w:ascii="Verdana" w:hAnsi="Verdana" w:cs="Arial"/>
          <w:sz w:val="15"/>
          <w:szCs w:val="15"/>
        </w:rPr>
      </w:pPr>
      <w:r w:rsidRPr="00E40017">
        <w:rPr>
          <w:rStyle w:val="FootnoteReference"/>
          <w:rFonts w:ascii="Verdana" w:hAnsi="Verdana" w:cs="Arial"/>
          <w:sz w:val="15"/>
          <w:szCs w:val="15"/>
        </w:rPr>
        <w:footnoteRef/>
      </w:r>
      <w:r w:rsidRPr="00E40017">
        <w:rPr>
          <w:rFonts w:ascii="Verdana" w:hAnsi="Verdana" w:cs="Arial"/>
          <w:sz w:val="15"/>
          <w:szCs w:val="15"/>
        </w:rPr>
        <w:t xml:space="preserve"> Respecto a los factores de evaluación, PALACIO HINCAPIÉ considera que “No puede incluirse como factor de escogencia el hecho de que el proponente resida en el domicilio de la entidad contratante, pues ello viola la igualdad de los oferentes; […] tampoco ser nacional o pertenecer a la industria nacional, pues no hay esa protección […]” (PALACIO HINCAPIÉ, Juan Ángel. La contratación de las entidades estatales. Octava edición. Medellín: Librería Jurídica Sánchez R. SAS, 2020. pp. 251-252). Por su parte, GONZÁLEZ LÓPEZ estima que “[…] sería violatorio del principio de igualdad el establecer criterios de ponderación superiores respecto de su origen local y departamental” (p. GONZÁLEZ LÓPEZ, Edgar. El pliego de condiciones en la contratación estatal: la reforma consagrada en la Ley 1150 de 2007 y sus decretos reglamentarios. Bogotá: Universidad Externado de Colombia, 2012. p. 120).</w:t>
      </w:r>
    </w:p>
    <w:p w14:paraId="19E5E85C" w14:textId="77777777" w:rsidR="005D0A82" w:rsidRPr="00E40017" w:rsidRDefault="005D0A82" w:rsidP="005D0A82">
      <w:pPr>
        <w:pStyle w:val="FootnoteText"/>
        <w:ind w:firstLine="708"/>
        <w:jc w:val="both"/>
        <w:rPr>
          <w:rFonts w:ascii="Verdana" w:hAnsi="Verdana" w:cs="Arial"/>
          <w:sz w:val="15"/>
          <w:szCs w:val="15"/>
        </w:rPr>
      </w:pPr>
      <w:r w:rsidRPr="00E40017">
        <w:rPr>
          <w:rFonts w:ascii="Verdana" w:hAnsi="Verdana" w:cs="Arial"/>
          <w:sz w:val="15"/>
          <w:szCs w:val="15"/>
        </w:rPr>
        <w:t>Por ello, el Concepto 2201913000006511 del 3 de septiembre de 2019 menciona lo siguiente: “[…] si la jurisprudencia proscribió fijar este criterio como factor de evaluación, con más razón se debe prohibir como requisito habilitante, porque ellos verifican la aptitud del proponente para presentarse a un proceso de contratación y esta exigencia no determina la aptitud del proponente para ejecutar el contrato. En este sentido, las entidades estatales no deben establecer como requisito habilitante la exigencia que el proponente resida en el lugar donde se ejecutará el contrato”.</w:t>
      </w:r>
    </w:p>
  </w:footnote>
  <w:footnote w:id="13">
    <w:p w14:paraId="240FC43A" w14:textId="77777777" w:rsidR="005D0A82" w:rsidRPr="00E40017" w:rsidRDefault="005D0A82" w:rsidP="005D0A82">
      <w:pPr>
        <w:pStyle w:val="FootnoteText"/>
        <w:ind w:firstLine="708"/>
        <w:jc w:val="both"/>
        <w:rPr>
          <w:rFonts w:ascii="Verdana" w:hAnsi="Verdana" w:cs="Arial"/>
          <w:sz w:val="15"/>
          <w:szCs w:val="15"/>
        </w:rPr>
      </w:pPr>
      <w:r w:rsidRPr="00E40017">
        <w:rPr>
          <w:rStyle w:val="FootnoteReference"/>
          <w:rFonts w:ascii="Verdana" w:hAnsi="Verdana" w:cs="Arial"/>
          <w:sz w:val="15"/>
          <w:szCs w:val="15"/>
        </w:rPr>
        <w:footnoteRef/>
      </w:r>
      <w:r w:rsidRPr="00E40017">
        <w:rPr>
          <w:rFonts w:ascii="Verdana" w:hAnsi="Verdana" w:cs="Arial"/>
          <w:sz w:val="15"/>
          <w:szCs w:val="15"/>
        </w:rPr>
        <w:t xml:space="preserve"> Excepcionalmente, algunas normas acotan ámbitos territoriales para la ejecución </w:t>
      </w:r>
      <w:r>
        <w:rPr>
          <w:rFonts w:ascii="Verdana" w:hAnsi="Verdana" w:cs="Arial"/>
          <w:sz w:val="15"/>
          <w:szCs w:val="15"/>
        </w:rPr>
        <w:t xml:space="preserve">del </w:t>
      </w:r>
      <w:r w:rsidRPr="00E40017">
        <w:rPr>
          <w:rFonts w:ascii="Verdana" w:hAnsi="Verdana" w:cs="Arial"/>
          <w:sz w:val="15"/>
          <w:szCs w:val="15"/>
        </w:rPr>
        <w:t xml:space="preserve">negocio jurídico. Por ejemplo, el inciso primero del artículo 95 de la Ley 2166 del 2021 dispone que “Se autoriza a los entes territoriales del orden Nacional, Departamental, Distrital y municipal para celebrar directamente convenios solidarios con los Organismos de Acción Comunal con el fin de ejecutar obras hasta por la menor cuantía. Para la ejecución de estas deberán contratar con los habitantes de la comunidad”. Esta norma debe concordarse con el artículo 9 </w:t>
      </w:r>
      <w:r w:rsidRPr="00E40017">
        <w:rPr>
          <w:rFonts w:ascii="Verdana" w:hAnsi="Verdana" w:cs="Arial"/>
          <w:i/>
          <w:iCs/>
          <w:sz w:val="15"/>
          <w:szCs w:val="15"/>
        </w:rPr>
        <w:t>ibidem</w:t>
      </w:r>
      <w:r w:rsidRPr="00E40017">
        <w:rPr>
          <w:rFonts w:ascii="Verdana" w:hAnsi="Verdana" w:cs="Arial"/>
          <w:sz w:val="15"/>
          <w:szCs w:val="15"/>
        </w:rPr>
        <w:t>, el cual dispone lo siguiente: “</w:t>
      </w:r>
      <w:r w:rsidRPr="00E40017">
        <w:rPr>
          <w:rFonts w:ascii="Verdana" w:hAnsi="Verdana" w:cs="Arial"/>
          <w:i/>
          <w:iCs/>
          <w:sz w:val="15"/>
          <w:szCs w:val="15"/>
        </w:rPr>
        <w:t>Cada organismo de acción comunal desarrollará sus actividades dentro de un territorio delimitado</w:t>
      </w:r>
      <w:r w:rsidRPr="00E40017">
        <w:rPr>
          <w:rFonts w:ascii="Verdana" w:hAnsi="Verdana" w:cs="Arial"/>
          <w:sz w:val="15"/>
          <w:szCs w:val="15"/>
        </w:rPr>
        <w:t xml:space="preserve"> […]” (Énfasis fuera de texto).</w:t>
      </w:r>
    </w:p>
    <w:p w14:paraId="0BE79E65" w14:textId="77777777" w:rsidR="005D0A82" w:rsidRPr="00E40017" w:rsidRDefault="005D0A82" w:rsidP="005D0A82">
      <w:pPr>
        <w:pStyle w:val="FootnoteText"/>
        <w:ind w:firstLine="708"/>
        <w:jc w:val="both"/>
        <w:rPr>
          <w:rFonts w:ascii="Verdana" w:hAnsi="Verdana" w:cs="Arial"/>
          <w:sz w:val="15"/>
          <w:szCs w:val="15"/>
        </w:rPr>
      </w:pPr>
      <w:r w:rsidRPr="00E40017">
        <w:rPr>
          <w:rFonts w:ascii="Verdana" w:hAnsi="Verdana" w:cs="Arial"/>
          <w:sz w:val="15"/>
          <w:szCs w:val="15"/>
        </w:rPr>
        <w:t xml:space="preserve">Asimismo, de acuerdo con el artículo 101.1 de la Ley 2294 de 2023, a través de las Asociaciones de Iniciativa Público Popular “[…] se podrá desarrollar el diseño, construcción, renovación, reparación, mejoramiento, equipamiento, gestión, operación y mantenimiento de proyectos de infraestructura y demás actividades técnicas necesarias </w:t>
      </w:r>
      <w:r w:rsidRPr="00E40017">
        <w:rPr>
          <w:rFonts w:ascii="Verdana" w:hAnsi="Verdana" w:cs="Arial"/>
          <w:i/>
          <w:iCs/>
          <w:sz w:val="15"/>
          <w:szCs w:val="15"/>
        </w:rPr>
        <w:t>para el cumplimiento del contrato en el respectivo territorio de la respectiva comunidad</w:t>
      </w:r>
      <w:r w:rsidRPr="00E40017">
        <w:rPr>
          <w:rFonts w:ascii="Verdana" w:hAnsi="Verdana" w:cs="Arial"/>
          <w:sz w:val="15"/>
          <w:szCs w:val="15"/>
        </w:rPr>
        <w:t>” (Énfasis fuera de texto).</w:t>
      </w:r>
    </w:p>
  </w:footnote>
  <w:footnote w:id="14">
    <w:p w14:paraId="4FB43A71" w14:textId="77777777" w:rsidR="005D0A82" w:rsidRPr="00E40017" w:rsidRDefault="005D0A82" w:rsidP="005D0A82">
      <w:pPr>
        <w:pStyle w:val="FootnoteText"/>
        <w:ind w:firstLine="709"/>
        <w:jc w:val="both"/>
        <w:rPr>
          <w:rFonts w:ascii="Verdana" w:hAnsi="Verdana" w:cs="Arial"/>
          <w:sz w:val="15"/>
          <w:szCs w:val="15"/>
        </w:rPr>
      </w:pPr>
      <w:r w:rsidRPr="00E40017">
        <w:rPr>
          <w:rStyle w:val="FootnoteReference"/>
          <w:rFonts w:ascii="Verdana" w:hAnsi="Verdana" w:cs="Arial"/>
          <w:sz w:val="15"/>
          <w:szCs w:val="15"/>
        </w:rPr>
        <w:footnoteRef/>
      </w:r>
      <w:r w:rsidRPr="00E40017">
        <w:rPr>
          <w:rFonts w:ascii="Verdana" w:hAnsi="Verdana"/>
          <w:sz w:val="15"/>
          <w:szCs w:val="15"/>
        </w:rPr>
        <w:t xml:space="preserve"> Agencia Nacional de Contratación Pública – Colombia Compra Eficiente. </w:t>
      </w:r>
      <w:r w:rsidRPr="00E40017">
        <w:rPr>
          <w:rFonts w:ascii="Verdana" w:hAnsi="Verdana" w:cs="Arial"/>
          <w:color w:val="000000" w:themeColor="text1"/>
          <w:sz w:val="15"/>
          <w:szCs w:val="15"/>
        </w:rPr>
        <w:t>Guía de Asuntos Corporativos en los Procesos de Contratación</w:t>
      </w:r>
      <w:r w:rsidRPr="00E40017">
        <w:rPr>
          <w:rFonts w:ascii="Verdana" w:hAnsi="Verdana"/>
          <w:sz w:val="15"/>
          <w:szCs w:val="15"/>
        </w:rPr>
        <w:t xml:space="preserve">. Disponible en: </w:t>
      </w:r>
      <w:hyperlink r:id="rId3" w:history="1">
        <w:r w:rsidRPr="00E40017">
          <w:rPr>
            <w:rStyle w:val="Hyperlink"/>
            <w:rFonts w:ascii="Verdana" w:hAnsi="Verdana" w:cs="Arial"/>
            <w:sz w:val="15"/>
            <w:szCs w:val="15"/>
          </w:rPr>
          <w:t>https://colombiacompra.gov.co/sites/cce_public/files/cce_documents/cce_guia_asuntos_corporativos.pdf</w:t>
        </w:r>
      </w:hyperlink>
      <w:r w:rsidRPr="00E40017">
        <w:rPr>
          <w:rFonts w:ascii="Verdana" w:hAnsi="Verdana" w:cs="Arial"/>
          <w:sz w:val="15"/>
          <w:szCs w:val="15"/>
        </w:rPr>
        <w:t xml:space="preserve">. </w:t>
      </w:r>
    </w:p>
    <w:p w14:paraId="5032F244" w14:textId="77777777" w:rsidR="005D0A82" w:rsidRPr="00E40017" w:rsidRDefault="005D0A82" w:rsidP="005D0A82">
      <w:pPr>
        <w:pStyle w:val="FootnoteText"/>
        <w:ind w:firstLine="709"/>
        <w:jc w:val="both"/>
        <w:rPr>
          <w:rFonts w:ascii="Verdana" w:hAnsi="Verdana" w:cs="Arial"/>
          <w:sz w:val="15"/>
          <w:szCs w:val="15"/>
          <w:lang w:val="es-ES_trad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5F4D03" w14:textId="0903BF04" w:rsidR="00756841" w:rsidRDefault="009D3058" w:rsidP="00844AE9">
    <w:pPr>
      <w:pStyle w:val="Header"/>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Header"/>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92" type="#_x0000_t75" style="width:12pt;height:12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1916AB3"/>
    <w:multiLevelType w:val="hybridMultilevel"/>
    <w:tmpl w:val="D61EC1E6"/>
    <w:lvl w:ilvl="0" w:tplc="73DEAA1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5"/>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6"/>
  </w:num>
  <w:num w:numId="8" w16cid:durableId="152644682">
    <w:abstractNumId w:val="12"/>
  </w:num>
  <w:num w:numId="9" w16cid:durableId="1317221377">
    <w:abstractNumId w:val="8"/>
  </w:num>
  <w:num w:numId="10" w16cid:durableId="1471245386">
    <w:abstractNumId w:val="11"/>
  </w:num>
  <w:num w:numId="11" w16cid:durableId="289172385">
    <w:abstractNumId w:val="9"/>
  </w:num>
  <w:num w:numId="12" w16cid:durableId="1470781324">
    <w:abstractNumId w:val="1"/>
  </w:num>
  <w:num w:numId="13" w16cid:durableId="1512908409">
    <w:abstractNumId w:val="4"/>
  </w:num>
  <w:num w:numId="14" w16cid:durableId="895897244">
    <w:abstractNumId w:val="14"/>
  </w:num>
  <w:num w:numId="15" w16cid:durableId="390349800">
    <w:abstractNumId w:val="10"/>
  </w:num>
  <w:num w:numId="16" w16cid:durableId="341274352">
    <w:abstractNumId w:val="0"/>
  </w:num>
  <w:num w:numId="17" w16cid:durableId="5714248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263A"/>
    <w:rsid w:val="00046945"/>
    <w:rsid w:val="00057E37"/>
    <w:rsid w:val="00061B2A"/>
    <w:rsid w:val="000709E8"/>
    <w:rsid w:val="00082362"/>
    <w:rsid w:val="000A4662"/>
    <w:rsid w:val="000A683E"/>
    <w:rsid w:val="000B19B9"/>
    <w:rsid w:val="000D0334"/>
    <w:rsid w:val="000D5DA7"/>
    <w:rsid w:val="000F6486"/>
    <w:rsid w:val="00116940"/>
    <w:rsid w:val="00125105"/>
    <w:rsid w:val="00127233"/>
    <w:rsid w:val="0015699B"/>
    <w:rsid w:val="001A33BF"/>
    <w:rsid w:val="001E4177"/>
    <w:rsid w:val="001F0B24"/>
    <w:rsid w:val="001F7D34"/>
    <w:rsid w:val="001F7DC6"/>
    <w:rsid w:val="0022400B"/>
    <w:rsid w:val="002421BB"/>
    <w:rsid w:val="0025796E"/>
    <w:rsid w:val="002707A2"/>
    <w:rsid w:val="002951A0"/>
    <w:rsid w:val="002962BC"/>
    <w:rsid w:val="002A093D"/>
    <w:rsid w:val="002A0DD0"/>
    <w:rsid w:val="002A387C"/>
    <w:rsid w:val="002A49AC"/>
    <w:rsid w:val="002A5325"/>
    <w:rsid w:val="002A64FD"/>
    <w:rsid w:val="002C7A84"/>
    <w:rsid w:val="002E2BF8"/>
    <w:rsid w:val="002E4FD9"/>
    <w:rsid w:val="0030657A"/>
    <w:rsid w:val="00322A85"/>
    <w:rsid w:val="00324168"/>
    <w:rsid w:val="00330834"/>
    <w:rsid w:val="003448F4"/>
    <w:rsid w:val="00367948"/>
    <w:rsid w:val="00374F5E"/>
    <w:rsid w:val="00377E3E"/>
    <w:rsid w:val="003A779E"/>
    <w:rsid w:val="003B4DB2"/>
    <w:rsid w:val="003D0F4D"/>
    <w:rsid w:val="003D5B0D"/>
    <w:rsid w:val="003E0499"/>
    <w:rsid w:val="003E4F80"/>
    <w:rsid w:val="003E6439"/>
    <w:rsid w:val="003F3941"/>
    <w:rsid w:val="00406575"/>
    <w:rsid w:val="00414C74"/>
    <w:rsid w:val="0042722E"/>
    <w:rsid w:val="0044528D"/>
    <w:rsid w:val="00466E39"/>
    <w:rsid w:val="00467385"/>
    <w:rsid w:val="004A1847"/>
    <w:rsid w:val="004A305D"/>
    <w:rsid w:val="004F21C4"/>
    <w:rsid w:val="004F685F"/>
    <w:rsid w:val="005566E8"/>
    <w:rsid w:val="00574867"/>
    <w:rsid w:val="00591460"/>
    <w:rsid w:val="005A65E0"/>
    <w:rsid w:val="005C3777"/>
    <w:rsid w:val="005C5CDC"/>
    <w:rsid w:val="005D0A82"/>
    <w:rsid w:val="005D476C"/>
    <w:rsid w:val="005E0E7C"/>
    <w:rsid w:val="006200BF"/>
    <w:rsid w:val="006219F8"/>
    <w:rsid w:val="006302F7"/>
    <w:rsid w:val="00646B9F"/>
    <w:rsid w:val="006554BA"/>
    <w:rsid w:val="00665D70"/>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077FE"/>
    <w:rsid w:val="00820278"/>
    <w:rsid w:val="008258C9"/>
    <w:rsid w:val="00844AE9"/>
    <w:rsid w:val="00867F95"/>
    <w:rsid w:val="008843B6"/>
    <w:rsid w:val="00891928"/>
    <w:rsid w:val="008A446D"/>
    <w:rsid w:val="008B25F1"/>
    <w:rsid w:val="008C1B6B"/>
    <w:rsid w:val="008D180B"/>
    <w:rsid w:val="008F0EA7"/>
    <w:rsid w:val="00923EEF"/>
    <w:rsid w:val="009419F9"/>
    <w:rsid w:val="0095685E"/>
    <w:rsid w:val="00961B09"/>
    <w:rsid w:val="00965334"/>
    <w:rsid w:val="0097093E"/>
    <w:rsid w:val="009A0DFA"/>
    <w:rsid w:val="009A1C6F"/>
    <w:rsid w:val="009A270F"/>
    <w:rsid w:val="009B2D26"/>
    <w:rsid w:val="009C71FA"/>
    <w:rsid w:val="009C72E7"/>
    <w:rsid w:val="009C7F7E"/>
    <w:rsid w:val="009D3058"/>
    <w:rsid w:val="009F3A13"/>
    <w:rsid w:val="00A122D3"/>
    <w:rsid w:val="00A14468"/>
    <w:rsid w:val="00A17F13"/>
    <w:rsid w:val="00A20739"/>
    <w:rsid w:val="00A23AF9"/>
    <w:rsid w:val="00A33C78"/>
    <w:rsid w:val="00AB0ADB"/>
    <w:rsid w:val="00AC7361"/>
    <w:rsid w:val="00AD22EB"/>
    <w:rsid w:val="00B00C0E"/>
    <w:rsid w:val="00B01B1A"/>
    <w:rsid w:val="00B02B1B"/>
    <w:rsid w:val="00B0381D"/>
    <w:rsid w:val="00B44A47"/>
    <w:rsid w:val="00B72CD3"/>
    <w:rsid w:val="00B72FFF"/>
    <w:rsid w:val="00BC3D36"/>
    <w:rsid w:val="00BD54A6"/>
    <w:rsid w:val="00BD7F72"/>
    <w:rsid w:val="00BF7425"/>
    <w:rsid w:val="00C02BE7"/>
    <w:rsid w:val="00C04FB3"/>
    <w:rsid w:val="00C11D8B"/>
    <w:rsid w:val="00C15139"/>
    <w:rsid w:val="00C330EB"/>
    <w:rsid w:val="00C46544"/>
    <w:rsid w:val="00C50D69"/>
    <w:rsid w:val="00C5365C"/>
    <w:rsid w:val="00C754BE"/>
    <w:rsid w:val="00C76B1C"/>
    <w:rsid w:val="00C925AC"/>
    <w:rsid w:val="00CA46F7"/>
    <w:rsid w:val="00CB6357"/>
    <w:rsid w:val="00CC1B26"/>
    <w:rsid w:val="00CD1309"/>
    <w:rsid w:val="00D361FD"/>
    <w:rsid w:val="00D423A2"/>
    <w:rsid w:val="00D44E26"/>
    <w:rsid w:val="00D520D8"/>
    <w:rsid w:val="00D63AC2"/>
    <w:rsid w:val="00D7383B"/>
    <w:rsid w:val="00D7788A"/>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23FEA"/>
    <w:rsid w:val="00F31EDC"/>
    <w:rsid w:val="00F462B3"/>
    <w:rsid w:val="00F56367"/>
    <w:rsid w:val="00F5664F"/>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2F828784"/>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1847"/>
    <w:pPr>
      <w:tabs>
        <w:tab w:val="center" w:pos="4419"/>
        <w:tab w:val="right" w:pos="8838"/>
      </w:tabs>
      <w:spacing w:after="0" w:line="240" w:lineRule="auto"/>
    </w:pPr>
  </w:style>
  <w:style w:type="character" w:customStyle="1" w:styleId="HeaderChar">
    <w:name w:val="Header Char"/>
    <w:basedOn w:val="DefaultParagraphFont"/>
    <w:link w:val="Header"/>
    <w:uiPriority w:val="99"/>
    <w:rsid w:val="004A1847"/>
  </w:style>
  <w:style w:type="paragraph" w:styleId="Footer">
    <w:name w:val="footer"/>
    <w:basedOn w:val="Normal"/>
    <w:link w:val="FooterChar"/>
    <w:uiPriority w:val="99"/>
    <w:unhideWhenUsed/>
    <w:rsid w:val="004A1847"/>
    <w:pPr>
      <w:tabs>
        <w:tab w:val="center" w:pos="4419"/>
        <w:tab w:val="right" w:pos="8838"/>
      </w:tabs>
      <w:spacing w:after="0" w:line="240" w:lineRule="auto"/>
    </w:pPr>
  </w:style>
  <w:style w:type="character" w:customStyle="1" w:styleId="FooterChar">
    <w:name w:val="Footer Char"/>
    <w:basedOn w:val="DefaultParagraphFont"/>
    <w:link w:val="Footer"/>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FootnoteTextChar">
    <w:name w:val="Footnote Text Char"/>
    <w:aliases w:val="Ref. de nota al pie1 Char,Texto de nota al pie Char,referencia nota al pie Char,Appel note de bas de page Char,Footnotes refss Char,Footnote number Char,BVI fnr Char,Footnote Text Char Char Char Char Char Char,Footnote reference Char"/>
    <w:basedOn w:val="DefaultParagraphFont"/>
    <w:link w:val="FootnoteText"/>
    <w:uiPriority w:val="99"/>
    <w:qFormat/>
    <w:locked/>
    <w:rsid w:val="006219F8"/>
    <w:rPr>
      <w:sz w:val="20"/>
      <w:szCs w:val="20"/>
      <w:lang w:val="es-MX"/>
    </w:rPr>
  </w:style>
  <w:style w:type="paragraph" w:styleId="FootnoteText">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FootnoteTextChar"/>
    <w:uiPriority w:val="99"/>
    <w:unhideWhenUsed/>
    <w:qFormat/>
    <w:rsid w:val="006219F8"/>
    <w:pPr>
      <w:spacing w:after="0" w:line="240" w:lineRule="auto"/>
    </w:pPr>
    <w:rPr>
      <w:sz w:val="20"/>
      <w:szCs w:val="20"/>
      <w:lang w:val="es-MX"/>
    </w:rPr>
  </w:style>
  <w:style w:type="character" w:customStyle="1" w:styleId="TextonotapieCar1">
    <w:name w:val="Texto nota pie Car1"/>
    <w:basedOn w:val="DefaultParagraphFont"/>
    <w:uiPriority w:val="99"/>
    <w:semiHidden/>
    <w:rsid w:val="006219F8"/>
    <w:rPr>
      <w:sz w:val="20"/>
      <w:szCs w:val="20"/>
    </w:rPr>
  </w:style>
  <w:style w:type="character" w:styleId="FootnoteReference">
    <w:name w:val="footnote reference"/>
    <w:aliases w:val="Ref. de nota al pie 2,Ref,de nota al pie,FC,Appel note de bas de p,f,4_G,16 Point,Superscript 6 Point,Texto nota al pie,Pie de Página,Texto de nota al pi,Nota de pie,Texto de nota al p,Footnote Reference Char3,Texto nota pie Car2,F,R"/>
    <w:basedOn w:val="DefaultParagraphFont"/>
    <w:link w:val="Appelnotedebasde"/>
    <w:uiPriority w:val="99"/>
    <w:unhideWhenUsed/>
    <w:qFormat/>
    <w:rsid w:val="006219F8"/>
    <w:rPr>
      <w:vertAlign w:val="superscript"/>
    </w:rPr>
  </w:style>
  <w:style w:type="character" w:customStyle="1" w:styleId="normaltextrun">
    <w:name w:val="normaltextrun"/>
    <w:basedOn w:val="DefaultParagraphFont"/>
    <w:rsid w:val="006219F8"/>
  </w:style>
  <w:style w:type="table" w:styleId="TableGrid">
    <w:name w:val="Table Grid"/>
    <w:basedOn w:val="Table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tografía,Párrafo de lista1,Bullet List,FooterText,numbered,Paragraphe de liste1,lp1,Scitum normal,HOJA,Bolita,Párrafo de lista4,BOLADEF,Párrafo de lista3,Párrafo de lista21,BOLA,Nivel 1 OS,Colorful List Accent 1,Foot"/>
    <w:basedOn w:val="Normal"/>
    <w:link w:val="ListParagraphChar"/>
    <w:uiPriority w:val="34"/>
    <w:qFormat/>
    <w:rsid w:val="005566E8"/>
    <w:pPr>
      <w:ind w:left="720"/>
      <w:contextualSpacing/>
    </w:pPr>
    <w:rPr>
      <w:rFonts w:ascii="Geomanist Light" w:hAnsi="Geomanist Light"/>
      <w:lang w:val="es-ES"/>
    </w:rPr>
  </w:style>
  <w:style w:type="paragraph" w:styleId="Title">
    <w:name w:val="Title"/>
    <w:basedOn w:val="Normal"/>
    <w:next w:val="Normal"/>
    <w:link w:val="TitleCh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itleChar">
    <w:name w:val="Title Char"/>
    <w:basedOn w:val="DefaultParagraphFont"/>
    <w:link w:val="Title"/>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DefaultParagraphFont"/>
    <w:rsid w:val="00DA231B"/>
  </w:style>
  <w:style w:type="character" w:styleId="Hyperlink">
    <w:name w:val="Hyperlink"/>
    <w:basedOn w:val="DefaultParagraphFont"/>
    <w:uiPriority w:val="99"/>
    <w:unhideWhenUsed/>
    <w:rsid w:val="00125105"/>
    <w:rPr>
      <w:color w:val="0000FF"/>
      <w:u w:val="single"/>
    </w:rPr>
  </w:style>
  <w:style w:type="character" w:styleId="FollowedHyperlink">
    <w:name w:val="FollowedHyperlink"/>
    <w:basedOn w:val="DefaultParagraphFont"/>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DefaultParagraphFont"/>
    <w:rsid w:val="00322A85"/>
  </w:style>
  <w:style w:type="character" w:customStyle="1" w:styleId="eop">
    <w:name w:val="eop"/>
    <w:basedOn w:val="DefaultParagraphFont"/>
    <w:rsid w:val="00322A85"/>
  </w:style>
  <w:style w:type="character" w:styleId="UnresolvedMention">
    <w:name w:val="Unresolved Mention"/>
    <w:basedOn w:val="DefaultParagraphFont"/>
    <w:uiPriority w:val="99"/>
    <w:semiHidden/>
    <w:unhideWhenUsed/>
    <w:rsid w:val="001F7DC6"/>
    <w:rPr>
      <w:color w:val="605E5C"/>
      <w:shd w:val="clear" w:color="auto" w:fill="E1DFDD"/>
    </w:rPr>
  </w:style>
  <w:style w:type="paragraph" w:styleId="NormalWeb">
    <w:name w:val="Normal (Web)"/>
    <w:basedOn w:val="Normal"/>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on">
    <w:name w:val="Revision"/>
    <w:hidden/>
    <w:uiPriority w:val="99"/>
    <w:semiHidden/>
    <w:rsid w:val="009F3A13"/>
    <w:pPr>
      <w:spacing w:after="0" w:line="240" w:lineRule="auto"/>
    </w:pPr>
  </w:style>
  <w:style w:type="paragraph" w:customStyle="1" w:styleId="Appelnotedebasde">
    <w:name w:val="Appel note de bas de..."/>
    <w:basedOn w:val="Normal"/>
    <w:link w:val="FootnoteReference"/>
    <w:uiPriority w:val="99"/>
    <w:rsid w:val="005D0A82"/>
    <w:pPr>
      <w:spacing w:line="240" w:lineRule="exact"/>
    </w:pPr>
    <w:rPr>
      <w:vertAlign w:val="superscript"/>
    </w:rPr>
  </w:style>
  <w:style w:type="character" w:customStyle="1" w:styleId="ListParagraphChar">
    <w:name w:val="List Paragraph Char"/>
    <w:aliases w:val="Fotografía Char,Párrafo de lista1 Char,Bullet List Char,FooterText Char,numbered Char,Paragraphe de liste1 Char,lp1 Char,Scitum normal Char,HOJA Char,Bolita Char,Párrafo de lista4 Char,BOLADEF Char,Párrafo de lista3 Char,BOLA Char"/>
    <w:link w:val="ListParagraph"/>
    <w:uiPriority w:val="34"/>
    <w:qFormat/>
    <w:locked/>
    <w:rsid w:val="005D0A82"/>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lombiacompra.gov.co/sites/cce_public/files/cce_documents/cce-eicp-ma-04._manual_requisitos_habilitantes_v3_29-09-2023.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karenvelez5927@gmail.com"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relatoria.colombiacompra.gov.co/busqueda/concepto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colombiacompra.gov.co/wp-content/uploads/2024/08/cce_guia_asuntos_corporativos.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lombiacompra.gov.co/wp-content/uploads/2024/08/2022-Guia-para-la-elaboracion-de-Estudios-de-Sector-CCE-EICP-GI-18.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colombiacompra.gov.co/sites/cce_public/files/cce_documents/cce_guia_asuntos_corporativos.pdf" TargetMode="External"/><Relationship Id="rId2" Type="http://schemas.openxmlformats.org/officeDocument/2006/relationships/hyperlink" Target="https://www.colombiacompra.gov.co/sites/cce_public/files/cce_documentos/cce-eicp-gi-18._gees_v.2_2.pdf" TargetMode="External"/><Relationship Id="rId1" Type="http://schemas.openxmlformats.org/officeDocument/2006/relationships/hyperlink" Target="https://www.colombiacompra.gov.co/sites/cce_public/files/cce_documents/cce-eicp-ma-04._manual_requisitos_habilitantes_v3_29-09-2023.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2E0F32964D9B84EA054B84E5D4157A0" ma:contentTypeVersion="20" ma:contentTypeDescription="Create a new document." ma:contentTypeScope="" ma:versionID="2d11913c19decc3d479cc6872ae6112c">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e2487d1a4901a13ef6d3082403ba44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A03824A-E12D-44EA-B729-EB4065BB0EEF}"/>
</file>

<file path=customXml/itemProps4.xml><?xml version="1.0" encoding="utf-8"?>
<ds:datastoreItem xmlns:ds="http://schemas.openxmlformats.org/officeDocument/2006/customXml" ds:itemID="{649B9152-9F86-4445-9680-0CC5FEAF4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6140</Words>
  <Characters>35004</Characters>
  <Application>Microsoft Office Word</Application>
  <DocSecurity>0</DocSecurity>
  <Lines>291</Lines>
  <Paragraphs>82</Paragraphs>
  <ScaleCrop>false</ScaleCrop>
  <Company/>
  <LinksUpToDate>false</LinksUpToDate>
  <CharactersWithSpaces>41062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Agencia Nacional de Contratación Pública - CCE</cp:lastModifiedBy>
  <cp:revision>7</cp:revision>
  <cp:lastPrinted>2023-01-10T21:18:00Z</cp:lastPrinted>
  <dcterms:created xsi:type="dcterms:W3CDTF">2026-07-14T17:06:00Z</dcterms:created>
  <dcterms:modified xsi:type="dcterms:W3CDTF">2026-07-14T17:17:00Z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