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6BFC7" w14:textId="77777777" w:rsidR="00987D9B" w:rsidRDefault="00987D9B" w:rsidP="00987D9B">
      <w:pPr>
        <w:spacing w:after="0" w:line="240" w:lineRule="auto"/>
        <w:jc w:val="both"/>
        <w:rPr>
          <w:rFonts w:ascii="Verdana" w:hAnsi="Verdana" w:cs="Arial"/>
          <w:b/>
          <w:bCs/>
          <w:color w:val="000000" w:themeColor="text1"/>
        </w:rPr>
      </w:pPr>
      <w:bookmarkStart w:id="0" w:name="_Hlk143780582"/>
      <w:r w:rsidRPr="007076D2">
        <w:rPr>
          <w:rFonts w:ascii="Verdana" w:hAnsi="Verdana" w:cs="Arial"/>
          <w:b/>
          <w:bCs/>
          <w:color w:val="000000" w:themeColor="text1"/>
        </w:rPr>
        <w:t xml:space="preserve">SUSPENSIÓN DEL CONTRATO – Alcance – Autonomía de la voluntad </w:t>
      </w:r>
    </w:p>
    <w:p w14:paraId="6517F98D" w14:textId="77777777" w:rsidR="00987D9B" w:rsidRDefault="00987D9B" w:rsidP="00987D9B">
      <w:pPr>
        <w:spacing w:after="0" w:line="240" w:lineRule="auto"/>
        <w:jc w:val="both"/>
        <w:rPr>
          <w:rFonts w:ascii="Verdana" w:hAnsi="Verdana" w:cs="Arial"/>
          <w:b/>
          <w:bCs/>
          <w:color w:val="000000" w:themeColor="text1"/>
        </w:rPr>
      </w:pPr>
    </w:p>
    <w:p w14:paraId="63CD8244" w14:textId="77777777" w:rsidR="00987D9B" w:rsidRDefault="00987D9B" w:rsidP="00987D9B">
      <w:pPr>
        <w:spacing w:after="0" w:line="240" w:lineRule="auto"/>
        <w:jc w:val="both"/>
        <w:rPr>
          <w:rFonts w:ascii="Verdana" w:eastAsia="Times New Roman" w:hAnsi="Verdana" w:cs="Arial"/>
          <w:color w:val="000000"/>
          <w:sz w:val="20"/>
          <w:szCs w:val="20"/>
          <w:lang w:eastAsia="es-ES_tradnl"/>
        </w:rPr>
      </w:pPr>
      <w:r w:rsidRPr="007076D2">
        <w:rPr>
          <w:rFonts w:ascii="Verdana" w:eastAsia="Times New Roman" w:hAnsi="Verdana" w:cs="Arial"/>
          <w:color w:val="000000"/>
          <w:sz w:val="20"/>
          <w:szCs w:val="20"/>
          <w:lang w:eastAsia="es-ES_tradnl"/>
        </w:rPr>
        <w:t xml:space="preserve">La </w:t>
      </w:r>
      <w:r w:rsidRPr="007076D2">
        <w:rPr>
          <w:rFonts w:ascii="Verdana" w:eastAsia="Times New Roman" w:hAnsi="Verdana" w:cs="Arial"/>
          <w:i/>
          <w:iCs/>
          <w:color w:val="000000"/>
          <w:sz w:val="20"/>
          <w:szCs w:val="20"/>
          <w:lang w:eastAsia="es-ES_tradnl"/>
        </w:rPr>
        <w:t>suspensión</w:t>
      </w:r>
      <w:r w:rsidRPr="007076D2">
        <w:rPr>
          <w:rFonts w:ascii="Verdana" w:eastAsia="Times New Roman" w:hAnsi="Verdana" w:cs="Arial"/>
          <w:color w:val="000000"/>
          <w:sz w:val="20"/>
          <w:szCs w:val="20"/>
          <w:lang w:eastAsia="es-ES_tradnl"/>
        </w:rPr>
        <w:t xml:space="preserve"> es la medida por la cual se acuerda el cese provisional de la ejecución del contrato, por la ocurrencia de circunstancias que lo impiden o lo dificultan</w:t>
      </w:r>
      <w:r>
        <w:rPr>
          <w:rFonts w:ascii="Verdana" w:eastAsia="Times New Roman" w:hAnsi="Verdana" w:cs="Arial"/>
          <w:color w:val="000000"/>
          <w:sz w:val="20"/>
          <w:szCs w:val="20"/>
          <w:lang w:eastAsia="es-ES_tradnl"/>
        </w:rPr>
        <w:t xml:space="preserve">. </w:t>
      </w:r>
      <w:r w:rsidRPr="00B264B1">
        <w:rPr>
          <w:rFonts w:ascii="Verdana" w:eastAsia="Times New Roman" w:hAnsi="Verdana" w:cs="Arial"/>
          <w:color w:val="000000"/>
          <w:sz w:val="20"/>
          <w:szCs w:val="20"/>
          <w:lang w:eastAsia="es-ES_tradnl"/>
        </w:rPr>
        <w:t>Las razones de aquella pueden ser de orden técnico, jurídico o económico.</w:t>
      </w:r>
      <w:r w:rsidRPr="00B264B1">
        <w:t xml:space="preserve"> </w:t>
      </w:r>
      <w:r>
        <w:t xml:space="preserve">[…] </w:t>
      </w:r>
      <w:r w:rsidRPr="00B264B1">
        <w:rPr>
          <w:rFonts w:ascii="Verdana" w:eastAsia="Times New Roman" w:hAnsi="Verdana" w:cs="Arial"/>
          <w:color w:val="000000"/>
          <w:sz w:val="20"/>
          <w:szCs w:val="20"/>
          <w:lang w:eastAsia="es-ES_tradnl"/>
        </w:rPr>
        <w:t>la suspensión puede ser acordada por las partes –como usualmente sucede y es lo más recomendable, siempre que existan motivos fundados para ello– o darse por la fuerza de los hechos, es decir, por la configuración de eventos externos e irresistibles que hagan imposible la ejecución del contrato durante un tiempo; esto es, por factores que constituyan razones de fuerza mayor o caso fortuito, o que procura la satisfacción del interés público.</w:t>
      </w:r>
    </w:p>
    <w:p w14:paraId="5E0B680F" w14:textId="77777777" w:rsidR="00987D9B" w:rsidRDefault="00987D9B" w:rsidP="00987D9B">
      <w:pPr>
        <w:spacing w:after="0" w:line="240" w:lineRule="auto"/>
        <w:jc w:val="both"/>
        <w:rPr>
          <w:rFonts w:ascii="Verdana" w:eastAsia="Times New Roman" w:hAnsi="Verdana" w:cs="Arial"/>
          <w:color w:val="000000"/>
          <w:sz w:val="20"/>
          <w:szCs w:val="20"/>
          <w:lang w:eastAsia="es-ES_tradnl"/>
        </w:rPr>
      </w:pPr>
    </w:p>
    <w:p w14:paraId="76A3DCDD" w14:textId="77777777" w:rsidR="00987D9B" w:rsidRDefault="00987D9B" w:rsidP="00987D9B">
      <w:pPr>
        <w:spacing w:after="0" w:line="240" w:lineRule="auto"/>
        <w:jc w:val="both"/>
        <w:rPr>
          <w:rFonts w:ascii="Verdana" w:hAnsi="Verdana" w:cs="Arial"/>
          <w:b/>
          <w:bCs/>
          <w:color w:val="000000" w:themeColor="text1"/>
        </w:rPr>
      </w:pPr>
      <w:r w:rsidRPr="007076D2">
        <w:rPr>
          <w:rFonts w:ascii="Verdana" w:hAnsi="Verdana" w:cs="Arial"/>
          <w:b/>
          <w:bCs/>
          <w:color w:val="000000" w:themeColor="text1"/>
        </w:rPr>
        <w:t xml:space="preserve">ACTA DE SUSPENSIÓN – Acta de reinicio </w:t>
      </w:r>
    </w:p>
    <w:p w14:paraId="075D0D30" w14:textId="77777777" w:rsidR="00987D9B" w:rsidRDefault="00987D9B" w:rsidP="00987D9B">
      <w:pPr>
        <w:spacing w:after="0" w:line="240" w:lineRule="auto"/>
        <w:jc w:val="both"/>
        <w:rPr>
          <w:rFonts w:ascii="Verdana" w:hAnsi="Verdana" w:cs="Arial"/>
          <w:b/>
          <w:bCs/>
          <w:color w:val="000000" w:themeColor="text1"/>
        </w:rPr>
      </w:pPr>
    </w:p>
    <w:p w14:paraId="17CFAA81" w14:textId="77777777" w:rsidR="00987D9B" w:rsidRDefault="00987D9B" w:rsidP="00987D9B">
      <w:pPr>
        <w:spacing w:after="0" w:line="240" w:lineRule="auto"/>
        <w:jc w:val="both"/>
        <w:rPr>
          <w:rFonts w:ascii="Verdana" w:eastAsia="Times New Roman" w:hAnsi="Verdana" w:cs="Arial"/>
          <w:color w:val="000000"/>
          <w:sz w:val="20"/>
          <w:szCs w:val="20"/>
          <w:lang w:eastAsia="es-ES_tradnl"/>
        </w:rPr>
      </w:pPr>
      <w:r w:rsidRPr="002A05AC">
        <w:rPr>
          <w:rFonts w:ascii="Verdana" w:eastAsia="Times New Roman" w:hAnsi="Verdana" w:cs="Arial"/>
          <w:color w:val="000000"/>
          <w:sz w:val="20"/>
          <w:szCs w:val="20"/>
          <w:lang w:eastAsia="es-ES_tradnl"/>
        </w:rPr>
        <w:t xml:space="preserve">Ahora bien, cuando se suscribe un </w:t>
      </w:r>
      <w:r w:rsidRPr="002A05AC">
        <w:rPr>
          <w:rFonts w:ascii="Verdana" w:eastAsia="Times New Roman" w:hAnsi="Verdana" w:cs="Arial"/>
          <w:i/>
          <w:iCs/>
          <w:color w:val="000000"/>
          <w:sz w:val="20"/>
          <w:szCs w:val="20"/>
          <w:lang w:eastAsia="es-ES_tradnl"/>
        </w:rPr>
        <w:t>acta de suspensión</w:t>
      </w:r>
      <w:r w:rsidRPr="002A05AC">
        <w:rPr>
          <w:rFonts w:ascii="Verdana" w:eastAsia="Times New Roman" w:hAnsi="Verdana" w:cs="Arial"/>
          <w:color w:val="000000"/>
          <w:sz w:val="20"/>
          <w:szCs w:val="20"/>
          <w:lang w:eastAsia="es-ES_tradnl"/>
        </w:rPr>
        <w:t xml:space="preserve"> puede establecerse, en ejercicio de la autonomía de la voluntad, que el plazo del contrato se reactivará una vez se firme el </w:t>
      </w:r>
      <w:r w:rsidRPr="002A05AC">
        <w:rPr>
          <w:rFonts w:ascii="Verdana" w:eastAsia="Times New Roman" w:hAnsi="Verdana" w:cs="Arial"/>
          <w:i/>
          <w:iCs/>
          <w:color w:val="000000"/>
          <w:sz w:val="20"/>
          <w:szCs w:val="20"/>
          <w:lang w:eastAsia="es-ES_tradnl"/>
        </w:rPr>
        <w:t>acta de reinicio</w:t>
      </w:r>
      <w:r w:rsidRPr="002A05AC">
        <w:rPr>
          <w:rFonts w:ascii="Verdana" w:eastAsia="Times New Roman" w:hAnsi="Verdana" w:cs="Arial"/>
          <w:color w:val="000000"/>
          <w:sz w:val="20"/>
          <w:szCs w:val="20"/>
          <w:lang w:eastAsia="es-ES_tradnl"/>
        </w:rPr>
        <w:t xml:space="preserve"> correspondiente. La firma de estos documentos corresponde principalmente a las partes del contrato inicial. En esta medida, por ejemplo, no corresponde a los supervisores ni a los interventores acordar con el contratista la suspensión o el reinicio de las actividades. Esta facultad recae sobre el jefe de la entidad contratante –o su delegado– y el contratista. Esto sin perjuicio de que, conforme a la misma autonomía de la voluntad y en consideración a las razones que han motivado el cese provisional de la ejecución del contrato, otra metodología que pueden emplear las partes para elaborar el acta de suspensión es indicar en ella que la ejecución se reactivará cuando se cumpla un determinado plazo o condición, de manera automática, sin necesidad de suscribir un acta de reinicio. De esta manera, el reinicio del plazo de ejecución contractual depende de lo pactado por las partes; razón por la cual, con sujeción a lo acordado previamente con la entidad contratante, se juzgará la adecuación de las actuaciones adelantadas posteriormente por el contratista.</w:t>
      </w:r>
    </w:p>
    <w:p w14:paraId="14CCD5F5" w14:textId="77777777" w:rsidR="00987D9B" w:rsidRDefault="00987D9B" w:rsidP="00987D9B">
      <w:pPr>
        <w:spacing w:after="0" w:line="240" w:lineRule="auto"/>
        <w:jc w:val="both"/>
        <w:rPr>
          <w:rFonts w:ascii="Verdana" w:eastAsia="Times New Roman" w:hAnsi="Verdana" w:cs="Arial"/>
          <w:color w:val="000000"/>
          <w:sz w:val="20"/>
          <w:szCs w:val="20"/>
          <w:lang w:eastAsia="es-ES_tradnl"/>
        </w:rPr>
      </w:pPr>
    </w:p>
    <w:p w14:paraId="1138C93C" w14:textId="77777777" w:rsidR="00987D9B" w:rsidRDefault="00987D9B" w:rsidP="00987D9B">
      <w:pPr>
        <w:spacing w:after="0" w:line="240" w:lineRule="auto"/>
        <w:jc w:val="both"/>
        <w:rPr>
          <w:rFonts w:ascii="Verdana" w:eastAsia="Times New Roman" w:hAnsi="Verdana" w:cs="Arial"/>
          <w:color w:val="000000"/>
          <w:sz w:val="20"/>
          <w:szCs w:val="20"/>
          <w:lang w:eastAsia="es-ES_tradnl"/>
        </w:rPr>
      </w:pPr>
      <w:r>
        <w:rPr>
          <w:rFonts w:ascii="Verdana" w:eastAsia="Times New Roman" w:hAnsi="Verdana" w:cs="Arial"/>
          <w:color w:val="000000"/>
          <w:sz w:val="20"/>
          <w:szCs w:val="20"/>
          <w:lang w:eastAsia="es-ES_tradnl"/>
        </w:rPr>
        <w:t xml:space="preserve">[…] </w:t>
      </w:r>
    </w:p>
    <w:p w14:paraId="4A8CC33C" w14:textId="77777777" w:rsidR="00987D9B" w:rsidRDefault="00987D9B" w:rsidP="00987D9B">
      <w:pPr>
        <w:spacing w:after="0" w:line="240" w:lineRule="auto"/>
        <w:jc w:val="both"/>
        <w:rPr>
          <w:rFonts w:ascii="Verdana" w:eastAsia="Times New Roman" w:hAnsi="Verdana" w:cs="Arial"/>
          <w:color w:val="000000"/>
          <w:sz w:val="20"/>
          <w:szCs w:val="20"/>
          <w:lang w:eastAsia="es-ES_tradnl"/>
        </w:rPr>
      </w:pPr>
    </w:p>
    <w:p w14:paraId="152AB6BB" w14:textId="77777777" w:rsidR="00987D9B" w:rsidRDefault="00987D9B" w:rsidP="00987D9B">
      <w:pPr>
        <w:spacing w:after="0" w:line="240" w:lineRule="auto"/>
        <w:jc w:val="both"/>
        <w:rPr>
          <w:rFonts w:ascii="Verdana" w:eastAsia="Times New Roman" w:hAnsi="Verdana" w:cs="Arial"/>
          <w:color w:val="000000"/>
          <w:sz w:val="20"/>
          <w:szCs w:val="20"/>
          <w:lang w:eastAsia="es-ES_tradnl"/>
        </w:rPr>
      </w:pPr>
      <w:r w:rsidRPr="00031A53">
        <w:rPr>
          <w:rFonts w:ascii="Verdana" w:eastAsia="Times New Roman" w:hAnsi="Verdana" w:cs="Arial"/>
          <w:color w:val="000000"/>
          <w:sz w:val="20"/>
          <w:szCs w:val="20"/>
          <w:lang w:eastAsia="es-ES_tradnl"/>
        </w:rPr>
        <w:t xml:space="preserve">Como se observa, en los negocios jurídicos –y el acta de suspensión lo es, porque se trata de un acuerdo de voluntades para crear obligaciones– las entidades pueden incorporar las </w:t>
      </w:r>
      <w:r w:rsidRPr="00031A53">
        <w:rPr>
          <w:rFonts w:ascii="Verdana" w:eastAsia="Times New Roman" w:hAnsi="Verdana" w:cs="Arial"/>
          <w:i/>
          <w:iCs/>
          <w:color w:val="000000"/>
          <w:sz w:val="20"/>
          <w:szCs w:val="20"/>
          <w:lang w:eastAsia="es-ES_tradnl"/>
        </w:rPr>
        <w:t>condiciones</w:t>
      </w:r>
      <w:r w:rsidRPr="00031A53">
        <w:rPr>
          <w:rFonts w:ascii="Verdana" w:eastAsia="Times New Roman" w:hAnsi="Verdana" w:cs="Arial"/>
          <w:color w:val="000000"/>
          <w:sz w:val="20"/>
          <w:szCs w:val="20"/>
          <w:lang w:eastAsia="es-ES_tradnl"/>
        </w:rPr>
        <w:t xml:space="preserve"> y </w:t>
      </w:r>
      <w:r w:rsidRPr="00031A53">
        <w:rPr>
          <w:rFonts w:ascii="Verdana" w:eastAsia="Times New Roman" w:hAnsi="Verdana" w:cs="Arial"/>
          <w:i/>
          <w:iCs/>
          <w:color w:val="000000"/>
          <w:sz w:val="20"/>
          <w:szCs w:val="20"/>
          <w:lang w:eastAsia="es-ES_tradnl"/>
        </w:rPr>
        <w:t xml:space="preserve">cláusulas </w:t>
      </w:r>
      <w:r w:rsidRPr="00031A53">
        <w:rPr>
          <w:rFonts w:ascii="Verdana" w:eastAsia="Times New Roman" w:hAnsi="Verdana" w:cs="Arial"/>
          <w:color w:val="000000"/>
          <w:sz w:val="20"/>
          <w:szCs w:val="20"/>
          <w:lang w:eastAsia="es-ES_tradnl"/>
        </w:rPr>
        <w:t xml:space="preserve">que sean necesarias y convenientes. Pues bien, de conformidad con los artículos 1530 y siguientes del Código Civil –que establecen las condiciones o términos a los que pueden sujetarse las obligaciones, y que se aplican por la remisión que hacen los artículos 13, 32 y 40 de la Ley 80 de 1993 a las normas civiles y comerciales–, en el acta de suspensión puede estipularse que el plazo de ejecución del contrato se reactivará cuando se cumpla una condición o sobrevenga una fecha específica. Así lo ha reconocido el Consejo de Estado. De este modo, atendiendo a los términos en los que se haya pactado la suspensión es posible que no sea necesario suscribir luego un acta de reinicio para que se reactive la ejecución del contrato, sino que tal reactivación opere </w:t>
      </w:r>
      <w:r w:rsidRPr="00031A53">
        <w:rPr>
          <w:rFonts w:ascii="Verdana" w:eastAsia="Times New Roman" w:hAnsi="Verdana" w:cs="Arial"/>
          <w:i/>
          <w:iCs/>
          <w:color w:val="000000"/>
          <w:sz w:val="20"/>
          <w:szCs w:val="20"/>
          <w:lang w:eastAsia="es-ES_tradnl"/>
        </w:rPr>
        <w:t>automáticamente</w:t>
      </w:r>
      <w:r w:rsidRPr="00031A53">
        <w:rPr>
          <w:rFonts w:ascii="Verdana" w:eastAsia="Times New Roman" w:hAnsi="Verdana" w:cs="Arial"/>
          <w:color w:val="000000"/>
          <w:sz w:val="20"/>
          <w:szCs w:val="20"/>
          <w:lang w:eastAsia="es-ES_tradnl"/>
        </w:rPr>
        <w:t xml:space="preserve">, cuando se cumpla la condición o fecha cierta. </w:t>
      </w:r>
    </w:p>
    <w:p w14:paraId="7876FCC8" w14:textId="77777777" w:rsidR="00987D9B" w:rsidRDefault="00987D9B" w:rsidP="00987D9B">
      <w:pPr>
        <w:spacing w:after="0" w:line="240" w:lineRule="auto"/>
        <w:jc w:val="both"/>
        <w:rPr>
          <w:rFonts w:ascii="Verdana" w:eastAsia="Times New Roman" w:hAnsi="Verdana" w:cs="Arial"/>
          <w:color w:val="000000"/>
          <w:sz w:val="20"/>
          <w:szCs w:val="20"/>
          <w:lang w:eastAsia="es-ES_tradnl"/>
        </w:rPr>
      </w:pPr>
    </w:p>
    <w:p w14:paraId="4CB5A1C3" w14:textId="52285EF2" w:rsidR="00987D9B" w:rsidRDefault="00987D9B" w:rsidP="00987D9B">
      <w:pPr>
        <w:spacing w:after="0" w:line="240" w:lineRule="auto"/>
        <w:jc w:val="both"/>
        <w:rPr>
          <w:rFonts w:ascii="Verdana" w:hAnsi="Verdana" w:cs="Arial"/>
          <w:b/>
          <w:bCs/>
          <w:color w:val="000000" w:themeColor="text1"/>
        </w:rPr>
      </w:pPr>
      <w:r w:rsidRPr="007076D2">
        <w:rPr>
          <w:rFonts w:ascii="Verdana" w:hAnsi="Verdana" w:cs="Arial"/>
          <w:b/>
          <w:bCs/>
          <w:color w:val="000000" w:themeColor="text1"/>
        </w:rPr>
        <w:lastRenderedPageBreak/>
        <w:t xml:space="preserve">SUSPENSIÓN DEL CONTRATO – </w:t>
      </w:r>
      <w:r>
        <w:rPr>
          <w:rFonts w:ascii="Verdana" w:hAnsi="Verdana" w:cs="Arial"/>
          <w:b/>
          <w:bCs/>
          <w:color w:val="000000" w:themeColor="text1"/>
        </w:rPr>
        <w:t>Competencia</w:t>
      </w:r>
    </w:p>
    <w:p w14:paraId="365EA0AF" w14:textId="77777777" w:rsidR="00987D9B" w:rsidRDefault="00987D9B" w:rsidP="00987D9B">
      <w:pPr>
        <w:spacing w:after="0" w:line="240" w:lineRule="auto"/>
        <w:jc w:val="both"/>
        <w:rPr>
          <w:rFonts w:ascii="Verdana" w:hAnsi="Verdana" w:cs="Arial"/>
          <w:b/>
          <w:bCs/>
          <w:color w:val="000000" w:themeColor="text1"/>
        </w:rPr>
      </w:pPr>
    </w:p>
    <w:p w14:paraId="0683AC21" w14:textId="77777777" w:rsidR="00987D9B" w:rsidRPr="00987D9B" w:rsidRDefault="00987D9B" w:rsidP="00987D9B">
      <w:pPr>
        <w:spacing w:after="120" w:line="240" w:lineRule="auto"/>
        <w:jc w:val="both"/>
        <w:rPr>
          <w:rFonts w:ascii="Verdana" w:eastAsia="Times New Roman" w:hAnsi="Verdana" w:cs="Arial"/>
          <w:color w:val="000000"/>
          <w:sz w:val="20"/>
          <w:szCs w:val="20"/>
          <w:lang w:eastAsia="es-ES_tradnl"/>
        </w:rPr>
      </w:pPr>
      <w:r w:rsidRPr="00987D9B">
        <w:rPr>
          <w:rFonts w:ascii="Verdana" w:eastAsia="Calibri" w:hAnsi="Verdana" w:cs="Arial"/>
          <w:color w:val="000000" w:themeColor="text1"/>
          <w:sz w:val="20"/>
          <w:szCs w:val="20"/>
          <w:lang w:val="es-MX"/>
        </w:rPr>
        <w:t xml:space="preserve">En cualquier caso, el marco jurídico expuesto evidencia que la firma del acta de suspensión, al ser un acuerdo de voluntades con respecto al contrato estatal, </w:t>
      </w:r>
      <w:r w:rsidRPr="00987D9B">
        <w:rPr>
          <w:rFonts w:ascii="Verdana" w:eastAsia="Times New Roman" w:hAnsi="Verdana" w:cs="Arial"/>
          <w:color w:val="000000"/>
          <w:sz w:val="20"/>
          <w:szCs w:val="20"/>
          <w:lang w:eastAsia="es-ES_tradnl"/>
        </w:rPr>
        <w:t xml:space="preserve">corresponde principalmente a las partes </w:t>
      </w:r>
      <w:proofErr w:type="gramStart"/>
      <w:r w:rsidRPr="00987D9B">
        <w:rPr>
          <w:rFonts w:ascii="Verdana" w:eastAsia="Times New Roman" w:hAnsi="Verdana" w:cs="Arial"/>
          <w:color w:val="000000"/>
          <w:sz w:val="20"/>
          <w:szCs w:val="20"/>
          <w:lang w:eastAsia="es-ES_tradnl"/>
        </w:rPr>
        <w:t>del mismo</w:t>
      </w:r>
      <w:proofErr w:type="gramEnd"/>
      <w:r w:rsidRPr="00987D9B">
        <w:rPr>
          <w:rFonts w:ascii="Verdana" w:eastAsia="Times New Roman" w:hAnsi="Verdana" w:cs="Arial"/>
          <w:color w:val="000000"/>
          <w:sz w:val="20"/>
          <w:szCs w:val="20"/>
          <w:lang w:eastAsia="es-ES_tradnl"/>
        </w:rPr>
        <w:t>. En esta medida, no corresponde a los supervisores ni a los interventores acordar con el contratista la suspensión o el reinicio de las actividades, pues esta facultad recae, al igual que la de suscribir el contrato, sobre el jefe de la entidad contratante –o su delegado– y el contratista. Al ser un acuerdo de voluntades que afecta el contrato estatal, el acta de suspensión se rige por las reglas de competencia de aquel; es decir, que debe constar por escrito, dado el carácter solemne del contrato estatal, y ser suscrita por el jefe o representante legal o su delegado, de conformidad con lo dispuesto en los artículos 11 y 12 de la Ley 80 de 1993</w:t>
      </w:r>
    </w:p>
    <w:p w14:paraId="046F315F" w14:textId="77777777" w:rsidR="00987D9B" w:rsidRPr="00987D9B" w:rsidRDefault="00987D9B" w:rsidP="00987D9B">
      <w:pPr>
        <w:spacing w:after="120" w:line="240" w:lineRule="auto"/>
        <w:jc w:val="both"/>
        <w:rPr>
          <w:rFonts w:ascii="Verdana" w:eastAsia="Times New Roman" w:hAnsi="Verdana" w:cs="Arial"/>
          <w:color w:val="000000"/>
          <w:sz w:val="20"/>
          <w:szCs w:val="20"/>
          <w:lang w:eastAsia="es-ES_tradnl"/>
        </w:rPr>
      </w:pPr>
      <w:r w:rsidRPr="00987D9B">
        <w:rPr>
          <w:rFonts w:ascii="Verdana" w:eastAsia="Times New Roman" w:hAnsi="Verdana" w:cs="Arial"/>
          <w:color w:val="000000"/>
          <w:sz w:val="20"/>
          <w:szCs w:val="20"/>
          <w:lang w:eastAsia="es-ES_tradnl"/>
        </w:rPr>
        <w:t>En consecuencia, el jefe o representante legal —o su delegado— es el competente para la celebración del contrato, así como para suscribir el acta de suspensión, las modificaciones, adiciones o liquidaciones, mientras que los supervisores son los encargados de realizar el seguimiento al cumplimiento de las condiciones del contrato. En el mismo sentido, los interventores o supervisores no pueden sustituir la competencia de la Entidad Estatal como parte del contrato estatal, pues su rol es de vigilancia y no de disposición sobre el negocio jurídico.</w:t>
      </w:r>
    </w:p>
    <w:p w14:paraId="30D44375" w14:textId="77777777" w:rsidR="00987D9B" w:rsidRPr="00031A53" w:rsidRDefault="00987D9B" w:rsidP="00987D9B">
      <w:pPr>
        <w:spacing w:after="0" w:line="240" w:lineRule="auto"/>
        <w:jc w:val="both"/>
        <w:rPr>
          <w:rFonts w:ascii="Verdana" w:eastAsia="Times New Roman" w:hAnsi="Verdana" w:cs="Arial"/>
          <w:color w:val="000000"/>
          <w:sz w:val="20"/>
          <w:szCs w:val="20"/>
          <w:lang w:eastAsia="es-ES_tradnl"/>
        </w:rPr>
      </w:pPr>
    </w:p>
    <w:p w14:paraId="584FD603" w14:textId="77777777" w:rsidR="00987D9B" w:rsidRDefault="00987D9B" w:rsidP="00BE2E4F">
      <w:pPr>
        <w:spacing w:after="0"/>
        <w:rPr>
          <w:rFonts w:ascii="Verdana" w:hAnsi="Verdana"/>
          <w:lang w:val="es-ES"/>
        </w:rPr>
      </w:pPr>
    </w:p>
    <w:p w14:paraId="5E5858D5" w14:textId="77777777" w:rsidR="00987D9B" w:rsidRDefault="00987D9B" w:rsidP="00BE2E4F">
      <w:pPr>
        <w:spacing w:after="0"/>
        <w:rPr>
          <w:rFonts w:ascii="Verdana" w:hAnsi="Verdana"/>
          <w:lang w:val="es-ES"/>
        </w:rPr>
      </w:pPr>
    </w:p>
    <w:p w14:paraId="18AEA82F" w14:textId="77777777" w:rsidR="00987D9B" w:rsidRDefault="00987D9B" w:rsidP="00BE2E4F">
      <w:pPr>
        <w:spacing w:after="0"/>
        <w:rPr>
          <w:rFonts w:ascii="Verdana" w:hAnsi="Verdana"/>
          <w:lang w:val="es-ES"/>
        </w:rPr>
      </w:pPr>
    </w:p>
    <w:p w14:paraId="3B4A560D" w14:textId="77777777" w:rsidR="00987D9B" w:rsidRDefault="00987D9B" w:rsidP="00BE2E4F">
      <w:pPr>
        <w:spacing w:after="0"/>
        <w:rPr>
          <w:rFonts w:ascii="Verdana" w:hAnsi="Verdana"/>
          <w:lang w:val="es-ES"/>
        </w:rPr>
      </w:pPr>
    </w:p>
    <w:p w14:paraId="3A97A8A2" w14:textId="77777777" w:rsidR="00987D9B" w:rsidRDefault="00987D9B" w:rsidP="00BE2E4F">
      <w:pPr>
        <w:spacing w:after="0"/>
        <w:rPr>
          <w:rFonts w:ascii="Verdana" w:hAnsi="Verdana"/>
          <w:lang w:val="es-ES"/>
        </w:rPr>
      </w:pPr>
    </w:p>
    <w:p w14:paraId="47C45F66" w14:textId="77777777" w:rsidR="00987D9B" w:rsidRDefault="00987D9B" w:rsidP="00BE2E4F">
      <w:pPr>
        <w:spacing w:after="0"/>
        <w:rPr>
          <w:rFonts w:ascii="Verdana" w:hAnsi="Verdana"/>
          <w:lang w:val="es-ES"/>
        </w:rPr>
      </w:pPr>
    </w:p>
    <w:p w14:paraId="564C2DC9" w14:textId="77777777" w:rsidR="00987D9B" w:rsidRDefault="00987D9B" w:rsidP="00BE2E4F">
      <w:pPr>
        <w:spacing w:after="0"/>
        <w:rPr>
          <w:rFonts w:ascii="Verdana" w:hAnsi="Verdana"/>
          <w:lang w:val="es-ES"/>
        </w:rPr>
      </w:pPr>
    </w:p>
    <w:p w14:paraId="6C491A9A" w14:textId="77777777" w:rsidR="00987D9B" w:rsidRDefault="00987D9B" w:rsidP="00BE2E4F">
      <w:pPr>
        <w:spacing w:after="0"/>
        <w:rPr>
          <w:rFonts w:ascii="Verdana" w:hAnsi="Verdana"/>
          <w:lang w:val="es-ES"/>
        </w:rPr>
      </w:pPr>
    </w:p>
    <w:p w14:paraId="31D1FEC3" w14:textId="77777777" w:rsidR="00987D9B" w:rsidRDefault="00987D9B" w:rsidP="00BE2E4F">
      <w:pPr>
        <w:spacing w:after="0"/>
        <w:rPr>
          <w:rFonts w:ascii="Verdana" w:hAnsi="Verdana"/>
          <w:lang w:val="es-ES"/>
        </w:rPr>
      </w:pPr>
    </w:p>
    <w:p w14:paraId="5F99075B" w14:textId="77777777" w:rsidR="00987D9B" w:rsidRDefault="00987D9B" w:rsidP="00BE2E4F">
      <w:pPr>
        <w:spacing w:after="0"/>
        <w:rPr>
          <w:rFonts w:ascii="Verdana" w:hAnsi="Verdana"/>
          <w:lang w:val="es-ES"/>
        </w:rPr>
      </w:pPr>
    </w:p>
    <w:p w14:paraId="287E8694" w14:textId="77777777" w:rsidR="00987D9B" w:rsidRDefault="00987D9B" w:rsidP="00BE2E4F">
      <w:pPr>
        <w:spacing w:after="0"/>
        <w:rPr>
          <w:rFonts w:ascii="Verdana" w:hAnsi="Verdana"/>
          <w:lang w:val="es-ES"/>
        </w:rPr>
      </w:pPr>
    </w:p>
    <w:p w14:paraId="52D1AAAB" w14:textId="77777777" w:rsidR="00987D9B" w:rsidRDefault="00987D9B" w:rsidP="00BE2E4F">
      <w:pPr>
        <w:spacing w:after="0"/>
        <w:rPr>
          <w:rFonts w:ascii="Verdana" w:hAnsi="Verdana"/>
          <w:lang w:val="es-ES"/>
        </w:rPr>
      </w:pPr>
    </w:p>
    <w:p w14:paraId="56926EE8" w14:textId="77777777" w:rsidR="00987D9B" w:rsidRDefault="00987D9B" w:rsidP="00BE2E4F">
      <w:pPr>
        <w:spacing w:after="0"/>
        <w:rPr>
          <w:rFonts w:ascii="Verdana" w:hAnsi="Verdana"/>
          <w:lang w:val="es-ES"/>
        </w:rPr>
      </w:pPr>
    </w:p>
    <w:p w14:paraId="356A3F21" w14:textId="77777777" w:rsidR="00987D9B" w:rsidRDefault="00987D9B" w:rsidP="00BE2E4F">
      <w:pPr>
        <w:spacing w:after="0"/>
        <w:rPr>
          <w:rFonts w:ascii="Verdana" w:hAnsi="Verdana"/>
          <w:lang w:val="es-ES"/>
        </w:rPr>
      </w:pPr>
    </w:p>
    <w:p w14:paraId="7615B3CC" w14:textId="77777777" w:rsidR="00987D9B" w:rsidRDefault="00987D9B" w:rsidP="00BE2E4F">
      <w:pPr>
        <w:spacing w:after="0"/>
        <w:rPr>
          <w:rFonts w:ascii="Verdana" w:hAnsi="Verdana"/>
          <w:lang w:val="es-ES"/>
        </w:rPr>
      </w:pPr>
    </w:p>
    <w:p w14:paraId="3A310ABD" w14:textId="77777777" w:rsidR="00987D9B" w:rsidRDefault="00987D9B" w:rsidP="00BE2E4F">
      <w:pPr>
        <w:spacing w:after="0"/>
        <w:rPr>
          <w:rFonts w:ascii="Verdana" w:hAnsi="Verdana"/>
          <w:lang w:val="es-ES"/>
        </w:rPr>
      </w:pPr>
    </w:p>
    <w:p w14:paraId="70C1F332" w14:textId="77777777" w:rsidR="00987D9B" w:rsidRDefault="00987D9B" w:rsidP="00BE2E4F">
      <w:pPr>
        <w:spacing w:after="0"/>
        <w:rPr>
          <w:rFonts w:ascii="Verdana" w:hAnsi="Verdana"/>
          <w:lang w:val="es-ES"/>
        </w:rPr>
      </w:pPr>
    </w:p>
    <w:p w14:paraId="7F2978C3" w14:textId="77777777" w:rsidR="00987D9B" w:rsidRDefault="00987D9B" w:rsidP="00BE2E4F">
      <w:pPr>
        <w:spacing w:after="0"/>
        <w:rPr>
          <w:rFonts w:ascii="Verdana" w:hAnsi="Verdana"/>
          <w:lang w:val="es-ES"/>
        </w:rPr>
      </w:pPr>
    </w:p>
    <w:p w14:paraId="38422481" w14:textId="77777777" w:rsidR="00987D9B" w:rsidRDefault="00987D9B" w:rsidP="00BE2E4F">
      <w:pPr>
        <w:spacing w:after="0"/>
        <w:rPr>
          <w:rFonts w:ascii="Verdana" w:hAnsi="Verdana"/>
          <w:lang w:val="es-ES"/>
        </w:rPr>
      </w:pPr>
    </w:p>
    <w:p w14:paraId="174BDACB" w14:textId="77777777" w:rsidR="00987D9B" w:rsidRDefault="00987D9B" w:rsidP="00BE2E4F">
      <w:pPr>
        <w:spacing w:after="0"/>
        <w:rPr>
          <w:rFonts w:ascii="Verdana" w:hAnsi="Verdana"/>
          <w:lang w:val="es-ES"/>
        </w:rPr>
      </w:pPr>
    </w:p>
    <w:p w14:paraId="033340C6" w14:textId="5C7F361D" w:rsidR="00BE2E4F" w:rsidRPr="00DD0F57" w:rsidRDefault="00BE2E4F" w:rsidP="00BE2E4F">
      <w:pPr>
        <w:spacing w:after="0"/>
        <w:rPr>
          <w:rFonts w:ascii="Verdana" w:hAnsi="Verdana"/>
          <w:lang w:val="es-ES"/>
        </w:rPr>
      </w:pPr>
      <w:r w:rsidRPr="00DD0F57">
        <w:rPr>
          <w:rFonts w:ascii="Verdana" w:hAnsi="Verdana"/>
          <w:lang w:val="es-ES"/>
        </w:rPr>
        <w:lastRenderedPageBreak/>
        <w:t xml:space="preserve">Bogotá D.C., </w:t>
      </w:r>
      <w:r w:rsidR="00987D9B">
        <w:rPr>
          <w:rFonts w:ascii="Verdana" w:hAnsi="Verdana"/>
          <w:lang w:val="es-ES"/>
        </w:rPr>
        <w:t>09 de julio de 2026</w:t>
      </w:r>
    </w:p>
    <w:p w14:paraId="6048A94B" w14:textId="77777777" w:rsidR="00BE2E4F" w:rsidRPr="00DD0F57" w:rsidRDefault="00BE2E4F" w:rsidP="00BE2E4F">
      <w:pPr>
        <w:spacing w:after="0"/>
        <w:rPr>
          <w:rFonts w:ascii="Verdana" w:hAnsi="Verdana"/>
          <w:lang w:val="es-ES"/>
        </w:rPr>
      </w:pPr>
    </w:p>
    <w:p w14:paraId="39B4D1DA" w14:textId="77777777" w:rsidR="00D37F18" w:rsidRDefault="00D37F18" w:rsidP="00BE2E4F">
      <w:pPr>
        <w:spacing w:after="0" w:line="240" w:lineRule="auto"/>
        <w:jc w:val="both"/>
        <w:rPr>
          <w:rFonts w:ascii="Verdana" w:eastAsia="Calibri" w:hAnsi="Verdana" w:cs="Arial"/>
          <w:color w:val="000000" w:themeColor="text1"/>
          <w:lang w:val="es-ES" w:eastAsia="es-ES"/>
        </w:rPr>
      </w:pPr>
    </w:p>
    <w:p w14:paraId="5E939962" w14:textId="027410CA" w:rsidR="00BE2E4F" w:rsidRDefault="00987D9B" w:rsidP="00BE2E4F">
      <w:pPr>
        <w:spacing w:after="0" w:line="240" w:lineRule="auto"/>
        <w:jc w:val="both"/>
        <w:rPr>
          <w:rFonts w:ascii="Verdana" w:eastAsia="Calibri" w:hAnsi="Verdana" w:cs="Arial"/>
          <w:color w:val="000000" w:themeColor="text1"/>
          <w:lang w:val="es-ES" w:eastAsia="es-ES"/>
        </w:rPr>
      </w:pPr>
      <w:r>
        <w:rPr>
          <w:rFonts w:ascii="Verdana" w:eastAsia="Calibri" w:hAnsi="Verdana" w:cs="Arial"/>
          <w:b/>
          <w:bCs/>
          <w:noProof/>
          <w:color w:val="000000" w:themeColor="text1"/>
          <w:lang w:val="es-ES" w:eastAsia="es-ES"/>
        </w:rPr>
        <w:drawing>
          <wp:anchor distT="0" distB="0" distL="114300" distR="114300" simplePos="0" relativeHeight="251658240" behindDoc="0" locked="0" layoutInCell="1" allowOverlap="1" wp14:anchorId="35A03F8E" wp14:editId="074EE06D">
            <wp:simplePos x="0" y="0"/>
            <wp:positionH relativeFrom="column">
              <wp:posOffset>3403600</wp:posOffset>
            </wp:positionH>
            <wp:positionV relativeFrom="paragraph">
              <wp:posOffset>24130</wp:posOffset>
            </wp:positionV>
            <wp:extent cx="2585720" cy="715645"/>
            <wp:effectExtent l="0" t="0" r="5080" b="0"/>
            <wp:wrapSquare wrapText="bothSides"/>
            <wp:docPr id="8726340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634005" name="Picture 872634005"/>
                    <pic:cNvPicPr/>
                  </pic:nvPicPr>
                  <pic:blipFill>
                    <a:blip r:embed="rId10">
                      <a:extLst>
                        <a:ext uri="{28A0092B-C50C-407E-A947-70E740481C1C}">
                          <a14:useLocalDpi xmlns:a14="http://schemas.microsoft.com/office/drawing/2010/main" val="0"/>
                        </a:ext>
                      </a:extLst>
                    </a:blip>
                    <a:stretch>
                      <a:fillRect/>
                    </a:stretch>
                  </pic:blipFill>
                  <pic:spPr>
                    <a:xfrm>
                      <a:off x="0" y="0"/>
                      <a:ext cx="2585720" cy="715645"/>
                    </a:xfrm>
                    <a:prstGeom prst="rect">
                      <a:avLst/>
                    </a:prstGeom>
                  </pic:spPr>
                </pic:pic>
              </a:graphicData>
            </a:graphic>
            <wp14:sizeRelH relativeFrom="page">
              <wp14:pctWidth>0</wp14:pctWidth>
            </wp14:sizeRelH>
            <wp14:sizeRelV relativeFrom="page">
              <wp14:pctHeight>0</wp14:pctHeight>
            </wp14:sizeRelV>
          </wp:anchor>
        </w:drawing>
      </w:r>
      <w:r w:rsidR="00BE2E4F">
        <w:rPr>
          <w:rFonts w:ascii="Verdana" w:eastAsia="Calibri" w:hAnsi="Verdana" w:cs="Arial"/>
          <w:color w:val="000000" w:themeColor="text1"/>
          <w:lang w:val="es-ES" w:eastAsia="es-ES"/>
        </w:rPr>
        <w:t>Señores</w:t>
      </w:r>
    </w:p>
    <w:p w14:paraId="5F702E19" w14:textId="356FAC76" w:rsidR="00BE2E4F" w:rsidRPr="004C2DCB" w:rsidRDefault="00BE2E4F" w:rsidP="00BE2E4F">
      <w:pPr>
        <w:spacing w:after="0" w:line="240" w:lineRule="auto"/>
        <w:jc w:val="both"/>
        <w:rPr>
          <w:rFonts w:ascii="Verdana" w:eastAsia="Calibri" w:hAnsi="Verdana" w:cs="Arial"/>
          <w:b/>
          <w:bCs/>
          <w:color w:val="000000" w:themeColor="text1"/>
          <w:lang w:val="es-ES" w:eastAsia="es-ES"/>
        </w:rPr>
      </w:pPr>
      <w:r w:rsidRPr="004C2DCB">
        <w:rPr>
          <w:rFonts w:ascii="Verdana" w:eastAsia="Calibri" w:hAnsi="Verdana" w:cs="Arial"/>
          <w:b/>
          <w:bCs/>
          <w:color w:val="000000" w:themeColor="text1"/>
          <w:lang w:eastAsia="es-ES"/>
        </w:rPr>
        <w:t>Noriega &amp; Abogados Asociados S.A.S.</w:t>
      </w:r>
    </w:p>
    <w:p w14:paraId="6DA56BB1" w14:textId="77777777" w:rsidR="00BE2E4F" w:rsidRPr="004C2DCB" w:rsidRDefault="00BE2E4F" w:rsidP="00BE2E4F">
      <w:pPr>
        <w:spacing w:after="0" w:line="240" w:lineRule="auto"/>
        <w:rPr>
          <w:rFonts w:ascii="Verdana" w:eastAsia="Calibri" w:hAnsi="Verdana" w:cs="Arial"/>
          <w:color w:val="000000" w:themeColor="text1"/>
          <w:lang w:eastAsia="es-ES"/>
        </w:rPr>
      </w:pPr>
      <w:hyperlink r:id="rId11" w:history="1">
        <w:r w:rsidRPr="004C2DCB">
          <w:rPr>
            <w:rStyle w:val="Hipervnculo"/>
            <w:rFonts w:ascii="Verdana" w:eastAsia="Calibri" w:hAnsi="Verdana" w:cs="Arial"/>
            <w:lang w:eastAsia="es-ES"/>
          </w:rPr>
          <w:t>noriegasas@gmail.com</w:t>
        </w:r>
      </w:hyperlink>
      <w:r w:rsidRPr="004C2DCB">
        <w:rPr>
          <w:rFonts w:ascii="Verdana" w:eastAsia="Calibri" w:hAnsi="Verdana" w:cs="Arial"/>
          <w:color w:val="000000" w:themeColor="text1"/>
          <w:lang w:eastAsia="es-ES"/>
        </w:rPr>
        <w:t> </w:t>
      </w:r>
    </w:p>
    <w:p w14:paraId="7E2153BE" w14:textId="77777777" w:rsidR="00BE2E4F" w:rsidRPr="00DD0F57" w:rsidRDefault="00BE2E4F" w:rsidP="00BE2E4F">
      <w:pPr>
        <w:spacing w:after="0" w:line="240" w:lineRule="auto"/>
        <w:rPr>
          <w:rFonts w:ascii="Verdana" w:eastAsia="Calibri" w:hAnsi="Verdana" w:cs="Arial"/>
          <w:color w:val="000000" w:themeColor="text1"/>
          <w:lang w:val="es-ES" w:eastAsia="es-ES_tradnl"/>
        </w:rPr>
      </w:pPr>
      <w:r w:rsidRPr="00DD0F57">
        <w:rPr>
          <w:rFonts w:ascii="Verdana" w:eastAsia="Calibri" w:hAnsi="Verdana" w:cs="Arial"/>
          <w:color w:val="000000" w:themeColor="text1"/>
          <w:lang w:val="es-ES" w:eastAsia="es-ES_tradnl"/>
        </w:rPr>
        <w:t>Bogotá D.C.</w:t>
      </w:r>
    </w:p>
    <w:p w14:paraId="5F969655" w14:textId="77777777" w:rsidR="00BE2E4F" w:rsidRPr="00DD0F57" w:rsidRDefault="00BE2E4F" w:rsidP="00BE2E4F">
      <w:pPr>
        <w:spacing w:after="0" w:line="240" w:lineRule="auto"/>
        <w:rPr>
          <w:rFonts w:ascii="Verdana" w:eastAsia="Calibri" w:hAnsi="Verdana" w:cs="Arial"/>
          <w:b/>
          <w:bCs/>
          <w:color w:val="000000" w:themeColor="text1"/>
          <w:lang w:val="es-ES" w:eastAsia="es-ES_tradnl"/>
        </w:rPr>
      </w:pPr>
    </w:p>
    <w:tbl>
      <w:tblPr>
        <w:tblStyle w:val="Tablaconcuadrcula"/>
        <w:tblW w:w="129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gridCol w:w="4179"/>
      </w:tblGrid>
      <w:tr w:rsidR="00BE2E4F" w:rsidRPr="00DD0F57" w14:paraId="7161B78B" w14:textId="77777777">
        <w:trPr>
          <w:gridAfter w:val="1"/>
          <w:wAfter w:w="4179" w:type="dxa"/>
          <w:trHeight w:val="304"/>
        </w:trPr>
        <w:tc>
          <w:tcPr>
            <w:tcW w:w="2689" w:type="dxa"/>
          </w:tcPr>
          <w:p w14:paraId="2F1233E4" w14:textId="77777777" w:rsidR="00BE2E4F" w:rsidRPr="00DD0F57" w:rsidRDefault="00BE2E4F">
            <w:pPr>
              <w:jc w:val="both"/>
              <w:rPr>
                <w:rFonts w:ascii="Verdana" w:eastAsia="Calibri" w:hAnsi="Verdana" w:cs="Arial"/>
                <w:b/>
                <w:bCs/>
                <w:color w:val="000000" w:themeColor="text1"/>
                <w:lang w:val="es-ES" w:eastAsia="es-ES_tradnl"/>
              </w:rPr>
            </w:pPr>
          </w:p>
        </w:tc>
        <w:tc>
          <w:tcPr>
            <w:tcW w:w="6100" w:type="dxa"/>
          </w:tcPr>
          <w:p w14:paraId="685D72B7" w14:textId="10D0D0FD" w:rsidR="00BE2E4F" w:rsidRPr="00DD0F57" w:rsidRDefault="00BE2E4F">
            <w:pPr>
              <w:jc w:val="both"/>
              <w:rPr>
                <w:rFonts w:ascii="Verdana" w:eastAsia="Calibri" w:hAnsi="Verdana" w:cs="Arial"/>
                <w:b/>
                <w:bCs/>
                <w:color w:val="000000" w:themeColor="text1"/>
                <w:lang w:val="es-ES" w:eastAsia="es-ES"/>
              </w:rPr>
            </w:pPr>
            <w:r w:rsidRPr="00DD0F57">
              <w:rPr>
                <w:rFonts w:ascii="Verdana" w:eastAsia="Calibri" w:hAnsi="Verdana" w:cs="Arial"/>
                <w:b/>
                <w:bCs/>
                <w:color w:val="000000" w:themeColor="text1"/>
                <w:lang w:val="es-ES" w:eastAsia="es-ES"/>
              </w:rPr>
              <w:t>Concepto C-</w:t>
            </w:r>
            <w:r w:rsidR="00B9466A">
              <w:rPr>
                <w:rFonts w:ascii="Verdana" w:eastAsia="Calibri" w:hAnsi="Verdana" w:cs="Arial"/>
                <w:b/>
                <w:bCs/>
                <w:color w:val="000000" w:themeColor="text1"/>
                <w:lang w:val="es-ES" w:eastAsia="es-ES"/>
              </w:rPr>
              <w:t>887</w:t>
            </w:r>
            <w:r w:rsidRPr="00DD0F57">
              <w:rPr>
                <w:rFonts w:ascii="Verdana" w:eastAsia="Calibri" w:hAnsi="Verdana" w:cs="Arial"/>
                <w:b/>
                <w:bCs/>
                <w:color w:val="000000" w:themeColor="text1"/>
                <w:lang w:val="es-ES" w:eastAsia="es-ES"/>
              </w:rPr>
              <w:t xml:space="preserve"> de 2026</w:t>
            </w:r>
          </w:p>
          <w:p w14:paraId="6406BBDB" w14:textId="77777777" w:rsidR="00BE2E4F" w:rsidRPr="00DD0F57" w:rsidRDefault="00BE2E4F">
            <w:pPr>
              <w:jc w:val="both"/>
              <w:rPr>
                <w:rFonts w:ascii="Verdana" w:eastAsia="Calibri" w:hAnsi="Verdana" w:cs="Arial"/>
                <w:b/>
                <w:bCs/>
                <w:color w:val="000000" w:themeColor="text1"/>
                <w:lang w:val="es-ES" w:eastAsia="es-ES"/>
              </w:rPr>
            </w:pPr>
          </w:p>
        </w:tc>
      </w:tr>
      <w:tr w:rsidR="00BE2E4F" w:rsidRPr="00DD0F57" w14:paraId="601EC83E" w14:textId="77777777">
        <w:trPr>
          <w:trHeight w:val="884"/>
        </w:trPr>
        <w:tc>
          <w:tcPr>
            <w:tcW w:w="2689" w:type="dxa"/>
          </w:tcPr>
          <w:p w14:paraId="4CCB3A6B" w14:textId="77777777" w:rsidR="00BE2E4F" w:rsidRPr="00DD0F57" w:rsidRDefault="00BE2E4F">
            <w:pPr>
              <w:jc w:val="both"/>
              <w:rPr>
                <w:rFonts w:ascii="Verdana" w:eastAsia="Calibri" w:hAnsi="Verdana" w:cs="Arial"/>
                <w:color w:val="000000" w:themeColor="text1"/>
                <w:lang w:val="es-ES" w:eastAsia="es-ES_tradnl"/>
              </w:rPr>
            </w:pPr>
            <w:r w:rsidRPr="00DD0F57">
              <w:rPr>
                <w:rFonts w:ascii="Verdana" w:eastAsia="Calibri" w:hAnsi="Verdana" w:cs="Arial"/>
                <w:b/>
                <w:color w:val="000000" w:themeColor="text1"/>
                <w:lang w:val="es-ES" w:eastAsia="es-ES_tradnl"/>
              </w:rPr>
              <w:t>Temas:</w:t>
            </w:r>
            <w:r w:rsidRPr="00DD0F57">
              <w:rPr>
                <w:rFonts w:ascii="Verdana" w:eastAsia="Calibri" w:hAnsi="Verdana" w:cs="Arial"/>
                <w:color w:val="000000" w:themeColor="text1"/>
                <w:lang w:val="es-ES" w:eastAsia="es-ES_tradnl"/>
              </w:rPr>
              <w:t xml:space="preserve">                   </w:t>
            </w:r>
          </w:p>
        </w:tc>
        <w:tc>
          <w:tcPr>
            <w:tcW w:w="6100" w:type="dxa"/>
          </w:tcPr>
          <w:p w14:paraId="3FD79A47" w14:textId="0974D997" w:rsidR="00BE2E4F" w:rsidRDefault="00BE2E4F">
            <w:pPr>
              <w:jc w:val="both"/>
              <w:rPr>
                <w:rFonts w:ascii="Verdana" w:hAnsi="Verdana" w:cs="Arial"/>
                <w:color w:val="000000" w:themeColor="text1"/>
              </w:rPr>
            </w:pPr>
            <w:r>
              <w:rPr>
                <w:rFonts w:ascii="Verdana" w:hAnsi="Verdana" w:cs="Arial"/>
                <w:color w:val="000000" w:themeColor="text1"/>
              </w:rPr>
              <w:t>SUSPENSIÓN DEL CONTRATO – Alcance – Autonomía de la voluntad / ACTA DE SUSPENSIÓN – Acta de reinicio</w:t>
            </w:r>
            <w:r w:rsidR="00987D9B">
              <w:rPr>
                <w:rFonts w:ascii="Verdana" w:hAnsi="Verdana" w:cs="Arial"/>
                <w:color w:val="000000" w:themeColor="text1"/>
              </w:rPr>
              <w:t xml:space="preserve"> / SUSPENSIÓN DEL CONTRATO – Competencia</w:t>
            </w:r>
          </w:p>
          <w:p w14:paraId="2B8CFC81" w14:textId="77777777" w:rsidR="00987D9B" w:rsidRPr="00DD0F57" w:rsidRDefault="00987D9B">
            <w:pPr>
              <w:jc w:val="both"/>
              <w:rPr>
                <w:rFonts w:ascii="Verdana" w:eastAsia="Calibri" w:hAnsi="Verdana" w:cs="Arial"/>
                <w:color w:val="000000" w:themeColor="text1"/>
                <w:lang w:val="es-ES" w:eastAsia="es-ES"/>
              </w:rPr>
            </w:pPr>
          </w:p>
        </w:tc>
        <w:tc>
          <w:tcPr>
            <w:tcW w:w="4179" w:type="dxa"/>
          </w:tcPr>
          <w:p w14:paraId="5ABFAE56" w14:textId="77777777" w:rsidR="00BE2E4F" w:rsidRPr="00DD0F57" w:rsidRDefault="00BE2E4F">
            <w:pPr>
              <w:spacing w:line="276" w:lineRule="auto"/>
              <w:jc w:val="both"/>
              <w:rPr>
                <w:rFonts w:ascii="Verdana" w:eastAsia="Calibri" w:hAnsi="Verdana" w:cs="Arial"/>
                <w:b/>
                <w:bCs/>
                <w:color w:val="000000" w:themeColor="text1"/>
                <w:lang w:val="es-ES" w:eastAsia="es-ES"/>
              </w:rPr>
            </w:pPr>
          </w:p>
          <w:p w14:paraId="06901268" w14:textId="77777777" w:rsidR="00BE2E4F" w:rsidRPr="00DD0F57" w:rsidRDefault="00BE2E4F">
            <w:pPr>
              <w:rPr>
                <w:rFonts w:ascii="Verdana" w:hAnsi="Verdana"/>
                <w:lang w:val="es-ES"/>
              </w:rPr>
            </w:pPr>
          </w:p>
        </w:tc>
      </w:tr>
      <w:tr w:rsidR="00BE2E4F" w:rsidRPr="00DD0F57" w14:paraId="1E66DE16" w14:textId="77777777">
        <w:trPr>
          <w:gridAfter w:val="1"/>
          <w:wAfter w:w="4179" w:type="dxa"/>
        </w:trPr>
        <w:tc>
          <w:tcPr>
            <w:tcW w:w="2689" w:type="dxa"/>
          </w:tcPr>
          <w:p w14:paraId="17F4CFA9" w14:textId="77777777" w:rsidR="00BE2E4F" w:rsidRPr="00DD0F57" w:rsidRDefault="00BE2E4F">
            <w:pPr>
              <w:jc w:val="both"/>
              <w:rPr>
                <w:rFonts w:ascii="Verdana" w:eastAsia="Calibri" w:hAnsi="Verdana" w:cs="Arial"/>
                <w:b/>
                <w:color w:val="000000" w:themeColor="text1"/>
                <w:lang w:val="es-ES" w:eastAsia="es-ES_tradnl"/>
              </w:rPr>
            </w:pPr>
            <w:r w:rsidRPr="00DD0F57">
              <w:rPr>
                <w:rFonts w:ascii="Verdana" w:eastAsia="Calibri" w:hAnsi="Verdana" w:cs="Arial"/>
                <w:b/>
                <w:color w:val="000000" w:themeColor="text1"/>
                <w:lang w:val="es-ES" w:eastAsia="es-ES_tradnl"/>
              </w:rPr>
              <w:t>Radicación:</w:t>
            </w:r>
            <w:r w:rsidRPr="00DD0F57">
              <w:rPr>
                <w:rFonts w:ascii="Verdana" w:eastAsia="Calibri" w:hAnsi="Verdana" w:cs="Arial"/>
                <w:color w:val="000000" w:themeColor="text1"/>
                <w:lang w:val="es-ES" w:eastAsia="es-ES_tradnl"/>
              </w:rPr>
              <w:t xml:space="preserve">               </w:t>
            </w:r>
          </w:p>
        </w:tc>
        <w:tc>
          <w:tcPr>
            <w:tcW w:w="6100" w:type="dxa"/>
          </w:tcPr>
          <w:p w14:paraId="25CF57C5" w14:textId="77777777" w:rsidR="00BE2E4F" w:rsidRPr="00DD0F57" w:rsidRDefault="00BE2E4F">
            <w:pPr>
              <w:jc w:val="both"/>
              <w:rPr>
                <w:rFonts w:ascii="Verdana" w:eastAsia="Calibri" w:hAnsi="Verdana" w:cs="Arial"/>
                <w:color w:val="000000" w:themeColor="text1"/>
                <w:lang w:val="es-ES" w:eastAsia="es-ES_tradnl"/>
              </w:rPr>
            </w:pPr>
            <w:r w:rsidRPr="00DD0F57">
              <w:rPr>
                <w:rFonts w:ascii="Verdana" w:eastAsia="Calibri" w:hAnsi="Verdana" w:cs="Arial"/>
                <w:color w:val="000000" w:themeColor="text1"/>
                <w:lang w:val="es-ES" w:eastAsia="es-ES_tradnl"/>
              </w:rPr>
              <w:t xml:space="preserve">Respuesta a </w:t>
            </w:r>
            <w:r>
              <w:rPr>
                <w:rFonts w:ascii="Verdana" w:eastAsia="Calibri" w:hAnsi="Verdana" w:cs="Arial"/>
                <w:color w:val="000000" w:themeColor="text1"/>
                <w:lang w:val="es-ES" w:eastAsia="es-ES_tradnl"/>
              </w:rPr>
              <w:t>la c</w:t>
            </w:r>
            <w:r w:rsidRPr="00DD0F57">
              <w:rPr>
                <w:rFonts w:ascii="Verdana" w:eastAsia="Calibri" w:hAnsi="Verdana" w:cs="Arial"/>
                <w:color w:val="000000" w:themeColor="text1"/>
                <w:lang w:val="es-ES" w:eastAsia="es-ES_tradnl"/>
              </w:rPr>
              <w:t xml:space="preserve">onsulta con radicado No. </w:t>
            </w:r>
            <w:r w:rsidRPr="004C2DCB">
              <w:rPr>
                <w:rFonts w:ascii="Verdana" w:eastAsia="Calibri" w:hAnsi="Verdana" w:cs="Arial"/>
                <w:color w:val="000000" w:themeColor="text1"/>
                <w:lang w:val="es-ES" w:eastAsia="es-ES_tradnl"/>
              </w:rPr>
              <w:t>1_2026_05_27_007142</w:t>
            </w:r>
          </w:p>
        </w:tc>
      </w:tr>
    </w:tbl>
    <w:p w14:paraId="6B62AA56" w14:textId="77777777" w:rsidR="00BE2E4F" w:rsidRPr="00DD0F57" w:rsidRDefault="00BE2E4F" w:rsidP="00BE2E4F">
      <w:pPr>
        <w:spacing w:after="0" w:line="276" w:lineRule="auto"/>
        <w:jc w:val="both"/>
        <w:rPr>
          <w:rFonts w:ascii="Verdana" w:eastAsia="Calibri" w:hAnsi="Verdana" w:cs="Arial"/>
          <w:color w:val="000000" w:themeColor="text1"/>
          <w:lang w:val="es-ES" w:eastAsia="es-ES_tradnl"/>
        </w:rPr>
      </w:pPr>
    </w:p>
    <w:p w14:paraId="432D95DC" w14:textId="77777777" w:rsidR="00BE2E4F" w:rsidRPr="004C2DCB" w:rsidRDefault="00BE2E4F" w:rsidP="00BE2E4F">
      <w:pPr>
        <w:spacing w:after="0" w:line="240" w:lineRule="auto"/>
        <w:jc w:val="both"/>
        <w:rPr>
          <w:rFonts w:ascii="Verdana" w:eastAsia="Calibri" w:hAnsi="Verdana" w:cs="Arial"/>
          <w:color w:val="000000" w:themeColor="text1"/>
          <w:lang w:val="es-ES" w:eastAsia="es-ES"/>
        </w:rPr>
      </w:pPr>
      <w:r>
        <w:rPr>
          <w:rFonts w:ascii="Verdana" w:eastAsia="Calibri" w:hAnsi="Verdana" w:cs="Arial"/>
          <w:color w:val="000000" w:themeColor="text1"/>
          <w:lang w:val="es-ES" w:eastAsia="es-ES"/>
        </w:rPr>
        <w:t>Señores</w:t>
      </w:r>
      <w:r w:rsidRPr="00DD0F57">
        <w:rPr>
          <w:rFonts w:ascii="Verdana" w:eastAsia="Calibri" w:hAnsi="Verdana" w:cs="Arial"/>
          <w:color w:val="000000" w:themeColor="text1"/>
          <w:lang w:val="es-ES" w:eastAsia="es-ES"/>
        </w:rPr>
        <w:t xml:space="preserve"> </w:t>
      </w:r>
      <w:r w:rsidRPr="004C2DCB">
        <w:rPr>
          <w:rFonts w:ascii="Verdana" w:eastAsia="Calibri" w:hAnsi="Verdana" w:cs="Arial"/>
          <w:color w:val="000000" w:themeColor="text1"/>
          <w:lang w:val="es-ES" w:eastAsia="es-ES"/>
        </w:rPr>
        <w:t>Noriega &amp; Abogados Asociados</w:t>
      </w:r>
      <w:r w:rsidRPr="00DD0F57">
        <w:rPr>
          <w:rFonts w:ascii="Verdana" w:eastAsia="Calibri" w:hAnsi="Verdana" w:cs="Arial"/>
          <w:color w:val="000000" w:themeColor="text1"/>
          <w:lang w:val="es-ES" w:eastAsia="es-ES"/>
        </w:rPr>
        <w:t>:</w:t>
      </w:r>
    </w:p>
    <w:p w14:paraId="46DAF30F" w14:textId="77777777" w:rsidR="00BE2E4F" w:rsidRPr="00DD0F57" w:rsidRDefault="00BE2E4F" w:rsidP="00BE2E4F">
      <w:pPr>
        <w:tabs>
          <w:tab w:val="left" w:pos="3768"/>
        </w:tabs>
        <w:spacing w:after="0" w:line="276" w:lineRule="auto"/>
        <w:jc w:val="both"/>
        <w:rPr>
          <w:rFonts w:ascii="Verdana" w:eastAsia="Calibri" w:hAnsi="Verdana" w:cs="Arial"/>
          <w:color w:val="000000" w:themeColor="text1"/>
          <w:lang w:val="es-ES" w:eastAsia="es-ES"/>
        </w:rPr>
      </w:pPr>
      <w:r w:rsidRPr="00DD0F57">
        <w:rPr>
          <w:rFonts w:ascii="Verdana" w:eastAsia="Calibri" w:hAnsi="Verdana" w:cs="Arial"/>
          <w:color w:val="000000" w:themeColor="text1"/>
          <w:lang w:val="es-ES" w:eastAsia="es-ES"/>
        </w:rPr>
        <w:tab/>
      </w:r>
    </w:p>
    <w:p w14:paraId="58AB73FE" w14:textId="77777777" w:rsidR="00BE2E4F" w:rsidRPr="00DD0F57" w:rsidRDefault="00BE2E4F" w:rsidP="00BE2E4F">
      <w:pPr>
        <w:spacing w:after="0" w:line="276" w:lineRule="auto"/>
        <w:jc w:val="both"/>
        <w:rPr>
          <w:rFonts w:ascii="Verdana" w:eastAsia="Calibri" w:hAnsi="Verdana" w:cs="Arial"/>
          <w:color w:val="000000" w:themeColor="text1"/>
          <w:lang w:val="es-ES" w:eastAsia="es-ES"/>
        </w:rPr>
      </w:pPr>
      <w:r w:rsidRPr="00DD0F57">
        <w:rPr>
          <w:rFonts w:ascii="Verdana" w:eastAsia="Calibri" w:hAnsi="Verdana" w:cs="Arial"/>
          <w:color w:val="000000" w:themeColor="text1"/>
          <w:lang w:val="es-ES" w:eastAsia="es-ES"/>
        </w:rPr>
        <w:t>En ejercicio de la competencia otorgada por los artículos 3, numeral 5º, y 11, numeral 8º, del Decreto Ley 4170 de 2011,</w:t>
      </w:r>
      <w:r w:rsidRPr="00DD0F57">
        <w:rPr>
          <w:rFonts w:ascii="Verdana" w:eastAsia="Arial MT" w:hAnsi="Verdana" w:cs="Arial MT"/>
          <w:color w:val="000000" w:themeColor="text1"/>
          <w:lang w:val="es-ES" w:eastAsia="es-ES"/>
        </w:rPr>
        <w:t xml:space="preserve"> </w:t>
      </w:r>
      <w:r w:rsidRPr="00DD0F57">
        <w:rPr>
          <w:rFonts w:ascii="Verdana" w:hAnsi="Verdana" w:cs="Arial"/>
          <w:color w:val="000000" w:themeColor="text1"/>
          <w:lang w:val="es-ES"/>
        </w:rPr>
        <w:t>así como lo establecido en el artículo 4 de la Resolución 1707 de 2018 expedida por esta Entidad, la Agencia Nacional de Contratación Pública – Colombia Compra Eficiente– responde su</w:t>
      </w:r>
      <w:r>
        <w:rPr>
          <w:rFonts w:ascii="Verdana" w:hAnsi="Verdana" w:cs="Arial"/>
          <w:color w:val="000000" w:themeColor="text1"/>
          <w:lang w:val="es-ES"/>
        </w:rPr>
        <w:t xml:space="preserve">s </w:t>
      </w:r>
      <w:r w:rsidRPr="00DD0F57">
        <w:rPr>
          <w:rFonts w:ascii="Verdana" w:hAnsi="Verdana" w:cs="Arial"/>
          <w:color w:val="000000" w:themeColor="text1"/>
          <w:lang w:val="es-ES"/>
        </w:rPr>
        <w:t>solicitud</w:t>
      </w:r>
      <w:r>
        <w:rPr>
          <w:rFonts w:ascii="Verdana" w:hAnsi="Verdana" w:cs="Arial"/>
          <w:color w:val="000000" w:themeColor="text1"/>
          <w:lang w:val="es-ES"/>
        </w:rPr>
        <w:t>es</w:t>
      </w:r>
      <w:r w:rsidRPr="00DD0F57">
        <w:rPr>
          <w:rFonts w:ascii="Verdana" w:hAnsi="Verdana" w:cs="Arial"/>
          <w:color w:val="000000" w:themeColor="text1"/>
          <w:lang w:val="es-ES"/>
        </w:rPr>
        <w:t xml:space="preserve"> de concepto del </w:t>
      </w:r>
      <w:r>
        <w:rPr>
          <w:rFonts w:ascii="Verdana" w:hAnsi="Verdana" w:cs="Arial"/>
          <w:color w:val="000000" w:themeColor="text1"/>
          <w:lang w:val="es-ES"/>
        </w:rPr>
        <w:t xml:space="preserve">27 de mayo de </w:t>
      </w:r>
      <w:r w:rsidRPr="00DD0F57">
        <w:rPr>
          <w:rFonts w:ascii="Verdana" w:hAnsi="Verdana" w:cs="Arial"/>
          <w:color w:val="000000" w:themeColor="text1"/>
          <w:lang w:val="es-ES"/>
        </w:rPr>
        <w:t>2026, en la</w:t>
      </w:r>
      <w:r>
        <w:rPr>
          <w:rFonts w:ascii="Verdana" w:hAnsi="Verdana" w:cs="Arial"/>
          <w:color w:val="000000" w:themeColor="text1"/>
          <w:lang w:val="es-ES"/>
        </w:rPr>
        <w:t>s</w:t>
      </w:r>
      <w:r w:rsidRPr="00DD0F57">
        <w:rPr>
          <w:rFonts w:ascii="Verdana" w:hAnsi="Verdana" w:cs="Arial"/>
          <w:color w:val="000000" w:themeColor="text1"/>
          <w:lang w:val="es-ES"/>
        </w:rPr>
        <w:t xml:space="preserve"> cual</w:t>
      </w:r>
      <w:r>
        <w:rPr>
          <w:rFonts w:ascii="Verdana" w:hAnsi="Verdana" w:cs="Arial"/>
          <w:color w:val="000000" w:themeColor="text1"/>
          <w:lang w:val="es-ES"/>
        </w:rPr>
        <w:t xml:space="preserve">es </w:t>
      </w:r>
      <w:r w:rsidRPr="00DD0F57">
        <w:rPr>
          <w:rFonts w:ascii="Verdana" w:hAnsi="Verdana" w:cs="Arial"/>
          <w:color w:val="000000" w:themeColor="text1"/>
          <w:lang w:val="es-ES"/>
        </w:rPr>
        <w:t>manifiesta lo siguiente:</w:t>
      </w:r>
      <w:r w:rsidRPr="00DD0F57">
        <w:rPr>
          <w:rFonts w:ascii="Verdana" w:eastAsia="Calibri" w:hAnsi="Verdana" w:cs="Arial"/>
          <w:color w:val="000000" w:themeColor="text1"/>
          <w:lang w:val="es-ES" w:eastAsia="es-ES"/>
        </w:rPr>
        <w:t xml:space="preserve"> </w:t>
      </w:r>
    </w:p>
    <w:p w14:paraId="448DC68B" w14:textId="77777777" w:rsidR="00BE2E4F" w:rsidRPr="00DD0F57" w:rsidRDefault="00BE2E4F" w:rsidP="00BE2E4F">
      <w:pPr>
        <w:spacing w:after="0" w:line="276" w:lineRule="auto"/>
        <w:jc w:val="both"/>
        <w:rPr>
          <w:rFonts w:ascii="Verdana" w:eastAsia="Calibri" w:hAnsi="Verdana" w:cs="Arial"/>
          <w:color w:val="000000" w:themeColor="text1"/>
          <w:lang w:val="es-ES" w:eastAsia="es-ES"/>
        </w:rPr>
      </w:pPr>
    </w:p>
    <w:p w14:paraId="0E069239" w14:textId="77777777" w:rsidR="00BE2E4F" w:rsidRPr="00FB56EF" w:rsidRDefault="00BE2E4F" w:rsidP="00BE2E4F">
      <w:pPr>
        <w:spacing w:after="0"/>
        <w:ind w:left="709" w:right="709"/>
        <w:contextualSpacing/>
        <w:jc w:val="both"/>
        <w:rPr>
          <w:rFonts w:ascii="Verdana" w:eastAsia="Century Gothic" w:hAnsi="Verdana" w:cs="Century Gothic"/>
          <w:i/>
          <w:color w:val="000000" w:themeColor="text1"/>
          <w:sz w:val="20"/>
          <w:szCs w:val="20"/>
        </w:rPr>
      </w:pPr>
      <w:r w:rsidRPr="00DD0F57">
        <w:rPr>
          <w:rFonts w:ascii="Verdana" w:eastAsia="Century Gothic" w:hAnsi="Verdana" w:cs="Century Gothic"/>
          <w:i/>
          <w:iCs/>
          <w:color w:val="000000" w:themeColor="text1"/>
          <w:sz w:val="20"/>
          <w:szCs w:val="20"/>
          <w:lang w:val="es-ES"/>
        </w:rPr>
        <w:t>“</w:t>
      </w:r>
      <w:r w:rsidRPr="00FB56EF">
        <w:rPr>
          <w:rFonts w:ascii="Verdana" w:eastAsia="Century Gothic" w:hAnsi="Verdana" w:cs="Century Gothic"/>
          <w:i/>
          <w:color w:val="000000" w:themeColor="text1"/>
          <w:sz w:val="20"/>
          <w:szCs w:val="20"/>
        </w:rPr>
        <w:t>Solicito amablemente conceptuar sobre lo siguiente:</w:t>
      </w:r>
    </w:p>
    <w:p w14:paraId="2D245260" w14:textId="77777777" w:rsidR="00BE2E4F" w:rsidRPr="00FB56EF" w:rsidRDefault="00BE2E4F" w:rsidP="00BE2E4F">
      <w:pPr>
        <w:spacing w:after="0"/>
        <w:ind w:left="709" w:right="709"/>
        <w:contextualSpacing/>
        <w:jc w:val="both"/>
        <w:rPr>
          <w:rFonts w:ascii="Verdana" w:eastAsia="Century Gothic" w:hAnsi="Verdana" w:cs="Century Gothic"/>
          <w:i/>
          <w:color w:val="000000" w:themeColor="text1"/>
          <w:sz w:val="20"/>
          <w:szCs w:val="20"/>
        </w:rPr>
      </w:pPr>
    </w:p>
    <w:p w14:paraId="6578F328" w14:textId="77777777" w:rsidR="00BE2E4F" w:rsidRPr="00FB56EF" w:rsidRDefault="00BE2E4F" w:rsidP="00BE2E4F">
      <w:pPr>
        <w:spacing w:after="0"/>
        <w:ind w:left="709" w:right="709"/>
        <w:contextualSpacing/>
        <w:jc w:val="both"/>
        <w:rPr>
          <w:rFonts w:ascii="Verdana" w:eastAsia="Century Gothic" w:hAnsi="Verdana" w:cs="Century Gothic"/>
          <w:i/>
          <w:color w:val="000000" w:themeColor="text1"/>
          <w:sz w:val="20"/>
          <w:szCs w:val="20"/>
        </w:rPr>
      </w:pPr>
      <w:r w:rsidRPr="00FB56EF">
        <w:rPr>
          <w:rFonts w:ascii="Verdana" w:eastAsia="Century Gothic" w:hAnsi="Verdana" w:cs="Century Gothic"/>
          <w:i/>
          <w:color w:val="000000" w:themeColor="text1"/>
          <w:sz w:val="20"/>
          <w:szCs w:val="20"/>
        </w:rPr>
        <w:t>1. Puede una entidad pública abstenerse de reiniciar, liquidar y pagar saldos pendientes a un contratista enunciando que existe un acta de suspensión de su contrato que fue suscrita únicamente por el supervisor de su contrato y el contratista y que según manual de la entidad de supervisión estas suspensiones deben estar firmadas por ordenador del gasto y por lo tanto no es válida el acta de suspensión?</w:t>
      </w:r>
    </w:p>
    <w:p w14:paraId="6C152DE7" w14:textId="77777777" w:rsidR="00BE2E4F" w:rsidRPr="00FB56EF" w:rsidRDefault="00BE2E4F" w:rsidP="00BE2E4F">
      <w:pPr>
        <w:spacing w:after="0"/>
        <w:ind w:left="709" w:right="709"/>
        <w:contextualSpacing/>
        <w:jc w:val="both"/>
        <w:rPr>
          <w:rFonts w:ascii="Verdana" w:eastAsia="Century Gothic" w:hAnsi="Verdana" w:cs="Century Gothic"/>
          <w:i/>
          <w:color w:val="000000" w:themeColor="text1"/>
          <w:sz w:val="20"/>
          <w:szCs w:val="20"/>
        </w:rPr>
      </w:pPr>
    </w:p>
    <w:p w14:paraId="038EF819" w14:textId="323BECD7" w:rsidR="00BE2E4F" w:rsidRDefault="00BE2E4F" w:rsidP="00BE2E4F">
      <w:pPr>
        <w:spacing w:after="0"/>
        <w:ind w:left="709" w:right="709"/>
        <w:contextualSpacing/>
        <w:jc w:val="both"/>
        <w:rPr>
          <w:rFonts w:ascii="Verdana" w:eastAsia="Century Gothic" w:hAnsi="Verdana" w:cs="Century Gothic"/>
          <w:i/>
          <w:color w:val="000000" w:themeColor="text1"/>
          <w:sz w:val="20"/>
          <w:szCs w:val="20"/>
        </w:rPr>
      </w:pPr>
      <w:r w:rsidRPr="00FB56EF">
        <w:rPr>
          <w:rFonts w:ascii="Verdana" w:eastAsia="Century Gothic" w:hAnsi="Verdana" w:cs="Century Gothic"/>
          <w:i/>
          <w:color w:val="000000" w:themeColor="text1"/>
          <w:sz w:val="20"/>
          <w:szCs w:val="20"/>
        </w:rPr>
        <w:t xml:space="preserve">2. </w:t>
      </w:r>
      <w:proofErr w:type="gramStart"/>
      <w:r w:rsidRPr="00FB56EF">
        <w:rPr>
          <w:rFonts w:ascii="Verdana" w:eastAsia="Century Gothic" w:hAnsi="Verdana" w:cs="Century Gothic"/>
          <w:i/>
          <w:color w:val="000000" w:themeColor="text1"/>
          <w:sz w:val="20"/>
          <w:szCs w:val="20"/>
        </w:rPr>
        <w:t>Si un supervisor actúa en representación de la entidad pública, existe argumento para definir que las actas que suscriban únicamente supervisor y contratista sin firma de ordenador de gasto son inválidas?</w:t>
      </w:r>
      <w:proofErr w:type="gramEnd"/>
    </w:p>
    <w:p w14:paraId="1ED09041" w14:textId="77777777" w:rsidR="00BE2E4F" w:rsidRPr="00FB56EF" w:rsidRDefault="00BE2E4F" w:rsidP="00BE2E4F">
      <w:pPr>
        <w:spacing w:after="0"/>
        <w:ind w:left="709" w:right="709"/>
        <w:contextualSpacing/>
        <w:jc w:val="both"/>
        <w:rPr>
          <w:rFonts w:ascii="Verdana" w:eastAsia="Century Gothic" w:hAnsi="Verdana" w:cs="Century Gothic"/>
          <w:i/>
          <w:color w:val="000000" w:themeColor="text1"/>
          <w:sz w:val="20"/>
          <w:szCs w:val="20"/>
        </w:rPr>
      </w:pPr>
    </w:p>
    <w:p w14:paraId="423AD7CB" w14:textId="77777777" w:rsidR="00BE2E4F" w:rsidRPr="00DD0F57" w:rsidRDefault="00BE2E4F" w:rsidP="00BE2E4F">
      <w:pPr>
        <w:spacing w:after="0" w:line="276" w:lineRule="auto"/>
        <w:contextualSpacing/>
        <w:jc w:val="both"/>
        <w:rPr>
          <w:rFonts w:ascii="Verdana" w:eastAsia="Calibri" w:hAnsi="Verdana" w:cs="Arial"/>
          <w:color w:val="000000" w:themeColor="text1"/>
          <w:szCs w:val="24"/>
          <w:lang w:val="es-ES" w:eastAsia="es-ES_tradnl"/>
        </w:rPr>
      </w:pPr>
      <w:r w:rsidRPr="00DD0F57">
        <w:rPr>
          <w:rFonts w:ascii="Verdana" w:eastAsia="Calibri" w:hAnsi="Verdana" w:cs="Arial"/>
          <w:color w:val="000000" w:themeColor="text1"/>
          <w:lang w:val="es-ES" w:eastAsia="es-ES"/>
        </w:rPr>
        <w:tab/>
        <w:t xml:space="preserve">De manera preliminar, resulta necesario acotar que esta entidad solo tiene competencia para responder consultas sobre la aplicación de normas de carácter </w:t>
      </w:r>
      <w:r w:rsidRPr="00DD0F57">
        <w:rPr>
          <w:rFonts w:ascii="Verdana" w:eastAsia="Calibri" w:hAnsi="Verdana" w:cs="Arial"/>
          <w:color w:val="000000" w:themeColor="text1"/>
          <w:lang w:val="es-ES" w:eastAsia="es-ES"/>
        </w:rPr>
        <w:lastRenderedPageBreak/>
        <w:t xml:space="preserve">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DD0F57">
        <w:rPr>
          <w:rFonts w:ascii="Verdana" w:eastAsia="Calibri" w:hAnsi="Verdana" w:cs="Arial"/>
          <w:color w:val="000000" w:themeColor="text1"/>
          <w:szCs w:val="24"/>
          <w:lang w:val="es-ES" w:eastAsia="es-ES_tradnl"/>
        </w:rPr>
        <w:tab/>
      </w:r>
    </w:p>
    <w:p w14:paraId="667559D7" w14:textId="77777777" w:rsidR="00BE2E4F" w:rsidRPr="00DD0F57" w:rsidRDefault="00BE2E4F" w:rsidP="00BE2E4F">
      <w:pPr>
        <w:spacing w:before="120" w:after="120" w:line="276" w:lineRule="auto"/>
        <w:ind w:firstLine="709"/>
        <w:jc w:val="both"/>
        <w:rPr>
          <w:rFonts w:ascii="Verdana" w:eastAsia="Calibri" w:hAnsi="Verdana" w:cs="Arial"/>
          <w:color w:val="000000" w:themeColor="text1"/>
          <w:lang w:val="es-ES" w:eastAsia="es-ES"/>
        </w:rPr>
      </w:pPr>
      <w:r w:rsidRPr="00DD0F57">
        <w:rPr>
          <w:rFonts w:ascii="Verdana" w:eastAsia="Calibri" w:hAnsi="Verdana" w:cs="Arial"/>
          <w:color w:val="000000" w:themeColor="text1"/>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w:t>
      </w:r>
      <w:r>
        <w:rPr>
          <w:rFonts w:ascii="Verdana" w:eastAsia="Calibri" w:hAnsi="Verdana" w:cs="Arial"/>
          <w:color w:val="000000" w:themeColor="text1"/>
          <w:lang w:val="es-ES" w:eastAsia="es-ES"/>
        </w:rPr>
        <w:t xml:space="preserve">los </w:t>
      </w:r>
      <w:r w:rsidRPr="00DD0F57">
        <w:rPr>
          <w:rFonts w:ascii="Verdana" w:eastAsia="Calibri" w:hAnsi="Verdana" w:cs="Arial"/>
          <w:color w:val="000000" w:themeColor="text1"/>
          <w:lang w:val="es-ES" w:eastAsia="es-ES"/>
        </w:rPr>
        <w:t>problema</w:t>
      </w:r>
      <w:r>
        <w:rPr>
          <w:rFonts w:ascii="Verdana" w:eastAsia="Calibri" w:hAnsi="Verdana" w:cs="Arial"/>
          <w:color w:val="000000" w:themeColor="text1"/>
          <w:lang w:val="es-ES" w:eastAsia="es-ES"/>
        </w:rPr>
        <w:t>s</w:t>
      </w:r>
      <w:r w:rsidRPr="00DD0F57">
        <w:rPr>
          <w:rFonts w:ascii="Verdana" w:eastAsia="Calibri" w:hAnsi="Verdana" w:cs="Arial"/>
          <w:color w:val="000000" w:themeColor="text1"/>
          <w:lang w:val="es-ES" w:eastAsia="es-ES"/>
        </w:rPr>
        <w:t xml:space="preserve"> jurídico</w:t>
      </w:r>
      <w:r>
        <w:rPr>
          <w:rFonts w:ascii="Verdana" w:eastAsia="Calibri" w:hAnsi="Verdana" w:cs="Arial"/>
          <w:color w:val="000000" w:themeColor="text1"/>
          <w:lang w:val="es-ES" w:eastAsia="es-ES"/>
        </w:rPr>
        <w:t>s</w:t>
      </w:r>
      <w:r w:rsidRPr="00DD0F57">
        <w:rPr>
          <w:rFonts w:ascii="Verdana" w:eastAsia="Calibri" w:hAnsi="Verdana" w:cs="Arial"/>
          <w:color w:val="000000" w:themeColor="text1"/>
          <w:lang w:val="es-ES" w:eastAsia="es-ES"/>
        </w:rPr>
        <w:t xml:space="preserve"> de su consulta. </w:t>
      </w:r>
    </w:p>
    <w:p w14:paraId="3F0477CE" w14:textId="77777777" w:rsidR="00BE2E4F" w:rsidRPr="00DD0F57" w:rsidRDefault="00BE2E4F" w:rsidP="00BE2E4F">
      <w:pPr>
        <w:spacing w:after="0" w:line="276" w:lineRule="auto"/>
        <w:jc w:val="both"/>
        <w:rPr>
          <w:rFonts w:ascii="Verdana" w:eastAsia="Calibri" w:hAnsi="Verdana" w:cs="Arial"/>
          <w:color w:val="000000" w:themeColor="text1"/>
          <w:lang w:val="es-ES" w:eastAsia="es-ES"/>
        </w:rPr>
      </w:pPr>
    </w:p>
    <w:p w14:paraId="2974E67D" w14:textId="77777777" w:rsidR="00BE2E4F" w:rsidRPr="00DD0F57" w:rsidRDefault="00BE2E4F" w:rsidP="00BE2E4F">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color w:val="000000" w:themeColor="text1"/>
        </w:rPr>
      </w:pPr>
      <w:r w:rsidRPr="00DD0F57">
        <w:rPr>
          <w:rFonts w:ascii="Verdana" w:eastAsia="Century Gothic" w:hAnsi="Verdana" w:cs="Century Gothic"/>
          <w:b/>
          <w:bCs/>
          <w:color w:val="000000" w:themeColor="text1"/>
        </w:rPr>
        <w:t>Problema planteado:</w:t>
      </w:r>
    </w:p>
    <w:p w14:paraId="04BB1C49" w14:textId="77777777" w:rsidR="00BE2E4F" w:rsidRPr="00DD0F57" w:rsidRDefault="00BE2E4F" w:rsidP="00BE2E4F">
      <w:pPr>
        <w:tabs>
          <w:tab w:val="left" w:pos="426"/>
        </w:tabs>
        <w:spacing w:after="0" w:line="276" w:lineRule="auto"/>
        <w:jc w:val="both"/>
        <w:rPr>
          <w:rFonts w:ascii="Verdana" w:eastAsia="Century Gothic" w:hAnsi="Verdana" w:cs="Century Gothic"/>
          <w:color w:val="000000" w:themeColor="text1"/>
          <w:lang w:val="es-ES"/>
        </w:rPr>
      </w:pPr>
    </w:p>
    <w:p w14:paraId="1938CBF4" w14:textId="77777777" w:rsidR="00BE2E4F" w:rsidRPr="00846ABC" w:rsidRDefault="00BE2E4F" w:rsidP="00BE2E4F">
      <w:pPr>
        <w:spacing w:after="0" w:line="276" w:lineRule="auto"/>
        <w:jc w:val="both"/>
        <w:rPr>
          <w:rFonts w:ascii="Verdana" w:eastAsia="Century Gothic" w:hAnsi="Verdana" w:cs="Century Gothic"/>
          <w:iCs/>
          <w:color w:val="000000" w:themeColor="text1"/>
          <w:lang w:val="es-ES"/>
        </w:rPr>
      </w:pPr>
      <w:r w:rsidRPr="00DD0F57">
        <w:rPr>
          <w:rFonts w:ascii="Verdana" w:eastAsia="Century Gothic" w:hAnsi="Verdana" w:cs="Century Gothic"/>
          <w:color w:val="000000" w:themeColor="text1"/>
          <w:lang w:val="es-ES"/>
        </w:rPr>
        <w:t xml:space="preserve">De acuerdo con el contenido de su solicitud, esta Agencia resolverá </w:t>
      </w:r>
      <w:r>
        <w:rPr>
          <w:rFonts w:ascii="Verdana" w:eastAsia="Century Gothic" w:hAnsi="Verdana" w:cs="Century Gothic"/>
          <w:color w:val="000000" w:themeColor="text1"/>
          <w:lang w:val="es-ES"/>
        </w:rPr>
        <w:t xml:space="preserve">el </w:t>
      </w:r>
      <w:r w:rsidRPr="00DD0F57">
        <w:rPr>
          <w:rFonts w:ascii="Verdana" w:eastAsia="Century Gothic" w:hAnsi="Verdana" w:cs="Century Gothic"/>
          <w:color w:val="000000" w:themeColor="text1"/>
          <w:lang w:val="es-ES"/>
        </w:rPr>
        <w:t xml:space="preserve">siguiente problema jurídico: </w:t>
      </w:r>
      <w:r>
        <w:rPr>
          <w:rFonts w:ascii="Verdana" w:eastAsia="Century Gothic" w:hAnsi="Verdana" w:cs="Century Gothic"/>
          <w:color w:val="000000" w:themeColor="text1"/>
          <w:lang w:val="es-ES"/>
        </w:rPr>
        <w:t xml:space="preserve">i) ¿a quién corresponde suscribir el acta de suspensión de un contrato estatal? y </w:t>
      </w:r>
      <w:proofErr w:type="spellStart"/>
      <w:r>
        <w:rPr>
          <w:rFonts w:ascii="Verdana" w:eastAsia="Century Gothic" w:hAnsi="Verdana" w:cs="Century Gothic"/>
          <w:color w:val="000000" w:themeColor="text1"/>
          <w:lang w:val="es-ES"/>
        </w:rPr>
        <w:t>ii</w:t>
      </w:r>
      <w:proofErr w:type="spellEnd"/>
      <w:r>
        <w:rPr>
          <w:rFonts w:ascii="Verdana" w:eastAsia="Century Gothic" w:hAnsi="Verdana" w:cs="Century Gothic"/>
          <w:color w:val="000000" w:themeColor="text1"/>
          <w:lang w:val="es-ES"/>
        </w:rPr>
        <w:t>)</w:t>
      </w:r>
      <w:r w:rsidRPr="00846ABC">
        <w:rPr>
          <w:rFonts w:ascii="Verdana" w:eastAsia="Century Gothic" w:hAnsi="Verdana" w:cs="Century Gothic"/>
          <w:color w:val="000000" w:themeColor="text1"/>
          <w:lang w:val="es-ES"/>
        </w:rPr>
        <w:t xml:space="preserve"> ¿puede una entidad pública abstenerse de reiniciar, liquidar y pagar saldos pendientes a un contratista cuando el acta fue suscrita por servidor incompetente?</w:t>
      </w:r>
    </w:p>
    <w:p w14:paraId="32F5024B" w14:textId="77777777" w:rsidR="00BE2E4F" w:rsidRPr="00DD0F57" w:rsidRDefault="00BE2E4F" w:rsidP="00BE2E4F">
      <w:pPr>
        <w:spacing w:after="0" w:line="276" w:lineRule="auto"/>
        <w:jc w:val="both"/>
        <w:rPr>
          <w:rFonts w:ascii="Verdana" w:eastAsia="Calibri" w:hAnsi="Verdana" w:cs="Arial"/>
          <w:color w:val="000000" w:themeColor="text1"/>
          <w:lang w:val="es-ES"/>
        </w:rPr>
      </w:pPr>
    </w:p>
    <w:p w14:paraId="7C65C8FD" w14:textId="77777777" w:rsidR="00BE2E4F" w:rsidRPr="00DD0F57" w:rsidRDefault="00BE2E4F" w:rsidP="00BE2E4F">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DD0F57">
        <w:rPr>
          <w:rFonts w:ascii="Verdana" w:eastAsia="Century Gothic" w:hAnsi="Verdana" w:cs="Century Gothic"/>
          <w:b/>
          <w:bCs/>
          <w:color w:val="000000" w:themeColor="text1"/>
        </w:rPr>
        <w:t>Respuesta:</w:t>
      </w:r>
    </w:p>
    <w:p w14:paraId="67DC98A1" w14:textId="77777777" w:rsidR="00BE2E4F" w:rsidRPr="00DD0F57" w:rsidRDefault="00BE2E4F" w:rsidP="00BE2E4F">
      <w:pPr>
        <w:tabs>
          <w:tab w:val="left" w:pos="142"/>
          <w:tab w:val="left" w:pos="284"/>
        </w:tabs>
        <w:spacing w:after="0" w:line="276" w:lineRule="auto"/>
        <w:jc w:val="both"/>
        <w:rPr>
          <w:rFonts w:ascii="Verdana" w:eastAsia="Century Gothic" w:hAnsi="Verdana" w:cs="Century Gothic"/>
          <w:b/>
          <w:bCs/>
          <w:color w:val="000000" w:themeColor="text1"/>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BE2E4F" w:rsidRPr="00DD0F57" w14:paraId="11503DBD" w14:textId="77777777">
        <w:tc>
          <w:tcPr>
            <w:tcW w:w="8828" w:type="dxa"/>
          </w:tcPr>
          <w:p w14:paraId="14D8491C" w14:textId="77777777" w:rsidR="00BE2E4F" w:rsidRPr="001115F7" w:rsidRDefault="00BE2E4F">
            <w:pPr>
              <w:spacing w:after="120" w:line="276" w:lineRule="auto"/>
              <w:jc w:val="both"/>
              <w:rPr>
                <w:rFonts w:ascii="Verdana" w:eastAsia="Arial" w:hAnsi="Verdana" w:cs="Arial"/>
              </w:rPr>
            </w:pPr>
            <w:r w:rsidRPr="001115F7">
              <w:rPr>
                <w:rFonts w:ascii="Verdana" w:eastAsia="Arial" w:hAnsi="Verdana" w:cs="Arial"/>
              </w:rPr>
              <w:t>La suspensión del contrato estatal es una figura mediante la cual las partes acuerdan el cese temporal de la ejecución contractual, como consecuencia de la ocurrencia de circunstancias de orden técnico, jurídico o económico que impiden o dificultan su desarrollo. De conformidad con lo señalado por la Agencia Nacional de Contratación Pública en el Concepto C-198 del 19 de marzo de 2026, la suspensión no extingue el vínculo contractual, sino que implica una interrupción temporal de su ejecución, manteniéndose la vigencia del negocio jurídico durante dicho término.</w:t>
            </w:r>
          </w:p>
          <w:p w14:paraId="48796ADF" w14:textId="77777777" w:rsidR="00BE2E4F" w:rsidRDefault="00BE2E4F">
            <w:pPr>
              <w:spacing w:after="120" w:line="276" w:lineRule="auto"/>
              <w:jc w:val="both"/>
              <w:rPr>
                <w:rFonts w:ascii="Verdana" w:eastAsia="Arial" w:hAnsi="Verdana" w:cs="Arial"/>
              </w:rPr>
            </w:pPr>
            <w:r>
              <w:rPr>
                <w:rFonts w:ascii="Verdana" w:eastAsia="Arial" w:hAnsi="Verdana" w:cs="Arial"/>
              </w:rPr>
              <w:lastRenderedPageBreak/>
              <w:t xml:space="preserve">          </w:t>
            </w:r>
            <w:r w:rsidRPr="001115F7">
              <w:rPr>
                <w:rFonts w:ascii="Verdana" w:eastAsia="Arial" w:hAnsi="Verdana" w:cs="Arial"/>
              </w:rPr>
              <w:t>En virtud del principio de la autonomía de la voluntad, el cual reconoce la libertad contractual para que la entidad estatal y el particular definan las condiciones, alcances y modificaciones de sus obligaciones, las partes cuentan con la facultad legal tanto de suspender como de viabilizar el reinicio de la ejecución mediante acuerdos que restablezcan la confianza y la viabilidad del vínculo jurídico. En este sentido, tal como se desprende de la línea doctrinal de esta Agencia (reflejada, entre otros, en el Concepto C-1834</w:t>
            </w:r>
            <w:r>
              <w:rPr>
                <w:rFonts w:ascii="Verdana" w:eastAsia="Arial" w:hAnsi="Verdana" w:cs="Arial"/>
              </w:rPr>
              <w:t xml:space="preserve"> de 2025</w:t>
            </w:r>
            <w:r w:rsidRPr="001115F7">
              <w:rPr>
                <w:rFonts w:ascii="Verdana" w:eastAsia="Arial" w:hAnsi="Verdana" w:cs="Arial"/>
              </w:rPr>
              <w:t>), la fórmula y las condiciones para el reinicio del contrato dependen formalmente de lo pactado por las partes en el respectivo acuerdo o acta de suspensión.</w:t>
            </w:r>
          </w:p>
          <w:p w14:paraId="7505D396" w14:textId="77777777" w:rsidR="00BE2E4F" w:rsidRDefault="00BE2E4F">
            <w:pPr>
              <w:spacing w:after="120" w:line="276" w:lineRule="auto"/>
              <w:ind w:firstLine="737"/>
              <w:jc w:val="both"/>
              <w:rPr>
                <w:rFonts w:ascii="Verdana" w:eastAsia="Times New Roman" w:hAnsi="Verdana" w:cs="Arial"/>
                <w:color w:val="000000"/>
                <w:lang w:eastAsia="es-ES_tradnl"/>
              </w:rPr>
            </w:pPr>
            <w:r>
              <w:rPr>
                <w:rFonts w:ascii="Verdana" w:eastAsia="Calibri" w:hAnsi="Verdana" w:cs="Arial"/>
                <w:color w:val="000000" w:themeColor="text1"/>
                <w:lang w:val="es-MX"/>
              </w:rPr>
              <w:t xml:space="preserve">En cualquier caso, el marco jurídico expuesto evidencia que la firma del acta de suspensión, al ser un acuerdo de voluntades con respecto al contrato estatal, </w:t>
            </w:r>
            <w:r w:rsidRPr="00B64A74">
              <w:rPr>
                <w:rFonts w:ascii="Verdana" w:eastAsia="Times New Roman" w:hAnsi="Verdana" w:cs="Arial"/>
                <w:color w:val="000000"/>
                <w:lang w:eastAsia="es-ES_tradnl"/>
              </w:rPr>
              <w:t xml:space="preserve">corresponde principalmente a las partes </w:t>
            </w:r>
            <w:proofErr w:type="gramStart"/>
            <w:r w:rsidRPr="00B64A74">
              <w:rPr>
                <w:rFonts w:ascii="Verdana" w:eastAsia="Times New Roman" w:hAnsi="Verdana" w:cs="Arial"/>
                <w:color w:val="000000"/>
                <w:lang w:eastAsia="es-ES_tradnl"/>
              </w:rPr>
              <w:t>del</w:t>
            </w:r>
            <w:r>
              <w:rPr>
                <w:rFonts w:ascii="Verdana" w:eastAsia="Times New Roman" w:hAnsi="Verdana" w:cs="Arial"/>
                <w:color w:val="000000"/>
                <w:lang w:eastAsia="es-ES_tradnl"/>
              </w:rPr>
              <w:t xml:space="preserve"> mismo</w:t>
            </w:r>
            <w:proofErr w:type="gramEnd"/>
            <w:r w:rsidRPr="00B64A74">
              <w:rPr>
                <w:rFonts w:ascii="Verdana" w:eastAsia="Times New Roman" w:hAnsi="Verdana" w:cs="Arial"/>
                <w:color w:val="000000"/>
                <w:lang w:eastAsia="es-ES_tradnl"/>
              </w:rPr>
              <w:t>.</w:t>
            </w:r>
            <w:r>
              <w:rPr>
                <w:rFonts w:ascii="Verdana" w:eastAsia="Times New Roman" w:hAnsi="Verdana" w:cs="Arial"/>
                <w:color w:val="000000"/>
                <w:lang w:eastAsia="es-ES_tradnl"/>
              </w:rPr>
              <w:t xml:space="preserve"> </w:t>
            </w:r>
            <w:r w:rsidRPr="00B64A74">
              <w:rPr>
                <w:rFonts w:ascii="Verdana" w:eastAsia="Times New Roman" w:hAnsi="Verdana" w:cs="Arial"/>
                <w:color w:val="000000"/>
                <w:lang w:eastAsia="es-ES_tradnl"/>
              </w:rPr>
              <w:t>En esta medida, no corresponde a los supervisores ni a los interventores acordar con el contratista la suspensión o el reinicio de las actividades</w:t>
            </w:r>
            <w:r>
              <w:rPr>
                <w:rFonts w:ascii="Verdana" w:eastAsia="Times New Roman" w:hAnsi="Verdana" w:cs="Arial"/>
                <w:color w:val="000000"/>
                <w:lang w:eastAsia="es-ES_tradnl"/>
              </w:rPr>
              <w:t>, pues e</w:t>
            </w:r>
            <w:r w:rsidRPr="00B64A74">
              <w:rPr>
                <w:rFonts w:ascii="Verdana" w:eastAsia="Times New Roman" w:hAnsi="Verdana" w:cs="Arial"/>
                <w:color w:val="000000"/>
                <w:lang w:eastAsia="es-ES_tradnl"/>
              </w:rPr>
              <w:t>sta facultad recae</w:t>
            </w:r>
            <w:r>
              <w:rPr>
                <w:rFonts w:ascii="Verdana" w:eastAsia="Times New Roman" w:hAnsi="Verdana" w:cs="Arial"/>
                <w:color w:val="000000"/>
                <w:lang w:eastAsia="es-ES_tradnl"/>
              </w:rPr>
              <w:t>, al igual que la de suscribir el contrato,</w:t>
            </w:r>
            <w:r w:rsidRPr="00B64A74">
              <w:rPr>
                <w:rFonts w:ascii="Verdana" w:eastAsia="Times New Roman" w:hAnsi="Verdana" w:cs="Arial"/>
                <w:color w:val="000000"/>
                <w:lang w:eastAsia="es-ES_tradnl"/>
              </w:rPr>
              <w:t xml:space="preserve"> sobre el jefe de la entidad contratante –o su delegado– y el contratista. </w:t>
            </w:r>
            <w:r w:rsidRPr="001247C9">
              <w:rPr>
                <w:rFonts w:ascii="Verdana" w:eastAsia="Times New Roman" w:hAnsi="Verdana" w:cs="Arial"/>
                <w:color w:val="000000"/>
                <w:lang w:eastAsia="es-ES_tradnl"/>
              </w:rPr>
              <w:t>Al ser un acuerdo de voluntades que afecta el contrato</w:t>
            </w:r>
            <w:r>
              <w:rPr>
                <w:rFonts w:ascii="Verdana" w:eastAsia="Times New Roman" w:hAnsi="Verdana" w:cs="Arial"/>
                <w:color w:val="000000"/>
                <w:lang w:eastAsia="es-ES_tradnl"/>
              </w:rPr>
              <w:t xml:space="preserve"> estatal</w:t>
            </w:r>
            <w:r w:rsidRPr="001247C9">
              <w:rPr>
                <w:rFonts w:ascii="Verdana" w:eastAsia="Times New Roman" w:hAnsi="Verdana" w:cs="Arial"/>
                <w:color w:val="000000"/>
                <w:lang w:eastAsia="es-ES_tradnl"/>
              </w:rPr>
              <w:t xml:space="preserve">, </w:t>
            </w:r>
            <w:r>
              <w:rPr>
                <w:rFonts w:ascii="Verdana" w:eastAsia="Times New Roman" w:hAnsi="Verdana" w:cs="Arial"/>
                <w:color w:val="000000"/>
                <w:lang w:eastAsia="es-ES_tradnl"/>
              </w:rPr>
              <w:t xml:space="preserve">el acta de suspensión se rige por las </w:t>
            </w:r>
            <w:r w:rsidRPr="001247C9">
              <w:rPr>
                <w:rFonts w:ascii="Verdana" w:eastAsia="Times New Roman" w:hAnsi="Verdana" w:cs="Arial"/>
                <w:color w:val="000000"/>
                <w:lang w:eastAsia="es-ES_tradnl"/>
              </w:rPr>
              <w:t>reglas de competencia</w:t>
            </w:r>
            <w:r>
              <w:rPr>
                <w:rFonts w:ascii="Verdana" w:eastAsia="Times New Roman" w:hAnsi="Verdana" w:cs="Arial"/>
                <w:color w:val="000000"/>
                <w:lang w:eastAsia="es-ES_tradnl"/>
              </w:rPr>
              <w:t xml:space="preserve"> de aquel; es decir, que </w:t>
            </w:r>
            <w:r w:rsidRPr="001247C9">
              <w:rPr>
                <w:rFonts w:ascii="Verdana" w:eastAsia="Times New Roman" w:hAnsi="Verdana" w:cs="Arial"/>
                <w:color w:val="000000"/>
                <w:lang w:eastAsia="es-ES_tradnl"/>
              </w:rPr>
              <w:t xml:space="preserve">debe constar por escrito, dado el carácter solemne del contrato estatal, y ser suscrita por el jefe o representante legal o su delegado, de conformidad con </w:t>
            </w:r>
            <w:r>
              <w:rPr>
                <w:rFonts w:ascii="Verdana" w:eastAsia="Times New Roman" w:hAnsi="Verdana" w:cs="Arial"/>
                <w:color w:val="000000"/>
                <w:lang w:eastAsia="es-ES_tradnl"/>
              </w:rPr>
              <w:t xml:space="preserve">lo dispuesto en los artículos </w:t>
            </w:r>
            <w:r w:rsidRPr="001247C9">
              <w:rPr>
                <w:rFonts w:ascii="Verdana" w:eastAsia="Times New Roman" w:hAnsi="Verdana" w:cs="Arial"/>
                <w:color w:val="000000"/>
                <w:lang w:eastAsia="es-ES_tradnl"/>
              </w:rPr>
              <w:t>11 y 12 de la Ley 80 de 1993</w:t>
            </w:r>
          </w:p>
          <w:p w14:paraId="7B9314E1" w14:textId="77777777" w:rsidR="00BE2E4F" w:rsidRDefault="00BE2E4F">
            <w:pPr>
              <w:spacing w:after="120" w:line="276" w:lineRule="auto"/>
              <w:ind w:firstLine="709"/>
              <w:jc w:val="both"/>
              <w:rPr>
                <w:rFonts w:ascii="Verdana" w:eastAsia="Times New Roman" w:hAnsi="Verdana" w:cs="Arial"/>
                <w:color w:val="000000"/>
                <w:lang w:eastAsia="es-ES_tradnl"/>
              </w:rPr>
            </w:pPr>
            <w:r>
              <w:rPr>
                <w:rFonts w:ascii="Verdana" w:eastAsia="Times New Roman" w:hAnsi="Verdana" w:cs="Arial"/>
                <w:color w:val="000000"/>
                <w:lang w:eastAsia="es-ES_tradnl"/>
              </w:rPr>
              <w:t xml:space="preserve">En consecuencia, </w:t>
            </w:r>
            <w:r w:rsidRPr="001247C9">
              <w:rPr>
                <w:rFonts w:ascii="Verdana" w:eastAsia="Times New Roman" w:hAnsi="Verdana" w:cs="Arial"/>
                <w:color w:val="000000"/>
                <w:lang w:eastAsia="es-ES_tradnl"/>
              </w:rPr>
              <w:t>el jefe o representante legal —o su delegado— es el competente para la celebración del contrato, así como para</w:t>
            </w:r>
            <w:r>
              <w:rPr>
                <w:rFonts w:ascii="Verdana" w:eastAsia="Times New Roman" w:hAnsi="Verdana" w:cs="Arial"/>
                <w:color w:val="000000"/>
                <w:lang w:eastAsia="es-ES_tradnl"/>
              </w:rPr>
              <w:t xml:space="preserve"> suscribir el acta de suspensión,</w:t>
            </w:r>
            <w:r w:rsidRPr="001247C9">
              <w:rPr>
                <w:rFonts w:ascii="Verdana" w:eastAsia="Times New Roman" w:hAnsi="Verdana" w:cs="Arial"/>
                <w:color w:val="000000"/>
                <w:lang w:eastAsia="es-ES_tradnl"/>
              </w:rPr>
              <w:t xml:space="preserve"> </w:t>
            </w:r>
            <w:r>
              <w:rPr>
                <w:rFonts w:ascii="Verdana" w:eastAsia="Times New Roman" w:hAnsi="Verdana" w:cs="Arial"/>
                <w:color w:val="000000"/>
                <w:lang w:eastAsia="es-ES_tradnl"/>
              </w:rPr>
              <w:t xml:space="preserve">las </w:t>
            </w:r>
            <w:r w:rsidRPr="001247C9">
              <w:rPr>
                <w:rFonts w:ascii="Verdana" w:eastAsia="Times New Roman" w:hAnsi="Verdana" w:cs="Arial"/>
                <w:color w:val="000000"/>
                <w:lang w:eastAsia="es-ES_tradnl"/>
              </w:rPr>
              <w:t xml:space="preserve">modificaciones, adiciones o liquidaciones, mientras que los supervisores son los encargados de </w:t>
            </w:r>
            <w:r>
              <w:rPr>
                <w:rFonts w:ascii="Verdana" w:eastAsia="Times New Roman" w:hAnsi="Verdana" w:cs="Arial"/>
                <w:color w:val="000000"/>
                <w:lang w:eastAsia="es-ES_tradnl"/>
              </w:rPr>
              <w:t xml:space="preserve">realizar el seguimiento al </w:t>
            </w:r>
            <w:r w:rsidRPr="001247C9">
              <w:rPr>
                <w:rFonts w:ascii="Verdana" w:eastAsia="Times New Roman" w:hAnsi="Verdana" w:cs="Arial"/>
                <w:color w:val="000000"/>
                <w:lang w:eastAsia="es-ES_tradnl"/>
              </w:rPr>
              <w:t>cumplimiento de las condiciones del contrato</w:t>
            </w:r>
            <w:r>
              <w:rPr>
                <w:rFonts w:ascii="Verdana" w:eastAsia="Times New Roman" w:hAnsi="Verdana" w:cs="Arial"/>
                <w:color w:val="000000"/>
                <w:lang w:eastAsia="es-ES_tradnl"/>
              </w:rPr>
              <w:t xml:space="preserve">. </w:t>
            </w:r>
            <w:r w:rsidRPr="001247C9">
              <w:rPr>
                <w:rFonts w:ascii="Verdana" w:eastAsia="Times New Roman" w:hAnsi="Verdana" w:cs="Arial"/>
                <w:color w:val="000000"/>
                <w:lang w:eastAsia="es-ES_tradnl"/>
              </w:rPr>
              <w:t xml:space="preserve">En el mismo sentido, los interventores o supervisores no pueden sustituir </w:t>
            </w:r>
            <w:r>
              <w:rPr>
                <w:rFonts w:ascii="Verdana" w:eastAsia="Times New Roman" w:hAnsi="Verdana" w:cs="Arial"/>
                <w:color w:val="000000"/>
                <w:lang w:eastAsia="es-ES_tradnl"/>
              </w:rPr>
              <w:t>la competencia de</w:t>
            </w:r>
            <w:r w:rsidRPr="001247C9">
              <w:rPr>
                <w:rFonts w:ascii="Verdana" w:eastAsia="Times New Roman" w:hAnsi="Verdana" w:cs="Arial"/>
                <w:color w:val="000000"/>
                <w:lang w:eastAsia="es-ES_tradnl"/>
              </w:rPr>
              <w:t xml:space="preserve"> la Entidad Estatal</w:t>
            </w:r>
            <w:r>
              <w:rPr>
                <w:rFonts w:ascii="Verdana" w:eastAsia="Times New Roman" w:hAnsi="Verdana" w:cs="Arial"/>
                <w:color w:val="000000"/>
                <w:lang w:eastAsia="es-ES_tradnl"/>
              </w:rPr>
              <w:t xml:space="preserve"> como parte del contrato estatal, pues</w:t>
            </w:r>
            <w:r w:rsidRPr="001247C9">
              <w:rPr>
                <w:rFonts w:ascii="Verdana" w:eastAsia="Times New Roman" w:hAnsi="Verdana" w:cs="Arial"/>
                <w:color w:val="000000"/>
                <w:lang w:eastAsia="es-ES_tradnl"/>
              </w:rPr>
              <w:t xml:space="preserve"> su rol es de vigilancia</w:t>
            </w:r>
            <w:r>
              <w:rPr>
                <w:rFonts w:ascii="Verdana" w:eastAsia="Times New Roman" w:hAnsi="Verdana" w:cs="Arial"/>
                <w:color w:val="000000"/>
                <w:lang w:eastAsia="es-ES_tradnl"/>
              </w:rPr>
              <w:t xml:space="preserve"> y</w:t>
            </w:r>
            <w:r w:rsidRPr="001247C9">
              <w:rPr>
                <w:rFonts w:ascii="Verdana" w:eastAsia="Times New Roman" w:hAnsi="Verdana" w:cs="Arial"/>
                <w:color w:val="000000"/>
                <w:lang w:eastAsia="es-ES_tradnl"/>
              </w:rPr>
              <w:t xml:space="preserve"> no de disposición sobre el negocio jurídico.</w:t>
            </w:r>
          </w:p>
          <w:p w14:paraId="5494F173" w14:textId="77777777" w:rsidR="00BE2E4F" w:rsidRPr="00466363" w:rsidRDefault="00BE2E4F">
            <w:pPr>
              <w:spacing w:after="120" w:line="276" w:lineRule="auto"/>
              <w:ind w:firstLine="709"/>
              <w:jc w:val="both"/>
              <w:rPr>
                <w:rFonts w:ascii="Verdana" w:eastAsia="Times New Roman" w:hAnsi="Verdana" w:cs="Arial"/>
                <w:color w:val="000000"/>
                <w:lang w:eastAsia="es-ES_tradnl"/>
              </w:rPr>
            </w:pPr>
            <w:r w:rsidRPr="00D53B1F">
              <w:rPr>
                <w:rFonts w:ascii="Verdana" w:eastAsia="Calibri" w:hAnsi="Verdana" w:cs="Arial"/>
                <w:color w:val="000000"/>
              </w:rPr>
              <w:t>En relación con los efectos jurídicos derivad</w:t>
            </w:r>
            <w:r>
              <w:rPr>
                <w:rFonts w:ascii="Verdana" w:eastAsia="Calibri" w:hAnsi="Verdana" w:cs="Arial"/>
                <w:color w:val="000000"/>
              </w:rPr>
              <w:t>o</w:t>
            </w:r>
            <w:r w:rsidRPr="00D53B1F">
              <w:rPr>
                <w:rFonts w:ascii="Verdana" w:eastAsia="Calibri" w:hAnsi="Verdana" w:cs="Arial"/>
                <w:color w:val="000000"/>
              </w:rPr>
              <w:t>s de la falta</w:t>
            </w:r>
            <w:r>
              <w:rPr>
                <w:rFonts w:ascii="Verdana" w:eastAsia="Calibri" w:hAnsi="Verdana" w:cs="Arial"/>
                <w:color w:val="000000"/>
              </w:rPr>
              <w:t xml:space="preserve"> suscripción del acta de suspensión por la parte competente</w:t>
            </w:r>
            <w:r w:rsidRPr="00D53B1F">
              <w:rPr>
                <w:rFonts w:ascii="Verdana" w:eastAsia="Calibri" w:hAnsi="Verdana" w:cs="Arial"/>
                <w:color w:val="000000"/>
              </w:rPr>
              <w:t xml:space="preserve">, debe precisarse que la contratación estatal se encuentra regida por los principios de transparencia, responsabilidad, planeación, economía y publicidad, los cuales imponen que toda actuación que incida en la ejecución del contrato debe constar de manera </w:t>
            </w:r>
            <w:r w:rsidRPr="00D53B1F">
              <w:rPr>
                <w:rFonts w:ascii="Verdana" w:eastAsia="Calibri" w:hAnsi="Verdana" w:cs="Arial"/>
                <w:color w:val="000000"/>
              </w:rPr>
              <w:lastRenderedPageBreak/>
              <w:t>expresa, formal y verificable</w:t>
            </w:r>
            <w:r>
              <w:rPr>
                <w:rStyle w:val="Refdenotaalpie"/>
                <w:rFonts w:ascii="Verdana" w:eastAsia="Calibri" w:hAnsi="Verdana" w:cs="Arial"/>
                <w:color w:val="000000"/>
              </w:rPr>
              <w:footnoteReference w:id="2"/>
            </w:r>
            <w:r w:rsidRPr="00D53B1F">
              <w:rPr>
                <w:rFonts w:ascii="Verdana" w:eastAsia="Calibri" w:hAnsi="Verdana" w:cs="Arial"/>
                <w:color w:val="000000"/>
              </w:rPr>
              <w:t>.</w:t>
            </w:r>
            <w:r>
              <w:rPr>
                <w:rFonts w:ascii="Verdana" w:eastAsia="Calibri" w:hAnsi="Verdana" w:cs="Arial"/>
                <w:color w:val="000000"/>
              </w:rPr>
              <w:t xml:space="preserve"> </w:t>
            </w:r>
            <w:r w:rsidRPr="00D53B1F">
              <w:rPr>
                <w:rFonts w:ascii="Verdana" w:eastAsia="Calibri" w:hAnsi="Verdana" w:cs="Arial"/>
                <w:color w:val="000000"/>
              </w:rPr>
              <w:t>En consecuencia, la ausencia de formalización del reinicio impide predicar la existencia de ejecución válida del contrato, lo que genera un estado de incertidumbre jurídica que debe ser corregido por la entidad contratante en ejercicio de su deber de dirección y control del contrato.</w:t>
            </w:r>
          </w:p>
          <w:p w14:paraId="70FFB067" w14:textId="77777777" w:rsidR="00BE2E4F" w:rsidRDefault="00BE2E4F">
            <w:pPr>
              <w:spacing w:after="120" w:line="276" w:lineRule="auto"/>
              <w:ind w:firstLine="708"/>
              <w:jc w:val="both"/>
              <w:rPr>
                <w:rFonts w:ascii="Verdana" w:eastAsia="Calibri" w:hAnsi="Verdana" w:cs="Arial"/>
                <w:color w:val="000000"/>
              </w:rPr>
            </w:pPr>
            <w:r>
              <w:rPr>
                <w:rFonts w:ascii="Verdana" w:eastAsia="Calibri" w:hAnsi="Verdana" w:cs="Arial"/>
                <w:color w:val="000000"/>
              </w:rPr>
              <w:t>Por su parte, d</w:t>
            </w:r>
            <w:r w:rsidRPr="00D53B1F">
              <w:rPr>
                <w:rFonts w:ascii="Verdana" w:eastAsia="Calibri" w:hAnsi="Verdana" w:cs="Arial"/>
                <w:color w:val="000000"/>
              </w:rPr>
              <w:t xml:space="preserve">esde la perspectiva de responsabilidades, la </w:t>
            </w:r>
            <w:r>
              <w:rPr>
                <w:rFonts w:ascii="Verdana" w:eastAsia="Calibri" w:hAnsi="Verdana" w:cs="Arial"/>
                <w:color w:val="000000"/>
              </w:rPr>
              <w:t>E</w:t>
            </w:r>
            <w:r w:rsidRPr="00D53B1F">
              <w:rPr>
                <w:rFonts w:ascii="Verdana" w:eastAsia="Calibri" w:hAnsi="Verdana" w:cs="Arial"/>
                <w:color w:val="000000"/>
              </w:rPr>
              <w:t xml:space="preserve">ntidad </w:t>
            </w:r>
            <w:r>
              <w:rPr>
                <w:rFonts w:ascii="Verdana" w:eastAsia="Calibri" w:hAnsi="Verdana" w:cs="Arial"/>
                <w:color w:val="000000"/>
              </w:rPr>
              <w:t>E</w:t>
            </w:r>
            <w:r w:rsidRPr="00D53B1F">
              <w:rPr>
                <w:rFonts w:ascii="Verdana" w:eastAsia="Calibri" w:hAnsi="Verdana" w:cs="Arial"/>
                <w:color w:val="000000"/>
              </w:rPr>
              <w:t>statal contratante tiene un deber reforzado de dirección, vigilancia y control del contrato, el cual implica la obligación de adoptar oportunamente las decisiones necesarias para evitar la parálisis indefinida o la indeterminación del estado contractual. La omisión en la formalización</w:t>
            </w:r>
            <w:r>
              <w:rPr>
                <w:rFonts w:ascii="Verdana" w:eastAsia="Calibri" w:hAnsi="Verdana" w:cs="Arial"/>
                <w:color w:val="000000"/>
              </w:rPr>
              <w:t xml:space="preserve"> adecuada</w:t>
            </w:r>
            <w:r w:rsidRPr="00D53B1F">
              <w:rPr>
                <w:rFonts w:ascii="Verdana" w:eastAsia="Calibri" w:hAnsi="Verdana" w:cs="Arial"/>
                <w:color w:val="000000"/>
              </w:rPr>
              <w:t xml:space="preserve"> de</w:t>
            </w:r>
            <w:r>
              <w:rPr>
                <w:rFonts w:ascii="Verdana" w:eastAsia="Calibri" w:hAnsi="Verdana" w:cs="Arial"/>
                <w:color w:val="000000"/>
              </w:rPr>
              <w:t xml:space="preserve"> la suspensión o del</w:t>
            </w:r>
            <w:r w:rsidRPr="00D53B1F">
              <w:rPr>
                <w:rFonts w:ascii="Verdana" w:eastAsia="Calibri" w:hAnsi="Verdana" w:cs="Arial"/>
                <w:color w:val="000000"/>
              </w:rPr>
              <w:t xml:space="preserve"> reinicio puede comprometer la responsabilidad disciplinaria del servidor público, en la medida en que constituya una afectación a los principios de la función administrativa, particularmente eficiencia y responsabilidad, previstos en el artículo 209 constitucional.</w:t>
            </w:r>
          </w:p>
          <w:p w14:paraId="1C1F4147" w14:textId="77777777" w:rsidR="00BE2E4F" w:rsidRPr="00DD6656" w:rsidRDefault="00BE2E4F">
            <w:pPr>
              <w:spacing w:after="120" w:line="276" w:lineRule="auto"/>
              <w:ind w:firstLine="708"/>
              <w:jc w:val="both"/>
              <w:rPr>
                <w:rFonts w:ascii="Verdana" w:eastAsia="Calibri" w:hAnsi="Verdana" w:cs="Arial"/>
                <w:color w:val="000000"/>
              </w:rPr>
            </w:pPr>
            <w:r w:rsidRPr="00D53B1F">
              <w:rPr>
                <w:rFonts w:ascii="Verdana" w:eastAsia="Calibri" w:hAnsi="Verdana" w:cs="Arial"/>
                <w:color w:val="000000"/>
              </w:rPr>
              <w:t>Por su parte, el contratista debe actuar conforme al principio de buena fe contractual y colaboración con la administración, por lo que no le es jurídicamente viable ejecutar actividades contractuales sin la formalización del reinicio, en la medida en que ello podría generar controversias sobre el reconocimiento de obligaciones, pagos o imputación de riesgos. No obstante, en caso de actuaciones realizadas en el marco de una confianza legítima derivada del comportamiento de la administración, deberá analizarse en cada caso concreto la procedencia de su reconocimiento, bajo criterios de equidad y buena fe</w:t>
            </w:r>
            <w:r>
              <w:rPr>
                <w:rStyle w:val="Refdenotaalpie"/>
                <w:rFonts w:ascii="Verdana" w:eastAsia="Calibri" w:hAnsi="Verdana" w:cs="Arial"/>
                <w:color w:val="000000"/>
              </w:rPr>
              <w:footnoteReference w:id="3"/>
            </w:r>
            <w:r w:rsidRPr="00D53B1F">
              <w:rPr>
                <w:rFonts w:ascii="Verdana" w:eastAsia="Calibri" w:hAnsi="Verdana" w:cs="Arial"/>
                <w:color w:val="000000"/>
              </w:rPr>
              <w:t>.</w:t>
            </w:r>
          </w:p>
          <w:p w14:paraId="7617FCF5" w14:textId="77777777" w:rsidR="00BE2E4F" w:rsidRPr="00DD6656" w:rsidRDefault="00BE2E4F">
            <w:pPr>
              <w:spacing w:after="120" w:line="276" w:lineRule="auto"/>
              <w:jc w:val="both"/>
              <w:rPr>
                <w:rFonts w:ascii="Verdana" w:eastAsia="Arial" w:hAnsi="Verdana" w:cs="Arial"/>
              </w:rPr>
            </w:pPr>
            <w:r>
              <w:rPr>
                <w:rFonts w:ascii="Verdana" w:eastAsia="Arial" w:hAnsi="Verdana" w:cs="Arial"/>
              </w:rPr>
              <w:t xml:space="preserve">          Al margen de lo expuesto</w:t>
            </w:r>
            <w:r w:rsidRPr="00AD0E92">
              <w:rPr>
                <w:rFonts w:ascii="Verdana" w:eastAsia="Arial" w:hAnsi="Verdana" w:cs="Arial"/>
              </w:rPr>
              <w:t xml:space="preserve">, debe advertirse que el análisis para resolver problemas específicos en torno a los procesos de contratación debe ser realizado por quienes tengan interés en ello. De esta forma, las afirmaciones aquí realizadas no pueden ser interpretadas como juicios de valor sobre circunstancias concretas relacionadas con los hechos que motivan la consulta. Por lo anterior, previo concepto de sus asesores, la solución de situaciones particulares corresponderá a los interesados adoptar la decisión y, en caso de conflicto, a las autoridades judiciales, fiscales y disciplinarias. </w:t>
            </w:r>
            <w:proofErr w:type="gramStart"/>
            <w:r>
              <w:rPr>
                <w:rFonts w:ascii="Verdana" w:eastAsia="Arial" w:hAnsi="Verdana" w:cs="Arial"/>
              </w:rPr>
              <w:t>Además</w:t>
            </w:r>
            <w:proofErr w:type="gramEnd"/>
            <w:r>
              <w:rPr>
                <w:rFonts w:ascii="Verdana" w:eastAsia="Arial" w:hAnsi="Verdana" w:cs="Arial"/>
              </w:rPr>
              <w:t xml:space="preserve"> es </w:t>
            </w:r>
            <w:r>
              <w:rPr>
                <w:rFonts w:ascii="Verdana" w:eastAsia="Calibri" w:hAnsi="Verdana" w:cs="Arial"/>
                <w:color w:val="000000"/>
              </w:rPr>
              <w:t xml:space="preserve">importante resaltar </w:t>
            </w:r>
            <w:proofErr w:type="gramStart"/>
            <w:r>
              <w:rPr>
                <w:rFonts w:ascii="Verdana" w:eastAsia="Calibri" w:hAnsi="Verdana" w:cs="Arial"/>
                <w:color w:val="000000"/>
              </w:rPr>
              <w:t>que</w:t>
            </w:r>
            <w:proofErr w:type="gramEnd"/>
            <w:r>
              <w:rPr>
                <w:rFonts w:ascii="Verdana" w:eastAsia="Calibri" w:hAnsi="Verdana" w:cs="Arial"/>
                <w:color w:val="000000"/>
              </w:rPr>
              <w:t xml:space="preserve"> si se </w:t>
            </w:r>
            <w:r w:rsidRPr="00B3097D">
              <w:rPr>
                <w:rFonts w:ascii="Verdana" w:eastAsia="Calibri" w:hAnsi="Verdana" w:cs="Arial"/>
                <w:color w:val="000000"/>
              </w:rPr>
              <w:t xml:space="preserve">considera que </w:t>
            </w:r>
            <w:r>
              <w:rPr>
                <w:rFonts w:ascii="Verdana" w:eastAsia="Calibri" w:hAnsi="Verdana" w:cs="Arial"/>
                <w:color w:val="000000"/>
              </w:rPr>
              <w:t xml:space="preserve">el acto jurídico </w:t>
            </w:r>
            <w:r w:rsidRPr="00B3097D">
              <w:rPr>
                <w:rFonts w:ascii="Verdana" w:eastAsia="Calibri" w:hAnsi="Verdana" w:cs="Arial"/>
                <w:color w:val="000000"/>
              </w:rPr>
              <w:t xml:space="preserve">está viciado de </w:t>
            </w:r>
            <w:r w:rsidRPr="00B3097D">
              <w:rPr>
                <w:rFonts w:ascii="Verdana" w:eastAsia="Calibri" w:hAnsi="Verdana" w:cs="Arial"/>
                <w:color w:val="000000"/>
              </w:rPr>
              <w:lastRenderedPageBreak/>
              <w:t>nulidad por incompetencia, la declaratoria de esa nulidad corresponde al juez del contrato.</w:t>
            </w:r>
          </w:p>
        </w:tc>
      </w:tr>
    </w:tbl>
    <w:p w14:paraId="4E5D4384" w14:textId="77777777" w:rsidR="00BE2E4F" w:rsidRPr="00DD0F57" w:rsidRDefault="00BE2E4F" w:rsidP="00BE2E4F">
      <w:pPr>
        <w:tabs>
          <w:tab w:val="left" w:pos="142"/>
          <w:tab w:val="left" w:pos="284"/>
        </w:tabs>
        <w:spacing w:after="0" w:line="276" w:lineRule="auto"/>
        <w:jc w:val="both"/>
        <w:rPr>
          <w:rFonts w:ascii="Verdana" w:eastAsia="Century Gothic" w:hAnsi="Verdana" w:cs="Century Gothic"/>
          <w:b/>
          <w:bCs/>
          <w:color w:val="000000" w:themeColor="text1"/>
          <w:lang w:val="es-ES"/>
        </w:rPr>
      </w:pPr>
    </w:p>
    <w:p w14:paraId="6AF40035" w14:textId="77777777" w:rsidR="00BE2E4F" w:rsidRPr="00DD0F57" w:rsidRDefault="00BE2E4F" w:rsidP="00BE2E4F">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DD0F57">
        <w:rPr>
          <w:rFonts w:ascii="Verdana" w:eastAsia="Century Gothic" w:hAnsi="Verdana" w:cs="Century Gothic"/>
          <w:b/>
          <w:bCs/>
          <w:color w:val="000000" w:themeColor="text1"/>
        </w:rPr>
        <w:t>Razones de la respuesta:</w:t>
      </w:r>
    </w:p>
    <w:p w14:paraId="2DB8E89E" w14:textId="77777777" w:rsidR="00BE2E4F" w:rsidRPr="00DD0F57" w:rsidRDefault="00BE2E4F" w:rsidP="00BE2E4F">
      <w:pPr>
        <w:spacing w:after="0" w:line="276" w:lineRule="auto"/>
        <w:jc w:val="both"/>
        <w:rPr>
          <w:rFonts w:ascii="Verdana" w:eastAsia="Calibri" w:hAnsi="Verdana" w:cs="Arial"/>
          <w:color w:val="000000" w:themeColor="text1"/>
          <w:lang w:val="es-ES"/>
        </w:rPr>
      </w:pPr>
    </w:p>
    <w:p w14:paraId="29C0B683" w14:textId="77777777" w:rsidR="00BE2E4F" w:rsidRPr="00DD0F57" w:rsidRDefault="00BE2E4F" w:rsidP="00BE2E4F">
      <w:pPr>
        <w:spacing w:after="0" w:line="276" w:lineRule="auto"/>
        <w:jc w:val="both"/>
        <w:rPr>
          <w:rFonts w:ascii="Verdana" w:eastAsia="Calibri" w:hAnsi="Verdana" w:cs="Arial"/>
          <w:color w:val="000000" w:themeColor="text1"/>
          <w:lang w:val="es-ES"/>
        </w:rPr>
      </w:pPr>
      <w:r w:rsidRPr="00DD0F57">
        <w:rPr>
          <w:rFonts w:ascii="Verdana" w:eastAsia="Calibri" w:hAnsi="Verdana" w:cs="Arial"/>
          <w:color w:val="000000" w:themeColor="text1"/>
          <w:lang w:val="es-ES"/>
        </w:rPr>
        <w:t xml:space="preserve">Lo anterior se sustenta en las siguientes consideraciones: </w:t>
      </w:r>
    </w:p>
    <w:p w14:paraId="61269382" w14:textId="77777777" w:rsidR="00BE2E4F" w:rsidRPr="00DD0F57" w:rsidRDefault="00BE2E4F" w:rsidP="00BE2E4F">
      <w:pPr>
        <w:spacing w:after="0" w:line="276" w:lineRule="auto"/>
        <w:jc w:val="both"/>
        <w:rPr>
          <w:rFonts w:ascii="Verdana" w:eastAsia="Calibri" w:hAnsi="Verdana" w:cs="Arial"/>
          <w:lang w:val="es-ES"/>
        </w:rPr>
      </w:pPr>
    </w:p>
    <w:p w14:paraId="1FF5CCDA" w14:textId="77777777" w:rsidR="00BE2E4F" w:rsidRPr="00B64A74" w:rsidRDefault="00BE2E4F" w:rsidP="00BE2E4F">
      <w:pPr>
        <w:spacing w:after="120" w:line="276" w:lineRule="auto"/>
        <w:jc w:val="both"/>
        <w:rPr>
          <w:rFonts w:ascii="Verdana" w:eastAsia="Times New Roman" w:hAnsi="Verdana" w:cs="Arial"/>
          <w:color w:val="000000"/>
          <w:lang w:eastAsia="es-ES_tradnl"/>
        </w:rPr>
      </w:pPr>
      <w:r w:rsidRPr="00984765">
        <w:rPr>
          <w:rFonts w:ascii="Verdana" w:eastAsia="Calibri" w:hAnsi="Verdana" w:cs="Arial"/>
          <w:bCs/>
          <w:lang w:val="es-ES"/>
        </w:rPr>
        <w:t>i.</w:t>
      </w:r>
      <w:r w:rsidRPr="00984765">
        <w:rPr>
          <w:rFonts w:ascii="Verdana" w:eastAsia="Calibri" w:hAnsi="Verdana" w:cs="Arial"/>
          <w:color w:val="000000"/>
          <w:lang w:val="es-ES"/>
        </w:rPr>
        <w:t xml:space="preserve"> </w:t>
      </w:r>
      <w:r w:rsidRPr="00B64A74">
        <w:rPr>
          <w:rFonts w:ascii="Verdana" w:eastAsia="Times New Roman" w:hAnsi="Verdana" w:cs="Arial"/>
          <w:color w:val="000000"/>
          <w:lang w:eastAsia="es-ES_tradnl"/>
        </w:rPr>
        <w:t xml:space="preserve">La </w:t>
      </w:r>
      <w:r w:rsidRPr="00B64A74">
        <w:rPr>
          <w:rFonts w:ascii="Verdana" w:eastAsia="Times New Roman" w:hAnsi="Verdana" w:cs="Arial"/>
          <w:i/>
          <w:iCs/>
          <w:color w:val="000000"/>
          <w:lang w:eastAsia="es-ES_tradnl"/>
        </w:rPr>
        <w:t>suspensión</w:t>
      </w:r>
      <w:r w:rsidRPr="00B64A74">
        <w:rPr>
          <w:rFonts w:ascii="Verdana" w:eastAsia="Times New Roman" w:hAnsi="Verdana" w:cs="Arial"/>
          <w:color w:val="000000"/>
          <w:lang w:eastAsia="es-ES_tradnl"/>
        </w:rPr>
        <w:t xml:space="preserve"> es la medida por la cual se acuerda el cese provisional de la ejecución del contrato, por la ocurrencia de circunstancias que lo impiden o lo dificultan</w:t>
      </w:r>
      <w:r w:rsidRPr="00B64A74">
        <w:rPr>
          <w:rStyle w:val="Refdenotaalpie"/>
          <w:rFonts w:ascii="Verdana" w:hAnsi="Verdana" w:cs="Arial"/>
        </w:rPr>
        <w:footnoteReference w:id="4"/>
      </w:r>
      <w:r w:rsidRPr="00B64A74">
        <w:rPr>
          <w:rFonts w:ascii="Verdana" w:eastAsia="Times New Roman" w:hAnsi="Verdana" w:cs="Arial"/>
          <w:color w:val="000000"/>
          <w:lang w:eastAsia="es-ES_tradnl"/>
        </w:rPr>
        <w:t>. Las razones de aquella pueden ser de orden técnico, jurídico o económico. En la medida de lo posible, las entidades estatales, durante la fase de planeación debe</w:t>
      </w:r>
      <w:r>
        <w:rPr>
          <w:rFonts w:ascii="Verdana" w:eastAsia="Times New Roman" w:hAnsi="Verdana" w:cs="Arial"/>
          <w:color w:val="000000"/>
          <w:lang w:eastAsia="es-ES_tradnl"/>
        </w:rPr>
        <w:t>n</w:t>
      </w:r>
      <w:r w:rsidRPr="00B64A74">
        <w:rPr>
          <w:rFonts w:ascii="Verdana" w:eastAsia="Times New Roman" w:hAnsi="Verdana" w:cs="Arial"/>
          <w:color w:val="000000"/>
          <w:lang w:eastAsia="es-ES_tradnl"/>
        </w:rPr>
        <w:t xml:space="preserve"> pre</w:t>
      </w:r>
      <w:r>
        <w:rPr>
          <w:rFonts w:ascii="Verdana" w:eastAsia="Times New Roman" w:hAnsi="Verdana" w:cs="Arial"/>
          <w:color w:val="000000"/>
          <w:lang w:eastAsia="es-ES_tradnl"/>
        </w:rPr>
        <w:t xml:space="preserve">ver </w:t>
      </w:r>
      <w:r w:rsidRPr="00B64A74">
        <w:rPr>
          <w:rFonts w:ascii="Verdana" w:eastAsia="Times New Roman" w:hAnsi="Verdana" w:cs="Arial"/>
          <w:color w:val="000000"/>
          <w:lang w:eastAsia="es-ES_tradnl"/>
        </w:rPr>
        <w:t xml:space="preserve">los riesgos que pueden afectar la ejecución normal del contrato, pero esto no elimina la probabilidad de que ocurran sucesos posteriores y extraordinarios que lleven a las partes a acordar la suspensión o que paralicen el contrato </w:t>
      </w:r>
      <w:r w:rsidRPr="00B64A74">
        <w:rPr>
          <w:rFonts w:ascii="Verdana" w:eastAsia="Times New Roman" w:hAnsi="Verdana" w:cs="Arial"/>
          <w:i/>
          <w:iCs/>
          <w:color w:val="000000"/>
          <w:lang w:eastAsia="es-ES_tradnl"/>
        </w:rPr>
        <w:t>de facto</w:t>
      </w:r>
      <w:r w:rsidRPr="00B64A74">
        <w:rPr>
          <w:rFonts w:ascii="Verdana" w:eastAsia="Times New Roman" w:hAnsi="Verdana" w:cs="Arial"/>
          <w:color w:val="000000"/>
          <w:lang w:eastAsia="es-ES_tradnl"/>
        </w:rPr>
        <w:t>, mientras se resuelven las situaciones que están incidiendo negativamente en el desarrollo del negocio o que lo están tornando imposible. Esto quiere decir que la suspensión puede ser acordada por las partes –como usualmente sucede y es lo más recomendable, siempre que existan motivos fundados para ello– o darse por la fuerza de los hechos, es decir, por la configuración de eventos externos e irresistibles que hagan imposible la ejecución del contrato durante un tiempo</w:t>
      </w:r>
      <w:r w:rsidRPr="00B64A74">
        <w:rPr>
          <w:rStyle w:val="Refdenotaalpie"/>
          <w:rFonts w:ascii="Verdana" w:hAnsi="Verdana" w:cs="Arial"/>
        </w:rPr>
        <w:footnoteReference w:id="5"/>
      </w:r>
      <w:r w:rsidRPr="00B64A74">
        <w:rPr>
          <w:rFonts w:ascii="Verdana" w:eastAsia="Times New Roman" w:hAnsi="Verdana" w:cs="Arial"/>
          <w:color w:val="000000"/>
          <w:lang w:eastAsia="es-ES_tradnl"/>
        </w:rPr>
        <w:t>; esto es, por factores que constituyan razones de fuerza mayor o caso fortuito</w:t>
      </w:r>
      <w:r w:rsidRPr="00B64A74">
        <w:rPr>
          <w:rStyle w:val="Refdenotaalpie"/>
          <w:rFonts w:ascii="Verdana" w:hAnsi="Verdana" w:cs="Arial"/>
        </w:rPr>
        <w:footnoteReference w:id="6"/>
      </w:r>
      <w:r w:rsidRPr="00B64A74">
        <w:rPr>
          <w:rFonts w:ascii="Verdana" w:eastAsia="Times New Roman" w:hAnsi="Verdana" w:cs="Arial"/>
          <w:color w:val="000000"/>
          <w:lang w:eastAsia="es-ES_tradnl"/>
        </w:rPr>
        <w:t>, o que procura la satisfacción del interés público.</w:t>
      </w:r>
    </w:p>
    <w:p w14:paraId="33C08CE1" w14:textId="77777777" w:rsidR="00BE2E4F" w:rsidRPr="00B64A74" w:rsidRDefault="00BE2E4F" w:rsidP="00BE2E4F">
      <w:pPr>
        <w:spacing w:before="120" w:after="120" w:line="276" w:lineRule="auto"/>
        <w:ind w:firstLine="709"/>
        <w:jc w:val="both"/>
        <w:rPr>
          <w:rFonts w:ascii="Verdana" w:eastAsia="Times New Roman" w:hAnsi="Verdana" w:cs="Arial"/>
          <w:color w:val="000000"/>
          <w:lang w:eastAsia="es-ES_tradnl"/>
        </w:rPr>
      </w:pPr>
      <w:r w:rsidRPr="00B64A74">
        <w:rPr>
          <w:rFonts w:ascii="Verdana" w:eastAsia="Times New Roman" w:hAnsi="Verdana" w:cs="Arial"/>
          <w:color w:val="000000"/>
          <w:lang w:eastAsia="es-ES_tradnl"/>
        </w:rPr>
        <w:t xml:space="preserve">En ese sentido se ha pronunciado el Consejo de Estado manifestando que: </w:t>
      </w:r>
    </w:p>
    <w:p w14:paraId="7CE96ABA" w14:textId="77777777" w:rsidR="00BE2E4F" w:rsidRPr="00B64A74" w:rsidRDefault="00BE2E4F" w:rsidP="00BE2E4F">
      <w:pPr>
        <w:spacing w:after="0" w:line="240" w:lineRule="auto"/>
        <w:ind w:left="709" w:right="709"/>
        <w:jc w:val="both"/>
        <w:rPr>
          <w:rFonts w:ascii="Verdana" w:eastAsia="Times New Roman" w:hAnsi="Verdana" w:cs="Arial"/>
          <w:color w:val="000000"/>
          <w:sz w:val="20"/>
          <w:szCs w:val="20"/>
          <w:lang w:eastAsia="es-ES_tradnl"/>
        </w:rPr>
      </w:pPr>
      <w:r w:rsidRPr="00B64A74">
        <w:rPr>
          <w:rFonts w:ascii="Verdana" w:hAnsi="Verdana"/>
          <w:sz w:val="20"/>
          <w:szCs w:val="20"/>
        </w:rPr>
        <w:t>“Dado el interés público que gravita sobre la contratación estatal, las partes contratantes deberán en cada caso concreto: (i) ponderar que la naturaleza del contrato estatal admita la posibilidad de suspenderlo, (</w:t>
      </w:r>
      <w:proofErr w:type="spellStart"/>
      <w:r w:rsidRPr="00B64A74">
        <w:rPr>
          <w:rFonts w:ascii="Verdana" w:hAnsi="Verdana"/>
          <w:sz w:val="20"/>
          <w:szCs w:val="20"/>
        </w:rPr>
        <w:t>ii</w:t>
      </w:r>
      <w:proofErr w:type="spellEnd"/>
      <w:r w:rsidRPr="00B64A74">
        <w:rPr>
          <w:rFonts w:ascii="Verdana" w:hAnsi="Verdana"/>
          <w:sz w:val="20"/>
          <w:szCs w:val="20"/>
        </w:rPr>
        <w:t>) verificar que lo que se pacte no esté prohibido expresamente en la ley ni resulte contrario al orden público y a las buenas costumbres, (</w:t>
      </w:r>
      <w:proofErr w:type="spellStart"/>
      <w:r w:rsidRPr="00B64A74">
        <w:rPr>
          <w:rFonts w:ascii="Verdana" w:hAnsi="Verdana"/>
          <w:sz w:val="20"/>
          <w:szCs w:val="20"/>
        </w:rPr>
        <w:t>iii</w:t>
      </w:r>
      <w:proofErr w:type="spellEnd"/>
      <w:r w:rsidRPr="00B64A74">
        <w:rPr>
          <w:rFonts w:ascii="Verdana" w:hAnsi="Verdana"/>
          <w:sz w:val="20"/>
          <w:szCs w:val="20"/>
        </w:rPr>
        <w:t xml:space="preserve">) </w:t>
      </w:r>
      <w:r w:rsidRPr="00B64A74">
        <w:rPr>
          <w:rFonts w:ascii="Verdana" w:hAnsi="Verdana"/>
          <w:sz w:val="20"/>
          <w:szCs w:val="20"/>
        </w:rPr>
        <w:lastRenderedPageBreak/>
        <w:t>garantizar que la suspensión tenga por objeto la consecución del interés general y el cumplimiento de los fines estatales</w:t>
      </w:r>
      <w:r w:rsidRPr="00B64A74">
        <w:rPr>
          <w:rStyle w:val="Refdenotaalpie"/>
          <w:rFonts w:ascii="Verdana" w:hAnsi="Verdana"/>
          <w:sz w:val="20"/>
          <w:szCs w:val="20"/>
        </w:rPr>
        <w:footnoteReference w:id="7"/>
      </w:r>
      <w:r w:rsidRPr="00B64A74">
        <w:rPr>
          <w:rFonts w:ascii="Verdana" w:hAnsi="Verdana"/>
          <w:sz w:val="20"/>
          <w:szCs w:val="20"/>
        </w:rPr>
        <w:t>; y (</w:t>
      </w:r>
      <w:proofErr w:type="spellStart"/>
      <w:r w:rsidRPr="00B64A74">
        <w:rPr>
          <w:rFonts w:ascii="Verdana" w:hAnsi="Verdana"/>
          <w:sz w:val="20"/>
          <w:szCs w:val="20"/>
        </w:rPr>
        <w:t>iv</w:t>
      </w:r>
      <w:proofErr w:type="spellEnd"/>
      <w:r w:rsidRPr="00B64A74">
        <w:rPr>
          <w:rFonts w:ascii="Verdana" w:hAnsi="Verdana"/>
          <w:sz w:val="20"/>
          <w:szCs w:val="20"/>
        </w:rPr>
        <w:t>) demostrar y justificar que su ocurrencia obedece a razones de fuerza mayor, o caso fortuito, o que procura la satisfacción del interés público. (…) La suspensión temporal del contrato estatal requiere la concurrencia de la voluntad de los contratistas, lo que excluye la posibilidad de declararla unilateralmente. Lo anterior sin perjuicio de la suspensión de “facto”, en la cual no hay acuerdos, sino que únicamente se dejan constancias escritas de la ocurrencia de los eventos que impiden continuar con el cumplimiento de la obligación pactada”</w:t>
      </w:r>
      <w:r w:rsidRPr="00B64A74">
        <w:rPr>
          <w:rStyle w:val="Refdenotaalpie"/>
          <w:rFonts w:ascii="Verdana" w:hAnsi="Verdana"/>
          <w:sz w:val="20"/>
          <w:szCs w:val="20"/>
        </w:rPr>
        <w:footnoteReference w:id="8"/>
      </w:r>
      <w:r w:rsidRPr="00B64A74">
        <w:rPr>
          <w:rFonts w:ascii="Verdana" w:hAnsi="Verdana"/>
          <w:sz w:val="20"/>
          <w:szCs w:val="20"/>
        </w:rPr>
        <w:t>.</w:t>
      </w:r>
    </w:p>
    <w:p w14:paraId="21B05D5B" w14:textId="77777777" w:rsidR="00BE2E4F" w:rsidRPr="00B64A74" w:rsidRDefault="00BE2E4F" w:rsidP="00BE2E4F">
      <w:pPr>
        <w:spacing w:before="120" w:after="120" w:line="276" w:lineRule="auto"/>
        <w:ind w:firstLine="709"/>
        <w:jc w:val="both"/>
        <w:rPr>
          <w:rFonts w:ascii="Verdana" w:eastAsia="Times New Roman" w:hAnsi="Verdana" w:cs="Arial"/>
          <w:color w:val="000000"/>
          <w:lang w:eastAsia="es-ES_tradnl"/>
        </w:rPr>
      </w:pPr>
      <w:r w:rsidRPr="00B64A74">
        <w:rPr>
          <w:rFonts w:ascii="Verdana" w:eastAsia="Times New Roman" w:hAnsi="Verdana" w:cs="Arial"/>
          <w:color w:val="000000"/>
          <w:lang w:eastAsia="es-ES_tradnl"/>
        </w:rPr>
        <w:t>Por lo tanto, aun cuando un contrato se suspenda, conserva vigencia, pues su plazo no ha vencido, precisamente uno de los efectos de la suspensión es que se detiene provisionalmente el cómputo del plazo y, además</w:t>
      </w:r>
      <w:r>
        <w:rPr>
          <w:rFonts w:ascii="Verdana" w:eastAsia="Times New Roman" w:hAnsi="Verdana" w:cs="Arial"/>
          <w:color w:val="000000"/>
          <w:lang w:eastAsia="es-ES_tradnl"/>
        </w:rPr>
        <w:t>,</w:t>
      </w:r>
      <w:r w:rsidRPr="00B64A74">
        <w:rPr>
          <w:rFonts w:ascii="Verdana" w:eastAsia="Times New Roman" w:hAnsi="Verdana" w:cs="Arial"/>
          <w:color w:val="000000"/>
          <w:lang w:eastAsia="es-ES_tradnl"/>
        </w:rPr>
        <w:t xml:space="preserve"> las obligaciones de las partes están pendientes de cumplimiento a cabalidad. Solo cuando los motivos que han dado lugar a la suspensión sean permanentes e irresistibles, lo que inicialmente </w:t>
      </w:r>
      <w:r>
        <w:rPr>
          <w:rFonts w:ascii="Verdana" w:eastAsia="Times New Roman" w:hAnsi="Verdana" w:cs="Arial"/>
          <w:color w:val="000000"/>
          <w:lang w:eastAsia="es-ES_tradnl"/>
        </w:rPr>
        <w:t xml:space="preserve">fue una simple </w:t>
      </w:r>
      <w:r w:rsidRPr="00B64A74">
        <w:rPr>
          <w:rFonts w:ascii="Verdana" w:eastAsia="Times New Roman" w:hAnsi="Verdana" w:cs="Arial"/>
          <w:color w:val="000000"/>
          <w:lang w:eastAsia="es-ES_tradnl"/>
        </w:rPr>
        <w:t>suspensión puede dar paso a la terminación, y en este evento el deudor no será responsable, salvo que las razones de la suspensión y futura terminación le sean imputables</w:t>
      </w:r>
      <w:r w:rsidRPr="00B64A74">
        <w:rPr>
          <w:rStyle w:val="Refdenotaalpie"/>
          <w:rFonts w:ascii="Verdana" w:hAnsi="Verdana" w:cs="Arial"/>
        </w:rPr>
        <w:footnoteReference w:id="9"/>
      </w:r>
      <w:r w:rsidRPr="00B64A74">
        <w:rPr>
          <w:rFonts w:ascii="Verdana" w:eastAsia="Times New Roman" w:hAnsi="Verdana" w:cs="Arial"/>
          <w:color w:val="000000"/>
          <w:lang w:eastAsia="es-ES_tradnl"/>
        </w:rPr>
        <w:t xml:space="preserve">. </w:t>
      </w:r>
    </w:p>
    <w:p w14:paraId="05FA223C" w14:textId="77777777" w:rsidR="00BE2E4F" w:rsidRPr="00417C9F" w:rsidRDefault="00BE2E4F" w:rsidP="00BE2E4F">
      <w:pPr>
        <w:spacing w:before="120" w:after="120" w:line="276" w:lineRule="auto"/>
        <w:ind w:firstLine="708"/>
        <w:jc w:val="both"/>
        <w:rPr>
          <w:rFonts w:ascii="Verdana" w:hAnsi="Verdana"/>
        </w:rPr>
      </w:pPr>
      <w:r w:rsidRPr="007C4807">
        <w:rPr>
          <w:rFonts w:ascii="Verdana" w:hAnsi="Verdana"/>
        </w:rPr>
        <w:t xml:space="preserve">En estricto sentido, el contrato no cesa con la </w:t>
      </w:r>
      <w:proofErr w:type="gramStart"/>
      <w:r w:rsidRPr="007C4807">
        <w:rPr>
          <w:rFonts w:ascii="Verdana" w:hAnsi="Verdana"/>
        </w:rPr>
        <w:t>suspensión</w:t>
      </w:r>
      <w:proofErr w:type="gramEnd"/>
      <w:r w:rsidRPr="007C4807">
        <w:rPr>
          <w:rFonts w:ascii="Verdana" w:hAnsi="Verdana"/>
        </w:rPr>
        <w:t xml:space="preserve"> sino que sigue vigente, en estado potencial o de latencia, pues mientras la terminación de un contrato afecta como es obvio su subsistencia misma, la suspensión afecta las obligaciones que a las partes les resulta temporalmente imposible</w:t>
      </w:r>
      <w:r>
        <w:rPr>
          <w:rFonts w:ascii="Verdana" w:hAnsi="Verdana"/>
        </w:rPr>
        <w:t xml:space="preserve"> </w:t>
      </w:r>
      <w:r w:rsidRPr="007C4807">
        <w:rPr>
          <w:rFonts w:ascii="Verdana" w:hAnsi="Verdana"/>
        </w:rPr>
        <w:t xml:space="preserve">cumplir. Una vez se ha aclarado que la suspensión no perturba el vínculo contractual sino solamente las obligaciones que de él emanan, también debe señalarse que dependiendo de la magnitud de la causa que la origine puede ser total o parcial. Es decir, puede imposibilitar el cumplimiento de la totalidad de las obligaciones </w:t>
      </w:r>
      <w:r w:rsidRPr="007C4807">
        <w:rPr>
          <w:rFonts w:ascii="Verdana" w:hAnsi="Verdana"/>
        </w:rPr>
        <w:lastRenderedPageBreak/>
        <w:t>de las partes o, puede impedir a los contratantes honrar solo algunas de estas pudiendo continuar con la ejecución de las demás. (…) Así las cosas, la suspensión materialmente constituye un intervalo pasivo en la dinámica del contrato cuando el cumplimiento de una, de varias o de todas las obligaciones a que están obligadas las partes resultan imposibles de ejecutar”</w:t>
      </w:r>
      <w:r w:rsidRPr="007C4807">
        <w:rPr>
          <w:rStyle w:val="Refdenotaalpie"/>
          <w:rFonts w:ascii="Verdana" w:hAnsi="Verdana"/>
        </w:rPr>
        <w:footnoteReference w:id="10"/>
      </w:r>
      <w:r w:rsidRPr="007C4807">
        <w:rPr>
          <w:rFonts w:ascii="Verdana" w:hAnsi="Verdana"/>
        </w:rPr>
        <w:t>.</w:t>
      </w:r>
    </w:p>
    <w:p w14:paraId="680017C9" w14:textId="77777777" w:rsidR="00BE2E4F" w:rsidRDefault="00BE2E4F" w:rsidP="00BE2E4F">
      <w:pPr>
        <w:spacing w:before="120" w:after="0" w:line="276" w:lineRule="auto"/>
        <w:ind w:firstLine="709"/>
        <w:jc w:val="both"/>
        <w:rPr>
          <w:rFonts w:ascii="Verdana" w:eastAsia="Times New Roman" w:hAnsi="Verdana" w:cs="Arial"/>
          <w:color w:val="000000"/>
          <w:lang w:val="es-ES_tradnl" w:eastAsia="es-ES_tradnl"/>
        </w:rPr>
      </w:pPr>
      <w:r w:rsidRPr="007C4807">
        <w:rPr>
          <w:rFonts w:ascii="Verdana" w:eastAsia="Times New Roman" w:hAnsi="Verdana" w:cs="Arial"/>
          <w:color w:val="000000"/>
          <w:lang w:val="es-ES_tradnl" w:eastAsia="es-ES_tradnl"/>
        </w:rPr>
        <w:t xml:space="preserve">Ahora bien, </w:t>
      </w:r>
      <w:r>
        <w:rPr>
          <w:rFonts w:ascii="Verdana" w:eastAsia="Times New Roman" w:hAnsi="Verdana" w:cs="Arial"/>
          <w:color w:val="000000"/>
          <w:lang w:val="es-ES_tradnl" w:eastAsia="es-ES_tradnl"/>
        </w:rPr>
        <w:t xml:space="preserve">la suspensión se realiza mediante la suscripción de un acta por las partes del contrato, quienes en ejercicio de la autonomía de la voluntad así lo disponen y determinan las condiciones para su materialización. En este sentido, el </w:t>
      </w:r>
      <w:r w:rsidRPr="007C4807">
        <w:rPr>
          <w:rFonts w:ascii="Verdana" w:eastAsia="Times New Roman" w:hAnsi="Verdana" w:cs="Arial"/>
          <w:color w:val="000000"/>
          <w:lang w:val="es-ES_tradnl" w:eastAsia="es-ES_tradnl"/>
        </w:rPr>
        <w:t>acta de suspensión</w:t>
      </w:r>
      <w:r>
        <w:rPr>
          <w:rFonts w:ascii="Verdana" w:eastAsia="Times New Roman" w:hAnsi="Verdana" w:cs="Arial"/>
          <w:color w:val="000000"/>
          <w:lang w:val="es-ES_tradnl" w:eastAsia="es-ES_tradnl"/>
        </w:rPr>
        <w:t xml:space="preserve"> es un negocio jurídico</w:t>
      </w:r>
      <w:r w:rsidRPr="007C4807">
        <w:rPr>
          <w:rFonts w:ascii="Verdana" w:eastAsia="Times New Roman" w:hAnsi="Verdana" w:cs="Arial"/>
          <w:color w:val="000000"/>
          <w:lang w:val="es-ES_tradnl" w:eastAsia="es-ES_tradnl"/>
        </w:rPr>
        <w:t xml:space="preserve"> porque se trata de un acuerdo de voluntades para crear obligaciones</w:t>
      </w:r>
      <w:r>
        <w:rPr>
          <w:rFonts w:ascii="Verdana" w:eastAsia="Times New Roman" w:hAnsi="Verdana" w:cs="Arial"/>
          <w:color w:val="000000"/>
          <w:lang w:val="es-ES_tradnl" w:eastAsia="es-ES_tradnl"/>
        </w:rPr>
        <w:t xml:space="preserve">. Se enmarca entonces en la facultad que tienen las Entidades Estatales de incorporar </w:t>
      </w:r>
      <w:r w:rsidRPr="007C4807">
        <w:rPr>
          <w:rFonts w:ascii="Verdana" w:eastAsia="Times New Roman" w:hAnsi="Verdana" w:cs="Arial"/>
          <w:color w:val="000000"/>
          <w:lang w:val="es-ES_tradnl" w:eastAsia="es-ES_tradnl"/>
        </w:rPr>
        <w:t xml:space="preserve">las </w:t>
      </w:r>
      <w:r w:rsidRPr="007C4807">
        <w:rPr>
          <w:rFonts w:ascii="Verdana" w:eastAsia="Times New Roman" w:hAnsi="Verdana" w:cs="Arial"/>
          <w:i/>
          <w:iCs/>
          <w:color w:val="000000"/>
          <w:lang w:val="es-ES_tradnl" w:eastAsia="es-ES_tradnl"/>
        </w:rPr>
        <w:t>condiciones</w:t>
      </w:r>
      <w:r w:rsidRPr="007C4807">
        <w:rPr>
          <w:rFonts w:ascii="Verdana" w:eastAsia="Times New Roman" w:hAnsi="Verdana" w:cs="Arial"/>
          <w:color w:val="000000"/>
          <w:lang w:val="es-ES_tradnl" w:eastAsia="es-ES_tradnl"/>
        </w:rPr>
        <w:t xml:space="preserve"> y </w:t>
      </w:r>
      <w:r w:rsidRPr="007C4807">
        <w:rPr>
          <w:rFonts w:ascii="Verdana" w:eastAsia="Times New Roman" w:hAnsi="Verdana" w:cs="Arial"/>
          <w:i/>
          <w:iCs/>
          <w:color w:val="000000"/>
          <w:lang w:val="es-ES_tradnl" w:eastAsia="es-ES_tradnl"/>
        </w:rPr>
        <w:t xml:space="preserve">cláusulas </w:t>
      </w:r>
      <w:r w:rsidRPr="007C4807">
        <w:rPr>
          <w:rFonts w:ascii="Verdana" w:eastAsia="Times New Roman" w:hAnsi="Verdana" w:cs="Arial"/>
          <w:color w:val="000000"/>
          <w:lang w:val="es-ES_tradnl" w:eastAsia="es-ES_tradnl"/>
        </w:rPr>
        <w:t>que sean necesarias y conveniente</w:t>
      </w:r>
      <w:r>
        <w:rPr>
          <w:rFonts w:ascii="Verdana" w:eastAsia="Times New Roman" w:hAnsi="Verdana" w:cs="Arial"/>
          <w:color w:val="000000"/>
          <w:lang w:val="es-ES_tradnl" w:eastAsia="es-ES_tradnl"/>
        </w:rPr>
        <w:t xml:space="preserve">s en los contratos o convenios que suscriban. </w:t>
      </w:r>
    </w:p>
    <w:p w14:paraId="669D5881" w14:textId="77777777" w:rsidR="00BE2E4F" w:rsidRPr="007C4807" w:rsidRDefault="00BE2E4F" w:rsidP="00BE2E4F">
      <w:pPr>
        <w:spacing w:before="120" w:after="0" w:line="276" w:lineRule="auto"/>
        <w:ind w:firstLine="709"/>
        <w:jc w:val="both"/>
        <w:rPr>
          <w:rFonts w:ascii="Verdana" w:eastAsia="Times New Roman" w:hAnsi="Verdana" w:cs="Arial"/>
          <w:color w:val="000000"/>
          <w:lang w:val="es-ES_tradnl" w:eastAsia="es-ES_tradnl"/>
        </w:rPr>
      </w:pPr>
      <w:r>
        <w:rPr>
          <w:rFonts w:ascii="Verdana" w:eastAsia="Times New Roman" w:hAnsi="Verdana" w:cs="Arial"/>
          <w:color w:val="000000"/>
          <w:lang w:val="es-ES_tradnl" w:eastAsia="es-ES_tradnl"/>
        </w:rPr>
        <w:t xml:space="preserve">Por lo anterior, </w:t>
      </w:r>
      <w:r w:rsidRPr="007C4807">
        <w:rPr>
          <w:rFonts w:ascii="Verdana" w:eastAsia="Times New Roman" w:hAnsi="Verdana" w:cs="Arial"/>
          <w:color w:val="000000"/>
          <w:lang w:val="es-ES_tradnl" w:eastAsia="es-ES_tradnl"/>
        </w:rPr>
        <w:t xml:space="preserve">cuando se suscribe un acta de suspensión </w:t>
      </w:r>
      <w:r>
        <w:rPr>
          <w:rFonts w:ascii="Verdana" w:eastAsia="Times New Roman" w:hAnsi="Verdana" w:cs="Arial"/>
          <w:color w:val="000000"/>
          <w:lang w:val="es-ES_tradnl" w:eastAsia="es-ES_tradnl"/>
        </w:rPr>
        <w:t xml:space="preserve">las partes pueden </w:t>
      </w:r>
      <w:r w:rsidRPr="007C4807">
        <w:rPr>
          <w:rFonts w:ascii="Verdana" w:eastAsia="Times New Roman" w:hAnsi="Verdana" w:cs="Arial"/>
          <w:color w:val="000000"/>
          <w:lang w:val="es-ES_tradnl" w:eastAsia="es-ES_tradnl"/>
        </w:rPr>
        <w:t>establecer, en ejercicio de la autonomía de la voluntad, que el plazo del contrato se reactivará una vez se firme el acta de reinicio correspondiente.</w:t>
      </w:r>
      <w:r>
        <w:rPr>
          <w:rFonts w:ascii="Verdana" w:eastAsia="Times New Roman" w:hAnsi="Verdana" w:cs="Arial"/>
          <w:color w:val="000000"/>
          <w:lang w:val="es-ES_tradnl" w:eastAsia="es-ES_tradnl"/>
        </w:rPr>
        <w:t xml:space="preserve"> O</w:t>
      </w:r>
      <w:r w:rsidRPr="007C4807">
        <w:rPr>
          <w:rFonts w:ascii="Verdana" w:eastAsia="Times New Roman" w:hAnsi="Verdana" w:cs="Arial"/>
          <w:color w:val="000000"/>
          <w:lang w:val="es-ES_tradnl" w:eastAsia="es-ES_tradnl"/>
        </w:rPr>
        <w:t xml:space="preserve">, en ejercicio de la misma autonomía de la voluntad y en consideración a las razones que han motivado el cese provisional de la ejecución del contrato, </w:t>
      </w:r>
      <w:r>
        <w:rPr>
          <w:rFonts w:ascii="Verdana" w:eastAsia="Times New Roman" w:hAnsi="Verdana" w:cs="Arial"/>
          <w:color w:val="000000"/>
          <w:lang w:val="es-ES_tradnl" w:eastAsia="es-ES_tradnl"/>
        </w:rPr>
        <w:t xml:space="preserve">pueden emplear </w:t>
      </w:r>
      <w:r w:rsidRPr="007C4807">
        <w:rPr>
          <w:rFonts w:ascii="Verdana" w:eastAsia="Times New Roman" w:hAnsi="Verdana" w:cs="Arial"/>
          <w:color w:val="000000"/>
          <w:lang w:val="es-ES_tradnl" w:eastAsia="es-ES_tradnl"/>
        </w:rPr>
        <w:t>otra</w:t>
      </w:r>
      <w:r>
        <w:rPr>
          <w:rFonts w:ascii="Verdana" w:eastAsia="Times New Roman" w:hAnsi="Verdana" w:cs="Arial"/>
          <w:color w:val="000000"/>
          <w:lang w:val="es-ES_tradnl" w:eastAsia="es-ES_tradnl"/>
        </w:rPr>
        <w:t>s</w:t>
      </w:r>
      <w:r w:rsidRPr="007C4807">
        <w:rPr>
          <w:rFonts w:ascii="Verdana" w:eastAsia="Times New Roman" w:hAnsi="Verdana" w:cs="Arial"/>
          <w:color w:val="000000"/>
          <w:lang w:val="es-ES_tradnl" w:eastAsia="es-ES_tradnl"/>
        </w:rPr>
        <w:t xml:space="preserve"> metodología</w:t>
      </w:r>
      <w:r>
        <w:rPr>
          <w:rFonts w:ascii="Verdana" w:eastAsia="Times New Roman" w:hAnsi="Verdana" w:cs="Arial"/>
          <w:color w:val="000000"/>
          <w:lang w:val="es-ES_tradnl" w:eastAsia="es-ES_tradnl"/>
        </w:rPr>
        <w:t xml:space="preserve">s, como </w:t>
      </w:r>
      <w:r w:rsidRPr="007C4807">
        <w:rPr>
          <w:rFonts w:ascii="Verdana" w:eastAsia="Times New Roman" w:hAnsi="Verdana" w:cs="Arial"/>
          <w:color w:val="000000"/>
          <w:lang w:val="es-ES_tradnl" w:eastAsia="es-ES_tradnl"/>
        </w:rPr>
        <w:t>indicar en el</w:t>
      </w:r>
      <w:r>
        <w:rPr>
          <w:rFonts w:ascii="Verdana" w:eastAsia="Times New Roman" w:hAnsi="Verdana" w:cs="Arial"/>
          <w:color w:val="000000"/>
          <w:lang w:val="es-ES_tradnl" w:eastAsia="es-ES_tradnl"/>
        </w:rPr>
        <w:t xml:space="preserve"> acta</w:t>
      </w:r>
      <w:r w:rsidRPr="007C4807">
        <w:rPr>
          <w:rFonts w:ascii="Verdana" w:eastAsia="Times New Roman" w:hAnsi="Verdana" w:cs="Arial"/>
          <w:color w:val="000000"/>
          <w:lang w:val="es-ES_tradnl" w:eastAsia="es-ES_tradnl"/>
        </w:rPr>
        <w:t xml:space="preserve"> que la ejecución se reactivará cuando se cumpla un determinado plazo o condición, de manera automática, sin necesidad de suscribir un acta de reinicio. Esto es posible, porque el segundo y tercer inciso del artículo 40 de la Ley 80 de 1993 establecen: </w:t>
      </w:r>
    </w:p>
    <w:p w14:paraId="3D592893" w14:textId="77777777" w:rsidR="00BE2E4F" w:rsidRPr="007C4807" w:rsidRDefault="00BE2E4F" w:rsidP="00BE2E4F">
      <w:pPr>
        <w:spacing w:after="0" w:line="240" w:lineRule="auto"/>
        <w:ind w:left="709" w:right="709"/>
        <w:jc w:val="both"/>
        <w:rPr>
          <w:rFonts w:ascii="Verdana" w:eastAsia="Times New Roman" w:hAnsi="Verdana" w:cs="Arial"/>
          <w:color w:val="000000"/>
          <w:sz w:val="21"/>
          <w:szCs w:val="21"/>
          <w:lang w:val="es-ES_tradnl" w:eastAsia="es-ES_tradnl"/>
        </w:rPr>
      </w:pPr>
    </w:p>
    <w:p w14:paraId="207675D5" w14:textId="77777777" w:rsidR="00BE2E4F" w:rsidRPr="007C4807" w:rsidRDefault="00BE2E4F" w:rsidP="00BE2E4F">
      <w:pPr>
        <w:spacing w:after="0" w:line="240" w:lineRule="auto"/>
        <w:ind w:left="709" w:right="709"/>
        <w:jc w:val="both"/>
        <w:rPr>
          <w:rFonts w:ascii="Verdana" w:eastAsia="Times New Roman" w:hAnsi="Verdana" w:cs="Arial"/>
          <w:color w:val="000000"/>
          <w:sz w:val="20"/>
          <w:szCs w:val="20"/>
          <w:lang w:val="es-ES_tradnl" w:eastAsia="es-ES_tradnl"/>
        </w:rPr>
      </w:pPr>
      <w:r w:rsidRPr="007C4807">
        <w:rPr>
          <w:rFonts w:ascii="Verdana" w:eastAsia="Times New Roman" w:hAnsi="Verdana" w:cs="Arial"/>
          <w:color w:val="000000"/>
          <w:sz w:val="20"/>
          <w:szCs w:val="20"/>
          <w:lang w:val="es-ES_tradnl" w:eastAsia="es-ES_tradnl"/>
        </w:rPr>
        <w:t>Las entidades podrán celebrar los contratos y acuerdos que permitan la autonomía de la voluntad y requieran el cumplimiento de los fines estatales.</w:t>
      </w:r>
    </w:p>
    <w:p w14:paraId="7B932B77" w14:textId="77777777" w:rsidR="00BE2E4F" w:rsidRPr="007C4807" w:rsidRDefault="00BE2E4F" w:rsidP="00BE2E4F">
      <w:pPr>
        <w:spacing w:after="0" w:line="240" w:lineRule="auto"/>
        <w:ind w:left="709" w:right="709"/>
        <w:jc w:val="both"/>
        <w:rPr>
          <w:rFonts w:ascii="Verdana" w:eastAsia="Times New Roman" w:hAnsi="Verdana" w:cs="Arial"/>
          <w:color w:val="000000"/>
          <w:sz w:val="20"/>
          <w:szCs w:val="20"/>
          <w:lang w:val="es-ES_tradnl" w:eastAsia="es-ES_tradnl"/>
        </w:rPr>
      </w:pPr>
    </w:p>
    <w:p w14:paraId="57F7722F" w14:textId="77777777" w:rsidR="00BE2E4F" w:rsidRPr="007C4807" w:rsidRDefault="00BE2E4F" w:rsidP="00BE2E4F">
      <w:pPr>
        <w:spacing w:after="0" w:line="240" w:lineRule="auto"/>
        <w:ind w:left="709" w:right="709"/>
        <w:jc w:val="both"/>
        <w:rPr>
          <w:rFonts w:ascii="Verdana" w:eastAsia="Times New Roman" w:hAnsi="Verdana" w:cs="Arial"/>
          <w:color w:val="000000"/>
          <w:sz w:val="20"/>
          <w:szCs w:val="20"/>
          <w:lang w:val="es-ES" w:eastAsia="es-ES"/>
        </w:rPr>
      </w:pPr>
      <w:r w:rsidRPr="007C4807">
        <w:rPr>
          <w:rFonts w:ascii="Verdana" w:eastAsia="Times New Roman" w:hAnsi="Verdana" w:cs="Arial"/>
          <w:i/>
          <w:iCs/>
          <w:color w:val="000000" w:themeColor="text1"/>
          <w:sz w:val="20"/>
          <w:szCs w:val="20"/>
          <w:lang w:val="es-ES" w:eastAsia="es-ES"/>
        </w:rPr>
        <w:t>En los contratos que celebren las entidades estatales podrán incluirse las</w:t>
      </w:r>
      <w:r w:rsidRPr="007C4807">
        <w:rPr>
          <w:rFonts w:ascii="Verdana" w:eastAsia="Times New Roman" w:hAnsi="Verdana" w:cs="Arial"/>
          <w:color w:val="000000" w:themeColor="text1"/>
          <w:sz w:val="20"/>
          <w:szCs w:val="20"/>
          <w:lang w:val="es-ES" w:eastAsia="es-ES"/>
        </w:rPr>
        <w:t xml:space="preserve"> modalidades, </w:t>
      </w:r>
      <w:r w:rsidRPr="007C4807">
        <w:rPr>
          <w:rFonts w:ascii="Verdana" w:eastAsia="Times New Roman" w:hAnsi="Verdana" w:cs="Arial"/>
          <w:i/>
          <w:iCs/>
          <w:color w:val="000000" w:themeColor="text1"/>
          <w:sz w:val="20"/>
          <w:szCs w:val="20"/>
          <w:lang w:val="es-ES" w:eastAsia="es-ES"/>
        </w:rPr>
        <w:t>condiciones</w:t>
      </w:r>
      <w:r w:rsidRPr="007C4807">
        <w:rPr>
          <w:rFonts w:ascii="Verdana" w:eastAsia="Times New Roman" w:hAnsi="Verdana" w:cs="Arial"/>
          <w:color w:val="000000" w:themeColor="text1"/>
          <w:sz w:val="20"/>
          <w:szCs w:val="20"/>
          <w:lang w:val="es-ES" w:eastAsia="es-ES"/>
        </w:rPr>
        <w:t xml:space="preserve"> y, en general, las </w:t>
      </w:r>
      <w:r w:rsidRPr="007C4807">
        <w:rPr>
          <w:rFonts w:ascii="Verdana" w:eastAsia="Times New Roman" w:hAnsi="Verdana" w:cs="Arial"/>
          <w:i/>
          <w:iCs/>
          <w:color w:val="000000" w:themeColor="text1"/>
          <w:sz w:val="20"/>
          <w:szCs w:val="20"/>
          <w:lang w:val="es-ES" w:eastAsia="es-ES"/>
        </w:rPr>
        <w:t>cláusulas o estipulaciones</w:t>
      </w:r>
      <w:r w:rsidRPr="007C4807">
        <w:rPr>
          <w:rFonts w:ascii="Verdana" w:eastAsia="Times New Roman" w:hAnsi="Verdana" w:cs="Arial"/>
          <w:color w:val="000000" w:themeColor="text1"/>
          <w:sz w:val="20"/>
          <w:szCs w:val="20"/>
          <w:lang w:val="es-ES" w:eastAsia="es-ES"/>
        </w:rPr>
        <w:t xml:space="preserve"> que las partes consideren necesarias y convenientes, siempre que no sean contrarias a la Constitución, la ley, el orden público y a los principios y finalidades de esta ley y a los de la buena administración [énfasis fuera de texto].</w:t>
      </w:r>
    </w:p>
    <w:p w14:paraId="4AE45BF3" w14:textId="77777777" w:rsidR="00BE2E4F" w:rsidRDefault="00BE2E4F" w:rsidP="00BE2E4F">
      <w:pPr>
        <w:spacing w:after="120" w:line="276" w:lineRule="auto"/>
        <w:jc w:val="both"/>
        <w:rPr>
          <w:rFonts w:ascii="Verdana" w:eastAsia="Calibri" w:hAnsi="Verdana" w:cs="Arial"/>
          <w:color w:val="000000" w:themeColor="text1"/>
          <w:lang w:val="es-MX"/>
        </w:rPr>
      </w:pPr>
    </w:p>
    <w:p w14:paraId="35A8622E" w14:textId="77777777" w:rsidR="00BE2E4F" w:rsidRPr="00A70512" w:rsidRDefault="00BE2E4F" w:rsidP="00BE2E4F">
      <w:pPr>
        <w:spacing w:after="120" w:line="276" w:lineRule="auto"/>
        <w:ind w:firstLine="709"/>
        <w:jc w:val="both"/>
        <w:rPr>
          <w:rFonts w:ascii="Verdana" w:eastAsia="Times New Roman" w:hAnsi="Verdana" w:cs="Arial"/>
          <w:color w:val="000000"/>
          <w:lang w:eastAsia="es-ES_tradnl"/>
        </w:rPr>
      </w:pPr>
      <w:r w:rsidRPr="00B64A74">
        <w:rPr>
          <w:rFonts w:ascii="Verdana" w:eastAsia="Times New Roman" w:hAnsi="Verdana" w:cs="Arial"/>
          <w:color w:val="000000"/>
          <w:lang w:eastAsia="es-ES_tradnl"/>
        </w:rPr>
        <w:lastRenderedPageBreak/>
        <w:t xml:space="preserve">Como se observa, las entidades pueden incorporar las </w:t>
      </w:r>
      <w:r w:rsidRPr="00B64A74">
        <w:rPr>
          <w:rFonts w:ascii="Verdana" w:eastAsia="Times New Roman" w:hAnsi="Verdana" w:cs="Arial"/>
          <w:i/>
          <w:iCs/>
          <w:color w:val="000000"/>
          <w:lang w:eastAsia="es-ES_tradnl"/>
        </w:rPr>
        <w:t>condiciones</w:t>
      </w:r>
      <w:r w:rsidRPr="00B64A74">
        <w:rPr>
          <w:rFonts w:ascii="Verdana" w:eastAsia="Times New Roman" w:hAnsi="Verdana" w:cs="Arial"/>
          <w:color w:val="000000"/>
          <w:lang w:eastAsia="es-ES_tradnl"/>
        </w:rPr>
        <w:t xml:space="preserve"> y </w:t>
      </w:r>
      <w:r w:rsidRPr="00B64A74">
        <w:rPr>
          <w:rFonts w:ascii="Verdana" w:eastAsia="Times New Roman" w:hAnsi="Verdana" w:cs="Arial"/>
          <w:i/>
          <w:iCs/>
          <w:color w:val="000000"/>
          <w:lang w:eastAsia="es-ES_tradnl"/>
        </w:rPr>
        <w:t xml:space="preserve">cláusulas </w:t>
      </w:r>
      <w:r w:rsidRPr="00B64A74">
        <w:rPr>
          <w:rFonts w:ascii="Verdana" w:eastAsia="Times New Roman" w:hAnsi="Verdana" w:cs="Arial"/>
          <w:color w:val="000000"/>
          <w:lang w:eastAsia="es-ES_tradnl"/>
        </w:rPr>
        <w:t>que sean necesarias y convenientes. Pues bien, de conformidad con los artículos 1530 y siguientes del Código Civil –que establecen las condiciones o términos a los que pueden sujetarse las obligaciones, y que se aplican por la remisión que hacen los artículos 13, 32 y 40 de la Ley 80 de 1993 a las normas civiles y comerciales–, en el acta de suspensión puede estipularse que el plazo de ejecución del contrato se reactivará cuando se cumpla una condición o sobrevenga una fecha específica. Así lo ha reconocido el Consejo de Estado</w:t>
      </w:r>
      <w:r w:rsidRPr="00B64A74">
        <w:rPr>
          <w:rStyle w:val="Refdenotaalpie"/>
          <w:rFonts w:ascii="Verdana" w:hAnsi="Verdana" w:cs="Arial"/>
        </w:rPr>
        <w:footnoteReference w:id="11"/>
      </w:r>
      <w:r w:rsidRPr="00B64A74">
        <w:rPr>
          <w:rFonts w:ascii="Verdana" w:eastAsia="Times New Roman" w:hAnsi="Verdana" w:cs="Arial"/>
          <w:color w:val="000000"/>
          <w:lang w:eastAsia="es-ES_tradnl"/>
        </w:rPr>
        <w:t xml:space="preserve">. De este modo, atendiendo a los términos en los que se haya pactado la suspensión es posible que no sea necesario suscribir luego un acta de reinicio para que se reactive la ejecución del contrato, sino que tal reactivación opere </w:t>
      </w:r>
      <w:r w:rsidRPr="00B64A74">
        <w:rPr>
          <w:rFonts w:ascii="Verdana" w:eastAsia="Times New Roman" w:hAnsi="Verdana" w:cs="Arial"/>
          <w:i/>
          <w:iCs/>
          <w:color w:val="000000"/>
          <w:lang w:eastAsia="es-ES_tradnl"/>
        </w:rPr>
        <w:t>automáticamente</w:t>
      </w:r>
      <w:r w:rsidRPr="00B64A74">
        <w:rPr>
          <w:rFonts w:ascii="Verdana" w:eastAsia="Times New Roman" w:hAnsi="Verdana" w:cs="Arial"/>
          <w:color w:val="000000"/>
          <w:lang w:eastAsia="es-ES_tradnl"/>
        </w:rPr>
        <w:t xml:space="preserve">, cuando se cumpla la condición o fecha cierta. </w:t>
      </w:r>
    </w:p>
    <w:p w14:paraId="17CB3D94" w14:textId="77777777" w:rsidR="00BE2E4F" w:rsidRDefault="00BE2E4F" w:rsidP="00BE2E4F">
      <w:pPr>
        <w:spacing w:after="120" w:line="276" w:lineRule="auto"/>
        <w:jc w:val="both"/>
        <w:rPr>
          <w:rFonts w:ascii="Verdana" w:eastAsia="Times New Roman" w:hAnsi="Verdana" w:cs="Arial"/>
          <w:color w:val="000000"/>
          <w:lang w:eastAsia="es-ES_tradnl"/>
        </w:rPr>
      </w:pPr>
      <w:r>
        <w:rPr>
          <w:rFonts w:ascii="Verdana" w:eastAsia="Calibri" w:hAnsi="Verdana" w:cs="Arial"/>
          <w:color w:val="000000" w:themeColor="text1"/>
          <w:lang w:val="es-MX"/>
        </w:rPr>
        <w:tab/>
        <w:t xml:space="preserve">En cualquier caso, el marco jurídico expuesto evidencia que la firma del acta de suspensión, al ser un acuerdo de voluntades con respecto al contrato estatal, </w:t>
      </w:r>
      <w:r w:rsidRPr="00B64A74">
        <w:rPr>
          <w:rFonts w:ascii="Verdana" w:eastAsia="Times New Roman" w:hAnsi="Verdana" w:cs="Arial"/>
          <w:color w:val="000000"/>
          <w:lang w:eastAsia="es-ES_tradnl"/>
        </w:rPr>
        <w:t xml:space="preserve">corresponde principalmente a las partes </w:t>
      </w:r>
      <w:proofErr w:type="gramStart"/>
      <w:r w:rsidRPr="00B64A74">
        <w:rPr>
          <w:rFonts w:ascii="Verdana" w:eastAsia="Times New Roman" w:hAnsi="Verdana" w:cs="Arial"/>
          <w:color w:val="000000"/>
          <w:lang w:eastAsia="es-ES_tradnl"/>
        </w:rPr>
        <w:t>del</w:t>
      </w:r>
      <w:r>
        <w:rPr>
          <w:rFonts w:ascii="Verdana" w:eastAsia="Times New Roman" w:hAnsi="Verdana" w:cs="Arial"/>
          <w:color w:val="000000"/>
          <w:lang w:eastAsia="es-ES_tradnl"/>
        </w:rPr>
        <w:t xml:space="preserve"> mismo</w:t>
      </w:r>
      <w:proofErr w:type="gramEnd"/>
      <w:r w:rsidRPr="00B64A74">
        <w:rPr>
          <w:rFonts w:ascii="Verdana" w:eastAsia="Times New Roman" w:hAnsi="Verdana" w:cs="Arial"/>
          <w:color w:val="000000"/>
          <w:lang w:eastAsia="es-ES_tradnl"/>
        </w:rPr>
        <w:t>.</w:t>
      </w:r>
      <w:r>
        <w:rPr>
          <w:rFonts w:ascii="Verdana" w:eastAsia="Times New Roman" w:hAnsi="Verdana" w:cs="Arial"/>
          <w:color w:val="000000"/>
          <w:lang w:eastAsia="es-ES_tradnl"/>
        </w:rPr>
        <w:t xml:space="preserve"> </w:t>
      </w:r>
      <w:r w:rsidRPr="00B64A74">
        <w:rPr>
          <w:rFonts w:ascii="Verdana" w:eastAsia="Times New Roman" w:hAnsi="Verdana" w:cs="Arial"/>
          <w:color w:val="000000"/>
          <w:lang w:eastAsia="es-ES_tradnl"/>
        </w:rPr>
        <w:t>En esta medida, no corresponde a los supervisores ni a los interventores acordar con el contratista la suspensión o el reinicio de las actividades</w:t>
      </w:r>
      <w:r>
        <w:rPr>
          <w:rFonts w:ascii="Verdana" w:eastAsia="Times New Roman" w:hAnsi="Verdana" w:cs="Arial"/>
          <w:color w:val="000000"/>
          <w:lang w:eastAsia="es-ES_tradnl"/>
        </w:rPr>
        <w:t>, pues e</w:t>
      </w:r>
      <w:r w:rsidRPr="00B64A74">
        <w:rPr>
          <w:rFonts w:ascii="Verdana" w:eastAsia="Times New Roman" w:hAnsi="Verdana" w:cs="Arial"/>
          <w:color w:val="000000"/>
          <w:lang w:eastAsia="es-ES_tradnl"/>
        </w:rPr>
        <w:t>sta facultad recae</w:t>
      </w:r>
      <w:r>
        <w:rPr>
          <w:rFonts w:ascii="Verdana" w:eastAsia="Times New Roman" w:hAnsi="Verdana" w:cs="Arial"/>
          <w:color w:val="000000"/>
          <w:lang w:eastAsia="es-ES_tradnl"/>
        </w:rPr>
        <w:t>, al igual que la de suscribir el contrato,</w:t>
      </w:r>
      <w:r w:rsidRPr="00B64A74">
        <w:rPr>
          <w:rFonts w:ascii="Verdana" w:eastAsia="Times New Roman" w:hAnsi="Verdana" w:cs="Arial"/>
          <w:color w:val="000000"/>
          <w:lang w:eastAsia="es-ES_tradnl"/>
        </w:rPr>
        <w:t xml:space="preserve"> sobre el jefe de la entidad contratante –o su delegado– y el contratista. </w:t>
      </w:r>
    </w:p>
    <w:p w14:paraId="6B061973" w14:textId="77777777" w:rsidR="00BE2E4F" w:rsidRDefault="00BE2E4F" w:rsidP="00BE2E4F">
      <w:pPr>
        <w:spacing w:after="0" w:line="276" w:lineRule="auto"/>
        <w:ind w:firstLine="708"/>
        <w:jc w:val="both"/>
        <w:rPr>
          <w:rFonts w:ascii="Verdana" w:eastAsia="Times New Roman" w:hAnsi="Verdana" w:cs="Arial"/>
          <w:color w:val="000000"/>
          <w:lang w:eastAsia="es-ES_tradnl"/>
        </w:rPr>
      </w:pPr>
      <w:r w:rsidRPr="001247C9">
        <w:rPr>
          <w:rFonts w:ascii="Verdana" w:eastAsia="Times New Roman" w:hAnsi="Verdana" w:cs="Arial"/>
          <w:color w:val="000000"/>
          <w:lang w:eastAsia="es-ES_tradnl"/>
        </w:rPr>
        <w:t>Al ser un acuerdo de voluntades que afecta el contrato</w:t>
      </w:r>
      <w:r>
        <w:rPr>
          <w:rFonts w:ascii="Verdana" w:eastAsia="Times New Roman" w:hAnsi="Verdana" w:cs="Arial"/>
          <w:color w:val="000000"/>
          <w:lang w:eastAsia="es-ES_tradnl"/>
        </w:rPr>
        <w:t xml:space="preserve"> estatal</w:t>
      </w:r>
      <w:r w:rsidRPr="001247C9">
        <w:rPr>
          <w:rFonts w:ascii="Verdana" w:eastAsia="Times New Roman" w:hAnsi="Verdana" w:cs="Arial"/>
          <w:color w:val="000000"/>
          <w:lang w:eastAsia="es-ES_tradnl"/>
        </w:rPr>
        <w:t xml:space="preserve">, </w:t>
      </w:r>
      <w:r>
        <w:rPr>
          <w:rFonts w:ascii="Verdana" w:eastAsia="Times New Roman" w:hAnsi="Verdana" w:cs="Arial"/>
          <w:color w:val="000000"/>
          <w:lang w:eastAsia="es-ES_tradnl"/>
        </w:rPr>
        <w:t xml:space="preserve">el acta de suspensión se rige por las </w:t>
      </w:r>
      <w:r w:rsidRPr="001247C9">
        <w:rPr>
          <w:rFonts w:ascii="Verdana" w:eastAsia="Times New Roman" w:hAnsi="Verdana" w:cs="Arial"/>
          <w:color w:val="000000"/>
          <w:lang w:eastAsia="es-ES_tradnl"/>
        </w:rPr>
        <w:t>reglas de competencia</w:t>
      </w:r>
      <w:r>
        <w:rPr>
          <w:rFonts w:ascii="Verdana" w:eastAsia="Times New Roman" w:hAnsi="Verdana" w:cs="Arial"/>
          <w:color w:val="000000"/>
          <w:lang w:eastAsia="es-ES_tradnl"/>
        </w:rPr>
        <w:t xml:space="preserve"> de aquel; es decir, que </w:t>
      </w:r>
      <w:r w:rsidRPr="001247C9">
        <w:rPr>
          <w:rFonts w:ascii="Verdana" w:eastAsia="Times New Roman" w:hAnsi="Verdana" w:cs="Arial"/>
          <w:color w:val="000000"/>
          <w:lang w:eastAsia="es-ES_tradnl"/>
        </w:rPr>
        <w:t xml:space="preserve">debe constar por escrito, dado el carácter solemne del contrato estatal, y ser suscrita por el jefe o representante legal o su delegado, de conformidad con </w:t>
      </w:r>
      <w:r>
        <w:rPr>
          <w:rFonts w:ascii="Verdana" w:eastAsia="Times New Roman" w:hAnsi="Verdana" w:cs="Arial"/>
          <w:color w:val="000000"/>
          <w:lang w:eastAsia="es-ES_tradnl"/>
        </w:rPr>
        <w:t xml:space="preserve">lo dispuesto en los artículos </w:t>
      </w:r>
      <w:r w:rsidRPr="001247C9">
        <w:rPr>
          <w:rFonts w:ascii="Verdana" w:eastAsia="Times New Roman" w:hAnsi="Verdana" w:cs="Arial"/>
          <w:color w:val="000000"/>
          <w:lang w:eastAsia="es-ES_tradnl"/>
        </w:rPr>
        <w:t>11 y 12 de la Ley 80 de 1993</w:t>
      </w:r>
      <w:r>
        <w:rPr>
          <w:rFonts w:ascii="Verdana" w:eastAsia="Times New Roman" w:hAnsi="Verdana" w:cs="Arial"/>
          <w:color w:val="000000"/>
          <w:lang w:eastAsia="es-ES_tradnl"/>
        </w:rPr>
        <w:t>, según los cuales:</w:t>
      </w:r>
    </w:p>
    <w:p w14:paraId="640B43F1" w14:textId="77777777" w:rsidR="00BE2E4F" w:rsidRDefault="00BE2E4F" w:rsidP="00BE2E4F">
      <w:pPr>
        <w:spacing w:after="0" w:line="276" w:lineRule="auto"/>
        <w:jc w:val="both"/>
        <w:rPr>
          <w:rFonts w:ascii="Verdana" w:eastAsia="Times New Roman" w:hAnsi="Verdana" w:cs="Arial"/>
          <w:color w:val="000000"/>
          <w:lang w:eastAsia="es-ES_tradnl"/>
        </w:rPr>
      </w:pPr>
    </w:p>
    <w:p w14:paraId="1F3A556F" w14:textId="77777777" w:rsidR="00BE2E4F" w:rsidRPr="001247C9" w:rsidRDefault="00BE2E4F" w:rsidP="00BE2E4F">
      <w:pPr>
        <w:snapToGrid w:val="0"/>
        <w:spacing w:after="0" w:line="240" w:lineRule="auto"/>
        <w:ind w:left="709" w:right="709"/>
        <w:jc w:val="both"/>
        <w:rPr>
          <w:rFonts w:ascii="Verdana" w:eastAsia="Times New Roman" w:hAnsi="Verdana" w:cs="Arial"/>
          <w:color w:val="000000"/>
          <w:sz w:val="20"/>
          <w:szCs w:val="20"/>
          <w:lang w:eastAsia="es-ES_tradnl"/>
        </w:rPr>
      </w:pPr>
      <w:r>
        <w:rPr>
          <w:rFonts w:ascii="Verdana" w:eastAsia="Times New Roman" w:hAnsi="Verdana" w:cs="Arial"/>
          <w:color w:val="000000"/>
          <w:sz w:val="20"/>
          <w:szCs w:val="20"/>
          <w:lang w:eastAsia="es-ES_tradnl"/>
        </w:rPr>
        <w:t>“</w:t>
      </w:r>
      <w:r w:rsidRPr="001247C9">
        <w:rPr>
          <w:rFonts w:ascii="Verdana" w:eastAsia="Times New Roman" w:hAnsi="Verdana" w:cs="Arial"/>
          <w:color w:val="000000"/>
          <w:sz w:val="20"/>
          <w:szCs w:val="20"/>
          <w:lang w:eastAsia="es-ES_tradnl"/>
        </w:rPr>
        <w:t xml:space="preserve">Articulo 11. </w:t>
      </w:r>
      <w:r>
        <w:rPr>
          <w:rFonts w:ascii="Verdana" w:eastAsia="Times New Roman" w:hAnsi="Verdana" w:cs="Arial"/>
          <w:color w:val="000000"/>
          <w:sz w:val="20"/>
          <w:szCs w:val="20"/>
          <w:lang w:eastAsia="es-ES_tradnl"/>
        </w:rPr>
        <w:t>D</w:t>
      </w:r>
      <w:r w:rsidRPr="001247C9">
        <w:rPr>
          <w:rFonts w:ascii="Verdana" w:eastAsia="Times New Roman" w:hAnsi="Verdana" w:cs="Arial"/>
          <w:color w:val="000000"/>
          <w:sz w:val="20"/>
          <w:szCs w:val="20"/>
          <w:lang w:eastAsia="es-ES_tradnl"/>
        </w:rPr>
        <w:t>e la competencia para dirigir licitaciones o concursos y para celebrar contratos estatales. En las entidades estatales a que se refiere el artículo 2o.: </w:t>
      </w:r>
    </w:p>
    <w:p w14:paraId="1BEC57D9" w14:textId="77777777" w:rsidR="00BE2E4F" w:rsidRPr="001247C9" w:rsidRDefault="00BE2E4F" w:rsidP="00BE2E4F">
      <w:pPr>
        <w:snapToGrid w:val="0"/>
        <w:spacing w:after="0" w:line="240" w:lineRule="auto"/>
        <w:ind w:left="709" w:right="709"/>
        <w:jc w:val="both"/>
        <w:rPr>
          <w:rFonts w:ascii="Verdana" w:eastAsia="Times New Roman" w:hAnsi="Verdana" w:cs="Arial"/>
          <w:color w:val="000000"/>
          <w:sz w:val="20"/>
          <w:szCs w:val="20"/>
          <w:lang w:eastAsia="es-ES_tradnl"/>
        </w:rPr>
      </w:pPr>
      <w:r w:rsidRPr="001247C9">
        <w:rPr>
          <w:rFonts w:ascii="Verdana" w:eastAsia="Times New Roman" w:hAnsi="Verdana" w:cs="Arial"/>
          <w:color w:val="000000"/>
          <w:sz w:val="20"/>
          <w:szCs w:val="20"/>
          <w:lang w:eastAsia="es-ES_tradnl"/>
        </w:rPr>
        <w:t>  </w:t>
      </w:r>
    </w:p>
    <w:p w14:paraId="54F2CF1C" w14:textId="77777777" w:rsidR="00BE2E4F" w:rsidRPr="001247C9" w:rsidRDefault="00BE2E4F" w:rsidP="00BE2E4F">
      <w:pPr>
        <w:snapToGrid w:val="0"/>
        <w:spacing w:after="0" w:line="240" w:lineRule="auto"/>
        <w:ind w:left="709" w:right="709"/>
        <w:jc w:val="both"/>
        <w:rPr>
          <w:rFonts w:ascii="Verdana" w:eastAsia="Times New Roman" w:hAnsi="Verdana" w:cs="Arial"/>
          <w:color w:val="000000"/>
          <w:sz w:val="20"/>
          <w:szCs w:val="20"/>
          <w:lang w:eastAsia="es-ES_tradnl"/>
        </w:rPr>
      </w:pPr>
      <w:r w:rsidRPr="001247C9">
        <w:rPr>
          <w:rFonts w:ascii="Verdana" w:eastAsia="Times New Roman" w:hAnsi="Verdana" w:cs="Arial"/>
          <w:color w:val="000000"/>
          <w:sz w:val="20"/>
          <w:szCs w:val="20"/>
          <w:lang w:eastAsia="es-ES_tradnl"/>
        </w:rPr>
        <w:t xml:space="preserve">1o. La competencia para </w:t>
      </w:r>
      <w:r w:rsidRPr="001247C9">
        <w:rPr>
          <w:rFonts w:ascii="Verdana" w:eastAsia="Times New Roman" w:hAnsi="Verdana" w:cs="Arial"/>
          <w:color w:val="000000"/>
          <w:sz w:val="20"/>
          <w:szCs w:val="20"/>
          <w:u w:val="single"/>
          <w:lang w:eastAsia="es-ES_tradnl"/>
        </w:rPr>
        <w:t>ordenar y dirigir la celebración de licitaciones o concursos</w:t>
      </w:r>
      <w:r w:rsidRPr="001247C9">
        <w:rPr>
          <w:rFonts w:ascii="Verdana" w:eastAsia="Times New Roman" w:hAnsi="Verdana" w:cs="Arial"/>
          <w:color w:val="000000"/>
          <w:sz w:val="20"/>
          <w:szCs w:val="20"/>
          <w:lang w:eastAsia="es-ES_tradnl"/>
        </w:rPr>
        <w:t xml:space="preserve"> y para escoger contratistas será del </w:t>
      </w:r>
      <w:r w:rsidRPr="001247C9">
        <w:rPr>
          <w:rFonts w:ascii="Verdana" w:eastAsia="Times New Roman" w:hAnsi="Verdana" w:cs="Arial"/>
          <w:color w:val="000000"/>
          <w:sz w:val="20"/>
          <w:szCs w:val="20"/>
          <w:u w:val="single"/>
          <w:lang w:eastAsia="es-ES_tradnl"/>
        </w:rPr>
        <w:t>jefe o representante de la entidad</w:t>
      </w:r>
      <w:r w:rsidRPr="001247C9">
        <w:rPr>
          <w:rFonts w:ascii="Verdana" w:eastAsia="Times New Roman" w:hAnsi="Verdana" w:cs="Arial"/>
          <w:color w:val="000000"/>
          <w:sz w:val="20"/>
          <w:szCs w:val="20"/>
          <w:lang w:eastAsia="es-ES_tradnl"/>
        </w:rPr>
        <w:t>, según el caso. </w:t>
      </w:r>
    </w:p>
    <w:p w14:paraId="0200569E" w14:textId="77777777" w:rsidR="00BE2E4F" w:rsidRPr="001247C9" w:rsidRDefault="00BE2E4F" w:rsidP="00BE2E4F">
      <w:pPr>
        <w:snapToGrid w:val="0"/>
        <w:spacing w:after="0" w:line="240" w:lineRule="auto"/>
        <w:ind w:left="709" w:right="709"/>
        <w:jc w:val="both"/>
        <w:rPr>
          <w:rFonts w:ascii="Verdana" w:eastAsia="Times New Roman" w:hAnsi="Verdana" w:cs="Arial"/>
          <w:color w:val="000000"/>
          <w:sz w:val="20"/>
          <w:szCs w:val="20"/>
          <w:lang w:eastAsia="es-ES_tradnl"/>
        </w:rPr>
      </w:pPr>
      <w:r w:rsidRPr="001247C9">
        <w:rPr>
          <w:rFonts w:ascii="Verdana" w:eastAsia="Times New Roman" w:hAnsi="Verdana" w:cs="Arial"/>
          <w:color w:val="000000"/>
          <w:sz w:val="20"/>
          <w:szCs w:val="20"/>
          <w:lang w:eastAsia="es-ES_tradnl"/>
        </w:rPr>
        <w:lastRenderedPageBreak/>
        <w:t xml:space="preserve">2o. Tiene competencia para celebrar contratos a nombre de la Nación, el </w:t>
      </w:r>
      <w:proofErr w:type="gramStart"/>
      <w:r w:rsidRPr="001247C9">
        <w:rPr>
          <w:rFonts w:ascii="Verdana" w:eastAsia="Times New Roman" w:hAnsi="Verdana" w:cs="Arial"/>
          <w:color w:val="000000"/>
          <w:sz w:val="20"/>
          <w:szCs w:val="20"/>
          <w:lang w:eastAsia="es-ES_tradnl"/>
        </w:rPr>
        <w:t>Presidente</w:t>
      </w:r>
      <w:proofErr w:type="gramEnd"/>
      <w:r w:rsidRPr="001247C9">
        <w:rPr>
          <w:rFonts w:ascii="Verdana" w:eastAsia="Times New Roman" w:hAnsi="Verdana" w:cs="Arial"/>
          <w:color w:val="000000"/>
          <w:sz w:val="20"/>
          <w:szCs w:val="20"/>
          <w:lang w:eastAsia="es-ES_tradnl"/>
        </w:rPr>
        <w:t xml:space="preserve"> de la República. </w:t>
      </w:r>
    </w:p>
    <w:p w14:paraId="62079F06" w14:textId="77777777" w:rsidR="00BE2E4F" w:rsidRPr="001247C9" w:rsidRDefault="00BE2E4F" w:rsidP="00BE2E4F">
      <w:pPr>
        <w:snapToGrid w:val="0"/>
        <w:spacing w:after="0" w:line="240" w:lineRule="auto"/>
        <w:ind w:left="709" w:right="709"/>
        <w:jc w:val="both"/>
        <w:rPr>
          <w:rFonts w:ascii="Verdana" w:eastAsia="Times New Roman" w:hAnsi="Verdana" w:cs="Arial"/>
          <w:color w:val="000000"/>
          <w:sz w:val="20"/>
          <w:szCs w:val="20"/>
          <w:lang w:eastAsia="es-ES_tradnl"/>
        </w:rPr>
      </w:pPr>
      <w:r w:rsidRPr="001247C9">
        <w:rPr>
          <w:rFonts w:ascii="Verdana" w:eastAsia="Times New Roman" w:hAnsi="Verdana" w:cs="Arial"/>
          <w:color w:val="000000"/>
          <w:sz w:val="20"/>
          <w:szCs w:val="20"/>
          <w:lang w:eastAsia="es-ES_tradnl"/>
        </w:rPr>
        <w:t>3o. Tienen competencia para celebrar contratos a nombre de la entidad respectiva: </w:t>
      </w:r>
    </w:p>
    <w:p w14:paraId="596C88CA" w14:textId="77777777" w:rsidR="00BE2E4F" w:rsidRPr="001247C9" w:rsidRDefault="00BE2E4F" w:rsidP="00BE2E4F">
      <w:pPr>
        <w:snapToGrid w:val="0"/>
        <w:spacing w:after="0" w:line="240" w:lineRule="auto"/>
        <w:ind w:left="709" w:right="709"/>
        <w:jc w:val="both"/>
        <w:rPr>
          <w:rFonts w:ascii="Verdana" w:eastAsia="Times New Roman" w:hAnsi="Verdana" w:cs="Arial"/>
          <w:color w:val="000000"/>
          <w:sz w:val="20"/>
          <w:szCs w:val="20"/>
          <w:lang w:eastAsia="es-ES_tradnl"/>
        </w:rPr>
      </w:pPr>
      <w:r w:rsidRPr="001247C9">
        <w:rPr>
          <w:rFonts w:ascii="Verdana" w:eastAsia="Times New Roman" w:hAnsi="Verdana" w:cs="Arial"/>
          <w:color w:val="000000"/>
          <w:sz w:val="20"/>
          <w:szCs w:val="20"/>
          <w:lang w:eastAsia="es-ES_tradnl"/>
        </w:rPr>
        <w:t>a) Los ministros del despacho, los directores de departamentos administrativos, los superintendentes, los jefes de unidades administrativas especiales, el Presidente del Senado de la República, el Presidente de la Cámara de Representantes, los Presidentes de la Sala Administrativa del Consejo Superior de la Judicatura y de sus Consejos Seccionales, el Fiscal General de la Nación, el Contralor General de la República, el Procurador General de la Nación, y el Registrador Nacional del Estado Civil. </w:t>
      </w:r>
    </w:p>
    <w:p w14:paraId="33C89589" w14:textId="77777777" w:rsidR="00BE2E4F" w:rsidRPr="001247C9" w:rsidRDefault="00BE2E4F" w:rsidP="00BE2E4F">
      <w:pPr>
        <w:snapToGrid w:val="0"/>
        <w:spacing w:after="0" w:line="240" w:lineRule="auto"/>
        <w:ind w:left="709" w:right="709"/>
        <w:jc w:val="both"/>
        <w:rPr>
          <w:rFonts w:ascii="Verdana" w:eastAsia="Times New Roman" w:hAnsi="Verdana" w:cs="Arial"/>
          <w:color w:val="000000"/>
          <w:sz w:val="20"/>
          <w:szCs w:val="20"/>
          <w:lang w:eastAsia="es-ES_tradnl"/>
        </w:rPr>
      </w:pPr>
      <w:r w:rsidRPr="001247C9">
        <w:rPr>
          <w:rFonts w:ascii="Verdana" w:eastAsia="Times New Roman" w:hAnsi="Verdana" w:cs="Arial"/>
          <w:color w:val="000000"/>
          <w:sz w:val="20"/>
          <w:szCs w:val="20"/>
          <w:lang w:eastAsia="es-ES_tradnl"/>
        </w:rPr>
        <w:t>b) A nivel territorial, los gobernadores de los departamentos, los alcaldes municipales y de los distritos capital y especiales, los contralores departamentales, distritales y municipales, y los representantes legales de las regiones, las provincias, las áreas metropolitanas, los territorios indígenas y las asociaciones de municipios, en los términos y condiciones de las normas legales que regulen la organización y el funcionamiento de dichas entidades. </w:t>
      </w:r>
    </w:p>
    <w:p w14:paraId="311D6EAE" w14:textId="77777777" w:rsidR="00BE2E4F" w:rsidRPr="001247C9" w:rsidRDefault="00BE2E4F" w:rsidP="00BE2E4F">
      <w:pPr>
        <w:snapToGrid w:val="0"/>
        <w:spacing w:after="0" w:line="240" w:lineRule="auto"/>
        <w:ind w:left="709" w:right="709"/>
        <w:jc w:val="both"/>
        <w:rPr>
          <w:rFonts w:ascii="Verdana" w:eastAsia="Times New Roman" w:hAnsi="Verdana" w:cs="Arial"/>
          <w:color w:val="000000"/>
          <w:sz w:val="20"/>
          <w:szCs w:val="20"/>
          <w:lang w:eastAsia="es-ES_tradnl"/>
        </w:rPr>
      </w:pPr>
      <w:r w:rsidRPr="001247C9">
        <w:rPr>
          <w:rFonts w:ascii="Verdana" w:eastAsia="Times New Roman" w:hAnsi="Verdana" w:cs="Arial"/>
          <w:color w:val="000000"/>
          <w:sz w:val="20"/>
          <w:szCs w:val="20"/>
          <w:lang w:eastAsia="es-ES_tradnl"/>
        </w:rPr>
        <w:t>c) Los representantes legales de las entidades descentralizadas en todos los órdenes y niveles. </w:t>
      </w:r>
    </w:p>
    <w:p w14:paraId="512BCEBE" w14:textId="77777777" w:rsidR="00BE2E4F" w:rsidRDefault="00BE2E4F" w:rsidP="00BE2E4F">
      <w:pPr>
        <w:snapToGrid w:val="0"/>
        <w:spacing w:after="0" w:line="240" w:lineRule="auto"/>
        <w:ind w:left="709" w:right="709"/>
        <w:jc w:val="both"/>
        <w:rPr>
          <w:rFonts w:ascii="Verdana" w:eastAsia="Times New Roman" w:hAnsi="Verdana" w:cs="Arial"/>
          <w:color w:val="000000"/>
          <w:sz w:val="20"/>
          <w:szCs w:val="20"/>
          <w:lang w:eastAsia="es-ES_tradnl"/>
        </w:rPr>
      </w:pPr>
      <w:r w:rsidRPr="001247C9">
        <w:rPr>
          <w:rFonts w:ascii="Verdana" w:eastAsia="Times New Roman" w:hAnsi="Verdana" w:cs="Arial"/>
          <w:color w:val="000000"/>
          <w:sz w:val="20"/>
          <w:szCs w:val="20"/>
          <w:lang w:eastAsia="es-ES_tradnl"/>
        </w:rPr>
        <w:t>[…]</w:t>
      </w:r>
    </w:p>
    <w:p w14:paraId="18A73E72" w14:textId="77777777" w:rsidR="00BE2E4F" w:rsidRPr="001247C9" w:rsidRDefault="00BE2E4F" w:rsidP="00BE2E4F">
      <w:pPr>
        <w:snapToGrid w:val="0"/>
        <w:spacing w:after="0" w:line="240" w:lineRule="auto"/>
        <w:ind w:left="709" w:right="709"/>
        <w:jc w:val="both"/>
        <w:rPr>
          <w:rFonts w:ascii="Verdana" w:eastAsia="Times New Roman" w:hAnsi="Verdana" w:cs="Arial"/>
          <w:color w:val="000000"/>
          <w:sz w:val="20"/>
          <w:szCs w:val="20"/>
          <w:lang w:eastAsia="es-ES_tradnl"/>
        </w:rPr>
      </w:pPr>
    </w:p>
    <w:p w14:paraId="631352B6" w14:textId="77777777" w:rsidR="00BE2E4F" w:rsidRPr="001247C9" w:rsidRDefault="00BE2E4F" w:rsidP="00BE2E4F">
      <w:pPr>
        <w:snapToGrid w:val="0"/>
        <w:spacing w:after="0" w:line="240" w:lineRule="auto"/>
        <w:ind w:left="709" w:right="709"/>
        <w:jc w:val="both"/>
        <w:rPr>
          <w:rFonts w:ascii="Verdana" w:eastAsia="Times New Roman" w:hAnsi="Verdana" w:cs="Arial"/>
          <w:color w:val="000000"/>
          <w:sz w:val="20"/>
          <w:szCs w:val="20"/>
          <w:lang w:eastAsia="es-ES_tradnl"/>
        </w:rPr>
      </w:pPr>
      <w:r w:rsidRPr="001247C9">
        <w:rPr>
          <w:rFonts w:ascii="Verdana" w:eastAsia="Times New Roman" w:hAnsi="Verdana" w:cs="Arial"/>
          <w:color w:val="000000"/>
          <w:sz w:val="20"/>
          <w:szCs w:val="20"/>
          <w:lang w:eastAsia="es-ES_tradnl"/>
        </w:rPr>
        <w:t xml:space="preserve">Articulo 12. De la </w:t>
      </w:r>
      <w:proofErr w:type="spellStart"/>
      <w:r w:rsidRPr="001247C9">
        <w:rPr>
          <w:rFonts w:ascii="Verdana" w:eastAsia="Times New Roman" w:hAnsi="Verdana" w:cs="Arial"/>
          <w:color w:val="000000"/>
          <w:sz w:val="20"/>
          <w:szCs w:val="20"/>
          <w:lang w:eastAsia="es-ES_tradnl"/>
        </w:rPr>
        <w:t>delegacion</w:t>
      </w:r>
      <w:proofErr w:type="spellEnd"/>
      <w:r w:rsidRPr="001247C9">
        <w:rPr>
          <w:rFonts w:ascii="Verdana" w:eastAsia="Times New Roman" w:hAnsi="Verdana" w:cs="Arial"/>
          <w:color w:val="000000"/>
          <w:sz w:val="20"/>
          <w:szCs w:val="20"/>
          <w:lang w:eastAsia="es-ES_tradnl"/>
        </w:rPr>
        <w:t xml:space="preserve"> para contratar. Los jefes y los representantes legales de las entidades estatales podrán delegar total o parcialmente la competencia para celebrar contratos y desconcentrar la realización de licitaciones o concursos en los servidores públicos que desempeñen cargos del nivel directivo o ejecutivo o en sus equivalentes. </w:t>
      </w:r>
    </w:p>
    <w:p w14:paraId="7758EBE7" w14:textId="77777777" w:rsidR="00BE2E4F" w:rsidRPr="001247C9" w:rsidRDefault="00BE2E4F" w:rsidP="00BE2E4F">
      <w:pPr>
        <w:snapToGrid w:val="0"/>
        <w:spacing w:after="0" w:line="240" w:lineRule="auto"/>
        <w:ind w:left="709" w:right="709"/>
        <w:jc w:val="both"/>
        <w:rPr>
          <w:rFonts w:ascii="Verdana" w:eastAsia="Times New Roman" w:hAnsi="Verdana" w:cs="Arial"/>
          <w:color w:val="000000"/>
          <w:sz w:val="20"/>
          <w:szCs w:val="20"/>
          <w:lang w:eastAsia="es-ES_tradnl"/>
        </w:rPr>
      </w:pPr>
      <w:r w:rsidRPr="001247C9">
        <w:rPr>
          <w:rFonts w:ascii="Verdana" w:eastAsia="Times New Roman" w:hAnsi="Verdana" w:cs="Arial"/>
          <w:color w:val="000000"/>
          <w:sz w:val="20"/>
          <w:szCs w:val="20"/>
          <w:lang w:eastAsia="es-ES_tradnl"/>
        </w:rPr>
        <w:t>  </w:t>
      </w:r>
    </w:p>
    <w:p w14:paraId="295EEA51" w14:textId="77777777" w:rsidR="00BE2E4F" w:rsidRPr="001247C9" w:rsidRDefault="00BE2E4F" w:rsidP="00BE2E4F">
      <w:pPr>
        <w:snapToGrid w:val="0"/>
        <w:spacing w:after="0" w:line="240" w:lineRule="auto"/>
        <w:ind w:left="709" w:right="709"/>
        <w:jc w:val="both"/>
        <w:rPr>
          <w:rFonts w:ascii="Verdana" w:eastAsia="Times New Roman" w:hAnsi="Verdana" w:cs="Arial"/>
          <w:color w:val="000000"/>
          <w:sz w:val="20"/>
          <w:szCs w:val="20"/>
          <w:lang w:eastAsia="es-ES_tradnl"/>
        </w:rPr>
      </w:pPr>
      <w:r w:rsidRPr="001247C9">
        <w:rPr>
          <w:rFonts w:ascii="Verdana" w:eastAsia="Times New Roman" w:hAnsi="Verdana" w:cs="Arial"/>
          <w:color w:val="000000"/>
          <w:sz w:val="20"/>
          <w:szCs w:val="20"/>
          <w:lang w:eastAsia="es-ES_tradnl"/>
        </w:rPr>
        <w:t>En ningún caso, los jefes y representantes legales de las entidades estatales quedarán exonerados por virtud de la delegación de sus deberes de control y vigilancia de la actividad precontractual y contractual</w:t>
      </w:r>
      <w:r>
        <w:rPr>
          <w:rFonts w:ascii="Verdana" w:eastAsia="Times New Roman" w:hAnsi="Verdana" w:cs="Arial"/>
          <w:color w:val="000000"/>
          <w:sz w:val="20"/>
          <w:szCs w:val="20"/>
          <w:lang w:eastAsia="es-ES_tradnl"/>
        </w:rPr>
        <w:t xml:space="preserve"> […]” [Énfasis propio]</w:t>
      </w:r>
      <w:r w:rsidRPr="001247C9">
        <w:rPr>
          <w:rFonts w:ascii="Verdana" w:eastAsia="Times New Roman" w:hAnsi="Verdana" w:cs="Arial"/>
          <w:color w:val="000000"/>
          <w:lang w:eastAsia="es-ES_tradnl"/>
        </w:rPr>
        <w:t>  </w:t>
      </w:r>
    </w:p>
    <w:p w14:paraId="394FE065" w14:textId="77777777" w:rsidR="00BE2E4F" w:rsidRDefault="00BE2E4F" w:rsidP="00BE2E4F">
      <w:pPr>
        <w:spacing w:after="0" w:line="276" w:lineRule="auto"/>
        <w:jc w:val="both"/>
        <w:rPr>
          <w:rFonts w:ascii="Verdana" w:eastAsia="Times New Roman" w:hAnsi="Verdana" w:cs="Arial"/>
          <w:color w:val="000000"/>
          <w:lang w:eastAsia="es-ES_tradnl"/>
        </w:rPr>
      </w:pPr>
    </w:p>
    <w:p w14:paraId="48605AA8" w14:textId="77777777" w:rsidR="00BE2E4F" w:rsidRDefault="00BE2E4F" w:rsidP="00BE2E4F">
      <w:pPr>
        <w:spacing w:after="120" w:line="276" w:lineRule="auto"/>
        <w:ind w:firstLine="709"/>
        <w:jc w:val="both"/>
        <w:rPr>
          <w:rFonts w:ascii="Verdana" w:eastAsia="Times New Roman" w:hAnsi="Verdana" w:cs="Arial"/>
          <w:color w:val="000000"/>
          <w:lang w:eastAsia="es-ES_tradnl"/>
        </w:rPr>
      </w:pPr>
      <w:r>
        <w:rPr>
          <w:rFonts w:ascii="Verdana" w:eastAsia="Times New Roman" w:hAnsi="Verdana" w:cs="Arial"/>
          <w:color w:val="000000"/>
          <w:lang w:eastAsia="es-ES_tradnl"/>
        </w:rPr>
        <w:t xml:space="preserve">En consecuencia, </w:t>
      </w:r>
      <w:r w:rsidRPr="001247C9">
        <w:rPr>
          <w:rFonts w:ascii="Verdana" w:eastAsia="Times New Roman" w:hAnsi="Verdana" w:cs="Arial"/>
          <w:color w:val="000000"/>
          <w:lang w:eastAsia="es-ES_tradnl"/>
        </w:rPr>
        <w:t>el jefe o representante legal —o su delegado— es el competente para la celebración del contrato, así como para</w:t>
      </w:r>
      <w:r>
        <w:rPr>
          <w:rFonts w:ascii="Verdana" w:eastAsia="Times New Roman" w:hAnsi="Verdana" w:cs="Arial"/>
          <w:color w:val="000000"/>
          <w:lang w:eastAsia="es-ES_tradnl"/>
        </w:rPr>
        <w:t xml:space="preserve"> suscribir el acta de suspensión,</w:t>
      </w:r>
      <w:r w:rsidRPr="001247C9">
        <w:rPr>
          <w:rFonts w:ascii="Verdana" w:eastAsia="Times New Roman" w:hAnsi="Verdana" w:cs="Arial"/>
          <w:color w:val="000000"/>
          <w:lang w:eastAsia="es-ES_tradnl"/>
        </w:rPr>
        <w:t xml:space="preserve"> </w:t>
      </w:r>
      <w:r>
        <w:rPr>
          <w:rFonts w:ascii="Verdana" w:eastAsia="Times New Roman" w:hAnsi="Verdana" w:cs="Arial"/>
          <w:color w:val="000000"/>
          <w:lang w:eastAsia="es-ES_tradnl"/>
        </w:rPr>
        <w:t xml:space="preserve">las </w:t>
      </w:r>
      <w:r w:rsidRPr="001247C9">
        <w:rPr>
          <w:rFonts w:ascii="Verdana" w:eastAsia="Times New Roman" w:hAnsi="Verdana" w:cs="Arial"/>
          <w:color w:val="000000"/>
          <w:lang w:eastAsia="es-ES_tradnl"/>
        </w:rPr>
        <w:t xml:space="preserve">modificaciones, adiciones o liquidaciones, mientras que los supervisores son los encargados de </w:t>
      </w:r>
      <w:r>
        <w:rPr>
          <w:rFonts w:ascii="Verdana" w:eastAsia="Times New Roman" w:hAnsi="Verdana" w:cs="Arial"/>
          <w:color w:val="000000"/>
          <w:lang w:eastAsia="es-ES_tradnl"/>
        </w:rPr>
        <w:t xml:space="preserve">realizar el seguimiento al </w:t>
      </w:r>
      <w:r w:rsidRPr="001247C9">
        <w:rPr>
          <w:rFonts w:ascii="Verdana" w:eastAsia="Times New Roman" w:hAnsi="Verdana" w:cs="Arial"/>
          <w:color w:val="000000"/>
          <w:lang w:eastAsia="es-ES_tradnl"/>
        </w:rPr>
        <w:t>cumplimiento de las condiciones del contrato</w:t>
      </w:r>
      <w:r>
        <w:rPr>
          <w:rFonts w:ascii="Verdana" w:eastAsia="Times New Roman" w:hAnsi="Verdana" w:cs="Arial"/>
          <w:color w:val="000000"/>
          <w:lang w:eastAsia="es-ES_tradnl"/>
        </w:rPr>
        <w:t xml:space="preserve">. </w:t>
      </w:r>
      <w:r w:rsidRPr="001247C9">
        <w:rPr>
          <w:rFonts w:ascii="Verdana" w:eastAsia="Times New Roman" w:hAnsi="Verdana" w:cs="Arial"/>
          <w:color w:val="000000"/>
          <w:lang w:eastAsia="es-ES_tradnl"/>
        </w:rPr>
        <w:t xml:space="preserve">En el mismo sentido, los interventores o supervisores no pueden sustituir </w:t>
      </w:r>
      <w:r>
        <w:rPr>
          <w:rFonts w:ascii="Verdana" w:eastAsia="Times New Roman" w:hAnsi="Verdana" w:cs="Arial"/>
          <w:color w:val="000000"/>
          <w:lang w:eastAsia="es-ES_tradnl"/>
        </w:rPr>
        <w:t>la competencia de</w:t>
      </w:r>
      <w:r w:rsidRPr="001247C9">
        <w:rPr>
          <w:rFonts w:ascii="Verdana" w:eastAsia="Times New Roman" w:hAnsi="Verdana" w:cs="Arial"/>
          <w:color w:val="000000"/>
          <w:lang w:eastAsia="es-ES_tradnl"/>
        </w:rPr>
        <w:t xml:space="preserve"> la Entidad Estatal</w:t>
      </w:r>
      <w:r>
        <w:rPr>
          <w:rFonts w:ascii="Verdana" w:eastAsia="Times New Roman" w:hAnsi="Verdana" w:cs="Arial"/>
          <w:color w:val="000000"/>
          <w:lang w:eastAsia="es-ES_tradnl"/>
        </w:rPr>
        <w:t xml:space="preserve"> como parte del contrato estatal, pues</w:t>
      </w:r>
      <w:r w:rsidRPr="001247C9">
        <w:rPr>
          <w:rFonts w:ascii="Verdana" w:eastAsia="Times New Roman" w:hAnsi="Verdana" w:cs="Arial"/>
          <w:color w:val="000000"/>
          <w:lang w:eastAsia="es-ES_tradnl"/>
        </w:rPr>
        <w:t xml:space="preserve"> su rol es de vigilancia</w:t>
      </w:r>
      <w:r>
        <w:rPr>
          <w:rFonts w:ascii="Verdana" w:eastAsia="Times New Roman" w:hAnsi="Verdana" w:cs="Arial"/>
          <w:color w:val="000000"/>
          <w:lang w:eastAsia="es-ES_tradnl"/>
        </w:rPr>
        <w:t xml:space="preserve"> y</w:t>
      </w:r>
      <w:r w:rsidRPr="001247C9">
        <w:rPr>
          <w:rFonts w:ascii="Verdana" w:eastAsia="Times New Roman" w:hAnsi="Verdana" w:cs="Arial"/>
          <w:color w:val="000000"/>
          <w:lang w:eastAsia="es-ES_tradnl"/>
        </w:rPr>
        <w:t xml:space="preserve"> no de disposición sobre el negocio jurídico.</w:t>
      </w:r>
    </w:p>
    <w:p w14:paraId="3382C250" w14:textId="77777777" w:rsidR="00BE2E4F" w:rsidRDefault="00BE2E4F" w:rsidP="00BE2E4F">
      <w:pPr>
        <w:spacing w:after="120" w:line="276" w:lineRule="auto"/>
        <w:jc w:val="both"/>
        <w:rPr>
          <w:rFonts w:ascii="Verdana" w:eastAsia="Calibri" w:hAnsi="Verdana" w:cs="Arial"/>
          <w:color w:val="000000"/>
        </w:rPr>
      </w:pPr>
      <w:proofErr w:type="spellStart"/>
      <w:r>
        <w:rPr>
          <w:rFonts w:ascii="Verdana" w:eastAsia="Times New Roman" w:hAnsi="Verdana" w:cs="Arial"/>
          <w:color w:val="000000"/>
          <w:lang w:eastAsia="es-ES_tradnl"/>
        </w:rPr>
        <w:lastRenderedPageBreak/>
        <w:t>ii</w:t>
      </w:r>
      <w:proofErr w:type="spellEnd"/>
      <w:r>
        <w:rPr>
          <w:rFonts w:ascii="Verdana" w:eastAsia="Times New Roman" w:hAnsi="Verdana" w:cs="Arial"/>
          <w:color w:val="000000"/>
          <w:lang w:eastAsia="es-ES_tradnl"/>
        </w:rPr>
        <w:t xml:space="preserve">. </w:t>
      </w:r>
      <w:r w:rsidRPr="00D53B1F">
        <w:rPr>
          <w:rFonts w:ascii="Verdana" w:eastAsia="Calibri" w:hAnsi="Verdana" w:cs="Arial"/>
          <w:color w:val="000000"/>
        </w:rPr>
        <w:t>En relación con los efectos jurídicos derivad</w:t>
      </w:r>
      <w:r>
        <w:rPr>
          <w:rFonts w:ascii="Verdana" w:eastAsia="Calibri" w:hAnsi="Verdana" w:cs="Arial"/>
          <w:color w:val="000000"/>
        </w:rPr>
        <w:t>o</w:t>
      </w:r>
      <w:r w:rsidRPr="00D53B1F">
        <w:rPr>
          <w:rFonts w:ascii="Verdana" w:eastAsia="Calibri" w:hAnsi="Verdana" w:cs="Arial"/>
          <w:color w:val="000000"/>
        </w:rPr>
        <w:t>s de la falta</w:t>
      </w:r>
      <w:r>
        <w:rPr>
          <w:rFonts w:ascii="Verdana" w:eastAsia="Calibri" w:hAnsi="Verdana" w:cs="Arial"/>
          <w:color w:val="000000"/>
        </w:rPr>
        <w:t xml:space="preserve"> de suscripción del acta de suspensión por la parte competente</w:t>
      </w:r>
      <w:r w:rsidRPr="00D53B1F">
        <w:rPr>
          <w:rFonts w:ascii="Verdana" w:eastAsia="Calibri" w:hAnsi="Verdana" w:cs="Arial"/>
          <w:color w:val="000000"/>
        </w:rPr>
        <w:t>, debe precisarse que la contratación estatal se encuentra regida por los principios de transparencia, responsabilidad, planeación, economía y publicidad, los cuales imponen que toda actuación que incida en la ejecución del contrato debe constar de manera expresa, formal y verificable</w:t>
      </w:r>
      <w:r>
        <w:rPr>
          <w:rStyle w:val="Refdenotaalpie"/>
          <w:rFonts w:ascii="Verdana" w:eastAsia="Calibri" w:hAnsi="Verdana" w:cs="Arial"/>
          <w:color w:val="000000"/>
        </w:rPr>
        <w:footnoteReference w:id="12"/>
      </w:r>
      <w:r w:rsidRPr="00D53B1F">
        <w:rPr>
          <w:rFonts w:ascii="Verdana" w:eastAsia="Calibri" w:hAnsi="Verdana" w:cs="Arial"/>
          <w:color w:val="000000"/>
        </w:rPr>
        <w:t>.</w:t>
      </w:r>
    </w:p>
    <w:p w14:paraId="3A654464" w14:textId="77777777" w:rsidR="00BE2E4F" w:rsidRDefault="00BE2E4F" w:rsidP="00BE2E4F">
      <w:pPr>
        <w:spacing w:after="120" w:line="276" w:lineRule="auto"/>
        <w:ind w:firstLine="708"/>
        <w:jc w:val="both"/>
        <w:rPr>
          <w:rFonts w:ascii="Verdana" w:eastAsia="Calibri" w:hAnsi="Verdana" w:cs="Arial"/>
          <w:color w:val="000000"/>
        </w:rPr>
      </w:pPr>
      <w:r w:rsidRPr="00D53B1F">
        <w:rPr>
          <w:rFonts w:ascii="Verdana" w:eastAsia="Calibri" w:hAnsi="Verdana" w:cs="Arial"/>
          <w:color w:val="000000"/>
        </w:rPr>
        <w:t>Así lo ha reconocido Colombia Compra Eficiente al señalar que la suspensión no extingue el contrato ni modifica su naturaleza, sino que implica una interrupción temporal de su ejecución, de manera que su reactivación depende de lo pactado por las partes, ya sea mediante acta de reinicio o mediante cláusula de reactivación automática.³ En consecuencia, la ausencia de formalización del reinicio impide predicar la existencia de ejecución válida del contrato, lo que genera un estado de incertidumbre jurídica que debe ser corregido por la entidad contratante en ejercicio de su deber de dirección y control del contrato.</w:t>
      </w:r>
    </w:p>
    <w:p w14:paraId="59FD7530" w14:textId="77777777" w:rsidR="00BE2E4F" w:rsidRDefault="00BE2E4F" w:rsidP="00BE2E4F">
      <w:pPr>
        <w:spacing w:after="120" w:line="276" w:lineRule="auto"/>
        <w:ind w:firstLine="708"/>
        <w:jc w:val="both"/>
        <w:rPr>
          <w:rFonts w:ascii="Verdana" w:eastAsia="Calibri" w:hAnsi="Verdana" w:cs="Arial"/>
          <w:color w:val="000000"/>
        </w:rPr>
      </w:pPr>
      <w:r>
        <w:rPr>
          <w:rFonts w:ascii="Verdana" w:eastAsia="Calibri" w:hAnsi="Verdana" w:cs="Arial"/>
          <w:color w:val="000000"/>
        </w:rPr>
        <w:t>Por su parte, d</w:t>
      </w:r>
      <w:r w:rsidRPr="00D53B1F">
        <w:rPr>
          <w:rFonts w:ascii="Verdana" w:eastAsia="Calibri" w:hAnsi="Verdana" w:cs="Arial"/>
          <w:color w:val="000000"/>
        </w:rPr>
        <w:t xml:space="preserve">esde la perspectiva de responsabilidades, la </w:t>
      </w:r>
      <w:r>
        <w:rPr>
          <w:rFonts w:ascii="Verdana" w:eastAsia="Calibri" w:hAnsi="Verdana" w:cs="Arial"/>
          <w:color w:val="000000"/>
        </w:rPr>
        <w:t>E</w:t>
      </w:r>
      <w:r w:rsidRPr="00D53B1F">
        <w:rPr>
          <w:rFonts w:ascii="Verdana" w:eastAsia="Calibri" w:hAnsi="Verdana" w:cs="Arial"/>
          <w:color w:val="000000"/>
        </w:rPr>
        <w:t xml:space="preserve">ntidad </w:t>
      </w:r>
      <w:r>
        <w:rPr>
          <w:rFonts w:ascii="Verdana" w:eastAsia="Calibri" w:hAnsi="Verdana" w:cs="Arial"/>
          <w:color w:val="000000"/>
        </w:rPr>
        <w:t>E</w:t>
      </w:r>
      <w:r w:rsidRPr="00D53B1F">
        <w:rPr>
          <w:rFonts w:ascii="Verdana" w:eastAsia="Calibri" w:hAnsi="Verdana" w:cs="Arial"/>
          <w:color w:val="000000"/>
        </w:rPr>
        <w:t>statal contratante tiene un deber reforzado de dirección, vigilancia y control del contrato, el cual implica la obligación de adoptar oportunamente las decisiones necesarias para evitar la parálisis indefinida o la indeterminación del estado contractual. La omisión en la formalización</w:t>
      </w:r>
      <w:r>
        <w:rPr>
          <w:rFonts w:ascii="Verdana" w:eastAsia="Calibri" w:hAnsi="Verdana" w:cs="Arial"/>
          <w:color w:val="000000"/>
        </w:rPr>
        <w:t xml:space="preserve"> adecuada</w:t>
      </w:r>
      <w:r w:rsidRPr="00D53B1F">
        <w:rPr>
          <w:rFonts w:ascii="Verdana" w:eastAsia="Calibri" w:hAnsi="Verdana" w:cs="Arial"/>
          <w:color w:val="000000"/>
        </w:rPr>
        <w:t xml:space="preserve"> de</w:t>
      </w:r>
      <w:r>
        <w:rPr>
          <w:rFonts w:ascii="Verdana" w:eastAsia="Calibri" w:hAnsi="Verdana" w:cs="Arial"/>
          <w:color w:val="000000"/>
        </w:rPr>
        <w:t xml:space="preserve"> la suspensión o del</w:t>
      </w:r>
      <w:r w:rsidRPr="00D53B1F">
        <w:rPr>
          <w:rFonts w:ascii="Verdana" w:eastAsia="Calibri" w:hAnsi="Verdana" w:cs="Arial"/>
          <w:color w:val="000000"/>
        </w:rPr>
        <w:t xml:space="preserve"> reinicio puede comprometer la responsabilidad disciplinaria del servidor público, en la medida en que constituya una afectación a los principios de la función administrativa, particularmente eficiencia y responsabilidad, previstos en el artículo 209 constitucional.</w:t>
      </w:r>
    </w:p>
    <w:p w14:paraId="6B858980" w14:textId="77777777" w:rsidR="00BE2E4F" w:rsidRDefault="00BE2E4F" w:rsidP="00BE2E4F">
      <w:pPr>
        <w:spacing w:after="120" w:line="276" w:lineRule="auto"/>
        <w:ind w:firstLine="708"/>
        <w:jc w:val="both"/>
        <w:rPr>
          <w:rFonts w:ascii="Verdana" w:eastAsia="Calibri" w:hAnsi="Verdana" w:cs="Arial"/>
          <w:color w:val="000000"/>
        </w:rPr>
      </w:pPr>
      <w:r w:rsidRPr="00D53B1F">
        <w:rPr>
          <w:rFonts w:ascii="Verdana" w:eastAsia="Calibri" w:hAnsi="Verdana" w:cs="Arial"/>
          <w:color w:val="000000"/>
        </w:rPr>
        <w:t>Adicionalmente, dicha omisión puede generar consecuencias en el ámbito fiscal cuando se afecte la correcta ejecución de recursos públicos o se ocasionen detrimentos derivados de la falta de gestión oportuna del contrato estatal. En escenarios más graves, si se acredita dolo o negligencia grave en la gestión contractual, podrían configurarse responsabilidades disciplinarias, fiscales e incluso penales, dependiendo del caso concreto.</w:t>
      </w:r>
    </w:p>
    <w:p w14:paraId="7CF8F63F" w14:textId="77777777" w:rsidR="00BE2E4F" w:rsidRPr="002F19E9" w:rsidRDefault="00BE2E4F" w:rsidP="00BE2E4F">
      <w:pPr>
        <w:spacing w:after="120" w:line="276" w:lineRule="auto"/>
        <w:ind w:firstLine="708"/>
        <w:jc w:val="both"/>
        <w:rPr>
          <w:rFonts w:ascii="Verdana" w:eastAsia="Calibri" w:hAnsi="Verdana" w:cs="Arial"/>
          <w:color w:val="000000"/>
        </w:rPr>
      </w:pPr>
      <w:r w:rsidRPr="00D53B1F">
        <w:rPr>
          <w:rFonts w:ascii="Verdana" w:eastAsia="Calibri" w:hAnsi="Verdana" w:cs="Arial"/>
          <w:color w:val="000000"/>
        </w:rPr>
        <w:t xml:space="preserve">Por su parte, el contratista debe actuar conforme al principio de buena fe contractual y colaboración con la administración, por lo que no le es jurídicamente viable ejecutar actividades contractuales sin la formalización del </w:t>
      </w:r>
      <w:r w:rsidRPr="00D53B1F">
        <w:rPr>
          <w:rFonts w:ascii="Verdana" w:eastAsia="Calibri" w:hAnsi="Verdana" w:cs="Arial"/>
          <w:color w:val="000000"/>
        </w:rPr>
        <w:lastRenderedPageBreak/>
        <w:t>reinicio, en la medida en que ello podría generar controversias sobre el reconocimiento de obligaciones, pagos o imputación de riesgos. No obstante, en caso de actuaciones realizadas en el marco de una confianza legítima derivada del comportamiento de la administración, deberá analizarse en cada caso concreto la procedencia de su reconocimiento, bajo criterios de equidad y buena fe</w:t>
      </w:r>
      <w:r>
        <w:rPr>
          <w:rStyle w:val="Refdenotaalpie"/>
          <w:rFonts w:ascii="Verdana" w:eastAsia="Calibri" w:hAnsi="Verdana" w:cs="Arial"/>
          <w:color w:val="000000"/>
        </w:rPr>
        <w:footnoteReference w:id="13"/>
      </w:r>
      <w:r w:rsidRPr="00D53B1F">
        <w:rPr>
          <w:rFonts w:ascii="Verdana" w:eastAsia="Calibri" w:hAnsi="Verdana" w:cs="Arial"/>
          <w:color w:val="000000"/>
        </w:rPr>
        <w:t>.</w:t>
      </w:r>
    </w:p>
    <w:p w14:paraId="760BCDBD" w14:textId="77777777" w:rsidR="00BE2E4F" w:rsidRPr="00147452" w:rsidRDefault="00BE2E4F" w:rsidP="00BE2E4F">
      <w:pPr>
        <w:spacing w:after="120" w:line="276" w:lineRule="auto"/>
        <w:ind w:firstLine="709"/>
        <w:jc w:val="both"/>
        <w:rPr>
          <w:rFonts w:ascii="Verdana" w:eastAsia="Times New Roman" w:hAnsi="Verdana" w:cs="Arial"/>
          <w:color w:val="000000"/>
          <w:lang w:eastAsia="es-ES_tradnl"/>
        </w:rPr>
      </w:pPr>
      <w:r w:rsidRPr="00BD16FF">
        <w:rPr>
          <w:rFonts w:ascii="Verdana" w:hAnsi="Verdana" w:cs="Arial"/>
          <w:lang w:eastAsia="es-ES"/>
        </w:rPr>
        <w:t xml:space="preserve">Al margen de la explicación precedente debe advertirse que el análisis requerido para resolver problemas específicos en torno a la gestión contractual debe ser realizado por quienes tengan interés en ello, de acuerdo </w:t>
      </w:r>
      <w:proofErr w:type="gramStart"/>
      <w:r w:rsidRPr="00BD16FF">
        <w:rPr>
          <w:rFonts w:ascii="Verdana" w:hAnsi="Verdana" w:cs="Arial"/>
          <w:lang w:eastAsia="es-ES"/>
        </w:rPr>
        <w:t>con  la</w:t>
      </w:r>
      <w:proofErr w:type="gramEnd"/>
      <w:r w:rsidRPr="00BD16FF">
        <w:rPr>
          <w:rFonts w:ascii="Verdana" w:hAnsi="Verdana" w:cs="Arial"/>
          <w:lang w:eastAsia="es-ES"/>
        </w:rPr>
        <w:t xml:space="preserve">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y, en caso de conflicto, a las autoridades judiciales, fiscales y disciplinarias.</w:t>
      </w:r>
      <w:r w:rsidRPr="00466363">
        <w:rPr>
          <w:rFonts w:ascii="Verdana" w:eastAsia="Arial" w:hAnsi="Verdana" w:cs="Arial"/>
        </w:rPr>
        <w:t xml:space="preserve"> </w:t>
      </w:r>
      <w:proofErr w:type="gramStart"/>
      <w:r>
        <w:rPr>
          <w:rFonts w:ascii="Verdana" w:eastAsia="Arial" w:hAnsi="Verdana" w:cs="Arial"/>
        </w:rPr>
        <w:t>Además</w:t>
      </w:r>
      <w:proofErr w:type="gramEnd"/>
      <w:r>
        <w:rPr>
          <w:rFonts w:ascii="Verdana" w:eastAsia="Arial" w:hAnsi="Verdana" w:cs="Arial"/>
        </w:rPr>
        <w:t xml:space="preserve"> es </w:t>
      </w:r>
      <w:r>
        <w:rPr>
          <w:rFonts w:ascii="Verdana" w:eastAsia="Calibri" w:hAnsi="Verdana" w:cs="Arial"/>
          <w:color w:val="000000"/>
        </w:rPr>
        <w:t xml:space="preserve">importante resaltar </w:t>
      </w:r>
      <w:proofErr w:type="gramStart"/>
      <w:r>
        <w:rPr>
          <w:rFonts w:ascii="Verdana" w:eastAsia="Calibri" w:hAnsi="Verdana" w:cs="Arial"/>
          <w:color w:val="000000"/>
        </w:rPr>
        <w:t>que</w:t>
      </w:r>
      <w:proofErr w:type="gramEnd"/>
      <w:r>
        <w:rPr>
          <w:rFonts w:ascii="Verdana" w:eastAsia="Calibri" w:hAnsi="Verdana" w:cs="Arial"/>
          <w:color w:val="000000"/>
        </w:rPr>
        <w:t xml:space="preserve"> si se </w:t>
      </w:r>
      <w:r w:rsidRPr="00B3097D">
        <w:rPr>
          <w:rFonts w:ascii="Verdana" w:eastAsia="Calibri" w:hAnsi="Verdana" w:cs="Arial"/>
          <w:color w:val="000000"/>
        </w:rPr>
        <w:t xml:space="preserve">considera que </w:t>
      </w:r>
      <w:r>
        <w:rPr>
          <w:rFonts w:ascii="Verdana" w:eastAsia="Calibri" w:hAnsi="Verdana" w:cs="Arial"/>
          <w:color w:val="000000"/>
        </w:rPr>
        <w:t xml:space="preserve">el acto jurídico </w:t>
      </w:r>
      <w:r w:rsidRPr="00B3097D">
        <w:rPr>
          <w:rFonts w:ascii="Verdana" w:eastAsia="Calibri" w:hAnsi="Verdana" w:cs="Arial"/>
          <w:color w:val="000000"/>
        </w:rPr>
        <w:t>está viciado de nulidad por incompetencia, la declaratoria de esa nulidad corresponde al juez del contrato.</w:t>
      </w:r>
    </w:p>
    <w:p w14:paraId="3DE0B96E" w14:textId="77777777" w:rsidR="00BE2E4F" w:rsidRPr="00BD16FF" w:rsidRDefault="00BE2E4F" w:rsidP="00BE2E4F">
      <w:pPr>
        <w:spacing w:before="120" w:after="0" w:line="276" w:lineRule="auto"/>
        <w:ind w:firstLine="709"/>
        <w:jc w:val="both"/>
        <w:rPr>
          <w:rFonts w:ascii="Verdana" w:hAnsi="Verdana" w:cs="Arial"/>
          <w:lang w:eastAsia="es-ES"/>
        </w:rPr>
      </w:pPr>
      <w:r w:rsidRPr="00BD16FF">
        <w:rPr>
          <w:rFonts w:ascii="Verdana" w:hAnsi="Verdana" w:cs="Arial"/>
          <w:lang w:eastAsia="es-ES"/>
        </w:rPr>
        <w:t>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De esta manera, cada entidad definirá la forma de adelantar su gestión contractual, sin que sea atribución de Colombia Compra Eficiente validar sus actuaciones.</w:t>
      </w:r>
    </w:p>
    <w:p w14:paraId="71368ED8" w14:textId="77777777" w:rsidR="00BE2E4F" w:rsidRPr="00DD0F57" w:rsidRDefault="00BE2E4F" w:rsidP="00BE2E4F">
      <w:pPr>
        <w:spacing w:after="0" w:line="276" w:lineRule="auto"/>
        <w:ind w:firstLine="708"/>
        <w:jc w:val="both"/>
        <w:rPr>
          <w:rFonts w:ascii="Verdana" w:hAnsi="Verdana" w:cs="Arial"/>
          <w:lang w:val="es-ES"/>
        </w:rPr>
      </w:pPr>
    </w:p>
    <w:p w14:paraId="5512E529" w14:textId="77777777" w:rsidR="00BE2E4F" w:rsidRPr="00DD0F57" w:rsidRDefault="00BE2E4F" w:rsidP="00BE2E4F">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DD0F57">
        <w:rPr>
          <w:rFonts w:ascii="Verdana" w:eastAsia="Century Gothic" w:hAnsi="Verdana" w:cs="Century Gothic"/>
          <w:b/>
          <w:bCs/>
          <w:color w:val="000000" w:themeColor="text1"/>
        </w:rPr>
        <w:t>Referencias normativas, jurisprudenciales y otras fuentes:</w:t>
      </w:r>
    </w:p>
    <w:p w14:paraId="50EE36ED" w14:textId="77777777" w:rsidR="00BE2E4F" w:rsidRPr="00DD0F57" w:rsidRDefault="00BE2E4F" w:rsidP="00BE2E4F">
      <w:pPr>
        <w:pStyle w:val="Prrafodelista"/>
        <w:tabs>
          <w:tab w:val="left" w:pos="142"/>
          <w:tab w:val="left" w:pos="284"/>
        </w:tabs>
        <w:spacing w:after="0" w:line="276" w:lineRule="auto"/>
        <w:ind w:left="0"/>
        <w:jc w:val="both"/>
        <w:rPr>
          <w:rFonts w:ascii="Verdana" w:eastAsia="Century Gothic" w:hAnsi="Verdana" w:cs="Century Gothic"/>
          <w:b/>
          <w:bCs/>
          <w:color w:val="000000" w:themeColor="text1"/>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BE2E4F" w:rsidRPr="00DD0F57" w14:paraId="7911F1CA" w14:textId="77777777">
        <w:trPr>
          <w:trHeight w:val="870"/>
        </w:trPr>
        <w:tc>
          <w:tcPr>
            <w:tcW w:w="8647" w:type="dxa"/>
          </w:tcPr>
          <w:p w14:paraId="5DBE048D" w14:textId="77777777" w:rsidR="00BE2E4F" w:rsidRPr="00865699" w:rsidRDefault="00BE2E4F">
            <w:pPr>
              <w:widowControl w:val="0"/>
              <w:numPr>
                <w:ilvl w:val="0"/>
                <w:numId w:val="17"/>
              </w:numPr>
              <w:autoSpaceDE w:val="0"/>
              <w:autoSpaceDN w:val="0"/>
              <w:snapToGrid w:val="0"/>
              <w:spacing w:before="120" w:after="120"/>
              <w:jc w:val="both"/>
              <w:rPr>
                <w:rFonts w:ascii="Verdana" w:hAnsi="Verdana" w:cs="Arial"/>
              </w:rPr>
            </w:pPr>
            <w:r w:rsidRPr="00865699">
              <w:rPr>
                <w:rFonts w:ascii="Verdana" w:hAnsi="Verdana" w:cs="Arial"/>
              </w:rPr>
              <w:t>Constitución Política, artículo 209.</w:t>
            </w:r>
          </w:p>
          <w:p w14:paraId="5DC188FC" w14:textId="77777777" w:rsidR="00BE2E4F" w:rsidRPr="00865699" w:rsidRDefault="00BE2E4F">
            <w:pPr>
              <w:widowControl w:val="0"/>
              <w:numPr>
                <w:ilvl w:val="0"/>
                <w:numId w:val="17"/>
              </w:numPr>
              <w:autoSpaceDE w:val="0"/>
              <w:autoSpaceDN w:val="0"/>
              <w:snapToGrid w:val="0"/>
              <w:spacing w:before="120" w:after="120"/>
              <w:jc w:val="both"/>
              <w:rPr>
                <w:rFonts w:ascii="Verdana" w:hAnsi="Verdana" w:cs="Arial"/>
              </w:rPr>
            </w:pPr>
            <w:r w:rsidRPr="00865699">
              <w:rPr>
                <w:rFonts w:ascii="Verdana" w:hAnsi="Verdana" w:cs="Arial"/>
              </w:rPr>
              <w:t>Ley 80 de 1993, artículos 11, 12, 13, 23, 26, 32 y 40 —incisos segundo y tercero—.</w:t>
            </w:r>
          </w:p>
          <w:p w14:paraId="64B11DBC" w14:textId="77777777" w:rsidR="00BE2E4F" w:rsidRPr="00865699" w:rsidRDefault="00BE2E4F">
            <w:pPr>
              <w:widowControl w:val="0"/>
              <w:numPr>
                <w:ilvl w:val="0"/>
                <w:numId w:val="17"/>
              </w:numPr>
              <w:autoSpaceDE w:val="0"/>
              <w:autoSpaceDN w:val="0"/>
              <w:snapToGrid w:val="0"/>
              <w:spacing w:before="120" w:after="120"/>
              <w:jc w:val="both"/>
              <w:rPr>
                <w:rFonts w:ascii="Verdana" w:hAnsi="Verdana" w:cs="Arial"/>
              </w:rPr>
            </w:pPr>
            <w:r w:rsidRPr="00865699">
              <w:rPr>
                <w:rFonts w:ascii="Verdana" w:hAnsi="Verdana" w:cs="Arial"/>
              </w:rPr>
              <w:t>Código Civil, artículos 64, 1530 y siguientes, y 1603.</w:t>
            </w:r>
          </w:p>
          <w:p w14:paraId="79CEAE9A" w14:textId="77777777" w:rsidR="00BE2E4F" w:rsidRPr="00997B39" w:rsidRDefault="00BE2E4F">
            <w:pPr>
              <w:widowControl w:val="0"/>
              <w:numPr>
                <w:ilvl w:val="0"/>
                <w:numId w:val="17"/>
              </w:numPr>
              <w:autoSpaceDE w:val="0"/>
              <w:autoSpaceDN w:val="0"/>
              <w:snapToGrid w:val="0"/>
              <w:spacing w:before="120" w:after="120"/>
              <w:jc w:val="both"/>
              <w:rPr>
                <w:rFonts w:ascii="Verdana" w:hAnsi="Verdana" w:cs="Arial"/>
              </w:rPr>
            </w:pPr>
            <w:r w:rsidRPr="00865699">
              <w:rPr>
                <w:rFonts w:ascii="Verdana" w:hAnsi="Verdana" w:cs="Arial"/>
              </w:rPr>
              <w:lastRenderedPageBreak/>
              <w:t>Decreto 1082 de 2015, artículo 2.2.1.1.1.3.1.</w:t>
            </w:r>
          </w:p>
          <w:p w14:paraId="090D4D13" w14:textId="77777777" w:rsidR="00BE2E4F" w:rsidRPr="00865699" w:rsidRDefault="00BE2E4F">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865699">
              <w:rPr>
                <w:rFonts w:ascii="Verdana" w:eastAsia="Calibri" w:hAnsi="Verdana" w:cs="Arial"/>
                <w:color w:val="000000" w:themeColor="text1"/>
                <w:lang w:val="es-ES"/>
              </w:rPr>
              <w:t>Corte Constitucional. Sentencia C-949 de 2001. M.P. Clara Inés Vargas Hernández.</w:t>
            </w:r>
          </w:p>
          <w:p w14:paraId="5E528095" w14:textId="77777777" w:rsidR="00BE2E4F" w:rsidRPr="00865699" w:rsidRDefault="00BE2E4F">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865699">
              <w:rPr>
                <w:rFonts w:ascii="Verdana" w:eastAsia="Calibri" w:hAnsi="Verdana" w:cs="Arial"/>
                <w:color w:val="000000" w:themeColor="text1"/>
                <w:lang w:val="es-ES"/>
              </w:rPr>
              <w:t>Consejo de Estado. Sala de Consulta y Servicio Civil. Concepto del expediente 2278 de 2016. C.P. Germán Bula Escobar (E.).</w:t>
            </w:r>
          </w:p>
          <w:p w14:paraId="1E1BB430" w14:textId="77777777" w:rsidR="00BE2E4F" w:rsidRPr="00865699" w:rsidRDefault="00BE2E4F">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865699">
              <w:rPr>
                <w:rFonts w:ascii="Verdana" w:eastAsia="Calibri" w:hAnsi="Verdana" w:cs="Arial"/>
                <w:color w:val="000000" w:themeColor="text1"/>
                <w:lang w:val="es-ES"/>
              </w:rPr>
              <w:t>Consejo de Estado. Sala de lo Contencioso Administrativo. Sección Tercera. Subsección A. Sentencia del 16 de julio de 2015. Expediente: 31.634. C.P. Carlos Alberto Zambrano Barrera.</w:t>
            </w:r>
          </w:p>
          <w:p w14:paraId="27DC6A09" w14:textId="77777777" w:rsidR="00BE2E4F" w:rsidRPr="00865699" w:rsidRDefault="00BE2E4F">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865699">
              <w:rPr>
                <w:rFonts w:ascii="Verdana" w:eastAsia="Calibri" w:hAnsi="Verdana" w:cs="Arial"/>
                <w:color w:val="000000" w:themeColor="text1"/>
                <w:lang w:val="es-ES"/>
              </w:rPr>
              <w:t>Consejo de Estado. Sala de lo Contencioso Administrativo. Sección Tercera. Subsección B. Sentencia del 1 de junio de 2017. Expediente: 36.11 (verificar: el número parece incompleto; probablemente 36.111). C.P. Ramiro Pazos Guerrero.</w:t>
            </w:r>
          </w:p>
          <w:p w14:paraId="4DDC9184" w14:textId="77777777" w:rsidR="00BE2E4F" w:rsidRPr="00865699" w:rsidRDefault="00BE2E4F">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865699">
              <w:rPr>
                <w:rFonts w:ascii="Verdana" w:eastAsia="Calibri" w:hAnsi="Verdana" w:cs="Arial"/>
                <w:color w:val="000000" w:themeColor="text1"/>
                <w:lang w:val="es-ES"/>
              </w:rPr>
              <w:t>Consejo de Estado. Sala de lo Contencioso Administrativo. Sección Tercera. Subsección A. Sentencia del 1 de octubre de 2018. Radicado: 13001-23-31-000-2012-00022-01 (57.897). C.P. Marta Nubia Velásquez Rico.</w:t>
            </w:r>
          </w:p>
          <w:p w14:paraId="21C76247" w14:textId="77777777" w:rsidR="00BE2E4F" w:rsidRPr="00DD0F57" w:rsidRDefault="00BE2E4F">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865699">
              <w:rPr>
                <w:rFonts w:ascii="Verdana" w:eastAsia="Calibri" w:hAnsi="Verdana" w:cs="Arial"/>
                <w:color w:val="000000" w:themeColor="text1"/>
                <w:lang w:val="es-ES"/>
              </w:rPr>
              <w:t>Consejo de Estado. Sala de lo Contencioso Administrativo. Sección Tercera. Auto del 10 de mayo de 2019. Expediente: 59.532. C.P. Guillermo Sánchez Luque.</w:t>
            </w:r>
          </w:p>
        </w:tc>
      </w:tr>
    </w:tbl>
    <w:p w14:paraId="4075D4D5" w14:textId="77777777" w:rsidR="00BE2E4F" w:rsidRPr="00DD0F57" w:rsidRDefault="00BE2E4F" w:rsidP="00BE2E4F">
      <w:pPr>
        <w:widowControl w:val="0"/>
        <w:autoSpaceDE w:val="0"/>
        <w:autoSpaceDN w:val="0"/>
        <w:spacing w:after="0" w:line="276" w:lineRule="auto"/>
        <w:jc w:val="both"/>
        <w:rPr>
          <w:rFonts w:ascii="Verdana" w:hAnsi="Verdana" w:cs="Arial"/>
          <w:color w:val="000000" w:themeColor="text1"/>
          <w:lang w:val="es-ES"/>
        </w:rPr>
      </w:pPr>
    </w:p>
    <w:p w14:paraId="0372D25D" w14:textId="77777777" w:rsidR="00BE2E4F" w:rsidRPr="00DD0F57" w:rsidRDefault="00BE2E4F" w:rsidP="00BE2E4F">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DD0F57">
        <w:rPr>
          <w:rFonts w:ascii="Verdana" w:eastAsia="Century Gothic" w:hAnsi="Verdana" w:cs="Century Gothic"/>
          <w:b/>
          <w:bCs/>
          <w:color w:val="000000" w:themeColor="text1"/>
        </w:rPr>
        <w:t>Doctrina de la Agencia Nacional de Contratación Pública:</w:t>
      </w:r>
    </w:p>
    <w:p w14:paraId="66FCEB3C" w14:textId="77777777" w:rsidR="00BE2E4F" w:rsidRPr="00DD0F57" w:rsidRDefault="00BE2E4F" w:rsidP="00BE2E4F">
      <w:pPr>
        <w:widowControl w:val="0"/>
        <w:autoSpaceDE w:val="0"/>
        <w:autoSpaceDN w:val="0"/>
        <w:spacing w:after="0" w:line="276" w:lineRule="auto"/>
        <w:jc w:val="both"/>
        <w:rPr>
          <w:rFonts w:ascii="Verdana" w:hAnsi="Verdana" w:cs="Arial"/>
          <w:color w:val="000000" w:themeColor="text1"/>
          <w:lang w:val="es-ES"/>
        </w:rPr>
      </w:pPr>
    </w:p>
    <w:p w14:paraId="0FD95882" w14:textId="77777777" w:rsidR="00BE2E4F" w:rsidRPr="00DD0F57" w:rsidRDefault="00BE2E4F" w:rsidP="00BE2E4F">
      <w:pPr>
        <w:jc w:val="both"/>
        <w:rPr>
          <w:rStyle w:val="normaltextrun"/>
          <w:rFonts w:ascii="Verdana" w:eastAsia="Calibri" w:hAnsi="Verdana" w:cs="Arial"/>
          <w:b/>
          <w:bCs/>
          <w:color w:val="000000" w:themeColor="text1"/>
          <w:lang w:val="es-ES" w:eastAsia="es-ES"/>
        </w:rPr>
      </w:pPr>
      <w:r w:rsidRPr="00DD0F57">
        <w:rPr>
          <w:rStyle w:val="normaltextrun"/>
          <w:rFonts w:ascii="Verdana" w:hAnsi="Verdana" w:cs="Arial"/>
          <w:color w:val="000000" w:themeColor="text1"/>
          <w:shd w:val="clear" w:color="auto" w:fill="FFFFFF"/>
          <w:lang w:val="es-ES"/>
        </w:rPr>
        <w:t>La Agencia Nacional de Contratación Pública – Colombia Compra Eficiente</w:t>
      </w:r>
      <w:r>
        <w:rPr>
          <w:rStyle w:val="normaltextrun"/>
          <w:rFonts w:ascii="Verdana" w:hAnsi="Verdana" w:cs="Arial"/>
          <w:color w:val="000000" w:themeColor="text1"/>
          <w:shd w:val="clear" w:color="auto" w:fill="FFFFFF"/>
          <w:lang w:val="es-ES"/>
        </w:rPr>
        <w:t xml:space="preserve"> se ha pronunciado sobre</w:t>
      </w:r>
      <w:r>
        <w:rPr>
          <w:rFonts w:ascii="Verdana" w:hAnsi="Verdana" w:cs="Arial"/>
        </w:rPr>
        <w:t xml:space="preserve"> </w:t>
      </w:r>
      <w:r w:rsidRPr="001B26A3">
        <w:rPr>
          <w:rFonts w:ascii="Verdana" w:eastAsia="Calibri" w:hAnsi="Verdana" w:cs="Arial"/>
          <w:lang w:val="es-ES" w:eastAsia="es-ES"/>
        </w:rPr>
        <w:t xml:space="preserve">la suspensión </w:t>
      </w:r>
      <w:r w:rsidRPr="001B26A3">
        <w:rPr>
          <w:rFonts w:ascii="Verdana" w:eastAsia="Calibri" w:hAnsi="Verdana" w:cs="Arial"/>
          <w:szCs w:val="24"/>
          <w:lang w:val="es-ES_tradnl" w:eastAsia="es-ES_tradnl"/>
        </w:rPr>
        <w:t>de los contratos estatales</w:t>
      </w:r>
      <w:r w:rsidRPr="001B26A3">
        <w:rPr>
          <w:rStyle w:val="normaltextrun"/>
          <w:rFonts w:ascii="Verdana" w:hAnsi="Verdana" w:cs="Arial"/>
          <w:shd w:val="clear" w:color="auto" w:fill="FFFFFF"/>
          <w:lang w:val="es-ES"/>
        </w:rPr>
        <w:t xml:space="preserve"> </w:t>
      </w:r>
      <w:r w:rsidRPr="001B26A3">
        <w:rPr>
          <w:rFonts w:ascii="Verdana" w:eastAsia="Calibri" w:hAnsi="Verdana" w:cs="Arial"/>
          <w:lang w:val="es-ES"/>
        </w:rPr>
        <w:t>en los conceptos</w:t>
      </w:r>
      <w:r>
        <w:rPr>
          <w:rFonts w:ascii="Verdana" w:eastAsia="Calibri" w:hAnsi="Verdana" w:cs="Arial"/>
          <w:lang w:val="es-ES"/>
        </w:rPr>
        <w:t xml:space="preserve"> </w:t>
      </w:r>
      <w:r w:rsidRPr="001B26A3">
        <w:rPr>
          <w:rFonts w:ascii="Verdana" w:eastAsia="Calibri" w:hAnsi="Verdana" w:cs="Arial"/>
          <w:szCs w:val="24"/>
          <w:lang w:val="es-ES_tradnl" w:eastAsia="es-ES_tradnl"/>
        </w:rPr>
        <w:t xml:space="preserve">Nos. </w:t>
      </w:r>
      <w:r w:rsidRPr="001B26A3">
        <w:rPr>
          <w:rFonts w:ascii="Verdana" w:eastAsia="Calibri" w:hAnsi="Verdana" w:cs="Arial"/>
          <w:lang w:val="es-ES" w:eastAsia="es-ES"/>
        </w:rPr>
        <w:t>C-379 del 30 de junio de 2020, C-870 del 15 de diciembre de 2022, C-766 del 20 de octubre de 2022, C-920 del 14 de febrero de 2023</w:t>
      </w:r>
      <w:r>
        <w:rPr>
          <w:rFonts w:ascii="Verdana" w:eastAsia="Calibri" w:hAnsi="Verdana" w:cs="Arial"/>
          <w:lang w:val="es-ES" w:eastAsia="es-ES"/>
        </w:rPr>
        <w:t xml:space="preserve">, </w:t>
      </w:r>
      <w:r w:rsidRPr="007E7704">
        <w:rPr>
          <w:rFonts w:ascii="Verdana" w:eastAsia="Calibri" w:hAnsi="Verdana" w:cs="Arial"/>
          <w:szCs w:val="24"/>
          <w:lang w:val="es-ES_tradnl" w:eastAsia="es-ES_tradnl"/>
        </w:rPr>
        <w:t>P20240131000930 del 12 de marzo de 2024</w:t>
      </w:r>
      <w:r w:rsidRPr="0020320B">
        <w:rPr>
          <w:rStyle w:val="normaltextrun"/>
          <w:rFonts w:ascii="Verdana" w:hAnsi="Verdana" w:cs="Arial"/>
          <w:shd w:val="clear" w:color="auto" w:fill="FFFFFF"/>
          <w:lang w:val="es-ES"/>
        </w:rPr>
        <w:t>,</w:t>
      </w:r>
      <w:r w:rsidRPr="00A70512">
        <w:rPr>
          <w:rFonts w:ascii="Verdana" w:eastAsia="Calibri" w:hAnsi="Verdana" w:cs="Arial"/>
          <w:b/>
          <w:bCs/>
          <w:lang w:eastAsia="es-ES"/>
        </w:rPr>
        <w:t xml:space="preserve"> </w:t>
      </w:r>
      <w:r w:rsidRPr="00B64A74">
        <w:rPr>
          <w:rFonts w:ascii="Verdana" w:eastAsia="Calibri" w:hAnsi="Verdana" w:cs="Arial"/>
          <w:lang w:eastAsia="es-ES"/>
        </w:rPr>
        <w:t>C-169 del 23 de febrero de 2026</w:t>
      </w:r>
      <w:r>
        <w:rPr>
          <w:rFonts w:ascii="Verdana" w:eastAsia="Calibri" w:hAnsi="Verdana" w:cs="Arial"/>
          <w:lang w:eastAsia="es-ES"/>
        </w:rPr>
        <w:t xml:space="preserve">, </w:t>
      </w:r>
      <w:r w:rsidRPr="00A70512">
        <w:rPr>
          <w:rFonts w:ascii="Verdana" w:eastAsia="Calibri" w:hAnsi="Verdana" w:cs="Arial"/>
          <w:lang w:eastAsia="es-ES"/>
        </w:rPr>
        <w:t>C-199 del 20 de marzo de 2026</w:t>
      </w:r>
      <w:r>
        <w:rPr>
          <w:rFonts w:ascii="Verdana" w:eastAsia="Calibri" w:hAnsi="Verdana" w:cs="Arial"/>
          <w:lang w:eastAsia="es-ES"/>
        </w:rPr>
        <w:t xml:space="preserve"> y </w:t>
      </w:r>
      <w:r w:rsidRPr="00237871">
        <w:rPr>
          <w:rFonts w:ascii="Verdana" w:eastAsia="Calibri" w:hAnsi="Verdana" w:cs="Arial"/>
          <w:lang w:eastAsia="es-ES"/>
        </w:rPr>
        <w:t>C-198 del 19 de marzo de 2026</w:t>
      </w:r>
      <w:r>
        <w:rPr>
          <w:rStyle w:val="normaltextrun"/>
          <w:rFonts w:ascii="Verdana" w:hAnsi="Verdana" w:cs="Arial"/>
          <w:shd w:val="clear" w:color="auto" w:fill="FFFFFF"/>
          <w:lang w:val="es-ES"/>
        </w:rPr>
        <w:t>, entre otros</w:t>
      </w:r>
      <w:r w:rsidRPr="00DD0F57">
        <w:rPr>
          <w:rStyle w:val="normaltextrun"/>
          <w:rFonts w:ascii="Verdana" w:hAnsi="Verdana" w:cs="Arial"/>
          <w:shd w:val="clear" w:color="auto" w:fill="FFFFFF"/>
          <w:lang w:val="es-ES"/>
        </w:rPr>
        <w:t>.</w:t>
      </w:r>
      <w:r>
        <w:rPr>
          <w:rStyle w:val="normaltextrun"/>
          <w:rFonts w:ascii="Verdana" w:hAnsi="Verdana" w:cs="Arial"/>
          <w:shd w:val="clear" w:color="auto" w:fill="FFFFFF"/>
          <w:lang w:val="es-ES"/>
        </w:rPr>
        <w:t xml:space="preserve"> Estos y</w:t>
      </w:r>
      <w:r w:rsidRPr="00DD0F57">
        <w:rPr>
          <w:rStyle w:val="normaltextrun"/>
          <w:rFonts w:ascii="Verdana" w:hAnsi="Verdana" w:cs="Arial"/>
          <w:shd w:val="clear" w:color="auto" w:fill="FFFFFF"/>
          <w:lang w:val="es-ES"/>
        </w:rPr>
        <w:t xml:space="preserve"> </w:t>
      </w:r>
      <w:r>
        <w:rPr>
          <w:rStyle w:val="normaltextrun"/>
          <w:rFonts w:ascii="Verdana" w:hAnsi="Verdana" w:cs="Arial"/>
          <w:shd w:val="clear" w:color="auto" w:fill="FFFFFF"/>
          <w:lang w:val="es-ES"/>
        </w:rPr>
        <w:t>o</w:t>
      </w:r>
      <w:r w:rsidRPr="00DD0F57">
        <w:rPr>
          <w:rStyle w:val="normaltextrun"/>
          <w:rFonts w:ascii="Verdana" w:hAnsi="Verdana" w:cs="Arial"/>
          <w:shd w:val="clear" w:color="auto" w:fill="FFFFFF"/>
          <w:lang w:val="es-ES"/>
        </w:rPr>
        <w:t>tros conceptos se encuentran disponibles para consulta en el Sistema de relatoría de la Agencia</w:t>
      </w:r>
      <w:r w:rsidRPr="00DD0F57">
        <w:rPr>
          <w:rFonts w:ascii="Verdana" w:hAnsi="Verdana"/>
          <w:lang w:val="es-ES"/>
        </w:rPr>
        <w:t>, al cual puede accederse a través del siguiente enlace:</w:t>
      </w:r>
      <w:r w:rsidRPr="00DD0F57">
        <w:rPr>
          <w:rStyle w:val="normaltextrun"/>
          <w:rFonts w:ascii="Verdana" w:hAnsi="Verdana" w:cs="Arial"/>
          <w:shd w:val="clear" w:color="auto" w:fill="FFFFFF"/>
          <w:lang w:val="es-ES"/>
        </w:rPr>
        <w:t xml:space="preserve"> </w:t>
      </w:r>
      <w:hyperlink r:id="rId12" w:history="1">
        <w:r w:rsidRPr="00DD0F57">
          <w:rPr>
            <w:rStyle w:val="Hipervnculo"/>
            <w:rFonts w:ascii="Verdana" w:hAnsi="Verdana" w:cs="Arial"/>
            <w:shd w:val="clear" w:color="auto" w:fill="FFFFFF"/>
            <w:lang w:val="es-ES"/>
          </w:rPr>
          <w:t>https://relatoria.colombiacompra.gov.co/busqueda/conceptos</w:t>
        </w:r>
      </w:hyperlink>
      <w:r w:rsidRPr="00DD0F57">
        <w:rPr>
          <w:rStyle w:val="normaltextrun"/>
          <w:rFonts w:ascii="Verdana" w:hAnsi="Verdana" w:cs="Arial"/>
          <w:shd w:val="clear" w:color="auto" w:fill="FFFFFF"/>
          <w:lang w:val="es-ES"/>
        </w:rPr>
        <w:t>.</w:t>
      </w:r>
      <w:r w:rsidRPr="00DD0F57">
        <w:rPr>
          <w:rStyle w:val="normaltextrun"/>
          <w:rFonts w:ascii="Verdana" w:hAnsi="Verdana" w:cs="Arial"/>
          <w:color w:val="FF0000"/>
          <w:shd w:val="clear" w:color="auto" w:fill="FFFFFF"/>
          <w:lang w:val="es-ES"/>
        </w:rPr>
        <w:t xml:space="preserve"> </w:t>
      </w:r>
    </w:p>
    <w:p w14:paraId="2025226F" w14:textId="77777777" w:rsidR="00BE2E4F" w:rsidRPr="00DD0F57" w:rsidRDefault="00BE2E4F" w:rsidP="00BE2E4F">
      <w:pPr>
        <w:widowControl w:val="0"/>
        <w:autoSpaceDE w:val="0"/>
        <w:autoSpaceDN w:val="0"/>
        <w:spacing w:after="0" w:line="276" w:lineRule="auto"/>
        <w:jc w:val="both"/>
        <w:rPr>
          <w:rStyle w:val="normaltextrun"/>
          <w:rFonts w:ascii="Verdana" w:hAnsi="Verdana" w:cs="Arial"/>
          <w:color w:val="FF0000"/>
          <w:shd w:val="clear" w:color="auto" w:fill="FFFFFF"/>
          <w:lang w:val="es-ES"/>
        </w:rPr>
      </w:pPr>
    </w:p>
    <w:p w14:paraId="4BA6C06F" w14:textId="77777777" w:rsidR="00BE2E4F" w:rsidRPr="00DD0F57" w:rsidRDefault="00BE2E4F" w:rsidP="00BE2E4F">
      <w:pPr>
        <w:spacing w:after="0" w:line="276" w:lineRule="auto"/>
        <w:jc w:val="both"/>
        <w:rPr>
          <w:rFonts w:ascii="Verdana" w:hAnsi="Verdana"/>
          <w:lang w:val="es-ES"/>
        </w:rPr>
      </w:pPr>
      <w:r w:rsidRPr="00DD0F57">
        <w:rPr>
          <w:rFonts w:ascii="Verdana" w:hAnsi="Verdana"/>
          <w:lang w:val="es-ES"/>
        </w:rPr>
        <w:t xml:space="preserve">Por último, lo invitamos a seguirnos en las redes sociales en las cuales se difunde información institucional: </w:t>
      </w:r>
    </w:p>
    <w:p w14:paraId="5731406F" w14:textId="77777777" w:rsidR="00BE2E4F" w:rsidRPr="00DD0F57" w:rsidRDefault="00BE2E4F" w:rsidP="00BE2E4F">
      <w:pPr>
        <w:spacing w:after="0" w:line="276" w:lineRule="auto"/>
        <w:jc w:val="both"/>
        <w:rPr>
          <w:rFonts w:ascii="Verdana" w:hAnsi="Verdana"/>
          <w:lang w:val="es-ES"/>
        </w:rPr>
      </w:pPr>
    </w:p>
    <w:p w14:paraId="1781C190" w14:textId="77777777" w:rsidR="00BE2E4F" w:rsidRPr="00DD0F57" w:rsidRDefault="00BE2E4F" w:rsidP="00BE2E4F">
      <w:pPr>
        <w:spacing w:after="0" w:line="276" w:lineRule="auto"/>
        <w:jc w:val="both"/>
        <w:rPr>
          <w:rFonts w:ascii="Verdana" w:hAnsi="Verdana"/>
          <w:lang w:val="es-ES"/>
        </w:rPr>
      </w:pPr>
      <w:r w:rsidRPr="00DD0F57">
        <w:rPr>
          <w:rFonts w:ascii="Verdana" w:hAnsi="Verdana"/>
          <w:lang w:val="es-ES"/>
        </w:rPr>
        <w:t xml:space="preserve">Twitter: </w:t>
      </w:r>
      <w:r w:rsidRPr="00DD0F57">
        <w:rPr>
          <w:rStyle w:val="Hipervnculo"/>
          <w:rFonts w:ascii="Verdana" w:hAnsi="Verdana" w:cs="Arial"/>
          <w:shd w:val="clear" w:color="auto" w:fill="FFFFFF"/>
          <w:lang w:val="es-ES"/>
        </w:rPr>
        <w:t>@colombiacompra</w:t>
      </w:r>
      <w:r w:rsidRPr="00DD0F57">
        <w:rPr>
          <w:rFonts w:ascii="Verdana" w:hAnsi="Verdana"/>
          <w:color w:val="4472C4" w:themeColor="accent1"/>
          <w:lang w:val="es-ES"/>
        </w:rPr>
        <w:t xml:space="preserve"> </w:t>
      </w:r>
    </w:p>
    <w:p w14:paraId="67EB5F9E" w14:textId="77777777" w:rsidR="00BE2E4F" w:rsidRPr="00DD0F57" w:rsidRDefault="00BE2E4F" w:rsidP="00BE2E4F">
      <w:pPr>
        <w:spacing w:after="0" w:line="276" w:lineRule="auto"/>
        <w:jc w:val="both"/>
        <w:rPr>
          <w:rFonts w:ascii="Verdana" w:hAnsi="Verdana"/>
          <w:lang w:val="es-ES"/>
        </w:rPr>
      </w:pPr>
      <w:r w:rsidRPr="00DD0F57">
        <w:rPr>
          <w:rFonts w:ascii="Verdana" w:hAnsi="Verdana"/>
          <w:lang w:val="es-ES"/>
        </w:rPr>
        <w:lastRenderedPageBreak/>
        <w:t xml:space="preserve">Facebook: </w:t>
      </w:r>
      <w:proofErr w:type="spellStart"/>
      <w:r w:rsidRPr="00DD0F57">
        <w:rPr>
          <w:rStyle w:val="Hipervnculo"/>
          <w:rFonts w:ascii="Verdana" w:hAnsi="Verdana" w:cs="Arial"/>
          <w:shd w:val="clear" w:color="auto" w:fill="FFFFFF"/>
          <w:lang w:val="es-ES"/>
        </w:rPr>
        <w:t>ColombiaCompraEficiente</w:t>
      </w:r>
      <w:proofErr w:type="spellEnd"/>
    </w:p>
    <w:p w14:paraId="4BC013FA" w14:textId="77777777" w:rsidR="00BE2E4F" w:rsidRPr="00DD0F57" w:rsidRDefault="00BE2E4F" w:rsidP="00BE2E4F">
      <w:pPr>
        <w:spacing w:after="0" w:line="276" w:lineRule="auto"/>
        <w:jc w:val="both"/>
        <w:rPr>
          <w:rFonts w:ascii="Verdana" w:hAnsi="Verdana"/>
          <w:lang w:val="es-ES"/>
        </w:rPr>
      </w:pPr>
      <w:r w:rsidRPr="00DD0F57">
        <w:rPr>
          <w:rFonts w:ascii="Verdana" w:hAnsi="Verdana"/>
          <w:lang w:val="es-ES"/>
        </w:rPr>
        <w:t xml:space="preserve">LinkedIn: </w:t>
      </w:r>
      <w:r w:rsidRPr="00DD0F57">
        <w:rPr>
          <w:rStyle w:val="Hipervnculo"/>
          <w:rFonts w:ascii="Verdana" w:hAnsi="Verdana" w:cs="Arial"/>
          <w:shd w:val="clear" w:color="auto" w:fill="FFFFFF"/>
          <w:lang w:val="es-ES"/>
        </w:rPr>
        <w:t xml:space="preserve">Agencia Nacional de Contratación Pública - Colombia Compra Eficiente </w:t>
      </w:r>
      <w:r w:rsidRPr="00DD0F57">
        <w:rPr>
          <w:rFonts w:ascii="Verdana" w:hAnsi="Verdana"/>
          <w:lang w:val="es-ES"/>
        </w:rPr>
        <w:t xml:space="preserve">Instagram: </w:t>
      </w:r>
      <w:r w:rsidRPr="00DD0F57">
        <w:rPr>
          <w:rStyle w:val="Hipervnculo"/>
          <w:rFonts w:ascii="Verdana" w:hAnsi="Verdana" w:cs="Arial"/>
          <w:shd w:val="clear" w:color="auto" w:fill="FFFFFF"/>
          <w:lang w:val="es-ES"/>
        </w:rPr>
        <w:t>@colombiacompraeficiente_cce</w:t>
      </w:r>
    </w:p>
    <w:p w14:paraId="22CB4706" w14:textId="77777777" w:rsidR="00BE2E4F" w:rsidRPr="00DD0F57" w:rsidRDefault="00BE2E4F" w:rsidP="00BE2E4F">
      <w:pPr>
        <w:widowControl w:val="0"/>
        <w:autoSpaceDE w:val="0"/>
        <w:autoSpaceDN w:val="0"/>
        <w:spacing w:after="0" w:line="276" w:lineRule="auto"/>
        <w:jc w:val="both"/>
        <w:rPr>
          <w:rFonts w:ascii="Verdana" w:hAnsi="Verdana" w:cs="Arial"/>
          <w:color w:val="000000" w:themeColor="text1"/>
          <w:lang w:val="es-ES"/>
        </w:rPr>
      </w:pPr>
    </w:p>
    <w:p w14:paraId="6B70658D" w14:textId="77777777" w:rsidR="00BE2E4F" w:rsidRPr="00DD0F57" w:rsidRDefault="00BE2E4F" w:rsidP="00BE2E4F">
      <w:pPr>
        <w:widowControl w:val="0"/>
        <w:autoSpaceDE w:val="0"/>
        <w:autoSpaceDN w:val="0"/>
        <w:spacing w:after="0" w:line="276" w:lineRule="auto"/>
        <w:jc w:val="both"/>
        <w:rPr>
          <w:rFonts w:ascii="Verdana" w:hAnsi="Verdana" w:cs="Arial"/>
          <w:color w:val="000000" w:themeColor="text1"/>
          <w:lang w:val="es-ES"/>
        </w:rPr>
      </w:pPr>
      <w:r w:rsidRPr="00DD0F57">
        <w:rPr>
          <w:rFonts w:ascii="Verdana" w:hAnsi="Verdana" w:cs="Arial"/>
          <w:color w:val="000000" w:themeColor="text1"/>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51F4D127" w14:textId="77777777" w:rsidR="00BE2E4F" w:rsidRPr="00DD0F57" w:rsidRDefault="00BE2E4F" w:rsidP="00BE2E4F">
      <w:pPr>
        <w:widowControl w:val="0"/>
        <w:autoSpaceDE w:val="0"/>
        <w:autoSpaceDN w:val="0"/>
        <w:spacing w:after="0" w:line="276" w:lineRule="auto"/>
        <w:jc w:val="both"/>
        <w:rPr>
          <w:rFonts w:ascii="Verdana" w:hAnsi="Verdana" w:cs="Arial"/>
          <w:color w:val="000000" w:themeColor="text1"/>
          <w:lang w:val="es-ES"/>
        </w:rPr>
      </w:pPr>
    </w:p>
    <w:p w14:paraId="3808939E" w14:textId="25B67D80" w:rsidR="00BE2E4F" w:rsidRPr="00DD0F57" w:rsidRDefault="00BE2E4F" w:rsidP="00BE2E4F">
      <w:pPr>
        <w:spacing w:after="0" w:line="276" w:lineRule="auto"/>
        <w:rPr>
          <w:rFonts w:ascii="Verdana" w:hAnsi="Verdana" w:cs="Arial"/>
          <w:color w:val="000000" w:themeColor="text1"/>
          <w:lang w:val="es-ES" w:eastAsia="es-CO"/>
        </w:rPr>
      </w:pPr>
      <w:r w:rsidRPr="00DD0F57">
        <w:rPr>
          <w:rFonts w:ascii="Verdana" w:eastAsia="Times New Roman" w:hAnsi="Verdana" w:cs="Arial"/>
          <w:color w:val="000000" w:themeColor="text1"/>
          <w:lang w:val="es-ES" w:eastAsia="es-CO"/>
        </w:rPr>
        <w:t>Atentamente,</w:t>
      </w:r>
      <w:r w:rsidRPr="00DD0F57">
        <w:rPr>
          <w:rFonts w:ascii="Verdana" w:hAnsi="Verdana" w:cs="Arial"/>
          <w:color w:val="000000" w:themeColor="text1"/>
          <w:lang w:val="es-ES" w:eastAsia="es-CO"/>
        </w:rPr>
        <w:t xml:space="preserve"> </w:t>
      </w:r>
    </w:p>
    <w:p w14:paraId="3C13F50E" w14:textId="7422C10B" w:rsidR="00BE2E4F" w:rsidRDefault="0005793D" w:rsidP="00BE2E4F">
      <w:pPr>
        <w:spacing w:line="276" w:lineRule="auto"/>
        <w:rPr>
          <w:lang w:val="es-ES"/>
        </w:rPr>
      </w:pPr>
      <w:r>
        <w:rPr>
          <w:noProof/>
          <w:lang w:val="es-ES"/>
        </w:rPr>
        <w:drawing>
          <wp:anchor distT="0" distB="0" distL="114300" distR="114300" simplePos="0" relativeHeight="251659264" behindDoc="0" locked="0" layoutInCell="1" allowOverlap="1" wp14:anchorId="7454BBA1" wp14:editId="65CF786A">
            <wp:simplePos x="0" y="0"/>
            <wp:positionH relativeFrom="margin">
              <wp:align>center</wp:align>
            </wp:positionH>
            <wp:positionV relativeFrom="paragraph">
              <wp:posOffset>61071</wp:posOffset>
            </wp:positionV>
            <wp:extent cx="3771900" cy="1400175"/>
            <wp:effectExtent l="0" t="0" r="0" b="9525"/>
            <wp:wrapSquare wrapText="bothSides"/>
            <wp:docPr id="20107083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708317" name="Imagen 2010708317"/>
                    <pic:cNvPicPr/>
                  </pic:nvPicPr>
                  <pic:blipFill>
                    <a:blip r:embed="rId13">
                      <a:extLst>
                        <a:ext uri="{28A0092B-C50C-407E-A947-70E740481C1C}">
                          <a14:useLocalDpi xmlns:a14="http://schemas.microsoft.com/office/drawing/2010/main" val="0"/>
                        </a:ext>
                      </a:extLst>
                    </a:blip>
                    <a:stretch>
                      <a:fillRect/>
                    </a:stretch>
                  </pic:blipFill>
                  <pic:spPr>
                    <a:xfrm>
                      <a:off x="0" y="0"/>
                      <a:ext cx="3771900" cy="1400175"/>
                    </a:xfrm>
                    <a:prstGeom prst="rect">
                      <a:avLst/>
                    </a:prstGeom>
                  </pic:spPr>
                </pic:pic>
              </a:graphicData>
            </a:graphic>
          </wp:anchor>
        </w:drawing>
      </w:r>
    </w:p>
    <w:p w14:paraId="091DE338" w14:textId="08A9ADA4" w:rsidR="00C84BB8" w:rsidRPr="00DD0F57" w:rsidRDefault="00C84BB8" w:rsidP="00BE2E4F">
      <w:pPr>
        <w:spacing w:line="276" w:lineRule="auto"/>
        <w:rPr>
          <w:lang w:val="es-ES"/>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BE2E4F" w:rsidRPr="00DD0F57" w14:paraId="2AC0E814" w14:textId="77777777">
        <w:trPr>
          <w:trHeight w:val="315"/>
        </w:trPr>
        <w:tc>
          <w:tcPr>
            <w:tcW w:w="893" w:type="dxa"/>
            <w:vAlign w:val="center"/>
            <w:hideMark/>
          </w:tcPr>
          <w:p w14:paraId="64AD0010" w14:textId="77777777" w:rsidR="00BE2E4F" w:rsidRPr="00DD0F57" w:rsidRDefault="00BE2E4F">
            <w:pPr>
              <w:contextualSpacing/>
              <w:rPr>
                <w:rFonts w:ascii="Verdana" w:hAnsi="Verdana" w:cs="Arial"/>
                <w:sz w:val="15"/>
                <w:szCs w:val="15"/>
                <w:lang w:val="es-ES" w:eastAsia="es-ES"/>
              </w:rPr>
            </w:pPr>
            <w:r w:rsidRPr="00DD0F57">
              <w:rPr>
                <w:rFonts w:ascii="Verdana" w:hAnsi="Verdana" w:cs="Arial"/>
                <w:sz w:val="15"/>
                <w:szCs w:val="15"/>
                <w:lang w:val="es-ES" w:eastAsia="es-ES"/>
              </w:rPr>
              <w:t>Elaboró:</w:t>
            </w:r>
          </w:p>
        </w:tc>
        <w:tc>
          <w:tcPr>
            <w:tcW w:w="5628" w:type="dxa"/>
            <w:tcBorders>
              <w:top w:val="nil"/>
              <w:left w:val="nil"/>
              <w:bottom w:val="dotted" w:sz="4" w:space="0" w:color="7F7F7F" w:themeColor="text1" w:themeTint="80"/>
              <w:right w:val="nil"/>
            </w:tcBorders>
            <w:vAlign w:val="center"/>
            <w:hideMark/>
          </w:tcPr>
          <w:p w14:paraId="5BE847D1" w14:textId="77777777" w:rsidR="00BE2E4F" w:rsidRPr="0005793D" w:rsidRDefault="00BE2E4F">
            <w:pPr>
              <w:contextualSpacing/>
              <w:rPr>
                <w:rFonts w:ascii="Verdana" w:eastAsia="Arial" w:hAnsi="Verdana" w:cs="Arial"/>
                <w:color w:val="000000" w:themeColor="text1"/>
                <w:sz w:val="16"/>
                <w:szCs w:val="16"/>
                <w:lang w:val="es-ES"/>
              </w:rPr>
            </w:pPr>
            <w:r w:rsidRPr="0005793D">
              <w:rPr>
                <w:rFonts w:ascii="Verdana" w:eastAsia="Arial" w:hAnsi="Verdana" w:cs="Arial"/>
                <w:color w:val="000000" w:themeColor="text1"/>
                <w:sz w:val="16"/>
                <w:szCs w:val="16"/>
                <w:lang w:val="es-ES"/>
              </w:rPr>
              <w:t>Anamaría Bonilla Prieto</w:t>
            </w:r>
          </w:p>
          <w:p w14:paraId="79180D3D" w14:textId="77777777" w:rsidR="00BE2E4F" w:rsidRPr="0005793D" w:rsidRDefault="00BE2E4F">
            <w:pPr>
              <w:contextualSpacing/>
              <w:rPr>
                <w:rFonts w:ascii="Verdana" w:eastAsia="Arial" w:hAnsi="Verdana" w:cs="Arial"/>
                <w:sz w:val="16"/>
                <w:szCs w:val="16"/>
                <w:lang w:val="es-ES"/>
              </w:rPr>
            </w:pPr>
            <w:r w:rsidRPr="0005793D">
              <w:rPr>
                <w:rStyle w:val="normaltextrun"/>
                <w:rFonts w:ascii="Verdana" w:eastAsia="Arial" w:hAnsi="Verdana" w:cs="Arial"/>
                <w:color w:val="000000" w:themeColor="text1"/>
                <w:sz w:val="16"/>
                <w:szCs w:val="16"/>
                <w:lang w:val="es-ES"/>
              </w:rPr>
              <w:t xml:space="preserve">Contratista de la Subdirección </w:t>
            </w:r>
            <w:r w:rsidRPr="0005793D">
              <w:rPr>
                <w:rStyle w:val="normaltextrun"/>
                <w:rFonts w:ascii="Verdana" w:eastAsia="Arial" w:hAnsi="Verdana" w:cs="Arial"/>
                <w:sz w:val="16"/>
                <w:szCs w:val="16"/>
                <w:lang w:val="es-ES"/>
              </w:rPr>
              <w:t>de Gestión Contractual</w:t>
            </w:r>
          </w:p>
        </w:tc>
      </w:tr>
      <w:tr w:rsidR="00BE2E4F" w:rsidRPr="00DD0F57" w14:paraId="25103E77" w14:textId="77777777">
        <w:trPr>
          <w:trHeight w:val="330"/>
        </w:trPr>
        <w:tc>
          <w:tcPr>
            <w:tcW w:w="893" w:type="dxa"/>
            <w:vAlign w:val="center"/>
            <w:hideMark/>
          </w:tcPr>
          <w:p w14:paraId="4594181D" w14:textId="77777777" w:rsidR="00BE2E4F" w:rsidRPr="00DD0F57" w:rsidRDefault="00BE2E4F">
            <w:pPr>
              <w:contextualSpacing/>
              <w:rPr>
                <w:rFonts w:ascii="Verdana" w:hAnsi="Verdana" w:cs="Arial"/>
                <w:sz w:val="15"/>
                <w:szCs w:val="15"/>
                <w:lang w:val="es-ES" w:eastAsia="es-ES"/>
              </w:rPr>
            </w:pPr>
            <w:r w:rsidRPr="00DD0F57">
              <w:rPr>
                <w:rFonts w:ascii="Verdana" w:hAnsi="Verdana" w:cs="Arial"/>
                <w:sz w:val="15"/>
                <w:szCs w:val="15"/>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5D6DEA00" w14:textId="77777777" w:rsidR="00BE2E4F" w:rsidRPr="0005793D" w:rsidRDefault="00BE2E4F">
            <w:pPr>
              <w:contextualSpacing/>
              <w:rPr>
                <w:rFonts w:ascii="Verdana" w:eastAsia="Arial" w:hAnsi="Verdana" w:cs="Arial"/>
                <w:color w:val="000000" w:themeColor="text1"/>
                <w:sz w:val="16"/>
                <w:szCs w:val="16"/>
                <w:lang w:val="es-ES"/>
              </w:rPr>
            </w:pPr>
            <w:r w:rsidRPr="0005793D">
              <w:rPr>
                <w:rFonts w:ascii="Verdana" w:eastAsia="Arial" w:hAnsi="Verdana" w:cs="Arial"/>
                <w:color w:val="000000" w:themeColor="text1"/>
                <w:sz w:val="16"/>
                <w:szCs w:val="16"/>
                <w:lang w:val="es-ES"/>
              </w:rPr>
              <w:t>Alejandro Sarmiento Cantillo</w:t>
            </w:r>
          </w:p>
          <w:p w14:paraId="5CB6D731" w14:textId="77777777" w:rsidR="00BE2E4F" w:rsidRPr="0005793D" w:rsidRDefault="00BE2E4F">
            <w:pPr>
              <w:pStyle w:val="paragraph"/>
              <w:spacing w:before="0" w:beforeAutospacing="0" w:after="0" w:afterAutospacing="0"/>
              <w:contextualSpacing/>
              <w:textAlignment w:val="baseline"/>
              <w:rPr>
                <w:rFonts w:ascii="Verdana" w:hAnsi="Verdana" w:cs="Segoe UI"/>
                <w:sz w:val="16"/>
                <w:szCs w:val="16"/>
                <w:lang w:val="es-ES"/>
              </w:rPr>
            </w:pPr>
            <w:r w:rsidRPr="0005793D">
              <w:rPr>
                <w:rFonts w:ascii="Verdana" w:eastAsia="Arial" w:hAnsi="Verdana" w:cs="Arial"/>
                <w:color w:val="000000" w:themeColor="text1"/>
                <w:sz w:val="16"/>
                <w:szCs w:val="16"/>
                <w:lang w:val="es-ES"/>
              </w:rPr>
              <w:t>Gestor T1 – 15 de la Subdirección de Gestión Contractual</w:t>
            </w:r>
            <w:r w:rsidRPr="0005793D">
              <w:rPr>
                <w:rFonts w:ascii="Verdana" w:hAnsi="Verdana" w:cs="Segoe UI"/>
                <w:sz w:val="16"/>
                <w:szCs w:val="16"/>
                <w:lang w:val="es-ES"/>
              </w:rPr>
              <w:t> </w:t>
            </w:r>
          </w:p>
          <w:p w14:paraId="6D6A60CB" w14:textId="77777777" w:rsidR="00BE2E4F" w:rsidRPr="0005793D" w:rsidRDefault="00BE2E4F">
            <w:pPr>
              <w:pStyle w:val="paragraph"/>
              <w:spacing w:before="0" w:beforeAutospacing="0" w:after="0" w:afterAutospacing="0"/>
              <w:contextualSpacing/>
              <w:textAlignment w:val="baseline"/>
              <w:rPr>
                <w:rFonts w:ascii="Verdana" w:hAnsi="Verdana" w:cs="Segoe UI"/>
                <w:sz w:val="16"/>
                <w:szCs w:val="16"/>
                <w:lang w:val="es-ES"/>
              </w:rPr>
            </w:pPr>
          </w:p>
        </w:tc>
      </w:tr>
      <w:tr w:rsidR="00BE2E4F" w:rsidRPr="00DD0F57" w14:paraId="0B4BB69D" w14:textId="77777777">
        <w:trPr>
          <w:trHeight w:val="300"/>
        </w:trPr>
        <w:tc>
          <w:tcPr>
            <w:tcW w:w="893" w:type="dxa"/>
            <w:vAlign w:val="center"/>
          </w:tcPr>
          <w:p w14:paraId="7B39124D" w14:textId="77777777" w:rsidR="00BE2E4F" w:rsidRPr="00DD0F57" w:rsidRDefault="00BE2E4F">
            <w:pPr>
              <w:contextualSpacing/>
              <w:rPr>
                <w:rFonts w:ascii="Verdana" w:hAnsi="Verdana" w:cs="Arial"/>
                <w:sz w:val="15"/>
                <w:szCs w:val="15"/>
                <w:lang w:val="es-ES" w:eastAsia="es-ES"/>
              </w:rPr>
            </w:pPr>
            <w:r w:rsidRPr="00DD0F57">
              <w:rPr>
                <w:rFonts w:ascii="Verdana" w:hAnsi="Verdana" w:cs="Arial"/>
                <w:sz w:val="15"/>
                <w:szCs w:val="15"/>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57800138" w14:textId="77777777" w:rsidR="00BE2E4F" w:rsidRPr="0005793D" w:rsidRDefault="00BE2E4F">
            <w:pPr>
              <w:contextualSpacing/>
              <w:rPr>
                <w:rFonts w:ascii="Verdana" w:eastAsia="Calibri" w:hAnsi="Verdana" w:cs="Arial"/>
                <w:sz w:val="16"/>
                <w:szCs w:val="16"/>
                <w:lang w:val="es-ES" w:eastAsia="es-ES"/>
              </w:rPr>
            </w:pPr>
            <w:r w:rsidRPr="0005793D">
              <w:rPr>
                <w:rFonts w:ascii="Verdana" w:eastAsia="Calibri" w:hAnsi="Verdana" w:cs="Arial"/>
                <w:sz w:val="16"/>
                <w:szCs w:val="16"/>
                <w:lang w:val="es-ES" w:eastAsia="es-ES"/>
              </w:rPr>
              <w:t>Carolina Quintero Gacharná</w:t>
            </w:r>
          </w:p>
          <w:p w14:paraId="64BB94E3" w14:textId="77777777" w:rsidR="00BE2E4F" w:rsidRPr="0005793D" w:rsidRDefault="00BE2E4F">
            <w:pPr>
              <w:contextualSpacing/>
              <w:rPr>
                <w:rFonts w:ascii="Verdana" w:eastAsia="Calibri" w:hAnsi="Verdana" w:cs="Arial"/>
                <w:sz w:val="16"/>
                <w:szCs w:val="16"/>
                <w:lang w:val="es-ES" w:eastAsia="es-ES"/>
              </w:rPr>
            </w:pPr>
            <w:r w:rsidRPr="0005793D">
              <w:rPr>
                <w:rFonts w:ascii="Verdana" w:eastAsia="Calibri" w:hAnsi="Verdana" w:cs="Arial"/>
                <w:sz w:val="16"/>
                <w:szCs w:val="16"/>
                <w:lang w:val="es-ES" w:eastAsia="es-ES"/>
              </w:rPr>
              <w:t>Subdirectora de Gestión Contractual ANCP – CCE</w:t>
            </w:r>
          </w:p>
        </w:tc>
      </w:tr>
      <w:bookmarkEnd w:id="0"/>
    </w:tbl>
    <w:p w14:paraId="72A958F5" w14:textId="6C7E6C08" w:rsidR="00BE2E4F" w:rsidRPr="00DD0F57" w:rsidRDefault="00BE2E4F" w:rsidP="00BE2E4F">
      <w:pPr>
        <w:rPr>
          <w:lang w:val="es-ES"/>
        </w:rPr>
      </w:pPr>
    </w:p>
    <w:p w14:paraId="65C6AA7C" w14:textId="77777777" w:rsidR="00BE2E4F" w:rsidRPr="00DD0F57" w:rsidRDefault="00BE2E4F" w:rsidP="00BE2E4F">
      <w:pPr>
        <w:rPr>
          <w:lang w:val="es-ES"/>
        </w:rPr>
      </w:pPr>
    </w:p>
    <w:p w14:paraId="11873E14" w14:textId="77777777" w:rsidR="00BE2E4F" w:rsidRPr="00DD0F57" w:rsidRDefault="00BE2E4F" w:rsidP="00BE2E4F">
      <w:pPr>
        <w:rPr>
          <w:lang w:val="es-ES"/>
        </w:rPr>
      </w:pPr>
    </w:p>
    <w:p w14:paraId="0C652F61" w14:textId="77777777" w:rsidR="00BE2E4F" w:rsidRPr="00DD0F57" w:rsidRDefault="00BE2E4F" w:rsidP="00BE2E4F">
      <w:pPr>
        <w:rPr>
          <w:lang w:val="es-ES"/>
        </w:rPr>
      </w:pPr>
    </w:p>
    <w:p w14:paraId="20D752DD" w14:textId="77777777" w:rsidR="00BE2E4F" w:rsidRPr="00DD0F57" w:rsidRDefault="00BE2E4F" w:rsidP="00BE2E4F">
      <w:pPr>
        <w:rPr>
          <w:lang w:val="es-ES"/>
        </w:rPr>
      </w:pPr>
    </w:p>
    <w:p w14:paraId="0F293BF4" w14:textId="5C95D1D8" w:rsidR="00127233" w:rsidRPr="00BE2E4F" w:rsidRDefault="00127233" w:rsidP="00BE2E4F"/>
    <w:sectPr w:rsidR="00127233" w:rsidRPr="00BE2E4F" w:rsidSect="007C0C0F">
      <w:headerReference w:type="default" r:id="rId14"/>
      <w:footerReference w:type="default" r:id="rId15"/>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02AE3" w14:textId="77777777" w:rsidR="006D4D43" w:rsidRDefault="006D4D43" w:rsidP="004A1847">
      <w:pPr>
        <w:spacing w:after="0" w:line="240" w:lineRule="auto"/>
      </w:pPr>
      <w:r>
        <w:separator/>
      </w:r>
    </w:p>
  </w:endnote>
  <w:endnote w:type="continuationSeparator" w:id="0">
    <w:p w14:paraId="1795D565" w14:textId="77777777" w:rsidR="006D4D43" w:rsidRDefault="006D4D43" w:rsidP="004A1847">
      <w:pPr>
        <w:spacing w:after="0" w:line="240" w:lineRule="auto"/>
      </w:pPr>
      <w:r>
        <w:continuationSeparator/>
      </w:r>
    </w:p>
  </w:endnote>
  <w:endnote w:type="continuationNotice" w:id="1">
    <w:p w14:paraId="236EE314" w14:textId="77777777" w:rsidR="006D4D43" w:rsidRDefault="006D4D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DEE25" w14:textId="77777777" w:rsidR="006D4D43" w:rsidRDefault="006D4D43" w:rsidP="004A1847">
      <w:pPr>
        <w:spacing w:after="0" w:line="240" w:lineRule="auto"/>
      </w:pPr>
      <w:r>
        <w:separator/>
      </w:r>
    </w:p>
  </w:footnote>
  <w:footnote w:type="continuationSeparator" w:id="0">
    <w:p w14:paraId="09ACC43C" w14:textId="77777777" w:rsidR="006D4D43" w:rsidRDefault="006D4D43" w:rsidP="004A1847">
      <w:pPr>
        <w:spacing w:after="0" w:line="240" w:lineRule="auto"/>
      </w:pPr>
      <w:r>
        <w:continuationSeparator/>
      </w:r>
    </w:p>
  </w:footnote>
  <w:footnote w:type="continuationNotice" w:id="1">
    <w:p w14:paraId="0E86BE5A" w14:textId="77777777" w:rsidR="006D4D43" w:rsidRDefault="006D4D43">
      <w:pPr>
        <w:spacing w:after="0" w:line="240" w:lineRule="auto"/>
      </w:pPr>
    </w:p>
  </w:footnote>
  <w:footnote w:id="2">
    <w:p w14:paraId="57AA8963" w14:textId="77777777" w:rsidR="00BE2E4F" w:rsidRPr="00A075D4" w:rsidRDefault="00BE2E4F" w:rsidP="00BE2E4F">
      <w:pPr>
        <w:pStyle w:val="Textonotapie"/>
        <w:jc w:val="both"/>
        <w:rPr>
          <w:rFonts w:ascii="Verdana" w:hAnsi="Verdana"/>
          <w:sz w:val="16"/>
          <w:szCs w:val="16"/>
          <w:lang w:val="es-ES"/>
        </w:rPr>
      </w:pPr>
      <w:r w:rsidRPr="00A075D4">
        <w:rPr>
          <w:rFonts w:ascii="Verdana" w:hAnsi="Verdana"/>
          <w:sz w:val="16"/>
          <w:szCs w:val="16"/>
        </w:rPr>
        <w:t xml:space="preserve">               </w:t>
      </w:r>
      <w:r w:rsidRPr="00A075D4">
        <w:rPr>
          <w:rStyle w:val="Refdenotaalpie"/>
          <w:rFonts w:ascii="Verdana" w:hAnsi="Verdana"/>
          <w:sz w:val="16"/>
          <w:szCs w:val="16"/>
        </w:rPr>
        <w:footnoteRef/>
      </w:r>
      <w:r w:rsidRPr="00A075D4">
        <w:rPr>
          <w:rFonts w:ascii="Verdana" w:hAnsi="Verdana"/>
          <w:sz w:val="16"/>
          <w:szCs w:val="16"/>
        </w:rPr>
        <w:t xml:space="preserve"> Constitución Política de Colombia, art. 209; Ley 80 de 1993, arts. 23 y 26.</w:t>
      </w:r>
    </w:p>
  </w:footnote>
  <w:footnote w:id="3">
    <w:p w14:paraId="44656ECF" w14:textId="77777777" w:rsidR="00BE2E4F" w:rsidRPr="00D07047" w:rsidRDefault="00BE2E4F" w:rsidP="00BE2E4F">
      <w:pPr>
        <w:pStyle w:val="Textonotapie"/>
        <w:rPr>
          <w:rFonts w:ascii="Verdana" w:hAnsi="Verdana"/>
          <w:sz w:val="14"/>
          <w:szCs w:val="14"/>
          <w:lang w:val="es-ES"/>
        </w:rPr>
      </w:pPr>
      <w:r w:rsidRPr="00D07047">
        <w:rPr>
          <w:rStyle w:val="Refdenotaalpie"/>
          <w:rFonts w:ascii="Verdana" w:hAnsi="Verdana"/>
          <w:sz w:val="14"/>
          <w:szCs w:val="14"/>
        </w:rPr>
        <w:footnoteRef/>
      </w:r>
      <w:r w:rsidRPr="00D07047">
        <w:rPr>
          <w:rFonts w:ascii="Verdana" w:hAnsi="Verdana"/>
          <w:sz w:val="14"/>
          <w:szCs w:val="14"/>
        </w:rPr>
        <w:t xml:space="preserve"> </w:t>
      </w:r>
      <w:r w:rsidRPr="00D07047">
        <w:rPr>
          <w:rFonts w:ascii="Verdana" w:hAnsi="Verdana"/>
          <w:sz w:val="14"/>
          <w:szCs w:val="14"/>
          <w:lang w:val="es-CO"/>
        </w:rPr>
        <w:t>Código Civil, art. 1603; principio de buena fe en la ejecución contractual estatal.</w:t>
      </w:r>
    </w:p>
  </w:footnote>
  <w:footnote w:id="4">
    <w:p w14:paraId="0258DEDC" w14:textId="77777777" w:rsidR="00BE2E4F" w:rsidRDefault="00BE2E4F" w:rsidP="00BE2E4F">
      <w:pPr>
        <w:pStyle w:val="Textonotapie"/>
        <w:ind w:firstLine="709"/>
        <w:jc w:val="both"/>
        <w:rPr>
          <w:rFonts w:ascii="Verdana" w:hAnsi="Verdana" w:cs="Arial"/>
          <w:sz w:val="14"/>
          <w:szCs w:val="14"/>
          <w:lang w:val="es-CO"/>
        </w:rPr>
      </w:pPr>
      <w:r w:rsidRPr="00F0622D">
        <w:rPr>
          <w:rStyle w:val="Refdenotaalpie"/>
          <w:rFonts w:ascii="Verdana" w:hAnsi="Verdana"/>
          <w:sz w:val="14"/>
          <w:szCs w:val="14"/>
          <w:lang w:val="es-CO"/>
        </w:rPr>
        <w:footnoteRef/>
      </w:r>
      <w:r w:rsidRPr="00F0622D">
        <w:rPr>
          <w:rFonts w:ascii="Verdana" w:hAnsi="Verdana" w:cs="Arial"/>
          <w:sz w:val="14"/>
          <w:szCs w:val="14"/>
          <w:lang w:val="es-CO"/>
        </w:rPr>
        <w:t xml:space="preserve"> Consejo de Estado. Sala de lo Contencioso Administrativo. Sección Tercera. Subsección A. Sentencia del 1 de octubre de 2018. Radicado: 13001-23-31-000-2012-00022-01 (57.897). C.P: Marta Nubia Velásquez Rico.</w:t>
      </w:r>
    </w:p>
    <w:p w14:paraId="266A415D" w14:textId="77777777" w:rsidR="00BE2E4F" w:rsidRPr="00F0622D" w:rsidRDefault="00BE2E4F" w:rsidP="00BE2E4F">
      <w:pPr>
        <w:pStyle w:val="Textonotapie"/>
        <w:ind w:firstLine="709"/>
        <w:jc w:val="both"/>
        <w:rPr>
          <w:rFonts w:ascii="Verdana" w:hAnsi="Verdana" w:cs="Arial"/>
          <w:sz w:val="14"/>
          <w:szCs w:val="14"/>
          <w:lang w:val="es-CO"/>
        </w:rPr>
      </w:pPr>
    </w:p>
  </w:footnote>
  <w:footnote w:id="5">
    <w:p w14:paraId="555A6367" w14:textId="77777777" w:rsidR="00BE2E4F" w:rsidRPr="00F0622D" w:rsidRDefault="00BE2E4F" w:rsidP="00BE2E4F">
      <w:pPr>
        <w:pStyle w:val="Textonotapie"/>
        <w:ind w:firstLine="709"/>
        <w:jc w:val="both"/>
        <w:rPr>
          <w:rFonts w:ascii="Verdana" w:hAnsi="Verdana" w:cs="Arial"/>
          <w:sz w:val="14"/>
          <w:szCs w:val="14"/>
          <w:lang w:val="es-CO"/>
        </w:rPr>
      </w:pPr>
      <w:r w:rsidRPr="00F0622D">
        <w:rPr>
          <w:rStyle w:val="Refdenotaalpie"/>
          <w:rFonts w:ascii="Verdana" w:hAnsi="Verdana"/>
          <w:sz w:val="14"/>
          <w:szCs w:val="14"/>
          <w:lang w:val="es-CO"/>
        </w:rPr>
        <w:footnoteRef/>
      </w:r>
      <w:r w:rsidRPr="00F0622D">
        <w:rPr>
          <w:rFonts w:ascii="Verdana" w:hAnsi="Verdana" w:cs="Arial"/>
          <w:sz w:val="14"/>
          <w:szCs w:val="14"/>
          <w:lang w:val="es-CO"/>
        </w:rPr>
        <w:t xml:space="preserve"> Cfr. Consejo de Estado. Sala de lo Contencioso Administrativo. Sección Tercera. Subsección B. Sentencia del 1 de junio de 2017. Expediente: 36.11. C.P: Ramiro Pazos Guerrero, en la cual se analizó la suspensión de un contrato estatal debido a un paro armado promovido por grupos al margen de la ley en el sitio de ejecución de la obra.</w:t>
      </w:r>
    </w:p>
    <w:p w14:paraId="07A4565D" w14:textId="77777777" w:rsidR="00BE2E4F" w:rsidRPr="00F0622D" w:rsidRDefault="00BE2E4F" w:rsidP="00BE2E4F">
      <w:pPr>
        <w:pStyle w:val="Textonotapie"/>
        <w:ind w:firstLine="709"/>
        <w:jc w:val="both"/>
        <w:rPr>
          <w:rFonts w:ascii="Verdana" w:hAnsi="Verdana" w:cs="Arial"/>
          <w:sz w:val="14"/>
          <w:szCs w:val="14"/>
          <w:lang w:val="es-CO"/>
        </w:rPr>
      </w:pPr>
    </w:p>
  </w:footnote>
  <w:footnote w:id="6">
    <w:p w14:paraId="4691EF7F" w14:textId="77777777" w:rsidR="00BE2E4F" w:rsidRPr="00F0622D" w:rsidRDefault="00BE2E4F" w:rsidP="00BE2E4F">
      <w:pPr>
        <w:pStyle w:val="Textonotapie"/>
        <w:ind w:firstLine="709"/>
        <w:jc w:val="both"/>
        <w:rPr>
          <w:rFonts w:ascii="Verdana" w:hAnsi="Verdana" w:cs="Arial"/>
          <w:sz w:val="14"/>
          <w:szCs w:val="14"/>
          <w:lang w:val="es-CO"/>
        </w:rPr>
      </w:pPr>
      <w:r w:rsidRPr="00F0622D">
        <w:rPr>
          <w:rStyle w:val="Refdenotaalpie"/>
          <w:rFonts w:ascii="Verdana" w:hAnsi="Verdana"/>
          <w:sz w:val="14"/>
          <w:szCs w:val="14"/>
          <w:lang w:val="es-CO"/>
        </w:rPr>
        <w:footnoteRef/>
      </w:r>
      <w:r w:rsidRPr="00F0622D">
        <w:rPr>
          <w:rFonts w:ascii="Verdana" w:hAnsi="Verdana" w:cs="Arial"/>
          <w:sz w:val="14"/>
          <w:szCs w:val="14"/>
          <w:lang w:val="es-CO"/>
        </w:rPr>
        <w:t xml:space="preserve"> El artículo 64 del Código Civil define la fuerza mayor o caso fortuito como “el imprevisto o que no es posible resistir, como un naufragio, un terremoto, el apresamiento de enemigos, los actos de autoridad ejercidos por un funcionario público, etc.”.</w:t>
      </w:r>
    </w:p>
    <w:p w14:paraId="679DC070" w14:textId="77777777" w:rsidR="00BE2E4F" w:rsidRPr="00F0622D" w:rsidRDefault="00BE2E4F" w:rsidP="00BE2E4F">
      <w:pPr>
        <w:pStyle w:val="Textonotapie"/>
        <w:ind w:firstLine="709"/>
        <w:jc w:val="both"/>
        <w:rPr>
          <w:rFonts w:ascii="Verdana" w:hAnsi="Verdana" w:cs="Arial"/>
          <w:sz w:val="14"/>
          <w:szCs w:val="14"/>
          <w:lang w:val="es-CO"/>
        </w:rPr>
      </w:pPr>
    </w:p>
  </w:footnote>
  <w:footnote w:id="7">
    <w:p w14:paraId="29EC78B5" w14:textId="77777777" w:rsidR="00BE2E4F" w:rsidRPr="00B64A74" w:rsidRDefault="00BE2E4F" w:rsidP="00BE2E4F">
      <w:pPr>
        <w:pStyle w:val="Textonotapie"/>
        <w:spacing w:after="120"/>
        <w:ind w:firstLine="708"/>
        <w:jc w:val="both"/>
        <w:rPr>
          <w:rFonts w:ascii="Verdana" w:hAnsi="Verdana"/>
          <w:sz w:val="14"/>
          <w:szCs w:val="14"/>
          <w:lang w:val="es-CO"/>
        </w:rPr>
      </w:pPr>
      <w:r w:rsidRPr="00B64A74">
        <w:rPr>
          <w:rStyle w:val="Refdenotaalpie"/>
          <w:rFonts w:ascii="Verdana" w:hAnsi="Verdana"/>
          <w:sz w:val="14"/>
          <w:szCs w:val="14"/>
          <w:lang w:val="es-CO"/>
        </w:rPr>
        <w:footnoteRef/>
      </w:r>
      <w:r w:rsidRPr="00B64A74">
        <w:rPr>
          <w:rFonts w:ascii="Verdana" w:hAnsi="Verdana"/>
          <w:sz w:val="14"/>
          <w:szCs w:val="14"/>
          <w:lang w:val="es-CO"/>
        </w:rPr>
        <w:t xml:space="preserve"> “Particularmente, en cuanto atañe al postulado de la autonomía de la libertad entiende la Corte que su objetivo consiste en otorgarle un amplio margen de libertad a la administración para que, dentro de los límites que impone el interés público, regule sus relaciones contractuales con base en la consensualidad del acuerdo de voluntades, como regla general. La consecuencia obvia de este principio es la abolición de los tipos contractuales, para acoger en su lugar una sola categoría contractual: la del contrato estatal, a la cual son aplicables las disposiciones comerciales y civiles pertinentes, salvo en las materias reguladas particularmente en dicha ley”. Corte Constitucional, sentencia C-949 de 2001.</w:t>
      </w:r>
      <w:r>
        <w:rPr>
          <w:rFonts w:ascii="Verdana" w:hAnsi="Verdana"/>
          <w:sz w:val="14"/>
          <w:szCs w:val="14"/>
          <w:lang w:val="es-CO"/>
        </w:rPr>
        <w:t xml:space="preserve"> </w:t>
      </w:r>
      <w:r w:rsidRPr="005A2F9A">
        <w:rPr>
          <w:rFonts w:ascii="Verdana" w:hAnsi="Verdana"/>
          <w:sz w:val="14"/>
          <w:szCs w:val="14"/>
          <w:lang w:val="es-CO"/>
        </w:rPr>
        <w:t>M.P: Clara Inés Vargas Hernández.</w:t>
      </w:r>
    </w:p>
  </w:footnote>
  <w:footnote w:id="8">
    <w:p w14:paraId="6FDF806F" w14:textId="77777777" w:rsidR="00BE2E4F" w:rsidRPr="00B64A74" w:rsidRDefault="00BE2E4F" w:rsidP="00BE2E4F">
      <w:pPr>
        <w:pStyle w:val="Textonotapie"/>
        <w:spacing w:after="120"/>
        <w:ind w:firstLine="708"/>
        <w:jc w:val="both"/>
        <w:rPr>
          <w:rFonts w:ascii="Verdana" w:hAnsi="Verdana"/>
          <w:sz w:val="10"/>
          <w:szCs w:val="10"/>
          <w:lang w:val="es-CO"/>
        </w:rPr>
      </w:pPr>
      <w:r w:rsidRPr="00B64A74">
        <w:rPr>
          <w:rStyle w:val="Refdenotaalpie"/>
          <w:rFonts w:ascii="Verdana" w:hAnsi="Verdana"/>
          <w:sz w:val="14"/>
          <w:szCs w:val="14"/>
          <w:lang w:val="es-CO"/>
        </w:rPr>
        <w:footnoteRef/>
      </w:r>
      <w:r w:rsidRPr="00B64A74">
        <w:rPr>
          <w:rFonts w:ascii="Verdana" w:hAnsi="Verdana"/>
          <w:sz w:val="14"/>
          <w:szCs w:val="14"/>
          <w:lang w:val="es-CO"/>
        </w:rPr>
        <w:t xml:space="preserve"> Consejo de Estado, Sala de Consulta y Servicio Civil, Expediente: 2278 de 2016, C.P. Germán Bula Escobar (E.)</w:t>
      </w:r>
    </w:p>
  </w:footnote>
  <w:footnote w:id="9">
    <w:p w14:paraId="6C4F0381" w14:textId="77777777" w:rsidR="00BE2E4F" w:rsidRPr="00B64A74" w:rsidRDefault="00BE2E4F" w:rsidP="00BE2E4F">
      <w:pPr>
        <w:pStyle w:val="Textonotapie"/>
        <w:ind w:firstLine="709"/>
        <w:jc w:val="both"/>
        <w:rPr>
          <w:rFonts w:ascii="Verdana" w:hAnsi="Verdana" w:cs="Arial"/>
          <w:sz w:val="14"/>
          <w:szCs w:val="14"/>
          <w:lang w:val="es-CO"/>
        </w:rPr>
      </w:pPr>
      <w:r w:rsidRPr="00B64A74">
        <w:rPr>
          <w:rStyle w:val="Refdenotaalpie"/>
          <w:rFonts w:ascii="Verdana" w:hAnsi="Verdana"/>
          <w:sz w:val="14"/>
          <w:szCs w:val="14"/>
          <w:lang w:val="es-CO"/>
        </w:rPr>
        <w:footnoteRef/>
      </w:r>
      <w:r w:rsidRPr="00B64A74">
        <w:rPr>
          <w:rFonts w:ascii="Verdana" w:hAnsi="Verdana" w:cs="Arial"/>
          <w:sz w:val="14"/>
          <w:szCs w:val="14"/>
          <w:lang w:val="es-CO"/>
        </w:rPr>
        <w:t xml:space="preserve"> “(…) en pronunciamiento del año 2012, la Sala de esta Subsección señaló que la suspensión del contrato, más estrictamente de la ejecución del contrato, como medida excepcional procede, por regla general, de consuno entre las partes, cuando situaciones de fuerza mayor, caso fortuito o de interés público impidan, temporalmente, cumplir el objeto de las obligaciones a cargo de las partes contratantes, de modo que el principal efecto que se desprende de la suspensión es que las obligaciones convenidas no pueden hacerse exigibles mientras perdure la medida y, por lo mismo, el término o plazo pactado del contrato (de ejecución o extintivo) no corre mientras permanezca suspendido. Por esa misma razón, la suspensión debe estar sujeta a un modo específico, plazo o condición, pactado con criterios de razonabilidad y proporcionalidad, acorde con la situación que se presente en cada caso, pero no puede permanecer indefinida en el tiempo” (</w:t>
      </w:r>
      <w:r w:rsidRPr="00715FB0">
        <w:rPr>
          <w:rFonts w:ascii="Verdana" w:hAnsi="Verdana" w:cs="Arial"/>
          <w:sz w:val="14"/>
          <w:szCs w:val="14"/>
          <w:lang w:val="es-CO"/>
        </w:rPr>
        <w:t>Consejo de Estado. Sala de lo Contencioso Administrativo. Sección Tercera. Subsección A. Sentencia del 16 de julio de 2015. Expediente: 31.634. C.P:</w:t>
      </w:r>
      <w:r>
        <w:rPr>
          <w:rFonts w:ascii="Verdana" w:hAnsi="Verdana" w:cs="Arial"/>
          <w:sz w:val="14"/>
          <w:szCs w:val="14"/>
          <w:lang w:val="es-CO"/>
        </w:rPr>
        <w:t xml:space="preserve"> </w:t>
      </w:r>
      <w:r w:rsidRPr="00715FB0">
        <w:rPr>
          <w:rFonts w:ascii="Verdana" w:hAnsi="Verdana" w:cs="Arial"/>
          <w:sz w:val="14"/>
          <w:szCs w:val="14"/>
          <w:lang w:val="es-CO"/>
        </w:rPr>
        <w:t>Carlos Alberto Zambrano Barrera.</w:t>
      </w:r>
      <w:r w:rsidRPr="00B64A74">
        <w:rPr>
          <w:rFonts w:ascii="Verdana" w:hAnsi="Verdana" w:cs="Arial"/>
          <w:sz w:val="14"/>
          <w:szCs w:val="14"/>
          <w:lang w:val="es-CO"/>
        </w:rPr>
        <w:t>).</w:t>
      </w:r>
    </w:p>
  </w:footnote>
  <w:footnote w:id="10">
    <w:p w14:paraId="2E465C55" w14:textId="77777777" w:rsidR="00BE2E4F" w:rsidRPr="00886A34" w:rsidRDefault="00BE2E4F" w:rsidP="00BE2E4F">
      <w:pPr>
        <w:pStyle w:val="Textonotapie"/>
        <w:spacing w:after="120"/>
        <w:ind w:firstLine="708"/>
        <w:jc w:val="both"/>
        <w:rPr>
          <w:rFonts w:ascii="Verdana" w:hAnsi="Verdana"/>
          <w:sz w:val="10"/>
          <w:szCs w:val="10"/>
        </w:rPr>
      </w:pPr>
    </w:p>
    <w:p w14:paraId="5C50F514" w14:textId="77777777" w:rsidR="00BE2E4F" w:rsidRPr="00886A34" w:rsidRDefault="00BE2E4F" w:rsidP="00BE2E4F">
      <w:pPr>
        <w:pStyle w:val="Textonotapie"/>
        <w:spacing w:after="120"/>
        <w:ind w:firstLine="708"/>
        <w:jc w:val="both"/>
        <w:rPr>
          <w:rFonts w:ascii="Verdana" w:hAnsi="Verdana"/>
          <w:sz w:val="10"/>
          <w:szCs w:val="10"/>
          <w:lang w:val="es-ES"/>
        </w:rPr>
      </w:pPr>
      <w:r w:rsidRPr="00886A34">
        <w:rPr>
          <w:rStyle w:val="Refdenotaalpie"/>
          <w:rFonts w:ascii="Verdana" w:hAnsi="Verdana"/>
          <w:sz w:val="10"/>
          <w:szCs w:val="10"/>
        </w:rPr>
        <w:footnoteRef/>
      </w:r>
      <w:r w:rsidRPr="00886A34">
        <w:rPr>
          <w:rFonts w:ascii="Verdana" w:hAnsi="Verdana"/>
          <w:sz w:val="10"/>
          <w:szCs w:val="10"/>
        </w:rPr>
        <w:t xml:space="preserve"> Consejo de Estado, Sala de Consulta y Servicio Civil, exp. 2278 de 2016, C.P. Germán Bula Escobar (E.)</w:t>
      </w:r>
    </w:p>
  </w:footnote>
  <w:footnote w:id="11">
    <w:p w14:paraId="28D6F60E" w14:textId="77777777" w:rsidR="00BE2E4F" w:rsidRPr="00715FB0" w:rsidRDefault="00BE2E4F" w:rsidP="00BE2E4F">
      <w:pPr>
        <w:pStyle w:val="Textonotapie"/>
        <w:spacing w:after="120"/>
        <w:ind w:firstLine="709"/>
        <w:jc w:val="both"/>
        <w:rPr>
          <w:rFonts w:ascii="Verdana" w:hAnsi="Verdana" w:cs="Arial"/>
          <w:sz w:val="14"/>
          <w:szCs w:val="14"/>
          <w:lang w:val="es-CO"/>
        </w:rPr>
      </w:pPr>
      <w:r w:rsidRPr="00B64A74">
        <w:rPr>
          <w:rStyle w:val="Refdenotaalpie"/>
          <w:rFonts w:ascii="Verdana" w:hAnsi="Verdana"/>
          <w:sz w:val="14"/>
          <w:szCs w:val="14"/>
          <w:lang w:val="es-CO"/>
        </w:rPr>
        <w:footnoteRef/>
      </w:r>
      <w:r w:rsidRPr="00B64A74">
        <w:rPr>
          <w:rFonts w:ascii="Verdana" w:hAnsi="Verdana" w:cs="Arial"/>
          <w:sz w:val="14"/>
          <w:szCs w:val="14"/>
          <w:lang w:val="es-CO"/>
        </w:rPr>
        <w:t xml:space="preserve"> “[…] De modo que, los contratos estatales pueden suspenderse de común acuerdo por la ocurrencia de circunstancias que lo justifiquen. Así, aunque subsiste el vínculo contractual no corre el plazo inicialmente pactado y no se ejecutan las obligaciones. El contrato se reinicia cuando se cumpla la condición o el término dispuesto en el acuerdo de suspensión o anticipadamente por convenio de las partes” </w:t>
      </w:r>
      <w:r w:rsidRPr="00715FB0">
        <w:rPr>
          <w:rFonts w:ascii="Verdana" w:hAnsi="Verdana" w:cs="Arial"/>
          <w:sz w:val="14"/>
          <w:szCs w:val="14"/>
          <w:lang w:val="es-CO"/>
        </w:rPr>
        <w:t>Consejo de Estado. Sección Tercera. Auto del 10 de mayo de 2019. Expediente: 59.532. C.P: Guillermo Sánchez Luque.</w:t>
      </w:r>
    </w:p>
  </w:footnote>
  <w:footnote w:id="12">
    <w:p w14:paraId="59AA3F3E" w14:textId="77777777" w:rsidR="00BE2E4F" w:rsidRPr="00A075D4" w:rsidRDefault="00BE2E4F" w:rsidP="00BE2E4F">
      <w:pPr>
        <w:pStyle w:val="Textonotapie"/>
        <w:jc w:val="both"/>
        <w:rPr>
          <w:rFonts w:ascii="Verdana" w:hAnsi="Verdana"/>
          <w:sz w:val="16"/>
          <w:szCs w:val="16"/>
          <w:lang w:val="es-ES"/>
        </w:rPr>
      </w:pPr>
      <w:r w:rsidRPr="00A075D4">
        <w:rPr>
          <w:rFonts w:ascii="Verdana" w:hAnsi="Verdana"/>
          <w:sz w:val="16"/>
          <w:szCs w:val="16"/>
        </w:rPr>
        <w:t xml:space="preserve">               </w:t>
      </w:r>
      <w:r w:rsidRPr="00A075D4">
        <w:rPr>
          <w:rStyle w:val="Refdenotaalpie"/>
          <w:rFonts w:ascii="Verdana" w:hAnsi="Verdana"/>
          <w:sz w:val="16"/>
          <w:szCs w:val="16"/>
        </w:rPr>
        <w:footnoteRef/>
      </w:r>
      <w:r w:rsidRPr="00A075D4">
        <w:rPr>
          <w:rFonts w:ascii="Verdana" w:hAnsi="Verdana"/>
          <w:sz w:val="16"/>
          <w:szCs w:val="16"/>
        </w:rPr>
        <w:t xml:space="preserve"> Constitución Política de Colombia, art. 209; Ley 80 de 1993, arts. 23 y 26.</w:t>
      </w:r>
    </w:p>
  </w:footnote>
  <w:footnote w:id="13">
    <w:p w14:paraId="7349044A" w14:textId="77777777" w:rsidR="00BE2E4F" w:rsidRPr="00D07047" w:rsidRDefault="00BE2E4F" w:rsidP="00BE2E4F">
      <w:pPr>
        <w:pStyle w:val="Textonotapie"/>
        <w:rPr>
          <w:rFonts w:ascii="Verdana" w:hAnsi="Verdana"/>
          <w:sz w:val="14"/>
          <w:szCs w:val="14"/>
          <w:lang w:val="es-ES"/>
        </w:rPr>
      </w:pPr>
      <w:r w:rsidRPr="00D07047">
        <w:rPr>
          <w:rStyle w:val="Refdenotaalpie"/>
          <w:rFonts w:ascii="Verdana" w:hAnsi="Verdana"/>
          <w:sz w:val="14"/>
          <w:szCs w:val="14"/>
        </w:rPr>
        <w:footnoteRef/>
      </w:r>
      <w:r w:rsidRPr="00D07047">
        <w:rPr>
          <w:rFonts w:ascii="Verdana" w:hAnsi="Verdana"/>
          <w:sz w:val="14"/>
          <w:szCs w:val="14"/>
        </w:rPr>
        <w:t xml:space="preserve"> </w:t>
      </w:r>
      <w:r w:rsidRPr="00D07047">
        <w:rPr>
          <w:rFonts w:ascii="Verdana" w:hAnsi="Verdana"/>
          <w:sz w:val="14"/>
          <w:szCs w:val="14"/>
          <w:lang w:val="es-CO"/>
        </w:rPr>
        <w:t>Código Civil, art. 1603; principio de buena fe en la ejecución contractual estatal.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5pt;height:15.05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1916AB3"/>
    <w:multiLevelType w:val="hybridMultilevel"/>
    <w:tmpl w:val="D61EC1E6"/>
    <w:lvl w:ilvl="0" w:tplc="73DEAA1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7"/>
  </w:num>
  <w:num w:numId="2" w16cid:durableId="19822139">
    <w:abstractNumId w:val="2"/>
  </w:num>
  <w:num w:numId="3" w16cid:durableId="876742304">
    <w:abstractNumId w:val="5"/>
  </w:num>
  <w:num w:numId="4" w16cid:durableId="245186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6"/>
  </w:num>
  <w:num w:numId="8" w16cid:durableId="152644682">
    <w:abstractNumId w:val="12"/>
  </w:num>
  <w:num w:numId="9" w16cid:durableId="1317221377">
    <w:abstractNumId w:val="8"/>
  </w:num>
  <w:num w:numId="10" w16cid:durableId="1471245386">
    <w:abstractNumId w:val="11"/>
  </w:num>
  <w:num w:numId="11" w16cid:durableId="289172385">
    <w:abstractNumId w:val="9"/>
  </w:num>
  <w:num w:numId="12" w16cid:durableId="1470781324">
    <w:abstractNumId w:val="1"/>
  </w:num>
  <w:num w:numId="13" w16cid:durableId="1512908409">
    <w:abstractNumId w:val="4"/>
  </w:num>
  <w:num w:numId="14" w16cid:durableId="895897244">
    <w:abstractNumId w:val="14"/>
  </w:num>
  <w:num w:numId="15" w16cid:durableId="390349800">
    <w:abstractNumId w:val="10"/>
  </w:num>
  <w:num w:numId="16" w16cid:durableId="341274352">
    <w:abstractNumId w:val="0"/>
  </w:num>
  <w:num w:numId="17" w16cid:durableId="5714248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5793D"/>
    <w:rsid w:val="00061B2A"/>
    <w:rsid w:val="00082362"/>
    <w:rsid w:val="000A683E"/>
    <w:rsid w:val="000B19B9"/>
    <w:rsid w:val="000D0334"/>
    <w:rsid w:val="000D5DA7"/>
    <w:rsid w:val="000F6486"/>
    <w:rsid w:val="00116940"/>
    <w:rsid w:val="00125105"/>
    <w:rsid w:val="00127233"/>
    <w:rsid w:val="00137988"/>
    <w:rsid w:val="0015673F"/>
    <w:rsid w:val="0015699B"/>
    <w:rsid w:val="001A33BF"/>
    <w:rsid w:val="001E4177"/>
    <w:rsid w:val="001F0B24"/>
    <w:rsid w:val="001F7DC6"/>
    <w:rsid w:val="00214350"/>
    <w:rsid w:val="0022400B"/>
    <w:rsid w:val="002421BB"/>
    <w:rsid w:val="002561DF"/>
    <w:rsid w:val="0025796E"/>
    <w:rsid w:val="002707A2"/>
    <w:rsid w:val="002951A0"/>
    <w:rsid w:val="002962BC"/>
    <w:rsid w:val="002A093D"/>
    <w:rsid w:val="002A0DD0"/>
    <w:rsid w:val="002A49AC"/>
    <w:rsid w:val="002A64FD"/>
    <w:rsid w:val="002C7A84"/>
    <w:rsid w:val="002D7A0C"/>
    <w:rsid w:val="002E2BF8"/>
    <w:rsid w:val="002E4FD9"/>
    <w:rsid w:val="0030657A"/>
    <w:rsid w:val="003164CF"/>
    <w:rsid w:val="00322A85"/>
    <w:rsid w:val="00324168"/>
    <w:rsid w:val="00330834"/>
    <w:rsid w:val="003448F4"/>
    <w:rsid w:val="00374F5E"/>
    <w:rsid w:val="00377E3E"/>
    <w:rsid w:val="003A779E"/>
    <w:rsid w:val="003B4DB2"/>
    <w:rsid w:val="003D0F4D"/>
    <w:rsid w:val="003D5B0D"/>
    <w:rsid w:val="003E0499"/>
    <w:rsid w:val="003E4F80"/>
    <w:rsid w:val="003E6439"/>
    <w:rsid w:val="003F3941"/>
    <w:rsid w:val="00406575"/>
    <w:rsid w:val="00414C74"/>
    <w:rsid w:val="0042722E"/>
    <w:rsid w:val="0044528D"/>
    <w:rsid w:val="00466E39"/>
    <w:rsid w:val="004826F0"/>
    <w:rsid w:val="004A1847"/>
    <w:rsid w:val="004A305D"/>
    <w:rsid w:val="004F21C4"/>
    <w:rsid w:val="004F685F"/>
    <w:rsid w:val="005566E8"/>
    <w:rsid w:val="00574867"/>
    <w:rsid w:val="00591460"/>
    <w:rsid w:val="005A65E0"/>
    <w:rsid w:val="005B128D"/>
    <w:rsid w:val="005C3777"/>
    <w:rsid w:val="005C5CDC"/>
    <w:rsid w:val="005D476C"/>
    <w:rsid w:val="005D5177"/>
    <w:rsid w:val="005E0E7C"/>
    <w:rsid w:val="006200BF"/>
    <w:rsid w:val="006219F8"/>
    <w:rsid w:val="00622B9B"/>
    <w:rsid w:val="006302F7"/>
    <w:rsid w:val="00644037"/>
    <w:rsid w:val="00646B9F"/>
    <w:rsid w:val="00665D70"/>
    <w:rsid w:val="006900D9"/>
    <w:rsid w:val="006C0853"/>
    <w:rsid w:val="006D4D43"/>
    <w:rsid w:val="00706C16"/>
    <w:rsid w:val="007340C3"/>
    <w:rsid w:val="0075235A"/>
    <w:rsid w:val="00756841"/>
    <w:rsid w:val="007649AB"/>
    <w:rsid w:val="00771D0C"/>
    <w:rsid w:val="007833AC"/>
    <w:rsid w:val="00796F4C"/>
    <w:rsid w:val="007B268C"/>
    <w:rsid w:val="007B7171"/>
    <w:rsid w:val="007C0C0F"/>
    <w:rsid w:val="007C3DC2"/>
    <w:rsid w:val="007E5497"/>
    <w:rsid w:val="00806F5F"/>
    <w:rsid w:val="00820278"/>
    <w:rsid w:val="008258C9"/>
    <w:rsid w:val="00844AE9"/>
    <w:rsid w:val="00867F95"/>
    <w:rsid w:val="008843B6"/>
    <w:rsid w:val="00891928"/>
    <w:rsid w:val="008A446D"/>
    <w:rsid w:val="008B25F1"/>
    <w:rsid w:val="008D180B"/>
    <w:rsid w:val="008F0EA7"/>
    <w:rsid w:val="00923EEF"/>
    <w:rsid w:val="009419F9"/>
    <w:rsid w:val="00950230"/>
    <w:rsid w:val="00951B50"/>
    <w:rsid w:val="0095685E"/>
    <w:rsid w:val="00961B09"/>
    <w:rsid w:val="00965334"/>
    <w:rsid w:val="0097093E"/>
    <w:rsid w:val="00987D9B"/>
    <w:rsid w:val="009A0DFA"/>
    <w:rsid w:val="009A1C6F"/>
    <w:rsid w:val="009A3A4C"/>
    <w:rsid w:val="009B2D26"/>
    <w:rsid w:val="009C71FA"/>
    <w:rsid w:val="009C72E7"/>
    <w:rsid w:val="009C7F7E"/>
    <w:rsid w:val="009D3058"/>
    <w:rsid w:val="009F16A7"/>
    <w:rsid w:val="009F3A13"/>
    <w:rsid w:val="00A122D3"/>
    <w:rsid w:val="00A14468"/>
    <w:rsid w:val="00A17F13"/>
    <w:rsid w:val="00A20739"/>
    <w:rsid w:val="00A23AF9"/>
    <w:rsid w:val="00A33C78"/>
    <w:rsid w:val="00A6347E"/>
    <w:rsid w:val="00AB0ADB"/>
    <w:rsid w:val="00B00C0E"/>
    <w:rsid w:val="00B01B1A"/>
    <w:rsid w:val="00B0381D"/>
    <w:rsid w:val="00B44A47"/>
    <w:rsid w:val="00B7141A"/>
    <w:rsid w:val="00B72CD3"/>
    <w:rsid w:val="00B72FFF"/>
    <w:rsid w:val="00B9466A"/>
    <w:rsid w:val="00BC3D36"/>
    <w:rsid w:val="00BD54A6"/>
    <w:rsid w:val="00BD7F72"/>
    <w:rsid w:val="00BE2E4F"/>
    <w:rsid w:val="00BF7425"/>
    <w:rsid w:val="00C04FB3"/>
    <w:rsid w:val="00C11D8B"/>
    <w:rsid w:val="00C15139"/>
    <w:rsid w:val="00C24586"/>
    <w:rsid w:val="00C330EB"/>
    <w:rsid w:val="00C50D69"/>
    <w:rsid w:val="00C5365C"/>
    <w:rsid w:val="00C754BE"/>
    <w:rsid w:val="00C76B1C"/>
    <w:rsid w:val="00C84BB8"/>
    <w:rsid w:val="00C925AC"/>
    <w:rsid w:val="00CB6357"/>
    <w:rsid w:val="00CC1B26"/>
    <w:rsid w:val="00D361FD"/>
    <w:rsid w:val="00D37F18"/>
    <w:rsid w:val="00D423A2"/>
    <w:rsid w:val="00D44E26"/>
    <w:rsid w:val="00D520D8"/>
    <w:rsid w:val="00D63AC2"/>
    <w:rsid w:val="00D7383B"/>
    <w:rsid w:val="00D7788A"/>
    <w:rsid w:val="00DA231B"/>
    <w:rsid w:val="00DC39FC"/>
    <w:rsid w:val="00DF5254"/>
    <w:rsid w:val="00E02524"/>
    <w:rsid w:val="00E16408"/>
    <w:rsid w:val="00E20894"/>
    <w:rsid w:val="00E245AB"/>
    <w:rsid w:val="00E2764C"/>
    <w:rsid w:val="00E27F2E"/>
    <w:rsid w:val="00E50AFE"/>
    <w:rsid w:val="00E75C92"/>
    <w:rsid w:val="00E771DC"/>
    <w:rsid w:val="00E8772A"/>
    <w:rsid w:val="00E90D98"/>
    <w:rsid w:val="00E90F6B"/>
    <w:rsid w:val="00E92C27"/>
    <w:rsid w:val="00EA0E3D"/>
    <w:rsid w:val="00EC38A7"/>
    <w:rsid w:val="00EE1AA8"/>
    <w:rsid w:val="00F23FEA"/>
    <w:rsid w:val="00F31EDC"/>
    <w:rsid w:val="00F462B3"/>
    <w:rsid w:val="00F5664F"/>
    <w:rsid w:val="00F666C4"/>
    <w:rsid w:val="00F76AFC"/>
    <w:rsid w:val="00FA47C0"/>
    <w:rsid w:val="00FB5DD1"/>
    <w:rsid w:val="00FB5FAF"/>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55224EB5-4C89-45D3-AB3C-854190CC0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BE2E4F"/>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BE2E4F"/>
    <w:rPr>
      <w:rFonts w:ascii="Geomanist Light" w:hAnsi="Geomanist Ligh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oriegasas@gmail.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E0F32964D9B84EA054B84E5D4157A0" ma:contentTypeVersion="20" ma:contentTypeDescription="Create a new document." ma:contentTypeScope="" ma:versionID="2d11913c19decc3d479cc6872ae6112c">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be2487d1a4901a13ef6d3082403ba44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69A2A038-A2A1-40DE-98CF-FC49D0DC12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4722</Words>
  <Characters>25972</Characters>
  <Application>Microsoft Office Word</Application>
  <DocSecurity>0</DocSecurity>
  <Lines>216</Lines>
  <Paragraphs>61</Paragraphs>
  <ScaleCrop>false</ScaleCrop>
  <Company/>
  <LinksUpToDate>false</LinksUpToDate>
  <CharactersWithSpaces>30633</CharactersWithSpaces>
  <SharedDoc>false</SharedDoc>
  <HLinks>
    <vt:vector size="12" baseType="variant">
      <vt:variant>
        <vt:i4>7471218</vt:i4>
      </vt:variant>
      <vt:variant>
        <vt:i4>3</vt:i4>
      </vt:variant>
      <vt:variant>
        <vt:i4>0</vt:i4>
      </vt:variant>
      <vt:variant>
        <vt:i4>5</vt:i4>
      </vt:variant>
      <vt:variant>
        <vt:lpwstr>https://relatoria.colombiacompra.gov.co/busqueda/conceptos</vt:lpwstr>
      </vt:variant>
      <vt:variant>
        <vt:lpwstr/>
      </vt:variant>
      <vt:variant>
        <vt:i4>1966114</vt:i4>
      </vt:variant>
      <vt:variant>
        <vt:i4>0</vt:i4>
      </vt:variant>
      <vt:variant>
        <vt:i4>0</vt:i4>
      </vt:variant>
      <vt:variant>
        <vt:i4>5</vt:i4>
      </vt:variant>
      <vt:variant>
        <vt:lpwstr>mailto:noriegasas@gmail.com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6</cp:revision>
  <cp:lastPrinted>2023-01-11T06:18:00Z</cp:lastPrinted>
  <dcterms:created xsi:type="dcterms:W3CDTF">2026-07-14T17:20:00Z</dcterms:created>
  <dcterms:modified xsi:type="dcterms:W3CDTF">2026-07-14T23:08:00Z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