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8C695" w14:textId="77777777" w:rsidR="00653B51" w:rsidRPr="00653B51" w:rsidRDefault="00653B51" w:rsidP="00653B51">
      <w:pPr>
        <w:spacing w:after="0"/>
        <w:jc w:val="both"/>
        <w:rPr>
          <w:rFonts w:ascii="Verdana" w:eastAsia="Calibri" w:hAnsi="Verdana" w:cs="Calibri"/>
          <w:b/>
          <w:bCs/>
          <w:lang w:val="es-ES"/>
        </w:rPr>
      </w:pPr>
      <w:bookmarkStart w:id="0" w:name="_Hlk143780582"/>
      <w:r w:rsidRPr="00653B51">
        <w:rPr>
          <w:rFonts w:ascii="Verdana" w:eastAsia="Calibri" w:hAnsi="Verdana" w:cs="Calibri"/>
          <w:b/>
          <w:bCs/>
          <w:lang w:val="es-ES"/>
        </w:rPr>
        <w:t xml:space="preserve">CAPACIDAD RESIDUAL – Definición </w:t>
      </w:r>
    </w:p>
    <w:p w14:paraId="716730A5" w14:textId="77777777" w:rsidR="00653B51" w:rsidRPr="00653B51" w:rsidRDefault="00653B51" w:rsidP="00653B51">
      <w:pPr>
        <w:spacing w:after="0"/>
        <w:jc w:val="both"/>
        <w:rPr>
          <w:rFonts w:ascii="Verdana" w:eastAsia="Calibri" w:hAnsi="Verdana" w:cs="Calibri"/>
          <w:b/>
          <w:bCs/>
          <w:lang w:val="es-ES"/>
        </w:rPr>
      </w:pPr>
    </w:p>
    <w:p w14:paraId="1EC22713" w14:textId="77777777" w:rsidR="00653B51" w:rsidRPr="00653B51" w:rsidRDefault="00653B51" w:rsidP="00653B51">
      <w:pPr>
        <w:spacing w:after="0" w:line="240" w:lineRule="auto"/>
        <w:jc w:val="both"/>
        <w:rPr>
          <w:rFonts w:ascii="Verdana" w:eastAsia="Calibri" w:hAnsi="Verdana" w:cs="Calibri"/>
          <w:sz w:val="20"/>
          <w:szCs w:val="20"/>
        </w:rPr>
      </w:pPr>
      <w:r w:rsidRPr="00653B51">
        <w:rPr>
          <w:rFonts w:ascii="Verdana" w:eastAsia="Calibri" w:hAnsi="Verdana" w:cs="Calibri"/>
          <w:sz w:val="20"/>
          <w:szCs w:val="20"/>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1961C46B" w14:textId="77777777" w:rsidR="00653B51" w:rsidRPr="00653B51" w:rsidRDefault="00653B51" w:rsidP="00653B51">
      <w:pPr>
        <w:spacing w:after="0" w:line="240" w:lineRule="auto"/>
        <w:jc w:val="both"/>
        <w:rPr>
          <w:rFonts w:ascii="Verdana" w:eastAsia="Calibri" w:hAnsi="Verdana" w:cs="Calibri"/>
          <w:sz w:val="20"/>
          <w:szCs w:val="20"/>
        </w:rPr>
      </w:pPr>
    </w:p>
    <w:p w14:paraId="56B8FF68" w14:textId="77777777" w:rsidR="00653B51" w:rsidRPr="00653B51" w:rsidRDefault="00653B51" w:rsidP="00653B51">
      <w:pPr>
        <w:spacing w:after="0" w:line="240" w:lineRule="auto"/>
        <w:jc w:val="both"/>
        <w:rPr>
          <w:rFonts w:ascii="Verdana" w:eastAsia="Calibri" w:hAnsi="Verdana" w:cs="Calibri"/>
          <w:sz w:val="20"/>
          <w:szCs w:val="20"/>
        </w:rPr>
      </w:pPr>
      <w:r w:rsidRPr="00653B51">
        <w:rPr>
          <w:rFonts w:ascii="Verdana" w:eastAsia="Calibri" w:hAnsi="Verdana" w:cs="Calibri"/>
          <w:sz w:val="20"/>
          <w:szCs w:val="20"/>
        </w:rPr>
        <w:t>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w:t>
      </w:r>
    </w:p>
    <w:p w14:paraId="122B1E03" w14:textId="77777777" w:rsidR="00653B51" w:rsidRPr="00653B51" w:rsidRDefault="00653B51" w:rsidP="00653B51">
      <w:pPr>
        <w:spacing w:after="0"/>
        <w:jc w:val="both"/>
        <w:rPr>
          <w:rFonts w:ascii="Verdana" w:eastAsia="Calibri" w:hAnsi="Verdana" w:cs="Calibri"/>
          <w:sz w:val="20"/>
          <w:szCs w:val="20"/>
        </w:rPr>
      </w:pPr>
    </w:p>
    <w:p w14:paraId="1B2B1BC7" w14:textId="77777777" w:rsidR="00653B51" w:rsidRPr="00653B51" w:rsidRDefault="00653B51" w:rsidP="00653B51">
      <w:pPr>
        <w:spacing w:after="0"/>
        <w:jc w:val="both"/>
        <w:rPr>
          <w:rFonts w:ascii="Verdana" w:eastAsia="Calibri" w:hAnsi="Verdana" w:cs="Calibri"/>
          <w:b/>
          <w:bCs/>
          <w:lang w:val="es-ES"/>
        </w:rPr>
      </w:pPr>
      <w:r w:rsidRPr="00653B51">
        <w:rPr>
          <w:rFonts w:ascii="Verdana" w:eastAsia="Calibri" w:hAnsi="Verdana" w:cs="Calibri"/>
          <w:b/>
          <w:bCs/>
          <w:lang w:val="es-ES"/>
        </w:rPr>
        <w:t xml:space="preserve">CAPACIDAD RESIDUAL – Acreditación - Pliego de condiciones </w:t>
      </w:r>
    </w:p>
    <w:p w14:paraId="5FD56E18" w14:textId="77777777" w:rsidR="00653B51" w:rsidRPr="00653B51" w:rsidRDefault="00653B51" w:rsidP="00653B51">
      <w:pPr>
        <w:spacing w:after="0"/>
        <w:jc w:val="both"/>
        <w:rPr>
          <w:rFonts w:ascii="Verdana" w:eastAsia="Calibri" w:hAnsi="Verdana" w:cs="Calibri"/>
          <w:b/>
          <w:bCs/>
          <w:lang w:val="es-ES"/>
        </w:rPr>
      </w:pPr>
    </w:p>
    <w:p w14:paraId="19ED6F87" w14:textId="77777777" w:rsidR="00653B51" w:rsidRPr="00653B51" w:rsidRDefault="00653B51" w:rsidP="00653B51">
      <w:pPr>
        <w:spacing w:after="0" w:line="240" w:lineRule="auto"/>
        <w:jc w:val="both"/>
        <w:rPr>
          <w:rFonts w:ascii="Verdana" w:eastAsia="Calibri" w:hAnsi="Verdana" w:cs="Calibri"/>
          <w:sz w:val="20"/>
          <w:szCs w:val="20"/>
        </w:rPr>
      </w:pPr>
      <w:r w:rsidRPr="00653B51">
        <w:rPr>
          <w:rFonts w:ascii="Verdana" w:eastAsia="Calibri" w:hAnsi="Verdana" w:cs="Calibri"/>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44DC5B98" w14:textId="77777777" w:rsidR="00653B51" w:rsidRPr="00653B51" w:rsidRDefault="00653B51" w:rsidP="00653B51">
      <w:pPr>
        <w:spacing w:after="0" w:line="240" w:lineRule="auto"/>
        <w:jc w:val="both"/>
        <w:rPr>
          <w:rFonts w:ascii="Verdana" w:eastAsia="Calibri" w:hAnsi="Verdana" w:cs="Calibri"/>
          <w:sz w:val="20"/>
          <w:szCs w:val="20"/>
        </w:rPr>
      </w:pPr>
    </w:p>
    <w:p w14:paraId="54B2AFFB" w14:textId="77777777" w:rsidR="00653B51" w:rsidRPr="00653B51" w:rsidRDefault="00653B51" w:rsidP="00653B51">
      <w:pPr>
        <w:spacing w:after="0" w:line="240" w:lineRule="auto"/>
        <w:jc w:val="both"/>
        <w:rPr>
          <w:rFonts w:ascii="Verdana" w:eastAsia="Calibri" w:hAnsi="Verdana" w:cs="Calibri"/>
          <w:sz w:val="20"/>
          <w:szCs w:val="20"/>
          <w:lang w:val="es-ES"/>
        </w:rPr>
      </w:pPr>
      <w:r w:rsidRPr="00653B51">
        <w:rPr>
          <w:rFonts w:ascii="Verdana" w:eastAsia="Calibri" w:hAnsi="Verdana" w:cs="Calibri"/>
          <w:sz w:val="20"/>
          <w:szCs w:val="20"/>
        </w:rPr>
        <w:t>De esta manera las entidades estatales deberán establecer en los documentos del proceso la forma en la cual los proponentes deben acreditar los indicadores exigidos que no están incluidos en el RUP […]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66162140" w14:textId="77777777" w:rsidR="00653B51" w:rsidRPr="00653B51" w:rsidRDefault="00653B51" w:rsidP="00653B51">
      <w:pPr>
        <w:spacing w:after="0" w:line="240" w:lineRule="auto"/>
        <w:jc w:val="both"/>
        <w:rPr>
          <w:rFonts w:ascii="Verdana" w:eastAsia="Calibri" w:hAnsi="Verdana" w:cs="Calibri"/>
          <w:sz w:val="20"/>
          <w:szCs w:val="20"/>
          <w:lang w:val="es-ES"/>
        </w:rPr>
      </w:pPr>
    </w:p>
    <w:p w14:paraId="7A0671C2" w14:textId="77777777" w:rsidR="00653B51" w:rsidRPr="00653B51" w:rsidRDefault="00653B51" w:rsidP="00653B51">
      <w:pPr>
        <w:spacing w:after="0"/>
        <w:jc w:val="both"/>
        <w:rPr>
          <w:rFonts w:ascii="Verdana" w:eastAsia="Calibri" w:hAnsi="Verdana" w:cs="Calibri"/>
          <w:b/>
          <w:bCs/>
          <w:lang w:val="es-ES"/>
        </w:rPr>
      </w:pPr>
      <w:r w:rsidRPr="00653B51">
        <w:rPr>
          <w:rFonts w:ascii="Verdana" w:eastAsia="Calibri" w:hAnsi="Verdana" w:cs="Calibri"/>
          <w:b/>
          <w:bCs/>
          <w:lang w:val="es-ES"/>
        </w:rPr>
        <w:t>CAPACIDAD RESIDUAL – Causal de rechazo</w:t>
      </w:r>
    </w:p>
    <w:p w14:paraId="644713B0" w14:textId="77777777" w:rsidR="00653B51" w:rsidRPr="00653B51" w:rsidRDefault="00653B51" w:rsidP="00653B51">
      <w:pPr>
        <w:spacing w:after="0"/>
        <w:jc w:val="both"/>
        <w:rPr>
          <w:rFonts w:ascii="Verdana" w:eastAsia="Calibri" w:hAnsi="Verdana" w:cs="Calibri"/>
          <w:b/>
          <w:bCs/>
          <w:lang w:val="es-ES"/>
        </w:rPr>
      </w:pPr>
    </w:p>
    <w:p w14:paraId="15CB3CA7" w14:textId="77777777" w:rsidR="00653B51" w:rsidRPr="00653B51" w:rsidRDefault="00653B51" w:rsidP="00653B51">
      <w:pPr>
        <w:spacing w:after="0" w:line="240" w:lineRule="auto"/>
        <w:jc w:val="both"/>
        <w:rPr>
          <w:rFonts w:ascii="Verdana" w:eastAsia="Calibri" w:hAnsi="Verdana" w:cs="Calibri"/>
          <w:sz w:val="20"/>
          <w:szCs w:val="20"/>
        </w:rPr>
      </w:pPr>
      <w:r w:rsidRPr="00653B51">
        <w:rPr>
          <w:rFonts w:ascii="Verdana" w:eastAsia="Calibri" w:hAnsi="Verdana" w:cs="Calibri"/>
          <w:sz w:val="20"/>
          <w:szCs w:val="20"/>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p>
    <w:p w14:paraId="30E293DB" w14:textId="77777777" w:rsidR="00653B51" w:rsidRPr="00653B51" w:rsidRDefault="00653B51" w:rsidP="00653B51">
      <w:pPr>
        <w:spacing w:after="0" w:line="240" w:lineRule="auto"/>
        <w:jc w:val="both"/>
        <w:rPr>
          <w:rFonts w:ascii="Verdana" w:eastAsia="Calibri" w:hAnsi="Verdana" w:cs="Calibri"/>
          <w:sz w:val="20"/>
          <w:szCs w:val="20"/>
        </w:rPr>
      </w:pPr>
    </w:p>
    <w:p w14:paraId="7F4F1371" w14:textId="77777777" w:rsidR="00653B51" w:rsidRPr="00653B51" w:rsidRDefault="00653B51" w:rsidP="00653B51">
      <w:pPr>
        <w:spacing w:after="0" w:line="240" w:lineRule="auto"/>
        <w:jc w:val="both"/>
        <w:rPr>
          <w:rFonts w:ascii="Verdana" w:eastAsia="Calibri" w:hAnsi="Verdana" w:cs="Calibri"/>
          <w:sz w:val="20"/>
          <w:szCs w:val="20"/>
        </w:rPr>
      </w:pPr>
      <w:r w:rsidRPr="00653B51">
        <w:rPr>
          <w:rFonts w:ascii="Verdana" w:eastAsia="Calibri" w:hAnsi="Verdana" w:cs="Calibri"/>
          <w:sz w:val="20"/>
          <w:szCs w:val="20"/>
        </w:rPr>
        <w:t>De acuerdo con lo anterior, las entidades públicas como directoras de sus procesos de contratación son autónomas en estipular en sus pliegos de condiciones o documentos equivalentes, las causales de rechazo que considere pertinentes, siempre que no contradigan la Ley y los principios que rigen en materia de contratación, en los casos en que los requisitos habilitantes, entre ellos el referido a la capacidad residual de contratación, no reúnan las exigencias descritas en los citados pliegos de condiciones o documentos equivalentes.</w:t>
      </w:r>
    </w:p>
    <w:p w14:paraId="17A9E2EB" w14:textId="77777777" w:rsidR="00653B51" w:rsidRPr="00653B51" w:rsidRDefault="00653B51" w:rsidP="00653B51">
      <w:pPr>
        <w:spacing w:after="0" w:line="240" w:lineRule="auto"/>
        <w:jc w:val="both"/>
        <w:rPr>
          <w:rFonts w:ascii="Verdana" w:eastAsia="Calibri" w:hAnsi="Verdana" w:cs="Calibri"/>
          <w:sz w:val="20"/>
          <w:szCs w:val="20"/>
          <w:lang w:val="es-ES"/>
        </w:rPr>
      </w:pPr>
    </w:p>
    <w:p w14:paraId="6B73176D" w14:textId="77777777" w:rsidR="00653B51" w:rsidRPr="00653B51" w:rsidRDefault="00653B51" w:rsidP="00653B51">
      <w:pPr>
        <w:spacing w:after="0"/>
        <w:jc w:val="both"/>
        <w:rPr>
          <w:rFonts w:ascii="Verdana" w:eastAsia="Calibri" w:hAnsi="Verdana" w:cs="Calibri"/>
          <w:b/>
          <w:bCs/>
          <w:lang w:val="es-ES"/>
        </w:rPr>
      </w:pPr>
      <w:r w:rsidRPr="00653B51">
        <w:rPr>
          <w:rFonts w:ascii="Verdana" w:eastAsia="Calibri" w:hAnsi="Verdana" w:cs="Calibri"/>
          <w:b/>
          <w:bCs/>
          <w:lang w:val="es-ES"/>
        </w:rPr>
        <w:lastRenderedPageBreak/>
        <w:t xml:space="preserve">CAPACIDAD RESIDUAL – Documentos tipo – Causales de rechazo de la oferta </w:t>
      </w:r>
    </w:p>
    <w:p w14:paraId="3956AA6F" w14:textId="77777777" w:rsidR="00653B51" w:rsidRPr="00653B51" w:rsidRDefault="00653B51" w:rsidP="00653B51">
      <w:pPr>
        <w:spacing w:after="0"/>
        <w:jc w:val="both"/>
        <w:rPr>
          <w:rFonts w:ascii="Verdana" w:eastAsia="Calibri" w:hAnsi="Verdana" w:cs="Calibri"/>
          <w:b/>
          <w:bCs/>
          <w:lang w:val="es-ES"/>
        </w:rPr>
      </w:pPr>
    </w:p>
    <w:p w14:paraId="4CD52523" w14:textId="77777777" w:rsidR="00653B51" w:rsidRPr="00653B51" w:rsidRDefault="00653B51" w:rsidP="00653B51">
      <w:pPr>
        <w:spacing w:after="0" w:line="240" w:lineRule="auto"/>
        <w:jc w:val="both"/>
        <w:rPr>
          <w:rFonts w:ascii="Verdana" w:eastAsia="Calibri" w:hAnsi="Verdana" w:cs="Arial"/>
          <w:sz w:val="20"/>
          <w:szCs w:val="20"/>
          <w:lang w:eastAsia="es-ES"/>
        </w:rPr>
      </w:pPr>
      <w:r w:rsidRPr="00653B51">
        <w:rPr>
          <w:rFonts w:ascii="Verdana" w:eastAsia="Calibri" w:hAnsi="Verdana" w:cs="Arial"/>
          <w:sz w:val="20"/>
          <w:szCs w:val="20"/>
          <w:lang w:eastAsia="es-ES"/>
        </w:rPr>
        <w:t>El numeral 3.11 del documento base de obra de infraestructura de transporte para procesos de licitación pública – Versión 4, establece como requisito habilitante la capacidad residual. En este documento tipo se establecen al menos tres causales de rechazo en el numeral 1.15 que se relacionan con la capacidad residual como requisito habilitante, esto es, los literales E, H y X.</w:t>
      </w:r>
    </w:p>
    <w:p w14:paraId="27FE8E20" w14:textId="77777777" w:rsidR="00653B51" w:rsidRPr="00653B51" w:rsidRDefault="00653B51" w:rsidP="00653B51">
      <w:pPr>
        <w:spacing w:after="0"/>
        <w:jc w:val="both"/>
        <w:rPr>
          <w:rFonts w:ascii="Verdana" w:eastAsia="Calibri" w:hAnsi="Verdana" w:cs="Arial"/>
          <w:sz w:val="20"/>
          <w:szCs w:val="20"/>
          <w:lang w:eastAsia="es-ES"/>
        </w:rPr>
      </w:pPr>
    </w:p>
    <w:p w14:paraId="6B9F365E" w14:textId="77777777" w:rsidR="00653B51" w:rsidRPr="00653B51" w:rsidRDefault="00653B51" w:rsidP="00653B51">
      <w:pPr>
        <w:spacing w:after="0" w:line="240" w:lineRule="auto"/>
        <w:jc w:val="both"/>
        <w:rPr>
          <w:rFonts w:ascii="Verdana" w:eastAsia="Calibri" w:hAnsi="Verdana" w:cs="Calibri"/>
          <w:b/>
          <w:bCs/>
          <w:lang w:val="es-ES"/>
        </w:rPr>
      </w:pPr>
      <w:r w:rsidRPr="00653B51">
        <w:rPr>
          <w:rFonts w:ascii="Verdana" w:eastAsia="Calibri" w:hAnsi="Verdana" w:cs="Calibri"/>
          <w:b/>
          <w:bCs/>
          <w:lang w:val="es-ES"/>
        </w:rPr>
        <w:t xml:space="preserve">DOCUMENTOS TIPO – Causales de rechazo de la oferta – Literales </w:t>
      </w:r>
      <w:r w:rsidRPr="00653B51">
        <w:rPr>
          <w:rFonts w:ascii="Verdana" w:eastAsia="Calibri" w:hAnsi="Verdana" w:cs="Calibri"/>
          <w:b/>
          <w:bCs/>
          <w:kern w:val="2"/>
          <w:sz w:val="24"/>
          <w:szCs w:val="24"/>
          <w:lang w:val="es-ES"/>
          <w14:ligatures w14:val="standardContextual"/>
        </w:rPr>
        <w:t xml:space="preserve">H, E y </w:t>
      </w:r>
      <w:r w:rsidRPr="00653B51">
        <w:rPr>
          <w:rFonts w:ascii="Verdana" w:eastAsia="Calibri" w:hAnsi="Verdana" w:cs="Calibri"/>
          <w:b/>
          <w:bCs/>
          <w:lang w:val="es-ES"/>
        </w:rPr>
        <w:t xml:space="preserve">X – </w:t>
      </w:r>
      <w:proofErr w:type="spellStart"/>
      <w:r w:rsidRPr="00653B51">
        <w:rPr>
          <w:rFonts w:ascii="Verdana" w:eastAsia="Calibri" w:hAnsi="Verdana" w:cs="Calibri"/>
          <w:b/>
          <w:bCs/>
          <w:lang w:val="es-ES"/>
        </w:rPr>
        <w:t>Subsanabilidad</w:t>
      </w:r>
      <w:proofErr w:type="spellEnd"/>
    </w:p>
    <w:p w14:paraId="55F59EB2" w14:textId="77777777" w:rsidR="00653B51" w:rsidRPr="00653B51" w:rsidRDefault="00653B51" w:rsidP="00653B51">
      <w:pPr>
        <w:spacing w:after="0"/>
        <w:jc w:val="both"/>
        <w:rPr>
          <w:rFonts w:ascii="Verdana" w:eastAsia="Calibri" w:hAnsi="Verdana" w:cs="Arial"/>
          <w:sz w:val="20"/>
          <w:szCs w:val="20"/>
          <w:lang w:eastAsia="es-ES"/>
        </w:rPr>
      </w:pPr>
    </w:p>
    <w:p w14:paraId="4AD5F7BE" w14:textId="77777777" w:rsidR="00653B51" w:rsidRPr="00653B51" w:rsidRDefault="00653B51" w:rsidP="00653B51">
      <w:pPr>
        <w:spacing w:after="0" w:line="240" w:lineRule="auto"/>
        <w:jc w:val="both"/>
        <w:rPr>
          <w:rFonts w:ascii="Arial" w:eastAsia="Aptos" w:hAnsi="Arial" w:cs="Arial"/>
          <w:sz w:val="20"/>
          <w:szCs w:val="20"/>
        </w:rPr>
      </w:pPr>
      <w:r w:rsidRPr="00653B51">
        <w:rPr>
          <w:rFonts w:ascii="Verdana" w:eastAsia="Calibri" w:hAnsi="Verdana" w:cs="Arial"/>
          <w:sz w:val="20"/>
          <w:szCs w:val="20"/>
        </w:rPr>
        <w:t xml:space="preserve">(…)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653B51">
        <w:rPr>
          <w:rFonts w:ascii="Verdana" w:eastAsia="Calibri" w:hAnsi="Verdana" w:cs="Arial"/>
          <w:noProof/>
          <w:sz w:val="20"/>
          <w:szCs w:val="20"/>
        </w:rPr>
        <w:t>lo</w:t>
      </w:r>
      <w:r w:rsidRPr="00653B51">
        <w:rPr>
          <w:rFonts w:ascii="Verdana" w:eastAsia="Calibri" w:hAnsi="Verdana" w:cs="Arial"/>
          <w:sz w:val="20"/>
          <w:szCs w:val="20"/>
        </w:rPr>
        <w:t xml:space="preserve"> expresado en el párrafo precedente no contradice lo dispuesto en el artículo 5, parágrafo 1, de la Ley 1150 de 2007, adicionado por el artículo 5 de la Ley 1882 de 2018, norma que dispone que “</w:t>
      </w:r>
      <w:r w:rsidRPr="00653B51">
        <w:rPr>
          <w:rFonts w:ascii="Verdana" w:eastAsia="Calibri" w:hAnsi="Verdana" w:cs="Times New Roman"/>
          <w:sz w:val="20"/>
          <w:szCs w:val="20"/>
        </w:rPr>
        <w:t xml:space="preserve">(…) </w:t>
      </w:r>
      <w:r w:rsidRPr="00653B51">
        <w:rPr>
          <w:rFonts w:ascii="Verdana" w:eastAsia="Calibri" w:hAnsi="Verdana" w:cs="Arial"/>
          <w:sz w:val="20"/>
          <w:szCs w:val="20"/>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0D8E0F24" w14:textId="77777777" w:rsidR="00653B51" w:rsidRPr="00653B51" w:rsidRDefault="00653B51" w:rsidP="00653B51">
      <w:pPr>
        <w:spacing w:after="0" w:line="240" w:lineRule="auto"/>
        <w:jc w:val="both"/>
        <w:rPr>
          <w:rFonts w:ascii="Verdana" w:eastAsia="Calibri" w:hAnsi="Verdana" w:cs="Arial"/>
          <w:sz w:val="20"/>
          <w:szCs w:val="20"/>
        </w:rPr>
      </w:pPr>
    </w:p>
    <w:p w14:paraId="1DE786C3" w14:textId="77777777" w:rsidR="00653B51" w:rsidRPr="00653B51" w:rsidRDefault="00653B51" w:rsidP="00653B51">
      <w:pPr>
        <w:spacing w:after="0" w:line="240" w:lineRule="auto"/>
        <w:jc w:val="both"/>
        <w:rPr>
          <w:rFonts w:ascii="Verdana" w:eastAsia="Calibri" w:hAnsi="Verdana" w:cs="Arial"/>
          <w:sz w:val="20"/>
          <w:szCs w:val="20"/>
        </w:rPr>
      </w:pPr>
      <w:r w:rsidRPr="00653B51">
        <w:rPr>
          <w:rFonts w:ascii="Verdana" w:eastAsia="Calibri" w:hAnsi="Verdana" w:cs="Arial"/>
          <w:sz w:val="20"/>
          <w:szCs w:val="20"/>
        </w:rPr>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5629A089" w14:textId="77777777" w:rsidR="00653B51" w:rsidRPr="00653B51" w:rsidRDefault="00653B51" w:rsidP="00653B51">
      <w:pPr>
        <w:spacing w:after="0" w:line="240" w:lineRule="auto"/>
        <w:jc w:val="both"/>
        <w:rPr>
          <w:rFonts w:ascii="Verdana" w:eastAsia="Aptos" w:hAnsi="Verdana" w:cs="Arial"/>
          <w:sz w:val="20"/>
          <w:szCs w:val="20"/>
        </w:rPr>
      </w:pPr>
    </w:p>
    <w:p w14:paraId="16007C5E" w14:textId="77777777" w:rsidR="00653B51" w:rsidRPr="00653B51" w:rsidRDefault="00653B51" w:rsidP="00653B51">
      <w:pPr>
        <w:spacing w:before="120" w:after="120" w:line="276" w:lineRule="auto"/>
        <w:jc w:val="both"/>
        <w:rPr>
          <w:rFonts w:ascii="Verdana" w:eastAsia="Calibri" w:hAnsi="Verdana" w:cs="Arial"/>
          <w:sz w:val="20"/>
          <w:szCs w:val="20"/>
        </w:rPr>
      </w:pPr>
      <w:r w:rsidRPr="00653B51">
        <w:rPr>
          <w:rFonts w:ascii="Verdana" w:eastAsia="Calibri" w:hAnsi="Verdana" w:cs="Arial"/>
          <w:sz w:val="20"/>
          <w:szCs w:val="20"/>
        </w:rPr>
        <w:t xml:space="preserve">Como se expresó, la causal del literal X procede cuando el proponente no informa todos los contratos de obra, fenómeno que se verifica con el formato 5. Como se expresó, la causal del literal X procede cuando el proponente no informa todos los contratos de obra, </w:t>
      </w:r>
      <w:r w:rsidRPr="00653B51">
        <w:rPr>
          <w:rFonts w:ascii="Verdana" w:eastAsia="Calibri" w:hAnsi="Verdana" w:cs="Arial"/>
          <w:sz w:val="20"/>
          <w:szCs w:val="20"/>
        </w:rPr>
        <w:lastRenderedPageBreak/>
        <w:t>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2BAFD866" w14:textId="77777777" w:rsidR="00653B51" w:rsidRPr="00653B51" w:rsidRDefault="00653B51" w:rsidP="00653B51">
      <w:pPr>
        <w:spacing w:after="0" w:line="240" w:lineRule="auto"/>
        <w:jc w:val="both"/>
        <w:rPr>
          <w:rFonts w:ascii="Verdana" w:eastAsia="Aptos" w:hAnsi="Verdana" w:cs="Arial"/>
          <w:sz w:val="20"/>
          <w:szCs w:val="20"/>
        </w:rPr>
      </w:pPr>
    </w:p>
    <w:p w14:paraId="140D8804" w14:textId="77777777" w:rsidR="00653B51" w:rsidRPr="00653B51" w:rsidRDefault="00653B51" w:rsidP="00653B51">
      <w:pPr>
        <w:spacing w:after="0" w:line="240" w:lineRule="auto"/>
        <w:jc w:val="both"/>
        <w:rPr>
          <w:rFonts w:ascii="Verdana" w:eastAsia="Calibri" w:hAnsi="Verdana" w:cs="Arial"/>
          <w:b/>
          <w:color w:val="000000"/>
          <w:lang w:eastAsia="es-ES_tradnl"/>
        </w:rPr>
      </w:pPr>
    </w:p>
    <w:p w14:paraId="6627B574" w14:textId="77777777" w:rsidR="00653B51" w:rsidRPr="00653B51" w:rsidRDefault="00653B51" w:rsidP="00653B51">
      <w:pPr>
        <w:spacing w:after="0" w:line="240" w:lineRule="auto"/>
        <w:jc w:val="both"/>
        <w:rPr>
          <w:rFonts w:ascii="Verdana" w:eastAsia="Aptos" w:hAnsi="Verdana" w:cs="Arial"/>
          <w:color w:val="000000"/>
          <w:sz w:val="20"/>
          <w:szCs w:val="20"/>
        </w:rPr>
      </w:pPr>
    </w:p>
    <w:p w14:paraId="1C68FF3B" w14:textId="77777777" w:rsidR="00653B51" w:rsidRPr="00653B51" w:rsidRDefault="00653B51" w:rsidP="00653B51">
      <w:pPr>
        <w:spacing w:after="0" w:line="240" w:lineRule="auto"/>
        <w:jc w:val="both"/>
        <w:rPr>
          <w:rFonts w:ascii="Verdana" w:eastAsia="Aptos" w:hAnsi="Verdana" w:cs="Arial"/>
          <w:color w:val="000000"/>
          <w:highlight w:val="yellow"/>
        </w:rPr>
      </w:pPr>
    </w:p>
    <w:p w14:paraId="031436FB" w14:textId="77777777" w:rsidR="00653B51" w:rsidRPr="00653B51" w:rsidRDefault="00653B51" w:rsidP="00653B51">
      <w:pPr>
        <w:spacing w:after="0" w:line="240" w:lineRule="auto"/>
        <w:jc w:val="both"/>
        <w:rPr>
          <w:rFonts w:ascii="Verdana" w:eastAsia="Aptos" w:hAnsi="Verdana" w:cs="Arial"/>
          <w:color w:val="000000"/>
          <w:highlight w:val="yellow"/>
        </w:rPr>
      </w:pPr>
    </w:p>
    <w:p w14:paraId="398DE5AB" w14:textId="77777777" w:rsidR="00653B51" w:rsidRPr="00653B51" w:rsidRDefault="00653B51" w:rsidP="00653B51">
      <w:pPr>
        <w:spacing w:after="0" w:line="240" w:lineRule="auto"/>
        <w:jc w:val="both"/>
        <w:rPr>
          <w:rFonts w:ascii="Verdana" w:eastAsia="Aptos" w:hAnsi="Verdana" w:cs="Arial"/>
          <w:color w:val="000000"/>
          <w:highlight w:val="yellow"/>
        </w:rPr>
      </w:pPr>
    </w:p>
    <w:p w14:paraId="13B0AA97" w14:textId="77777777" w:rsidR="00653B51" w:rsidRPr="00653B51" w:rsidRDefault="00653B51" w:rsidP="00653B51">
      <w:pPr>
        <w:spacing w:after="0" w:line="240" w:lineRule="auto"/>
        <w:jc w:val="both"/>
        <w:rPr>
          <w:rFonts w:ascii="Verdana" w:eastAsia="Aptos" w:hAnsi="Verdana" w:cs="Arial"/>
          <w:color w:val="000000"/>
          <w:highlight w:val="yellow"/>
        </w:rPr>
      </w:pPr>
    </w:p>
    <w:p w14:paraId="7B8D28AF" w14:textId="77777777" w:rsidR="00653B51" w:rsidRPr="00653B51" w:rsidRDefault="00653B51" w:rsidP="00653B51">
      <w:pPr>
        <w:spacing w:after="0" w:line="240" w:lineRule="auto"/>
        <w:jc w:val="both"/>
        <w:rPr>
          <w:rFonts w:ascii="Verdana" w:eastAsia="Aptos" w:hAnsi="Verdana" w:cs="Arial"/>
          <w:color w:val="000000"/>
          <w:highlight w:val="yellow"/>
        </w:rPr>
      </w:pPr>
    </w:p>
    <w:p w14:paraId="715ECCDD" w14:textId="77777777" w:rsidR="00653B51" w:rsidRPr="00653B51" w:rsidRDefault="00653B51" w:rsidP="00653B51">
      <w:pPr>
        <w:spacing w:after="0" w:line="240" w:lineRule="auto"/>
        <w:jc w:val="both"/>
        <w:rPr>
          <w:rFonts w:ascii="Verdana" w:eastAsia="Aptos" w:hAnsi="Verdana" w:cs="Arial"/>
          <w:color w:val="000000"/>
          <w:highlight w:val="yellow"/>
        </w:rPr>
      </w:pPr>
    </w:p>
    <w:p w14:paraId="5CE62DE6" w14:textId="77777777" w:rsidR="00653B51" w:rsidRPr="00653B51" w:rsidRDefault="00653B51" w:rsidP="00653B51">
      <w:pPr>
        <w:spacing w:after="0" w:line="240" w:lineRule="auto"/>
        <w:jc w:val="both"/>
        <w:rPr>
          <w:rFonts w:ascii="Verdana" w:eastAsia="Aptos" w:hAnsi="Verdana" w:cs="Arial"/>
          <w:color w:val="000000"/>
          <w:highlight w:val="yellow"/>
        </w:rPr>
      </w:pPr>
    </w:p>
    <w:p w14:paraId="057BB4E3" w14:textId="77777777" w:rsidR="00653B51" w:rsidRPr="00653B51" w:rsidRDefault="00653B51" w:rsidP="00653B51">
      <w:pPr>
        <w:spacing w:after="0" w:line="240" w:lineRule="auto"/>
        <w:jc w:val="both"/>
        <w:rPr>
          <w:rFonts w:ascii="Verdana" w:eastAsia="Aptos" w:hAnsi="Verdana" w:cs="Arial"/>
          <w:color w:val="000000"/>
          <w:highlight w:val="yellow"/>
        </w:rPr>
      </w:pPr>
    </w:p>
    <w:p w14:paraId="75D72441" w14:textId="77777777" w:rsidR="00653B51" w:rsidRPr="00653B51" w:rsidRDefault="00653B51" w:rsidP="00653B51">
      <w:pPr>
        <w:spacing w:after="0" w:line="240" w:lineRule="auto"/>
        <w:jc w:val="both"/>
        <w:rPr>
          <w:rFonts w:ascii="Verdana" w:eastAsia="Aptos" w:hAnsi="Verdana" w:cs="Arial"/>
          <w:color w:val="000000"/>
          <w:highlight w:val="yellow"/>
        </w:rPr>
      </w:pPr>
    </w:p>
    <w:p w14:paraId="5996CFDE" w14:textId="77777777" w:rsidR="00653B51" w:rsidRPr="00653B51" w:rsidRDefault="00653B51" w:rsidP="00653B51">
      <w:pPr>
        <w:spacing w:after="0" w:line="240" w:lineRule="auto"/>
        <w:jc w:val="both"/>
        <w:rPr>
          <w:rFonts w:ascii="Verdana" w:eastAsia="Aptos" w:hAnsi="Verdana" w:cs="Arial"/>
          <w:color w:val="000000"/>
          <w:highlight w:val="yellow"/>
        </w:rPr>
      </w:pPr>
    </w:p>
    <w:p w14:paraId="09B1540A" w14:textId="77777777" w:rsidR="00653B51" w:rsidRPr="00653B51" w:rsidRDefault="00653B51" w:rsidP="00653B51">
      <w:pPr>
        <w:spacing w:after="0" w:line="240" w:lineRule="auto"/>
        <w:jc w:val="both"/>
        <w:rPr>
          <w:rFonts w:ascii="Verdana" w:eastAsia="Aptos" w:hAnsi="Verdana" w:cs="Arial"/>
          <w:color w:val="000000"/>
          <w:highlight w:val="yellow"/>
        </w:rPr>
      </w:pPr>
    </w:p>
    <w:p w14:paraId="72F1B5AF" w14:textId="77777777" w:rsidR="00653B51" w:rsidRPr="00653B51" w:rsidRDefault="00653B51" w:rsidP="00653B51">
      <w:pPr>
        <w:spacing w:after="0" w:line="240" w:lineRule="auto"/>
        <w:jc w:val="both"/>
        <w:rPr>
          <w:rFonts w:ascii="Verdana" w:eastAsia="Aptos" w:hAnsi="Verdana" w:cs="Arial"/>
          <w:color w:val="000000"/>
          <w:highlight w:val="yellow"/>
        </w:rPr>
      </w:pPr>
    </w:p>
    <w:p w14:paraId="3DD3E14D" w14:textId="77777777" w:rsidR="00653B51" w:rsidRPr="00653B51" w:rsidRDefault="00653B51" w:rsidP="00653B51">
      <w:pPr>
        <w:spacing w:after="0" w:line="240" w:lineRule="auto"/>
        <w:jc w:val="both"/>
        <w:rPr>
          <w:rFonts w:ascii="Verdana" w:eastAsia="Aptos" w:hAnsi="Verdana" w:cs="Arial"/>
          <w:color w:val="000000"/>
          <w:highlight w:val="yellow"/>
        </w:rPr>
      </w:pPr>
    </w:p>
    <w:p w14:paraId="04772204" w14:textId="77777777" w:rsidR="00653B51" w:rsidRPr="00653B51" w:rsidRDefault="00653B51" w:rsidP="00653B51">
      <w:pPr>
        <w:spacing w:after="0" w:line="240" w:lineRule="auto"/>
        <w:jc w:val="both"/>
        <w:rPr>
          <w:rFonts w:ascii="Verdana" w:eastAsia="Aptos" w:hAnsi="Verdana" w:cs="Arial"/>
          <w:color w:val="000000"/>
          <w:highlight w:val="yellow"/>
        </w:rPr>
      </w:pPr>
    </w:p>
    <w:p w14:paraId="69609B2A" w14:textId="77777777" w:rsidR="00653B51" w:rsidRPr="00653B51" w:rsidRDefault="00653B51" w:rsidP="00653B51">
      <w:pPr>
        <w:spacing w:after="0" w:line="240" w:lineRule="auto"/>
        <w:jc w:val="both"/>
        <w:rPr>
          <w:rFonts w:ascii="Verdana" w:eastAsia="Aptos" w:hAnsi="Verdana" w:cs="Arial"/>
          <w:color w:val="000000"/>
          <w:highlight w:val="yellow"/>
        </w:rPr>
      </w:pPr>
    </w:p>
    <w:p w14:paraId="3A2D7E70" w14:textId="77777777" w:rsidR="00653B51" w:rsidRPr="00653B51" w:rsidRDefault="00653B51" w:rsidP="00653B51">
      <w:pPr>
        <w:spacing w:after="0" w:line="240" w:lineRule="auto"/>
        <w:jc w:val="both"/>
        <w:rPr>
          <w:rFonts w:ascii="Verdana" w:eastAsia="Aptos" w:hAnsi="Verdana" w:cs="Arial"/>
          <w:color w:val="000000"/>
          <w:highlight w:val="yellow"/>
        </w:rPr>
      </w:pPr>
    </w:p>
    <w:p w14:paraId="7E5862E7" w14:textId="77777777" w:rsidR="00653B51" w:rsidRPr="00653B51" w:rsidRDefault="00653B51" w:rsidP="00653B51">
      <w:pPr>
        <w:spacing w:after="0" w:line="240" w:lineRule="auto"/>
        <w:jc w:val="both"/>
        <w:rPr>
          <w:rFonts w:ascii="Verdana" w:eastAsia="Aptos" w:hAnsi="Verdana" w:cs="Arial"/>
          <w:color w:val="000000"/>
          <w:highlight w:val="yellow"/>
        </w:rPr>
      </w:pPr>
    </w:p>
    <w:p w14:paraId="1FD73E6B" w14:textId="77777777" w:rsidR="00653B51" w:rsidRPr="00653B51" w:rsidRDefault="00653B51" w:rsidP="00653B51">
      <w:pPr>
        <w:spacing w:after="0" w:line="240" w:lineRule="auto"/>
        <w:jc w:val="both"/>
        <w:rPr>
          <w:rFonts w:ascii="Verdana" w:eastAsia="Aptos" w:hAnsi="Verdana" w:cs="Arial"/>
          <w:color w:val="000000"/>
          <w:highlight w:val="yellow"/>
        </w:rPr>
      </w:pPr>
    </w:p>
    <w:p w14:paraId="1F824426" w14:textId="77777777" w:rsidR="00653B51" w:rsidRPr="00653B51" w:rsidRDefault="00653B51" w:rsidP="00653B51">
      <w:pPr>
        <w:spacing w:after="0" w:line="240" w:lineRule="auto"/>
        <w:jc w:val="both"/>
        <w:rPr>
          <w:rFonts w:ascii="Verdana" w:eastAsia="Aptos" w:hAnsi="Verdana" w:cs="Arial"/>
          <w:color w:val="000000"/>
          <w:highlight w:val="yellow"/>
        </w:rPr>
      </w:pPr>
    </w:p>
    <w:p w14:paraId="637D1EE6" w14:textId="77777777" w:rsidR="00653B51" w:rsidRPr="00653B51" w:rsidRDefault="00653B51" w:rsidP="00653B51">
      <w:pPr>
        <w:spacing w:after="0" w:line="240" w:lineRule="auto"/>
        <w:jc w:val="both"/>
        <w:rPr>
          <w:rFonts w:ascii="Verdana" w:eastAsia="Aptos" w:hAnsi="Verdana" w:cs="Arial"/>
          <w:color w:val="000000"/>
          <w:highlight w:val="yellow"/>
        </w:rPr>
      </w:pPr>
    </w:p>
    <w:p w14:paraId="52174721" w14:textId="77777777" w:rsidR="00653B51" w:rsidRPr="00653B51" w:rsidRDefault="00653B51" w:rsidP="00653B51">
      <w:pPr>
        <w:spacing w:after="0" w:line="240" w:lineRule="auto"/>
        <w:jc w:val="both"/>
        <w:rPr>
          <w:rFonts w:ascii="Verdana" w:eastAsia="Aptos" w:hAnsi="Verdana" w:cs="Arial"/>
          <w:color w:val="000000"/>
          <w:highlight w:val="yellow"/>
        </w:rPr>
      </w:pPr>
    </w:p>
    <w:p w14:paraId="62109434" w14:textId="77777777" w:rsidR="00653B51" w:rsidRPr="00653B51" w:rsidRDefault="00653B51" w:rsidP="00653B51">
      <w:pPr>
        <w:spacing w:after="0" w:line="240" w:lineRule="auto"/>
        <w:jc w:val="both"/>
        <w:rPr>
          <w:rFonts w:ascii="Verdana" w:eastAsia="Aptos" w:hAnsi="Verdana" w:cs="Arial"/>
          <w:color w:val="000000"/>
          <w:highlight w:val="yellow"/>
        </w:rPr>
      </w:pPr>
    </w:p>
    <w:p w14:paraId="31127937" w14:textId="77777777" w:rsidR="00653B51" w:rsidRPr="00653B51" w:rsidRDefault="00653B51" w:rsidP="00653B51">
      <w:pPr>
        <w:spacing w:after="0" w:line="240" w:lineRule="auto"/>
        <w:jc w:val="both"/>
        <w:rPr>
          <w:rFonts w:ascii="Verdana" w:eastAsia="Aptos" w:hAnsi="Verdana" w:cs="Arial"/>
          <w:color w:val="000000"/>
          <w:highlight w:val="yellow"/>
        </w:rPr>
      </w:pPr>
    </w:p>
    <w:p w14:paraId="2CC10328" w14:textId="77777777" w:rsidR="00653B51" w:rsidRPr="00653B51" w:rsidRDefault="00653B51" w:rsidP="00653B51">
      <w:pPr>
        <w:spacing w:after="0" w:line="240" w:lineRule="auto"/>
        <w:jc w:val="both"/>
        <w:rPr>
          <w:rFonts w:ascii="Verdana" w:eastAsia="Aptos" w:hAnsi="Verdana" w:cs="Arial"/>
          <w:color w:val="000000"/>
          <w:highlight w:val="yellow"/>
        </w:rPr>
      </w:pPr>
    </w:p>
    <w:p w14:paraId="03A2D6A6" w14:textId="77777777" w:rsidR="00653B51" w:rsidRPr="00653B51" w:rsidRDefault="00653B51" w:rsidP="00653B51">
      <w:pPr>
        <w:spacing w:after="0" w:line="240" w:lineRule="auto"/>
        <w:jc w:val="both"/>
        <w:rPr>
          <w:rFonts w:ascii="Verdana" w:eastAsia="Aptos" w:hAnsi="Verdana" w:cs="Arial"/>
          <w:color w:val="000000"/>
          <w:highlight w:val="yellow"/>
        </w:rPr>
      </w:pPr>
    </w:p>
    <w:p w14:paraId="19114BDD" w14:textId="77777777" w:rsidR="00653B51" w:rsidRPr="00653B51" w:rsidRDefault="00653B51" w:rsidP="00653B51">
      <w:pPr>
        <w:spacing w:after="0" w:line="240" w:lineRule="auto"/>
        <w:jc w:val="both"/>
        <w:rPr>
          <w:rFonts w:ascii="Verdana" w:eastAsia="Aptos" w:hAnsi="Verdana" w:cs="Arial"/>
          <w:color w:val="000000"/>
          <w:highlight w:val="yellow"/>
        </w:rPr>
      </w:pPr>
    </w:p>
    <w:p w14:paraId="4798218B" w14:textId="77777777" w:rsidR="00653B51" w:rsidRPr="00653B51" w:rsidRDefault="00653B51" w:rsidP="00653B51">
      <w:pPr>
        <w:spacing w:after="0" w:line="240" w:lineRule="auto"/>
        <w:jc w:val="both"/>
        <w:rPr>
          <w:rFonts w:ascii="Verdana" w:eastAsia="Aptos" w:hAnsi="Verdana" w:cs="Arial"/>
          <w:color w:val="000000"/>
          <w:highlight w:val="yellow"/>
        </w:rPr>
      </w:pPr>
    </w:p>
    <w:p w14:paraId="324BBD8B" w14:textId="77777777" w:rsidR="00653B51" w:rsidRPr="00653B51" w:rsidRDefault="00653B51" w:rsidP="00653B51">
      <w:pPr>
        <w:spacing w:after="0" w:line="240" w:lineRule="auto"/>
        <w:jc w:val="both"/>
        <w:rPr>
          <w:rFonts w:ascii="Verdana" w:eastAsia="Aptos" w:hAnsi="Verdana" w:cs="Arial"/>
          <w:color w:val="000000"/>
          <w:highlight w:val="yellow"/>
        </w:rPr>
      </w:pPr>
    </w:p>
    <w:p w14:paraId="1EB3547D" w14:textId="77777777" w:rsidR="00653B51" w:rsidRDefault="00653B51" w:rsidP="00653B51">
      <w:pPr>
        <w:spacing w:after="0" w:line="240" w:lineRule="auto"/>
        <w:jc w:val="both"/>
        <w:rPr>
          <w:rFonts w:ascii="Verdana" w:eastAsia="Aptos" w:hAnsi="Verdana" w:cs="Arial"/>
          <w:color w:val="000000"/>
          <w:highlight w:val="yellow"/>
        </w:rPr>
      </w:pPr>
    </w:p>
    <w:p w14:paraId="6CB98B7C" w14:textId="77777777" w:rsidR="00D97ED7" w:rsidRPr="00653B51" w:rsidRDefault="00D97ED7" w:rsidP="00653B51">
      <w:pPr>
        <w:spacing w:after="0" w:line="240" w:lineRule="auto"/>
        <w:jc w:val="both"/>
        <w:rPr>
          <w:rFonts w:ascii="Verdana" w:eastAsia="Aptos" w:hAnsi="Verdana" w:cs="Arial"/>
          <w:color w:val="000000"/>
          <w:highlight w:val="yellow"/>
        </w:rPr>
      </w:pPr>
    </w:p>
    <w:p w14:paraId="60BD14D4" w14:textId="77777777" w:rsidR="00653B51" w:rsidRPr="00653B51" w:rsidRDefault="00653B51" w:rsidP="00653B51">
      <w:pPr>
        <w:spacing w:after="0" w:line="240" w:lineRule="auto"/>
        <w:jc w:val="both"/>
        <w:rPr>
          <w:rFonts w:ascii="Verdana" w:eastAsia="Aptos" w:hAnsi="Verdana" w:cs="Arial"/>
          <w:color w:val="000000"/>
          <w:highlight w:val="yellow"/>
        </w:rPr>
      </w:pPr>
    </w:p>
    <w:p w14:paraId="50D4E58D" w14:textId="77777777" w:rsidR="00653B51" w:rsidRPr="00653B51" w:rsidRDefault="00653B51" w:rsidP="00653B51">
      <w:pPr>
        <w:spacing w:after="0" w:line="240" w:lineRule="auto"/>
        <w:jc w:val="both"/>
        <w:rPr>
          <w:rFonts w:ascii="Verdana" w:eastAsia="Aptos" w:hAnsi="Verdana" w:cs="Arial"/>
          <w:color w:val="000000"/>
          <w:highlight w:val="yellow"/>
          <w:lang w:val="es-ES_tradnl"/>
        </w:rPr>
      </w:pPr>
    </w:p>
    <w:p w14:paraId="12773894" w14:textId="79E11A1B" w:rsidR="00653B51" w:rsidRDefault="00653B51" w:rsidP="00653B51">
      <w:pPr>
        <w:spacing w:after="0" w:line="278" w:lineRule="auto"/>
        <w:rPr>
          <w:rFonts w:ascii="Verdana" w:eastAsia="Aptos" w:hAnsi="Verdana" w:cs="Times New Roman"/>
          <w:kern w:val="2"/>
          <w14:ligatures w14:val="standardContextual"/>
        </w:rPr>
      </w:pPr>
      <w:r w:rsidRPr="00653B51">
        <w:rPr>
          <w:rFonts w:ascii="Verdana" w:eastAsia="Aptos" w:hAnsi="Verdana" w:cs="Times New Roman"/>
          <w:kern w:val="2"/>
          <w14:ligatures w14:val="standardContextual"/>
        </w:rPr>
        <w:lastRenderedPageBreak/>
        <w:t xml:space="preserve">Bogotá D.C., </w:t>
      </w:r>
      <w:r w:rsidR="005B231E">
        <w:rPr>
          <w:rFonts w:ascii="Verdana" w:eastAsia="Aptos" w:hAnsi="Verdana" w:cs="Times New Roman"/>
          <w:kern w:val="2"/>
          <w14:ligatures w14:val="standardContextual"/>
        </w:rPr>
        <w:t>8 de julio de 2026</w:t>
      </w:r>
    </w:p>
    <w:p w14:paraId="662603A0" w14:textId="4C923B1A" w:rsidR="005B231E" w:rsidRDefault="005B231E" w:rsidP="00653B51">
      <w:pPr>
        <w:spacing w:after="0" w:line="278" w:lineRule="auto"/>
        <w:rPr>
          <w:rFonts w:ascii="Verdana" w:eastAsia="Aptos" w:hAnsi="Verdana" w:cs="Times New Roman"/>
          <w:kern w:val="2"/>
          <w14:ligatures w14:val="standardContextual"/>
        </w:rPr>
      </w:pPr>
    </w:p>
    <w:p w14:paraId="5F568698" w14:textId="07BB031D" w:rsidR="00D74114" w:rsidRPr="00653B51" w:rsidRDefault="00834C27" w:rsidP="00653B51">
      <w:pPr>
        <w:spacing w:after="0" w:line="240" w:lineRule="auto"/>
        <w:rPr>
          <w:rFonts w:ascii="Verdana" w:eastAsia="Calibri" w:hAnsi="Verdana" w:cs="Vrinda"/>
        </w:rPr>
      </w:pPr>
      <w:r w:rsidRPr="005B231E">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7F8528DE" wp14:editId="2C73355F">
            <wp:simplePos x="0" y="0"/>
            <wp:positionH relativeFrom="column">
              <wp:posOffset>3380243</wp:posOffset>
            </wp:positionH>
            <wp:positionV relativeFrom="paragraph">
              <wp:posOffset>8586</wp:posOffset>
            </wp:positionV>
            <wp:extent cx="2473325" cy="939800"/>
            <wp:effectExtent l="0" t="0" r="3175" b="0"/>
            <wp:wrapSquare wrapText="bothSides"/>
            <wp:docPr id="1806014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01498"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473325" cy="939800"/>
                    </a:xfrm>
                    <a:prstGeom prst="rect">
                      <a:avLst/>
                    </a:prstGeom>
                  </pic:spPr>
                </pic:pic>
              </a:graphicData>
            </a:graphic>
            <wp14:sizeRelH relativeFrom="page">
              <wp14:pctWidth>0</wp14:pctWidth>
            </wp14:sizeRelH>
            <wp14:sizeRelV relativeFrom="page">
              <wp14:pctHeight>0</wp14:pctHeight>
            </wp14:sizeRelV>
          </wp:anchor>
        </w:drawing>
      </w:r>
    </w:p>
    <w:p w14:paraId="70CD092D" w14:textId="77777777" w:rsidR="00653B51" w:rsidRPr="00653B51" w:rsidRDefault="00653B51" w:rsidP="00653B51">
      <w:pPr>
        <w:spacing w:after="0" w:line="240" w:lineRule="auto"/>
        <w:jc w:val="both"/>
        <w:rPr>
          <w:rFonts w:ascii="Verdana" w:eastAsia="Calibri" w:hAnsi="Verdana" w:cs="Arial"/>
          <w:lang w:eastAsia="es-ES"/>
        </w:rPr>
      </w:pPr>
      <w:bookmarkStart w:id="1" w:name="_Hlk117695077"/>
      <w:r w:rsidRPr="00653B51">
        <w:rPr>
          <w:rFonts w:ascii="Verdana" w:eastAsia="Calibri" w:hAnsi="Verdana" w:cs="Arial"/>
          <w:lang w:eastAsia="es-ES"/>
        </w:rPr>
        <w:t>Señor(a)</w:t>
      </w:r>
    </w:p>
    <w:p w14:paraId="04E5E9C8" w14:textId="77777777" w:rsidR="00653B51" w:rsidRPr="00653B51" w:rsidRDefault="00653B51" w:rsidP="00653B51">
      <w:pPr>
        <w:spacing w:after="0" w:line="240" w:lineRule="auto"/>
        <w:jc w:val="both"/>
        <w:rPr>
          <w:rFonts w:ascii="Verdana" w:eastAsia="Calibri" w:hAnsi="Verdana" w:cs="Arial"/>
          <w:b/>
          <w:bCs/>
          <w:lang w:eastAsia="es-ES"/>
        </w:rPr>
      </w:pPr>
      <w:r w:rsidRPr="00653B51">
        <w:rPr>
          <w:rFonts w:ascii="Verdana" w:eastAsia="Calibri" w:hAnsi="Verdana" w:cs="Arial"/>
          <w:b/>
          <w:bCs/>
          <w:lang w:eastAsia="es-ES"/>
        </w:rPr>
        <w:t>Ciudadano(a) Anónimo(a)</w:t>
      </w:r>
    </w:p>
    <w:p w14:paraId="03464D64" w14:textId="77777777" w:rsidR="00653B51" w:rsidRPr="00653B51" w:rsidRDefault="00653B51" w:rsidP="00653B51">
      <w:pPr>
        <w:spacing w:after="0" w:line="240" w:lineRule="auto"/>
        <w:jc w:val="both"/>
        <w:rPr>
          <w:rFonts w:ascii="Verdana" w:eastAsia="Calibri" w:hAnsi="Verdana" w:cs="Arial"/>
          <w:lang w:eastAsia="es-ES"/>
        </w:rPr>
      </w:pPr>
      <w:hyperlink r:id="rId12" w:history="1">
        <w:r w:rsidRPr="00653B51">
          <w:rPr>
            <w:rFonts w:ascii="Verdana" w:eastAsia="Calibri" w:hAnsi="Verdana" w:cs="Arial"/>
            <w:color w:val="0000FF"/>
            <w:u w:val="single"/>
            <w:lang w:eastAsia="es-ES"/>
          </w:rPr>
          <w:t>redexltda97@gmail.com</w:t>
        </w:r>
      </w:hyperlink>
      <w:r w:rsidRPr="00653B51">
        <w:rPr>
          <w:rFonts w:ascii="Verdana" w:eastAsia="Calibri" w:hAnsi="Verdana" w:cs="Arial"/>
          <w:lang w:eastAsia="es-ES"/>
        </w:rPr>
        <w:t xml:space="preserve"> </w:t>
      </w:r>
    </w:p>
    <w:p w14:paraId="3B139D7E" w14:textId="77777777" w:rsidR="00653B51" w:rsidRPr="00653B51" w:rsidRDefault="00653B51" w:rsidP="00653B51">
      <w:pPr>
        <w:spacing w:after="0" w:line="240" w:lineRule="auto"/>
        <w:jc w:val="both"/>
        <w:rPr>
          <w:rFonts w:ascii="Verdana" w:eastAsia="Calibri" w:hAnsi="Verdana" w:cs="Arial"/>
          <w:lang w:eastAsia="es-ES"/>
        </w:rPr>
      </w:pPr>
      <w:r w:rsidRPr="00653B51">
        <w:rPr>
          <w:rFonts w:ascii="Verdana" w:eastAsia="Calibri" w:hAnsi="Verdana" w:cs="Arial"/>
        </w:rPr>
        <w:t>Ciudad</w:t>
      </w:r>
    </w:p>
    <w:p w14:paraId="280DCE21" w14:textId="77777777" w:rsidR="00653B51" w:rsidRPr="00653B51" w:rsidRDefault="00653B51" w:rsidP="00653B51">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653B51" w:rsidRPr="00653B51" w14:paraId="3BA8AC90" w14:textId="77777777" w:rsidTr="00A46F1D">
        <w:trPr>
          <w:trHeight w:val="910"/>
        </w:trPr>
        <w:tc>
          <w:tcPr>
            <w:tcW w:w="2725" w:type="dxa"/>
          </w:tcPr>
          <w:p w14:paraId="34A9A161" w14:textId="77777777" w:rsidR="00653B51" w:rsidRPr="00653B51" w:rsidRDefault="00653B51" w:rsidP="00653B51">
            <w:pPr>
              <w:jc w:val="both"/>
              <w:rPr>
                <w:rFonts w:ascii="Verdana" w:eastAsia="Calibri" w:hAnsi="Verdana" w:cs="Arial"/>
                <w:b/>
                <w:bCs/>
                <w:color w:val="7030A0"/>
                <w:lang w:eastAsia="es-ES_tradnl"/>
              </w:rPr>
            </w:pPr>
          </w:p>
        </w:tc>
        <w:tc>
          <w:tcPr>
            <w:tcW w:w="6183" w:type="dxa"/>
          </w:tcPr>
          <w:p w14:paraId="21DD2387" w14:textId="354F003E" w:rsidR="00653B51" w:rsidRPr="00653B51" w:rsidRDefault="00653B51" w:rsidP="00653B51">
            <w:pPr>
              <w:jc w:val="both"/>
              <w:rPr>
                <w:rFonts w:ascii="Verdana" w:eastAsia="Calibri" w:hAnsi="Verdana" w:cs="Arial"/>
                <w:b/>
                <w:bCs/>
                <w:lang w:eastAsia="es-ES"/>
              </w:rPr>
            </w:pPr>
            <w:r w:rsidRPr="00653B51">
              <w:rPr>
                <w:rFonts w:ascii="Verdana" w:eastAsia="Calibri" w:hAnsi="Verdana" w:cs="Arial"/>
                <w:b/>
                <w:bCs/>
                <w:lang w:eastAsia="es-ES"/>
              </w:rPr>
              <w:t>Concepto C-888 de 2026</w:t>
            </w:r>
          </w:p>
        </w:tc>
      </w:tr>
      <w:tr w:rsidR="00653B51" w:rsidRPr="00653B51" w14:paraId="09CB07F8" w14:textId="77777777" w:rsidTr="00A46F1D">
        <w:trPr>
          <w:trHeight w:val="910"/>
        </w:trPr>
        <w:tc>
          <w:tcPr>
            <w:tcW w:w="2725" w:type="dxa"/>
          </w:tcPr>
          <w:p w14:paraId="50F0E4D5" w14:textId="77777777" w:rsidR="00653B51" w:rsidRPr="00653B51" w:rsidRDefault="00653B51" w:rsidP="00653B51">
            <w:pPr>
              <w:jc w:val="both"/>
              <w:rPr>
                <w:rFonts w:ascii="Verdana" w:eastAsia="Calibri" w:hAnsi="Verdana" w:cs="Arial"/>
                <w:color w:val="000000"/>
                <w:lang w:eastAsia="es-ES_tradnl"/>
              </w:rPr>
            </w:pPr>
            <w:r w:rsidRPr="00653B51">
              <w:rPr>
                <w:rFonts w:ascii="Verdana" w:eastAsia="Calibri" w:hAnsi="Verdana" w:cs="Arial"/>
                <w:b/>
                <w:color w:val="000000"/>
                <w:lang w:eastAsia="es-ES_tradnl"/>
              </w:rPr>
              <w:t>Temas:</w:t>
            </w:r>
            <w:r w:rsidRPr="00653B51">
              <w:rPr>
                <w:rFonts w:ascii="Verdana" w:eastAsia="Calibri" w:hAnsi="Verdana" w:cs="Arial"/>
                <w:color w:val="000000"/>
                <w:lang w:eastAsia="es-ES_tradnl"/>
              </w:rPr>
              <w:t xml:space="preserve">                   </w:t>
            </w:r>
          </w:p>
        </w:tc>
        <w:tc>
          <w:tcPr>
            <w:tcW w:w="6183" w:type="dxa"/>
          </w:tcPr>
          <w:p w14:paraId="44879506" w14:textId="77777777" w:rsidR="00653B51" w:rsidRPr="00653B51" w:rsidRDefault="00653B51" w:rsidP="00653B51">
            <w:pPr>
              <w:jc w:val="both"/>
              <w:rPr>
                <w:rFonts w:ascii="Verdana" w:eastAsia="Calibri" w:hAnsi="Verdana" w:cs="Arial"/>
                <w:sz w:val="20"/>
                <w:szCs w:val="20"/>
                <w:lang w:eastAsia="es-ES"/>
              </w:rPr>
            </w:pPr>
            <w:r w:rsidRPr="00653B51">
              <w:rPr>
                <w:rFonts w:ascii="Verdana" w:eastAsia="Calibri" w:hAnsi="Verdana" w:cs="Calibri"/>
                <w:lang w:val="es-ES"/>
              </w:rPr>
              <w:t xml:space="preserve">CAPACIDAD RESIDUAL – Definición / CAPACIDAD RESIDUAL – Acreditación - Pliego de condiciones / CAPACIDAD RESIDUAL – Causal de rechazo / CAPACIDAD RESIDUAL – Documentos tipo – Causales de rechazo de la oferta / DOCUMENTOS TIPO – Causales de rechazo de la oferta – Literales H, E y X – </w:t>
            </w:r>
            <w:proofErr w:type="spellStart"/>
            <w:r w:rsidRPr="00653B51">
              <w:rPr>
                <w:rFonts w:ascii="Verdana" w:eastAsia="Calibri" w:hAnsi="Verdana" w:cs="Calibri"/>
                <w:lang w:val="es-ES"/>
              </w:rPr>
              <w:t>Subsanabilidad</w:t>
            </w:r>
            <w:proofErr w:type="spellEnd"/>
          </w:p>
          <w:p w14:paraId="206CD243" w14:textId="77777777" w:rsidR="00653B51" w:rsidRPr="00653B51" w:rsidRDefault="00653B51" w:rsidP="00653B51">
            <w:pPr>
              <w:jc w:val="both"/>
              <w:rPr>
                <w:rFonts w:ascii="Verdana" w:eastAsia="Calibri" w:hAnsi="Verdana" w:cs="Arial"/>
                <w:lang w:eastAsia="es-ES"/>
              </w:rPr>
            </w:pPr>
          </w:p>
        </w:tc>
      </w:tr>
      <w:tr w:rsidR="00653B51" w:rsidRPr="00653B51" w14:paraId="691B4B16" w14:textId="77777777" w:rsidTr="00A46F1D">
        <w:trPr>
          <w:trHeight w:val="556"/>
        </w:trPr>
        <w:tc>
          <w:tcPr>
            <w:tcW w:w="2725" w:type="dxa"/>
          </w:tcPr>
          <w:p w14:paraId="4CFD6E57" w14:textId="77777777" w:rsidR="00653B51" w:rsidRPr="00653B51" w:rsidRDefault="00653B51" w:rsidP="00653B51">
            <w:pPr>
              <w:jc w:val="both"/>
              <w:rPr>
                <w:rFonts w:ascii="Verdana" w:eastAsia="Calibri" w:hAnsi="Verdana" w:cs="Arial"/>
                <w:b/>
                <w:bCs/>
                <w:lang w:eastAsia="es-ES_tradnl"/>
              </w:rPr>
            </w:pPr>
            <w:r w:rsidRPr="00653B51">
              <w:rPr>
                <w:rFonts w:ascii="Verdana" w:eastAsia="Calibri" w:hAnsi="Verdana" w:cs="Arial"/>
                <w:b/>
                <w:bCs/>
                <w:lang w:eastAsia="es-ES_tradnl"/>
              </w:rPr>
              <w:t xml:space="preserve">Radicación:               </w:t>
            </w:r>
          </w:p>
        </w:tc>
        <w:tc>
          <w:tcPr>
            <w:tcW w:w="6183" w:type="dxa"/>
          </w:tcPr>
          <w:p w14:paraId="317ED0C1" w14:textId="77777777" w:rsidR="00653B51" w:rsidRPr="00653B51" w:rsidRDefault="00653B51" w:rsidP="00653B51">
            <w:pPr>
              <w:jc w:val="both"/>
              <w:rPr>
                <w:rFonts w:ascii="Verdana" w:eastAsia="Calibri" w:hAnsi="Verdana" w:cs="Arial"/>
                <w:lang w:eastAsia="es-ES_tradnl"/>
              </w:rPr>
            </w:pPr>
            <w:r w:rsidRPr="00653B51">
              <w:rPr>
                <w:rFonts w:ascii="Verdana" w:eastAsia="Calibri" w:hAnsi="Verdana" w:cs="Arial"/>
                <w:lang w:eastAsia="es-ES_tradnl"/>
              </w:rPr>
              <w:t>Respuesta a consulta con radicado No. 1</w:t>
            </w:r>
            <w:r w:rsidRPr="00653B51">
              <w:rPr>
                <w:rFonts w:ascii="Aptos" w:eastAsia="Aptos" w:hAnsi="Aptos" w:cs="Times New Roman"/>
              </w:rPr>
              <w:t xml:space="preserve"> </w:t>
            </w:r>
            <w:r w:rsidRPr="00653B51">
              <w:rPr>
                <w:rFonts w:ascii="Verdana" w:eastAsia="Calibri" w:hAnsi="Verdana" w:cs="Arial"/>
                <w:lang w:eastAsia="es-ES_tradnl"/>
              </w:rPr>
              <w:t>1_2026_05_27_007148</w:t>
            </w:r>
          </w:p>
        </w:tc>
      </w:tr>
    </w:tbl>
    <w:p w14:paraId="55B1AFBB" w14:textId="382DCC43" w:rsidR="00650217" w:rsidRPr="00653B51" w:rsidRDefault="00653B51" w:rsidP="00653B51">
      <w:pPr>
        <w:spacing w:after="0" w:line="240" w:lineRule="auto"/>
        <w:jc w:val="both"/>
        <w:rPr>
          <w:rFonts w:ascii="Verdana" w:eastAsia="Calibri" w:hAnsi="Verdana" w:cs="Arial"/>
          <w:b/>
          <w:bCs/>
          <w:lang w:eastAsia="es-ES"/>
        </w:rPr>
      </w:pPr>
      <w:r w:rsidRPr="00653B51">
        <w:rPr>
          <w:rFonts w:ascii="Verdana" w:eastAsia="Calibri" w:hAnsi="Verdana" w:cs="Arial"/>
          <w:b/>
          <w:bCs/>
          <w:lang w:eastAsia="es-ES"/>
        </w:rPr>
        <w:tab/>
      </w:r>
    </w:p>
    <w:p w14:paraId="79EA334D" w14:textId="77777777" w:rsidR="00653B51" w:rsidRPr="00653B51" w:rsidRDefault="00653B51" w:rsidP="00653B51">
      <w:pPr>
        <w:spacing w:after="0" w:line="276" w:lineRule="auto"/>
        <w:jc w:val="both"/>
        <w:rPr>
          <w:rFonts w:ascii="Verdana" w:eastAsia="Calibri" w:hAnsi="Verdana" w:cs="Vrinda"/>
          <w:lang w:val="es-ES" w:eastAsia="es-ES"/>
        </w:rPr>
      </w:pPr>
      <w:r w:rsidRPr="00653B51">
        <w:rPr>
          <w:rFonts w:ascii="Verdana" w:eastAsia="Calibri" w:hAnsi="Verdana" w:cs="Vrinda"/>
          <w:lang w:val="es-ES" w:eastAsia="es-ES"/>
        </w:rPr>
        <w:t xml:space="preserve">Estimado Señor(a): </w:t>
      </w:r>
    </w:p>
    <w:p w14:paraId="28BF1BF7" w14:textId="77777777" w:rsidR="00653B51" w:rsidRPr="00653B51" w:rsidRDefault="00653B51" w:rsidP="00653B51">
      <w:pPr>
        <w:spacing w:after="0" w:line="276" w:lineRule="auto"/>
        <w:jc w:val="both"/>
        <w:rPr>
          <w:rFonts w:ascii="Verdana" w:eastAsia="Calibri" w:hAnsi="Verdana" w:cs="Vrinda"/>
          <w:lang w:val="es-ES_tradnl" w:eastAsia="es-ES_tradnl"/>
        </w:rPr>
      </w:pPr>
    </w:p>
    <w:p w14:paraId="46A0AA79" w14:textId="77777777" w:rsidR="00653B51" w:rsidRPr="00653B51" w:rsidRDefault="00653B51" w:rsidP="00653B51">
      <w:pPr>
        <w:snapToGrid w:val="0"/>
        <w:spacing w:after="0" w:line="276" w:lineRule="auto"/>
        <w:jc w:val="both"/>
        <w:rPr>
          <w:rFonts w:ascii="Verdana" w:eastAsia="Calibri" w:hAnsi="Verdana" w:cs="Arial"/>
          <w:kern w:val="2"/>
          <w:lang w:val="es-ES_tradnl" w:eastAsia="es-ES"/>
          <w14:ligatures w14:val="standardContextual"/>
        </w:rPr>
      </w:pPr>
      <w:r w:rsidRPr="00653B51">
        <w:rPr>
          <w:rFonts w:ascii="Verdana" w:eastAsia="Calibri" w:hAnsi="Verdana" w:cs="Arial"/>
          <w:kern w:val="2"/>
          <w:lang w:val="es-ES_tradnl" w:eastAsia="es-ES"/>
          <w14:ligatures w14:val="standardContextual"/>
        </w:rPr>
        <w:t>En ejercicio de la competencia otorgada por los artículos 3, numeral 5º, y 11, numeral 8º, del Decreto Ley 4170 de 2011,</w:t>
      </w:r>
      <w:r w:rsidRPr="00653B51">
        <w:rPr>
          <w:rFonts w:ascii="Verdana" w:eastAsia="Arial MT" w:hAnsi="Verdana" w:cs="Arial MT"/>
          <w:kern w:val="2"/>
          <w:lang w:val="es-ES_tradnl" w:eastAsia="es-ES"/>
          <w14:ligatures w14:val="standardContextual"/>
        </w:rPr>
        <w:t xml:space="preserve"> </w:t>
      </w:r>
      <w:r w:rsidRPr="00653B51">
        <w:rPr>
          <w:rFonts w:ascii="Verdana" w:eastAsia="Calibri" w:hAnsi="Verdana" w:cs="Arial"/>
          <w:kern w:val="2"/>
          <w:lang w:val="es-ES_tradnl"/>
          <w14:ligatures w14:val="standardContextual"/>
        </w:rPr>
        <w:t xml:space="preserve">así como lo establecido en la Resolución No. 469 del 2025 expedida por esta Entidad, </w:t>
      </w:r>
      <w:r w:rsidRPr="00653B51">
        <w:rPr>
          <w:rFonts w:ascii="Verdana" w:eastAsia="Calibri" w:hAnsi="Verdana" w:cs="Arial"/>
          <w:kern w:val="2"/>
          <w:lang w:val="es-ES_tradnl" w:eastAsia="es-ES"/>
          <w14:ligatures w14:val="standardContextual"/>
        </w:rPr>
        <w:t>la Agencia Nacional de Contratación Pública –Colombia Compra Eficiente– responde su solicitud de consulta de fecha 27 de mayo de 2026, en la cual manifiesta lo siguiente:</w:t>
      </w:r>
    </w:p>
    <w:p w14:paraId="1CB8B256" w14:textId="77777777" w:rsidR="00653B51" w:rsidRPr="00653B51" w:rsidRDefault="00653B51" w:rsidP="00653B51">
      <w:pPr>
        <w:spacing w:after="0" w:line="276" w:lineRule="auto"/>
        <w:jc w:val="both"/>
        <w:rPr>
          <w:rFonts w:ascii="Verdana" w:eastAsia="Calibri" w:hAnsi="Verdana" w:cs="Vrinda"/>
          <w:lang w:val="es-ES" w:eastAsia="es-ES"/>
        </w:rPr>
      </w:pPr>
    </w:p>
    <w:p w14:paraId="749E4091" w14:textId="77777777" w:rsidR="00653B51" w:rsidRPr="00653B51" w:rsidRDefault="00653B51" w:rsidP="00653B51">
      <w:pPr>
        <w:spacing w:after="0" w:line="240" w:lineRule="auto"/>
        <w:ind w:left="709" w:right="709"/>
        <w:jc w:val="both"/>
        <w:rPr>
          <w:rFonts w:ascii="Verdana" w:eastAsia="Times New Roman" w:hAnsi="Verdana" w:cs="Times New Roman"/>
          <w:kern w:val="2"/>
          <w:sz w:val="20"/>
          <w:szCs w:val="20"/>
          <w:lang w:eastAsia="es-CO"/>
          <w14:ligatures w14:val="standardContextual"/>
        </w:rPr>
      </w:pPr>
      <w:r w:rsidRPr="00653B51">
        <w:rPr>
          <w:rFonts w:ascii="Verdana" w:eastAsia="Aptos" w:hAnsi="Verdana" w:cs="Helvetica"/>
          <w:color w:val="000000"/>
          <w:sz w:val="20"/>
          <w:szCs w:val="20"/>
          <w:lang w:val="es-MX"/>
          <w14:ligatures w14:val="standardContextual"/>
        </w:rPr>
        <w:t>“</w:t>
      </w:r>
      <w:r w:rsidRPr="00653B51">
        <w:rPr>
          <w:rFonts w:ascii="Verdana" w:eastAsia="Times New Roman" w:hAnsi="Verdana" w:cs="Times New Roman"/>
          <w:kern w:val="2"/>
          <w:sz w:val="20"/>
          <w:szCs w:val="20"/>
          <w:lang w:eastAsia="es-CO"/>
          <w14:ligatures w14:val="standardContextual"/>
        </w:rPr>
        <w:t>De manera atenta se solicita concepto jurídico respecto de la siguiente situación presentada dentro de un proceso de licitación pública regido por pliegos tipo, en donde  momento de estructurar y presentar la oferta, se relacionó dentro del formato de saldo de contratos en ejecución  un contrato adjudicado no obstante, por un error involuntario en el diligenciamiento de la información, no fue incluida la fecha del acta de inicio de este, que fue tres días antes de la fecha de cierre del proceso.</w:t>
      </w:r>
    </w:p>
    <w:p w14:paraId="761FE4C5" w14:textId="77777777" w:rsidR="00653B51" w:rsidRPr="00653B51" w:rsidRDefault="00653B51" w:rsidP="00653B51">
      <w:pPr>
        <w:spacing w:before="120" w:after="120" w:line="240" w:lineRule="auto"/>
        <w:ind w:left="70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t>En ese sentido, respetuosamente se solicita a la Agencia Nacional de Contratación Pública – Colombia Compra Eficiente emitir concepto respecto de los siguientes interrogantes:</w:t>
      </w:r>
    </w:p>
    <w:p w14:paraId="40986190" w14:textId="77777777" w:rsidR="00653B51" w:rsidRPr="00653B51" w:rsidRDefault="00653B51" w:rsidP="00653B51">
      <w:pPr>
        <w:numPr>
          <w:ilvl w:val="0"/>
          <w:numId w:val="21"/>
        </w:numPr>
        <w:spacing w:before="120" w:after="120" w:line="240" w:lineRule="auto"/>
        <w:ind w:left="106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lastRenderedPageBreak/>
        <w:t>¿La omisión involuntaria de la fecha de inicio de un contrato previamente relacionado dentro de la propuesta constituye una causal de rechazo de la oferta por afectación de la capacidad residual?</w:t>
      </w:r>
    </w:p>
    <w:p w14:paraId="30E39EDD" w14:textId="77777777" w:rsidR="00653B51" w:rsidRPr="00653B51" w:rsidRDefault="00653B51" w:rsidP="00653B51">
      <w:pPr>
        <w:numPr>
          <w:ilvl w:val="0"/>
          <w:numId w:val="21"/>
        </w:numPr>
        <w:spacing w:before="120" w:after="120" w:line="240" w:lineRule="auto"/>
        <w:ind w:left="106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t>¿Puede entenderse dicha situación como un aspecto susceptible de aclaración o subsanación, teniendo en cuenta que el contrato sí fue reportado por el proponente y que no se ocultó su existencia?</w:t>
      </w:r>
    </w:p>
    <w:p w14:paraId="27525E0D" w14:textId="77777777" w:rsidR="00653B51" w:rsidRPr="00653B51" w:rsidRDefault="00653B51" w:rsidP="00653B51">
      <w:pPr>
        <w:numPr>
          <w:ilvl w:val="0"/>
          <w:numId w:val="21"/>
        </w:numPr>
        <w:spacing w:before="120" w:after="120" w:line="240" w:lineRule="auto"/>
        <w:ind w:left="106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t>¿La verificación de la capacidad residual debe realizarse sobre la base de contratos efectivamente reportados y en ejecución al momento de la presentación de la oferta, aun cuando existan errores formales en el diligenciamiento de alguna información asociada al cálculo?</w:t>
      </w:r>
    </w:p>
    <w:p w14:paraId="1DEEE36E" w14:textId="77777777" w:rsidR="00653B51" w:rsidRPr="00653B51" w:rsidRDefault="00653B51" w:rsidP="00653B51">
      <w:pPr>
        <w:numPr>
          <w:ilvl w:val="0"/>
          <w:numId w:val="21"/>
        </w:numPr>
        <w:spacing w:before="120" w:after="120" w:line="240" w:lineRule="auto"/>
        <w:ind w:left="106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t>¿La corrección o aclaración de la fecha de inicio de un contrato previamente informado implica modificación de la oferta o puede considerarse una precisión documental del requisito habilitante?</w:t>
      </w:r>
    </w:p>
    <w:p w14:paraId="7097AA1B" w14:textId="77777777" w:rsidR="00653B51" w:rsidRPr="00653B51" w:rsidRDefault="00653B51" w:rsidP="00653B51">
      <w:pPr>
        <w:spacing w:before="120" w:after="0" w:line="240" w:lineRule="auto"/>
        <w:ind w:left="709" w:right="709"/>
        <w:jc w:val="both"/>
        <w:rPr>
          <w:rFonts w:ascii="Verdana" w:eastAsia="Times New Roman" w:hAnsi="Verdana" w:cs="Times New Roman"/>
          <w:kern w:val="2"/>
          <w:sz w:val="20"/>
          <w:szCs w:val="20"/>
          <w:lang w:eastAsia="es-CO"/>
          <w14:ligatures w14:val="standardContextual"/>
        </w:rPr>
      </w:pPr>
      <w:r w:rsidRPr="00653B51">
        <w:rPr>
          <w:rFonts w:ascii="Verdana" w:eastAsia="Times New Roman" w:hAnsi="Verdana" w:cs="Times New Roman"/>
          <w:kern w:val="2"/>
          <w:sz w:val="20"/>
          <w:szCs w:val="20"/>
          <w:lang w:eastAsia="es-CO"/>
          <w14:ligatures w14:val="standardContextual"/>
        </w:rPr>
        <w:t>Lo anterior, con el fin de contar con claridad jurídica respecto del alcance de los principios de transparencia, buena fe, prevalencia de lo sustancial sobre lo formal y las reglas aplicables a la acreditación de la capacidad residual en los procesos de contratación estatal.</w:t>
      </w:r>
      <w:r w:rsidRPr="00653B51">
        <w:rPr>
          <w:rFonts w:ascii="Verdana" w:eastAsia="Aptos" w:hAnsi="Verdana" w:cs="Helvetica"/>
          <w:color w:val="000000"/>
          <w:sz w:val="20"/>
          <w:szCs w:val="20"/>
          <w14:ligatures w14:val="standardContextual"/>
        </w:rPr>
        <w:t>”.</w:t>
      </w:r>
    </w:p>
    <w:p w14:paraId="0565C207" w14:textId="77777777" w:rsidR="00653B51" w:rsidRPr="00653B51" w:rsidRDefault="00653B51" w:rsidP="00653B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contextualSpacing/>
        <w:jc w:val="both"/>
        <w:rPr>
          <w:rFonts w:ascii="Verdana" w:eastAsia="Aptos" w:hAnsi="Verdana" w:cs="Helvetica"/>
          <w:color w:val="000000"/>
          <w:sz w:val="21"/>
          <w:szCs w:val="21"/>
          <w14:ligatures w14:val="standardContextual"/>
        </w:rPr>
      </w:pPr>
    </w:p>
    <w:p w14:paraId="2BD12F88" w14:textId="77777777" w:rsidR="00653B51" w:rsidRPr="00653B51" w:rsidRDefault="00653B51" w:rsidP="00653B51">
      <w:pPr>
        <w:spacing w:after="120" w:line="276" w:lineRule="auto"/>
        <w:ind w:firstLine="709"/>
        <w:jc w:val="both"/>
        <w:rPr>
          <w:rFonts w:ascii="Verdana" w:eastAsia="Calibri" w:hAnsi="Verdana" w:cs="Arial"/>
          <w:color w:val="000000"/>
          <w:lang w:eastAsia="es-ES"/>
        </w:rPr>
      </w:pPr>
      <w:r w:rsidRPr="00653B51">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53B51">
        <w:rPr>
          <w:rFonts w:ascii="Verdana" w:eastAsia="Calibri" w:hAnsi="Verdana" w:cs="Arial"/>
          <w:color w:val="000000"/>
          <w:lang w:eastAsia="es-ES"/>
        </w:rPr>
        <w:tab/>
      </w:r>
    </w:p>
    <w:p w14:paraId="13193599" w14:textId="77777777" w:rsidR="00653B51" w:rsidRPr="00653B51" w:rsidRDefault="00653B51" w:rsidP="00653B51">
      <w:pPr>
        <w:spacing w:after="0" w:line="276" w:lineRule="auto"/>
        <w:ind w:firstLine="709"/>
        <w:jc w:val="both"/>
        <w:rPr>
          <w:rFonts w:ascii="Verdana" w:eastAsia="Calibri" w:hAnsi="Verdana" w:cs="Arial"/>
          <w:color w:val="000000"/>
          <w:lang w:eastAsia="es-ES"/>
        </w:rPr>
      </w:pPr>
      <w:r w:rsidRPr="00653B51">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929E31B" w14:textId="77777777" w:rsidR="00653B51" w:rsidRPr="00653B51" w:rsidRDefault="00653B51" w:rsidP="00653B51">
      <w:pPr>
        <w:spacing w:after="0" w:line="276" w:lineRule="auto"/>
        <w:ind w:firstLine="709"/>
        <w:jc w:val="both"/>
        <w:rPr>
          <w:rFonts w:ascii="Verdana" w:eastAsia="Calibri" w:hAnsi="Verdana" w:cs="Arial"/>
          <w:color w:val="000000"/>
          <w:lang w:eastAsia="es-ES"/>
        </w:rPr>
      </w:pPr>
    </w:p>
    <w:p w14:paraId="66FA694F" w14:textId="77777777" w:rsidR="00653B51" w:rsidRPr="00653B51" w:rsidRDefault="00653B51" w:rsidP="00653B5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653B51">
        <w:rPr>
          <w:rFonts w:ascii="Verdana" w:eastAsia="Century Gothic" w:hAnsi="Verdana" w:cs="Century Gothic"/>
          <w:b/>
          <w:bCs/>
        </w:rPr>
        <w:t>Problema planteado:</w:t>
      </w:r>
    </w:p>
    <w:p w14:paraId="2FA6E81F" w14:textId="77777777" w:rsidR="00653B51" w:rsidRPr="00653B51" w:rsidRDefault="00653B51" w:rsidP="00653B51">
      <w:pPr>
        <w:tabs>
          <w:tab w:val="left" w:pos="142"/>
          <w:tab w:val="left" w:pos="284"/>
        </w:tabs>
        <w:spacing w:after="0" w:line="276" w:lineRule="auto"/>
        <w:jc w:val="both"/>
        <w:rPr>
          <w:rFonts w:ascii="Verdana" w:eastAsia="Century Gothic" w:hAnsi="Verdana" w:cs="Century Gothic"/>
          <w:b/>
          <w:bCs/>
        </w:rPr>
      </w:pPr>
    </w:p>
    <w:p w14:paraId="3123C0BC" w14:textId="77777777" w:rsidR="00653B51" w:rsidRPr="00653B51" w:rsidRDefault="00653B51" w:rsidP="00653B51">
      <w:pPr>
        <w:tabs>
          <w:tab w:val="left" w:pos="142"/>
          <w:tab w:val="left" w:pos="284"/>
        </w:tabs>
        <w:spacing w:after="0" w:line="276" w:lineRule="auto"/>
        <w:jc w:val="both"/>
        <w:rPr>
          <w:rFonts w:ascii="Verdana" w:eastAsia="Century Gothic" w:hAnsi="Verdana" w:cs="Century Gothic"/>
        </w:rPr>
      </w:pPr>
      <w:r w:rsidRPr="00653B51">
        <w:rPr>
          <w:rFonts w:ascii="Verdana" w:eastAsia="Century Gothic" w:hAnsi="Verdana" w:cs="Century Gothic"/>
        </w:rPr>
        <w:lastRenderedPageBreak/>
        <w:t>De acuerdo con el contenido de su solicitud, esta Agencia resolverá el siguiente problema jurídico: ¿En un proceso de licitación pública regido por documentos tipo de licitación de obra pública de infraestructura de transporte – versión 4, es procedente que la entidad estatal permita la aclaración o subsanación de la información consignada en el formato de saldo de contratos en ejecución cuando el proponente reportó la existencia de un contrato adjudicado, pero incurrió en un error involuntario respecto de alguno de sus datos, o, por el contrario, dicha situación configura una causal de rechazo de la oferta relacionada con la capacidad residual de contratación?</w:t>
      </w:r>
    </w:p>
    <w:p w14:paraId="43A5AD1C" w14:textId="77777777" w:rsidR="00653B51" w:rsidRPr="00653B51" w:rsidRDefault="00653B51" w:rsidP="00653B51">
      <w:pPr>
        <w:tabs>
          <w:tab w:val="left" w:pos="142"/>
          <w:tab w:val="left" w:pos="284"/>
        </w:tabs>
        <w:spacing w:after="0" w:line="276" w:lineRule="auto"/>
        <w:jc w:val="both"/>
        <w:rPr>
          <w:rFonts w:ascii="Verdana" w:eastAsia="Calibri" w:hAnsi="Verdana" w:cs="Arial"/>
          <w:color w:val="7030A0"/>
        </w:rPr>
      </w:pPr>
    </w:p>
    <w:p w14:paraId="45EEE995" w14:textId="77777777" w:rsidR="00653B51" w:rsidRPr="00653B51" w:rsidRDefault="00653B51" w:rsidP="00653B5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653B51">
        <w:rPr>
          <w:rFonts w:ascii="Verdana" w:eastAsia="Century Gothic" w:hAnsi="Verdana" w:cs="Century Gothic"/>
          <w:b/>
          <w:bCs/>
        </w:rPr>
        <w:t>Respuesta:</w:t>
      </w:r>
    </w:p>
    <w:p w14:paraId="7983CDDF" w14:textId="77777777" w:rsidR="00653B51" w:rsidRPr="00653B51" w:rsidRDefault="00653B51" w:rsidP="00653B5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53B51" w:rsidRPr="00653B51" w14:paraId="0F9EE06C" w14:textId="77777777" w:rsidTr="00A46F1D">
        <w:tc>
          <w:tcPr>
            <w:tcW w:w="8828" w:type="dxa"/>
          </w:tcPr>
          <w:p w14:paraId="507DCE8F" w14:textId="77777777" w:rsidR="00653B51" w:rsidRPr="00653B51" w:rsidRDefault="00653B51" w:rsidP="00653B51">
            <w:pPr>
              <w:spacing w:after="120" w:line="276" w:lineRule="auto"/>
              <w:jc w:val="both"/>
              <w:rPr>
                <w:rFonts w:ascii="Verdana" w:eastAsia="Calibri" w:hAnsi="Verdana" w:cs="Times New Roman"/>
              </w:rPr>
            </w:pPr>
            <w:r w:rsidRPr="00653B51">
              <w:rPr>
                <w:rFonts w:ascii="Verdana" w:eastAsia="Arial" w:hAnsi="Verdana" w:cs="Arial"/>
                <w:lang w:eastAsia="es-ES" w:bidi="es-ES"/>
              </w:rPr>
              <w:t>P</w:t>
            </w:r>
            <w:r w:rsidRPr="00653B51">
              <w:rPr>
                <w:rFonts w:ascii="Verdana" w:eastAsia="Arial" w:hAnsi="Verdana" w:cs="Arial"/>
                <w:lang w:val="es-ES" w:eastAsia="es-ES" w:bidi="es-ES"/>
              </w:rPr>
              <w:t xml:space="preserve">ara responder al problema jurídico planteado en esta solicitud, </w:t>
            </w:r>
            <w:r w:rsidRPr="00653B51">
              <w:rPr>
                <w:rFonts w:ascii="Verdana" w:eastAsia="Calibri" w:hAnsi="Verdana" w:cs="Times New Roman"/>
              </w:rPr>
              <w:t>relativo a la posibilidad de subsanar la capacidad residual de contratación en eventos en que se utilice los documentos tipo, es menester indicar que, e</w:t>
            </w:r>
            <w:r w:rsidRPr="00653B51">
              <w:rPr>
                <w:rFonts w:ascii="Verdana" w:eastAsia="Calibri" w:hAnsi="Verdana" w:cs="Arial"/>
                <w:szCs w:val="20"/>
                <w:lang w:val="es-MX"/>
              </w:rPr>
              <w:t xml:space="preserve">l numeral 3.10 del documento base de licitación para obra pública de infraestructura de transporte –versión 4 establece </w:t>
            </w:r>
            <w:r w:rsidRPr="00653B51">
              <w:rPr>
                <w:rFonts w:ascii="Verdana" w:eastAsia="Calibri" w:hAnsi="Verdana" w:cs="Arial"/>
                <w:szCs w:val="20"/>
              </w:rPr>
              <w:t xml:space="preserve">como requisito habilitante la capacidad residual. En este documento tipo, </w:t>
            </w:r>
            <w:r w:rsidRPr="00653B51">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056A2908" w14:textId="77777777" w:rsidR="00653B51" w:rsidRPr="00653B51" w:rsidRDefault="00653B51" w:rsidP="00653B51">
            <w:pPr>
              <w:ind w:left="709" w:right="709"/>
              <w:jc w:val="both"/>
              <w:rPr>
                <w:rFonts w:ascii="Verdana" w:eastAsia="Calibri" w:hAnsi="Verdana" w:cs="Arial"/>
                <w:b/>
                <w:bCs/>
                <w:sz w:val="21"/>
                <w:szCs w:val="21"/>
              </w:rPr>
            </w:pPr>
          </w:p>
          <w:p w14:paraId="54B4CCA8" w14:textId="77777777" w:rsidR="00653B51" w:rsidRPr="00653B51" w:rsidRDefault="00653B51" w:rsidP="00653B51">
            <w:pPr>
              <w:ind w:right="709" w:firstLine="708"/>
              <w:rPr>
                <w:rFonts w:ascii="Verdana" w:eastAsia="Aptos" w:hAnsi="Verdana" w:cs="Times New Roman"/>
                <w:b/>
                <w:bCs/>
                <w:sz w:val="21"/>
                <w:szCs w:val="21"/>
              </w:rPr>
            </w:pPr>
            <w:r w:rsidRPr="00653B51">
              <w:rPr>
                <w:rFonts w:ascii="Verdana" w:eastAsia="Aptos" w:hAnsi="Verdana" w:cs="Times New Roman"/>
                <w:b/>
                <w:bCs/>
                <w:sz w:val="21"/>
                <w:szCs w:val="21"/>
              </w:rPr>
              <w:t>“1.15 CAUSALES DE RECHAZO</w:t>
            </w:r>
          </w:p>
          <w:p w14:paraId="371C1E13" w14:textId="77777777" w:rsidR="00653B51" w:rsidRPr="00653B51" w:rsidRDefault="00653B51" w:rsidP="00653B51">
            <w:pPr>
              <w:spacing w:after="120"/>
              <w:ind w:left="709" w:right="709"/>
              <w:rPr>
                <w:rFonts w:ascii="Verdana" w:eastAsia="Aptos" w:hAnsi="Verdana" w:cs="Times New Roman"/>
                <w:sz w:val="21"/>
                <w:szCs w:val="21"/>
                <w:lang w:val="es-MX"/>
              </w:rPr>
            </w:pPr>
            <w:r w:rsidRPr="00653B51">
              <w:rPr>
                <w:rFonts w:ascii="Verdana" w:eastAsia="Aptos" w:hAnsi="Verdana" w:cs="Times New Roman"/>
                <w:sz w:val="21"/>
                <w:szCs w:val="21"/>
                <w:lang w:val="es-MX"/>
              </w:rPr>
              <w:t xml:space="preserve">Son causales de rechazo de las propuestas las siguientes </w:t>
            </w:r>
            <w:r w:rsidRPr="00653B51">
              <w:rPr>
                <w:rFonts w:ascii="Verdana" w:eastAsia="Aptos" w:hAnsi="Verdana" w:cs="Times New Roman"/>
                <w:sz w:val="21"/>
                <w:szCs w:val="21"/>
                <w:highlight w:val="lightGray"/>
                <w:lang w:val="es-MX"/>
              </w:rPr>
              <w:t>[Las entidades no podrán incluir causales de rechazo distintas a las señaladas en la presente sección]</w:t>
            </w:r>
            <w:r w:rsidRPr="00653B51">
              <w:rPr>
                <w:rFonts w:ascii="Verdana" w:eastAsia="Aptos" w:hAnsi="Verdana" w:cs="Times New Roman"/>
                <w:sz w:val="21"/>
                <w:szCs w:val="21"/>
                <w:lang w:val="es-MX"/>
              </w:rPr>
              <w:t>:</w:t>
            </w:r>
          </w:p>
          <w:p w14:paraId="4CBA9EF6" w14:textId="77777777" w:rsidR="00653B51" w:rsidRPr="00653B51" w:rsidRDefault="00653B51" w:rsidP="00653B51">
            <w:pPr>
              <w:spacing w:after="120"/>
              <w:ind w:left="709" w:right="709"/>
              <w:rPr>
                <w:rFonts w:ascii="Verdana" w:eastAsia="Aptos" w:hAnsi="Verdana" w:cs="Times New Roman"/>
                <w:sz w:val="21"/>
                <w:szCs w:val="21"/>
                <w:lang w:val="es-MX"/>
              </w:rPr>
            </w:pPr>
            <w:r w:rsidRPr="00653B51">
              <w:rPr>
                <w:rFonts w:ascii="Verdana" w:eastAsia="Aptos" w:hAnsi="Verdana" w:cs="Times New Roman"/>
                <w:sz w:val="21"/>
                <w:szCs w:val="21"/>
                <w:lang w:val="es-MX"/>
              </w:rPr>
              <w:t>(…)</w:t>
            </w:r>
          </w:p>
          <w:p w14:paraId="2E7117F6" w14:textId="77777777" w:rsidR="00653B51" w:rsidRPr="00653B51" w:rsidRDefault="00653B51" w:rsidP="00653B51">
            <w:pPr>
              <w:numPr>
                <w:ilvl w:val="0"/>
                <w:numId w:val="18"/>
              </w:numPr>
              <w:spacing w:after="120"/>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43B114FB" w14:textId="77777777" w:rsidR="00653B51" w:rsidRPr="00653B51" w:rsidRDefault="00653B51" w:rsidP="00653B51">
            <w:pPr>
              <w:spacing w:after="120"/>
              <w:ind w:left="709" w:right="709" w:firstLine="283"/>
              <w:jc w:val="both"/>
              <w:rPr>
                <w:rFonts w:ascii="Verdana" w:eastAsia="Arial" w:hAnsi="Verdana" w:cs="Arial"/>
                <w:sz w:val="21"/>
                <w:szCs w:val="21"/>
                <w:lang w:val="es-MX"/>
              </w:rPr>
            </w:pPr>
            <w:r w:rsidRPr="00653B51">
              <w:rPr>
                <w:rFonts w:ascii="Verdana" w:eastAsia="Arial" w:hAnsi="Verdana" w:cs="Arial"/>
                <w:sz w:val="21"/>
                <w:szCs w:val="21"/>
                <w:lang w:val="es-MX"/>
              </w:rPr>
              <w:t>(…)</w:t>
            </w:r>
          </w:p>
          <w:p w14:paraId="7B7EA823" w14:textId="77777777" w:rsidR="00653B51" w:rsidRPr="00653B51" w:rsidRDefault="00653B51" w:rsidP="00653B51">
            <w:pPr>
              <w:numPr>
                <w:ilvl w:val="0"/>
                <w:numId w:val="19"/>
              </w:numPr>
              <w:spacing w:after="120"/>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45054771" w14:textId="77777777" w:rsidR="00653B51" w:rsidRPr="00653B51" w:rsidRDefault="00653B51" w:rsidP="00653B51">
            <w:pPr>
              <w:spacing w:after="120"/>
              <w:ind w:left="1040" w:right="709"/>
              <w:jc w:val="both"/>
              <w:rPr>
                <w:rFonts w:ascii="Verdana" w:eastAsia="Arial" w:hAnsi="Verdana" w:cs="Arial"/>
                <w:sz w:val="21"/>
                <w:szCs w:val="21"/>
                <w:lang w:val="es-MX"/>
              </w:rPr>
            </w:pPr>
            <w:r w:rsidRPr="00653B51">
              <w:rPr>
                <w:rFonts w:ascii="Verdana" w:eastAsia="Arial" w:hAnsi="Verdana" w:cs="Arial"/>
                <w:sz w:val="21"/>
                <w:szCs w:val="21"/>
                <w:lang w:val="es-MX"/>
              </w:rPr>
              <w:lastRenderedPageBreak/>
              <w:t>(…)</w:t>
            </w:r>
          </w:p>
          <w:p w14:paraId="76929622" w14:textId="77777777" w:rsidR="00653B51" w:rsidRPr="00653B51" w:rsidRDefault="00653B51" w:rsidP="00653B51">
            <w:pPr>
              <w:numPr>
                <w:ilvl w:val="0"/>
                <w:numId w:val="20"/>
              </w:numPr>
              <w:spacing w:after="120"/>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p>
          <w:p w14:paraId="70969F9E" w14:textId="77777777" w:rsidR="00653B51" w:rsidRPr="00653B51" w:rsidRDefault="00653B51" w:rsidP="00653B51">
            <w:pPr>
              <w:ind w:left="1069"/>
              <w:contextualSpacing/>
              <w:jc w:val="both"/>
              <w:rPr>
                <w:rFonts w:ascii="Verdana" w:eastAsia="Calibri" w:hAnsi="Verdana" w:cs="Times New Roman"/>
                <w:sz w:val="21"/>
                <w:szCs w:val="21"/>
                <w:lang w:val="es-ES"/>
              </w:rPr>
            </w:pPr>
            <w:r w:rsidRPr="00653B51">
              <w:rPr>
                <w:rFonts w:ascii="Verdana" w:eastAsia="Calibri" w:hAnsi="Verdana" w:cs="Times New Roman"/>
                <w:sz w:val="21"/>
                <w:szCs w:val="21"/>
                <w:lang w:val="es-ES"/>
              </w:rPr>
              <w:t xml:space="preserve">(…)”. </w:t>
            </w:r>
          </w:p>
          <w:p w14:paraId="5D76679C" w14:textId="77777777" w:rsidR="00653B51" w:rsidRPr="00653B51" w:rsidRDefault="00653B51" w:rsidP="00653B51">
            <w:pPr>
              <w:ind w:left="709" w:right="709"/>
              <w:jc w:val="both"/>
              <w:rPr>
                <w:rFonts w:ascii="Verdana" w:eastAsia="Calibri" w:hAnsi="Verdana" w:cs="Arial"/>
                <w:szCs w:val="20"/>
                <w:lang w:val="es-MX"/>
              </w:rPr>
            </w:pPr>
          </w:p>
          <w:p w14:paraId="2271A537" w14:textId="77777777" w:rsidR="00653B51" w:rsidRPr="00653B51" w:rsidRDefault="00653B51" w:rsidP="00653B51">
            <w:pPr>
              <w:spacing w:line="276" w:lineRule="auto"/>
              <w:ind w:firstLine="708"/>
              <w:jc w:val="both"/>
              <w:rPr>
                <w:rFonts w:ascii="Verdana" w:eastAsia="Calibri" w:hAnsi="Verdana" w:cs="Arial"/>
                <w:szCs w:val="20"/>
                <w:lang w:val="es-MX"/>
              </w:rPr>
            </w:pPr>
            <w:r w:rsidRPr="00653B51">
              <w:rPr>
                <w:rFonts w:ascii="Verdana" w:eastAsia="Calibri" w:hAnsi="Verdana" w:cs="Arial"/>
                <w:szCs w:val="20"/>
                <w:lang w:val="es-MX"/>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7CDBE4C7" w14:textId="77777777" w:rsidR="00653B51" w:rsidRPr="00653B51" w:rsidRDefault="00653B51" w:rsidP="00653B51">
            <w:pPr>
              <w:spacing w:before="120" w:after="120" w:line="276" w:lineRule="auto"/>
              <w:ind w:firstLine="708"/>
              <w:jc w:val="both"/>
              <w:rPr>
                <w:rFonts w:ascii="Verdana" w:eastAsia="Calibri" w:hAnsi="Verdana" w:cs="Arial"/>
                <w:i/>
                <w:iCs/>
                <w:lang w:val="es-MX"/>
              </w:rPr>
            </w:pPr>
            <w:r w:rsidRPr="00653B51">
              <w:rPr>
                <w:rFonts w:ascii="Verdana" w:eastAsia="Calibri" w:hAnsi="Verdana" w:cs="Arial"/>
                <w:i/>
                <w:szCs w:val="20"/>
                <w:lang w:val="es-MX"/>
              </w:rPr>
              <w:t>i)</w:t>
            </w:r>
            <w:r w:rsidRPr="00653B51">
              <w:rPr>
                <w:rFonts w:ascii="Verdana" w:eastAsia="Calibri" w:hAnsi="Verdana" w:cs="Arial"/>
                <w:szCs w:val="20"/>
                <w:lang w:val="es-MX"/>
              </w:rPr>
              <w:t xml:space="preserve">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w:t>
            </w:r>
            <w:r w:rsidRPr="00653B51">
              <w:rPr>
                <w:rFonts w:ascii="Verdana" w:eastAsia="Calibri" w:hAnsi="Verdana" w:cs="Arial"/>
                <w:i/>
                <w:iCs/>
                <w:szCs w:val="20"/>
                <w:u w:val="single"/>
                <w:lang w:val="es-MX"/>
              </w:rPr>
              <w:t>Esto excluye la configuración de la causal cuando el proponente comete algún error en la información de los contratos, siempre que los reporte todos.</w:t>
            </w:r>
            <w:r w:rsidRPr="00653B51">
              <w:rPr>
                <w:rFonts w:ascii="Verdana" w:eastAsia="Calibri" w:hAnsi="Verdana" w:cs="Arial"/>
                <w:szCs w:val="20"/>
                <w:lang w:val="es-MX"/>
              </w:rPr>
              <w:t xml:space="preserve"> Por tanto, la </w:t>
            </w:r>
            <w:r w:rsidRPr="00653B51">
              <w:rPr>
                <w:rFonts w:ascii="Verdana" w:eastAsia="Calibri" w:hAnsi="Verdana" w:cs="Arial"/>
                <w:lang w:val="es-MX"/>
              </w:rPr>
              <w:t>configuración de la causal de rechazo del literal X es objetiva, pues solo aplica ante la omisión del proponente de informar el número total de contratos en ejecución antes del cierre</w:t>
            </w:r>
            <w:r w:rsidRPr="00653B51">
              <w:rPr>
                <w:rFonts w:ascii="Verdana" w:eastAsia="Calibri" w:hAnsi="Verdana" w:cs="Arial"/>
                <w:szCs w:val="20"/>
                <w:lang w:val="es-MX"/>
              </w:rPr>
              <w:t>, es decir, opera también cuando no se aporte con la oferta el Formato 5, sólo si, con ello se está omitiendo informar contratos que tenga en ejecución el proponente.</w:t>
            </w:r>
          </w:p>
          <w:p w14:paraId="1AE4902B" w14:textId="77777777" w:rsidR="00653B51" w:rsidRPr="00653B51" w:rsidRDefault="00653B51" w:rsidP="00653B51">
            <w:pPr>
              <w:spacing w:before="120" w:after="120" w:line="276" w:lineRule="auto"/>
              <w:ind w:firstLine="708"/>
              <w:jc w:val="both"/>
              <w:rPr>
                <w:rFonts w:ascii="Verdana" w:eastAsia="Calibri" w:hAnsi="Verdana" w:cs="Arial"/>
                <w:szCs w:val="20"/>
                <w:lang w:val="es-MX"/>
              </w:rPr>
            </w:pPr>
            <w:proofErr w:type="spellStart"/>
            <w:r w:rsidRPr="00653B51">
              <w:rPr>
                <w:rFonts w:ascii="Verdana" w:eastAsia="Calibri" w:hAnsi="Verdana" w:cs="Arial"/>
                <w:i/>
                <w:szCs w:val="20"/>
                <w:lang w:val="es-MX"/>
              </w:rPr>
              <w:t>ii</w:t>
            </w:r>
            <w:proofErr w:type="spellEnd"/>
            <w:r w:rsidRPr="00653B51">
              <w:rPr>
                <w:rFonts w:ascii="Verdana" w:eastAsia="Calibri" w:hAnsi="Verdana" w:cs="Arial"/>
                <w:i/>
                <w:szCs w:val="20"/>
                <w:lang w:val="es-MX"/>
              </w:rPr>
              <w:t xml:space="preserve">) </w:t>
            </w:r>
            <w:r w:rsidRPr="00653B51">
              <w:rPr>
                <w:rFonts w:ascii="Verdana" w:eastAsia="Calibri" w:hAnsi="Verdana" w:cs="Arial"/>
                <w:i/>
                <w:iCs/>
                <w:szCs w:val="20"/>
                <w:u w:val="single"/>
                <w:lang w:val="es-MX"/>
              </w:rPr>
              <w:t>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w:t>
            </w:r>
            <w:r w:rsidRPr="00653B51">
              <w:rPr>
                <w:rFonts w:ascii="Verdana" w:eastAsia="Calibri" w:hAnsi="Verdana" w:cs="Arial"/>
                <w:szCs w:val="20"/>
                <w:lang w:val="es-MX"/>
              </w:rPr>
              <w:t xml:space="preserve"> </w:t>
            </w:r>
          </w:p>
          <w:p w14:paraId="4D7B8E6C" w14:textId="77777777" w:rsidR="00653B51" w:rsidRPr="00653B51" w:rsidRDefault="00653B51" w:rsidP="00653B51">
            <w:pPr>
              <w:spacing w:before="120" w:after="120" w:line="276" w:lineRule="auto"/>
              <w:ind w:firstLine="708"/>
              <w:jc w:val="both"/>
              <w:rPr>
                <w:rFonts w:ascii="Verdana" w:eastAsia="Times New Roman" w:hAnsi="Verdana" w:cs="Arial"/>
                <w:sz w:val="21"/>
                <w:szCs w:val="21"/>
                <w:lang w:eastAsia="es-ES_tradnl"/>
              </w:rPr>
            </w:pPr>
            <w:proofErr w:type="spellStart"/>
            <w:r w:rsidRPr="00653B51">
              <w:rPr>
                <w:rFonts w:ascii="Verdana" w:eastAsia="Calibri" w:hAnsi="Verdana" w:cs="Arial"/>
                <w:i/>
                <w:szCs w:val="20"/>
                <w:lang w:val="es-MX"/>
              </w:rPr>
              <w:t>iii</w:t>
            </w:r>
            <w:proofErr w:type="spellEnd"/>
            <w:r w:rsidRPr="00653B51">
              <w:rPr>
                <w:rFonts w:ascii="Verdana" w:eastAsia="Calibri" w:hAnsi="Verdana" w:cs="Arial"/>
                <w:i/>
                <w:szCs w:val="20"/>
                <w:lang w:val="es-MX"/>
              </w:rPr>
              <w:t xml:space="preserve">) </w:t>
            </w:r>
            <w:r w:rsidRPr="00653B51">
              <w:rPr>
                <w:rFonts w:ascii="Verdana" w:eastAsia="Calibri" w:hAnsi="Verdana" w:cs="Arial"/>
                <w:szCs w:val="20"/>
                <w:lang w:val="es-MX"/>
              </w:rPr>
              <w:t xml:space="preserve">Lo dicho en los numerales precedentes tampoco descarta la posibilidad de que la entidad rechace la oferta si encuentra configurada la causal establecida en el literal H del numeral 1.15, que aplica cuando el </w:t>
            </w:r>
            <w:r w:rsidRPr="00653B51">
              <w:rPr>
                <w:rFonts w:ascii="Verdana" w:eastAsia="Calibri" w:hAnsi="Verdana" w:cs="Arial"/>
                <w:szCs w:val="20"/>
                <w:lang w:val="es-MX"/>
              </w:rPr>
              <w:lastRenderedPageBreak/>
              <w:t>proponente aporta información inexacta sobre la cual pueda existir una posible falsedad, de acuerdo con lo señalado en el numeral 1.11. del documento base.</w:t>
            </w:r>
            <w:r w:rsidRPr="00653B51">
              <w:rPr>
                <w:rFonts w:ascii="Verdana" w:eastAsia="Times New Roman" w:hAnsi="Verdana" w:cs="Arial"/>
                <w:sz w:val="21"/>
                <w:szCs w:val="21"/>
                <w:lang w:eastAsia="es-ES_tradnl"/>
              </w:rPr>
              <w:t xml:space="preserve"> </w:t>
            </w:r>
          </w:p>
          <w:p w14:paraId="1813A60B" w14:textId="77777777" w:rsidR="00653B51" w:rsidRPr="00653B51" w:rsidRDefault="00653B51" w:rsidP="00653B51">
            <w:pPr>
              <w:spacing w:before="120" w:after="120" w:line="276" w:lineRule="auto"/>
              <w:ind w:firstLine="708"/>
              <w:jc w:val="both"/>
              <w:rPr>
                <w:rFonts w:ascii="Verdana" w:eastAsia="Calibri" w:hAnsi="Verdana" w:cs="Arial"/>
                <w:szCs w:val="20"/>
                <w:lang w:val="es-MX"/>
              </w:rPr>
            </w:pPr>
            <w:r w:rsidRPr="00653B51">
              <w:rPr>
                <w:rFonts w:ascii="Verdana" w:eastAsia="Calibri" w:hAnsi="Verdana" w:cs="Arial"/>
              </w:rPr>
              <w:t>Ahora bien, aunque las</w:t>
            </w:r>
            <w:r w:rsidRPr="00653B51">
              <w:rPr>
                <w:rFonts w:ascii="Verdana" w:eastAsia="Calibri" w:hAnsi="Verdana" w:cs="Arial"/>
                <w:szCs w:val="20"/>
              </w:rPr>
              <w:t xml:space="preserve"> causales de rechazo del literal E, H y X del numeral 1.15 de los documentos tipo se relacionan con la capacidad residual como requisito habilitante</w:t>
            </w:r>
            <w:r w:rsidRPr="00653B51">
              <w:rPr>
                <w:rFonts w:ascii="Verdana" w:eastAsia="Calibri" w:hAnsi="Verdana" w:cs="Arial"/>
              </w:rPr>
              <w:t xml:space="preserve">, estas se aplican en supuestos diferentes, de acuerdo con lo explicado </w:t>
            </w:r>
            <w:r w:rsidRPr="00653B51">
              <w:rPr>
                <w:rFonts w:ascii="Verdana" w:eastAsia="Calibri" w:hAnsi="Verdana" w:cs="Arial"/>
                <w:i/>
              </w:rPr>
              <w:t>ut supra</w:t>
            </w:r>
            <w:r w:rsidRPr="00653B51">
              <w:rPr>
                <w:rFonts w:ascii="Verdana" w:eastAsia="Calibri" w:hAnsi="Verdana" w:cs="Arial"/>
              </w:rPr>
              <w:t>. La causal del literal H se produce si, por ejemplo, el proponente informó todos los contratos en ejecución, pero advierte que la información es inexacta y, además, que sobre la misma puede “existir una posible falsedad”. A título ilustrativo, podría pensarse en un contrato que se aportó y frente al cual la entidad advierte la falsificación de una de las firmas del documento. Por su parte, la causal del literal X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44D5C18C" w14:textId="77777777" w:rsidR="00653B51" w:rsidRPr="00653B51" w:rsidRDefault="00653B51" w:rsidP="00653B51">
            <w:pPr>
              <w:spacing w:before="120" w:after="120" w:line="276" w:lineRule="auto"/>
              <w:ind w:firstLine="708"/>
              <w:jc w:val="both"/>
              <w:rPr>
                <w:rFonts w:ascii="Verdana" w:eastAsia="Calibri" w:hAnsi="Verdana" w:cs="Arial"/>
              </w:rPr>
            </w:pPr>
            <w:r w:rsidRPr="00653B51">
              <w:rPr>
                <w:rFonts w:ascii="Verdana" w:eastAsia="Calibri" w:hAnsi="Verdana" w:cs="Arial"/>
              </w:rPr>
              <w:t xml:space="preserve">Finalmente, esta distinción también se proyecta sobre las reglas de </w:t>
            </w:r>
            <w:proofErr w:type="spellStart"/>
            <w:r w:rsidRPr="00653B51">
              <w:rPr>
                <w:rFonts w:ascii="Verdana" w:eastAsia="Calibri" w:hAnsi="Verdana" w:cs="Arial"/>
              </w:rPr>
              <w:t>subsanabilidad</w:t>
            </w:r>
            <w:proofErr w:type="spellEnd"/>
            <w:r w:rsidRPr="00653B51">
              <w:rPr>
                <w:rFonts w:ascii="Verdana" w:eastAsia="Calibri" w:hAnsi="Verdana" w:cs="Arial"/>
              </w:rPr>
              <w:t xml:space="preserve"> de las ofertas de la Ley 1150 de 2007, pues </w:t>
            </w:r>
            <w:r w:rsidRPr="00653B51">
              <w:rPr>
                <w:rFonts w:ascii="Verdana" w:eastAsia="Calibri" w:hAnsi="Verdana" w:cs="Arial"/>
                <w:i/>
                <w:iCs/>
                <w:u w:val="single"/>
              </w:rPr>
              <w:t>solo habrá lugar a subsanar en los eventos en los que el proponente omite información sobre los contratos reportados, esto es, en el evento de la causal del literal E</w:t>
            </w:r>
            <w:r w:rsidRPr="00653B51">
              <w:rPr>
                <w:rFonts w:ascii="Verdana" w:eastAsia="Calibri" w:hAnsi="Verdana" w:cs="Arial"/>
                <w:u w:val="single"/>
              </w:rPr>
              <w:t>.</w:t>
            </w:r>
            <w:r w:rsidRPr="00653B51">
              <w:rPr>
                <w:rFonts w:ascii="Verdana" w:eastAsia="Calibri" w:hAnsi="Verdana" w:cs="Arial"/>
              </w:rPr>
              <w:t xml:space="preserve"> Dicho de otra forma, no se puede subsanar cuando se incurre las causales H y X, eventos en los cuales el rechazo procede de forma automática, es decir, sin permitirle al proponente subsanar la “inexactitud” de la oferta o el número de contratos de obra que tenía el deber de reportar, dada la forma en que están configuradas las causales de rechazo enunciadas. </w:t>
            </w:r>
          </w:p>
          <w:p w14:paraId="576EF19F" w14:textId="77777777" w:rsidR="00653B51" w:rsidRPr="00653B51" w:rsidRDefault="00653B51" w:rsidP="00653B51">
            <w:pPr>
              <w:spacing w:before="120" w:after="120" w:line="276" w:lineRule="auto"/>
              <w:ind w:firstLine="708"/>
              <w:jc w:val="both"/>
              <w:rPr>
                <w:rFonts w:ascii="Verdana" w:eastAsia="Aptos" w:hAnsi="Verdana" w:cs="Arial"/>
              </w:rPr>
            </w:pPr>
            <w:r w:rsidRPr="00653B51">
              <w:rPr>
                <w:rFonts w:ascii="Verdana" w:eastAsia="Calibri" w:hAnsi="Verdana" w:cs="Arial"/>
              </w:rPr>
              <w:t xml:space="preserve">Ahora bien,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653B51">
              <w:rPr>
                <w:rFonts w:ascii="Verdana" w:eastAsia="Calibri" w:hAnsi="Verdana" w:cs="Arial"/>
                <w:noProof/>
              </w:rPr>
              <w:t>lo</w:t>
            </w:r>
            <w:r w:rsidRPr="00653B51">
              <w:rPr>
                <w:rFonts w:ascii="Verdana" w:eastAsia="Calibri" w:hAnsi="Verdana" w:cs="Arial"/>
              </w:rPr>
              <w:t xml:space="preserve"> expresado en el párrafo precedente no contradice lo dispuesto en el artículo </w:t>
            </w:r>
            <w:r w:rsidRPr="00653B51">
              <w:rPr>
                <w:rFonts w:ascii="Verdana" w:eastAsia="Calibri" w:hAnsi="Verdana" w:cs="Arial"/>
              </w:rPr>
              <w:lastRenderedPageBreak/>
              <w:t>5, parágrafo 1, de la Ley 1150 de 2007, adicionado por el artículo 5 de la Ley 1882 de 2018, norma que dispone que “</w:t>
            </w:r>
            <w:r w:rsidRPr="00653B51">
              <w:rPr>
                <w:rFonts w:ascii="Verdana" w:eastAsia="Calibri" w:hAnsi="Verdana" w:cs="Times New Roman"/>
              </w:rPr>
              <w:t xml:space="preserve">(…) </w:t>
            </w:r>
            <w:r w:rsidRPr="00653B51">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563851D4" w14:textId="77777777" w:rsidR="00653B51" w:rsidRPr="00653B51" w:rsidRDefault="00653B51" w:rsidP="00653B51">
            <w:pPr>
              <w:spacing w:before="120" w:after="120" w:line="276" w:lineRule="auto"/>
              <w:ind w:firstLine="708"/>
              <w:jc w:val="both"/>
              <w:rPr>
                <w:rFonts w:ascii="Verdana" w:eastAsia="Calibri" w:hAnsi="Verdana" w:cs="Arial"/>
              </w:rPr>
            </w:pPr>
            <w:r w:rsidRPr="00653B51">
              <w:rPr>
                <w:rFonts w:ascii="Verdana" w:eastAsia="Calibri" w:hAnsi="Verdana" w:cs="Arial"/>
              </w:rPr>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suministrar información contraria a la realidad en una oferta no puede ser objeto de subsanación dentro de ningún procedimiento de selección”. </w:t>
            </w:r>
          </w:p>
          <w:p w14:paraId="49A80F87" w14:textId="77777777" w:rsidR="00653B51" w:rsidRPr="00653B51" w:rsidRDefault="00653B51" w:rsidP="00653B51">
            <w:pPr>
              <w:spacing w:before="120" w:after="120" w:line="276" w:lineRule="auto"/>
              <w:ind w:firstLine="709"/>
              <w:jc w:val="both"/>
              <w:rPr>
                <w:rFonts w:ascii="Verdana" w:eastAsia="Aptos" w:hAnsi="Verdana" w:cs="Arial"/>
              </w:rPr>
            </w:pPr>
            <w:r w:rsidRPr="00653B51">
              <w:rPr>
                <w:rFonts w:ascii="Verdana" w:eastAsia="Aptos" w:hAnsi="Verdana" w:cs="Arial"/>
              </w:rPr>
              <w:t>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4F687BE5" w14:textId="77777777" w:rsidR="00653B51" w:rsidRPr="00653B51" w:rsidRDefault="00653B51" w:rsidP="00653B51">
            <w:pPr>
              <w:spacing w:line="276" w:lineRule="auto"/>
              <w:ind w:firstLine="709"/>
              <w:jc w:val="both"/>
              <w:rPr>
                <w:rFonts w:ascii="Verdana" w:eastAsia="Calibri" w:hAnsi="Verdana" w:cs="Arial"/>
              </w:rPr>
            </w:pPr>
            <w:r w:rsidRPr="00653B51">
              <w:rPr>
                <w:rFonts w:ascii="Verdana" w:eastAsia="Calibri" w:hAnsi="Verdana" w:cs="Arial"/>
              </w:rPr>
              <w:t xml:space="preserve">Conclusión similar se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Al respecto, surge la siguiente inquietud: ¿es posible subsanar el </w:t>
            </w:r>
            <w:r w:rsidRPr="00653B51">
              <w:rPr>
                <w:rFonts w:ascii="Verdana" w:eastAsia="Calibri" w:hAnsi="Verdana" w:cs="Arial"/>
              </w:rPr>
              <w:lastRenderedPageBreak/>
              <w:t xml:space="preserve">hecho de aportar una firma falsa presentando el documento firmado válidamente? Para esta entidad, la respuesta es negativa debido a que la finalidad que persigue la causal </w:t>
            </w:r>
            <w:r w:rsidRPr="00653B51">
              <w:rPr>
                <w:rFonts w:ascii="Verdana" w:eastAsia="Calibri" w:hAnsi="Verdana" w:cs="Arial"/>
                <w:i/>
              </w:rPr>
              <w:t>sub examine</w:t>
            </w:r>
            <w:r w:rsidRPr="00653B51">
              <w:rPr>
                <w:rFonts w:ascii="Verdana" w:eastAsia="Calibri" w:hAnsi="Verdana" w:cs="Arial"/>
              </w:rPr>
              <w:t xml:space="preserve"> es desincentivar todas las prácticas delictivas en los procesos de contratación estatal. </w:t>
            </w:r>
          </w:p>
          <w:p w14:paraId="7665CF76" w14:textId="77777777" w:rsidR="00653B51" w:rsidRPr="00653B51" w:rsidRDefault="00653B51" w:rsidP="00653B51">
            <w:pPr>
              <w:spacing w:before="120" w:line="276" w:lineRule="auto"/>
              <w:ind w:firstLine="709"/>
              <w:jc w:val="both"/>
              <w:rPr>
                <w:rFonts w:ascii="Verdana" w:eastAsia="Calibri" w:hAnsi="Verdana" w:cs="Arial"/>
                <w:i/>
                <w:iCs/>
                <w:u w:val="single"/>
              </w:rPr>
            </w:pPr>
            <w:r w:rsidRPr="00653B51">
              <w:rPr>
                <w:rFonts w:ascii="Verdana" w:eastAsia="Times New Roman" w:hAnsi="Verdana" w:cs="Arial"/>
                <w:noProof/>
                <w:lang w:eastAsia="es-ES_tradnl"/>
              </w:rPr>
              <w:t xml:space="preserve">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w:t>
            </w:r>
            <w:r w:rsidRPr="00653B51">
              <w:rPr>
                <w:rFonts w:ascii="Verdana" w:eastAsia="Times New Roman" w:hAnsi="Verdana" w:cs="Arial"/>
                <w:i/>
                <w:iCs/>
                <w:noProof/>
                <w:lang w:eastAsia="es-ES_tradnl"/>
              </w:rPr>
              <w:t>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causal. Por ello</w:t>
            </w:r>
            <w:r w:rsidRPr="00653B51">
              <w:rPr>
                <w:rFonts w:ascii="Verdana" w:eastAsia="Times New Roman" w:hAnsi="Verdana" w:cs="Arial"/>
                <w:i/>
                <w:iCs/>
                <w:noProof/>
                <w:u w:val="single"/>
                <w:lang w:eastAsia="es-ES_tradnl"/>
              </w:rPr>
              <w:t xml:space="preserve">,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3AD4E8D0" w14:textId="77777777" w:rsidR="00653B51" w:rsidRPr="00653B51" w:rsidRDefault="00653B51" w:rsidP="00653B51">
            <w:pPr>
              <w:spacing w:before="120" w:line="276" w:lineRule="auto"/>
              <w:ind w:firstLine="709"/>
              <w:jc w:val="both"/>
              <w:rPr>
                <w:rFonts w:ascii="Verdana" w:eastAsia="Calibri" w:hAnsi="Verdana" w:cs="Arial"/>
              </w:rPr>
            </w:pPr>
            <w:r w:rsidRPr="00653B51">
              <w:rPr>
                <w:rFonts w:ascii="Verdana" w:eastAsia="Times New Roman" w:hAnsi="Verdana" w:cs="Arial"/>
                <w:noProof/>
                <w:lang w:eastAsia="es-ES_tradnl"/>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14F452A6" w14:textId="77777777" w:rsidR="00653B51" w:rsidRPr="00653B51" w:rsidRDefault="00653B51" w:rsidP="00653B51">
            <w:pPr>
              <w:spacing w:before="120" w:line="276" w:lineRule="auto"/>
              <w:ind w:firstLine="709"/>
              <w:jc w:val="both"/>
              <w:rPr>
                <w:rFonts w:ascii="Verdana" w:eastAsia="Calibri" w:hAnsi="Verdana" w:cs="Arial"/>
              </w:rPr>
            </w:pPr>
            <w:r w:rsidRPr="00653B51">
              <w:rPr>
                <w:rFonts w:ascii="Verdana" w:eastAsia="Times New Roman" w:hAnsi="Verdana" w:cs="Arial"/>
                <w:noProof/>
                <w:lang w:eastAsia="es-ES_tradnl"/>
              </w:rPr>
              <w:t xml:space="preserve">En relación con la información contractual no incluida que pueda afectar la capacidad residual del proponente, el pliego de condiciones del Documento Tipo – Versión 4 de licitación para obra pública de infraestructura de transporte estableció una regla especial en el numeral 3.11 así: </w:t>
            </w:r>
          </w:p>
          <w:p w14:paraId="7C137109" w14:textId="77777777" w:rsidR="00653B51" w:rsidRPr="00653B51" w:rsidRDefault="00653B51" w:rsidP="00653B51">
            <w:pPr>
              <w:spacing w:line="276" w:lineRule="auto"/>
              <w:ind w:firstLine="709"/>
              <w:jc w:val="both"/>
              <w:rPr>
                <w:rFonts w:ascii="Verdana" w:eastAsia="Times New Roman" w:hAnsi="Verdana" w:cs="Arial"/>
                <w:sz w:val="24"/>
                <w:szCs w:val="24"/>
                <w:lang w:eastAsia="es-ES_tradnl"/>
              </w:rPr>
            </w:pPr>
          </w:p>
          <w:p w14:paraId="10E45218" w14:textId="77777777" w:rsidR="00653B51" w:rsidRPr="00653B51" w:rsidRDefault="00653B51" w:rsidP="00653B51">
            <w:pPr>
              <w:keepNext/>
              <w:spacing w:after="120"/>
              <w:ind w:left="709" w:right="709"/>
              <w:outlineLvl w:val="1"/>
              <w:rPr>
                <w:rFonts w:ascii="Verdana" w:eastAsia="Times New Roman" w:hAnsi="Verdana" w:cs="Arial"/>
                <w:b/>
                <w:sz w:val="21"/>
                <w:szCs w:val="21"/>
                <w:lang w:eastAsia="es-CO"/>
              </w:rPr>
            </w:pPr>
            <w:r w:rsidRPr="00653B51">
              <w:rPr>
                <w:rFonts w:ascii="Verdana" w:eastAsia="Times New Roman" w:hAnsi="Verdana" w:cs="Arial"/>
                <w:b/>
                <w:sz w:val="21"/>
                <w:szCs w:val="21"/>
                <w:lang w:eastAsia="es-CO"/>
              </w:rPr>
              <w:t xml:space="preserve">3.10. CAPACIDAD RESIDUAL </w:t>
            </w:r>
          </w:p>
          <w:p w14:paraId="222E24E2" w14:textId="77777777" w:rsidR="00653B51" w:rsidRPr="00653B51" w:rsidRDefault="00653B51" w:rsidP="00653B51">
            <w:pPr>
              <w:widowControl w:val="0"/>
              <w:ind w:left="709" w:right="709"/>
              <w:jc w:val="both"/>
              <w:rPr>
                <w:rFonts w:ascii="Verdana" w:eastAsia="Arial" w:hAnsi="Verdana" w:cs="Arial"/>
                <w:sz w:val="21"/>
                <w:szCs w:val="21"/>
                <w:lang w:eastAsia="es-ES_tradnl"/>
              </w:rPr>
            </w:pPr>
            <w:r w:rsidRPr="00653B51">
              <w:rPr>
                <w:rFonts w:ascii="Verdana" w:eastAsia="Times New Roman" w:hAnsi="Verdana" w:cs="Arial"/>
                <w:sz w:val="21"/>
                <w:szCs w:val="21"/>
                <w:lang w:eastAsia="es-ES_tradnl"/>
              </w:rPr>
              <w:t>El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Proponente</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será</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hábil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si</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la</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capacidad</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residual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del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Proponente</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(CRP)</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es</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mayor</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o</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igual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a</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la</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capacidad</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residual</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de</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Proceso de Contratación</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(CRPC).</w:t>
            </w:r>
            <w:r w:rsidRPr="00653B51">
              <w:rPr>
                <w:rFonts w:ascii="Verdana" w:eastAsia="Arial" w:hAnsi="Verdana" w:cs="Arial"/>
                <w:sz w:val="21"/>
                <w:szCs w:val="21"/>
                <w:lang w:eastAsia="es-ES_tradnl"/>
              </w:rPr>
              <w:t xml:space="preserve"> </w:t>
            </w:r>
            <w:r w:rsidRPr="00653B51">
              <w:rPr>
                <w:rFonts w:ascii="Verdana" w:eastAsia="Times New Roman" w:hAnsi="Verdana" w:cs="Arial"/>
                <w:sz w:val="21"/>
                <w:szCs w:val="21"/>
                <w:lang w:eastAsia="es-ES_tradnl"/>
              </w:rPr>
              <w:t>Así:</w:t>
            </w:r>
            <w:r w:rsidRPr="00653B51">
              <w:rPr>
                <w:rFonts w:ascii="Verdana" w:eastAsia="Arial" w:hAnsi="Verdana" w:cs="Arial"/>
                <w:sz w:val="21"/>
                <w:szCs w:val="21"/>
                <w:lang w:eastAsia="es-ES_tradnl"/>
              </w:rPr>
              <w:t xml:space="preserve"> </w:t>
            </w:r>
          </w:p>
          <w:p w14:paraId="5F49B47D" w14:textId="77777777" w:rsidR="00653B51" w:rsidRPr="00653B51" w:rsidRDefault="00653B51" w:rsidP="00653B51">
            <w:pPr>
              <w:widowControl w:val="0"/>
              <w:ind w:left="709" w:right="709"/>
              <w:jc w:val="both"/>
              <w:rPr>
                <w:rFonts w:ascii="Verdana" w:eastAsia="Arial" w:hAnsi="Verdana" w:cs="Arial"/>
                <w:sz w:val="21"/>
                <w:szCs w:val="21"/>
                <w:lang w:eastAsia="es-ES_tradnl"/>
              </w:rPr>
            </w:pPr>
          </w:p>
          <w:p w14:paraId="299DF6B4" w14:textId="77777777" w:rsidR="00653B51" w:rsidRPr="00653B51" w:rsidRDefault="00653B51" w:rsidP="00653B51">
            <w:pPr>
              <w:widowControl w:val="0"/>
              <w:ind w:left="709" w:right="709"/>
              <w:jc w:val="center"/>
              <w:rPr>
                <w:rFonts w:ascii="Verdana" w:eastAsia="MS Mincho" w:hAnsi="Verdana" w:cs="Arial"/>
                <w:sz w:val="21"/>
                <w:szCs w:val="21"/>
                <w:lang w:eastAsia="es-ES_tradnl"/>
              </w:rPr>
            </w:pPr>
            <m:oMathPara>
              <m:oMath>
                <m:r>
                  <w:rPr>
                    <w:rFonts w:ascii="Cambria Math" w:eastAsia="Times New Roman" w:hAnsi="Cambria Math" w:cs="Arial"/>
                    <w:sz w:val="21"/>
                    <w:szCs w:val="21"/>
                    <w:lang w:eastAsia="es-ES_tradnl"/>
                  </w:rPr>
                  <m:t>CRP ≥CRPC</m:t>
                </m:r>
              </m:oMath>
            </m:oMathPara>
          </w:p>
          <w:p w14:paraId="2C0E2252" w14:textId="77777777" w:rsidR="00653B51" w:rsidRPr="00653B51" w:rsidRDefault="00653B51" w:rsidP="00653B51">
            <w:pPr>
              <w:widowControl w:val="0"/>
              <w:ind w:left="709" w:right="709"/>
              <w:jc w:val="center"/>
              <w:rPr>
                <w:rFonts w:ascii="Verdana" w:eastAsia="Times New Roman" w:hAnsi="Verdana" w:cs="Arial"/>
                <w:sz w:val="21"/>
                <w:szCs w:val="21"/>
                <w:lang w:eastAsia="es-ES_tradnl"/>
              </w:rPr>
            </w:pPr>
          </w:p>
          <w:p w14:paraId="35476FD8" w14:textId="77777777" w:rsidR="00653B51" w:rsidRPr="00653B51" w:rsidRDefault="00653B51" w:rsidP="00653B51">
            <w:pPr>
              <w:widowControl w:val="0"/>
              <w:spacing w:after="120"/>
              <w:ind w:left="709" w:right="709"/>
              <w:jc w:val="both"/>
              <w:rPr>
                <w:rFonts w:ascii="Verdana" w:eastAsia="Arial" w:hAnsi="Verdana" w:cs="Arial"/>
                <w:sz w:val="21"/>
                <w:szCs w:val="21"/>
                <w:lang w:eastAsia="es-ES_tradnl"/>
              </w:rPr>
            </w:pPr>
            <w:r w:rsidRPr="00653B51">
              <w:rPr>
                <w:rFonts w:ascii="Verdana" w:eastAsia="Times New Roman" w:hAnsi="Verdana" w:cs="Arial"/>
                <w:sz w:val="21"/>
                <w:szCs w:val="21"/>
                <w:lang w:eastAsia="es-ES_tradnl"/>
              </w:rPr>
              <w:lastRenderedPageBreak/>
              <w:t xml:space="preserve">Los Proponentes acreditarán la capacidad residual o K de contratación conforme se describe a continuación. </w:t>
            </w:r>
            <w:r w:rsidRPr="00653B51">
              <w:rPr>
                <w:rFonts w:ascii="Verdana" w:eastAsia="Times New Roman" w:hAnsi="Verdana" w:cs="Arial"/>
                <w:i/>
                <w:iCs/>
                <w:sz w:val="21"/>
                <w:szCs w:val="21"/>
                <w:lang w:val="es-MX" w:eastAsia="es-ES_tradnl"/>
              </w:rPr>
              <w:t>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w:t>
            </w:r>
            <w:r w:rsidRPr="00653B51">
              <w:rPr>
                <w:rFonts w:ascii="Verdana" w:eastAsia="Times New Roman" w:hAnsi="Verdana" w:cs="Arial"/>
                <w:sz w:val="21"/>
                <w:szCs w:val="21"/>
                <w:lang w:eastAsia="es-ES_tradnl"/>
              </w:rPr>
              <w:t xml:space="preserve">. </w:t>
            </w:r>
          </w:p>
          <w:p w14:paraId="109A72F6" w14:textId="77777777" w:rsidR="00653B51" w:rsidRPr="00653B51" w:rsidRDefault="00653B51" w:rsidP="00653B51">
            <w:pPr>
              <w:widowControl w:val="0"/>
              <w:spacing w:after="120"/>
              <w:ind w:left="709" w:right="709"/>
              <w:jc w:val="both"/>
              <w:rPr>
                <w:rFonts w:ascii="Verdana" w:eastAsia="Times New Roman" w:hAnsi="Verdana" w:cs="Arial"/>
                <w:sz w:val="21"/>
                <w:szCs w:val="21"/>
                <w:lang w:eastAsia="es-ES_tradnl"/>
              </w:rPr>
            </w:pPr>
            <w:r w:rsidRPr="00653B51">
              <w:rPr>
                <w:rFonts w:ascii="Verdana" w:eastAsia="Times New Roman" w:hAnsi="Verdana" w:cs="Arial"/>
                <w:sz w:val="21"/>
                <w:szCs w:val="21"/>
                <w:lang w:eastAsia="es-ES_tradnl"/>
              </w:rPr>
              <w:t>Lo anterior, sin perjuicio de las acciones administrativas y/o judiciales a que haya lugar, en contra de la (s) persona (s) que haya (n) suscrito las certificaciones exigidas para el cálculo de la capacidad residual.</w:t>
            </w:r>
          </w:p>
          <w:p w14:paraId="1038F168" w14:textId="77777777" w:rsidR="00653B51" w:rsidRPr="00653B51" w:rsidRDefault="00653B51" w:rsidP="00653B51">
            <w:pPr>
              <w:widowControl w:val="0"/>
              <w:ind w:left="709" w:right="709"/>
              <w:jc w:val="both"/>
              <w:rPr>
                <w:rFonts w:ascii="Verdana" w:eastAsia="Times New Roman" w:hAnsi="Verdana" w:cs="Arial"/>
                <w:sz w:val="21"/>
                <w:szCs w:val="21"/>
                <w:lang w:eastAsia="es-ES_tradnl"/>
              </w:rPr>
            </w:pPr>
            <w:r w:rsidRPr="00653B51">
              <w:rPr>
                <w:rFonts w:ascii="Verdana" w:eastAsia="Times New Roman" w:hAnsi="Verdana" w:cs="Arial"/>
                <w:sz w:val="21"/>
                <w:szCs w:val="21"/>
                <w:lang w:eastAsia="es-ES_tradnl"/>
              </w:rPr>
              <w:t xml:space="preserve">[…] (Énfasis fuera de texto) </w:t>
            </w:r>
          </w:p>
          <w:p w14:paraId="7391D26F" w14:textId="77777777" w:rsidR="00653B51" w:rsidRPr="00653B51" w:rsidRDefault="00653B51" w:rsidP="00653B51">
            <w:pPr>
              <w:widowControl w:val="0"/>
              <w:spacing w:line="276" w:lineRule="auto"/>
              <w:ind w:right="709"/>
              <w:jc w:val="both"/>
              <w:rPr>
                <w:rFonts w:ascii="Verdana" w:eastAsia="Times New Roman" w:hAnsi="Verdana" w:cs="Arial"/>
                <w:sz w:val="24"/>
                <w:szCs w:val="24"/>
                <w:lang w:eastAsia="es-ES_tradnl"/>
              </w:rPr>
            </w:pPr>
          </w:p>
          <w:p w14:paraId="3C42DA3F" w14:textId="77777777" w:rsidR="00653B51" w:rsidRPr="00653B51" w:rsidRDefault="00653B51" w:rsidP="00653B51">
            <w:pPr>
              <w:snapToGrid w:val="0"/>
              <w:spacing w:line="276" w:lineRule="auto"/>
              <w:ind w:firstLine="709"/>
              <w:jc w:val="both"/>
              <w:rPr>
                <w:rFonts w:ascii="Verdana" w:eastAsia="MS Mincho" w:hAnsi="Verdana" w:cs="Arial"/>
                <w:lang w:eastAsia="es-CO"/>
              </w:rPr>
            </w:pPr>
            <w:r w:rsidRPr="00653B51">
              <w:rPr>
                <w:rFonts w:ascii="Verdana" w:eastAsia="Times New Roman" w:hAnsi="Verdana" w:cs="Arial"/>
                <w:color w:val="000000"/>
                <w:shd w:val="clear" w:color="auto" w:fill="FFFFFF"/>
                <w:lang w:eastAsia="es-ES_tradnl"/>
              </w:rPr>
              <w:t xml:space="preserve">De conformidad con esta regla, el rechazo de la oferta procede cuando en ejercicio de la potestad verificadora se advierta que se dejó de incluir información que afecta la capacidad residual del proponente, esto es, la referente a contratos de obra en ejecución. </w:t>
            </w:r>
            <w:r w:rsidRPr="00653B51">
              <w:rPr>
                <w:rFonts w:ascii="Verdana" w:eastAsia="Times New Roman" w:hAnsi="Verdana" w:cs="Arial"/>
                <w:lang w:eastAsia="es-ES_tradnl"/>
              </w:rPr>
              <w:t>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w:t>
            </w:r>
            <w:r w:rsidRPr="00653B51">
              <w:rPr>
                <w:rFonts w:ascii="Verdana" w:eastAsia="Arial" w:hAnsi="Verdana" w:cs="Arial"/>
                <w:lang w:eastAsia="es-CO"/>
              </w:rPr>
              <w:t>Que</w:t>
            </w:r>
            <w:r w:rsidRPr="00653B51">
              <w:rPr>
                <w:rFonts w:ascii="Verdana" w:eastAsia="Arial,Calibri" w:hAnsi="Verdana" w:cs="Arial"/>
                <w:lang w:eastAsia="es-CO"/>
              </w:rPr>
              <w:t xml:space="preserve"> </w:t>
            </w:r>
            <w:r w:rsidRPr="00653B51">
              <w:rPr>
                <w:rFonts w:ascii="Verdana" w:eastAsia="Arial" w:hAnsi="Verdana" w:cs="Arial"/>
                <w:lang w:eastAsia="es-CO"/>
              </w:rPr>
              <w:t>el</w:t>
            </w:r>
            <w:r w:rsidRPr="00653B51">
              <w:rPr>
                <w:rFonts w:ascii="Verdana" w:eastAsia="Arial,Calibri" w:hAnsi="Verdana" w:cs="Arial"/>
                <w:lang w:eastAsia="es-CO"/>
              </w:rPr>
              <w:t xml:space="preserve"> </w:t>
            </w:r>
            <w:r w:rsidRPr="00653B51">
              <w:rPr>
                <w:rFonts w:ascii="Verdana" w:eastAsia="Arial" w:hAnsi="Verdana" w:cs="Arial"/>
                <w:lang w:eastAsia="es-CO"/>
              </w:rPr>
              <w:t>Proponente</w:t>
            </w:r>
            <w:r w:rsidRPr="00653B51">
              <w:rPr>
                <w:rFonts w:ascii="Verdana" w:eastAsia="Arial,Calibri" w:hAnsi="Verdana" w:cs="Arial"/>
                <w:lang w:eastAsia="es-CO"/>
              </w:rPr>
              <w:t xml:space="preserve"> </w:t>
            </w:r>
            <w:r w:rsidRPr="00653B51">
              <w:rPr>
                <w:rFonts w:ascii="Verdana" w:eastAsia="Arial" w:hAnsi="Verdana" w:cs="Arial"/>
                <w:lang w:eastAsia="es-CO"/>
              </w:rPr>
              <w:t xml:space="preserve">aporte información inexacta </w:t>
            </w:r>
            <w:r w:rsidRPr="00653B51">
              <w:rPr>
                <w:rFonts w:ascii="Verdana" w:eastAsia="MS Mincho" w:hAnsi="Verdana" w:cs="Arial"/>
                <w:lang w:eastAsia="es-CO"/>
              </w:rPr>
              <w:t>sobre la cual pueda existir una posible falsedad</w:t>
            </w:r>
            <w:r w:rsidRPr="00653B51" w:rsidDel="003061D1">
              <w:rPr>
                <w:rFonts w:ascii="Verdana" w:eastAsia="MS Mincho" w:hAnsi="Verdana" w:cs="Arial"/>
                <w:lang w:eastAsia="es-CO"/>
              </w:rPr>
              <w:t xml:space="preserve"> </w:t>
            </w:r>
            <w:r w:rsidRPr="00653B51">
              <w:rPr>
                <w:rFonts w:ascii="Verdana" w:eastAsia="MS Mincho" w:hAnsi="Verdana" w:cs="Arial"/>
                <w:lang w:eastAsia="es-CO"/>
              </w:rPr>
              <w:t>en los términos de la sección 1.11”.</w:t>
            </w:r>
          </w:p>
          <w:p w14:paraId="6BBB6858" w14:textId="77777777" w:rsidR="00653B51" w:rsidRPr="00653B51" w:rsidRDefault="00653B51" w:rsidP="00653B51">
            <w:pPr>
              <w:snapToGrid w:val="0"/>
              <w:spacing w:before="120" w:after="120" w:line="276" w:lineRule="auto"/>
              <w:ind w:firstLine="709"/>
              <w:jc w:val="both"/>
              <w:rPr>
                <w:rFonts w:ascii="Verdana" w:eastAsia="MS Mincho" w:hAnsi="Verdana" w:cs="Arial"/>
                <w:lang w:eastAsia="es-CO"/>
              </w:rPr>
            </w:pPr>
            <w:r w:rsidRPr="00653B51">
              <w:rPr>
                <w:rFonts w:ascii="Verdana" w:eastAsia="Times New Roman" w:hAnsi="Verdana" w:cs="Arial"/>
                <w:lang w:eastAsia="es-ES_tradnl"/>
              </w:rPr>
              <w:t xml:space="preserve">Según lo expuesto, al verificarse que el proponente no incluyó información contractual que afecte su capacidad residual, la entidad no estará en posición de solicitar aclaraciones, o acudir al régimen de </w:t>
            </w:r>
            <w:proofErr w:type="spellStart"/>
            <w:r w:rsidRPr="00653B51">
              <w:rPr>
                <w:rFonts w:ascii="Verdana" w:eastAsia="Times New Roman" w:hAnsi="Verdana" w:cs="Arial"/>
                <w:lang w:eastAsia="es-ES_tradnl"/>
              </w:rPr>
              <w:t>subsanabilidad</w:t>
            </w:r>
            <w:proofErr w:type="spellEnd"/>
            <w:r w:rsidRPr="00653B51">
              <w:rPr>
                <w:rFonts w:ascii="Verdana" w:eastAsia="Times New Roman" w:hAnsi="Verdana" w:cs="Arial"/>
                <w:lang w:eastAsia="es-ES_tradnl"/>
              </w:rPr>
              <w:t xml:space="preserve"> de ofertas. Esto en la medida que tal circunstancia constituye una causal de rechazo en los términos de los literales H y X del numeral 1.15 del documento base, las cuales deberán analizar, caso a caso, las entidades contratantes conforme a los parámetros antes mencionados.</w:t>
            </w:r>
          </w:p>
        </w:tc>
      </w:tr>
    </w:tbl>
    <w:p w14:paraId="5D144AA7" w14:textId="77777777" w:rsidR="00653B51" w:rsidRPr="00653B51" w:rsidRDefault="00653B51" w:rsidP="00653B51">
      <w:pPr>
        <w:tabs>
          <w:tab w:val="left" w:pos="142"/>
          <w:tab w:val="left" w:pos="284"/>
        </w:tabs>
        <w:spacing w:after="0" w:line="276" w:lineRule="auto"/>
        <w:jc w:val="both"/>
        <w:rPr>
          <w:rFonts w:ascii="Verdana" w:eastAsia="Century Gothic" w:hAnsi="Verdana" w:cs="Century Gothic"/>
          <w:b/>
          <w:bCs/>
        </w:rPr>
      </w:pPr>
    </w:p>
    <w:p w14:paraId="6E80C414" w14:textId="77777777" w:rsidR="00653B51" w:rsidRPr="00653B51" w:rsidRDefault="00653B51" w:rsidP="00653B5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653B51">
        <w:rPr>
          <w:rFonts w:ascii="Verdana" w:eastAsia="Century Gothic" w:hAnsi="Verdana" w:cs="Century Gothic"/>
          <w:b/>
          <w:bCs/>
        </w:rPr>
        <w:t>Razones de la respuesta:</w:t>
      </w:r>
    </w:p>
    <w:p w14:paraId="5CEF242E" w14:textId="77777777" w:rsidR="00653B51" w:rsidRPr="00653B51" w:rsidRDefault="00653B51" w:rsidP="00653B5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5D4BEEB9" w14:textId="77777777" w:rsidR="00653B51" w:rsidRPr="00653B51" w:rsidRDefault="00653B51" w:rsidP="00653B51">
      <w:pPr>
        <w:spacing w:after="0" w:line="276" w:lineRule="auto"/>
        <w:jc w:val="both"/>
        <w:rPr>
          <w:rFonts w:ascii="Verdana" w:eastAsia="Calibri" w:hAnsi="Verdana" w:cs="Arial"/>
        </w:rPr>
      </w:pPr>
      <w:r w:rsidRPr="00653B51">
        <w:rPr>
          <w:rFonts w:ascii="Verdana" w:eastAsia="Calibri" w:hAnsi="Verdana" w:cs="Arial"/>
        </w:rPr>
        <w:t xml:space="preserve">Lo anterior se sustenta en las siguientes consideraciones: </w:t>
      </w:r>
    </w:p>
    <w:p w14:paraId="45120C45" w14:textId="77777777" w:rsidR="00653B51" w:rsidRPr="00653B51" w:rsidRDefault="00653B51" w:rsidP="00653B51">
      <w:pPr>
        <w:spacing w:after="0"/>
        <w:jc w:val="both"/>
        <w:rPr>
          <w:rFonts w:ascii="Verdana" w:eastAsia="Calibri" w:hAnsi="Verdana" w:cs="Arial"/>
        </w:rPr>
      </w:pPr>
    </w:p>
    <w:p w14:paraId="606D7D78" w14:textId="77777777" w:rsidR="00653B51" w:rsidRPr="00653B51" w:rsidRDefault="00653B51" w:rsidP="00653B51">
      <w:pPr>
        <w:widowControl w:val="0"/>
        <w:autoSpaceDE w:val="0"/>
        <w:autoSpaceDN w:val="0"/>
        <w:spacing w:after="120" w:line="276" w:lineRule="auto"/>
        <w:jc w:val="both"/>
        <w:rPr>
          <w:rFonts w:ascii="Verdana" w:eastAsia="Arial" w:hAnsi="Verdana" w:cs="Arial"/>
        </w:rPr>
      </w:pPr>
      <w:r w:rsidRPr="00653B51">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p>
    <w:p w14:paraId="63734C98" w14:textId="77777777" w:rsidR="00653B51" w:rsidRPr="00653B51" w:rsidRDefault="00653B51" w:rsidP="00653B51">
      <w:pPr>
        <w:widowControl w:val="0"/>
        <w:autoSpaceDE w:val="0"/>
        <w:autoSpaceDN w:val="0"/>
        <w:spacing w:after="120" w:line="276" w:lineRule="auto"/>
        <w:ind w:firstLine="709"/>
        <w:jc w:val="both"/>
        <w:rPr>
          <w:rFonts w:ascii="Verdana" w:eastAsia="Arial" w:hAnsi="Verdana" w:cs="Arial"/>
        </w:rPr>
      </w:pPr>
      <w:r w:rsidRPr="00653B51">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w:t>
      </w:r>
    </w:p>
    <w:p w14:paraId="594E418D" w14:textId="77777777" w:rsidR="00653B51" w:rsidRPr="00653B51" w:rsidRDefault="00653B51" w:rsidP="00653B51">
      <w:pPr>
        <w:widowControl w:val="0"/>
        <w:autoSpaceDE w:val="0"/>
        <w:autoSpaceDN w:val="0"/>
        <w:spacing w:after="120" w:line="276" w:lineRule="auto"/>
        <w:ind w:firstLine="709"/>
        <w:contextualSpacing/>
        <w:jc w:val="both"/>
        <w:rPr>
          <w:rFonts w:ascii="Verdana" w:eastAsia="Arial" w:hAnsi="Verdana" w:cs="Arial"/>
        </w:rPr>
      </w:pPr>
      <w:r w:rsidRPr="00653B51">
        <w:rPr>
          <w:rFonts w:ascii="Verdana" w:eastAsia="Arial" w:hAnsi="Verdana" w:cs="Arial"/>
        </w:rPr>
        <w:t xml:space="preserve">Por su parte, el artículo 2.2.1.1.1.6.4. del Decreto 1082 de 2015 señala la información que debe entregar el proponente interesado en un proceso de contratación para acreditar su Capacidad Residual, de la siguiente forma: </w:t>
      </w:r>
    </w:p>
    <w:p w14:paraId="2A35B25D" w14:textId="77777777" w:rsidR="00653B51" w:rsidRPr="00653B51" w:rsidRDefault="00653B51" w:rsidP="00653B51">
      <w:pPr>
        <w:widowControl w:val="0"/>
        <w:autoSpaceDE w:val="0"/>
        <w:autoSpaceDN w:val="0"/>
        <w:spacing w:after="0" w:line="276" w:lineRule="auto"/>
        <w:ind w:firstLine="709"/>
        <w:contextualSpacing/>
        <w:jc w:val="both"/>
        <w:rPr>
          <w:rFonts w:ascii="Verdana" w:eastAsia="Arial" w:hAnsi="Verdana" w:cs="Arial"/>
          <w:lang w:val="es-ES"/>
        </w:rPr>
      </w:pPr>
    </w:p>
    <w:p w14:paraId="69086217" w14:textId="77777777" w:rsidR="00653B51" w:rsidRPr="00653B51" w:rsidRDefault="00653B51" w:rsidP="00653B51">
      <w:pPr>
        <w:widowControl w:val="0"/>
        <w:autoSpaceDE w:val="0"/>
        <w:autoSpaceDN w:val="0"/>
        <w:snapToGrid w:val="0"/>
        <w:spacing w:after="120" w:line="240" w:lineRule="auto"/>
        <w:ind w:left="709" w:right="709"/>
        <w:jc w:val="both"/>
        <w:rPr>
          <w:rFonts w:ascii="Verdana" w:eastAsia="Calibri" w:hAnsi="Verdana" w:cs="Arial"/>
          <w:color w:val="000000"/>
          <w:sz w:val="20"/>
          <w:szCs w:val="20"/>
          <w:lang w:val="es-ES"/>
        </w:rPr>
      </w:pPr>
      <w:r w:rsidRPr="00653B51">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01A7F110" w14:textId="77777777" w:rsidR="00653B51" w:rsidRPr="00653B51" w:rsidRDefault="00653B51" w:rsidP="00653B51">
      <w:pPr>
        <w:widowControl w:val="0"/>
        <w:autoSpaceDE w:val="0"/>
        <w:autoSpaceDN w:val="0"/>
        <w:snapToGrid w:val="0"/>
        <w:spacing w:after="120" w:line="240" w:lineRule="auto"/>
        <w:ind w:left="709" w:right="709"/>
        <w:jc w:val="both"/>
        <w:rPr>
          <w:rFonts w:ascii="Verdana" w:eastAsia="Calibri" w:hAnsi="Verdana" w:cs="Arial"/>
          <w:color w:val="000000"/>
          <w:sz w:val="20"/>
          <w:szCs w:val="20"/>
          <w:lang w:val="es-ES"/>
        </w:rPr>
      </w:pPr>
      <w:r w:rsidRPr="00653B51">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22D7AB16" w14:textId="77777777" w:rsidR="00653B51" w:rsidRPr="00653B51" w:rsidRDefault="00653B51" w:rsidP="00653B51">
      <w:pPr>
        <w:widowControl w:val="0"/>
        <w:autoSpaceDE w:val="0"/>
        <w:autoSpaceDN w:val="0"/>
        <w:snapToGrid w:val="0"/>
        <w:spacing w:after="120" w:line="240" w:lineRule="auto"/>
        <w:ind w:left="709" w:right="709"/>
        <w:jc w:val="both"/>
        <w:rPr>
          <w:rFonts w:ascii="Verdana" w:eastAsia="Calibri" w:hAnsi="Verdana" w:cs="Arial"/>
          <w:color w:val="000000"/>
          <w:sz w:val="20"/>
          <w:szCs w:val="20"/>
          <w:lang w:val="es-ES"/>
        </w:rPr>
      </w:pPr>
      <w:r w:rsidRPr="00653B51">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46CB2E47" w14:textId="77777777" w:rsidR="00653B51" w:rsidRPr="00653B51" w:rsidRDefault="00653B51" w:rsidP="00653B51">
      <w:pPr>
        <w:snapToGrid w:val="0"/>
        <w:spacing w:after="0" w:line="240" w:lineRule="auto"/>
        <w:ind w:left="708" w:right="758"/>
        <w:jc w:val="both"/>
        <w:rPr>
          <w:rFonts w:ascii="Verdana" w:eastAsia="Calibri" w:hAnsi="Verdana" w:cs="Arial"/>
          <w:color w:val="000000"/>
          <w:sz w:val="20"/>
          <w:szCs w:val="20"/>
        </w:rPr>
      </w:pPr>
      <w:r w:rsidRPr="00653B51">
        <w:rPr>
          <w:rFonts w:ascii="Verdana" w:eastAsia="Calibri" w:hAnsi="Verdana" w:cs="Arial"/>
          <w:color w:val="000000"/>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7BBB437A" w14:textId="77777777" w:rsidR="00653B51" w:rsidRPr="00653B51" w:rsidRDefault="00653B51" w:rsidP="00653B51">
      <w:pPr>
        <w:spacing w:after="0"/>
        <w:ind w:left="708" w:right="758"/>
        <w:jc w:val="both"/>
        <w:rPr>
          <w:rFonts w:ascii="Verdana" w:eastAsia="Calibri" w:hAnsi="Verdana" w:cs="Arial"/>
          <w:color w:val="000000"/>
          <w:sz w:val="20"/>
          <w:szCs w:val="20"/>
        </w:rPr>
      </w:pPr>
    </w:p>
    <w:p w14:paraId="5A189435" w14:textId="77777777" w:rsidR="00653B51" w:rsidRPr="00653B51" w:rsidRDefault="00653B51" w:rsidP="00653B51">
      <w:pPr>
        <w:spacing w:after="120" w:line="276" w:lineRule="auto"/>
        <w:ind w:firstLine="709"/>
        <w:jc w:val="both"/>
        <w:rPr>
          <w:rFonts w:ascii="Verdana" w:eastAsia="Arial" w:hAnsi="Verdana" w:cs="Arial"/>
        </w:rPr>
      </w:pPr>
      <w:r w:rsidRPr="00653B51">
        <w:rPr>
          <w:rFonts w:ascii="Verdana" w:eastAsia="Calibri" w:hAnsi="Verdana" w:cs="Times New Roman"/>
        </w:rPr>
        <w:t xml:space="preserve">De acuerdo con lo anterior, el proponente que participe en un proceso de selección de una obra pública deberá acreditar la capacidad residual de </w:t>
      </w:r>
      <w:r w:rsidRPr="00653B51">
        <w:rPr>
          <w:rFonts w:ascii="Verdana" w:eastAsia="Calibri" w:hAnsi="Verdana" w:cs="Times New Roman"/>
        </w:rPr>
        <w:lastRenderedPageBreak/>
        <w:t xml:space="preserve">contratación allegando para el efecto los documentos indicados en el </w:t>
      </w:r>
      <w:r w:rsidRPr="00653B51">
        <w:rPr>
          <w:rFonts w:ascii="Verdana" w:eastAsia="Arial" w:hAnsi="Verdana" w:cs="Arial"/>
        </w:rPr>
        <w:t xml:space="preserve">2.2.1.1.1.6.4. del Decreto 1082 de 2015 antes descritos. </w:t>
      </w:r>
    </w:p>
    <w:p w14:paraId="7BFA9CE0"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Calibri" w:hAnsi="Verdana" w:cs="Times New Roman"/>
        </w:rPr>
        <w:t xml:space="preserve">Así mismo, debe indicarse que la Capacidad Residual es un requisito habilitante que está sujeto a la posibilidad de solicitarle aclaración, con el fin de esclarecer dudas sobre aspectos de la información presentada por el proponente y, de igual forma, está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58614598"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Calibri" w:hAnsi="Verdana" w:cs="Times New Roman"/>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26B7BA9A"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653B51">
        <w:rPr>
          <w:rFonts w:ascii="Verdana" w:eastAsia="Calibri" w:hAnsi="Verdana" w:cs="Times New Roman"/>
          <w:vertAlign w:val="superscript"/>
        </w:rPr>
        <w:footnoteReference w:id="1"/>
      </w:r>
      <w:r w:rsidRPr="00653B51">
        <w:rPr>
          <w:rFonts w:ascii="Verdana" w:eastAsia="Calibri" w:hAnsi="Verdana" w:cs="Times New Roman"/>
        </w:rPr>
        <w:t xml:space="preserv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653B51">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717E6C60" w14:textId="77777777" w:rsidR="00653B51" w:rsidRPr="00653B51" w:rsidRDefault="00653B51" w:rsidP="00653B51">
      <w:pPr>
        <w:spacing w:after="0" w:line="276" w:lineRule="auto"/>
        <w:ind w:right="51" w:firstLine="709"/>
        <w:jc w:val="both"/>
        <w:rPr>
          <w:rFonts w:ascii="Verdana" w:eastAsia="Calibri" w:hAnsi="Verdana" w:cs="Arial"/>
        </w:rPr>
      </w:pPr>
      <w:r w:rsidRPr="00653B51">
        <w:rPr>
          <w:rFonts w:ascii="Verdana" w:eastAsia="Calibri" w:hAnsi="Verdana" w:cs="Arial"/>
        </w:rPr>
        <w:t xml:space="preserve">Ahora bien, es importante pasar al </w:t>
      </w:r>
      <w:bookmarkStart w:id="2" w:name="_Hlk121298068"/>
      <w:r w:rsidRPr="00653B51">
        <w:rPr>
          <w:rFonts w:ascii="Verdana" w:eastAsia="Calibri" w:hAnsi="Verdana" w:cs="Arial"/>
        </w:rPr>
        <w:t>a</w:t>
      </w:r>
      <w:r w:rsidRPr="00653B51">
        <w:rPr>
          <w:rFonts w:ascii="Verdana" w:eastAsia="Calibri" w:hAnsi="Verdana" w:cs="Times New Roman"/>
        </w:rPr>
        <w:t>nálisis frente al rechazo de ofertas respecto a la información solicitada para el cálculo de la capacidad residual</w:t>
      </w:r>
      <w:bookmarkEnd w:id="2"/>
      <w:r w:rsidRPr="00653B51">
        <w:rPr>
          <w:rFonts w:ascii="Verdana" w:eastAsia="Calibri" w:hAnsi="Verdana" w:cs="Times New Roman"/>
        </w:rPr>
        <w:t xml:space="preserve">. En </w:t>
      </w:r>
      <w:r w:rsidRPr="00653B51">
        <w:rPr>
          <w:rFonts w:ascii="Verdana" w:eastAsia="Calibri" w:hAnsi="Verdana" w:cs="Times New Roman"/>
        </w:rPr>
        <w:lastRenderedPageBreak/>
        <w:t xml:space="preserve">este sentido, debe indicarse que </w:t>
      </w:r>
      <w:r w:rsidRPr="00653B51">
        <w:rPr>
          <w:rFonts w:ascii="Verdana" w:eastAsia="Calibri" w:hAnsi="Verdana" w:cs="Ari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653B51">
        <w:rPr>
          <w:rFonts w:ascii="Verdana" w:eastAsia="Calibri" w:hAnsi="Verdana" w:cs="Arial"/>
          <w:vertAlign w:val="superscript"/>
        </w:rPr>
        <w:footnoteReference w:id="2"/>
      </w:r>
      <w:r w:rsidRPr="00653B51">
        <w:rPr>
          <w:rFonts w:ascii="Verdana" w:eastAsia="Calibri" w:hAnsi="Verdana" w:cs="Arial"/>
        </w:rPr>
        <w:t xml:space="preserve"> señala:</w:t>
      </w:r>
    </w:p>
    <w:p w14:paraId="1A109530" w14:textId="77777777" w:rsidR="00653B51" w:rsidRPr="00653B51" w:rsidRDefault="00653B51" w:rsidP="00653B51">
      <w:pPr>
        <w:spacing w:after="0" w:line="276" w:lineRule="auto"/>
        <w:ind w:right="51" w:firstLine="709"/>
        <w:jc w:val="both"/>
        <w:rPr>
          <w:rFonts w:ascii="Verdana" w:eastAsia="Calibri" w:hAnsi="Verdana" w:cs="Arial"/>
        </w:rPr>
      </w:pPr>
    </w:p>
    <w:p w14:paraId="09382516" w14:textId="77777777" w:rsidR="00653B51" w:rsidRPr="00653B51" w:rsidRDefault="00653B51" w:rsidP="00653B51">
      <w:pPr>
        <w:spacing w:after="0" w:line="240" w:lineRule="auto"/>
        <w:ind w:left="709" w:right="709"/>
        <w:contextualSpacing/>
        <w:jc w:val="both"/>
        <w:rPr>
          <w:rFonts w:ascii="Verdana" w:eastAsia="Calibri" w:hAnsi="Verdana" w:cs="Arial"/>
          <w:sz w:val="20"/>
          <w:szCs w:val="20"/>
          <w:lang w:val="es-ES"/>
        </w:rPr>
      </w:pPr>
      <w:r w:rsidRPr="00653B51">
        <w:rPr>
          <w:rFonts w:ascii="Verdana" w:eastAsia="Calibri" w:hAnsi="Verdana" w:cs="Arial"/>
          <w:sz w:val="20"/>
          <w:szCs w:val="20"/>
          <w:lang w:val="es-ES"/>
        </w:rPr>
        <w:t xml:space="preserve">“Quiere con esto destacar la Sala que las causales de rechazo de las propuestas pueden ser legales y por lo mismo generan el efecto del descarte o exclusión de la oferta </w:t>
      </w:r>
      <w:proofErr w:type="spellStart"/>
      <w:r w:rsidRPr="00653B51">
        <w:rPr>
          <w:rFonts w:ascii="Verdana" w:eastAsia="Calibri" w:hAnsi="Verdana" w:cs="Arial"/>
          <w:sz w:val="20"/>
          <w:szCs w:val="20"/>
          <w:lang w:val="es-ES"/>
        </w:rPr>
        <w:t>ope</w:t>
      </w:r>
      <w:proofErr w:type="spellEnd"/>
      <w:r w:rsidRPr="00653B51">
        <w:rPr>
          <w:rFonts w:ascii="Verdana" w:eastAsia="Calibri" w:hAnsi="Verdana" w:cs="Arial"/>
          <w:sz w:val="20"/>
          <w:szCs w:val="20"/>
          <w:lang w:val="es-ES"/>
        </w:rPr>
        <w:t xml:space="preserve"> </w:t>
      </w:r>
      <w:proofErr w:type="spellStart"/>
      <w:r w:rsidRPr="00653B51">
        <w:rPr>
          <w:rFonts w:ascii="Verdana" w:eastAsia="Calibri" w:hAnsi="Verdana" w:cs="Arial"/>
          <w:sz w:val="20"/>
          <w:szCs w:val="20"/>
          <w:lang w:val="es-ES"/>
        </w:rPr>
        <w:t>legis</w:t>
      </w:r>
      <w:proofErr w:type="spellEnd"/>
      <w:r w:rsidRPr="00653B51">
        <w:rPr>
          <w:rFonts w:ascii="Verdana" w:eastAsia="Calibri" w:hAnsi="Verdana" w:cs="Arial"/>
          <w:sz w:val="20"/>
          <w:szCs w:val="20"/>
          <w:lang w:val="es-ES"/>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49F37DE1" w14:textId="77777777" w:rsidR="00653B51" w:rsidRPr="00653B51" w:rsidRDefault="00653B51" w:rsidP="00653B51">
      <w:pPr>
        <w:spacing w:after="0" w:line="276" w:lineRule="auto"/>
        <w:jc w:val="both"/>
        <w:rPr>
          <w:rFonts w:ascii="Verdana" w:eastAsia="Calibri" w:hAnsi="Verdana" w:cs="Arial"/>
          <w:lang w:val="es-ES"/>
        </w:rPr>
      </w:pPr>
    </w:p>
    <w:p w14:paraId="1D31061E" w14:textId="77777777" w:rsidR="00653B51" w:rsidRPr="00653B51" w:rsidRDefault="00653B51" w:rsidP="00653B51">
      <w:pPr>
        <w:spacing w:after="0" w:line="276" w:lineRule="auto"/>
        <w:ind w:firstLine="708"/>
        <w:jc w:val="both"/>
        <w:rPr>
          <w:rFonts w:ascii="Verdana" w:eastAsia="Calibri" w:hAnsi="Verdana" w:cs="Arial"/>
        </w:rPr>
      </w:pPr>
      <w:r w:rsidRPr="00653B51">
        <w:rPr>
          <w:rFonts w:ascii="Verdana" w:eastAsia="Calibri" w:hAnsi="Verdana" w:cs="Ari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653B51">
        <w:rPr>
          <w:rFonts w:ascii="Verdana" w:eastAsia="Calibri" w:hAnsi="Verdana" w:cs="Arial"/>
          <w:vertAlign w:val="superscript"/>
        </w:rPr>
        <w:footnoteReference w:id="3"/>
      </w:r>
      <w:r w:rsidRPr="00653B51">
        <w:rPr>
          <w:rFonts w:ascii="Verdana" w:eastAsia="Calibri" w:hAnsi="Verdana" w:cs="Arial"/>
        </w:rPr>
        <w:t xml:space="preserve"> sostuvo: </w:t>
      </w:r>
    </w:p>
    <w:p w14:paraId="7CC47D85" w14:textId="77777777" w:rsidR="00653B51" w:rsidRPr="00653B51" w:rsidRDefault="00653B51" w:rsidP="00653B51">
      <w:pPr>
        <w:spacing w:after="0" w:line="276" w:lineRule="auto"/>
        <w:jc w:val="both"/>
        <w:rPr>
          <w:rFonts w:ascii="Verdana" w:eastAsia="Calibri" w:hAnsi="Verdana" w:cs="Arial"/>
          <w:lang w:val="es-ES"/>
        </w:rPr>
      </w:pPr>
    </w:p>
    <w:p w14:paraId="1910423E" w14:textId="77777777" w:rsidR="00653B51" w:rsidRPr="00653B51" w:rsidRDefault="00653B51" w:rsidP="00653B51">
      <w:pPr>
        <w:spacing w:after="0" w:line="240" w:lineRule="auto"/>
        <w:ind w:left="709" w:right="709"/>
        <w:jc w:val="both"/>
        <w:rPr>
          <w:rFonts w:ascii="Verdana" w:eastAsia="Calibri" w:hAnsi="Verdana" w:cs="Arial"/>
          <w:sz w:val="20"/>
          <w:szCs w:val="20"/>
          <w:lang w:val="es-ES"/>
        </w:rPr>
      </w:pPr>
      <w:r w:rsidRPr="00653B51">
        <w:rPr>
          <w:rFonts w:ascii="Verdana" w:eastAsia="Calibri" w:hAnsi="Verdana" w:cs="Arial"/>
          <w:sz w:val="20"/>
          <w:szCs w:val="20"/>
          <w:lang w:val="es-ES"/>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w:t>
      </w:r>
      <w:r w:rsidRPr="00653B51">
        <w:rPr>
          <w:rFonts w:ascii="Verdana" w:eastAsia="Calibri" w:hAnsi="Verdana" w:cs="Arial"/>
          <w:sz w:val="20"/>
          <w:szCs w:val="20"/>
          <w:lang w:val="es-ES"/>
        </w:rPr>
        <w:lastRenderedPageBreak/>
        <w:t>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1FC9FFCB" w14:textId="77777777" w:rsidR="00653B51" w:rsidRPr="00653B51" w:rsidRDefault="00653B51" w:rsidP="00653B51">
      <w:pPr>
        <w:spacing w:after="0" w:line="276" w:lineRule="auto"/>
        <w:ind w:left="720"/>
        <w:contextualSpacing/>
        <w:jc w:val="both"/>
        <w:rPr>
          <w:rFonts w:ascii="Verdana" w:eastAsia="Calibri" w:hAnsi="Verdana" w:cs="Arial"/>
          <w:lang w:val="es-ES"/>
        </w:rPr>
      </w:pPr>
    </w:p>
    <w:p w14:paraId="2366DC39" w14:textId="77777777" w:rsidR="00653B51" w:rsidRPr="00653B51" w:rsidRDefault="00653B51" w:rsidP="00653B51">
      <w:pPr>
        <w:spacing w:after="120" w:line="276" w:lineRule="auto"/>
        <w:ind w:firstLine="709"/>
        <w:jc w:val="both"/>
        <w:rPr>
          <w:rFonts w:ascii="Verdana" w:eastAsia="Calibri" w:hAnsi="Verdana" w:cs="Arial"/>
        </w:rPr>
      </w:pPr>
      <w:r w:rsidRPr="00653B51">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3C1B4981" w14:textId="77777777" w:rsidR="00653B51" w:rsidRPr="00653B51" w:rsidRDefault="00653B51" w:rsidP="00653B51">
      <w:pPr>
        <w:spacing w:after="0" w:line="276" w:lineRule="auto"/>
        <w:ind w:firstLine="709"/>
        <w:jc w:val="both"/>
        <w:rPr>
          <w:rFonts w:ascii="Verdana" w:eastAsia="Calibri" w:hAnsi="Verdana" w:cs="Arial"/>
        </w:rPr>
      </w:pPr>
      <w:r w:rsidRPr="00653B51">
        <w:rPr>
          <w:rFonts w:ascii="Verdana" w:eastAsia="Calibri" w:hAnsi="Verdana" w:cs="Arial"/>
        </w:rPr>
        <w:t xml:space="preserve">De acuerdo con lo anterior, las entidades públicas como directoras de sus procesos de contratación son autónomas en estipular en sus pliegos de condiciones o documentos equivalentes, las causales de rechazo que considere 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señala:  </w:t>
      </w:r>
    </w:p>
    <w:p w14:paraId="7DDFA8AF" w14:textId="77777777" w:rsidR="00653B51" w:rsidRPr="00653B51" w:rsidRDefault="00653B51" w:rsidP="00653B51">
      <w:pPr>
        <w:spacing w:after="0" w:line="276" w:lineRule="auto"/>
        <w:ind w:firstLine="709"/>
        <w:jc w:val="both"/>
        <w:rPr>
          <w:rFonts w:ascii="Verdana" w:eastAsia="Calibri" w:hAnsi="Verdana" w:cs="Arial"/>
        </w:rPr>
      </w:pPr>
    </w:p>
    <w:p w14:paraId="08574514" w14:textId="77777777" w:rsidR="00653B51" w:rsidRPr="00653B51" w:rsidRDefault="00653B51" w:rsidP="00653B51">
      <w:pPr>
        <w:spacing w:after="0" w:line="240" w:lineRule="auto"/>
        <w:ind w:left="709" w:right="709"/>
        <w:contextualSpacing/>
        <w:jc w:val="both"/>
        <w:rPr>
          <w:rFonts w:ascii="Verdana" w:eastAsia="Times New Roman" w:hAnsi="Verdana" w:cs="Arial"/>
          <w:spacing w:val="2"/>
          <w:sz w:val="21"/>
          <w:szCs w:val="21"/>
          <w:lang w:eastAsia="es-CO"/>
        </w:rPr>
      </w:pPr>
      <w:r w:rsidRPr="00653B51">
        <w:rPr>
          <w:rFonts w:ascii="Verdana" w:eastAsia="Calibri" w:hAnsi="Verdana" w:cs="Arial"/>
          <w:bCs/>
          <w:sz w:val="21"/>
          <w:szCs w:val="21"/>
        </w:rPr>
        <w:t>“</w:t>
      </w:r>
      <w:r w:rsidRPr="00653B51">
        <w:rPr>
          <w:rFonts w:ascii="Verdana" w:eastAsia="Times New Roman" w:hAnsi="Verdana" w:cs="Arial"/>
          <w:spacing w:val="2"/>
          <w:sz w:val="20"/>
          <w:szCs w:val="20"/>
          <w:lang w:eastAsia="es-CO"/>
        </w:rPr>
        <w:t xml:space="preserve">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653B51">
        <w:rPr>
          <w:rFonts w:ascii="Verdana" w:eastAsia="Times New Roman" w:hAnsi="Verdana" w:cs="Arial"/>
          <w:spacing w:val="2"/>
          <w:sz w:val="20"/>
          <w:szCs w:val="20"/>
          <w:lang w:eastAsia="es-CO"/>
        </w:rPr>
        <w:t>puntaje,</w:t>
      </w:r>
      <w:proofErr w:type="gramEnd"/>
      <w:r w:rsidRPr="00653B51">
        <w:rPr>
          <w:rFonts w:ascii="Verdana" w:eastAsia="Times New Roman" w:hAnsi="Verdana" w:cs="Arial"/>
          <w:spacing w:val="2"/>
          <w:sz w:val="20"/>
          <w:szCs w:val="20"/>
          <w:lang w:eastAsia="es-CO"/>
        </w:rPr>
        <w:t xml:space="preserve"> podrán ser solicitados por las entidades en cualquier momento, hasta la adjudicación. No </w:t>
      </w:r>
      <w:proofErr w:type="gramStart"/>
      <w:r w:rsidRPr="00653B51">
        <w:rPr>
          <w:rFonts w:ascii="Verdana" w:eastAsia="Times New Roman" w:hAnsi="Verdana" w:cs="Arial"/>
          <w:spacing w:val="2"/>
          <w:sz w:val="20"/>
          <w:szCs w:val="20"/>
          <w:lang w:eastAsia="es-CO"/>
        </w:rPr>
        <w:t>obstante</w:t>
      </w:r>
      <w:proofErr w:type="gramEnd"/>
      <w:r w:rsidRPr="00653B51">
        <w:rPr>
          <w:rFonts w:ascii="Verdana" w:eastAsia="Times New Roman" w:hAnsi="Verdana" w:cs="Arial"/>
          <w:spacing w:val="2"/>
          <w:sz w:val="20"/>
          <w:szCs w:val="20"/>
          <w:lang w:eastAsia="es-CO"/>
        </w:rPr>
        <w:t xml:space="preserve"> lo anterior, en aquellos procesos de selección en los que se utilice el mecanismo de subasta, deberán ser solicitados hasta el momento previo a su realización</w:t>
      </w:r>
      <w:r w:rsidRPr="00653B51">
        <w:rPr>
          <w:rFonts w:ascii="Verdana" w:eastAsia="Calibri" w:hAnsi="Verdana" w:cs="Arial"/>
          <w:bCs/>
          <w:sz w:val="20"/>
          <w:szCs w:val="20"/>
        </w:rPr>
        <w:t>”</w:t>
      </w:r>
      <w:r w:rsidRPr="00653B51">
        <w:rPr>
          <w:rFonts w:ascii="Verdana" w:eastAsia="Times New Roman" w:hAnsi="Verdana" w:cs="Arial"/>
          <w:spacing w:val="2"/>
          <w:sz w:val="20"/>
          <w:szCs w:val="20"/>
          <w:lang w:eastAsia="es-CO"/>
        </w:rPr>
        <w:t>.</w:t>
      </w:r>
    </w:p>
    <w:p w14:paraId="1701BB5A" w14:textId="77777777" w:rsidR="00653B51" w:rsidRPr="00653B51" w:rsidRDefault="00653B51" w:rsidP="00653B51">
      <w:pPr>
        <w:spacing w:after="0" w:line="276" w:lineRule="auto"/>
        <w:contextualSpacing/>
        <w:jc w:val="both"/>
        <w:rPr>
          <w:rFonts w:ascii="Verdana" w:eastAsia="Times New Roman" w:hAnsi="Verdana" w:cs="Arial"/>
          <w:spacing w:val="2"/>
          <w:lang w:eastAsia="es-CO"/>
        </w:rPr>
      </w:pPr>
    </w:p>
    <w:p w14:paraId="387D302E"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Calibri" w:hAnsi="Verdana" w:cs="Arial"/>
          <w:lang w:val="es-ES"/>
        </w:rPr>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p>
    <w:p w14:paraId="35AE2F4D"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Arial" w:hAnsi="Verdana" w:cs="Arial"/>
          <w:lang w:val="es-ES" w:eastAsia="es-ES" w:bidi="es-ES"/>
        </w:rPr>
        <w:lastRenderedPageBreak/>
        <w:t xml:space="preserve">Bajo el marco descrito con anterioridad y para responder al problema jurídico planteado en esta solicitud, </w:t>
      </w:r>
      <w:r w:rsidRPr="00653B51">
        <w:rPr>
          <w:rFonts w:ascii="Verdana" w:eastAsia="Calibri" w:hAnsi="Verdana" w:cs="Times New Roman"/>
        </w:rPr>
        <w:t xml:space="preserve">relativo a la posibilidad de subsanar la capacidad residual de contratación en eventos en que se utilice los documentos tipo, es menester indicar que dichos documentos tipo expedidos por esta Agencia en ejercicio de la potestad otorgada por la Ley 2022 de 2020, son de obligatoria observancia para las Entidades Estatales sometidas al Estatuto General de Contratación de la Administración Pública. Debido a esto tales entidades deben aplicar de manera forzosa los Documentos Tipo para desarrollar los Procesos de Contratación en los objetos y modalidades cobijadas por los Documentos Tipo. </w:t>
      </w:r>
    </w:p>
    <w:p w14:paraId="76596799" w14:textId="77777777" w:rsidR="00653B51" w:rsidRPr="00653B51" w:rsidRDefault="00653B51" w:rsidP="00653B51">
      <w:pPr>
        <w:spacing w:after="120" w:line="276" w:lineRule="auto"/>
        <w:ind w:firstLine="709"/>
        <w:jc w:val="both"/>
        <w:rPr>
          <w:rFonts w:ascii="Verdana" w:eastAsia="Calibri" w:hAnsi="Verdana" w:cs="Times New Roman"/>
        </w:rPr>
      </w:pPr>
      <w:r w:rsidRPr="00653B51">
        <w:rPr>
          <w:rFonts w:ascii="Verdana" w:eastAsia="Calibri" w:hAnsi="Verdana" w:cs="Arial"/>
          <w:szCs w:val="20"/>
          <w:lang w:val="es-MX"/>
        </w:rPr>
        <w:t xml:space="preserve">El numeral 3.10 del documento base de licitación para obra pública de infraestructura de transporte –versión 4 establece </w:t>
      </w:r>
      <w:r w:rsidRPr="00653B51">
        <w:rPr>
          <w:rFonts w:ascii="Verdana" w:eastAsia="Calibri" w:hAnsi="Verdana" w:cs="Arial"/>
          <w:szCs w:val="20"/>
        </w:rPr>
        <w:t xml:space="preserve">como requisito habilitante la capacidad residual. En este documento tipo, </w:t>
      </w:r>
      <w:r w:rsidRPr="00653B51">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5EE8557C" w14:textId="77777777" w:rsidR="00653B51" w:rsidRPr="00653B51" w:rsidRDefault="00653B51" w:rsidP="00653B51">
      <w:pPr>
        <w:spacing w:after="0"/>
        <w:ind w:left="709" w:right="709"/>
        <w:jc w:val="both"/>
        <w:rPr>
          <w:rFonts w:ascii="Verdana" w:eastAsia="Calibri" w:hAnsi="Verdana" w:cs="Arial"/>
          <w:b/>
          <w:bCs/>
          <w:sz w:val="21"/>
          <w:szCs w:val="21"/>
        </w:rPr>
      </w:pPr>
    </w:p>
    <w:p w14:paraId="12246E76" w14:textId="77777777" w:rsidR="00653B51" w:rsidRPr="00653B51" w:rsidRDefault="00653B51" w:rsidP="00653B51">
      <w:pPr>
        <w:ind w:right="709" w:firstLine="708"/>
        <w:rPr>
          <w:rFonts w:ascii="Verdana" w:eastAsia="Aptos" w:hAnsi="Verdana" w:cs="Times New Roman"/>
          <w:b/>
          <w:bCs/>
          <w:sz w:val="21"/>
          <w:szCs w:val="21"/>
        </w:rPr>
      </w:pPr>
      <w:bookmarkStart w:id="3" w:name="_Toc176242637"/>
      <w:r w:rsidRPr="00653B51">
        <w:rPr>
          <w:rFonts w:ascii="Verdana" w:eastAsia="Aptos" w:hAnsi="Verdana" w:cs="Times New Roman"/>
          <w:b/>
          <w:bCs/>
          <w:sz w:val="21"/>
          <w:szCs w:val="21"/>
        </w:rPr>
        <w:t>“1.15 CAUSALES DE RECHAZO</w:t>
      </w:r>
      <w:bookmarkEnd w:id="3"/>
    </w:p>
    <w:p w14:paraId="1AAE5460" w14:textId="77777777" w:rsidR="00653B51" w:rsidRPr="00653B51" w:rsidRDefault="00653B51" w:rsidP="00653B51">
      <w:pPr>
        <w:spacing w:after="120" w:line="240" w:lineRule="auto"/>
        <w:ind w:left="709" w:right="709"/>
        <w:rPr>
          <w:rFonts w:ascii="Verdana" w:eastAsia="Aptos" w:hAnsi="Verdana" w:cs="Times New Roman"/>
          <w:sz w:val="21"/>
          <w:szCs w:val="21"/>
          <w:lang w:val="es-MX"/>
        </w:rPr>
      </w:pPr>
      <w:r w:rsidRPr="00653B51">
        <w:rPr>
          <w:rFonts w:ascii="Verdana" w:eastAsia="Aptos" w:hAnsi="Verdana" w:cs="Times New Roman"/>
          <w:sz w:val="21"/>
          <w:szCs w:val="21"/>
          <w:lang w:val="es-MX"/>
        </w:rPr>
        <w:t xml:space="preserve">Son causales de rechazo de las propuestas las siguientes </w:t>
      </w:r>
      <w:r w:rsidRPr="00653B51">
        <w:rPr>
          <w:rFonts w:ascii="Verdana" w:eastAsia="Aptos" w:hAnsi="Verdana" w:cs="Times New Roman"/>
          <w:sz w:val="21"/>
          <w:szCs w:val="21"/>
          <w:highlight w:val="lightGray"/>
          <w:lang w:val="es-MX"/>
        </w:rPr>
        <w:t>[Las entidades no podrán incluir causales de rechazo distintas a las señaladas en la presente sección]</w:t>
      </w:r>
      <w:r w:rsidRPr="00653B51">
        <w:rPr>
          <w:rFonts w:ascii="Verdana" w:eastAsia="Aptos" w:hAnsi="Verdana" w:cs="Times New Roman"/>
          <w:sz w:val="21"/>
          <w:szCs w:val="21"/>
          <w:lang w:val="es-MX"/>
        </w:rPr>
        <w:t>:</w:t>
      </w:r>
    </w:p>
    <w:p w14:paraId="2CE7A07F" w14:textId="77777777" w:rsidR="00653B51" w:rsidRPr="00653B51" w:rsidRDefault="00653B51" w:rsidP="00653B51">
      <w:pPr>
        <w:spacing w:after="120" w:line="240" w:lineRule="auto"/>
        <w:ind w:left="709" w:right="709"/>
        <w:rPr>
          <w:rFonts w:ascii="Verdana" w:eastAsia="Aptos" w:hAnsi="Verdana" w:cs="Times New Roman"/>
          <w:sz w:val="21"/>
          <w:szCs w:val="21"/>
          <w:lang w:val="es-MX"/>
        </w:rPr>
      </w:pPr>
      <w:r w:rsidRPr="00653B51">
        <w:rPr>
          <w:rFonts w:ascii="Verdana" w:eastAsia="Aptos" w:hAnsi="Verdana" w:cs="Times New Roman"/>
          <w:sz w:val="21"/>
          <w:szCs w:val="21"/>
          <w:lang w:val="es-MX"/>
        </w:rPr>
        <w:t>(…)</w:t>
      </w:r>
    </w:p>
    <w:p w14:paraId="4D04F5C3" w14:textId="77777777" w:rsidR="00653B51" w:rsidRPr="00653B51" w:rsidRDefault="00653B51" w:rsidP="00653B51">
      <w:pPr>
        <w:numPr>
          <w:ilvl w:val="0"/>
          <w:numId w:val="18"/>
        </w:numPr>
        <w:spacing w:after="120" w:line="240" w:lineRule="auto"/>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52551A92" w14:textId="77777777" w:rsidR="00653B51" w:rsidRPr="00653B51" w:rsidRDefault="00653B51" w:rsidP="00653B51">
      <w:pPr>
        <w:spacing w:after="120" w:line="240" w:lineRule="auto"/>
        <w:ind w:left="709" w:right="709" w:firstLine="283"/>
        <w:jc w:val="both"/>
        <w:rPr>
          <w:rFonts w:ascii="Verdana" w:eastAsia="Arial" w:hAnsi="Verdana" w:cs="Arial"/>
          <w:sz w:val="21"/>
          <w:szCs w:val="21"/>
          <w:lang w:val="es-MX"/>
        </w:rPr>
      </w:pPr>
      <w:r w:rsidRPr="00653B51">
        <w:rPr>
          <w:rFonts w:ascii="Verdana" w:eastAsia="Arial" w:hAnsi="Verdana" w:cs="Arial"/>
          <w:sz w:val="21"/>
          <w:szCs w:val="21"/>
          <w:lang w:val="es-MX"/>
        </w:rPr>
        <w:t>(…)</w:t>
      </w:r>
    </w:p>
    <w:p w14:paraId="25E93FFD" w14:textId="77777777" w:rsidR="00653B51" w:rsidRPr="00653B51" w:rsidRDefault="00653B51" w:rsidP="00653B51">
      <w:pPr>
        <w:numPr>
          <w:ilvl w:val="0"/>
          <w:numId w:val="19"/>
        </w:numPr>
        <w:spacing w:after="120" w:line="240" w:lineRule="auto"/>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Que el proponente aporte información inexacta sobre la cual pueda existir una posible falsedad en los términos de la sección 1.11 del Documento Base.</w:t>
      </w:r>
    </w:p>
    <w:p w14:paraId="00488470" w14:textId="77777777" w:rsidR="00653B51" w:rsidRPr="00653B51" w:rsidRDefault="00653B51" w:rsidP="00653B51">
      <w:pPr>
        <w:spacing w:after="120" w:line="240" w:lineRule="auto"/>
        <w:ind w:left="1040" w:right="709"/>
        <w:jc w:val="both"/>
        <w:rPr>
          <w:rFonts w:ascii="Verdana" w:eastAsia="Arial" w:hAnsi="Verdana" w:cs="Arial"/>
          <w:sz w:val="21"/>
          <w:szCs w:val="21"/>
          <w:lang w:val="es-MX"/>
        </w:rPr>
      </w:pPr>
      <w:r w:rsidRPr="00653B51">
        <w:rPr>
          <w:rFonts w:ascii="Verdana" w:eastAsia="Arial" w:hAnsi="Verdana" w:cs="Arial"/>
          <w:sz w:val="21"/>
          <w:szCs w:val="21"/>
          <w:lang w:val="es-MX"/>
        </w:rPr>
        <w:t>(…)</w:t>
      </w:r>
    </w:p>
    <w:p w14:paraId="790D60A6" w14:textId="77777777" w:rsidR="00653B51" w:rsidRPr="00653B51" w:rsidRDefault="00653B51" w:rsidP="00653B51">
      <w:pPr>
        <w:numPr>
          <w:ilvl w:val="0"/>
          <w:numId w:val="20"/>
        </w:numPr>
        <w:spacing w:after="120" w:line="240" w:lineRule="auto"/>
        <w:ind w:right="709"/>
        <w:contextualSpacing/>
        <w:jc w:val="both"/>
        <w:rPr>
          <w:rFonts w:ascii="Verdana" w:eastAsia="Arial" w:hAnsi="Verdana" w:cs="Arial"/>
          <w:sz w:val="21"/>
          <w:szCs w:val="21"/>
          <w:lang w:val="es-MX"/>
        </w:rPr>
      </w:pPr>
      <w:r w:rsidRPr="00653B51">
        <w:rPr>
          <w:rFonts w:ascii="Verdana" w:eastAsia="Arial" w:hAnsi="Verdana" w:cs="Arial"/>
          <w:sz w:val="21"/>
          <w:szCs w:val="21"/>
          <w:lang w:val="es-MX"/>
        </w:rPr>
        <w:t>No informar todos los contratos que el proponente tenga en ejecución antes del cierre, necesarios para acreditar su capacidad residual conforme a la sección 3.11.</w:t>
      </w:r>
    </w:p>
    <w:p w14:paraId="1141C7B4" w14:textId="77777777" w:rsidR="00653B51" w:rsidRPr="00653B51" w:rsidRDefault="00653B51" w:rsidP="00653B51">
      <w:pPr>
        <w:spacing w:line="240" w:lineRule="auto"/>
        <w:ind w:left="1069"/>
        <w:contextualSpacing/>
        <w:jc w:val="both"/>
        <w:rPr>
          <w:rFonts w:ascii="Verdana" w:eastAsia="Calibri" w:hAnsi="Verdana" w:cs="Times New Roman"/>
          <w:sz w:val="21"/>
          <w:szCs w:val="21"/>
          <w:lang w:val="es-ES"/>
        </w:rPr>
      </w:pPr>
      <w:r w:rsidRPr="00653B51">
        <w:rPr>
          <w:rFonts w:ascii="Verdana" w:eastAsia="Calibri" w:hAnsi="Verdana" w:cs="Times New Roman"/>
          <w:sz w:val="21"/>
          <w:szCs w:val="21"/>
          <w:lang w:val="es-ES"/>
        </w:rPr>
        <w:t xml:space="preserve">(…)”. </w:t>
      </w:r>
    </w:p>
    <w:p w14:paraId="23970ECC" w14:textId="77777777" w:rsidR="00653B51" w:rsidRPr="00653B51" w:rsidRDefault="00653B51" w:rsidP="00653B51">
      <w:pPr>
        <w:spacing w:after="0"/>
        <w:ind w:left="709" w:right="709"/>
        <w:jc w:val="both"/>
        <w:rPr>
          <w:rFonts w:ascii="Verdana" w:eastAsia="Calibri" w:hAnsi="Verdana" w:cs="Arial"/>
          <w:szCs w:val="20"/>
          <w:lang w:val="es-MX"/>
        </w:rPr>
      </w:pPr>
    </w:p>
    <w:p w14:paraId="751F69BE" w14:textId="77777777" w:rsidR="00653B51" w:rsidRPr="00653B51" w:rsidRDefault="00653B51" w:rsidP="00653B51">
      <w:pPr>
        <w:spacing w:line="276" w:lineRule="auto"/>
        <w:ind w:firstLine="708"/>
        <w:jc w:val="both"/>
        <w:rPr>
          <w:rFonts w:ascii="Verdana" w:eastAsia="Calibri" w:hAnsi="Verdana" w:cs="Arial"/>
          <w:szCs w:val="20"/>
          <w:lang w:val="es-MX"/>
        </w:rPr>
      </w:pPr>
      <w:r w:rsidRPr="00653B51">
        <w:rPr>
          <w:rFonts w:ascii="Verdana" w:eastAsia="Calibri" w:hAnsi="Verdana" w:cs="Arial"/>
          <w:szCs w:val="20"/>
          <w:lang w:val="es-MX"/>
        </w:rPr>
        <w:lastRenderedPageBreak/>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5128A2B9" w14:textId="77777777" w:rsidR="00653B51" w:rsidRPr="00653B51" w:rsidRDefault="00653B51" w:rsidP="00653B51">
      <w:pPr>
        <w:spacing w:before="120" w:after="120" w:line="276" w:lineRule="auto"/>
        <w:ind w:firstLine="708"/>
        <w:jc w:val="both"/>
        <w:rPr>
          <w:rFonts w:ascii="Verdana" w:eastAsia="Calibri" w:hAnsi="Verdana" w:cs="Arial"/>
          <w:i/>
          <w:iCs/>
          <w:lang w:val="es-MX"/>
        </w:rPr>
      </w:pPr>
      <w:r w:rsidRPr="00653B51">
        <w:rPr>
          <w:rFonts w:ascii="Verdana" w:eastAsia="Calibri" w:hAnsi="Verdana" w:cs="Arial"/>
          <w:i/>
          <w:szCs w:val="20"/>
          <w:lang w:val="es-MX"/>
        </w:rPr>
        <w:t>i)</w:t>
      </w:r>
      <w:r w:rsidRPr="00653B51">
        <w:rPr>
          <w:rFonts w:ascii="Verdana" w:eastAsia="Calibri" w:hAnsi="Verdana" w:cs="Arial"/>
          <w:szCs w:val="20"/>
          <w:lang w:val="es-MX"/>
        </w:rPr>
        <w:t xml:space="preserve"> La causal del literal X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Esto excluye la configuración de la causal cuando el proponente comete algún error en la información de los contratos, siempre que los reporte todos. Por tanto, la </w:t>
      </w:r>
      <w:r w:rsidRPr="00653B51">
        <w:rPr>
          <w:rFonts w:ascii="Verdana" w:eastAsia="Calibri" w:hAnsi="Verdana" w:cs="Arial"/>
          <w:lang w:val="es-MX"/>
        </w:rPr>
        <w:t>configuración de la causal de rechazo del literal X es objetiva, pues solo aplica ante la omisión del proponente de informar el número total de contratos en ejecución antes del cierre</w:t>
      </w:r>
      <w:r w:rsidRPr="00653B51">
        <w:rPr>
          <w:rFonts w:ascii="Verdana" w:eastAsia="Calibri" w:hAnsi="Verdana" w:cs="Arial"/>
          <w:szCs w:val="20"/>
          <w:lang w:val="es-MX"/>
        </w:rPr>
        <w:t>, es decir, opera también cuando no se aporte con la oferta el Formato 5, sólo si, con ello se está omitiendo informar contratos que tenga en ejecución el proponente.</w:t>
      </w:r>
    </w:p>
    <w:p w14:paraId="1EF7610F" w14:textId="77777777" w:rsidR="00653B51" w:rsidRPr="00653B51" w:rsidRDefault="00653B51" w:rsidP="00653B51">
      <w:pPr>
        <w:spacing w:before="120" w:after="120" w:line="276" w:lineRule="auto"/>
        <w:ind w:firstLine="708"/>
        <w:jc w:val="both"/>
        <w:rPr>
          <w:rFonts w:ascii="Verdana" w:eastAsia="Calibri" w:hAnsi="Verdana" w:cs="Arial"/>
          <w:szCs w:val="20"/>
          <w:lang w:val="es-MX"/>
        </w:rPr>
      </w:pPr>
      <w:proofErr w:type="spellStart"/>
      <w:r w:rsidRPr="00653B51">
        <w:rPr>
          <w:rFonts w:ascii="Verdana" w:eastAsia="Calibri" w:hAnsi="Verdana" w:cs="Arial"/>
          <w:i/>
          <w:szCs w:val="20"/>
          <w:lang w:val="es-MX"/>
        </w:rPr>
        <w:t>ii</w:t>
      </w:r>
      <w:proofErr w:type="spellEnd"/>
      <w:r w:rsidRPr="00653B51">
        <w:rPr>
          <w:rFonts w:ascii="Verdana" w:eastAsia="Calibri" w:hAnsi="Verdana" w:cs="Arial"/>
          <w:i/>
          <w:szCs w:val="20"/>
          <w:lang w:val="es-MX"/>
        </w:rPr>
        <w:t xml:space="preserve">) </w:t>
      </w:r>
      <w:r w:rsidRPr="00653B51">
        <w:rPr>
          <w:rFonts w:ascii="Verdana" w:eastAsia="Calibri" w:hAnsi="Verdana" w:cs="Arial"/>
          <w:szCs w:val="20"/>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13534BBA" w14:textId="77777777" w:rsidR="00653B51" w:rsidRPr="00653B51" w:rsidRDefault="00653B51" w:rsidP="00653B51">
      <w:pPr>
        <w:spacing w:after="0" w:line="276" w:lineRule="auto"/>
        <w:ind w:firstLine="708"/>
        <w:jc w:val="both"/>
        <w:rPr>
          <w:rFonts w:ascii="Verdana" w:eastAsia="Calibri" w:hAnsi="Verdana" w:cs="Arial"/>
          <w:szCs w:val="20"/>
          <w:lang w:val="es-MX"/>
        </w:rPr>
      </w:pPr>
      <w:proofErr w:type="spellStart"/>
      <w:r w:rsidRPr="00653B51">
        <w:rPr>
          <w:rFonts w:ascii="Verdana" w:eastAsia="Calibri" w:hAnsi="Verdana" w:cs="Arial"/>
          <w:i/>
          <w:szCs w:val="20"/>
          <w:lang w:val="es-MX"/>
        </w:rPr>
        <w:t>iii</w:t>
      </w:r>
      <w:proofErr w:type="spellEnd"/>
      <w:r w:rsidRPr="00653B51">
        <w:rPr>
          <w:rFonts w:ascii="Verdana" w:eastAsia="Calibri" w:hAnsi="Verdana" w:cs="Arial"/>
          <w:i/>
          <w:szCs w:val="20"/>
          <w:lang w:val="es-MX"/>
        </w:rPr>
        <w:t xml:space="preserve">) </w:t>
      </w:r>
      <w:r w:rsidRPr="00653B51">
        <w:rPr>
          <w:rFonts w:ascii="Verdana" w:eastAsia="Calibri" w:hAnsi="Verdana" w:cs="Arial"/>
          <w:szCs w:val="20"/>
          <w:lang w:val="es-MX"/>
        </w:rPr>
        <w:t xml:space="preserve">Lo dicho en los numerales precedentes tampoco descarta la posibilidad de que la entidad rechace la oferta si encuentra configurada la causal establecida en </w:t>
      </w:r>
      <w:bookmarkStart w:id="4" w:name="_Hlk81383775"/>
      <w:r w:rsidRPr="00653B51">
        <w:rPr>
          <w:rFonts w:ascii="Verdana" w:eastAsia="Calibri" w:hAnsi="Verdana" w:cs="Arial"/>
          <w:szCs w:val="20"/>
          <w:lang w:val="es-MX"/>
        </w:rPr>
        <w:t>el literal H del numeral 1.15, que aplica cuando el proponente aporta información inexacta sobre la cual pueda existir una posible falsedad, de acuerdo con lo señalado en el numeral 1.11. del documento base</w:t>
      </w:r>
      <w:bookmarkEnd w:id="4"/>
      <w:r w:rsidRPr="00653B51">
        <w:rPr>
          <w:rFonts w:ascii="Verdana" w:eastAsia="Calibri" w:hAnsi="Verdana" w:cs="Arial"/>
          <w:szCs w:val="20"/>
          <w:lang w:val="es-MX"/>
        </w:rPr>
        <w:t>:</w:t>
      </w:r>
    </w:p>
    <w:p w14:paraId="7D8CD8C9" w14:textId="77777777" w:rsidR="00653B51" w:rsidRPr="00653B51" w:rsidRDefault="00653B51" w:rsidP="00653B51">
      <w:pPr>
        <w:spacing w:after="0" w:line="276" w:lineRule="auto"/>
        <w:ind w:firstLine="708"/>
        <w:jc w:val="both"/>
        <w:rPr>
          <w:rFonts w:ascii="Verdana" w:eastAsia="Calibri" w:hAnsi="Verdana" w:cs="Arial"/>
          <w:szCs w:val="20"/>
          <w:lang w:val="es-MX"/>
        </w:rPr>
      </w:pPr>
    </w:p>
    <w:p w14:paraId="1F659C65" w14:textId="77777777" w:rsidR="00653B51" w:rsidRPr="00653B51" w:rsidRDefault="00653B51" w:rsidP="00653B51">
      <w:pPr>
        <w:spacing w:after="0" w:line="240" w:lineRule="auto"/>
        <w:ind w:left="709" w:right="709"/>
        <w:jc w:val="both"/>
        <w:rPr>
          <w:rFonts w:ascii="Verdana" w:eastAsia="Times New Roman" w:hAnsi="Verdana" w:cs="Arial"/>
          <w:b/>
          <w:bCs/>
          <w:kern w:val="2"/>
          <w:sz w:val="21"/>
          <w:szCs w:val="21"/>
          <w:lang w:eastAsia="es-ES_tradnl"/>
          <w14:ligatures w14:val="standardContextual"/>
        </w:rPr>
      </w:pPr>
      <w:r w:rsidRPr="00653B51">
        <w:rPr>
          <w:rFonts w:ascii="Verdana" w:eastAsia="Times New Roman" w:hAnsi="Verdana" w:cs="Arial"/>
          <w:b/>
          <w:bCs/>
          <w:kern w:val="2"/>
          <w:sz w:val="21"/>
          <w:szCs w:val="21"/>
          <w:lang w:eastAsia="es-ES_tradnl"/>
          <w14:ligatures w14:val="standardContextual"/>
        </w:rPr>
        <w:t xml:space="preserve">“1.11 INFORMACIÓN INEXACTA </w:t>
      </w:r>
    </w:p>
    <w:p w14:paraId="182D8E75" w14:textId="77777777" w:rsidR="00653B51" w:rsidRPr="00653B51" w:rsidRDefault="00653B51" w:rsidP="00653B51">
      <w:pPr>
        <w:spacing w:after="120" w:line="240" w:lineRule="auto"/>
        <w:ind w:left="709" w:right="709"/>
        <w:jc w:val="both"/>
        <w:rPr>
          <w:rFonts w:ascii="Verdana" w:eastAsia="Times New Roman"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lastRenderedPageBreak/>
        <w:t xml:space="preserve">La Entidad </w:t>
      </w:r>
      <w:bookmarkStart w:id="5" w:name="_Hlk88664526"/>
      <w:r w:rsidRPr="00653B51">
        <w:rPr>
          <w:rFonts w:ascii="Verdana" w:eastAsia="Times New Roman" w:hAnsi="Verdana" w:cs="Arial"/>
          <w:kern w:val="2"/>
          <w:sz w:val="21"/>
          <w:szCs w:val="21"/>
          <w:lang w:eastAsia="es-ES_tradnl"/>
          <w14:ligatures w14:val="standardContextual"/>
        </w:rPr>
        <w:t>se reserva el derecho de verificar integralmente la información aportada por el Proponente</w:t>
      </w:r>
      <w:bookmarkEnd w:id="5"/>
      <w:r w:rsidRPr="00653B51">
        <w:rPr>
          <w:rFonts w:ascii="Verdana" w:eastAsia="Times New Roman" w:hAnsi="Verdana" w:cs="Arial"/>
          <w:kern w:val="2"/>
          <w:sz w:val="21"/>
          <w:szCs w:val="21"/>
          <w:lang w:eastAsia="es-ES_tradnl"/>
          <w14:ligatures w14:val="standardContextual"/>
        </w:rPr>
        <w:t xml:space="preserve">. Para esto, puede acudir a las autoridades, personas, empresas o entidades respectivas. </w:t>
      </w:r>
    </w:p>
    <w:p w14:paraId="26BEE816" w14:textId="77777777" w:rsidR="00653B51" w:rsidRPr="00653B51" w:rsidRDefault="00653B51" w:rsidP="00653B51">
      <w:pPr>
        <w:spacing w:after="120" w:line="240" w:lineRule="auto"/>
        <w:ind w:left="709" w:right="709"/>
        <w:jc w:val="both"/>
        <w:rPr>
          <w:rFonts w:ascii="Verdana" w:eastAsia="Times New Roman"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t xml:space="preserve">Cuando exista inconsistencia entre la información suministrada por el Proponente y la efectivamente verificada por la Entidad, la información que pretende demostrar el Proponente se tendrá por no acreditada. </w:t>
      </w:r>
    </w:p>
    <w:p w14:paraId="04DA55B5" w14:textId="77777777" w:rsidR="00653B51" w:rsidRPr="00653B51" w:rsidRDefault="00653B51" w:rsidP="00653B51">
      <w:pPr>
        <w:spacing w:after="0" w:line="240" w:lineRule="auto"/>
        <w:ind w:left="709" w:right="709"/>
        <w:jc w:val="both"/>
        <w:rPr>
          <w:rFonts w:ascii="Verdana" w:eastAsia="Times New Roman"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t xml:space="preserve">La Entidad compulsará copias a las autoridades competentes en aquellos eventos en los cuales la información aportada tenga inconsistencias sobre las cuales pueda existir una presunta falsedad, sin que el Proponente haya demostrado lo contrario, y procederá a rechazar la oferta”. </w:t>
      </w:r>
    </w:p>
    <w:p w14:paraId="4716BFB2" w14:textId="77777777" w:rsidR="00653B51" w:rsidRPr="00653B51" w:rsidRDefault="00653B51" w:rsidP="00653B51">
      <w:pPr>
        <w:spacing w:after="0" w:line="240" w:lineRule="auto"/>
        <w:ind w:left="709" w:right="709"/>
        <w:jc w:val="both"/>
        <w:rPr>
          <w:rFonts w:ascii="Verdana" w:eastAsia="Times New Roman" w:hAnsi="Verdana" w:cs="Arial"/>
          <w:kern w:val="2"/>
          <w:sz w:val="21"/>
          <w:szCs w:val="21"/>
          <w:lang w:eastAsia="es-ES_tradnl"/>
          <w14:ligatures w14:val="standardContextual"/>
        </w:rPr>
      </w:pPr>
    </w:p>
    <w:p w14:paraId="4EC4D951" w14:textId="77777777" w:rsidR="00653B51" w:rsidRPr="00653B51" w:rsidRDefault="00653B51" w:rsidP="00653B51">
      <w:pPr>
        <w:snapToGrid w:val="0"/>
        <w:spacing w:after="120" w:line="276" w:lineRule="auto"/>
        <w:ind w:firstLine="709"/>
        <w:jc w:val="both"/>
        <w:rPr>
          <w:rFonts w:ascii="Verdana" w:eastAsia="Times New Roman" w:hAnsi="Verdana" w:cs="Arial"/>
          <w:kern w:val="2"/>
          <w:lang w:eastAsia="es-ES_tradnl"/>
          <w14:ligatures w14:val="standardContextual"/>
        </w:rPr>
      </w:pPr>
      <w:proofErr w:type="gramStart"/>
      <w:r w:rsidRPr="00653B51">
        <w:rPr>
          <w:rFonts w:ascii="Verdana" w:eastAsia="Times New Roman" w:hAnsi="Verdana" w:cs="Arial"/>
          <w:kern w:val="2"/>
          <w:lang w:eastAsia="es-ES_tradnl"/>
          <w14:ligatures w14:val="standardContextual"/>
        </w:rPr>
        <w:t>Este numeral faculta</w:t>
      </w:r>
      <w:proofErr w:type="gramEnd"/>
      <w:r w:rsidRPr="00653B51">
        <w:rPr>
          <w:rFonts w:ascii="Verdana" w:eastAsia="Times New Roman" w:hAnsi="Verdana" w:cs="Arial"/>
          <w:kern w:val="2"/>
          <w:lang w:eastAsia="es-ES_tradnl"/>
          <w14:ligatures w14:val="standardContextual"/>
        </w:rPr>
        <w:t xml:space="preserve"> a la entidad estatal para verificar la información aportada, para lo cual podrá acudir a las autoridades, personas, empresas o entidades que estén en posición de otorgar la información. No obstante, tal verificación es potestativa, no obligatoria, pues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Pr="00653B51">
        <w:rPr>
          <w:rFonts w:ascii="Verdana" w:eastAsia="Aptos" w:hAnsi="Verdana" w:cs="Times New Roman"/>
          <w:kern w:val="2"/>
          <w:vertAlign w:val="superscript"/>
          <w:lang w:eastAsia="es-ES_tradnl"/>
          <w14:ligatures w14:val="standardContextual"/>
        </w:rPr>
        <w:footnoteReference w:id="4"/>
      </w:r>
      <w:r w:rsidRPr="00653B51">
        <w:rPr>
          <w:rFonts w:ascii="Verdana" w:eastAsia="Times New Roman" w:hAnsi="Verdana" w:cs="Arial"/>
          <w:kern w:val="2"/>
          <w:lang w:eastAsia="es-ES_tradnl"/>
          <w14:ligatures w14:val="standardContextual"/>
        </w:rPr>
        <w:t>. Conforme a ello, la prerrogativa de verificación es una herramienta para que la Administración adquiera certeza frente al cumplimiento de los requisitos del procedimiento de selección y del comportamiento leal que se exige de los proponentes.</w:t>
      </w:r>
    </w:p>
    <w:p w14:paraId="70D1E778" w14:textId="77777777" w:rsidR="00653B51" w:rsidRPr="00653B51" w:rsidRDefault="00653B51" w:rsidP="00653B51">
      <w:pPr>
        <w:snapToGrid w:val="0"/>
        <w:spacing w:after="120" w:line="276" w:lineRule="auto"/>
        <w:ind w:firstLine="709"/>
        <w:jc w:val="both"/>
        <w:rPr>
          <w:rFonts w:ascii="Verdana" w:eastAsia="MS Mincho" w:hAnsi="Verdana" w:cs="Arial"/>
          <w:kern w:val="2"/>
          <w:lang w:val="es-MX" w:eastAsia="es-CO"/>
          <w14:ligatures w14:val="standardContextual"/>
        </w:rPr>
      </w:pPr>
      <w:r w:rsidRPr="00653B51">
        <w:rPr>
          <w:rFonts w:ascii="Verdana" w:eastAsia="MS Mincho" w:hAnsi="Verdana" w:cs="Arial"/>
          <w:kern w:val="2"/>
          <w:lang w:eastAsia="es-CO"/>
          <w14:ligatures w14:val="standardContextual"/>
        </w:rPr>
        <w:t>Según</w:t>
      </w:r>
      <w:r w:rsidRPr="00653B51">
        <w:rPr>
          <w:rFonts w:ascii="Verdana" w:eastAsia="MS Mincho" w:hAnsi="Verdana" w:cs="Arial"/>
          <w:kern w:val="2"/>
          <w:lang w:val="es-MX" w:eastAsia="es-CO"/>
          <w14:ligatures w14:val="standardContextual"/>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3FA9C7C7" w14:textId="77777777" w:rsidR="00653B51" w:rsidRPr="00653B51" w:rsidRDefault="00653B51" w:rsidP="00653B51">
      <w:pPr>
        <w:spacing w:after="120" w:line="276" w:lineRule="auto"/>
        <w:ind w:firstLine="708"/>
        <w:jc w:val="both"/>
        <w:rPr>
          <w:rFonts w:ascii="Verdana" w:eastAsia="Times New Roman" w:hAnsi="Verdana" w:cs="Arial"/>
          <w:kern w:val="2"/>
          <w:lang w:eastAsia="es-ES_tradnl"/>
          <w14:ligatures w14:val="standardContextual"/>
        </w:rPr>
      </w:pPr>
      <w:r w:rsidRPr="00653B51">
        <w:rPr>
          <w:rFonts w:ascii="Verdana" w:eastAsia="Times New Roman" w:hAnsi="Verdana" w:cs="Arial"/>
          <w:kern w:val="2"/>
          <w:lang w:val="es-MX" w:eastAsia="es-ES_tradnl"/>
          <w14:ligatures w14:val="standardContextual"/>
        </w:rPr>
        <w:t xml:space="preserve">La </w:t>
      </w:r>
      <w:r w:rsidRPr="00653B51">
        <w:rPr>
          <w:rFonts w:ascii="Verdana" w:eastAsia="Times New Roman" w:hAnsi="Verdana" w:cs="Arial"/>
          <w:kern w:val="2"/>
          <w:lang w:eastAsia="es-ES_tradnl"/>
          <w14:ligatures w14:val="standardContextual"/>
        </w:rPr>
        <w:t xml:space="preserve">regla de verificación de la información prevista en el numeral 1.11 del documento base aplica frente a la totalidad de la información y documentación aportada para cumplir los requisitos exigidos en el pliego de condiciones. Además, dispone dos supuestos, con consecuencias diferentes: el primero, </w:t>
      </w:r>
      <w:r w:rsidRPr="00653B51">
        <w:rPr>
          <w:rFonts w:ascii="Verdana" w:eastAsia="Times New Roman" w:hAnsi="Verdana" w:cs="Arial"/>
          <w:kern w:val="2"/>
          <w:lang w:eastAsia="es-ES_tradnl"/>
          <w14:ligatures w14:val="standardContextual"/>
        </w:rPr>
        <w:lastRenderedPageBreak/>
        <w:t xml:space="preserve">señala que una vez verificada la información y evidenciada la inconsistencia, la entidad estatal la tendrá por no acreditada. Por ejemplo, cuando se presente una certificación de experiencia, y ante las observaciones recibidas en el traslado del informe de evaluación se verifique con la entidad contratante que las emitió, que no es acorde con el objeto contractual ejecutado, la entidad que adelanta el proceso de contratación, ante la duda, no tendrá en cuenta la certificación para evaluar la experiencia, sin perjuicio de que el proponente cumpla con este requisito con los demás certificados que aporte. En este evento, se trata de inconsistencias que, aunque no se superan por la ausencia de otro medio probatorio, no tienen la connotación de falsedad. </w:t>
      </w:r>
    </w:p>
    <w:p w14:paraId="6F61E765" w14:textId="77777777" w:rsidR="00653B51" w:rsidRPr="00653B51" w:rsidRDefault="00653B51" w:rsidP="00653B51">
      <w:pPr>
        <w:spacing w:after="120" w:line="276" w:lineRule="auto"/>
        <w:ind w:firstLine="708"/>
        <w:jc w:val="both"/>
        <w:rPr>
          <w:rFonts w:ascii="Verdana" w:eastAsia="Times New Roman" w:hAnsi="Verdana" w:cs="Arial"/>
          <w:kern w:val="2"/>
          <w:lang w:eastAsia="es-ES_tradnl"/>
          <w14:ligatures w14:val="standardContextual"/>
        </w:rPr>
      </w:pPr>
      <w:r w:rsidRPr="00653B51">
        <w:rPr>
          <w:rFonts w:ascii="Verdana" w:eastAsia="Times New Roman" w:hAnsi="Verdana" w:cs="Arial"/>
          <w:kern w:val="2"/>
          <w:lang w:eastAsia="es-ES_tradnl"/>
          <w14:ligatures w14:val="standardContextual"/>
        </w:rPr>
        <w:t>El segundo evento se configura cuando de la verificación se corrobora que las inconsistencias obedecerían a una presunta falsedad no desvirtuada por el proponente, caso en el cual se rechaza la oferta y se informa a las autoridades correspondientes. Siguiendo con el ejemplo propuesto de la certificación de experiencia, la entidad que adelanta el procedimiento de selección, al comunicarse con la entidad para quien se ejecutó el contrato a acreditar, le informan que la certificación aportada por el proponente no fue expedida por esta, por cuanto ese objeto no fue ejecutado ni contratado. En este supuesto, cuando la entidad tiene el suficiente convencimiento de la existencia de la presunta falsedad, y luego de dar la oportunidad para que el proponente se manifieste, es procedente rechazar la oferta y compulsar copias a las autoridades competentes, quienes adelantarán las respectivas investigaciones.</w:t>
      </w:r>
    </w:p>
    <w:p w14:paraId="19F7002F" w14:textId="77777777" w:rsidR="00653B51" w:rsidRPr="00653B51" w:rsidRDefault="00653B51" w:rsidP="00653B51">
      <w:pPr>
        <w:spacing w:before="120" w:after="120" w:line="276" w:lineRule="auto"/>
        <w:ind w:firstLine="708"/>
        <w:jc w:val="both"/>
        <w:rPr>
          <w:rFonts w:ascii="Verdana" w:eastAsia="Calibri" w:hAnsi="Verdana" w:cs="Arial"/>
          <w:szCs w:val="20"/>
          <w:lang w:val="es-MX"/>
        </w:rPr>
      </w:pPr>
      <w:r w:rsidRPr="00653B51">
        <w:rPr>
          <w:rFonts w:ascii="Verdana" w:eastAsia="Calibri" w:hAnsi="Verdana" w:cs="Arial"/>
        </w:rPr>
        <w:t>Ahora bien, aunque las</w:t>
      </w:r>
      <w:r w:rsidRPr="00653B51">
        <w:rPr>
          <w:rFonts w:ascii="Verdana" w:eastAsia="Calibri" w:hAnsi="Verdana" w:cs="Arial"/>
          <w:szCs w:val="20"/>
        </w:rPr>
        <w:t xml:space="preserve"> causales de rechazo del literal E, H y X del numeral 1.15 de los documentos tipo se relacionan con la capacidad residual como requisito habilitante</w:t>
      </w:r>
      <w:r w:rsidRPr="00653B51">
        <w:rPr>
          <w:rFonts w:ascii="Verdana" w:eastAsia="Calibri" w:hAnsi="Verdana" w:cs="Arial"/>
        </w:rPr>
        <w:t xml:space="preserve">, estas se aplican en supuestos diferentes, de acuerdo con lo explicado </w:t>
      </w:r>
      <w:r w:rsidRPr="00653B51">
        <w:rPr>
          <w:rFonts w:ascii="Verdana" w:eastAsia="Calibri" w:hAnsi="Verdana" w:cs="Arial"/>
          <w:i/>
        </w:rPr>
        <w:t>ut supra</w:t>
      </w:r>
      <w:r w:rsidRPr="00653B51">
        <w:rPr>
          <w:rFonts w:ascii="Verdana" w:eastAsia="Calibri" w:hAnsi="Verdana" w:cs="Arial"/>
        </w:rPr>
        <w:t>. La causal del literal H se produce si, por ejemplo, el proponente informó todos los contratos en ejecución, pero advierte que la información es inexacta y, además, que sobre la misma puede “existir una posible falsedad”. A título ilustrativo, podría pensarse en un contrato que se aportó y frente al cual la entidad advierte la falsificación de una de las firmas del documento. Por su parte, la causal del literal X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33CED388" w14:textId="77777777" w:rsidR="00653B51" w:rsidRPr="00653B51" w:rsidRDefault="00653B51" w:rsidP="00653B51">
      <w:pPr>
        <w:spacing w:before="120" w:after="120" w:line="276" w:lineRule="auto"/>
        <w:ind w:firstLine="708"/>
        <w:jc w:val="both"/>
        <w:rPr>
          <w:rFonts w:ascii="Verdana" w:eastAsia="Calibri" w:hAnsi="Verdana" w:cs="Arial"/>
        </w:rPr>
      </w:pPr>
      <w:r w:rsidRPr="00653B51">
        <w:rPr>
          <w:rFonts w:ascii="Verdana" w:eastAsia="Calibri" w:hAnsi="Verdana" w:cs="Arial"/>
        </w:rPr>
        <w:lastRenderedPageBreak/>
        <w:t xml:space="preserve">Finalmente, esta distinción también se proyecta sobre las reglas de </w:t>
      </w:r>
      <w:proofErr w:type="spellStart"/>
      <w:r w:rsidRPr="00653B51">
        <w:rPr>
          <w:rFonts w:ascii="Verdana" w:eastAsia="Calibri" w:hAnsi="Verdana" w:cs="Arial"/>
        </w:rPr>
        <w:t>subsanabilidad</w:t>
      </w:r>
      <w:proofErr w:type="spellEnd"/>
      <w:r w:rsidRPr="00653B51">
        <w:rPr>
          <w:rFonts w:ascii="Verdana" w:eastAsia="Calibri" w:hAnsi="Verdana" w:cs="Arial"/>
        </w:rPr>
        <w:t xml:space="preserve"> de las ofertas de la Ley 1150 de 2007, pues solo habrá lugar a subsanar en los eventos en los que el proponente omite información sobre los contratos reportados, esto es, en el evento de la causal del literal E. Dicho de otra forma, no se puede subsanar cuando se incurre las causales H y X, eventos en los cuales el rechazo procede de forma automática, es decir, sin permitirle al proponente subsanar la “inexactitud” de la oferta o el número de contratos de obra que tenía el deber de reportar, dada la forma en que están configuradas las causales de rechazo enunciadas. </w:t>
      </w:r>
    </w:p>
    <w:p w14:paraId="2095D4AF" w14:textId="77777777" w:rsidR="00653B51" w:rsidRPr="00653B51" w:rsidRDefault="00653B51" w:rsidP="00653B51">
      <w:pPr>
        <w:spacing w:before="120" w:after="120" w:line="276" w:lineRule="auto"/>
        <w:ind w:firstLine="708"/>
        <w:jc w:val="both"/>
        <w:rPr>
          <w:rFonts w:ascii="Verdana" w:eastAsia="Aptos" w:hAnsi="Verdana" w:cs="Arial"/>
        </w:rPr>
      </w:pPr>
      <w:r w:rsidRPr="00653B51">
        <w:rPr>
          <w:rFonts w:ascii="Verdana" w:eastAsia="Calibri" w:hAnsi="Verdana" w:cs="Arial"/>
        </w:rPr>
        <w:t xml:space="preserve">Ahora bien, la Agencia Nacional de Contratación Pública – Colombia Compra Eficiente, reitera la postura planteada en los conceptos 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y recientemente en el concepto C-1438 del 6 de noviembre de 2025, en el sentido de manifestar que, </w:t>
      </w:r>
      <w:r w:rsidRPr="00653B51">
        <w:rPr>
          <w:rFonts w:ascii="Verdana" w:eastAsia="Calibri" w:hAnsi="Verdana" w:cs="Arial"/>
          <w:noProof/>
        </w:rPr>
        <w:t>lo</w:t>
      </w:r>
      <w:r w:rsidRPr="00653B51">
        <w:rPr>
          <w:rFonts w:ascii="Verdana" w:eastAsia="Calibri" w:hAnsi="Verdana" w:cs="Arial"/>
        </w:rPr>
        <w:t xml:space="preserve"> expresado en el párrafo precedente no contradice lo dispuesto en el artículo 5, parágrafo 1, de la Ley 1150 de 2007, adicionado por el artículo 5 de la Ley 1882 de 2018, norma que dispone que “</w:t>
      </w:r>
      <w:r w:rsidRPr="00653B51">
        <w:rPr>
          <w:rFonts w:ascii="Verdana" w:eastAsia="Calibri" w:hAnsi="Verdana" w:cs="Times New Roman"/>
        </w:rPr>
        <w:t xml:space="preserve">(…) </w:t>
      </w:r>
      <w:r w:rsidRPr="00653B51">
        <w:rPr>
          <w:rFonts w:ascii="Verdana" w:eastAsia="Calibri" w:hAnsi="Verdana"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documento base. Sin embargo, los supuestos de hecho en los que se fundamentan las causales de rechazo no permiten la subsanación. </w:t>
      </w:r>
    </w:p>
    <w:p w14:paraId="2F0D13F8" w14:textId="77777777" w:rsidR="00653B51" w:rsidRPr="00653B51" w:rsidRDefault="00653B51" w:rsidP="00653B51">
      <w:pPr>
        <w:spacing w:before="120" w:after="120" w:line="276" w:lineRule="auto"/>
        <w:ind w:firstLine="708"/>
        <w:jc w:val="both"/>
        <w:rPr>
          <w:rFonts w:ascii="Verdana" w:eastAsia="Calibri" w:hAnsi="Verdana" w:cs="Arial"/>
        </w:rPr>
      </w:pPr>
      <w:r w:rsidRPr="00653B51">
        <w:rPr>
          <w:rFonts w:ascii="Verdana" w:eastAsia="Calibri" w:hAnsi="Verdana" w:cs="Arial"/>
        </w:rPr>
        <w:t xml:space="preserve">La imposibilidad de subsanar se deriva, entonces, del supuesto de hecho de aquellas causales, sin que en esto sea relevante que se otorguen o no puntos a la propuesta por el requisito de capacidad residual. No en vano, desde el punto de vista jurisprudencial, la violación al deber de buena fe en la etapa precontractual justifica el rechazo, pues este tipo de medidas “(…) guardan armonía con principios de rango constitucional y de la contratación estatal, que tienen por finalidad que ningún proponente pueda beneficiarse de información parcial, inexacta o que falta a la verdad. En otras palabras, para la Sala, </w:t>
      </w:r>
      <w:r w:rsidRPr="00653B51">
        <w:rPr>
          <w:rFonts w:ascii="Verdana" w:eastAsia="Calibri" w:hAnsi="Verdana" w:cs="Arial"/>
        </w:rPr>
        <w:lastRenderedPageBreak/>
        <w:t>suministrar información contraria a la realidad en una oferta no puede ser objeto de subsanación dentro de ningún procedimiento de selección”</w:t>
      </w:r>
      <w:r w:rsidRPr="00653B51">
        <w:rPr>
          <w:rFonts w:ascii="Verdana" w:eastAsia="Calibri" w:hAnsi="Verdana" w:cs="Arial"/>
          <w:vertAlign w:val="superscript"/>
        </w:rPr>
        <w:footnoteReference w:id="5"/>
      </w:r>
      <w:r w:rsidRPr="00653B51">
        <w:rPr>
          <w:rFonts w:ascii="Verdana" w:eastAsia="Calibri" w:hAnsi="Verdana" w:cs="Arial"/>
        </w:rPr>
        <w:t xml:space="preserve">. </w:t>
      </w:r>
    </w:p>
    <w:p w14:paraId="23C3D521" w14:textId="77777777" w:rsidR="00653B51" w:rsidRPr="00653B51" w:rsidRDefault="00653B51" w:rsidP="00653B51">
      <w:pPr>
        <w:spacing w:before="120" w:after="120" w:line="276" w:lineRule="auto"/>
        <w:ind w:firstLine="709"/>
        <w:jc w:val="both"/>
        <w:rPr>
          <w:rFonts w:ascii="Verdana" w:eastAsia="Aptos" w:hAnsi="Verdana" w:cs="Arial"/>
        </w:rPr>
      </w:pPr>
      <w:r w:rsidRPr="00653B51">
        <w:rPr>
          <w:rFonts w:ascii="Verdana" w:eastAsia="Aptos" w:hAnsi="Verdana" w:cs="Arial"/>
        </w:rPr>
        <w:t>Como se expresó, la causal del literal X procede cuando el proponente no informa todos los contratos de obra, fenómeno que se verifica con el formato 5. En este supuesto, lo que genera el rechazo de la oferta no es la ausencia de la información del contrato omitido, sino el hecho de haberse informado menos contratos de los que tenía en ejecución. Incluso, en el evento en el que el proponente “corrija” el error e informe la existencia de un contrato no reportado, implica aceptar que ocurrió la causal del literal Z, esto es, que el proponente incumplió su obligación de informar todos los contratos de obra que tenía en ejecución.</w:t>
      </w:r>
    </w:p>
    <w:p w14:paraId="2AD42A22" w14:textId="77777777" w:rsidR="00653B51" w:rsidRPr="00653B51" w:rsidRDefault="00653B51" w:rsidP="00653B51">
      <w:pPr>
        <w:spacing w:after="0" w:line="276" w:lineRule="auto"/>
        <w:ind w:firstLine="709"/>
        <w:jc w:val="both"/>
        <w:rPr>
          <w:rFonts w:ascii="Verdana" w:eastAsia="Calibri" w:hAnsi="Verdana" w:cs="Arial"/>
        </w:rPr>
      </w:pPr>
      <w:r w:rsidRPr="00653B51">
        <w:rPr>
          <w:rFonts w:ascii="Verdana" w:eastAsia="Calibri" w:hAnsi="Verdana" w:cs="Arial"/>
        </w:rPr>
        <w:t xml:space="preserve">Conclusión similar se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Al respecto, surge la siguiente inquietud: ¿es posible subsanar el hecho de aportar una firma falsa presentando el documento firmado válidamente? Para esta entidad, la respuesta es negativa debido a que la finalidad que persigue la causal </w:t>
      </w:r>
      <w:r w:rsidRPr="00653B51">
        <w:rPr>
          <w:rFonts w:ascii="Verdana" w:eastAsia="Calibri" w:hAnsi="Verdana" w:cs="Arial"/>
          <w:i/>
        </w:rPr>
        <w:t>sub examine</w:t>
      </w:r>
      <w:r w:rsidRPr="00653B51">
        <w:rPr>
          <w:rFonts w:ascii="Verdana" w:eastAsia="Calibri" w:hAnsi="Verdana" w:cs="Arial"/>
        </w:rPr>
        <w:t xml:space="preserve"> es desincentivar todas las prácticas delictivas en los procesos de contratación estatal. </w:t>
      </w:r>
    </w:p>
    <w:p w14:paraId="28611758" w14:textId="77777777" w:rsidR="00653B51" w:rsidRPr="00653B51" w:rsidRDefault="00653B51" w:rsidP="00653B51">
      <w:pPr>
        <w:spacing w:before="120" w:after="0" w:line="276" w:lineRule="auto"/>
        <w:ind w:firstLine="709"/>
        <w:jc w:val="both"/>
        <w:rPr>
          <w:rFonts w:ascii="Verdana" w:eastAsia="Calibri" w:hAnsi="Verdana" w:cs="Arial"/>
          <w:kern w:val="2"/>
          <w14:ligatures w14:val="standardContextual"/>
        </w:rPr>
      </w:pPr>
      <w:r w:rsidRPr="00653B51">
        <w:rPr>
          <w:rFonts w:ascii="Verdana" w:eastAsia="Times New Roman" w:hAnsi="Verdana" w:cs="Arial"/>
          <w:noProof/>
          <w:kern w:val="2"/>
          <w:lang w:eastAsia="es-ES_tradnl"/>
          <w14:ligatures w14:val="standardContextual"/>
        </w:rPr>
        <w:t xml:space="preserve">En este sentido, la configuración de la causal se determinará teniendo en cuenta si la información inexacta conduce a una posible falsedad. Piénsese en el </w:t>
      </w:r>
      <w:r w:rsidRPr="00653B51">
        <w:rPr>
          <w:rFonts w:ascii="Verdana" w:eastAsia="Times New Roman" w:hAnsi="Verdana" w:cs="Arial"/>
          <w:noProof/>
          <w:kern w:val="2"/>
          <w:lang w:eastAsia="es-ES_tradnl"/>
          <w14:ligatures w14:val="standardContextual"/>
        </w:rPr>
        <w:lastRenderedPageBreak/>
        <w:t xml:space="preserve">evento en que el proponente reporta todos los contratos de obra en ejecución en el formato de saldos de contratos en ejecución, pero incurre en algún error en la información de estos contratos, como por ejemplo en el valor o el plazo.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 la entidad podrá requerirlo para que aclare la información y, en caso de no responder, rechazar la propuesta por la causal que consagra el literal E del numeral 1.15. </w:t>
      </w:r>
    </w:p>
    <w:p w14:paraId="2FC95F44" w14:textId="77777777" w:rsidR="00653B51" w:rsidRPr="00653B51" w:rsidRDefault="00653B51" w:rsidP="00653B51">
      <w:pPr>
        <w:spacing w:before="120" w:after="0" w:line="276" w:lineRule="auto"/>
        <w:ind w:firstLine="709"/>
        <w:jc w:val="both"/>
        <w:rPr>
          <w:rFonts w:ascii="Verdana" w:eastAsia="Calibri" w:hAnsi="Verdana" w:cs="Arial"/>
          <w:kern w:val="2"/>
          <w14:ligatures w14:val="standardContextual"/>
        </w:rPr>
      </w:pPr>
      <w:r w:rsidRPr="00653B51">
        <w:rPr>
          <w:rFonts w:ascii="Verdana" w:eastAsia="Times New Roman" w:hAnsi="Verdana" w:cs="Arial"/>
          <w:noProof/>
          <w:kern w:val="2"/>
          <w:lang w:eastAsia="es-ES_tradnl"/>
          <w14:ligatures w14:val="standardContextual"/>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Por ejemplo, en el evento en que se reporten todos los contratos y la entidad advierta que se consignó información errada en el formato respectivo soportada en documentos presuntamente falsos. En este caso, los datos erróneos corresponden a información inexacta sobre la cual pueda existir una posible falsedad, lo cual da lugar a la configuración de la causal de rechazo del literal H del numeral 1.15. del documento base e impide la subsanabilidad de la oferta en este aspecto. </w:t>
      </w:r>
    </w:p>
    <w:p w14:paraId="5B587471" w14:textId="77777777" w:rsidR="00653B51" w:rsidRPr="00653B51" w:rsidRDefault="00653B51" w:rsidP="00653B51">
      <w:pPr>
        <w:spacing w:before="120" w:after="0" w:line="276" w:lineRule="auto"/>
        <w:ind w:firstLine="709"/>
        <w:jc w:val="both"/>
        <w:rPr>
          <w:rFonts w:ascii="Verdana" w:eastAsia="Calibri" w:hAnsi="Verdana" w:cs="Arial"/>
          <w:kern w:val="2"/>
          <w14:ligatures w14:val="standardContextual"/>
        </w:rPr>
      </w:pPr>
      <w:r w:rsidRPr="00653B51">
        <w:rPr>
          <w:rFonts w:ascii="Verdana" w:eastAsia="Times New Roman" w:hAnsi="Verdana" w:cs="Arial"/>
          <w:noProof/>
          <w:kern w:val="2"/>
          <w:lang w:eastAsia="es-ES_tradnl"/>
          <w14:ligatures w14:val="standardContextual"/>
        </w:rPr>
        <w:t xml:space="preserve">En relación con la información contractual no incluida que pueda afectar la capacidad residual del proponente, el pliego de condiciones del Documento Tipo – Versión 4 de licitación para obra pública de infraestructura de transporte estableció una regla especial en el numeral 3.11 así: </w:t>
      </w:r>
    </w:p>
    <w:p w14:paraId="6B77EA7D" w14:textId="77777777" w:rsidR="00653B51" w:rsidRPr="00653B51" w:rsidRDefault="00653B51" w:rsidP="00653B51">
      <w:pPr>
        <w:spacing w:after="0" w:line="276" w:lineRule="auto"/>
        <w:ind w:firstLine="709"/>
        <w:jc w:val="both"/>
        <w:rPr>
          <w:rFonts w:ascii="Verdana" w:eastAsia="Times New Roman" w:hAnsi="Verdana" w:cs="Arial"/>
          <w:kern w:val="2"/>
          <w:sz w:val="24"/>
          <w:szCs w:val="24"/>
          <w:lang w:eastAsia="es-ES_tradnl"/>
          <w14:ligatures w14:val="standardContextual"/>
        </w:rPr>
      </w:pPr>
    </w:p>
    <w:p w14:paraId="726BBCA3" w14:textId="77777777" w:rsidR="00653B51" w:rsidRPr="00653B51" w:rsidRDefault="00653B51" w:rsidP="00653B51">
      <w:pPr>
        <w:keepNext/>
        <w:spacing w:after="120" w:line="240" w:lineRule="auto"/>
        <w:ind w:left="709" w:right="709"/>
        <w:outlineLvl w:val="1"/>
        <w:rPr>
          <w:rFonts w:ascii="Verdana" w:eastAsia="Times New Roman" w:hAnsi="Verdana" w:cs="Arial"/>
          <w:b/>
          <w:kern w:val="2"/>
          <w:sz w:val="21"/>
          <w:szCs w:val="21"/>
          <w:lang w:eastAsia="es-CO"/>
          <w14:ligatures w14:val="standardContextual"/>
        </w:rPr>
      </w:pPr>
      <w:bookmarkStart w:id="6" w:name="_Toc32096843"/>
      <w:bookmarkStart w:id="7" w:name="_Toc32144836"/>
      <w:r w:rsidRPr="00653B51">
        <w:rPr>
          <w:rFonts w:ascii="Verdana" w:eastAsia="Times New Roman" w:hAnsi="Verdana" w:cs="Arial"/>
          <w:b/>
          <w:kern w:val="2"/>
          <w:sz w:val="21"/>
          <w:szCs w:val="21"/>
          <w:lang w:eastAsia="es-CO"/>
          <w14:ligatures w14:val="standardContextual"/>
        </w:rPr>
        <w:t>3.10. CAPACIDAD RESIDUAL</w:t>
      </w:r>
      <w:bookmarkEnd w:id="6"/>
      <w:bookmarkEnd w:id="7"/>
      <w:r w:rsidRPr="00653B51">
        <w:rPr>
          <w:rFonts w:ascii="Verdana" w:eastAsia="Times New Roman" w:hAnsi="Verdana" w:cs="Arial"/>
          <w:b/>
          <w:kern w:val="2"/>
          <w:sz w:val="21"/>
          <w:szCs w:val="21"/>
          <w:lang w:eastAsia="es-CO"/>
          <w14:ligatures w14:val="standardContextual"/>
        </w:rPr>
        <w:t xml:space="preserve"> </w:t>
      </w:r>
    </w:p>
    <w:p w14:paraId="2A30A364" w14:textId="77777777" w:rsidR="00653B51" w:rsidRPr="00653B51" w:rsidRDefault="00653B51" w:rsidP="00653B51">
      <w:pPr>
        <w:widowControl w:val="0"/>
        <w:spacing w:after="0" w:line="240" w:lineRule="auto"/>
        <w:ind w:left="709" w:right="709"/>
        <w:jc w:val="both"/>
        <w:rPr>
          <w:rFonts w:ascii="Verdana" w:eastAsia="Arial"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t>El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Proponente</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será</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hábil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si</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la</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capacidad</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residual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del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Proponente</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(CRP)</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es</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mayor</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o</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igual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a</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la</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capacidad</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residual</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de</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Proceso de Contratación</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(CRPC).</w:t>
      </w:r>
      <w:r w:rsidRPr="00653B51">
        <w:rPr>
          <w:rFonts w:ascii="Verdana" w:eastAsia="Arial" w:hAnsi="Verdana" w:cs="Arial"/>
          <w:kern w:val="2"/>
          <w:sz w:val="21"/>
          <w:szCs w:val="21"/>
          <w:lang w:eastAsia="es-ES_tradnl"/>
          <w14:ligatures w14:val="standardContextual"/>
        </w:rPr>
        <w:t xml:space="preserve"> </w:t>
      </w:r>
      <w:r w:rsidRPr="00653B51">
        <w:rPr>
          <w:rFonts w:ascii="Verdana" w:eastAsia="Times New Roman" w:hAnsi="Verdana" w:cs="Arial"/>
          <w:kern w:val="2"/>
          <w:sz w:val="21"/>
          <w:szCs w:val="21"/>
          <w:lang w:eastAsia="es-ES_tradnl"/>
          <w14:ligatures w14:val="standardContextual"/>
        </w:rPr>
        <w:t>Así:</w:t>
      </w:r>
      <w:r w:rsidRPr="00653B51">
        <w:rPr>
          <w:rFonts w:ascii="Verdana" w:eastAsia="Arial" w:hAnsi="Verdana" w:cs="Arial"/>
          <w:kern w:val="2"/>
          <w:sz w:val="21"/>
          <w:szCs w:val="21"/>
          <w:lang w:eastAsia="es-ES_tradnl"/>
          <w14:ligatures w14:val="standardContextual"/>
        </w:rPr>
        <w:t xml:space="preserve"> </w:t>
      </w:r>
    </w:p>
    <w:p w14:paraId="26F8F5A4" w14:textId="77777777" w:rsidR="00653B51" w:rsidRPr="00653B51" w:rsidRDefault="00653B51" w:rsidP="00653B51">
      <w:pPr>
        <w:widowControl w:val="0"/>
        <w:spacing w:after="0" w:line="240" w:lineRule="auto"/>
        <w:ind w:left="709" w:right="709"/>
        <w:jc w:val="both"/>
        <w:rPr>
          <w:rFonts w:ascii="Verdana" w:eastAsia="Arial" w:hAnsi="Verdana" w:cs="Arial"/>
          <w:kern w:val="2"/>
          <w:sz w:val="21"/>
          <w:szCs w:val="21"/>
          <w:lang w:eastAsia="es-ES_tradnl"/>
          <w14:ligatures w14:val="standardContextual"/>
        </w:rPr>
      </w:pPr>
    </w:p>
    <w:p w14:paraId="37F464E7" w14:textId="77777777" w:rsidR="00653B51" w:rsidRPr="00653B51" w:rsidRDefault="00653B51" w:rsidP="00653B51">
      <w:pPr>
        <w:widowControl w:val="0"/>
        <w:spacing w:after="0" w:line="240" w:lineRule="auto"/>
        <w:ind w:left="709" w:right="709"/>
        <w:jc w:val="center"/>
        <w:rPr>
          <w:rFonts w:ascii="Verdana" w:eastAsia="MS Mincho" w:hAnsi="Verdana" w:cs="Arial"/>
          <w:kern w:val="2"/>
          <w:sz w:val="21"/>
          <w:szCs w:val="21"/>
          <w:lang w:eastAsia="es-ES_tradnl"/>
          <w14:ligatures w14:val="standardContextual"/>
        </w:rPr>
      </w:pPr>
      <m:oMathPara>
        <m:oMath>
          <m:r>
            <w:rPr>
              <w:rFonts w:ascii="Cambria Math" w:eastAsia="Times New Roman" w:hAnsi="Cambria Math" w:cs="Arial"/>
              <w:kern w:val="2"/>
              <w:sz w:val="21"/>
              <w:szCs w:val="21"/>
              <w:lang w:eastAsia="es-ES_tradnl"/>
              <w14:ligatures w14:val="standardContextual"/>
            </w:rPr>
            <m:t>CRP ≥CRPC</m:t>
          </m:r>
        </m:oMath>
      </m:oMathPara>
    </w:p>
    <w:p w14:paraId="35CFC0F8" w14:textId="77777777" w:rsidR="00653B51" w:rsidRPr="00653B51" w:rsidRDefault="00653B51" w:rsidP="00653B51">
      <w:pPr>
        <w:widowControl w:val="0"/>
        <w:spacing w:after="0" w:line="240" w:lineRule="auto"/>
        <w:ind w:left="709" w:right="709"/>
        <w:jc w:val="center"/>
        <w:rPr>
          <w:rFonts w:ascii="Verdana" w:eastAsia="Times New Roman" w:hAnsi="Verdana" w:cs="Arial"/>
          <w:kern w:val="2"/>
          <w:sz w:val="21"/>
          <w:szCs w:val="21"/>
          <w:lang w:eastAsia="es-ES_tradnl"/>
          <w14:ligatures w14:val="standardContextual"/>
        </w:rPr>
      </w:pPr>
    </w:p>
    <w:p w14:paraId="7E2AB5C5" w14:textId="77777777" w:rsidR="00653B51" w:rsidRPr="00653B51" w:rsidRDefault="00653B51" w:rsidP="00653B51">
      <w:pPr>
        <w:widowControl w:val="0"/>
        <w:spacing w:after="120" w:line="240" w:lineRule="auto"/>
        <w:ind w:left="709" w:right="709"/>
        <w:jc w:val="both"/>
        <w:rPr>
          <w:rFonts w:ascii="Verdana" w:eastAsia="Arial"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lastRenderedPageBreak/>
        <w:t xml:space="preserve">Los Proponentes acreditarán la capacidad residual o K de contratación conforme se describe a continuación. </w:t>
      </w:r>
      <w:r w:rsidRPr="00653B51">
        <w:rPr>
          <w:rFonts w:ascii="Verdana" w:eastAsia="Times New Roman" w:hAnsi="Verdana" w:cs="Arial"/>
          <w:i/>
          <w:iCs/>
          <w:kern w:val="2"/>
          <w:sz w:val="21"/>
          <w:szCs w:val="21"/>
          <w:lang w:val="es-MX" w:eastAsia="es-ES_tradnl"/>
          <w14:ligatures w14:val="standardContextual"/>
        </w:rPr>
        <w:t>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w:t>
      </w:r>
      <w:r w:rsidRPr="00653B51">
        <w:rPr>
          <w:rFonts w:ascii="Verdana" w:eastAsia="Times New Roman" w:hAnsi="Verdana" w:cs="Arial"/>
          <w:kern w:val="2"/>
          <w:sz w:val="21"/>
          <w:szCs w:val="21"/>
          <w:lang w:eastAsia="es-ES_tradnl"/>
          <w14:ligatures w14:val="standardContextual"/>
        </w:rPr>
        <w:t xml:space="preserve">. </w:t>
      </w:r>
    </w:p>
    <w:p w14:paraId="478C31F0" w14:textId="77777777" w:rsidR="00653B51" w:rsidRPr="00653B51" w:rsidRDefault="00653B51" w:rsidP="00653B51">
      <w:pPr>
        <w:widowControl w:val="0"/>
        <w:spacing w:after="120" w:line="240" w:lineRule="auto"/>
        <w:ind w:left="709" w:right="709"/>
        <w:jc w:val="both"/>
        <w:rPr>
          <w:rFonts w:ascii="Verdana" w:eastAsia="Times New Roman"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t>Lo anterior, sin perjuicio de las acciones administrativas y/o judiciales a que haya lugar, en contra de la (s) persona (s) que haya (n) suscrito las certificaciones exigidas para el cálculo de la capacidad residual.</w:t>
      </w:r>
    </w:p>
    <w:p w14:paraId="6864A943" w14:textId="77777777" w:rsidR="00653B51" w:rsidRPr="00653B51" w:rsidRDefault="00653B51" w:rsidP="00653B51">
      <w:pPr>
        <w:widowControl w:val="0"/>
        <w:spacing w:after="0" w:line="240" w:lineRule="auto"/>
        <w:ind w:left="709" w:right="709"/>
        <w:jc w:val="both"/>
        <w:rPr>
          <w:rFonts w:ascii="Verdana" w:eastAsia="Times New Roman" w:hAnsi="Verdana" w:cs="Arial"/>
          <w:kern w:val="2"/>
          <w:sz w:val="21"/>
          <w:szCs w:val="21"/>
          <w:lang w:eastAsia="es-ES_tradnl"/>
          <w14:ligatures w14:val="standardContextual"/>
        </w:rPr>
      </w:pPr>
      <w:r w:rsidRPr="00653B51">
        <w:rPr>
          <w:rFonts w:ascii="Verdana" w:eastAsia="Times New Roman" w:hAnsi="Verdana" w:cs="Arial"/>
          <w:kern w:val="2"/>
          <w:sz w:val="21"/>
          <w:szCs w:val="21"/>
          <w:lang w:eastAsia="es-ES_tradnl"/>
          <w14:ligatures w14:val="standardContextual"/>
        </w:rPr>
        <w:t xml:space="preserve">[…] (Énfasis fuera de texto) </w:t>
      </w:r>
    </w:p>
    <w:p w14:paraId="78BE70D0" w14:textId="77777777" w:rsidR="00653B51" w:rsidRPr="00653B51" w:rsidRDefault="00653B51" w:rsidP="00653B51">
      <w:pPr>
        <w:widowControl w:val="0"/>
        <w:spacing w:after="0" w:line="276" w:lineRule="auto"/>
        <w:ind w:right="709"/>
        <w:jc w:val="both"/>
        <w:rPr>
          <w:rFonts w:ascii="Verdana" w:eastAsia="Times New Roman" w:hAnsi="Verdana" w:cs="Arial"/>
          <w:kern w:val="2"/>
          <w:sz w:val="24"/>
          <w:szCs w:val="24"/>
          <w:lang w:eastAsia="es-ES_tradnl"/>
          <w14:ligatures w14:val="standardContextual"/>
        </w:rPr>
      </w:pPr>
    </w:p>
    <w:p w14:paraId="3CFAD6F8" w14:textId="77777777" w:rsidR="00653B51" w:rsidRPr="00653B51" w:rsidRDefault="00653B51" w:rsidP="00653B51">
      <w:pPr>
        <w:snapToGrid w:val="0"/>
        <w:spacing w:after="0" w:line="276" w:lineRule="auto"/>
        <w:ind w:firstLine="709"/>
        <w:jc w:val="both"/>
        <w:rPr>
          <w:rFonts w:ascii="Verdana" w:eastAsia="MS Mincho" w:hAnsi="Verdana" w:cs="Arial"/>
          <w:kern w:val="2"/>
          <w:lang w:eastAsia="es-CO"/>
          <w14:ligatures w14:val="standardContextual"/>
        </w:rPr>
      </w:pPr>
      <w:bookmarkStart w:id="8" w:name="_Hlk81551358"/>
      <w:r w:rsidRPr="00653B51">
        <w:rPr>
          <w:rFonts w:ascii="Verdana" w:eastAsia="Times New Roman" w:hAnsi="Verdana" w:cs="Arial"/>
          <w:color w:val="000000"/>
          <w:kern w:val="2"/>
          <w:shd w:val="clear" w:color="auto" w:fill="FFFFFF"/>
          <w:lang w:eastAsia="es-ES_tradnl"/>
          <w14:ligatures w14:val="standardContextual"/>
        </w:rPr>
        <w:t xml:space="preserve">De conformidad con esta regla, el rechazo de la oferta procede cuando en ejercicio de la potestad verificadora se advierta que se dejó de incluir información que afecta la capacidad residual del proponente, esto es, la referente a contratos de obra en ejecución. </w:t>
      </w:r>
      <w:r w:rsidRPr="00653B51">
        <w:rPr>
          <w:rFonts w:ascii="Verdana" w:eastAsia="Times New Roman" w:hAnsi="Verdana" w:cs="Arial"/>
          <w:kern w:val="2"/>
          <w:lang w:eastAsia="es-ES_tradnl"/>
          <w14:ligatures w14:val="standardContextual"/>
        </w:rPr>
        <w:t xml:space="preserve">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bookmarkEnd w:id="8"/>
      <w:r w:rsidRPr="00653B51">
        <w:rPr>
          <w:rFonts w:ascii="Verdana" w:eastAsia="Times New Roman" w:hAnsi="Verdana" w:cs="Arial"/>
          <w:kern w:val="2"/>
          <w:lang w:eastAsia="es-ES_tradnl"/>
          <w14:ligatures w14:val="standardContextual"/>
        </w:rPr>
        <w:t>Esto concuerda con la causal de rechazo prevista en el literal “H” del numeral 1.15 del documento base, el cual autoriza el rechazo de la propuesta en el evento en “</w:t>
      </w:r>
      <w:r w:rsidRPr="00653B51">
        <w:rPr>
          <w:rFonts w:ascii="Verdana" w:eastAsia="Arial" w:hAnsi="Verdana" w:cs="Arial"/>
          <w:kern w:val="2"/>
          <w:lang w:eastAsia="es-CO"/>
          <w14:ligatures w14:val="standardContextual"/>
        </w:rPr>
        <w:t>Que</w:t>
      </w:r>
      <w:r w:rsidRPr="00653B51">
        <w:rPr>
          <w:rFonts w:ascii="Verdana" w:eastAsia="Arial,Calibri" w:hAnsi="Verdana" w:cs="Arial"/>
          <w:kern w:val="2"/>
          <w:lang w:eastAsia="es-CO"/>
          <w14:ligatures w14:val="standardContextual"/>
        </w:rPr>
        <w:t xml:space="preserve"> </w:t>
      </w:r>
      <w:r w:rsidRPr="00653B51">
        <w:rPr>
          <w:rFonts w:ascii="Verdana" w:eastAsia="Arial" w:hAnsi="Verdana" w:cs="Arial"/>
          <w:kern w:val="2"/>
          <w:lang w:eastAsia="es-CO"/>
          <w14:ligatures w14:val="standardContextual"/>
        </w:rPr>
        <w:t>el</w:t>
      </w:r>
      <w:r w:rsidRPr="00653B51">
        <w:rPr>
          <w:rFonts w:ascii="Verdana" w:eastAsia="Arial,Calibri" w:hAnsi="Verdana" w:cs="Arial"/>
          <w:kern w:val="2"/>
          <w:lang w:eastAsia="es-CO"/>
          <w14:ligatures w14:val="standardContextual"/>
        </w:rPr>
        <w:t xml:space="preserve"> </w:t>
      </w:r>
      <w:r w:rsidRPr="00653B51">
        <w:rPr>
          <w:rFonts w:ascii="Verdana" w:eastAsia="Arial" w:hAnsi="Verdana" w:cs="Arial"/>
          <w:kern w:val="2"/>
          <w:lang w:eastAsia="es-CO"/>
          <w14:ligatures w14:val="standardContextual"/>
        </w:rPr>
        <w:t>Proponente</w:t>
      </w:r>
      <w:r w:rsidRPr="00653B51">
        <w:rPr>
          <w:rFonts w:ascii="Verdana" w:eastAsia="Arial,Calibri" w:hAnsi="Verdana" w:cs="Arial"/>
          <w:kern w:val="2"/>
          <w:lang w:eastAsia="es-CO"/>
          <w14:ligatures w14:val="standardContextual"/>
        </w:rPr>
        <w:t xml:space="preserve"> </w:t>
      </w:r>
      <w:r w:rsidRPr="00653B51">
        <w:rPr>
          <w:rFonts w:ascii="Verdana" w:eastAsia="Arial" w:hAnsi="Verdana" w:cs="Arial"/>
          <w:kern w:val="2"/>
          <w:lang w:eastAsia="es-CO"/>
          <w14:ligatures w14:val="standardContextual"/>
        </w:rPr>
        <w:t xml:space="preserve">aporte información inexacta </w:t>
      </w:r>
      <w:r w:rsidRPr="00653B51">
        <w:rPr>
          <w:rFonts w:ascii="Verdana" w:eastAsia="MS Mincho" w:hAnsi="Verdana" w:cs="Arial"/>
          <w:kern w:val="2"/>
          <w:lang w:eastAsia="es-CO"/>
          <w14:ligatures w14:val="standardContextual"/>
        </w:rPr>
        <w:t>sobre la cual pueda existir una posible falsedad</w:t>
      </w:r>
      <w:r w:rsidRPr="00653B51" w:rsidDel="003061D1">
        <w:rPr>
          <w:rFonts w:ascii="Verdana" w:eastAsia="MS Mincho" w:hAnsi="Verdana" w:cs="Arial"/>
          <w:kern w:val="2"/>
          <w:lang w:eastAsia="es-CO"/>
          <w14:ligatures w14:val="standardContextual"/>
        </w:rPr>
        <w:t xml:space="preserve"> </w:t>
      </w:r>
      <w:r w:rsidRPr="00653B51">
        <w:rPr>
          <w:rFonts w:ascii="Verdana" w:eastAsia="MS Mincho" w:hAnsi="Verdana" w:cs="Arial"/>
          <w:kern w:val="2"/>
          <w:lang w:eastAsia="es-CO"/>
          <w14:ligatures w14:val="standardContextual"/>
        </w:rPr>
        <w:t>en los términos de la sección 1.11”.</w:t>
      </w:r>
    </w:p>
    <w:p w14:paraId="7E15C839" w14:textId="77777777" w:rsidR="00653B51" w:rsidRPr="00653B51" w:rsidRDefault="00653B51" w:rsidP="00653B51">
      <w:pPr>
        <w:snapToGrid w:val="0"/>
        <w:spacing w:before="120" w:after="120" w:line="276" w:lineRule="auto"/>
        <w:ind w:firstLine="709"/>
        <w:jc w:val="both"/>
        <w:rPr>
          <w:rFonts w:ascii="Verdana" w:eastAsia="MS Mincho" w:hAnsi="Verdana" w:cs="Arial"/>
          <w:kern w:val="2"/>
          <w:lang w:eastAsia="es-CO"/>
          <w14:ligatures w14:val="standardContextual"/>
        </w:rPr>
      </w:pPr>
      <w:r w:rsidRPr="00653B51">
        <w:rPr>
          <w:rFonts w:ascii="Verdana" w:eastAsia="Times New Roman" w:hAnsi="Verdana" w:cs="Arial"/>
          <w:kern w:val="2"/>
          <w:lang w:eastAsia="es-ES_tradnl"/>
          <w14:ligatures w14:val="standardContextual"/>
        </w:rPr>
        <w:t xml:space="preserve">Según lo expuesto, al verificarse que el proponente no incluyó información contractual que afecte su capacidad residual, la entidad no estará en posición de solicitar aclaraciones, o acudir al régimen de </w:t>
      </w:r>
      <w:proofErr w:type="spellStart"/>
      <w:r w:rsidRPr="00653B51">
        <w:rPr>
          <w:rFonts w:ascii="Verdana" w:eastAsia="Times New Roman" w:hAnsi="Verdana" w:cs="Arial"/>
          <w:kern w:val="2"/>
          <w:lang w:eastAsia="es-ES_tradnl"/>
          <w14:ligatures w14:val="standardContextual"/>
        </w:rPr>
        <w:t>subsanabilidad</w:t>
      </w:r>
      <w:proofErr w:type="spellEnd"/>
      <w:r w:rsidRPr="00653B51">
        <w:rPr>
          <w:rFonts w:ascii="Verdana" w:eastAsia="Times New Roman" w:hAnsi="Verdana" w:cs="Arial"/>
          <w:kern w:val="2"/>
          <w:lang w:eastAsia="es-ES_tradnl"/>
          <w14:ligatures w14:val="standardContextual"/>
        </w:rPr>
        <w:t xml:space="preserve"> de ofertas</w:t>
      </w:r>
      <w:r w:rsidRPr="00653B51">
        <w:rPr>
          <w:rFonts w:ascii="Verdana" w:eastAsia="Aptos" w:hAnsi="Verdana" w:cs="Times New Roman"/>
          <w:kern w:val="2"/>
          <w:vertAlign w:val="superscript"/>
          <w:lang w:eastAsia="es-ES_tradnl"/>
          <w14:ligatures w14:val="standardContextual"/>
        </w:rPr>
        <w:footnoteReference w:id="6"/>
      </w:r>
      <w:r w:rsidRPr="00653B51">
        <w:rPr>
          <w:rFonts w:ascii="Verdana" w:eastAsia="Times New Roman" w:hAnsi="Verdana" w:cs="Arial"/>
          <w:kern w:val="2"/>
          <w:lang w:eastAsia="es-ES_tradnl"/>
          <w14:ligatures w14:val="standardContextual"/>
        </w:rPr>
        <w:t>. Esto en la medida que tal circunstancia constituye una causal de rechazo en los términos de los literales H y X del numeral 1.15 del documento base, las cuales deberán analizar, caso a caso, las entidades contratantes conforme a los parámetros antes mencionados.</w:t>
      </w:r>
    </w:p>
    <w:p w14:paraId="24AF34A2" w14:textId="77777777" w:rsidR="00653B51" w:rsidRPr="00653B51" w:rsidRDefault="00653B51" w:rsidP="00653B51">
      <w:pPr>
        <w:spacing w:after="0"/>
        <w:jc w:val="both"/>
        <w:rPr>
          <w:rFonts w:ascii="Verdana" w:eastAsia="Aptos" w:hAnsi="Verdana" w:cs="Arial"/>
          <w:color w:val="000000"/>
          <w:lang w:val="es-ES"/>
        </w:rPr>
      </w:pPr>
    </w:p>
    <w:p w14:paraId="70830357" w14:textId="77777777" w:rsidR="00653B51" w:rsidRPr="00653B51" w:rsidRDefault="00653B51" w:rsidP="00653B5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653B51">
        <w:rPr>
          <w:rFonts w:ascii="Verdana" w:eastAsia="Century Gothic" w:hAnsi="Verdana" w:cs="Century Gothic"/>
          <w:b/>
          <w:bCs/>
        </w:rPr>
        <w:t>Referencias normativas, jurisprudenciales y otras fuentes:</w:t>
      </w:r>
    </w:p>
    <w:p w14:paraId="6D240E4C" w14:textId="77777777" w:rsidR="00653B51" w:rsidRPr="00653B51" w:rsidRDefault="00653B51" w:rsidP="00653B51">
      <w:pPr>
        <w:spacing w:after="0"/>
        <w:ind w:left="-15840"/>
        <w:jc w:val="both"/>
        <w:rPr>
          <w:rFonts w:ascii="Verdana" w:eastAsia="Calibri" w:hAnsi="Verdana" w:cs="Arial"/>
          <w:b/>
          <w:bCs/>
        </w:rPr>
      </w:pPr>
      <w:r w:rsidRPr="00653B51">
        <w:rPr>
          <w:rFonts w:ascii="Verdana" w:eastAsia="Calibri" w:hAnsi="Verdana" w:cs="Arial"/>
          <w:b/>
          <w:bCs/>
        </w:rPr>
        <w:lastRenderedPageBreak/>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53B51" w:rsidRPr="00653B51" w14:paraId="16E5FC1E" w14:textId="77777777" w:rsidTr="00A46F1D">
        <w:trPr>
          <w:trHeight w:val="870"/>
        </w:trPr>
        <w:tc>
          <w:tcPr>
            <w:tcW w:w="8647" w:type="dxa"/>
            <w:tcBorders>
              <w:top w:val="dotted" w:sz="4" w:space="0" w:color="auto"/>
              <w:left w:val="dotted" w:sz="4" w:space="0" w:color="auto"/>
              <w:bottom w:val="dotted" w:sz="4" w:space="0" w:color="auto"/>
              <w:right w:val="dotted" w:sz="4" w:space="0" w:color="auto"/>
            </w:tcBorders>
          </w:tcPr>
          <w:p w14:paraId="1B4576D1" w14:textId="77777777" w:rsidR="00653B51" w:rsidRPr="00653B51" w:rsidRDefault="00653B51" w:rsidP="00653B51">
            <w:pPr>
              <w:ind w:left="720"/>
              <w:contextualSpacing/>
              <w:jc w:val="both"/>
              <w:rPr>
                <w:rFonts w:ascii="Verdana" w:eastAsia="Calibri" w:hAnsi="Verdana" w:cs="Arial"/>
                <w:bCs/>
                <w:lang w:val="es-ES"/>
              </w:rPr>
            </w:pPr>
          </w:p>
          <w:p w14:paraId="52EBF77B" w14:textId="77777777" w:rsidR="00653B51" w:rsidRPr="00653B51" w:rsidRDefault="00653B51" w:rsidP="00653B51">
            <w:pPr>
              <w:numPr>
                <w:ilvl w:val="0"/>
                <w:numId w:val="17"/>
              </w:numPr>
              <w:spacing w:line="276" w:lineRule="auto"/>
              <w:jc w:val="both"/>
              <w:rPr>
                <w:rFonts w:ascii="Verdana" w:eastAsia="Aptos" w:hAnsi="Verdana" w:cs="Arial"/>
                <w:color w:val="000000"/>
              </w:rPr>
            </w:pPr>
            <w:r w:rsidRPr="00653B51">
              <w:rPr>
                <w:rFonts w:ascii="Verdana" w:eastAsia="Arial" w:hAnsi="Verdana" w:cs="Arial"/>
              </w:rPr>
              <w:t xml:space="preserve">Ley 1150 de 2007. Artículo 6. </w:t>
            </w:r>
          </w:p>
          <w:p w14:paraId="4182156E" w14:textId="77777777" w:rsidR="00653B51" w:rsidRPr="00653B51" w:rsidRDefault="00653B51" w:rsidP="00653B51">
            <w:pPr>
              <w:numPr>
                <w:ilvl w:val="0"/>
                <w:numId w:val="17"/>
              </w:numPr>
              <w:spacing w:line="276" w:lineRule="auto"/>
              <w:jc w:val="both"/>
              <w:rPr>
                <w:rFonts w:ascii="Verdana" w:eastAsia="Aptos" w:hAnsi="Verdana" w:cs="Arial"/>
                <w:color w:val="000000"/>
              </w:rPr>
            </w:pPr>
            <w:r w:rsidRPr="00653B51">
              <w:rPr>
                <w:rFonts w:ascii="Verdana" w:eastAsia="Arial" w:hAnsi="Verdana" w:cs="Arial"/>
              </w:rPr>
              <w:t xml:space="preserve">Ley 1682 de 2013. </w:t>
            </w:r>
            <w:r w:rsidRPr="00653B51">
              <w:rPr>
                <w:rFonts w:ascii="Verdana" w:eastAsia="Aptos" w:hAnsi="Verdana" w:cs="Arial"/>
                <w:color w:val="000000"/>
              </w:rPr>
              <w:t xml:space="preserve"> Artículo 3 y </w:t>
            </w:r>
            <w:r w:rsidRPr="00653B51">
              <w:rPr>
                <w:rFonts w:ascii="Verdana" w:eastAsia="Arial" w:hAnsi="Verdana" w:cs="Arial"/>
              </w:rPr>
              <w:t>72.</w:t>
            </w:r>
          </w:p>
          <w:p w14:paraId="367CFE72" w14:textId="77777777" w:rsidR="00653B51" w:rsidRPr="00653B51" w:rsidRDefault="00653B51" w:rsidP="00653B51">
            <w:pPr>
              <w:numPr>
                <w:ilvl w:val="0"/>
                <w:numId w:val="17"/>
              </w:numPr>
              <w:spacing w:line="276" w:lineRule="auto"/>
              <w:jc w:val="both"/>
              <w:rPr>
                <w:rFonts w:ascii="Verdana" w:eastAsia="Aptos" w:hAnsi="Verdana" w:cs="Arial"/>
                <w:color w:val="000000"/>
              </w:rPr>
            </w:pPr>
            <w:r w:rsidRPr="00653B51">
              <w:rPr>
                <w:rFonts w:ascii="Verdana" w:eastAsia="Aptos" w:hAnsi="Verdana" w:cs="Arial"/>
                <w:color w:val="000000"/>
              </w:rPr>
              <w:t xml:space="preserve">Decreto 1082 de 2015. Artículos 2.2.1.1.1.3.1, </w:t>
            </w:r>
            <w:r w:rsidRPr="00653B51">
              <w:rPr>
                <w:rFonts w:ascii="Verdana" w:eastAsia="Calibri" w:hAnsi="Verdana" w:cs="Arial"/>
                <w:bCs/>
                <w:lang w:eastAsia="es-ES_tradnl"/>
              </w:rPr>
              <w:t xml:space="preserve">2.2.1.1.1.5.1., </w:t>
            </w:r>
            <w:r w:rsidRPr="00653B51">
              <w:rPr>
                <w:rFonts w:ascii="Verdana" w:eastAsia="Aptos" w:hAnsi="Verdana" w:cs="Arial"/>
                <w:color w:val="000000"/>
              </w:rPr>
              <w:t>2.2.1.1.1.6.4.</w:t>
            </w:r>
          </w:p>
          <w:p w14:paraId="743A1AF3" w14:textId="77777777" w:rsidR="00653B51" w:rsidRPr="00653B51" w:rsidRDefault="00653B51" w:rsidP="00653B51">
            <w:pPr>
              <w:numPr>
                <w:ilvl w:val="0"/>
                <w:numId w:val="17"/>
              </w:numPr>
              <w:contextualSpacing/>
              <w:jc w:val="both"/>
              <w:rPr>
                <w:rFonts w:ascii="Verdana" w:eastAsia="Aptos" w:hAnsi="Verdana" w:cs="Times New Roman"/>
              </w:rPr>
            </w:pPr>
            <w:r w:rsidRPr="00653B51">
              <w:rPr>
                <w:rFonts w:ascii="Verdana" w:eastAsia="Aptos" w:hAnsi="Verdana" w:cs="Times New Roman"/>
              </w:rPr>
              <w:t xml:space="preserve">Consejo de Estado. Sala de lo Contencioso Administrativo. Sección Tercera. Sentencia del 27 de abril de 2011. </w:t>
            </w:r>
            <w:proofErr w:type="spellStart"/>
            <w:r w:rsidRPr="00653B51">
              <w:rPr>
                <w:rFonts w:ascii="Verdana" w:eastAsia="Aptos" w:hAnsi="Verdana" w:cs="Times New Roman"/>
              </w:rPr>
              <w:t>Exp</w:t>
            </w:r>
            <w:proofErr w:type="spellEnd"/>
            <w:r w:rsidRPr="00653B51">
              <w:rPr>
                <w:rFonts w:ascii="Verdana" w:eastAsia="Aptos" w:hAnsi="Verdana" w:cs="Times New Roman"/>
              </w:rPr>
              <w:t>. 18.293. C.P. Ruth Stella Correa Palacio.</w:t>
            </w:r>
          </w:p>
          <w:p w14:paraId="7428DDAD" w14:textId="77777777" w:rsidR="00653B51" w:rsidRPr="00653B51" w:rsidRDefault="00653B51" w:rsidP="00653B51">
            <w:pPr>
              <w:numPr>
                <w:ilvl w:val="0"/>
                <w:numId w:val="17"/>
              </w:numPr>
              <w:contextualSpacing/>
              <w:jc w:val="both"/>
              <w:rPr>
                <w:rFonts w:ascii="Verdana" w:eastAsia="Aptos" w:hAnsi="Verdana" w:cs="Times New Roman"/>
              </w:rPr>
            </w:pPr>
            <w:r w:rsidRPr="00653B51">
              <w:rPr>
                <w:rFonts w:ascii="Verdana" w:eastAsia="Aptos" w:hAnsi="Verdana" w:cs="Times New Roman"/>
              </w:rPr>
              <w:t xml:space="preserve">Consejo de Estado. Sala de lo Contencioso Administrativo, Sección Tercera. Sentencia del 21 de noviembre de 2013 </w:t>
            </w:r>
            <w:proofErr w:type="spellStart"/>
            <w:r w:rsidRPr="00653B51">
              <w:rPr>
                <w:rFonts w:ascii="Verdana" w:eastAsia="Aptos" w:hAnsi="Verdana" w:cs="Times New Roman"/>
              </w:rPr>
              <w:t>Exp</w:t>
            </w:r>
            <w:proofErr w:type="spellEnd"/>
            <w:r w:rsidRPr="00653B51">
              <w:rPr>
                <w:rFonts w:ascii="Verdana" w:eastAsia="Aptos" w:hAnsi="Verdana" w:cs="Times New Roman"/>
              </w:rPr>
              <w:t>. 25397. C.P. Carlos Alberto Zambrano Barrera.</w:t>
            </w:r>
          </w:p>
          <w:p w14:paraId="5ECD2A5C" w14:textId="77777777" w:rsidR="00653B51" w:rsidRPr="00653B51" w:rsidRDefault="00653B51" w:rsidP="00653B51">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653B51">
              <w:rPr>
                <w:rFonts w:ascii="Verdana" w:eastAsia="Calibri" w:hAnsi="Verdana" w:cs="Arial"/>
                <w:lang w:val="es-ES_tradnl"/>
              </w:rPr>
              <w:t xml:space="preserve">Ley 2022 de 2020, artículo 1. </w:t>
            </w:r>
          </w:p>
          <w:p w14:paraId="7FDEF6A4" w14:textId="77777777" w:rsidR="00653B51" w:rsidRPr="00653B51" w:rsidRDefault="00653B51" w:rsidP="00653B51">
            <w:pPr>
              <w:widowControl w:val="0"/>
              <w:numPr>
                <w:ilvl w:val="0"/>
                <w:numId w:val="17"/>
              </w:numPr>
              <w:autoSpaceDE w:val="0"/>
              <w:autoSpaceDN w:val="0"/>
              <w:spacing w:line="276" w:lineRule="auto"/>
              <w:jc w:val="both"/>
              <w:rPr>
                <w:rFonts w:ascii="Verdana" w:eastAsia="Calibri" w:hAnsi="Verdana" w:cs="Arial"/>
              </w:rPr>
            </w:pPr>
            <w:r w:rsidRPr="00653B51">
              <w:rPr>
                <w:rFonts w:ascii="Verdana" w:eastAsia="Calibri" w:hAnsi="Verdana" w:cs="Arial"/>
              </w:rPr>
              <w:t>Ley 1150 de 2007, artículo 2.</w:t>
            </w:r>
          </w:p>
          <w:p w14:paraId="27A8EF03" w14:textId="77777777" w:rsidR="00653B51" w:rsidRPr="00653B51" w:rsidRDefault="00653B51" w:rsidP="00653B51">
            <w:pPr>
              <w:widowControl w:val="0"/>
              <w:numPr>
                <w:ilvl w:val="0"/>
                <w:numId w:val="17"/>
              </w:numPr>
              <w:autoSpaceDE w:val="0"/>
              <w:autoSpaceDN w:val="0"/>
              <w:spacing w:line="276" w:lineRule="auto"/>
              <w:contextualSpacing/>
              <w:jc w:val="both"/>
              <w:rPr>
                <w:rFonts w:ascii="Verdana" w:eastAsia="Calibri" w:hAnsi="Verdana" w:cs="Arial"/>
                <w:lang w:val="es-ES"/>
              </w:rPr>
            </w:pPr>
            <w:r w:rsidRPr="00653B51">
              <w:rPr>
                <w:rFonts w:ascii="Verdana" w:eastAsia="Calibri" w:hAnsi="Verdana" w:cs="Arial"/>
                <w:lang w:val="es-ES_tradnl"/>
              </w:rPr>
              <w:t xml:space="preserve">Documentos Tipo. Disponibles en: </w:t>
            </w:r>
            <w:hyperlink r:id="rId13" w:history="1">
              <w:r w:rsidRPr="00653B51">
                <w:rPr>
                  <w:rFonts w:ascii="Verdana" w:eastAsia="Calibri" w:hAnsi="Verdana" w:cs="Arial"/>
                  <w:color w:val="0000FF"/>
                  <w:u w:val="single"/>
                  <w:lang w:val="es-ES_tradnl"/>
                </w:rPr>
                <w:t>https://www.colombiacompra.gov.co/documentos-tipo/documentos-tipo</w:t>
              </w:r>
            </w:hyperlink>
            <w:r w:rsidRPr="00653B51">
              <w:rPr>
                <w:rFonts w:ascii="Verdana" w:eastAsia="Calibri" w:hAnsi="Verdana" w:cs="Arial"/>
                <w:lang w:val="es-ES_tradnl"/>
              </w:rPr>
              <w:t>.</w:t>
            </w:r>
          </w:p>
        </w:tc>
      </w:tr>
    </w:tbl>
    <w:p w14:paraId="1005BCF4" w14:textId="77777777" w:rsidR="00653B51" w:rsidRPr="00653B51" w:rsidRDefault="00653B51" w:rsidP="00653B51">
      <w:pPr>
        <w:tabs>
          <w:tab w:val="left" w:pos="142"/>
          <w:tab w:val="left" w:pos="284"/>
        </w:tabs>
        <w:spacing w:after="0" w:line="276" w:lineRule="auto"/>
        <w:jc w:val="both"/>
        <w:rPr>
          <w:rFonts w:ascii="Verdana" w:eastAsia="Calibri" w:hAnsi="Verdana" w:cs="Arial"/>
        </w:rPr>
      </w:pPr>
    </w:p>
    <w:p w14:paraId="472E9D01" w14:textId="77777777" w:rsidR="00653B51" w:rsidRPr="00653B51" w:rsidRDefault="00653B51" w:rsidP="00653B5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653B51">
        <w:rPr>
          <w:rFonts w:ascii="Verdana" w:eastAsia="Century Gothic" w:hAnsi="Verdana" w:cs="Century Gothic"/>
          <w:b/>
          <w:bCs/>
        </w:rPr>
        <w:t>Doctrina de la Agencia Nacional de Contratación Pública:</w:t>
      </w:r>
    </w:p>
    <w:p w14:paraId="624A0A53" w14:textId="77777777" w:rsidR="00653B51" w:rsidRPr="00653B51" w:rsidRDefault="00653B51" w:rsidP="00653B51">
      <w:pPr>
        <w:widowControl w:val="0"/>
        <w:autoSpaceDE w:val="0"/>
        <w:autoSpaceDN w:val="0"/>
        <w:spacing w:after="0" w:line="276" w:lineRule="auto"/>
        <w:jc w:val="both"/>
        <w:rPr>
          <w:rFonts w:ascii="Verdana" w:eastAsia="Calibri" w:hAnsi="Verdana" w:cs="Arial"/>
        </w:rPr>
      </w:pPr>
    </w:p>
    <w:p w14:paraId="4D7AFF9F" w14:textId="77777777" w:rsidR="00653B51" w:rsidRPr="00653B51" w:rsidRDefault="00653B51" w:rsidP="00653B51">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653B51">
        <w:rPr>
          <w:rFonts w:ascii="Verdana" w:eastAsia="Calibri" w:hAnsi="Verdana" w:cs="Arial"/>
          <w:kern w:val="2"/>
          <w:shd w:val="clear" w:color="auto" w:fill="FFFFFF"/>
          <w14:ligatures w14:val="standardContextual"/>
        </w:rPr>
        <w:t>L</w:t>
      </w:r>
      <w:r w:rsidRPr="00653B51">
        <w:rPr>
          <w:rFonts w:ascii="Verdana" w:eastAsia="Calibri" w:hAnsi="Verdana" w:cs="Arial"/>
          <w:kern w:val="2"/>
          <w:shd w:val="clear" w:color="auto" w:fill="FFFFFF"/>
          <w:lang w:val="es-ES"/>
          <w14:ligatures w14:val="standardContextual"/>
        </w:rPr>
        <w:t xml:space="preserve">a Agencia Nacional de Contratación Pública – Colombia Compra Eficiente, se pronunció sobre las causales de rechazo de los documentos tipo de licitación de obra pública de infraestructura de trasporte relacionadas con la capacidad residual, entre otros en los siguientes conceptos: </w:t>
      </w:r>
      <w:r w:rsidRPr="00653B51">
        <w:rPr>
          <w:rFonts w:ascii="Verdana" w:eastAsia="Calibri" w:hAnsi="Verdana" w:cs="Arial"/>
          <w:kern w:val="2"/>
          <w14:ligatures w14:val="standardContextual"/>
        </w:rPr>
        <w:t>C-429 del 24 de julio de 2020, C-173 del 7 de abril de 2024, C-306 del 16 de mayo de 2022, C-567 del 2 de septiembre de septiembre de 2022, C-748 del 10 de noviembre de 2022, C-280 del 6 de junio de 2023, C-353 del 1 de agosto de 2023, C-978 del 24 de marzo de 2023, C-421 del 13 de septiembre de 2024, C-818 del 16 de diciembre de 2024, C-232 del 1 de abril de 2024, C-419 del 22 de abril de 2025, C-928 del 21 de agosto de 2025, C-1438 del 6 de noviembre de 2025, C-1795 del 30 de diciembre de 2025, C-126 del 18 de febrero de 2026 y C-687 del 5 de junio de 2026.</w:t>
      </w:r>
    </w:p>
    <w:p w14:paraId="02AD5F11" w14:textId="77777777" w:rsidR="00653B51" w:rsidRPr="00653B51" w:rsidRDefault="00653B51" w:rsidP="00653B51">
      <w:pPr>
        <w:widowControl w:val="0"/>
        <w:autoSpaceDE w:val="0"/>
        <w:autoSpaceDN w:val="0"/>
        <w:spacing w:after="0" w:line="276" w:lineRule="auto"/>
        <w:jc w:val="both"/>
        <w:rPr>
          <w:rFonts w:ascii="Verdana" w:eastAsia="Times New Roman" w:hAnsi="Verdana" w:cs="Arial"/>
          <w:shd w:val="clear" w:color="auto" w:fill="FFFFFF"/>
          <w:lang w:val="es-ES"/>
        </w:rPr>
      </w:pPr>
    </w:p>
    <w:bookmarkEnd w:id="1"/>
    <w:p w14:paraId="5024BCA8" w14:textId="77777777" w:rsidR="00653B51" w:rsidRPr="00653B51" w:rsidRDefault="00653B51" w:rsidP="00653B5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r w:rsidRPr="00653B51">
        <w:rPr>
          <w:rFonts w:ascii="Verdana" w:eastAsia="Calibri" w:hAnsi="Verdana" w:cs="Arial"/>
          <w:color w:val="000000"/>
          <w:shd w:val="clear" w:color="auto" w:fill="FFFFFF"/>
          <w:lang w:eastAsia="es-MX"/>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w:t>
      </w:r>
      <w:r w:rsidRPr="00653B51">
        <w:rPr>
          <w:rFonts w:ascii="Verdana" w:eastAsia="Calibri" w:hAnsi="Verdana" w:cs="Arial"/>
          <w:color w:val="000000"/>
          <w:shd w:val="clear" w:color="auto" w:fill="FFFFFF"/>
          <w:lang w:eastAsia="es-MX"/>
        </w:rPr>
        <w:lastRenderedPageBreak/>
        <w:t>través del siguiente enlace: </w:t>
      </w:r>
      <w:hyperlink r:id="rId14" w:tgtFrame="_blank" w:tooltip="Dirección URL original: https://relatoria.colombiacompra.gov.co/. Haga clic o pulse si confía en este vínculo." w:history="1">
        <w:r w:rsidRPr="00653B51">
          <w:rPr>
            <w:rFonts w:ascii="Verdana" w:eastAsia="Calibri" w:hAnsi="Verdana" w:cs="Arial"/>
            <w:color w:val="0000FF"/>
            <w:u w:val="single"/>
            <w:shd w:val="clear" w:color="auto" w:fill="FFFFFF"/>
            <w:lang w:eastAsia="es-MX"/>
          </w:rPr>
          <w:t>https://relatoria.colombiacompra.gov.co/</w:t>
        </w:r>
      </w:hyperlink>
      <w:r w:rsidRPr="00653B51">
        <w:rPr>
          <w:rFonts w:ascii="Verdana" w:eastAsia="Calibri" w:hAnsi="Verdana" w:cs="Arial"/>
          <w:color w:val="0000FF"/>
          <w:u w:val="single"/>
          <w:shd w:val="clear" w:color="auto" w:fill="FFFFFF"/>
          <w:lang w:eastAsia="es-MX"/>
        </w:rPr>
        <w:t> .</w:t>
      </w:r>
    </w:p>
    <w:p w14:paraId="2C665CB1" w14:textId="77777777" w:rsidR="00653B51" w:rsidRPr="00653B51" w:rsidRDefault="00653B51" w:rsidP="00653B51">
      <w:pPr>
        <w:widowControl w:val="0"/>
        <w:autoSpaceDE w:val="0"/>
        <w:autoSpaceDN w:val="0"/>
        <w:spacing w:after="0" w:line="276" w:lineRule="auto"/>
        <w:jc w:val="both"/>
        <w:rPr>
          <w:rFonts w:ascii="Verdana" w:eastAsia="Calibri" w:hAnsi="Verdana" w:cs="Arial"/>
          <w:color w:val="0000FF"/>
          <w:u w:val="single"/>
          <w:shd w:val="clear" w:color="auto" w:fill="FFFFFF"/>
          <w:lang w:eastAsia="es-MX"/>
        </w:rPr>
      </w:pPr>
    </w:p>
    <w:p w14:paraId="6DFEACBE" w14:textId="77777777" w:rsidR="00653B51" w:rsidRPr="00653B51" w:rsidRDefault="00653B51" w:rsidP="00653B51">
      <w:pPr>
        <w:spacing w:after="0" w:line="276" w:lineRule="auto"/>
        <w:jc w:val="both"/>
        <w:rPr>
          <w:rFonts w:ascii="Verdana" w:eastAsia="Times New Roman" w:hAnsi="Verdana" w:cs="Arial"/>
          <w:lang w:eastAsia="es-MX"/>
        </w:rPr>
      </w:pPr>
      <w:r w:rsidRPr="00653B51">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653B51">
        <w:rPr>
          <w:rFonts w:ascii="Verdana" w:eastAsia="Times New Roman" w:hAnsi="Verdana" w:cs="Arial"/>
          <w:b/>
          <w:bCs/>
          <w:lang w:eastAsia="es-MX"/>
        </w:rPr>
        <w:t>Curso de Contratación Pública Sostenible y Socialmente Responsable</w:t>
      </w:r>
      <w:r w:rsidRPr="00653B51">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653B51">
        <w:rPr>
          <w:rFonts w:ascii="Verdana" w:eastAsia="Times New Roman" w:hAnsi="Verdana" w:cs="Arial"/>
          <w:lang w:eastAsia="es-MX"/>
        </w:rPr>
        <w:br/>
      </w:r>
      <w:hyperlink r:id="rId15" w:tgtFrame="_new" w:history="1">
        <w:r w:rsidRPr="00653B51">
          <w:rPr>
            <w:rFonts w:ascii="Verdana" w:eastAsia="Times New Roman" w:hAnsi="Verdana" w:cs="Arial"/>
            <w:color w:val="0000FF"/>
            <w:u w:val="single"/>
            <w:lang w:eastAsia="es-MX"/>
          </w:rPr>
          <w:t>https://formacionvirtual.colombiacompra.gov.co/mod/page/view.php?id=3718</w:t>
        </w:r>
      </w:hyperlink>
    </w:p>
    <w:p w14:paraId="5E35E8F0" w14:textId="77777777" w:rsidR="00653B51" w:rsidRPr="00653B51" w:rsidRDefault="00653B51" w:rsidP="00653B51">
      <w:pPr>
        <w:spacing w:after="0" w:line="276" w:lineRule="auto"/>
        <w:jc w:val="both"/>
        <w:rPr>
          <w:rFonts w:ascii="Verdana" w:eastAsia="Times New Roman" w:hAnsi="Verdana" w:cs="Arial"/>
          <w:lang w:eastAsia="es-MX"/>
        </w:rPr>
      </w:pPr>
      <w:r w:rsidRPr="00653B51">
        <w:rPr>
          <w:rFonts w:ascii="Verdana" w:eastAsia="Times New Roman" w:hAnsi="Verdana" w:cs="Arial"/>
          <w:lang w:eastAsia="es-MX"/>
        </w:rPr>
        <w:t xml:space="preserve">De otro lado, te contamos que esta Agencia ha da un paso decisivo en la estandarización y modernización del </w:t>
      </w:r>
      <w:r w:rsidRPr="00653B51">
        <w:rPr>
          <w:rFonts w:ascii="Verdana" w:eastAsia="Times New Roman" w:hAnsi="Verdana" w:cs="Arial"/>
          <w:b/>
          <w:bCs/>
          <w:lang w:eastAsia="es-MX"/>
        </w:rPr>
        <w:t>sector  social</w:t>
      </w:r>
      <w:r w:rsidRPr="00653B51">
        <w:rPr>
          <w:rFonts w:ascii="Verdana" w:eastAsia="Times New Roman" w:hAnsi="Verdana" w:cs="Arial"/>
          <w:lang w:eastAsia="es-MX"/>
        </w:rPr>
        <w:t xml:space="preserve"> con la expedición de las </w:t>
      </w:r>
      <w:r w:rsidRPr="00653B51">
        <w:rPr>
          <w:rFonts w:ascii="Verdana" w:eastAsia="Times New Roman" w:hAnsi="Verdana" w:cs="Arial"/>
          <w:b/>
          <w:bCs/>
          <w:lang w:eastAsia="es-MX"/>
        </w:rPr>
        <w:t>Resoluciones 539, 540, 541, 952 y 953 de 2025</w:t>
      </w:r>
      <w:r w:rsidRPr="00653B51">
        <w:rPr>
          <w:rFonts w:ascii="Verdana" w:eastAsia="Times New Roman" w:hAnsi="Verdana" w:cs="Arial"/>
          <w:lang w:eastAsia="es-MX"/>
        </w:rPr>
        <w:t xml:space="preserve">, </w:t>
      </w:r>
      <w:r w:rsidRPr="00653B51">
        <w:rPr>
          <w:rFonts w:ascii="Verdana" w:eastAsia="Times New Roman" w:hAnsi="Verdana" w:cs="Arial"/>
          <w:b/>
          <w:bCs/>
          <w:lang w:eastAsia="es-MX"/>
        </w:rPr>
        <w:t>mediante las cuales adoptó Documentos Tipo</w:t>
      </w:r>
      <w:r w:rsidRPr="00653B51">
        <w:rPr>
          <w:rFonts w:ascii="Verdana" w:eastAsia="Times New Roman" w:hAnsi="Verdana" w:cs="Arial"/>
          <w:lang w:eastAsia="es-MX"/>
        </w:rPr>
        <w:t xml:space="preserve"> para las modalidades de selección de</w:t>
      </w:r>
      <w:r w:rsidRPr="00653B51">
        <w:rPr>
          <w:rFonts w:ascii="Verdana" w:eastAsia="Times New Roman" w:hAnsi="Verdana" w:cs="Arial"/>
          <w:b/>
          <w:bCs/>
          <w:lang w:eastAsia="es-MX"/>
        </w:rPr>
        <w:t xml:space="preserve"> licitación pública (versión 2), selección abreviada de menor cuantía, mínima cuantía, consultoría e interventoría</w:t>
      </w:r>
      <w:r w:rsidRPr="00653B51">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653B51">
          <w:rPr>
            <w:rFonts w:ascii="Verdana" w:eastAsia="Times New Roman" w:hAnsi="Verdana" w:cs="Arial"/>
            <w:color w:val="0000FF"/>
            <w:u w:val="single"/>
            <w:lang w:eastAsia="es-MX"/>
          </w:rPr>
          <w:t>https://www.colombiacompra.gov.co/normativa-y-relatoria/documentos-tipo</w:t>
        </w:r>
      </w:hyperlink>
    </w:p>
    <w:p w14:paraId="55361907" w14:textId="77777777" w:rsidR="00653B51" w:rsidRPr="00653B51" w:rsidRDefault="00653B51" w:rsidP="00653B51">
      <w:pPr>
        <w:spacing w:after="0" w:line="276" w:lineRule="auto"/>
        <w:jc w:val="both"/>
        <w:rPr>
          <w:rFonts w:ascii="Verdana" w:eastAsia="Times New Roman" w:hAnsi="Verdana" w:cs="Arial"/>
          <w:lang w:eastAsia="es-MX"/>
        </w:rPr>
      </w:pPr>
      <w:r w:rsidRPr="00653B51">
        <w:rPr>
          <w:rFonts w:ascii="Verdana" w:eastAsia="Times New Roman" w:hAnsi="Verdana" w:cs="Arial"/>
          <w:lang w:eastAsia="es-MX"/>
        </w:rPr>
        <w:t xml:space="preserve">Si quieres conocer más sobre la aplicación de Documentos Tipo puedes consultar la última versión de la </w:t>
      </w:r>
      <w:r w:rsidRPr="00653B51">
        <w:rPr>
          <w:rFonts w:ascii="Verdana" w:eastAsia="Times New Roman" w:hAnsi="Verdana" w:cs="Arial"/>
          <w:b/>
          <w:bCs/>
          <w:lang w:eastAsia="es-MX"/>
        </w:rPr>
        <w:t>Guía para la comprensión e implementación de los Documentos Tipo de obra pública de infraestructura de transporte</w:t>
      </w:r>
      <w:r w:rsidRPr="00653B51">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53B51">
        <w:rPr>
          <w:rFonts w:ascii="Verdana" w:eastAsia="Times New Roman" w:hAnsi="Verdana" w:cs="Arial"/>
          <w:lang w:eastAsia="es-MX"/>
        </w:rPr>
        <w:br/>
      </w:r>
      <w:hyperlink r:id="rId17" w:tgtFrame="_new" w:history="1">
        <w:r w:rsidRPr="00653B51">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176AF338" w14:textId="77777777" w:rsidR="00653B51" w:rsidRPr="00653B51" w:rsidRDefault="00653B51" w:rsidP="00653B51">
      <w:pPr>
        <w:spacing w:after="0"/>
        <w:jc w:val="both"/>
        <w:rPr>
          <w:rFonts w:ascii="Verdana" w:eastAsia="Aptos" w:hAnsi="Verdana" w:cs="Times New Roman"/>
          <w:color w:val="212121"/>
          <w:lang w:eastAsia="es-MX"/>
        </w:rPr>
      </w:pPr>
    </w:p>
    <w:p w14:paraId="7D015E5E" w14:textId="77777777" w:rsidR="00653B51" w:rsidRPr="00653B51" w:rsidRDefault="00653B51" w:rsidP="00653B51">
      <w:pPr>
        <w:spacing w:after="0" w:line="240" w:lineRule="auto"/>
        <w:jc w:val="both"/>
        <w:rPr>
          <w:rFonts w:ascii="Verdana" w:eastAsia="Calibri" w:hAnsi="Verdana" w:cs="Times New Roman"/>
          <w:lang w:eastAsia="es-MX"/>
        </w:rPr>
      </w:pPr>
      <w:r w:rsidRPr="00653B51">
        <w:rPr>
          <w:rFonts w:ascii="Verdana" w:eastAsia="Aptos" w:hAnsi="Verdana" w:cs="Times New Roman"/>
          <w:lang w:eastAsia="es-MX"/>
        </w:rPr>
        <w:t xml:space="preserve">Por último, lo invitamos a seguirnos en las redes sociales en las cuales se difunde información institucional: </w:t>
      </w:r>
    </w:p>
    <w:p w14:paraId="388E30BD" w14:textId="77777777" w:rsidR="00653B51" w:rsidRPr="00653B51" w:rsidRDefault="00653B51" w:rsidP="00653B51">
      <w:pPr>
        <w:spacing w:after="0" w:line="240" w:lineRule="auto"/>
        <w:jc w:val="both"/>
        <w:rPr>
          <w:rFonts w:ascii="Verdana" w:eastAsia="Aptos" w:hAnsi="Verdana" w:cs="Times New Roman"/>
          <w:lang w:eastAsia="es-MX"/>
        </w:rPr>
      </w:pPr>
    </w:p>
    <w:p w14:paraId="41F08E6A" w14:textId="77777777" w:rsidR="00653B51" w:rsidRPr="00653B51" w:rsidRDefault="00653B51" w:rsidP="00653B51">
      <w:pPr>
        <w:spacing w:after="0" w:line="240" w:lineRule="auto"/>
        <w:jc w:val="both"/>
        <w:rPr>
          <w:rFonts w:ascii="Verdana" w:eastAsia="Aptos" w:hAnsi="Verdana" w:cs="Times New Roman"/>
          <w:lang w:eastAsia="es-MX"/>
        </w:rPr>
      </w:pPr>
      <w:r w:rsidRPr="00653B51">
        <w:rPr>
          <w:rFonts w:ascii="Verdana" w:eastAsia="Aptos" w:hAnsi="Verdana" w:cs="Times New Roman"/>
          <w:lang w:eastAsia="es-MX"/>
        </w:rPr>
        <w:lastRenderedPageBreak/>
        <w:t xml:space="preserve">Twitter: </w:t>
      </w:r>
      <w:r w:rsidRPr="00653B51">
        <w:rPr>
          <w:rFonts w:ascii="Verdana" w:eastAsia="Calibri" w:hAnsi="Verdana" w:cs="Times New Roman"/>
          <w:color w:val="156082"/>
          <w:u w:val="single"/>
          <w:lang w:eastAsia="es-MX"/>
        </w:rPr>
        <w:t>@colombiacompra</w:t>
      </w:r>
      <w:r w:rsidRPr="00653B51">
        <w:rPr>
          <w:rFonts w:ascii="Verdana" w:eastAsia="Calibri" w:hAnsi="Verdana" w:cs="Times New Roman"/>
          <w:color w:val="156082"/>
          <w:lang w:eastAsia="es-MX"/>
        </w:rPr>
        <w:t xml:space="preserve"> </w:t>
      </w:r>
    </w:p>
    <w:p w14:paraId="4494447C" w14:textId="77777777" w:rsidR="00653B51" w:rsidRPr="00653B51" w:rsidRDefault="00653B51" w:rsidP="00653B51">
      <w:pPr>
        <w:spacing w:after="0" w:line="240" w:lineRule="auto"/>
        <w:jc w:val="both"/>
        <w:rPr>
          <w:rFonts w:ascii="Verdana" w:eastAsia="Aptos" w:hAnsi="Verdana" w:cs="Times New Roman"/>
          <w:lang w:eastAsia="es-MX"/>
        </w:rPr>
      </w:pPr>
      <w:r w:rsidRPr="00653B51">
        <w:rPr>
          <w:rFonts w:ascii="Verdana" w:eastAsia="Aptos" w:hAnsi="Verdana" w:cs="Times New Roman"/>
          <w:lang w:eastAsia="es-MX"/>
        </w:rPr>
        <w:t xml:space="preserve">Facebook: </w:t>
      </w:r>
      <w:proofErr w:type="spellStart"/>
      <w:r w:rsidRPr="00653B51">
        <w:rPr>
          <w:rFonts w:ascii="Verdana" w:eastAsia="Calibri" w:hAnsi="Verdana" w:cs="Times New Roman"/>
          <w:color w:val="156082"/>
          <w:u w:val="single"/>
          <w:lang w:eastAsia="es-MX"/>
        </w:rPr>
        <w:t>ColombiaCompraEficiente</w:t>
      </w:r>
      <w:proofErr w:type="spellEnd"/>
    </w:p>
    <w:p w14:paraId="071429EF" w14:textId="77777777" w:rsidR="00653B51" w:rsidRPr="00653B51" w:rsidRDefault="00653B51" w:rsidP="00653B51">
      <w:pPr>
        <w:spacing w:after="0" w:line="240" w:lineRule="auto"/>
        <w:jc w:val="both"/>
        <w:rPr>
          <w:rFonts w:ascii="Verdana" w:eastAsia="Aptos" w:hAnsi="Verdana" w:cs="Times New Roman"/>
          <w:lang w:eastAsia="es-MX"/>
        </w:rPr>
      </w:pPr>
      <w:r w:rsidRPr="00653B51">
        <w:rPr>
          <w:rFonts w:ascii="Verdana" w:eastAsia="Aptos" w:hAnsi="Verdana" w:cs="Times New Roman"/>
          <w:lang w:eastAsia="es-MX"/>
        </w:rPr>
        <w:t xml:space="preserve">LinkedIn: </w:t>
      </w:r>
      <w:r w:rsidRPr="00653B51">
        <w:rPr>
          <w:rFonts w:ascii="Verdana" w:eastAsia="Calibri" w:hAnsi="Verdana" w:cs="Times New Roman"/>
          <w:color w:val="156082"/>
          <w:u w:val="single"/>
          <w:lang w:eastAsia="es-MX"/>
        </w:rPr>
        <w:t>Agencia Nacional de Contratación Pública - Colombia Compra Eficiente</w:t>
      </w:r>
      <w:r w:rsidRPr="00653B51">
        <w:rPr>
          <w:rFonts w:ascii="Verdana" w:eastAsia="Calibri" w:hAnsi="Verdana" w:cs="Times New Roman"/>
          <w:color w:val="156082"/>
          <w:lang w:eastAsia="es-MX"/>
        </w:rPr>
        <w:t xml:space="preserve"> </w:t>
      </w:r>
      <w:r w:rsidRPr="00653B51">
        <w:rPr>
          <w:rFonts w:ascii="Verdana" w:eastAsia="Aptos" w:hAnsi="Verdana" w:cs="Times New Roman"/>
          <w:lang w:eastAsia="es-MX"/>
        </w:rPr>
        <w:t xml:space="preserve">Instagram: </w:t>
      </w:r>
      <w:r w:rsidRPr="00653B51">
        <w:rPr>
          <w:rFonts w:ascii="Verdana" w:eastAsia="Calibri" w:hAnsi="Verdana" w:cs="Times New Roman"/>
          <w:color w:val="156082"/>
          <w:u w:val="single"/>
          <w:lang w:eastAsia="es-MX"/>
        </w:rPr>
        <w:t>@colombiacompraeficiente_cce</w:t>
      </w:r>
    </w:p>
    <w:p w14:paraId="2B9963FB" w14:textId="77777777" w:rsidR="00653B51" w:rsidRPr="00653B51" w:rsidRDefault="00653B51" w:rsidP="00653B51">
      <w:pPr>
        <w:spacing w:after="0" w:line="276" w:lineRule="auto"/>
        <w:jc w:val="both"/>
        <w:rPr>
          <w:rFonts w:ascii="Verdana" w:eastAsia="Aptos" w:hAnsi="Verdana" w:cs="Times New Roman"/>
          <w:lang w:eastAsia="es-MX"/>
        </w:rPr>
      </w:pPr>
    </w:p>
    <w:p w14:paraId="369D69D4" w14:textId="77777777" w:rsidR="00653B51" w:rsidRPr="00653B51" w:rsidRDefault="00653B51" w:rsidP="00653B51">
      <w:pPr>
        <w:spacing w:after="0" w:line="276" w:lineRule="auto"/>
        <w:jc w:val="both"/>
        <w:rPr>
          <w:rFonts w:ascii="Verdana" w:eastAsia="Calibri" w:hAnsi="Verdana" w:cs="Times New Roman"/>
          <w:bCs/>
          <w:lang w:val="es-ES_tradnl" w:eastAsia="es-MX"/>
        </w:rPr>
      </w:pPr>
      <w:r w:rsidRPr="00653B51">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FF1B518" w14:textId="77777777" w:rsidR="00653B51" w:rsidRPr="00653B51" w:rsidRDefault="00653B51" w:rsidP="00653B51">
      <w:pPr>
        <w:spacing w:after="0" w:line="276" w:lineRule="auto"/>
        <w:jc w:val="both"/>
        <w:rPr>
          <w:rFonts w:ascii="Verdana" w:eastAsia="Calibri" w:hAnsi="Verdana" w:cs="Times New Roman"/>
          <w:lang w:eastAsia="es-MX"/>
        </w:rPr>
      </w:pPr>
    </w:p>
    <w:p w14:paraId="06BD33B6" w14:textId="77777777" w:rsidR="00653B51" w:rsidRPr="00653B51" w:rsidRDefault="00653B51" w:rsidP="00653B51">
      <w:pPr>
        <w:spacing w:after="0" w:line="276" w:lineRule="auto"/>
        <w:jc w:val="both"/>
        <w:rPr>
          <w:rFonts w:ascii="Verdana" w:eastAsia="Calibri" w:hAnsi="Verdana" w:cs="Times New Roman"/>
          <w:lang w:eastAsia="es-MX"/>
        </w:rPr>
      </w:pPr>
      <w:r w:rsidRPr="00653B51">
        <w:rPr>
          <w:rFonts w:ascii="Verdana" w:eastAsia="Calibri" w:hAnsi="Verdana" w:cs="Times New Roman"/>
          <w:lang w:eastAsia="es-MX"/>
        </w:rPr>
        <w:t>Atentamente,</w:t>
      </w:r>
    </w:p>
    <w:p w14:paraId="2375865D" w14:textId="07A71956" w:rsidR="00653B51" w:rsidRPr="00653B51" w:rsidRDefault="00A622D3" w:rsidP="00653B51">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drawing>
          <wp:inline distT="0" distB="0" distL="0" distR="0" wp14:anchorId="30839B4F" wp14:editId="43E9FFD7">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2553823" cy="1096371"/>
                    </a:xfrm>
                    <a:prstGeom prst="rect">
                      <a:avLst/>
                    </a:prstGeom>
                  </pic:spPr>
                </pic:pic>
              </a:graphicData>
            </a:graphic>
          </wp:inline>
        </w:drawing>
      </w:r>
    </w:p>
    <w:p w14:paraId="6EB06EEE" w14:textId="374B2CEA" w:rsidR="00653B51" w:rsidRPr="00653B51" w:rsidRDefault="00653B51" w:rsidP="00653B51">
      <w:pPr>
        <w:tabs>
          <w:tab w:val="left" w:pos="1320"/>
        </w:tabs>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53B51" w:rsidRPr="00653B51" w14:paraId="10B88F25" w14:textId="77777777" w:rsidTr="00A46F1D">
        <w:trPr>
          <w:trHeight w:val="315"/>
        </w:trPr>
        <w:tc>
          <w:tcPr>
            <w:tcW w:w="893" w:type="dxa"/>
            <w:vAlign w:val="center"/>
            <w:hideMark/>
          </w:tcPr>
          <w:p w14:paraId="019C95CE" w14:textId="77777777" w:rsidR="00653B51" w:rsidRPr="00653B51" w:rsidRDefault="00653B51" w:rsidP="00653B51">
            <w:pPr>
              <w:rPr>
                <w:rFonts w:ascii="Verdana" w:eastAsia="Calibri" w:hAnsi="Verdana" w:cs="Arial"/>
                <w:sz w:val="16"/>
                <w:szCs w:val="16"/>
                <w:lang w:eastAsia="es-ES"/>
              </w:rPr>
            </w:pPr>
            <w:r w:rsidRPr="00653B51">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6F2B9E2E" w14:textId="77777777" w:rsidR="00653B51" w:rsidRPr="00653B51" w:rsidRDefault="00653B51" w:rsidP="00653B51">
            <w:pPr>
              <w:rPr>
                <w:rFonts w:ascii="Verdana" w:eastAsia="Arial" w:hAnsi="Verdana" w:cs="Arial"/>
                <w:sz w:val="16"/>
                <w:szCs w:val="16"/>
              </w:rPr>
            </w:pPr>
            <w:r w:rsidRPr="00653B51">
              <w:rPr>
                <w:rFonts w:ascii="Verdana" w:eastAsia="Arial" w:hAnsi="Verdana" w:cs="Arial"/>
                <w:sz w:val="16"/>
                <w:szCs w:val="16"/>
              </w:rPr>
              <w:t xml:space="preserve">Carlos Mario Castrillon Endo </w:t>
            </w:r>
          </w:p>
          <w:p w14:paraId="77603A34" w14:textId="77777777" w:rsidR="00653B51" w:rsidRPr="00653B51" w:rsidRDefault="00653B51" w:rsidP="00653B51">
            <w:pPr>
              <w:rPr>
                <w:rFonts w:ascii="Verdana" w:eastAsia="Arial" w:hAnsi="Verdana" w:cs="Arial"/>
                <w:sz w:val="16"/>
                <w:szCs w:val="16"/>
              </w:rPr>
            </w:pPr>
            <w:r w:rsidRPr="00653B51">
              <w:rPr>
                <w:rFonts w:ascii="Verdana" w:eastAsia="Arial" w:hAnsi="Verdana" w:cs="Arial"/>
                <w:sz w:val="16"/>
                <w:szCs w:val="16"/>
              </w:rPr>
              <w:t>Contratista de la Subdirección de Gestión Contractual</w:t>
            </w:r>
          </w:p>
          <w:p w14:paraId="41A5CD0F" w14:textId="77777777" w:rsidR="00653B51" w:rsidRPr="00653B51" w:rsidRDefault="00653B51" w:rsidP="00653B51">
            <w:pPr>
              <w:rPr>
                <w:rFonts w:ascii="Verdana" w:eastAsia="Arial" w:hAnsi="Verdana" w:cs="Arial"/>
                <w:sz w:val="16"/>
                <w:szCs w:val="16"/>
              </w:rPr>
            </w:pPr>
          </w:p>
        </w:tc>
      </w:tr>
      <w:tr w:rsidR="00653B51" w:rsidRPr="00653B51" w14:paraId="51BC2D9D" w14:textId="77777777" w:rsidTr="00A46F1D">
        <w:trPr>
          <w:trHeight w:val="330"/>
        </w:trPr>
        <w:tc>
          <w:tcPr>
            <w:tcW w:w="893" w:type="dxa"/>
            <w:vAlign w:val="center"/>
            <w:hideMark/>
          </w:tcPr>
          <w:p w14:paraId="135837FD" w14:textId="77777777" w:rsidR="00653B51" w:rsidRPr="00653B51" w:rsidRDefault="00653B51" w:rsidP="00653B51">
            <w:pPr>
              <w:rPr>
                <w:rFonts w:ascii="Verdana" w:eastAsia="Calibri" w:hAnsi="Verdana" w:cs="Arial"/>
                <w:sz w:val="16"/>
                <w:szCs w:val="16"/>
                <w:lang w:eastAsia="es-ES"/>
              </w:rPr>
            </w:pPr>
            <w:r w:rsidRPr="00653B51">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A68AB91" w14:textId="77777777" w:rsidR="00653B51" w:rsidRPr="00653B51" w:rsidRDefault="00653B51" w:rsidP="00653B51">
            <w:pPr>
              <w:rPr>
                <w:rFonts w:ascii="Verdana" w:eastAsia="Times New Roman" w:hAnsi="Verdana" w:cs="Aptos"/>
                <w:sz w:val="16"/>
                <w:szCs w:val="16"/>
                <w:lang w:eastAsia="es-CO"/>
              </w:rPr>
            </w:pPr>
            <w:r w:rsidRPr="00653B51">
              <w:rPr>
                <w:rFonts w:ascii="Verdana" w:eastAsia="Times New Roman" w:hAnsi="Verdana" w:cs="Aptos"/>
                <w:sz w:val="16"/>
                <w:szCs w:val="16"/>
                <w:lang w:eastAsia="es-CO"/>
              </w:rPr>
              <w:t>Martha Alicia Romero Vargas</w:t>
            </w:r>
          </w:p>
          <w:p w14:paraId="5C8ABE87" w14:textId="77777777" w:rsidR="00653B51" w:rsidRPr="00653B51" w:rsidRDefault="00653B51" w:rsidP="00653B51">
            <w:pPr>
              <w:rPr>
                <w:rFonts w:ascii="Verdana" w:eastAsia="Arial" w:hAnsi="Verdana" w:cs="Arial"/>
                <w:sz w:val="16"/>
                <w:szCs w:val="16"/>
              </w:rPr>
            </w:pPr>
            <w:r w:rsidRPr="00653B51">
              <w:rPr>
                <w:rFonts w:ascii="Verdana" w:eastAsia="Arial" w:hAnsi="Verdana" w:cs="Arial"/>
                <w:sz w:val="16"/>
                <w:szCs w:val="16"/>
              </w:rPr>
              <w:t xml:space="preserve">Gestor T1-15 de la Subdirección de Gestión Contractual </w:t>
            </w:r>
          </w:p>
        </w:tc>
      </w:tr>
      <w:tr w:rsidR="00653B51" w:rsidRPr="00653B51" w14:paraId="00098175" w14:textId="77777777" w:rsidTr="00A46F1D">
        <w:trPr>
          <w:trHeight w:val="300"/>
        </w:trPr>
        <w:tc>
          <w:tcPr>
            <w:tcW w:w="893" w:type="dxa"/>
            <w:vAlign w:val="center"/>
          </w:tcPr>
          <w:p w14:paraId="3B2EC171" w14:textId="77777777" w:rsidR="00653B51" w:rsidRPr="00653B51" w:rsidRDefault="00653B51" w:rsidP="00653B51">
            <w:pPr>
              <w:rPr>
                <w:rFonts w:ascii="Verdana" w:eastAsia="Calibri" w:hAnsi="Verdana" w:cs="Arial"/>
                <w:sz w:val="16"/>
                <w:szCs w:val="16"/>
                <w:lang w:eastAsia="es-ES"/>
              </w:rPr>
            </w:pPr>
            <w:r w:rsidRPr="00653B51">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BBFEAFD" w14:textId="77777777" w:rsidR="00653B51" w:rsidRPr="00653B51" w:rsidRDefault="00653B51" w:rsidP="00653B51">
            <w:pPr>
              <w:rPr>
                <w:rFonts w:ascii="Verdana" w:eastAsia="Calibri" w:hAnsi="Verdana" w:cs="Arial"/>
                <w:sz w:val="16"/>
                <w:szCs w:val="16"/>
                <w:lang w:eastAsia="es-ES"/>
              </w:rPr>
            </w:pPr>
            <w:r w:rsidRPr="00653B51">
              <w:rPr>
                <w:rFonts w:ascii="Verdana" w:eastAsia="Calibri" w:hAnsi="Verdana" w:cs="Arial"/>
                <w:sz w:val="16"/>
                <w:szCs w:val="16"/>
                <w:lang w:eastAsia="es-ES"/>
              </w:rPr>
              <w:t>Carolina Quintero Gacharná</w:t>
            </w:r>
          </w:p>
          <w:p w14:paraId="5CA6A4B4" w14:textId="77777777" w:rsidR="00653B51" w:rsidRPr="00653B51" w:rsidRDefault="00653B51" w:rsidP="00653B51">
            <w:pPr>
              <w:rPr>
                <w:rFonts w:ascii="Verdana" w:eastAsia="Calibri" w:hAnsi="Verdana" w:cs="Arial"/>
                <w:sz w:val="16"/>
                <w:szCs w:val="16"/>
                <w:lang w:eastAsia="es-ES"/>
              </w:rPr>
            </w:pPr>
            <w:r w:rsidRPr="00653B51">
              <w:rPr>
                <w:rFonts w:ascii="Verdana" w:eastAsia="Calibri" w:hAnsi="Verdana" w:cs="Arial"/>
                <w:sz w:val="16"/>
                <w:szCs w:val="16"/>
                <w:lang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F2E736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80A18" w14:textId="77777777" w:rsidR="008B19AF" w:rsidRDefault="008B19AF" w:rsidP="004A1847">
      <w:pPr>
        <w:spacing w:after="0" w:line="240" w:lineRule="auto"/>
      </w:pPr>
      <w:r>
        <w:separator/>
      </w:r>
    </w:p>
  </w:endnote>
  <w:endnote w:type="continuationSeparator" w:id="0">
    <w:p w14:paraId="04E1263A" w14:textId="77777777" w:rsidR="008B19AF" w:rsidRDefault="008B19A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Arial,Calibri">
    <w:altName w:val="Times New Roman"/>
    <w:charset w:val="00"/>
    <w:family w:val="roman"/>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653B51">
      <w:rPr>
        <w:rFonts w:ascii="Verdana" w:eastAsia="Verdana" w:hAnsi="Verdana" w:cs="Verdana"/>
        <w:b/>
        <w:bCs/>
        <w:color w:val="000000"/>
        <w:sz w:val="18"/>
        <w:szCs w:val="18"/>
        <w:lang w:eastAsia="es-CO"/>
      </w:rPr>
      <w:t xml:space="preserve">Código: </w:t>
    </w:r>
    <w:r w:rsidRPr="00653B51">
      <w:rPr>
        <w:rFonts w:ascii="Verdana" w:eastAsia="Verdana" w:hAnsi="Verdana" w:cs="Verdana"/>
        <w:color w:val="000000"/>
        <w:sz w:val="18"/>
        <w:szCs w:val="18"/>
        <w:lang w:eastAsia="es-CO"/>
      </w:rPr>
      <w:t xml:space="preserve">CCE-REC-FM-17 </w:t>
    </w:r>
    <w:r w:rsidRPr="00653B51">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FBF11" w14:textId="77777777" w:rsidR="008B19AF" w:rsidRDefault="008B19AF" w:rsidP="004A1847">
      <w:pPr>
        <w:spacing w:after="0" w:line="240" w:lineRule="auto"/>
      </w:pPr>
      <w:r>
        <w:separator/>
      </w:r>
    </w:p>
  </w:footnote>
  <w:footnote w:type="continuationSeparator" w:id="0">
    <w:p w14:paraId="2866E133" w14:textId="77777777" w:rsidR="008B19AF" w:rsidRDefault="008B19AF" w:rsidP="004A1847">
      <w:pPr>
        <w:spacing w:after="0" w:line="240" w:lineRule="auto"/>
      </w:pPr>
      <w:r>
        <w:continuationSeparator/>
      </w:r>
    </w:p>
  </w:footnote>
  <w:footnote w:id="1">
    <w:p w14:paraId="48AD8448" w14:textId="77777777" w:rsidR="00653B51" w:rsidRDefault="00653B51" w:rsidP="00653B51">
      <w:pPr>
        <w:pStyle w:val="Textonotapie"/>
        <w:ind w:firstLine="709"/>
        <w:rPr>
          <w:rFonts w:ascii="Verdana" w:hAnsi="Verdana"/>
          <w:sz w:val="14"/>
          <w:szCs w:val="14"/>
        </w:rPr>
      </w:pPr>
      <w:r w:rsidRPr="001C5517">
        <w:rPr>
          <w:rStyle w:val="Refdenotaalpie"/>
          <w:rFonts w:ascii="Verdana" w:hAnsi="Verdana"/>
          <w:sz w:val="14"/>
          <w:szCs w:val="14"/>
        </w:rPr>
        <w:footnoteRef/>
      </w:r>
      <w:r>
        <w:rPr>
          <w:rFonts w:ascii="Verdana" w:hAnsi="Verdana"/>
          <w:sz w:val="14"/>
          <w:szCs w:val="14"/>
        </w:rPr>
        <w:t xml:space="preserve"> </w:t>
      </w:r>
      <w:hyperlink r:id="rId1" w:history="1">
        <w:r w:rsidRPr="00761FAC">
          <w:rPr>
            <w:rStyle w:val="Hipervnculo"/>
            <w:rFonts w:ascii="Verdana" w:hAnsi="Verdana"/>
            <w:sz w:val="14"/>
            <w:szCs w:val="14"/>
          </w:rPr>
          <w:t>https://www.colombiacompra.gov.co/archivos/manual/manual-para-determinar-y-verificar-los-requisitos-habilitantes-en-los-procesos-de-contratacion</w:t>
        </w:r>
      </w:hyperlink>
    </w:p>
    <w:p w14:paraId="43B891A0" w14:textId="77777777" w:rsidR="00653B51" w:rsidRPr="001C5517" w:rsidRDefault="00653B51" w:rsidP="00653B51">
      <w:pPr>
        <w:pStyle w:val="Textonotapie"/>
        <w:ind w:firstLine="709"/>
        <w:rPr>
          <w:rFonts w:ascii="Verdana" w:hAnsi="Verdana"/>
          <w:sz w:val="14"/>
          <w:szCs w:val="14"/>
          <w:lang w:val="es-ES"/>
        </w:rPr>
      </w:pPr>
    </w:p>
  </w:footnote>
  <w:footnote w:id="2">
    <w:p w14:paraId="1AB78E4E" w14:textId="77777777" w:rsidR="00653B51" w:rsidRPr="00F206C3" w:rsidRDefault="00653B51" w:rsidP="00653B51">
      <w:pPr>
        <w:pStyle w:val="Textonotapie"/>
        <w:ind w:firstLine="708"/>
        <w:jc w:val="both"/>
        <w:rPr>
          <w:rFonts w:ascii="Verdana" w:hAnsi="Verdana"/>
          <w:sz w:val="14"/>
          <w:szCs w:val="14"/>
          <w:lang w:val="es-CO"/>
        </w:rPr>
      </w:pPr>
      <w:r w:rsidRPr="00F206C3">
        <w:rPr>
          <w:rStyle w:val="Refdenotaalpie"/>
          <w:rFonts w:ascii="Verdana" w:hAnsi="Verdana"/>
          <w:sz w:val="14"/>
          <w:szCs w:val="14"/>
        </w:rPr>
        <w:footnoteRef/>
      </w:r>
      <w:r w:rsidRPr="00F206C3">
        <w:rPr>
          <w:rFonts w:ascii="Verdana" w:hAnsi="Verdana"/>
          <w:sz w:val="14"/>
          <w:szCs w:val="14"/>
        </w:rPr>
        <w:t xml:space="preserve"> Consejo de Estado. </w:t>
      </w:r>
      <w:r>
        <w:rPr>
          <w:rFonts w:ascii="Verdana" w:hAnsi="Verdana"/>
          <w:sz w:val="14"/>
          <w:szCs w:val="14"/>
        </w:rPr>
        <w:t xml:space="preserve">Sala de lo Contencioso Administrativo. </w:t>
      </w:r>
      <w:r w:rsidRPr="00F206C3">
        <w:rPr>
          <w:rFonts w:ascii="Verdana" w:hAnsi="Verdana"/>
          <w:sz w:val="14"/>
          <w:szCs w:val="14"/>
        </w:rPr>
        <w:t>Sección Tercera. Sentencia del 27 de abril de 2011. Exp. 18.293. C.P. Ruth Stella Correa Palacio.</w:t>
      </w:r>
    </w:p>
  </w:footnote>
  <w:footnote w:id="3">
    <w:p w14:paraId="0EDAFE63" w14:textId="77777777" w:rsidR="00653B51" w:rsidRDefault="00653B51" w:rsidP="00653B51">
      <w:pPr>
        <w:pStyle w:val="Textonotapie"/>
        <w:ind w:firstLine="708"/>
        <w:jc w:val="both"/>
        <w:rPr>
          <w:rFonts w:ascii="Verdana" w:hAnsi="Verdana"/>
          <w:sz w:val="16"/>
          <w:szCs w:val="16"/>
        </w:rPr>
      </w:pPr>
    </w:p>
    <w:p w14:paraId="025DCA59" w14:textId="77777777" w:rsidR="00653B51" w:rsidRPr="009E70B6" w:rsidRDefault="00653B51" w:rsidP="00653B51">
      <w:pPr>
        <w:pStyle w:val="Textonotapie"/>
        <w:ind w:firstLine="708"/>
        <w:jc w:val="both"/>
        <w:rPr>
          <w:rFonts w:ascii="Verdana" w:hAnsi="Verdana"/>
          <w:sz w:val="14"/>
          <w:szCs w:val="14"/>
        </w:rPr>
      </w:pPr>
      <w:r w:rsidRPr="009E70B6">
        <w:rPr>
          <w:rStyle w:val="Refdenotaalpie"/>
          <w:rFonts w:ascii="Verdana" w:hAnsi="Verdana"/>
          <w:sz w:val="14"/>
          <w:szCs w:val="14"/>
        </w:rPr>
        <w:footnoteRef/>
      </w:r>
      <w:r w:rsidRPr="009E70B6">
        <w:rPr>
          <w:rFonts w:ascii="Verdana" w:hAnsi="Verdana"/>
          <w:sz w:val="14"/>
          <w:szCs w:val="14"/>
        </w:rPr>
        <w:t xml:space="preserve"> Consejo de Estado. </w:t>
      </w:r>
      <w:r>
        <w:rPr>
          <w:rFonts w:ascii="Verdana" w:hAnsi="Verdana"/>
          <w:sz w:val="14"/>
          <w:szCs w:val="14"/>
        </w:rPr>
        <w:t xml:space="preserve">Sala de lo Contencioso Administrativo, </w:t>
      </w:r>
      <w:r w:rsidRPr="009E70B6">
        <w:rPr>
          <w:rFonts w:ascii="Verdana" w:hAnsi="Verdana"/>
          <w:sz w:val="14"/>
          <w:szCs w:val="14"/>
        </w:rPr>
        <w:t>Sección Tercera. Sentencia del 21 de noviembre de 2013 Exp. 25397. C.P. Carlos Alberto Zambrano Barrera.</w:t>
      </w:r>
    </w:p>
    <w:p w14:paraId="63287C84" w14:textId="77777777" w:rsidR="00653B51" w:rsidRPr="009E70B6" w:rsidRDefault="00653B51" w:rsidP="00653B51">
      <w:pPr>
        <w:pStyle w:val="Textonotapie"/>
        <w:ind w:firstLine="708"/>
        <w:jc w:val="both"/>
        <w:rPr>
          <w:rFonts w:ascii="Verdana" w:hAnsi="Verdana"/>
          <w:sz w:val="14"/>
          <w:szCs w:val="14"/>
          <w:lang w:val="es-CO"/>
        </w:rPr>
      </w:pPr>
    </w:p>
  </w:footnote>
  <w:footnote w:id="4">
    <w:p w14:paraId="233DB909" w14:textId="77777777" w:rsidR="00653B51" w:rsidRPr="001741DD" w:rsidRDefault="00653B51" w:rsidP="00653B51">
      <w:pPr>
        <w:pStyle w:val="Textonotapie"/>
        <w:spacing w:after="120"/>
        <w:ind w:firstLine="709"/>
        <w:jc w:val="both"/>
        <w:rPr>
          <w:rFonts w:ascii="Verdana" w:hAnsi="Verdana" w:cs="Arial"/>
          <w:sz w:val="18"/>
          <w:szCs w:val="18"/>
        </w:rPr>
      </w:pPr>
      <w:r w:rsidRPr="001741DD">
        <w:rPr>
          <w:rStyle w:val="Refdenotaalpie"/>
          <w:rFonts w:ascii="Verdana" w:hAnsi="Verdana" w:cs="Arial"/>
          <w:sz w:val="18"/>
          <w:szCs w:val="18"/>
        </w:rPr>
        <w:footnoteRef/>
      </w:r>
      <w:r w:rsidRPr="001741DD">
        <w:rPr>
          <w:rFonts w:ascii="Verdana" w:hAnsi="Verdana" w:cs="Arial"/>
          <w:sz w:val="18"/>
          <w:szCs w:val="18"/>
        </w:rPr>
        <w:t xml:space="preserve"> Colombia Compra Eficiente. Concepto C-297 del 4 de junio de 2020. </w:t>
      </w:r>
    </w:p>
  </w:footnote>
  <w:footnote w:id="5">
    <w:p w14:paraId="11F05A06" w14:textId="77777777" w:rsidR="00653B51" w:rsidRPr="005D75B6" w:rsidRDefault="00653B51" w:rsidP="00653B51">
      <w:pPr>
        <w:pStyle w:val="Textonotapie"/>
        <w:ind w:firstLine="708"/>
        <w:jc w:val="both"/>
        <w:rPr>
          <w:rFonts w:ascii="Arial" w:hAnsi="Arial" w:cs="Arial"/>
          <w:sz w:val="18"/>
          <w:szCs w:val="18"/>
        </w:rPr>
      </w:pPr>
      <w:r w:rsidRPr="005D75B6">
        <w:rPr>
          <w:rStyle w:val="Refdenotaalpie"/>
          <w:rFonts w:ascii="Arial" w:hAnsi="Arial" w:cs="Arial"/>
          <w:sz w:val="18"/>
          <w:szCs w:val="18"/>
        </w:rPr>
        <w:footnoteRef/>
      </w:r>
      <w:r w:rsidRPr="005D75B6">
        <w:rPr>
          <w:rFonts w:ascii="Arial" w:hAnsi="Arial" w:cs="Arial"/>
          <w:sz w:val="18"/>
          <w:szCs w:val="18"/>
        </w:rPr>
        <w:t xml:space="preserve"> Cfr. CONSEJO DE ESTADO. Sección Tercera. Subsección B. Sentencia del 5 de agosto de 2019, Rad. 45118. C.P. Alberto Montaña Plata. Asimismo, ha explicado que “[…] sería inadmisible sostener que la entidad estatal contratante tuviere el deber de adjudicar el procedimiento administrativo de selección a una determinada oferta a sabiendas de que, aunque en apariencia tendría las mejores condiciones, en realidad sería, por su contenido, total o parcialmente, una propuesta mentirosa, fraudulenta, engañosa o proveniente de un proponente que pretende sacar provecho o ventaja, frente a la entidad contratante y/o ante sus competidores, de la manipulación de información errónea, inexacta o falaz, tal como no resultaría válida, de ninguna manera, la adjudicación que se quisiera hacer recaer en un oferente que se encuentre incurso en una causal de inhabilidad o de incompatibilidad, por lo cual resulta plausible que en estos casos la entidad decida rechazar o excluir esa clase de ofertas, independientemente de que así lo haya previsto, o no, el correspondiente pliego de condiciones, decisión que, de todos modos, la entidad estatal contratante está en el deber de motivar de manera clara, precisa, completa y detallada. sí pues, cuando la entidad estatal contratante advierte la ocurrencia de falencias, inconsistencias, inexactitudes o contradicciones en las ofertas, le corresponde efectuar un ejercicio de interpretación para determinar si se trata de errores excusables, configurados en el marco de la Buena Fe, que no impiden la evaluación y comparación de tales propuestas, o si, por el contrario, se trata de errores inaceptables, inadmisibles, incompatibles con la ley y/o los postulados de la Buena Fe” (Subsección A. Sentencia del 3 de diciembre de 2007. Rad. 24059. C.P. Mauricio Fajardo Gómez).</w:t>
      </w:r>
    </w:p>
  </w:footnote>
  <w:footnote w:id="6">
    <w:p w14:paraId="4CBA6428" w14:textId="77777777" w:rsidR="00653B51" w:rsidRPr="001741DD" w:rsidRDefault="00653B51" w:rsidP="00653B51">
      <w:pPr>
        <w:pStyle w:val="Textonotapie"/>
        <w:spacing w:after="120"/>
        <w:ind w:firstLine="708"/>
        <w:jc w:val="both"/>
        <w:rPr>
          <w:rFonts w:ascii="Verdana" w:hAnsi="Verdana" w:cs="Arial"/>
          <w:sz w:val="18"/>
          <w:szCs w:val="18"/>
        </w:rPr>
      </w:pPr>
      <w:r w:rsidRPr="001741DD">
        <w:rPr>
          <w:rStyle w:val="Refdenotaalpie"/>
          <w:rFonts w:ascii="Verdana" w:hAnsi="Verdana" w:cs="Arial"/>
          <w:sz w:val="18"/>
          <w:szCs w:val="18"/>
        </w:rPr>
        <w:footnoteRef/>
      </w:r>
      <w:r w:rsidRPr="001741DD">
        <w:rPr>
          <w:rFonts w:ascii="Verdana" w:hAnsi="Verdana" w:cs="Arial"/>
          <w:sz w:val="18"/>
          <w:szCs w:val="18"/>
        </w:rPr>
        <w:t xml:space="preserve"> Concepto C-196 de 2020. Radicado de entrada No. 4202013000001559. Radicado de salida No. 2202013000002534.</w:t>
      </w:r>
    </w:p>
    <w:p w14:paraId="25A1336A" w14:textId="77777777" w:rsidR="00653B51" w:rsidRPr="001741DD" w:rsidRDefault="00653B51" w:rsidP="00653B51">
      <w:pPr>
        <w:pStyle w:val="Textonotapie"/>
        <w:spacing w:after="120"/>
        <w:jc w:val="both"/>
        <w:rPr>
          <w:rFonts w:ascii="Verdana" w:hAnsi="Verdana"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B27AFB"/>
    <w:multiLevelType w:val="multilevel"/>
    <w:tmpl w:val="634603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3"/>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827985604">
    <w:abstractNumId w:val="11"/>
  </w:num>
  <w:num w:numId="18" w16cid:durableId="1548419692">
    <w:abstractNumId w:val="18"/>
  </w:num>
  <w:num w:numId="19" w16cid:durableId="1443304022">
    <w:abstractNumId w:val="5"/>
  </w:num>
  <w:num w:numId="20" w16cid:durableId="501051064">
    <w:abstractNumId w:val="12"/>
  </w:num>
  <w:num w:numId="21" w16cid:durableId="11103234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FEC"/>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B231E"/>
    <w:rsid w:val="005C3777"/>
    <w:rsid w:val="005C5CDC"/>
    <w:rsid w:val="005D476C"/>
    <w:rsid w:val="006200BF"/>
    <w:rsid w:val="006219F8"/>
    <w:rsid w:val="006302F7"/>
    <w:rsid w:val="00646B9F"/>
    <w:rsid w:val="00650217"/>
    <w:rsid w:val="00653B51"/>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13384"/>
    <w:rsid w:val="00820278"/>
    <w:rsid w:val="008258C9"/>
    <w:rsid w:val="00834C27"/>
    <w:rsid w:val="00844AE9"/>
    <w:rsid w:val="00867F95"/>
    <w:rsid w:val="00872A80"/>
    <w:rsid w:val="008843B6"/>
    <w:rsid w:val="00891928"/>
    <w:rsid w:val="008A446D"/>
    <w:rsid w:val="008B19AF"/>
    <w:rsid w:val="008B25F1"/>
    <w:rsid w:val="008D180B"/>
    <w:rsid w:val="008F0EA7"/>
    <w:rsid w:val="00923EEF"/>
    <w:rsid w:val="009419F9"/>
    <w:rsid w:val="009522D7"/>
    <w:rsid w:val="0095685E"/>
    <w:rsid w:val="00961B09"/>
    <w:rsid w:val="0096271F"/>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412"/>
    <w:rsid w:val="00A622D3"/>
    <w:rsid w:val="00AB0ADB"/>
    <w:rsid w:val="00B00C0E"/>
    <w:rsid w:val="00B01B1A"/>
    <w:rsid w:val="00B0381D"/>
    <w:rsid w:val="00B44A47"/>
    <w:rsid w:val="00B72CD3"/>
    <w:rsid w:val="00B72FFF"/>
    <w:rsid w:val="00B82BB4"/>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55EEC"/>
    <w:rsid w:val="00D63AC2"/>
    <w:rsid w:val="00D7383B"/>
    <w:rsid w:val="00D74114"/>
    <w:rsid w:val="00D7788A"/>
    <w:rsid w:val="00D97ED7"/>
    <w:rsid w:val="00DA231B"/>
    <w:rsid w:val="00DC39FC"/>
    <w:rsid w:val="00DF5254"/>
    <w:rsid w:val="00E02524"/>
    <w:rsid w:val="00E16408"/>
    <w:rsid w:val="00E20894"/>
    <w:rsid w:val="00E221B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653B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653B5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documentos-tipo/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edexltda97@gmail.com"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430787-497E-D045-B0E2-67CB14A6B935}">
  <ds:schemaRefs>
    <ds:schemaRef ds:uri="http://schemas.openxmlformats.org/officeDocument/2006/bibliography"/>
  </ds:schemaRefs>
</ds:datastoreItem>
</file>

<file path=customXml/itemProps2.xml><?xml version="1.0" encoding="utf-8"?>
<ds:datastoreItem xmlns:ds="http://schemas.openxmlformats.org/officeDocument/2006/customXml" ds:itemID="{5E9195FF-1ADE-4AF7-BD0B-7F26649BCC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TotalTime>
  <Pages>26</Pages>
  <Words>9006</Words>
  <Characters>49535</Characters>
  <Application>Microsoft Office Word</Application>
  <DocSecurity>0</DocSecurity>
  <Lines>412</Lines>
  <Paragraphs>116</Paragraphs>
  <ScaleCrop>false</ScaleCrop>
  <Company/>
  <LinksUpToDate>false</LinksUpToDate>
  <CharactersWithSpaces>58425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2026-07-08T15:11:00Z</dcterms:created>
  <dcterms:modified xsi:type="dcterms:W3CDTF">2026-07-08T23:56:00Z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