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2A368" w14:textId="4DBC46F1" w:rsidR="00C62065" w:rsidRDefault="00C62065" w:rsidP="005769CD">
      <w:pPr>
        <w:jc w:val="both"/>
        <w:rPr>
          <w:rFonts w:ascii="Verdana" w:eastAsia="Calibri" w:hAnsi="Verdana"/>
          <w:b/>
          <w:bCs/>
          <w:lang w:eastAsia="es-ES"/>
        </w:rPr>
      </w:pPr>
      <w:bookmarkStart w:id="0" w:name="_Hlk143780582"/>
      <w:r w:rsidRPr="00C62065">
        <w:rPr>
          <w:rFonts w:ascii="Verdana" w:eastAsia="Calibri" w:hAnsi="Verdana"/>
          <w:b/>
          <w:bCs/>
          <w:lang w:eastAsia="es-ES"/>
        </w:rPr>
        <w:t>R</w:t>
      </w:r>
      <w:r w:rsidR="006F5C2F" w:rsidRPr="00C62065">
        <w:rPr>
          <w:rFonts w:ascii="Verdana" w:eastAsia="Calibri" w:hAnsi="Verdana"/>
          <w:b/>
          <w:bCs/>
          <w:lang w:eastAsia="es-ES"/>
        </w:rPr>
        <w:t>EQUISITOS HABILITANTES ‒ Concepto – Finalidad</w:t>
      </w:r>
    </w:p>
    <w:p w14:paraId="5A376B20" w14:textId="77777777" w:rsidR="006F1A76" w:rsidRPr="006F1A76" w:rsidRDefault="006F1A76" w:rsidP="006F1A76">
      <w:pPr>
        <w:spacing w:after="120" w:line="240" w:lineRule="auto"/>
        <w:jc w:val="both"/>
        <w:rPr>
          <w:rFonts w:ascii="Verdana" w:hAnsi="Verdana" w:cs="Arial"/>
          <w:bCs/>
          <w:sz w:val="20"/>
          <w:szCs w:val="20"/>
          <w:lang w:val="es-ES_tradnl" w:eastAsia="es-ES" w:bidi="es-ES"/>
        </w:rPr>
      </w:pPr>
      <w:r w:rsidRPr="006F1A76">
        <w:rPr>
          <w:rFonts w:ascii="Verdana" w:hAnsi="Verdana" w:cs="Arial"/>
          <w:bCs/>
          <w:sz w:val="20"/>
          <w:szCs w:val="20"/>
          <w:lang w:val="es-ES_tradnl" w:eastAsia="es-ES" w:bidi="es-ES"/>
        </w:rPr>
        <w:t xml:space="preserve">Los </w:t>
      </w:r>
      <w:r w:rsidRPr="006F1A76">
        <w:rPr>
          <w:rFonts w:ascii="Verdana" w:hAnsi="Verdana" w:cs="Arial"/>
          <w:bCs/>
          <w:i/>
          <w:iCs/>
          <w:sz w:val="20"/>
          <w:szCs w:val="20"/>
          <w:lang w:val="es-ES_tradnl" w:eastAsia="es-ES" w:bidi="es-ES"/>
        </w:rPr>
        <w:t>requisitos habilitantes</w:t>
      </w:r>
      <w:r w:rsidRPr="006F1A76">
        <w:rPr>
          <w:rFonts w:ascii="Verdana" w:hAnsi="Verdana" w:cs="Arial"/>
          <w:bCs/>
          <w:sz w:val="20"/>
          <w:szCs w:val="20"/>
          <w:lang w:val="es-ES_tradnl" w:eastAsia="es-ES" w:bidi="es-ES"/>
        </w:rPr>
        <w:t xml:space="preserve"> se definen como exigencias de participación en los procedimientos de selección, establecidas en disposiciones normativas de carácter legal o reglamentario, o contenidas en el acto administrativo que regula las reglas de la convocatoria, es decir, en el pliego de condiciones o el documento equivalente a este. Se diferencian de los </w:t>
      </w:r>
      <w:r w:rsidRPr="006F1A76">
        <w:rPr>
          <w:rFonts w:ascii="Verdana" w:hAnsi="Verdana" w:cs="Arial"/>
          <w:bCs/>
          <w:i/>
          <w:iCs/>
          <w:sz w:val="20"/>
          <w:szCs w:val="20"/>
          <w:lang w:val="es-ES_tradnl" w:eastAsia="es-ES" w:bidi="es-ES"/>
        </w:rPr>
        <w:t>criterios de evaluación</w:t>
      </w:r>
      <w:r w:rsidRPr="006F1A76">
        <w:rPr>
          <w:rFonts w:ascii="Verdana" w:hAnsi="Verdana" w:cs="Arial"/>
          <w:bCs/>
          <w:sz w:val="20"/>
          <w:szCs w:val="20"/>
          <w:lang w:val="es-ES_tradnl" w:eastAsia="es-ES" w:bidi="es-ES"/>
        </w:rPr>
        <w:t xml:space="preserve"> –también conocidos como </w:t>
      </w:r>
      <w:r w:rsidRPr="006F1A76">
        <w:rPr>
          <w:rFonts w:ascii="Verdana" w:hAnsi="Verdana" w:cs="Arial"/>
          <w:bCs/>
          <w:i/>
          <w:iCs/>
          <w:sz w:val="20"/>
          <w:szCs w:val="20"/>
          <w:lang w:val="es-ES_tradnl" w:eastAsia="es-ES" w:bidi="es-ES"/>
        </w:rPr>
        <w:t>criterios de calificación</w:t>
      </w:r>
      <w:r w:rsidRPr="006F1A76">
        <w:rPr>
          <w:rFonts w:ascii="Verdana" w:hAnsi="Verdana" w:cs="Arial"/>
          <w:bCs/>
          <w:sz w:val="20"/>
          <w:szCs w:val="20"/>
          <w:lang w:val="es-ES_tradnl" w:eastAsia="es-ES" w:bidi="es-ES"/>
        </w:rPr>
        <w:t xml:space="preserve">– en que estos son los factores definidos por la Entidad Estatal para la asignación de puntaje en el momento de la comparación de las ofertas, y que, a partir de su ponderación, permiten establecer el orden de elegibilidad y, por ende, la propuesta ganadora. </w:t>
      </w:r>
    </w:p>
    <w:p w14:paraId="1B15A399" w14:textId="77777777" w:rsidR="006F1A76" w:rsidRPr="006F1A76" w:rsidRDefault="006F1A76" w:rsidP="006F1A76">
      <w:pPr>
        <w:spacing w:after="120" w:line="240" w:lineRule="auto"/>
        <w:jc w:val="both"/>
        <w:rPr>
          <w:rFonts w:ascii="Verdana" w:eastAsia="Calibri" w:hAnsi="Verdana" w:cs="Arial"/>
          <w:sz w:val="20"/>
          <w:szCs w:val="20"/>
          <w:lang w:val="es-ES" w:eastAsia="es-MX"/>
        </w:rPr>
      </w:pPr>
      <w:r w:rsidRPr="006F1A76">
        <w:rPr>
          <w:rFonts w:ascii="Verdana" w:eastAsia="Calibri" w:hAnsi="Verdana" w:cs="Arial"/>
          <w:sz w:val="20"/>
          <w:szCs w:val="20"/>
          <w:lang w:val="es-ES" w:eastAsia="es-MX"/>
        </w:rPr>
        <w:t>Los requisitos habilitantes constituyen los requisitos mínimos con los que deben cumplir los proponentes para poder participar en el procedimiento de selección, razón por la que los mismos no se valoran con un puntaje tendiente a determinar el orden de escogencia, sino que se analizan como criterios previos a la evaluación en sentido estricto. De esta manera, quienes no los reúnan no pueden continuar en el procedimiento de selección, es decir, incurren en causal de rechazo. Esto, sin perjuicio del derecho que tienen los oferentes de subsanar los defectos que se presenten en la prueba de tales requisitos, de conformidad con el artículo 5, parágrafos 1º al 4º, de la Ley 1150 de 2007.</w:t>
      </w:r>
    </w:p>
    <w:p w14:paraId="78435E39" w14:textId="370E92AC" w:rsidR="00C62065" w:rsidRDefault="006F5C2F" w:rsidP="005769CD">
      <w:pPr>
        <w:jc w:val="both"/>
        <w:rPr>
          <w:rFonts w:ascii="Verdana" w:hAnsi="Verdana"/>
          <w:b/>
          <w:bCs/>
        </w:rPr>
      </w:pPr>
      <w:r w:rsidRPr="00C62065">
        <w:rPr>
          <w:rFonts w:ascii="Verdana" w:hAnsi="Verdana"/>
          <w:b/>
          <w:bCs/>
        </w:rPr>
        <w:t>EXPERIENCIA – Excepción – Carácter personalísimo – Sociedades con menos de 3 años de constituidas</w:t>
      </w:r>
    </w:p>
    <w:p w14:paraId="4860E708" w14:textId="77777777" w:rsidR="005769CD" w:rsidRPr="005769CD" w:rsidRDefault="005769CD" w:rsidP="005769CD">
      <w:pPr>
        <w:widowControl w:val="0"/>
        <w:autoSpaceDE w:val="0"/>
        <w:autoSpaceDN w:val="0"/>
        <w:spacing w:after="120" w:line="240" w:lineRule="auto"/>
        <w:ind w:right="49"/>
        <w:jc w:val="both"/>
        <w:rPr>
          <w:rFonts w:ascii="Verdana" w:eastAsia="Calibri" w:hAnsi="Verdana" w:cs="Arial"/>
          <w:sz w:val="20"/>
          <w:szCs w:val="20"/>
        </w:rPr>
      </w:pPr>
      <w:r w:rsidRPr="005769CD">
        <w:rPr>
          <w:rFonts w:ascii="Verdana" w:hAnsi="Verdana"/>
          <w:sz w:val="20"/>
          <w:szCs w:val="20"/>
        </w:rPr>
        <w:t xml:space="preserve">[…] </w:t>
      </w:r>
      <w:r w:rsidRPr="005769CD">
        <w:rPr>
          <w:rFonts w:ascii="Verdana" w:eastAsia="Calibri" w:hAnsi="Verdana" w:cs="Arial"/>
          <w:sz w:val="20"/>
          <w:szCs w:val="20"/>
        </w:rPr>
        <w:t>la experiencia es una cualidad inherente a quien la adquiere y, por tanto, tiene un carácter personalísimo, razón por la cual, como regla general, es intransferible, salvo que exista una disposición legal o reglamentaria que autorice expresamente su traslado.</w:t>
      </w:r>
    </w:p>
    <w:p w14:paraId="0BF54790" w14:textId="4E073946" w:rsidR="005769CD" w:rsidRPr="005769CD" w:rsidRDefault="005769CD" w:rsidP="005769CD">
      <w:pPr>
        <w:spacing w:line="240" w:lineRule="auto"/>
        <w:jc w:val="both"/>
        <w:rPr>
          <w:rFonts w:ascii="Verdana" w:eastAsia="Calibri" w:hAnsi="Verdana"/>
          <w:sz w:val="20"/>
          <w:szCs w:val="20"/>
          <w:lang w:val="es-ES_tradnl" w:eastAsia="es-ES_tradnl"/>
        </w:rPr>
      </w:pPr>
      <w:r w:rsidRPr="005769CD">
        <w:rPr>
          <w:rFonts w:ascii="Verdana" w:eastAsia="Calibri" w:hAnsi="Verdana"/>
          <w:sz w:val="20"/>
          <w:szCs w:val="20"/>
          <w:lang w:val="es-ES_tradnl" w:eastAsia="es-ES_tradnl"/>
        </w:rPr>
        <w:t>[…]</w:t>
      </w:r>
    </w:p>
    <w:p w14:paraId="2694372E" w14:textId="0C53619D" w:rsidR="005769CD" w:rsidRPr="005769CD" w:rsidRDefault="005769CD" w:rsidP="005769CD">
      <w:pPr>
        <w:tabs>
          <w:tab w:val="left" w:pos="483"/>
        </w:tabs>
        <w:spacing w:after="120" w:line="240" w:lineRule="auto"/>
        <w:jc w:val="both"/>
        <w:rPr>
          <w:rFonts w:ascii="Verdana" w:eastAsia="Calibri" w:hAnsi="Verdana" w:cs="Arial"/>
          <w:color w:val="000000"/>
          <w:sz w:val="20"/>
          <w:szCs w:val="20"/>
          <w:shd w:val="clear" w:color="auto" w:fill="FFFFFF"/>
          <w:lang w:val="es-ES"/>
        </w:rPr>
      </w:pPr>
      <w:r w:rsidRPr="005769CD">
        <w:rPr>
          <w:rFonts w:ascii="Verdana" w:eastAsia="Calibri" w:hAnsi="Verdana" w:cs="Arial"/>
          <w:color w:val="000000"/>
          <w:sz w:val="20"/>
          <w:szCs w:val="20"/>
          <w:shd w:val="clear" w:color="auto" w:fill="FFFFFF"/>
          <w:lang w:val="es-ES"/>
        </w:rPr>
        <w:t xml:space="preserve">[…] </w:t>
      </w:r>
      <w:r w:rsidRPr="005769CD">
        <w:rPr>
          <w:rFonts w:ascii="Verdana" w:eastAsia="Calibri" w:hAnsi="Verdana" w:cs="Arial"/>
          <w:color w:val="000000"/>
          <w:sz w:val="20"/>
          <w:szCs w:val="20"/>
          <w:shd w:val="clear" w:color="auto" w:fill="FFFFFF"/>
          <w:lang w:val="es-ES"/>
        </w:rPr>
        <w:t>la parte final del numeral 2.5 del artículo citado incluye una medida diferenciada para las personas jurídicas cuya constitución sea menor a tres (3) años al momento del registro. Esta prerrogativa, que puede entenderse como una medida de fomento a la participación de pequeños oferentes en la contratación estatal, permite que las sociedades relativamente nuevas –con menos de tres (3) años de constitución– puedan acreditar como experiencia en el RUP la de sus accionistas, socios o constituyentes. Pese a que la experiencia es inherente a la persona que la ha obtenido, razón por la cual es, en principio, intransferible en virtud de su carácter personalísimo, por disposición legal o reglamentaria, en casos excepcionales, como el descrito en el artículo mencionado, se aplica de otra manera.</w:t>
      </w:r>
    </w:p>
    <w:p w14:paraId="0B110FA9" w14:textId="1F1596A3" w:rsidR="005769CD" w:rsidRPr="005769CD" w:rsidRDefault="005769CD" w:rsidP="005769CD">
      <w:pPr>
        <w:spacing w:line="240" w:lineRule="auto"/>
        <w:jc w:val="both"/>
        <w:rPr>
          <w:rFonts w:ascii="Verdana" w:eastAsia="Calibri" w:hAnsi="Verdana"/>
          <w:b/>
          <w:bCs/>
          <w:sz w:val="20"/>
          <w:szCs w:val="20"/>
          <w:lang w:val="es-ES_tradnl" w:eastAsia="es-ES_tradnl"/>
        </w:rPr>
      </w:pPr>
      <w:r w:rsidRPr="005769CD">
        <w:rPr>
          <w:rFonts w:ascii="Verdana" w:eastAsia="Calibri" w:hAnsi="Verdana" w:cs="Arial"/>
          <w:color w:val="000000"/>
          <w:sz w:val="20"/>
          <w:szCs w:val="20"/>
          <w:shd w:val="clear" w:color="auto" w:fill="FFFFFF"/>
        </w:rPr>
        <w:t xml:space="preserve">La finalidad de esta norma es permitir que las sociedades que no cuentan con la experiencia suficiente para contratar con el Estado puedan apoyarse en la experiencia de sus accionistas, socios o constituyentes con el fin de incentivar la competencia en la contratación estatal. Así las cosas, el socio transfiere la experiencia adquirida directamente a la sociedad de la que es parte, para que esta, como persona jurídica independiente, pueda cumplir con los requisitos habilitantes o puntuables que establezcan las Entidades Estatales en sus Procesos de Contratación, y de esta forma </w:t>
      </w:r>
      <w:r w:rsidRPr="005769CD">
        <w:rPr>
          <w:rFonts w:ascii="Verdana" w:eastAsia="Calibri" w:hAnsi="Verdana" w:cs="Arial"/>
          <w:color w:val="000000"/>
          <w:sz w:val="20"/>
          <w:szCs w:val="20"/>
          <w:shd w:val="clear" w:color="auto" w:fill="FFFFFF"/>
        </w:rPr>
        <w:lastRenderedPageBreak/>
        <w:t>promover el desarrollo de la empresa y la pluralidad de oferentes en la contratación pública.</w:t>
      </w:r>
    </w:p>
    <w:p w14:paraId="6C31D5C6" w14:textId="7F1955C8" w:rsidR="00C62065" w:rsidRDefault="006F5C2F" w:rsidP="005769CD">
      <w:pPr>
        <w:jc w:val="both"/>
        <w:rPr>
          <w:rFonts w:ascii="Verdana" w:hAnsi="Verdana"/>
          <w:b/>
          <w:bCs/>
        </w:rPr>
      </w:pPr>
      <w:r w:rsidRPr="00C62065">
        <w:rPr>
          <w:rFonts w:ascii="Verdana" w:hAnsi="Verdana"/>
          <w:b/>
          <w:bCs/>
        </w:rPr>
        <w:t>EXPERIENCIA – Sociedades con más de 3 años de constitución – Renovación del RUP – Acreditación</w:t>
      </w:r>
    </w:p>
    <w:p w14:paraId="6B6B9FB1" w14:textId="5292DD64" w:rsidR="00203F1B" w:rsidRPr="00203F1B" w:rsidRDefault="00203F1B" w:rsidP="00203F1B">
      <w:pPr>
        <w:spacing w:line="240" w:lineRule="auto"/>
        <w:jc w:val="both"/>
        <w:rPr>
          <w:rFonts w:ascii="Verdana" w:hAnsi="Verdana"/>
          <w:b/>
          <w:bCs/>
          <w:sz w:val="20"/>
          <w:szCs w:val="20"/>
        </w:rPr>
      </w:pPr>
      <w:r w:rsidRPr="00203F1B">
        <w:rPr>
          <w:rFonts w:ascii="Verdana" w:hAnsi="Verdana"/>
          <w:sz w:val="20"/>
          <w:szCs w:val="20"/>
        </w:rPr>
        <w:t xml:space="preserve">[…] </w:t>
      </w:r>
      <w:r w:rsidRPr="00203F1B">
        <w:rPr>
          <w:rFonts w:ascii="Verdana" w:hAnsi="Verdana"/>
          <w:sz w:val="20"/>
          <w:szCs w:val="20"/>
        </w:rPr>
        <w:t>si la persona jurídica con menos de tres (3) años de constituida registra la experiencia de sus socios en el RUP, y éste es renovado constantemente de forma oportuna, puede continuar utilizando la experiencia inscrita mientras no cesen los efectos del RUP, incluso después de transcurridos los tres (3) años. Por el contrario, si no se renueva y la persona jurídica supera los tres (3) años de constituida, la experiencia que registró de sus socios no puede ser inscrita nuevamente, puesto que el RUP ha cesado en sus efectos y la cámara de comercio tiene que hacer nuevamente la verificación documental de la información presentada al momento de inscribirse en el registro.</w:t>
      </w:r>
    </w:p>
    <w:p w14:paraId="1D616D4F" w14:textId="4B8298EF" w:rsidR="006F5C2F" w:rsidRDefault="006F5C2F" w:rsidP="005769CD">
      <w:pPr>
        <w:jc w:val="both"/>
        <w:rPr>
          <w:rFonts w:ascii="Verdana" w:hAnsi="Verdana"/>
          <w:b/>
          <w:bCs/>
        </w:rPr>
      </w:pPr>
      <w:r w:rsidRPr="00C62065">
        <w:rPr>
          <w:rFonts w:ascii="Verdana" w:hAnsi="Verdana"/>
          <w:b/>
          <w:bCs/>
        </w:rPr>
        <w:t>EXPERIENCIA – Acreditación experiencia – Sociedades con menos de 3 años de constitución – Proceso de mínima cuantía – Exceptuados – Registro único de proponentes</w:t>
      </w:r>
    </w:p>
    <w:p w14:paraId="55B179F7" w14:textId="0ED5BAC3" w:rsidR="006849E2" w:rsidRPr="006849E2" w:rsidRDefault="006849E2" w:rsidP="006849E2">
      <w:pPr>
        <w:spacing w:after="120" w:line="240" w:lineRule="auto"/>
        <w:jc w:val="both"/>
        <w:rPr>
          <w:rFonts w:ascii="Verdana" w:hAnsi="Verdana" w:cs="Arial"/>
          <w:sz w:val="20"/>
          <w:szCs w:val="20"/>
        </w:rPr>
      </w:pPr>
      <w:r w:rsidRPr="006849E2">
        <w:rPr>
          <w:rFonts w:ascii="Verdana" w:hAnsi="Verdana" w:cs="Arial"/>
          <w:sz w:val="20"/>
          <w:szCs w:val="20"/>
        </w:rPr>
        <w:t xml:space="preserve">[…] </w:t>
      </w:r>
      <w:r w:rsidRPr="006849E2">
        <w:rPr>
          <w:rFonts w:ascii="Verdana" w:hAnsi="Verdana" w:cs="Arial"/>
          <w:sz w:val="20"/>
          <w:szCs w:val="20"/>
        </w:rPr>
        <w:t xml:space="preserve">el RUP no es exigible en algunos procedimientos de contratación, como en la contratación directa, </w:t>
      </w:r>
      <w:r w:rsidRPr="006849E2">
        <w:rPr>
          <w:rFonts w:ascii="Verdana" w:hAnsi="Verdana" w:cs="Arial"/>
          <w:i/>
          <w:iCs/>
          <w:sz w:val="20"/>
          <w:szCs w:val="20"/>
        </w:rPr>
        <w:t>la mínima cuantía</w:t>
      </w:r>
      <w:r w:rsidRPr="006849E2">
        <w:rPr>
          <w:rFonts w:ascii="Verdana" w:hAnsi="Verdana" w:cs="Arial"/>
          <w:sz w:val="20"/>
          <w:szCs w:val="20"/>
        </w:rPr>
        <w:t xml:space="preserve"> – a la que se refiere en su consulta –, la prestación de servicios de salud, enajenación de bienes del Estado, la adquisición de productos de origen o destinación agropecuaria ofrecidos en bolsas de productos, los contratos de concesión y los contratos que celebren las empresas industriales y comerciales del Estado y las sociedades de economía mixta, que tengan por objeto el desarrollo de sus actividades industriales y comerciales. </w:t>
      </w:r>
    </w:p>
    <w:p w14:paraId="14A0E6F4" w14:textId="185CAD63" w:rsidR="006849E2" w:rsidRPr="006849E2" w:rsidRDefault="006849E2" w:rsidP="006849E2">
      <w:pPr>
        <w:spacing w:after="120" w:line="240" w:lineRule="auto"/>
        <w:jc w:val="both"/>
        <w:rPr>
          <w:rFonts w:ascii="Verdana" w:hAnsi="Verdana" w:cs="Arial"/>
          <w:sz w:val="20"/>
          <w:szCs w:val="20"/>
        </w:rPr>
      </w:pPr>
      <w:r w:rsidRPr="006849E2">
        <w:rPr>
          <w:rFonts w:ascii="Verdana" w:hAnsi="Verdana" w:cs="Arial"/>
          <w:sz w:val="20"/>
          <w:szCs w:val="20"/>
          <w:lang w:val="es-ES_tradnl"/>
        </w:rPr>
        <w:t xml:space="preserve">Estas excepciones son taxativas y se rigen por una interpretación restrictiva. Así lo dispone el artículo 2.2.1.1.1.5.1 del Decreto 1082 de 2015, al prescribir que la inscripción en el RUP es imperativa para los sujetos mencionados en el primer inciso del artículo 6 de la Ley 1150 de 2007, salvo las excepciones previstas de forma taxativa en la Ley. </w:t>
      </w:r>
      <w:r w:rsidRPr="006849E2">
        <w:rPr>
          <w:rFonts w:ascii="Verdana" w:hAnsi="Verdana" w:cs="Arial"/>
          <w:sz w:val="20"/>
          <w:szCs w:val="20"/>
        </w:rPr>
        <w:t>Adicionalmente, en el numeral 6.1. del artículo 6 de la Ley 1150 de 2007 establece que cuando sea necesario verificar requisitos o información que no reposa en RUP, la Entidad podrá solicitar información adicional solo para complementar la información contenida en el RU</w:t>
      </w:r>
      <w:r w:rsidRPr="006849E2">
        <w:rPr>
          <w:rFonts w:ascii="Verdana" w:hAnsi="Verdana" w:cs="Arial"/>
          <w:sz w:val="20"/>
          <w:szCs w:val="20"/>
        </w:rPr>
        <w:t>P.</w:t>
      </w:r>
    </w:p>
    <w:p w14:paraId="7BC8D988" w14:textId="4833BF13" w:rsidR="006849E2" w:rsidRPr="006849E2" w:rsidRDefault="006849E2" w:rsidP="006849E2">
      <w:pPr>
        <w:spacing w:after="120" w:line="240" w:lineRule="auto"/>
        <w:jc w:val="both"/>
        <w:rPr>
          <w:rFonts w:ascii="Verdana" w:hAnsi="Verdana" w:cs="Arial"/>
          <w:sz w:val="20"/>
          <w:szCs w:val="20"/>
        </w:rPr>
      </w:pPr>
      <w:r w:rsidRPr="006849E2">
        <w:rPr>
          <w:rFonts w:ascii="Verdana" w:hAnsi="Verdana" w:cs="Arial"/>
          <w:sz w:val="20"/>
          <w:szCs w:val="20"/>
        </w:rPr>
        <w:t>En cualquier caso, en los procedimientos en los cuales no es exigible el RUP, como aquellos que se adelanten mediante la modalidad de mínima cuantía, las Entidades deberán verificar directamente el cumplimiento de los requisitos habilitante</w:t>
      </w:r>
      <w:r w:rsidRPr="006849E2">
        <w:rPr>
          <w:rFonts w:ascii="Verdana" w:hAnsi="Verdana" w:cs="Arial"/>
          <w:sz w:val="20"/>
          <w:szCs w:val="20"/>
        </w:rPr>
        <w:t>s.</w:t>
      </w:r>
      <w:r w:rsidRPr="006849E2">
        <w:rPr>
          <w:rFonts w:ascii="Verdana" w:hAnsi="Verdana" w:cs="Arial"/>
          <w:sz w:val="20"/>
          <w:szCs w:val="20"/>
        </w:rPr>
        <w:t xml:space="preserve"> Para esto, deberá señalar en la invitación, o el documento que haga sus veces, </w:t>
      </w:r>
      <w:r w:rsidRPr="006849E2">
        <w:rPr>
          <w:rFonts w:ascii="Verdana" w:eastAsia="Times New Roman" w:hAnsi="Verdana" w:cs="Arial"/>
          <w:sz w:val="20"/>
          <w:szCs w:val="20"/>
          <w:lang w:eastAsia="es-ES_tradnl"/>
        </w:rPr>
        <w:t>cuál es la información que se debe acreditar, así como los documentos que tendrá como válidos para tal fin.</w:t>
      </w:r>
      <w:r w:rsidRPr="006849E2">
        <w:rPr>
          <w:rFonts w:ascii="Verdana" w:hAnsi="Verdana" w:cs="Arial"/>
          <w:sz w:val="20"/>
          <w:szCs w:val="20"/>
        </w:rPr>
        <w:t xml:space="preserve"> Estos documentos también deberán ser proporcionales y adecuados, pues no podrán imponer barreras injustificadas para la participación en el proceso de selección.</w:t>
      </w:r>
    </w:p>
    <w:p w14:paraId="2F54724B" w14:textId="77777777" w:rsidR="006849E2" w:rsidRPr="00C62065" w:rsidRDefault="006849E2" w:rsidP="005769CD">
      <w:pPr>
        <w:jc w:val="both"/>
        <w:rPr>
          <w:rFonts w:ascii="Verdana" w:eastAsia="Verdana" w:hAnsi="Verdana" w:cs="Verdana"/>
          <w:b/>
          <w:bCs/>
        </w:rPr>
      </w:pPr>
    </w:p>
    <w:p w14:paraId="6FAD75D8" w14:textId="77777777" w:rsidR="00C62065" w:rsidRDefault="00C62065" w:rsidP="00A761E9">
      <w:pPr>
        <w:spacing w:after="0"/>
        <w:rPr>
          <w:rFonts w:ascii="Verdana" w:eastAsia="Verdana" w:hAnsi="Verdana" w:cs="Verdana"/>
        </w:rPr>
      </w:pPr>
    </w:p>
    <w:p w14:paraId="134CAC69" w14:textId="14690F43" w:rsidR="00A761E9" w:rsidRPr="00CE156C" w:rsidRDefault="00EF1D0D" w:rsidP="00A761E9">
      <w:pPr>
        <w:spacing w:after="0"/>
        <w:rPr>
          <w:rFonts w:ascii="Verdana" w:eastAsia="Verdana" w:hAnsi="Verdana" w:cs="Verdana"/>
        </w:rPr>
      </w:pPr>
      <w:r w:rsidRPr="00EF1D0D">
        <w:rPr>
          <w:rFonts w:ascii="Verdana" w:hAnsi="Verdana"/>
        </w:rPr>
        <w:lastRenderedPageBreak/>
        <w:drawing>
          <wp:anchor distT="0" distB="0" distL="114300" distR="114300" simplePos="0" relativeHeight="251659264" behindDoc="1" locked="0" layoutInCell="1" allowOverlap="1" wp14:anchorId="2E332CEC" wp14:editId="51C95935">
            <wp:simplePos x="0" y="0"/>
            <wp:positionH relativeFrom="column">
              <wp:posOffset>2742374</wp:posOffset>
            </wp:positionH>
            <wp:positionV relativeFrom="paragraph">
              <wp:posOffset>309880</wp:posOffset>
            </wp:positionV>
            <wp:extent cx="2664016" cy="695325"/>
            <wp:effectExtent l="0" t="0" r="3175" b="0"/>
            <wp:wrapNone/>
            <wp:docPr id="3849106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910629" name=""/>
                    <pic:cNvPicPr/>
                  </pic:nvPicPr>
                  <pic:blipFill>
                    <a:blip r:embed="rId10">
                      <a:extLst>
                        <a:ext uri="{28A0092B-C50C-407E-A947-70E740481C1C}">
                          <a14:useLocalDpi xmlns:a14="http://schemas.microsoft.com/office/drawing/2010/main" val="0"/>
                        </a:ext>
                      </a:extLst>
                    </a:blip>
                    <a:stretch>
                      <a:fillRect/>
                    </a:stretch>
                  </pic:blipFill>
                  <pic:spPr>
                    <a:xfrm>
                      <a:off x="0" y="0"/>
                      <a:ext cx="2669662" cy="696799"/>
                    </a:xfrm>
                    <a:prstGeom prst="rect">
                      <a:avLst/>
                    </a:prstGeom>
                  </pic:spPr>
                </pic:pic>
              </a:graphicData>
            </a:graphic>
            <wp14:sizeRelH relativeFrom="margin">
              <wp14:pctWidth>0</wp14:pctWidth>
            </wp14:sizeRelH>
            <wp14:sizeRelV relativeFrom="margin">
              <wp14:pctHeight>0</wp14:pctHeight>
            </wp14:sizeRelV>
          </wp:anchor>
        </w:drawing>
      </w:r>
      <w:r w:rsidR="00C15139" w:rsidRPr="00CE156C">
        <w:rPr>
          <w:rFonts w:ascii="Verdana" w:eastAsia="Verdana" w:hAnsi="Verdana" w:cs="Verdana"/>
        </w:rPr>
        <w:t xml:space="preserve">Bogotá D.C., </w:t>
      </w:r>
      <w:r w:rsidR="00965AB3">
        <w:rPr>
          <w:rFonts w:ascii="Verdana" w:eastAsia="Verdana" w:hAnsi="Verdana" w:cs="Verdana"/>
        </w:rPr>
        <w:t>09 Julio 2026</w:t>
      </w:r>
      <w:r w:rsidR="00C15139" w:rsidRPr="00286DDE">
        <w:rPr>
          <w:rFonts w:ascii="Verdana" w:hAnsi="Verdana"/>
        </w:rPr>
        <w:tab/>
      </w:r>
      <w:r w:rsidR="00A761E9" w:rsidRPr="00286DDE">
        <w:rPr>
          <w:rFonts w:ascii="Verdana" w:hAnsi="Verdana"/>
        </w:rPr>
        <w:br/>
      </w:r>
      <w:r w:rsidR="00A761E9" w:rsidRPr="00286DDE">
        <w:rPr>
          <w:rFonts w:ascii="Verdana" w:hAnsi="Verdana"/>
        </w:rPr>
        <w:tab/>
      </w:r>
    </w:p>
    <w:p w14:paraId="7F7EE83F" w14:textId="77777777" w:rsidR="00A761E9" w:rsidRPr="00BE636B" w:rsidRDefault="00A761E9" w:rsidP="00A761E9">
      <w:pPr>
        <w:spacing w:after="0" w:line="240" w:lineRule="auto"/>
        <w:jc w:val="both"/>
        <w:rPr>
          <w:rFonts w:ascii="Verdana" w:eastAsia="Calibri" w:hAnsi="Verdana" w:cs="Arial"/>
          <w:lang w:eastAsia="es-ES"/>
        </w:rPr>
      </w:pPr>
      <w:r w:rsidRPr="00F926E2">
        <w:rPr>
          <w:rFonts w:ascii="Verdana" w:eastAsia="Calibri" w:hAnsi="Verdana" w:cs="Arial"/>
          <w:lang w:eastAsia="es-ES"/>
        </w:rPr>
        <w:t>Señor</w:t>
      </w:r>
    </w:p>
    <w:p w14:paraId="42A0AA41" w14:textId="77777777" w:rsidR="00A761E9" w:rsidRPr="008E2DC6" w:rsidRDefault="00A761E9" w:rsidP="00A761E9">
      <w:pPr>
        <w:spacing w:after="0" w:line="240" w:lineRule="auto"/>
        <w:rPr>
          <w:rFonts w:ascii="Verdana" w:eastAsia="Calibri" w:hAnsi="Verdana" w:cs="Arial"/>
          <w:b/>
          <w:lang w:eastAsia="es-ES_tradnl"/>
        </w:rPr>
      </w:pPr>
      <w:r w:rsidRPr="008E2DC6">
        <w:rPr>
          <w:rFonts w:ascii="Verdana" w:eastAsia="Calibri" w:hAnsi="Verdana" w:cs="Arial"/>
          <w:b/>
          <w:lang w:eastAsia="es-ES_tradnl"/>
        </w:rPr>
        <w:t>Fredy Gamba</w:t>
      </w:r>
    </w:p>
    <w:p w14:paraId="28B052B6" w14:textId="77777777" w:rsidR="00A761E9" w:rsidRPr="00CE156C" w:rsidRDefault="00A761E9" w:rsidP="00A761E9">
      <w:pPr>
        <w:spacing w:after="0" w:line="240" w:lineRule="auto"/>
        <w:rPr>
          <w:rFonts w:ascii="Verdana" w:hAnsi="Verdana"/>
        </w:rPr>
      </w:pPr>
      <w:hyperlink r:id="rId11" w:history="1">
        <w:r w:rsidRPr="00CE156C">
          <w:rPr>
            <w:rStyle w:val="Hipervnculo"/>
            <w:rFonts w:ascii="Verdana" w:hAnsi="Verdana"/>
          </w:rPr>
          <w:t>ciber.pro10@gmail.com</w:t>
        </w:r>
      </w:hyperlink>
    </w:p>
    <w:p w14:paraId="0F61D475" w14:textId="77777777" w:rsidR="00A761E9" w:rsidRPr="00BE636B" w:rsidRDefault="00A761E9" w:rsidP="00A761E9">
      <w:pPr>
        <w:spacing w:after="0" w:line="240" w:lineRule="auto"/>
        <w:rPr>
          <w:rFonts w:ascii="Verdana" w:hAnsi="Verdana"/>
        </w:rPr>
      </w:pPr>
      <w:r w:rsidRPr="00F926E2">
        <w:rPr>
          <w:rFonts w:ascii="Verdana" w:hAnsi="Verdana"/>
        </w:rPr>
        <w:t>Ciudad</w:t>
      </w:r>
    </w:p>
    <w:p w14:paraId="372032CB" w14:textId="77777777" w:rsidR="00A761E9" w:rsidRPr="008E2DC6" w:rsidRDefault="00A761E9" w:rsidP="00A761E9">
      <w:pPr>
        <w:spacing w:after="0" w:line="240" w:lineRule="auto"/>
        <w:rPr>
          <w:rFonts w:ascii="Verdana" w:eastAsia="Calibri" w:hAnsi="Verdana" w:cs="Arial"/>
          <w:b/>
          <w:bCs/>
          <w:color w:val="000000"/>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5670"/>
      </w:tblGrid>
      <w:tr w:rsidR="00A761E9" w:rsidRPr="00CE156C" w14:paraId="11B276AD" w14:textId="77777777" w:rsidTr="0056147A">
        <w:trPr>
          <w:trHeight w:val="162"/>
        </w:trPr>
        <w:tc>
          <w:tcPr>
            <w:tcW w:w="3119" w:type="dxa"/>
          </w:tcPr>
          <w:p w14:paraId="6949689D" w14:textId="77777777" w:rsidR="00A761E9" w:rsidRPr="008E2DC6" w:rsidRDefault="00A761E9" w:rsidP="0056147A">
            <w:pPr>
              <w:jc w:val="both"/>
              <w:rPr>
                <w:rFonts w:ascii="Verdana" w:eastAsia="Calibri" w:hAnsi="Verdana" w:cs="Arial"/>
                <w:b/>
                <w:bCs/>
                <w:color w:val="7030A0"/>
                <w:lang w:eastAsia="es-ES_tradnl"/>
              </w:rPr>
            </w:pPr>
          </w:p>
        </w:tc>
        <w:tc>
          <w:tcPr>
            <w:tcW w:w="5670" w:type="dxa"/>
          </w:tcPr>
          <w:p w14:paraId="403F4B31" w14:textId="77777777" w:rsidR="00A761E9" w:rsidRPr="00CE156C" w:rsidRDefault="00A761E9" w:rsidP="0056147A">
            <w:pPr>
              <w:rPr>
                <w:rFonts w:ascii="Verdana" w:eastAsia="Calibri" w:hAnsi="Verdana" w:cs="Arial"/>
                <w:b/>
                <w:bCs/>
                <w:lang w:eastAsia="es-ES"/>
              </w:rPr>
            </w:pPr>
            <w:r w:rsidRPr="008E2DC6">
              <w:rPr>
                <w:rFonts w:ascii="Verdana" w:eastAsia="Calibri" w:hAnsi="Verdana" w:cs="Arial"/>
                <w:b/>
                <w:bCs/>
                <w:lang w:eastAsia="es-ES"/>
              </w:rPr>
              <w:t>Concepto C-891</w:t>
            </w:r>
            <w:r w:rsidRPr="00CE156C">
              <w:rPr>
                <w:rFonts w:ascii="Verdana" w:eastAsia="Calibri" w:hAnsi="Verdana" w:cs="Arial"/>
                <w:b/>
                <w:bCs/>
                <w:lang w:eastAsia="es-ES"/>
              </w:rPr>
              <w:t xml:space="preserve"> de 2026</w:t>
            </w:r>
          </w:p>
          <w:p w14:paraId="57346FD1" w14:textId="77777777" w:rsidR="00A761E9" w:rsidRPr="00CE156C" w:rsidRDefault="00A761E9" w:rsidP="0056147A">
            <w:pPr>
              <w:jc w:val="center"/>
              <w:rPr>
                <w:rFonts w:ascii="Verdana" w:eastAsia="Calibri" w:hAnsi="Verdana" w:cs="Arial"/>
                <w:b/>
                <w:bCs/>
                <w:color w:val="7030A0"/>
                <w:lang w:eastAsia="es-ES"/>
              </w:rPr>
            </w:pPr>
          </w:p>
        </w:tc>
      </w:tr>
      <w:tr w:rsidR="00A761E9" w:rsidRPr="00CE156C" w14:paraId="32B3CCDD" w14:textId="77777777" w:rsidTr="0056147A">
        <w:trPr>
          <w:trHeight w:val="884"/>
        </w:trPr>
        <w:tc>
          <w:tcPr>
            <w:tcW w:w="3119" w:type="dxa"/>
          </w:tcPr>
          <w:p w14:paraId="067F84D9" w14:textId="77777777" w:rsidR="00A761E9" w:rsidRPr="00F926E2" w:rsidRDefault="00A761E9" w:rsidP="0056147A">
            <w:pPr>
              <w:jc w:val="both"/>
              <w:rPr>
                <w:rFonts w:ascii="Verdana" w:eastAsia="Calibri" w:hAnsi="Verdana" w:cs="Arial"/>
                <w:color w:val="000000"/>
                <w:lang w:eastAsia="es-ES_tradnl"/>
              </w:rPr>
            </w:pPr>
            <w:r w:rsidRPr="00CE156C">
              <w:rPr>
                <w:rFonts w:ascii="Verdana" w:eastAsia="Calibri" w:hAnsi="Verdana" w:cs="Arial"/>
                <w:b/>
                <w:color w:val="000000"/>
                <w:lang w:eastAsia="es-ES_tradnl"/>
              </w:rPr>
              <w:t>Temas:</w:t>
            </w:r>
            <w:r w:rsidRPr="00F07E96">
              <w:rPr>
                <w:rFonts w:ascii="Verdana" w:eastAsia="Calibri" w:hAnsi="Verdana" w:cs="Arial"/>
                <w:color w:val="000000"/>
                <w:lang w:eastAsia="es-ES_tradnl"/>
              </w:rPr>
              <w:t xml:space="preserve">                   </w:t>
            </w:r>
          </w:p>
        </w:tc>
        <w:tc>
          <w:tcPr>
            <w:tcW w:w="5670" w:type="dxa"/>
          </w:tcPr>
          <w:p w14:paraId="65181C92" w14:textId="22E81FAB" w:rsidR="00A761E9" w:rsidRPr="00286DDE" w:rsidRDefault="00A761E9" w:rsidP="00286DDE">
            <w:pPr>
              <w:pStyle w:val="Textoindependiente"/>
              <w:ind w:right="307"/>
              <w:jc w:val="both"/>
              <w:rPr>
                <w:rFonts w:ascii="Verdana" w:hAnsi="Verdana"/>
              </w:rPr>
            </w:pPr>
            <w:r w:rsidRPr="00C93094">
              <w:rPr>
                <w:rFonts w:ascii="Verdana" w:eastAsia="Calibri" w:hAnsi="Verdana"/>
                <w:lang w:eastAsia="es-ES"/>
              </w:rPr>
              <w:t xml:space="preserve">REQUISITOS HABILITANTES ‒ Concepto – Finalidad / </w:t>
            </w:r>
            <w:r w:rsidR="00C93094" w:rsidRPr="00286DDE">
              <w:rPr>
                <w:rFonts w:ascii="Verdana" w:hAnsi="Verdana"/>
              </w:rPr>
              <w:t>EXPERIENCIA – Excepción – Carácter personalísimo – Sociedades con menos de 3 años de constituidas</w:t>
            </w:r>
            <w:r w:rsidR="00C93094" w:rsidRPr="00C93094">
              <w:rPr>
                <w:rFonts w:ascii="Verdana" w:eastAsia="Calibri" w:hAnsi="Verdana"/>
                <w:lang w:val="es-ES_tradnl" w:eastAsia="es-ES_tradnl"/>
              </w:rPr>
              <w:t xml:space="preserve"> / </w:t>
            </w:r>
            <w:r w:rsidR="00C93094" w:rsidRPr="00286DDE">
              <w:rPr>
                <w:rFonts w:ascii="Verdana" w:hAnsi="Verdana"/>
              </w:rPr>
              <w:t>EXPERIENCIA – Sociedades con más de 3 años de constitución – Renovación del RUP – Acreditación / EXPERIENCIA – Acreditación experiencia</w:t>
            </w:r>
            <w:r w:rsidR="00C93094">
              <w:rPr>
                <w:rFonts w:ascii="Verdana" w:hAnsi="Verdana"/>
              </w:rPr>
              <w:t xml:space="preserve"> </w:t>
            </w:r>
            <w:r w:rsidR="00C93094" w:rsidRPr="00286DDE">
              <w:rPr>
                <w:rFonts w:ascii="Verdana" w:hAnsi="Verdana"/>
              </w:rPr>
              <w:t>– Sociedades con menos de 3 años de constitución – Proceso de mínima cuantía – Exceptuados – Registro único de proponentes</w:t>
            </w:r>
          </w:p>
          <w:p w14:paraId="690CFF87" w14:textId="77777777" w:rsidR="00A761E9" w:rsidRPr="008E2DC6" w:rsidRDefault="00A761E9" w:rsidP="0056147A">
            <w:pPr>
              <w:jc w:val="both"/>
              <w:rPr>
                <w:rFonts w:ascii="Verdana" w:eastAsia="Calibri" w:hAnsi="Verdana" w:cs="Arial"/>
                <w:highlight w:val="yellow"/>
                <w:lang w:val="es-ES" w:eastAsia="es-ES"/>
              </w:rPr>
            </w:pPr>
          </w:p>
        </w:tc>
      </w:tr>
      <w:tr w:rsidR="00A761E9" w:rsidRPr="00CE156C" w14:paraId="7E161BC9" w14:textId="77777777" w:rsidTr="0056147A">
        <w:tc>
          <w:tcPr>
            <w:tcW w:w="3119" w:type="dxa"/>
          </w:tcPr>
          <w:p w14:paraId="36C70690" w14:textId="77777777" w:rsidR="00A761E9" w:rsidRPr="00F926E2" w:rsidRDefault="00A761E9" w:rsidP="0056147A">
            <w:pPr>
              <w:jc w:val="both"/>
              <w:rPr>
                <w:rFonts w:ascii="Verdana" w:eastAsia="Calibri" w:hAnsi="Verdana" w:cs="Arial"/>
                <w:b/>
                <w:lang w:eastAsia="es-ES_tradnl"/>
              </w:rPr>
            </w:pPr>
            <w:r w:rsidRPr="00CE156C">
              <w:rPr>
                <w:rFonts w:ascii="Verdana" w:eastAsia="Calibri" w:hAnsi="Verdana" w:cs="Arial"/>
                <w:b/>
                <w:lang w:eastAsia="es-ES_tradnl"/>
              </w:rPr>
              <w:t xml:space="preserve"> </w:t>
            </w:r>
            <w:r w:rsidRPr="00F07E96">
              <w:rPr>
                <w:rFonts w:ascii="Verdana" w:eastAsia="Calibri" w:hAnsi="Verdana" w:cs="Arial"/>
                <w:b/>
                <w:lang w:eastAsia="es-ES_tradnl"/>
              </w:rPr>
              <w:t>Radicación:</w:t>
            </w:r>
            <w:r w:rsidRPr="00F926E2">
              <w:rPr>
                <w:rFonts w:ascii="Verdana" w:eastAsia="Calibri" w:hAnsi="Verdana" w:cs="Arial"/>
                <w:lang w:eastAsia="es-ES_tradnl"/>
              </w:rPr>
              <w:t xml:space="preserve">               </w:t>
            </w:r>
          </w:p>
        </w:tc>
        <w:tc>
          <w:tcPr>
            <w:tcW w:w="5670" w:type="dxa"/>
          </w:tcPr>
          <w:p w14:paraId="0C5398B5" w14:textId="77777777" w:rsidR="00A761E9" w:rsidRPr="008E2DC6" w:rsidRDefault="00A761E9" w:rsidP="0056147A">
            <w:pPr>
              <w:jc w:val="both"/>
              <w:rPr>
                <w:rFonts w:ascii="Verdana" w:eastAsia="Calibri" w:hAnsi="Verdana" w:cs="Arial"/>
                <w:lang w:eastAsia="es-ES_tradnl"/>
              </w:rPr>
            </w:pPr>
            <w:r w:rsidRPr="00BE636B">
              <w:rPr>
                <w:rFonts w:ascii="Verdana" w:eastAsia="Calibri" w:hAnsi="Verdana" w:cs="Arial"/>
                <w:lang w:eastAsia="es-ES_tradnl"/>
              </w:rPr>
              <w:t xml:space="preserve">Respuesta a consulta con radicado No. </w:t>
            </w:r>
            <w:r w:rsidRPr="008E2DC6">
              <w:rPr>
                <w:rFonts w:ascii="Verdana" w:eastAsia="Calibri" w:hAnsi="Verdana" w:cs="Arial"/>
                <w:lang w:eastAsia="es-ES_tradnl"/>
              </w:rPr>
              <w:t>1_2026_05_27_007164</w:t>
            </w:r>
          </w:p>
        </w:tc>
      </w:tr>
    </w:tbl>
    <w:p w14:paraId="3134EB87" w14:textId="77777777" w:rsidR="00A761E9" w:rsidRPr="00CE156C" w:rsidRDefault="00A761E9" w:rsidP="00A761E9">
      <w:pPr>
        <w:spacing w:after="0" w:line="240" w:lineRule="auto"/>
        <w:jc w:val="both"/>
        <w:rPr>
          <w:rFonts w:ascii="Verdana" w:eastAsia="Calibri" w:hAnsi="Verdana" w:cs="Arial"/>
          <w:lang w:eastAsia="es-ES_tradnl"/>
        </w:rPr>
      </w:pPr>
    </w:p>
    <w:p w14:paraId="563C571C" w14:textId="77777777" w:rsidR="00A761E9" w:rsidRPr="008E2DC6" w:rsidRDefault="00A761E9" w:rsidP="00A761E9">
      <w:pPr>
        <w:spacing w:after="0" w:line="276" w:lineRule="auto"/>
        <w:jc w:val="both"/>
        <w:rPr>
          <w:rFonts w:ascii="Verdana" w:eastAsia="Calibri" w:hAnsi="Verdana" w:cs="Arial"/>
          <w:lang w:eastAsia="es-ES"/>
        </w:rPr>
      </w:pPr>
      <w:r w:rsidRPr="00F926E2">
        <w:rPr>
          <w:rFonts w:ascii="Verdana" w:eastAsia="Calibri" w:hAnsi="Verdana" w:cs="Arial"/>
          <w:lang w:eastAsia="es-ES"/>
        </w:rPr>
        <w:t>Estimad</w:t>
      </w:r>
      <w:r w:rsidRPr="00BE636B">
        <w:rPr>
          <w:rFonts w:ascii="Verdana" w:eastAsia="Calibri" w:hAnsi="Verdana" w:cs="Arial"/>
          <w:lang w:eastAsia="es-ES"/>
        </w:rPr>
        <w:t>o</w:t>
      </w:r>
      <w:r w:rsidRPr="00323DD8">
        <w:rPr>
          <w:rFonts w:ascii="Verdana" w:eastAsia="Calibri" w:hAnsi="Verdana" w:cs="Arial"/>
          <w:lang w:eastAsia="es-ES"/>
        </w:rPr>
        <w:t xml:space="preserve"> señor</w:t>
      </w:r>
      <w:r w:rsidRPr="008E2DC6">
        <w:rPr>
          <w:rFonts w:ascii="Verdana" w:eastAsia="Calibri" w:hAnsi="Verdana" w:cs="Arial"/>
          <w:lang w:eastAsia="es-ES"/>
        </w:rPr>
        <w:t xml:space="preserve">, Gamba: </w:t>
      </w:r>
    </w:p>
    <w:p w14:paraId="63E6A86F" w14:textId="77777777" w:rsidR="00A761E9" w:rsidRPr="008E2DC6" w:rsidRDefault="00A761E9" w:rsidP="00A761E9">
      <w:pPr>
        <w:spacing w:after="0" w:line="276" w:lineRule="auto"/>
        <w:jc w:val="both"/>
        <w:rPr>
          <w:rFonts w:ascii="Verdana" w:eastAsia="Calibri" w:hAnsi="Verdana" w:cs="Arial"/>
          <w:lang w:eastAsia="es-ES"/>
        </w:rPr>
      </w:pPr>
    </w:p>
    <w:p w14:paraId="22D88D4E" w14:textId="77777777" w:rsidR="00A761E9" w:rsidRPr="00CE156C" w:rsidRDefault="00A761E9" w:rsidP="00A761E9">
      <w:pPr>
        <w:spacing w:after="0" w:line="276" w:lineRule="auto"/>
        <w:jc w:val="both"/>
        <w:rPr>
          <w:rFonts w:ascii="Verdana" w:eastAsia="Calibri" w:hAnsi="Verdana" w:cs="Arial"/>
          <w:lang w:eastAsia="es-ES"/>
        </w:rPr>
      </w:pPr>
      <w:r w:rsidRPr="008E2DC6">
        <w:rPr>
          <w:rFonts w:ascii="Verdana" w:eastAsia="Calibri" w:hAnsi="Verdana" w:cs="Arial"/>
          <w:color w:val="000000" w:themeColor="text1"/>
          <w:lang w:eastAsia="es-ES"/>
        </w:rPr>
        <w:t>En ejercicio de la competencia otorgada por los artículos 3, numeral 5º, y 11, numeral 8º, del Decreto Ley 4170 de 2011,</w:t>
      </w:r>
      <w:r w:rsidRPr="00CE156C">
        <w:rPr>
          <w:rFonts w:ascii="Verdana" w:eastAsia="Arial MT" w:hAnsi="Verdana" w:cs="Arial MT"/>
          <w:lang w:eastAsia="es-ES"/>
        </w:rPr>
        <w:t xml:space="preserve"> </w:t>
      </w:r>
      <w:r w:rsidRPr="00CE156C">
        <w:rPr>
          <w:rFonts w:ascii="Verdana" w:hAnsi="Verdana" w:cs="Arial"/>
        </w:rPr>
        <w:t xml:space="preserve">así como lo establecido en el artículo 4 de la Resolución 1707 de 2018 expedida por esta Entidad, </w:t>
      </w:r>
      <w:r w:rsidRPr="00CE156C">
        <w:rPr>
          <w:rFonts w:ascii="Verdana" w:eastAsia="Calibri" w:hAnsi="Verdana" w:cs="Arial"/>
          <w:color w:val="000000" w:themeColor="text1"/>
          <w:lang w:eastAsia="es-ES"/>
        </w:rPr>
        <w:t xml:space="preserve">la Agencia Nacional de Contratación </w:t>
      </w:r>
      <w:r w:rsidRPr="00CE156C">
        <w:rPr>
          <w:rFonts w:ascii="Verdana" w:eastAsia="Calibri" w:hAnsi="Verdana" w:cs="Arial"/>
          <w:lang w:eastAsia="es-ES"/>
        </w:rPr>
        <w:t xml:space="preserve">Pública – Colombia Compra Eficiente– responde su solicitud de consulta de fecha 27 de mayo de 2026, en la cual manifiesta lo siguiente: </w:t>
      </w:r>
    </w:p>
    <w:p w14:paraId="68B1C126" w14:textId="77777777" w:rsidR="00A761E9" w:rsidRPr="00CE156C" w:rsidRDefault="00A761E9" w:rsidP="00A761E9">
      <w:pPr>
        <w:spacing w:after="0" w:line="276" w:lineRule="auto"/>
        <w:ind w:left="709" w:right="709"/>
        <w:jc w:val="both"/>
        <w:rPr>
          <w:rFonts w:ascii="Verdana" w:eastAsia="Century Gothic" w:hAnsi="Verdana" w:cs="Century Gothic"/>
          <w:i/>
          <w:iCs/>
          <w:sz w:val="20"/>
          <w:szCs w:val="20"/>
        </w:rPr>
      </w:pPr>
      <w:bookmarkStart w:id="1" w:name="_Hlk192699624"/>
      <w:bookmarkStart w:id="2" w:name="_Hlk199394899"/>
    </w:p>
    <w:p w14:paraId="064BCA84" w14:textId="77777777" w:rsidR="00A761E9" w:rsidRPr="00CE156C" w:rsidRDefault="00A761E9" w:rsidP="00A761E9">
      <w:pPr>
        <w:spacing w:after="0" w:line="240" w:lineRule="auto"/>
        <w:ind w:left="709" w:right="709"/>
        <w:jc w:val="both"/>
        <w:rPr>
          <w:rFonts w:ascii="Verdana" w:eastAsia="Century Gothic" w:hAnsi="Verdana" w:cs="Century Gothic"/>
          <w:i/>
          <w:iCs/>
          <w:sz w:val="20"/>
          <w:szCs w:val="20"/>
        </w:rPr>
      </w:pPr>
      <w:r w:rsidRPr="00CE156C">
        <w:rPr>
          <w:rFonts w:ascii="Verdana" w:eastAsia="Century Gothic" w:hAnsi="Verdana" w:cs="Century Gothic"/>
          <w:i/>
          <w:iCs/>
          <w:sz w:val="20"/>
          <w:szCs w:val="20"/>
        </w:rPr>
        <w:t>“</w:t>
      </w:r>
      <w:bookmarkEnd w:id="1"/>
      <w:r w:rsidRPr="00CE156C">
        <w:rPr>
          <w:rFonts w:ascii="Verdana" w:eastAsia="Century Gothic" w:hAnsi="Verdana" w:cs="Century Gothic"/>
          <w:i/>
          <w:iCs/>
          <w:sz w:val="20"/>
          <w:szCs w:val="20"/>
        </w:rPr>
        <w:t>(…)</w:t>
      </w:r>
    </w:p>
    <w:p w14:paraId="24A4D929" w14:textId="77777777" w:rsidR="00A761E9" w:rsidRPr="00CE156C" w:rsidRDefault="00A761E9" w:rsidP="00A761E9">
      <w:pPr>
        <w:spacing w:after="0" w:line="240" w:lineRule="auto"/>
        <w:ind w:left="709" w:right="709"/>
        <w:jc w:val="both"/>
        <w:rPr>
          <w:rFonts w:ascii="Verdana" w:hAnsi="Verdana"/>
          <w:i/>
          <w:iCs/>
          <w:sz w:val="20"/>
          <w:szCs w:val="20"/>
        </w:rPr>
      </w:pPr>
      <w:r w:rsidRPr="00CE156C">
        <w:rPr>
          <w:rFonts w:ascii="Verdana" w:hAnsi="Verdana"/>
          <w:i/>
          <w:iCs/>
          <w:sz w:val="20"/>
          <w:szCs w:val="20"/>
        </w:rPr>
        <w:t xml:space="preserve"> </w:t>
      </w:r>
    </w:p>
    <w:p w14:paraId="632BBE01" w14:textId="77777777" w:rsidR="00A761E9" w:rsidRPr="00CE156C" w:rsidRDefault="00A761E9" w:rsidP="00A761E9">
      <w:pPr>
        <w:spacing w:after="0" w:line="240" w:lineRule="auto"/>
        <w:ind w:left="709" w:right="709"/>
        <w:jc w:val="both"/>
        <w:rPr>
          <w:rFonts w:ascii="Verdana" w:hAnsi="Verdana"/>
          <w:i/>
          <w:iCs/>
          <w:sz w:val="20"/>
          <w:szCs w:val="20"/>
        </w:rPr>
      </w:pPr>
      <w:r w:rsidRPr="00CE156C">
        <w:rPr>
          <w:rFonts w:ascii="Verdana" w:hAnsi="Verdana"/>
          <w:i/>
          <w:iCs/>
          <w:sz w:val="20"/>
          <w:szCs w:val="20"/>
        </w:rPr>
        <w:t>Respetuosamente, se solicita emitir concepto respecto de la siguiente situación:</w:t>
      </w:r>
    </w:p>
    <w:p w14:paraId="20250A7A" w14:textId="77777777" w:rsidR="00A761E9" w:rsidRPr="00CE156C" w:rsidRDefault="00A761E9" w:rsidP="00A761E9">
      <w:pPr>
        <w:spacing w:after="0" w:line="240" w:lineRule="auto"/>
        <w:ind w:left="709" w:right="709"/>
        <w:jc w:val="both"/>
        <w:rPr>
          <w:rFonts w:ascii="Verdana" w:hAnsi="Verdana"/>
          <w:i/>
          <w:iCs/>
          <w:sz w:val="20"/>
          <w:szCs w:val="20"/>
        </w:rPr>
      </w:pPr>
    </w:p>
    <w:p w14:paraId="480FA331" w14:textId="77777777" w:rsidR="00A761E9" w:rsidRPr="00CE156C" w:rsidRDefault="00A761E9" w:rsidP="00A761E9">
      <w:pPr>
        <w:spacing w:after="0" w:line="240" w:lineRule="auto"/>
        <w:ind w:left="709" w:right="709"/>
        <w:jc w:val="both"/>
        <w:rPr>
          <w:rFonts w:ascii="Verdana" w:hAnsi="Verdana"/>
          <w:i/>
          <w:iCs/>
          <w:sz w:val="20"/>
          <w:szCs w:val="20"/>
        </w:rPr>
      </w:pPr>
      <w:r w:rsidRPr="00CE156C">
        <w:rPr>
          <w:rFonts w:ascii="Verdana" w:hAnsi="Verdana"/>
          <w:i/>
          <w:iCs/>
          <w:sz w:val="20"/>
          <w:szCs w:val="20"/>
        </w:rPr>
        <w:t xml:space="preserve">Cuando una sociedad ha superado los tres (3) años de constituida y durante dicho término acreditó e inscribió en el RUP la experiencia de sus socios o accionistas conforme a la normativa aplicable, ¿puede continuar acreditando dicha experiencia de los socios pasado los 3 años en procesos </w:t>
      </w:r>
      <w:r w:rsidRPr="00CE156C">
        <w:rPr>
          <w:rFonts w:ascii="Verdana" w:hAnsi="Verdana"/>
          <w:i/>
          <w:iCs/>
          <w:sz w:val="20"/>
          <w:szCs w:val="20"/>
        </w:rPr>
        <w:lastRenderedPageBreak/>
        <w:t>de mínima cuantía en los cuales no se exige Registro Único de Proponentes – RUP?</w:t>
      </w:r>
    </w:p>
    <w:p w14:paraId="1AF46379" w14:textId="77777777" w:rsidR="00A761E9" w:rsidRPr="00CE156C" w:rsidRDefault="00A761E9" w:rsidP="00A761E9">
      <w:pPr>
        <w:spacing w:after="0" w:line="240" w:lineRule="auto"/>
        <w:ind w:left="709" w:right="709"/>
        <w:jc w:val="both"/>
        <w:rPr>
          <w:rFonts w:ascii="Verdana" w:hAnsi="Verdana"/>
          <w:i/>
          <w:iCs/>
          <w:sz w:val="20"/>
          <w:szCs w:val="20"/>
        </w:rPr>
      </w:pPr>
    </w:p>
    <w:p w14:paraId="2C98D62D" w14:textId="77777777" w:rsidR="00A761E9" w:rsidRPr="00CE156C" w:rsidRDefault="00A761E9" w:rsidP="00A761E9">
      <w:pPr>
        <w:spacing w:after="0" w:line="240" w:lineRule="auto"/>
        <w:ind w:left="709" w:right="709"/>
        <w:jc w:val="both"/>
        <w:rPr>
          <w:rFonts w:ascii="Verdana" w:hAnsi="Verdana"/>
          <w:i/>
          <w:iCs/>
          <w:sz w:val="20"/>
          <w:szCs w:val="20"/>
        </w:rPr>
      </w:pPr>
      <w:r w:rsidRPr="00CE156C">
        <w:rPr>
          <w:rFonts w:ascii="Verdana" w:hAnsi="Verdana"/>
          <w:i/>
          <w:iCs/>
          <w:sz w:val="20"/>
          <w:szCs w:val="20"/>
        </w:rPr>
        <w:t>Lo anterior, teniendo en cuenta que en los procesos de mínima cuantía la entidad verifica directamente los requisitos habilitantes y la experiencia exigida en la invitación pública, por lo cual surge la inquietud sobre si, pese a haber transcurrido más de tres años desde la constitución de la sociedad, resulta jurídicamente viable seguir aportando la experiencia de los socios como soporte de capacidad y experiencia del proponente.</w:t>
      </w:r>
    </w:p>
    <w:p w14:paraId="7E5D3F2E" w14:textId="77777777" w:rsidR="00A761E9" w:rsidRPr="00CE156C" w:rsidRDefault="00A761E9" w:rsidP="00A761E9">
      <w:pPr>
        <w:spacing w:after="0" w:line="240" w:lineRule="auto"/>
        <w:ind w:left="709" w:right="709"/>
        <w:jc w:val="both"/>
        <w:rPr>
          <w:rFonts w:ascii="Verdana" w:hAnsi="Verdana"/>
          <w:i/>
          <w:iCs/>
          <w:sz w:val="20"/>
          <w:szCs w:val="20"/>
        </w:rPr>
      </w:pPr>
    </w:p>
    <w:p w14:paraId="5A4DC8D0" w14:textId="77777777" w:rsidR="00A761E9" w:rsidRPr="00CE156C" w:rsidRDefault="00A761E9" w:rsidP="00A761E9">
      <w:pPr>
        <w:spacing w:after="0" w:line="240" w:lineRule="auto"/>
        <w:ind w:left="709" w:right="709"/>
        <w:jc w:val="both"/>
        <w:rPr>
          <w:rFonts w:ascii="Verdana" w:hAnsi="Verdana"/>
          <w:i/>
          <w:iCs/>
          <w:sz w:val="20"/>
          <w:szCs w:val="20"/>
        </w:rPr>
      </w:pPr>
      <w:r w:rsidRPr="00CE156C">
        <w:rPr>
          <w:rFonts w:ascii="Verdana" w:hAnsi="Verdana"/>
          <w:i/>
          <w:iCs/>
          <w:sz w:val="20"/>
          <w:szCs w:val="20"/>
        </w:rPr>
        <w:t>(…)”.</w:t>
      </w:r>
      <w:bookmarkEnd w:id="2"/>
    </w:p>
    <w:p w14:paraId="751DAC33" w14:textId="77777777" w:rsidR="00A761E9" w:rsidRPr="00CE156C" w:rsidRDefault="00A761E9" w:rsidP="00A761E9">
      <w:pPr>
        <w:spacing w:after="0" w:line="240" w:lineRule="auto"/>
        <w:ind w:left="709" w:right="709"/>
        <w:jc w:val="both"/>
        <w:rPr>
          <w:rFonts w:ascii="Verdana" w:hAnsi="Verdana"/>
          <w:i/>
          <w:iCs/>
          <w:sz w:val="20"/>
          <w:szCs w:val="20"/>
        </w:rPr>
      </w:pPr>
    </w:p>
    <w:p w14:paraId="0E641C2A" w14:textId="77777777" w:rsidR="00A761E9" w:rsidRPr="00CE156C" w:rsidRDefault="00A761E9" w:rsidP="00A761E9">
      <w:pPr>
        <w:spacing w:after="120" w:line="276" w:lineRule="auto"/>
        <w:ind w:firstLine="709"/>
        <w:jc w:val="both"/>
        <w:rPr>
          <w:rFonts w:ascii="Verdana" w:eastAsia="Calibri" w:hAnsi="Verdana" w:cs="Arial"/>
          <w:color w:val="000000"/>
          <w:szCs w:val="24"/>
          <w:lang w:eastAsia="es-ES_tradnl"/>
        </w:rPr>
      </w:pPr>
      <w:r w:rsidRPr="00CE156C">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CE156C">
        <w:rPr>
          <w:rFonts w:ascii="Verdana" w:eastAsia="Calibri" w:hAnsi="Verdana" w:cs="Arial"/>
          <w:color w:val="000000"/>
          <w:szCs w:val="24"/>
          <w:lang w:eastAsia="es-ES_tradnl"/>
        </w:rPr>
        <w:tab/>
      </w:r>
    </w:p>
    <w:p w14:paraId="31991FA5" w14:textId="5829CE15" w:rsidR="00A761E9" w:rsidRPr="00CE156C" w:rsidRDefault="00A761E9" w:rsidP="00507063">
      <w:pPr>
        <w:spacing w:after="0" w:line="276" w:lineRule="auto"/>
        <w:ind w:firstLine="709"/>
        <w:jc w:val="both"/>
        <w:rPr>
          <w:rFonts w:ascii="Verdana" w:eastAsia="Calibri" w:hAnsi="Verdana" w:cs="Arial"/>
          <w:color w:val="000000"/>
          <w:lang w:eastAsia="es-ES"/>
        </w:rPr>
      </w:pPr>
      <w:r w:rsidRPr="00CE156C">
        <w:rPr>
          <w:rFonts w:ascii="Verdana" w:eastAsia="Calibri" w:hAnsi="Verdana" w:cs="Arial"/>
          <w:color w:val="000000"/>
          <w:lang w:eastAsia="es-ES"/>
        </w:rPr>
        <w:t xml:space="preserve">Conforme lo expuesto, en aras de garantizar el derecho fundamental de petición, se resolverá su petición dentro de los límites de la referida competencia consultiva, esto es, haciendo abstracción del caso particular y concreto señalado en su petición, pero señalando algunas consideraciones sobre las normas generales relacionadas con el problema jurídico de su consulta.  </w:t>
      </w:r>
    </w:p>
    <w:p w14:paraId="56D3D205" w14:textId="77777777" w:rsidR="00507063" w:rsidRPr="00CE156C" w:rsidRDefault="00507063" w:rsidP="00286DDE">
      <w:pPr>
        <w:spacing w:after="0" w:line="276" w:lineRule="auto"/>
        <w:ind w:firstLine="709"/>
        <w:jc w:val="both"/>
        <w:rPr>
          <w:rFonts w:ascii="Verdana" w:eastAsia="Calibri" w:hAnsi="Verdana" w:cs="Arial"/>
          <w:color w:val="000000"/>
          <w:lang w:eastAsia="es-ES"/>
        </w:rPr>
      </w:pPr>
    </w:p>
    <w:p w14:paraId="5A5FD31C" w14:textId="77777777" w:rsidR="00A761E9" w:rsidRPr="00CE156C" w:rsidRDefault="00A761E9" w:rsidP="00286DDE">
      <w:pPr>
        <w:numPr>
          <w:ilvl w:val="0"/>
          <w:numId w:val="16"/>
        </w:numPr>
        <w:spacing w:after="0" w:line="276" w:lineRule="auto"/>
        <w:jc w:val="both"/>
        <w:rPr>
          <w:rFonts w:ascii="Verdana" w:eastAsia="Century Gothic" w:hAnsi="Verdana" w:cs="Century Gothic"/>
          <w:b/>
          <w:bCs/>
        </w:rPr>
      </w:pPr>
      <w:r w:rsidRPr="00CE156C">
        <w:rPr>
          <w:rFonts w:ascii="Verdana" w:eastAsia="Century Gothic" w:hAnsi="Verdana" w:cs="Century Gothic"/>
          <w:b/>
          <w:bCs/>
        </w:rPr>
        <w:t>Problema planteado:</w:t>
      </w:r>
    </w:p>
    <w:p w14:paraId="2D91E553" w14:textId="77777777" w:rsidR="00507063" w:rsidRPr="00CE156C" w:rsidRDefault="00507063" w:rsidP="00507063">
      <w:pPr>
        <w:spacing w:after="0" w:line="276" w:lineRule="auto"/>
        <w:jc w:val="both"/>
        <w:rPr>
          <w:rFonts w:ascii="Verdana" w:eastAsia="Calibri" w:hAnsi="Verdana" w:cs="Arial"/>
          <w:color w:val="000000"/>
          <w:szCs w:val="24"/>
          <w:lang w:eastAsia="es-ES_tradnl"/>
        </w:rPr>
      </w:pPr>
    </w:p>
    <w:p w14:paraId="2932AEAB" w14:textId="75932161" w:rsidR="00A761E9" w:rsidRPr="008E2DC6" w:rsidRDefault="00A761E9" w:rsidP="00507063">
      <w:pPr>
        <w:spacing w:after="0" w:line="276" w:lineRule="auto"/>
        <w:jc w:val="both"/>
        <w:rPr>
          <w:rFonts w:ascii="Verdana" w:eastAsia="Century Gothic" w:hAnsi="Verdana" w:cs="Century Gothic"/>
        </w:rPr>
      </w:pPr>
      <w:r w:rsidRPr="00CE156C">
        <w:rPr>
          <w:rFonts w:ascii="Verdana" w:eastAsia="Calibri" w:hAnsi="Verdana" w:cs="Arial"/>
          <w:color w:val="000000"/>
          <w:szCs w:val="24"/>
          <w:lang w:eastAsia="es-ES_tradnl"/>
        </w:rPr>
        <w:t>D</w:t>
      </w:r>
      <w:r w:rsidRPr="00CE156C">
        <w:rPr>
          <w:rFonts w:ascii="Verdana" w:eastAsia="Century Gothic" w:hAnsi="Verdana" w:cs="Century Gothic"/>
        </w:rPr>
        <w:t xml:space="preserve">e acuerdo con el contenido de su solicitud, esta Agencia resolverá el siguiente problema jurídico: ¿Es procedente que una sociedad que ha superado los tres (3) años de su constitución continúe acreditando la experiencia de sus socios, accionistas o constituyentes y, de ser así, como procede su acreditación en un </w:t>
      </w:r>
      <w:r w:rsidRPr="00CE156C">
        <w:rPr>
          <w:rFonts w:ascii="Verdana" w:eastAsia="Century Gothic" w:hAnsi="Verdana" w:cs="Century Gothic"/>
        </w:rPr>
        <w:lastRenderedPageBreak/>
        <w:t>proceso de selección de mínima cuantía en el que el Registro Único de Proponentes (</w:t>
      </w:r>
      <w:r w:rsidR="008E2DC6">
        <w:rPr>
          <w:rFonts w:ascii="Verdana" w:eastAsia="Century Gothic" w:hAnsi="Verdana" w:cs="Century Gothic"/>
        </w:rPr>
        <w:t xml:space="preserve">en adelante </w:t>
      </w:r>
      <w:r w:rsidRPr="008E2DC6">
        <w:rPr>
          <w:rFonts w:ascii="Verdana" w:eastAsia="Century Gothic" w:hAnsi="Verdana" w:cs="Century Gothic"/>
        </w:rPr>
        <w:t>RUP) no es exigible?</w:t>
      </w:r>
    </w:p>
    <w:p w14:paraId="32A1B920" w14:textId="77777777" w:rsidR="00507063" w:rsidRPr="008E2DC6" w:rsidRDefault="00507063" w:rsidP="00286DDE">
      <w:pPr>
        <w:spacing w:after="0" w:line="276" w:lineRule="auto"/>
        <w:jc w:val="both"/>
        <w:rPr>
          <w:rFonts w:ascii="Verdana" w:eastAsia="Century Gothic" w:hAnsi="Verdana" w:cs="Century Gothic"/>
        </w:rPr>
      </w:pPr>
    </w:p>
    <w:p w14:paraId="18639344" w14:textId="0147BD9F" w:rsidR="00A761E9" w:rsidRPr="008E2DC6" w:rsidRDefault="00A761E9" w:rsidP="00507063">
      <w:pPr>
        <w:numPr>
          <w:ilvl w:val="0"/>
          <w:numId w:val="16"/>
        </w:numPr>
        <w:spacing w:after="0" w:line="276" w:lineRule="auto"/>
        <w:jc w:val="both"/>
        <w:rPr>
          <w:rFonts w:ascii="Verdana" w:eastAsia="Century Gothic" w:hAnsi="Verdana" w:cs="Century Gothic"/>
          <w:b/>
          <w:bCs/>
        </w:rPr>
      </w:pPr>
      <w:r w:rsidRPr="008E2DC6">
        <w:rPr>
          <w:rFonts w:ascii="Verdana" w:eastAsia="Century Gothic" w:hAnsi="Verdana" w:cs="Century Gothic"/>
          <w:b/>
          <w:bCs/>
        </w:rPr>
        <w:t>Respuesta:</w:t>
      </w:r>
    </w:p>
    <w:p w14:paraId="38422AB2" w14:textId="77777777" w:rsidR="00507063" w:rsidRPr="008E2DC6" w:rsidRDefault="00507063" w:rsidP="00286DDE">
      <w:pPr>
        <w:spacing w:after="0" w:line="276" w:lineRule="auto"/>
        <w:ind w:left="720"/>
        <w:jc w:val="both"/>
        <w:rPr>
          <w:rFonts w:ascii="Verdana" w:eastAsia="Century Gothic" w:hAnsi="Verdana" w:cs="Century Gothic"/>
          <w:b/>
          <w:bCs/>
        </w:rPr>
      </w:pPr>
    </w:p>
    <w:tbl>
      <w:tblPr>
        <w:tblStyle w:val="Tablaconcuadrcula"/>
        <w:tblW w:w="0" w:type="auto"/>
        <w:tblLook w:val="04A0" w:firstRow="1" w:lastRow="0" w:firstColumn="1" w:lastColumn="0" w:noHBand="0" w:noVBand="1"/>
      </w:tblPr>
      <w:tblGrid>
        <w:gridCol w:w="8828"/>
      </w:tblGrid>
      <w:tr w:rsidR="00A761E9" w:rsidRPr="00CE156C" w14:paraId="31F6D10A" w14:textId="77777777" w:rsidTr="0056147A">
        <w:tc>
          <w:tcPr>
            <w:tcW w:w="8828" w:type="dxa"/>
          </w:tcPr>
          <w:p w14:paraId="3F155392" w14:textId="77777777" w:rsidR="00A761E9" w:rsidRPr="008E2DC6" w:rsidRDefault="00A761E9" w:rsidP="0056147A">
            <w:pPr>
              <w:widowControl w:val="0"/>
              <w:autoSpaceDE w:val="0"/>
              <w:autoSpaceDN w:val="0"/>
              <w:spacing w:after="120" w:line="276" w:lineRule="auto"/>
              <w:ind w:right="49"/>
              <w:jc w:val="both"/>
              <w:rPr>
                <w:rFonts w:ascii="Verdana" w:eastAsia="Calibri" w:hAnsi="Verdana" w:cs="Arial"/>
              </w:rPr>
            </w:pPr>
            <w:r w:rsidRPr="008E2DC6">
              <w:rPr>
                <w:rFonts w:ascii="Verdana" w:eastAsia="Calibri" w:hAnsi="Verdana" w:cs="Arial"/>
              </w:rPr>
              <w:t>Para dar contestación al problema jurídico planteado, es necesario precisar, en primer lugar, que la experiencia es una cualidad inherente a quien la adquiere y, por tanto, tiene un carácter personalísimo, razón por la cual, como regla general, es intransferible, salvo que exista una disposición legal o reglamentaria que autorice expresamente su traslado.</w:t>
            </w:r>
          </w:p>
          <w:p w14:paraId="3033E6E6" w14:textId="266441E3" w:rsidR="00A761E9" w:rsidRDefault="00A761E9" w:rsidP="0056147A">
            <w:pPr>
              <w:widowControl w:val="0"/>
              <w:autoSpaceDE w:val="0"/>
              <w:autoSpaceDN w:val="0"/>
              <w:spacing w:after="120" w:line="276" w:lineRule="auto"/>
              <w:ind w:right="51" w:firstLine="709"/>
              <w:jc w:val="both"/>
              <w:rPr>
                <w:rFonts w:ascii="Verdana" w:eastAsia="Calibri" w:hAnsi="Verdana" w:cs="Arial"/>
              </w:rPr>
            </w:pPr>
            <w:r w:rsidRPr="00CE156C">
              <w:rPr>
                <w:rFonts w:ascii="Verdana" w:eastAsia="Calibri" w:hAnsi="Verdana" w:cs="Arial"/>
              </w:rPr>
              <w:t>Lo anterior no obsta para que, de manera excepcional y con el propósito de promover la competitividad, la concurrencia y el desarrollo de las personas jurídicas de reciente creación, el numeral 2.5 del artículo 2.2.1.1.1.5.2 del Decreto 1082 de 2015 permite que las sociedades cuya constitución no supere los tres (3) años acrediten la experiencia de sus socios, accionistas o constituyentes. En estos eventos, la experiencia adquirida directamente por dichas personas puede ser utilizada por la sociedad para acreditar el cumplimiento de los requisitos que establezcan las entidades estatales en los procesos de contratación, favoreciendo así la participación de nuevos actores en el Sistema de Compra</w:t>
            </w:r>
            <w:r w:rsidR="00917F4C" w:rsidRPr="00CE156C">
              <w:rPr>
                <w:rFonts w:ascii="Verdana" w:eastAsia="Calibri" w:hAnsi="Verdana" w:cs="Arial"/>
              </w:rPr>
              <w:t xml:space="preserve"> y Contratación</w:t>
            </w:r>
            <w:r w:rsidRPr="00CE156C">
              <w:rPr>
                <w:rFonts w:ascii="Verdana" w:eastAsia="Calibri" w:hAnsi="Verdana" w:cs="Arial"/>
              </w:rPr>
              <w:t xml:space="preserve"> Pública.</w:t>
            </w:r>
          </w:p>
          <w:p w14:paraId="6F40765B" w14:textId="30002263" w:rsidR="00323DD8" w:rsidRPr="00286DDE" w:rsidRDefault="00323DD8" w:rsidP="00286DDE">
            <w:pPr>
              <w:spacing w:after="120" w:line="276" w:lineRule="auto"/>
              <w:ind w:firstLine="708"/>
              <w:jc w:val="both"/>
              <w:rPr>
                <w:rFonts w:ascii="Verdana" w:hAnsi="Verdana"/>
              </w:rPr>
            </w:pPr>
            <w:r>
              <w:rPr>
                <w:rFonts w:ascii="Verdana" w:eastAsia="Calibri" w:hAnsi="Verdana" w:cs="Arial"/>
                <w:color w:val="000000"/>
                <w:shd w:val="clear" w:color="auto" w:fill="FFFFFF"/>
              </w:rPr>
              <w:t>E</w:t>
            </w:r>
            <w:r>
              <w:rPr>
                <w:rFonts w:ascii="Verdana" w:eastAsia="Calibri" w:hAnsi="Verdana" w:cs="Arial"/>
                <w:color w:val="000000"/>
                <w:shd w:val="clear" w:color="auto" w:fill="FFFFFF"/>
                <w:lang w:val="es-ES"/>
              </w:rPr>
              <w:t>n atención a la consulta planteada debe señalarse que,</w:t>
            </w:r>
            <w:r w:rsidRPr="00EA560F">
              <w:rPr>
                <w:rFonts w:ascii="Verdana" w:eastAsia="Calibri" w:hAnsi="Verdana" w:cs="Arial"/>
                <w:color w:val="000000"/>
                <w:shd w:val="clear" w:color="auto" w:fill="FFFFFF"/>
                <w:lang w:val="es-ES"/>
              </w:rPr>
              <w:t xml:space="preserve"> </w:t>
            </w:r>
            <w:r w:rsidRPr="005821E0">
              <w:rPr>
                <w:rFonts w:ascii="Verdana" w:hAnsi="Verdana"/>
              </w:rPr>
              <w:t>si</w:t>
            </w:r>
            <w:r w:rsidRPr="001504A0">
              <w:rPr>
                <w:rFonts w:ascii="Verdana" w:hAnsi="Verdana"/>
              </w:rPr>
              <w:t xml:space="preserve"> la persona jurídica con menos de tres</w:t>
            </w:r>
            <w:r>
              <w:rPr>
                <w:rFonts w:ascii="Verdana" w:hAnsi="Verdana"/>
              </w:rPr>
              <w:t xml:space="preserve"> (3)</w:t>
            </w:r>
            <w:r w:rsidRPr="001504A0">
              <w:rPr>
                <w:rFonts w:ascii="Verdana" w:hAnsi="Verdana"/>
              </w:rPr>
              <w:t xml:space="preserve"> años de constituida registra la experiencia de sus socios en el RUP, y éste es renovado constantemente de forma oportuna, puede continuar utilizando la experiencia inscrita mientras no cesen los efectos del RUP, incluso después de transcurridos los tres</w:t>
            </w:r>
            <w:r>
              <w:rPr>
                <w:rFonts w:ascii="Verdana" w:hAnsi="Verdana"/>
              </w:rPr>
              <w:t xml:space="preserve"> (3)</w:t>
            </w:r>
            <w:r w:rsidRPr="001504A0">
              <w:rPr>
                <w:rFonts w:ascii="Verdana" w:hAnsi="Verdana"/>
              </w:rPr>
              <w:t xml:space="preserve"> años. Por el contrario, si no se renueva y la persona jurídica supera los tres </w:t>
            </w:r>
            <w:r>
              <w:rPr>
                <w:rFonts w:ascii="Verdana" w:hAnsi="Verdana"/>
              </w:rPr>
              <w:t xml:space="preserve">(3) </w:t>
            </w:r>
            <w:r w:rsidRPr="001504A0">
              <w:rPr>
                <w:rFonts w:ascii="Verdana" w:hAnsi="Verdana"/>
              </w:rPr>
              <w:t xml:space="preserve">años de constituida, la experiencia que registró de sus socios no puede ser inscrita nuevamente, puesto que el RUP ha cesado </w:t>
            </w:r>
            <w:r>
              <w:rPr>
                <w:rFonts w:ascii="Verdana" w:hAnsi="Verdana"/>
              </w:rPr>
              <w:t xml:space="preserve">en </w:t>
            </w:r>
            <w:r w:rsidRPr="001504A0">
              <w:rPr>
                <w:rFonts w:ascii="Verdana" w:hAnsi="Verdana"/>
              </w:rPr>
              <w:t xml:space="preserve">sus efectos y la cámara de comercio tiene que hacer nuevamente la verificación documental de la información presentada al momento de inscribirse en el registro. </w:t>
            </w:r>
          </w:p>
          <w:p w14:paraId="522DDDBF" w14:textId="77777777" w:rsidR="00A761E9" w:rsidRPr="008E2DC6" w:rsidRDefault="00A761E9" w:rsidP="0056147A">
            <w:pPr>
              <w:widowControl w:val="0"/>
              <w:autoSpaceDE w:val="0"/>
              <w:autoSpaceDN w:val="0"/>
              <w:spacing w:after="120" w:line="276" w:lineRule="auto"/>
              <w:ind w:right="51" w:firstLine="709"/>
              <w:jc w:val="both"/>
              <w:rPr>
                <w:rFonts w:ascii="Verdana" w:eastAsia="Calibri" w:hAnsi="Verdana" w:cs="Arial"/>
              </w:rPr>
            </w:pPr>
            <w:r w:rsidRPr="00323DD8">
              <w:rPr>
                <w:rFonts w:ascii="Verdana" w:eastAsia="Calibri" w:hAnsi="Verdana" w:cs="Arial"/>
              </w:rPr>
              <w:t>Ahora bien, en segundo lugar, debemos acotar que de conformidad con el artículo 6 de la Ley 1150 de 2007, las personas naturales o jurídicas que aspiren a celebrar contratos con las entidades estatales deberán estar inscritas en el Registro Único de Proponentes (RUP), instrumento en e</w:t>
            </w:r>
            <w:r w:rsidRPr="008E2DC6">
              <w:rPr>
                <w:rFonts w:ascii="Verdana" w:eastAsia="Calibri" w:hAnsi="Verdana" w:cs="Arial"/>
              </w:rPr>
              <w:t xml:space="preserve">l que consta, entre otros aspectos, la información relativa a la experiencia, la </w:t>
            </w:r>
            <w:r w:rsidRPr="008E2DC6">
              <w:rPr>
                <w:rFonts w:ascii="Verdana" w:eastAsia="Calibri" w:hAnsi="Verdana" w:cs="Arial"/>
              </w:rPr>
              <w:lastRenderedPageBreak/>
              <w:t>capacidad jurídica, financiera y organizacional de los proponentes. Sin embargo, la misma disposición prevé que dicho registro no será exigible, entre otros eventos, en los procesos de contratación de mínima cuantía, correspondiendo en estos casos a la entidad estatal verificar directamente el cumplimiento de las condiciones exigidas a los proponentes.</w:t>
            </w:r>
          </w:p>
          <w:p w14:paraId="7060779B" w14:textId="77BF7167" w:rsidR="008E2DC6" w:rsidRDefault="00A761E9" w:rsidP="008E2DC6">
            <w:pPr>
              <w:pStyle w:val="Textoindependiente"/>
              <w:spacing w:after="120" w:line="276" w:lineRule="auto"/>
              <w:ind w:firstLine="709"/>
              <w:jc w:val="both"/>
              <w:rPr>
                <w:rFonts w:ascii="Verdana" w:hAnsi="Verdana"/>
              </w:rPr>
            </w:pPr>
            <w:r w:rsidRPr="008E2DC6">
              <w:rPr>
                <w:rFonts w:ascii="Verdana" w:eastAsia="Calibri" w:hAnsi="Verdana"/>
              </w:rPr>
              <w:t xml:space="preserve">En ese sentido, </w:t>
            </w:r>
            <w:r w:rsidR="008E2DC6" w:rsidRPr="003F2395">
              <w:rPr>
                <w:rFonts w:ascii="Verdana" w:eastAsia="Calibri" w:hAnsi="Verdana"/>
                <w:color w:val="000000"/>
                <w:shd w:val="clear" w:color="auto" w:fill="FFFFFF"/>
              </w:rPr>
              <w:t xml:space="preserve">es necesario </w:t>
            </w:r>
            <w:r w:rsidR="008E2DC6" w:rsidRPr="007658A1">
              <w:rPr>
                <w:rFonts w:ascii="Verdana" w:eastAsia="Calibri" w:hAnsi="Verdana"/>
                <w:color w:val="000000"/>
                <w:shd w:val="clear" w:color="auto" w:fill="FFFFFF"/>
              </w:rPr>
              <w:t xml:space="preserve">analizar </w:t>
            </w:r>
            <w:r w:rsidR="008E2DC6" w:rsidRPr="004F6D5A">
              <w:rPr>
                <w:rFonts w:ascii="Verdana" w:hAnsi="Verdana"/>
              </w:rPr>
              <w:t xml:space="preserve">¿qué ocurre con la medida contenida en el inciso final del numeral 2.5 del artículo 2.2.1.1.1.5.2 del Decreto 1082 de 2015 en aquellos casos en que la persona jurídica con menos de 3 años de constitución no está inscrita en el RUP? ¿pueden las sociedades recién creadas -con menos de </w:t>
            </w:r>
            <w:r w:rsidR="008E2DC6">
              <w:rPr>
                <w:rFonts w:ascii="Verdana" w:hAnsi="Verdana"/>
              </w:rPr>
              <w:t>tres (</w:t>
            </w:r>
            <w:r w:rsidR="008E2DC6" w:rsidRPr="004F6D5A">
              <w:rPr>
                <w:rFonts w:ascii="Verdana" w:hAnsi="Verdana"/>
              </w:rPr>
              <w:t>3</w:t>
            </w:r>
            <w:r w:rsidR="008E2DC6">
              <w:rPr>
                <w:rFonts w:ascii="Verdana" w:hAnsi="Verdana"/>
              </w:rPr>
              <w:t>)</w:t>
            </w:r>
            <w:r w:rsidR="008E2DC6" w:rsidRPr="004F6D5A">
              <w:rPr>
                <w:rFonts w:ascii="Verdana" w:hAnsi="Verdana"/>
              </w:rPr>
              <w:t xml:space="preserve"> años- acreditar la experiencia de sus socios, accionistas o constituyentes en los procesos del segundo inciso del artículo 6 de la Ley 1150 de 2007, esto es, cuando no se exige que el proponente no se inscriba en el RUP?</w:t>
            </w:r>
          </w:p>
          <w:p w14:paraId="066E7C79" w14:textId="57B8C7E0" w:rsidR="008E2DC6" w:rsidRPr="00286DDE" w:rsidRDefault="008E2DC6" w:rsidP="00286DDE">
            <w:pPr>
              <w:pStyle w:val="Textoindependiente"/>
              <w:spacing w:after="120" w:line="276" w:lineRule="auto"/>
              <w:ind w:firstLine="709"/>
              <w:jc w:val="both"/>
              <w:rPr>
                <w:rFonts w:ascii="Verdana" w:hAnsi="Verdana"/>
              </w:rPr>
            </w:pPr>
            <w:r w:rsidRPr="004F6D5A">
              <w:rPr>
                <w:rFonts w:ascii="Verdana" w:hAnsi="Verdana"/>
              </w:rPr>
              <w:t xml:space="preserve">Teniendo en cuenta que la posibilidad de acreditar la experiencia de los socios para las personas jurídicas con menos de tres (3) años de constitución se encuentra contenida en una norma que regula el RUP, en principio, solo aplicaría para los casos en los que la persona jurídica está inscrita en dicho registro. Para los demás eventos, esto es para aquellos en los que no es exigible el RUP, la </w:t>
            </w:r>
            <w:r>
              <w:rPr>
                <w:rFonts w:ascii="Verdana" w:hAnsi="Verdana"/>
              </w:rPr>
              <w:t>E</w:t>
            </w:r>
            <w:r w:rsidRPr="004F6D5A">
              <w:rPr>
                <w:rFonts w:ascii="Verdana" w:hAnsi="Verdana"/>
              </w:rPr>
              <w:t>ntidad, en virtud de su autonomía, puede determinar en los pliegos de condiciones</w:t>
            </w:r>
            <w:r>
              <w:rPr>
                <w:rFonts w:ascii="Verdana" w:hAnsi="Verdana"/>
              </w:rPr>
              <w:t xml:space="preserve"> o documento equivalente</w:t>
            </w:r>
            <w:r w:rsidRPr="004F6D5A">
              <w:rPr>
                <w:rFonts w:ascii="Verdana" w:hAnsi="Verdana"/>
              </w:rPr>
              <w:t xml:space="preserve"> que en la evaluación del requisito de experiencia tendrá en cuenta la experiencia de los socios, accionistas o constituyentes de aquellas personas jurídicas con menos de tres (3) años de constitución. Así las cosas, </w:t>
            </w:r>
            <w:r w:rsidR="00746799">
              <w:rPr>
                <w:rFonts w:ascii="Verdana" w:hAnsi="Verdana"/>
              </w:rPr>
              <w:t>l</w:t>
            </w:r>
            <w:r w:rsidRPr="004F6D5A">
              <w:rPr>
                <w:rFonts w:ascii="Verdana" w:hAnsi="Verdana"/>
              </w:rPr>
              <w:t>a entidad contratante tiene la carga de verificar, entre otros, el requisito de experiencia de los oferentes y ello lo hará de conformidad con la regla que al efecto haya establecido en los pliegos de condiciones o documento equivalente.</w:t>
            </w:r>
          </w:p>
          <w:p w14:paraId="44A0BA35" w14:textId="247F3B8E" w:rsidR="00A761E9" w:rsidRPr="008E2DC6" w:rsidRDefault="008E2DC6" w:rsidP="0056147A">
            <w:pPr>
              <w:widowControl w:val="0"/>
              <w:autoSpaceDE w:val="0"/>
              <w:autoSpaceDN w:val="0"/>
              <w:spacing w:after="120" w:line="276" w:lineRule="auto"/>
              <w:ind w:right="51" w:firstLine="709"/>
              <w:jc w:val="both"/>
              <w:rPr>
                <w:rFonts w:ascii="Verdana" w:eastAsia="Calibri" w:hAnsi="Verdana" w:cs="Arial"/>
              </w:rPr>
            </w:pPr>
            <w:r>
              <w:rPr>
                <w:rFonts w:ascii="Verdana" w:eastAsia="Calibri" w:hAnsi="Verdana" w:cs="Arial"/>
              </w:rPr>
              <w:t xml:space="preserve">Así las cosas, </w:t>
            </w:r>
            <w:r w:rsidR="00A761E9" w:rsidRPr="008E2DC6">
              <w:rPr>
                <w:rFonts w:ascii="Verdana" w:eastAsia="Calibri" w:hAnsi="Verdana" w:cs="Arial"/>
              </w:rPr>
              <w:t xml:space="preserve">tratándose de procedimientos de selección de mínima cuantía, en los que la inscripción en el RUP no constituye un requisito obligatorio, la acreditación de la experiencia no se encuentra supeditada a dicho registro. Por el contrario, corresponde a la </w:t>
            </w:r>
            <w:r>
              <w:rPr>
                <w:rFonts w:ascii="Verdana" w:eastAsia="Calibri" w:hAnsi="Verdana" w:cs="Arial"/>
              </w:rPr>
              <w:t>E</w:t>
            </w:r>
            <w:r w:rsidR="00A761E9" w:rsidRPr="008E2DC6">
              <w:rPr>
                <w:rFonts w:ascii="Verdana" w:eastAsia="Calibri" w:hAnsi="Verdana" w:cs="Arial"/>
              </w:rPr>
              <w:t xml:space="preserve">ntidad </w:t>
            </w:r>
            <w:r>
              <w:rPr>
                <w:rFonts w:ascii="Verdana" w:eastAsia="Calibri" w:hAnsi="Verdana" w:cs="Arial"/>
              </w:rPr>
              <w:t>E</w:t>
            </w:r>
            <w:r w:rsidR="00A761E9" w:rsidRPr="008E2DC6">
              <w:rPr>
                <w:rFonts w:ascii="Verdana" w:eastAsia="Calibri" w:hAnsi="Verdana" w:cs="Arial"/>
              </w:rPr>
              <w:t xml:space="preserve">statal, en ejercicio de la autonomía con la que cuenta para estructurar el proceso de selección y definir las condiciones de participación, establecer en los estudios previos, la invitación pública y los demás documentos del proceso si exigirá experiencia a los oferentes y, de ser así, determinar los medios idóneos para su acreditación y verificación, siempre que tales condiciones sean objetivas, </w:t>
            </w:r>
            <w:r w:rsidR="00A761E9" w:rsidRPr="008E2DC6">
              <w:rPr>
                <w:rFonts w:ascii="Verdana" w:eastAsia="Calibri" w:hAnsi="Verdana" w:cs="Arial"/>
              </w:rPr>
              <w:lastRenderedPageBreak/>
              <w:t>proporcionales al objeto contractual y respeten los principios que rigen la contratación estatal.</w:t>
            </w:r>
          </w:p>
          <w:p w14:paraId="65146A94" w14:textId="401C85EF" w:rsidR="00A761E9" w:rsidRDefault="00A761E9" w:rsidP="0056147A">
            <w:pPr>
              <w:widowControl w:val="0"/>
              <w:autoSpaceDE w:val="0"/>
              <w:autoSpaceDN w:val="0"/>
              <w:spacing w:after="120" w:line="276" w:lineRule="auto"/>
              <w:ind w:right="51" w:firstLine="709"/>
              <w:jc w:val="both"/>
              <w:rPr>
                <w:rFonts w:ascii="Verdana" w:eastAsia="Calibri" w:hAnsi="Verdana" w:cs="Arial"/>
              </w:rPr>
            </w:pPr>
            <w:r w:rsidRPr="008E2DC6">
              <w:rPr>
                <w:rFonts w:ascii="Verdana" w:eastAsia="Calibri" w:hAnsi="Verdana" w:cs="Arial"/>
              </w:rPr>
              <w:t xml:space="preserve">En consecuencia, cuando en un proceso de mínima cuantía una sociedad pretenda acreditar la experiencia de sus socios, accionistas o constituyentes al amparo de la excepción prevista en el numeral 2.5 del artículo 2.2.1.1.1.5.2 del Decreto 1082 de 2015, la forma en que dicha experiencia deberá acreditarse dependerá de las reglas definidas por la entidad estatal en los documentos del proceso. En este escenario, corresponderá a la </w:t>
            </w:r>
            <w:r w:rsidR="008E2DC6">
              <w:rPr>
                <w:rFonts w:ascii="Verdana" w:eastAsia="Calibri" w:hAnsi="Verdana" w:cs="Arial"/>
              </w:rPr>
              <w:t>E</w:t>
            </w:r>
            <w:r w:rsidRPr="008E2DC6">
              <w:rPr>
                <w:rFonts w:ascii="Verdana" w:eastAsia="Calibri" w:hAnsi="Verdana" w:cs="Arial"/>
              </w:rPr>
              <w:t>ntidad establecer las condiciones y los documentos que permitan verificar que la experiencia aportada cumple los requisitos previstos en la invitación pública, sin que la ausencia del RUP impida, por sí sola, la acreditación de la experiencia cuando la normativa autorice su utilización.</w:t>
            </w:r>
          </w:p>
          <w:p w14:paraId="55EC6427" w14:textId="7A9B2026" w:rsidR="008E2DC6" w:rsidRPr="00286DDE" w:rsidRDefault="008E2DC6" w:rsidP="00286DDE">
            <w:pPr>
              <w:pStyle w:val="Textoindependiente"/>
              <w:spacing w:after="120" w:line="276" w:lineRule="auto"/>
              <w:ind w:firstLine="709"/>
              <w:jc w:val="both"/>
              <w:rPr>
                <w:rFonts w:ascii="Verdana" w:hAnsi="Verdana"/>
              </w:rPr>
            </w:pPr>
            <w:r>
              <w:rPr>
                <w:rFonts w:ascii="Verdana" w:hAnsi="Verdana"/>
              </w:rPr>
              <w:t>En todo caso</w:t>
            </w:r>
            <w:r w:rsidRPr="004F6D5A">
              <w:rPr>
                <w:rFonts w:ascii="Verdana" w:hAnsi="Verdana"/>
              </w:rPr>
              <w:t xml:space="preserve">, la Subdirección de Gestión Contractual considera, a pesar de la discrecionalidad y autonomía que les asiste a las </w:t>
            </w:r>
            <w:r>
              <w:rPr>
                <w:rFonts w:ascii="Verdana" w:hAnsi="Verdana"/>
              </w:rPr>
              <w:t>E</w:t>
            </w:r>
            <w:r w:rsidRPr="004F6D5A">
              <w:rPr>
                <w:rFonts w:ascii="Verdana" w:hAnsi="Verdana"/>
              </w:rPr>
              <w:t>ntidades contratantes, que la regla expresada en el numeral 2.5 del artículo 2.2.1.1.1.5.2 del Decreto 1082 de 2015 se debe hacer extensiva, inclusive, a las personas jurídicas que no estén inscritas en el RUP y participen en los procesos de selección exceptuados por el segundo inciso del artículo 6 de la Ley 1150 de 2007.</w:t>
            </w:r>
          </w:p>
          <w:p w14:paraId="5B499C1C" w14:textId="77777777" w:rsidR="00A761E9" w:rsidRPr="00CE156C" w:rsidRDefault="00A761E9" w:rsidP="0056147A">
            <w:pPr>
              <w:spacing w:after="120" w:line="276" w:lineRule="auto"/>
              <w:ind w:firstLine="709"/>
              <w:contextualSpacing/>
              <w:jc w:val="both"/>
              <w:rPr>
                <w:rFonts w:ascii="Verdana" w:eastAsia="Arial" w:hAnsi="Verdana" w:cs="Arial"/>
                <w:color w:val="000000" w:themeColor="text1"/>
                <w:lang w:val="es-ES"/>
              </w:rPr>
            </w:pPr>
            <w:r w:rsidRPr="008E2DC6">
              <w:rPr>
                <w:rStyle w:val="s15"/>
                <w:rFonts w:ascii="Verdana" w:hAnsi="Verdana"/>
                <w:color w:val="000000"/>
              </w:rPr>
              <w:t xml:space="preserve">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Por lo anterior, previo 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w:t>
            </w:r>
            <w:r w:rsidRPr="00CE156C">
              <w:rPr>
                <w:rStyle w:val="s15"/>
                <w:rFonts w:ascii="Verdana" w:hAnsi="Verdana"/>
                <w:color w:val="000000"/>
              </w:rPr>
              <w:t>atribución de Colombia Compra Eficiente validar sus actuaciones.</w:t>
            </w:r>
          </w:p>
        </w:tc>
      </w:tr>
    </w:tbl>
    <w:p w14:paraId="64BE3191" w14:textId="77777777" w:rsidR="00A761E9" w:rsidRPr="00CE156C" w:rsidRDefault="00A761E9" w:rsidP="00F926E2">
      <w:pPr>
        <w:tabs>
          <w:tab w:val="left" w:pos="142"/>
          <w:tab w:val="left" w:pos="284"/>
        </w:tabs>
        <w:spacing w:after="0" w:line="276" w:lineRule="auto"/>
        <w:jc w:val="both"/>
        <w:rPr>
          <w:rFonts w:ascii="Verdana" w:eastAsia="Century Gothic" w:hAnsi="Verdana" w:cs="Century Gothic"/>
          <w:b/>
          <w:bCs/>
        </w:rPr>
      </w:pPr>
    </w:p>
    <w:p w14:paraId="6F8065B5" w14:textId="60961F6F" w:rsidR="00A761E9" w:rsidRPr="00F07E96" w:rsidRDefault="00A761E9" w:rsidP="00F926E2">
      <w:pPr>
        <w:tabs>
          <w:tab w:val="left" w:pos="142"/>
          <w:tab w:val="left" w:pos="284"/>
        </w:tabs>
        <w:spacing w:after="0" w:line="276" w:lineRule="auto"/>
        <w:jc w:val="both"/>
        <w:rPr>
          <w:rFonts w:ascii="Verdana" w:eastAsia="Century Gothic" w:hAnsi="Verdana" w:cs="Century Gothic"/>
          <w:b/>
          <w:bCs/>
        </w:rPr>
      </w:pPr>
      <w:r w:rsidRPr="00F07E96">
        <w:rPr>
          <w:rFonts w:ascii="Verdana" w:eastAsia="Century Gothic" w:hAnsi="Verdana" w:cs="Century Gothic"/>
          <w:b/>
          <w:bCs/>
        </w:rPr>
        <w:t>3. Razones de la respuesta:</w:t>
      </w:r>
    </w:p>
    <w:p w14:paraId="7A40D7A9" w14:textId="77777777" w:rsidR="00EA4C5D" w:rsidRPr="00F926E2" w:rsidRDefault="00EA4C5D" w:rsidP="00286DDE">
      <w:pPr>
        <w:tabs>
          <w:tab w:val="left" w:pos="142"/>
          <w:tab w:val="left" w:pos="284"/>
        </w:tabs>
        <w:spacing w:after="0" w:line="276" w:lineRule="auto"/>
        <w:jc w:val="both"/>
        <w:rPr>
          <w:rFonts w:ascii="Verdana" w:eastAsia="Calibri" w:hAnsi="Verdana" w:cs="Arial"/>
        </w:rPr>
      </w:pPr>
    </w:p>
    <w:p w14:paraId="2BCACF62" w14:textId="77777777" w:rsidR="00A761E9" w:rsidRPr="00BE636B" w:rsidRDefault="00A761E9" w:rsidP="00286DDE">
      <w:pPr>
        <w:tabs>
          <w:tab w:val="left" w:pos="142"/>
          <w:tab w:val="left" w:pos="284"/>
        </w:tabs>
        <w:spacing w:after="0" w:line="276" w:lineRule="auto"/>
        <w:jc w:val="both"/>
        <w:rPr>
          <w:rFonts w:ascii="Verdana" w:eastAsia="Calibri" w:hAnsi="Verdana" w:cs="Arial"/>
        </w:rPr>
      </w:pPr>
      <w:r w:rsidRPr="00F926E2">
        <w:rPr>
          <w:rFonts w:ascii="Verdana" w:eastAsia="Calibri" w:hAnsi="Verdana" w:cs="Arial"/>
        </w:rPr>
        <w:t xml:space="preserve">Lo anterior se sustenta en las siguientes consideraciones: </w:t>
      </w:r>
    </w:p>
    <w:p w14:paraId="1AEBE703" w14:textId="77777777" w:rsidR="00EA4C5D" w:rsidRPr="008E2DC6" w:rsidRDefault="00EA4C5D" w:rsidP="00286DDE">
      <w:pPr>
        <w:spacing w:after="0" w:line="276" w:lineRule="auto"/>
        <w:jc w:val="both"/>
        <w:rPr>
          <w:rFonts w:ascii="Verdana" w:hAnsi="Verdana" w:cs="Arial"/>
          <w:bCs/>
          <w:lang w:val="es-ES_tradnl" w:eastAsia="es-ES" w:bidi="es-ES"/>
        </w:rPr>
      </w:pPr>
    </w:p>
    <w:p w14:paraId="1E82BB8B" w14:textId="7C05C968" w:rsidR="00A761E9" w:rsidRPr="00CE156C" w:rsidRDefault="00A761E9" w:rsidP="00A21C4A">
      <w:pPr>
        <w:spacing w:after="120" w:line="276" w:lineRule="auto"/>
        <w:jc w:val="both"/>
        <w:rPr>
          <w:rFonts w:ascii="Verdana" w:hAnsi="Verdana" w:cs="Arial"/>
          <w:bCs/>
          <w:lang w:val="es-ES_tradnl" w:eastAsia="es-ES" w:bidi="es-ES"/>
        </w:rPr>
      </w:pPr>
      <w:r w:rsidRPr="008E2DC6">
        <w:rPr>
          <w:rFonts w:ascii="Verdana" w:hAnsi="Verdana" w:cs="Arial"/>
          <w:bCs/>
          <w:lang w:val="es-ES_tradnl" w:eastAsia="es-ES" w:bidi="es-ES"/>
        </w:rPr>
        <w:t xml:space="preserve">Los </w:t>
      </w:r>
      <w:r w:rsidRPr="008E2DC6">
        <w:rPr>
          <w:rFonts w:ascii="Verdana" w:hAnsi="Verdana" w:cs="Arial"/>
          <w:bCs/>
          <w:i/>
          <w:iCs/>
          <w:lang w:val="es-ES_tradnl" w:eastAsia="es-ES" w:bidi="es-ES"/>
        </w:rPr>
        <w:t>requisitos habilitantes</w:t>
      </w:r>
      <w:r w:rsidRPr="008E2DC6">
        <w:rPr>
          <w:rFonts w:ascii="Verdana" w:hAnsi="Verdana" w:cs="Arial"/>
          <w:bCs/>
          <w:lang w:val="es-ES_tradnl" w:eastAsia="es-ES" w:bidi="es-ES"/>
        </w:rPr>
        <w:t xml:space="preserve"> se definen como exigencias de participación en los procedimientos de selección, establecidas en disposiciones normativas de carácter legal o reglamentario, o contenidas en el acto administrativo que regula </w:t>
      </w:r>
      <w:r w:rsidRPr="008E2DC6">
        <w:rPr>
          <w:rFonts w:ascii="Verdana" w:hAnsi="Verdana" w:cs="Arial"/>
          <w:bCs/>
          <w:lang w:val="es-ES_tradnl" w:eastAsia="es-ES" w:bidi="es-ES"/>
        </w:rPr>
        <w:lastRenderedPageBreak/>
        <w:t>las reglas de la convocatoria, es decir, en el pl</w:t>
      </w:r>
      <w:r w:rsidRPr="00CE156C">
        <w:rPr>
          <w:rFonts w:ascii="Verdana" w:hAnsi="Verdana" w:cs="Arial"/>
          <w:bCs/>
          <w:lang w:val="es-ES_tradnl" w:eastAsia="es-ES" w:bidi="es-ES"/>
        </w:rPr>
        <w:t xml:space="preserve">iego de condiciones o el documento equivalente a este. Se diferencian de los </w:t>
      </w:r>
      <w:r w:rsidRPr="00CE156C">
        <w:rPr>
          <w:rFonts w:ascii="Verdana" w:hAnsi="Verdana" w:cs="Arial"/>
          <w:bCs/>
          <w:i/>
          <w:iCs/>
          <w:lang w:val="es-ES_tradnl" w:eastAsia="es-ES" w:bidi="es-ES"/>
        </w:rPr>
        <w:t>criterios de evaluación</w:t>
      </w:r>
      <w:r w:rsidRPr="00CE156C">
        <w:rPr>
          <w:rFonts w:ascii="Verdana" w:hAnsi="Verdana" w:cs="Arial"/>
          <w:bCs/>
          <w:lang w:val="es-ES_tradnl" w:eastAsia="es-ES" w:bidi="es-ES"/>
        </w:rPr>
        <w:t xml:space="preserve"> –también conocidos como </w:t>
      </w:r>
      <w:r w:rsidRPr="00CE156C">
        <w:rPr>
          <w:rFonts w:ascii="Verdana" w:hAnsi="Verdana" w:cs="Arial"/>
          <w:bCs/>
          <w:i/>
          <w:iCs/>
          <w:lang w:val="es-ES_tradnl" w:eastAsia="es-ES" w:bidi="es-ES"/>
        </w:rPr>
        <w:t>criterios de calificación</w:t>
      </w:r>
      <w:r w:rsidRPr="00CE156C">
        <w:rPr>
          <w:rFonts w:ascii="Verdana" w:hAnsi="Verdana" w:cs="Arial"/>
          <w:bCs/>
          <w:lang w:val="es-ES_tradnl" w:eastAsia="es-ES" w:bidi="es-ES"/>
        </w:rPr>
        <w:t xml:space="preserve">– en que estos son los factores definidos por la Entidad Estatal para la asignación de puntaje en el momento de la comparación de las ofertas, y que, a partir de su ponderación, permiten establecer el orden de elegibilidad y, por ende, la propuesta ganadora. </w:t>
      </w:r>
    </w:p>
    <w:p w14:paraId="18618E47" w14:textId="77777777" w:rsidR="00A761E9" w:rsidRPr="00CE156C" w:rsidRDefault="00A761E9" w:rsidP="00CE156C">
      <w:pPr>
        <w:spacing w:after="120" w:line="276" w:lineRule="auto"/>
        <w:ind w:firstLine="709"/>
        <w:jc w:val="both"/>
        <w:rPr>
          <w:rFonts w:ascii="Verdana" w:eastAsia="Calibri" w:hAnsi="Verdana" w:cs="Arial"/>
          <w:lang w:val="es-ES" w:eastAsia="es-MX"/>
        </w:rPr>
      </w:pPr>
      <w:bookmarkStart w:id="3" w:name="_Hlk191626670"/>
      <w:r w:rsidRPr="00CE156C">
        <w:rPr>
          <w:rFonts w:ascii="Verdana" w:eastAsia="Calibri" w:hAnsi="Verdana" w:cs="Arial"/>
          <w:lang w:val="es-ES" w:eastAsia="es-MX"/>
        </w:rPr>
        <w:t xml:space="preserve">Los requisitos habilitantes constituyen los requisitos mínimos con los que deben cumplir los proponentes para poder participar en el procedimiento de selección, razón por la que los mismos no se valoran con un puntaje tendiente a determinar el orden de escogencia, sino que se analizan como criterios previos a la evaluación en sentido estricto. De esta manera, quienes no los reúnan no pueden continuar en el procedimiento de selección, es decir, incurren en causal de rechazo. </w:t>
      </w:r>
      <w:bookmarkEnd w:id="3"/>
      <w:r w:rsidRPr="00CE156C">
        <w:rPr>
          <w:rFonts w:ascii="Verdana" w:eastAsia="Calibri" w:hAnsi="Verdana" w:cs="Arial"/>
          <w:lang w:val="es-ES" w:eastAsia="es-MX"/>
        </w:rPr>
        <w:t xml:space="preserve">Esto, sin perjuicio del derecho que tienen los oferentes de subsanar los defectos que se presenten en la prueba de tales requisitos, de conformidad con el </w:t>
      </w:r>
      <w:bookmarkStart w:id="4" w:name="_Hlk191626971"/>
      <w:r w:rsidRPr="00CE156C">
        <w:rPr>
          <w:rFonts w:ascii="Verdana" w:eastAsia="Calibri" w:hAnsi="Verdana" w:cs="Arial"/>
          <w:lang w:val="es-ES" w:eastAsia="es-MX"/>
        </w:rPr>
        <w:t>artículo 5, parágrafos 1º al 4º, de la Ley 1150 de 2007</w:t>
      </w:r>
      <w:bookmarkEnd w:id="4"/>
      <w:r w:rsidRPr="00CE156C">
        <w:rPr>
          <w:rFonts w:ascii="Verdana" w:eastAsia="Calibri" w:hAnsi="Verdana" w:cs="Arial"/>
          <w:lang w:val="es-ES" w:eastAsia="es-MX"/>
        </w:rPr>
        <w:t>.</w:t>
      </w:r>
    </w:p>
    <w:p w14:paraId="719BF7E8" w14:textId="6A0B76EF" w:rsidR="00A761E9" w:rsidRPr="00CE156C" w:rsidRDefault="00A761E9" w:rsidP="00F926E2">
      <w:pPr>
        <w:spacing w:after="120" w:line="276" w:lineRule="auto"/>
        <w:ind w:firstLine="709"/>
        <w:jc w:val="both"/>
        <w:rPr>
          <w:rFonts w:ascii="Verdana" w:hAnsi="Verdana" w:cs="Arial"/>
          <w:color w:val="000000" w:themeColor="text1"/>
          <w:lang w:val="es-ES_tradnl"/>
        </w:rPr>
      </w:pPr>
      <w:r w:rsidRPr="00CE156C">
        <w:rPr>
          <w:rFonts w:ascii="Verdana" w:hAnsi="Verdana" w:cs="Arial"/>
          <w:color w:val="000000" w:themeColor="text1"/>
          <w:lang w:val="es-ES_tradnl"/>
        </w:rPr>
        <w:t>El mencionado artículo dispone que se considera objetiva la selección en la cual la escogencia se haga al ofrecimiento más favorable a la Entidad y a los fines que ella busca, sin tener en consideración factores de afecto o de interés y, en general, cualquier clase de motivación subjetiva</w:t>
      </w:r>
      <w:r w:rsidRPr="00CE156C">
        <w:rPr>
          <w:rFonts w:ascii="Verdana" w:hAnsi="Verdana" w:cs="Arial"/>
          <w:i/>
          <w:iCs/>
          <w:color w:val="000000" w:themeColor="text1"/>
          <w:lang w:val="es-ES_tradnl"/>
        </w:rPr>
        <w:t>.</w:t>
      </w:r>
      <w:r w:rsidRPr="00CE156C">
        <w:rPr>
          <w:rFonts w:ascii="Verdana" w:hAnsi="Verdana" w:cs="Arial"/>
          <w:color w:val="000000" w:themeColor="text1"/>
          <w:lang w:val="es-ES_tradnl"/>
        </w:rPr>
        <w:t xml:space="preserve"> En ese contexto, los factores de escogencia y calificación que establezcan las Entidades en los pliegos de condiciones o en sus documentos equivalentes deberán tener en cuenta, entre otras cuestiones, los criterios establecidos en dicha disposición. </w:t>
      </w:r>
    </w:p>
    <w:p w14:paraId="07826F61" w14:textId="77777777" w:rsidR="00A761E9" w:rsidRPr="00CE156C" w:rsidRDefault="00A761E9" w:rsidP="00286DDE">
      <w:pPr>
        <w:spacing w:after="0" w:line="276" w:lineRule="auto"/>
        <w:ind w:firstLine="709"/>
        <w:jc w:val="both"/>
        <w:rPr>
          <w:rFonts w:ascii="Verdana" w:hAnsi="Verdana" w:cs="Arial"/>
          <w:bCs/>
          <w:lang w:val="es-ES" w:eastAsia="es-ES" w:bidi="es-ES"/>
        </w:rPr>
      </w:pPr>
      <w:r w:rsidRPr="00CE156C">
        <w:rPr>
          <w:rFonts w:ascii="Verdana" w:hAnsi="Verdana" w:cs="Arial"/>
          <w:bCs/>
          <w:lang w:val="es-ES" w:eastAsia="es-ES" w:bidi="es-ES"/>
        </w:rPr>
        <w:t xml:space="preserve">Específicamente, el numeral 1º del artículo 5 de la Ley 1150 de 2007 establece que, en los procesos de selección de contratistas, serán objeto de verificación, como requisitos habilitantes, </w:t>
      </w:r>
      <w:r w:rsidRPr="00CE156C">
        <w:rPr>
          <w:rFonts w:ascii="Verdana" w:hAnsi="Verdana" w:cs="Arial"/>
          <w:bCs/>
          <w:i/>
          <w:iCs/>
          <w:lang w:val="es-ES" w:eastAsia="es-ES" w:bidi="es-ES"/>
        </w:rPr>
        <w:t>entre otros</w:t>
      </w:r>
      <w:r w:rsidRPr="00CE156C">
        <w:rPr>
          <w:rFonts w:ascii="Verdana" w:hAnsi="Verdana" w:cs="Arial"/>
          <w:bCs/>
          <w:lang w:val="es-ES" w:eastAsia="es-ES" w:bidi="es-ES"/>
        </w:rPr>
        <w:t>, los siguientes: (i) la capacidad jurídica; (ii) la experiencia; (iii) la capacidad financiera y (iv) la capacidad de organización. En efecto, la normativa citada prescribe:</w:t>
      </w:r>
    </w:p>
    <w:p w14:paraId="471F3739" w14:textId="77777777" w:rsidR="00361787" w:rsidRPr="00286DDE" w:rsidRDefault="00361787" w:rsidP="00286DDE">
      <w:pPr>
        <w:spacing w:after="0" w:line="276" w:lineRule="auto"/>
        <w:ind w:right="709"/>
        <w:jc w:val="both"/>
        <w:rPr>
          <w:rFonts w:ascii="Verdana" w:hAnsi="Verdana" w:cs="Arial"/>
          <w:i/>
          <w:lang w:val="es-ES_tradnl" w:eastAsia="es-ES" w:bidi="es-ES"/>
        </w:rPr>
      </w:pPr>
    </w:p>
    <w:p w14:paraId="0DCD6DA7" w14:textId="3FAC5958" w:rsidR="00361787" w:rsidRPr="00CE156C" w:rsidRDefault="00A761E9" w:rsidP="00286DDE">
      <w:pPr>
        <w:spacing w:after="0" w:line="240" w:lineRule="auto"/>
        <w:ind w:right="709" w:firstLine="708"/>
        <w:jc w:val="both"/>
        <w:rPr>
          <w:rFonts w:ascii="Verdana" w:hAnsi="Verdana" w:cs="Arial"/>
          <w:sz w:val="20"/>
          <w:szCs w:val="20"/>
          <w:lang w:val="es-ES_tradnl" w:eastAsia="es-ES" w:bidi="es-ES"/>
        </w:rPr>
      </w:pPr>
      <w:r w:rsidRPr="00CE156C">
        <w:rPr>
          <w:rFonts w:ascii="Verdana" w:hAnsi="Verdana" w:cs="Arial"/>
          <w:i/>
          <w:sz w:val="20"/>
          <w:szCs w:val="20"/>
          <w:lang w:val="es-ES_tradnl" w:eastAsia="es-ES" w:bidi="es-ES"/>
        </w:rPr>
        <w:t>“</w:t>
      </w:r>
      <w:r w:rsidRPr="00F07E96">
        <w:rPr>
          <w:rFonts w:ascii="Verdana" w:hAnsi="Verdana" w:cs="Arial"/>
          <w:sz w:val="20"/>
          <w:szCs w:val="20"/>
          <w:lang w:val="es-ES_tradnl" w:eastAsia="es-ES" w:bidi="es-ES"/>
        </w:rPr>
        <w:t xml:space="preserve">Artículo 5. De la Selección Objetiva. </w:t>
      </w:r>
    </w:p>
    <w:p w14:paraId="7FCA42BD" w14:textId="3AFA2AA7" w:rsidR="00A761E9" w:rsidRPr="00CE156C" w:rsidRDefault="00A761E9" w:rsidP="00286DDE">
      <w:pPr>
        <w:spacing w:after="0" w:line="240" w:lineRule="auto"/>
        <w:ind w:right="709" w:firstLine="708"/>
        <w:jc w:val="both"/>
        <w:rPr>
          <w:rFonts w:ascii="Verdana" w:hAnsi="Verdana" w:cs="Arial"/>
          <w:sz w:val="20"/>
          <w:szCs w:val="20"/>
          <w:lang w:val="es-ES_tradnl" w:eastAsia="es-ES" w:bidi="es-ES"/>
        </w:rPr>
      </w:pPr>
      <w:r w:rsidRPr="00CE156C">
        <w:rPr>
          <w:rFonts w:ascii="Verdana" w:hAnsi="Verdana" w:cs="Arial"/>
          <w:sz w:val="20"/>
          <w:szCs w:val="20"/>
          <w:lang w:val="es-ES_tradnl" w:eastAsia="es-ES" w:bidi="es-ES"/>
        </w:rPr>
        <w:t>[…]</w:t>
      </w:r>
    </w:p>
    <w:p w14:paraId="0D6F3D6E" w14:textId="77777777" w:rsidR="00A761E9" w:rsidRPr="00CE156C" w:rsidRDefault="00A761E9" w:rsidP="00286DDE">
      <w:pPr>
        <w:spacing w:after="0" w:line="240" w:lineRule="auto"/>
        <w:ind w:left="709" w:right="709"/>
        <w:jc w:val="both"/>
        <w:rPr>
          <w:rFonts w:ascii="Verdana" w:hAnsi="Verdana" w:cs="Arial"/>
          <w:lang w:val="es-ES" w:eastAsia="es-ES" w:bidi="es-ES"/>
        </w:rPr>
      </w:pPr>
      <w:r w:rsidRPr="00CE156C">
        <w:rPr>
          <w:rFonts w:ascii="Verdana" w:hAnsi="Verdana" w:cs="Arial"/>
          <w:sz w:val="20"/>
          <w:szCs w:val="20"/>
          <w:lang w:val="es-ES" w:eastAsia="es-ES" w:bidi="es-ES"/>
        </w:rPr>
        <w:t xml:space="preserve">1. 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La verificación documental de las </w:t>
      </w:r>
      <w:r w:rsidRPr="00CE156C">
        <w:rPr>
          <w:rFonts w:ascii="Verdana" w:hAnsi="Verdana" w:cs="Arial"/>
          <w:sz w:val="20"/>
          <w:szCs w:val="20"/>
          <w:lang w:val="es-ES" w:eastAsia="es-ES" w:bidi="es-ES"/>
        </w:rPr>
        <w:lastRenderedPageBreak/>
        <w:t>condiciones antes señaladas será efectuada por las Cámaras de Comercio de conformidad con lo establecido en el artículo 6 de la presente ley, de acuerdo con lo cual se expedirá la respectiva certificación”.</w:t>
      </w:r>
    </w:p>
    <w:p w14:paraId="05C0FE44" w14:textId="77777777" w:rsidR="00B4231C" w:rsidRPr="00CE156C" w:rsidRDefault="00B4231C" w:rsidP="00286DDE">
      <w:pPr>
        <w:spacing w:after="0" w:line="276" w:lineRule="auto"/>
        <w:ind w:firstLine="709"/>
        <w:jc w:val="both"/>
        <w:rPr>
          <w:rFonts w:ascii="Verdana" w:eastAsia="Times New Roman" w:hAnsi="Verdana" w:cs="Arial"/>
          <w:lang w:val="es-ES_tradnl" w:eastAsia="es-MX"/>
        </w:rPr>
      </w:pPr>
      <w:bookmarkStart w:id="5" w:name="_Hlk99547809"/>
      <w:bookmarkStart w:id="6" w:name="_Hlk99546625"/>
    </w:p>
    <w:p w14:paraId="7F9466AB" w14:textId="63CB3519" w:rsidR="00A761E9" w:rsidRPr="00F07E96" w:rsidRDefault="00A761E9" w:rsidP="00A21C4A">
      <w:pPr>
        <w:spacing w:after="120" w:line="276" w:lineRule="auto"/>
        <w:ind w:firstLine="709"/>
        <w:jc w:val="both"/>
        <w:rPr>
          <w:rFonts w:ascii="Verdana" w:eastAsia="Times New Roman" w:hAnsi="Verdana" w:cs="Arial"/>
          <w:highlight w:val="cyan"/>
          <w:lang w:val="es-ES_tradnl" w:eastAsia="es-MX"/>
        </w:rPr>
      </w:pPr>
      <w:r w:rsidRPr="00CE156C">
        <w:rPr>
          <w:rFonts w:ascii="Verdana" w:eastAsia="Times New Roman" w:hAnsi="Verdana" w:cs="Arial"/>
          <w:lang w:val="es-ES_tradnl" w:eastAsia="es-MX"/>
        </w:rPr>
        <w:t xml:space="preserve">La Agencia Nacional de Contratación Pública – Colombia Compra Eficiente ha defendido el carácter </w:t>
      </w:r>
      <w:bookmarkStart w:id="7" w:name="_Hlk99547799"/>
      <w:r w:rsidRPr="00CE156C">
        <w:rPr>
          <w:rFonts w:ascii="Verdana" w:eastAsia="Times New Roman" w:hAnsi="Verdana" w:cs="Arial"/>
          <w:lang w:val="es-ES_tradnl" w:eastAsia="es-MX"/>
        </w:rPr>
        <w:t xml:space="preserve">enunciativo del listado de los requisitos habilitantes contenidos en el numeral 1 del artículo 5 de la Ley 1150 de 2007, en la medida en que la mencionada disposición, al referirse a los requisitos habilitantes, no contiene una expresión como “únicamente” o “solo”, de la que pueda colegirse la taxatividad de los requisitos señalados. </w:t>
      </w:r>
      <w:bookmarkEnd w:id="5"/>
      <w:bookmarkEnd w:id="7"/>
      <w:r w:rsidRPr="00CE156C">
        <w:rPr>
          <w:rFonts w:ascii="Verdana" w:eastAsia="Times New Roman" w:hAnsi="Verdana" w:cs="Arial"/>
          <w:lang w:val="es-ES_tradnl" w:eastAsia="es-MX"/>
        </w:rPr>
        <w:t>Esta conclusión además se apoya en una la lectura integral de las normas que regulan la contratación estatal, en virtud de la cual es posible evidenciar que existen otras condiciones que deben cumplirse para la contratación con Entidades Estatales, de las que derivan requisitos habilitantes, como sucede, por ejemplo, con la capacidad residual a la que se refiere el artículo 6º, parágrafo 1, de la Ley 1150 de 2007</w:t>
      </w:r>
      <w:bookmarkEnd w:id="6"/>
      <w:r w:rsidRPr="00CE156C">
        <w:rPr>
          <w:rFonts w:ascii="Verdana" w:eastAsia="Times New Roman" w:hAnsi="Verdana" w:cs="Arial"/>
          <w:vertAlign w:val="superscript"/>
          <w:lang w:val="es-ES_tradnl" w:eastAsia="es-MX"/>
        </w:rPr>
        <w:footnoteReference w:id="1"/>
      </w:r>
      <w:r w:rsidRPr="00CE156C">
        <w:rPr>
          <w:rFonts w:ascii="Verdana" w:eastAsia="Times New Roman" w:hAnsi="Verdana" w:cs="Arial"/>
          <w:lang w:val="es-ES_tradnl" w:eastAsia="es-MX"/>
        </w:rPr>
        <w:t xml:space="preserve">. </w:t>
      </w:r>
    </w:p>
    <w:p w14:paraId="7B33B9C9" w14:textId="77777777" w:rsidR="00A761E9" w:rsidRPr="00CE156C" w:rsidRDefault="00A761E9" w:rsidP="00CE156C">
      <w:pPr>
        <w:spacing w:after="120" w:line="276" w:lineRule="auto"/>
        <w:ind w:firstLine="709"/>
        <w:jc w:val="both"/>
        <w:rPr>
          <w:rFonts w:ascii="Verdana" w:hAnsi="Verdana" w:cs="Arial"/>
          <w:bCs/>
          <w:lang w:val="es-ES" w:eastAsia="es-ES" w:bidi="es-ES"/>
        </w:rPr>
      </w:pPr>
      <w:r w:rsidRPr="00F926E2">
        <w:rPr>
          <w:rFonts w:ascii="Verdana" w:eastAsia="Times New Roman" w:hAnsi="Verdana" w:cs="Arial"/>
          <w:lang w:val="es-ES" w:eastAsia="es-MX"/>
        </w:rPr>
        <w:t xml:space="preserve">Por otro lado, </w:t>
      </w:r>
      <w:r w:rsidRPr="00BE636B">
        <w:rPr>
          <w:rFonts w:ascii="Verdana" w:hAnsi="Verdana" w:cs="Arial"/>
          <w:bCs/>
          <w:lang w:val="es-ES" w:eastAsia="es-ES" w:bidi="es-ES"/>
        </w:rPr>
        <w:t>e</w:t>
      </w:r>
      <w:r w:rsidRPr="00323DD8">
        <w:rPr>
          <w:rFonts w:ascii="Verdana" w:hAnsi="Verdana" w:cs="Arial"/>
          <w:bCs/>
          <w:lang w:val="es-ES" w:eastAsia="es-ES" w:bidi="es-ES"/>
        </w:rPr>
        <w:t>l artículo</w:t>
      </w:r>
      <w:r w:rsidRPr="008E2DC6">
        <w:rPr>
          <w:rFonts w:ascii="Verdana" w:hAnsi="Verdana" w:cs="Arial"/>
          <w:bCs/>
          <w:lang w:val="es-ES" w:eastAsia="es-ES" w:bidi="es-ES"/>
        </w:rPr>
        <w:t xml:space="preserve"> 5 de la Ley 1150 de 2007 dispone que se considera </w:t>
      </w:r>
      <w:r w:rsidRPr="008E2DC6">
        <w:rPr>
          <w:rFonts w:ascii="Verdana" w:hAnsi="Verdana" w:cs="Arial"/>
          <w:bCs/>
          <w:i/>
          <w:iCs/>
          <w:lang w:val="es-ES" w:eastAsia="es-ES" w:bidi="es-ES"/>
        </w:rPr>
        <w:t>“objetiva la selección en la cual la escogencia se haga al ofrecimiento más favorable a la entidad y a los fines que ella busca, sin tener en consideración factores de afecto o de interés y, en general, cualquier clase de motivación subjetiva”.</w:t>
      </w:r>
      <w:r w:rsidRPr="008E2DC6">
        <w:rPr>
          <w:rFonts w:ascii="Verdana" w:hAnsi="Verdana" w:cs="Arial"/>
          <w:bCs/>
          <w:lang w:val="es-ES" w:eastAsia="es-ES" w:bidi="es-ES"/>
        </w:rPr>
        <w:t xml:space="preserve"> En ese contexto, los factores de escogencia y calificación que establezcan las </w:t>
      </w:r>
      <w:r w:rsidRPr="00CE156C">
        <w:rPr>
          <w:rFonts w:ascii="Verdana" w:hAnsi="Verdana" w:cs="Arial"/>
          <w:bCs/>
          <w:lang w:val="es-ES" w:eastAsia="es-ES" w:bidi="es-ES"/>
        </w:rPr>
        <w:t xml:space="preserve">Entidades en los pliegos de condiciones o sus documentos equivalentes deberán tener en cuenta, entre otras cuestiones, el deber de selección objetiva, según los criterios establecidos en dicha disposición. </w:t>
      </w:r>
    </w:p>
    <w:p w14:paraId="0A6B440A" w14:textId="77777777" w:rsidR="00A761E9" w:rsidRPr="00CE156C" w:rsidRDefault="00A761E9" w:rsidP="00F926E2">
      <w:pPr>
        <w:spacing w:after="120" w:line="276" w:lineRule="auto"/>
        <w:ind w:firstLine="709"/>
        <w:jc w:val="both"/>
        <w:rPr>
          <w:rFonts w:ascii="Verdana" w:hAnsi="Verdana" w:cs="Arial"/>
          <w:bCs/>
          <w:lang w:val="es-ES" w:eastAsia="es-ES" w:bidi="es-ES"/>
        </w:rPr>
      </w:pPr>
      <w:r w:rsidRPr="00CE156C">
        <w:rPr>
          <w:rFonts w:ascii="Verdana" w:hAnsi="Verdana" w:cs="Arial"/>
          <w:bCs/>
          <w:lang w:val="es-ES" w:eastAsia="es-ES" w:bidi="es-ES"/>
        </w:rPr>
        <w:t xml:space="preserve">En especial, señala la Ley que los criterios habilitantes que determine la Entidad deberán ser </w:t>
      </w:r>
      <w:r w:rsidRPr="00CE156C">
        <w:rPr>
          <w:rFonts w:ascii="Verdana" w:hAnsi="Verdana" w:cs="Arial"/>
          <w:bCs/>
          <w:i/>
          <w:iCs/>
          <w:lang w:val="es-ES" w:eastAsia="es-ES" w:bidi="es-ES"/>
        </w:rPr>
        <w:t>adecuados y proporcionales</w:t>
      </w:r>
      <w:r w:rsidRPr="00CE156C">
        <w:rPr>
          <w:rFonts w:ascii="Verdana" w:hAnsi="Verdana" w:cs="Arial"/>
          <w:bCs/>
          <w:lang w:val="es-ES" w:eastAsia="es-ES" w:bidi="es-ES"/>
        </w:rPr>
        <w:t xml:space="preserve"> a la naturaleza del contrato a suscribir y a su valor. De esta manera, las condiciones habilitantes que no resulten adecuadas para determinar la idoneidad o capacidad del proponente para cumplir con el objeto del contrato, o que sean desproporcionados frente a este, serán contrarias al deber de selección objetiva.</w:t>
      </w:r>
    </w:p>
    <w:p w14:paraId="501DFC63" w14:textId="77777777" w:rsidR="00A761E9" w:rsidRPr="008E2DC6" w:rsidRDefault="00A761E9" w:rsidP="00286DDE">
      <w:pPr>
        <w:spacing w:after="120" w:line="276" w:lineRule="auto"/>
        <w:ind w:firstLine="709"/>
        <w:jc w:val="both"/>
        <w:rPr>
          <w:rFonts w:ascii="Verdana" w:eastAsia="Times New Roman" w:hAnsi="Verdana" w:cs="Arial"/>
          <w:lang w:val="es-ES" w:eastAsia="es-MX"/>
        </w:rPr>
      </w:pPr>
      <w:r w:rsidRPr="00CE156C">
        <w:rPr>
          <w:rFonts w:ascii="Verdana" w:eastAsia="Times New Roman" w:hAnsi="Verdana" w:cs="Arial"/>
          <w:lang w:val="es-ES" w:eastAsia="es-MX"/>
        </w:rPr>
        <w:lastRenderedPageBreak/>
        <w:t xml:space="preserve">En línea con lo anterior, el </w:t>
      </w:r>
      <w:bookmarkStart w:id="8" w:name="_Hlk191627190"/>
      <w:r w:rsidRPr="00CE156C">
        <w:rPr>
          <w:rFonts w:ascii="Verdana" w:eastAsia="Times New Roman" w:hAnsi="Verdana" w:cs="Arial"/>
          <w:lang w:val="es-ES" w:eastAsia="es-MX"/>
        </w:rPr>
        <w:t>“Manual para determinar y verificar los requisitos habilitantes en los Procesos de Contratación</w:t>
      </w:r>
      <w:bookmarkEnd w:id="8"/>
      <w:r w:rsidRPr="00CE156C">
        <w:rPr>
          <w:rFonts w:ascii="Verdana" w:eastAsia="Times New Roman" w:hAnsi="Verdana" w:cs="Arial"/>
          <w:lang w:val="es-ES" w:eastAsia="es-MX"/>
        </w:rPr>
        <w:t>”</w:t>
      </w:r>
      <w:r w:rsidRPr="00CE156C">
        <w:rPr>
          <w:rStyle w:val="Refdenotaalpie"/>
          <w:rFonts w:ascii="Verdana" w:eastAsia="Times New Roman" w:hAnsi="Verdana" w:cs="Arial"/>
          <w:lang w:val="es-ES" w:eastAsia="es-MX"/>
        </w:rPr>
        <w:footnoteReference w:id="2"/>
      </w:r>
      <w:r w:rsidRPr="00CE156C">
        <w:rPr>
          <w:rFonts w:ascii="Verdana" w:eastAsia="Calibri" w:hAnsi="Verdana" w:cs="Arial"/>
          <w:lang w:val="es-ES" w:eastAsia="es-MX"/>
        </w:rPr>
        <w:t>,</w:t>
      </w:r>
      <w:r w:rsidRPr="00F07E96">
        <w:rPr>
          <w:rFonts w:ascii="Verdana" w:eastAsia="Times New Roman" w:hAnsi="Verdana" w:cs="Arial"/>
          <w:lang w:val="es-ES" w:eastAsia="es-MX"/>
        </w:rPr>
        <w:t xml:space="preserve"> expedido por la </w:t>
      </w:r>
      <w:r w:rsidRPr="00F926E2">
        <w:rPr>
          <w:rFonts w:ascii="Verdana" w:eastAsia="Calibri" w:hAnsi="Verdana" w:cs="Arial"/>
          <w:lang w:val="es-ES" w:eastAsia="es-MX"/>
        </w:rPr>
        <w:t xml:space="preserve">Agencia </w:t>
      </w:r>
      <w:r w:rsidRPr="00BE636B">
        <w:rPr>
          <w:rFonts w:ascii="Verdana" w:eastAsia="Calibri" w:hAnsi="Verdana" w:cs="Arial"/>
          <w:lang w:val="es-ES" w:eastAsia="es-MX"/>
        </w:rPr>
        <w:t>Nacional de Contratación Pública – Colombia Compra Eficiente,</w:t>
      </w:r>
      <w:r w:rsidRPr="00323DD8">
        <w:rPr>
          <w:rFonts w:ascii="Verdana" w:eastAsia="Times New Roman" w:hAnsi="Verdana" w:cs="Arial"/>
          <w:lang w:val="es-ES" w:eastAsia="es-MX"/>
        </w:rPr>
        <w:t xml:space="preserve"> determinó los parámetros para establecer, acreditar y subsanar los requisitos habilitantes. Al respecto, precisa que estos tienen como fin primordial medir “</w:t>
      </w:r>
      <w:bookmarkStart w:id="9" w:name="_Hlk191627260"/>
      <w:r w:rsidRPr="00323DD8">
        <w:rPr>
          <w:rFonts w:ascii="Verdana" w:eastAsia="Times New Roman" w:hAnsi="Verdana" w:cs="Arial"/>
          <w:lang w:val="es-ES" w:eastAsia="es-MX"/>
        </w:rPr>
        <w:t>la aptitud del proponente para partic</w:t>
      </w:r>
      <w:r w:rsidRPr="008E2DC6">
        <w:rPr>
          <w:rFonts w:ascii="Verdana" w:eastAsia="Times New Roman" w:hAnsi="Verdana" w:cs="Arial"/>
          <w:lang w:val="es-ES" w:eastAsia="es-MX"/>
        </w:rPr>
        <w:t xml:space="preserve">ipar en un Proceso de Contratación como oferente y están referidos a su capacidad jurídica, financiera, organizacional y su experiencia”. </w:t>
      </w:r>
      <w:bookmarkEnd w:id="9"/>
      <w:r w:rsidRPr="008E2DC6">
        <w:rPr>
          <w:rFonts w:ascii="Verdana" w:eastAsia="Times New Roman" w:hAnsi="Verdana" w:cs="Arial"/>
          <w:lang w:val="es-ES" w:eastAsia="es-MX"/>
        </w:rPr>
        <w:t xml:space="preserve">De acuerdo con el Manual, su propósito consiste en “establecer unas condiciones mínimas para los proponentes de tal manera que la Entidad Estatal sólo evalúe las ofertas de aquellos que están en condiciones de cumplir con el objeto del Proceso de Contratación”. </w:t>
      </w:r>
    </w:p>
    <w:p w14:paraId="29684A1E" w14:textId="77777777" w:rsidR="00A761E9" w:rsidRPr="00CE156C" w:rsidRDefault="00A761E9" w:rsidP="00286DDE">
      <w:pPr>
        <w:spacing w:after="120" w:line="276" w:lineRule="auto"/>
        <w:ind w:firstLine="709"/>
        <w:jc w:val="both"/>
        <w:rPr>
          <w:rFonts w:ascii="Verdana" w:eastAsia="Times New Roman" w:hAnsi="Verdana" w:cs="Arial"/>
          <w:lang w:val="es-ES" w:eastAsia="es-MX"/>
        </w:rPr>
      </w:pPr>
      <w:r w:rsidRPr="008E2DC6">
        <w:rPr>
          <w:rFonts w:ascii="Verdana" w:eastAsia="Times New Roman" w:hAnsi="Verdana" w:cs="Arial"/>
          <w:lang w:val="es-ES" w:eastAsia="es-MX"/>
        </w:rPr>
        <w:t xml:space="preserve">Así las cosas, al tratarse de condiciones mínimas, significa que </w:t>
      </w:r>
      <w:bookmarkStart w:id="10" w:name="_Hlk191627287"/>
      <w:r w:rsidRPr="008E2DC6">
        <w:rPr>
          <w:rFonts w:ascii="Verdana" w:eastAsia="Times New Roman" w:hAnsi="Verdana" w:cs="Arial"/>
          <w:lang w:val="es-ES" w:eastAsia="es-MX"/>
        </w:rPr>
        <w:t>las Entidades</w:t>
      </w:r>
      <w:r w:rsidRPr="00CE156C">
        <w:rPr>
          <w:rFonts w:ascii="Verdana" w:eastAsia="Times New Roman" w:hAnsi="Verdana" w:cs="Arial"/>
          <w:lang w:val="es-ES" w:eastAsia="es-MX"/>
        </w:rPr>
        <w:t xml:space="preserve"> podrían establecer otras, según su autonomía de la voluntad, y teniendo en cuenta el objeto del contrato, los riesgos detectados en los estudios previos, el presupuesto oficial, entre otros factores. Sin embargo, esto no implica que las Entidades puedan establecer cualquier tipo de requisitos, pues su exigencia debe en todo caso ser </w:t>
      </w:r>
      <w:r w:rsidRPr="00CE156C">
        <w:rPr>
          <w:rFonts w:ascii="Verdana" w:eastAsia="Times New Roman" w:hAnsi="Verdana" w:cs="Arial"/>
          <w:i/>
          <w:lang w:val="es-ES" w:eastAsia="es-MX"/>
        </w:rPr>
        <w:t>proporcional y adecuada</w:t>
      </w:r>
      <w:r w:rsidRPr="00CE156C">
        <w:rPr>
          <w:rFonts w:ascii="Verdana" w:eastAsia="Times New Roman" w:hAnsi="Verdana" w:cs="Arial"/>
          <w:lang w:val="es-ES" w:eastAsia="es-MX"/>
        </w:rPr>
        <w:t xml:space="preserve"> frente a la naturaleza y el valor del contrato.</w:t>
      </w:r>
    </w:p>
    <w:p w14:paraId="20F026CF" w14:textId="77777777" w:rsidR="00A761E9" w:rsidRPr="00CE156C" w:rsidRDefault="00A761E9" w:rsidP="00286DDE">
      <w:pPr>
        <w:tabs>
          <w:tab w:val="left" w:pos="426"/>
        </w:tabs>
        <w:spacing w:before="120" w:after="0" w:line="276" w:lineRule="auto"/>
        <w:ind w:firstLine="709"/>
        <w:jc w:val="both"/>
        <w:rPr>
          <w:rFonts w:ascii="Verdana" w:eastAsia="Times New Roman" w:hAnsi="Verdana" w:cs="Arial"/>
          <w:lang w:val="es-ES_tradnl" w:eastAsia="es-MX"/>
        </w:rPr>
      </w:pPr>
      <w:bookmarkStart w:id="11" w:name="_Hlk99548027"/>
      <w:bookmarkEnd w:id="10"/>
      <w:r w:rsidRPr="00CE156C">
        <w:rPr>
          <w:rFonts w:ascii="Verdana" w:eastAsia="Times New Roman" w:hAnsi="Verdana" w:cs="Arial"/>
          <w:lang w:val="es-ES_tradnl" w:eastAsia="es-MX"/>
        </w:rPr>
        <w:t xml:space="preserve">En ese sentido, </w:t>
      </w:r>
      <w:bookmarkStart w:id="12" w:name="_Hlk191627322"/>
      <w:r w:rsidRPr="00CE156C">
        <w:rPr>
          <w:rFonts w:ascii="Verdana" w:eastAsia="Times New Roman" w:hAnsi="Verdana" w:cs="Arial"/>
          <w:lang w:val="es-ES_tradnl" w:eastAsia="es-MX"/>
        </w:rPr>
        <w:t xml:space="preserve">si bien </w:t>
      </w:r>
      <w:r w:rsidRPr="00CE156C">
        <w:rPr>
          <w:rFonts w:ascii="Verdana" w:eastAsia="Calibri" w:hAnsi="Verdana" w:cs="Arial"/>
          <w:lang w:val="es-ES_tradnl" w:eastAsia="es-MX"/>
        </w:rPr>
        <w:t xml:space="preserve">la Ley 1150 de 2007 estableció unos requisitos habilitantes para los proponentes –la capacidad jurídica, las condiciones de experiencia, la capacidad financiera y la capacidad de organización–, estos no son taxativos. </w:t>
      </w:r>
      <w:r w:rsidRPr="00CE156C">
        <w:rPr>
          <w:rFonts w:ascii="Verdana" w:eastAsia="Times New Roman" w:hAnsi="Verdana" w:cs="Arial"/>
          <w:lang w:val="es-ES_tradnl" w:eastAsia="es-MX"/>
        </w:rPr>
        <w:t xml:space="preserve">En consecuencia, corresponde a las Entidades Estatales, durante la etapa de planeación del contrato estatal, estudiar y </w:t>
      </w:r>
      <w:r w:rsidRPr="00CE156C">
        <w:rPr>
          <w:rFonts w:ascii="Verdana" w:eastAsia="Times New Roman" w:hAnsi="Verdana" w:cs="Arial"/>
          <w:bCs/>
          <w:iCs/>
          <w:lang w:val="es-ES_tradnl" w:eastAsia="es-MX"/>
        </w:rPr>
        <w:t>determinar</w:t>
      </w:r>
      <w:r w:rsidRPr="00CE156C">
        <w:rPr>
          <w:rFonts w:ascii="Verdana" w:eastAsia="Times New Roman" w:hAnsi="Verdana" w:cs="Arial"/>
          <w:lang w:val="es-ES_tradnl" w:eastAsia="es-MX"/>
        </w:rPr>
        <w:t xml:space="preserve"> los requisitos habilitantes que establecerán en los pliegos de condiciones o documentos equivalentes, </w:t>
      </w:r>
      <w:r w:rsidRPr="00CE156C">
        <w:rPr>
          <w:rFonts w:ascii="Verdana" w:eastAsia="Times New Roman" w:hAnsi="Verdana" w:cs="Arial"/>
          <w:i/>
          <w:iCs/>
          <w:lang w:val="es-ES_tradnl" w:eastAsia="es-MX"/>
        </w:rPr>
        <w:t>los cuales deben fijarse de forma adecuada y proporcional</w:t>
      </w:r>
      <w:r w:rsidRPr="00CE156C">
        <w:rPr>
          <w:rFonts w:ascii="Verdana" w:eastAsia="Times New Roman" w:hAnsi="Verdana" w:cs="Arial"/>
          <w:lang w:val="es-ES_tradnl" w:eastAsia="es-MX"/>
        </w:rPr>
        <w:t xml:space="preserve">. </w:t>
      </w:r>
      <w:bookmarkEnd w:id="11"/>
      <w:bookmarkEnd w:id="12"/>
      <w:r w:rsidRPr="00CE156C">
        <w:rPr>
          <w:rFonts w:ascii="Verdana" w:eastAsia="Times New Roman" w:hAnsi="Verdana" w:cs="Arial"/>
          <w:lang w:val="es-ES_tradnl" w:eastAsia="es-MX"/>
        </w:rPr>
        <w:t>Al respecto, en la Sentencia C-004 de 2017, la Corte Constitucional señaló que:</w:t>
      </w:r>
    </w:p>
    <w:p w14:paraId="7C1BC62A" w14:textId="77777777" w:rsidR="00A24D94" w:rsidRPr="00286DDE" w:rsidRDefault="00A24D94" w:rsidP="00286DDE">
      <w:pPr>
        <w:spacing w:after="0" w:line="276" w:lineRule="auto"/>
        <w:ind w:left="709" w:right="709"/>
        <w:jc w:val="both"/>
        <w:rPr>
          <w:rFonts w:ascii="Verdana" w:hAnsi="Verdana" w:cs="Arial"/>
          <w:lang w:val="es-ES_tradnl" w:eastAsia="es-ES" w:bidi="es-ES"/>
        </w:rPr>
      </w:pPr>
    </w:p>
    <w:p w14:paraId="380D98BC" w14:textId="54DEA2E3" w:rsidR="00A761E9" w:rsidRPr="00BE636B" w:rsidRDefault="00A761E9" w:rsidP="00286DDE">
      <w:pPr>
        <w:spacing w:after="0" w:line="240" w:lineRule="auto"/>
        <w:ind w:left="709" w:right="709"/>
        <w:jc w:val="both"/>
        <w:rPr>
          <w:rFonts w:ascii="Verdana" w:hAnsi="Verdana" w:cs="Arial"/>
          <w:sz w:val="20"/>
          <w:szCs w:val="20"/>
          <w:lang w:val="es-ES_tradnl" w:eastAsia="es-ES" w:bidi="es-ES"/>
        </w:rPr>
      </w:pPr>
      <w:r w:rsidRPr="00CE156C">
        <w:rPr>
          <w:rFonts w:ascii="Verdana" w:hAnsi="Verdana" w:cs="Arial"/>
          <w:sz w:val="20"/>
          <w:szCs w:val="20"/>
          <w:lang w:val="es-ES_tradnl" w:eastAsia="es-ES" w:bidi="es-ES"/>
        </w:rPr>
        <w:t>“[l]a determinación de dichas condiciones habilitantes para participar, es competencia de la entidad que planee la celebración del contrato, a través de la valoración en concreto de las caracterí</w:t>
      </w:r>
      <w:r w:rsidRPr="00F926E2">
        <w:rPr>
          <w:rFonts w:ascii="Verdana" w:hAnsi="Verdana" w:cs="Arial"/>
          <w:sz w:val="20"/>
          <w:szCs w:val="20"/>
          <w:lang w:val="es-ES_tradnl" w:eastAsia="es-ES" w:bidi="es-ES"/>
        </w:rPr>
        <w:t>sticas mínimas de idoneidad, experiencia, capacidad jurídica y financiera para que la realización del objeto contractual resulte eficiente y eficaz frente a la necesidad identificada”.</w:t>
      </w:r>
    </w:p>
    <w:p w14:paraId="7CA92D59" w14:textId="239BAE8F" w:rsidR="00A761E9" w:rsidRPr="00CE156C" w:rsidRDefault="00A761E9" w:rsidP="00F926E2">
      <w:pPr>
        <w:tabs>
          <w:tab w:val="left" w:pos="426"/>
        </w:tabs>
        <w:spacing w:after="120" w:line="276" w:lineRule="auto"/>
        <w:ind w:firstLine="709"/>
        <w:jc w:val="both"/>
        <w:rPr>
          <w:rFonts w:ascii="Verdana" w:eastAsia="Times New Roman" w:hAnsi="Verdana" w:cs="Arial"/>
          <w:lang w:val="es-ES_tradnl" w:eastAsia="es-MX"/>
        </w:rPr>
      </w:pPr>
      <w:r w:rsidRPr="00323DD8">
        <w:rPr>
          <w:rFonts w:ascii="Verdana" w:eastAsia="Times New Roman" w:hAnsi="Verdana" w:cs="Arial"/>
          <w:lang w:val="es-ES_tradnl" w:eastAsia="es-MX"/>
        </w:rPr>
        <w:lastRenderedPageBreak/>
        <w:t xml:space="preserve">El </w:t>
      </w:r>
      <w:bookmarkStart w:id="13" w:name="_Hlk191627359"/>
      <w:r w:rsidRPr="00323DD8">
        <w:rPr>
          <w:rFonts w:ascii="Verdana" w:eastAsia="Times New Roman" w:hAnsi="Verdana" w:cs="Arial"/>
          <w:lang w:val="es-ES_tradnl" w:eastAsia="es-MX"/>
        </w:rPr>
        <w:t>Decreto 1082 de 2015 en su artículo 2.2.1.1.1.6.2</w:t>
      </w:r>
      <w:r w:rsidRPr="008E2DC6">
        <w:rPr>
          <w:rFonts w:ascii="Verdana" w:eastAsia="Times New Roman" w:hAnsi="Verdana" w:cs="Arial"/>
          <w:lang w:val="es-ES_tradnl" w:eastAsia="es-MX"/>
        </w:rPr>
        <w:t xml:space="preserve">. </w:t>
      </w:r>
      <w:bookmarkEnd w:id="13"/>
      <w:r w:rsidRPr="008E2DC6">
        <w:rPr>
          <w:rFonts w:ascii="Verdana" w:eastAsia="Times New Roman" w:hAnsi="Verdana" w:cs="Arial"/>
          <w:lang w:val="es-ES_tradnl" w:eastAsia="es-MX"/>
        </w:rPr>
        <w:t>reglamenta los requisitos habilitantes, estableciendo que estos deben ser señalados en los pliegos de condiciones o en la invitación</w:t>
      </w:r>
      <w:r w:rsidRPr="00CE156C">
        <w:rPr>
          <w:rStyle w:val="Refdenotaalpie"/>
          <w:rFonts w:ascii="Verdana" w:eastAsia="Times New Roman" w:hAnsi="Verdana" w:cs="Arial"/>
          <w:lang w:val="es-ES_tradnl" w:eastAsia="es-MX"/>
        </w:rPr>
        <w:footnoteReference w:id="3"/>
      </w:r>
      <w:r w:rsidRPr="00CE156C">
        <w:rPr>
          <w:rFonts w:ascii="Verdana" w:eastAsia="Times New Roman" w:hAnsi="Verdana" w:cs="Arial"/>
          <w:lang w:val="es-ES_tradnl" w:eastAsia="es-MX"/>
        </w:rPr>
        <w:t xml:space="preserve">, lo cual es concordante con el </w:t>
      </w:r>
      <w:bookmarkStart w:id="14" w:name="_Hlk191627380"/>
      <w:r w:rsidRPr="00CE156C">
        <w:rPr>
          <w:rFonts w:ascii="Verdana" w:eastAsia="Times New Roman" w:hAnsi="Verdana" w:cs="Arial"/>
          <w:lang w:val="es-ES_tradnl" w:eastAsia="es-MX"/>
        </w:rPr>
        <w:t>numeral 5 del artículo 2.2.1.1.2.1.3</w:t>
      </w:r>
      <w:bookmarkEnd w:id="14"/>
      <w:r w:rsidRPr="00CE156C">
        <w:rPr>
          <w:rFonts w:ascii="Verdana" w:eastAsia="Times New Roman" w:hAnsi="Verdana" w:cs="Arial"/>
          <w:lang w:val="es-ES_tradnl" w:eastAsia="es-MX"/>
        </w:rPr>
        <w:t>, en el que se establece como uno de los componentes mínimos de los pliegos de condiciones</w:t>
      </w:r>
      <w:r w:rsidRPr="00F926E2">
        <w:rPr>
          <w:rFonts w:ascii="Verdana" w:hAnsi="Verdana" w:cs="Arial"/>
          <w:color w:val="000000"/>
        </w:rPr>
        <w:t xml:space="preserve"> a las reglas aplicables a la presentación y evaluación de las ofertas, entre las que se inscriben las relativas a la acreditación de las condiciones habilitantes. </w:t>
      </w:r>
      <w:r w:rsidRPr="00F926E2">
        <w:rPr>
          <w:rFonts w:ascii="Verdana" w:eastAsia="Times New Roman" w:hAnsi="Verdana" w:cs="Arial"/>
          <w:lang w:val="es-ES_tradnl" w:eastAsia="es-MX"/>
        </w:rPr>
        <w:t>Además,</w:t>
      </w:r>
      <w:r w:rsidRPr="00BE636B">
        <w:rPr>
          <w:rFonts w:ascii="Verdana" w:eastAsia="Times New Roman" w:hAnsi="Verdana" w:cs="Arial"/>
          <w:lang w:val="es-ES_tradnl" w:eastAsia="es-MX"/>
        </w:rPr>
        <w:t xml:space="preserve"> el artículo 2.2.1.1.1.6.2 </w:t>
      </w:r>
      <w:r w:rsidRPr="00323DD8">
        <w:rPr>
          <w:rFonts w:ascii="Verdana" w:eastAsia="Times New Roman" w:hAnsi="Verdana" w:cs="Arial"/>
          <w:lang w:val="es-ES_tradnl" w:eastAsia="es-MX"/>
        </w:rPr>
        <w:t>establece</w:t>
      </w:r>
      <w:r w:rsidRPr="008E2DC6">
        <w:rPr>
          <w:rFonts w:ascii="Verdana" w:eastAsia="Times New Roman" w:hAnsi="Verdana" w:cs="Arial"/>
          <w:lang w:val="es-ES_tradnl" w:eastAsia="es-MX"/>
        </w:rPr>
        <w:t xml:space="preserve"> que la determinación de los requisitos habilitantes debe ser realizada en función de criterios </w:t>
      </w:r>
      <w:r w:rsidRPr="008E2DC6">
        <w:rPr>
          <w:rFonts w:ascii="Verdana" w:eastAsia="Times New Roman" w:hAnsi="Verdana" w:cs="Arial"/>
          <w:i/>
          <w:iCs/>
          <w:lang w:val="es-ES_tradnl" w:eastAsia="es-MX"/>
        </w:rPr>
        <w:t>como el riesgo del proceso de contratación, el valor del contrato, el análisis del sector económico respectivo y el conocimiento de fondo de los posibles oferentes desde la perspectiva comercial</w:t>
      </w:r>
      <w:r w:rsidRPr="008E2DC6">
        <w:rPr>
          <w:rFonts w:ascii="Verdana" w:eastAsia="Times New Roman" w:hAnsi="Verdana" w:cs="Arial"/>
          <w:lang w:val="es-ES_tradnl" w:eastAsia="es-MX"/>
        </w:rPr>
        <w:t xml:space="preserve">. </w:t>
      </w:r>
    </w:p>
    <w:p w14:paraId="013DB35C" w14:textId="77777777" w:rsidR="00A761E9" w:rsidRPr="00F07E96" w:rsidRDefault="00A761E9" w:rsidP="00286DDE">
      <w:pPr>
        <w:tabs>
          <w:tab w:val="left" w:pos="426"/>
        </w:tabs>
        <w:spacing w:after="120" w:line="276" w:lineRule="auto"/>
        <w:ind w:firstLine="709"/>
        <w:jc w:val="both"/>
        <w:rPr>
          <w:rFonts w:ascii="Verdana" w:eastAsia="Times New Roman" w:hAnsi="Verdana" w:cs="Arial"/>
          <w:lang w:val="es-ES" w:eastAsia="es-MX"/>
        </w:rPr>
      </w:pPr>
      <w:r w:rsidRPr="00CE156C">
        <w:rPr>
          <w:rFonts w:ascii="Verdana" w:eastAsia="Times New Roman" w:hAnsi="Verdana" w:cs="Arial"/>
          <w:lang w:val="es-ES" w:eastAsia="es-MX"/>
        </w:rPr>
        <w:t xml:space="preserve">En este punto, debe señalarse que, si bien la determinación de los requisitos habilitantes exigidos para participar en un proceso de contratación es una facultad discrecional de la Entidad Estatal, que obedece a la autonomía que le asiste para estructurar sus procesos de contratación, esta debe ejercerse respetando los principios que rigen en materia de contratación pública, como el selección objetiva e igualdad, y las normas de orden legal. Así, los mencionados criterios deben ser establecidos por parte de la Entidad que adelanta el proceso de contratación de manera tal que, de la ponderación de los mismos resulten requisitos que permitan medir la aptitud de los oferentes para cumplir con el </w:t>
      </w:r>
      <w:r w:rsidRPr="00CE156C">
        <w:rPr>
          <w:rFonts w:ascii="Verdana" w:eastAsia="Times New Roman" w:hAnsi="Verdana" w:cs="Arial"/>
          <w:lang w:val="es-ES" w:eastAsia="es-MX"/>
        </w:rPr>
        <w:lastRenderedPageBreak/>
        <w:t>contrato, y que, además de ser proporcionales y adecuados a su objeto, no limiten la participación en el proceso de selección</w:t>
      </w:r>
      <w:r w:rsidRPr="00CE156C">
        <w:rPr>
          <w:rStyle w:val="Refdenotaalpie"/>
          <w:rFonts w:ascii="Verdana" w:eastAsia="Times New Roman" w:hAnsi="Verdana" w:cs="Arial"/>
          <w:lang w:val="es-ES" w:eastAsia="es-MX"/>
        </w:rPr>
        <w:footnoteReference w:id="4"/>
      </w:r>
      <w:r w:rsidRPr="00CE156C">
        <w:rPr>
          <w:rFonts w:ascii="Verdana" w:eastAsia="Times New Roman" w:hAnsi="Verdana" w:cs="Arial"/>
          <w:lang w:val="es-ES" w:eastAsia="es-MX"/>
        </w:rPr>
        <w:t xml:space="preserve">. </w:t>
      </w:r>
    </w:p>
    <w:p w14:paraId="371685FF" w14:textId="77777777" w:rsidR="00A761E9" w:rsidRPr="008E2DC6" w:rsidRDefault="00A761E9" w:rsidP="00286DDE">
      <w:pPr>
        <w:tabs>
          <w:tab w:val="left" w:pos="426"/>
        </w:tabs>
        <w:spacing w:after="120" w:line="276" w:lineRule="auto"/>
        <w:ind w:firstLine="709"/>
        <w:jc w:val="both"/>
        <w:rPr>
          <w:rFonts w:ascii="Verdana" w:eastAsia="Times New Roman" w:hAnsi="Verdana" w:cs="Arial"/>
          <w:lang w:val="es-ES" w:eastAsia="es-MX"/>
        </w:rPr>
      </w:pPr>
      <w:r w:rsidRPr="00F926E2">
        <w:rPr>
          <w:rFonts w:ascii="Verdana" w:eastAsia="Times New Roman" w:hAnsi="Verdana" w:cs="Arial"/>
          <w:lang w:val="es-ES" w:eastAsia="es-MX"/>
        </w:rPr>
        <w:t xml:space="preserve">En ese sentido, las Entidades Estatales tienen autonomía para estructurar los requisitos habilitantes en los procesos que adelantan, </w:t>
      </w:r>
      <w:r w:rsidRPr="00F926E2">
        <w:rPr>
          <w:rFonts w:ascii="Verdana" w:eastAsia="Times New Roman" w:hAnsi="Verdana" w:cs="Arial"/>
          <w:i/>
          <w:iCs/>
          <w:lang w:val="es-ES" w:eastAsia="es-MX"/>
        </w:rPr>
        <w:t>pero tal facultad no p</w:t>
      </w:r>
      <w:r w:rsidRPr="00BE636B">
        <w:rPr>
          <w:rFonts w:ascii="Verdana" w:eastAsia="Times New Roman" w:hAnsi="Verdana" w:cs="Arial"/>
          <w:i/>
          <w:iCs/>
          <w:lang w:val="es-ES" w:eastAsia="es-MX"/>
        </w:rPr>
        <w:t>uede ejercerse de forma arbitraria, caprichosa y, mucho menos, con el ánimo de direccionar el proceso de contratación</w:t>
      </w:r>
      <w:r w:rsidRPr="00323DD8">
        <w:rPr>
          <w:rFonts w:ascii="Verdana" w:eastAsia="Times New Roman" w:hAnsi="Verdana" w:cs="Arial"/>
          <w:lang w:val="es-ES" w:eastAsia="es-MX"/>
        </w:rPr>
        <w:t xml:space="preserve"> o favorecer a alguno de los proponentes. Tampoco puede suceder que el ejercicio de dicha atribución se haga con desconocimiento de los límites impuestos por la normativa vigente, como, por ejemplo, el parágrafo 2 del artículo 5 de la Ley 1150 de 2007, que</w:t>
      </w:r>
      <w:r w:rsidRPr="008E2DC6">
        <w:rPr>
          <w:rFonts w:ascii="Verdana" w:eastAsia="Times New Roman" w:hAnsi="Verdana" w:cs="Arial"/>
          <w:lang w:val="es-ES" w:eastAsia="es-MX"/>
        </w:rPr>
        <w:t xml:space="preserve"> prohíbe exigir certificaciones de sistemas de gestión de calidad como requisito habilitante. </w:t>
      </w:r>
    </w:p>
    <w:p w14:paraId="761F5C9B" w14:textId="71071F03" w:rsidR="00A761E9" w:rsidRPr="00F926E2" w:rsidRDefault="00A761E9" w:rsidP="00F926E2">
      <w:pPr>
        <w:spacing w:after="120" w:line="276" w:lineRule="auto"/>
        <w:ind w:firstLine="709"/>
        <w:jc w:val="both"/>
        <w:rPr>
          <w:rFonts w:ascii="Verdana" w:hAnsi="Verdana" w:cs="Arial"/>
        </w:rPr>
      </w:pPr>
      <w:bookmarkStart w:id="16" w:name="_Hlk99548176"/>
      <w:r w:rsidRPr="008E2DC6">
        <w:rPr>
          <w:rFonts w:ascii="Verdana" w:hAnsi="Verdana" w:cs="Arial"/>
        </w:rPr>
        <w:t xml:space="preserve">Ahora bien, una vez fijados los requisitos habilitantes por la Entidad Estatal, quienes presenten ofertas deben acreditar que cumplen con los mismos, pues, en el evento contrario, las propuestas deberán ser rechazadas. En cuanto al cumplimiento de los requisitos habilitantes, las Entidades Estatales sometidas al Estatuto General de Contratación de la Administración Pública – en adelante EGCAP -,  en virtud de lo establecido en el artículo 5 y 6 de la Ley 1150 de 2007, están obligadas a efectuar la evaluación correspondiente teniendo en cuenta la información que reposa en el certificado del </w:t>
      </w:r>
      <w:r w:rsidRPr="00CE156C">
        <w:rPr>
          <w:rFonts w:ascii="Verdana" w:hAnsi="Verdana" w:cs="Arial"/>
        </w:rPr>
        <w:t>RUP, documento que constituye plena prueba de la información que contiene</w:t>
      </w:r>
      <w:r w:rsidRPr="00CE156C">
        <w:rPr>
          <w:rFonts w:ascii="Verdana" w:hAnsi="Verdana" w:cs="Arial"/>
          <w:vertAlign w:val="superscript"/>
        </w:rPr>
        <w:footnoteReference w:id="5"/>
      </w:r>
      <w:r w:rsidRPr="00CE156C">
        <w:rPr>
          <w:rFonts w:ascii="Verdana" w:hAnsi="Verdana" w:cs="Arial"/>
        </w:rPr>
        <w:t>, tal como lo establece el artículo 6.1 de la Ley 1150 de 2007. Por su parte, el artículo 5.1 ibidem, al fijar los criterios que deben tener en cuenta las Entidades Estatales para garantizar la selección objetiva,</w:t>
      </w:r>
      <w:r w:rsidRPr="00F926E2">
        <w:rPr>
          <w:rFonts w:ascii="Verdana" w:hAnsi="Verdana" w:cs="Arial"/>
        </w:rPr>
        <w:t xml:space="preserve"> dispone que las Cámaras de Comercio verificarán la información suministrada por las personas naturales o jurídicas para la inscripción en el Registro. </w:t>
      </w:r>
    </w:p>
    <w:bookmarkEnd w:id="16"/>
    <w:p w14:paraId="2C308ADD" w14:textId="77777777" w:rsidR="00A761E9" w:rsidRPr="00F07E96" w:rsidRDefault="00A761E9" w:rsidP="00F926E2">
      <w:pPr>
        <w:spacing w:after="120" w:line="276" w:lineRule="auto"/>
        <w:ind w:firstLine="709"/>
        <w:jc w:val="both"/>
        <w:rPr>
          <w:rFonts w:ascii="Verdana" w:hAnsi="Verdana" w:cs="Arial"/>
        </w:rPr>
      </w:pPr>
      <w:r w:rsidRPr="00F926E2">
        <w:rPr>
          <w:rFonts w:ascii="Verdana" w:hAnsi="Verdana" w:cs="Arial"/>
        </w:rPr>
        <w:lastRenderedPageBreak/>
        <w:t>Dicha información debe tenerse en cuenta por las Entidades</w:t>
      </w:r>
      <w:r w:rsidRPr="00BE636B">
        <w:rPr>
          <w:rFonts w:ascii="Verdana" w:hAnsi="Verdana" w:cs="Arial"/>
        </w:rPr>
        <w:t xml:space="preserve"> en los </w:t>
      </w:r>
      <w:r w:rsidRPr="008E2DC6">
        <w:rPr>
          <w:rFonts w:ascii="Verdana" w:hAnsi="Verdana" w:cs="Arial"/>
        </w:rPr>
        <w:t>procedimientos de contratación en los que es exigible el RUP</w:t>
      </w:r>
      <w:r w:rsidRPr="00CE156C">
        <w:rPr>
          <w:rFonts w:ascii="Verdana" w:hAnsi="Verdana" w:cs="Arial"/>
          <w:vertAlign w:val="superscript"/>
        </w:rPr>
        <w:footnoteReference w:id="6"/>
      </w:r>
      <w:r w:rsidRPr="00CE156C">
        <w:rPr>
          <w:rFonts w:ascii="Verdana" w:hAnsi="Verdana" w:cs="Arial"/>
        </w:rPr>
        <w:t>.</w:t>
      </w:r>
      <w:r w:rsidRPr="00F07E96">
        <w:rPr>
          <w:rFonts w:ascii="Verdana" w:hAnsi="Verdana" w:cs="Arial"/>
        </w:rPr>
        <w:t xml:space="preserve"> Así las cosas, la capacidad jurídica y las condiciones de experiencia, capacidad financiera y de organización de los proponentes deberán ser verificadas exclusivamente a través del RUP, pues de acuerdo con lo expuesto, este docum</w:t>
      </w:r>
      <w:r w:rsidRPr="00F926E2">
        <w:rPr>
          <w:rFonts w:ascii="Verdana" w:hAnsi="Verdana" w:cs="Arial"/>
        </w:rPr>
        <w:t>ento es plena prueba de la información financiera, de experiencia y de capacidad acreditada por la persona natural o jurídica</w:t>
      </w:r>
      <w:r w:rsidRPr="00CE156C">
        <w:rPr>
          <w:rFonts w:ascii="Verdana" w:hAnsi="Verdana" w:cs="Arial"/>
          <w:vertAlign w:val="superscript"/>
        </w:rPr>
        <w:footnoteReference w:id="7"/>
      </w:r>
      <w:r w:rsidRPr="00CE156C">
        <w:rPr>
          <w:rFonts w:ascii="Verdana" w:hAnsi="Verdana" w:cs="Arial"/>
        </w:rPr>
        <w:t xml:space="preserve">. </w:t>
      </w:r>
    </w:p>
    <w:p w14:paraId="5D4C1122" w14:textId="308F0EE9" w:rsidR="00A761E9" w:rsidRPr="008E2DC6" w:rsidRDefault="00A761E9" w:rsidP="00F926E2">
      <w:pPr>
        <w:spacing w:after="120" w:line="276" w:lineRule="auto"/>
        <w:ind w:firstLine="709"/>
        <w:jc w:val="both"/>
        <w:rPr>
          <w:rFonts w:ascii="Verdana" w:hAnsi="Verdana" w:cs="Arial"/>
        </w:rPr>
      </w:pPr>
      <w:bookmarkStart w:id="17" w:name="_Hlk99548308"/>
      <w:r w:rsidRPr="00F926E2">
        <w:rPr>
          <w:rFonts w:ascii="Verdana" w:hAnsi="Verdana" w:cs="Arial"/>
        </w:rPr>
        <w:t xml:space="preserve">No obstante, el RUP no es exigible en algunos procedimientos de contratación, como en la contratación directa, </w:t>
      </w:r>
      <w:r w:rsidRPr="00286DDE">
        <w:rPr>
          <w:rFonts w:ascii="Verdana" w:hAnsi="Verdana" w:cs="Arial"/>
          <w:i/>
          <w:iCs/>
        </w:rPr>
        <w:t>la mínima cuantía</w:t>
      </w:r>
      <w:r w:rsidR="00A21C4A" w:rsidRPr="00CE156C">
        <w:rPr>
          <w:rFonts w:ascii="Verdana" w:hAnsi="Verdana" w:cs="Arial"/>
        </w:rPr>
        <w:t xml:space="preserve"> </w:t>
      </w:r>
      <w:r w:rsidR="00A21C4A" w:rsidRPr="00F07E96">
        <w:rPr>
          <w:rFonts w:ascii="Verdana" w:hAnsi="Verdana" w:cs="Arial"/>
        </w:rPr>
        <w:t>–</w:t>
      </w:r>
      <w:r w:rsidR="00A21C4A" w:rsidRPr="00F926E2">
        <w:rPr>
          <w:rFonts w:ascii="Verdana" w:hAnsi="Verdana" w:cs="Arial"/>
        </w:rPr>
        <w:t xml:space="preserve"> a la que se refiere en su consulta </w:t>
      </w:r>
      <w:r w:rsidR="00163EC3" w:rsidRPr="00F926E2">
        <w:rPr>
          <w:rFonts w:ascii="Verdana" w:hAnsi="Verdana" w:cs="Arial"/>
        </w:rPr>
        <w:t>–</w:t>
      </w:r>
      <w:r w:rsidRPr="00F926E2">
        <w:rPr>
          <w:rFonts w:ascii="Verdana" w:hAnsi="Verdana" w:cs="Arial"/>
        </w:rPr>
        <w:t xml:space="preserve">, la prestación de servicios de salud, enajenación de bienes del Estado, la adquisición de productos de origen o destinación agropecuaria ofrecidos en bolsas de productos, los contratos de concesión y los contratos que celebren las empresas industriales </w:t>
      </w:r>
      <w:r w:rsidRPr="00BE636B">
        <w:rPr>
          <w:rFonts w:ascii="Verdana" w:hAnsi="Verdana" w:cs="Arial"/>
        </w:rPr>
        <w:t>y comerciales del Estado y las sociedades de economía mixta, que tengan por objeto el desarrollo de sus actividades industriales y comerciales</w:t>
      </w:r>
      <w:bookmarkEnd w:id="17"/>
      <w:r w:rsidRPr="00BE636B">
        <w:rPr>
          <w:rFonts w:ascii="Verdana" w:hAnsi="Verdana" w:cs="Arial"/>
        </w:rPr>
        <w:t xml:space="preserve">. </w:t>
      </w:r>
    </w:p>
    <w:p w14:paraId="4A3A1ED1" w14:textId="77777777" w:rsidR="00A761E9" w:rsidRPr="00F07E96" w:rsidRDefault="00A761E9" w:rsidP="00BE636B">
      <w:pPr>
        <w:spacing w:after="120" w:line="276" w:lineRule="auto"/>
        <w:ind w:firstLine="709"/>
        <w:jc w:val="both"/>
        <w:rPr>
          <w:rFonts w:ascii="Verdana" w:hAnsi="Verdana" w:cs="Arial"/>
        </w:rPr>
      </w:pPr>
      <w:r w:rsidRPr="008E2DC6">
        <w:rPr>
          <w:rFonts w:ascii="Verdana" w:hAnsi="Verdana" w:cs="Arial"/>
          <w:lang w:val="es-ES_tradnl"/>
        </w:rPr>
        <w:t xml:space="preserve">Estas excepciones son taxativas y se rigen por una interpretación restrictiva. Así lo dispone el artículo 2.2.1.1.1.5.1 del Decreto 1082 de 2015, al prescribir que la inscripción en el RUP es imperativa para los sujetos mencionados en el primer inciso del artículo 6 de la Ley 1150 de 2007, salvo las excepciones previstas de forma taxativa en la Ley. </w:t>
      </w:r>
      <w:r w:rsidRPr="00CE156C">
        <w:rPr>
          <w:rFonts w:ascii="Verdana" w:hAnsi="Verdana" w:cs="Arial"/>
        </w:rPr>
        <w:t xml:space="preserve">Adicionalmente, en el numeral 6.1. del artículo 6 de la Ley 1150 de 2007 establece que cuando sea necesario verificar requisitos o información que no reposa en RUP, la Entidad </w:t>
      </w:r>
      <w:r w:rsidRPr="00CE156C">
        <w:rPr>
          <w:rFonts w:ascii="Verdana" w:hAnsi="Verdana" w:cs="Arial"/>
        </w:rPr>
        <w:lastRenderedPageBreak/>
        <w:t>podrá solicitar información adicional solo para complementar la información contenida en el RUP</w:t>
      </w:r>
      <w:r w:rsidRPr="00CE156C">
        <w:rPr>
          <w:rFonts w:ascii="Verdana" w:hAnsi="Verdana" w:cs="Arial"/>
          <w:vertAlign w:val="superscript"/>
        </w:rPr>
        <w:footnoteReference w:id="8"/>
      </w:r>
      <w:r w:rsidRPr="00CE156C">
        <w:rPr>
          <w:rFonts w:ascii="Verdana" w:hAnsi="Verdana" w:cs="Arial"/>
        </w:rPr>
        <w:t>.</w:t>
      </w:r>
    </w:p>
    <w:p w14:paraId="32BD0D1F" w14:textId="77777777" w:rsidR="00A761E9" w:rsidRPr="00F926E2" w:rsidRDefault="00A761E9" w:rsidP="008E2DC6">
      <w:pPr>
        <w:spacing w:after="120" w:line="276" w:lineRule="auto"/>
        <w:ind w:firstLine="709"/>
        <w:jc w:val="both"/>
        <w:rPr>
          <w:rFonts w:ascii="Verdana" w:hAnsi="Verdana" w:cs="Arial"/>
        </w:rPr>
      </w:pPr>
      <w:r w:rsidRPr="00F926E2">
        <w:rPr>
          <w:rFonts w:ascii="Verdana" w:hAnsi="Verdana" w:cs="Arial"/>
        </w:rPr>
        <w:t>En cualquier caso, en los procedimientos en los cuales no es exigible el RUP, como aquellos que se adelanten mediante la modalidad de mínima cuantía, las Entidades deberán verificar directamente el cumplimiento de los requisitos habilitantes</w:t>
      </w:r>
      <w:r w:rsidRPr="00CE156C">
        <w:rPr>
          <w:rFonts w:ascii="Verdana" w:hAnsi="Verdana" w:cs="Arial"/>
          <w:vertAlign w:val="superscript"/>
        </w:rPr>
        <w:footnoteReference w:id="9"/>
      </w:r>
      <w:r w:rsidRPr="00CE156C">
        <w:rPr>
          <w:rFonts w:ascii="Verdana" w:hAnsi="Verdana" w:cs="Arial"/>
        </w:rPr>
        <w:t>. Para es</w:t>
      </w:r>
      <w:r w:rsidRPr="00F07E96">
        <w:rPr>
          <w:rFonts w:ascii="Verdana" w:hAnsi="Verdana" w:cs="Arial"/>
        </w:rPr>
        <w:t xml:space="preserve">to, deberá señalar en la invitación, o el documento que haga sus veces, </w:t>
      </w:r>
      <w:r w:rsidRPr="00F926E2">
        <w:rPr>
          <w:rFonts w:ascii="Verdana" w:eastAsia="Times New Roman" w:hAnsi="Verdana" w:cs="Arial"/>
          <w:lang w:eastAsia="es-ES_tradnl"/>
        </w:rPr>
        <w:t>cuál es la información que se debe acreditar, así como los documentos que tendrá como válidos para tal fin.</w:t>
      </w:r>
      <w:r w:rsidRPr="00F926E2">
        <w:rPr>
          <w:rFonts w:ascii="Verdana" w:hAnsi="Verdana" w:cs="Arial"/>
        </w:rPr>
        <w:t xml:space="preserve"> Estos documentos también deberán ser proporcionales y adecuados, pues no podrán imponer barreras injustificadas para la participación en el proceso de selección.</w:t>
      </w:r>
    </w:p>
    <w:p w14:paraId="19AD25E5" w14:textId="6FF7C526" w:rsidR="00A761E9" w:rsidRPr="00F07E96" w:rsidRDefault="008E118A" w:rsidP="00286DDE">
      <w:pPr>
        <w:spacing w:after="120"/>
        <w:ind w:firstLine="709"/>
        <w:jc w:val="both"/>
        <w:rPr>
          <w:rFonts w:ascii="Verdana" w:hAnsi="Verdana" w:cs="Arial"/>
        </w:rPr>
      </w:pPr>
      <w:r w:rsidRPr="00BE636B">
        <w:rPr>
          <w:rFonts w:ascii="Verdana" w:hAnsi="Verdana" w:cs="Arial"/>
        </w:rPr>
        <w:t>Ahora bien, con</w:t>
      </w:r>
      <w:r w:rsidRPr="00323DD8">
        <w:rPr>
          <w:rFonts w:ascii="Verdana" w:hAnsi="Verdana" w:cs="Arial"/>
        </w:rPr>
        <w:t xml:space="preserve">forme lo señalado anteriormente, </w:t>
      </w:r>
      <w:r w:rsidRPr="00CE156C">
        <w:rPr>
          <w:rFonts w:ascii="Verdana" w:hAnsi="Verdana" w:cs="Arial"/>
        </w:rPr>
        <w:t xml:space="preserve">la </w:t>
      </w:r>
      <w:r w:rsidR="00A761E9" w:rsidRPr="00CE156C">
        <w:rPr>
          <w:rFonts w:ascii="Verdana" w:hAnsi="Verdana" w:cs="Arial"/>
        </w:rPr>
        <w:t>ley 1150 de 2007, en el artículo 5, establece los requisitos habilitantes para participar en un procedimiento contractual, dentro de los cuales se destaca la experiencia. Su propósito es que las entidades fijen unos requisitos mínimos que debe tener y acreditar el proponente, para que la entidad pueda verificar su aptitud para participar en el procedimiento de contratación y, si se le adjudica, ejecutar el contrato estata</w:t>
      </w:r>
      <w:r w:rsidR="00A761E9" w:rsidRPr="00286DDE">
        <w:rPr>
          <w:rFonts w:ascii="Verdana" w:hAnsi="Verdana" w:cs="Arial"/>
          <w:vertAlign w:val="superscript"/>
        </w:rPr>
        <w:t>l</w:t>
      </w:r>
      <w:r w:rsidR="00A761E9" w:rsidRPr="00286DDE">
        <w:rPr>
          <w:rFonts w:ascii="Verdana" w:hAnsi="Verdana" w:cs="Arial"/>
          <w:vertAlign w:val="superscript"/>
        </w:rPr>
        <w:footnoteReference w:id="10"/>
      </w:r>
      <w:r w:rsidR="00A761E9" w:rsidRPr="00CE156C">
        <w:rPr>
          <w:rFonts w:ascii="Verdana" w:hAnsi="Verdana" w:cs="Arial"/>
        </w:rPr>
        <w:t xml:space="preserve">. En ese sentido, la </w:t>
      </w:r>
      <w:r w:rsidR="00E44C1A" w:rsidRPr="00F07E96">
        <w:rPr>
          <w:rFonts w:ascii="Verdana" w:hAnsi="Verdana" w:cs="Arial"/>
        </w:rPr>
        <w:t>E</w:t>
      </w:r>
      <w:r w:rsidR="00A761E9" w:rsidRPr="00CE156C">
        <w:rPr>
          <w:rFonts w:ascii="Verdana" w:hAnsi="Verdana" w:cs="Arial"/>
        </w:rPr>
        <w:t xml:space="preserve">ntidad, como responsable de la estructuración de su procedimiento de contratación, es autónoma para requerir </w:t>
      </w:r>
      <w:r w:rsidR="00A761E9" w:rsidRPr="00CE156C">
        <w:rPr>
          <w:rFonts w:ascii="Verdana" w:hAnsi="Verdana" w:cs="Arial"/>
        </w:rPr>
        <w:lastRenderedPageBreak/>
        <w:t>la experiencia necesaria para ejecutar el objeto contractual que se pretende satisfacer con el procedimiento, para lo cual, de acuerdo con el artículo 2.2.1.1.1.6.2. del Decreto 1082 de 2015, debe tener en cuenta el estudio del sector y de sus componentes, como la identificación de riesgos, así como el mercado y precio del bien, obra o servicio a contratar</w:t>
      </w:r>
      <w:r w:rsidR="00A761E9" w:rsidRPr="00CE156C">
        <w:rPr>
          <w:rStyle w:val="Refdenotaalpie"/>
          <w:rFonts w:ascii="Verdana" w:hAnsi="Verdana" w:cs="Arial"/>
        </w:rPr>
        <w:footnoteReference w:id="11"/>
      </w:r>
      <w:r w:rsidR="00517DC8" w:rsidRPr="00CE156C">
        <w:rPr>
          <w:rFonts w:ascii="Verdana" w:hAnsi="Verdana" w:cs="Arial"/>
        </w:rPr>
        <w:t>.</w:t>
      </w:r>
    </w:p>
    <w:p w14:paraId="22938E8C" w14:textId="0461A1F7" w:rsidR="00A761E9" w:rsidRPr="00CE156C" w:rsidRDefault="00A761E9" w:rsidP="00286DDE">
      <w:pPr>
        <w:spacing w:after="120"/>
        <w:ind w:firstLine="709"/>
        <w:jc w:val="both"/>
        <w:rPr>
          <w:rFonts w:ascii="Verdana" w:hAnsi="Verdana" w:cs="Arial"/>
        </w:rPr>
      </w:pPr>
      <w:r w:rsidRPr="00F926E2">
        <w:rPr>
          <w:rFonts w:ascii="Verdana" w:hAnsi="Verdana" w:cs="Arial"/>
        </w:rPr>
        <w:t xml:space="preserve">La experiencia que se deriva de los contratos que el proponente ha celebrado y ejecutado con diferentes contratantes, sin importar la naturaleza de estos, se verifica con el </w:t>
      </w:r>
      <w:r w:rsidRPr="00CE156C">
        <w:rPr>
          <w:rFonts w:ascii="Verdana" w:hAnsi="Verdana" w:cs="Arial"/>
        </w:rPr>
        <w:t>RUP</w:t>
      </w:r>
      <w:r w:rsidRPr="00286DDE">
        <w:rPr>
          <w:rFonts w:ascii="Verdana" w:hAnsi="Verdana"/>
          <w:vertAlign w:val="superscript"/>
        </w:rPr>
        <w:footnoteReference w:id="12"/>
      </w:r>
      <w:r w:rsidRPr="00CE156C">
        <w:rPr>
          <w:rFonts w:ascii="Verdana" w:hAnsi="Verdana" w:cs="Arial"/>
        </w:rPr>
        <w:t>, cuando este certificado sea exig</w:t>
      </w:r>
      <w:r w:rsidRPr="00F07E96">
        <w:rPr>
          <w:rFonts w:ascii="Verdana" w:hAnsi="Verdana" w:cs="Arial"/>
        </w:rPr>
        <w:t>ible de acuerdo con la ley. En el RUP constan los requisitos habilitantes que se evalúan exclusivamente con este documento, que es su plena prueba, sin que la entidad o el proponente puedan solicitar o aportar otra documentación</w:t>
      </w:r>
      <w:r w:rsidRPr="00286DDE">
        <w:rPr>
          <w:rStyle w:val="Refdenotaalpie"/>
          <w:rFonts w:ascii="Verdana" w:eastAsia="Calibri" w:hAnsi="Verdana" w:cs="Arial"/>
          <w:kern w:val="2"/>
          <w14:ligatures w14:val="standardContextual"/>
        </w:rPr>
        <w:footnoteReference w:id="13"/>
      </w:r>
      <w:r w:rsidRPr="00286DDE">
        <w:rPr>
          <w:rFonts w:ascii="Verdana" w:eastAsia="Calibri" w:hAnsi="Verdana" w:cs="Arial"/>
          <w:kern w:val="2"/>
          <w14:ligatures w14:val="standardContextual"/>
        </w:rPr>
        <w:t xml:space="preserve">. </w:t>
      </w:r>
    </w:p>
    <w:p w14:paraId="11D047DC" w14:textId="308F38EE" w:rsidR="00A761E9" w:rsidRPr="00F926E2" w:rsidRDefault="00A761E9" w:rsidP="00286DDE">
      <w:pPr>
        <w:spacing w:after="120"/>
        <w:ind w:firstLine="709"/>
        <w:jc w:val="both"/>
        <w:rPr>
          <w:rFonts w:ascii="Verdana" w:hAnsi="Verdana" w:cs="Arial"/>
        </w:rPr>
      </w:pPr>
      <w:r w:rsidRPr="00F926E2">
        <w:rPr>
          <w:rFonts w:ascii="Verdana" w:eastAsia="Calibri" w:hAnsi="Verdana" w:cs="Arial"/>
          <w:kern w:val="2"/>
          <w14:ligatures w14:val="standardContextual"/>
        </w:rPr>
        <w:t>Respecto de la experiencia, esta debe inscribirse, renovarse o actualizarse en el RUP con copia de los contratos o con certificados de los contratos celebrados por el proponente con diferentes contratantes, quienes son terceros que los expiden cuando el contrato fue ejecutado y recibieron los bienes, obras o servicios de parte del proponente</w:t>
      </w:r>
      <w:r w:rsidRPr="00286DDE">
        <w:rPr>
          <w:rStyle w:val="Refdenotaalpie"/>
          <w:rFonts w:ascii="Verdana" w:eastAsia="Calibri" w:hAnsi="Verdana" w:cs="Arial"/>
          <w:kern w:val="2"/>
          <w14:ligatures w14:val="standardContextual"/>
        </w:rPr>
        <w:footnoteReference w:id="14"/>
      </w:r>
      <w:r w:rsidRPr="00286DDE">
        <w:rPr>
          <w:rFonts w:ascii="Verdana" w:eastAsia="Calibri" w:hAnsi="Verdana" w:cs="Arial"/>
          <w:kern w:val="2"/>
          <w14:ligatures w14:val="standardContextual"/>
        </w:rPr>
        <w:t xml:space="preserve">. De esta manera, con el RUP se verifica </w:t>
      </w:r>
      <w:r w:rsidRPr="00CE156C">
        <w:rPr>
          <w:rFonts w:ascii="Verdana" w:hAnsi="Verdana" w:cs="Arial"/>
        </w:rPr>
        <w:lastRenderedPageBreak/>
        <w:t xml:space="preserve">que el proponente tenga experiencia en la ejecución del objeto que pretende contratar la </w:t>
      </w:r>
      <w:r w:rsidR="00CE156C">
        <w:rPr>
          <w:rFonts w:ascii="Verdana" w:hAnsi="Verdana" w:cs="Arial"/>
        </w:rPr>
        <w:t>E</w:t>
      </w:r>
      <w:r w:rsidRPr="00CE156C">
        <w:rPr>
          <w:rFonts w:ascii="Verdana" w:hAnsi="Verdana" w:cs="Arial"/>
        </w:rPr>
        <w:t>ntidad, esto es, que haya celebrado y ejecutado contratos que se asimilen a la necesidad que la entidad requiere satisfacer con el procedimiento contractual, sin que sea necesario que su objeto sea idéntico, o que dependerá de la forma como la entidad solicita la experiencia en el pliego de condiciones o d</w:t>
      </w:r>
      <w:r w:rsidRPr="00F926E2">
        <w:rPr>
          <w:rFonts w:ascii="Verdana" w:hAnsi="Verdana" w:cs="Arial"/>
        </w:rPr>
        <w:t>ocumento equivalente.</w:t>
      </w:r>
    </w:p>
    <w:p w14:paraId="7E6182D5" w14:textId="0187BEC8" w:rsidR="00A761E9" w:rsidRPr="00CE156C" w:rsidRDefault="00A761E9" w:rsidP="00286DDE">
      <w:pPr>
        <w:spacing w:after="120"/>
        <w:ind w:firstLine="709"/>
        <w:jc w:val="both"/>
        <w:rPr>
          <w:rFonts w:ascii="Verdana" w:hAnsi="Verdana" w:cs="Arial"/>
        </w:rPr>
      </w:pPr>
      <w:r w:rsidRPr="00F926E2">
        <w:rPr>
          <w:rFonts w:ascii="Verdana" w:hAnsi="Verdana" w:cs="Arial"/>
        </w:rPr>
        <w:t>En concordancia con lo expuesto, tenemos que el “Manual para determinar y verificar los requisitos habilitantes en los Procesos de Contratación”</w:t>
      </w:r>
      <w:r w:rsidRPr="00286DDE">
        <w:rPr>
          <w:rFonts w:ascii="Verdana" w:hAnsi="Verdana" w:cs="Arial"/>
          <w:vertAlign w:val="superscript"/>
        </w:rPr>
        <w:footnoteReference w:id="15"/>
      </w:r>
      <w:r w:rsidRPr="00CE156C">
        <w:rPr>
          <w:rFonts w:ascii="Verdana" w:hAnsi="Verdana" w:cs="Arial"/>
        </w:rPr>
        <w:t xml:space="preserve">, establece las definiciones de cada requisito habilitante y da lineamientos orientadores sobre lo que las </w:t>
      </w:r>
      <w:r w:rsidR="00CE156C">
        <w:rPr>
          <w:rFonts w:ascii="Verdana" w:hAnsi="Verdana" w:cs="Arial"/>
        </w:rPr>
        <w:t>E</w:t>
      </w:r>
      <w:r w:rsidRPr="00CE156C">
        <w:rPr>
          <w:rFonts w:ascii="Verdana" w:hAnsi="Verdana" w:cs="Arial"/>
        </w:rPr>
        <w:t xml:space="preserve">ntidades deben y pueden hacer para configurarlos. En particular, sobre el requisito habilitante de experiencia, el Manual se centra en una de sus cualidades, y es que, es personal; lo que significa que quien tiene la experiencia lo hace en razón de su participación, con anterioridad, en actividades que le permitieron conocer cómo ejecutar el objeto contractual que la entidad pretende satisfacer mediante el Proceso de Contratación. </w:t>
      </w:r>
    </w:p>
    <w:p w14:paraId="7DE52341" w14:textId="77777777" w:rsidR="00A761E9" w:rsidRPr="00CE156C" w:rsidRDefault="00A761E9" w:rsidP="00286DDE">
      <w:pPr>
        <w:spacing w:after="120"/>
        <w:ind w:firstLine="709"/>
        <w:jc w:val="both"/>
        <w:rPr>
          <w:rFonts w:ascii="Verdana" w:eastAsia="Calibri" w:hAnsi="Verdana" w:cs="Arial"/>
          <w:lang w:val="es-ES"/>
        </w:rPr>
      </w:pPr>
      <w:r w:rsidRPr="00CE156C">
        <w:rPr>
          <w:rFonts w:ascii="Verdana" w:eastAsia="Calibri" w:hAnsi="Verdana" w:cs="Arial"/>
          <w:lang w:val="es-ES"/>
        </w:rPr>
        <w:t xml:space="preserve">En ese sentido, el Manual </w:t>
      </w:r>
      <w:r w:rsidRPr="00CE156C">
        <w:rPr>
          <w:rFonts w:ascii="Verdana" w:eastAsia="Arial" w:hAnsi="Verdana" w:cs="Arial"/>
        </w:rPr>
        <w:t>define la experiencia como “el conocimiento del proponente derivado de su participación previa en actividades iguales o similares a las previstas en el objeto del contrato” y adicionalmente, explica que la experiencia puede obtenerse directamente o por participar asociado con otra persona, como es el caso de los proponentes plurales, en cuyo evento la experiencia no deja de ser personal, sino que es proporcional a la participación como miembro de un consorcio o unión temporal, donde por tratarse de esquemas asociativos la experiencia es compartida.</w:t>
      </w:r>
    </w:p>
    <w:p w14:paraId="5A867ACF" w14:textId="77777777" w:rsidR="00A761E9" w:rsidRPr="00CE156C" w:rsidRDefault="00A761E9" w:rsidP="00286DDE">
      <w:pPr>
        <w:spacing w:after="120"/>
        <w:ind w:firstLine="709"/>
        <w:jc w:val="both"/>
        <w:rPr>
          <w:rFonts w:ascii="Verdana" w:eastAsia="Calibri" w:hAnsi="Verdana" w:cs="Arial"/>
          <w:lang w:val="es-ES_tradnl"/>
        </w:rPr>
      </w:pPr>
      <w:r w:rsidRPr="00CE156C">
        <w:rPr>
          <w:rFonts w:ascii="Verdana" w:eastAsia="Calibri" w:hAnsi="Verdana" w:cs="Arial"/>
          <w:lang w:val="es-ES_tradnl"/>
        </w:rPr>
        <w:t xml:space="preserve">Lo anterior es determinante, porque no es posible tener experiencia si en la práctica no se han ejecutado actividades similares previas. Precisamente, de </w:t>
      </w:r>
      <w:r w:rsidRPr="00CE156C">
        <w:rPr>
          <w:rFonts w:ascii="Verdana" w:eastAsia="Calibri" w:hAnsi="Verdana" w:cs="Arial"/>
          <w:lang w:val="es-ES_tradnl"/>
        </w:rPr>
        <w:lastRenderedPageBreak/>
        <w:t xml:space="preserve">la experiencia se deriva el conocimiento del proponente, y para la contratación pública es importante, ya que garantiza que no habrá improvisación ni mayores costos por errores o dificultades originadas en realizar una actividad por primera vez. </w:t>
      </w:r>
    </w:p>
    <w:p w14:paraId="74223D53" w14:textId="77777777" w:rsidR="00A761E9" w:rsidRPr="00CE156C" w:rsidRDefault="00A761E9" w:rsidP="00F926E2">
      <w:pPr>
        <w:tabs>
          <w:tab w:val="left" w:pos="483"/>
        </w:tabs>
        <w:spacing w:after="120" w:line="276" w:lineRule="auto"/>
        <w:ind w:firstLine="709"/>
        <w:jc w:val="both"/>
        <w:rPr>
          <w:rFonts w:ascii="Verdana" w:eastAsia="Calibri" w:hAnsi="Verdana" w:cs="Arial"/>
          <w:color w:val="000000"/>
          <w:shd w:val="clear" w:color="auto" w:fill="FFFFFF"/>
          <w:lang w:val="es-ES"/>
        </w:rPr>
      </w:pPr>
      <w:r w:rsidRPr="00CE156C">
        <w:rPr>
          <w:rFonts w:ascii="Verdana" w:eastAsia="Calibri" w:hAnsi="Verdana" w:cs="Arial"/>
          <w:color w:val="000000"/>
          <w:shd w:val="clear" w:color="auto" w:fill="FFFFFF"/>
          <w:lang w:val="es-ES"/>
        </w:rPr>
        <w:t>En este punto, se evidencia que la parte final del numeral 2.5 del artículo citado incluye una medida diferenciada para las personas jurídicas cuya constitución sea menor a tres (3) años al momento del registro. Esta prerrogativa, que puede entenderse como una medida de fomento a la participación de pequeños oferentes en la contratación estatal, permite que las sociedades relativamente nuevas –con menos de tres (3) años de constitución– puedan acreditar como experiencia en el RUP la de sus accionistas, socios o constituyentes. Pese a que la experiencia es inherente a la persona que la ha obtenido, razón por la cual es, en principio, intransferible en virtud de su carácter personalísimo, por disposición legal o reglamentaria, en casos excepcionales, como el descrito en el artículo mencionado, se aplica de otra manera.</w:t>
      </w:r>
    </w:p>
    <w:p w14:paraId="60978918" w14:textId="77777777" w:rsidR="00A761E9" w:rsidRPr="00CE156C" w:rsidRDefault="00A761E9" w:rsidP="00F926E2">
      <w:pPr>
        <w:tabs>
          <w:tab w:val="left" w:pos="483"/>
        </w:tabs>
        <w:spacing w:after="120" w:line="276" w:lineRule="auto"/>
        <w:ind w:firstLine="709"/>
        <w:jc w:val="both"/>
        <w:rPr>
          <w:rFonts w:ascii="Verdana" w:eastAsia="Calibri" w:hAnsi="Verdana" w:cs="Arial"/>
          <w:color w:val="000000"/>
          <w:shd w:val="clear" w:color="auto" w:fill="FFFFFF"/>
          <w:lang w:val="es-ES"/>
        </w:rPr>
      </w:pPr>
      <w:r w:rsidRPr="00CE156C">
        <w:rPr>
          <w:rFonts w:ascii="Verdana" w:eastAsia="Calibri" w:hAnsi="Verdana" w:cs="Arial"/>
          <w:color w:val="000000"/>
          <w:shd w:val="clear" w:color="auto" w:fill="FFFFFF"/>
        </w:rPr>
        <w:t>La finalidad de esta norma es permitir que las sociedades que no cuentan con la experiencia suficiente para contratar con el Estado puedan apoyarse en la experiencia de sus accionistas, socios o constituyentes con el fin de incentivar la competencia en la contratación estatal. Así las cosas, el socio transfiere la experiencia adquirida directamente a la sociedad de la que es parte, para que esta, como persona jurídica independiente, pueda cumplir con los requisitos habilitantes o puntuables que establezcan las Entidades Estatales en sus Procesos de Contratación, y de esta forma promover el desarrollo de la empresa y la pluralidad de oferentes en la contratación pública.</w:t>
      </w:r>
    </w:p>
    <w:p w14:paraId="307345F2" w14:textId="1DF44CAE" w:rsidR="00A761E9" w:rsidRPr="00CE156C" w:rsidRDefault="00EA560F" w:rsidP="00BE636B">
      <w:pPr>
        <w:tabs>
          <w:tab w:val="left" w:pos="483"/>
        </w:tabs>
        <w:spacing w:after="120" w:line="276" w:lineRule="auto"/>
        <w:ind w:firstLine="709"/>
        <w:jc w:val="both"/>
        <w:rPr>
          <w:rFonts w:ascii="Verdana" w:eastAsia="Calibri" w:hAnsi="Verdana" w:cs="Arial"/>
          <w:color w:val="000000"/>
          <w:shd w:val="clear" w:color="auto" w:fill="FFFFFF"/>
          <w:lang w:val="es-ES"/>
        </w:rPr>
      </w:pPr>
      <w:r>
        <w:rPr>
          <w:rFonts w:ascii="Verdana" w:eastAsia="Times New Roman" w:hAnsi="Verdana" w:cs="Arial"/>
          <w:lang w:val="es-ES_tradnl" w:eastAsia="es-ES_tradnl"/>
        </w:rPr>
        <w:t>E</w:t>
      </w:r>
      <w:r w:rsidR="00A761E9" w:rsidRPr="00CE156C">
        <w:rPr>
          <w:rFonts w:ascii="Verdana" w:eastAsia="Times New Roman" w:hAnsi="Verdana" w:cs="Arial"/>
          <w:lang w:val="es-ES_tradnl" w:eastAsia="es-ES_tradnl"/>
        </w:rPr>
        <w:t xml:space="preserve">n línea con lo anterior, el numeral 2.5. del artículo 2.2.1.1.1.5.2 del Decreto 1082 de 2015 consagra una prerrogativa para las sociedades nuevas, que busca fomentar su competencia en el campo de la contratación estatal, sin establecer limitantes en relación con las </w:t>
      </w:r>
      <w:r w:rsidR="00A62338">
        <w:rPr>
          <w:rFonts w:ascii="Verdana" w:eastAsia="Times New Roman" w:hAnsi="Verdana" w:cs="Arial"/>
          <w:lang w:val="es-ES_tradnl" w:eastAsia="es-ES_tradnl"/>
        </w:rPr>
        <w:t>E</w:t>
      </w:r>
      <w:r w:rsidR="00A761E9" w:rsidRPr="00CE156C">
        <w:rPr>
          <w:rFonts w:ascii="Verdana" w:eastAsia="Times New Roman" w:hAnsi="Verdana" w:cs="Arial"/>
          <w:lang w:val="es-ES_tradnl" w:eastAsia="es-ES_tradnl"/>
        </w:rPr>
        <w:t xml:space="preserve">ntidades o Procesos de </w:t>
      </w:r>
      <w:r w:rsidR="00A761E9" w:rsidRPr="00CE156C">
        <w:rPr>
          <w:rFonts w:ascii="Verdana" w:eastAsia="Calibri" w:hAnsi="Verdana" w:cs="Arial"/>
          <w:color w:val="000000"/>
          <w:shd w:val="clear" w:color="auto" w:fill="FFFFFF"/>
          <w:lang w:val="es-ES"/>
        </w:rPr>
        <w:t xml:space="preserve">Contratación en los que las personas jurídicas con menos de tres (3) años de constitución pueden acreditar la experiencia transferida por sus socios en virtud de la referida prerrogativa. </w:t>
      </w:r>
    </w:p>
    <w:p w14:paraId="3A8F2F90" w14:textId="402E7977" w:rsidR="00697069" w:rsidRDefault="00EA560F" w:rsidP="002067DD">
      <w:pPr>
        <w:spacing w:after="120" w:line="276" w:lineRule="auto"/>
        <w:ind w:firstLine="708"/>
        <w:jc w:val="both"/>
        <w:rPr>
          <w:rFonts w:ascii="Verdana" w:hAnsi="Verdana"/>
        </w:rPr>
      </w:pPr>
      <w:r>
        <w:rPr>
          <w:rFonts w:ascii="Verdana" w:eastAsia="Calibri" w:hAnsi="Verdana" w:cs="Arial"/>
          <w:color w:val="000000"/>
          <w:shd w:val="clear" w:color="auto" w:fill="FFFFFF"/>
          <w:lang w:val="es-ES"/>
        </w:rPr>
        <w:t>Ahora bien</w:t>
      </w:r>
      <w:r w:rsidR="00A761E9" w:rsidRPr="00EA560F">
        <w:rPr>
          <w:rFonts w:ascii="Verdana" w:eastAsia="Calibri" w:hAnsi="Verdana" w:cs="Arial"/>
          <w:color w:val="000000"/>
          <w:shd w:val="clear" w:color="auto" w:fill="FFFFFF"/>
          <w:lang w:val="es-ES"/>
        </w:rPr>
        <w:t>,</w:t>
      </w:r>
      <w:r>
        <w:rPr>
          <w:rFonts w:ascii="Verdana" w:eastAsia="Calibri" w:hAnsi="Verdana" w:cs="Arial"/>
          <w:color w:val="000000"/>
          <w:shd w:val="clear" w:color="auto" w:fill="FFFFFF"/>
          <w:lang w:val="es-ES"/>
        </w:rPr>
        <w:t xml:space="preserve"> en atención a la consulta planteada debe señalarse que,</w:t>
      </w:r>
      <w:r w:rsidR="00A761E9" w:rsidRPr="00EA560F">
        <w:rPr>
          <w:rFonts w:ascii="Verdana" w:eastAsia="Calibri" w:hAnsi="Verdana" w:cs="Arial"/>
          <w:color w:val="000000"/>
          <w:shd w:val="clear" w:color="auto" w:fill="FFFFFF"/>
          <w:lang w:val="es-ES"/>
        </w:rPr>
        <w:t xml:space="preserve"> </w:t>
      </w:r>
      <w:r w:rsidR="00697069" w:rsidRPr="005821E0">
        <w:rPr>
          <w:rFonts w:ascii="Verdana" w:hAnsi="Verdana"/>
        </w:rPr>
        <w:t>si</w:t>
      </w:r>
      <w:r w:rsidR="00697069" w:rsidRPr="001504A0">
        <w:rPr>
          <w:rFonts w:ascii="Verdana" w:hAnsi="Verdana"/>
        </w:rPr>
        <w:t xml:space="preserve"> la persona jurídica con menos de tres</w:t>
      </w:r>
      <w:r w:rsidR="00697069">
        <w:rPr>
          <w:rFonts w:ascii="Verdana" w:hAnsi="Verdana"/>
        </w:rPr>
        <w:t xml:space="preserve"> (3)</w:t>
      </w:r>
      <w:r w:rsidR="00697069" w:rsidRPr="001504A0">
        <w:rPr>
          <w:rFonts w:ascii="Verdana" w:hAnsi="Verdana"/>
        </w:rPr>
        <w:t xml:space="preserve"> años de constituida registra la experiencia de sus socios en el RUP, y éste es renovado constantemente de forma oportuna, puede continuar utilizando la experiencia inscrita mientras no </w:t>
      </w:r>
      <w:r w:rsidR="00697069" w:rsidRPr="001504A0">
        <w:rPr>
          <w:rFonts w:ascii="Verdana" w:hAnsi="Verdana"/>
        </w:rPr>
        <w:lastRenderedPageBreak/>
        <w:t>cesen los efectos del RUP, incluso después de transcurridos los tres</w:t>
      </w:r>
      <w:r w:rsidR="00697069">
        <w:rPr>
          <w:rFonts w:ascii="Verdana" w:hAnsi="Verdana"/>
        </w:rPr>
        <w:t xml:space="preserve"> (3)</w:t>
      </w:r>
      <w:r w:rsidR="00697069" w:rsidRPr="001504A0">
        <w:rPr>
          <w:rFonts w:ascii="Verdana" w:hAnsi="Verdana"/>
        </w:rPr>
        <w:t xml:space="preserve"> años. Por el contrario, si no se renueva y la persona jurídica supera los tres </w:t>
      </w:r>
      <w:r w:rsidR="00697069">
        <w:rPr>
          <w:rFonts w:ascii="Verdana" w:hAnsi="Verdana"/>
        </w:rPr>
        <w:t xml:space="preserve">(3) </w:t>
      </w:r>
      <w:r w:rsidR="00697069" w:rsidRPr="001504A0">
        <w:rPr>
          <w:rFonts w:ascii="Verdana" w:hAnsi="Verdana"/>
        </w:rPr>
        <w:t xml:space="preserve">años de constituida, la experiencia que registró de sus socios no puede ser inscrita nuevamente, puesto que el RUP ha cesado </w:t>
      </w:r>
      <w:r w:rsidR="00697069">
        <w:rPr>
          <w:rFonts w:ascii="Verdana" w:hAnsi="Verdana"/>
        </w:rPr>
        <w:t xml:space="preserve">en </w:t>
      </w:r>
      <w:r w:rsidR="00697069" w:rsidRPr="001504A0">
        <w:rPr>
          <w:rFonts w:ascii="Verdana" w:hAnsi="Verdana"/>
        </w:rPr>
        <w:t xml:space="preserve">sus efectos y la cámara de comercio tiene que hacer nuevamente la verificación documental de la información presentada al momento de inscribirse en el registro. </w:t>
      </w:r>
    </w:p>
    <w:p w14:paraId="3A0E76A2" w14:textId="0C412759" w:rsidR="00697069" w:rsidRPr="00AB11C1" w:rsidRDefault="00697069" w:rsidP="00286DDE">
      <w:pPr>
        <w:spacing w:after="0" w:line="276" w:lineRule="auto"/>
        <w:ind w:firstLine="708"/>
        <w:jc w:val="both"/>
        <w:rPr>
          <w:rFonts w:ascii="Verdana" w:hAnsi="Verdana" w:cs="Arial"/>
          <w:lang w:val="es-MX" w:eastAsia="es-ES_tradnl"/>
        </w:rPr>
      </w:pPr>
      <w:r w:rsidRPr="001504A0">
        <w:rPr>
          <w:rFonts w:ascii="Verdana" w:hAnsi="Verdana"/>
        </w:rPr>
        <w:t xml:space="preserve">Lo anterior, tiene fundamento en la Circular Única de la Superintendencia de Industria y Comercio, </w:t>
      </w:r>
      <w:r>
        <w:rPr>
          <w:rFonts w:ascii="Verdana" w:hAnsi="Verdana"/>
        </w:rPr>
        <w:t>en el</w:t>
      </w:r>
      <w:r w:rsidRPr="001504A0">
        <w:rPr>
          <w:rFonts w:ascii="Verdana" w:hAnsi="Verdana"/>
        </w:rPr>
        <w:t xml:space="preserve"> numeral 4.2, </w:t>
      </w:r>
      <w:r w:rsidRPr="00AB11C1">
        <w:rPr>
          <w:rFonts w:ascii="Verdana" w:eastAsia="Calibri" w:hAnsi="Verdana" w:cs="Arial"/>
          <w:lang w:val="es-MX"/>
        </w:rPr>
        <w:t>sobre el procedimiento para llevar el registro único de proponentes, dispone lo siguiente:</w:t>
      </w:r>
      <w:r w:rsidRPr="00AB11C1">
        <w:rPr>
          <w:rFonts w:ascii="Verdana" w:hAnsi="Verdana" w:cs="Arial"/>
          <w:lang w:val="es-MX" w:eastAsia="es-ES_tradnl"/>
        </w:rPr>
        <w:t xml:space="preserve">  </w:t>
      </w:r>
    </w:p>
    <w:p w14:paraId="57EA0429" w14:textId="77777777" w:rsidR="00697069" w:rsidRPr="00AB11C1" w:rsidRDefault="00697069" w:rsidP="00286DDE">
      <w:pPr>
        <w:spacing w:after="0"/>
        <w:ind w:firstLine="708"/>
        <w:jc w:val="both"/>
        <w:rPr>
          <w:rFonts w:ascii="Verdana" w:hAnsi="Verdana" w:cs="Arial"/>
          <w:lang w:val="es-MX" w:eastAsia="es-ES_tradnl"/>
        </w:rPr>
      </w:pPr>
    </w:p>
    <w:p w14:paraId="47AE7488" w14:textId="342BE284" w:rsidR="00697069" w:rsidRPr="00286DDE" w:rsidRDefault="00F926E2" w:rsidP="00286DDE">
      <w:pPr>
        <w:spacing w:after="0" w:line="240" w:lineRule="auto"/>
        <w:ind w:left="709" w:right="709"/>
        <w:contextualSpacing/>
        <w:jc w:val="both"/>
        <w:rPr>
          <w:rFonts w:ascii="Verdana" w:hAnsi="Verdana" w:cs="Arial"/>
          <w:sz w:val="20"/>
          <w:szCs w:val="20"/>
          <w:lang w:val="es-MX" w:eastAsia="es-ES_tradnl"/>
        </w:rPr>
      </w:pPr>
      <w:r>
        <w:rPr>
          <w:rFonts w:ascii="Verdana" w:hAnsi="Verdana" w:cs="Arial"/>
          <w:sz w:val="20"/>
          <w:szCs w:val="20"/>
          <w:lang w:val="es-MX" w:eastAsia="es-ES_tradnl"/>
        </w:rPr>
        <w:t>“</w:t>
      </w:r>
      <w:r w:rsidR="00697069" w:rsidRPr="00286DDE">
        <w:rPr>
          <w:rFonts w:ascii="Verdana" w:hAnsi="Verdana" w:cs="Arial"/>
          <w:sz w:val="20"/>
          <w:szCs w:val="20"/>
          <w:lang w:val="es-MX" w:eastAsia="es-ES_tradnl"/>
        </w:rPr>
        <w:t>4.2.5. Vigencia de los documentos. Para efectos de renovación y actualización se considera que los documentos no pierden su vigencia salvo disposición legal en contrario. Por lo anterior, las Cámaras de Comercio no podrán abstenerse de realizar la inscripción argumentando el vencimiento de los documentos de soporte</w:t>
      </w:r>
      <w:r>
        <w:rPr>
          <w:rFonts w:ascii="Verdana" w:hAnsi="Verdana" w:cs="Arial"/>
          <w:sz w:val="20"/>
          <w:szCs w:val="20"/>
          <w:lang w:val="es-MX" w:eastAsia="es-ES_tradnl"/>
        </w:rPr>
        <w:t>”</w:t>
      </w:r>
      <w:r w:rsidR="00697069" w:rsidRPr="00286DDE">
        <w:rPr>
          <w:rFonts w:ascii="Verdana" w:hAnsi="Verdana" w:cs="Arial"/>
          <w:sz w:val="20"/>
          <w:szCs w:val="20"/>
          <w:lang w:val="es-MX" w:eastAsia="es-ES_tradnl"/>
        </w:rPr>
        <w:t xml:space="preserve">. </w:t>
      </w:r>
    </w:p>
    <w:p w14:paraId="06592BA3" w14:textId="0AB964DE" w:rsidR="00F07E96" w:rsidRPr="00286DDE" w:rsidRDefault="00F07E96" w:rsidP="00286DDE">
      <w:pPr>
        <w:tabs>
          <w:tab w:val="left" w:pos="483"/>
        </w:tabs>
        <w:spacing w:after="0" w:line="276" w:lineRule="auto"/>
        <w:ind w:firstLine="709"/>
        <w:jc w:val="both"/>
        <w:rPr>
          <w:rFonts w:ascii="Verdana" w:eastAsia="Calibri" w:hAnsi="Verdana" w:cs="Arial"/>
          <w:color w:val="000000"/>
          <w:shd w:val="clear" w:color="auto" w:fill="FFFFFF"/>
          <w:lang w:val="es-MX"/>
        </w:rPr>
      </w:pPr>
    </w:p>
    <w:p w14:paraId="43079E51" w14:textId="470ADCBA" w:rsidR="00F74DD7" w:rsidRPr="002067DD" w:rsidRDefault="00F926E2" w:rsidP="002067DD">
      <w:pPr>
        <w:pStyle w:val="Textoindependiente"/>
        <w:spacing w:after="120" w:line="276" w:lineRule="auto"/>
        <w:ind w:firstLine="709"/>
        <w:jc w:val="both"/>
        <w:rPr>
          <w:rFonts w:ascii="Verdana" w:hAnsi="Verdana"/>
        </w:rPr>
      </w:pPr>
      <w:r w:rsidRPr="00286DDE">
        <w:rPr>
          <w:rFonts w:ascii="Verdana" w:hAnsi="Verdana"/>
        </w:rPr>
        <w:t xml:space="preserve">En este sentido, si bien la norma no determina si después de tres (3) años de constituida la persona jurídica la experiencia que fue aportada por los socios, accionistas o constituyentes sigue siendo válida o la entidad la puede rechazar, la Agencia Nacional de Contratación Pública </w:t>
      </w:r>
      <w:r w:rsidR="002067DD" w:rsidRPr="002067DD">
        <w:rPr>
          <w:rFonts w:ascii="Verdana" w:hAnsi="Verdana"/>
        </w:rPr>
        <w:t xml:space="preserve">– Colombia </w:t>
      </w:r>
      <w:r w:rsidR="002067DD" w:rsidRPr="007658A1">
        <w:rPr>
          <w:rFonts w:ascii="Verdana" w:hAnsi="Verdana"/>
        </w:rPr>
        <w:t xml:space="preserve">Compra Eficiente </w:t>
      </w:r>
      <w:r w:rsidRPr="00286DDE">
        <w:rPr>
          <w:rFonts w:ascii="Verdana" w:hAnsi="Verdana"/>
        </w:rPr>
        <w:t xml:space="preserve">considera que la experiencia de los socios, accionistas o constituyentes aportada a la persona jurídica sigue siendo válida porque de esta forma se garantiza la pluralidad de oferentes en los </w:t>
      </w:r>
      <w:r w:rsidR="002067DD" w:rsidRPr="002067DD">
        <w:rPr>
          <w:rFonts w:ascii="Verdana" w:hAnsi="Verdana"/>
        </w:rPr>
        <w:t>P</w:t>
      </w:r>
      <w:r w:rsidRPr="00286DDE">
        <w:rPr>
          <w:rFonts w:ascii="Verdana" w:hAnsi="Verdana"/>
        </w:rPr>
        <w:t>rocesos de</w:t>
      </w:r>
      <w:r w:rsidRPr="00286DDE">
        <w:rPr>
          <w:rFonts w:ascii="Verdana" w:hAnsi="Verdana"/>
          <w:spacing w:val="-14"/>
        </w:rPr>
        <w:t xml:space="preserve"> </w:t>
      </w:r>
      <w:r w:rsidR="002067DD" w:rsidRPr="002067DD">
        <w:rPr>
          <w:rFonts w:ascii="Verdana" w:hAnsi="Verdana"/>
        </w:rPr>
        <w:t>C</w:t>
      </w:r>
      <w:r w:rsidRPr="00286DDE">
        <w:rPr>
          <w:rFonts w:ascii="Verdana" w:hAnsi="Verdana"/>
        </w:rPr>
        <w:t>ontratación.</w:t>
      </w:r>
    </w:p>
    <w:p w14:paraId="57D91656" w14:textId="16C63137" w:rsidR="00F74DD7" w:rsidRPr="002067DD" w:rsidRDefault="00F07E96" w:rsidP="003F2395">
      <w:pPr>
        <w:pStyle w:val="Textoindependiente"/>
        <w:spacing w:after="120" w:line="276" w:lineRule="auto"/>
        <w:ind w:firstLine="709"/>
        <w:jc w:val="both"/>
        <w:rPr>
          <w:rFonts w:ascii="Verdana" w:hAnsi="Verdana"/>
        </w:rPr>
      </w:pPr>
      <w:r w:rsidRPr="002067DD">
        <w:rPr>
          <w:rFonts w:ascii="Verdana" w:eastAsia="Calibri" w:hAnsi="Verdana"/>
          <w:color w:val="000000"/>
          <w:shd w:val="clear" w:color="auto" w:fill="FFFFFF"/>
        </w:rPr>
        <w:t>Por otro l</w:t>
      </w:r>
      <w:r w:rsidRPr="003F2395">
        <w:rPr>
          <w:rFonts w:ascii="Verdana" w:eastAsia="Calibri" w:hAnsi="Verdana"/>
          <w:color w:val="000000"/>
          <w:shd w:val="clear" w:color="auto" w:fill="FFFFFF"/>
        </w:rPr>
        <w:t xml:space="preserve">ado, es necesario </w:t>
      </w:r>
      <w:r w:rsidR="00F74DD7" w:rsidRPr="007658A1">
        <w:rPr>
          <w:rFonts w:ascii="Verdana" w:eastAsia="Calibri" w:hAnsi="Verdana"/>
          <w:color w:val="000000"/>
          <w:shd w:val="clear" w:color="auto" w:fill="FFFFFF"/>
        </w:rPr>
        <w:t xml:space="preserve">analizar </w:t>
      </w:r>
      <w:r w:rsidR="00F74DD7" w:rsidRPr="00286DDE">
        <w:rPr>
          <w:rFonts w:ascii="Verdana" w:hAnsi="Verdana"/>
        </w:rPr>
        <w:t xml:space="preserve">¿qué ocurre con la medida contenida en el inciso final del numeral 2.5 del artículo 2.2.1.1.1.5.2 del Decreto 1082 de 2015 en aquellos casos en que la persona jurídica con menos de 3 años de constitución no está inscrita en el RUP? ¿pueden las sociedades recién creadas -con menos de </w:t>
      </w:r>
      <w:r w:rsidR="003F2395">
        <w:rPr>
          <w:rFonts w:ascii="Verdana" w:hAnsi="Verdana"/>
        </w:rPr>
        <w:t>tres (</w:t>
      </w:r>
      <w:r w:rsidR="00F74DD7" w:rsidRPr="00286DDE">
        <w:rPr>
          <w:rFonts w:ascii="Verdana" w:hAnsi="Verdana"/>
        </w:rPr>
        <w:t>3</w:t>
      </w:r>
      <w:r w:rsidR="003F2395">
        <w:rPr>
          <w:rFonts w:ascii="Verdana" w:hAnsi="Verdana"/>
        </w:rPr>
        <w:t>)</w:t>
      </w:r>
      <w:r w:rsidR="00F74DD7" w:rsidRPr="00286DDE">
        <w:rPr>
          <w:rFonts w:ascii="Verdana" w:hAnsi="Verdana"/>
        </w:rPr>
        <w:t xml:space="preserve"> años- acreditar la experiencia de sus socios, accionistas o constituyentes en los procesos del segundo inciso del artículo 6 de la Ley 1150 de 2007, esto es, cuando no se exige que el proponente no se inscriba en el RUP?</w:t>
      </w:r>
    </w:p>
    <w:p w14:paraId="061148E9" w14:textId="548EBEA2" w:rsidR="00BE636B" w:rsidRPr="00286DDE" w:rsidRDefault="00F74DD7" w:rsidP="007658A1">
      <w:pPr>
        <w:pStyle w:val="Textoindependiente"/>
        <w:spacing w:after="120" w:line="276" w:lineRule="auto"/>
        <w:ind w:firstLine="709"/>
        <w:jc w:val="both"/>
        <w:rPr>
          <w:rFonts w:ascii="Verdana" w:hAnsi="Verdana"/>
        </w:rPr>
      </w:pPr>
      <w:r w:rsidRPr="00286DDE">
        <w:rPr>
          <w:rFonts w:ascii="Verdana" w:hAnsi="Verdana"/>
        </w:rPr>
        <w:t xml:space="preserve">Teniendo en cuenta que la posibilidad de acreditar la experiencia de los socios para las personas jurídicas con menos de tres (3) años de constitución se encuentra contenida en una norma que regula el RUP, en principio, solo aplicaría para los casos en los que la persona jurídica está inscrita en dicho registro. Para los demás eventos, </w:t>
      </w:r>
      <w:r w:rsidR="00BE636B" w:rsidRPr="00286DDE">
        <w:rPr>
          <w:rFonts w:ascii="Verdana" w:hAnsi="Verdana"/>
        </w:rPr>
        <w:t xml:space="preserve">esto es para aquellos en los que no es exigible el RUP, la </w:t>
      </w:r>
      <w:r w:rsidR="007658A1">
        <w:rPr>
          <w:rFonts w:ascii="Verdana" w:hAnsi="Verdana"/>
        </w:rPr>
        <w:lastRenderedPageBreak/>
        <w:t>E</w:t>
      </w:r>
      <w:r w:rsidR="00BE636B" w:rsidRPr="00286DDE">
        <w:rPr>
          <w:rFonts w:ascii="Verdana" w:hAnsi="Verdana"/>
        </w:rPr>
        <w:t>ntidad, en virtud de su autonomía, puede determinar en los pliegos de condiciones</w:t>
      </w:r>
      <w:r w:rsidR="007658A1">
        <w:rPr>
          <w:rFonts w:ascii="Verdana" w:hAnsi="Verdana"/>
        </w:rPr>
        <w:t xml:space="preserve"> o documento equivalente</w:t>
      </w:r>
      <w:r w:rsidR="00BE636B" w:rsidRPr="00286DDE">
        <w:rPr>
          <w:rFonts w:ascii="Verdana" w:hAnsi="Verdana"/>
        </w:rPr>
        <w:t xml:space="preserve"> que en la evaluación del requisito de experiencia tendrá en cuenta la experiencia de los socios, accionistas o constituyentes de aquellas personas jurídicas con menos de tres (3) años de constitución. Así las cosas, </w:t>
      </w:r>
      <w:r w:rsidRPr="00286DDE">
        <w:rPr>
          <w:rFonts w:ascii="Verdana" w:hAnsi="Verdana"/>
        </w:rPr>
        <w:t>a entidad contratante tiene la carga de verificar, entre otros, el requisito de experiencia de los oferentes y ello lo hará de conformidad con la regla que al efecto haya establecido en los pliegos de condiciones</w:t>
      </w:r>
      <w:r w:rsidR="00BE636B" w:rsidRPr="00286DDE">
        <w:rPr>
          <w:rFonts w:ascii="Verdana" w:hAnsi="Verdana"/>
        </w:rPr>
        <w:t xml:space="preserve"> o documento equivalente.</w:t>
      </w:r>
    </w:p>
    <w:p w14:paraId="514F21CA" w14:textId="55DDE6AD" w:rsidR="00A761E9" w:rsidRDefault="00F74DD7" w:rsidP="00F74DD7">
      <w:pPr>
        <w:pStyle w:val="Textoindependiente"/>
        <w:spacing w:after="120" w:line="276" w:lineRule="auto"/>
        <w:ind w:firstLine="709"/>
        <w:jc w:val="both"/>
        <w:rPr>
          <w:rFonts w:ascii="Verdana" w:hAnsi="Verdana"/>
        </w:rPr>
      </w:pPr>
      <w:r w:rsidRPr="00286DDE">
        <w:rPr>
          <w:rFonts w:ascii="Verdana" w:hAnsi="Verdana"/>
        </w:rPr>
        <w:t>Así las cosas</w:t>
      </w:r>
      <w:r w:rsidR="00BE636B" w:rsidRPr="00286DDE">
        <w:rPr>
          <w:rFonts w:ascii="Verdana" w:hAnsi="Verdana"/>
        </w:rPr>
        <w:t>,</w:t>
      </w:r>
      <w:r w:rsidR="00BE636B">
        <w:t xml:space="preserve"> </w:t>
      </w:r>
      <w:r w:rsidR="00A761E9" w:rsidRPr="00EA560F">
        <w:rPr>
          <w:rFonts w:ascii="Verdana" w:eastAsia="Calibri" w:hAnsi="Verdana"/>
          <w:color w:val="000000"/>
          <w:shd w:val="clear" w:color="auto" w:fill="FFFFFF"/>
        </w:rPr>
        <w:t>cuando en un proceso de mínima cuantía una sociedad pretenda acreditar la experiencia de sus socios, accionistas o constituyentes al amparo de la excepción prevista en el numeral 2.5 del artículo 2.2.1.1.1.5.2 del Decreto 1082 de 2015, la forma en que dicha experiencia deberá acreditarse dependerá</w:t>
      </w:r>
      <w:r w:rsidR="00A761E9" w:rsidRPr="00EA560F">
        <w:rPr>
          <w:rFonts w:ascii="Verdana" w:hAnsi="Verdana"/>
        </w:rPr>
        <w:t xml:space="preserve"> de las reglas definidas por la </w:t>
      </w:r>
      <w:r w:rsidR="00323DD8">
        <w:rPr>
          <w:rFonts w:ascii="Verdana" w:hAnsi="Verdana"/>
        </w:rPr>
        <w:t>E</w:t>
      </w:r>
      <w:r w:rsidR="00A761E9" w:rsidRPr="00EA560F">
        <w:rPr>
          <w:rFonts w:ascii="Verdana" w:hAnsi="Verdana"/>
        </w:rPr>
        <w:t xml:space="preserve">ntidad </w:t>
      </w:r>
      <w:r w:rsidR="00323DD8">
        <w:rPr>
          <w:rFonts w:ascii="Verdana" w:hAnsi="Verdana"/>
        </w:rPr>
        <w:t>E</w:t>
      </w:r>
      <w:r w:rsidR="00A761E9" w:rsidRPr="00EA560F">
        <w:rPr>
          <w:rFonts w:ascii="Verdana" w:hAnsi="Verdana"/>
        </w:rPr>
        <w:t xml:space="preserve">statal en los documentos del proceso. En este escenario, corresponderá a la </w:t>
      </w:r>
      <w:r w:rsidR="00323DD8">
        <w:rPr>
          <w:rFonts w:ascii="Verdana" w:hAnsi="Verdana"/>
        </w:rPr>
        <w:t>E</w:t>
      </w:r>
      <w:r w:rsidR="00A761E9" w:rsidRPr="00EA560F">
        <w:rPr>
          <w:rFonts w:ascii="Verdana" w:hAnsi="Verdana"/>
        </w:rPr>
        <w:t>ntidad establecer las condiciones y los documentos que permitan verificar que la experiencia aportada cumple los requisitos previstos en la invitación pública, sin que la ausencia del RUP impida, por sí sola, la acreditación de la experiencia cuando la normativa autorice su utilización.</w:t>
      </w:r>
    </w:p>
    <w:p w14:paraId="4FA0E821" w14:textId="20DA7832" w:rsidR="00BE636B" w:rsidRPr="00286DDE" w:rsidRDefault="00323DD8" w:rsidP="00323DD8">
      <w:pPr>
        <w:pStyle w:val="Textoindependiente"/>
        <w:spacing w:after="120" w:line="276" w:lineRule="auto"/>
        <w:ind w:firstLine="709"/>
        <w:jc w:val="both"/>
        <w:rPr>
          <w:rFonts w:ascii="Verdana" w:hAnsi="Verdana"/>
        </w:rPr>
      </w:pPr>
      <w:r>
        <w:rPr>
          <w:rFonts w:ascii="Verdana" w:hAnsi="Verdana"/>
        </w:rPr>
        <w:t>En todo caso</w:t>
      </w:r>
      <w:r w:rsidR="00BE636B" w:rsidRPr="00286DDE">
        <w:rPr>
          <w:rFonts w:ascii="Verdana" w:hAnsi="Verdana"/>
        </w:rPr>
        <w:t xml:space="preserve">, la Subdirección de Gestión Contractual considera, a pesar de la discrecionalidad y autonomía que les asiste a las </w:t>
      </w:r>
      <w:r>
        <w:rPr>
          <w:rFonts w:ascii="Verdana" w:hAnsi="Verdana"/>
        </w:rPr>
        <w:t>E</w:t>
      </w:r>
      <w:r w:rsidR="00BE636B" w:rsidRPr="00286DDE">
        <w:rPr>
          <w:rFonts w:ascii="Verdana" w:hAnsi="Verdana"/>
        </w:rPr>
        <w:t>ntidades contratantes, que la regla expresada en el numeral 2.5 del artículo 2.2.1.1.1.5.2 del Decreto 1082 de 2015 se debe hacer extensiva, inclusive, a las personas jurídicas que no estén inscritas en el RUP y participen en los procesos de selección exceptuados por el segundo inciso del artículo 6 de la Ley 1150 de 2007.</w:t>
      </w:r>
    </w:p>
    <w:p w14:paraId="1FBBD86B" w14:textId="2461CF1E" w:rsidR="00BE636B" w:rsidRPr="00286DDE" w:rsidRDefault="00BE636B" w:rsidP="00286DDE">
      <w:pPr>
        <w:pStyle w:val="Textoindependiente"/>
        <w:spacing w:after="120" w:line="276" w:lineRule="auto"/>
        <w:ind w:firstLine="709"/>
        <w:jc w:val="both"/>
        <w:rPr>
          <w:rFonts w:ascii="Verdana" w:hAnsi="Verdana"/>
        </w:rPr>
      </w:pPr>
      <w:r w:rsidRPr="00286DDE">
        <w:rPr>
          <w:rFonts w:ascii="Verdana" w:hAnsi="Verdana"/>
        </w:rPr>
        <w:t>La anterior consideración tiene su principal sustento en el principio de igualdad de trato que orienta e irradia la actividad contractual del Estado. El principio de igualdad, consagrado en el artículo 13 de la Constitución Política, es un valor fundamental, no solo de la contratación estatal sino del ordenamiento jurídico. La igualdad, según la Corte Constitucional, tiene la connotación de principio, valor y derecho</w:t>
      </w:r>
      <w:r w:rsidRPr="00286DDE">
        <w:rPr>
          <w:rStyle w:val="Refdenotaalpie"/>
          <w:rFonts w:ascii="Verdana" w:hAnsi="Verdana"/>
        </w:rPr>
        <w:footnoteReference w:id="16"/>
      </w:r>
      <w:r w:rsidRPr="00286DDE">
        <w:rPr>
          <w:rFonts w:ascii="Verdana" w:hAnsi="Verdana"/>
        </w:rPr>
        <w:t xml:space="preserve">, por lo que representa un criterio de obligatoria </w:t>
      </w:r>
      <w:r w:rsidRPr="00286DDE">
        <w:rPr>
          <w:rFonts w:ascii="Verdana" w:hAnsi="Verdana"/>
        </w:rPr>
        <w:lastRenderedPageBreak/>
        <w:t>observancia tanto para la producción como para la aplicación</w:t>
      </w:r>
      <w:r w:rsidRPr="00286DDE">
        <w:rPr>
          <w:rFonts w:ascii="Verdana" w:hAnsi="Verdana"/>
          <w:spacing w:val="2"/>
        </w:rPr>
        <w:t xml:space="preserve"> </w:t>
      </w:r>
      <w:r w:rsidRPr="00286DDE">
        <w:rPr>
          <w:rFonts w:ascii="Verdana" w:hAnsi="Verdana"/>
        </w:rPr>
        <w:t>e interpretación del derecho.</w:t>
      </w:r>
    </w:p>
    <w:p w14:paraId="7E6ED210" w14:textId="6484F85E" w:rsidR="00BE636B" w:rsidRPr="00286DDE" w:rsidRDefault="00BE636B" w:rsidP="00286DDE">
      <w:pPr>
        <w:pStyle w:val="Textoindependiente"/>
        <w:spacing w:after="120" w:line="276" w:lineRule="auto"/>
        <w:ind w:firstLine="709"/>
        <w:jc w:val="both"/>
        <w:rPr>
          <w:rFonts w:ascii="Verdana" w:hAnsi="Verdana"/>
        </w:rPr>
      </w:pPr>
      <w:r w:rsidRPr="00286DDE">
        <w:rPr>
          <w:rFonts w:ascii="Verdana" w:hAnsi="Verdana"/>
        </w:rPr>
        <w:t>A la luz del artículo 209 de la Constitución Política, la igualdad es uno de los principios orientadores de la función administrativa, y en virtud del principio de igualdad, las autoridades darán el mismo trato y protección a las personas e instituciones que intervengan en las actuaciones bajo su conocimiento, como lo ordena el numeral 2º del artículo 3º de la Ley 1437 de 2011.</w:t>
      </w:r>
    </w:p>
    <w:p w14:paraId="7C0D2440" w14:textId="6F082A6A" w:rsidR="00BE636B" w:rsidRPr="00286DDE" w:rsidRDefault="00BE636B" w:rsidP="00286DDE">
      <w:pPr>
        <w:pStyle w:val="Textoindependiente"/>
        <w:spacing w:after="120" w:line="276" w:lineRule="auto"/>
        <w:ind w:firstLine="709"/>
        <w:jc w:val="both"/>
        <w:rPr>
          <w:rFonts w:ascii="Verdana" w:hAnsi="Verdana"/>
        </w:rPr>
      </w:pPr>
      <w:r w:rsidRPr="00286DDE">
        <w:rPr>
          <w:rFonts w:ascii="Verdana" w:hAnsi="Verdana"/>
        </w:rPr>
        <w:t>En el ámbito de la contratación pública, la igualdad se materializa a través del equilibrio de todos los oferentes frente al proceso de selección, desde la exigencia de los requisitos estipulados en los pliegos de condiciones</w:t>
      </w:r>
      <w:r w:rsidR="00323DD8">
        <w:rPr>
          <w:rFonts w:ascii="Verdana" w:hAnsi="Verdana"/>
        </w:rPr>
        <w:t xml:space="preserve"> o documentos equivalentes</w:t>
      </w:r>
      <w:r w:rsidRPr="00286DDE">
        <w:rPr>
          <w:rFonts w:ascii="Verdana" w:hAnsi="Verdana"/>
        </w:rPr>
        <w:t>, en la calificación de sus ofertas y en su selección. La igualdad en los procesos de contratación supone que las condiciones a las que se enfrentan los proponentes sean las mismas para todos y que la oferta adjudicada sea la más favorable a la entidad.</w:t>
      </w:r>
    </w:p>
    <w:p w14:paraId="1F349F9E" w14:textId="77777777" w:rsidR="00BE636B" w:rsidRPr="00286DDE" w:rsidRDefault="00BE636B" w:rsidP="00286DDE">
      <w:pPr>
        <w:pStyle w:val="Textoindependiente"/>
        <w:spacing w:line="276" w:lineRule="auto"/>
        <w:ind w:firstLine="709"/>
        <w:jc w:val="both"/>
        <w:rPr>
          <w:rFonts w:ascii="Verdana" w:hAnsi="Verdana"/>
        </w:rPr>
      </w:pPr>
      <w:r w:rsidRPr="00286DDE">
        <w:rPr>
          <w:rFonts w:ascii="Verdana" w:hAnsi="Verdana"/>
        </w:rPr>
        <w:t>Es por ello que el Consejo de Estado ha determinado que la aplicación del principio de igualdad en la contratación pública materializa otros principios de similar importancia, como la selección objetiva y la transparencia:</w:t>
      </w:r>
    </w:p>
    <w:p w14:paraId="40DC2752" w14:textId="77777777" w:rsidR="00BE636B" w:rsidRPr="00286DDE" w:rsidRDefault="00BE636B" w:rsidP="00286DDE">
      <w:pPr>
        <w:pStyle w:val="Textoindependiente"/>
        <w:spacing w:line="276" w:lineRule="auto"/>
        <w:ind w:firstLine="709"/>
        <w:rPr>
          <w:rFonts w:ascii="Verdana" w:hAnsi="Verdana"/>
          <w:sz w:val="25"/>
        </w:rPr>
      </w:pPr>
    </w:p>
    <w:p w14:paraId="58DD5419" w14:textId="7C9DAED4" w:rsidR="00BE636B" w:rsidRPr="00286DDE" w:rsidRDefault="00323DD8" w:rsidP="00286DDE">
      <w:pPr>
        <w:spacing w:after="0"/>
        <w:ind w:left="709" w:right="709"/>
        <w:jc w:val="both"/>
        <w:rPr>
          <w:rFonts w:ascii="Verdana" w:hAnsi="Verdana"/>
          <w:sz w:val="20"/>
          <w:szCs w:val="20"/>
        </w:rPr>
      </w:pPr>
      <w:r>
        <w:rPr>
          <w:rFonts w:ascii="Verdana" w:hAnsi="Verdana"/>
          <w:sz w:val="20"/>
          <w:szCs w:val="20"/>
        </w:rPr>
        <w:t>“</w:t>
      </w:r>
      <w:r w:rsidR="00BE636B" w:rsidRPr="00286DDE">
        <w:rPr>
          <w:rFonts w:ascii="Verdana" w:hAnsi="Verdana"/>
          <w:sz w:val="20"/>
          <w:szCs w:val="20"/>
        </w:rPr>
        <w:t>La igualdad de los licitadores, presupuesto fundamental que garantiza la selección objetiva y desarrolla el principio de transparencia que orienta la contratación estatal, se traduce en la identidad de oportunidades dispuesta para los sujetos interesados en contratar con la Administración. Y la sujeción estricta al pliego de condiciones es un principio fundamental del proceso licitatorio, que desarrolla la objetividad connatural a este procedimiento, en consideración a que el pliego es fuente principal de los derechos y obligaciones de la administración y de los proponentes</w:t>
      </w:r>
      <w:r>
        <w:rPr>
          <w:rFonts w:ascii="Verdana" w:hAnsi="Verdana"/>
          <w:sz w:val="20"/>
          <w:szCs w:val="20"/>
        </w:rPr>
        <w:t>”</w:t>
      </w:r>
      <w:r w:rsidR="00BE636B" w:rsidRPr="00286DDE">
        <w:rPr>
          <w:rStyle w:val="Refdenotaalpie"/>
          <w:rFonts w:ascii="Verdana" w:hAnsi="Verdana"/>
          <w:sz w:val="20"/>
          <w:szCs w:val="20"/>
        </w:rPr>
        <w:footnoteReference w:id="17"/>
      </w:r>
      <w:r w:rsidR="00BE636B" w:rsidRPr="00286DDE">
        <w:rPr>
          <w:rFonts w:ascii="Verdana" w:hAnsi="Verdana"/>
          <w:sz w:val="20"/>
          <w:szCs w:val="20"/>
        </w:rPr>
        <w:t>.</w:t>
      </w:r>
    </w:p>
    <w:p w14:paraId="3DF01EB8" w14:textId="77777777" w:rsidR="00BE636B" w:rsidRPr="000266A5" w:rsidRDefault="00BE636B" w:rsidP="00BE636B">
      <w:pPr>
        <w:pStyle w:val="Textoindependiente"/>
        <w:rPr>
          <w:sz w:val="25"/>
        </w:rPr>
      </w:pPr>
    </w:p>
    <w:p w14:paraId="43636B8C" w14:textId="45374963" w:rsidR="00BE636B" w:rsidRPr="00286DDE" w:rsidRDefault="00BE636B" w:rsidP="00286DDE">
      <w:pPr>
        <w:pStyle w:val="Textoindependiente"/>
        <w:spacing w:after="120" w:line="276" w:lineRule="auto"/>
        <w:ind w:firstLine="709"/>
        <w:jc w:val="both"/>
        <w:rPr>
          <w:rFonts w:ascii="Verdana" w:hAnsi="Verdana"/>
        </w:rPr>
      </w:pPr>
      <w:r w:rsidRPr="00286DDE">
        <w:rPr>
          <w:rFonts w:ascii="Verdana" w:hAnsi="Verdana"/>
        </w:rPr>
        <w:t xml:space="preserve">Ahora bien, a pesar de que la norma que concede la posibilidad de acreditar la experiencia de los socios, accionistas o constituyentes para las personas jurídicas con menos de </w:t>
      </w:r>
      <w:r w:rsidR="00323DD8">
        <w:rPr>
          <w:rFonts w:ascii="Verdana" w:hAnsi="Verdana"/>
        </w:rPr>
        <w:t>tres (</w:t>
      </w:r>
      <w:r w:rsidRPr="00286DDE">
        <w:rPr>
          <w:rFonts w:ascii="Verdana" w:hAnsi="Verdana"/>
        </w:rPr>
        <w:t>3</w:t>
      </w:r>
      <w:r w:rsidR="00323DD8">
        <w:rPr>
          <w:rFonts w:ascii="Verdana" w:hAnsi="Verdana"/>
        </w:rPr>
        <w:t>)</w:t>
      </w:r>
      <w:r w:rsidRPr="00286DDE">
        <w:rPr>
          <w:rFonts w:ascii="Verdana" w:hAnsi="Verdana"/>
        </w:rPr>
        <w:t xml:space="preserve"> años de creación se refiere al RUP, ello no impide que se pueda hacer una aplicación extensiva o analógica para los </w:t>
      </w:r>
      <w:r w:rsidRPr="00286DDE">
        <w:rPr>
          <w:rFonts w:ascii="Verdana" w:hAnsi="Verdana"/>
        </w:rPr>
        <w:lastRenderedPageBreak/>
        <w:t xml:space="preserve">eventos en los que no sea necesaria la inscripción en el RUP. Es más, se insiste en que esta aplicación analógica se impone en virtud del principio de igualdad de trato en la contratación pública, pues no se observa ningún criterio de distinción que justifique que en un caso se les tenga en cuenta la experiencia de los socios y en otros casos no. Personas jurídicas con menos de </w:t>
      </w:r>
      <w:r w:rsidR="00323DD8">
        <w:rPr>
          <w:rFonts w:ascii="Verdana" w:hAnsi="Verdana"/>
        </w:rPr>
        <w:t>tres (</w:t>
      </w:r>
      <w:r w:rsidRPr="00286DDE">
        <w:rPr>
          <w:rFonts w:ascii="Verdana" w:hAnsi="Verdana"/>
        </w:rPr>
        <w:t>3</w:t>
      </w:r>
      <w:r w:rsidR="00323DD8">
        <w:rPr>
          <w:rFonts w:ascii="Verdana" w:hAnsi="Verdana"/>
        </w:rPr>
        <w:t>)</w:t>
      </w:r>
      <w:r w:rsidRPr="00286DDE">
        <w:rPr>
          <w:rFonts w:ascii="Verdana" w:hAnsi="Verdana"/>
        </w:rPr>
        <w:t xml:space="preserve"> años de constitución inscritas en el RUP son esencialmente iguales a las que no tienen dicho registro.</w:t>
      </w:r>
    </w:p>
    <w:p w14:paraId="1F93103A" w14:textId="2679B38F" w:rsidR="00BE636B" w:rsidRPr="00286DDE" w:rsidRDefault="00BE636B" w:rsidP="00286DDE">
      <w:pPr>
        <w:pStyle w:val="Textoindependiente"/>
        <w:spacing w:after="120" w:line="276" w:lineRule="auto"/>
        <w:ind w:firstLine="709"/>
        <w:jc w:val="both"/>
        <w:rPr>
          <w:rFonts w:ascii="Verdana" w:hAnsi="Verdana"/>
        </w:rPr>
      </w:pPr>
      <w:r w:rsidRPr="00286DDE">
        <w:rPr>
          <w:rFonts w:ascii="Verdana" w:hAnsi="Verdana"/>
        </w:rPr>
        <w:t xml:space="preserve">En efecto, si se realiza una comparación entre los dos grupos de sujetos a los que se hace referencia, se tendría que concluir que son esencialmente iguales: i) ambos son personas jurídicas recién creadas, esto es, con menos de </w:t>
      </w:r>
      <w:r w:rsidR="00323DD8">
        <w:rPr>
          <w:rFonts w:ascii="Verdana" w:hAnsi="Verdana"/>
        </w:rPr>
        <w:t>tres (</w:t>
      </w:r>
      <w:r w:rsidRPr="00286DDE">
        <w:rPr>
          <w:rFonts w:ascii="Verdana" w:hAnsi="Verdana"/>
        </w:rPr>
        <w:t>3</w:t>
      </w:r>
      <w:r w:rsidR="00323DD8">
        <w:rPr>
          <w:rFonts w:ascii="Verdana" w:hAnsi="Verdana"/>
        </w:rPr>
        <w:t>)</w:t>
      </w:r>
      <w:r w:rsidRPr="00286DDE">
        <w:rPr>
          <w:rFonts w:ascii="Verdana" w:hAnsi="Verdana"/>
        </w:rPr>
        <w:t xml:space="preserve"> años de constitución; ii) ambos se encuentran dentro del ámbito de protección o finalidad de la norma, es decir, con la aplicación extensiva de la norma también se promueve el desarrollo de la empresa y la pluralidad de oferentes en la contratación pública y iii) no existe ningún criterio material o sustantivo que justifique el trato diferenciado.</w:t>
      </w:r>
    </w:p>
    <w:p w14:paraId="70539EFF" w14:textId="554B041E" w:rsidR="00BE636B" w:rsidRPr="00286DDE" w:rsidRDefault="00BE636B" w:rsidP="00286DDE">
      <w:pPr>
        <w:pStyle w:val="Textoindependiente"/>
        <w:spacing w:after="120" w:line="276" w:lineRule="auto"/>
        <w:ind w:firstLine="709"/>
        <w:jc w:val="both"/>
        <w:rPr>
          <w:rFonts w:ascii="Verdana" w:hAnsi="Verdana"/>
        </w:rPr>
      </w:pPr>
      <w:r w:rsidRPr="00286DDE">
        <w:rPr>
          <w:rFonts w:ascii="Verdana" w:hAnsi="Verdana"/>
        </w:rPr>
        <w:t xml:space="preserve">La única diferencia entre los dos grupos de sujetos es la inscripción en el RUP, el cual es obligatorio, por regla general; pero esa obligatoriedad tiene excepciones. En estas excepciones la persona jurídica no está obligada a registrarse para participar en los procesos de selección que la norma excluye del deber de </w:t>
      </w:r>
      <w:r w:rsidR="00323DD8" w:rsidRPr="00323DD8">
        <w:rPr>
          <w:rFonts w:ascii="Verdana" w:hAnsi="Verdana"/>
        </w:rPr>
        <w:t>inscribirse</w:t>
      </w:r>
      <w:r w:rsidRPr="00286DDE">
        <w:rPr>
          <w:rFonts w:ascii="Verdana" w:hAnsi="Verdana"/>
        </w:rPr>
        <w:t xml:space="preserve"> en el registro. La inscripción en el RUP no se considera un criterio de diferenciación que pueda justificar un trato diferenciado entre dos grupos de personas que son esencialmente iguales, máxime cuando la falta de inscripción en el RUP, en los casos exceptuados, es una situación permitida por la propia ley -segundo inciso del artículo 6 de la Ley 1150 de 2007-.</w:t>
      </w:r>
    </w:p>
    <w:p w14:paraId="63D02A28" w14:textId="5A2A39B1" w:rsidR="00A761E9" w:rsidRDefault="00A761E9" w:rsidP="00EA560F">
      <w:pPr>
        <w:tabs>
          <w:tab w:val="left" w:pos="483"/>
        </w:tabs>
        <w:spacing w:after="0" w:line="276" w:lineRule="auto"/>
        <w:ind w:firstLine="709"/>
        <w:jc w:val="both"/>
        <w:rPr>
          <w:rFonts w:ascii="Verdana" w:eastAsia="Calibri" w:hAnsi="Verdana" w:cs="Arial"/>
          <w:bCs/>
          <w:color w:val="000000" w:themeColor="text1"/>
        </w:rPr>
      </w:pPr>
      <w:r w:rsidRPr="00EA560F">
        <w:rPr>
          <w:rFonts w:ascii="Verdana" w:eastAsia="Calibri"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w:t>
      </w:r>
      <w:r w:rsidRPr="00F926E2">
        <w:rPr>
          <w:rFonts w:ascii="Verdana" w:eastAsia="Calibri" w:hAnsi="Verdana" w:cs="Arial"/>
          <w:bCs/>
          <w:color w:val="000000" w:themeColor="text1"/>
        </w:rPr>
        <w:t>ngan interés en ello, de acuerdo con lo explicado la aclaración preliminar del presente oficio. De esta manera, las afirmaciones aquí realizadas no pueden ser interpretadas como juicios de valor sobre circunstancias concretas relacionadas con los hechos qu</w:t>
      </w:r>
      <w:r w:rsidRPr="00BE636B">
        <w:rPr>
          <w:rFonts w:ascii="Verdana" w:eastAsia="Calibri" w:hAnsi="Verdana" w:cs="Arial"/>
          <w:bCs/>
          <w:color w:val="000000" w:themeColor="text1"/>
        </w:rPr>
        <w:t>e motivan la consulta. Por lo anterior, previo concepto de sus asesores, la solución de situaciones particulares corresponde a los interesados adoptar la decisión correspondiente y, en caso de conflicto, a las autoridades judiciales, fiscales y disciplinar</w:t>
      </w:r>
      <w:r w:rsidRPr="00323DD8">
        <w:rPr>
          <w:rFonts w:ascii="Verdana" w:eastAsia="Calibri" w:hAnsi="Verdana" w:cs="Arial"/>
          <w:bCs/>
          <w:color w:val="000000" w:themeColor="text1"/>
        </w:rPr>
        <w:t>ias.</w:t>
      </w:r>
    </w:p>
    <w:p w14:paraId="20F41A16" w14:textId="77777777" w:rsidR="00EA560F" w:rsidRPr="00EA560F" w:rsidRDefault="00EA560F" w:rsidP="00286DDE">
      <w:pPr>
        <w:tabs>
          <w:tab w:val="left" w:pos="483"/>
        </w:tabs>
        <w:spacing w:after="0" w:line="276" w:lineRule="auto"/>
        <w:ind w:firstLine="709"/>
        <w:jc w:val="both"/>
        <w:rPr>
          <w:rFonts w:ascii="Verdana" w:eastAsia="Calibri" w:hAnsi="Verdana" w:cs="Arial"/>
          <w:bCs/>
          <w:color w:val="000000" w:themeColor="text1"/>
        </w:rPr>
      </w:pPr>
    </w:p>
    <w:p w14:paraId="43EE3053" w14:textId="77777777" w:rsidR="00A761E9" w:rsidRPr="00EA560F" w:rsidRDefault="00A761E9" w:rsidP="00286DDE">
      <w:pPr>
        <w:pStyle w:val="Prrafodelista"/>
        <w:numPr>
          <w:ilvl w:val="0"/>
          <w:numId w:val="16"/>
        </w:numPr>
        <w:spacing w:after="0" w:line="276" w:lineRule="auto"/>
        <w:contextualSpacing w:val="0"/>
        <w:rPr>
          <w:rFonts w:ascii="Verdana" w:eastAsia="Calibri" w:hAnsi="Verdana" w:cs="Times New Roman"/>
          <w:b/>
          <w:bCs/>
        </w:rPr>
      </w:pPr>
      <w:r w:rsidRPr="00EA560F">
        <w:rPr>
          <w:rFonts w:ascii="Verdana" w:eastAsia="Calibri" w:hAnsi="Verdana" w:cs="Times New Roman"/>
          <w:b/>
        </w:rPr>
        <w:lastRenderedPageBreak/>
        <w:t>Referencias normativas, jurisprudenciales y otras fuentes:</w:t>
      </w:r>
    </w:p>
    <w:p w14:paraId="23C0BA4B" w14:textId="77777777" w:rsidR="00A761E9" w:rsidRPr="00EA560F" w:rsidRDefault="00A761E9" w:rsidP="00EA560F">
      <w:pPr>
        <w:spacing w:after="0" w:line="276" w:lineRule="auto"/>
        <w:rPr>
          <w:rFonts w:ascii="Verdana" w:eastAsia="Calibri" w:hAnsi="Verdana" w:cs="Times New Roman"/>
          <w:b/>
          <w:bCs/>
        </w:rPr>
      </w:pPr>
    </w:p>
    <w:tbl>
      <w:tblPr>
        <w:tblStyle w:val="Tablaconcuadrcula"/>
        <w:tblW w:w="86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A761E9" w:rsidRPr="00EA560F" w14:paraId="04C4B68C" w14:textId="77777777" w:rsidTr="00286DDE">
        <w:trPr>
          <w:trHeight w:val="870"/>
        </w:trPr>
        <w:tc>
          <w:tcPr>
            <w:tcW w:w="8647" w:type="dxa"/>
          </w:tcPr>
          <w:p w14:paraId="33B7966E" w14:textId="77777777" w:rsidR="00A761E9" w:rsidRPr="00EA560F" w:rsidRDefault="00A761E9" w:rsidP="00286DDE">
            <w:pPr>
              <w:pStyle w:val="Prrafodelista"/>
              <w:numPr>
                <w:ilvl w:val="0"/>
                <w:numId w:val="17"/>
              </w:numPr>
              <w:spacing w:after="120" w:line="276" w:lineRule="auto"/>
              <w:ind w:left="714" w:hanging="357"/>
              <w:contextualSpacing w:val="0"/>
              <w:jc w:val="both"/>
              <w:rPr>
                <w:rFonts w:ascii="Verdana" w:hAnsi="Verdana"/>
              </w:rPr>
            </w:pPr>
            <w:r w:rsidRPr="00EA560F">
              <w:rPr>
                <w:rFonts w:ascii="Verdana" w:hAnsi="Verdana"/>
              </w:rPr>
              <w:t xml:space="preserve">Ley 1150 de 2007 - Artículo 5, 6 </w:t>
            </w:r>
          </w:p>
          <w:p w14:paraId="2512C2DE" w14:textId="77777777" w:rsidR="00A761E9" w:rsidRPr="00F74DD7" w:rsidRDefault="00A761E9" w:rsidP="00286DDE">
            <w:pPr>
              <w:pStyle w:val="Prrafodelista"/>
              <w:numPr>
                <w:ilvl w:val="0"/>
                <w:numId w:val="17"/>
              </w:numPr>
              <w:spacing w:after="120" w:line="276" w:lineRule="auto"/>
              <w:ind w:left="714" w:hanging="357"/>
              <w:contextualSpacing w:val="0"/>
              <w:jc w:val="both"/>
              <w:rPr>
                <w:rFonts w:ascii="Verdana" w:eastAsia="Calibri" w:hAnsi="Verdana"/>
              </w:rPr>
            </w:pPr>
            <w:r w:rsidRPr="00F07E96">
              <w:rPr>
                <w:rFonts w:ascii="Verdana" w:hAnsi="Verdana"/>
              </w:rPr>
              <w:t xml:space="preserve">Decreto 1082 de 2015 - Artículo 2.2.1.1.1.6.2.; 2.2.1.1.1.5.3.; </w:t>
            </w:r>
            <w:r w:rsidRPr="00F926E2">
              <w:rPr>
                <w:rFonts w:ascii="Verdana" w:eastAsia="Calibri" w:hAnsi="Verdana"/>
                <w:color w:val="000000" w:themeColor="text1"/>
              </w:rPr>
              <w:t>2.2.1.1.1.5.2 numeral 2.1, 2.5</w:t>
            </w:r>
          </w:p>
          <w:p w14:paraId="6B61AFDB" w14:textId="77777777" w:rsidR="00EA560F" w:rsidRDefault="00EA560F" w:rsidP="00286DDE">
            <w:pPr>
              <w:pStyle w:val="Prrafodelista"/>
              <w:numPr>
                <w:ilvl w:val="0"/>
                <w:numId w:val="17"/>
              </w:numPr>
              <w:spacing w:after="120" w:line="276" w:lineRule="auto"/>
              <w:ind w:left="714" w:hanging="357"/>
              <w:contextualSpacing w:val="0"/>
              <w:jc w:val="both"/>
              <w:rPr>
                <w:rFonts w:ascii="Verdana" w:hAnsi="Verdana" w:cs="Arial"/>
                <w:lang w:val="es-CO"/>
              </w:rPr>
            </w:pPr>
            <w:r w:rsidRPr="00EA560F">
              <w:rPr>
                <w:rFonts w:ascii="Verdana" w:hAnsi="Verdana" w:cs="Arial"/>
                <w:lang w:val="es-CO"/>
              </w:rPr>
              <w:t>Consejo de Estado. Sala de Consulta y Servicio Civil. Concepto del 08 de mayo de 2018. Exp. 2.382. C.P. Álvaro Namén Vargas.</w:t>
            </w:r>
          </w:p>
          <w:p w14:paraId="5BCA8E5F" w14:textId="4E9DDA63" w:rsidR="00A761E9" w:rsidRPr="00286DDE" w:rsidRDefault="00A761E9" w:rsidP="00286DDE">
            <w:pPr>
              <w:pStyle w:val="Prrafodelista"/>
              <w:numPr>
                <w:ilvl w:val="0"/>
                <w:numId w:val="17"/>
              </w:numPr>
              <w:spacing w:after="120" w:line="276" w:lineRule="auto"/>
              <w:ind w:left="714" w:hanging="357"/>
              <w:contextualSpacing w:val="0"/>
              <w:jc w:val="both"/>
              <w:rPr>
                <w:rFonts w:ascii="Verdana" w:hAnsi="Verdana" w:cs="Arial"/>
                <w:lang w:val="es-CO"/>
              </w:rPr>
            </w:pPr>
            <w:r w:rsidRPr="00EA560F">
              <w:rPr>
                <w:rFonts w:ascii="Verdana" w:hAnsi="Verdana"/>
              </w:rPr>
              <w:t xml:space="preserve">Agencia Nacional de Contratación Pública – Colombia Compra Eficiente: “Manual para determinar y verificar requisitos habilitantes en los procesos de contratación” </w:t>
            </w:r>
            <w:hyperlink r:id="rId12" w:history="1">
              <w:r w:rsidRPr="00EA560F">
                <w:rPr>
                  <w:rFonts w:ascii="Verdana" w:eastAsia="Aptos" w:hAnsi="Verdana"/>
                  <w:color w:val="0000FF"/>
                  <w:u w:val="single"/>
                  <w:lang w:val="es-ES_tradnl"/>
                </w:rPr>
                <w:t>https://www.colombiacompra.gov.co/archivos/manual/manual-para-determinar-y-verificar-los-requisitos-habilitantes-en-los-procesos-de-contratacion</w:t>
              </w:r>
            </w:hyperlink>
          </w:p>
        </w:tc>
      </w:tr>
    </w:tbl>
    <w:p w14:paraId="099BB8C8" w14:textId="77777777" w:rsidR="00A761E9" w:rsidRPr="00EA560F" w:rsidRDefault="00A761E9" w:rsidP="00EA560F">
      <w:pPr>
        <w:spacing w:after="0" w:line="276" w:lineRule="auto"/>
        <w:ind w:right="709"/>
        <w:jc w:val="both"/>
        <w:rPr>
          <w:rFonts w:ascii="Verdana" w:hAnsi="Verdana" w:cs="Arial"/>
          <w:color w:val="000000" w:themeColor="text1"/>
        </w:rPr>
      </w:pPr>
    </w:p>
    <w:p w14:paraId="4B441C83" w14:textId="19ADF8A7" w:rsidR="00F07E96" w:rsidRDefault="00A761E9" w:rsidP="004E312D">
      <w:pPr>
        <w:spacing w:line="276" w:lineRule="auto"/>
        <w:rPr>
          <w:rFonts w:ascii="Verdana" w:hAnsi="Verdana"/>
          <w:shd w:val="clear" w:color="auto" w:fill="FFFFFF"/>
        </w:rPr>
      </w:pPr>
      <w:r w:rsidRPr="00EA560F">
        <w:rPr>
          <w:rFonts w:ascii="Verdana" w:eastAsia="Calibri" w:hAnsi="Verdana" w:cs="Times New Roman"/>
          <w:b/>
          <w:bCs/>
        </w:rPr>
        <w:t>5. Doctrina de la Agencia Nacional de Contratación Pública:</w:t>
      </w:r>
    </w:p>
    <w:p w14:paraId="0C69231D" w14:textId="33C9E253" w:rsidR="00F07E96" w:rsidRPr="00EA560F" w:rsidRDefault="00A761E9" w:rsidP="004E312D">
      <w:pPr>
        <w:spacing w:line="276" w:lineRule="auto"/>
        <w:jc w:val="both"/>
        <w:rPr>
          <w:rFonts w:ascii="Verdana" w:hAnsi="Verdana"/>
          <w:shd w:val="clear" w:color="auto" w:fill="FFFFFF"/>
        </w:rPr>
      </w:pPr>
      <w:r w:rsidRPr="00F07E96">
        <w:rPr>
          <w:rFonts w:ascii="Verdana" w:hAnsi="Verdana"/>
          <w:shd w:val="clear" w:color="auto" w:fill="FFFFFF"/>
        </w:rPr>
        <w:t xml:space="preserve">La Agencia Nacional de Contratación Pública – Colombia Compra Eficiente, se pronunció sobre la acreditación de experiencia de socios por parte de sociedades con menos de tres años de constitución, en los conceptos </w:t>
      </w:r>
      <w:r w:rsidRPr="00F926E2">
        <w:rPr>
          <w:rFonts w:ascii="Verdana" w:eastAsia="Arial MT" w:hAnsi="Verdana"/>
          <w:lang w:val="es-ES"/>
        </w:rPr>
        <w:t>C-725 del 25 de enero de 2022, C-034 del 2 de marzo de 2022, C-1</w:t>
      </w:r>
      <w:r w:rsidRPr="00BE636B">
        <w:rPr>
          <w:rFonts w:ascii="Verdana" w:eastAsia="Arial MT" w:hAnsi="Verdana"/>
          <w:lang w:val="es-ES"/>
        </w:rPr>
        <w:t xml:space="preserve">44 del 1 de abril de 2022, C-239 del 26 de julio de 2022, C-324 del 19 de mayo de 2022, C-447 del 19 de julio de 2022, C-456 del 15 de julio de 2022, C-592 del 20 de septiembre de 2022, C-623 del 29 de septiembre de 2022, C-837 del 6 de diciembre de 2022, </w:t>
      </w:r>
      <w:r w:rsidRPr="00323DD8">
        <w:rPr>
          <w:rFonts w:ascii="Verdana" w:eastAsia="Arial MT" w:hAnsi="Verdana"/>
          <w:lang w:val="es-ES"/>
        </w:rPr>
        <w:t>C-841 del 6 de diciembre de 2022, C-929 del 30 de diciembre de 2022, C-128 del 18 de mayo de 2023, C-146 de 13 de junio de 2023, C-261 del 13 de julio de 2023, C-466 del 01 de diciembre de 2023, C-088 de 2024 del 13 junio de 2024,  C-593 del 11</w:t>
      </w:r>
      <w:r w:rsidRPr="008E2DC6">
        <w:rPr>
          <w:rFonts w:ascii="Verdana" w:eastAsia="Arial MT" w:hAnsi="Verdana"/>
          <w:lang w:val="es-ES"/>
        </w:rPr>
        <w:t xml:space="preserve"> de diciembre de 2024, entre otros.</w:t>
      </w:r>
      <w:r w:rsidRPr="008E2DC6">
        <w:rPr>
          <w:rFonts w:ascii="Verdana" w:hAnsi="Verdana"/>
        </w:rPr>
        <w:t xml:space="preserve"> </w:t>
      </w:r>
      <w:r w:rsidRPr="008E2DC6">
        <w:rPr>
          <w:rFonts w:ascii="Verdana" w:hAnsi="Verdana"/>
          <w:shd w:val="clear" w:color="auto" w:fill="FFFFFF"/>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3" w:tgtFrame="_blank" w:tooltip="Dirección URL original: https://relatoria.colombiacompra.gov.co/. Haga clic o pulse si confía en este vínculo." w:history="1">
        <w:r w:rsidRPr="00EA560F">
          <w:rPr>
            <w:rStyle w:val="Hipervnculo"/>
            <w:rFonts w:ascii="Verdana" w:hAnsi="Verdana" w:cs="Arial"/>
            <w:shd w:val="clear" w:color="auto" w:fill="FFFFFF"/>
          </w:rPr>
          <w:t>https://relatoria.colombiacompra.gov.co/</w:t>
        </w:r>
      </w:hyperlink>
    </w:p>
    <w:p w14:paraId="2B81279A" w14:textId="10CF3CA7" w:rsidR="00A761E9" w:rsidRPr="00EA560F" w:rsidRDefault="00A761E9" w:rsidP="004E312D">
      <w:pPr>
        <w:spacing w:line="276" w:lineRule="auto"/>
        <w:jc w:val="both"/>
        <w:rPr>
          <w:rFonts w:ascii="Verdana" w:hAnsi="Verdana"/>
        </w:rPr>
      </w:pPr>
      <w:r w:rsidRPr="00EA560F">
        <w:rPr>
          <w:rFonts w:ascii="Verdana" w:hAnsi="Verdana"/>
        </w:rPr>
        <w:t xml:space="preserve">La sostenibilidad no es una opción, es una obligación. Por ello, la Agencia Nacional de Contratación Pública –Colombia Compra Eficiente– te invita a realizar el </w:t>
      </w:r>
      <w:r w:rsidRPr="00697069">
        <w:rPr>
          <w:rFonts w:ascii="Verdana" w:hAnsi="Verdana"/>
          <w:b/>
          <w:bCs/>
        </w:rPr>
        <w:t xml:space="preserve">Curso de Contratación Pública Sostenible y Socialmente </w:t>
      </w:r>
      <w:r w:rsidRPr="00697069">
        <w:rPr>
          <w:rFonts w:ascii="Verdana" w:hAnsi="Verdana"/>
          <w:b/>
          <w:bCs/>
        </w:rPr>
        <w:lastRenderedPageBreak/>
        <w:t>Responsable</w:t>
      </w:r>
      <w:r w:rsidRPr="00F926E2">
        <w:rPr>
          <w:rFonts w:ascii="Verdana" w:hAnsi="Verdana"/>
        </w:rPr>
        <w:t xml:space="preserve">, una herramienta clave para fortalecer las capacidades de todos los </w:t>
      </w:r>
      <w:r w:rsidRPr="00BE636B">
        <w:rPr>
          <w:rFonts w:ascii="Verdana" w:hAnsi="Verdana"/>
        </w:rPr>
        <w:t>compradores públicos, proveedores, servidores públicos v para generar mayor valor público. Accede al curso y aprende como implementar criterios sociales y ambientales en las diferentes etapas del proceso de contratación:</w:t>
      </w:r>
      <w:r w:rsidRPr="00BE636B">
        <w:rPr>
          <w:rFonts w:ascii="Verdana" w:hAnsi="Verdana"/>
        </w:rPr>
        <w:br/>
      </w:r>
      <w:hyperlink r:id="rId14" w:tgtFrame="_new" w:history="1">
        <w:r w:rsidRPr="00EA560F">
          <w:rPr>
            <w:rStyle w:val="Hipervnculo"/>
            <w:rFonts w:ascii="Verdana" w:hAnsi="Verdana"/>
          </w:rPr>
          <w:t>https://formacionvirtual.colombiacompra.gov.co/mod/page/view.php?id=3718</w:t>
        </w:r>
      </w:hyperlink>
    </w:p>
    <w:p w14:paraId="6695F454" w14:textId="7C10A732" w:rsidR="00A761E9" w:rsidRPr="00EA560F" w:rsidRDefault="00A761E9" w:rsidP="004E312D">
      <w:pPr>
        <w:spacing w:line="276" w:lineRule="auto"/>
        <w:jc w:val="both"/>
        <w:rPr>
          <w:rFonts w:ascii="Verdana" w:hAnsi="Verdana"/>
        </w:rPr>
      </w:pPr>
      <w:r w:rsidRPr="00697069">
        <w:rPr>
          <w:rFonts w:ascii="Verdana" w:hAnsi="Verdana"/>
        </w:rPr>
        <w:t xml:space="preserve">De otro lado, te contamos que esta Agencia ha da un paso decisivo en la estandarización y modernización del </w:t>
      </w:r>
      <w:r w:rsidRPr="00F926E2">
        <w:rPr>
          <w:rFonts w:ascii="Verdana" w:hAnsi="Verdana"/>
          <w:b/>
          <w:bCs/>
        </w:rPr>
        <w:t>sector  so</w:t>
      </w:r>
      <w:r w:rsidRPr="00F74DD7">
        <w:rPr>
          <w:rFonts w:ascii="Verdana" w:hAnsi="Verdana"/>
          <w:b/>
          <w:bCs/>
        </w:rPr>
        <w:t>cial</w:t>
      </w:r>
      <w:r w:rsidRPr="00BE636B">
        <w:rPr>
          <w:rFonts w:ascii="Verdana" w:hAnsi="Verdana"/>
        </w:rPr>
        <w:t xml:space="preserve"> con la expedición de las </w:t>
      </w:r>
      <w:r w:rsidRPr="00BE636B">
        <w:rPr>
          <w:rFonts w:ascii="Verdana" w:hAnsi="Verdana"/>
          <w:b/>
          <w:bCs/>
        </w:rPr>
        <w:t>Resoluciones 539, 540, 541, 952 y 953 de 2025</w:t>
      </w:r>
      <w:r w:rsidRPr="00E460E3">
        <w:rPr>
          <w:rFonts w:ascii="Verdana" w:hAnsi="Verdana"/>
        </w:rPr>
        <w:t xml:space="preserve">, </w:t>
      </w:r>
      <w:r w:rsidRPr="002067DD">
        <w:rPr>
          <w:rFonts w:ascii="Verdana" w:hAnsi="Verdana"/>
          <w:b/>
          <w:bCs/>
        </w:rPr>
        <w:t>mediante las cuales adoptó Documentos Tipo</w:t>
      </w:r>
      <w:r w:rsidRPr="008E2DC6">
        <w:rPr>
          <w:rFonts w:ascii="Verdana" w:hAnsi="Verdana"/>
        </w:rPr>
        <w:t xml:space="preserve"> para las modalidades de selección de</w:t>
      </w:r>
      <w:r w:rsidRPr="008E2DC6">
        <w:rPr>
          <w:rFonts w:ascii="Verdana" w:hAnsi="Verdana"/>
          <w:b/>
          <w:bCs/>
        </w:rPr>
        <w:t xml:space="preserve"> licitación pública (versión 2), selección abreviada de menor cuantía, mínima cuantía, consultoría e interventoría</w:t>
      </w:r>
      <w:r w:rsidRPr="008E2DC6">
        <w:rPr>
          <w:rFonts w:ascii="Verdana" w:hAnsi="Verdana"/>
        </w:rPr>
        <w:t xml:space="preserve">, promoviendo procesos más transparentes, eficientes  competitivos y sostenibles en sectores estratégicos como educación, salud, cultura, recreación, deporte, institucional y vivienda. Consulta y descarga los documentos aquí: </w:t>
      </w:r>
      <w:hyperlink r:id="rId15" w:tgtFrame="_new" w:history="1">
        <w:r w:rsidRPr="00EA560F">
          <w:rPr>
            <w:rStyle w:val="Hipervnculo"/>
            <w:rFonts w:ascii="Verdana" w:hAnsi="Verdana"/>
          </w:rPr>
          <w:t>https://www.colombiacompra.gov.co/normativa-y-relatoria/documentos-tipo</w:t>
        </w:r>
      </w:hyperlink>
    </w:p>
    <w:p w14:paraId="70A11052" w14:textId="25A802C6" w:rsidR="00F07E96" w:rsidRDefault="00A761E9" w:rsidP="004E312D">
      <w:pPr>
        <w:spacing w:line="276" w:lineRule="auto"/>
        <w:jc w:val="both"/>
        <w:rPr>
          <w:rFonts w:ascii="Verdana" w:hAnsi="Verdana"/>
        </w:rPr>
      </w:pPr>
      <w:r w:rsidRPr="00EA560F">
        <w:rPr>
          <w:rFonts w:ascii="Verdana" w:hAnsi="Verdana"/>
        </w:rPr>
        <w:t>Si quieres conocer más sobre la aplicación de Documentos Tipo puedes consultar la última versión de l</w:t>
      </w:r>
      <w:r w:rsidRPr="00F926E2">
        <w:rPr>
          <w:rFonts w:ascii="Verdana" w:hAnsi="Verdana"/>
        </w:rPr>
        <w:t xml:space="preserve">a </w:t>
      </w:r>
      <w:r w:rsidRPr="00F74DD7">
        <w:rPr>
          <w:rFonts w:ascii="Verdana" w:hAnsi="Verdana"/>
          <w:b/>
          <w:bCs/>
        </w:rPr>
        <w:t>Guía para la comprensión e implementación de los Documentos Tipo de obra pública de infraestructura de transporte</w:t>
      </w:r>
      <w:r w:rsidRPr="00BE636B">
        <w:rPr>
          <w:rFonts w:ascii="Verdana" w:hAnsi="Verdana"/>
        </w:rPr>
        <w:t>. En esta actualización se incorporaron orientaciones prácticas dirigidas a entidades públicas, proveedores, organismos de control y demás in</w:t>
      </w:r>
      <w:r w:rsidRPr="00323DD8">
        <w:rPr>
          <w:rFonts w:ascii="Verdana" w:hAnsi="Verdana"/>
        </w:rPr>
        <w:t xml:space="preserve">teresados, con el propósito de facilitar la adecuada implementación de estos instrumentos en los procesos contractuales. </w:t>
      </w:r>
      <w:r w:rsidRPr="008E2DC6">
        <w:rPr>
          <w:rFonts w:ascii="Verdana" w:hAnsi="Verdana"/>
        </w:rPr>
        <w:t>Además se incluyeron lineamientos que orientan la implementación de los criterios ambientales y sociales incluidos en los documentos tipo: Consulta la guía aquí:</w:t>
      </w:r>
      <w:r w:rsidRPr="008E2DC6">
        <w:rPr>
          <w:rFonts w:ascii="Verdana" w:hAnsi="Verdana"/>
        </w:rPr>
        <w:br/>
      </w:r>
      <w:hyperlink r:id="rId16" w:tgtFrame="_new" w:history="1">
        <w:r w:rsidRPr="00EA560F">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14C0D863" w14:textId="11F35FF2" w:rsidR="00F07E96" w:rsidRPr="00F07E96" w:rsidRDefault="00A761E9" w:rsidP="004E312D">
      <w:pPr>
        <w:spacing w:line="276" w:lineRule="auto"/>
        <w:jc w:val="both"/>
        <w:rPr>
          <w:rFonts w:ascii="Verdana" w:hAnsi="Verdana"/>
        </w:rPr>
      </w:pPr>
      <w:r w:rsidRPr="00EA560F">
        <w:rPr>
          <w:rFonts w:ascii="Verdana" w:hAnsi="Verdana"/>
        </w:rPr>
        <w:t>Aprovechamos la oportunidad para manifestar la entera disposición de la Agencia Nacional de Contratación Pública –Colombia Compra Eficiente– para atender las peticiones o solicitudes, así como para brindar el apoyo que se requiera en el marco de nuestras funciones a través</w:t>
      </w:r>
      <w:r w:rsidRPr="00697069">
        <w:rPr>
          <w:rFonts w:ascii="Verdana" w:hAnsi="Verdana"/>
        </w:rPr>
        <w:t xml:space="preserve"> de nuestros diferentes canales de atención: </w:t>
      </w:r>
    </w:p>
    <w:p w14:paraId="7F9EB295" w14:textId="77777777" w:rsidR="00A761E9" w:rsidRPr="00286DDE" w:rsidRDefault="00A761E9" w:rsidP="00EA560F">
      <w:pPr>
        <w:numPr>
          <w:ilvl w:val="0"/>
          <w:numId w:val="15"/>
        </w:numPr>
        <w:spacing w:after="0" w:line="276" w:lineRule="auto"/>
        <w:jc w:val="both"/>
        <w:rPr>
          <w:rFonts w:ascii="Verdana" w:hAnsi="Verdana"/>
        </w:rPr>
      </w:pPr>
      <w:r w:rsidRPr="00286DDE">
        <w:rPr>
          <w:rFonts w:ascii="Verdana" w:hAnsi="Verdana"/>
        </w:rPr>
        <w:t>Línea nacional gratuita o servicio a la ciudadanía: 01800 0520808</w:t>
      </w:r>
    </w:p>
    <w:p w14:paraId="0635FD83" w14:textId="77777777" w:rsidR="00A761E9" w:rsidRPr="00286DDE" w:rsidRDefault="00A761E9" w:rsidP="00F926E2">
      <w:pPr>
        <w:numPr>
          <w:ilvl w:val="0"/>
          <w:numId w:val="15"/>
        </w:numPr>
        <w:spacing w:after="0" w:line="276" w:lineRule="auto"/>
        <w:jc w:val="both"/>
        <w:rPr>
          <w:rFonts w:ascii="Verdana" w:hAnsi="Verdana"/>
        </w:rPr>
      </w:pPr>
      <w:r w:rsidRPr="00286DDE">
        <w:rPr>
          <w:rFonts w:ascii="Verdana" w:hAnsi="Verdana"/>
        </w:rPr>
        <w:lastRenderedPageBreak/>
        <w:t>Línea en Bogotá (Mesa de servicio): +57 601 7456788</w:t>
      </w:r>
    </w:p>
    <w:p w14:paraId="604B35F9" w14:textId="77777777" w:rsidR="00A761E9" w:rsidRPr="00286DDE" w:rsidRDefault="00A761E9" w:rsidP="00BE636B">
      <w:pPr>
        <w:numPr>
          <w:ilvl w:val="0"/>
          <w:numId w:val="15"/>
        </w:numPr>
        <w:spacing w:after="0" w:line="276" w:lineRule="auto"/>
        <w:jc w:val="both"/>
        <w:rPr>
          <w:rFonts w:ascii="Verdana" w:hAnsi="Verdana"/>
        </w:rPr>
      </w:pPr>
      <w:r w:rsidRPr="00286DDE">
        <w:rPr>
          <w:rFonts w:ascii="Verdana" w:hAnsi="Verdana"/>
        </w:rPr>
        <w:t>Línea de servicio y atención al ciudadano: +57 601 7956600</w:t>
      </w:r>
    </w:p>
    <w:p w14:paraId="7BE29291" w14:textId="099337F9" w:rsidR="00F07E96" w:rsidRPr="004E312D" w:rsidRDefault="00A761E9" w:rsidP="004E312D">
      <w:pPr>
        <w:numPr>
          <w:ilvl w:val="0"/>
          <w:numId w:val="15"/>
        </w:numPr>
        <w:spacing w:line="276" w:lineRule="auto"/>
        <w:jc w:val="both"/>
        <w:rPr>
          <w:rFonts w:ascii="Verdana" w:hAnsi="Verdana"/>
        </w:rPr>
      </w:pPr>
      <w:r w:rsidRPr="004E312D">
        <w:rPr>
          <w:rFonts w:ascii="Verdana" w:hAnsi="Verdana"/>
        </w:rPr>
        <w:t xml:space="preserve">Página web: </w:t>
      </w:r>
      <w:hyperlink r:id="rId17" w:history="1">
        <w:r w:rsidRPr="004E312D">
          <w:rPr>
            <w:rStyle w:val="Hipervnculo"/>
            <w:rFonts w:ascii="Verdana" w:hAnsi="Verdana"/>
          </w:rPr>
          <w:t>www.colombiacompra.gov.co</w:t>
        </w:r>
      </w:hyperlink>
    </w:p>
    <w:p w14:paraId="604A1BB5" w14:textId="1E2036BB" w:rsidR="00F07E96" w:rsidRDefault="00A761E9" w:rsidP="004E312D">
      <w:pPr>
        <w:spacing w:line="276" w:lineRule="auto"/>
        <w:jc w:val="both"/>
        <w:rPr>
          <w:rFonts w:ascii="Verdana" w:hAnsi="Verdana"/>
        </w:rPr>
      </w:pPr>
      <w:r w:rsidRPr="00EA560F">
        <w:rPr>
          <w:rFonts w:ascii="Verdana" w:hAnsi="Verdana"/>
        </w:rPr>
        <w:t xml:space="preserve">Por último, lo invitamos a seguirnos en las redes sociales en las cuales se difunde información institucional: </w:t>
      </w:r>
    </w:p>
    <w:p w14:paraId="0FF3E409" w14:textId="453A1526" w:rsidR="00A761E9" w:rsidRPr="00286DDE" w:rsidRDefault="00A761E9" w:rsidP="00EA560F">
      <w:pPr>
        <w:spacing w:after="0" w:line="276" w:lineRule="auto"/>
        <w:jc w:val="both"/>
        <w:rPr>
          <w:rFonts w:ascii="Verdana" w:hAnsi="Verdana"/>
        </w:rPr>
      </w:pPr>
      <w:r w:rsidRPr="00286DDE">
        <w:rPr>
          <w:rFonts w:ascii="Verdana" w:hAnsi="Verdana"/>
        </w:rPr>
        <w:t xml:space="preserve">Twitter: </w:t>
      </w:r>
      <w:r w:rsidRPr="00286DDE">
        <w:rPr>
          <w:rStyle w:val="Hipervnculo"/>
          <w:rFonts w:ascii="Verdana" w:hAnsi="Verdana"/>
        </w:rPr>
        <w:t>@colombiacompra</w:t>
      </w:r>
      <w:r w:rsidRPr="00286DDE">
        <w:rPr>
          <w:rFonts w:ascii="Verdana" w:hAnsi="Verdana"/>
        </w:rPr>
        <w:t xml:space="preserve"> </w:t>
      </w:r>
    </w:p>
    <w:p w14:paraId="1A7FF5BA" w14:textId="77777777" w:rsidR="00A761E9" w:rsidRPr="00286DDE" w:rsidRDefault="00A761E9" w:rsidP="00F07E96">
      <w:pPr>
        <w:spacing w:after="0" w:line="276" w:lineRule="auto"/>
        <w:jc w:val="both"/>
        <w:rPr>
          <w:rFonts w:ascii="Verdana" w:hAnsi="Verdana"/>
        </w:rPr>
      </w:pPr>
      <w:r w:rsidRPr="00286DDE">
        <w:rPr>
          <w:rFonts w:ascii="Verdana" w:hAnsi="Verdana"/>
        </w:rPr>
        <w:t xml:space="preserve">Facebook: </w:t>
      </w:r>
      <w:r w:rsidRPr="00286DDE">
        <w:rPr>
          <w:rStyle w:val="Hipervnculo"/>
          <w:rFonts w:ascii="Verdana" w:hAnsi="Verdana"/>
        </w:rPr>
        <w:t>ColombiaCompraEficiente</w:t>
      </w:r>
    </w:p>
    <w:p w14:paraId="60F8F022" w14:textId="5CA37918" w:rsidR="00F07E96" w:rsidRDefault="00A761E9" w:rsidP="004E312D">
      <w:pPr>
        <w:spacing w:line="276" w:lineRule="auto"/>
        <w:jc w:val="both"/>
        <w:rPr>
          <w:rFonts w:ascii="Verdana" w:eastAsia="Calibri" w:hAnsi="Verdana" w:cs="Times New Roman"/>
        </w:rPr>
      </w:pPr>
      <w:r w:rsidRPr="00286DDE">
        <w:rPr>
          <w:rFonts w:ascii="Verdana" w:hAnsi="Verdana"/>
        </w:rPr>
        <w:t xml:space="preserve">LinkedIn: </w:t>
      </w:r>
      <w:r w:rsidRPr="00286DDE">
        <w:rPr>
          <w:rStyle w:val="Hipervnculo"/>
          <w:rFonts w:ascii="Verdana" w:hAnsi="Verdana"/>
        </w:rPr>
        <w:t>Agencia Nacional de Contratación Pública - Colombia Compra Eficiente</w:t>
      </w:r>
      <w:r w:rsidRPr="00286DDE">
        <w:rPr>
          <w:rFonts w:ascii="Verdana" w:hAnsi="Verdana"/>
        </w:rPr>
        <w:t xml:space="preserve"> Instagram: </w:t>
      </w:r>
      <w:r w:rsidRPr="00286DDE">
        <w:rPr>
          <w:rStyle w:val="Hipervnculo"/>
          <w:rFonts w:ascii="Verdana" w:hAnsi="Verdana"/>
        </w:rPr>
        <w:t>@colombiacompraeficiente_cce</w:t>
      </w:r>
    </w:p>
    <w:p w14:paraId="13ADD73A" w14:textId="1615E4D8" w:rsidR="00A761E9" w:rsidRPr="00BE636B" w:rsidRDefault="00A761E9" w:rsidP="00EA560F">
      <w:pPr>
        <w:spacing w:after="0" w:line="276" w:lineRule="auto"/>
        <w:jc w:val="both"/>
        <w:rPr>
          <w:rFonts w:ascii="Verdana" w:eastAsia="Calibri" w:hAnsi="Verdana" w:cs="Times New Roman"/>
          <w:bCs/>
        </w:rPr>
      </w:pPr>
      <w:r w:rsidRPr="00EA560F">
        <w:rPr>
          <w:rFonts w:ascii="Verdana" w:eastAsia="Calibri" w:hAnsi="Verdana" w:cs="Times New Roman"/>
        </w:rPr>
        <w:t>Este concepto tiene el alcance previsto en el artículo 28 del Código de Procedimiento Administrativo y de lo Cont</w:t>
      </w:r>
      <w:r w:rsidRPr="00F926E2">
        <w:rPr>
          <w:rFonts w:ascii="Verdana" w:eastAsia="Calibri" w:hAnsi="Verdana" w:cs="Times New Roman"/>
        </w:rPr>
        <w:t>encioso Administrativo y las expresiones utilizadas con mayúscula inicial deben ser entendidas con el significado que les otorga el artículo 2.2.1.1.1.3.1 del Decreto 1082 de 2015.</w:t>
      </w:r>
    </w:p>
    <w:p w14:paraId="0F26901C" w14:textId="77777777" w:rsidR="00A761E9" w:rsidRPr="008E2DC6" w:rsidRDefault="00A761E9" w:rsidP="00F07E96">
      <w:pPr>
        <w:spacing w:after="0" w:line="276" w:lineRule="auto"/>
        <w:jc w:val="both"/>
        <w:rPr>
          <w:rFonts w:ascii="Verdana" w:eastAsia="Calibri" w:hAnsi="Verdana" w:cs="Times New Roman"/>
        </w:rPr>
      </w:pPr>
    </w:p>
    <w:p w14:paraId="557332F3" w14:textId="77777777" w:rsidR="00A761E9" w:rsidRDefault="00A761E9" w:rsidP="00F926E2">
      <w:pPr>
        <w:spacing w:after="0" w:line="276" w:lineRule="auto"/>
        <w:jc w:val="both"/>
        <w:rPr>
          <w:rFonts w:ascii="Verdana" w:eastAsia="Calibri" w:hAnsi="Verdana" w:cs="Times New Roman"/>
        </w:rPr>
      </w:pPr>
      <w:r w:rsidRPr="008E2DC6">
        <w:rPr>
          <w:rFonts w:ascii="Verdana" w:eastAsia="Calibri" w:hAnsi="Verdana" w:cs="Times New Roman"/>
        </w:rPr>
        <w:t xml:space="preserve">Atentamente,  </w:t>
      </w:r>
    </w:p>
    <w:p w14:paraId="710A940D" w14:textId="0B3E7CE2" w:rsidR="004E312D" w:rsidRPr="008E2DC6" w:rsidRDefault="004E312D" w:rsidP="00F926E2">
      <w:pPr>
        <w:spacing w:after="0" w:line="276" w:lineRule="auto"/>
        <w:jc w:val="both"/>
        <w:rPr>
          <w:rFonts w:ascii="Verdana" w:eastAsia="Calibri" w:hAnsi="Verdana" w:cs="Times New Roman"/>
        </w:rPr>
      </w:pPr>
    </w:p>
    <w:p w14:paraId="7CA4F212" w14:textId="774991CF" w:rsidR="00DF7B9E" w:rsidRPr="00DF7B9E" w:rsidRDefault="00DF7B9E" w:rsidP="00DF7B9E">
      <w:pPr>
        <w:spacing w:after="0" w:line="276" w:lineRule="auto"/>
        <w:jc w:val="both"/>
        <w:rPr>
          <w:rFonts w:ascii="Verdana" w:eastAsia="Calibri" w:hAnsi="Verdana" w:cs="Times New Roman"/>
        </w:rPr>
      </w:pPr>
      <w:r w:rsidRPr="00DF7B9E">
        <w:rPr>
          <w:rFonts w:ascii="Verdana" w:eastAsia="Calibri" w:hAnsi="Verdana" w:cs="Times New Roman"/>
        </w:rPr>
        <w:drawing>
          <wp:anchor distT="0" distB="0" distL="114300" distR="114300" simplePos="0" relativeHeight="251660288" behindDoc="1" locked="0" layoutInCell="1" allowOverlap="1" wp14:anchorId="49B9EC24" wp14:editId="3C150452">
            <wp:simplePos x="0" y="0"/>
            <wp:positionH relativeFrom="margin">
              <wp:align>center</wp:align>
            </wp:positionH>
            <wp:positionV relativeFrom="paragraph">
              <wp:posOffset>5715</wp:posOffset>
            </wp:positionV>
            <wp:extent cx="3771900" cy="1400175"/>
            <wp:effectExtent l="0" t="0" r="0" b="9525"/>
            <wp:wrapNone/>
            <wp:docPr id="73623054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71900" cy="1400175"/>
                    </a:xfrm>
                    <a:prstGeom prst="rect">
                      <a:avLst/>
                    </a:prstGeom>
                    <a:noFill/>
                    <a:ln>
                      <a:noFill/>
                    </a:ln>
                  </pic:spPr>
                </pic:pic>
              </a:graphicData>
            </a:graphic>
          </wp:anchor>
        </w:drawing>
      </w:r>
    </w:p>
    <w:p w14:paraId="3F7677A2" w14:textId="3F93866A" w:rsidR="00A761E9" w:rsidRPr="00CE156C" w:rsidRDefault="00A761E9" w:rsidP="00A761E9">
      <w:pPr>
        <w:spacing w:after="0" w:line="276" w:lineRule="auto"/>
        <w:jc w:val="both"/>
        <w:rPr>
          <w:rFonts w:ascii="Verdana" w:eastAsia="Calibri" w:hAnsi="Verdana" w:cs="Times New Roman"/>
        </w:rPr>
      </w:pPr>
    </w:p>
    <w:p w14:paraId="3ED85625" w14:textId="77777777" w:rsidR="00A761E9" w:rsidRPr="00F07E96" w:rsidRDefault="00A761E9" w:rsidP="00A761E9">
      <w:pPr>
        <w:spacing w:after="0" w:line="276" w:lineRule="auto"/>
        <w:jc w:val="both"/>
        <w:rPr>
          <w:rFonts w:ascii="Verdana" w:eastAsia="Calibri" w:hAnsi="Verdana" w:cs="Times New Roman"/>
        </w:rPr>
      </w:pPr>
    </w:p>
    <w:p w14:paraId="0C6DB08C" w14:textId="77777777" w:rsidR="00A761E9" w:rsidRPr="00F926E2" w:rsidRDefault="00A761E9" w:rsidP="00A761E9">
      <w:pPr>
        <w:spacing w:after="0" w:line="276" w:lineRule="auto"/>
        <w:jc w:val="both"/>
        <w:rPr>
          <w:rFonts w:ascii="Verdana" w:eastAsia="Calibri" w:hAnsi="Verdana" w:cs="Times New Roman"/>
        </w:rPr>
      </w:pPr>
    </w:p>
    <w:p w14:paraId="671A9BEF" w14:textId="77777777" w:rsidR="00A761E9" w:rsidRPr="00BE636B" w:rsidRDefault="00A761E9" w:rsidP="00A761E9">
      <w:pPr>
        <w:spacing w:after="0" w:line="276" w:lineRule="auto"/>
        <w:jc w:val="both"/>
        <w:rPr>
          <w:rFonts w:ascii="Verdana" w:eastAsia="Calibri" w:hAnsi="Verdana" w:cs="Times New Roman"/>
        </w:rPr>
      </w:pPr>
    </w:p>
    <w:p w14:paraId="02DD1F0E" w14:textId="77777777" w:rsidR="00A761E9" w:rsidRPr="00E460E3" w:rsidRDefault="00A761E9" w:rsidP="00A761E9">
      <w:pPr>
        <w:spacing w:after="0" w:line="276" w:lineRule="auto"/>
        <w:jc w:val="both"/>
        <w:rPr>
          <w:rFonts w:ascii="Verdana" w:eastAsia="Calibri" w:hAnsi="Verdana" w:cs="Times New Roman"/>
        </w:rPr>
      </w:pPr>
    </w:p>
    <w:p w14:paraId="77FD1FE5" w14:textId="77777777" w:rsidR="00A761E9" w:rsidRPr="008E2DC6" w:rsidRDefault="00A761E9" w:rsidP="00A761E9">
      <w:pPr>
        <w:spacing w:after="0" w:line="276" w:lineRule="auto"/>
        <w:jc w:val="both"/>
        <w:rPr>
          <w:rFonts w:ascii="Verdana" w:eastAsia="Calibri" w:hAnsi="Verdana" w:cs="Times New Roman"/>
        </w:rPr>
      </w:pPr>
    </w:p>
    <w:p w14:paraId="44BD7CCB" w14:textId="77777777" w:rsidR="00A761E9" w:rsidRPr="008E2DC6" w:rsidRDefault="00A761E9" w:rsidP="00A761E9">
      <w:pPr>
        <w:spacing w:after="0" w:line="276" w:lineRule="auto"/>
        <w:jc w:val="both"/>
        <w:rPr>
          <w:rFonts w:ascii="Verdana" w:eastAsia="Calibri" w:hAnsi="Verdana" w:cs="Times New Roman"/>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A761E9" w:rsidRPr="00CE156C" w14:paraId="0CD69560" w14:textId="77777777" w:rsidTr="0056147A">
        <w:trPr>
          <w:trHeight w:val="315"/>
        </w:trPr>
        <w:tc>
          <w:tcPr>
            <w:tcW w:w="893" w:type="dxa"/>
            <w:vAlign w:val="center"/>
            <w:hideMark/>
          </w:tcPr>
          <w:p w14:paraId="3469582E" w14:textId="77777777" w:rsidR="00A761E9" w:rsidRPr="008E2DC6" w:rsidRDefault="00A761E9" w:rsidP="0056147A">
            <w:pPr>
              <w:spacing w:line="276" w:lineRule="auto"/>
              <w:rPr>
                <w:rFonts w:ascii="Verdana" w:eastAsia="Times New Roman" w:hAnsi="Verdana" w:cs="Arial"/>
                <w:color w:val="000000"/>
                <w:sz w:val="16"/>
                <w:szCs w:val="16"/>
                <w:lang w:eastAsia="es-ES"/>
              </w:rPr>
            </w:pPr>
            <w:r w:rsidRPr="008E2DC6">
              <w:rPr>
                <w:rFonts w:ascii="Verdana" w:eastAsia="Times New Roman" w:hAnsi="Verdana" w:cs="Arial"/>
                <w:color w:val="000000"/>
                <w:sz w:val="16"/>
                <w:szCs w:val="16"/>
                <w:lang w:eastAsia="es-ES"/>
              </w:rPr>
              <w:t>Elaboró:</w:t>
            </w:r>
          </w:p>
        </w:tc>
        <w:tc>
          <w:tcPr>
            <w:tcW w:w="5628" w:type="dxa"/>
            <w:tcBorders>
              <w:top w:val="nil"/>
              <w:left w:val="nil"/>
              <w:bottom w:val="dotted" w:sz="4" w:space="0" w:color="7F7F7F"/>
              <w:right w:val="nil"/>
            </w:tcBorders>
            <w:vAlign w:val="center"/>
            <w:hideMark/>
          </w:tcPr>
          <w:p w14:paraId="4868ADC8" w14:textId="77777777" w:rsidR="00A761E9" w:rsidRPr="00CE156C" w:rsidRDefault="00A761E9" w:rsidP="0056147A">
            <w:pPr>
              <w:spacing w:line="276" w:lineRule="auto"/>
              <w:rPr>
                <w:rFonts w:ascii="Verdana" w:eastAsia="Arial" w:hAnsi="Verdana" w:cs="Arial"/>
                <w:color w:val="000000"/>
                <w:sz w:val="16"/>
                <w:szCs w:val="16"/>
              </w:rPr>
            </w:pPr>
            <w:r w:rsidRPr="00CE156C">
              <w:rPr>
                <w:rFonts w:ascii="Verdana" w:eastAsia="Arial" w:hAnsi="Verdana" w:cs="Arial"/>
                <w:color w:val="000000"/>
                <w:sz w:val="16"/>
                <w:szCs w:val="16"/>
              </w:rPr>
              <w:t>Ángela María Olmos Andrade</w:t>
            </w:r>
          </w:p>
          <w:p w14:paraId="72DFC006" w14:textId="77777777" w:rsidR="00A761E9" w:rsidRPr="00CE156C" w:rsidRDefault="00A761E9" w:rsidP="0056147A">
            <w:pPr>
              <w:spacing w:line="276" w:lineRule="auto"/>
              <w:rPr>
                <w:rFonts w:ascii="Verdana" w:eastAsia="Arial" w:hAnsi="Verdana" w:cs="Arial"/>
                <w:color w:val="000000"/>
                <w:sz w:val="16"/>
                <w:szCs w:val="16"/>
              </w:rPr>
            </w:pPr>
            <w:r w:rsidRPr="00CE156C">
              <w:rPr>
                <w:rFonts w:ascii="Verdana" w:eastAsia="Arial" w:hAnsi="Verdana" w:cs="Arial"/>
                <w:color w:val="000000"/>
                <w:sz w:val="16"/>
                <w:szCs w:val="16"/>
              </w:rPr>
              <w:t>Analista T2 - 02 de la Subdirección de Gestión Contractual</w:t>
            </w:r>
          </w:p>
        </w:tc>
      </w:tr>
      <w:tr w:rsidR="00A761E9" w:rsidRPr="00CE156C" w14:paraId="452499F2" w14:textId="77777777" w:rsidTr="0056147A">
        <w:trPr>
          <w:trHeight w:val="330"/>
        </w:trPr>
        <w:tc>
          <w:tcPr>
            <w:tcW w:w="893" w:type="dxa"/>
            <w:vAlign w:val="center"/>
            <w:hideMark/>
          </w:tcPr>
          <w:p w14:paraId="1F2D4CA2" w14:textId="77777777" w:rsidR="00A761E9" w:rsidRPr="00EA560F" w:rsidRDefault="00A761E9" w:rsidP="0056147A">
            <w:pPr>
              <w:spacing w:line="276" w:lineRule="auto"/>
              <w:rPr>
                <w:rFonts w:ascii="Verdana" w:eastAsia="Times New Roman" w:hAnsi="Verdana" w:cs="Arial"/>
                <w:color w:val="000000"/>
                <w:sz w:val="16"/>
                <w:szCs w:val="16"/>
                <w:lang w:eastAsia="es-ES"/>
              </w:rPr>
            </w:pPr>
            <w:r w:rsidRPr="00CE156C">
              <w:rPr>
                <w:rFonts w:ascii="Verdana" w:eastAsia="Times New Roman" w:hAnsi="Verdana" w:cs="Arial"/>
                <w:color w:val="000000"/>
                <w:sz w:val="16"/>
                <w:szCs w:val="16"/>
                <w:lang w:eastAsia="es-ES"/>
              </w:rPr>
              <w:t>Revisó:</w:t>
            </w:r>
          </w:p>
        </w:tc>
        <w:tc>
          <w:tcPr>
            <w:tcW w:w="5628" w:type="dxa"/>
            <w:tcBorders>
              <w:top w:val="dotted" w:sz="4" w:space="0" w:color="7F7F7F"/>
              <w:left w:val="nil"/>
              <w:bottom w:val="dotted" w:sz="4" w:space="0" w:color="7F7F7F"/>
              <w:right w:val="nil"/>
            </w:tcBorders>
            <w:vAlign w:val="center"/>
            <w:hideMark/>
          </w:tcPr>
          <w:p w14:paraId="27E1A4A4" w14:textId="77777777" w:rsidR="00A761E9" w:rsidRPr="00F74DD7" w:rsidRDefault="00A761E9" w:rsidP="0056147A">
            <w:pPr>
              <w:spacing w:line="276" w:lineRule="auto"/>
              <w:rPr>
                <w:rFonts w:ascii="Verdana" w:eastAsia="Times New Roman" w:hAnsi="Verdana" w:cs="Arial"/>
                <w:color w:val="000000"/>
                <w:sz w:val="16"/>
                <w:szCs w:val="16"/>
              </w:rPr>
            </w:pPr>
            <w:r w:rsidRPr="00F926E2">
              <w:rPr>
                <w:rFonts w:ascii="Verdana" w:eastAsia="Times New Roman" w:hAnsi="Verdana" w:cs="Arial"/>
                <w:color w:val="000000"/>
                <w:sz w:val="16"/>
                <w:szCs w:val="16"/>
              </w:rPr>
              <w:t>Diana Lucia Saavedra Castañeda</w:t>
            </w:r>
          </w:p>
          <w:p w14:paraId="1675ED7D" w14:textId="77777777" w:rsidR="00A761E9" w:rsidRPr="002067DD" w:rsidRDefault="00A761E9" w:rsidP="0056147A">
            <w:pPr>
              <w:spacing w:line="276" w:lineRule="auto"/>
              <w:textAlignment w:val="baseline"/>
              <w:rPr>
                <w:rFonts w:ascii="Verdana" w:eastAsia="Times New Roman" w:hAnsi="Verdana" w:cs="Arial"/>
                <w:color w:val="000000"/>
                <w:sz w:val="16"/>
                <w:szCs w:val="16"/>
              </w:rPr>
            </w:pPr>
            <w:r w:rsidRPr="00BE636B">
              <w:rPr>
                <w:rFonts w:ascii="Verdana" w:eastAsia="Times New Roman" w:hAnsi="Verdana" w:cs="Arial"/>
                <w:color w:val="000000"/>
                <w:sz w:val="16"/>
                <w:szCs w:val="16"/>
              </w:rPr>
              <w:t>Contratista</w:t>
            </w:r>
            <w:r w:rsidRPr="00E460E3">
              <w:rPr>
                <w:rFonts w:ascii="Verdana" w:eastAsia="Times New Roman" w:hAnsi="Verdana" w:cs="Arial"/>
                <w:color w:val="000000"/>
                <w:sz w:val="16"/>
                <w:szCs w:val="16"/>
              </w:rPr>
              <w:t xml:space="preserve"> de la Subdirección de Gestión Contractual</w:t>
            </w:r>
          </w:p>
        </w:tc>
      </w:tr>
      <w:tr w:rsidR="00A761E9" w:rsidRPr="00CE156C" w14:paraId="391E53F3" w14:textId="77777777" w:rsidTr="0056147A">
        <w:trPr>
          <w:trHeight w:val="300"/>
        </w:trPr>
        <w:tc>
          <w:tcPr>
            <w:tcW w:w="893" w:type="dxa"/>
            <w:vAlign w:val="center"/>
            <w:hideMark/>
          </w:tcPr>
          <w:p w14:paraId="2832A1F9" w14:textId="77777777" w:rsidR="00A761E9" w:rsidRPr="00EA560F" w:rsidRDefault="00A761E9" w:rsidP="0056147A">
            <w:pPr>
              <w:spacing w:line="276" w:lineRule="auto"/>
              <w:rPr>
                <w:rFonts w:ascii="Verdana" w:eastAsia="Times New Roman" w:hAnsi="Verdana" w:cs="Arial"/>
                <w:color w:val="000000"/>
                <w:sz w:val="16"/>
                <w:szCs w:val="16"/>
                <w:lang w:eastAsia="es-ES"/>
              </w:rPr>
            </w:pPr>
            <w:r w:rsidRPr="00CE156C">
              <w:rPr>
                <w:rFonts w:ascii="Verdana" w:eastAsia="Times New Roman" w:hAnsi="Verdana" w:cs="Arial"/>
                <w:color w:val="000000"/>
                <w:sz w:val="16"/>
                <w:szCs w:val="16"/>
                <w:lang w:eastAsia="es-ES"/>
              </w:rPr>
              <w:t>Aprobó:</w:t>
            </w:r>
          </w:p>
        </w:tc>
        <w:tc>
          <w:tcPr>
            <w:tcW w:w="5628" w:type="dxa"/>
            <w:tcBorders>
              <w:top w:val="dotted" w:sz="4" w:space="0" w:color="7F7F7F"/>
              <w:left w:val="nil"/>
              <w:bottom w:val="dotted" w:sz="4" w:space="0" w:color="7F7F7F"/>
              <w:right w:val="nil"/>
            </w:tcBorders>
            <w:vAlign w:val="center"/>
            <w:hideMark/>
          </w:tcPr>
          <w:p w14:paraId="397C84C1" w14:textId="77777777" w:rsidR="00A761E9" w:rsidRPr="00F74DD7" w:rsidRDefault="00A761E9" w:rsidP="0056147A">
            <w:pPr>
              <w:spacing w:line="276" w:lineRule="auto"/>
              <w:rPr>
                <w:rFonts w:ascii="Verdana" w:eastAsia="Times New Roman" w:hAnsi="Verdana" w:cs="Arial"/>
                <w:color w:val="000000"/>
                <w:sz w:val="16"/>
                <w:szCs w:val="16"/>
              </w:rPr>
            </w:pPr>
            <w:r w:rsidRPr="00F926E2">
              <w:rPr>
                <w:rFonts w:ascii="Verdana" w:eastAsia="Times New Roman" w:hAnsi="Verdana" w:cs="Arial"/>
                <w:color w:val="000000"/>
                <w:sz w:val="16"/>
                <w:szCs w:val="16"/>
              </w:rPr>
              <w:t>Carolina Quintero Gacharná</w:t>
            </w:r>
          </w:p>
          <w:p w14:paraId="78FDBBE6" w14:textId="77777777" w:rsidR="00A761E9" w:rsidRPr="00E460E3" w:rsidRDefault="00A761E9" w:rsidP="0056147A">
            <w:pPr>
              <w:spacing w:line="276" w:lineRule="auto"/>
              <w:rPr>
                <w:rFonts w:ascii="Verdana" w:eastAsia="Times New Roman" w:hAnsi="Verdana" w:cs="Arial"/>
                <w:color w:val="000000"/>
                <w:sz w:val="16"/>
                <w:szCs w:val="16"/>
              </w:rPr>
            </w:pPr>
            <w:r w:rsidRPr="00BE636B">
              <w:rPr>
                <w:rFonts w:ascii="Verdana" w:eastAsia="Times New Roman" w:hAnsi="Verdana" w:cs="Arial"/>
                <w:color w:val="000000"/>
                <w:sz w:val="16"/>
                <w:szCs w:val="16"/>
              </w:rPr>
              <w:t>Subdirectora de Gestión Contractual ANCP – CCE</w:t>
            </w:r>
          </w:p>
        </w:tc>
      </w:tr>
    </w:tbl>
    <w:p w14:paraId="5B87729C" w14:textId="77777777" w:rsidR="00A761E9" w:rsidRPr="00CE156C" w:rsidRDefault="00A761E9" w:rsidP="00A761E9">
      <w:pPr>
        <w:spacing w:after="0" w:line="240" w:lineRule="auto"/>
        <w:jc w:val="both"/>
        <w:rPr>
          <w:rFonts w:ascii="Verdana" w:eastAsia="Verdana" w:hAnsi="Verdana" w:cs="Verdana"/>
          <w:b/>
          <w:bCs/>
          <w:lang w:val="es-MX"/>
        </w:rPr>
      </w:pPr>
    </w:p>
    <w:bookmarkEnd w:id="0"/>
    <w:p w14:paraId="0F293BF4" w14:textId="7AEC7BFF" w:rsidR="00127233" w:rsidRPr="008E2DC6" w:rsidRDefault="00127233" w:rsidP="004E312D">
      <w:pPr>
        <w:spacing w:after="0" w:line="240" w:lineRule="auto"/>
        <w:textAlignment w:val="baseline"/>
        <w:rPr>
          <w:rFonts w:ascii="Verdana" w:eastAsia="Verdana" w:hAnsi="Verdana" w:cs="Verdana"/>
          <w:color w:val="4E4D4D"/>
          <w:lang w:val="es-ES" w:eastAsia="es-CO"/>
        </w:rPr>
      </w:pPr>
    </w:p>
    <w:sectPr w:rsidR="00127233" w:rsidRPr="008E2DC6"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5A1FD" w14:textId="77777777" w:rsidR="000E687C" w:rsidRDefault="000E687C" w:rsidP="004A1847">
      <w:pPr>
        <w:spacing w:after="0" w:line="240" w:lineRule="auto"/>
      </w:pPr>
      <w:r>
        <w:separator/>
      </w:r>
    </w:p>
  </w:endnote>
  <w:endnote w:type="continuationSeparator" w:id="0">
    <w:p w14:paraId="639A71CD" w14:textId="77777777" w:rsidR="000E687C" w:rsidRDefault="000E687C"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79D69" w14:textId="77777777" w:rsidR="000E687C" w:rsidRDefault="000E687C" w:rsidP="004A1847">
      <w:pPr>
        <w:spacing w:after="0" w:line="240" w:lineRule="auto"/>
      </w:pPr>
      <w:r>
        <w:separator/>
      </w:r>
    </w:p>
  </w:footnote>
  <w:footnote w:type="continuationSeparator" w:id="0">
    <w:p w14:paraId="1CD68827" w14:textId="77777777" w:rsidR="000E687C" w:rsidRDefault="000E687C" w:rsidP="004A1847">
      <w:pPr>
        <w:spacing w:after="0" w:line="240" w:lineRule="auto"/>
      </w:pPr>
      <w:r>
        <w:continuationSeparator/>
      </w:r>
    </w:p>
  </w:footnote>
  <w:footnote w:id="1">
    <w:p w14:paraId="7AE928B7" w14:textId="77777777" w:rsidR="00A761E9" w:rsidRPr="00286DDE" w:rsidRDefault="00A761E9" w:rsidP="00286DDE">
      <w:pPr>
        <w:pStyle w:val="NormalWeb"/>
        <w:snapToGrid w:val="0"/>
        <w:spacing w:before="0" w:beforeAutospacing="0" w:after="0" w:afterAutospacing="0"/>
        <w:ind w:firstLine="709"/>
        <w:jc w:val="both"/>
        <w:rPr>
          <w:rFonts w:ascii="Verdana" w:hAnsi="Verdana" w:cs="Arial"/>
          <w:sz w:val="16"/>
          <w:szCs w:val="16"/>
        </w:rPr>
      </w:pPr>
      <w:r w:rsidRPr="00286DDE">
        <w:rPr>
          <w:rStyle w:val="Refdenotaalpie"/>
          <w:rFonts w:ascii="Verdana" w:hAnsi="Verdana" w:cs="Arial"/>
          <w:sz w:val="16"/>
          <w:szCs w:val="16"/>
        </w:rPr>
        <w:footnoteRef/>
      </w:r>
      <w:r w:rsidRPr="00286DDE">
        <w:rPr>
          <w:rFonts w:ascii="Verdana" w:hAnsi="Verdana" w:cs="Arial"/>
          <w:sz w:val="16"/>
          <w:szCs w:val="16"/>
        </w:rPr>
        <w:t xml:space="preserve"> </w:t>
      </w:r>
      <w:r w:rsidRPr="00286DDE">
        <w:rPr>
          <w:rFonts w:ascii="Verdana" w:hAnsi="Verdana" w:cs="Arial"/>
          <w:sz w:val="16"/>
          <w:szCs w:val="16"/>
          <w:lang w:val="es-ES"/>
        </w:rPr>
        <w:t>“</w:t>
      </w:r>
      <w:r w:rsidRPr="00286DDE">
        <w:rPr>
          <w:rFonts w:ascii="Verdana" w:hAnsi="Verdana" w:cs="Arial"/>
          <w:sz w:val="16"/>
          <w:szCs w:val="16"/>
        </w:rPr>
        <w:t xml:space="preserve">Para poder participar en los procesos de selección de los contratos de obra, la capacidad residual del proponente o K de contratación deberá ser igual o superior al que la entidad haya establecido para el efecto en los pliegos de condiciones. </w:t>
      </w:r>
    </w:p>
    <w:p w14:paraId="5DCBF38F" w14:textId="45ED5A48" w:rsidR="00A761E9" w:rsidRPr="00286DDE" w:rsidRDefault="00A761E9">
      <w:pPr>
        <w:snapToGrid w:val="0"/>
        <w:spacing w:after="0" w:line="240" w:lineRule="auto"/>
        <w:ind w:firstLine="709"/>
        <w:jc w:val="both"/>
        <w:rPr>
          <w:rFonts w:ascii="Verdana" w:hAnsi="Verdana" w:cs="Arial"/>
          <w:sz w:val="16"/>
          <w:szCs w:val="16"/>
        </w:rPr>
      </w:pPr>
      <w:r w:rsidRPr="00286DDE">
        <w:rPr>
          <w:rFonts w:ascii="Verdana" w:hAnsi="Verdana" w:cs="Arial"/>
          <w:sz w:val="16"/>
          <w:szCs w:val="16"/>
        </w:rPr>
        <w:t>Para establecer la capacidad residual del proponente o K de contratación, se deberán considerar todos los contratos que tenga en ejecución el proponente al momento de presentar la oferta. El desarrollo y ejecución del contrato podrá dar lugar a que los valores que sean cancelados al contratista se consideren para establecer el real K de contratación, en cada oportunidad. El Gobierno Nacional reglamentará la materia.</w:t>
      </w:r>
    </w:p>
    <w:p w14:paraId="3DAD44C3" w14:textId="77777777" w:rsidR="008E2DC6" w:rsidRPr="00286DDE" w:rsidRDefault="008E2DC6" w:rsidP="00286DDE">
      <w:pPr>
        <w:snapToGrid w:val="0"/>
        <w:spacing w:after="0" w:line="240" w:lineRule="auto"/>
        <w:ind w:firstLine="709"/>
        <w:jc w:val="both"/>
        <w:rPr>
          <w:rFonts w:ascii="Verdana" w:hAnsi="Verdana" w:cs="Arial"/>
          <w:sz w:val="16"/>
          <w:szCs w:val="16"/>
        </w:rPr>
      </w:pPr>
    </w:p>
  </w:footnote>
  <w:footnote w:id="2">
    <w:p w14:paraId="744B912F" w14:textId="3B33C70E" w:rsidR="00A761E9" w:rsidRPr="00286DDE" w:rsidRDefault="00A761E9">
      <w:pPr>
        <w:pStyle w:val="Textonotapie"/>
        <w:ind w:firstLine="709"/>
        <w:jc w:val="both"/>
        <w:rPr>
          <w:rFonts w:ascii="Verdana" w:eastAsia="Calibri" w:hAnsi="Verdana" w:cs="Arial"/>
          <w:sz w:val="16"/>
          <w:szCs w:val="16"/>
          <w:lang w:val="es-ES" w:eastAsia="es-MX"/>
        </w:rPr>
      </w:pPr>
      <w:r w:rsidRPr="00286DDE">
        <w:rPr>
          <w:rStyle w:val="Refdenotaalpie"/>
          <w:rFonts w:ascii="Verdana" w:hAnsi="Verdana"/>
          <w:sz w:val="16"/>
          <w:szCs w:val="16"/>
        </w:rPr>
        <w:footnoteRef/>
      </w:r>
      <w:r w:rsidRPr="00286DDE">
        <w:rPr>
          <w:rFonts w:ascii="Verdana" w:hAnsi="Verdana"/>
          <w:sz w:val="16"/>
          <w:szCs w:val="16"/>
        </w:rPr>
        <w:t xml:space="preserve"> El </w:t>
      </w:r>
      <w:r w:rsidRPr="00286DDE">
        <w:rPr>
          <w:rFonts w:ascii="Verdana" w:eastAsia="Times New Roman" w:hAnsi="Verdana" w:cs="Arial"/>
          <w:sz w:val="16"/>
          <w:szCs w:val="16"/>
          <w:lang w:val="es-ES" w:eastAsia="es-MX"/>
        </w:rPr>
        <w:t>“Manual para determinar y verificar los requisitos habilitantes en los Procesos de Contratación”</w:t>
      </w:r>
      <w:r w:rsidRPr="00286DDE">
        <w:rPr>
          <w:rFonts w:ascii="Verdana" w:eastAsia="Calibri" w:hAnsi="Verdana" w:cs="Arial"/>
          <w:sz w:val="16"/>
          <w:szCs w:val="16"/>
          <w:lang w:val="es-ES" w:eastAsia="es-MX"/>
        </w:rPr>
        <w:t>,</w:t>
      </w:r>
      <w:r w:rsidRPr="00286DDE">
        <w:rPr>
          <w:rFonts w:ascii="Verdana" w:eastAsia="Times New Roman" w:hAnsi="Verdana" w:cs="Arial"/>
          <w:sz w:val="16"/>
          <w:szCs w:val="16"/>
          <w:lang w:val="es-ES" w:eastAsia="es-MX"/>
        </w:rPr>
        <w:t xml:space="preserve"> expedido por la </w:t>
      </w:r>
      <w:r w:rsidRPr="00286DDE">
        <w:rPr>
          <w:rFonts w:ascii="Verdana" w:eastAsia="Calibri" w:hAnsi="Verdana" w:cs="Arial"/>
          <w:sz w:val="16"/>
          <w:szCs w:val="16"/>
          <w:lang w:val="es-ES" w:eastAsia="es-MX"/>
        </w:rPr>
        <w:t xml:space="preserve">Agencia Nacional de Contratación Pública – Colombia Compra Eficiente, puede ser consultado en el siguiente enlace: </w:t>
      </w:r>
      <w:hyperlink r:id="rId1" w:history="1">
        <w:r w:rsidRPr="00286DDE">
          <w:rPr>
            <w:rStyle w:val="Hipervnculo"/>
            <w:rFonts w:ascii="Verdana" w:eastAsia="Calibri" w:hAnsi="Verdana" w:cs="Arial"/>
            <w:sz w:val="16"/>
            <w:szCs w:val="16"/>
            <w:lang w:val="es-ES" w:eastAsia="es-MX"/>
          </w:rPr>
          <w:t>https://colombiacompra.gov.co/sites/cce_public/files/cce_documents/cce-eicp-ma-04._manual_requisitos_habilitantes_v3_29-09-2023.pdf</w:t>
        </w:r>
      </w:hyperlink>
      <w:r w:rsidRPr="00286DDE">
        <w:rPr>
          <w:rFonts w:ascii="Verdana" w:eastAsia="Calibri" w:hAnsi="Verdana" w:cs="Arial"/>
          <w:sz w:val="16"/>
          <w:szCs w:val="16"/>
          <w:lang w:val="es-ES" w:eastAsia="es-MX"/>
        </w:rPr>
        <w:t xml:space="preserve">  </w:t>
      </w:r>
    </w:p>
    <w:p w14:paraId="4C68323C" w14:textId="77777777" w:rsidR="008E2DC6" w:rsidRPr="00286DDE" w:rsidRDefault="008E2DC6" w:rsidP="00286DDE">
      <w:pPr>
        <w:pStyle w:val="Textonotapie"/>
        <w:ind w:firstLine="709"/>
        <w:jc w:val="both"/>
        <w:rPr>
          <w:rFonts w:ascii="Verdana" w:hAnsi="Verdana"/>
          <w:sz w:val="16"/>
          <w:szCs w:val="16"/>
        </w:rPr>
      </w:pPr>
    </w:p>
  </w:footnote>
  <w:footnote w:id="3">
    <w:p w14:paraId="75CEEDE4" w14:textId="015A644E" w:rsidR="000E6E6C" w:rsidRPr="00286DDE" w:rsidRDefault="00A761E9" w:rsidP="000E6E6C">
      <w:pPr>
        <w:pStyle w:val="NormalWeb"/>
        <w:snapToGrid w:val="0"/>
        <w:spacing w:before="0" w:beforeAutospacing="0" w:after="0" w:afterAutospacing="0"/>
        <w:ind w:firstLine="709"/>
        <w:jc w:val="both"/>
        <w:rPr>
          <w:rFonts w:ascii="Verdana" w:hAnsi="Verdana" w:cs="Arial"/>
          <w:sz w:val="16"/>
          <w:szCs w:val="16"/>
          <w:lang w:val="es-ES"/>
        </w:rPr>
      </w:pPr>
      <w:r w:rsidRPr="00286DDE">
        <w:rPr>
          <w:rStyle w:val="Refdenotaalpie"/>
          <w:rFonts w:ascii="Verdana" w:hAnsi="Verdana" w:cs="Arial"/>
          <w:sz w:val="16"/>
          <w:szCs w:val="16"/>
        </w:rPr>
        <w:footnoteRef/>
      </w:r>
      <w:r w:rsidRPr="00286DDE">
        <w:rPr>
          <w:rStyle w:val="Refdenotaalpie"/>
          <w:rFonts w:ascii="Verdana" w:hAnsi="Verdana" w:cs="Arial"/>
          <w:sz w:val="16"/>
          <w:szCs w:val="16"/>
        </w:rPr>
        <w:t xml:space="preserve"> </w:t>
      </w:r>
      <w:r w:rsidRPr="00286DDE">
        <w:rPr>
          <w:rFonts w:ascii="Verdana" w:hAnsi="Verdana" w:cs="Arial"/>
          <w:sz w:val="16"/>
          <w:szCs w:val="16"/>
        </w:rPr>
        <w:t>“</w:t>
      </w:r>
      <w:r w:rsidRPr="00286DDE">
        <w:rPr>
          <w:rFonts w:ascii="Verdana" w:hAnsi="Verdana" w:cs="Arial"/>
          <w:sz w:val="16"/>
          <w:szCs w:val="16"/>
          <w:lang w:val="es-ES"/>
        </w:rPr>
        <w:t>Artículo 2.2.1.1.1.6.2. Determinación de los Requisitos Habilitantes. La Entidad Estatal debe establecer los requisitos habilitantes en los pliegos de condiciones o en la invitación, teniendo en cuenta: (a) el Riesgo del Proceso de Contratación; (b) el valor del contrato objeto del Proceso de Contratación; (c) el análisis del sector económico respectivo; y (d) el conocimiento de fondo de los posibles oferentes desde la perspectiva comercial. La Entidad Estatal no debe limitarse a la aplicación mecánica de fórmulas financieras para verificar los requisitos habilitantes.</w:t>
      </w:r>
    </w:p>
    <w:p w14:paraId="31160821" w14:textId="77777777" w:rsidR="00A761E9" w:rsidRPr="00286DDE" w:rsidRDefault="00A761E9" w:rsidP="00286DDE">
      <w:pPr>
        <w:pStyle w:val="NormalWeb"/>
        <w:snapToGrid w:val="0"/>
        <w:spacing w:before="0" w:beforeAutospacing="0" w:after="0" w:afterAutospacing="0"/>
        <w:ind w:firstLine="709"/>
        <w:jc w:val="both"/>
        <w:rPr>
          <w:rFonts w:ascii="Verdana" w:hAnsi="Verdana" w:cs="Arial"/>
          <w:sz w:val="16"/>
          <w:szCs w:val="16"/>
          <w:lang w:val="es-ES"/>
        </w:rPr>
      </w:pPr>
      <w:r w:rsidRPr="00286DDE">
        <w:rPr>
          <w:rFonts w:ascii="Verdana" w:hAnsi="Verdana" w:cs="Arial"/>
          <w:sz w:val="16"/>
          <w:szCs w:val="16"/>
          <w:lang w:val="es-ES"/>
        </w:rPr>
        <w:t>Parágrafo Transitorio. De conformidad con los parágrafos transitorios de los artículos 2.2.1.1.1.5.2. y 2.2.1.1.1.5.6., yen desarrollo del deber de análisis de las Entidades Estatales, de que trata el artículo 2.2.1.1.1.6.1. de este Decreto, a partir del 1 de julio de 2021 las Entidades Estatales establecerán y evaluarán los requisitos habilitantes de capacidad financiera y organizacional teniendo en cuenta la información que conste en el Registro Único de Proponentes. En todo caso, se establecerán indicadores proporcionales al procedimiento de contratación.</w:t>
      </w:r>
    </w:p>
    <w:p w14:paraId="35429BC7" w14:textId="4D1C9002" w:rsidR="00A761E9" w:rsidRPr="00286DDE" w:rsidRDefault="00A761E9">
      <w:pPr>
        <w:pStyle w:val="NormalWeb"/>
        <w:snapToGrid w:val="0"/>
        <w:spacing w:before="0" w:beforeAutospacing="0" w:after="0" w:afterAutospacing="0"/>
        <w:ind w:firstLine="709"/>
        <w:jc w:val="both"/>
        <w:rPr>
          <w:rFonts w:ascii="Verdana" w:hAnsi="Verdana" w:cs="Arial"/>
          <w:sz w:val="16"/>
          <w:szCs w:val="16"/>
          <w:lang w:val="es-ES"/>
        </w:rPr>
      </w:pPr>
      <w:r w:rsidRPr="00286DDE">
        <w:rPr>
          <w:rFonts w:ascii="Verdana" w:hAnsi="Verdana" w:cs="Arial"/>
          <w:sz w:val="16"/>
          <w:szCs w:val="16"/>
          <w:lang w:val="es-ES"/>
        </w:rPr>
        <w:t>Para ello, atendiendo a las condiciones aludidas, en relación con los indicadores de la capacidad financiera y organizacional, de los procesos de selección cuyo acto administrativo de apertura o invitación se publique a partir del 1 de julio de 2021, se tendrá en cuenta la información vigente y en firme en el RUP, por lo que las Entidades Estatales evaluarán estos indicadores, teniendo en cuenta el mejor año fiscal que se refleje en el registro de cada proponente</w:t>
      </w:r>
      <w:r w:rsidRPr="00286DDE">
        <w:rPr>
          <w:rFonts w:ascii="Verdana" w:hAnsi="Verdana" w:cs="Verdana"/>
          <w:sz w:val="16"/>
          <w:szCs w:val="16"/>
          <w:lang w:val="es-ES"/>
        </w:rPr>
        <w:t>”</w:t>
      </w:r>
      <w:r w:rsidRPr="00286DDE">
        <w:rPr>
          <w:rFonts w:ascii="Verdana" w:hAnsi="Verdana" w:cs="Arial"/>
          <w:sz w:val="16"/>
          <w:szCs w:val="16"/>
          <w:lang w:val="es-ES"/>
        </w:rPr>
        <w:t>.</w:t>
      </w:r>
    </w:p>
    <w:p w14:paraId="5BCD8C4B" w14:textId="77777777" w:rsidR="008E2DC6" w:rsidRPr="00286DDE" w:rsidRDefault="008E2DC6" w:rsidP="00286DDE">
      <w:pPr>
        <w:pStyle w:val="NormalWeb"/>
        <w:snapToGrid w:val="0"/>
        <w:spacing w:before="0" w:beforeAutospacing="0" w:after="0" w:afterAutospacing="0"/>
        <w:ind w:firstLine="709"/>
        <w:jc w:val="both"/>
        <w:rPr>
          <w:rStyle w:val="Refdenotaalpie"/>
          <w:rFonts w:ascii="Verdana" w:hAnsi="Verdana" w:cs="Arial"/>
          <w:sz w:val="16"/>
          <w:szCs w:val="16"/>
          <w:vertAlign w:val="baseline"/>
          <w:lang w:val="es-ES"/>
        </w:rPr>
      </w:pPr>
    </w:p>
  </w:footnote>
  <w:footnote w:id="4">
    <w:p w14:paraId="51A2A603" w14:textId="77C0AD5D" w:rsidR="008E2DC6" w:rsidRDefault="00A761E9" w:rsidP="00286DDE">
      <w:pPr>
        <w:pStyle w:val="Textonotapie"/>
        <w:ind w:firstLine="709"/>
        <w:jc w:val="both"/>
        <w:rPr>
          <w:rFonts w:ascii="Verdana" w:hAnsi="Verdana"/>
          <w:sz w:val="16"/>
          <w:szCs w:val="16"/>
          <w:lang w:val="es-CO"/>
        </w:rPr>
      </w:pPr>
      <w:r w:rsidRPr="00286DDE">
        <w:rPr>
          <w:rStyle w:val="Refdenotaalpie"/>
          <w:rFonts w:ascii="Verdana" w:hAnsi="Verdana"/>
          <w:sz w:val="16"/>
          <w:szCs w:val="16"/>
        </w:rPr>
        <w:footnoteRef/>
      </w:r>
      <w:r w:rsidRPr="00286DDE">
        <w:rPr>
          <w:rFonts w:ascii="Verdana" w:hAnsi="Verdana"/>
          <w:sz w:val="16"/>
          <w:szCs w:val="16"/>
        </w:rPr>
        <w:t xml:space="preserve"> </w:t>
      </w:r>
      <w:bookmarkStart w:id="15" w:name="44"/>
      <w:r w:rsidRPr="00286DDE">
        <w:rPr>
          <w:rFonts w:ascii="Verdana" w:hAnsi="Verdana"/>
          <w:sz w:val="16"/>
          <w:szCs w:val="16"/>
        </w:rPr>
        <w:t xml:space="preserve">Sobre el particular el </w:t>
      </w:r>
      <w:r w:rsidRPr="00286DDE">
        <w:rPr>
          <w:rFonts w:ascii="Verdana" w:hAnsi="Verdana"/>
          <w:sz w:val="16"/>
          <w:szCs w:val="16"/>
          <w:lang w:val="es-CO"/>
        </w:rPr>
        <w:t>artículo 44 de la Ley 1437 de 2011, dispone: “Decisiones Discrecionales.</w:t>
      </w:r>
      <w:bookmarkEnd w:id="15"/>
      <w:r w:rsidRPr="00286DDE">
        <w:rPr>
          <w:rFonts w:ascii="Verdana" w:hAnsi="Verdana"/>
          <w:sz w:val="16"/>
          <w:szCs w:val="16"/>
          <w:lang w:val="es-CO"/>
        </w:rPr>
        <w:t xml:space="preserve"> En la medida en que el contenido de una decisión de carácter general o particular sea discrecional, debe ser adecuada a los fines de la norma que la autoriza, y proporcional a los hechos que le sirven de causa”.</w:t>
      </w:r>
    </w:p>
    <w:p w14:paraId="79CB7521" w14:textId="77777777" w:rsidR="000E6E6C" w:rsidRPr="00286DDE" w:rsidRDefault="000E6E6C" w:rsidP="00286DDE">
      <w:pPr>
        <w:pStyle w:val="Textonotapie"/>
        <w:ind w:firstLine="709"/>
        <w:jc w:val="both"/>
        <w:rPr>
          <w:rFonts w:ascii="Verdana" w:hAnsi="Verdana"/>
          <w:sz w:val="16"/>
          <w:szCs w:val="16"/>
        </w:rPr>
      </w:pPr>
    </w:p>
  </w:footnote>
  <w:footnote w:id="5">
    <w:p w14:paraId="6ED87B6C" w14:textId="77777777" w:rsidR="00A761E9" w:rsidRPr="00286DDE" w:rsidRDefault="00A761E9" w:rsidP="00286DDE">
      <w:pPr>
        <w:pStyle w:val="Textonotapie"/>
        <w:snapToGrid w:val="0"/>
        <w:ind w:firstLine="709"/>
        <w:jc w:val="both"/>
        <w:rPr>
          <w:rFonts w:ascii="Verdana" w:hAnsi="Verdana" w:cs="Arial"/>
          <w:sz w:val="16"/>
          <w:szCs w:val="16"/>
        </w:rPr>
      </w:pPr>
      <w:r w:rsidRPr="00D55858">
        <w:rPr>
          <w:rStyle w:val="Refdenotaalpie"/>
          <w:rFonts w:ascii="Verdana" w:hAnsi="Verdana" w:cs="Arial"/>
          <w:sz w:val="16"/>
          <w:szCs w:val="16"/>
        </w:rPr>
        <w:footnoteRef/>
      </w:r>
      <w:r w:rsidRPr="00D55858">
        <w:rPr>
          <w:rFonts w:ascii="Verdana" w:hAnsi="Verdana" w:cs="Arial"/>
          <w:sz w:val="16"/>
          <w:szCs w:val="16"/>
        </w:rPr>
        <w:t xml:space="preserve"> </w:t>
      </w:r>
      <w:r w:rsidRPr="00286DDE">
        <w:rPr>
          <w:rFonts w:ascii="Verdana" w:hAnsi="Verdana" w:cs="Arial"/>
          <w:sz w:val="16"/>
          <w:szCs w:val="16"/>
        </w:rPr>
        <w:t>Ley 1150 de 2007: “Artículo 6. De la verificación de las condiciones de los proponentes.</w:t>
      </w:r>
      <w:r w:rsidRPr="00286DDE">
        <w:rPr>
          <w:rFonts w:ascii="Verdana" w:hAnsi="Verdana" w:cs="Arial"/>
          <w:sz w:val="16"/>
          <w:szCs w:val="16"/>
          <w:lang w:eastAsia="es-CO"/>
        </w:rPr>
        <w:t xml:space="preserve"> […]</w:t>
      </w:r>
      <w:r w:rsidRPr="00286DDE">
        <w:rPr>
          <w:rFonts w:ascii="Verdana" w:hAnsi="Verdana" w:cs="Arial"/>
          <w:sz w:val="16"/>
          <w:szCs w:val="16"/>
        </w:rPr>
        <w:t xml:space="preserve"> </w:t>
      </w:r>
      <w:r w:rsidRPr="00286DDE">
        <w:rPr>
          <w:rFonts w:ascii="Verdana" w:hAnsi="Verdana" w:cs="Arial"/>
          <w:sz w:val="16"/>
          <w:szCs w:val="16"/>
          <w:lang w:eastAsia="es-CO"/>
        </w:rPr>
        <w:t>“6.1. […] “El certificado de Registro Único de Proponentes será plena prueba de las circunstancias que en ella se hagan constar y que hayan sido verificadas por las Cámaras de Comercio. En tal sentido, la verificación de las condiciones establecidas en el numeral 1 del artículo 5 de la presente ley, se demostrará exclusivamente con el respectivo certificado del RUP en donde deberán constar dichas condiciones. En consecuencia, las entidades estatales en los procesos de contratación no podrán exigir, ni los proponentes aportar documentación que deba utilizarse para efectuar la inscripción en el registro.</w:t>
      </w:r>
    </w:p>
    <w:p w14:paraId="0203CDA8" w14:textId="67C7AF4F" w:rsidR="00A761E9" w:rsidRPr="00286DDE" w:rsidRDefault="00A761E9">
      <w:pPr>
        <w:pStyle w:val="Textonotapie"/>
        <w:snapToGrid w:val="0"/>
        <w:ind w:firstLine="709"/>
        <w:jc w:val="both"/>
        <w:rPr>
          <w:rFonts w:ascii="Verdana" w:hAnsi="Verdana" w:cs="Arial"/>
          <w:sz w:val="16"/>
          <w:szCs w:val="16"/>
          <w:lang w:eastAsia="es-CO"/>
        </w:rPr>
      </w:pPr>
      <w:r w:rsidRPr="00286DDE">
        <w:rPr>
          <w:rFonts w:ascii="Verdana" w:hAnsi="Verdana" w:cs="Arial"/>
          <w:sz w:val="16"/>
          <w:szCs w:val="16"/>
          <w:lang w:eastAsia="es-CO"/>
        </w:rPr>
        <w:t>No obstante, lo anterior, sólo en aquellos casos en que por las características del objeto a contratar se requiera la verificación de requisitos del proponente adicionales a los contenidos en el Registro, la entidad podrá hacer tal verificación en forma directa […]”.</w:t>
      </w:r>
    </w:p>
    <w:p w14:paraId="729D4AF4" w14:textId="77777777" w:rsidR="008E2DC6" w:rsidRPr="00286DDE" w:rsidRDefault="008E2DC6" w:rsidP="00286DDE">
      <w:pPr>
        <w:pStyle w:val="Textonotapie"/>
        <w:snapToGrid w:val="0"/>
        <w:ind w:firstLine="709"/>
        <w:jc w:val="both"/>
        <w:rPr>
          <w:rFonts w:ascii="Verdana" w:hAnsi="Verdana" w:cs="Arial"/>
          <w:sz w:val="16"/>
          <w:szCs w:val="16"/>
          <w:lang w:eastAsia="es-CO"/>
        </w:rPr>
      </w:pPr>
    </w:p>
  </w:footnote>
  <w:footnote w:id="6">
    <w:p w14:paraId="295C697A" w14:textId="4C773919" w:rsidR="008E2DC6" w:rsidRDefault="00A761E9" w:rsidP="00286DDE">
      <w:pPr>
        <w:pStyle w:val="Textonotapie"/>
        <w:snapToGrid w:val="0"/>
        <w:ind w:firstLine="709"/>
        <w:jc w:val="both"/>
        <w:rPr>
          <w:rFonts w:ascii="Verdana" w:hAnsi="Verdana" w:cs="Arial"/>
          <w:sz w:val="16"/>
          <w:szCs w:val="16"/>
          <w:lang w:eastAsia="es-CO"/>
        </w:rPr>
      </w:pPr>
      <w:r w:rsidRPr="00286DDE">
        <w:rPr>
          <w:rStyle w:val="Refdenotaalpie"/>
          <w:rFonts w:ascii="Verdana" w:hAnsi="Verdana" w:cs="Arial"/>
          <w:sz w:val="16"/>
          <w:szCs w:val="16"/>
        </w:rPr>
        <w:footnoteRef/>
      </w:r>
      <w:r w:rsidRPr="00286DDE">
        <w:rPr>
          <w:rFonts w:ascii="Verdana" w:hAnsi="Verdana" w:cs="Arial"/>
          <w:sz w:val="16"/>
          <w:szCs w:val="16"/>
        </w:rPr>
        <w:t xml:space="preserve"> Ley 1150 de 2007: “Artículo 5. De la selección objetiva.</w:t>
      </w:r>
      <w:r w:rsidRPr="00286DDE">
        <w:rPr>
          <w:rFonts w:ascii="Verdana" w:hAnsi="Verdana" w:cs="Arial"/>
          <w:sz w:val="16"/>
          <w:szCs w:val="16"/>
          <w:lang w:eastAsia="es-CO"/>
        </w:rPr>
        <w:t xml:space="preserve"> […] “1. 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La verificación documental de las condiciones antes señaladas será efectuada por las Cámaras de Comercio de</w:t>
      </w:r>
      <w:r w:rsidRPr="00D55858">
        <w:rPr>
          <w:rFonts w:ascii="Verdana" w:hAnsi="Verdana" w:cs="Arial"/>
          <w:sz w:val="16"/>
          <w:szCs w:val="16"/>
          <w:lang w:eastAsia="es-CO"/>
        </w:rPr>
        <w:t xml:space="preserve"> </w:t>
      </w:r>
      <w:r w:rsidRPr="00286DDE">
        <w:rPr>
          <w:rFonts w:ascii="Verdana" w:hAnsi="Verdana" w:cs="Arial"/>
          <w:sz w:val="16"/>
          <w:szCs w:val="16"/>
          <w:lang w:eastAsia="es-CO"/>
        </w:rPr>
        <w:t>conformidad con lo establecido en el artículo 6o de la presente ley, de acuerdo con lo cual se expedirá la respectiva certificación. […]”.</w:t>
      </w:r>
    </w:p>
    <w:p w14:paraId="286B9E23" w14:textId="77777777" w:rsidR="003723F3" w:rsidRPr="00286DDE" w:rsidRDefault="003723F3" w:rsidP="00286DDE">
      <w:pPr>
        <w:pStyle w:val="Textonotapie"/>
        <w:snapToGrid w:val="0"/>
        <w:ind w:firstLine="709"/>
        <w:jc w:val="both"/>
        <w:rPr>
          <w:rFonts w:ascii="Verdana" w:hAnsi="Verdana" w:cs="Arial"/>
          <w:sz w:val="16"/>
          <w:szCs w:val="16"/>
          <w:lang w:eastAsia="es-CO"/>
        </w:rPr>
      </w:pPr>
    </w:p>
  </w:footnote>
  <w:footnote w:id="7">
    <w:p w14:paraId="6E0D1B2C" w14:textId="5947413D" w:rsidR="00A761E9" w:rsidRPr="00286DDE" w:rsidRDefault="00A761E9">
      <w:pPr>
        <w:pStyle w:val="Textonotapie"/>
        <w:snapToGrid w:val="0"/>
        <w:ind w:firstLine="709"/>
        <w:jc w:val="both"/>
        <w:rPr>
          <w:rFonts w:ascii="Verdana" w:hAnsi="Verdana" w:cs="Arial"/>
          <w:sz w:val="16"/>
          <w:szCs w:val="16"/>
          <w:lang w:eastAsia="es-CO"/>
        </w:rPr>
      </w:pPr>
      <w:r w:rsidRPr="00286DDE">
        <w:rPr>
          <w:rStyle w:val="Refdenotaalpie"/>
          <w:rFonts w:ascii="Verdana" w:hAnsi="Verdana" w:cs="Arial"/>
          <w:sz w:val="16"/>
          <w:szCs w:val="16"/>
        </w:rPr>
        <w:footnoteRef/>
      </w:r>
      <w:r w:rsidRPr="00286DDE">
        <w:rPr>
          <w:rFonts w:ascii="Verdana" w:hAnsi="Verdana" w:cs="Arial"/>
          <w:sz w:val="16"/>
          <w:szCs w:val="16"/>
        </w:rPr>
        <w:t xml:space="preserve"> </w:t>
      </w:r>
      <w:r w:rsidRPr="00286DDE">
        <w:rPr>
          <w:rFonts w:ascii="Verdana" w:hAnsi="Verdana" w:cs="Arial"/>
          <w:sz w:val="16"/>
          <w:szCs w:val="16"/>
          <w:lang w:eastAsia="es-CO"/>
        </w:rPr>
        <w:t>Consejo de Estado. Sección Tercera. Subsección A. Sentencia del 12 de febrero de 2014. Exp. 31.753. C.P. Mauricio Fajardo Gómez: “El certificado del Registro Único de Proponentes se erigió como “plena prueba” de las circunstancias sometidas al mismo, además de que se estableció que en el procedimiento de contratación no se pueden solicitar de nuevo los mismos documentos verificados por las Cámaras de Comercio según se observa de la disposición contenida en el artículo 5º de la Ley 1150”.</w:t>
      </w:r>
    </w:p>
    <w:p w14:paraId="1D9EABC9" w14:textId="77777777" w:rsidR="008E2DC6" w:rsidRPr="00286DDE" w:rsidRDefault="008E2DC6" w:rsidP="00286DDE">
      <w:pPr>
        <w:pStyle w:val="Textonotapie"/>
        <w:snapToGrid w:val="0"/>
        <w:ind w:firstLine="709"/>
        <w:jc w:val="both"/>
        <w:rPr>
          <w:rFonts w:ascii="Verdana" w:hAnsi="Verdana" w:cs="Arial"/>
          <w:sz w:val="16"/>
          <w:szCs w:val="16"/>
        </w:rPr>
      </w:pPr>
    </w:p>
  </w:footnote>
  <w:footnote w:id="8">
    <w:p w14:paraId="5267E762" w14:textId="04D9CF47" w:rsidR="008E2DC6" w:rsidRDefault="00A761E9" w:rsidP="00286DDE">
      <w:pPr>
        <w:pStyle w:val="Textonotapie"/>
        <w:snapToGrid w:val="0"/>
        <w:ind w:firstLine="709"/>
        <w:jc w:val="both"/>
        <w:rPr>
          <w:rFonts w:ascii="Verdana" w:hAnsi="Verdana" w:cs="Arial"/>
          <w:sz w:val="16"/>
          <w:szCs w:val="16"/>
          <w:lang w:eastAsia="es-CO"/>
        </w:rPr>
      </w:pPr>
      <w:r w:rsidRPr="00286DDE">
        <w:rPr>
          <w:rStyle w:val="Refdenotaalpie"/>
          <w:rFonts w:ascii="Verdana" w:hAnsi="Verdana" w:cs="Arial"/>
          <w:sz w:val="16"/>
          <w:szCs w:val="16"/>
        </w:rPr>
        <w:footnoteRef/>
      </w:r>
      <w:r w:rsidRPr="00286DDE">
        <w:rPr>
          <w:rFonts w:ascii="Verdana" w:hAnsi="Verdana" w:cs="Arial"/>
          <w:sz w:val="16"/>
          <w:szCs w:val="16"/>
        </w:rPr>
        <w:t xml:space="preserve"> </w:t>
      </w:r>
      <w:r w:rsidRPr="00286DDE">
        <w:rPr>
          <w:rFonts w:ascii="Verdana" w:hAnsi="Verdana" w:cs="Arial"/>
          <w:sz w:val="16"/>
          <w:szCs w:val="16"/>
          <w:lang w:eastAsia="es-CO"/>
        </w:rPr>
        <w:t xml:space="preserve"> “6.1. [...] No obstante lo anterior, sólo en aquellos casos en que por las características del objeto a contratar se requiera la verificación de requisitos del proponente adicionales a los contenidos en el Registro, la entidad podrá hacer tal verificación en forma directa”.</w:t>
      </w:r>
    </w:p>
    <w:p w14:paraId="31DA25BA" w14:textId="77777777" w:rsidR="003723F3" w:rsidRPr="00286DDE" w:rsidRDefault="003723F3" w:rsidP="00286DDE">
      <w:pPr>
        <w:pStyle w:val="Textonotapie"/>
        <w:snapToGrid w:val="0"/>
        <w:ind w:firstLine="709"/>
        <w:jc w:val="both"/>
        <w:rPr>
          <w:rFonts w:ascii="Verdana" w:hAnsi="Verdana" w:cs="Arial"/>
          <w:sz w:val="16"/>
          <w:szCs w:val="16"/>
          <w:lang w:eastAsia="es-CO"/>
        </w:rPr>
      </w:pPr>
    </w:p>
  </w:footnote>
  <w:footnote w:id="9">
    <w:p w14:paraId="4BED2C39" w14:textId="12EB8EE1" w:rsidR="008E2DC6" w:rsidRDefault="00A761E9" w:rsidP="00286DDE">
      <w:pPr>
        <w:pStyle w:val="Textonotapie"/>
        <w:snapToGrid w:val="0"/>
        <w:ind w:firstLine="709"/>
        <w:jc w:val="both"/>
        <w:rPr>
          <w:rFonts w:ascii="Verdana" w:hAnsi="Verdana" w:cs="Arial"/>
          <w:sz w:val="16"/>
          <w:szCs w:val="16"/>
          <w:lang w:eastAsia="es-CO"/>
        </w:rPr>
      </w:pPr>
      <w:r w:rsidRPr="00286DDE">
        <w:rPr>
          <w:rStyle w:val="Refdenotaalpie"/>
          <w:rFonts w:ascii="Verdana" w:hAnsi="Verdana" w:cs="Arial"/>
          <w:sz w:val="16"/>
          <w:szCs w:val="16"/>
        </w:rPr>
        <w:footnoteRef/>
      </w:r>
      <w:r w:rsidRPr="00286DDE">
        <w:rPr>
          <w:rFonts w:ascii="Verdana" w:hAnsi="Verdana" w:cs="Arial"/>
          <w:sz w:val="16"/>
          <w:szCs w:val="16"/>
        </w:rPr>
        <w:t xml:space="preserve"> </w:t>
      </w:r>
      <w:r w:rsidRPr="00286DDE">
        <w:rPr>
          <w:rFonts w:ascii="Verdana" w:hAnsi="Verdana" w:cs="Arial"/>
          <w:sz w:val="16"/>
          <w:szCs w:val="16"/>
          <w:lang w:eastAsia="es-CO"/>
        </w:rPr>
        <w:t>Ley 1150 de 2007: “Artículo 6.  De la verificación de las condiciones de los proponentes. [...] “No se requerirá de este registro, ni de calificación ni de clasificación, en los casos de contratación directa; contratos para la prestación de servicios de salud; contratos cuyo valor no supere el diez por ciento (10%) de la menor cuantía de la respectiva entidad; enajenación de bienes del Estado; contratos que tengan por objeto la adquisición de productos de origen o destinación agropecuaria que se ofrezcan en bolsas de productos legalmente constituidas; los actos y contratos que tengan por objeto directo las actividades comerciales e</w:t>
      </w:r>
      <w:r w:rsidRPr="00D55858">
        <w:rPr>
          <w:rFonts w:ascii="Verdana" w:hAnsi="Verdana" w:cs="Arial"/>
          <w:sz w:val="16"/>
          <w:szCs w:val="16"/>
          <w:lang w:eastAsia="es-CO"/>
        </w:rPr>
        <w:t xml:space="preserve"> </w:t>
      </w:r>
      <w:r w:rsidRPr="00286DDE">
        <w:rPr>
          <w:rFonts w:ascii="Verdana" w:hAnsi="Verdana" w:cs="Arial"/>
          <w:sz w:val="16"/>
          <w:szCs w:val="16"/>
          <w:lang w:eastAsia="es-CO"/>
        </w:rPr>
        <w:t xml:space="preserve">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 [...]”. </w:t>
      </w:r>
    </w:p>
    <w:p w14:paraId="4D46FA3C" w14:textId="77777777" w:rsidR="003723F3" w:rsidRPr="00286DDE" w:rsidRDefault="003723F3" w:rsidP="00286DDE">
      <w:pPr>
        <w:pStyle w:val="Textonotapie"/>
        <w:snapToGrid w:val="0"/>
        <w:ind w:firstLine="709"/>
        <w:jc w:val="both"/>
        <w:rPr>
          <w:rFonts w:ascii="Verdana" w:hAnsi="Verdana" w:cs="Arial"/>
          <w:sz w:val="16"/>
          <w:szCs w:val="16"/>
          <w:lang w:eastAsia="es-CO"/>
        </w:rPr>
      </w:pPr>
    </w:p>
  </w:footnote>
  <w:footnote w:id="10">
    <w:p w14:paraId="1E026B74" w14:textId="77777777" w:rsidR="00A761E9" w:rsidRPr="00286DDE" w:rsidRDefault="00A761E9">
      <w:pPr>
        <w:pStyle w:val="Textonotapie"/>
        <w:snapToGrid w:val="0"/>
        <w:ind w:firstLine="709"/>
        <w:jc w:val="both"/>
        <w:rPr>
          <w:rFonts w:ascii="Verdana" w:hAnsi="Verdana" w:cs="Arial"/>
          <w:sz w:val="16"/>
          <w:szCs w:val="16"/>
        </w:rPr>
      </w:pPr>
      <w:r w:rsidRPr="00286DDE">
        <w:rPr>
          <w:rStyle w:val="Refdenotaalpie"/>
          <w:rFonts w:ascii="Verdana" w:hAnsi="Verdana"/>
          <w:sz w:val="16"/>
          <w:szCs w:val="16"/>
        </w:rPr>
        <w:footnoteRef/>
      </w:r>
      <w:r w:rsidRPr="00286DDE">
        <w:rPr>
          <w:rFonts w:ascii="Verdana" w:hAnsi="Verdana"/>
          <w:sz w:val="16"/>
          <w:szCs w:val="16"/>
        </w:rPr>
        <w:t xml:space="preserve"> </w:t>
      </w:r>
      <w:r w:rsidRPr="00286DDE">
        <w:rPr>
          <w:rFonts w:ascii="Verdana" w:hAnsi="Verdana" w:cs="Arial"/>
          <w:sz w:val="16"/>
          <w:szCs w:val="16"/>
        </w:rPr>
        <w:t>Ley 1150 de 2007: “Artículo 5. De la selección objetiva. Es objetiva la selección en la cual la escogencia se haga al ofrecimiento más favorable a la entidad y a los fines que ella busca, sin tener en consideración factores de afecto o de interés y, en general, cualquier clase de motivación subjetiva. En consecuencia, los factores de escogencia y calificación que establezcan las entidades en los pliegos de condiciones o sus equivalentes tendrán en cuenta los siguientes criterios:</w:t>
      </w:r>
    </w:p>
    <w:p w14:paraId="5DE10FBD" w14:textId="64C668F0" w:rsidR="00A761E9" w:rsidRPr="00286DDE" w:rsidRDefault="00A761E9">
      <w:pPr>
        <w:pStyle w:val="Textonotapie"/>
        <w:snapToGrid w:val="0"/>
        <w:ind w:firstLine="709"/>
        <w:jc w:val="both"/>
        <w:rPr>
          <w:rFonts w:ascii="Verdana" w:hAnsi="Verdana" w:cs="Arial"/>
          <w:sz w:val="16"/>
          <w:szCs w:val="16"/>
        </w:rPr>
      </w:pPr>
      <w:r w:rsidRPr="00286DDE">
        <w:rPr>
          <w:rFonts w:ascii="Verdana" w:hAnsi="Verdana" w:cs="Arial"/>
          <w:sz w:val="16"/>
          <w:szCs w:val="16"/>
        </w:rPr>
        <w:t>1. 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La verificación documental de las condiciones antes señaladas será efectuada por las Cámaras de Comercio de conformidad con lo establecido en el artículo 6o de la presente ley, de acuerdo con lo cual se expedirá la respectiva certificación”.</w:t>
      </w:r>
    </w:p>
    <w:p w14:paraId="2AB49E0C" w14:textId="77777777" w:rsidR="008E2DC6" w:rsidRPr="00286DDE" w:rsidRDefault="008E2DC6">
      <w:pPr>
        <w:pStyle w:val="Textonotapie"/>
        <w:snapToGrid w:val="0"/>
        <w:ind w:firstLine="709"/>
        <w:jc w:val="both"/>
        <w:rPr>
          <w:rFonts w:ascii="Verdana" w:hAnsi="Verdana" w:cs="Arial"/>
          <w:sz w:val="16"/>
          <w:szCs w:val="16"/>
        </w:rPr>
      </w:pPr>
    </w:p>
  </w:footnote>
  <w:footnote w:id="11">
    <w:p w14:paraId="7704DF52" w14:textId="6A9BF505" w:rsidR="008E2DC6" w:rsidRDefault="00A761E9">
      <w:pPr>
        <w:pStyle w:val="Textonotapie"/>
        <w:snapToGrid w:val="0"/>
        <w:ind w:firstLine="709"/>
        <w:jc w:val="both"/>
        <w:rPr>
          <w:rFonts w:ascii="Verdana" w:hAnsi="Verdana" w:cs="Arial"/>
          <w:sz w:val="16"/>
          <w:szCs w:val="16"/>
        </w:rPr>
      </w:pPr>
      <w:r w:rsidRPr="00286DDE">
        <w:rPr>
          <w:rStyle w:val="Refdenotaalpie"/>
          <w:rFonts w:ascii="Verdana" w:hAnsi="Verdana"/>
          <w:sz w:val="16"/>
          <w:szCs w:val="16"/>
        </w:rPr>
        <w:footnoteRef/>
      </w:r>
      <w:r w:rsidRPr="00286DDE">
        <w:rPr>
          <w:rFonts w:ascii="Verdana" w:hAnsi="Verdana"/>
          <w:sz w:val="16"/>
          <w:szCs w:val="16"/>
        </w:rPr>
        <w:t xml:space="preserve"> </w:t>
      </w:r>
      <w:r w:rsidRPr="00286DDE">
        <w:rPr>
          <w:rFonts w:ascii="Verdana" w:hAnsi="Verdana" w:cs="Arial"/>
          <w:sz w:val="16"/>
          <w:szCs w:val="16"/>
        </w:rPr>
        <w:t>Decreto 1082 de 2015: “Artículo 2.2.1.1.1.6.2. Determinación de los Requisitos Habilitantes. La Entidad Estatal debe establecer los requisitos habilitantes en los pliegos de condiciones o en la invitación, teniendo en cuenta: (a) el Riesgo del Proceso de Contratación; (b) el valor del contrato objeto del Proceso de Contratación; (c) el análisis del sector económico respectivo; y (d) el conocimiento de fondo de los posibles oferentes desde la perspectiva comercial. La Entidad Estatal no debe limitarse a la aplicación mecánica de fórmulas financieras para verificar los requisitos habilitantes”.</w:t>
      </w:r>
    </w:p>
    <w:p w14:paraId="4A925525" w14:textId="77777777" w:rsidR="003723F3" w:rsidRPr="00286DDE" w:rsidRDefault="003723F3">
      <w:pPr>
        <w:pStyle w:val="Textonotapie"/>
        <w:snapToGrid w:val="0"/>
        <w:ind w:firstLine="709"/>
        <w:jc w:val="both"/>
        <w:rPr>
          <w:rFonts w:ascii="Verdana" w:hAnsi="Verdana" w:cs="Arial"/>
          <w:sz w:val="16"/>
          <w:szCs w:val="16"/>
        </w:rPr>
      </w:pPr>
    </w:p>
  </w:footnote>
  <w:footnote w:id="12">
    <w:p w14:paraId="2780FF5A" w14:textId="77777777" w:rsidR="00A761E9" w:rsidRPr="00286DDE" w:rsidRDefault="00A761E9">
      <w:pPr>
        <w:pStyle w:val="Textonotapie"/>
        <w:snapToGrid w:val="0"/>
        <w:ind w:firstLine="709"/>
        <w:jc w:val="both"/>
        <w:rPr>
          <w:rFonts w:ascii="Verdana" w:hAnsi="Verdana" w:cs="Arial"/>
          <w:sz w:val="16"/>
          <w:szCs w:val="16"/>
        </w:rPr>
      </w:pPr>
      <w:r w:rsidRPr="00286DDE">
        <w:rPr>
          <w:rStyle w:val="Refdenotaalpie"/>
          <w:rFonts w:ascii="Verdana" w:hAnsi="Verdana"/>
          <w:sz w:val="16"/>
          <w:szCs w:val="16"/>
        </w:rPr>
        <w:footnoteRef/>
      </w:r>
      <w:r w:rsidRPr="00286DDE">
        <w:rPr>
          <w:rFonts w:ascii="Verdana" w:hAnsi="Verdana"/>
          <w:sz w:val="16"/>
          <w:szCs w:val="16"/>
        </w:rPr>
        <w:t xml:space="preserve"> </w:t>
      </w:r>
      <w:r w:rsidRPr="00286DDE">
        <w:rPr>
          <w:rFonts w:ascii="Verdana" w:hAnsi="Verdana" w:cs="Arial"/>
          <w:sz w:val="16"/>
          <w:szCs w:val="16"/>
        </w:rPr>
        <w:t>Decreto 1082 de 2015: “Artículo 2.2.1.1.1.5.3. Requisitos habilitantes contenidos en el RUP. Las cámaras de comercio, con base en la información a la que hace referencia el artículo anterior, deben verificar y certificar los siguientes requisitos habilitantes:</w:t>
      </w:r>
    </w:p>
    <w:p w14:paraId="209D3ECC" w14:textId="16251434" w:rsidR="008E2DC6" w:rsidRPr="00D55858" w:rsidRDefault="00A761E9">
      <w:pPr>
        <w:pStyle w:val="Textonotapie"/>
        <w:snapToGrid w:val="0"/>
        <w:ind w:firstLine="709"/>
        <w:jc w:val="both"/>
        <w:rPr>
          <w:rFonts w:ascii="Verdana" w:hAnsi="Verdana" w:cs="Arial"/>
          <w:sz w:val="16"/>
          <w:szCs w:val="16"/>
        </w:rPr>
      </w:pPr>
      <w:r w:rsidRPr="00286DDE">
        <w:rPr>
          <w:rFonts w:ascii="Verdana" w:hAnsi="Verdana" w:cs="Arial"/>
          <w:sz w:val="16"/>
          <w:szCs w:val="16"/>
        </w:rPr>
        <w:t>1. Experiencia – Los contratos celebrados por el interesado para cada uno de los bienes, obras y servicios que ofrecerá a las Entidades Estatales, identificados con el Clasificador de Bienes y Servicios en el tercer nivel y su valor expresado en SMMLV.</w:t>
      </w:r>
    </w:p>
  </w:footnote>
  <w:footnote w:id="13">
    <w:p w14:paraId="7F20A796" w14:textId="77777777" w:rsidR="003723F3" w:rsidRDefault="003723F3">
      <w:pPr>
        <w:pStyle w:val="Textonotapie"/>
        <w:snapToGrid w:val="0"/>
        <w:ind w:firstLine="709"/>
        <w:jc w:val="both"/>
        <w:rPr>
          <w:rFonts w:ascii="Verdana" w:hAnsi="Verdana"/>
          <w:sz w:val="16"/>
          <w:szCs w:val="16"/>
        </w:rPr>
      </w:pPr>
    </w:p>
    <w:p w14:paraId="59982144" w14:textId="7F15B729" w:rsidR="00A761E9" w:rsidRPr="00286DDE" w:rsidRDefault="00A761E9">
      <w:pPr>
        <w:pStyle w:val="Textonotapie"/>
        <w:snapToGrid w:val="0"/>
        <w:ind w:firstLine="709"/>
        <w:jc w:val="both"/>
        <w:rPr>
          <w:rFonts w:ascii="Verdana" w:hAnsi="Verdana" w:cs="Arial"/>
          <w:sz w:val="16"/>
          <w:szCs w:val="16"/>
        </w:rPr>
      </w:pPr>
      <w:r w:rsidRPr="00286DDE">
        <w:rPr>
          <w:rStyle w:val="Refdenotaalpie"/>
          <w:rFonts w:ascii="Verdana" w:hAnsi="Verdana"/>
          <w:sz w:val="16"/>
          <w:szCs w:val="16"/>
        </w:rPr>
        <w:footnoteRef/>
      </w:r>
      <w:r w:rsidRPr="00286DDE">
        <w:rPr>
          <w:rFonts w:ascii="Verdana" w:hAnsi="Verdana"/>
          <w:sz w:val="16"/>
          <w:szCs w:val="16"/>
        </w:rPr>
        <w:t xml:space="preserve"> </w:t>
      </w:r>
      <w:r w:rsidRPr="00286DDE">
        <w:rPr>
          <w:rFonts w:ascii="Verdana" w:hAnsi="Verdana" w:cs="Arial"/>
          <w:sz w:val="16"/>
          <w:szCs w:val="16"/>
        </w:rPr>
        <w:t>Ley 1150 de 2007: “Artículo 6. De la verificación de las condiciones de los proponentes.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w:t>
      </w:r>
    </w:p>
    <w:p w14:paraId="3C410F69" w14:textId="77777777" w:rsidR="00A761E9" w:rsidRPr="00286DDE" w:rsidRDefault="00A761E9">
      <w:pPr>
        <w:pStyle w:val="Textonotapie"/>
        <w:snapToGrid w:val="0"/>
        <w:ind w:firstLine="709"/>
        <w:jc w:val="both"/>
        <w:rPr>
          <w:rFonts w:ascii="Verdana" w:hAnsi="Verdana" w:cs="Arial"/>
          <w:sz w:val="16"/>
          <w:szCs w:val="16"/>
        </w:rPr>
      </w:pPr>
      <w:r w:rsidRPr="00286DDE">
        <w:rPr>
          <w:rFonts w:ascii="Verdana" w:hAnsi="Verdana" w:cs="Arial"/>
          <w:sz w:val="16"/>
          <w:szCs w:val="16"/>
        </w:rPr>
        <w:t>[...]</w:t>
      </w:r>
    </w:p>
    <w:p w14:paraId="26F90397" w14:textId="77777777" w:rsidR="00A761E9" w:rsidRPr="00286DDE" w:rsidRDefault="00A761E9">
      <w:pPr>
        <w:pStyle w:val="Textonotapie"/>
        <w:snapToGrid w:val="0"/>
        <w:ind w:firstLine="709"/>
        <w:jc w:val="both"/>
        <w:rPr>
          <w:rFonts w:ascii="Verdana" w:hAnsi="Verdana" w:cs="Arial"/>
          <w:sz w:val="16"/>
          <w:szCs w:val="16"/>
        </w:rPr>
      </w:pPr>
      <w:r w:rsidRPr="00286DDE">
        <w:rPr>
          <w:rFonts w:ascii="Verdana" w:hAnsi="Verdana" w:cs="Arial"/>
          <w:sz w:val="16"/>
          <w:szCs w:val="16"/>
        </w:rPr>
        <w:t>El certificado de Registro Único de Proponentes será plena prueba de las circunstancias que en ella se hagan constar y que hayan sido verificadas por las Cámaras de Comercio. En tal sentido, la verificación de las condiciones establecidas en el numeral 1 del artículo 5 de la presente ley, se demostrará exclusivamente con el respectivo certificado del RUP en donde deberán constar dichas condiciones. En consecuencia, las entidades estatales en los procesos de contratación no podrán exigir, ni los proponentes aportar documentación que deba utilizarse para efectuar la inscripción en el registro.</w:t>
      </w:r>
    </w:p>
    <w:p w14:paraId="3A0B8688" w14:textId="77777777" w:rsidR="00A761E9" w:rsidRPr="00286DDE" w:rsidRDefault="00A761E9" w:rsidP="00286DDE">
      <w:pPr>
        <w:pStyle w:val="Textonotapie"/>
        <w:ind w:firstLine="709"/>
        <w:jc w:val="both"/>
        <w:rPr>
          <w:rFonts w:ascii="Verdana" w:hAnsi="Verdana"/>
          <w:sz w:val="16"/>
          <w:szCs w:val="16"/>
        </w:rPr>
      </w:pPr>
      <w:r w:rsidRPr="00286DDE">
        <w:rPr>
          <w:rFonts w:ascii="Verdana" w:hAnsi="Verdana" w:cs="Arial"/>
          <w:sz w:val="16"/>
          <w:szCs w:val="16"/>
        </w:rPr>
        <w:t>No obstante, lo anterior, sólo en aquellos casos en que por las características del objeto a contratar se requiera la verificación de requisitos del proponente adicionales a los contenidos en el Registro, la entidad podrá hacer tal verificación en forma directa”.</w:t>
      </w:r>
    </w:p>
  </w:footnote>
  <w:footnote w:id="14">
    <w:p w14:paraId="3FCFF284" w14:textId="77777777" w:rsidR="003723F3" w:rsidRDefault="003723F3">
      <w:pPr>
        <w:pStyle w:val="Textonotapie"/>
        <w:snapToGrid w:val="0"/>
        <w:ind w:firstLine="709"/>
        <w:jc w:val="both"/>
        <w:rPr>
          <w:rFonts w:ascii="Verdana" w:hAnsi="Verdana"/>
          <w:sz w:val="16"/>
          <w:szCs w:val="16"/>
        </w:rPr>
      </w:pPr>
    </w:p>
    <w:p w14:paraId="6734DE9A" w14:textId="22CA23E6" w:rsidR="00A761E9" w:rsidRPr="00286DDE" w:rsidRDefault="00A761E9">
      <w:pPr>
        <w:pStyle w:val="Textonotapie"/>
        <w:snapToGrid w:val="0"/>
        <w:ind w:firstLine="709"/>
        <w:jc w:val="both"/>
        <w:rPr>
          <w:rFonts w:ascii="Verdana" w:hAnsi="Verdana" w:cs="Arial"/>
          <w:sz w:val="16"/>
          <w:szCs w:val="16"/>
        </w:rPr>
      </w:pPr>
      <w:r w:rsidRPr="00286DDE">
        <w:rPr>
          <w:rStyle w:val="Refdenotaalpie"/>
          <w:rFonts w:ascii="Verdana" w:hAnsi="Verdana"/>
          <w:sz w:val="16"/>
          <w:szCs w:val="16"/>
        </w:rPr>
        <w:footnoteRef/>
      </w:r>
      <w:r w:rsidRPr="00286DDE">
        <w:rPr>
          <w:rFonts w:ascii="Verdana" w:hAnsi="Verdana"/>
          <w:sz w:val="16"/>
          <w:szCs w:val="16"/>
        </w:rPr>
        <w:t xml:space="preserve"> </w:t>
      </w:r>
      <w:r w:rsidRPr="00286DDE">
        <w:rPr>
          <w:rFonts w:ascii="Verdana" w:hAnsi="Verdana" w:cs="Arial"/>
          <w:sz w:val="16"/>
          <w:szCs w:val="16"/>
        </w:rPr>
        <w:t>Decreto 1082 de 2015: “Artículo 2.2.1.1.1.5.2. Información para inscripción, renovación o actualización. El interesado debe presentar a cualquier cámara de comercio del país una solicitud de registro, acompañada de la siguiente información. La cámara de comercio del domicilio del solicitante es la responsable de la inscripción, renovación o actualización correspondiente:</w:t>
      </w:r>
    </w:p>
    <w:p w14:paraId="724CB9EC" w14:textId="77777777" w:rsidR="00A761E9" w:rsidRPr="00286DDE" w:rsidRDefault="00A761E9">
      <w:pPr>
        <w:pStyle w:val="Textonotapie"/>
        <w:snapToGrid w:val="0"/>
        <w:ind w:firstLine="709"/>
        <w:jc w:val="both"/>
        <w:rPr>
          <w:rFonts w:ascii="Verdana" w:hAnsi="Verdana" w:cs="Arial"/>
          <w:sz w:val="16"/>
          <w:szCs w:val="16"/>
        </w:rPr>
      </w:pPr>
      <w:r w:rsidRPr="00286DDE">
        <w:rPr>
          <w:rFonts w:ascii="Verdana" w:hAnsi="Verdana" w:cs="Arial"/>
          <w:sz w:val="16"/>
          <w:szCs w:val="16"/>
        </w:rPr>
        <w:t>1. Si es una persona natural:</w:t>
      </w:r>
    </w:p>
    <w:p w14:paraId="048575DE" w14:textId="77777777" w:rsidR="00A761E9" w:rsidRPr="00286DDE" w:rsidRDefault="00A761E9">
      <w:pPr>
        <w:pStyle w:val="Textonotapie"/>
        <w:snapToGrid w:val="0"/>
        <w:ind w:firstLine="709"/>
        <w:jc w:val="both"/>
        <w:rPr>
          <w:rFonts w:ascii="Verdana" w:hAnsi="Verdana" w:cs="Arial"/>
          <w:sz w:val="16"/>
          <w:szCs w:val="16"/>
        </w:rPr>
      </w:pPr>
      <w:r w:rsidRPr="00286DDE">
        <w:rPr>
          <w:rFonts w:ascii="Verdana" w:hAnsi="Verdana" w:cs="Arial"/>
          <w:sz w:val="16"/>
          <w:szCs w:val="16"/>
        </w:rPr>
        <w:t>1.1. Bienes, obras y servicios que ofrecerá a las Entidades Estatales, identificados con el Clasificador de Bienes y Servicios en el tercer nivel.</w:t>
      </w:r>
    </w:p>
    <w:p w14:paraId="1FFA1CDC" w14:textId="45D04410" w:rsidR="008E2DC6" w:rsidRPr="00286DDE" w:rsidRDefault="00A761E9" w:rsidP="00286DDE">
      <w:pPr>
        <w:pStyle w:val="Textonotapie"/>
        <w:ind w:firstLine="709"/>
        <w:jc w:val="both"/>
        <w:rPr>
          <w:rFonts w:ascii="Verdana" w:hAnsi="Verdana"/>
          <w:sz w:val="16"/>
          <w:szCs w:val="16"/>
        </w:rPr>
      </w:pPr>
      <w:r w:rsidRPr="00286DDE">
        <w:rPr>
          <w:rFonts w:ascii="Verdana" w:hAnsi="Verdana" w:cs="Arial"/>
          <w:sz w:val="16"/>
          <w:szCs w:val="16"/>
        </w:rPr>
        <w:t>1.2. Certificados de la experiencia en la provisión de los bienes, obras y servicios que ofrecerá a las Entidades Estatales, los cuales deben ser expedidos por terceros que hayan recibido tales bienes, obras o servicios y deben corresponder a contratos ejecutados o copias de los contratos cuando el interesado no puede obtener tal certificado. El interesado debe indicar en cada certificado o en cada copia de los contratos, los bienes, obras y servicios a los cuales corresponde la experiencia que pretende acreditar, identificándolos con el Clasificador de Bienes y Servicios en el tercer nivel”.</w:t>
      </w:r>
    </w:p>
  </w:footnote>
  <w:footnote w:id="15">
    <w:p w14:paraId="7A67ED19" w14:textId="77777777" w:rsidR="003723F3" w:rsidRDefault="003723F3">
      <w:pPr>
        <w:pStyle w:val="Textonotapie"/>
        <w:snapToGrid w:val="0"/>
        <w:ind w:firstLine="709"/>
        <w:jc w:val="both"/>
        <w:rPr>
          <w:rFonts w:ascii="Verdana" w:hAnsi="Verdana"/>
          <w:sz w:val="16"/>
          <w:szCs w:val="16"/>
        </w:rPr>
      </w:pPr>
    </w:p>
    <w:p w14:paraId="2E8A7D9B" w14:textId="27978221" w:rsidR="00A761E9" w:rsidRPr="00286DDE" w:rsidRDefault="00A761E9">
      <w:pPr>
        <w:pStyle w:val="Textonotapie"/>
        <w:snapToGrid w:val="0"/>
        <w:ind w:firstLine="709"/>
        <w:jc w:val="both"/>
        <w:rPr>
          <w:rFonts w:ascii="Verdana" w:hAnsi="Verdana"/>
          <w:sz w:val="16"/>
          <w:szCs w:val="16"/>
        </w:rPr>
      </w:pPr>
      <w:r w:rsidRPr="00286DDE">
        <w:rPr>
          <w:rStyle w:val="Refdenotaalpie"/>
          <w:rFonts w:ascii="Verdana" w:hAnsi="Verdana"/>
          <w:sz w:val="16"/>
          <w:szCs w:val="16"/>
        </w:rPr>
        <w:footnoteRef/>
      </w:r>
      <w:r w:rsidRPr="00286DDE">
        <w:rPr>
          <w:rFonts w:ascii="Verdana" w:hAnsi="Verdana"/>
          <w:sz w:val="16"/>
          <w:szCs w:val="16"/>
        </w:rPr>
        <w:t xml:space="preserve"> Disponible en el siguiente enlace: </w:t>
      </w:r>
      <w:hyperlink r:id="rId2" w:history="1">
        <w:r w:rsidRPr="00286DDE">
          <w:rPr>
            <w:rStyle w:val="Hipervnculo"/>
            <w:rFonts w:ascii="Verdana" w:hAnsi="Verdana"/>
            <w:sz w:val="16"/>
            <w:szCs w:val="16"/>
          </w:rPr>
          <w:t>https://colombiacompra.gov.co/manuales-guias-y-pliegos-tipo/manuales-y-guias/manual-para-determinar-y-verificar-los-requisitos</w:t>
        </w:r>
      </w:hyperlink>
      <w:r w:rsidRPr="00286DDE">
        <w:rPr>
          <w:rFonts w:ascii="Verdana" w:hAnsi="Verdana"/>
          <w:sz w:val="16"/>
          <w:szCs w:val="16"/>
        </w:rPr>
        <w:t xml:space="preserve">  </w:t>
      </w:r>
    </w:p>
    <w:p w14:paraId="69D901F0" w14:textId="77777777" w:rsidR="008E2DC6" w:rsidRPr="00286DDE" w:rsidRDefault="008E2DC6">
      <w:pPr>
        <w:pStyle w:val="Textonotapie"/>
        <w:snapToGrid w:val="0"/>
        <w:ind w:firstLine="709"/>
        <w:jc w:val="both"/>
        <w:rPr>
          <w:rFonts w:ascii="Verdana" w:hAnsi="Verdana"/>
          <w:sz w:val="16"/>
          <w:szCs w:val="16"/>
          <w:lang w:val="es-CO"/>
        </w:rPr>
      </w:pPr>
    </w:p>
  </w:footnote>
  <w:footnote w:id="16">
    <w:p w14:paraId="5547BF52" w14:textId="0C9AB67F" w:rsidR="00BE636B" w:rsidRPr="00286DDE" w:rsidRDefault="00BE636B" w:rsidP="004E312D">
      <w:pPr>
        <w:spacing w:after="0" w:line="240" w:lineRule="auto"/>
        <w:ind w:firstLine="709"/>
        <w:jc w:val="both"/>
        <w:rPr>
          <w:rFonts w:ascii="Verdana" w:hAnsi="Verdana"/>
          <w:sz w:val="16"/>
          <w:szCs w:val="16"/>
        </w:rPr>
      </w:pPr>
      <w:r w:rsidRPr="00286DDE">
        <w:rPr>
          <w:rStyle w:val="Refdenotaalpie"/>
          <w:rFonts w:ascii="Verdana" w:hAnsi="Verdana"/>
          <w:sz w:val="16"/>
          <w:szCs w:val="16"/>
        </w:rPr>
        <w:footnoteRef/>
      </w:r>
      <w:r w:rsidRPr="00286DDE">
        <w:rPr>
          <w:rFonts w:ascii="Verdana" w:hAnsi="Verdana"/>
          <w:sz w:val="16"/>
          <w:szCs w:val="16"/>
        </w:rPr>
        <w:t xml:space="preserve"> “La igualdad tiene un triple rol en el ordenamiento constitucional: el de valor, el de principio y el de derecho. En tanto valor, la igualdad es una norma que establece fines, dirigidos a todas las autoridades creadoras del derecho y en especial al legislador; en tanto principio, la igualdad es una norma que establece un deber ser específico y, por tanto, se trata de una norma de mayor eficacia que debe ser aplicada de manera directa e inmediata por el legislador o por el juez; en tanto derecho, la igualdad es un derecho subjetivo que “se concreta en deberes de abstención como la prohibición de la discriminación y en obligaciones de acción como la consagración de tratos favorables para los grupos que se encuentran en debilidad manifiesta. La correcta aplicación del derecho a la igualdad no sólo supone la igualdad de trato respecto de los privilegios, oportunidades y cargas entre los iguales, sino también el tratamiento desigual entre supuestos disímiles”. Corte Constitucional, sentencia C-811 de 2014, M.P. Mauricio González Cuervo.</w:t>
      </w:r>
    </w:p>
  </w:footnote>
  <w:footnote w:id="17">
    <w:p w14:paraId="14362469" w14:textId="77777777" w:rsidR="003723F3" w:rsidRDefault="003723F3" w:rsidP="00286DDE">
      <w:pPr>
        <w:spacing w:after="0" w:line="240" w:lineRule="auto"/>
        <w:ind w:firstLine="709"/>
        <w:jc w:val="both"/>
        <w:rPr>
          <w:rFonts w:ascii="Verdana" w:hAnsi="Verdana"/>
          <w:sz w:val="16"/>
          <w:szCs w:val="16"/>
        </w:rPr>
      </w:pPr>
    </w:p>
    <w:p w14:paraId="3C8383C8" w14:textId="7FFFD25D" w:rsidR="00BE636B" w:rsidRPr="00286DDE" w:rsidRDefault="00BE636B" w:rsidP="00286DDE">
      <w:pPr>
        <w:spacing w:after="0" w:line="240" w:lineRule="auto"/>
        <w:ind w:firstLine="709"/>
        <w:jc w:val="both"/>
        <w:rPr>
          <w:rFonts w:ascii="Verdana" w:hAnsi="Verdana"/>
          <w:sz w:val="16"/>
          <w:szCs w:val="16"/>
        </w:rPr>
      </w:pPr>
      <w:r w:rsidRPr="00286DDE">
        <w:rPr>
          <w:rStyle w:val="Refdenotaalpie"/>
          <w:rFonts w:ascii="Verdana" w:hAnsi="Verdana"/>
          <w:sz w:val="16"/>
          <w:szCs w:val="16"/>
        </w:rPr>
        <w:footnoteRef/>
      </w:r>
      <w:r w:rsidRPr="00286DDE">
        <w:rPr>
          <w:rFonts w:ascii="Verdana" w:hAnsi="Verdana"/>
          <w:sz w:val="16"/>
          <w:szCs w:val="16"/>
        </w:rPr>
        <w:t xml:space="preserve"> Consejo de Estado. Sección Tercera, Sentencia del 19 de julio de 2001, C.P. Alier Eduardo Hernández Enríquez. Rad. 1996-3771-01 (12.037).</w:t>
      </w:r>
    </w:p>
    <w:p w14:paraId="1C636514" w14:textId="77777777" w:rsidR="00BE636B" w:rsidRPr="00286DDE" w:rsidRDefault="00BE636B" w:rsidP="00286DDE">
      <w:pPr>
        <w:pStyle w:val="Textonotapie"/>
        <w:ind w:firstLine="709"/>
        <w:jc w:val="both"/>
        <w:rPr>
          <w:rFonts w:ascii="Verdana" w:hAnsi="Verdana"/>
          <w:sz w:val="16"/>
          <w:szCs w:val="16"/>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10314EA3"/>
    <w:multiLevelType w:val="hybridMultilevel"/>
    <w:tmpl w:val="5DFE51E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1DF81B0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46196363">
    <w:abstractNumId w:val="6"/>
  </w:num>
  <w:num w:numId="2" w16cid:durableId="1158765637">
    <w:abstractNumId w:val="1"/>
  </w:num>
  <w:num w:numId="3" w16cid:durableId="152265043">
    <w:abstractNumId w:val="4"/>
  </w:num>
  <w:num w:numId="4" w16cid:durableId="10985216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42766655">
    <w:abstractNumId w:val="1"/>
  </w:num>
  <w:num w:numId="6" w16cid:durableId="1469855878">
    <w:abstractNumId w:val="13"/>
  </w:num>
  <w:num w:numId="7" w16cid:durableId="808592534">
    <w:abstractNumId w:val="5"/>
  </w:num>
  <w:num w:numId="8" w16cid:durableId="653878442">
    <w:abstractNumId w:val="12"/>
  </w:num>
  <w:num w:numId="9" w16cid:durableId="1582790914">
    <w:abstractNumId w:val="7"/>
  </w:num>
  <w:num w:numId="10" w16cid:durableId="1369187430">
    <w:abstractNumId w:val="11"/>
  </w:num>
  <w:num w:numId="11" w16cid:durableId="114099792">
    <w:abstractNumId w:val="8"/>
  </w:num>
  <w:num w:numId="12" w16cid:durableId="1120219335">
    <w:abstractNumId w:val="0"/>
  </w:num>
  <w:num w:numId="13" w16cid:durableId="92744392">
    <w:abstractNumId w:val="3"/>
  </w:num>
  <w:num w:numId="14" w16cid:durableId="758403055">
    <w:abstractNumId w:val="14"/>
  </w:num>
  <w:num w:numId="15" w16cid:durableId="1184396317">
    <w:abstractNumId w:val="10"/>
  </w:num>
  <w:num w:numId="16" w16cid:durableId="1226986960">
    <w:abstractNumId w:val="2"/>
  </w:num>
  <w:num w:numId="17" w16cid:durableId="17372388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E687C"/>
    <w:rsid w:val="000E6E6C"/>
    <w:rsid w:val="000F6486"/>
    <w:rsid w:val="00116940"/>
    <w:rsid w:val="00125105"/>
    <w:rsid w:val="00127233"/>
    <w:rsid w:val="0015699B"/>
    <w:rsid w:val="00163EC3"/>
    <w:rsid w:val="001A33BF"/>
    <w:rsid w:val="001E4177"/>
    <w:rsid w:val="001F0B24"/>
    <w:rsid w:val="001F7DC6"/>
    <w:rsid w:val="00203F1B"/>
    <w:rsid w:val="002067DD"/>
    <w:rsid w:val="0022400B"/>
    <w:rsid w:val="002421BB"/>
    <w:rsid w:val="0025796E"/>
    <w:rsid w:val="002707A2"/>
    <w:rsid w:val="00286DDE"/>
    <w:rsid w:val="002951A0"/>
    <w:rsid w:val="002962BC"/>
    <w:rsid w:val="002A093D"/>
    <w:rsid w:val="002A0DD0"/>
    <w:rsid w:val="002A49AC"/>
    <w:rsid w:val="002A64FD"/>
    <w:rsid w:val="002C7A84"/>
    <w:rsid w:val="002E2BF8"/>
    <w:rsid w:val="002E4FD9"/>
    <w:rsid w:val="002F6AB9"/>
    <w:rsid w:val="0030657A"/>
    <w:rsid w:val="00322A85"/>
    <w:rsid w:val="00323DD8"/>
    <w:rsid w:val="00324168"/>
    <w:rsid w:val="00330834"/>
    <w:rsid w:val="003448F4"/>
    <w:rsid w:val="00361787"/>
    <w:rsid w:val="00364746"/>
    <w:rsid w:val="003723F3"/>
    <w:rsid w:val="00374F5E"/>
    <w:rsid w:val="00377E3E"/>
    <w:rsid w:val="003A779E"/>
    <w:rsid w:val="003D0F4D"/>
    <w:rsid w:val="003D5B0D"/>
    <w:rsid w:val="003E0499"/>
    <w:rsid w:val="003E4F80"/>
    <w:rsid w:val="003E6439"/>
    <w:rsid w:val="003F2395"/>
    <w:rsid w:val="003F3941"/>
    <w:rsid w:val="00406575"/>
    <w:rsid w:val="00414C74"/>
    <w:rsid w:val="0042722E"/>
    <w:rsid w:val="0044528D"/>
    <w:rsid w:val="00454354"/>
    <w:rsid w:val="00466E39"/>
    <w:rsid w:val="004A1847"/>
    <w:rsid w:val="004A305D"/>
    <w:rsid w:val="004E312D"/>
    <w:rsid w:val="004F21C4"/>
    <w:rsid w:val="004F685F"/>
    <w:rsid w:val="00507063"/>
    <w:rsid w:val="00517DC8"/>
    <w:rsid w:val="005566E8"/>
    <w:rsid w:val="00574867"/>
    <w:rsid w:val="005769CD"/>
    <w:rsid w:val="00591460"/>
    <w:rsid w:val="005A65E0"/>
    <w:rsid w:val="005C3777"/>
    <w:rsid w:val="005C5CDC"/>
    <w:rsid w:val="005D476C"/>
    <w:rsid w:val="006200BF"/>
    <w:rsid w:val="006219F8"/>
    <w:rsid w:val="006302F7"/>
    <w:rsid w:val="00646B9F"/>
    <w:rsid w:val="00665D70"/>
    <w:rsid w:val="006849E2"/>
    <w:rsid w:val="006900D9"/>
    <w:rsid w:val="00697069"/>
    <w:rsid w:val="006F1A76"/>
    <w:rsid w:val="006F5C2F"/>
    <w:rsid w:val="00706C16"/>
    <w:rsid w:val="007340C3"/>
    <w:rsid w:val="00746799"/>
    <w:rsid w:val="00750151"/>
    <w:rsid w:val="0075235A"/>
    <w:rsid w:val="00756841"/>
    <w:rsid w:val="007649AB"/>
    <w:rsid w:val="007658A1"/>
    <w:rsid w:val="00771D0C"/>
    <w:rsid w:val="007833AC"/>
    <w:rsid w:val="00796985"/>
    <w:rsid w:val="007B268C"/>
    <w:rsid w:val="007B7171"/>
    <w:rsid w:val="007C0C0F"/>
    <w:rsid w:val="007C3DC2"/>
    <w:rsid w:val="007E5497"/>
    <w:rsid w:val="007F4191"/>
    <w:rsid w:val="00806F5F"/>
    <w:rsid w:val="00820278"/>
    <w:rsid w:val="008258C9"/>
    <w:rsid w:val="00844AE9"/>
    <w:rsid w:val="00867F95"/>
    <w:rsid w:val="008843B6"/>
    <w:rsid w:val="00891928"/>
    <w:rsid w:val="008A446D"/>
    <w:rsid w:val="008B25F1"/>
    <w:rsid w:val="008D180B"/>
    <w:rsid w:val="008E118A"/>
    <w:rsid w:val="008E2DC6"/>
    <w:rsid w:val="008F0EA7"/>
    <w:rsid w:val="00917F4C"/>
    <w:rsid w:val="00923EEF"/>
    <w:rsid w:val="009419F9"/>
    <w:rsid w:val="0095685E"/>
    <w:rsid w:val="00961B09"/>
    <w:rsid w:val="00965334"/>
    <w:rsid w:val="00965AB3"/>
    <w:rsid w:val="0097093E"/>
    <w:rsid w:val="009A0DFA"/>
    <w:rsid w:val="009A1C6F"/>
    <w:rsid w:val="009B2D26"/>
    <w:rsid w:val="009C71FA"/>
    <w:rsid w:val="009C72E7"/>
    <w:rsid w:val="009C7F7E"/>
    <w:rsid w:val="009D3058"/>
    <w:rsid w:val="009F3A13"/>
    <w:rsid w:val="00A122D3"/>
    <w:rsid w:val="00A14468"/>
    <w:rsid w:val="00A17F13"/>
    <w:rsid w:val="00A20739"/>
    <w:rsid w:val="00A21C4A"/>
    <w:rsid w:val="00A23AF9"/>
    <w:rsid w:val="00A24D94"/>
    <w:rsid w:val="00A33C78"/>
    <w:rsid w:val="00A62338"/>
    <w:rsid w:val="00A761E9"/>
    <w:rsid w:val="00A767E0"/>
    <w:rsid w:val="00AB0ADB"/>
    <w:rsid w:val="00B00C0E"/>
    <w:rsid w:val="00B01B1A"/>
    <w:rsid w:val="00B02EB0"/>
    <w:rsid w:val="00B0381D"/>
    <w:rsid w:val="00B4231C"/>
    <w:rsid w:val="00B44A47"/>
    <w:rsid w:val="00B5304A"/>
    <w:rsid w:val="00B72CD3"/>
    <w:rsid w:val="00B72FFF"/>
    <w:rsid w:val="00BC3D36"/>
    <w:rsid w:val="00BD54A6"/>
    <w:rsid w:val="00BD7F72"/>
    <w:rsid w:val="00BE636B"/>
    <w:rsid w:val="00BF7425"/>
    <w:rsid w:val="00C04FB3"/>
    <w:rsid w:val="00C11D8B"/>
    <w:rsid w:val="00C15139"/>
    <w:rsid w:val="00C330EB"/>
    <w:rsid w:val="00C50D69"/>
    <w:rsid w:val="00C5365C"/>
    <w:rsid w:val="00C62065"/>
    <w:rsid w:val="00C754BE"/>
    <w:rsid w:val="00C76B1C"/>
    <w:rsid w:val="00C925AC"/>
    <w:rsid w:val="00C93094"/>
    <w:rsid w:val="00CB6357"/>
    <w:rsid w:val="00CC1B26"/>
    <w:rsid w:val="00CE156C"/>
    <w:rsid w:val="00D059AD"/>
    <w:rsid w:val="00D361FD"/>
    <w:rsid w:val="00D423A2"/>
    <w:rsid w:val="00D44E26"/>
    <w:rsid w:val="00D520D8"/>
    <w:rsid w:val="00D55858"/>
    <w:rsid w:val="00D63AC2"/>
    <w:rsid w:val="00D7383B"/>
    <w:rsid w:val="00D7788A"/>
    <w:rsid w:val="00DA231B"/>
    <w:rsid w:val="00DC39FC"/>
    <w:rsid w:val="00DE0AF1"/>
    <w:rsid w:val="00DF5254"/>
    <w:rsid w:val="00DF7B9E"/>
    <w:rsid w:val="00E02524"/>
    <w:rsid w:val="00E16408"/>
    <w:rsid w:val="00E20894"/>
    <w:rsid w:val="00E245AB"/>
    <w:rsid w:val="00E2764C"/>
    <w:rsid w:val="00E27F2E"/>
    <w:rsid w:val="00E40574"/>
    <w:rsid w:val="00E44C1A"/>
    <w:rsid w:val="00E460E3"/>
    <w:rsid w:val="00E50AFE"/>
    <w:rsid w:val="00E75C92"/>
    <w:rsid w:val="00E771DC"/>
    <w:rsid w:val="00E8772A"/>
    <w:rsid w:val="00E90F6B"/>
    <w:rsid w:val="00E92C27"/>
    <w:rsid w:val="00EA0E3D"/>
    <w:rsid w:val="00EA4C5D"/>
    <w:rsid w:val="00EA560F"/>
    <w:rsid w:val="00EC38A7"/>
    <w:rsid w:val="00EE1AA8"/>
    <w:rsid w:val="00EF1D0D"/>
    <w:rsid w:val="00F07E96"/>
    <w:rsid w:val="00F23FEA"/>
    <w:rsid w:val="00F31EDC"/>
    <w:rsid w:val="00F462B3"/>
    <w:rsid w:val="00F5664F"/>
    <w:rsid w:val="00F666C4"/>
    <w:rsid w:val="00F74DD7"/>
    <w:rsid w:val="00F76AFC"/>
    <w:rsid w:val="00F926E2"/>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698A5167"/>
    <w:rsid w:val="6C5C6DAA"/>
    <w:rsid w:val="7216DD20"/>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F,R,Texto nota pie Car2"/>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A761E9"/>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A761E9"/>
    <w:rPr>
      <w:rFonts w:ascii="Geomanist Light" w:hAnsi="Geomanist Light"/>
      <w:lang w:val="es-ES"/>
    </w:rPr>
  </w:style>
  <w:style w:type="character" w:customStyle="1" w:styleId="s15">
    <w:name w:val="s15"/>
    <w:basedOn w:val="Fuentedeprrafopredeter"/>
    <w:rsid w:val="00A761E9"/>
  </w:style>
  <w:style w:type="character" w:customStyle="1" w:styleId="NormalWebCar">
    <w:name w:val="Normal (Web) Car"/>
    <w:link w:val="NormalWeb"/>
    <w:uiPriority w:val="99"/>
    <w:locked/>
    <w:rsid w:val="00A761E9"/>
    <w:rPr>
      <w:rFonts w:ascii="Times New Roman" w:eastAsia="Times New Roman" w:hAnsi="Times New Roman" w:cs="Times New Roman"/>
      <w:sz w:val="24"/>
      <w:szCs w:val="24"/>
      <w:lang w:eastAsia="es-CO"/>
    </w:rPr>
  </w:style>
  <w:style w:type="paragraph" w:styleId="Textoindependiente">
    <w:name w:val="Body Text"/>
    <w:basedOn w:val="Normal"/>
    <w:link w:val="TextoindependienteCar"/>
    <w:uiPriority w:val="1"/>
    <w:qFormat/>
    <w:rsid w:val="00F926E2"/>
    <w:pPr>
      <w:widowControl w:val="0"/>
      <w:autoSpaceDE w:val="0"/>
      <w:autoSpaceDN w:val="0"/>
      <w:spacing w:after="0" w:line="240" w:lineRule="auto"/>
    </w:pPr>
    <w:rPr>
      <w:rFonts w:ascii="Arial" w:eastAsia="Arial" w:hAnsi="Arial" w:cs="Arial"/>
      <w:lang w:val="es-ES"/>
    </w:rPr>
  </w:style>
  <w:style w:type="character" w:customStyle="1" w:styleId="TextoindependienteCar">
    <w:name w:val="Texto independiente Car"/>
    <w:basedOn w:val="Fuentedeprrafopredeter"/>
    <w:link w:val="Textoindependiente"/>
    <w:uiPriority w:val="1"/>
    <w:rsid w:val="00F926E2"/>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relatoria.colombiacompra.gov.co%2F&amp;data=05%7C02%7Cjose.garcia%40colombiacompra.gov.co%7C5aad36a736844ec87b2108dcc1fa4639%7C7b09041e245149d08cb179d5e3d8c1be%7C0%7C0%7C638598527919569564%7CUnknown%7CTWFpbGZsb3d8eyJWIjoiMC4wLjAwMDAiLCJQIjoiV2luMzIiLCJBTiI6Ik1haWwiLCJXVCI6Mn0%3D%7C0%7C%7C%7C&amp;sdata=dxd5A4gL5eWAFf8ZLcaVWYdH0y65hi6R6J0wtaeazGQ%3D&amp;reserved=0"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colombiacompra.gov.co/archivos/manual/manual-para-determinar-y-verificar-los-requisitos-habilitantes-en-los-procesos-de-contratacion" TargetMode="External"/><Relationship Id="rId17" Type="http://schemas.openxmlformats.org/officeDocument/2006/relationships/hyperlink" Target="http://www.colombiacompra.gov.co" TargetMode="External"/><Relationship Id="rId2" Type="http://schemas.openxmlformats.org/officeDocument/2006/relationships/customXml" Target="../customXml/item2.xml"/><Relationship Id="rId16"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IBER.PRO10@GMAIL.COM" TargetMode="External"/><Relationship Id="rId5" Type="http://schemas.openxmlformats.org/officeDocument/2006/relationships/styles" Target="styles.xml"/><Relationship Id="rId15" Type="http://schemas.openxmlformats.org/officeDocument/2006/relationships/hyperlink" Target="https://www.colombiacompra.gov.co/normativa-y-relatoria/documentos-tipo" TargetMode="Externa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ormacionvirtual.colombiacompra.gov.co/mod/page/view.php?id=3718"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colombiacompra.gov.co/manuales-guias-y-pliegos-tipo/manuales-y-guias/manual-para-determinar-y-verificar-los-requisitos" TargetMode="External"/><Relationship Id="rId1" Type="http://schemas.openxmlformats.org/officeDocument/2006/relationships/hyperlink" Target="https://colombiacompra.gov.co/sites/cce_public/files/cce_documents/cce-eicp-ma-04._manual_requisitos_habilitantes_v3_29-09-2023.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81E215D-64EE-4A25-B08E-A95DF9F5E194}"/>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16</TotalTime>
  <Pages>24</Pages>
  <Words>7920</Words>
  <Characters>43562</Characters>
  <Application>Microsoft Office Word</Application>
  <DocSecurity>0</DocSecurity>
  <Lines>363</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Angela Maria Olmos Andrade</cp:lastModifiedBy>
  <cp:revision>13</cp:revision>
  <cp:lastPrinted>2023-01-10T21:18:00Z</cp:lastPrinted>
  <dcterms:created xsi:type="dcterms:W3CDTF">2026-07-09T14:14:00Z</dcterms:created>
  <dcterms:modified xsi:type="dcterms:W3CDTF">2026-07-09T15:56:00Z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