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8934B" w14:textId="77777777" w:rsidR="00FC6133" w:rsidRPr="00FC6133" w:rsidRDefault="00FC6133" w:rsidP="00FC6133">
      <w:pPr>
        <w:spacing w:after="0"/>
        <w:jc w:val="both"/>
        <w:rPr>
          <w:rFonts w:ascii="Verdana" w:eastAsia="Verdana" w:hAnsi="Verdana" w:cs="Verdana"/>
          <w:b/>
          <w:bCs/>
          <w:lang w:val="es-ES"/>
        </w:rPr>
      </w:pPr>
      <w:bookmarkStart w:id="0" w:name="_Hlk143780582"/>
      <w:r w:rsidRPr="00FC6133">
        <w:rPr>
          <w:rFonts w:ascii="Verdana" w:eastAsia="Verdana" w:hAnsi="Verdana" w:cs="Verdana"/>
          <w:b/>
          <w:bCs/>
          <w:lang w:val="es-ES"/>
        </w:rPr>
        <w:t>CONTRATO ESTATAL – Régimen jurídico</w:t>
      </w:r>
    </w:p>
    <w:p w14:paraId="011B3EC5" w14:textId="77777777" w:rsidR="00FC6133" w:rsidRPr="00FC6133" w:rsidRDefault="00FC6133" w:rsidP="00FC6133">
      <w:pPr>
        <w:spacing w:after="0"/>
        <w:jc w:val="both"/>
        <w:rPr>
          <w:rFonts w:ascii="Verdana" w:eastAsia="Verdana" w:hAnsi="Verdana" w:cs="Verdana"/>
          <w:b/>
          <w:bCs/>
          <w:lang w:val="es-ES"/>
        </w:rPr>
      </w:pPr>
    </w:p>
    <w:p w14:paraId="604108CC" w14:textId="77777777" w:rsidR="00055AD9" w:rsidRPr="00055AD9" w:rsidRDefault="00055AD9" w:rsidP="00055AD9">
      <w:pPr>
        <w:spacing w:after="0" w:line="240" w:lineRule="auto"/>
        <w:jc w:val="both"/>
        <w:rPr>
          <w:rFonts w:ascii="Verdana" w:eastAsia="Verdana" w:hAnsi="Verdana" w:cs="Verdana"/>
          <w:sz w:val="20"/>
          <w:szCs w:val="20"/>
        </w:rPr>
      </w:pPr>
      <w:r w:rsidRPr="00055AD9">
        <w:rPr>
          <w:rFonts w:ascii="Verdana" w:eastAsia="Verdana" w:hAnsi="Verdana" w:cs="Verdana"/>
          <w:sz w:val="20"/>
          <w:szCs w:val="20"/>
          <w:lang w:val="es-ES"/>
        </w:rPr>
        <w:t xml:space="preserve">Respecto al régimen jurídico de las </w:t>
      </w:r>
      <w:r w:rsidRPr="00055AD9">
        <w:rPr>
          <w:rFonts w:ascii="Verdana" w:eastAsia="Verdana" w:hAnsi="Verdana" w:cs="Verdana"/>
          <w:i/>
          <w:iCs/>
          <w:sz w:val="20"/>
          <w:szCs w:val="20"/>
          <w:lang w:val="es-ES"/>
        </w:rPr>
        <w:t>entidades sometidas</w:t>
      </w:r>
      <w:r w:rsidRPr="00055AD9">
        <w:rPr>
          <w:rFonts w:ascii="Verdana" w:eastAsia="Verdana" w:hAnsi="Verdana" w:cs="Verdana"/>
          <w:sz w:val="20"/>
          <w:szCs w:val="20"/>
          <w:lang w:val="es-ES"/>
        </w:rPr>
        <w:t xml:space="preserve">, es necesario tener en cuenta que el Estatuto General de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privado. Por ello, </w:t>
      </w:r>
      <w:r w:rsidRPr="00055AD9">
        <w:rPr>
          <w:rFonts w:ascii="Verdana" w:eastAsia="Verdana" w:hAnsi="Verdana" w:cs="Verdana"/>
          <w:sz w:val="20"/>
          <w:szCs w:val="20"/>
        </w:rPr>
        <w:t xml:space="preserve">el inciso primero del artículo 13 dispone que “Los contratos que celebren las entidades a que se refiere el artículo 2o. del presente estatuto se regirán por las disposiciones comerciales y civiles pertinentes, salvo en las materias particularmente reguladas en esta ley”. </w:t>
      </w:r>
    </w:p>
    <w:p w14:paraId="37D79960" w14:textId="77777777" w:rsidR="00055AD9" w:rsidRPr="00055AD9" w:rsidRDefault="00055AD9" w:rsidP="00055AD9">
      <w:pPr>
        <w:spacing w:after="0" w:line="240" w:lineRule="auto"/>
        <w:jc w:val="both"/>
        <w:rPr>
          <w:rFonts w:ascii="Verdana" w:eastAsia="Verdana" w:hAnsi="Verdana" w:cs="Verdana"/>
          <w:sz w:val="20"/>
          <w:szCs w:val="20"/>
        </w:rPr>
      </w:pPr>
    </w:p>
    <w:p w14:paraId="39FB6781" w14:textId="77777777" w:rsidR="00055AD9" w:rsidRPr="00055AD9" w:rsidRDefault="00055AD9" w:rsidP="00055AD9">
      <w:pPr>
        <w:spacing w:after="0" w:line="240" w:lineRule="auto"/>
        <w:jc w:val="both"/>
        <w:rPr>
          <w:rFonts w:ascii="Verdana" w:eastAsia="Verdana" w:hAnsi="Verdana" w:cs="Verdana"/>
          <w:sz w:val="20"/>
          <w:szCs w:val="20"/>
        </w:rPr>
      </w:pPr>
      <w:r w:rsidRPr="00055AD9">
        <w:rPr>
          <w:rFonts w:ascii="Verdana" w:eastAsia="Verdana" w:hAnsi="Verdana" w:cs="Verdana"/>
          <w:sz w:val="20"/>
          <w:szCs w:val="20"/>
        </w:rPr>
        <w:t>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Asimismo, dispone que “Las estipulaciones de los contratos serán las que, de acuerdo con las normas civiles, comerciales y las previstas en esta ley, correspondan a su esencia y naturaleza” –art. 40, inciso primero–.</w:t>
      </w:r>
    </w:p>
    <w:p w14:paraId="7B7AB55D" w14:textId="77777777" w:rsidR="00FC6133" w:rsidRPr="00055AD9" w:rsidRDefault="00FC6133" w:rsidP="00FC6133">
      <w:pPr>
        <w:spacing w:after="0"/>
        <w:jc w:val="both"/>
        <w:rPr>
          <w:rFonts w:ascii="Verdana" w:eastAsia="Verdana" w:hAnsi="Verdana" w:cs="Verdana"/>
          <w:b/>
          <w:bCs/>
        </w:rPr>
      </w:pPr>
    </w:p>
    <w:p w14:paraId="7CD0A5FA" w14:textId="77777777" w:rsidR="001E3351" w:rsidRDefault="00FC6133" w:rsidP="00FC6133">
      <w:pPr>
        <w:spacing w:after="0"/>
        <w:jc w:val="both"/>
        <w:rPr>
          <w:rFonts w:ascii="Verdana" w:eastAsia="Verdana" w:hAnsi="Verdana" w:cs="Verdana"/>
          <w:b/>
          <w:bCs/>
          <w:lang w:val="es-ES"/>
        </w:rPr>
      </w:pPr>
      <w:r w:rsidRPr="00FC6133">
        <w:rPr>
          <w:rFonts w:ascii="Verdana" w:eastAsia="Verdana" w:hAnsi="Verdana" w:cs="Verdana"/>
          <w:b/>
          <w:bCs/>
          <w:lang w:val="es-ES"/>
        </w:rPr>
        <w:t xml:space="preserve">RÉGIMEN EXCEPCIONAL – Justificación – Criterios de clasificación </w:t>
      </w:r>
    </w:p>
    <w:p w14:paraId="1CDDD4E1" w14:textId="77777777" w:rsidR="001E3351" w:rsidRPr="00EF43AA" w:rsidRDefault="001E3351" w:rsidP="00EF43AA">
      <w:pPr>
        <w:spacing w:after="0" w:line="240" w:lineRule="auto"/>
        <w:jc w:val="both"/>
        <w:rPr>
          <w:rFonts w:ascii="Verdana" w:eastAsia="Verdana" w:hAnsi="Verdana" w:cs="Verdana"/>
          <w:sz w:val="20"/>
          <w:szCs w:val="20"/>
          <w:lang w:val="es-ES"/>
        </w:rPr>
      </w:pPr>
    </w:p>
    <w:p w14:paraId="73B42A71" w14:textId="415F5DF0" w:rsidR="00EF43AA" w:rsidRPr="00EF43AA" w:rsidRDefault="00EF43AA" w:rsidP="00EF43AA">
      <w:pPr>
        <w:spacing w:after="0" w:line="240" w:lineRule="auto"/>
        <w:jc w:val="both"/>
        <w:rPr>
          <w:rFonts w:ascii="Verdana" w:eastAsia="Verdana" w:hAnsi="Verdana" w:cs="Verdana"/>
          <w:sz w:val="20"/>
          <w:szCs w:val="20"/>
        </w:rPr>
      </w:pPr>
      <w:r w:rsidRPr="00EF43AA">
        <w:rPr>
          <w:rFonts w:ascii="Verdana" w:eastAsia="Verdana" w:hAnsi="Verdana" w:cs="Verdana"/>
          <w:sz w:val="20"/>
          <w:szCs w:val="20"/>
        </w:rPr>
        <w:t xml:space="preserve">La existencia de entidades exceptuadas del EGCAP se ha justificado por alguna de las siguientes tres (3) circunstancias: i) facilitar la competencia económica –como ocurre actualmente respecto al régimen de los servicios públicos domiciliarios–, </w:t>
      </w:r>
      <w:proofErr w:type="spellStart"/>
      <w:r w:rsidRPr="00EF43AA">
        <w:rPr>
          <w:rFonts w:ascii="Verdana" w:eastAsia="Verdana" w:hAnsi="Verdana" w:cs="Verdana"/>
          <w:sz w:val="20"/>
          <w:szCs w:val="20"/>
        </w:rPr>
        <w:t>ii</w:t>
      </w:r>
      <w:proofErr w:type="spellEnd"/>
      <w:r w:rsidRPr="00EF43AA">
        <w:rPr>
          <w:rFonts w:ascii="Verdana" w:eastAsia="Verdana" w:hAnsi="Verdana" w:cs="Verdana"/>
          <w:sz w:val="20"/>
          <w:szCs w:val="20"/>
        </w:rPr>
        <w:t xml:space="preserve">) flexibilizar el ejercicio de la función administrativa –como en los contratos del Banco de la República o los de ciencia y tecnología– o </w:t>
      </w:r>
      <w:proofErr w:type="spellStart"/>
      <w:r w:rsidRPr="00EF43AA">
        <w:rPr>
          <w:rFonts w:ascii="Verdana" w:eastAsia="Verdana" w:hAnsi="Verdana" w:cs="Verdana"/>
          <w:sz w:val="20"/>
          <w:szCs w:val="20"/>
        </w:rPr>
        <w:t>iii</w:t>
      </w:r>
      <w:proofErr w:type="spellEnd"/>
      <w:r w:rsidRPr="00EF43AA">
        <w:rPr>
          <w:rFonts w:ascii="Verdana" w:eastAsia="Verdana" w:hAnsi="Verdana" w:cs="Verdana"/>
          <w:sz w:val="20"/>
          <w:szCs w:val="20"/>
        </w:rPr>
        <w:t xml:space="preserve">) establecer un régimen especial sin excluir por completo la aplicación de la Ley 80 de 1993 –como ocurre en la operaciones del crédito público–.  Para estos efectos, la doctrina ha identificado 171 entidades y contratos que manejan un régimen excepcional, los cuales se clasifican de acuerdo i) al sector económico, </w:t>
      </w:r>
      <w:proofErr w:type="spellStart"/>
      <w:r w:rsidRPr="00EF43AA">
        <w:rPr>
          <w:rFonts w:ascii="Verdana" w:eastAsia="Verdana" w:hAnsi="Verdana" w:cs="Verdana"/>
          <w:sz w:val="20"/>
          <w:szCs w:val="20"/>
        </w:rPr>
        <w:t>ii</w:t>
      </w:r>
      <w:proofErr w:type="spellEnd"/>
      <w:r w:rsidRPr="00EF43AA">
        <w:rPr>
          <w:rFonts w:ascii="Verdana" w:eastAsia="Verdana" w:hAnsi="Verdana" w:cs="Verdana"/>
          <w:sz w:val="20"/>
          <w:szCs w:val="20"/>
        </w:rPr>
        <w:t xml:space="preserve">) la asignación de un esquema legal especial, </w:t>
      </w:r>
      <w:proofErr w:type="spellStart"/>
      <w:r w:rsidRPr="00EF43AA">
        <w:rPr>
          <w:rFonts w:ascii="Verdana" w:eastAsia="Verdana" w:hAnsi="Verdana" w:cs="Verdana"/>
          <w:sz w:val="20"/>
          <w:szCs w:val="20"/>
        </w:rPr>
        <w:t>iii</w:t>
      </w:r>
      <w:proofErr w:type="spellEnd"/>
      <w:r w:rsidRPr="00EF43AA">
        <w:rPr>
          <w:rFonts w:ascii="Verdana" w:eastAsia="Verdana" w:hAnsi="Verdana" w:cs="Verdana"/>
          <w:sz w:val="20"/>
          <w:szCs w:val="20"/>
        </w:rPr>
        <w:t xml:space="preserve">) el objeto del contrato celebrado y </w:t>
      </w:r>
      <w:proofErr w:type="spellStart"/>
      <w:r w:rsidRPr="00EF43AA">
        <w:rPr>
          <w:rFonts w:ascii="Verdana" w:eastAsia="Verdana" w:hAnsi="Verdana" w:cs="Verdana"/>
          <w:sz w:val="20"/>
          <w:szCs w:val="20"/>
        </w:rPr>
        <w:t>iv</w:t>
      </w:r>
      <w:proofErr w:type="spellEnd"/>
      <w:r w:rsidRPr="00EF43AA">
        <w:rPr>
          <w:rFonts w:ascii="Verdana" w:eastAsia="Verdana" w:hAnsi="Verdana" w:cs="Verdana"/>
          <w:sz w:val="20"/>
          <w:szCs w:val="20"/>
        </w:rPr>
        <w:t>) la existencia de fondos que administran recursos públicos.</w:t>
      </w:r>
    </w:p>
    <w:p w14:paraId="2F377B5D" w14:textId="77777777" w:rsidR="001E3351" w:rsidRDefault="001E3351" w:rsidP="00FC6133">
      <w:pPr>
        <w:spacing w:after="0"/>
        <w:jc w:val="both"/>
        <w:rPr>
          <w:rFonts w:ascii="Verdana" w:eastAsia="Verdana" w:hAnsi="Verdana" w:cs="Verdana"/>
          <w:b/>
          <w:bCs/>
          <w:lang w:val="es-ES"/>
        </w:rPr>
      </w:pPr>
    </w:p>
    <w:p w14:paraId="139FE96D" w14:textId="424A15EA" w:rsidR="00FC6133" w:rsidRPr="00FC6133" w:rsidRDefault="00FC6133" w:rsidP="00FC6133">
      <w:pPr>
        <w:spacing w:after="0"/>
        <w:jc w:val="both"/>
        <w:rPr>
          <w:rFonts w:ascii="Verdana" w:eastAsia="Verdana" w:hAnsi="Verdana" w:cs="Verdana"/>
          <w:b/>
          <w:bCs/>
          <w:lang w:val="es-ES"/>
        </w:rPr>
      </w:pPr>
      <w:r w:rsidRPr="00FC6133">
        <w:rPr>
          <w:rFonts w:ascii="Verdana" w:eastAsia="Verdana" w:hAnsi="Verdana" w:cs="Verdana"/>
          <w:b/>
          <w:bCs/>
          <w:lang w:val="es-ES"/>
        </w:rPr>
        <w:t xml:space="preserve">SOCIEDAD DE ECONOMÍA MIXTA – Naturaleza jurídica </w:t>
      </w:r>
    </w:p>
    <w:p w14:paraId="1A0D14FD" w14:textId="77777777" w:rsidR="001101A6" w:rsidRPr="001101A6" w:rsidRDefault="001101A6" w:rsidP="001101A6">
      <w:pPr>
        <w:spacing w:after="0" w:line="240" w:lineRule="auto"/>
        <w:jc w:val="both"/>
        <w:rPr>
          <w:rFonts w:ascii="Verdana" w:eastAsia="Verdana" w:hAnsi="Verdana" w:cs="Verdana"/>
          <w:sz w:val="20"/>
          <w:szCs w:val="20"/>
          <w:lang w:val="es-ES"/>
        </w:rPr>
      </w:pPr>
    </w:p>
    <w:p w14:paraId="49025C91" w14:textId="1F803924" w:rsidR="001101A6" w:rsidRPr="001101A6" w:rsidRDefault="001101A6" w:rsidP="001101A6">
      <w:pPr>
        <w:spacing w:after="0" w:line="240" w:lineRule="auto"/>
        <w:jc w:val="both"/>
        <w:rPr>
          <w:rFonts w:ascii="Verdana" w:eastAsia="Verdana" w:hAnsi="Verdana" w:cs="Verdana"/>
          <w:sz w:val="20"/>
          <w:szCs w:val="20"/>
          <w:lang w:val="es-ES"/>
        </w:rPr>
      </w:pPr>
      <w:r w:rsidRPr="001101A6">
        <w:rPr>
          <w:rFonts w:ascii="Verdana" w:eastAsia="Verdana" w:hAnsi="Verdana" w:cs="Verdana"/>
          <w:sz w:val="20"/>
          <w:szCs w:val="20"/>
          <w:lang w:val="es-ES"/>
        </w:rPr>
        <w:t xml:space="preserve">En este sentido, la misma Ley, en los artículos 38 y 68, clasifica a las sociedades de economía mixta como entidades descentralizadas por servicios, con personería jurídica, autonomía administrativa y patrimonio propio, que pueden ser del orden nacional, departamental o municipal, según su órgano de creación. Al respecto, la Corte Constitucional, en Sentencias C-736 del 19 de septiembre de 2007, C-118 del 14 de noviembre de 2018 y C-306 del 10 de julio de 2019, ha considerado que las sociedades estudiadas, desde una perspectiva constitucional, se caracterizan por los siguientes rasgos: i) pertenecen a la rama ejecutiva del poder público, como manifestación de la descentralización por servicios. Así mismo, </w:t>
      </w:r>
      <w:proofErr w:type="spellStart"/>
      <w:r w:rsidRPr="001101A6">
        <w:rPr>
          <w:rFonts w:ascii="Verdana" w:eastAsia="Verdana" w:hAnsi="Verdana" w:cs="Verdana"/>
          <w:sz w:val="20"/>
          <w:szCs w:val="20"/>
          <w:lang w:val="es-ES"/>
        </w:rPr>
        <w:t>ii</w:t>
      </w:r>
      <w:proofErr w:type="spellEnd"/>
      <w:r w:rsidRPr="001101A6">
        <w:rPr>
          <w:rFonts w:ascii="Verdana" w:eastAsia="Verdana" w:hAnsi="Verdana" w:cs="Verdana"/>
          <w:sz w:val="20"/>
          <w:szCs w:val="20"/>
          <w:lang w:val="es-ES"/>
        </w:rPr>
        <w:t xml:space="preserve">) están sujetas al control fiscal, financiero, de gestión y de resultados en cabeza de la Contraloría General de la República. Por otra </w:t>
      </w:r>
      <w:r w:rsidRPr="001101A6">
        <w:rPr>
          <w:rFonts w:ascii="Verdana" w:eastAsia="Verdana" w:hAnsi="Verdana" w:cs="Verdana"/>
          <w:sz w:val="20"/>
          <w:szCs w:val="20"/>
          <w:lang w:val="es-ES"/>
        </w:rPr>
        <w:lastRenderedPageBreak/>
        <w:t xml:space="preserve">parte, </w:t>
      </w:r>
      <w:proofErr w:type="spellStart"/>
      <w:r w:rsidRPr="001101A6">
        <w:rPr>
          <w:rFonts w:ascii="Verdana" w:eastAsia="Verdana" w:hAnsi="Verdana" w:cs="Verdana"/>
          <w:sz w:val="20"/>
          <w:szCs w:val="20"/>
          <w:lang w:val="es-ES"/>
        </w:rPr>
        <w:t>iii</w:t>
      </w:r>
      <w:proofErr w:type="spellEnd"/>
      <w:r w:rsidRPr="001101A6">
        <w:rPr>
          <w:rFonts w:ascii="Verdana" w:eastAsia="Verdana" w:hAnsi="Verdana" w:cs="Verdana"/>
          <w:sz w:val="20"/>
          <w:szCs w:val="20"/>
          <w:lang w:val="es-ES"/>
        </w:rPr>
        <w:t xml:space="preserve">) se someten al control político, que ejerce directamente el Congreso de la República. Además, </w:t>
      </w:r>
      <w:proofErr w:type="spellStart"/>
      <w:r w:rsidRPr="001101A6">
        <w:rPr>
          <w:rFonts w:ascii="Verdana" w:eastAsia="Verdana" w:hAnsi="Verdana" w:cs="Verdana"/>
          <w:sz w:val="20"/>
          <w:szCs w:val="20"/>
          <w:lang w:val="es-ES"/>
        </w:rPr>
        <w:t>iv</w:t>
      </w:r>
      <w:proofErr w:type="spellEnd"/>
      <w:r w:rsidRPr="001101A6">
        <w:rPr>
          <w:rFonts w:ascii="Verdana" w:eastAsia="Verdana" w:hAnsi="Verdana" w:cs="Verdana"/>
          <w:sz w:val="20"/>
          <w:szCs w:val="20"/>
          <w:lang w:val="es-ES"/>
        </w:rPr>
        <w:t xml:space="preserve">) en el caso de las sociedades de economía mixta del orden nacional, le corresponde al Congreso de la República su creación o autorización mediante ley. En cambio, v) en el caso de los órdenes departamental y municipal, esta misma facultad se les reconoce a las asambleas y concejos. Adicionalmente, vi) a todas las sociedades de economía mixta les son aplicables las inhabilidades para la integración de órganos directivos a que aluden los artículos 180- 3, 292 y 323 de la Constitución Política. A lo anterior debe agregarse que, </w:t>
      </w:r>
      <w:proofErr w:type="spellStart"/>
      <w:r w:rsidRPr="001101A6">
        <w:rPr>
          <w:rFonts w:ascii="Verdana" w:eastAsia="Verdana" w:hAnsi="Verdana" w:cs="Verdana"/>
          <w:sz w:val="20"/>
          <w:szCs w:val="20"/>
          <w:lang w:val="es-ES"/>
        </w:rPr>
        <w:t>vii</w:t>
      </w:r>
      <w:proofErr w:type="spellEnd"/>
      <w:r w:rsidRPr="001101A6">
        <w:rPr>
          <w:rFonts w:ascii="Verdana" w:eastAsia="Verdana" w:hAnsi="Verdana" w:cs="Verdana"/>
          <w:sz w:val="20"/>
          <w:szCs w:val="20"/>
          <w:lang w:val="es-ES"/>
        </w:rPr>
        <w:t xml:space="preserve">) en materia presupuestal, las sociedades de economía mixta quedan sujetas a las reglas de la ley orgánica del presupuesto. De otro lado, </w:t>
      </w:r>
      <w:proofErr w:type="spellStart"/>
      <w:r w:rsidRPr="001101A6">
        <w:rPr>
          <w:rFonts w:ascii="Verdana" w:eastAsia="Verdana" w:hAnsi="Verdana" w:cs="Verdana"/>
          <w:sz w:val="20"/>
          <w:szCs w:val="20"/>
          <w:lang w:val="es-ES"/>
        </w:rPr>
        <w:t>viii</w:t>
      </w:r>
      <w:proofErr w:type="spellEnd"/>
      <w:r w:rsidRPr="001101A6">
        <w:rPr>
          <w:rFonts w:ascii="Verdana" w:eastAsia="Verdana" w:hAnsi="Verdana" w:cs="Verdana"/>
          <w:sz w:val="20"/>
          <w:szCs w:val="20"/>
          <w:lang w:val="es-ES"/>
        </w:rPr>
        <w:t xml:space="preserve">) en materia contable, quedan vinculadas a las reglas de contabilidad oficial. Además, </w:t>
      </w:r>
      <w:proofErr w:type="spellStart"/>
      <w:r w:rsidRPr="001101A6">
        <w:rPr>
          <w:rFonts w:ascii="Verdana" w:eastAsia="Verdana" w:hAnsi="Verdana" w:cs="Verdana"/>
          <w:sz w:val="20"/>
          <w:szCs w:val="20"/>
          <w:lang w:val="es-ES"/>
        </w:rPr>
        <w:t>ix</w:t>
      </w:r>
      <w:proofErr w:type="spellEnd"/>
      <w:r w:rsidRPr="001101A6">
        <w:rPr>
          <w:rFonts w:ascii="Verdana" w:eastAsia="Verdana" w:hAnsi="Verdana" w:cs="Verdana"/>
          <w:sz w:val="20"/>
          <w:szCs w:val="20"/>
          <w:lang w:val="es-ES"/>
        </w:rPr>
        <w:t xml:space="preserve">) se rigen por el derecho privado, en virtud de la naturaleza de las actividades que desarrollan. </w:t>
      </w:r>
    </w:p>
    <w:p w14:paraId="10015430" w14:textId="77777777" w:rsidR="00FC6133" w:rsidRPr="00FC6133" w:rsidRDefault="00FC6133" w:rsidP="00FC6133">
      <w:pPr>
        <w:spacing w:after="0"/>
        <w:jc w:val="both"/>
        <w:rPr>
          <w:rFonts w:ascii="Verdana" w:eastAsia="Verdana" w:hAnsi="Verdana" w:cs="Verdana"/>
          <w:b/>
          <w:bCs/>
          <w:lang w:val="es-ES"/>
        </w:rPr>
      </w:pPr>
    </w:p>
    <w:p w14:paraId="1F4E07F4" w14:textId="77777777" w:rsidR="00FC6133" w:rsidRPr="00FC6133" w:rsidRDefault="00FC6133" w:rsidP="00FC6133">
      <w:pPr>
        <w:spacing w:after="0"/>
        <w:jc w:val="both"/>
        <w:rPr>
          <w:rFonts w:ascii="Verdana" w:eastAsia="Verdana" w:hAnsi="Verdana" w:cs="Verdana"/>
          <w:b/>
          <w:bCs/>
          <w:lang w:val="es-ES"/>
        </w:rPr>
      </w:pPr>
      <w:r w:rsidRPr="00FC6133">
        <w:rPr>
          <w:rFonts w:ascii="Verdana" w:eastAsia="Verdana" w:hAnsi="Verdana" w:cs="Verdana"/>
          <w:b/>
          <w:bCs/>
          <w:lang w:val="es-ES"/>
        </w:rPr>
        <w:t xml:space="preserve">SOCIEDAD DE ECONOMÍA MIXTA - Régimen contractual </w:t>
      </w:r>
    </w:p>
    <w:p w14:paraId="345B0520" w14:textId="77777777" w:rsidR="00FC6133" w:rsidRPr="00CC4F9F" w:rsidRDefault="00FC6133" w:rsidP="00FC6133">
      <w:pPr>
        <w:spacing w:after="0"/>
        <w:jc w:val="both"/>
        <w:rPr>
          <w:rFonts w:ascii="Verdana" w:eastAsia="Verdana" w:hAnsi="Verdana" w:cs="Verdana"/>
          <w:sz w:val="20"/>
          <w:szCs w:val="20"/>
          <w:lang w:val="es-ES"/>
        </w:rPr>
      </w:pPr>
    </w:p>
    <w:p w14:paraId="6BD9B3C2" w14:textId="4A712923" w:rsidR="00CC4F9F" w:rsidRPr="00CC4F9F" w:rsidRDefault="00CC4F9F" w:rsidP="00CC4F9F">
      <w:pPr>
        <w:spacing w:after="0"/>
        <w:jc w:val="both"/>
        <w:rPr>
          <w:rFonts w:ascii="Verdana" w:eastAsia="Verdana" w:hAnsi="Verdana" w:cs="Verdana"/>
          <w:sz w:val="20"/>
          <w:szCs w:val="20"/>
          <w:lang w:val="es-ES"/>
        </w:rPr>
      </w:pPr>
      <w:r w:rsidRPr="00CC4F9F">
        <w:rPr>
          <w:rFonts w:ascii="Verdana" w:eastAsia="Verdana" w:hAnsi="Verdana" w:cs="Verdana"/>
          <w:sz w:val="20"/>
          <w:szCs w:val="20"/>
          <w:lang w:val="es-ES"/>
        </w:rPr>
        <w:t>Sin embargo, actualmente el artículo 14 de la Ley 1150 de 2007 previó que las sociedades de economía mixta en las que el Estado tenga participación superior al cincuenta por ciento (50%) y sus filiales que cuenten con participación mayoritaria del Estado superior al cincuenta por ciento (50%) estarán sometidas al Estatuto General de Contratación la Administración Pública, en adelante EGCAP, con excepción de aquellas que desarrollen actividades comerciales en competencia con el sector privado y/o público, nacional o internacional, o en mercados regulados, caso en el cual se regirán por las disposiciones legales y reglamentarias aplicables a sus actividades económicas y comerciales. En otras palabras, el legislador estableció que las sociedades de economía mixta en las que el Estado tenga participación superior al cincuenta por ciento (50%), cuando se encuentran en competencia con el sector privado o público, nacional o internacional o desarrollan su actividad en mercados regulados estarán sometidos al derecho privado.</w:t>
      </w:r>
    </w:p>
    <w:p w14:paraId="1405F4C2" w14:textId="77777777" w:rsidR="00FC6133" w:rsidRPr="00FC6133" w:rsidRDefault="00FC6133" w:rsidP="00FC6133">
      <w:pPr>
        <w:spacing w:after="0"/>
        <w:jc w:val="both"/>
        <w:rPr>
          <w:rFonts w:ascii="Verdana" w:eastAsia="Verdana" w:hAnsi="Verdana" w:cs="Verdana"/>
          <w:b/>
          <w:bCs/>
          <w:lang w:val="es-ES"/>
        </w:rPr>
      </w:pPr>
    </w:p>
    <w:p w14:paraId="163E51CB" w14:textId="77777777" w:rsidR="00FC6133" w:rsidRPr="00FC6133" w:rsidRDefault="00FC6133" w:rsidP="00FC6133">
      <w:pPr>
        <w:spacing w:after="0"/>
        <w:jc w:val="both"/>
        <w:rPr>
          <w:rFonts w:ascii="Verdana" w:eastAsia="Verdana" w:hAnsi="Verdana" w:cs="Verdana"/>
          <w:b/>
          <w:bCs/>
          <w:lang w:val="es-ES"/>
        </w:rPr>
      </w:pPr>
      <w:r w:rsidRPr="00FC6133">
        <w:rPr>
          <w:rFonts w:ascii="Verdana" w:eastAsia="Verdana" w:hAnsi="Verdana" w:cs="Verdana"/>
          <w:b/>
          <w:bCs/>
          <w:lang w:val="es-ES"/>
        </w:rPr>
        <w:t xml:space="preserve">SOCIEDAD DE ECONOMÍA MIXTA – Constitución – Reglas </w:t>
      </w:r>
    </w:p>
    <w:p w14:paraId="48C0B09E" w14:textId="77777777" w:rsidR="00FC6133" w:rsidRPr="00061958" w:rsidRDefault="00FC6133" w:rsidP="00061958">
      <w:pPr>
        <w:spacing w:after="0" w:line="240" w:lineRule="auto"/>
        <w:jc w:val="both"/>
        <w:rPr>
          <w:rFonts w:ascii="Verdana" w:eastAsia="Verdana" w:hAnsi="Verdana" w:cs="Verdana"/>
          <w:sz w:val="20"/>
          <w:szCs w:val="20"/>
          <w:lang w:val="es-ES"/>
        </w:rPr>
      </w:pPr>
    </w:p>
    <w:p w14:paraId="17C40CA0" w14:textId="45704947" w:rsidR="00FC6133" w:rsidRDefault="00061958" w:rsidP="00061958">
      <w:pPr>
        <w:spacing w:after="0" w:line="240" w:lineRule="auto"/>
        <w:jc w:val="both"/>
        <w:rPr>
          <w:rFonts w:ascii="Verdana" w:eastAsia="Verdana" w:hAnsi="Verdana" w:cs="Verdana"/>
          <w:sz w:val="20"/>
          <w:szCs w:val="20"/>
        </w:rPr>
      </w:pPr>
      <w:r w:rsidRPr="00061958">
        <w:rPr>
          <w:rFonts w:ascii="Verdana" w:eastAsia="Verdana" w:hAnsi="Verdana" w:cs="Verdana"/>
          <w:sz w:val="20"/>
          <w:szCs w:val="20"/>
        </w:rPr>
        <w:t xml:space="preserve">La constitución de una sociedad de economía mixta en el ordenamiento jurídico colombiano exige el agotamiento de dos actos jurídicos sucesivos, cuya configuración supone la aplicación articulada de normas de derecho público y de derecho privado. En primer término, la entidad estatal debe adoptar la decisión administrativa de participar en la sociedad, acto que se materializa mediante la autorización </w:t>
      </w:r>
      <w:r w:rsidRPr="00061958">
        <w:rPr>
          <w:rFonts w:ascii="Verdana" w:eastAsia="Verdana" w:hAnsi="Verdana" w:cs="Verdana"/>
          <w:sz w:val="20"/>
          <w:szCs w:val="20"/>
          <w:lang w:val="es-ES"/>
        </w:rPr>
        <w:t xml:space="preserve">legal o reglamentaria que disponga expresamente su creación, conforme a lo dispuesto en el artículo 49 de la Ley 489 de 1998, esto es, mediante una ley, ordenanza o acuerdo. </w:t>
      </w:r>
      <w:r w:rsidRPr="00061958">
        <w:rPr>
          <w:rFonts w:ascii="Verdana" w:eastAsia="Verdana" w:hAnsi="Verdana" w:cs="Verdana"/>
          <w:sz w:val="20"/>
          <w:szCs w:val="20"/>
        </w:rPr>
        <w:t>Después de esta etapa, debe proceder la celebración del contrato de sociedad bajo lo dispuesto en el artículo 110 del Código de Comercio, en el cual concurren la entidad pública y el particular seleccionado, o también es posible por optar conforme a una sociedad por acciones simplificadas (S.A.S.), de acuerdo con lo previsto en el artículo 5º de Ley 1258 de 2008</w:t>
      </w:r>
      <w:r>
        <w:rPr>
          <w:rFonts w:ascii="Verdana" w:eastAsia="Verdana" w:hAnsi="Verdana" w:cs="Verdana"/>
          <w:sz w:val="20"/>
          <w:szCs w:val="20"/>
        </w:rPr>
        <w:t>.</w:t>
      </w:r>
    </w:p>
    <w:p w14:paraId="540A12D6" w14:textId="77777777" w:rsidR="00061958" w:rsidRPr="00061958" w:rsidRDefault="00061958" w:rsidP="00061958">
      <w:pPr>
        <w:spacing w:after="0" w:line="240" w:lineRule="auto"/>
        <w:jc w:val="both"/>
        <w:rPr>
          <w:rFonts w:ascii="Verdana" w:eastAsia="Verdana" w:hAnsi="Verdana" w:cs="Verdana"/>
          <w:sz w:val="20"/>
          <w:szCs w:val="20"/>
          <w:lang w:val="es-ES"/>
        </w:rPr>
      </w:pPr>
    </w:p>
    <w:p w14:paraId="039E5249" w14:textId="77777777" w:rsidR="00FC6133" w:rsidRPr="00061958" w:rsidRDefault="00FC6133" w:rsidP="00061958">
      <w:pPr>
        <w:spacing w:after="0" w:line="240" w:lineRule="auto"/>
        <w:jc w:val="both"/>
        <w:rPr>
          <w:rFonts w:ascii="Verdana" w:eastAsia="Verdana" w:hAnsi="Verdana" w:cs="Verdana"/>
          <w:b/>
          <w:bCs/>
          <w:lang w:val="es-ES"/>
        </w:rPr>
      </w:pPr>
      <w:r w:rsidRPr="00061958">
        <w:rPr>
          <w:rFonts w:ascii="Verdana" w:eastAsia="Verdana" w:hAnsi="Verdana" w:cs="Verdana"/>
          <w:b/>
          <w:bCs/>
          <w:lang w:val="es-ES"/>
        </w:rPr>
        <w:t xml:space="preserve">SOCIEDAD DE ECONOMÍA MIXTA – Contrato de Sociedad – Contrato estatal </w:t>
      </w:r>
    </w:p>
    <w:p w14:paraId="5C04AA9E" w14:textId="77777777" w:rsidR="00FC6133" w:rsidRPr="00112F81" w:rsidRDefault="00FC6133" w:rsidP="00112F81">
      <w:pPr>
        <w:spacing w:after="0" w:line="240" w:lineRule="auto"/>
        <w:jc w:val="both"/>
        <w:rPr>
          <w:rFonts w:ascii="Verdana" w:eastAsia="Verdana" w:hAnsi="Verdana" w:cs="Verdana"/>
          <w:sz w:val="20"/>
          <w:szCs w:val="20"/>
          <w:lang w:val="es-ES"/>
        </w:rPr>
      </w:pPr>
    </w:p>
    <w:p w14:paraId="6EBDCAB8" w14:textId="67B5F953" w:rsidR="00FC6133" w:rsidRPr="00112F81" w:rsidRDefault="00112F81" w:rsidP="00112F81">
      <w:pPr>
        <w:spacing w:after="0" w:line="240" w:lineRule="auto"/>
        <w:jc w:val="both"/>
        <w:rPr>
          <w:rFonts w:ascii="Verdana" w:eastAsia="Verdana" w:hAnsi="Verdana" w:cs="Verdana"/>
          <w:sz w:val="20"/>
          <w:szCs w:val="20"/>
        </w:rPr>
      </w:pPr>
      <w:r w:rsidRPr="00112F81">
        <w:rPr>
          <w:rFonts w:ascii="Verdana" w:eastAsia="Verdana" w:hAnsi="Verdana" w:cs="Verdana"/>
          <w:sz w:val="20"/>
          <w:szCs w:val="20"/>
        </w:rPr>
        <w:t>El contrato de sociedad que suscribe una entidad estatal sometida al Estatuto General de Contratación de la Administración Pública para la constitución de una sociedad de economía mixta es un contrato estatal, conforme a lo prescrito en el artículo 32, inciso primero: “Son contratos estatales todos los actos jurídicos generadores de obligaciones que celebren las entidades a que se refiere el presente estatuto, previstos en el derecho privado o en disposiciones especiales, o derivados del ejercicio de la autonomía de la voluntad”. Asimismo, dispone que “Las estipulaciones de los contratos serán las que, de acuerdo con las normas civiles, comerciales y las previstas en esta ley, correspondan a su esencia y naturaleza” –art. 40, inciso primero–. De esta manera, los contratos de las entidades sometidas al Estatuto General de Contratación se rigen generalmente por el derecho privado y excepcionalmente, por el derecho público, pues las normas civiles y comerciales son el derecho común de los contratos estatales.</w:t>
      </w:r>
    </w:p>
    <w:p w14:paraId="448E89AF" w14:textId="77777777" w:rsidR="00112F81" w:rsidRPr="00FC6133" w:rsidRDefault="00112F81" w:rsidP="00FC6133">
      <w:pPr>
        <w:spacing w:after="0"/>
        <w:jc w:val="both"/>
        <w:rPr>
          <w:rFonts w:ascii="Verdana" w:eastAsia="Verdana" w:hAnsi="Verdana" w:cs="Verdana"/>
          <w:b/>
          <w:bCs/>
          <w:lang w:val="es-ES"/>
        </w:rPr>
      </w:pPr>
    </w:p>
    <w:p w14:paraId="7391C5AA" w14:textId="3A12651D" w:rsidR="00FC6133" w:rsidRPr="00FC6133" w:rsidRDefault="00FC6133" w:rsidP="00FC6133">
      <w:pPr>
        <w:spacing w:after="0"/>
        <w:jc w:val="both"/>
        <w:rPr>
          <w:rFonts w:ascii="Verdana" w:eastAsia="Verdana" w:hAnsi="Verdana" w:cs="Verdana"/>
          <w:b/>
          <w:bCs/>
        </w:rPr>
      </w:pPr>
      <w:r w:rsidRPr="00FC6133">
        <w:rPr>
          <w:rFonts w:ascii="Verdana" w:eastAsia="Verdana" w:hAnsi="Verdana" w:cs="Verdana"/>
          <w:b/>
          <w:bCs/>
          <w:lang w:val="es-ES"/>
        </w:rPr>
        <w:t>CONTRATO DE SOCIEDAD – Modalidades de selección – Principio de Transparencia</w:t>
      </w:r>
    </w:p>
    <w:p w14:paraId="01DE9589" w14:textId="77777777" w:rsidR="00FC6133" w:rsidRDefault="00FC6133" w:rsidP="00873901">
      <w:pPr>
        <w:spacing w:after="0"/>
        <w:rPr>
          <w:rFonts w:ascii="Verdana" w:eastAsia="Verdana" w:hAnsi="Verdana" w:cs="Verdana"/>
        </w:rPr>
      </w:pPr>
    </w:p>
    <w:p w14:paraId="4C7F1453" w14:textId="77777777" w:rsidR="00112F81" w:rsidRDefault="00112F81" w:rsidP="00112F81">
      <w:pPr>
        <w:spacing w:after="0" w:line="240" w:lineRule="auto"/>
        <w:jc w:val="both"/>
        <w:rPr>
          <w:rFonts w:ascii="Verdana" w:eastAsia="Verdana" w:hAnsi="Verdana" w:cs="Verdana"/>
          <w:sz w:val="20"/>
          <w:szCs w:val="20"/>
        </w:rPr>
      </w:pPr>
      <w:r w:rsidRPr="00112F81">
        <w:rPr>
          <w:rFonts w:ascii="Verdana" w:eastAsia="Verdana" w:hAnsi="Verdana" w:cs="Verdana"/>
          <w:sz w:val="20"/>
          <w:szCs w:val="20"/>
        </w:rPr>
        <w:t>Ahora bien, ni la Ley 489 de 1998 ni el Código de Comercio establecen una modalidad específica para seleccionar al particular que concurrirá con la entidad pública en la constitución de una sociedad de economía mixta. En consecuencia, resulta aplicable el régimen general previsto en el artículo 2 de la Ley 1150 de 2007, conforme al cual la escogencia del contratista debe realizarse mediante las modalidades de licitación pública, selección abreviada, concurso de méritos, contratación directa o mínima cuantía, según corresponda, siendo la licitación pública la regla general y las demás modalidades de carácter excepcional.</w:t>
      </w:r>
    </w:p>
    <w:p w14:paraId="234C3F1E" w14:textId="77777777" w:rsidR="00112F81" w:rsidRPr="00112F81" w:rsidRDefault="00112F81" w:rsidP="00112F81">
      <w:pPr>
        <w:spacing w:after="0" w:line="240" w:lineRule="auto"/>
        <w:jc w:val="both"/>
        <w:rPr>
          <w:rFonts w:ascii="Verdana" w:eastAsia="Verdana" w:hAnsi="Verdana" w:cs="Verdana"/>
          <w:sz w:val="20"/>
          <w:szCs w:val="20"/>
        </w:rPr>
      </w:pPr>
    </w:p>
    <w:p w14:paraId="423B9915" w14:textId="77777777" w:rsidR="00112F81" w:rsidRPr="00112F81" w:rsidRDefault="00112F81" w:rsidP="00112F81">
      <w:pPr>
        <w:spacing w:after="0" w:line="240" w:lineRule="auto"/>
        <w:jc w:val="both"/>
        <w:rPr>
          <w:rFonts w:ascii="Verdana" w:eastAsia="Verdana" w:hAnsi="Verdana" w:cs="Verdana"/>
          <w:sz w:val="20"/>
          <w:szCs w:val="20"/>
        </w:rPr>
      </w:pPr>
      <w:r w:rsidRPr="00112F81">
        <w:rPr>
          <w:rFonts w:ascii="Verdana" w:eastAsia="Verdana" w:hAnsi="Verdana" w:cs="Verdana"/>
          <w:sz w:val="20"/>
          <w:szCs w:val="20"/>
        </w:rPr>
        <w:t xml:space="preserve">En ese contexto, la selección del socio estratégico implica la escogencia de un particular que aportará capital, conocimiento especializado, tecnología, capacidades técnicas u otros recursos para conformar una nueva persona jurídica con participación estatal. Como dicha vinculación se materializa mediante la celebración de un contrato estatal y el legislador no ha previsto una modalidad especial para este supuesto, la entidad debe acudir, por regla general, a la licitación pública, salvo que en el caso concreto se configure alguna de las causales legales que permiten la aplicación de una modalidad excepcional de selección. </w:t>
      </w:r>
    </w:p>
    <w:p w14:paraId="59056D36" w14:textId="77777777" w:rsidR="00FC6133" w:rsidRDefault="00FC6133" w:rsidP="00873901">
      <w:pPr>
        <w:spacing w:after="0"/>
        <w:rPr>
          <w:rFonts w:ascii="Verdana" w:eastAsia="Verdana" w:hAnsi="Verdana" w:cs="Verdana"/>
        </w:rPr>
      </w:pPr>
    </w:p>
    <w:p w14:paraId="02040015" w14:textId="77777777" w:rsidR="00112F81" w:rsidRDefault="00112F81" w:rsidP="00873901">
      <w:pPr>
        <w:spacing w:after="0"/>
        <w:rPr>
          <w:rFonts w:ascii="Verdana" w:eastAsia="Verdana" w:hAnsi="Verdana" w:cs="Verdana"/>
        </w:rPr>
      </w:pPr>
    </w:p>
    <w:p w14:paraId="5412A823" w14:textId="77777777" w:rsidR="00112F81" w:rsidRDefault="00112F81" w:rsidP="00873901">
      <w:pPr>
        <w:spacing w:after="0"/>
        <w:rPr>
          <w:rFonts w:ascii="Verdana" w:eastAsia="Verdana" w:hAnsi="Verdana" w:cs="Verdana"/>
        </w:rPr>
      </w:pPr>
    </w:p>
    <w:p w14:paraId="40ECF984" w14:textId="77777777" w:rsidR="00112F81" w:rsidRDefault="00112F81" w:rsidP="00873901">
      <w:pPr>
        <w:spacing w:after="0"/>
        <w:rPr>
          <w:rFonts w:ascii="Verdana" w:eastAsia="Verdana" w:hAnsi="Verdana" w:cs="Verdana"/>
        </w:rPr>
      </w:pPr>
    </w:p>
    <w:p w14:paraId="742CEA3B" w14:textId="531B4A7D" w:rsidR="00873901" w:rsidRPr="00AF0096" w:rsidRDefault="00FC6133" w:rsidP="00873901">
      <w:pPr>
        <w:spacing w:after="0"/>
        <w:rPr>
          <w:rFonts w:ascii="Verdana" w:hAnsi="Verdana" w:cs="Arial"/>
          <w:bCs/>
          <w:lang w:eastAsia="es-ES" w:bidi="es-ES"/>
        </w:rPr>
      </w:pPr>
      <w:r w:rsidRPr="00FC6133">
        <w:rPr>
          <w:rFonts w:ascii="Verdana" w:eastAsia="Calibri" w:hAnsi="Verdana" w:cs="Times New Roman"/>
          <w:noProof/>
        </w:rPr>
        <w:lastRenderedPageBreak/>
        <w:drawing>
          <wp:anchor distT="0" distB="0" distL="114300" distR="114300" simplePos="0" relativeHeight="251658240" behindDoc="0" locked="0" layoutInCell="1" allowOverlap="1" wp14:anchorId="0718211E" wp14:editId="7A524C00">
            <wp:simplePos x="0" y="0"/>
            <wp:positionH relativeFrom="column">
              <wp:posOffset>2849313</wp:posOffset>
            </wp:positionH>
            <wp:positionV relativeFrom="paragraph">
              <wp:posOffset>319392</wp:posOffset>
            </wp:positionV>
            <wp:extent cx="2820035" cy="777875"/>
            <wp:effectExtent l="0" t="0" r="0" b="3175"/>
            <wp:wrapSquare wrapText="bothSides"/>
            <wp:docPr id="528825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0035" cy="777875"/>
                    </a:xfrm>
                    <a:prstGeom prst="rect">
                      <a:avLst/>
                    </a:prstGeom>
                    <a:noFill/>
                    <a:ln>
                      <a:noFill/>
                    </a:ln>
                  </pic:spPr>
                </pic:pic>
              </a:graphicData>
            </a:graphic>
          </wp:anchor>
        </w:drawing>
      </w:r>
      <w:r w:rsidR="00873901" w:rsidRPr="30821638">
        <w:rPr>
          <w:rFonts w:ascii="Verdana" w:eastAsia="Verdana" w:hAnsi="Verdana" w:cs="Verdana"/>
        </w:rPr>
        <w:t xml:space="preserve">Bogotá D.C., </w:t>
      </w:r>
      <w:r w:rsidR="00074084">
        <w:rPr>
          <w:rFonts w:ascii="Verdana" w:eastAsia="Verdana" w:hAnsi="Verdana" w:cs="Verdana"/>
        </w:rPr>
        <w:t>10 de julio de 2026</w:t>
      </w:r>
      <w:r w:rsidR="00873901">
        <w:tab/>
      </w:r>
      <w:r w:rsidR="00873901">
        <w:br/>
      </w:r>
    </w:p>
    <w:p w14:paraId="7A22BE22" w14:textId="77777777" w:rsidR="00873901" w:rsidRPr="00A6654D" w:rsidRDefault="00873901" w:rsidP="00873901">
      <w:pPr>
        <w:spacing w:after="0" w:line="240" w:lineRule="auto"/>
        <w:rPr>
          <w:rFonts w:ascii="Verdana" w:hAnsi="Verdana"/>
        </w:rPr>
      </w:pPr>
    </w:p>
    <w:p w14:paraId="21E5235A" w14:textId="0FB0E442" w:rsidR="00873901" w:rsidRPr="00AD1D0C" w:rsidRDefault="00873901" w:rsidP="00873901">
      <w:pPr>
        <w:spacing w:after="0" w:line="240" w:lineRule="auto"/>
        <w:rPr>
          <w:rFonts w:ascii="Verdana" w:eastAsia="Calibri" w:hAnsi="Verdana" w:cs="Times New Roman"/>
        </w:rPr>
      </w:pPr>
      <w:r w:rsidRPr="00AD1D0C">
        <w:rPr>
          <w:rFonts w:ascii="Verdana" w:eastAsia="Calibri" w:hAnsi="Verdana" w:cs="Times New Roman"/>
        </w:rPr>
        <w:t>Señor</w:t>
      </w:r>
    </w:p>
    <w:p w14:paraId="6E89F70E" w14:textId="77777777" w:rsidR="00873901" w:rsidRPr="001309B1" w:rsidRDefault="00873901" w:rsidP="00873901">
      <w:pPr>
        <w:spacing w:after="0" w:line="240" w:lineRule="auto"/>
        <w:rPr>
          <w:rFonts w:ascii="Verdana" w:eastAsia="Calibri" w:hAnsi="Verdana" w:cs="Times New Roman"/>
          <w:b/>
          <w:bCs/>
        </w:rPr>
      </w:pPr>
      <w:r w:rsidRPr="001309B1">
        <w:rPr>
          <w:rFonts w:ascii="Verdana" w:eastAsia="Calibri" w:hAnsi="Verdana" w:cs="Times New Roman"/>
          <w:b/>
          <w:bCs/>
        </w:rPr>
        <w:t>Ciudadano</w:t>
      </w:r>
    </w:p>
    <w:p w14:paraId="3DD7B93D" w14:textId="77777777" w:rsidR="00873901" w:rsidRPr="00FF341F" w:rsidRDefault="00873901" w:rsidP="00873901">
      <w:pPr>
        <w:spacing w:after="0" w:line="240" w:lineRule="auto"/>
        <w:rPr>
          <w:rFonts w:ascii="Verdana" w:eastAsia="Calibri" w:hAnsi="Verdana" w:cs="Times New Roman"/>
        </w:rPr>
      </w:pPr>
      <w:r w:rsidRPr="00FF341F">
        <w:rPr>
          <w:rFonts w:ascii="Verdana" w:eastAsia="Calibri" w:hAnsi="Verdana" w:cs="Times New Roman"/>
        </w:rPr>
        <w:t>Bogotá D.</w:t>
      </w:r>
      <w:r>
        <w:rPr>
          <w:rFonts w:ascii="Verdana" w:eastAsia="Calibri" w:hAnsi="Verdana" w:cs="Times New Roman"/>
        </w:rPr>
        <w:t>C.</w:t>
      </w:r>
    </w:p>
    <w:p w14:paraId="17EA3B65" w14:textId="77777777" w:rsidR="00873901" w:rsidRPr="004C2B4F" w:rsidRDefault="00873901" w:rsidP="00873901">
      <w:pPr>
        <w:spacing w:after="0" w:line="240" w:lineRule="auto"/>
        <w:rPr>
          <w:rFonts w:ascii="Verdana" w:eastAsia="Calibri" w:hAnsi="Verdana" w:cs="Times New Roman"/>
        </w:rPr>
      </w:pPr>
    </w:p>
    <w:p w14:paraId="0FF54A31" w14:textId="77777777" w:rsidR="00873901" w:rsidRPr="004C2B4F" w:rsidRDefault="00873901" w:rsidP="00873901">
      <w:pPr>
        <w:spacing w:after="0" w:line="240" w:lineRule="auto"/>
        <w:rPr>
          <w:rFonts w:ascii="Verdana" w:eastAsia="Calibri" w:hAnsi="Verdana" w:cs="Times New Roman"/>
        </w:rPr>
      </w:pPr>
    </w:p>
    <w:p w14:paraId="502BEBA1" w14:textId="68B4D64F" w:rsidR="00873901" w:rsidRPr="00B57A1B" w:rsidRDefault="00873901" w:rsidP="00873901">
      <w:pPr>
        <w:spacing w:after="0" w:line="256" w:lineRule="auto"/>
        <w:rPr>
          <w:rFonts w:ascii="Verdana" w:eastAsia="Calibri" w:hAnsi="Verdana" w:cs="Times New Roman"/>
          <w:b/>
          <w:bCs/>
          <w:lang w:val="es-ES"/>
        </w:rPr>
      </w:pPr>
      <w:r w:rsidRPr="004C2B4F">
        <w:rPr>
          <w:rFonts w:ascii="Verdana" w:eastAsia="Calibri" w:hAnsi="Verdana" w:cs="Times New Roman"/>
          <w:b/>
          <w:bCs/>
        </w:rPr>
        <w:t xml:space="preserve">                                    </w:t>
      </w:r>
      <w:r>
        <w:rPr>
          <w:rFonts w:ascii="Verdana" w:eastAsia="Calibri" w:hAnsi="Verdana" w:cs="Times New Roman"/>
          <w:b/>
          <w:bCs/>
          <w:lang w:val="es-ES"/>
        </w:rPr>
        <w:t>Concepto C</w:t>
      </w:r>
      <w:r w:rsidR="00491E07">
        <w:rPr>
          <w:rFonts w:ascii="Verdana" w:eastAsia="Calibri" w:hAnsi="Verdana" w:cs="Times New Roman"/>
          <w:b/>
          <w:bCs/>
          <w:lang w:val="es-ES"/>
        </w:rPr>
        <w:t>-</w:t>
      </w:r>
      <w:r>
        <w:rPr>
          <w:rFonts w:ascii="Verdana" w:eastAsia="Calibri" w:hAnsi="Verdana" w:cs="Times New Roman"/>
          <w:b/>
          <w:bCs/>
          <w:lang w:val="es-ES"/>
        </w:rPr>
        <w:t>894 de 2026</w:t>
      </w:r>
    </w:p>
    <w:p w14:paraId="3FFB514F" w14:textId="77777777" w:rsidR="00873901" w:rsidRPr="00B57A1B" w:rsidRDefault="00873901" w:rsidP="00873901">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873901" w:rsidRPr="00B57A1B" w14:paraId="0AEAB100" w14:textId="77777777" w:rsidTr="00FA446D">
        <w:trPr>
          <w:trHeight w:val="645"/>
        </w:trPr>
        <w:tc>
          <w:tcPr>
            <w:tcW w:w="2685" w:type="dxa"/>
            <w:hideMark/>
          </w:tcPr>
          <w:p w14:paraId="276B2B07" w14:textId="77777777" w:rsidR="00873901" w:rsidRPr="003625F8" w:rsidRDefault="00873901" w:rsidP="00FA446D">
            <w:pPr>
              <w:spacing w:line="256" w:lineRule="auto"/>
              <w:rPr>
                <w:rFonts w:ascii="Verdana" w:hAnsi="Verdana"/>
                <w:b/>
                <w:bCs/>
                <w:lang w:val="es-ES_tradnl"/>
              </w:rPr>
            </w:pPr>
            <w:r w:rsidRPr="003625F8">
              <w:rPr>
                <w:rFonts w:ascii="Verdana" w:hAnsi="Verdana"/>
                <w:b/>
                <w:bCs/>
                <w:lang w:val="es-ES_tradnl"/>
              </w:rPr>
              <w:t xml:space="preserve">Temas:                   </w:t>
            </w:r>
          </w:p>
        </w:tc>
        <w:tc>
          <w:tcPr>
            <w:tcW w:w="6241" w:type="dxa"/>
            <w:hideMark/>
          </w:tcPr>
          <w:p w14:paraId="555E7186" w14:textId="77777777" w:rsidR="00873901" w:rsidRPr="003625F8" w:rsidRDefault="00873901" w:rsidP="00FA446D">
            <w:pPr>
              <w:spacing w:line="276" w:lineRule="auto"/>
              <w:jc w:val="both"/>
              <w:rPr>
                <w:rFonts w:ascii="Verdana" w:hAnsi="Verdana" w:cs="Arial"/>
                <w:bCs/>
                <w:lang w:val="es-MX" w:eastAsia="es-ES" w:bidi="es-ES"/>
              </w:rPr>
            </w:pPr>
            <w:r w:rsidRPr="003625F8">
              <w:rPr>
                <w:rFonts w:ascii="Verdana" w:hAnsi="Verdana" w:cs="Arial"/>
                <w:lang w:val="es-ES" w:eastAsia="es-ES"/>
              </w:rPr>
              <w:t xml:space="preserve">CONTRATO ESTATAL – Régimen jurídico / RÉGIMEN EXCEPCIONAL – Justificación – Criterios de clasificación </w:t>
            </w:r>
            <w:r w:rsidRPr="003625F8">
              <w:rPr>
                <w:rFonts w:ascii="Verdana" w:eastAsia="Arial MT" w:hAnsi="Verdana" w:cs="Arial MT"/>
                <w:lang w:val="es-ES"/>
              </w:rPr>
              <w:t>SOCIEDAD DE ECONOMÍA MIXTA – Naturaleza jurídica / SOCIEDAD DE ECONOMÍA MIXTA - Régimen contractual / SOCIEDAD DE ECONOMÍA MIXTA – Constitución – Reglas / SOCIEDAD DE ECONOMÍA MIXTA – Contrato de Sociedad – Contrato estatal / CONTRATO DE SOCIEDAD – Modalidades de selección – Principio de Transparencia</w:t>
            </w:r>
            <w:r>
              <w:rPr>
                <w:rFonts w:ascii="Verdana" w:eastAsia="Arial MT" w:hAnsi="Verdana" w:cs="Arial MT"/>
                <w:lang w:val="es-ES"/>
              </w:rPr>
              <w:t>.</w:t>
            </w:r>
            <w:r w:rsidRPr="003625F8">
              <w:rPr>
                <w:rFonts w:ascii="Verdana" w:eastAsia="Arial MT" w:hAnsi="Verdana" w:cs="Arial MT"/>
                <w:lang w:val="es-ES"/>
              </w:rPr>
              <w:t xml:space="preserve"> </w:t>
            </w:r>
          </w:p>
          <w:p w14:paraId="2336148C" w14:textId="77777777" w:rsidR="00873901" w:rsidRPr="003625F8" w:rsidRDefault="00873901" w:rsidP="00FA446D">
            <w:pPr>
              <w:spacing w:line="276" w:lineRule="auto"/>
              <w:jc w:val="both"/>
              <w:rPr>
                <w:rFonts w:ascii="Verdana" w:hAnsi="Verdana" w:cs="Arial"/>
                <w:highlight w:val="yellow"/>
                <w:lang w:eastAsia="es-ES"/>
              </w:rPr>
            </w:pPr>
          </w:p>
          <w:p w14:paraId="6CBF03CA" w14:textId="77777777" w:rsidR="00873901" w:rsidRPr="003625F8" w:rsidRDefault="00873901" w:rsidP="00FA446D">
            <w:pPr>
              <w:spacing w:line="276" w:lineRule="auto"/>
              <w:jc w:val="both"/>
              <w:rPr>
                <w:rFonts w:ascii="Verdana" w:hAnsi="Verdana" w:cs="Arial"/>
                <w:highlight w:val="yellow"/>
                <w:lang w:eastAsia="es-ES"/>
              </w:rPr>
            </w:pPr>
          </w:p>
        </w:tc>
        <w:tc>
          <w:tcPr>
            <w:tcW w:w="6237" w:type="dxa"/>
          </w:tcPr>
          <w:p w14:paraId="770160C7" w14:textId="77777777" w:rsidR="00873901" w:rsidRPr="00B57A1B" w:rsidRDefault="00873901" w:rsidP="00FA446D">
            <w:pPr>
              <w:spacing w:line="276" w:lineRule="auto"/>
              <w:rPr>
                <w:rFonts w:ascii="Verdana" w:hAnsi="Verdana"/>
              </w:rPr>
            </w:pPr>
          </w:p>
        </w:tc>
      </w:tr>
      <w:tr w:rsidR="00873901" w:rsidRPr="00B57A1B" w14:paraId="0887E68B" w14:textId="77777777" w:rsidTr="00FA446D">
        <w:tc>
          <w:tcPr>
            <w:tcW w:w="2685" w:type="dxa"/>
          </w:tcPr>
          <w:p w14:paraId="68950678" w14:textId="77777777" w:rsidR="00873901" w:rsidRPr="003625F8" w:rsidRDefault="00873901" w:rsidP="00FA446D">
            <w:pPr>
              <w:spacing w:line="256" w:lineRule="auto"/>
              <w:rPr>
                <w:rFonts w:ascii="Verdana" w:hAnsi="Verdana"/>
                <w:b/>
                <w:bCs/>
                <w:lang w:val="es-ES_tradnl"/>
              </w:rPr>
            </w:pPr>
            <w:r w:rsidRPr="003625F8">
              <w:rPr>
                <w:rFonts w:ascii="Verdana" w:hAnsi="Verdana"/>
                <w:b/>
                <w:bCs/>
                <w:lang w:val="es-ES_tradnl"/>
              </w:rPr>
              <w:t xml:space="preserve">Radicación:               </w:t>
            </w:r>
          </w:p>
        </w:tc>
        <w:tc>
          <w:tcPr>
            <w:tcW w:w="6241" w:type="dxa"/>
          </w:tcPr>
          <w:p w14:paraId="38260FA6" w14:textId="77777777" w:rsidR="00873901" w:rsidRPr="003625F8" w:rsidRDefault="00873901" w:rsidP="00FA446D">
            <w:pPr>
              <w:spacing w:line="257" w:lineRule="auto"/>
              <w:jc w:val="both"/>
              <w:rPr>
                <w:rFonts w:ascii="Verdana" w:hAnsi="Verdana"/>
                <w:lang w:val="es-ES_tradnl"/>
              </w:rPr>
            </w:pPr>
            <w:r w:rsidRPr="003625F8">
              <w:rPr>
                <w:rFonts w:ascii="Verdana" w:hAnsi="Verdana"/>
                <w:lang w:val="es-ES_tradnl"/>
              </w:rPr>
              <w:t>Respuesta a consulta con radicado No.</w:t>
            </w:r>
            <w:r w:rsidRPr="003625F8">
              <w:rPr>
                <w:rFonts w:ascii="Verdana" w:hAnsi="Verdana" w:cs="Segoe UI"/>
                <w:color w:val="2B2B2B"/>
                <w:shd w:val="clear" w:color="auto" w:fill="FFFFFF"/>
              </w:rPr>
              <w:t xml:space="preserve"> 1_2026_05_28_007224</w:t>
            </w:r>
          </w:p>
          <w:p w14:paraId="273315EB" w14:textId="77777777" w:rsidR="00873901" w:rsidRPr="003625F8" w:rsidRDefault="00873901" w:rsidP="00FA446D">
            <w:pPr>
              <w:spacing w:line="257" w:lineRule="auto"/>
              <w:jc w:val="both"/>
              <w:rPr>
                <w:rFonts w:ascii="Verdana" w:hAnsi="Verdana"/>
              </w:rPr>
            </w:pPr>
          </w:p>
          <w:p w14:paraId="6DDC9E34" w14:textId="77777777" w:rsidR="00873901" w:rsidRPr="003625F8" w:rsidRDefault="00873901" w:rsidP="00FA446D">
            <w:pPr>
              <w:spacing w:line="257" w:lineRule="auto"/>
              <w:jc w:val="both"/>
              <w:rPr>
                <w:rFonts w:ascii="Verdana" w:hAnsi="Verdana"/>
              </w:rPr>
            </w:pPr>
          </w:p>
        </w:tc>
        <w:tc>
          <w:tcPr>
            <w:tcW w:w="6237" w:type="dxa"/>
          </w:tcPr>
          <w:p w14:paraId="43AE15D2" w14:textId="77777777" w:rsidR="00873901" w:rsidRPr="00B57A1B" w:rsidRDefault="00873901" w:rsidP="00FA446D">
            <w:pPr>
              <w:spacing w:line="256" w:lineRule="auto"/>
              <w:rPr>
                <w:rFonts w:ascii="Verdana" w:hAnsi="Verdana"/>
                <w:lang w:val="es-ES_tradnl"/>
              </w:rPr>
            </w:pPr>
          </w:p>
        </w:tc>
      </w:tr>
    </w:tbl>
    <w:p w14:paraId="60A42063" w14:textId="77777777" w:rsidR="00873901" w:rsidRPr="00B57A1B" w:rsidRDefault="00873901" w:rsidP="00873901">
      <w:pPr>
        <w:spacing w:after="0" w:line="256" w:lineRule="auto"/>
        <w:rPr>
          <w:rFonts w:ascii="Verdana" w:eastAsia="Calibri" w:hAnsi="Verdana" w:cs="Times New Roman"/>
          <w:lang w:val="es-ES"/>
        </w:rPr>
      </w:pPr>
      <w:r w:rsidRPr="00B57A1B">
        <w:rPr>
          <w:rFonts w:ascii="Verdana" w:eastAsia="Calibri" w:hAnsi="Verdana" w:cs="Times New Roman"/>
          <w:lang w:val="es-ES"/>
        </w:rPr>
        <w:t>Estimado</w:t>
      </w:r>
      <w:r>
        <w:rPr>
          <w:rFonts w:ascii="Verdana" w:eastAsia="Calibri" w:hAnsi="Verdana" w:cs="Times New Roman"/>
          <w:lang w:val="es-ES"/>
        </w:rPr>
        <w:t xml:space="preserve"> ciudadano</w:t>
      </w:r>
      <w:r w:rsidRPr="00B57A1B">
        <w:rPr>
          <w:rFonts w:ascii="Verdana" w:eastAsia="Calibri" w:hAnsi="Verdana" w:cs="Times New Roman"/>
          <w:lang w:val="es-ES"/>
        </w:rPr>
        <w:t xml:space="preserve">: </w:t>
      </w:r>
    </w:p>
    <w:p w14:paraId="137B5128" w14:textId="77777777" w:rsidR="00873901" w:rsidRPr="00B57A1B" w:rsidRDefault="00873901" w:rsidP="00873901">
      <w:pPr>
        <w:spacing w:after="0" w:line="256" w:lineRule="auto"/>
        <w:rPr>
          <w:rFonts w:ascii="Verdana" w:eastAsia="Calibri" w:hAnsi="Verdana" w:cs="Times New Roman"/>
          <w:lang w:val="es-ES"/>
        </w:rPr>
      </w:pPr>
    </w:p>
    <w:p w14:paraId="04385A20" w14:textId="77777777" w:rsidR="001C1E1F" w:rsidRDefault="00873901" w:rsidP="00873901">
      <w:pPr>
        <w:spacing w:after="120" w:line="276" w:lineRule="auto"/>
        <w:jc w:val="both"/>
        <w:rPr>
          <w:rFonts w:ascii="Verdana" w:eastAsia="Calibri" w:hAnsi="Verdana" w:cs="Times New Roman"/>
          <w:bCs/>
          <w:lang w:val="es-ES" w:bidi="es-ES"/>
        </w:rPr>
      </w:pPr>
      <w:r w:rsidRPr="00C3232E">
        <w:rPr>
          <w:rFonts w:ascii="Verdana" w:eastAsia="Calibri" w:hAnsi="Verdana" w:cs="Times New Roman"/>
          <w:bCs/>
          <w:lang w:val="es-ES" w:bidi="es-ES"/>
        </w:rPr>
        <w:t xml:space="preserve">En ejercicio de la competencia otorgada por los artículos 3, numeral 5º, y 11, numeral 8º, del Decreto Ley 4170 de 2011, </w:t>
      </w:r>
      <w:r w:rsidRPr="00C3232E">
        <w:rPr>
          <w:rFonts w:ascii="Verdana" w:eastAsia="Calibri" w:hAnsi="Verdana" w:cs="Times New Roman"/>
          <w:bCs/>
        </w:rPr>
        <w:t xml:space="preserve">así como lo establecido por la Resolución 469 de 2025 expedida por esta Entidad, </w:t>
      </w:r>
      <w:r w:rsidRPr="00C3232E">
        <w:rPr>
          <w:rFonts w:ascii="Verdana" w:eastAsia="Calibri" w:hAnsi="Verdana" w:cs="Times New Roman"/>
          <w:bCs/>
          <w:lang w:val="es-ES" w:bidi="es-ES"/>
        </w:rPr>
        <w:t xml:space="preserve">la Agencia Nacional de Contratación Pública – Colombia Compra Eficiente– responde la solicitud de consulta del 28 de mayo de 2026, en la cual manifiesta: </w:t>
      </w:r>
    </w:p>
    <w:p w14:paraId="7CE5212D" w14:textId="03B2FA48" w:rsidR="00873901" w:rsidRPr="001C1E1F" w:rsidRDefault="00873901" w:rsidP="00873901">
      <w:pPr>
        <w:spacing w:after="120" w:line="276" w:lineRule="auto"/>
        <w:jc w:val="both"/>
        <w:rPr>
          <w:rFonts w:ascii="Verdana" w:eastAsia="Calibri" w:hAnsi="Verdana" w:cs="Times New Roman"/>
          <w:bCs/>
          <w:i/>
          <w:iCs/>
          <w:sz w:val="20"/>
          <w:szCs w:val="20"/>
          <w:lang w:val="es-ES" w:bidi="es-ES"/>
        </w:rPr>
      </w:pPr>
      <w:r w:rsidRPr="001C1E1F">
        <w:rPr>
          <w:rFonts w:ascii="Verdana" w:eastAsia="Calibri" w:hAnsi="Verdana" w:cs="Times New Roman"/>
          <w:bCs/>
          <w:i/>
          <w:iCs/>
          <w:sz w:val="20"/>
          <w:szCs w:val="20"/>
          <w:lang w:bidi="es-ES"/>
        </w:rPr>
        <w:t>“Las entidades sujetas a la Ley 80 de 1993, ¿bajo qué modalidad</w:t>
      </w:r>
      <w:r w:rsidRPr="001C1E1F">
        <w:rPr>
          <w:rFonts w:ascii="Verdana" w:eastAsia="Calibri" w:hAnsi="Verdana" w:cs="Times New Roman"/>
          <w:bCs/>
          <w:i/>
          <w:iCs/>
          <w:sz w:val="20"/>
          <w:szCs w:val="20"/>
          <w:lang w:val="es-ES" w:bidi="es-ES"/>
        </w:rPr>
        <w:t xml:space="preserve"> </w:t>
      </w:r>
      <w:r w:rsidRPr="001C1E1F">
        <w:rPr>
          <w:rFonts w:ascii="Verdana" w:eastAsia="Calibri" w:hAnsi="Verdana" w:cs="Times New Roman"/>
          <w:bCs/>
          <w:i/>
          <w:iCs/>
          <w:sz w:val="20"/>
          <w:szCs w:val="20"/>
          <w:lang w:bidi="es-ES"/>
        </w:rPr>
        <w:t>de selección deben adelantar un proceso de selección de un</w:t>
      </w:r>
      <w:r w:rsidRPr="001C1E1F">
        <w:rPr>
          <w:rFonts w:ascii="Verdana" w:eastAsia="Calibri" w:hAnsi="Verdana" w:cs="Times New Roman"/>
          <w:bCs/>
          <w:i/>
          <w:iCs/>
          <w:sz w:val="20"/>
          <w:szCs w:val="20"/>
          <w:lang w:val="es-ES" w:bidi="es-ES"/>
        </w:rPr>
        <w:t xml:space="preserve"> </w:t>
      </w:r>
      <w:r w:rsidRPr="001C1E1F">
        <w:rPr>
          <w:rFonts w:ascii="Verdana" w:eastAsia="Calibri" w:hAnsi="Verdana" w:cs="Times New Roman"/>
          <w:bCs/>
          <w:i/>
          <w:iCs/>
          <w:sz w:val="20"/>
          <w:szCs w:val="20"/>
          <w:lang w:bidi="es-ES"/>
        </w:rPr>
        <w:t>socio estratégico para la constitución de una sociedad de</w:t>
      </w:r>
      <w:r w:rsidRPr="001C1E1F">
        <w:rPr>
          <w:rFonts w:ascii="Verdana" w:eastAsia="Calibri" w:hAnsi="Verdana" w:cs="Times New Roman"/>
          <w:bCs/>
          <w:i/>
          <w:iCs/>
          <w:sz w:val="20"/>
          <w:szCs w:val="20"/>
          <w:lang w:val="es-ES" w:bidi="es-ES"/>
        </w:rPr>
        <w:t xml:space="preserve"> </w:t>
      </w:r>
      <w:r w:rsidRPr="001C1E1F">
        <w:rPr>
          <w:rFonts w:ascii="Verdana" w:eastAsia="Calibri" w:hAnsi="Verdana" w:cs="Times New Roman"/>
          <w:bCs/>
          <w:i/>
          <w:iCs/>
          <w:sz w:val="20"/>
          <w:szCs w:val="20"/>
          <w:lang w:bidi="es-ES"/>
        </w:rPr>
        <w:t xml:space="preserve">economía mixta?”. </w:t>
      </w:r>
    </w:p>
    <w:p w14:paraId="7D36BDA5" w14:textId="77777777" w:rsidR="00873901" w:rsidRPr="00C3232E" w:rsidRDefault="00873901" w:rsidP="00873901">
      <w:pPr>
        <w:spacing w:after="120" w:line="276" w:lineRule="auto"/>
        <w:ind w:firstLine="709"/>
        <w:jc w:val="both"/>
        <w:rPr>
          <w:rFonts w:ascii="Verdana" w:eastAsia="Calibri" w:hAnsi="Verdana" w:cs="Times New Roman"/>
          <w:lang w:val="es-ES"/>
        </w:rPr>
      </w:pPr>
      <w:r w:rsidRPr="00C3232E">
        <w:rPr>
          <w:rFonts w:ascii="Verdana" w:eastAsia="Calibri" w:hAnsi="Verdana" w:cs="Times New Roman"/>
          <w:lang w:val="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w:t>
      </w:r>
      <w:r w:rsidRPr="00C3232E">
        <w:rPr>
          <w:rFonts w:ascii="Verdana" w:eastAsia="Calibri" w:hAnsi="Verdana" w:cs="Times New Roman"/>
          <w:lang w:val="es-ES"/>
        </w:rPr>
        <w:lastRenderedPageBreak/>
        <w:t>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38165E59" w14:textId="77777777" w:rsidR="00873901" w:rsidRPr="00B57A1B" w:rsidRDefault="00873901" w:rsidP="00873901">
      <w:pPr>
        <w:spacing w:after="120" w:line="276" w:lineRule="auto"/>
        <w:ind w:firstLine="708"/>
        <w:jc w:val="both"/>
        <w:rPr>
          <w:rFonts w:ascii="Verdana" w:eastAsia="Calibri" w:hAnsi="Verdana" w:cs="Times New Roman"/>
          <w:lang w:val="es-ES"/>
        </w:rPr>
      </w:pPr>
      <w:r w:rsidRPr="00B57A1B">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w:t>
      </w:r>
      <w:r>
        <w:rPr>
          <w:rFonts w:ascii="Verdana" w:eastAsia="Calibri" w:hAnsi="Verdana" w:cs="Times New Roman"/>
          <w:lang w:val="es-ES"/>
        </w:rPr>
        <w:t xml:space="preserve"> el problema jurídico de su consulta</w:t>
      </w:r>
      <w:r w:rsidRPr="00B57A1B">
        <w:rPr>
          <w:rFonts w:ascii="Verdana" w:eastAsia="Calibri" w:hAnsi="Verdana" w:cs="Times New Roman"/>
          <w:lang w:val="es-ES"/>
        </w:rPr>
        <w:t xml:space="preserve">. </w:t>
      </w:r>
    </w:p>
    <w:p w14:paraId="4D2E5C77" w14:textId="77777777" w:rsidR="00873901" w:rsidRPr="00B57A1B" w:rsidRDefault="00873901" w:rsidP="00873901">
      <w:pPr>
        <w:spacing w:after="0" w:line="256" w:lineRule="auto"/>
        <w:rPr>
          <w:rFonts w:ascii="Verdana" w:eastAsia="Calibri" w:hAnsi="Verdana" w:cs="Times New Roman"/>
          <w:lang w:val="es-ES"/>
        </w:rPr>
      </w:pPr>
    </w:p>
    <w:p w14:paraId="069E1CCC" w14:textId="77777777" w:rsidR="00873901" w:rsidRPr="00B57A1B" w:rsidRDefault="00873901" w:rsidP="00873901">
      <w:pPr>
        <w:numPr>
          <w:ilvl w:val="0"/>
          <w:numId w:val="16"/>
        </w:numPr>
        <w:spacing w:after="0" w:line="256" w:lineRule="auto"/>
        <w:contextualSpacing/>
        <w:rPr>
          <w:rFonts w:ascii="Verdana" w:eastAsia="Calibri" w:hAnsi="Verdana" w:cs="Times New Roman"/>
          <w:b/>
          <w:bCs/>
          <w:lang w:val="es-ES"/>
        </w:rPr>
      </w:pPr>
      <w:r w:rsidRPr="00B57A1B">
        <w:rPr>
          <w:rFonts w:ascii="Verdana" w:eastAsia="Calibri" w:hAnsi="Verdana" w:cs="Times New Roman"/>
          <w:b/>
          <w:bCs/>
          <w:lang w:val="es-ES"/>
        </w:rPr>
        <w:t>Problema planteado:</w:t>
      </w:r>
    </w:p>
    <w:p w14:paraId="7AC3703C" w14:textId="77777777" w:rsidR="00873901" w:rsidRPr="00B57A1B" w:rsidRDefault="00873901" w:rsidP="00873901">
      <w:pPr>
        <w:spacing w:after="0" w:line="256" w:lineRule="auto"/>
        <w:rPr>
          <w:rFonts w:ascii="Verdana" w:eastAsia="Calibri" w:hAnsi="Verdana" w:cs="Times New Roman"/>
        </w:rPr>
      </w:pPr>
    </w:p>
    <w:p w14:paraId="36B59B7E" w14:textId="77777777" w:rsidR="00873901" w:rsidRDefault="00873901" w:rsidP="00873901">
      <w:pPr>
        <w:spacing w:after="0" w:line="276" w:lineRule="auto"/>
        <w:jc w:val="both"/>
        <w:rPr>
          <w:rFonts w:ascii="Verdana" w:eastAsia="Calibri" w:hAnsi="Verdana" w:cs="Times New Roman"/>
          <w:iCs/>
          <w:lang w:val="es-ES"/>
        </w:rPr>
      </w:pPr>
      <w:r w:rsidRPr="00B57A1B">
        <w:rPr>
          <w:rFonts w:ascii="Verdana" w:eastAsia="Calibri" w:hAnsi="Verdana" w:cs="Times New Roman"/>
        </w:rPr>
        <w:t xml:space="preserve">De acuerdo </w:t>
      </w:r>
      <w:r>
        <w:rPr>
          <w:rFonts w:ascii="Verdana" w:eastAsia="Calibri" w:hAnsi="Verdana" w:cs="Times New Roman"/>
        </w:rPr>
        <w:t>con el contenido de sus solicitudes</w:t>
      </w:r>
      <w:r w:rsidRPr="00B57A1B">
        <w:rPr>
          <w:rFonts w:ascii="Verdana" w:eastAsia="Calibri" w:hAnsi="Verdana" w:cs="Times New Roman"/>
        </w:rPr>
        <w:t xml:space="preserve">, </w:t>
      </w:r>
      <w:r w:rsidRPr="00125752">
        <w:rPr>
          <w:rFonts w:ascii="Verdana" w:eastAsia="Calibri" w:hAnsi="Verdana" w:cs="Times New Roman"/>
        </w:rPr>
        <w:t>esta Agencia procede a resolver</w:t>
      </w:r>
      <w:r>
        <w:rPr>
          <w:rFonts w:ascii="Verdana" w:eastAsia="Calibri" w:hAnsi="Verdana" w:cs="Times New Roman"/>
        </w:rPr>
        <w:t xml:space="preserve"> el problema jurídico:</w:t>
      </w:r>
      <w:r w:rsidRPr="00125752">
        <w:rPr>
          <w:rFonts w:ascii="Verdana" w:eastAsia="Calibri" w:hAnsi="Verdana" w:cs="Times New Roman"/>
        </w:rPr>
        <w:t xml:space="preserve"> </w:t>
      </w:r>
      <w:r w:rsidRPr="00472AA2">
        <w:rPr>
          <w:rFonts w:ascii="Verdana" w:eastAsia="Calibri" w:hAnsi="Verdana" w:cs="Times New Roman"/>
        </w:rPr>
        <w:t>¿Qué modalidad de selección debe emplear una entidad estatal sometida a la Ley 80 de 1993 para escoger un socio en la constitución de una sociedad de economía mixta</w:t>
      </w:r>
      <w:r>
        <w:rPr>
          <w:rFonts w:ascii="Verdana" w:eastAsia="Calibri" w:hAnsi="Verdana" w:cs="Times New Roman"/>
        </w:rPr>
        <w:t>?</w:t>
      </w:r>
    </w:p>
    <w:p w14:paraId="701B079D" w14:textId="77777777" w:rsidR="00873901" w:rsidRPr="00B57A1B" w:rsidRDefault="00873901" w:rsidP="00873901">
      <w:pPr>
        <w:spacing w:after="0" w:line="276" w:lineRule="auto"/>
        <w:jc w:val="both"/>
        <w:rPr>
          <w:rFonts w:ascii="Verdana" w:eastAsia="Calibri" w:hAnsi="Verdana" w:cs="Times New Roman"/>
          <w:i/>
          <w:iCs/>
          <w:lang w:val="es-ES"/>
        </w:rPr>
      </w:pPr>
    </w:p>
    <w:p w14:paraId="57FFFFE1" w14:textId="77777777" w:rsidR="00873901" w:rsidRPr="00B57A1B" w:rsidRDefault="00873901" w:rsidP="00873901">
      <w:pPr>
        <w:numPr>
          <w:ilvl w:val="0"/>
          <w:numId w:val="16"/>
        </w:numPr>
        <w:spacing w:after="0" w:line="256" w:lineRule="auto"/>
        <w:contextualSpacing/>
        <w:rPr>
          <w:rFonts w:ascii="Verdana" w:eastAsia="Calibri" w:hAnsi="Verdana" w:cs="Times New Roman"/>
          <w:b/>
          <w:bCs/>
          <w:lang w:val="es-ES"/>
        </w:rPr>
      </w:pPr>
      <w:r w:rsidRPr="00B57A1B">
        <w:rPr>
          <w:rFonts w:ascii="Verdana" w:eastAsia="Calibri" w:hAnsi="Verdana" w:cs="Times New Roman"/>
          <w:b/>
          <w:bCs/>
          <w:lang w:val="es-ES"/>
        </w:rPr>
        <w:t>Respuesta:</w:t>
      </w:r>
    </w:p>
    <w:p w14:paraId="13083FAB" w14:textId="77777777" w:rsidR="00873901" w:rsidRPr="00B57A1B" w:rsidRDefault="00873901" w:rsidP="00873901">
      <w:pPr>
        <w:spacing w:after="0" w:line="276"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873901" w:rsidRPr="00B57A1B" w14:paraId="54E6222A" w14:textId="77777777" w:rsidTr="00FA446D">
        <w:trPr>
          <w:trHeight w:val="345"/>
          <w:jc w:val="center"/>
        </w:trPr>
        <w:tc>
          <w:tcPr>
            <w:tcW w:w="8784" w:type="dxa"/>
            <w:tcBorders>
              <w:bottom w:val="single" w:sz="4" w:space="0" w:color="auto"/>
            </w:tcBorders>
          </w:tcPr>
          <w:p w14:paraId="3E7F504C" w14:textId="77777777" w:rsidR="00873901" w:rsidRDefault="00873901" w:rsidP="00FA446D">
            <w:pPr>
              <w:widowControl w:val="0"/>
              <w:autoSpaceDE w:val="0"/>
              <w:autoSpaceDN w:val="0"/>
              <w:spacing w:after="120" w:line="276" w:lineRule="auto"/>
              <w:jc w:val="both"/>
              <w:rPr>
                <w:rFonts w:ascii="Verdana" w:eastAsia="Calibri" w:hAnsi="Verdana" w:cs="Arial"/>
                <w:bCs/>
                <w:color w:val="000000" w:themeColor="text1"/>
              </w:rPr>
            </w:pPr>
            <w:r w:rsidRPr="005D13A5">
              <w:rPr>
                <w:rFonts w:ascii="Verdana" w:eastAsia="Calibri" w:hAnsi="Verdana" w:cs="Arial"/>
                <w:bCs/>
                <w:color w:val="000000" w:themeColor="text1"/>
              </w:rPr>
              <w:t xml:space="preserve">La constitución de una </w:t>
            </w:r>
            <w:r w:rsidRPr="005D13A5">
              <w:rPr>
                <w:rFonts w:ascii="Verdana" w:eastAsia="Calibri" w:hAnsi="Verdana" w:cs="Arial"/>
                <w:color w:val="000000" w:themeColor="text1"/>
              </w:rPr>
              <w:t xml:space="preserve">sociedad de economía mixta en el ordenamiento jurídico colombiano exige el agotamiento de dos actos jurídicos </w:t>
            </w:r>
            <w:r>
              <w:rPr>
                <w:rFonts w:ascii="Verdana" w:eastAsia="Calibri" w:hAnsi="Verdana" w:cs="Arial"/>
                <w:color w:val="000000" w:themeColor="text1"/>
              </w:rPr>
              <w:t>su</w:t>
            </w:r>
            <w:r w:rsidRPr="005D13A5">
              <w:rPr>
                <w:rFonts w:ascii="Verdana" w:eastAsia="Calibri" w:hAnsi="Verdana" w:cs="Arial"/>
                <w:color w:val="000000" w:themeColor="text1"/>
              </w:rPr>
              <w:t xml:space="preserve">cesivos, cuya configuración supone la aplicación articulada de normas de derecho público y de derecho privado. En primer </w:t>
            </w:r>
            <w:r>
              <w:rPr>
                <w:rFonts w:ascii="Verdana" w:eastAsia="Calibri" w:hAnsi="Verdana" w:cs="Arial"/>
                <w:color w:val="000000" w:themeColor="text1"/>
              </w:rPr>
              <w:t>lugar</w:t>
            </w:r>
            <w:r w:rsidRPr="005D13A5">
              <w:rPr>
                <w:rFonts w:ascii="Verdana" w:eastAsia="Calibri" w:hAnsi="Verdana" w:cs="Arial"/>
                <w:color w:val="000000" w:themeColor="text1"/>
              </w:rPr>
              <w:t xml:space="preserve">, la entidad estatal debe adoptar la decisión administrativa de participar en la sociedad, acto que se materializa mediante la autorización </w:t>
            </w:r>
            <w:r w:rsidRPr="00272002">
              <w:rPr>
                <w:rFonts w:ascii="Verdana" w:eastAsia="Calibri" w:hAnsi="Verdana" w:cs="Arial"/>
                <w:color w:val="000000" w:themeColor="text1"/>
                <w:lang w:val="es-ES"/>
              </w:rPr>
              <w:t>legal o reglamentaria que disponga expresamente su creación</w:t>
            </w:r>
            <w:r>
              <w:rPr>
                <w:rFonts w:ascii="Verdana" w:eastAsia="Calibri" w:hAnsi="Verdana" w:cs="Arial"/>
                <w:color w:val="000000" w:themeColor="text1"/>
                <w:lang w:val="es-ES"/>
              </w:rPr>
              <w:t xml:space="preserve">, conforme a lo dispuesto en el artículo 49 de la Ley 489 de 1998, esto es, mediante una ley, ordenanza o acuerdo, </w:t>
            </w:r>
            <w:r w:rsidRPr="00487DEB">
              <w:rPr>
                <w:rFonts w:ascii="Verdana" w:eastAsia="Calibri" w:hAnsi="Verdana" w:cs="Arial"/>
                <w:color w:val="000000" w:themeColor="text1"/>
              </w:rPr>
              <w:t>según el nivel territorial de la entidad.</w:t>
            </w:r>
            <w:r>
              <w:rPr>
                <w:rFonts w:ascii="Verdana" w:eastAsia="Calibri" w:hAnsi="Verdana" w:cs="Arial"/>
                <w:color w:val="000000" w:themeColor="text1"/>
                <w:lang w:val="es-ES"/>
              </w:rPr>
              <w:t xml:space="preserve"> </w:t>
            </w:r>
            <w:r>
              <w:rPr>
                <w:rFonts w:ascii="Verdana" w:eastAsia="Calibri" w:hAnsi="Verdana" w:cs="Arial"/>
                <w:color w:val="000000" w:themeColor="text1"/>
              </w:rPr>
              <w:t xml:space="preserve">Cumplida esta etapa, procede la celebración del contrato de sociedad bajo lo dispuesto en el artículo 110 del Código de Comercio, </w:t>
            </w:r>
            <w:r w:rsidRPr="005D13A5">
              <w:rPr>
                <w:rFonts w:ascii="Verdana" w:eastAsia="Calibri" w:hAnsi="Verdana" w:cs="Arial"/>
                <w:bCs/>
                <w:color w:val="000000" w:themeColor="text1"/>
              </w:rPr>
              <w:t xml:space="preserve">en el </w:t>
            </w:r>
            <w:r w:rsidRPr="005D13A5">
              <w:rPr>
                <w:rFonts w:ascii="Verdana" w:eastAsia="Calibri" w:hAnsi="Verdana" w:cs="Arial"/>
                <w:bCs/>
                <w:color w:val="000000" w:themeColor="text1"/>
              </w:rPr>
              <w:lastRenderedPageBreak/>
              <w:t>cual concurren la entidad pública y el particular seleccionado</w:t>
            </w:r>
            <w:r>
              <w:rPr>
                <w:rFonts w:ascii="Verdana" w:eastAsia="Calibri" w:hAnsi="Verdana" w:cs="Arial"/>
                <w:bCs/>
                <w:color w:val="000000" w:themeColor="text1"/>
              </w:rPr>
              <w:t xml:space="preserve">, o también es posible por </w:t>
            </w:r>
            <w:r w:rsidRPr="00267C21">
              <w:rPr>
                <w:rFonts w:ascii="Verdana" w:eastAsia="Calibri" w:hAnsi="Verdana" w:cs="Arial"/>
                <w:bCs/>
                <w:color w:val="000000" w:themeColor="text1"/>
              </w:rPr>
              <w:t>opta</w:t>
            </w:r>
            <w:r>
              <w:rPr>
                <w:rFonts w:ascii="Verdana" w:eastAsia="Calibri" w:hAnsi="Verdana" w:cs="Arial"/>
                <w:bCs/>
                <w:color w:val="000000" w:themeColor="text1"/>
              </w:rPr>
              <w:t>r</w:t>
            </w:r>
            <w:r w:rsidRPr="00267C21">
              <w:rPr>
                <w:rFonts w:ascii="Verdana" w:eastAsia="Calibri" w:hAnsi="Verdana" w:cs="Arial"/>
                <w:bCs/>
                <w:color w:val="000000" w:themeColor="text1"/>
              </w:rPr>
              <w:t xml:space="preserve"> conform</w:t>
            </w:r>
            <w:r>
              <w:rPr>
                <w:rFonts w:ascii="Verdana" w:eastAsia="Calibri" w:hAnsi="Verdana" w:cs="Arial"/>
                <w:bCs/>
                <w:color w:val="000000" w:themeColor="text1"/>
              </w:rPr>
              <w:t>e a</w:t>
            </w:r>
            <w:r w:rsidRPr="00267C21">
              <w:rPr>
                <w:rFonts w:ascii="Verdana" w:eastAsia="Calibri" w:hAnsi="Verdana" w:cs="Arial"/>
                <w:bCs/>
                <w:color w:val="000000" w:themeColor="text1"/>
              </w:rPr>
              <w:t xml:space="preserve"> una sociedad por acciones simplificadas (S.A.S.), </w:t>
            </w:r>
            <w:r>
              <w:rPr>
                <w:rFonts w:ascii="Verdana" w:eastAsia="Calibri" w:hAnsi="Verdana" w:cs="Arial"/>
                <w:bCs/>
                <w:color w:val="000000" w:themeColor="text1"/>
              </w:rPr>
              <w:t>de acuerdo con</w:t>
            </w:r>
            <w:r w:rsidRPr="00267C21">
              <w:rPr>
                <w:rFonts w:ascii="Verdana" w:eastAsia="Calibri" w:hAnsi="Verdana" w:cs="Arial"/>
                <w:bCs/>
                <w:color w:val="000000" w:themeColor="text1"/>
              </w:rPr>
              <w:t xml:space="preserve"> lo previsto en el artículo 5º de Ley 1258 de 2008</w:t>
            </w:r>
            <w:r>
              <w:rPr>
                <w:rFonts w:ascii="Verdana" w:eastAsia="Calibri" w:hAnsi="Verdana" w:cs="Arial"/>
                <w:bCs/>
                <w:color w:val="000000" w:themeColor="text1"/>
              </w:rPr>
              <w:t xml:space="preserve">. </w:t>
            </w:r>
          </w:p>
          <w:p w14:paraId="353850E5" w14:textId="77777777" w:rsidR="00873901" w:rsidRDefault="00873901" w:rsidP="00FA446D">
            <w:pPr>
              <w:widowControl w:val="0"/>
              <w:autoSpaceDE w:val="0"/>
              <w:autoSpaceDN w:val="0"/>
              <w:spacing w:before="120" w:after="120" w:line="276" w:lineRule="auto"/>
              <w:ind w:firstLine="708"/>
              <w:jc w:val="both"/>
              <w:rPr>
                <w:rFonts w:ascii="Verdana" w:eastAsia="Arial MT" w:hAnsi="Verdana" w:cs="Arial MT"/>
              </w:rPr>
            </w:pPr>
            <w:r>
              <w:rPr>
                <w:rFonts w:ascii="Verdana" w:eastAsia="Arial MT" w:hAnsi="Verdana" w:cs="Arial MT"/>
              </w:rPr>
              <w:t>El contrato de sociedad que suscribe una entidad estatal sometida al Estatuto General de Contratación de la Administración Pública para la constitución de una sociedad de economía mixta es un contrato estatal, conforme a lo prescrito en el artículo 32, inciso primero</w:t>
            </w:r>
            <w:r w:rsidRPr="000E5F89">
              <w:rPr>
                <w:rFonts w:ascii="Verdana" w:eastAsia="Arial MT" w:hAnsi="Verdana" w:cs="Arial MT"/>
              </w:rPr>
              <w:t xml:space="preserve">: “Son contratos estatales todos los actos jurídicos generadores de obligaciones que celebren las entidades a que se refiere el presente estatuto, previstos en el derecho privado o en disposiciones especiales, o derivados del ejercicio de la autonomía de la voluntad”. </w:t>
            </w:r>
            <w:r w:rsidRPr="00D10CB9">
              <w:rPr>
                <w:rFonts w:ascii="Verdana" w:eastAsia="Arial MT" w:hAnsi="Verdana" w:cs="Arial MT"/>
              </w:rPr>
              <w:t>A su vez, el inciso primero del artículo 40 de la misma ley dispone que las estipulaciones contractuales serán las que, de acuerdo con las normas civiles, comerciales y las previstas en dicha ley, correspondan a su esencia y naturaleza. En consecuencia, aunque el contrato de sociedad se rige en su contenido por las disposiciones del derecho privado, su celebración debe sujetarse a las reglas de contratación estatal cuando una de las partes sea una entidad sometida a la Ley 80 de 1993.</w:t>
            </w:r>
          </w:p>
          <w:p w14:paraId="4C844080" w14:textId="77777777" w:rsidR="00873901" w:rsidRDefault="00873901" w:rsidP="00FA446D">
            <w:pPr>
              <w:spacing w:before="120" w:after="120" w:line="276" w:lineRule="auto"/>
              <w:ind w:firstLine="709"/>
              <w:jc w:val="both"/>
              <w:rPr>
                <w:rFonts w:ascii="Verdana" w:hAnsi="Verdana" w:cs="Arial"/>
              </w:rPr>
            </w:pPr>
            <w:r w:rsidRPr="005F2FC6">
              <w:rPr>
                <w:rFonts w:ascii="Verdana" w:eastAsia="Aptos" w:hAnsi="Verdana" w:cs="Arial"/>
              </w:rPr>
              <w:t>Ahora bien, ni la Ley 489 de 1998 ni el Código de Comercio establecen una modalidad específica para seleccionar al particular que concurrirá con la entidad pública en la constitución de una sociedad de economía mixta. En consecuencia, resulta aplicable el régimen general previsto en el artículo 2 de la Ley 1150 de 2007, conforme al cual la escogencia del contratista debe realizarse mediante las modalidades de licitación pública, selección abreviada, concurso de méritos, contratación directa o mínima cuantía, según corresponda, siendo la licitación pública la regla general y las demás modalidades de carácter excepcional.</w:t>
            </w:r>
          </w:p>
          <w:p w14:paraId="08AB4A24" w14:textId="77777777" w:rsidR="00873901" w:rsidRDefault="00873901" w:rsidP="00FA446D">
            <w:pPr>
              <w:widowControl w:val="0"/>
              <w:autoSpaceDE w:val="0"/>
              <w:autoSpaceDN w:val="0"/>
              <w:spacing w:before="120" w:after="120" w:line="276" w:lineRule="auto"/>
              <w:ind w:firstLine="708"/>
              <w:jc w:val="both"/>
              <w:rPr>
                <w:rFonts w:ascii="Verdana" w:eastAsia="Arial MT" w:hAnsi="Verdana" w:cs="Arial MT"/>
              </w:rPr>
            </w:pPr>
            <w:r w:rsidRPr="00475B79">
              <w:rPr>
                <w:rFonts w:ascii="Verdana" w:hAnsi="Verdana" w:cs="Arial"/>
              </w:rPr>
              <w:t xml:space="preserve">En ese contexto, la selección del socio estratégico implica la escogencia de un particular que aportará capital, conocimiento especializado, tecnología, capacidades técnicas u otros recursos para conformar una nueva persona jurídica con participación estatal. Como dicha vinculación se materializa mediante la celebración de un contrato estatal y el legislador no ha previsto una modalidad especial para este supuesto, la entidad debe acudir, por regla general, a la licitación pública, salvo que en el caso concreto se configure alguna de las causales legales que permiten la aplicación de una modalidad </w:t>
            </w:r>
            <w:r w:rsidRPr="00475B79">
              <w:rPr>
                <w:rFonts w:ascii="Verdana" w:hAnsi="Verdana" w:cs="Arial"/>
              </w:rPr>
              <w:lastRenderedPageBreak/>
              <w:t>excepcional de selección.</w:t>
            </w:r>
            <w:r>
              <w:rPr>
                <w:rFonts w:ascii="Verdana" w:hAnsi="Verdana" w:cs="Arial"/>
              </w:rPr>
              <w:t xml:space="preserve"> </w:t>
            </w:r>
          </w:p>
          <w:p w14:paraId="2E48002D" w14:textId="77777777" w:rsidR="00873901" w:rsidRDefault="00873901" w:rsidP="00FA446D">
            <w:pPr>
              <w:widowControl w:val="0"/>
              <w:autoSpaceDE w:val="0"/>
              <w:autoSpaceDN w:val="0"/>
              <w:spacing w:before="120" w:after="120" w:line="276" w:lineRule="auto"/>
              <w:ind w:firstLine="708"/>
              <w:jc w:val="both"/>
              <w:rPr>
                <w:rFonts w:ascii="Verdana" w:eastAsia="Arial MT" w:hAnsi="Verdana" w:cs="Arial MT"/>
              </w:rPr>
            </w:pPr>
            <w:r w:rsidRPr="00B547B1">
              <w:rPr>
                <w:rFonts w:ascii="Verdana" w:eastAsia="Arial MT" w:hAnsi="Verdana" w:cs="Arial MT"/>
              </w:rPr>
              <w:t>La licitación pública es la modalidad que mejor permite garantizar los principios de transparencia, selección objetiva, igualdad y libre concurrencia, en la medida en que posibilita la comparación integral de las propuestas presentadas por los interesados, valorando aspectos como el capital ofrecido, la experiencia, la capacidad técnica, el modelo de negocio, la distribución de riesgos, la transferencia de conocimiento y los demás aportes que resulten relevantes para el objeto de la sociedad. En consecuencia, la entidad deberá estructurar los documentos del proceso definiendo con claridad el tipo societario, los aportes públicos y privados, la distribución de derechos y obligaciones entre los socios, así como los criterios objetivos de evaluación que permitan identificar la oferta más favorable para el interés general.</w:t>
            </w:r>
          </w:p>
          <w:p w14:paraId="1B3B8190" w14:textId="77777777" w:rsidR="00873901" w:rsidRPr="00FF252F" w:rsidRDefault="00873901" w:rsidP="00FA446D">
            <w:pPr>
              <w:spacing w:after="120" w:line="276" w:lineRule="auto"/>
              <w:ind w:firstLine="709"/>
              <w:jc w:val="both"/>
              <w:rPr>
                <w:rFonts w:ascii="Verdana" w:hAnsi="Verdana" w:cs="Arial"/>
                <w:lang w:val="es-ES" w:eastAsia="es-ES"/>
              </w:rPr>
            </w:pPr>
            <w:r w:rsidRPr="00711B63">
              <w:rPr>
                <w:rFonts w:ascii="Verdana" w:hAnsi="Verdana" w:cs="Arial"/>
                <w:lang w:eastAsia="es-ES"/>
              </w:rPr>
              <w:t>Dentro de este marco, corresponde a cada entidad pública analizar las circunstancias particulares del caso concreto y determinar la modalidad de selección aplicable con fundamento en el ordenamiento jurídico vigente. Por tratarse de una decisión que depende de las características específicas de cada actuación contractual, esta Agencia no puede establecer, mediante concepto, una regla absoluta aplicable a todos los supuestos, sino ofrecer criterios generales de interpretación para orientar la aplicación del régimen de compras y contratación pública, sin que ello implique validar o sustituir las decisiones que, en ejercicio de sus competencias, corresponde adoptar a cada entidad estatal.</w:t>
            </w:r>
          </w:p>
        </w:tc>
      </w:tr>
    </w:tbl>
    <w:p w14:paraId="1BB98F95" w14:textId="77777777" w:rsidR="00873901" w:rsidRPr="00B57A1B" w:rsidRDefault="00873901" w:rsidP="00873901">
      <w:pPr>
        <w:spacing w:after="0" w:line="276" w:lineRule="auto"/>
        <w:jc w:val="both"/>
        <w:rPr>
          <w:rFonts w:ascii="Verdana" w:eastAsia="Calibri" w:hAnsi="Verdana" w:cs="Arial"/>
          <w:bCs/>
          <w:color w:val="000000" w:themeColor="text1"/>
        </w:rPr>
      </w:pPr>
    </w:p>
    <w:p w14:paraId="38C6174E" w14:textId="77777777" w:rsidR="00873901" w:rsidRPr="00B57A1B" w:rsidRDefault="00873901" w:rsidP="00873901">
      <w:pPr>
        <w:numPr>
          <w:ilvl w:val="0"/>
          <w:numId w:val="16"/>
        </w:numPr>
        <w:tabs>
          <w:tab w:val="left" w:pos="2268"/>
        </w:tabs>
        <w:spacing w:after="0" w:line="256" w:lineRule="auto"/>
        <w:rPr>
          <w:rFonts w:ascii="Verdana" w:eastAsia="Calibri" w:hAnsi="Verdana" w:cs="Times New Roman"/>
          <w:b/>
          <w:bCs/>
          <w:lang w:val="es-ES"/>
        </w:rPr>
      </w:pPr>
      <w:r w:rsidRPr="00B57A1B">
        <w:rPr>
          <w:rFonts w:ascii="Verdana" w:eastAsia="Calibri" w:hAnsi="Verdana" w:cs="Times New Roman"/>
          <w:b/>
          <w:bCs/>
          <w:lang w:val="es-ES"/>
        </w:rPr>
        <w:t>Razones de la respuesta:</w:t>
      </w:r>
    </w:p>
    <w:p w14:paraId="2278CC73" w14:textId="77777777" w:rsidR="00873901" w:rsidRPr="00B57A1B" w:rsidRDefault="00873901" w:rsidP="00873901">
      <w:pPr>
        <w:spacing w:after="0" w:line="256" w:lineRule="auto"/>
        <w:rPr>
          <w:rFonts w:ascii="Verdana" w:eastAsia="Calibri" w:hAnsi="Verdana" w:cs="Times New Roman"/>
          <w:b/>
          <w:bCs/>
          <w:lang w:val="es-ES"/>
        </w:rPr>
      </w:pPr>
    </w:p>
    <w:p w14:paraId="0F482BB3" w14:textId="77777777" w:rsidR="00873901" w:rsidRPr="00B57A1B" w:rsidRDefault="00873901" w:rsidP="00873901">
      <w:pPr>
        <w:spacing w:after="0" w:line="276" w:lineRule="auto"/>
        <w:jc w:val="both"/>
        <w:rPr>
          <w:rFonts w:ascii="Verdana" w:eastAsia="Calibri" w:hAnsi="Verdana" w:cs="Arial"/>
          <w:lang w:val="es-ES"/>
        </w:rPr>
      </w:pPr>
      <w:r w:rsidRPr="00B57A1B">
        <w:rPr>
          <w:rFonts w:ascii="Verdana" w:eastAsia="Calibri" w:hAnsi="Verdana" w:cs="Arial"/>
          <w:lang w:val="es-ES"/>
        </w:rPr>
        <w:t xml:space="preserve">Lo anterior se sustenta en las siguientes consideraciones: </w:t>
      </w:r>
    </w:p>
    <w:p w14:paraId="5EC13649" w14:textId="77777777" w:rsidR="00873901" w:rsidRDefault="00873901" w:rsidP="00873901">
      <w:pPr>
        <w:spacing w:after="0" w:line="276" w:lineRule="auto"/>
        <w:jc w:val="both"/>
        <w:rPr>
          <w:rFonts w:ascii="Verdana" w:hAnsi="Verdana" w:cs="Arial"/>
          <w:bCs/>
          <w:lang w:val="es-ES" w:eastAsia="es-ES" w:bidi="es-ES"/>
        </w:rPr>
      </w:pPr>
    </w:p>
    <w:p w14:paraId="354C7A91" w14:textId="77777777" w:rsidR="00873901" w:rsidRPr="0094448B" w:rsidRDefault="00873901" w:rsidP="00873901">
      <w:pPr>
        <w:spacing w:after="120" w:line="276" w:lineRule="auto"/>
        <w:jc w:val="both"/>
        <w:rPr>
          <w:rFonts w:ascii="Verdana" w:hAnsi="Verdana" w:cs="Arial"/>
        </w:rPr>
      </w:pPr>
      <w:r w:rsidRPr="0094448B">
        <w:rPr>
          <w:rFonts w:ascii="Verdana" w:eastAsia="Calibri" w:hAnsi="Verdana" w:cs="Arial"/>
          <w:bCs/>
          <w:lang w:val="es-ES_tradnl"/>
        </w:rPr>
        <w:t xml:space="preserve">i. </w:t>
      </w:r>
      <w:r w:rsidRPr="0094448B">
        <w:rPr>
          <w:rFonts w:ascii="Verdana" w:eastAsia="Calibri" w:hAnsi="Verdana" w:cs="Arial"/>
          <w:lang w:val="es-ES"/>
        </w:rPr>
        <w:t xml:space="preserve">Respecto al régimen jurídico de las </w:t>
      </w:r>
      <w:r w:rsidRPr="0094448B">
        <w:rPr>
          <w:rFonts w:ascii="Verdana" w:eastAsia="Calibri" w:hAnsi="Verdana" w:cs="Arial"/>
          <w:i/>
          <w:iCs/>
          <w:lang w:val="es-ES"/>
        </w:rPr>
        <w:t>entidades sometidas</w:t>
      </w:r>
      <w:r w:rsidRPr="0094448B">
        <w:rPr>
          <w:rFonts w:ascii="Verdana" w:eastAsia="Calibri" w:hAnsi="Verdana" w:cs="Arial"/>
          <w:lang w:val="es-ES"/>
        </w:rPr>
        <w:t xml:space="preserve">, es necesario tener en cuenta que el Estatuto General de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privado. Por ello, </w:t>
      </w:r>
      <w:r w:rsidRPr="0094448B">
        <w:rPr>
          <w:rFonts w:ascii="Verdana" w:hAnsi="Verdana" w:cs="Arial"/>
        </w:rPr>
        <w:t xml:space="preserve">el inciso primero del artículo 13 dispone que “Los contratos que celebren las entidades a que se refiere el artículo 2o. del </w:t>
      </w:r>
      <w:r w:rsidRPr="0094448B">
        <w:rPr>
          <w:rFonts w:ascii="Verdana" w:hAnsi="Verdana" w:cs="Arial"/>
        </w:rPr>
        <w:lastRenderedPageBreak/>
        <w:t xml:space="preserve">presente estatuto se regirán por las disposiciones comerciales y civiles pertinentes, salvo en las materias particularmente reguladas en esta ley”. </w:t>
      </w:r>
    </w:p>
    <w:p w14:paraId="5206E3AB" w14:textId="77777777" w:rsidR="00873901" w:rsidRPr="0094448B" w:rsidRDefault="00873901" w:rsidP="00873901">
      <w:pPr>
        <w:spacing w:after="120" w:line="276" w:lineRule="auto"/>
        <w:ind w:firstLine="709"/>
        <w:jc w:val="both"/>
        <w:rPr>
          <w:rFonts w:ascii="Verdana" w:hAnsi="Verdana" w:cs="Arial"/>
        </w:rPr>
      </w:pPr>
      <w:r w:rsidRPr="0094448B">
        <w:rPr>
          <w:rFonts w:ascii="Verdana" w:hAnsi="Verdana" w:cs="Arial"/>
        </w:rPr>
        <w:t>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Asimismo, dispone que “Las estipulaciones de los contratos serán las que, de acuerdo con las normas civiles, comerciales y las previstas en esta ley, correspondan a su esencia y naturaleza” –art. 40, inciso primero–.</w:t>
      </w:r>
    </w:p>
    <w:p w14:paraId="6D58EC89" w14:textId="77777777" w:rsidR="00873901" w:rsidRPr="0094448B" w:rsidRDefault="00873901" w:rsidP="00873901">
      <w:pPr>
        <w:spacing w:after="0" w:line="276" w:lineRule="auto"/>
        <w:ind w:firstLine="708"/>
        <w:jc w:val="both"/>
        <w:rPr>
          <w:rFonts w:ascii="Verdana" w:hAnsi="Verdana" w:cs="Arial"/>
        </w:rPr>
      </w:pPr>
      <w:r w:rsidRPr="0094448B">
        <w:rPr>
          <w:rFonts w:ascii="Verdana" w:hAnsi="Verdana" w:cs="Arial"/>
        </w:rPr>
        <w:t>De esta manera, los contratos de las entidades sujetas al Estatuto General de Contratación se rigen generalmente por el derecho privado y excepcionalmente por el derecho público, pues las normas civiles y comerciales son el derecho común de los contratos estatales</w:t>
      </w:r>
      <w:r w:rsidRPr="0094448B">
        <w:rPr>
          <w:rFonts w:ascii="Verdana" w:hAnsi="Verdana" w:cs="Arial"/>
          <w:vertAlign w:val="superscript"/>
        </w:rPr>
        <w:footnoteReference w:id="1"/>
      </w:r>
      <w:r w:rsidRPr="0094448B">
        <w:rPr>
          <w:rFonts w:ascii="Verdana" w:hAnsi="Verdana" w:cs="Arial"/>
        </w:rPr>
        <w:t>. Para la doctrina, la mixtura del régimen contractual:</w:t>
      </w:r>
    </w:p>
    <w:p w14:paraId="077746AC" w14:textId="77777777" w:rsidR="00873901" w:rsidRPr="0094448B" w:rsidRDefault="00873901" w:rsidP="00873901">
      <w:pPr>
        <w:spacing w:after="0" w:line="276" w:lineRule="auto"/>
        <w:ind w:firstLine="709"/>
        <w:jc w:val="both"/>
        <w:rPr>
          <w:rFonts w:ascii="Verdana" w:hAnsi="Verdana" w:cs="Arial"/>
        </w:rPr>
      </w:pPr>
    </w:p>
    <w:p w14:paraId="05DEF48D" w14:textId="77777777" w:rsidR="00873901" w:rsidRPr="00962868" w:rsidRDefault="00873901" w:rsidP="00873901">
      <w:pPr>
        <w:spacing w:after="0" w:line="240" w:lineRule="auto"/>
        <w:ind w:left="709" w:right="709"/>
        <w:jc w:val="both"/>
        <w:rPr>
          <w:rFonts w:ascii="Verdana" w:hAnsi="Verdana" w:cs="Arial"/>
          <w:sz w:val="20"/>
          <w:szCs w:val="20"/>
        </w:rPr>
      </w:pPr>
      <w:r w:rsidRPr="00962868">
        <w:rPr>
          <w:rFonts w:ascii="Verdana" w:hAnsi="Verdana" w:cs="Arial"/>
          <w:sz w:val="20"/>
          <w:szCs w:val="20"/>
        </w:rPr>
        <w:t xml:space="preserve">“[…] no hace otra cosa que aprovechar ciertos principios rectores de la contratación general </w:t>
      </w:r>
      <w:proofErr w:type="gramStart"/>
      <w:r w:rsidRPr="00962868">
        <w:rPr>
          <w:rFonts w:ascii="Verdana" w:hAnsi="Verdana" w:cs="Arial"/>
          <w:sz w:val="20"/>
          <w:szCs w:val="20"/>
        </w:rPr>
        <w:t>que</w:t>
      </w:r>
      <w:proofErr w:type="gramEnd"/>
      <w:r w:rsidRPr="00962868">
        <w:rPr>
          <w:rFonts w:ascii="Verdana" w:hAnsi="Verdana" w:cs="Arial"/>
          <w:sz w:val="20"/>
          <w:szCs w:val="20"/>
        </w:rPr>
        <w:t xml:space="preserve"> aunque tengan su consagración en códigos de derecho privado como el civil o el comercial, no son propios y exclusivos de este derecho. Baste pensar en los requisitos de consentimiento válido, objeto y causa lícitos, capacidad, elementos esenciales según la naturaleza de cada contrato, responsabilidad, naturaleza de las obligaciones emanadas de los mismos, etc. etc. Extremos éstos que de derecho privado no tienen sino su presentación formal o el nombre y que la tradición, desde su origen romano, se acostumbró a calificarlos así y a no preocuparse por su cuestionamiento o definición.</w:t>
      </w:r>
    </w:p>
    <w:p w14:paraId="55588450" w14:textId="77777777" w:rsidR="00873901" w:rsidRPr="00962868" w:rsidRDefault="00873901" w:rsidP="00873901">
      <w:pPr>
        <w:spacing w:after="0" w:line="240" w:lineRule="auto"/>
        <w:ind w:left="709" w:right="709"/>
        <w:jc w:val="both"/>
        <w:rPr>
          <w:rFonts w:ascii="Verdana" w:hAnsi="Verdana" w:cs="Arial"/>
          <w:sz w:val="20"/>
          <w:szCs w:val="20"/>
        </w:rPr>
      </w:pPr>
    </w:p>
    <w:p w14:paraId="3FD8C8A7" w14:textId="77777777" w:rsidR="00873901" w:rsidRPr="00962868" w:rsidRDefault="00873901" w:rsidP="00873901">
      <w:pPr>
        <w:spacing w:after="0" w:line="240" w:lineRule="auto"/>
        <w:ind w:left="709" w:right="709"/>
        <w:jc w:val="both"/>
        <w:rPr>
          <w:rFonts w:ascii="Verdana" w:hAnsi="Verdana" w:cs="Arial"/>
          <w:sz w:val="20"/>
          <w:szCs w:val="20"/>
        </w:rPr>
      </w:pPr>
      <w:r w:rsidRPr="00962868">
        <w:rPr>
          <w:rFonts w:ascii="Verdana" w:hAnsi="Verdana" w:cs="Arial"/>
          <w:sz w:val="20"/>
          <w:szCs w:val="20"/>
        </w:rPr>
        <w:t>En otras palabras, extremos como los indicados no son ni de derecho público ni de derecho privado, sino, simplemente, de derecho propio, aplicables a toda relación contractual, con prescindencia de la naturaleza de los sujetos involucrados en la misma”</w:t>
      </w:r>
      <w:r w:rsidRPr="00962868">
        <w:rPr>
          <w:rFonts w:ascii="Verdana" w:hAnsi="Verdana" w:cs="Arial"/>
          <w:sz w:val="20"/>
          <w:szCs w:val="20"/>
          <w:vertAlign w:val="superscript"/>
        </w:rPr>
        <w:footnoteReference w:id="2"/>
      </w:r>
      <w:r w:rsidRPr="00962868">
        <w:rPr>
          <w:rFonts w:ascii="Verdana" w:hAnsi="Verdana" w:cs="Arial"/>
          <w:sz w:val="20"/>
          <w:szCs w:val="20"/>
        </w:rPr>
        <w:t xml:space="preserve">. </w:t>
      </w:r>
    </w:p>
    <w:p w14:paraId="7A969577" w14:textId="77777777" w:rsidR="00873901" w:rsidRPr="0094448B" w:rsidRDefault="00873901" w:rsidP="00873901">
      <w:pPr>
        <w:spacing w:after="0" w:line="276" w:lineRule="auto"/>
        <w:ind w:left="709" w:right="709"/>
        <w:jc w:val="both"/>
        <w:rPr>
          <w:rFonts w:ascii="Verdana" w:hAnsi="Verdana" w:cs="Arial"/>
        </w:rPr>
      </w:pPr>
      <w:r w:rsidRPr="0094448B">
        <w:rPr>
          <w:rFonts w:ascii="Verdana" w:hAnsi="Verdana" w:cs="Arial"/>
        </w:rPr>
        <w:t xml:space="preserve"> </w:t>
      </w:r>
    </w:p>
    <w:p w14:paraId="7DF0FE86" w14:textId="77777777" w:rsidR="00873901" w:rsidRPr="0094448B" w:rsidRDefault="00873901" w:rsidP="00873901">
      <w:pPr>
        <w:spacing w:after="120" w:line="276" w:lineRule="auto"/>
        <w:jc w:val="both"/>
        <w:rPr>
          <w:rFonts w:ascii="Verdana" w:hAnsi="Verdana" w:cs="Arial"/>
        </w:rPr>
      </w:pPr>
      <w:r w:rsidRPr="0094448B">
        <w:rPr>
          <w:rFonts w:ascii="Verdana" w:hAnsi="Verdana" w:cs="Arial"/>
        </w:rPr>
        <w:tab/>
        <w:t xml:space="preserve">Ello no implica una privatización absoluta del régimen contractual de las entidades públicas, pues la Ley 80 de 1993 –entre otros aspectos– regula </w:t>
      </w:r>
      <w:r w:rsidRPr="0094448B">
        <w:rPr>
          <w:rFonts w:ascii="Verdana" w:hAnsi="Verdana" w:cs="Arial"/>
        </w:rPr>
        <w:lastRenderedPageBreak/>
        <w:t>especialmente la capacidad jurídica –inhabilidades, incompatibilidades, consorcios y uniones temporales y registro único de proponentes–, las reglas de selección objetiva –procedimientos de selección–, así como algunos aspectos de ejecución contractual –manejo del riesgo, cláusulas exorbitantes y tipologías contractuales–. Por ello, con excepción de las materias expresamente reguladas en el Estatuto de Contratación, es posible la aplicación de las normas de derecho privado.</w:t>
      </w:r>
    </w:p>
    <w:p w14:paraId="2161441B" w14:textId="77777777" w:rsidR="00873901" w:rsidRPr="0094448B" w:rsidRDefault="00873901" w:rsidP="00873901">
      <w:pPr>
        <w:spacing w:after="120" w:line="276" w:lineRule="auto"/>
        <w:ind w:firstLine="709"/>
        <w:jc w:val="both"/>
        <w:rPr>
          <w:rFonts w:ascii="Verdana" w:hAnsi="Verdana" w:cs="Arial"/>
        </w:rPr>
      </w:pPr>
      <w:r w:rsidRPr="0094448B">
        <w:rPr>
          <w:rFonts w:ascii="Verdana" w:hAnsi="Verdana" w:cs="Arial"/>
        </w:rPr>
        <w:t xml:space="preserve">No obstante, aunque tenga una influencia limitada, las </w:t>
      </w:r>
      <w:r w:rsidRPr="0094448B">
        <w:rPr>
          <w:rFonts w:ascii="Verdana" w:hAnsi="Verdana" w:cs="Arial"/>
          <w:i/>
          <w:iCs/>
        </w:rPr>
        <w:t>entidades del régimen exceptuado</w:t>
      </w:r>
      <w:r w:rsidRPr="0094448B">
        <w:rPr>
          <w:rFonts w:ascii="Verdana" w:hAnsi="Verdana" w:cs="Arial"/>
        </w:rPr>
        <w:t xml:space="preserve"> no se deslingan por completo de las normas de derecho público. Esto en la medida que el inciso primero del artículo 13 de la Ley 1150 de 2007 prescribe lo siguiente: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2B7E892A" w14:textId="77777777" w:rsidR="00873901" w:rsidRPr="0094448B" w:rsidRDefault="00873901" w:rsidP="00873901">
      <w:pPr>
        <w:spacing w:after="0" w:line="276" w:lineRule="auto"/>
        <w:ind w:firstLine="708"/>
        <w:jc w:val="both"/>
        <w:rPr>
          <w:rFonts w:ascii="Verdana" w:hAnsi="Verdana" w:cs="Arial"/>
        </w:rPr>
      </w:pPr>
      <w:r w:rsidRPr="0094448B">
        <w:rPr>
          <w:rFonts w:ascii="Verdana" w:hAnsi="Verdana" w:cs="Arial"/>
        </w:rPr>
        <w:t xml:space="preserve">La existencia de entidades exceptuadas del EGCAP se ha justificado por alguna de las siguientes tres (3) circunstancias: i) facilitar la competencia económica –como ocurre actualmente respecto al régimen de los servicios públicos domiciliarios–, </w:t>
      </w:r>
      <w:proofErr w:type="spellStart"/>
      <w:r w:rsidRPr="0094448B">
        <w:rPr>
          <w:rFonts w:ascii="Verdana" w:hAnsi="Verdana" w:cs="Arial"/>
        </w:rPr>
        <w:t>ii</w:t>
      </w:r>
      <w:proofErr w:type="spellEnd"/>
      <w:r w:rsidRPr="0094448B">
        <w:rPr>
          <w:rFonts w:ascii="Verdana" w:hAnsi="Verdana" w:cs="Arial"/>
        </w:rPr>
        <w:t xml:space="preserve">) flexibilizar el ejercicio de la función administrativa –como en los contratos del Banco de la República o los de ciencia y tecnología– o </w:t>
      </w:r>
      <w:proofErr w:type="spellStart"/>
      <w:r w:rsidRPr="0094448B">
        <w:rPr>
          <w:rFonts w:ascii="Verdana" w:hAnsi="Verdana" w:cs="Arial"/>
        </w:rPr>
        <w:t>iii</w:t>
      </w:r>
      <w:proofErr w:type="spellEnd"/>
      <w:r w:rsidRPr="0094448B">
        <w:rPr>
          <w:rFonts w:ascii="Verdana" w:hAnsi="Verdana" w:cs="Arial"/>
        </w:rPr>
        <w:t>) establecer un régimen especial sin excluir por completo la aplicación de la Ley 80 de 1993 –como ocurre en la operaciones del crédito público–</w:t>
      </w:r>
      <w:r w:rsidRPr="0094448B">
        <w:rPr>
          <w:rFonts w:ascii="Verdana" w:hAnsi="Verdana" w:cs="Arial"/>
          <w:vertAlign w:val="superscript"/>
        </w:rPr>
        <w:footnoteReference w:id="3"/>
      </w:r>
      <w:r w:rsidRPr="0094448B">
        <w:rPr>
          <w:rFonts w:ascii="Verdana" w:hAnsi="Verdana" w:cs="Arial"/>
        </w:rPr>
        <w:t xml:space="preserve">.  Para estos efectos, la doctrina ha identificado 171 entidades y contratos que manejan un régimen excepcional, los cuales se clasifican de acuerdo i) al sector económico, </w:t>
      </w:r>
      <w:proofErr w:type="spellStart"/>
      <w:r w:rsidRPr="0094448B">
        <w:rPr>
          <w:rFonts w:ascii="Verdana" w:hAnsi="Verdana" w:cs="Arial"/>
        </w:rPr>
        <w:t>ii</w:t>
      </w:r>
      <w:proofErr w:type="spellEnd"/>
      <w:r w:rsidRPr="0094448B">
        <w:rPr>
          <w:rFonts w:ascii="Verdana" w:hAnsi="Verdana" w:cs="Arial"/>
        </w:rPr>
        <w:t xml:space="preserve">) la asignación de un esquema legal especial, </w:t>
      </w:r>
      <w:proofErr w:type="spellStart"/>
      <w:r w:rsidRPr="0094448B">
        <w:rPr>
          <w:rFonts w:ascii="Verdana" w:hAnsi="Verdana" w:cs="Arial"/>
        </w:rPr>
        <w:t>iii</w:t>
      </w:r>
      <w:proofErr w:type="spellEnd"/>
      <w:r w:rsidRPr="0094448B">
        <w:rPr>
          <w:rFonts w:ascii="Verdana" w:hAnsi="Verdana" w:cs="Arial"/>
        </w:rPr>
        <w:t xml:space="preserve">) el objeto del contrato celebrado y </w:t>
      </w:r>
      <w:proofErr w:type="spellStart"/>
      <w:r w:rsidRPr="0094448B">
        <w:rPr>
          <w:rFonts w:ascii="Verdana" w:hAnsi="Verdana" w:cs="Arial"/>
        </w:rPr>
        <w:t>iv</w:t>
      </w:r>
      <w:proofErr w:type="spellEnd"/>
      <w:r w:rsidRPr="0094448B">
        <w:rPr>
          <w:rFonts w:ascii="Verdana" w:hAnsi="Verdana" w:cs="Arial"/>
        </w:rPr>
        <w:t>) la existencia de fondos que administran recursos públicos</w:t>
      </w:r>
      <w:r w:rsidRPr="0094448B">
        <w:rPr>
          <w:rFonts w:ascii="Verdana" w:hAnsi="Verdana" w:cs="Arial"/>
          <w:vertAlign w:val="superscript"/>
        </w:rPr>
        <w:footnoteReference w:id="4"/>
      </w:r>
      <w:r w:rsidRPr="0094448B">
        <w:rPr>
          <w:rFonts w:ascii="Verdana" w:hAnsi="Verdana" w:cs="Arial"/>
        </w:rPr>
        <w:t>.</w:t>
      </w:r>
    </w:p>
    <w:p w14:paraId="3060E36E" w14:textId="77777777" w:rsidR="00873901" w:rsidRPr="0094448B" w:rsidRDefault="00873901" w:rsidP="00873901">
      <w:pPr>
        <w:spacing w:after="0" w:line="276" w:lineRule="auto"/>
        <w:jc w:val="both"/>
        <w:rPr>
          <w:rFonts w:ascii="Verdana" w:hAnsi="Verdana" w:cs="Arial"/>
          <w:bCs/>
          <w:lang w:val="es-MX"/>
        </w:rPr>
      </w:pPr>
    </w:p>
    <w:p w14:paraId="1001BE44" w14:textId="77777777" w:rsidR="00873901" w:rsidRPr="0094448B" w:rsidRDefault="00873901" w:rsidP="00873901">
      <w:pPr>
        <w:widowControl w:val="0"/>
        <w:autoSpaceDE w:val="0"/>
        <w:autoSpaceDN w:val="0"/>
        <w:spacing w:after="0" w:line="276" w:lineRule="auto"/>
        <w:jc w:val="both"/>
        <w:rPr>
          <w:rFonts w:ascii="Verdana" w:eastAsia="Arial MT" w:hAnsi="Verdana" w:cs="Arial MT"/>
          <w:lang w:val="es-ES"/>
        </w:rPr>
      </w:pPr>
      <w:proofErr w:type="spellStart"/>
      <w:r w:rsidRPr="0094448B">
        <w:rPr>
          <w:rFonts w:ascii="Verdana" w:eastAsia="Arial MT" w:hAnsi="Verdana" w:cs="Arial MT"/>
          <w:lang w:val="es-ES"/>
        </w:rPr>
        <w:t>ii</w:t>
      </w:r>
      <w:proofErr w:type="spellEnd"/>
      <w:r w:rsidRPr="0094448B">
        <w:rPr>
          <w:rFonts w:ascii="Verdana" w:eastAsia="Arial MT" w:hAnsi="Verdana" w:cs="Arial MT"/>
          <w:lang w:val="es-ES"/>
        </w:rPr>
        <w:t>. En nuestro ordenamiento jurídico el artículo 97 de la</w:t>
      </w:r>
      <w:r w:rsidRPr="0094448B">
        <w:rPr>
          <w:rFonts w:ascii="Verdana" w:eastAsia="Arial MT" w:hAnsi="Verdana" w:cs="Arial MT"/>
          <w:spacing w:val="-1"/>
          <w:lang w:val="es-ES"/>
        </w:rPr>
        <w:t xml:space="preserve"> </w:t>
      </w:r>
      <w:r w:rsidRPr="0094448B">
        <w:rPr>
          <w:rFonts w:ascii="Verdana" w:eastAsia="Arial MT" w:hAnsi="Verdana" w:cs="Arial MT"/>
          <w:lang w:val="es-ES"/>
        </w:rPr>
        <w:t xml:space="preserve">Ley 489 de 1998 define </w:t>
      </w:r>
      <w:r w:rsidRPr="0094448B">
        <w:rPr>
          <w:rFonts w:ascii="Verdana" w:eastAsia="Arial MT" w:hAnsi="Verdana" w:cs="Arial MT"/>
          <w:lang w:val="es-ES"/>
        </w:rPr>
        <w:lastRenderedPageBreak/>
        <w:t>a las sociedades</w:t>
      </w:r>
      <w:r w:rsidRPr="0094448B">
        <w:rPr>
          <w:rFonts w:ascii="Verdana" w:eastAsia="Arial MT" w:hAnsi="Verdana" w:cs="Arial MT"/>
          <w:spacing w:val="40"/>
          <w:lang w:val="es-ES"/>
        </w:rPr>
        <w:t xml:space="preserve"> </w:t>
      </w:r>
      <w:r w:rsidRPr="0094448B">
        <w:rPr>
          <w:rFonts w:ascii="Verdana" w:eastAsia="Arial MT" w:hAnsi="Verdana" w:cs="Arial MT"/>
          <w:lang w:val="es-ES"/>
        </w:rPr>
        <w:t>de</w:t>
      </w:r>
      <w:r w:rsidRPr="0094448B">
        <w:rPr>
          <w:rFonts w:ascii="Verdana" w:eastAsia="Arial MT" w:hAnsi="Verdana" w:cs="Arial MT"/>
          <w:spacing w:val="40"/>
          <w:lang w:val="es-ES"/>
        </w:rPr>
        <w:t xml:space="preserve"> </w:t>
      </w:r>
      <w:r w:rsidRPr="0094448B">
        <w:rPr>
          <w:rFonts w:ascii="Verdana" w:eastAsia="Arial MT" w:hAnsi="Verdana" w:cs="Arial MT"/>
          <w:lang w:val="es-ES"/>
        </w:rPr>
        <w:t>economía</w:t>
      </w:r>
      <w:r w:rsidRPr="0094448B">
        <w:rPr>
          <w:rFonts w:ascii="Verdana" w:eastAsia="Arial MT" w:hAnsi="Verdana" w:cs="Arial MT"/>
          <w:spacing w:val="40"/>
          <w:lang w:val="es-ES"/>
        </w:rPr>
        <w:t xml:space="preserve"> </w:t>
      </w:r>
      <w:r w:rsidRPr="0094448B">
        <w:rPr>
          <w:rFonts w:ascii="Verdana" w:eastAsia="Arial MT" w:hAnsi="Verdana" w:cs="Arial MT"/>
          <w:lang w:val="es-ES"/>
        </w:rPr>
        <w:t>mixta</w:t>
      </w:r>
      <w:r w:rsidRPr="0094448B">
        <w:rPr>
          <w:rFonts w:ascii="Verdana" w:eastAsia="Arial MT" w:hAnsi="Verdana" w:cs="Arial MT"/>
          <w:spacing w:val="40"/>
          <w:lang w:val="es-ES"/>
        </w:rPr>
        <w:t xml:space="preserve"> </w:t>
      </w:r>
      <w:r w:rsidRPr="0094448B">
        <w:rPr>
          <w:rFonts w:ascii="Verdana" w:eastAsia="Arial MT" w:hAnsi="Verdana" w:cs="Arial MT"/>
          <w:lang w:val="es-ES"/>
        </w:rPr>
        <w:t>como</w:t>
      </w:r>
      <w:r w:rsidRPr="0094448B">
        <w:rPr>
          <w:rFonts w:ascii="Verdana" w:eastAsia="Arial MT" w:hAnsi="Verdana" w:cs="Arial MT"/>
          <w:spacing w:val="40"/>
          <w:lang w:val="es-ES"/>
        </w:rPr>
        <w:t xml:space="preserve"> </w:t>
      </w:r>
      <w:r w:rsidRPr="0094448B">
        <w:rPr>
          <w:rFonts w:ascii="Verdana" w:eastAsia="Arial MT" w:hAnsi="Verdana" w:cs="Arial MT"/>
          <w:lang w:val="es-ES"/>
        </w:rPr>
        <w:t>organismos</w:t>
      </w:r>
      <w:r w:rsidRPr="0094448B">
        <w:rPr>
          <w:rFonts w:ascii="Verdana" w:eastAsia="Arial MT" w:hAnsi="Verdana" w:cs="Arial MT"/>
          <w:spacing w:val="40"/>
          <w:lang w:val="es-ES"/>
        </w:rPr>
        <w:t xml:space="preserve"> </w:t>
      </w:r>
      <w:r w:rsidRPr="0094448B">
        <w:rPr>
          <w:rFonts w:ascii="Verdana" w:eastAsia="Arial MT" w:hAnsi="Verdana" w:cs="Arial MT"/>
          <w:lang w:val="es-ES"/>
        </w:rPr>
        <w:t>autorizados</w:t>
      </w:r>
      <w:r w:rsidRPr="0094448B">
        <w:rPr>
          <w:rFonts w:ascii="Verdana" w:eastAsia="Arial MT" w:hAnsi="Verdana" w:cs="Arial MT"/>
          <w:spacing w:val="40"/>
          <w:lang w:val="es-ES"/>
        </w:rPr>
        <w:t xml:space="preserve"> </w:t>
      </w:r>
      <w:r w:rsidRPr="0094448B">
        <w:rPr>
          <w:rFonts w:ascii="Verdana" w:eastAsia="Arial MT" w:hAnsi="Verdana" w:cs="Arial MT"/>
          <w:lang w:val="es-ES"/>
        </w:rPr>
        <w:t>por</w:t>
      </w:r>
      <w:r w:rsidRPr="0094448B">
        <w:rPr>
          <w:rFonts w:ascii="Verdana" w:eastAsia="Arial MT" w:hAnsi="Verdana" w:cs="Arial MT"/>
          <w:spacing w:val="40"/>
          <w:lang w:val="es-ES"/>
        </w:rPr>
        <w:t xml:space="preserve"> </w:t>
      </w:r>
      <w:r w:rsidRPr="0094448B">
        <w:rPr>
          <w:rFonts w:ascii="Verdana" w:eastAsia="Arial MT" w:hAnsi="Verdana" w:cs="Arial MT"/>
          <w:lang w:val="es-ES"/>
        </w:rPr>
        <w:t>la</w:t>
      </w:r>
      <w:r w:rsidRPr="0094448B">
        <w:rPr>
          <w:rFonts w:ascii="Verdana" w:eastAsia="Arial MT" w:hAnsi="Verdana" w:cs="Arial MT"/>
          <w:spacing w:val="40"/>
          <w:lang w:val="es-ES"/>
        </w:rPr>
        <w:t xml:space="preserve"> </w:t>
      </w:r>
      <w:r w:rsidRPr="0094448B">
        <w:rPr>
          <w:rFonts w:ascii="Verdana" w:eastAsia="Arial MT" w:hAnsi="Verdana" w:cs="Arial MT"/>
          <w:lang w:val="es-ES"/>
        </w:rPr>
        <w:t>ley,</w:t>
      </w:r>
      <w:r w:rsidRPr="0094448B">
        <w:rPr>
          <w:rFonts w:ascii="Verdana" w:eastAsia="Arial MT" w:hAnsi="Verdana" w:cs="Arial MT"/>
          <w:spacing w:val="40"/>
          <w:lang w:val="es-ES"/>
        </w:rPr>
        <w:t xml:space="preserve"> </w:t>
      </w:r>
      <w:r w:rsidRPr="0094448B">
        <w:rPr>
          <w:rFonts w:ascii="Verdana" w:eastAsia="Arial MT" w:hAnsi="Verdana" w:cs="Arial MT"/>
          <w:lang w:val="es-ES"/>
        </w:rPr>
        <w:t>constituidos como sociedades comerciales, con aportes de capital público y privado, que desarrollan actividades de naturaleza industrial o comercial conforme a las reglas del derecho</w:t>
      </w:r>
      <w:r w:rsidRPr="0094448B">
        <w:rPr>
          <w:rFonts w:ascii="Verdana" w:eastAsia="Arial MT" w:hAnsi="Verdana" w:cs="Arial MT"/>
          <w:spacing w:val="40"/>
          <w:lang w:val="es-ES"/>
        </w:rPr>
        <w:t xml:space="preserve"> </w:t>
      </w:r>
      <w:r w:rsidRPr="0094448B">
        <w:rPr>
          <w:rFonts w:ascii="Verdana" w:eastAsia="Arial MT" w:hAnsi="Verdana" w:cs="Arial MT"/>
          <w:lang w:val="es-ES"/>
        </w:rPr>
        <w:t>privado, salvo las excepciones que consagra la ley.</w:t>
      </w:r>
    </w:p>
    <w:p w14:paraId="2DECFF3C" w14:textId="77777777" w:rsidR="00873901" w:rsidRDefault="00873901" w:rsidP="00873901">
      <w:pPr>
        <w:widowControl w:val="0"/>
        <w:autoSpaceDE w:val="0"/>
        <w:autoSpaceDN w:val="0"/>
        <w:spacing w:before="122" w:after="0" w:line="276" w:lineRule="auto"/>
        <w:ind w:firstLine="708"/>
        <w:jc w:val="both"/>
        <w:rPr>
          <w:rFonts w:ascii="Verdana" w:eastAsia="Arial MT" w:hAnsi="Verdana" w:cs="Arial MT"/>
          <w:lang w:val="es-ES"/>
        </w:rPr>
      </w:pPr>
      <w:r w:rsidRPr="0094448B">
        <w:rPr>
          <w:rFonts w:ascii="Verdana" w:eastAsia="Arial MT" w:hAnsi="Verdana" w:cs="Arial MT"/>
          <w:lang w:val="es-ES"/>
        </w:rPr>
        <w:t>En este sentido, la misma Ley, en los artículos 38 y 68, clasifica a las sociedades de economía mixta como entidades descentralizadas por servicios, con personería jurídica, autonomía administrativa y patrimonio propio</w:t>
      </w:r>
      <w:r w:rsidRPr="0094448B">
        <w:rPr>
          <w:rFonts w:ascii="Verdana" w:eastAsia="Arial MT" w:hAnsi="Verdana" w:cs="Arial MT"/>
          <w:vertAlign w:val="superscript"/>
          <w:lang w:val="es-ES"/>
        </w:rPr>
        <w:footnoteReference w:id="5"/>
      </w:r>
      <w:r w:rsidRPr="0094448B">
        <w:rPr>
          <w:rFonts w:ascii="Verdana" w:eastAsia="Arial MT" w:hAnsi="Verdana" w:cs="Arial MT"/>
          <w:lang w:val="es-ES"/>
        </w:rPr>
        <w:t>, que pueden ser del orden</w:t>
      </w:r>
      <w:r w:rsidRPr="0094448B">
        <w:rPr>
          <w:rFonts w:ascii="Verdana" w:eastAsia="Arial MT" w:hAnsi="Verdana" w:cs="Arial MT"/>
          <w:spacing w:val="40"/>
          <w:lang w:val="es-ES"/>
        </w:rPr>
        <w:t xml:space="preserve"> </w:t>
      </w:r>
      <w:r w:rsidRPr="0094448B">
        <w:rPr>
          <w:rFonts w:ascii="Verdana" w:eastAsia="Arial MT" w:hAnsi="Verdana" w:cs="Arial MT"/>
          <w:lang w:val="es-ES"/>
        </w:rPr>
        <w:t>nacional, departamental o municipal, según su órgano de creación</w:t>
      </w:r>
      <w:r w:rsidRPr="0094448B">
        <w:rPr>
          <w:rFonts w:ascii="Verdana" w:eastAsia="Arial MT" w:hAnsi="Verdana" w:cs="Arial MT"/>
          <w:vertAlign w:val="superscript"/>
          <w:lang w:val="es-ES"/>
        </w:rPr>
        <w:footnoteReference w:id="6"/>
      </w:r>
      <w:r w:rsidRPr="0094448B">
        <w:rPr>
          <w:rFonts w:ascii="Verdana" w:eastAsia="Arial MT" w:hAnsi="Verdana" w:cs="Arial MT"/>
          <w:lang w:val="es-ES"/>
        </w:rPr>
        <w:t xml:space="preserve">. Al respecto, la Corte Constitucional, en Sentencias C-736 del 19 de septiembre de 2007, C-118 del 14 de noviembre de 2018 y C-306 del 10 de julio de 2019, ha considerado que las sociedades estudiadas, desde una perspectiva constitucional, se caracterizan por los siguientes rasgos: i) pertenecen a la rama ejecutiva del poder público, como manifestación de la descentralización por servicios. Así mismo, </w:t>
      </w:r>
      <w:proofErr w:type="spellStart"/>
      <w:r w:rsidRPr="0094448B">
        <w:rPr>
          <w:rFonts w:ascii="Verdana" w:eastAsia="Arial MT" w:hAnsi="Verdana" w:cs="Arial MT"/>
          <w:lang w:val="es-ES"/>
        </w:rPr>
        <w:t>ii</w:t>
      </w:r>
      <w:proofErr w:type="spellEnd"/>
      <w:r w:rsidRPr="0094448B">
        <w:rPr>
          <w:rFonts w:ascii="Verdana" w:eastAsia="Arial MT" w:hAnsi="Verdana" w:cs="Arial MT"/>
          <w:lang w:val="es-ES"/>
        </w:rPr>
        <w:t>) están sujetas al control</w:t>
      </w:r>
      <w:r w:rsidRPr="0094448B">
        <w:rPr>
          <w:rFonts w:ascii="Verdana" w:eastAsia="Arial MT" w:hAnsi="Verdana" w:cs="Arial MT"/>
          <w:spacing w:val="-1"/>
          <w:lang w:val="es-ES"/>
        </w:rPr>
        <w:t xml:space="preserve"> </w:t>
      </w:r>
      <w:r w:rsidRPr="0094448B">
        <w:rPr>
          <w:rFonts w:ascii="Verdana" w:eastAsia="Arial MT" w:hAnsi="Verdana" w:cs="Arial MT"/>
          <w:lang w:val="es-ES"/>
        </w:rPr>
        <w:t xml:space="preserve">fiscal, financiero, de gestión y de resultados en cabeza de la Contraloría General de la República. Por otra parte, </w:t>
      </w:r>
      <w:proofErr w:type="spellStart"/>
      <w:r w:rsidRPr="0094448B">
        <w:rPr>
          <w:rFonts w:ascii="Verdana" w:eastAsia="Arial MT" w:hAnsi="Verdana" w:cs="Arial MT"/>
          <w:lang w:val="es-ES"/>
        </w:rPr>
        <w:t>iii</w:t>
      </w:r>
      <w:proofErr w:type="spellEnd"/>
      <w:r w:rsidRPr="0094448B">
        <w:rPr>
          <w:rFonts w:ascii="Verdana" w:eastAsia="Arial MT" w:hAnsi="Verdana" w:cs="Arial MT"/>
          <w:lang w:val="es-ES"/>
        </w:rPr>
        <w:t xml:space="preserve">) se someten al control político, que ejerce directamente el Congreso de la República. Además, </w:t>
      </w:r>
      <w:proofErr w:type="spellStart"/>
      <w:r w:rsidRPr="0094448B">
        <w:rPr>
          <w:rFonts w:ascii="Verdana" w:eastAsia="Arial MT" w:hAnsi="Verdana" w:cs="Arial MT"/>
          <w:lang w:val="es-ES"/>
        </w:rPr>
        <w:t>iv</w:t>
      </w:r>
      <w:proofErr w:type="spellEnd"/>
      <w:r w:rsidRPr="0094448B">
        <w:rPr>
          <w:rFonts w:ascii="Verdana" w:eastAsia="Arial MT" w:hAnsi="Verdana" w:cs="Arial MT"/>
          <w:lang w:val="es-ES"/>
        </w:rPr>
        <w:t>) en el caso de las sociedades de economía mixta del orden nacional, le corresponde</w:t>
      </w:r>
      <w:r w:rsidRPr="0094448B">
        <w:rPr>
          <w:rFonts w:ascii="Verdana" w:eastAsia="Arial MT" w:hAnsi="Verdana" w:cs="Arial MT"/>
          <w:spacing w:val="-2"/>
          <w:lang w:val="es-ES"/>
        </w:rPr>
        <w:t xml:space="preserve"> </w:t>
      </w:r>
      <w:r w:rsidRPr="0094448B">
        <w:rPr>
          <w:rFonts w:ascii="Verdana" w:eastAsia="Arial MT" w:hAnsi="Verdana" w:cs="Arial MT"/>
          <w:lang w:val="es-ES"/>
        </w:rPr>
        <w:t>al Congreso</w:t>
      </w:r>
      <w:r w:rsidRPr="0094448B">
        <w:rPr>
          <w:rFonts w:ascii="Verdana" w:eastAsia="Arial MT" w:hAnsi="Verdana" w:cs="Arial MT"/>
          <w:spacing w:val="-2"/>
          <w:lang w:val="es-ES"/>
        </w:rPr>
        <w:t xml:space="preserve"> </w:t>
      </w:r>
      <w:r w:rsidRPr="0094448B">
        <w:rPr>
          <w:rFonts w:ascii="Verdana" w:eastAsia="Arial MT" w:hAnsi="Verdana" w:cs="Arial MT"/>
          <w:lang w:val="es-ES"/>
        </w:rPr>
        <w:t>de</w:t>
      </w:r>
      <w:r w:rsidRPr="0094448B">
        <w:rPr>
          <w:rFonts w:ascii="Verdana" w:eastAsia="Arial MT" w:hAnsi="Verdana" w:cs="Arial MT"/>
          <w:spacing w:val="-2"/>
          <w:lang w:val="es-ES"/>
        </w:rPr>
        <w:t xml:space="preserve"> </w:t>
      </w:r>
      <w:r w:rsidRPr="0094448B">
        <w:rPr>
          <w:rFonts w:ascii="Verdana" w:eastAsia="Arial MT" w:hAnsi="Verdana" w:cs="Arial MT"/>
          <w:lang w:val="es-ES"/>
        </w:rPr>
        <w:t>la</w:t>
      </w:r>
      <w:r w:rsidRPr="0094448B">
        <w:rPr>
          <w:rFonts w:ascii="Verdana" w:eastAsia="Arial MT" w:hAnsi="Verdana" w:cs="Arial MT"/>
          <w:spacing w:val="-2"/>
          <w:lang w:val="es-ES"/>
        </w:rPr>
        <w:t xml:space="preserve"> </w:t>
      </w:r>
      <w:r w:rsidRPr="0094448B">
        <w:rPr>
          <w:rFonts w:ascii="Verdana" w:eastAsia="Arial MT" w:hAnsi="Verdana" w:cs="Arial MT"/>
          <w:lang w:val="es-ES"/>
        </w:rPr>
        <w:t>República su creación</w:t>
      </w:r>
      <w:r w:rsidRPr="0094448B">
        <w:rPr>
          <w:rFonts w:ascii="Verdana" w:eastAsia="Arial MT" w:hAnsi="Verdana" w:cs="Arial MT"/>
          <w:spacing w:val="-2"/>
          <w:lang w:val="es-ES"/>
        </w:rPr>
        <w:t xml:space="preserve"> </w:t>
      </w:r>
      <w:r w:rsidRPr="0094448B">
        <w:rPr>
          <w:rFonts w:ascii="Verdana" w:eastAsia="Arial MT" w:hAnsi="Verdana" w:cs="Arial MT"/>
          <w:lang w:val="es-ES"/>
        </w:rPr>
        <w:t>o</w:t>
      </w:r>
      <w:r w:rsidRPr="0094448B">
        <w:rPr>
          <w:rFonts w:ascii="Verdana" w:eastAsia="Arial MT" w:hAnsi="Verdana" w:cs="Arial MT"/>
          <w:spacing w:val="-2"/>
          <w:lang w:val="es-ES"/>
        </w:rPr>
        <w:t xml:space="preserve"> </w:t>
      </w:r>
      <w:r w:rsidRPr="0094448B">
        <w:rPr>
          <w:rFonts w:ascii="Verdana" w:eastAsia="Arial MT" w:hAnsi="Verdana" w:cs="Arial MT"/>
          <w:lang w:val="es-ES"/>
        </w:rPr>
        <w:t>autorización</w:t>
      </w:r>
      <w:r w:rsidRPr="0094448B">
        <w:rPr>
          <w:rFonts w:ascii="Verdana" w:eastAsia="Arial MT" w:hAnsi="Verdana" w:cs="Arial MT"/>
          <w:spacing w:val="-2"/>
          <w:lang w:val="es-ES"/>
        </w:rPr>
        <w:t xml:space="preserve"> </w:t>
      </w:r>
      <w:r w:rsidRPr="0094448B">
        <w:rPr>
          <w:rFonts w:ascii="Verdana" w:eastAsia="Arial MT" w:hAnsi="Verdana" w:cs="Arial MT"/>
          <w:lang w:val="es-ES"/>
        </w:rPr>
        <w:t>mediante ley. En cambio, v) en el caso de los órdenes departamental y municipal, esta misma facultad se les reconoce a las asambleas y concejos. Adicionalmente, vi) a todas las sociedades de economía mixta les son aplicables las inhabilidades para la integración de órganos directivos a que aluden los artículos 180-</w:t>
      </w:r>
      <w:r w:rsidRPr="0094448B">
        <w:rPr>
          <w:rFonts w:ascii="Verdana" w:eastAsia="Arial MT" w:hAnsi="Verdana" w:cs="Arial MT"/>
          <w:spacing w:val="-1"/>
          <w:lang w:val="es-ES"/>
        </w:rPr>
        <w:t xml:space="preserve"> </w:t>
      </w:r>
      <w:r w:rsidRPr="0094448B">
        <w:rPr>
          <w:rFonts w:ascii="Verdana" w:eastAsia="Arial MT" w:hAnsi="Verdana" w:cs="Arial MT"/>
          <w:lang w:val="es-ES"/>
        </w:rPr>
        <w:t xml:space="preserve">3, 292 y 323 de la Constitución Política. A lo anterior debe agregarse que, </w:t>
      </w:r>
      <w:proofErr w:type="spellStart"/>
      <w:r w:rsidRPr="0094448B">
        <w:rPr>
          <w:rFonts w:ascii="Verdana" w:eastAsia="Arial MT" w:hAnsi="Verdana" w:cs="Arial MT"/>
          <w:lang w:val="es-ES"/>
        </w:rPr>
        <w:t>vii</w:t>
      </w:r>
      <w:proofErr w:type="spellEnd"/>
      <w:r w:rsidRPr="0094448B">
        <w:rPr>
          <w:rFonts w:ascii="Verdana" w:eastAsia="Arial MT" w:hAnsi="Verdana" w:cs="Arial MT"/>
          <w:lang w:val="es-ES"/>
        </w:rPr>
        <w:t xml:space="preserve">) en materia presupuestal, las sociedades de economía mixta </w:t>
      </w:r>
      <w:r w:rsidRPr="0094448B">
        <w:rPr>
          <w:rFonts w:ascii="Verdana" w:eastAsia="Arial MT" w:hAnsi="Verdana" w:cs="Arial MT"/>
          <w:lang w:val="es-ES"/>
        </w:rPr>
        <w:lastRenderedPageBreak/>
        <w:t xml:space="preserve">quedan sujetas a las reglas de la ley orgánica del presupuesto. De otro lado, </w:t>
      </w:r>
      <w:proofErr w:type="spellStart"/>
      <w:r w:rsidRPr="0094448B">
        <w:rPr>
          <w:rFonts w:ascii="Verdana" w:eastAsia="Arial MT" w:hAnsi="Verdana" w:cs="Arial MT"/>
          <w:lang w:val="es-ES"/>
        </w:rPr>
        <w:t>viii</w:t>
      </w:r>
      <w:proofErr w:type="spellEnd"/>
      <w:r w:rsidRPr="0094448B">
        <w:rPr>
          <w:rFonts w:ascii="Verdana" w:eastAsia="Arial MT" w:hAnsi="Verdana" w:cs="Arial MT"/>
          <w:lang w:val="es-ES"/>
        </w:rPr>
        <w:t xml:space="preserve">) en materia contable, quedan vinculadas a las reglas de contabilidad oficial. Además, </w:t>
      </w:r>
      <w:proofErr w:type="spellStart"/>
      <w:r w:rsidRPr="0094448B">
        <w:rPr>
          <w:rFonts w:ascii="Verdana" w:eastAsia="Arial MT" w:hAnsi="Verdana" w:cs="Arial MT"/>
          <w:lang w:val="es-ES"/>
        </w:rPr>
        <w:t>ix</w:t>
      </w:r>
      <w:proofErr w:type="spellEnd"/>
      <w:r w:rsidRPr="0094448B">
        <w:rPr>
          <w:rFonts w:ascii="Verdana" w:eastAsia="Arial MT" w:hAnsi="Verdana" w:cs="Arial MT"/>
          <w:lang w:val="es-ES"/>
        </w:rPr>
        <w:t>) se rigen por el derecho privado, en virtud de la naturaleza de las actividades que desarrollan.</w:t>
      </w:r>
      <w:r>
        <w:rPr>
          <w:rFonts w:ascii="Verdana" w:eastAsia="Arial MT" w:hAnsi="Verdana" w:cs="Arial MT"/>
          <w:lang w:val="es-ES"/>
        </w:rPr>
        <w:t xml:space="preserve"> </w:t>
      </w:r>
    </w:p>
    <w:p w14:paraId="7808740A" w14:textId="77777777" w:rsidR="00873901" w:rsidRPr="008A5CC1" w:rsidRDefault="00873901" w:rsidP="00873901">
      <w:pPr>
        <w:widowControl w:val="0"/>
        <w:autoSpaceDE w:val="0"/>
        <w:autoSpaceDN w:val="0"/>
        <w:spacing w:before="122" w:after="0" w:line="276" w:lineRule="auto"/>
        <w:ind w:firstLine="708"/>
        <w:jc w:val="both"/>
        <w:rPr>
          <w:rFonts w:ascii="Verdana" w:eastAsia="Arial MT" w:hAnsi="Verdana" w:cs="Arial MT"/>
          <w:spacing w:val="-2"/>
        </w:rPr>
      </w:pPr>
      <w:r w:rsidRPr="008A5CC1">
        <w:rPr>
          <w:rFonts w:ascii="Verdana" w:eastAsia="Arial MT" w:hAnsi="Verdana" w:cs="Arial MT"/>
          <w:lang w:val="es-ES"/>
        </w:rPr>
        <w:t>Sin embargo, la Corte Constitucional en Sentencia C-529 del 12 de julio de 2006, enfatizó en que, a pesar del sometimiento al régimen jurídico de derecho privado para el desarrollo</w:t>
      </w:r>
      <w:r w:rsidRPr="008A5CC1">
        <w:rPr>
          <w:rFonts w:ascii="Verdana" w:eastAsia="Arial MT" w:hAnsi="Verdana" w:cs="Arial MT"/>
          <w:spacing w:val="19"/>
          <w:lang w:val="es-ES"/>
        </w:rPr>
        <w:t xml:space="preserve"> </w:t>
      </w:r>
      <w:r w:rsidRPr="008A5CC1">
        <w:rPr>
          <w:rFonts w:ascii="Verdana" w:eastAsia="Arial MT" w:hAnsi="Verdana" w:cs="Arial MT"/>
          <w:lang w:val="es-ES"/>
        </w:rPr>
        <w:t>de</w:t>
      </w:r>
      <w:r w:rsidRPr="008A5CC1">
        <w:rPr>
          <w:rFonts w:ascii="Verdana" w:eastAsia="Arial MT" w:hAnsi="Verdana" w:cs="Arial MT"/>
          <w:spacing w:val="19"/>
          <w:lang w:val="es-ES"/>
        </w:rPr>
        <w:t xml:space="preserve"> </w:t>
      </w:r>
      <w:r w:rsidRPr="008A5CC1">
        <w:rPr>
          <w:rFonts w:ascii="Verdana" w:eastAsia="Arial MT" w:hAnsi="Verdana" w:cs="Arial MT"/>
          <w:lang w:val="es-ES"/>
        </w:rPr>
        <w:t>sus actividades,</w:t>
      </w:r>
      <w:r w:rsidRPr="008A5CC1">
        <w:rPr>
          <w:rFonts w:ascii="Verdana" w:eastAsia="Arial MT" w:hAnsi="Verdana" w:cs="Arial MT"/>
          <w:spacing w:val="18"/>
          <w:lang w:val="es-ES"/>
        </w:rPr>
        <w:t xml:space="preserve"> </w:t>
      </w:r>
      <w:r w:rsidRPr="008A5CC1">
        <w:rPr>
          <w:rFonts w:ascii="Verdana" w:eastAsia="Arial MT" w:hAnsi="Verdana" w:cs="Arial MT"/>
          <w:lang w:val="es-ES"/>
        </w:rPr>
        <w:t>las</w:t>
      </w:r>
      <w:r w:rsidRPr="008A5CC1">
        <w:rPr>
          <w:rFonts w:ascii="Verdana" w:eastAsia="Arial MT" w:hAnsi="Verdana" w:cs="Arial MT"/>
          <w:spacing w:val="17"/>
          <w:lang w:val="es-ES"/>
        </w:rPr>
        <w:t xml:space="preserve"> </w:t>
      </w:r>
      <w:r w:rsidRPr="008A5CC1">
        <w:rPr>
          <w:rFonts w:ascii="Verdana" w:eastAsia="Arial MT" w:hAnsi="Verdana" w:cs="Arial MT"/>
          <w:lang w:val="es-ES"/>
        </w:rPr>
        <w:t>sociedades de economía</w:t>
      </w:r>
      <w:r w:rsidRPr="008A5CC1">
        <w:rPr>
          <w:rFonts w:ascii="Verdana" w:eastAsia="Arial MT" w:hAnsi="Verdana" w:cs="Arial MT"/>
          <w:spacing w:val="19"/>
          <w:lang w:val="es-ES"/>
        </w:rPr>
        <w:t xml:space="preserve"> </w:t>
      </w:r>
      <w:r w:rsidRPr="008A5CC1">
        <w:rPr>
          <w:rFonts w:ascii="Verdana" w:eastAsia="Arial MT" w:hAnsi="Verdana" w:cs="Arial MT"/>
          <w:lang w:val="es-ES"/>
        </w:rPr>
        <w:t>mixta</w:t>
      </w:r>
      <w:r w:rsidRPr="008A5CC1">
        <w:rPr>
          <w:rFonts w:ascii="Verdana" w:eastAsia="Arial MT" w:hAnsi="Verdana" w:cs="Arial MT"/>
          <w:spacing w:val="19"/>
          <w:lang w:val="es-ES"/>
        </w:rPr>
        <w:t xml:space="preserve"> </w:t>
      </w:r>
      <w:r w:rsidRPr="008A5CC1">
        <w:rPr>
          <w:rFonts w:ascii="Verdana" w:eastAsia="Arial MT" w:hAnsi="Verdana" w:cs="Arial MT"/>
          <w:lang w:val="es-ES"/>
        </w:rPr>
        <w:t>no</w:t>
      </w:r>
      <w:r w:rsidRPr="008A5CC1">
        <w:rPr>
          <w:rFonts w:ascii="Verdana" w:eastAsia="Arial MT" w:hAnsi="Verdana" w:cs="Arial MT"/>
          <w:spacing w:val="19"/>
          <w:lang w:val="es-ES"/>
        </w:rPr>
        <w:t xml:space="preserve"> </w:t>
      </w:r>
      <w:r w:rsidRPr="008A5CC1">
        <w:rPr>
          <w:rFonts w:ascii="Verdana" w:eastAsia="Arial MT" w:hAnsi="Verdana" w:cs="Arial MT"/>
          <w:lang w:val="es-ES"/>
        </w:rPr>
        <w:t>pierden</w:t>
      </w:r>
      <w:r w:rsidRPr="008A5CC1">
        <w:rPr>
          <w:rFonts w:ascii="Verdana" w:eastAsia="Arial MT" w:hAnsi="Verdana" w:cs="Arial MT"/>
          <w:spacing w:val="19"/>
          <w:lang w:val="es-ES"/>
        </w:rPr>
        <w:t xml:space="preserve"> </w:t>
      </w:r>
      <w:r w:rsidRPr="008A5CC1">
        <w:rPr>
          <w:rFonts w:ascii="Verdana" w:eastAsia="Arial MT" w:hAnsi="Verdana" w:cs="Arial MT"/>
          <w:lang w:val="es-ES"/>
        </w:rPr>
        <w:t>su</w:t>
      </w:r>
      <w:r w:rsidRPr="008A5CC1">
        <w:rPr>
          <w:rFonts w:ascii="Verdana" w:eastAsia="Arial MT" w:hAnsi="Verdana" w:cs="Arial MT"/>
          <w:spacing w:val="19"/>
          <w:lang w:val="es-ES"/>
        </w:rPr>
        <w:t xml:space="preserve"> </w:t>
      </w:r>
      <w:r w:rsidRPr="008A5CC1">
        <w:rPr>
          <w:rFonts w:ascii="Verdana" w:eastAsia="Arial MT" w:hAnsi="Verdana" w:cs="Arial MT"/>
          <w:lang w:val="es-ES"/>
        </w:rPr>
        <w:t>carácter de expresión organizacional de la actividad estatal</w:t>
      </w:r>
      <w:r w:rsidRPr="008A5CC1">
        <w:rPr>
          <w:rFonts w:ascii="Verdana" w:eastAsia="Arial MT" w:hAnsi="Verdana" w:cs="Arial MT"/>
          <w:vertAlign w:val="superscript"/>
          <w:lang w:val="es-ES"/>
        </w:rPr>
        <w:footnoteReference w:id="7"/>
      </w:r>
      <w:r w:rsidRPr="008A5CC1">
        <w:rPr>
          <w:rFonts w:ascii="Verdana" w:eastAsia="Arial MT" w:hAnsi="Verdana" w:cs="Arial MT"/>
          <w:lang w:val="es-ES"/>
        </w:rPr>
        <w:t>, más precisamente de la función administrativa</w:t>
      </w:r>
      <w:r w:rsidRPr="008A5CC1">
        <w:rPr>
          <w:rFonts w:ascii="Verdana" w:eastAsia="Arial MT" w:hAnsi="Verdana" w:cs="Arial MT"/>
          <w:vertAlign w:val="superscript"/>
          <w:lang w:val="es-ES"/>
        </w:rPr>
        <w:footnoteReference w:id="8"/>
      </w:r>
      <w:r w:rsidRPr="008A5CC1">
        <w:rPr>
          <w:rFonts w:ascii="Verdana" w:eastAsia="Arial MT" w:hAnsi="Verdana" w:cs="Arial MT"/>
          <w:lang w:val="es-ES"/>
        </w:rPr>
        <w:t xml:space="preserve">, en virtud del aporte público en la constitución del capital social y la consiguiente pertenencia a la administración pública, en la condición de entidades </w:t>
      </w:r>
      <w:r w:rsidRPr="008A5CC1">
        <w:rPr>
          <w:rFonts w:ascii="Verdana" w:eastAsia="Arial MT" w:hAnsi="Verdana" w:cs="Arial MT"/>
          <w:spacing w:val="-2"/>
          <w:lang w:val="es-ES"/>
        </w:rPr>
        <w:t>descentralizadas.</w:t>
      </w:r>
      <w:r w:rsidRPr="008A5CC1">
        <w:rPr>
          <w:rFonts w:ascii="Arial" w:eastAsia="Calibri" w:hAnsi="Arial" w:cs="Arial"/>
        </w:rPr>
        <w:t xml:space="preserve"> </w:t>
      </w:r>
      <w:r w:rsidRPr="008A5CC1">
        <w:rPr>
          <w:rFonts w:ascii="Verdana" w:eastAsia="Arial MT" w:hAnsi="Verdana" w:cs="Arial MT"/>
          <w:spacing w:val="-2"/>
        </w:rPr>
        <w:t>En otras palabras, las sociedades de economía mixta “son una clara manifestación organizacional de la función administrativa”</w:t>
      </w:r>
      <w:r w:rsidRPr="008A5CC1">
        <w:rPr>
          <w:rFonts w:ascii="Verdana" w:eastAsia="Arial MT" w:hAnsi="Verdana" w:cs="Arial MT"/>
          <w:spacing w:val="-2"/>
          <w:vertAlign w:val="superscript"/>
        </w:rPr>
        <w:footnoteReference w:id="9"/>
      </w:r>
      <w:r w:rsidRPr="008A5CC1">
        <w:rPr>
          <w:rFonts w:ascii="Verdana" w:eastAsia="Arial MT" w:hAnsi="Verdana" w:cs="Arial MT"/>
          <w:spacing w:val="-2"/>
        </w:rPr>
        <w:t xml:space="preserve">. </w:t>
      </w:r>
    </w:p>
    <w:p w14:paraId="77589C44" w14:textId="77777777" w:rsidR="00873901" w:rsidRPr="0094448B" w:rsidRDefault="00873901" w:rsidP="00873901">
      <w:pPr>
        <w:widowControl w:val="0"/>
        <w:autoSpaceDE w:val="0"/>
        <w:autoSpaceDN w:val="0"/>
        <w:spacing w:before="120" w:after="0" w:line="276" w:lineRule="auto"/>
        <w:ind w:firstLine="708"/>
        <w:jc w:val="both"/>
        <w:rPr>
          <w:rFonts w:ascii="Verdana" w:eastAsia="Arial MT" w:hAnsi="Verdana" w:cs="Arial MT"/>
          <w:lang w:val="es-ES"/>
        </w:rPr>
      </w:pPr>
      <w:r w:rsidRPr="00705B3D">
        <w:rPr>
          <w:rFonts w:ascii="Verdana" w:eastAsia="Arial MT" w:hAnsi="Verdana" w:cs="Arial MT"/>
          <w:lang w:val="es-ES"/>
        </w:rPr>
        <w:t>Esta doble dimensión normativa —público y privado— obedece a la naturaleza híbrida de las sociedades de economía mixta, pues “lo que le da esa categoría de ‘mixta’ es, justamente, que su capital social se forme por aportes del Estado y de los particulares, característica que determina su sujeción a un régimen jurídico que le permita conciliar el interés general que se persigue por el Estado o por sus entidades territoriales, con la especulación económica que, en las actividades mercantiles, se persigue por los particulares”</w:t>
      </w:r>
    </w:p>
    <w:p w14:paraId="1D6FC7A1" w14:textId="77777777" w:rsidR="00873901" w:rsidRPr="0094448B" w:rsidRDefault="00873901" w:rsidP="00873901">
      <w:pPr>
        <w:widowControl w:val="0"/>
        <w:autoSpaceDE w:val="0"/>
        <w:autoSpaceDN w:val="0"/>
        <w:spacing w:before="124" w:after="0" w:line="276" w:lineRule="auto"/>
        <w:ind w:firstLine="708"/>
        <w:jc w:val="both"/>
        <w:rPr>
          <w:rFonts w:ascii="Verdana" w:eastAsia="Arial MT" w:hAnsi="Verdana" w:cs="Arial MT"/>
          <w:lang w:val="es-ES"/>
        </w:rPr>
      </w:pPr>
      <w:r w:rsidRPr="0094448B">
        <w:rPr>
          <w:rFonts w:ascii="Verdana" w:eastAsia="Arial MT" w:hAnsi="Verdana" w:cs="Arial MT"/>
          <w:lang w:val="es-ES"/>
        </w:rPr>
        <w:t>En este orden de ideas, resulta importante resaltar que, en nuestro ordenamiento jurídico, las sociedades de economía mixta están sometidas a un régimen jurídico compuesto por un conjunto normativo de derecho público y de derecho privado; el</w:t>
      </w:r>
      <w:r w:rsidRPr="0094448B">
        <w:rPr>
          <w:rFonts w:ascii="Verdana" w:eastAsia="Arial MT" w:hAnsi="Verdana" w:cs="Arial MT"/>
          <w:spacing w:val="40"/>
          <w:lang w:val="es-ES"/>
        </w:rPr>
        <w:t xml:space="preserve"> </w:t>
      </w:r>
      <w:r w:rsidRPr="0094448B">
        <w:rPr>
          <w:rFonts w:ascii="Verdana" w:eastAsia="Arial MT" w:hAnsi="Verdana" w:cs="Arial MT"/>
          <w:lang w:val="es-ES"/>
        </w:rPr>
        <w:t xml:space="preserve">primero, derivado directamente de la Constitución Política y </w:t>
      </w:r>
      <w:r w:rsidRPr="0094448B">
        <w:rPr>
          <w:rFonts w:ascii="Verdana" w:eastAsia="Arial MT" w:hAnsi="Verdana" w:cs="Arial MT"/>
          <w:lang w:val="es-ES"/>
        </w:rPr>
        <w:lastRenderedPageBreak/>
        <w:t>referido a aspectos como su creación, autorización, organización y funcionamiento internos. Y el segundo destinado a regir el desarrollo de la actividad económica de cada sociedad.</w:t>
      </w:r>
    </w:p>
    <w:p w14:paraId="644A26C1" w14:textId="77777777" w:rsidR="00873901" w:rsidRPr="0094448B" w:rsidRDefault="00873901" w:rsidP="00873901">
      <w:pPr>
        <w:widowControl w:val="0"/>
        <w:autoSpaceDE w:val="0"/>
        <w:autoSpaceDN w:val="0"/>
        <w:spacing w:before="117" w:after="0" w:line="276" w:lineRule="auto"/>
        <w:ind w:firstLine="708"/>
        <w:jc w:val="both"/>
        <w:rPr>
          <w:rFonts w:ascii="Verdana" w:eastAsia="Arial MT" w:hAnsi="Verdana" w:cs="Arial MT"/>
          <w:lang w:val="es-ES"/>
        </w:rPr>
      </w:pPr>
      <w:r w:rsidRPr="0094448B">
        <w:rPr>
          <w:rFonts w:ascii="Verdana" w:eastAsia="Arial MT" w:hAnsi="Verdana" w:cs="Arial MT"/>
          <w:lang w:val="es-ES"/>
        </w:rPr>
        <w:t>Ahora bien, conviene analizar el régimen aplicable para los actos y contratos que celebran estas entidades. Al respecto, el literal a), del artículo 2 de la Ley 80 de 1993, señala que son entidades estatales las sociedades de economía mixta en las que el Estado tenga participación superior al cincuenta por ciento (50%)</w:t>
      </w:r>
      <w:r w:rsidRPr="0094448B">
        <w:rPr>
          <w:rFonts w:ascii="Verdana" w:eastAsia="Arial MT" w:hAnsi="Verdana" w:cs="Arial MT"/>
          <w:vertAlign w:val="superscript"/>
          <w:lang w:val="es-ES"/>
        </w:rPr>
        <w:footnoteReference w:id="10"/>
      </w:r>
      <w:r w:rsidRPr="0094448B">
        <w:rPr>
          <w:rFonts w:ascii="Verdana" w:eastAsia="Arial MT" w:hAnsi="Verdana" w:cs="Arial MT"/>
          <w:lang w:val="es-ES"/>
        </w:rPr>
        <w:t>. Esto significa que el legislador,</w:t>
      </w:r>
      <w:r w:rsidRPr="0094448B">
        <w:rPr>
          <w:rFonts w:ascii="Verdana" w:eastAsia="Arial MT" w:hAnsi="Verdana" w:cs="Arial MT"/>
          <w:spacing w:val="29"/>
          <w:lang w:val="es-ES"/>
        </w:rPr>
        <w:t xml:space="preserve"> </w:t>
      </w:r>
      <w:r w:rsidRPr="0094448B">
        <w:rPr>
          <w:rFonts w:ascii="Verdana" w:eastAsia="Arial MT" w:hAnsi="Verdana" w:cs="Arial MT"/>
          <w:lang w:val="es-ES"/>
        </w:rPr>
        <w:t>en</w:t>
      </w:r>
      <w:r w:rsidRPr="0094448B">
        <w:rPr>
          <w:rFonts w:ascii="Verdana" w:eastAsia="Arial MT" w:hAnsi="Verdana" w:cs="Arial MT"/>
          <w:spacing w:val="30"/>
          <w:lang w:val="es-ES"/>
        </w:rPr>
        <w:t xml:space="preserve"> </w:t>
      </w:r>
      <w:r w:rsidRPr="0094448B">
        <w:rPr>
          <w:rFonts w:ascii="Verdana" w:eastAsia="Arial MT" w:hAnsi="Verdana" w:cs="Arial MT"/>
          <w:lang w:val="es-ES"/>
        </w:rPr>
        <w:t>el</w:t>
      </w:r>
      <w:r w:rsidRPr="0094448B">
        <w:rPr>
          <w:rFonts w:ascii="Verdana" w:eastAsia="Arial MT" w:hAnsi="Verdana" w:cs="Arial MT"/>
          <w:spacing w:val="27"/>
          <w:lang w:val="es-ES"/>
        </w:rPr>
        <w:t xml:space="preserve"> </w:t>
      </w:r>
      <w:r w:rsidRPr="0094448B">
        <w:rPr>
          <w:rFonts w:ascii="Verdana" w:eastAsia="Arial MT" w:hAnsi="Verdana" w:cs="Arial MT"/>
          <w:lang w:val="es-ES"/>
        </w:rPr>
        <w:t>año</w:t>
      </w:r>
      <w:r w:rsidRPr="0094448B">
        <w:rPr>
          <w:rFonts w:ascii="Verdana" w:eastAsia="Arial MT" w:hAnsi="Verdana" w:cs="Arial MT"/>
          <w:spacing w:val="30"/>
          <w:lang w:val="es-ES"/>
        </w:rPr>
        <w:t xml:space="preserve"> </w:t>
      </w:r>
      <w:r w:rsidRPr="0094448B">
        <w:rPr>
          <w:rFonts w:ascii="Verdana" w:eastAsia="Arial MT" w:hAnsi="Verdana" w:cs="Arial MT"/>
          <w:lang w:val="es-ES"/>
        </w:rPr>
        <w:t>1993,</w:t>
      </w:r>
      <w:r w:rsidRPr="0094448B">
        <w:rPr>
          <w:rFonts w:ascii="Verdana" w:eastAsia="Arial MT" w:hAnsi="Verdana" w:cs="Arial MT"/>
          <w:spacing w:val="34"/>
          <w:lang w:val="es-ES"/>
        </w:rPr>
        <w:t xml:space="preserve"> </w:t>
      </w:r>
      <w:r w:rsidRPr="0094448B">
        <w:rPr>
          <w:rFonts w:ascii="Verdana" w:eastAsia="Arial MT" w:hAnsi="Verdana" w:cs="Arial MT"/>
          <w:lang w:val="es-ES"/>
        </w:rPr>
        <w:t>estableció</w:t>
      </w:r>
      <w:r w:rsidRPr="0094448B">
        <w:rPr>
          <w:rFonts w:ascii="Verdana" w:eastAsia="Arial MT" w:hAnsi="Verdana" w:cs="Arial MT"/>
          <w:spacing w:val="30"/>
          <w:lang w:val="es-ES"/>
        </w:rPr>
        <w:t xml:space="preserve"> </w:t>
      </w:r>
      <w:r w:rsidRPr="0094448B">
        <w:rPr>
          <w:rFonts w:ascii="Verdana" w:eastAsia="Arial MT" w:hAnsi="Verdana" w:cs="Arial MT"/>
          <w:lang w:val="es-ES"/>
        </w:rPr>
        <w:t>que</w:t>
      </w:r>
      <w:r w:rsidRPr="0094448B">
        <w:rPr>
          <w:rFonts w:ascii="Verdana" w:eastAsia="Arial MT" w:hAnsi="Verdana" w:cs="Arial MT"/>
          <w:spacing w:val="30"/>
          <w:lang w:val="es-ES"/>
        </w:rPr>
        <w:t xml:space="preserve"> </w:t>
      </w:r>
      <w:r w:rsidRPr="0094448B">
        <w:rPr>
          <w:rFonts w:ascii="Verdana" w:eastAsia="Arial MT" w:hAnsi="Verdana" w:cs="Arial MT"/>
          <w:lang w:val="es-ES"/>
        </w:rPr>
        <w:t>las</w:t>
      </w:r>
      <w:r w:rsidRPr="0094448B">
        <w:rPr>
          <w:rFonts w:ascii="Verdana" w:eastAsia="Arial MT" w:hAnsi="Verdana" w:cs="Arial MT"/>
          <w:spacing w:val="33"/>
          <w:lang w:val="es-ES"/>
        </w:rPr>
        <w:t xml:space="preserve"> </w:t>
      </w:r>
      <w:r w:rsidRPr="0094448B">
        <w:rPr>
          <w:rFonts w:ascii="Verdana" w:eastAsia="Arial MT" w:hAnsi="Verdana" w:cs="Arial MT"/>
          <w:lang w:val="es-ES"/>
        </w:rPr>
        <w:t>sociedades</w:t>
      </w:r>
      <w:r w:rsidRPr="0094448B">
        <w:rPr>
          <w:rFonts w:ascii="Verdana" w:eastAsia="Arial MT" w:hAnsi="Verdana" w:cs="Arial MT"/>
          <w:spacing w:val="28"/>
          <w:lang w:val="es-ES"/>
        </w:rPr>
        <w:t xml:space="preserve"> </w:t>
      </w:r>
      <w:r w:rsidRPr="0094448B">
        <w:rPr>
          <w:rFonts w:ascii="Verdana" w:eastAsia="Arial MT" w:hAnsi="Verdana" w:cs="Arial MT"/>
          <w:lang w:val="es-ES"/>
        </w:rPr>
        <w:t>de</w:t>
      </w:r>
      <w:r w:rsidRPr="0094448B">
        <w:rPr>
          <w:rFonts w:ascii="Verdana" w:eastAsia="Arial MT" w:hAnsi="Verdana" w:cs="Arial MT"/>
          <w:spacing w:val="30"/>
          <w:lang w:val="es-ES"/>
        </w:rPr>
        <w:t xml:space="preserve"> </w:t>
      </w:r>
      <w:r w:rsidRPr="0094448B">
        <w:rPr>
          <w:rFonts w:ascii="Verdana" w:eastAsia="Arial MT" w:hAnsi="Verdana" w:cs="Arial MT"/>
          <w:lang w:val="es-ES"/>
        </w:rPr>
        <w:t>economía</w:t>
      </w:r>
      <w:r w:rsidRPr="0094448B">
        <w:rPr>
          <w:rFonts w:ascii="Verdana" w:eastAsia="Arial MT" w:hAnsi="Verdana" w:cs="Arial MT"/>
          <w:spacing w:val="35"/>
          <w:lang w:val="es-ES"/>
        </w:rPr>
        <w:t xml:space="preserve"> </w:t>
      </w:r>
      <w:r w:rsidRPr="0094448B">
        <w:rPr>
          <w:rFonts w:ascii="Verdana" w:eastAsia="Arial MT" w:hAnsi="Verdana" w:cs="Arial MT"/>
          <w:lang w:val="es-ES"/>
        </w:rPr>
        <w:t>mixta</w:t>
      </w:r>
      <w:r w:rsidRPr="0094448B">
        <w:rPr>
          <w:rFonts w:ascii="Verdana" w:eastAsia="Arial MT" w:hAnsi="Verdana" w:cs="Arial MT"/>
          <w:spacing w:val="30"/>
          <w:lang w:val="es-ES"/>
        </w:rPr>
        <w:t xml:space="preserve"> </w:t>
      </w:r>
      <w:r w:rsidRPr="0094448B">
        <w:rPr>
          <w:rFonts w:ascii="Verdana" w:eastAsia="Arial MT" w:hAnsi="Verdana" w:cs="Arial MT"/>
          <w:lang w:val="es-ES"/>
        </w:rPr>
        <w:t>donde</w:t>
      </w:r>
      <w:r w:rsidRPr="0094448B">
        <w:rPr>
          <w:rFonts w:ascii="Verdana" w:eastAsia="Arial MT" w:hAnsi="Verdana" w:cs="Arial MT"/>
          <w:spacing w:val="30"/>
          <w:lang w:val="es-ES"/>
        </w:rPr>
        <w:t xml:space="preserve"> </w:t>
      </w:r>
      <w:r w:rsidRPr="0094448B">
        <w:rPr>
          <w:rFonts w:ascii="Verdana" w:eastAsia="Arial MT" w:hAnsi="Verdana" w:cs="Arial MT"/>
          <w:lang w:val="es-ES"/>
        </w:rPr>
        <w:t>el Estado</w:t>
      </w:r>
      <w:r w:rsidRPr="0094448B">
        <w:rPr>
          <w:rFonts w:ascii="Verdana" w:eastAsia="Arial MT" w:hAnsi="Verdana" w:cs="Arial MT"/>
          <w:spacing w:val="-5"/>
          <w:lang w:val="es-ES"/>
        </w:rPr>
        <w:t xml:space="preserve"> </w:t>
      </w:r>
      <w:r w:rsidRPr="0094448B">
        <w:rPr>
          <w:rFonts w:ascii="Verdana" w:eastAsia="Arial MT" w:hAnsi="Verdana" w:cs="Arial MT"/>
          <w:lang w:val="es-ES"/>
        </w:rPr>
        <w:t>tenga participación superior</w:t>
      </w:r>
      <w:r w:rsidRPr="0094448B">
        <w:rPr>
          <w:rFonts w:ascii="Verdana" w:eastAsia="Arial MT" w:hAnsi="Verdana" w:cs="Arial MT"/>
          <w:spacing w:val="-4"/>
          <w:lang w:val="es-ES"/>
        </w:rPr>
        <w:t xml:space="preserve"> </w:t>
      </w:r>
      <w:r w:rsidRPr="0094448B">
        <w:rPr>
          <w:rFonts w:ascii="Verdana" w:eastAsia="Arial MT" w:hAnsi="Verdana" w:cs="Arial MT"/>
          <w:lang w:val="es-ES"/>
        </w:rPr>
        <w:t>al</w:t>
      </w:r>
      <w:r w:rsidRPr="0094448B">
        <w:rPr>
          <w:rFonts w:ascii="Verdana" w:eastAsia="Arial MT" w:hAnsi="Verdana" w:cs="Arial MT"/>
          <w:spacing w:val="-3"/>
          <w:lang w:val="es-ES"/>
        </w:rPr>
        <w:t xml:space="preserve"> </w:t>
      </w:r>
      <w:r w:rsidRPr="0094448B">
        <w:rPr>
          <w:rFonts w:ascii="Verdana" w:eastAsia="Arial MT" w:hAnsi="Verdana" w:cs="Arial MT"/>
          <w:lang w:val="es-ES"/>
        </w:rPr>
        <w:t>cincuenta</w:t>
      </w:r>
      <w:r w:rsidRPr="0094448B">
        <w:rPr>
          <w:rFonts w:ascii="Verdana" w:eastAsia="Arial MT" w:hAnsi="Verdana" w:cs="Arial MT"/>
          <w:spacing w:val="-1"/>
          <w:lang w:val="es-ES"/>
        </w:rPr>
        <w:t xml:space="preserve"> </w:t>
      </w:r>
      <w:r w:rsidRPr="0094448B">
        <w:rPr>
          <w:rFonts w:ascii="Verdana" w:eastAsia="Arial MT" w:hAnsi="Verdana" w:cs="Arial MT"/>
          <w:lang w:val="es-ES"/>
        </w:rPr>
        <w:t>por</w:t>
      </w:r>
      <w:r w:rsidRPr="0094448B">
        <w:rPr>
          <w:rFonts w:ascii="Verdana" w:eastAsia="Arial MT" w:hAnsi="Verdana" w:cs="Arial MT"/>
          <w:spacing w:val="-4"/>
          <w:lang w:val="es-ES"/>
        </w:rPr>
        <w:t xml:space="preserve"> </w:t>
      </w:r>
      <w:r w:rsidRPr="0094448B">
        <w:rPr>
          <w:rFonts w:ascii="Verdana" w:eastAsia="Arial MT" w:hAnsi="Verdana" w:cs="Arial MT"/>
          <w:lang w:val="es-ES"/>
        </w:rPr>
        <w:t>ciento</w:t>
      </w:r>
      <w:r w:rsidRPr="0094448B">
        <w:rPr>
          <w:rFonts w:ascii="Verdana" w:eastAsia="Arial MT" w:hAnsi="Verdana" w:cs="Arial MT"/>
          <w:spacing w:val="-1"/>
          <w:lang w:val="es-ES"/>
        </w:rPr>
        <w:t xml:space="preserve"> </w:t>
      </w:r>
      <w:r w:rsidRPr="0094448B">
        <w:rPr>
          <w:rFonts w:ascii="Verdana" w:eastAsia="Arial MT" w:hAnsi="Verdana" w:cs="Arial MT"/>
          <w:lang w:val="es-ES"/>
        </w:rPr>
        <w:t>(50%)</w:t>
      </w:r>
      <w:r w:rsidRPr="0094448B">
        <w:rPr>
          <w:rFonts w:ascii="Verdana" w:eastAsia="Arial MT" w:hAnsi="Verdana" w:cs="Arial MT"/>
          <w:spacing w:val="-3"/>
          <w:lang w:val="es-ES"/>
        </w:rPr>
        <w:t xml:space="preserve"> </w:t>
      </w:r>
      <w:r w:rsidRPr="0094448B">
        <w:rPr>
          <w:rFonts w:ascii="Verdana" w:eastAsia="Arial MT" w:hAnsi="Verdana" w:cs="Arial MT"/>
          <w:lang w:val="es-ES"/>
        </w:rPr>
        <w:t>están</w:t>
      </w:r>
      <w:r w:rsidRPr="0094448B">
        <w:rPr>
          <w:rFonts w:ascii="Verdana" w:eastAsia="Arial MT" w:hAnsi="Verdana" w:cs="Arial MT"/>
          <w:spacing w:val="-1"/>
          <w:lang w:val="es-ES"/>
        </w:rPr>
        <w:t xml:space="preserve"> </w:t>
      </w:r>
      <w:r w:rsidRPr="0094448B">
        <w:rPr>
          <w:rFonts w:ascii="Verdana" w:eastAsia="Arial MT" w:hAnsi="Verdana" w:cs="Arial MT"/>
          <w:lang w:val="es-ES"/>
        </w:rPr>
        <w:t>sujetos</w:t>
      </w:r>
      <w:r w:rsidRPr="0094448B">
        <w:rPr>
          <w:rFonts w:ascii="Verdana" w:eastAsia="Arial MT" w:hAnsi="Verdana" w:cs="Arial MT"/>
          <w:spacing w:val="-2"/>
          <w:lang w:val="es-ES"/>
        </w:rPr>
        <w:t xml:space="preserve"> </w:t>
      </w:r>
      <w:r w:rsidRPr="0094448B">
        <w:rPr>
          <w:rFonts w:ascii="Verdana" w:eastAsia="Arial MT" w:hAnsi="Verdana" w:cs="Arial MT"/>
          <w:lang w:val="es-ES"/>
        </w:rPr>
        <w:t>al Estatuto General de Contratación de la Administración Pública.</w:t>
      </w:r>
    </w:p>
    <w:p w14:paraId="0BBDADF5" w14:textId="77777777" w:rsidR="00873901" w:rsidRPr="0094448B" w:rsidRDefault="00873901" w:rsidP="00873901">
      <w:pPr>
        <w:widowControl w:val="0"/>
        <w:autoSpaceDE w:val="0"/>
        <w:autoSpaceDN w:val="0"/>
        <w:spacing w:before="115" w:after="0" w:line="276" w:lineRule="auto"/>
        <w:ind w:firstLine="708"/>
        <w:jc w:val="both"/>
        <w:rPr>
          <w:rFonts w:ascii="Verdana" w:eastAsia="Arial MT" w:hAnsi="Verdana" w:cs="Arial MT"/>
          <w:lang w:val="es-ES"/>
        </w:rPr>
      </w:pPr>
      <w:r w:rsidRPr="0094448B">
        <w:rPr>
          <w:rFonts w:ascii="Verdana" w:eastAsia="Arial MT" w:hAnsi="Verdana" w:cs="Arial MT"/>
          <w:lang w:val="es-ES"/>
        </w:rPr>
        <w:t>Frente al particular, el Consejo de Estado, en el Concepto 1127 del 10 de</w:t>
      </w:r>
      <w:r w:rsidRPr="0094448B">
        <w:rPr>
          <w:rFonts w:ascii="Verdana" w:eastAsia="Arial MT" w:hAnsi="Verdana" w:cs="Arial MT"/>
          <w:spacing w:val="80"/>
          <w:lang w:val="es-ES"/>
        </w:rPr>
        <w:t xml:space="preserve"> </w:t>
      </w:r>
      <w:r w:rsidRPr="0094448B">
        <w:rPr>
          <w:rFonts w:ascii="Verdana" w:eastAsia="Arial MT" w:hAnsi="Verdana" w:cs="Arial MT"/>
          <w:lang w:val="es-ES"/>
        </w:rPr>
        <w:t>diciembre de 2004, estableció que del análisis de esta norma se concluye que: “si la participación estatal en una sociedad de economía mixta es superior al cincuenta por ciento (50%) de su capital, ya no le aplica el derecho privado, como es la regla general, sino el Estatuto General de Contratación de la Administración Pública”</w:t>
      </w:r>
      <w:r w:rsidRPr="0094448B">
        <w:rPr>
          <w:rFonts w:ascii="Verdana" w:eastAsia="Arial MT" w:hAnsi="Verdana" w:cs="Arial MT"/>
          <w:vertAlign w:val="superscript"/>
          <w:lang w:val="es-ES"/>
        </w:rPr>
        <w:footnoteReference w:id="11"/>
      </w:r>
      <w:r w:rsidRPr="0094448B">
        <w:rPr>
          <w:rFonts w:ascii="Verdana" w:eastAsia="Arial MT" w:hAnsi="Verdana" w:cs="Arial MT"/>
          <w:lang w:val="es-ES"/>
        </w:rPr>
        <w:t>. Es claro, entonces, que las sociedades de economía mixta con participación estatal superior al cincuenta por ciento (50%) se rigen en materia contractual por la Ley 80 de 1993, de acuerdo con la libertad de configuración del legislador en la materia.</w:t>
      </w:r>
    </w:p>
    <w:p w14:paraId="06C73C71" w14:textId="77777777" w:rsidR="00873901" w:rsidRPr="0094448B" w:rsidRDefault="00873901" w:rsidP="00873901">
      <w:pPr>
        <w:widowControl w:val="0"/>
        <w:autoSpaceDE w:val="0"/>
        <w:autoSpaceDN w:val="0"/>
        <w:spacing w:before="115" w:after="0" w:line="276" w:lineRule="auto"/>
        <w:ind w:firstLine="708"/>
        <w:jc w:val="both"/>
        <w:rPr>
          <w:rFonts w:ascii="Verdana" w:eastAsia="Arial MT" w:hAnsi="Verdana" w:cs="Arial MT"/>
          <w:lang w:val="es-ES"/>
        </w:rPr>
      </w:pPr>
      <w:r w:rsidRPr="0094448B">
        <w:rPr>
          <w:rFonts w:ascii="Verdana" w:eastAsia="Arial MT" w:hAnsi="Verdana" w:cs="Arial MT"/>
          <w:lang w:val="es-ES"/>
        </w:rPr>
        <w:t xml:space="preserve">Sin embargo, actualmente el artículo 14 de la Ley 1150 de 2007 previó que las sociedades de economía mixta en las que el Estado tenga participación superior al cincuenta por ciento (50%) y sus filiales que cuenten con </w:t>
      </w:r>
      <w:r w:rsidRPr="0094448B">
        <w:rPr>
          <w:rFonts w:ascii="Verdana" w:eastAsia="Arial MT" w:hAnsi="Verdana" w:cs="Arial MT"/>
          <w:lang w:val="es-ES"/>
        </w:rPr>
        <w:lastRenderedPageBreak/>
        <w:t>participación mayoritaria del Estado superior al cincuenta por ciento (50%) estarán sometidas al Estatuto General de Contratación la Administración Pública, en adelante EGCAP, con excepción de aquellas que desarrollen actividades</w:t>
      </w:r>
      <w:r w:rsidRPr="0094448B">
        <w:rPr>
          <w:rFonts w:ascii="Verdana" w:eastAsia="Arial MT" w:hAnsi="Verdana" w:cs="Arial MT"/>
          <w:spacing w:val="-1"/>
          <w:lang w:val="es-ES"/>
        </w:rPr>
        <w:t xml:space="preserve"> </w:t>
      </w:r>
      <w:r w:rsidRPr="0094448B">
        <w:rPr>
          <w:rFonts w:ascii="Verdana" w:eastAsia="Arial MT" w:hAnsi="Verdana" w:cs="Arial MT"/>
          <w:lang w:val="es-ES"/>
        </w:rPr>
        <w:t>comerciales</w:t>
      </w:r>
      <w:r w:rsidRPr="0094448B">
        <w:rPr>
          <w:rFonts w:ascii="Verdana" w:eastAsia="Arial MT" w:hAnsi="Verdana" w:cs="Arial MT"/>
          <w:spacing w:val="-1"/>
          <w:lang w:val="es-ES"/>
        </w:rPr>
        <w:t xml:space="preserve"> </w:t>
      </w:r>
      <w:r w:rsidRPr="0094448B">
        <w:rPr>
          <w:rFonts w:ascii="Verdana" w:eastAsia="Arial MT" w:hAnsi="Verdana" w:cs="Arial MT"/>
          <w:lang w:val="es-ES"/>
        </w:rPr>
        <w:t>en competencia con el sector</w:t>
      </w:r>
      <w:r w:rsidRPr="0094448B">
        <w:rPr>
          <w:rFonts w:ascii="Verdana" w:eastAsia="Arial MT" w:hAnsi="Verdana" w:cs="Arial MT"/>
          <w:spacing w:val="-2"/>
          <w:lang w:val="es-ES"/>
        </w:rPr>
        <w:t xml:space="preserve"> </w:t>
      </w:r>
      <w:r w:rsidRPr="0094448B">
        <w:rPr>
          <w:rFonts w:ascii="Verdana" w:eastAsia="Arial MT" w:hAnsi="Verdana" w:cs="Arial MT"/>
          <w:lang w:val="es-ES"/>
        </w:rPr>
        <w:t>privado y/o público, nacional o internacional, o en mercados regulados, caso en el cual se regirán por las disposiciones legales y reglamentarias aplicables a sus actividades económicas y comerciales</w:t>
      </w:r>
      <w:r w:rsidRPr="0094448B">
        <w:rPr>
          <w:rFonts w:ascii="Verdana" w:eastAsia="Arial MT" w:hAnsi="Verdana" w:cs="Arial MT"/>
          <w:vertAlign w:val="superscript"/>
          <w:lang w:val="es-ES"/>
        </w:rPr>
        <w:footnoteReference w:id="12"/>
      </w:r>
      <w:r w:rsidRPr="0094448B">
        <w:rPr>
          <w:rFonts w:ascii="Verdana" w:eastAsia="Arial MT" w:hAnsi="Verdana" w:cs="Arial MT"/>
          <w:lang w:val="es-ES"/>
        </w:rPr>
        <w:t>. En otras palabras, el legislador estableció que las sociedades de economía mixta en las que el Estado tenga participación superior al cincuenta por ciento (50%), cuando se encuentran en competencia con el sector privado o público, nacional o internacional o desarrollan su actividad en mercados regulados estarán sometidos al derecho privado.</w:t>
      </w:r>
    </w:p>
    <w:p w14:paraId="24666384" w14:textId="77777777" w:rsidR="00873901" w:rsidRPr="0094448B" w:rsidRDefault="00873901" w:rsidP="00873901">
      <w:pPr>
        <w:widowControl w:val="0"/>
        <w:autoSpaceDE w:val="0"/>
        <w:autoSpaceDN w:val="0"/>
        <w:spacing w:before="122" w:after="0" w:line="276" w:lineRule="auto"/>
        <w:ind w:firstLine="708"/>
        <w:jc w:val="both"/>
        <w:rPr>
          <w:rFonts w:ascii="Verdana" w:eastAsia="Arial MT" w:hAnsi="Verdana" w:cs="Arial MT"/>
          <w:spacing w:val="-2"/>
          <w:lang w:val="es-ES"/>
        </w:rPr>
      </w:pPr>
      <w:r w:rsidRPr="0094448B">
        <w:rPr>
          <w:rFonts w:ascii="Verdana" w:eastAsia="Arial MT" w:hAnsi="Verdana" w:cs="Arial MT"/>
          <w:lang w:val="es-ES"/>
        </w:rPr>
        <w:t>Así las cosas, las sociedades de economía mixta sometidas al EGCAP son aquellas en las que el aporte del Estado es superior al cincuenta por ciento (50%) y además las actuaciones que adelantan no se encuentran en competencia con el sector privado o público, nacional o internacional o en mercados regulados. Por el contrario, las sociedades</w:t>
      </w:r>
      <w:r w:rsidRPr="0094448B">
        <w:rPr>
          <w:rFonts w:ascii="Verdana" w:eastAsia="Arial MT" w:hAnsi="Verdana" w:cs="Arial MT"/>
          <w:spacing w:val="32"/>
          <w:lang w:val="es-ES"/>
        </w:rPr>
        <w:t xml:space="preserve"> </w:t>
      </w:r>
      <w:r w:rsidRPr="0094448B">
        <w:rPr>
          <w:rFonts w:ascii="Verdana" w:eastAsia="Arial MT" w:hAnsi="Verdana" w:cs="Arial MT"/>
          <w:lang w:val="es-ES"/>
        </w:rPr>
        <w:t>de</w:t>
      </w:r>
      <w:r w:rsidRPr="0094448B">
        <w:rPr>
          <w:rFonts w:ascii="Verdana" w:eastAsia="Arial MT" w:hAnsi="Verdana" w:cs="Arial MT"/>
          <w:spacing w:val="34"/>
          <w:lang w:val="es-ES"/>
        </w:rPr>
        <w:t xml:space="preserve"> </w:t>
      </w:r>
      <w:r w:rsidRPr="0094448B">
        <w:rPr>
          <w:rFonts w:ascii="Verdana" w:eastAsia="Arial MT" w:hAnsi="Verdana" w:cs="Arial MT"/>
          <w:lang w:val="es-ES"/>
        </w:rPr>
        <w:t>economía</w:t>
      </w:r>
      <w:r w:rsidRPr="0094448B">
        <w:rPr>
          <w:rFonts w:ascii="Verdana" w:eastAsia="Arial MT" w:hAnsi="Verdana" w:cs="Arial MT"/>
          <w:spacing w:val="39"/>
          <w:lang w:val="es-ES"/>
        </w:rPr>
        <w:t xml:space="preserve"> </w:t>
      </w:r>
      <w:r w:rsidRPr="0094448B">
        <w:rPr>
          <w:rFonts w:ascii="Verdana" w:eastAsia="Arial MT" w:hAnsi="Verdana" w:cs="Arial MT"/>
          <w:lang w:val="es-ES"/>
        </w:rPr>
        <w:t>mixta</w:t>
      </w:r>
      <w:r w:rsidRPr="0094448B">
        <w:rPr>
          <w:rFonts w:ascii="Verdana" w:eastAsia="Arial MT" w:hAnsi="Verdana" w:cs="Arial MT"/>
          <w:spacing w:val="34"/>
          <w:lang w:val="es-ES"/>
        </w:rPr>
        <w:t xml:space="preserve"> </w:t>
      </w:r>
      <w:r w:rsidRPr="0094448B">
        <w:rPr>
          <w:rFonts w:ascii="Verdana" w:eastAsia="Arial MT" w:hAnsi="Verdana" w:cs="Arial MT"/>
          <w:lang w:val="es-ES"/>
        </w:rPr>
        <w:t>en</w:t>
      </w:r>
      <w:r w:rsidRPr="0094448B">
        <w:rPr>
          <w:rFonts w:ascii="Verdana" w:eastAsia="Arial MT" w:hAnsi="Verdana" w:cs="Arial MT"/>
          <w:spacing w:val="39"/>
          <w:lang w:val="es-ES"/>
        </w:rPr>
        <w:t xml:space="preserve"> </w:t>
      </w:r>
      <w:r w:rsidRPr="0094448B">
        <w:rPr>
          <w:rFonts w:ascii="Verdana" w:eastAsia="Arial MT" w:hAnsi="Verdana" w:cs="Arial MT"/>
          <w:lang w:val="es-ES"/>
        </w:rPr>
        <w:t>las</w:t>
      </w:r>
      <w:r w:rsidRPr="0094448B">
        <w:rPr>
          <w:rFonts w:ascii="Verdana" w:eastAsia="Arial MT" w:hAnsi="Verdana" w:cs="Arial MT"/>
          <w:spacing w:val="32"/>
          <w:lang w:val="es-ES"/>
        </w:rPr>
        <w:t xml:space="preserve"> </w:t>
      </w:r>
      <w:r w:rsidRPr="0094448B">
        <w:rPr>
          <w:rFonts w:ascii="Verdana" w:eastAsia="Arial MT" w:hAnsi="Verdana" w:cs="Arial MT"/>
          <w:lang w:val="es-ES"/>
        </w:rPr>
        <w:t>que</w:t>
      </w:r>
      <w:r w:rsidRPr="0094448B">
        <w:rPr>
          <w:rFonts w:ascii="Verdana" w:eastAsia="Arial MT" w:hAnsi="Verdana" w:cs="Arial MT"/>
          <w:spacing w:val="34"/>
          <w:lang w:val="es-ES"/>
        </w:rPr>
        <w:t xml:space="preserve"> </w:t>
      </w:r>
      <w:r w:rsidRPr="0094448B">
        <w:rPr>
          <w:rFonts w:ascii="Verdana" w:eastAsia="Arial MT" w:hAnsi="Verdana" w:cs="Arial MT"/>
          <w:lang w:val="es-ES"/>
        </w:rPr>
        <w:t>el</w:t>
      </w:r>
      <w:r w:rsidRPr="0094448B">
        <w:rPr>
          <w:rFonts w:ascii="Verdana" w:eastAsia="Arial MT" w:hAnsi="Verdana" w:cs="Arial MT"/>
          <w:spacing w:val="31"/>
          <w:lang w:val="es-ES"/>
        </w:rPr>
        <w:t xml:space="preserve"> </w:t>
      </w:r>
      <w:r w:rsidRPr="0094448B">
        <w:rPr>
          <w:rFonts w:ascii="Verdana" w:eastAsia="Arial MT" w:hAnsi="Verdana" w:cs="Arial MT"/>
          <w:lang w:val="es-ES"/>
        </w:rPr>
        <w:t>Estado</w:t>
      </w:r>
      <w:r w:rsidRPr="0094448B">
        <w:rPr>
          <w:rFonts w:ascii="Verdana" w:eastAsia="Arial MT" w:hAnsi="Verdana" w:cs="Arial MT"/>
          <w:spacing w:val="39"/>
          <w:lang w:val="es-ES"/>
        </w:rPr>
        <w:t xml:space="preserve"> </w:t>
      </w:r>
      <w:r w:rsidRPr="0094448B">
        <w:rPr>
          <w:rFonts w:ascii="Verdana" w:eastAsia="Arial MT" w:hAnsi="Verdana" w:cs="Arial MT"/>
          <w:lang w:val="es-ES"/>
        </w:rPr>
        <w:t>tenga</w:t>
      </w:r>
      <w:r w:rsidRPr="0094448B">
        <w:rPr>
          <w:rFonts w:ascii="Verdana" w:eastAsia="Arial MT" w:hAnsi="Verdana" w:cs="Arial MT"/>
          <w:spacing w:val="39"/>
          <w:lang w:val="es-ES"/>
        </w:rPr>
        <w:t xml:space="preserve"> </w:t>
      </w:r>
      <w:r w:rsidRPr="0094448B">
        <w:rPr>
          <w:rFonts w:ascii="Verdana" w:eastAsia="Arial MT" w:hAnsi="Verdana" w:cs="Arial MT"/>
          <w:lang w:val="es-ES"/>
        </w:rPr>
        <w:t>una</w:t>
      </w:r>
      <w:r w:rsidRPr="0094448B">
        <w:rPr>
          <w:rFonts w:ascii="Verdana" w:eastAsia="Arial MT" w:hAnsi="Verdana" w:cs="Arial MT"/>
          <w:spacing w:val="34"/>
          <w:lang w:val="es-ES"/>
        </w:rPr>
        <w:t xml:space="preserve"> </w:t>
      </w:r>
      <w:r w:rsidRPr="0094448B">
        <w:rPr>
          <w:rFonts w:ascii="Verdana" w:eastAsia="Arial MT" w:hAnsi="Verdana" w:cs="Arial MT"/>
          <w:lang w:val="es-ES"/>
        </w:rPr>
        <w:t>participación</w:t>
      </w:r>
      <w:r w:rsidRPr="0094448B">
        <w:rPr>
          <w:rFonts w:ascii="Verdana" w:eastAsia="Arial MT" w:hAnsi="Verdana" w:cs="Arial MT"/>
          <w:spacing w:val="34"/>
          <w:lang w:val="es-ES"/>
        </w:rPr>
        <w:t xml:space="preserve"> </w:t>
      </w:r>
      <w:r w:rsidRPr="0094448B">
        <w:rPr>
          <w:rFonts w:ascii="Verdana" w:eastAsia="Arial MT" w:hAnsi="Verdana" w:cs="Arial MT"/>
          <w:lang w:val="es-ES"/>
        </w:rPr>
        <w:t>menor</w:t>
      </w:r>
      <w:r w:rsidRPr="0094448B">
        <w:rPr>
          <w:rFonts w:ascii="Verdana" w:eastAsia="Arial MT" w:hAnsi="Verdana" w:cs="Arial MT"/>
          <w:spacing w:val="31"/>
          <w:lang w:val="es-ES"/>
        </w:rPr>
        <w:t xml:space="preserve"> </w:t>
      </w:r>
      <w:r w:rsidRPr="0094448B">
        <w:rPr>
          <w:rFonts w:ascii="Verdana" w:eastAsia="Arial MT" w:hAnsi="Verdana" w:cs="Arial MT"/>
          <w:lang w:val="es-ES"/>
        </w:rPr>
        <w:t xml:space="preserve">al cincuenta por ciento (50%) o en los casos que desarrollan actividades comerciales en competencia con el sector privado y/o público, nacional o internacional, o en mercados regulados se regirán por las disposiciones legales y reglamentarias aplicables a sus actividades económicas y comerciales, lo que implica acudir usualmente al derecho </w:t>
      </w:r>
      <w:r w:rsidRPr="0094448B">
        <w:rPr>
          <w:rFonts w:ascii="Verdana" w:eastAsia="Arial MT" w:hAnsi="Verdana" w:cs="Arial MT"/>
          <w:spacing w:val="-2"/>
          <w:lang w:val="es-ES"/>
        </w:rPr>
        <w:t>privado.</w:t>
      </w:r>
    </w:p>
    <w:p w14:paraId="070475BB" w14:textId="77777777" w:rsidR="00873901" w:rsidRPr="0094448B" w:rsidRDefault="00873901" w:rsidP="00873901">
      <w:pPr>
        <w:widowControl w:val="0"/>
        <w:autoSpaceDE w:val="0"/>
        <w:autoSpaceDN w:val="0"/>
        <w:spacing w:after="0" w:line="276" w:lineRule="auto"/>
        <w:ind w:right="266" w:firstLine="709"/>
        <w:jc w:val="both"/>
        <w:rPr>
          <w:rFonts w:ascii="Verdana" w:eastAsia="Arial MT" w:hAnsi="Verdana" w:cs="Arial MT"/>
          <w:lang w:val="es-ES"/>
        </w:rPr>
      </w:pPr>
    </w:p>
    <w:p w14:paraId="512531F1" w14:textId="77777777" w:rsidR="00873901" w:rsidRDefault="00873901" w:rsidP="00873901">
      <w:pPr>
        <w:widowControl w:val="0"/>
        <w:autoSpaceDE w:val="0"/>
        <w:autoSpaceDN w:val="0"/>
        <w:spacing w:after="120" w:line="276" w:lineRule="auto"/>
        <w:jc w:val="both"/>
        <w:rPr>
          <w:rFonts w:ascii="Verdana" w:eastAsia="Calibri" w:hAnsi="Verdana" w:cs="Arial"/>
          <w:bCs/>
          <w:color w:val="000000" w:themeColor="text1"/>
        </w:rPr>
      </w:pPr>
      <w:proofErr w:type="spellStart"/>
      <w:r w:rsidRPr="0094448B">
        <w:rPr>
          <w:rFonts w:ascii="Verdana" w:eastAsia="Calibri" w:hAnsi="Verdana" w:cs="Arial"/>
          <w:bCs/>
          <w:color w:val="000000" w:themeColor="text1"/>
          <w:lang w:val="es-ES"/>
        </w:rPr>
        <w:t>iii</w:t>
      </w:r>
      <w:proofErr w:type="spellEnd"/>
      <w:r w:rsidRPr="0094448B">
        <w:rPr>
          <w:rFonts w:ascii="Verdana" w:eastAsia="Calibri" w:hAnsi="Verdana" w:cs="Arial"/>
          <w:bCs/>
          <w:color w:val="000000" w:themeColor="text1"/>
          <w:lang w:val="es-ES"/>
        </w:rPr>
        <w:t xml:space="preserve">. </w:t>
      </w:r>
      <w:r w:rsidRPr="005D13A5">
        <w:rPr>
          <w:rFonts w:ascii="Verdana" w:eastAsia="Calibri" w:hAnsi="Verdana" w:cs="Arial"/>
          <w:bCs/>
          <w:color w:val="000000" w:themeColor="text1"/>
        </w:rPr>
        <w:t xml:space="preserve">La constitución de una </w:t>
      </w:r>
      <w:r w:rsidRPr="005D13A5">
        <w:rPr>
          <w:rFonts w:ascii="Verdana" w:eastAsia="Calibri" w:hAnsi="Verdana" w:cs="Arial"/>
          <w:color w:val="000000" w:themeColor="text1"/>
        </w:rPr>
        <w:t xml:space="preserve">sociedad de economía mixta en el ordenamiento jurídico colombiano exige el agotamiento de dos actos jurídicos </w:t>
      </w:r>
      <w:r>
        <w:rPr>
          <w:rFonts w:ascii="Verdana" w:eastAsia="Calibri" w:hAnsi="Verdana" w:cs="Arial"/>
          <w:color w:val="000000" w:themeColor="text1"/>
        </w:rPr>
        <w:t>su</w:t>
      </w:r>
      <w:r w:rsidRPr="005D13A5">
        <w:rPr>
          <w:rFonts w:ascii="Verdana" w:eastAsia="Calibri" w:hAnsi="Verdana" w:cs="Arial"/>
          <w:color w:val="000000" w:themeColor="text1"/>
        </w:rPr>
        <w:t xml:space="preserve">cesivos, cuya configuración supone la aplicación articulada de normas de derecho público y de derecho privado. En primer término, la entidad estatal debe adoptar la decisión administrativa de participar en la sociedad, acto que se materializa mediante la autorización </w:t>
      </w:r>
      <w:r w:rsidRPr="00272002">
        <w:rPr>
          <w:rFonts w:ascii="Verdana" w:eastAsia="Calibri" w:hAnsi="Verdana" w:cs="Arial"/>
          <w:color w:val="000000" w:themeColor="text1"/>
          <w:lang w:val="es-ES"/>
        </w:rPr>
        <w:t>legal o reglamentaria que disponga expresamente su creación</w:t>
      </w:r>
      <w:r>
        <w:rPr>
          <w:rFonts w:ascii="Verdana" w:eastAsia="Calibri" w:hAnsi="Verdana" w:cs="Arial"/>
          <w:color w:val="000000" w:themeColor="text1"/>
          <w:lang w:val="es-ES"/>
        </w:rPr>
        <w:t xml:space="preserve">, </w:t>
      </w:r>
      <w:r>
        <w:rPr>
          <w:rFonts w:ascii="Verdana" w:eastAsia="Calibri" w:hAnsi="Verdana" w:cs="Arial"/>
          <w:color w:val="000000" w:themeColor="text1"/>
          <w:lang w:val="es-ES"/>
        </w:rPr>
        <w:lastRenderedPageBreak/>
        <w:t>conforme a lo dispuesto en el artículo 49 de la Ley 489 de 1998</w:t>
      </w:r>
      <w:r>
        <w:rPr>
          <w:rStyle w:val="Refdenotaalpie"/>
          <w:rFonts w:ascii="Verdana" w:eastAsia="Calibri" w:hAnsi="Verdana" w:cs="Arial"/>
          <w:color w:val="000000" w:themeColor="text1"/>
          <w:lang w:val="es-ES"/>
        </w:rPr>
        <w:footnoteReference w:id="13"/>
      </w:r>
      <w:r>
        <w:rPr>
          <w:rFonts w:ascii="Verdana" w:eastAsia="Calibri" w:hAnsi="Verdana" w:cs="Arial"/>
          <w:color w:val="000000" w:themeColor="text1"/>
          <w:lang w:val="es-ES"/>
        </w:rPr>
        <w:t xml:space="preserve">, esto es, mediante una ley, ordenanza o acuerdo. </w:t>
      </w:r>
      <w:r>
        <w:rPr>
          <w:rFonts w:ascii="Verdana" w:eastAsia="Calibri" w:hAnsi="Verdana" w:cs="Arial"/>
          <w:color w:val="000000" w:themeColor="text1"/>
        </w:rPr>
        <w:t>Después de esta etapa, debe proceder la celebración del contrato de sociedad bajo lo dispuesto en el artículo 110 del Código de Comercio</w:t>
      </w:r>
      <w:r>
        <w:rPr>
          <w:rStyle w:val="Refdenotaalpie"/>
          <w:rFonts w:ascii="Verdana" w:eastAsia="Calibri" w:hAnsi="Verdana" w:cs="Arial"/>
          <w:color w:val="000000" w:themeColor="text1"/>
        </w:rPr>
        <w:footnoteReference w:id="14"/>
      </w:r>
      <w:r>
        <w:rPr>
          <w:rFonts w:ascii="Verdana" w:eastAsia="Calibri" w:hAnsi="Verdana" w:cs="Arial"/>
          <w:color w:val="000000" w:themeColor="text1"/>
        </w:rPr>
        <w:t xml:space="preserve">, </w:t>
      </w:r>
      <w:r w:rsidRPr="005D13A5">
        <w:rPr>
          <w:rFonts w:ascii="Verdana" w:eastAsia="Calibri" w:hAnsi="Verdana" w:cs="Arial"/>
          <w:bCs/>
          <w:color w:val="000000" w:themeColor="text1"/>
        </w:rPr>
        <w:t xml:space="preserve">en el cual concurren la entidad pública y el particular </w:t>
      </w:r>
      <w:r w:rsidRPr="005D13A5">
        <w:rPr>
          <w:rFonts w:ascii="Verdana" w:eastAsia="Calibri" w:hAnsi="Verdana" w:cs="Arial"/>
          <w:bCs/>
          <w:color w:val="000000" w:themeColor="text1"/>
        </w:rPr>
        <w:lastRenderedPageBreak/>
        <w:t>seleccionado</w:t>
      </w:r>
      <w:r>
        <w:rPr>
          <w:rFonts w:ascii="Verdana" w:eastAsia="Calibri" w:hAnsi="Verdana" w:cs="Arial"/>
          <w:bCs/>
          <w:color w:val="000000" w:themeColor="text1"/>
        </w:rPr>
        <w:t xml:space="preserve">, o también es posible por </w:t>
      </w:r>
      <w:r w:rsidRPr="00267C21">
        <w:rPr>
          <w:rFonts w:ascii="Verdana" w:eastAsia="Calibri" w:hAnsi="Verdana" w:cs="Arial"/>
          <w:bCs/>
          <w:color w:val="000000" w:themeColor="text1"/>
        </w:rPr>
        <w:t>opta</w:t>
      </w:r>
      <w:r>
        <w:rPr>
          <w:rFonts w:ascii="Verdana" w:eastAsia="Calibri" w:hAnsi="Verdana" w:cs="Arial"/>
          <w:bCs/>
          <w:color w:val="000000" w:themeColor="text1"/>
        </w:rPr>
        <w:t>r</w:t>
      </w:r>
      <w:r w:rsidRPr="00267C21">
        <w:rPr>
          <w:rFonts w:ascii="Verdana" w:eastAsia="Calibri" w:hAnsi="Verdana" w:cs="Arial"/>
          <w:bCs/>
          <w:color w:val="000000" w:themeColor="text1"/>
        </w:rPr>
        <w:t xml:space="preserve"> conform</w:t>
      </w:r>
      <w:r>
        <w:rPr>
          <w:rFonts w:ascii="Verdana" w:eastAsia="Calibri" w:hAnsi="Verdana" w:cs="Arial"/>
          <w:bCs/>
          <w:color w:val="000000" w:themeColor="text1"/>
        </w:rPr>
        <w:t>e a</w:t>
      </w:r>
      <w:r w:rsidRPr="00267C21">
        <w:rPr>
          <w:rFonts w:ascii="Verdana" w:eastAsia="Calibri" w:hAnsi="Verdana" w:cs="Arial"/>
          <w:bCs/>
          <w:color w:val="000000" w:themeColor="text1"/>
        </w:rPr>
        <w:t xml:space="preserve"> una sociedad por acciones simplificadas (S.A.S.), </w:t>
      </w:r>
      <w:r>
        <w:rPr>
          <w:rFonts w:ascii="Verdana" w:eastAsia="Calibri" w:hAnsi="Verdana" w:cs="Arial"/>
          <w:bCs/>
          <w:color w:val="000000" w:themeColor="text1"/>
        </w:rPr>
        <w:t>de acuerdo con</w:t>
      </w:r>
      <w:r w:rsidRPr="00267C21">
        <w:rPr>
          <w:rFonts w:ascii="Verdana" w:eastAsia="Calibri" w:hAnsi="Verdana" w:cs="Arial"/>
          <w:bCs/>
          <w:color w:val="000000" w:themeColor="text1"/>
        </w:rPr>
        <w:t xml:space="preserve"> lo previsto en el artículo 5º de Ley 1258 de 2008</w:t>
      </w:r>
      <w:r>
        <w:rPr>
          <w:rStyle w:val="Refdenotaalpie"/>
          <w:rFonts w:ascii="Verdana" w:eastAsia="Calibri" w:hAnsi="Verdana" w:cs="Arial"/>
          <w:bCs/>
          <w:color w:val="000000" w:themeColor="text1"/>
        </w:rPr>
        <w:footnoteReference w:id="15"/>
      </w:r>
      <w:r>
        <w:rPr>
          <w:rFonts w:ascii="Verdana" w:eastAsia="Calibri" w:hAnsi="Verdana" w:cs="Arial"/>
          <w:bCs/>
          <w:color w:val="000000" w:themeColor="text1"/>
        </w:rPr>
        <w:t xml:space="preserve">. </w:t>
      </w:r>
    </w:p>
    <w:p w14:paraId="1AF9CE6F" w14:textId="77777777" w:rsidR="00873901" w:rsidRPr="009E29A2" w:rsidRDefault="00873901" w:rsidP="00873901">
      <w:pPr>
        <w:widowControl w:val="0"/>
        <w:autoSpaceDE w:val="0"/>
        <w:autoSpaceDN w:val="0"/>
        <w:spacing w:after="120" w:line="276" w:lineRule="auto"/>
        <w:ind w:firstLine="708"/>
        <w:jc w:val="both"/>
        <w:rPr>
          <w:rFonts w:ascii="Verdana" w:eastAsia="Calibri" w:hAnsi="Verdana" w:cs="Arial"/>
          <w:bCs/>
          <w:color w:val="000000" w:themeColor="text1"/>
        </w:rPr>
      </w:pPr>
      <w:r>
        <w:rPr>
          <w:rFonts w:ascii="Verdana" w:eastAsia="Calibri" w:hAnsi="Verdana" w:cs="Arial"/>
          <w:bCs/>
          <w:color w:val="000000" w:themeColor="text1"/>
        </w:rPr>
        <w:t>En este sentido, d</w:t>
      </w:r>
      <w:r w:rsidRPr="009E29A2">
        <w:rPr>
          <w:rFonts w:ascii="Verdana" w:eastAsia="Calibri" w:hAnsi="Verdana" w:cs="Arial"/>
          <w:bCs/>
          <w:color w:val="000000" w:themeColor="text1"/>
        </w:rPr>
        <w:t>eben conformarse bajo la forma de sociedades comerciales</w:t>
      </w:r>
      <w:r w:rsidRPr="009E29A2">
        <w:rPr>
          <w:rFonts w:ascii="Verdana" w:eastAsia="Calibri" w:hAnsi="Verdana" w:cs="Arial"/>
          <w:bCs/>
          <w:color w:val="000000" w:themeColor="text1"/>
          <w:vertAlign w:val="superscript"/>
        </w:rPr>
        <w:footnoteReference w:id="16"/>
      </w:r>
      <w:r w:rsidRPr="009E29A2">
        <w:rPr>
          <w:rFonts w:ascii="Verdana" w:eastAsia="Calibri" w:hAnsi="Verdana" w:cs="Arial"/>
          <w:bCs/>
          <w:color w:val="000000" w:themeColor="text1"/>
        </w:rPr>
        <w:t>, pues no basta con la autorización legal, también se requiere la celebración de un contrato entre la entidad estatal y los particulares que la van a conformar</w:t>
      </w:r>
      <w:r w:rsidRPr="009E29A2">
        <w:rPr>
          <w:rFonts w:ascii="Verdana" w:eastAsia="Calibri" w:hAnsi="Verdana" w:cs="Arial"/>
          <w:bCs/>
          <w:color w:val="000000" w:themeColor="text1"/>
          <w:vertAlign w:val="superscript"/>
        </w:rPr>
        <w:footnoteReference w:id="17"/>
      </w:r>
      <w:r w:rsidRPr="009E29A2">
        <w:rPr>
          <w:rFonts w:ascii="Verdana" w:eastAsia="Calibri" w:hAnsi="Verdana" w:cs="Arial"/>
          <w:bCs/>
          <w:color w:val="000000" w:themeColor="text1"/>
        </w:rPr>
        <w:t>, por lo cual hay una remisión al Código de Comercio, siendo necesario considerar los artículos 461 al 468 de</w:t>
      </w:r>
      <w:r>
        <w:rPr>
          <w:rFonts w:ascii="Verdana" w:eastAsia="Calibri" w:hAnsi="Verdana" w:cs="Arial"/>
          <w:bCs/>
          <w:color w:val="000000" w:themeColor="text1"/>
        </w:rPr>
        <w:t xml:space="preserve"> dicho cuerpo normativo</w:t>
      </w:r>
      <w:r w:rsidRPr="009E29A2">
        <w:rPr>
          <w:rFonts w:ascii="Verdana" w:eastAsia="Calibri" w:hAnsi="Verdana" w:cs="Arial"/>
          <w:bCs/>
          <w:color w:val="000000" w:themeColor="text1"/>
        </w:rPr>
        <w:t xml:space="preserve">. </w:t>
      </w:r>
      <w:r>
        <w:rPr>
          <w:rFonts w:ascii="Verdana" w:eastAsia="Calibri" w:hAnsi="Verdana" w:cs="Arial"/>
          <w:bCs/>
          <w:color w:val="000000" w:themeColor="text1"/>
        </w:rPr>
        <w:t xml:space="preserve">Se </w:t>
      </w:r>
      <w:r w:rsidRPr="009E29A2">
        <w:rPr>
          <w:rFonts w:ascii="Verdana" w:eastAsia="Calibri" w:hAnsi="Verdana" w:cs="Arial"/>
          <w:bCs/>
          <w:color w:val="000000" w:themeColor="text1"/>
        </w:rPr>
        <w:t xml:space="preserve">definen como sociedades comerciales constituidas con aportes estatales y privadas, que por regla general, se regulan por el derecho privado, salvo excepción legal; en el acto de constitución debe </w:t>
      </w:r>
      <w:r>
        <w:rPr>
          <w:rFonts w:ascii="Verdana" w:eastAsia="Calibri" w:hAnsi="Verdana" w:cs="Arial"/>
          <w:bCs/>
          <w:color w:val="000000" w:themeColor="text1"/>
        </w:rPr>
        <w:t xml:space="preserve">definirse </w:t>
      </w:r>
      <w:r w:rsidRPr="009E29A2">
        <w:rPr>
          <w:rFonts w:ascii="Verdana" w:eastAsia="Calibri" w:hAnsi="Verdana" w:cs="Arial"/>
          <w:bCs/>
          <w:color w:val="000000" w:themeColor="text1"/>
        </w:rPr>
        <w:t xml:space="preserve">las condiciones de participación del Estado, a que nivel territorial pertenece y su vinculación administrativa para los efectos de control o tutela estatal; cuando el capital del Estado sea igual o superior al 90%, la sociedad se somete al régimen de las empresas industriales y comerciales del Estado; cuando la sociedad de economía mixta es constituida como sociedad anónima, las acciones serán nominativas y </w:t>
      </w:r>
      <w:r w:rsidRPr="009E29A2">
        <w:rPr>
          <w:rFonts w:ascii="Verdana" w:eastAsia="Calibri" w:hAnsi="Verdana" w:cs="Arial"/>
          <w:bCs/>
          <w:color w:val="000000" w:themeColor="text1"/>
        </w:rPr>
        <w:lastRenderedPageBreak/>
        <w:t>emitidas en series distintas para accionistas públicos y privados.</w:t>
      </w:r>
    </w:p>
    <w:p w14:paraId="7C7130AB" w14:textId="77777777" w:rsidR="00873901" w:rsidRDefault="00873901" w:rsidP="00873901">
      <w:pPr>
        <w:widowControl w:val="0"/>
        <w:autoSpaceDE w:val="0"/>
        <w:autoSpaceDN w:val="0"/>
        <w:spacing w:after="0" w:line="276" w:lineRule="auto"/>
        <w:ind w:firstLine="708"/>
        <w:jc w:val="both"/>
        <w:rPr>
          <w:rFonts w:ascii="Verdana" w:eastAsia="Calibri" w:hAnsi="Verdana" w:cs="Arial"/>
          <w:bCs/>
          <w:color w:val="000000" w:themeColor="text1"/>
        </w:rPr>
      </w:pPr>
      <w:r>
        <w:rPr>
          <w:rFonts w:ascii="Verdana" w:eastAsia="Calibri" w:hAnsi="Verdana" w:cs="Arial"/>
          <w:bCs/>
          <w:color w:val="000000" w:themeColor="text1"/>
        </w:rPr>
        <w:t xml:space="preserve">En torno a la constitución de las sociedades de economía mixta, el Consejo de Estado en Sentencia con expediente 65.246 del 11 de agosto de 2025 expresó: </w:t>
      </w:r>
    </w:p>
    <w:p w14:paraId="1D6500BE" w14:textId="77777777" w:rsidR="00873901" w:rsidRDefault="00873901" w:rsidP="00873901">
      <w:pPr>
        <w:widowControl w:val="0"/>
        <w:autoSpaceDE w:val="0"/>
        <w:autoSpaceDN w:val="0"/>
        <w:spacing w:after="0" w:line="240" w:lineRule="auto"/>
        <w:ind w:left="709" w:right="709"/>
        <w:jc w:val="both"/>
        <w:rPr>
          <w:rFonts w:ascii="Verdana" w:eastAsia="Calibri" w:hAnsi="Verdana" w:cs="Arial"/>
          <w:bCs/>
          <w:color w:val="000000" w:themeColor="text1"/>
        </w:rPr>
      </w:pPr>
    </w:p>
    <w:p w14:paraId="46DA2CCC" w14:textId="77777777" w:rsidR="00873901" w:rsidRPr="00285CE5" w:rsidRDefault="00873901" w:rsidP="00873901">
      <w:pPr>
        <w:widowControl w:val="0"/>
        <w:autoSpaceDE w:val="0"/>
        <w:autoSpaceDN w:val="0"/>
        <w:spacing w:after="0" w:line="240" w:lineRule="auto"/>
        <w:ind w:left="709" w:right="709"/>
        <w:jc w:val="both"/>
        <w:rPr>
          <w:rFonts w:ascii="Verdana" w:eastAsia="Calibri" w:hAnsi="Verdana" w:cs="Arial"/>
          <w:bCs/>
          <w:color w:val="000000" w:themeColor="text1"/>
          <w:sz w:val="20"/>
          <w:szCs w:val="20"/>
        </w:rPr>
      </w:pPr>
      <w:r>
        <w:rPr>
          <w:rFonts w:ascii="Verdana" w:eastAsia="Calibri" w:hAnsi="Verdana" w:cs="Arial"/>
          <w:bCs/>
          <w:color w:val="000000" w:themeColor="text1"/>
          <w:sz w:val="20"/>
          <w:szCs w:val="20"/>
        </w:rPr>
        <w:t>“</w:t>
      </w:r>
      <w:r w:rsidRPr="00285CE5">
        <w:rPr>
          <w:rFonts w:ascii="Verdana" w:eastAsia="Calibri" w:hAnsi="Verdana" w:cs="Arial"/>
          <w:bCs/>
          <w:color w:val="000000" w:themeColor="text1"/>
          <w:sz w:val="20"/>
          <w:szCs w:val="20"/>
        </w:rPr>
        <w:t>Bajo esta perspectiva, se observa que los artículos 49, 50 y 98 de la Ley 489 de 1998, en consonancia con el artículo 462 del Código de Comercio, establecen los requisitos esenciales para la constitución de una sociedad de economía mixta, a saber: (i) una autorización legal o reglamentaria que disponga expresamente su creación; por tanto, tratándose de sociedades del orden nacional, dicha autorización debe emanar de una la ley, mientras que para las sociedades de carácter municipal o departamental , el acto habilitante debe adoptarse mediante acuerdo u ordenanza, según corresponda; y (</w:t>
      </w:r>
      <w:proofErr w:type="spellStart"/>
      <w:r w:rsidRPr="00285CE5">
        <w:rPr>
          <w:rFonts w:ascii="Verdana" w:eastAsia="Calibri" w:hAnsi="Verdana" w:cs="Arial"/>
          <w:bCs/>
          <w:color w:val="000000" w:themeColor="text1"/>
          <w:sz w:val="20"/>
          <w:szCs w:val="20"/>
        </w:rPr>
        <w:t>ii</w:t>
      </w:r>
      <w:proofErr w:type="spellEnd"/>
      <w:r w:rsidRPr="00285CE5">
        <w:rPr>
          <w:rFonts w:ascii="Verdana" w:eastAsia="Calibri" w:hAnsi="Verdana" w:cs="Arial"/>
          <w:bCs/>
          <w:color w:val="000000" w:themeColor="text1"/>
          <w:sz w:val="20"/>
          <w:szCs w:val="20"/>
        </w:rPr>
        <w:t>) la celebración de un contrato de sociedad comercial, en los términos del artículo 110 del Código de Comercio, o la suscripción de un acto contractual o unilateral de constitución si se opta por conformar una sociedad por acciones simplificadas (S.A.S.), conforme lo previsto en el artículo 5º de Ley 1258 de 2008</w:t>
      </w:r>
      <w:r>
        <w:rPr>
          <w:rFonts w:ascii="Verdana" w:eastAsia="Calibri" w:hAnsi="Verdana" w:cs="Arial"/>
          <w:bCs/>
          <w:color w:val="000000" w:themeColor="text1"/>
          <w:sz w:val="20"/>
          <w:szCs w:val="20"/>
        </w:rPr>
        <w:t>”</w:t>
      </w:r>
      <w:r w:rsidRPr="00285CE5">
        <w:rPr>
          <w:rStyle w:val="Refdenotaalpie"/>
          <w:rFonts w:ascii="Verdana" w:eastAsia="Calibri" w:hAnsi="Verdana" w:cs="Arial"/>
          <w:bCs/>
          <w:color w:val="000000" w:themeColor="text1"/>
          <w:sz w:val="20"/>
          <w:szCs w:val="20"/>
        </w:rPr>
        <w:footnoteReference w:id="18"/>
      </w:r>
      <w:r w:rsidRPr="00285CE5">
        <w:rPr>
          <w:rFonts w:ascii="Verdana" w:eastAsia="Calibri" w:hAnsi="Verdana" w:cs="Arial"/>
          <w:bCs/>
          <w:color w:val="000000" w:themeColor="text1"/>
          <w:sz w:val="20"/>
          <w:szCs w:val="20"/>
        </w:rPr>
        <w:t>.</w:t>
      </w:r>
    </w:p>
    <w:p w14:paraId="3AF57BA8" w14:textId="77777777" w:rsidR="00873901" w:rsidRPr="00FB7BF0" w:rsidRDefault="00873901" w:rsidP="00873901">
      <w:pPr>
        <w:widowControl w:val="0"/>
        <w:autoSpaceDE w:val="0"/>
        <w:autoSpaceDN w:val="0"/>
        <w:spacing w:after="0" w:line="276" w:lineRule="auto"/>
        <w:jc w:val="both"/>
        <w:rPr>
          <w:rFonts w:ascii="Verdana" w:eastAsia="Calibri" w:hAnsi="Verdana" w:cs="Arial"/>
          <w:color w:val="000000" w:themeColor="text1"/>
        </w:rPr>
      </w:pPr>
    </w:p>
    <w:p w14:paraId="7695A4EF" w14:textId="77777777" w:rsidR="00873901" w:rsidRPr="005D13A5" w:rsidRDefault="00873901" w:rsidP="00873901">
      <w:pPr>
        <w:widowControl w:val="0"/>
        <w:autoSpaceDE w:val="0"/>
        <w:autoSpaceDN w:val="0"/>
        <w:spacing w:after="120" w:line="276" w:lineRule="auto"/>
        <w:ind w:firstLine="709"/>
        <w:jc w:val="both"/>
        <w:rPr>
          <w:rFonts w:ascii="Verdana" w:eastAsia="Calibri" w:hAnsi="Verdana" w:cs="Arial"/>
          <w:bCs/>
          <w:color w:val="000000" w:themeColor="text1"/>
        </w:rPr>
      </w:pPr>
      <w:r w:rsidRPr="005D13A5">
        <w:rPr>
          <w:rFonts w:ascii="Verdana" w:eastAsia="Calibri" w:hAnsi="Verdana" w:cs="Arial"/>
          <w:bCs/>
          <w:color w:val="000000" w:themeColor="text1"/>
        </w:rPr>
        <w:t xml:space="preserve">La interacción entre estos dos actos —la decisión administrativa habilitante y el acto societario constitutivo— </w:t>
      </w:r>
      <w:r>
        <w:rPr>
          <w:rFonts w:ascii="Verdana" w:eastAsia="Calibri" w:hAnsi="Verdana" w:cs="Arial"/>
          <w:bCs/>
          <w:color w:val="000000" w:themeColor="text1"/>
        </w:rPr>
        <w:t xml:space="preserve">evidenciando </w:t>
      </w:r>
      <w:r w:rsidRPr="005D13A5">
        <w:rPr>
          <w:rFonts w:ascii="Verdana" w:eastAsia="Calibri" w:hAnsi="Verdana" w:cs="Arial"/>
          <w:bCs/>
          <w:color w:val="000000" w:themeColor="text1"/>
        </w:rPr>
        <w:t xml:space="preserve">la naturaleza híbrida de las sociedades de economía mixta y la necesidad de observar, de manera concurrente, los principios de la función administrativa, las reglas de selección objetiva y las disposiciones mercantiles que estructuran la organización societaria. Esta doble dimensión garantiza que la participación estatal se ajuste al interés público y que la sociedad resultante </w:t>
      </w:r>
      <w:r>
        <w:rPr>
          <w:rFonts w:ascii="Verdana" w:eastAsia="Calibri" w:hAnsi="Verdana" w:cs="Arial"/>
          <w:bCs/>
          <w:color w:val="000000" w:themeColor="text1"/>
        </w:rPr>
        <w:t>aplica</w:t>
      </w:r>
      <w:r w:rsidRPr="005D13A5">
        <w:rPr>
          <w:rFonts w:ascii="Verdana" w:eastAsia="Calibri" w:hAnsi="Verdana" w:cs="Arial"/>
          <w:bCs/>
          <w:color w:val="000000" w:themeColor="text1"/>
        </w:rPr>
        <w:t xml:space="preserve"> conforme a los parámetros del derecho privado aplicables a las empresas con participación estatal.</w:t>
      </w:r>
    </w:p>
    <w:p w14:paraId="65E55AE9" w14:textId="77777777" w:rsidR="00873901" w:rsidRDefault="00873901" w:rsidP="00873901">
      <w:pPr>
        <w:widowControl w:val="0"/>
        <w:autoSpaceDE w:val="0"/>
        <w:autoSpaceDN w:val="0"/>
        <w:spacing w:before="120" w:after="0" w:line="276" w:lineRule="auto"/>
        <w:ind w:firstLine="708"/>
        <w:jc w:val="both"/>
        <w:rPr>
          <w:rFonts w:ascii="Verdana" w:eastAsia="Arial MT" w:hAnsi="Verdana" w:cs="Arial MT"/>
        </w:rPr>
      </w:pPr>
      <w:r>
        <w:rPr>
          <w:rFonts w:ascii="Verdana" w:eastAsia="Arial MT" w:hAnsi="Verdana" w:cs="Arial MT"/>
        </w:rPr>
        <w:t>El contrato de sociedad que suscribe una entidad estatal sometida al Estatuto General de Contratación de la Administración Pública para la constitución de una sociedad de economía mixta es un contrato estatal, conforme a lo prescrito en el artículo 32, inciso primero</w:t>
      </w:r>
      <w:r w:rsidRPr="000E5F89">
        <w:rPr>
          <w:rFonts w:ascii="Verdana" w:eastAsia="Arial MT" w:hAnsi="Verdana" w:cs="Arial MT"/>
        </w:rPr>
        <w:t xml:space="preserve">: “Son contratos estatales todos los actos jurídicos generadores de obligaciones que celebren las entidades a que se refiere el presente estatuto, previstos en el derecho privado o en disposiciones especiales, o derivados del ejercicio de la autonomía de la voluntad”. Asimismo, dispone que “Las estipulaciones de los contratos serán las </w:t>
      </w:r>
      <w:r w:rsidRPr="000E5F89">
        <w:rPr>
          <w:rFonts w:ascii="Verdana" w:eastAsia="Arial MT" w:hAnsi="Verdana" w:cs="Arial MT"/>
        </w:rPr>
        <w:lastRenderedPageBreak/>
        <w:t>que, de acuerdo con las normas civiles, comerciales y las previstas en esta ley, correspondan a su esencia y naturaleza” –art. 40, inciso primero–.</w:t>
      </w:r>
      <w:r>
        <w:rPr>
          <w:rFonts w:ascii="Verdana" w:eastAsia="Arial MT" w:hAnsi="Verdana" w:cs="Arial MT"/>
        </w:rPr>
        <w:t xml:space="preserve"> </w:t>
      </w:r>
      <w:r w:rsidRPr="000E5F89">
        <w:rPr>
          <w:rFonts w:ascii="Verdana" w:eastAsia="Arial MT" w:hAnsi="Verdana" w:cs="Arial MT"/>
        </w:rPr>
        <w:t>De esta manera, los contratos de las entidades sometidas al Estatuto General de Contratación se rigen generalmente por el derecho privado y excepcionalmente, por el derecho público, pues las normas civiles y comerciales son el derecho común de los contratos estatales</w:t>
      </w:r>
      <w:r w:rsidRPr="000E5F89">
        <w:rPr>
          <w:rFonts w:ascii="Verdana" w:eastAsia="Arial MT" w:hAnsi="Verdana" w:cs="Arial MT"/>
          <w:vertAlign w:val="superscript"/>
        </w:rPr>
        <w:footnoteReference w:id="19"/>
      </w:r>
      <w:r w:rsidRPr="000E5F89">
        <w:rPr>
          <w:rFonts w:ascii="Verdana" w:eastAsia="Arial MT" w:hAnsi="Verdana" w:cs="Arial MT"/>
        </w:rPr>
        <w:t>.</w:t>
      </w:r>
    </w:p>
    <w:p w14:paraId="2ADD80AD" w14:textId="77777777" w:rsidR="00873901" w:rsidRDefault="00873901" w:rsidP="00873901">
      <w:pPr>
        <w:spacing w:before="120" w:after="120" w:line="276" w:lineRule="auto"/>
        <w:ind w:firstLine="709"/>
        <w:jc w:val="both"/>
        <w:rPr>
          <w:rFonts w:ascii="Verdana" w:hAnsi="Verdana" w:cs="Arial"/>
        </w:rPr>
      </w:pPr>
      <w:r w:rsidRPr="005F2FC6">
        <w:rPr>
          <w:rFonts w:ascii="Verdana" w:eastAsia="Aptos" w:hAnsi="Verdana" w:cs="Arial"/>
        </w:rPr>
        <w:t>Ahora bien, ni la Ley 489 de 1998 ni el Código de Comercio establecen una modalidad específica para seleccionar al particular que concurrirá con la entidad pública en la constitución de una sociedad de economía mixta. En consecuencia, resulta aplicable el régimen general previsto en el artículo 2 de la Ley 1150 de 2007, conforme al cual la escogencia del contratista debe realizarse mediante las modalidades de licitación pública, selección abreviada, concurso de méritos, contratación directa o mínima cuantía, según corresponda, siendo la licitación pública la regla general y las demás modalidades de carácter excepcional.</w:t>
      </w:r>
    </w:p>
    <w:p w14:paraId="0E9E3322" w14:textId="77777777" w:rsidR="00873901" w:rsidRDefault="00873901" w:rsidP="00873901">
      <w:pPr>
        <w:widowControl w:val="0"/>
        <w:autoSpaceDE w:val="0"/>
        <w:autoSpaceDN w:val="0"/>
        <w:spacing w:before="120" w:after="120" w:line="276" w:lineRule="auto"/>
        <w:ind w:firstLine="708"/>
        <w:jc w:val="both"/>
        <w:rPr>
          <w:rFonts w:ascii="Verdana" w:eastAsia="Arial MT" w:hAnsi="Verdana" w:cs="Arial MT"/>
        </w:rPr>
      </w:pPr>
      <w:r w:rsidRPr="00475B79">
        <w:rPr>
          <w:rFonts w:ascii="Verdana" w:hAnsi="Verdana" w:cs="Arial"/>
        </w:rPr>
        <w:t>En ese contexto, la selección del socio estratégico implica la escogencia de un particular que aportará capital, conocimiento especializado, tecnología, capacidades técnicas u otros recursos para conformar una nueva persona jurídica con participación estatal. Como dicha vinculación se materializa mediante la celebración de un contrato estatal y el legislador no ha previsto una modalidad especial para este supuesto, la entidad debe acudir, por regla general, a la licitación pública, salvo que en el caso concreto se configure alguna de las causales legales que permiten la aplicación de una modalidad excepcional de selección.</w:t>
      </w:r>
      <w:r>
        <w:rPr>
          <w:rFonts w:ascii="Verdana" w:hAnsi="Verdana" w:cs="Arial"/>
        </w:rPr>
        <w:t xml:space="preserve"> </w:t>
      </w:r>
    </w:p>
    <w:p w14:paraId="661C615D" w14:textId="77777777" w:rsidR="00873901" w:rsidRDefault="00873901" w:rsidP="00873901">
      <w:pPr>
        <w:widowControl w:val="0"/>
        <w:autoSpaceDE w:val="0"/>
        <w:autoSpaceDN w:val="0"/>
        <w:spacing w:before="120" w:after="120" w:line="276" w:lineRule="auto"/>
        <w:ind w:firstLine="708"/>
        <w:jc w:val="both"/>
        <w:rPr>
          <w:rFonts w:ascii="Verdana" w:eastAsia="Arial MT" w:hAnsi="Verdana" w:cs="Arial MT"/>
        </w:rPr>
      </w:pPr>
      <w:r w:rsidRPr="00B547B1">
        <w:rPr>
          <w:rFonts w:ascii="Verdana" w:eastAsia="Arial MT" w:hAnsi="Verdana" w:cs="Arial MT"/>
        </w:rPr>
        <w:t xml:space="preserve">La licitación pública es la modalidad que mejor permite garantizar los principios de transparencia, selección objetiva, igualdad y libre concurrencia, en la medida en que posibilita la comparación integral de las propuestas presentadas por los interesados, valorando aspectos como el capital ofrecido, la experiencia, la capacidad técnica, el modelo de negocio, la distribución de riesgos, la transferencia de conocimiento y los demás aportes que resulten relevantes para el objeto de la sociedad. En consecuencia, la entidad deberá estructurar los documentos del proceso definiendo con claridad el tipo societario, </w:t>
      </w:r>
      <w:r w:rsidRPr="00B547B1">
        <w:rPr>
          <w:rFonts w:ascii="Verdana" w:eastAsia="Arial MT" w:hAnsi="Verdana" w:cs="Arial MT"/>
        </w:rPr>
        <w:lastRenderedPageBreak/>
        <w:t>los aportes públicos y privados, la distribución de derechos y obligaciones entre los socios, así como los criterios objetivos de evaluación que permitan identificar la oferta más favorable para el interés general.</w:t>
      </w:r>
    </w:p>
    <w:p w14:paraId="69D00799" w14:textId="77777777" w:rsidR="00873901" w:rsidRPr="002B1A16" w:rsidRDefault="00873901" w:rsidP="00873901">
      <w:pPr>
        <w:widowControl w:val="0"/>
        <w:autoSpaceDE w:val="0"/>
        <w:autoSpaceDN w:val="0"/>
        <w:spacing w:before="120" w:after="0" w:line="276" w:lineRule="auto"/>
        <w:ind w:firstLine="708"/>
        <w:jc w:val="both"/>
        <w:rPr>
          <w:rFonts w:ascii="Verdana" w:eastAsia="Arial MT" w:hAnsi="Verdana" w:cs="Arial MT"/>
        </w:rPr>
      </w:pPr>
      <w:r>
        <w:rPr>
          <w:rFonts w:ascii="Verdana" w:eastAsia="Arial MT" w:hAnsi="Verdana" w:cs="Arial MT"/>
        </w:rPr>
        <w:t xml:space="preserve">Teniendo las reglas de las modalidades de selección, la modalidad de selección es la </w:t>
      </w:r>
      <w:r w:rsidRPr="006B40B4">
        <w:rPr>
          <w:rFonts w:ascii="Verdana" w:eastAsia="Arial MT" w:hAnsi="Verdana" w:cs="Arial MT"/>
        </w:rPr>
        <w:t xml:space="preserve">licitación pública permite valorar integralmente los aportes del socio estratégico </w:t>
      </w:r>
      <w:r>
        <w:rPr>
          <w:rFonts w:ascii="Verdana" w:eastAsia="Arial MT" w:hAnsi="Verdana" w:cs="Arial MT"/>
        </w:rPr>
        <w:t>-</w:t>
      </w:r>
      <w:r w:rsidRPr="006B40B4">
        <w:rPr>
          <w:rFonts w:ascii="Verdana" w:eastAsia="Arial MT" w:hAnsi="Verdana" w:cs="Arial MT"/>
        </w:rPr>
        <w:t>capital, tecnología, experiencia, riesgos asumidos, modelo de negocio</w:t>
      </w:r>
      <w:r>
        <w:rPr>
          <w:rFonts w:ascii="Verdana" w:eastAsia="Arial MT" w:hAnsi="Verdana" w:cs="Arial MT"/>
        </w:rPr>
        <w:t>-</w:t>
      </w:r>
      <w:r w:rsidRPr="006B40B4">
        <w:rPr>
          <w:rFonts w:ascii="Verdana" w:eastAsia="Arial MT" w:hAnsi="Verdana" w:cs="Arial MT"/>
        </w:rPr>
        <w:t xml:space="preserve">, asegurar transparencia y cumplir el principio de selección objetiva previsto en la Ley 80 de 1993. La entidad debe estructurar un pliego que defina con precisión el tipo de sociedad a constituir, los aportes estatales, las obligaciones del socio privado y los criterios de evaluación, de modo que la competencia </w:t>
      </w:r>
      <w:r>
        <w:rPr>
          <w:rFonts w:ascii="Verdana" w:eastAsia="Arial MT" w:hAnsi="Verdana" w:cs="Arial MT"/>
        </w:rPr>
        <w:t xml:space="preserve">garantice la transparencia y con ello la selección objetiva. </w:t>
      </w:r>
    </w:p>
    <w:p w14:paraId="6CC0581D" w14:textId="77777777" w:rsidR="00873901" w:rsidRPr="00ED5277" w:rsidRDefault="00873901" w:rsidP="00873901">
      <w:pPr>
        <w:spacing w:after="0" w:line="276" w:lineRule="auto"/>
        <w:jc w:val="both"/>
        <w:rPr>
          <w:rFonts w:ascii="Verdana" w:eastAsia="Calibri" w:hAnsi="Verdana" w:cs="Arial"/>
          <w:color w:val="EE0000"/>
        </w:rPr>
      </w:pPr>
    </w:p>
    <w:p w14:paraId="2A014114" w14:textId="77777777" w:rsidR="00873901" w:rsidRPr="00B16AC6" w:rsidRDefault="00873901" w:rsidP="00873901">
      <w:pPr>
        <w:spacing w:after="120" w:line="276" w:lineRule="auto"/>
        <w:jc w:val="both"/>
        <w:rPr>
          <w:rFonts w:ascii="Verdana" w:eastAsia="Calibri" w:hAnsi="Verdana" w:cs="Arial"/>
          <w:color w:val="000000" w:themeColor="text1"/>
          <w:lang w:val="es-ES"/>
        </w:rPr>
      </w:pPr>
      <w:proofErr w:type="spellStart"/>
      <w:r>
        <w:rPr>
          <w:rFonts w:ascii="Verdana" w:eastAsia="Calibri" w:hAnsi="Verdana" w:cs="Arial"/>
          <w:color w:val="000000" w:themeColor="text1"/>
          <w:lang w:val="es-ES"/>
        </w:rPr>
        <w:t>iv</w:t>
      </w:r>
      <w:proofErr w:type="spellEnd"/>
      <w:r>
        <w:rPr>
          <w:rFonts w:ascii="Verdana" w:eastAsia="Calibri" w:hAnsi="Verdana" w:cs="Arial"/>
          <w:color w:val="000000" w:themeColor="text1"/>
          <w:lang w:val="es-ES"/>
        </w:rPr>
        <w:t xml:space="preserve">. Al </w:t>
      </w:r>
      <w:r w:rsidRPr="00B17041">
        <w:rPr>
          <w:rFonts w:ascii="Verdana" w:hAnsi="Verdana" w:cs="Arial"/>
          <w:lang w:val="es-ES_tradnl" w:eastAsia="es-ES"/>
        </w:rPr>
        <w:t>margen de la explicación precedente debe advertirse que el análisis requerido para resolver pr</w:t>
      </w:r>
      <w:r>
        <w:rPr>
          <w:rFonts w:ascii="Verdana" w:hAnsi="Verdana" w:cs="Arial"/>
          <w:lang w:val="es-ES_tradnl" w:eastAsia="es-ES"/>
        </w:rPr>
        <w:t>oblemas específicos debe realizarse</w:t>
      </w:r>
      <w:r w:rsidRPr="00B17041">
        <w:rPr>
          <w:rFonts w:ascii="Verdana" w:hAnsi="Verdana" w:cs="Arial"/>
          <w:lang w:val="es-ES_tradnl" w:eastAsia="es-ES"/>
        </w:rPr>
        <w:t xml:space="preserv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D2A6F84" w14:textId="77777777" w:rsidR="00873901" w:rsidRPr="00B17041" w:rsidRDefault="00873901" w:rsidP="00873901">
      <w:pPr>
        <w:spacing w:after="0" w:line="276" w:lineRule="auto"/>
        <w:ind w:firstLine="709"/>
        <w:jc w:val="both"/>
        <w:rPr>
          <w:rFonts w:ascii="Verdana" w:hAnsi="Verdana" w:cs="Arial"/>
          <w:lang w:val="es-ES" w:eastAsia="es-ES"/>
        </w:rPr>
      </w:pPr>
      <w:r w:rsidRPr="00B17041">
        <w:rPr>
          <w:rFonts w:ascii="Verdana" w:hAnsi="Verdana" w:cs="Arial"/>
          <w:lang w:val="es-ES" w:eastAsia="es-ES"/>
        </w:rPr>
        <w:t xml:space="preserve">Dentro de este marco, la entidad </w:t>
      </w:r>
      <w:r w:rsidRPr="00485C44">
        <w:rPr>
          <w:rFonts w:ascii="Verdana" w:hAnsi="Verdana" w:cs="Arial"/>
          <w:lang w:val="es-ES" w:eastAsia="es-ES"/>
        </w:rPr>
        <w:t xml:space="preserve">pública </w:t>
      </w:r>
      <w:r>
        <w:rPr>
          <w:rFonts w:ascii="Verdana" w:hAnsi="Verdana" w:cs="Arial"/>
          <w:lang w:val="es-ES" w:eastAsia="es-ES"/>
        </w:rPr>
        <w:t>definirá</w:t>
      </w:r>
      <w:r w:rsidRPr="00B17041">
        <w:rPr>
          <w:rFonts w:ascii="Verdana" w:hAnsi="Verdana" w:cs="Arial"/>
          <w:lang w:val="es-ES" w:eastAsia="es-ES"/>
        </w:rPr>
        <w:t xml:space="preserve">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3004C6DD" w14:textId="77777777" w:rsidR="00873901" w:rsidRPr="00AD6B46" w:rsidRDefault="00873901" w:rsidP="00873901">
      <w:pPr>
        <w:spacing w:after="0" w:line="276" w:lineRule="auto"/>
        <w:jc w:val="both"/>
        <w:rPr>
          <w:rFonts w:ascii="Verdana" w:eastAsia="Calibri" w:hAnsi="Verdana" w:cs="Arial"/>
          <w:lang w:eastAsia="es-ES_tradnl"/>
        </w:rPr>
      </w:pPr>
    </w:p>
    <w:p w14:paraId="424DD0B2" w14:textId="77777777" w:rsidR="00873901" w:rsidRPr="00AD6B46" w:rsidRDefault="00873901" w:rsidP="00873901">
      <w:pPr>
        <w:numPr>
          <w:ilvl w:val="0"/>
          <w:numId w:val="16"/>
        </w:numPr>
        <w:spacing w:after="0" w:line="256" w:lineRule="auto"/>
        <w:rPr>
          <w:rFonts w:ascii="Verdana" w:eastAsia="Calibri" w:hAnsi="Verdana" w:cs="Times New Roman"/>
          <w:b/>
          <w:bCs/>
          <w:lang w:val="es-ES"/>
        </w:rPr>
      </w:pPr>
      <w:r w:rsidRPr="00AD6B46">
        <w:rPr>
          <w:rFonts w:ascii="Verdana" w:eastAsia="Calibri" w:hAnsi="Verdana" w:cs="Times New Roman"/>
          <w:b/>
          <w:bCs/>
          <w:lang w:val="es-ES"/>
        </w:rPr>
        <w:t>Referencias normativas</w:t>
      </w:r>
      <w:r>
        <w:rPr>
          <w:rFonts w:ascii="Verdana" w:eastAsia="Calibri" w:hAnsi="Verdana" w:cs="Times New Roman"/>
          <w:b/>
          <w:bCs/>
          <w:lang w:val="es-ES"/>
        </w:rPr>
        <w:t>:</w:t>
      </w:r>
    </w:p>
    <w:p w14:paraId="3E4C1049" w14:textId="77777777" w:rsidR="00873901" w:rsidRPr="003C5A95" w:rsidRDefault="00873901" w:rsidP="00873901">
      <w:pPr>
        <w:widowControl w:val="0"/>
        <w:autoSpaceDE w:val="0"/>
        <w:autoSpaceDN w:val="0"/>
        <w:spacing w:after="0" w:line="276" w:lineRule="auto"/>
        <w:jc w:val="both"/>
        <w:rPr>
          <w:rFonts w:ascii="Verdana" w:hAnsi="Verdana" w:cs="Arial"/>
          <w:lang w:val="es-E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73901" w:rsidRPr="00AD6B46" w14:paraId="613FF992" w14:textId="77777777" w:rsidTr="00FA446D">
        <w:trPr>
          <w:trHeight w:val="453"/>
          <w:jc w:val="center"/>
        </w:trPr>
        <w:tc>
          <w:tcPr>
            <w:tcW w:w="8647" w:type="dxa"/>
          </w:tcPr>
          <w:p w14:paraId="07198F46" w14:textId="77777777" w:rsidR="00873901" w:rsidRPr="00AD6B46" w:rsidRDefault="00873901" w:rsidP="00B74CC0">
            <w:pPr>
              <w:contextualSpacing/>
              <w:rPr>
                <w:rFonts w:ascii="Verdana" w:hAnsi="Verdana" w:cs="Arial"/>
                <w:lang w:val="es-ES"/>
              </w:rPr>
            </w:pPr>
          </w:p>
          <w:p w14:paraId="7A9A203B" w14:textId="77777777" w:rsidR="00873901" w:rsidRDefault="00873901" w:rsidP="00FA446D">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lastRenderedPageBreak/>
              <w:t xml:space="preserve">Constitución Política, artículos </w:t>
            </w:r>
            <w:r w:rsidRPr="007A2235">
              <w:rPr>
                <w:rFonts w:ascii="Verdana" w:hAnsi="Verdana" w:cs="Arial"/>
                <w:lang w:val="es-ES"/>
              </w:rPr>
              <w:t>150, 209, 267</w:t>
            </w:r>
            <w:r>
              <w:rPr>
                <w:rFonts w:ascii="Verdana" w:hAnsi="Verdana" w:cs="Arial"/>
                <w:lang w:val="es-ES"/>
              </w:rPr>
              <w:t>, 300 y 313</w:t>
            </w:r>
            <w:r w:rsidRPr="007A2235">
              <w:rPr>
                <w:rFonts w:ascii="Verdana" w:hAnsi="Verdana" w:cs="Arial"/>
                <w:lang w:val="es-ES"/>
              </w:rPr>
              <w:t>.</w:t>
            </w:r>
          </w:p>
          <w:p w14:paraId="05D3734B" w14:textId="77777777" w:rsidR="00873901" w:rsidRPr="00E21197" w:rsidRDefault="00873901" w:rsidP="00FA446D">
            <w:pPr>
              <w:widowControl w:val="0"/>
              <w:numPr>
                <w:ilvl w:val="0"/>
                <w:numId w:val="17"/>
              </w:numPr>
              <w:autoSpaceDE w:val="0"/>
              <w:autoSpaceDN w:val="0"/>
              <w:spacing w:after="120" w:line="276" w:lineRule="auto"/>
              <w:ind w:left="714" w:hanging="357"/>
              <w:jc w:val="both"/>
              <w:rPr>
                <w:rFonts w:ascii="Verdana" w:hAnsi="Verdana" w:cs="Arial"/>
                <w:lang w:val="es-ES_tradnl"/>
              </w:rPr>
            </w:pPr>
            <w:r>
              <w:rPr>
                <w:rFonts w:ascii="Verdana" w:hAnsi="Verdana" w:cs="Arial"/>
                <w:lang w:val="es-ES_tradnl"/>
              </w:rPr>
              <w:t xml:space="preserve">Código de Comercio, artículos 110, 461 a 468. </w:t>
            </w:r>
          </w:p>
          <w:p w14:paraId="1BFAC177" w14:textId="77777777" w:rsidR="00873901" w:rsidRDefault="00873901" w:rsidP="00FA446D">
            <w:pPr>
              <w:widowControl w:val="0"/>
              <w:numPr>
                <w:ilvl w:val="0"/>
                <w:numId w:val="17"/>
              </w:numPr>
              <w:autoSpaceDE w:val="0"/>
              <w:autoSpaceDN w:val="0"/>
              <w:spacing w:after="120" w:line="276" w:lineRule="auto"/>
              <w:ind w:left="714" w:hanging="357"/>
              <w:jc w:val="both"/>
              <w:rPr>
                <w:rFonts w:ascii="Verdana" w:hAnsi="Verdana" w:cs="Arial"/>
                <w:lang w:val="es-ES_tradnl"/>
              </w:rPr>
            </w:pPr>
            <w:r>
              <w:rPr>
                <w:rFonts w:ascii="Verdana" w:hAnsi="Verdana" w:cs="Arial"/>
                <w:lang w:val="es-ES_tradnl"/>
              </w:rPr>
              <w:t xml:space="preserve">Ley 80 de 1993, artículo 2. </w:t>
            </w:r>
          </w:p>
          <w:p w14:paraId="7DDCB510" w14:textId="77777777" w:rsidR="00873901" w:rsidRPr="009132A3" w:rsidRDefault="00873901" w:rsidP="00FA446D">
            <w:pPr>
              <w:widowControl w:val="0"/>
              <w:numPr>
                <w:ilvl w:val="0"/>
                <w:numId w:val="17"/>
              </w:numPr>
              <w:autoSpaceDE w:val="0"/>
              <w:autoSpaceDN w:val="0"/>
              <w:spacing w:after="120" w:line="276" w:lineRule="auto"/>
              <w:ind w:left="714" w:hanging="357"/>
              <w:jc w:val="both"/>
              <w:rPr>
                <w:rFonts w:ascii="Verdana" w:hAnsi="Verdana" w:cs="Arial"/>
                <w:lang w:val="es-ES_tradnl"/>
              </w:rPr>
            </w:pPr>
            <w:r>
              <w:rPr>
                <w:rFonts w:ascii="Verdana" w:hAnsi="Verdana" w:cs="Arial"/>
                <w:lang w:val="es-ES_tradnl"/>
              </w:rPr>
              <w:t xml:space="preserve">Ley 489 de 1998, artículos 38, 49, 50, 68 y 97. </w:t>
            </w:r>
          </w:p>
          <w:p w14:paraId="171B27EB" w14:textId="77777777" w:rsidR="00873901" w:rsidRDefault="00873901" w:rsidP="00FA446D">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Ley 1150 de 2007, artículo</w:t>
            </w:r>
            <w:r>
              <w:rPr>
                <w:rFonts w:ascii="Verdana" w:hAnsi="Verdana" w:cs="Arial"/>
                <w:lang w:val="es-ES_tradnl"/>
              </w:rPr>
              <w:t>s 2, 13 y 14</w:t>
            </w:r>
            <w:r w:rsidRPr="00AD6B46">
              <w:rPr>
                <w:rFonts w:ascii="Verdana" w:hAnsi="Verdana" w:cs="Arial"/>
                <w:lang w:val="es-ES_tradnl"/>
              </w:rPr>
              <w:t>.</w:t>
            </w:r>
          </w:p>
          <w:p w14:paraId="07D714A7" w14:textId="77777777" w:rsidR="00873901" w:rsidRPr="00B134E2" w:rsidRDefault="00873901" w:rsidP="00FA446D">
            <w:pPr>
              <w:widowControl w:val="0"/>
              <w:numPr>
                <w:ilvl w:val="0"/>
                <w:numId w:val="17"/>
              </w:numPr>
              <w:autoSpaceDE w:val="0"/>
              <w:autoSpaceDN w:val="0"/>
              <w:spacing w:after="120" w:line="276" w:lineRule="auto"/>
              <w:ind w:left="714" w:hanging="357"/>
              <w:jc w:val="both"/>
              <w:rPr>
                <w:rFonts w:ascii="Verdana" w:hAnsi="Verdana" w:cs="Arial"/>
                <w:lang w:val="es-ES_tradnl"/>
              </w:rPr>
            </w:pPr>
            <w:r>
              <w:rPr>
                <w:rFonts w:ascii="Verdana" w:hAnsi="Verdana" w:cs="Arial"/>
                <w:lang w:val="es-ES_tradnl"/>
              </w:rPr>
              <w:t xml:space="preserve">Ley 1258 de 2008, artículo 5. </w:t>
            </w:r>
          </w:p>
        </w:tc>
      </w:tr>
    </w:tbl>
    <w:p w14:paraId="6E564B00" w14:textId="77777777" w:rsidR="00873901" w:rsidRPr="00B57A1B" w:rsidRDefault="00873901" w:rsidP="00873901">
      <w:pPr>
        <w:widowControl w:val="0"/>
        <w:autoSpaceDE w:val="0"/>
        <w:autoSpaceDN w:val="0"/>
        <w:spacing w:after="0" w:line="276" w:lineRule="auto"/>
        <w:jc w:val="both"/>
        <w:rPr>
          <w:rFonts w:ascii="Verdana" w:hAnsi="Verdana" w:cs="Arial"/>
        </w:rPr>
      </w:pPr>
    </w:p>
    <w:p w14:paraId="7F882D97" w14:textId="77777777" w:rsidR="00873901" w:rsidRPr="00B57A1B" w:rsidRDefault="00873901" w:rsidP="00873901">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B57A1B">
        <w:rPr>
          <w:rFonts w:ascii="Verdana" w:eastAsia="Century Gothic" w:hAnsi="Verdana" w:cs="Century Gothic"/>
          <w:b/>
          <w:bCs/>
          <w:lang w:val="es-ES"/>
        </w:rPr>
        <w:t>Doctrina de la Agencia Nacional de Contratación Pública:</w:t>
      </w:r>
    </w:p>
    <w:p w14:paraId="2649FDF5" w14:textId="77777777" w:rsidR="00873901" w:rsidRPr="00B57A1B" w:rsidRDefault="00873901" w:rsidP="00873901">
      <w:pPr>
        <w:widowControl w:val="0"/>
        <w:autoSpaceDE w:val="0"/>
        <w:autoSpaceDN w:val="0"/>
        <w:spacing w:after="0" w:line="276" w:lineRule="auto"/>
        <w:jc w:val="both"/>
        <w:rPr>
          <w:rFonts w:ascii="Verdana" w:hAnsi="Verdana" w:cs="Arial"/>
        </w:rPr>
      </w:pPr>
    </w:p>
    <w:p w14:paraId="7FA05C78" w14:textId="77777777" w:rsidR="00873901" w:rsidRPr="00530A1F" w:rsidRDefault="00873901" w:rsidP="00873901">
      <w:pPr>
        <w:widowControl w:val="0"/>
        <w:autoSpaceDE w:val="0"/>
        <w:autoSpaceDN w:val="0"/>
        <w:spacing w:after="0" w:line="276" w:lineRule="auto"/>
        <w:jc w:val="both"/>
        <w:rPr>
          <w:rFonts w:ascii="Verdana" w:hAnsi="Verdana" w:cs="Arial"/>
          <w:bCs/>
          <w:shd w:val="clear" w:color="auto" w:fill="FFFFFF"/>
        </w:rPr>
      </w:pPr>
      <w:r w:rsidRPr="0094448B">
        <w:rPr>
          <w:rFonts w:ascii="Verdana" w:hAnsi="Verdana" w:cs="Arial"/>
          <w:bCs/>
          <w:shd w:val="clear" w:color="auto" w:fill="FFFFFF"/>
        </w:rPr>
        <w:t xml:space="preserve">La Agencia Nacional de Contratación Pública – Colombia Compra Eficiente, ha expedido los siguientes conceptos sobre entidades de régimen especial: </w:t>
      </w:r>
      <w:r w:rsidRPr="0094448B">
        <w:rPr>
          <w:rFonts w:ascii="Verdana" w:hAnsi="Verdana"/>
          <w:bCs/>
          <w:shd w:val="clear" w:color="auto" w:fill="FFFFFF"/>
          <w:lang w:val="es-ES"/>
        </w:rPr>
        <w:t>C-147 del 17 de marzo de 2020, C-157 del 17 de marzo de 2020, C-191 del 16 de marzo de 2020 y C-168 del 31 de marzo de 2020, C-</w:t>
      </w:r>
      <w:r w:rsidRPr="0094448B">
        <w:rPr>
          <w:rFonts w:ascii="Verdana" w:hAnsi="Verdana" w:cs="Arial"/>
          <w:bCs/>
          <w:shd w:val="clear" w:color="auto" w:fill="FFFFFF"/>
        </w:rPr>
        <w:t>158 del 3 de abril de 2020, C-362 del 2 de julio de 2020, C-458 del 13 de mayo de 2022, C-717 del 21 de enero de 2022, C-004 del 22 de enero de 2024, C-459 del 18 de septiembre de 2024 y C – 863 de 17 de diciembre de 2024, C-775 del 25 de julio de 2025,</w:t>
      </w:r>
      <w:r>
        <w:rPr>
          <w:rFonts w:ascii="Verdana" w:hAnsi="Verdana" w:cs="Arial"/>
          <w:bCs/>
          <w:shd w:val="clear" w:color="auto" w:fill="FFFFFF"/>
        </w:rPr>
        <w:t xml:space="preserve"> C-879 del 14 de agosto de 2025</w:t>
      </w:r>
      <w:r w:rsidRPr="0094448B">
        <w:rPr>
          <w:rFonts w:ascii="Verdana" w:hAnsi="Verdana" w:cs="Arial"/>
          <w:bCs/>
          <w:shd w:val="clear" w:color="auto" w:fill="FFFFFF"/>
        </w:rPr>
        <w:t xml:space="preserve"> entre otros. </w:t>
      </w:r>
      <w:r w:rsidRPr="00185EE9">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460857D6" w14:textId="77777777" w:rsidR="00873901" w:rsidRPr="00185EE9" w:rsidRDefault="00873901" w:rsidP="00873901">
      <w:pPr>
        <w:spacing w:after="0" w:line="256" w:lineRule="auto"/>
        <w:jc w:val="both"/>
        <w:rPr>
          <w:rFonts w:ascii="Verdana" w:eastAsia="Calibri" w:hAnsi="Verdana" w:cs="Times New Roman"/>
        </w:rPr>
      </w:pPr>
      <w:hyperlink r:id="rId12" w:history="1">
        <w:r w:rsidRPr="00F14AAD">
          <w:rPr>
            <w:rStyle w:val="Hipervnculo"/>
            <w:rFonts w:ascii="Verdana" w:eastAsia="Calibri" w:hAnsi="Verdana" w:cs="Times New Roman"/>
            <w:lang w:val="es-ES"/>
          </w:rPr>
          <w:t>https://relatoria.colombiacompra.gov.co/busqueda/conceptos</w:t>
        </w:r>
      </w:hyperlink>
      <w:r w:rsidRPr="00185EE9">
        <w:rPr>
          <w:rFonts w:ascii="Verdana" w:eastAsia="Calibri" w:hAnsi="Verdana" w:cs="Times New Roman"/>
        </w:rPr>
        <w:t xml:space="preserve">. </w:t>
      </w:r>
    </w:p>
    <w:p w14:paraId="491E8A7A" w14:textId="77777777" w:rsidR="00873901" w:rsidRPr="00B57A1B" w:rsidRDefault="00873901" w:rsidP="00873901">
      <w:pPr>
        <w:spacing w:after="0"/>
        <w:jc w:val="both"/>
        <w:rPr>
          <w:rFonts w:ascii="Verdana" w:hAnsi="Verdana"/>
        </w:rPr>
      </w:pPr>
    </w:p>
    <w:p w14:paraId="33B34D14" w14:textId="77777777" w:rsidR="00873901" w:rsidRDefault="00873901" w:rsidP="00873901">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00A0BB2E" w14:textId="77777777" w:rsidR="00873901" w:rsidRPr="009A385A" w:rsidRDefault="00873901" w:rsidP="00873901">
      <w:pPr>
        <w:spacing w:after="0"/>
        <w:jc w:val="both"/>
        <w:rPr>
          <w:rFonts w:ascii="Verdana" w:hAnsi="Verdana"/>
        </w:rPr>
      </w:pPr>
    </w:p>
    <w:p w14:paraId="31398F0E" w14:textId="77777777" w:rsidR="00873901" w:rsidRDefault="00873901" w:rsidP="00873901">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lastRenderedPageBreak/>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0831E089" w14:textId="77777777" w:rsidR="00873901" w:rsidRDefault="00873901" w:rsidP="00873901">
      <w:pPr>
        <w:spacing w:after="0"/>
        <w:jc w:val="both"/>
        <w:rPr>
          <w:rFonts w:ascii="Verdana" w:hAnsi="Verdana"/>
        </w:rPr>
      </w:pPr>
    </w:p>
    <w:p w14:paraId="7C7F9B94" w14:textId="77777777" w:rsidR="00873901" w:rsidRPr="008E1CD7" w:rsidRDefault="00873901" w:rsidP="00873901">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468080FA" w14:textId="77777777" w:rsidR="00873901" w:rsidRDefault="00873901" w:rsidP="00873901">
      <w:pPr>
        <w:shd w:val="clear" w:color="auto" w:fill="FFFFFF"/>
        <w:spacing w:after="0" w:line="276" w:lineRule="auto"/>
        <w:jc w:val="both"/>
        <w:rPr>
          <w:rFonts w:ascii="Verdana" w:hAnsi="Verdana"/>
          <w:color w:val="000000"/>
          <w:u w:val="single"/>
        </w:rPr>
      </w:pPr>
    </w:p>
    <w:p w14:paraId="4AE0D0F5" w14:textId="77777777" w:rsidR="00873901" w:rsidRPr="00116940" w:rsidRDefault="00873901" w:rsidP="00873901">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2DBD348D" w14:textId="77777777" w:rsidR="00873901" w:rsidRPr="00116940" w:rsidRDefault="00873901" w:rsidP="00873901">
      <w:pPr>
        <w:spacing w:after="0"/>
        <w:jc w:val="both"/>
        <w:rPr>
          <w:rFonts w:ascii="Verdana" w:hAnsi="Verdana"/>
        </w:rPr>
      </w:pPr>
    </w:p>
    <w:p w14:paraId="4E95CE21" w14:textId="77777777" w:rsidR="00873901" w:rsidRPr="00116940" w:rsidRDefault="00873901" w:rsidP="00873901">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641197B6" w14:textId="77777777" w:rsidR="00873901" w:rsidRPr="00116940" w:rsidRDefault="00873901" w:rsidP="00873901">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11F60526" w14:textId="77777777" w:rsidR="00873901" w:rsidRPr="00116940" w:rsidRDefault="00873901" w:rsidP="00873901">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26304917" w14:textId="77777777" w:rsidR="00873901" w:rsidRPr="00116940" w:rsidRDefault="00873901" w:rsidP="00873901">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2570B95F" w14:textId="77777777" w:rsidR="00873901" w:rsidRPr="00116940" w:rsidRDefault="00873901" w:rsidP="00873901">
      <w:pPr>
        <w:spacing w:after="0" w:line="240" w:lineRule="auto"/>
        <w:ind w:left="720"/>
        <w:jc w:val="both"/>
        <w:rPr>
          <w:rFonts w:ascii="Verdana" w:hAnsi="Verdana"/>
        </w:rPr>
      </w:pPr>
    </w:p>
    <w:p w14:paraId="708425F5" w14:textId="77777777" w:rsidR="00873901" w:rsidRPr="00116940" w:rsidRDefault="00873901" w:rsidP="00873901">
      <w:pPr>
        <w:spacing w:after="0" w:line="240" w:lineRule="auto"/>
        <w:rPr>
          <w:rFonts w:ascii="Verdana" w:hAnsi="Verdana"/>
        </w:rPr>
      </w:pPr>
      <w:r w:rsidRPr="00116940">
        <w:rPr>
          <w:rFonts w:ascii="Verdana" w:hAnsi="Verdana"/>
        </w:rPr>
        <w:lastRenderedPageBreak/>
        <w:t xml:space="preserve">Evalúa el servicio que ofrece la Agencia por el canal de atención de PQRSD en el siguiente </w:t>
      </w:r>
      <w:proofErr w:type="gramStart"/>
      <w:r w:rsidRPr="00116940">
        <w:rPr>
          <w:rFonts w:ascii="Verdana" w:hAnsi="Verdana"/>
        </w:rPr>
        <w:t>enlace :</w:t>
      </w:r>
      <w:proofErr w:type="gramEnd"/>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18B12DE7" w14:textId="77777777" w:rsidR="00873901" w:rsidRPr="00116940" w:rsidRDefault="00873901" w:rsidP="00873901">
      <w:pPr>
        <w:spacing w:after="0" w:line="240" w:lineRule="auto"/>
        <w:rPr>
          <w:rFonts w:ascii="Verdana" w:hAnsi="Verdana"/>
        </w:rPr>
      </w:pPr>
    </w:p>
    <w:p w14:paraId="603AC12C" w14:textId="77777777" w:rsidR="00873901" w:rsidRPr="00116940" w:rsidRDefault="00873901" w:rsidP="00873901">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49118F0C" w14:textId="77777777" w:rsidR="00873901" w:rsidRPr="00116940" w:rsidRDefault="00873901" w:rsidP="00873901">
      <w:pPr>
        <w:spacing w:after="0" w:line="240" w:lineRule="auto"/>
        <w:jc w:val="both"/>
        <w:rPr>
          <w:rFonts w:ascii="Verdana" w:hAnsi="Verdana"/>
        </w:rPr>
      </w:pPr>
    </w:p>
    <w:p w14:paraId="41A9A5F0" w14:textId="77777777" w:rsidR="00873901" w:rsidRPr="00116940" w:rsidRDefault="00873901" w:rsidP="00873901">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244FB537" w14:textId="77777777" w:rsidR="00873901" w:rsidRPr="00116940" w:rsidRDefault="00873901" w:rsidP="00873901">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20E7CE55" w14:textId="77777777" w:rsidR="00873901" w:rsidRPr="00116940" w:rsidRDefault="00873901" w:rsidP="00873901">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77E35410" w14:textId="77777777" w:rsidR="00873901" w:rsidRPr="009C4035" w:rsidRDefault="00873901" w:rsidP="00873901">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671CEB10" w14:textId="77777777" w:rsidR="00873901" w:rsidRPr="00593A5F" w:rsidRDefault="00873901" w:rsidP="00873901">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5B72AB63" w14:textId="77777777" w:rsidR="00873901" w:rsidRPr="00593A5F" w:rsidRDefault="00873901" w:rsidP="00873901">
      <w:pPr>
        <w:widowControl w:val="0"/>
        <w:autoSpaceDE w:val="0"/>
        <w:autoSpaceDN w:val="0"/>
        <w:spacing w:after="0" w:line="276" w:lineRule="auto"/>
        <w:jc w:val="both"/>
        <w:rPr>
          <w:rFonts w:ascii="Verdana" w:hAnsi="Verdana" w:cs="Arial"/>
        </w:rPr>
      </w:pPr>
    </w:p>
    <w:p w14:paraId="5925E85A" w14:textId="77777777" w:rsidR="00873901" w:rsidRPr="007A62A6" w:rsidRDefault="00873901" w:rsidP="00873901">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1E4FBA69" w14:textId="45846432" w:rsidR="00873901" w:rsidRDefault="00873901" w:rsidP="00873901">
      <w:pPr>
        <w:spacing w:after="0" w:line="256" w:lineRule="auto"/>
        <w:jc w:val="center"/>
        <w:rPr>
          <w:noProof/>
          <w:lang w:val="en-US"/>
        </w:rPr>
      </w:pPr>
    </w:p>
    <w:p w14:paraId="73AF0F54" w14:textId="707B289E" w:rsidR="00873901" w:rsidRPr="008B7171" w:rsidRDefault="00F51ECC" w:rsidP="00873901">
      <w:pPr>
        <w:spacing w:after="0" w:line="256" w:lineRule="auto"/>
        <w:jc w:val="center"/>
        <w:rPr>
          <w:noProof/>
          <w:lang w:val="en-US"/>
        </w:rPr>
      </w:pPr>
      <w:r w:rsidRPr="002C3AD6">
        <w:rPr>
          <w:rFonts w:ascii="Century Gothic" w:hAnsi="Century Gothic"/>
          <w:noProof/>
          <w:lang w:val="en-US"/>
        </w:rPr>
        <w:drawing>
          <wp:inline distT="0" distB="0" distL="0" distR="0" wp14:anchorId="3FD233E1" wp14:editId="7E1D0997">
            <wp:extent cx="3405127" cy="1264024"/>
            <wp:effectExtent l="0" t="0" r="5080" b="0"/>
            <wp:docPr id="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3443887" cy="1278412"/>
                    </a:xfrm>
                    <a:prstGeom prst="rect">
                      <a:avLst/>
                    </a:prstGeom>
                  </pic:spPr>
                </pic:pic>
              </a:graphicData>
            </a:graphic>
          </wp:inline>
        </w:drawing>
      </w: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873901" w:rsidRPr="00B57A1B" w14:paraId="127BF8ED" w14:textId="77777777" w:rsidTr="00FA446D">
        <w:trPr>
          <w:trHeight w:val="409"/>
        </w:trPr>
        <w:tc>
          <w:tcPr>
            <w:tcW w:w="817" w:type="dxa"/>
            <w:tcBorders>
              <w:top w:val="nil"/>
              <w:left w:val="nil"/>
              <w:bottom w:val="nil"/>
              <w:right w:val="nil"/>
            </w:tcBorders>
            <w:vAlign w:val="center"/>
            <w:hideMark/>
          </w:tcPr>
          <w:p w14:paraId="1DEC0AC5" w14:textId="77777777" w:rsidR="00873901" w:rsidRPr="00B57A1B" w:rsidRDefault="00873901" w:rsidP="00FA446D">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0365E7C9" w14:textId="77777777" w:rsidR="00873901" w:rsidRPr="00B57A1B" w:rsidRDefault="00873901" w:rsidP="00FA446D">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José Luis Sánchez Cardona</w:t>
            </w:r>
          </w:p>
          <w:p w14:paraId="7779B0AE" w14:textId="77777777" w:rsidR="00873901" w:rsidRPr="00B57A1B" w:rsidRDefault="00873901" w:rsidP="00FA446D">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Contratista de la Subdirección de Gestión Contractual</w:t>
            </w:r>
          </w:p>
        </w:tc>
      </w:tr>
      <w:tr w:rsidR="00873901" w:rsidRPr="00B57A1B" w14:paraId="128946C9" w14:textId="77777777" w:rsidTr="00FA446D">
        <w:trPr>
          <w:trHeight w:val="409"/>
        </w:trPr>
        <w:tc>
          <w:tcPr>
            <w:tcW w:w="817" w:type="dxa"/>
            <w:tcBorders>
              <w:top w:val="nil"/>
              <w:left w:val="nil"/>
              <w:bottom w:val="nil"/>
              <w:right w:val="nil"/>
            </w:tcBorders>
            <w:vAlign w:val="center"/>
            <w:hideMark/>
          </w:tcPr>
          <w:p w14:paraId="39095D5C" w14:textId="77777777" w:rsidR="00873901" w:rsidRPr="00B57A1B" w:rsidRDefault="00873901" w:rsidP="00FA446D">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374F7447" w14:textId="77777777" w:rsidR="00873901" w:rsidRPr="00B57A1B" w:rsidRDefault="00873901" w:rsidP="00FA446D">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Alejandro Sarmiento Cantillo</w:t>
            </w:r>
          </w:p>
          <w:p w14:paraId="7E2CAA2C" w14:textId="77777777" w:rsidR="00873901" w:rsidRPr="00B57A1B" w:rsidRDefault="00873901" w:rsidP="00FA446D">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Gestor T1-15 de la Subdirección de Gestión Contractual </w:t>
            </w:r>
          </w:p>
        </w:tc>
      </w:tr>
      <w:tr w:rsidR="00873901" w:rsidRPr="00B57A1B" w14:paraId="2F065B64" w14:textId="77777777" w:rsidTr="00FA446D">
        <w:trPr>
          <w:trHeight w:val="389"/>
        </w:trPr>
        <w:tc>
          <w:tcPr>
            <w:tcW w:w="817" w:type="dxa"/>
            <w:tcBorders>
              <w:top w:val="nil"/>
              <w:left w:val="nil"/>
              <w:bottom w:val="nil"/>
              <w:right w:val="nil"/>
            </w:tcBorders>
            <w:vAlign w:val="center"/>
            <w:hideMark/>
          </w:tcPr>
          <w:p w14:paraId="376D369B" w14:textId="77777777" w:rsidR="00873901" w:rsidRPr="00B57A1B" w:rsidRDefault="00873901" w:rsidP="00FA446D">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73D4AAE0" w14:textId="77777777" w:rsidR="00873901" w:rsidRPr="00B57A1B" w:rsidRDefault="00873901" w:rsidP="00FA446D">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Carolina Quintero Gacharná</w:t>
            </w:r>
          </w:p>
          <w:p w14:paraId="40AC5A05" w14:textId="77777777" w:rsidR="00873901" w:rsidRPr="00B57A1B" w:rsidRDefault="00873901" w:rsidP="00FA446D">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Subdirectora de Gestión Contractual ANCP – CCE</w:t>
            </w:r>
          </w:p>
        </w:tc>
      </w:tr>
    </w:tbl>
    <w:p w14:paraId="21ECE28C" w14:textId="77777777" w:rsidR="00873901" w:rsidRPr="000E2B93" w:rsidRDefault="00873901" w:rsidP="00873901">
      <w:pPr>
        <w:spacing w:after="0" w:line="240" w:lineRule="auto"/>
        <w:jc w:val="both"/>
        <w:textAlignment w:val="baseline"/>
        <w:rPr>
          <w:rFonts w:ascii="Verdana" w:eastAsia="Verdana" w:hAnsi="Verdana" w:cs="Verdana"/>
          <w:lang w:eastAsia="es-CO"/>
        </w:rPr>
      </w:pPr>
    </w:p>
    <w:p w14:paraId="17BBD8D2" w14:textId="0304BAD8" w:rsidR="00873901" w:rsidRPr="000E2B93" w:rsidRDefault="00873901" w:rsidP="00873901">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0F293BF4" w14:textId="63F399F5" w:rsidR="00127233" w:rsidRPr="00873901" w:rsidRDefault="00127233" w:rsidP="00873901"/>
    <w:sectPr w:rsidR="00127233" w:rsidRPr="00873901"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D5F25" w14:textId="77777777" w:rsidR="00727CD4" w:rsidRDefault="00727CD4" w:rsidP="004A1847">
      <w:pPr>
        <w:spacing w:after="0" w:line="240" w:lineRule="auto"/>
      </w:pPr>
      <w:r>
        <w:separator/>
      </w:r>
    </w:p>
  </w:endnote>
  <w:endnote w:type="continuationSeparator" w:id="0">
    <w:p w14:paraId="73D5D643" w14:textId="77777777" w:rsidR="00727CD4" w:rsidRDefault="00727CD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AC78D9" w:rsidRDefault="00AC78D9">
    <w:pPr>
      <w:pStyle w:val="Piedepgina"/>
    </w:pPr>
  </w:p>
  <w:p w14:paraId="594D6D9F" w14:textId="1A03515E" w:rsidR="00AC78D9" w:rsidRPr="00174B77" w:rsidRDefault="00AC78D9"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3C3C40" w:rsidRPr="003C3C40">
      <w:rPr>
        <w:rFonts w:ascii="Verdana" w:eastAsiaTheme="minorEastAsia" w:hAnsi="Verdana"/>
        <w:b/>
        <w:bCs/>
        <w:noProof/>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AC78D9" w:rsidRDefault="00AC78D9"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AC78D9" w:rsidRPr="00E41027" w:rsidRDefault="00AC78D9"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91145F" w:rsidRDefault="0091145F">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E63D0" w14:textId="77777777" w:rsidR="00727CD4" w:rsidRDefault="00727CD4" w:rsidP="004A1847">
      <w:pPr>
        <w:spacing w:after="0" w:line="240" w:lineRule="auto"/>
      </w:pPr>
      <w:r>
        <w:separator/>
      </w:r>
    </w:p>
  </w:footnote>
  <w:footnote w:type="continuationSeparator" w:id="0">
    <w:p w14:paraId="1A222314" w14:textId="77777777" w:rsidR="00727CD4" w:rsidRDefault="00727CD4" w:rsidP="004A1847">
      <w:pPr>
        <w:spacing w:after="0" w:line="240" w:lineRule="auto"/>
      </w:pPr>
      <w:r>
        <w:continuationSeparator/>
      </w:r>
    </w:p>
  </w:footnote>
  <w:footnote w:id="1">
    <w:p w14:paraId="75A9141C" w14:textId="77777777" w:rsidR="00873901" w:rsidRPr="0048003B" w:rsidRDefault="00873901" w:rsidP="00873901">
      <w:pPr>
        <w:pStyle w:val="Textonotapie"/>
        <w:ind w:firstLine="708"/>
        <w:jc w:val="both"/>
        <w:rPr>
          <w:rFonts w:ascii="Verdana" w:hAnsi="Verdana" w:cs="Arial"/>
          <w:sz w:val="16"/>
          <w:szCs w:val="16"/>
          <w:lang w:val="es-ES"/>
        </w:rPr>
      </w:pPr>
      <w:r w:rsidRPr="0048003B">
        <w:rPr>
          <w:rStyle w:val="Refdenotaalpie"/>
          <w:rFonts w:ascii="Verdana" w:hAnsi="Verdana" w:cs="Arial"/>
          <w:sz w:val="16"/>
          <w:szCs w:val="16"/>
        </w:rPr>
        <w:footnoteRef/>
      </w:r>
      <w:r w:rsidRPr="0048003B">
        <w:rPr>
          <w:rFonts w:ascii="Verdana" w:hAnsi="Verdana" w:cs="Arial"/>
          <w:sz w:val="16"/>
          <w:szCs w:val="16"/>
        </w:rPr>
        <w:t xml:space="preserve"> Cfr. BENAVIDES, José Luis. El contrato estatal: entre el derecho público y el derecho privado. Segunda edición. Bogotá: Universidad Externado de Colombia, 2009. pp. 78-79.      </w:t>
      </w:r>
    </w:p>
  </w:footnote>
  <w:footnote w:id="2">
    <w:p w14:paraId="72757A7E" w14:textId="77777777" w:rsidR="00873901" w:rsidRPr="0048003B" w:rsidRDefault="00873901" w:rsidP="00873901">
      <w:pPr>
        <w:pStyle w:val="Textonotapie"/>
        <w:ind w:firstLine="708"/>
        <w:jc w:val="both"/>
        <w:rPr>
          <w:rFonts w:ascii="Verdana" w:hAnsi="Verdana" w:cs="Arial"/>
          <w:sz w:val="16"/>
          <w:szCs w:val="16"/>
          <w:lang w:val="es-ES"/>
        </w:rPr>
      </w:pPr>
      <w:r w:rsidRPr="0048003B">
        <w:rPr>
          <w:rStyle w:val="Refdenotaalpie"/>
          <w:rFonts w:ascii="Verdana" w:hAnsi="Verdana" w:cs="Arial"/>
          <w:sz w:val="16"/>
          <w:szCs w:val="16"/>
        </w:rPr>
        <w:footnoteRef/>
      </w:r>
      <w:r w:rsidRPr="0048003B">
        <w:rPr>
          <w:rFonts w:ascii="Verdana" w:hAnsi="Verdana" w:cs="Arial"/>
          <w:sz w:val="16"/>
          <w:szCs w:val="16"/>
        </w:rPr>
        <w:t xml:space="preserve"> BETANCUR JARAMILLO, Carlos. Derecho procesal administrativo. Octava edición. Medellín: Señal Editora, 2013. p. 627. </w:t>
      </w:r>
    </w:p>
  </w:footnote>
  <w:footnote w:id="3">
    <w:p w14:paraId="1FE92B96" w14:textId="77777777" w:rsidR="00873901" w:rsidRPr="0048003B" w:rsidRDefault="00873901" w:rsidP="00873901">
      <w:pPr>
        <w:pStyle w:val="Textonotapie"/>
        <w:ind w:firstLine="708"/>
        <w:jc w:val="both"/>
        <w:rPr>
          <w:rFonts w:ascii="Verdana" w:hAnsi="Verdana" w:cs="Arial"/>
          <w:sz w:val="16"/>
          <w:szCs w:val="16"/>
        </w:rPr>
      </w:pPr>
      <w:r w:rsidRPr="0048003B">
        <w:rPr>
          <w:rStyle w:val="Refdenotaalpie"/>
          <w:rFonts w:ascii="Verdana" w:hAnsi="Verdana" w:cs="Arial"/>
          <w:sz w:val="16"/>
          <w:szCs w:val="16"/>
        </w:rPr>
        <w:footnoteRef/>
      </w:r>
      <w:r w:rsidRPr="0048003B">
        <w:rPr>
          <w:rFonts w:ascii="Verdana" w:hAnsi="Verdana" w:cs="Arial"/>
          <w:sz w:val="16"/>
          <w:szCs w:val="16"/>
        </w:rPr>
        <w:t xml:space="preserve"> JOJOA BOLAÑOS, Alexander. Los regímenes exceptuados en los contratos estatales. Bogotá: Grupo Editorial Ibáñez, 2012. p. 89.</w:t>
      </w:r>
    </w:p>
  </w:footnote>
  <w:footnote w:id="4">
    <w:p w14:paraId="4F39DE0D" w14:textId="77777777" w:rsidR="00873901" w:rsidRPr="0048003B" w:rsidRDefault="00873901" w:rsidP="00873901">
      <w:pPr>
        <w:pStyle w:val="Textonotapie"/>
        <w:ind w:firstLine="708"/>
        <w:jc w:val="both"/>
        <w:rPr>
          <w:rFonts w:ascii="Verdana" w:hAnsi="Verdana" w:cs="Arial"/>
          <w:sz w:val="16"/>
          <w:szCs w:val="16"/>
        </w:rPr>
      </w:pPr>
      <w:r w:rsidRPr="0048003B">
        <w:rPr>
          <w:rStyle w:val="Refdenotaalpie"/>
          <w:rFonts w:ascii="Verdana" w:hAnsi="Verdana" w:cs="Arial"/>
          <w:sz w:val="16"/>
          <w:szCs w:val="16"/>
        </w:rPr>
        <w:footnoteRef/>
      </w:r>
      <w:r w:rsidRPr="0048003B">
        <w:rPr>
          <w:rFonts w:ascii="Verdana" w:hAnsi="Verdana" w:cs="Arial"/>
          <w:sz w:val="16"/>
          <w:szCs w:val="16"/>
        </w:rPr>
        <w:t xml:space="preserve"> BARRETO MORENO, Antonio Alejandro. El derecho de la compra pública: estudio jurídico de un mercado imperfecto. Bogotá: Legis, 2019. pp. 281 y ss.</w:t>
      </w:r>
    </w:p>
  </w:footnote>
  <w:footnote w:id="5">
    <w:p w14:paraId="7A087A47" w14:textId="77777777" w:rsidR="00873901" w:rsidRPr="0048003B" w:rsidRDefault="00873901" w:rsidP="00873901">
      <w:pPr>
        <w:pStyle w:val="Textonotapie"/>
        <w:ind w:firstLine="708"/>
        <w:jc w:val="both"/>
        <w:rPr>
          <w:rFonts w:ascii="Verdana" w:hAnsi="Verdana"/>
          <w:sz w:val="16"/>
          <w:szCs w:val="16"/>
          <w:lang w:val="es-CO"/>
        </w:rPr>
      </w:pPr>
      <w:r w:rsidRPr="0048003B">
        <w:rPr>
          <w:rStyle w:val="Refdenotaalpie"/>
          <w:rFonts w:ascii="Verdana" w:hAnsi="Verdana"/>
          <w:sz w:val="16"/>
          <w:szCs w:val="16"/>
        </w:rPr>
        <w:footnoteRef/>
      </w:r>
      <w:r w:rsidRPr="0048003B">
        <w:rPr>
          <w:rFonts w:ascii="Verdana" w:hAnsi="Verdana"/>
          <w:b/>
          <w:sz w:val="16"/>
          <w:szCs w:val="16"/>
          <w:lang w:val="es-CO"/>
        </w:rPr>
        <w:t xml:space="preserve"> </w:t>
      </w:r>
      <w:r w:rsidRPr="0048003B">
        <w:rPr>
          <w:rFonts w:ascii="Verdana" w:hAnsi="Verdana"/>
          <w:sz w:val="16"/>
          <w:szCs w:val="16"/>
          <w:lang w:val="es-CO"/>
        </w:rPr>
        <w:t>Artículo 68</w:t>
      </w:r>
      <w:r w:rsidRPr="0048003B">
        <w:rPr>
          <w:rFonts w:ascii="Verdana" w:hAnsi="Verdana"/>
          <w:b/>
          <w:sz w:val="16"/>
          <w:szCs w:val="16"/>
          <w:lang w:val="es-CO"/>
        </w:rPr>
        <w:t xml:space="preserve">. </w:t>
      </w:r>
      <w:r w:rsidRPr="0048003B">
        <w:rPr>
          <w:rFonts w:ascii="Verdana" w:hAnsi="Verdana"/>
          <w:i/>
          <w:sz w:val="16"/>
          <w:szCs w:val="16"/>
          <w:lang w:val="es-CO"/>
        </w:rPr>
        <w:t>Entidades descentralizadas.</w:t>
      </w:r>
      <w:r w:rsidRPr="0048003B">
        <w:rPr>
          <w:rFonts w:ascii="Verdana" w:hAnsi="Verdana"/>
          <w:sz w:val="16"/>
          <w:szCs w:val="16"/>
        </w:rPr>
        <w:t xml:space="preserve"> </w:t>
      </w:r>
      <w:r w:rsidRPr="0048003B">
        <w:rPr>
          <w:rFonts w:ascii="Verdana" w:hAnsi="Verdana"/>
          <w:sz w:val="16"/>
          <w:szCs w:val="16"/>
          <w:lang w:val="es-CO"/>
        </w:rPr>
        <w:t>Son entidades descentralizadas del orden nacional, los establecimientos públicos, las empresas industriales y comerciales del Estado, las sociedades públicas y las sociedades de economía mixta, las superintendencias y las unidades administrativas especiales con personería jurídica, las empresas sociales del Estado, las empresas oficiales de servicios públicos y las demás entidades creadas por la ley o con su autorización, cuyo objeto principal sea el ejercicio de funciones administrativas, la prestación de servicios públicos o la realización de actividades industriales o comerciales con personería jurídica, autonomía administrativa y patrimonio propio. </w:t>
      </w:r>
    </w:p>
    <w:p w14:paraId="3247E2AA"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Como órganos del Estado aun cuando gozan de autonomía administrativa están sujetas al control político y a la suprema dirección del órgano de la administración al cual están adscritas. </w:t>
      </w:r>
    </w:p>
    <w:p w14:paraId="0ACF6AC1"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Las entidades descentralizadas se sujetan a las reglas señaladas en la Constitución Política, en la presente ley, en las leyes que las creen y determinen su estructura orgánica y a sus estatutos internos. </w:t>
      </w:r>
    </w:p>
    <w:p w14:paraId="523F1D2B"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Los organismos y entidades descentralizados, sujetos a regímenes especiales por mandato de la Constitución Política, se someterán a las disposiciones que para ellos establezca la respectiva ley […]” </w:t>
      </w:r>
    </w:p>
  </w:footnote>
  <w:footnote w:id="6">
    <w:p w14:paraId="5A4ED728" w14:textId="77777777" w:rsidR="00873901" w:rsidRPr="0048003B" w:rsidRDefault="00873901" w:rsidP="00873901">
      <w:pPr>
        <w:pStyle w:val="Textonotapie"/>
        <w:ind w:firstLine="708"/>
        <w:jc w:val="both"/>
        <w:rPr>
          <w:rFonts w:ascii="Verdana" w:hAnsi="Verdana"/>
          <w:sz w:val="16"/>
          <w:szCs w:val="16"/>
          <w:lang w:val="es-ES"/>
        </w:rPr>
      </w:pPr>
      <w:r w:rsidRPr="0048003B">
        <w:rPr>
          <w:rStyle w:val="Refdenotaalpie"/>
          <w:rFonts w:ascii="Verdana" w:hAnsi="Verdana"/>
          <w:sz w:val="16"/>
          <w:szCs w:val="16"/>
        </w:rPr>
        <w:footnoteRef/>
      </w:r>
      <w:r w:rsidRPr="0048003B">
        <w:rPr>
          <w:rFonts w:ascii="Verdana" w:hAnsi="Verdana"/>
          <w:sz w:val="16"/>
          <w:szCs w:val="16"/>
        </w:rPr>
        <w:t xml:space="preserve"> </w:t>
      </w:r>
      <w:r w:rsidRPr="0048003B">
        <w:rPr>
          <w:rFonts w:ascii="Verdana" w:hAnsi="Verdana"/>
          <w:sz w:val="16"/>
          <w:szCs w:val="16"/>
          <w:lang w:val="es-ES"/>
        </w:rPr>
        <w:t>Así lo establece la Constitución Política, en el artículo 150, numeral 7, así como en el artículo 300, numeral 7 y en el artículo 313, numeral 6</w:t>
      </w:r>
    </w:p>
  </w:footnote>
  <w:footnote w:id="7">
    <w:p w14:paraId="1DA0FFE3" w14:textId="77777777" w:rsidR="00873901" w:rsidRPr="0048003B" w:rsidRDefault="00873901" w:rsidP="00873901">
      <w:pPr>
        <w:pStyle w:val="Textonotapie"/>
        <w:ind w:firstLine="708"/>
        <w:jc w:val="both"/>
        <w:rPr>
          <w:rFonts w:ascii="Verdana" w:hAnsi="Verdana"/>
          <w:sz w:val="16"/>
          <w:szCs w:val="16"/>
          <w:lang w:val="es-ES"/>
        </w:rPr>
      </w:pPr>
      <w:r w:rsidRPr="0048003B">
        <w:rPr>
          <w:rStyle w:val="Refdenotaalpie"/>
          <w:rFonts w:ascii="Verdana" w:hAnsi="Verdana"/>
          <w:sz w:val="16"/>
          <w:szCs w:val="16"/>
        </w:rPr>
        <w:footnoteRef/>
      </w:r>
      <w:r w:rsidRPr="0048003B">
        <w:rPr>
          <w:rFonts w:ascii="Verdana" w:hAnsi="Verdana"/>
          <w:sz w:val="16"/>
          <w:szCs w:val="16"/>
        </w:rPr>
        <w:t xml:space="preserve"> </w:t>
      </w:r>
      <w:r w:rsidRPr="0048003B">
        <w:rPr>
          <w:rFonts w:ascii="Verdana" w:eastAsia="Arial MT" w:hAnsi="Verdana" w:cs="Arial MT"/>
          <w:sz w:val="16"/>
          <w:szCs w:val="16"/>
          <w:lang w:val="es-ES"/>
        </w:rPr>
        <w:t>Las sociedades de economía mixta son una clara manifestación organizacional de la función administrativa. Al respecto, la doctrina colombiana ha considerado que «la organización debe ocupar un lugar central</w:t>
      </w:r>
      <w:r w:rsidRPr="0048003B">
        <w:rPr>
          <w:rFonts w:ascii="Verdana" w:eastAsia="Arial MT" w:hAnsi="Verdana" w:cs="Arial MT"/>
          <w:spacing w:val="-1"/>
          <w:sz w:val="16"/>
          <w:szCs w:val="16"/>
          <w:lang w:val="es-ES"/>
        </w:rPr>
        <w:t xml:space="preserve"> </w:t>
      </w:r>
      <w:r w:rsidRPr="0048003B">
        <w:rPr>
          <w:rFonts w:ascii="Verdana" w:eastAsia="Arial MT" w:hAnsi="Verdana" w:cs="Arial MT"/>
          <w:sz w:val="16"/>
          <w:szCs w:val="16"/>
          <w:lang w:val="es-ES"/>
        </w:rPr>
        <w:t>en</w:t>
      </w:r>
      <w:r w:rsidRPr="0048003B">
        <w:rPr>
          <w:rFonts w:ascii="Verdana" w:eastAsia="Arial MT" w:hAnsi="Verdana" w:cs="Arial MT"/>
          <w:spacing w:val="-3"/>
          <w:sz w:val="16"/>
          <w:szCs w:val="16"/>
          <w:lang w:val="es-ES"/>
        </w:rPr>
        <w:t xml:space="preserve"> </w:t>
      </w:r>
      <w:r w:rsidRPr="0048003B">
        <w:rPr>
          <w:rFonts w:ascii="Verdana" w:eastAsia="Arial MT" w:hAnsi="Verdana" w:cs="Arial MT"/>
          <w:sz w:val="16"/>
          <w:szCs w:val="16"/>
          <w:lang w:val="es-ES"/>
        </w:rPr>
        <w:t>el</w:t>
      </w:r>
      <w:r w:rsidRPr="0048003B">
        <w:rPr>
          <w:rFonts w:ascii="Verdana" w:eastAsia="Arial MT" w:hAnsi="Verdana" w:cs="Arial MT"/>
          <w:spacing w:val="-1"/>
          <w:sz w:val="16"/>
          <w:szCs w:val="16"/>
          <w:lang w:val="es-ES"/>
        </w:rPr>
        <w:t xml:space="preserve"> </w:t>
      </w:r>
      <w:r w:rsidRPr="0048003B">
        <w:rPr>
          <w:rFonts w:ascii="Verdana" w:eastAsia="Arial MT" w:hAnsi="Verdana" w:cs="Arial MT"/>
          <w:sz w:val="16"/>
          <w:szCs w:val="16"/>
          <w:lang w:val="es-ES"/>
        </w:rPr>
        <w:t>estudio del</w:t>
      </w:r>
      <w:r w:rsidRPr="0048003B">
        <w:rPr>
          <w:rFonts w:ascii="Verdana" w:eastAsia="Arial MT" w:hAnsi="Verdana" w:cs="Arial MT"/>
          <w:spacing w:val="-1"/>
          <w:sz w:val="16"/>
          <w:szCs w:val="16"/>
          <w:lang w:val="es-ES"/>
        </w:rPr>
        <w:t xml:space="preserve"> </w:t>
      </w:r>
      <w:r w:rsidRPr="0048003B">
        <w:rPr>
          <w:rFonts w:ascii="Verdana" w:eastAsia="Arial MT" w:hAnsi="Verdana" w:cs="Arial MT"/>
          <w:sz w:val="16"/>
          <w:szCs w:val="16"/>
          <w:lang w:val="es-ES"/>
        </w:rPr>
        <w:t>derecho administrativo, sobre todo si se tiene en</w:t>
      </w:r>
      <w:r w:rsidRPr="0048003B">
        <w:rPr>
          <w:rFonts w:ascii="Verdana" w:eastAsia="Arial MT" w:hAnsi="Verdana" w:cs="Arial MT"/>
          <w:spacing w:val="-3"/>
          <w:sz w:val="16"/>
          <w:szCs w:val="16"/>
          <w:lang w:val="es-ES"/>
        </w:rPr>
        <w:t xml:space="preserve"> </w:t>
      </w:r>
      <w:r w:rsidRPr="0048003B">
        <w:rPr>
          <w:rFonts w:ascii="Verdana" w:eastAsia="Arial MT" w:hAnsi="Verdana" w:cs="Arial MT"/>
          <w:sz w:val="16"/>
          <w:szCs w:val="16"/>
          <w:lang w:val="es-ES"/>
        </w:rPr>
        <w:t>cuenta que lo estructural es consustancial a la actividad administrativa. De hecho, podemos afirmar que se trata de una</w:t>
      </w:r>
      <w:r w:rsidRPr="0048003B">
        <w:rPr>
          <w:rFonts w:ascii="Verdana" w:eastAsia="Arial MT" w:hAnsi="Verdana" w:cs="Arial MT"/>
          <w:spacing w:val="40"/>
          <w:sz w:val="16"/>
          <w:szCs w:val="16"/>
          <w:lang w:val="es-ES"/>
        </w:rPr>
        <w:t xml:space="preserve"> </w:t>
      </w:r>
      <w:r w:rsidRPr="0048003B">
        <w:rPr>
          <w:rFonts w:ascii="Verdana" w:eastAsia="Arial MT" w:hAnsi="Verdana" w:cs="Arial MT"/>
          <w:sz w:val="16"/>
          <w:szCs w:val="16"/>
          <w:lang w:val="es-ES"/>
        </w:rPr>
        <w:t>verdadera dialéctica en la que se presenta una relación de medio a fin, ya que su objeto es</w:t>
      </w:r>
      <w:r w:rsidRPr="0048003B">
        <w:rPr>
          <w:rFonts w:ascii="Verdana" w:eastAsia="Arial MT" w:hAnsi="Verdana" w:cs="Arial MT"/>
          <w:spacing w:val="40"/>
          <w:sz w:val="16"/>
          <w:szCs w:val="16"/>
          <w:lang w:val="es-ES"/>
        </w:rPr>
        <w:t xml:space="preserve"> </w:t>
      </w:r>
      <w:r w:rsidRPr="0048003B">
        <w:rPr>
          <w:rFonts w:ascii="Verdana" w:eastAsia="Arial MT" w:hAnsi="Verdana" w:cs="Arial MT"/>
          <w:sz w:val="16"/>
          <w:szCs w:val="16"/>
          <w:lang w:val="es-ES"/>
        </w:rPr>
        <w:t>precisamente el diseño y puesta en funcionamiento de las maneras o formas de gestión de potestades, atribuciones y competencias administrativas» (RINCÓN CÓRDOBA, Jorge Iván. Teoría de la organización</w:t>
      </w:r>
      <w:r w:rsidRPr="0048003B">
        <w:rPr>
          <w:rFonts w:ascii="Verdana" w:eastAsia="Arial MT" w:hAnsi="Verdana" w:cs="Arial MT"/>
          <w:spacing w:val="-7"/>
          <w:sz w:val="16"/>
          <w:szCs w:val="16"/>
          <w:lang w:val="es-ES"/>
        </w:rPr>
        <w:t xml:space="preserve"> </w:t>
      </w:r>
      <w:r w:rsidRPr="0048003B">
        <w:rPr>
          <w:rFonts w:ascii="Verdana" w:eastAsia="Arial MT" w:hAnsi="Verdana" w:cs="Arial MT"/>
          <w:sz w:val="16"/>
          <w:szCs w:val="16"/>
          <w:lang w:val="es-ES"/>
        </w:rPr>
        <w:t>administrativa</w:t>
      </w:r>
      <w:r w:rsidRPr="0048003B">
        <w:rPr>
          <w:rFonts w:ascii="Verdana" w:eastAsia="Arial MT" w:hAnsi="Verdana" w:cs="Arial MT"/>
          <w:spacing w:val="-3"/>
          <w:sz w:val="16"/>
          <w:szCs w:val="16"/>
          <w:lang w:val="es-ES"/>
        </w:rPr>
        <w:t xml:space="preserve"> </w:t>
      </w:r>
      <w:r w:rsidRPr="0048003B">
        <w:rPr>
          <w:rFonts w:ascii="Verdana" w:eastAsia="Arial MT" w:hAnsi="Verdana" w:cs="Arial MT"/>
          <w:sz w:val="16"/>
          <w:szCs w:val="16"/>
          <w:lang w:val="es-ES"/>
        </w:rPr>
        <w:t>en</w:t>
      </w:r>
      <w:r w:rsidRPr="0048003B">
        <w:rPr>
          <w:rFonts w:ascii="Verdana" w:eastAsia="Arial MT" w:hAnsi="Verdana" w:cs="Arial MT"/>
          <w:spacing w:val="-7"/>
          <w:sz w:val="16"/>
          <w:szCs w:val="16"/>
          <w:lang w:val="es-ES"/>
        </w:rPr>
        <w:t xml:space="preserve"> </w:t>
      </w:r>
      <w:r w:rsidRPr="0048003B">
        <w:rPr>
          <w:rFonts w:ascii="Verdana" w:eastAsia="Arial MT" w:hAnsi="Verdana" w:cs="Arial MT"/>
          <w:sz w:val="16"/>
          <w:szCs w:val="16"/>
          <w:lang w:val="es-ES"/>
        </w:rPr>
        <w:t>Colombia,</w:t>
      </w:r>
      <w:r w:rsidRPr="0048003B">
        <w:rPr>
          <w:rFonts w:ascii="Verdana" w:eastAsia="Arial MT" w:hAnsi="Verdana" w:cs="Arial MT"/>
          <w:spacing w:val="-2"/>
          <w:sz w:val="16"/>
          <w:szCs w:val="16"/>
          <w:lang w:val="es-ES"/>
        </w:rPr>
        <w:t xml:space="preserve"> </w:t>
      </w:r>
      <w:r w:rsidRPr="0048003B">
        <w:rPr>
          <w:rFonts w:ascii="Verdana" w:eastAsia="Arial MT" w:hAnsi="Verdana" w:cs="Arial MT"/>
          <w:sz w:val="16"/>
          <w:szCs w:val="16"/>
          <w:lang w:val="es-ES"/>
        </w:rPr>
        <w:t>Bogotá:</w:t>
      </w:r>
      <w:r w:rsidRPr="0048003B">
        <w:rPr>
          <w:rFonts w:ascii="Verdana" w:eastAsia="Arial MT" w:hAnsi="Verdana" w:cs="Arial MT"/>
          <w:spacing w:val="-2"/>
          <w:sz w:val="16"/>
          <w:szCs w:val="16"/>
          <w:lang w:val="es-ES"/>
        </w:rPr>
        <w:t xml:space="preserve"> </w:t>
      </w:r>
      <w:r w:rsidRPr="0048003B">
        <w:rPr>
          <w:rFonts w:ascii="Verdana" w:eastAsia="Arial MT" w:hAnsi="Verdana" w:cs="Arial MT"/>
          <w:sz w:val="16"/>
          <w:szCs w:val="16"/>
          <w:lang w:val="es-ES"/>
        </w:rPr>
        <w:t>Universidad</w:t>
      </w:r>
      <w:r w:rsidRPr="0048003B">
        <w:rPr>
          <w:rFonts w:ascii="Verdana" w:eastAsia="Arial MT" w:hAnsi="Verdana" w:cs="Arial MT"/>
          <w:spacing w:val="-3"/>
          <w:sz w:val="16"/>
          <w:szCs w:val="16"/>
          <w:lang w:val="es-ES"/>
        </w:rPr>
        <w:t xml:space="preserve"> </w:t>
      </w:r>
      <w:r w:rsidRPr="0048003B">
        <w:rPr>
          <w:rFonts w:ascii="Verdana" w:eastAsia="Arial MT" w:hAnsi="Verdana" w:cs="Arial MT"/>
          <w:sz w:val="16"/>
          <w:szCs w:val="16"/>
          <w:lang w:val="es-ES"/>
        </w:rPr>
        <w:t>Externado</w:t>
      </w:r>
      <w:r w:rsidRPr="0048003B">
        <w:rPr>
          <w:rFonts w:ascii="Verdana" w:eastAsia="Arial MT" w:hAnsi="Verdana" w:cs="Arial MT"/>
          <w:spacing w:val="-3"/>
          <w:sz w:val="16"/>
          <w:szCs w:val="16"/>
          <w:lang w:val="es-ES"/>
        </w:rPr>
        <w:t xml:space="preserve"> </w:t>
      </w:r>
      <w:r w:rsidRPr="0048003B">
        <w:rPr>
          <w:rFonts w:ascii="Verdana" w:eastAsia="Arial MT" w:hAnsi="Verdana" w:cs="Arial MT"/>
          <w:sz w:val="16"/>
          <w:szCs w:val="16"/>
          <w:lang w:val="es-ES"/>
        </w:rPr>
        <w:t>de</w:t>
      </w:r>
      <w:r w:rsidRPr="0048003B">
        <w:rPr>
          <w:rFonts w:ascii="Verdana" w:eastAsia="Arial MT" w:hAnsi="Verdana" w:cs="Arial MT"/>
          <w:spacing w:val="-3"/>
          <w:sz w:val="16"/>
          <w:szCs w:val="16"/>
          <w:lang w:val="es-ES"/>
        </w:rPr>
        <w:t xml:space="preserve"> </w:t>
      </w:r>
      <w:r w:rsidRPr="0048003B">
        <w:rPr>
          <w:rFonts w:ascii="Verdana" w:eastAsia="Arial MT" w:hAnsi="Verdana" w:cs="Arial MT"/>
          <w:sz w:val="16"/>
          <w:szCs w:val="16"/>
          <w:lang w:val="es-ES"/>
        </w:rPr>
        <w:t>Colombia,</w:t>
      </w:r>
      <w:r w:rsidRPr="0048003B">
        <w:rPr>
          <w:rFonts w:ascii="Verdana" w:eastAsia="Arial MT" w:hAnsi="Verdana" w:cs="Arial MT"/>
          <w:spacing w:val="-2"/>
          <w:sz w:val="16"/>
          <w:szCs w:val="16"/>
          <w:lang w:val="es-ES"/>
        </w:rPr>
        <w:t xml:space="preserve"> </w:t>
      </w:r>
      <w:r w:rsidRPr="0048003B">
        <w:rPr>
          <w:rFonts w:ascii="Verdana" w:eastAsia="Arial MT" w:hAnsi="Verdana" w:cs="Arial MT"/>
          <w:sz w:val="16"/>
          <w:szCs w:val="16"/>
          <w:lang w:val="es-ES"/>
        </w:rPr>
        <w:t>2019,</w:t>
      </w:r>
      <w:r w:rsidRPr="0048003B">
        <w:rPr>
          <w:rFonts w:ascii="Verdana" w:eastAsia="Arial MT" w:hAnsi="Verdana" w:cs="Arial MT"/>
          <w:spacing w:val="-2"/>
          <w:sz w:val="16"/>
          <w:szCs w:val="16"/>
          <w:lang w:val="es-ES"/>
        </w:rPr>
        <w:t xml:space="preserve"> </w:t>
      </w:r>
      <w:r w:rsidRPr="0048003B">
        <w:rPr>
          <w:rFonts w:ascii="Verdana" w:eastAsia="Arial MT" w:hAnsi="Verdana" w:cs="Arial MT"/>
          <w:sz w:val="16"/>
          <w:szCs w:val="16"/>
          <w:lang w:val="es-ES"/>
        </w:rPr>
        <w:t>pp.</w:t>
      </w:r>
      <w:r w:rsidRPr="0048003B">
        <w:rPr>
          <w:rFonts w:ascii="Verdana" w:eastAsia="Arial MT" w:hAnsi="Verdana" w:cs="Arial MT"/>
          <w:spacing w:val="-2"/>
          <w:sz w:val="16"/>
          <w:szCs w:val="16"/>
          <w:lang w:val="es-ES"/>
        </w:rPr>
        <w:t xml:space="preserve"> </w:t>
      </w:r>
      <w:r w:rsidRPr="0048003B">
        <w:rPr>
          <w:rFonts w:ascii="Verdana" w:eastAsia="Arial MT" w:hAnsi="Verdana" w:cs="Arial MT"/>
          <w:sz w:val="16"/>
          <w:szCs w:val="16"/>
          <w:lang w:val="es-ES"/>
        </w:rPr>
        <w:t>31-32).</w:t>
      </w:r>
    </w:p>
  </w:footnote>
  <w:footnote w:id="8">
    <w:p w14:paraId="44855F96" w14:textId="77777777" w:rsidR="00873901" w:rsidRPr="0048003B" w:rsidRDefault="00873901" w:rsidP="00873901">
      <w:pPr>
        <w:pStyle w:val="Textonotapie"/>
        <w:ind w:firstLine="708"/>
        <w:jc w:val="both"/>
        <w:rPr>
          <w:rFonts w:ascii="Verdana" w:hAnsi="Verdana"/>
          <w:sz w:val="16"/>
          <w:szCs w:val="16"/>
          <w:lang w:val="es-ES"/>
        </w:rPr>
      </w:pPr>
      <w:r w:rsidRPr="0048003B">
        <w:rPr>
          <w:rStyle w:val="Refdenotaalpie"/>
          <w:rFonts w:ascii="Verdana" w:hAnsi="Verdana"/>
          <w:sz w:val="16"/>
          <w:szCs w:val="16"/>
        </w:rPr>
        <w:footnoteRef/>
      </w:r>
      <w:r w:rsidRPr="0048003B">
        <w:rPr>
          <w:rFonts w:ascii="Verdana" w:hAnsi="Verdana"/>
          <w:sz w:val="16"/>
          <w:szCs w:val="16"/>
        </w:rPr>
        <w:t xml:space="preserve"> </w:t>
      </w:r>
      <w:r w:rsidRPr="0048003B">
        <w:rPr>
          <w:rFonts w:ascii="Verdana" w:hAnsi="Verdana"/>
          <w:sz w:val="16"/>
          <w:szCs w:val="16"/>
          <w:lang w:val="es-ES"/>
        </w:rPr>
        <w:t>“Una función administrativa entendida entonces, como un conjunto de actividades particulares, disimiles entre sí, pero diversas de aquellas generales de Estado y particulares propias de la función judicial y legislativa, que dan desarrollo directo a las finalidades del estado, consagradas de manera positiva en la Constitución Política, que pueden ser desarrolladas por distintos sujetos de derecho, habilitados para ello, con el respeto y cumplimiento del ordenamiento jurídico superior” (MONTAÑA PLATA, Alberto. Fundamentos de derecho administrativo. Bogotá: Universidad Externado de Colombia, 2010, p. 124).</w:t>
      </w:r>
    </w:p>
  </w:footnote>
  <w:footnote w:id="9">
    <w:p w14:paraId="4BB0D934" w14:textId="77777777" w:rsidR="00873901" w:rsidRPr="0048003B" w:rsidRDefault="00873901" w:rsidP="00873901">
      <w:pPr>
        <w:pStyle w:val="Textonotapie"/>
        <w:ind w:firstLine="708"/>
        <w:contextualSpacing/>
        <w:jc w:val="both"/>
        <w:rPr>
          <w:rFonts w:ascii="Verdana" w:hAnsi="Verdana" w:cs="Arial"/>
          <w:sz w:val="16"/>
          <w:szCs w:val="16"/>
        </w:rPr>
      </w:pPr>
      <w:r w:rsidRPr="0048003B">
        <w:rPr>
          <w:rStyle w:val="Refdenotaalpie"/>
          <w:rFonts w:ascii="Verdana" w:hAnsi="Verdana" w:cs="Arial"/>
          <w:sz w:val="16"/>
          <w:szCs w:val="16"/>
        </w:rPr>
        <w:footnoteRef/>
      </w:r>
      <w:r w:rsidRPr="0048003B">
        <w:rPr>
          <w:rFonts w:ascii="Verdana" w:hAnsi="Verdana" w:cs="Arial"/>
          <w:sz w:val="16"/>
          <w:szCs w:val="16"/>
        </w:rPr>
        <w:t xml:space="preserve"> RINCÓN CÓRDOBA, Jorge Iván. Op. cit. p. 31.</w:t>
      </w:r>
    </w:p>
  </w:footnote>
  <w:footnote w:id="10">
    <w:p w14:paraId="5A898651" w14:textId="77777777" w:rsidR="00873901" w:rsidRPr="0048003B" w:rsidRDefault="00873901" w:rsidP="00873901">
      <w:pPr>
        <w:pStyle w:val="Textonotapie"/>
        <w:ind w:firstLine="708"/>
        <w:jc w:val="both"/>
        <w:rPr>
          <w:rFonts w:ascii="Verdana" w:hAnsi="Verdana"/>
          <w:sz w:val="16"/>
          <w:szCs w:val="16"/>
          <w:lang w:val="es-CO"/>
        </w:rPr>
      </w:pPr>
      <w:r w:rsidRPr="0048003B">
        <w:rPr>
          <w:rStyle w:val="Refdenotaalpie"/>
          <w:rFonts w:ascii="Verdana" w:hAnsi="Verdana"/>
          <w:sz w:val="16"/>
          <w:szCs w:val="16"/>
        </w:rPr>
        <w:footnoteRef/>
      </w:r>
      <w:r w:rsidRPr="0048003B">
        <w:rPr>
          <w:rFonts w:ascii="Verdana" w:hAnsi="Verdana"/>
          <w:sz w:val="16"/>
          <w:szCs w:val="16"/>
        </w:rPr>
        <w:t xml:space="preserve"> </w:t>
      </w:r>
      <w:r w:rsidRPr="0048003B">
        <w:rPr>
          <w:rFonts w:ascii="Verdana" w:hAnsi="Verdana"/>
          <w:sz w:val="16"/>
          <w:szCs w:val="16"/>
          <w:lang w:val="es-CO"/>
        </w:rPr>
        <w:t>ARTICULO 2o. DE LA DEFINICION DE ENTIDADES, SERVIDORES Y SERVICIOS PUBLICOS. Para los solos efectos de esta ley: </w:t>
      </w:r>
    </w:p>
    <w:p w14:paraId="68F2B6E0"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1o. Se denominan entidades estatales: </w:t>
      </w:r>
    </w:p>
    <w:p w14:paraId="425EAD54"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w:t>
      </w:r>
    </w:p>
    <w:p w14:paraId="452C5651"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b)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 </w:t>
      </w:r>
    </w:p>
  </w:footnote>
  <w:footnote w:id="11">
    <w:p w14:paraId="50F8435B" w14:textId="77777777" w:rsidR="00873901" w:rsidRPr="0048003B" w:rsidRDefault="00873901" w:rsidP="00873901">
      <w:pPr>
        <w:pStyle w:val="Textonotapie"/>
        <w:ind w:firstLine="708"/>
        <w:jc w:val="both"/>
        <w:rPr>
          <w:rFonts w:ascii="Verdana" w:hAnsi="Verdana"/>
          <w:sz w:val="16"/>
          <w:szCs w:val="16"/>
          <w:lang w:val="es-ES"/>
        </w:rPr>
      </w:pPr>
      <w:r w:rsidRPr="0048003B">
        <w:rPr>
          <w:rStyle w:val="Refdenotaalpie"/>
          <w:rFonts w:ascii="Verdana" w:hAnsi="Verdana"/>
          <w:sz w:val="16"/>
          <w:szCs w:val="16"/>
        </w:rPr>
        <w:footnoteRef/>
      </w:r>
      <w:r w:rsidRPr="0048003B">
        <w:rPr>
          <w:rFonts w:ascii="Verdana" w:hAnsi="Verdana"/>
          <w:sz w:val="16"/>
          <w:szCs w:val="16"/>
        </w:rPr>
        <w:t xml:space="preserve"> </w:t>
      </w:r>
      <w:r w:rsidRPr="0048003B">
        <w:rPr>
          <w:rFonts w:ascii="Verdana" w:hAnsi="Verdana"/>
          <w:sz w:val="16"/>
          <w:szCs w:val="16"/>
          <w:lang w:val="es-ES"/>
        </w:rPr>
        <w:t xml:space="preserve">Consejo de Estado. Sala de Consulta y Servicio Civil, Concepto 1127 del 10 de diciembre de 2004. C.P. Enrique José Arboleda Perdomo. </w:t>
      </w:r>
    </w:p>
  </w:footnote>
  <w:footnote w:id="12">
    <w:p w14:paraId="5F3CE368" w14:textId="77777777" w:rsidR="00873901" w:rsidRPr="0048003B" w:rsidRDefault="00873901" w:rsidP="00873901">
      <w:pPr>
        <w:pStyle w:val="Textonotapie"/>
        <w:ind w:firstLine="708"/>
        <w:jc w:val="both"/>
        <w:rPr>
          <w:rFonts w:ascii="Verdana" w:hAnsi="Verdana"/>
          <w:sz w:val="16"/>
          <w:szCs w:val="16"/>
          <w:lang w:val="es-ES"/>
        </w:rPr>
      </w:pPr>
      <w:r w:rsidRPr="0048003B">
        <w:rPr>
          <w:rStyle w:val="Refdenotaalpie"/>
          <w:rFonts w:ascii="Verdana" w:hAnsi="Verdana"/>
          <w:sz w:val="16"/>
          <w:szCs w:val="16"/>
        </w:rPr>
        <w:footnoteRef/>
      </w:r>
      <w:r w:rsidRPr="0048003B">
        <w:rPr>
          <w:rFonts w:ascii="Verdana" w:hAnsi="Verdana"/>
          <w:sz w:val="16"/>
          <w:szCs w:val="16"/>
        </w:rPr>
        <w:t xml:space="preserve"> </w:t>
      </w:r>
      <w:r w:rsidRPr="0048003B">
        <w:rPr>
          <w:rFonts w:ascii="Verdana" w:hAnsi="Verdana"/>
          <w:sz w:val="16"/>
          <w:szCs w:val="16"/>
          <w:lang w:val="es-CO"/>
        </w:rPr>
        <w:t>Artículo 14.Las Empresas Industriales y Comerciales del Estado, las Sociedades de Economía Mixta en las que el Estado tenga participación superior al cincuenta por ciento (50%), sus filiales y las Sociedades entre Entidades Públicas con participación mayoritaria del Estado superior al cincuenta por ciento (50%), estarán sometidas al Estatuto General de Contratación de la Administración Pública, con excepción de aquellas que desarrollen actividades comerciales en competencia con el sector privado y/o público, nacional o internacional o en mercados regulados, caso en el cual se regirán por las disposiciones legales y reglamentarias aplicables a sus actividades económicas y comerciales, sin perjuicio de lo previsto en el artículo 13 de la presente ley. Se exceptúan los contratos de ciencia y tecnología, que se regirán por la Ley 29 de 1990 y las disposiciones normativas existentes</w:t>
      </w:r>
    </w:p>
  </w:footnote>
  <w:footnote w:id="13">
    <w:p w14:paraId="3DECF575" w14:textId="77777777" w:rsidR="00873901" w:rsidRPr="0048003B" w:rsidRDefault="00873901" w:rsidP="00873901">
      <w:pPr>
        <w:pStyle w:val="Textonotapie"/>
        <w:ind w:firstLine="708"/>
        <w:jc w:val="both"/>
        <w:rPr>
          <w:rFonts w:ascii="Verdana" w:hAnsi="Verdana"/>
          <w:sz w:val="16"/>
          <w:szCs w:val="16"/>
          <w:lang w:val="es-CO"/>
        </w:rPr>
      </w:pPr>
      <w:r w:rsidRPr="0048003B">
        <w:rPr>
          <w:rStyle w:val="Refdenotaalpie"/>
          <w:rFonts w:ascii="Verdana" w:hAnsi="Verdana"/>
          <w:sz w:val="16"/>
          <w:szCs w:val="16"/>
        </w:rPr>
        <w:footnoteRef/>
      </w:r>
      <w:r w:rsidRPr="0048003B">
        <w:rPr>
          <w:rFonts w:ascii="Verdana" w:hAnsi="Verdana"/>
          <w:sz w:val="16"/>
          <w:szCs w:val="16"/>
        </w:rPr>
        <w:t xml:space="preserve"> </w:t>
      </w:r>
      <w:r w:rsidRPr="0048003B">
        <w:rPr>
          <w:rFonts w:ascii="Verdana" w:hAnsi="Verdana"/>
          <w:sz w:val="16"/>
          <w:szCs w:val="16"/>
          <w:lang w:val="es-CO"/>
        </w:rPr>
        <w:t>Artículo 49.</w:t>
      </w:r>
      <w:r w:rsidRPr="0048003B">
        <w:rPr>
          <w:rFonts w:ascii="Verdana" w:hAnsi="Verdana"/>
          <w:i/>
          <w:sz w:val="16"/>
          <w:szCs w:val="16"/>
          <w:lang w:val="es-CO"/>
        </w:rPr>
        <w:t xml:space="preserve"> Creación de organismos y entidades administrativas. </w:t>
      </w:r>
      <w:r w:rsidRPr="0048003B">
        <w:rPr>
          <w:rFonts w:ascii="Verdana" w:hAnsi="Verdana"/>
          <w:sz w:val="16"/>
          <w:szCs w:val="16"/>
          <w:lang w:val="es-CO"/>
        </w:rPr>
        <w:t>Corresponde a la ley, por iniciativa del Gobierno, la creación de los ministerios, departamentos administrativos, superintendencias, establecimientos públicos y los demás organismos y entidades administrativas nacionales. </w:t>
      </w:r>
    </w:p>
    <w:p w14:paraId="469159D4"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Las empresas industriales y comerciales del Estado podrán ser creadas por ley o con autorización de la misma. </w:t>
      </w:r>
    </w:p>
    <w:p w14:paraId="512FE910"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Las sociedades de economía mixta serán constituidas en virtud de autorización legal. </w:t>
      </w:r>
    </w:p>
    <w:p w14:paraId="360CFCDB"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Parágrafo. Las entidades descentralizadas indirectas y las filiales de las empresas industriales y comerciales del Estado y de las sociedades de economía mixta se constituirán con arreglo a las disposiciones de la presente ley, y en todo caso previa autorización del Gobierno Nacional si se tratare de entidades de ese orden o del Gobernador o el Alcalde en tratándose de entidades del orden departamental o municipal. </w:t>
      </w:r>
    </w:p>
  </w:footnote>
  <w:footnote w:id="14">
    <w:p w14:paraId="2B4D2292" w14:textId="77777777" w:rsidR="00873901" w:rsidRPr="0048003B" w:rsidRDefault="00873901" w:rsidP="00873901">
      <w:pPr>
        <w:pStyle w:val="Textonotapie"/>
        <w:ind w:firstLine="708"/>
        <w:jc w:val="both"/>
        <w:rPr>
          <w:rFonts w:ascii="Verdana" w:hAnsi="Verdana"/>
          <w:sz w:val="16"/>
          <w:szCs w:val="16"/>
          <w:lang w:val="es-CO"/>
        </w:rPr>
      </w:pPr>
      <w:r w:rsidRPr="0048003B">
        <w:rPr>
          <w:rStyle w:val="Refdenotaalpie"/>
          <w:rFonts w:ascii="Verdana" w:hAnsi="Verdana"/>
          <w:sz w:val="16"/>
          <w:szCs w:val="16"/>
        </w:rPr>
        <w:footnoteRef/>
      </w:r>
      <w:r w:rsidRPr="0048003B">
        <w:rPr>
          <w:rFonts w:ascii="Verdana" w:hAnsi="Verdana"/>
          <w:sz w:val="16"/>
          <w:szCs w:val="16"/>
        </w:rPr>
        <w:t xml:space="preserve"> </w:t>
      </w:r>
      <w:bookmarkStart w:id="1" w:name="110"/>
      <w:r w:rsidRPr="0048003B">
        <w:rPr>
          <w:rFonts w:ascii="Verdana" w:hAnsi="Verdana"/>
          <w:sz w:val="16"/>
          <w:szCs w:val="16"/>
          <w:lang w:val="es-CO"/>
        </w:rPr>
        <w:t>ARTÍCULO 110. &lt;REQUISITOS PARA LA CONSTITUCIÓN DE UNA SOCIEDAD&gt;.</w:t>
      </w:r>
      <w:bookmarkEnd w:id="1"/>
      <w:r w:rsidRPr="0048003B">
        <w:rPr>
          <w:rFonts w:ascii="Verdana" w:hAnsi="Verdana"/>
          <w:sz w:val="16"/>
          <w:szCs w:val="16"/>
          <w:lang w:val="es-CO"/>
        </w:rPr>
        <w:t> La sociedad comercial se constituirá por escritura pública en la cual se expresará:</w:t>
      </w:r>
    </w:p>
    <w:p w14:paraId="4933F9AE"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1) El nombre y domicilio de las personas que intervengan como otorgantes. Con el nombre de las personas naturales deberá indicarse su nacionalidad y documento de identificación legal; con el nombre de las personas jurídicas, la ley, decreto o escritura de que se deriva su existencia;</w:t>
      </w:r>
    </w:p>
    <w:p w14:paraId="69FE5C5A"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2) La clase o tipo de sociedad que se constituye y el nombre de la misma, formado como se dispone en relación con cada uno de los tipos de sociedad que regula este Código;</w:t>
      </w:r>
    </w:p>
    <w:p w14:paraId="5E29E839"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3) El domicilio de la sociedad y el de las distintas sucursales que se establezcan en el mismo acto de constitución;</w:t>
      </w:r>
    </w:p>
    <w:p w14:paraId="08BEB265"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4) El objeto social, esto es, la empresa o negocio de la sociedad, haciendo una enunciación clara y completa de las actividades principales. Será ineficaz la estipulación en virtud de la cual el objeto social se extienda a actividades enunciadas en forma indeterminada o que no tengan una relación directa con aquél;</w:t>
      </w:r>
    </w:p>
    <w:p w14:paraId="16CE7E72"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5) El capital social, la parte del mismo que se suscribe y la que se paga por cada asociado en el acto de la constitución. En las sociedades por acciones deberá expresarse, además, el capital suscrito y el pagado, la clase y valor nominal de las acciones representativas del capital, la forma y términos en que deberán cancelarse las cuotas debidas, cuyo plazo no podrá exceder de un año;</w:t>
      </w:r>
    </w:p>
    <w:p w14:paraId="0AD5A645"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6) La forma de administrar los negocios sociales, con indicación de las atribuciones y facultades de los administradores, y de las que se reserven los asociados, las asambleas y las juntas de socios, conforme a la regulación legal de cada tipo de sociedad;</w:t>
      </w:r>
    </w:p>
    <w:p w14:paraId="41586A27"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7) La época y la forma de convocar y constituir la asamblea o la junta de socios en sesiones ordinarias o extraordinarias, y la manera de deliberar y tomar los acuerdos en los asuntos de su competencia;</w:t>
      </w:r>
    </w:p>
    <w:p w14:paraId="77ED1FC6"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8) Las fechas en que deben hacerse inventarios y balances generales, y la forma en que han de distribuirse los beneficios o utilidades de cada ejercicio social, con indicación de las reservas que deban hacerse;</w:t>
      </w:r>
    </w:p>
    <w:p w14:paraId="5EE8E551"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9) La duración precisa de la sociedad y las causales de disolución anticipada de la misma;</w:t>
      </w:r>
    </w:p>
    <w:p w14:paraId="27B22DF8"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10) La forma de hacer la liquidación, una vez disuelta la sociedad, con indicación de los bienes que hayan de ser restituidos o distribuidos en especie, o de las condiciones en que, a falta de dicha indicación, puedan hacerse distribuciones en especie;</w:t>
      </w:r>
    </w:p>
    <w:p w14:paraId="799A38E4"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11) Si las diferencias que ocurran a los asociados entre sí o con la sociedad, con motivo del contrato social, han de someterse a decisión arbitral o de amigables componedores y, en caso afirmativo, la forma de hacer la designación de los árbitros o amigables componedores;</w:t>
      </w:r>
    </w:p>
    <w:p w14:paraId="2C856CB4"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12) El nombre y domicilio de la persona o personas que han de representar legalmente a la sociedad, precisando sus facultades y obligaciones, cuando esta función no corresponda, por la ley o por el contrato, a todos o a algunos de los asociados;</w:t>
      </w:r>
    </w:p>
    <w:p w14:paraId="15A80232"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13) Las facultades y obligaciones del revisor fiscal, cuando el cargo esté previsto en la ley o en los estatutos, y</w:t>
      </w:r>
    </w:p>
    <w:p w14:paraId="6968F29B" w14:textId="77777777" w:rsidR="00873901" w:rsidRPr="0048003B" w:rsidRDefault="00873901" w:rsidP="00873901">
      <w:pPr>
        <w:pStyle w:val="Textonotapie"/>
        <w:jc w:val="both"/>
        <w:rPr>
          <w:rFonts w:ascii="Verdana" w:hAnsi="Verdana"/>
          <w:sz w:val="16"/>
          <w:szCs w:val="16"/>
          <w:lang w:val="es-CO"/>
        </w:rPr>
      </w:pPr>
      <w:r w:rsidRPr="0048003B">
        <w:rPr>
          <w:rFonts w:ascii="Verdana" w:hAnsi="Verdana"/>
          <w:sz w:val="16"/>
          <w:szCs w:val="16"/>
          <w:lang w:val="es-CO"/>
        </w:rPr>
        <w:t>14) Los demás pactos que, siendo compatibles con la índole de cada tipo de sociedad, estipulen los asociados para regular las relaciones a que da origen el contrato.</w:t>
      </w:r>
    </w:p>
  </w:footnote>
  <w:footnote w:id="15">
    <w:p w14:paraId="7A301838" w14:textId="77777777" w:rsidR="00873901" w:rsidRPr="0048003B" w:rsidRDefault="00873901" w:rsidP="00873901">
      <w:pPr>
        <w:pStyle w:val="Textonotapie"/>
        <w:ind w:firstLine="708"/>
        <w:jc w:val="both"/>
        <w:rPr>
          <w:rFonts w:ascii="Verdana" w:hAnsi="Verdana"/>
          <w:sz w:val="16"/>
          <w:szCs w:val="16"/>
          <w:lang w:val="es-CO"/>
        </w:rPr>
      </w:pPr>
      <w:r w:rsidRPr="0048003B">
        <w:rPr>
          <w:rStyle w:val="Refdenotaalpie"/>
          <w:rFonts w:ascii="Verdana" w:hAnsi="Verdana"/>
          <w:sz w:val="16"/>
          <w:szCs w:val="16"/>
        </w:rPr>
        <w:footnoteRef/>
      </w:r>
      <w:r w:rsidRPr="0048003B">
        <w:rPr>
          <w:rFonts w:ascii="Verdana" w:hAnsi="Verdana"/>
          <w:sz w:val="16"/>
          <w:szCs w:val="16"/>
        </w:rPr>
        <w:t xml:space="preserve"> </w:t>
      </w:r>
      <w:r w:rsidRPr="0048003B">
        <w:rPr>
          <w:rFonts w:ascii="Verdana" w:hAnsi="Verdana"/>
          <w:sz w:val="16"/>
          <w:szCs w:val="16"/>
          <w:lang w:val="es-CO"/>
        </w:rPr>
        <w:t>Artículo 5º.</w:t>
      </w:r>
      <w:r w:rsidRPr="0048003B">
        <w:rPr>
          <w:rFonts w:ascii="Verdana" w:hAnsi="Verdana"/>
          <w:i/>
          <w:sz w:val="16"/>
          <w:szCs w:val="16"/>
          <w:lang w:val="es-CO"/>
        </w:rPr>
        <w:t>Contenido del documento de constitución.</w:t>
      </w:r>
      <w:r w:rsidRPr="0048003B">
        <w:rPr>
          <w:rFonts w:ascii="Verdana" w:hAnsi="Verdana"/>
          <w:sz w:val="16"/>
          <w:szCs w:val="16"/>
          <w:lang w:val="es-CO"/>
        </w:rPr>
        <w:t> La sociedad por acciones simplificada se creará mediante contrato o acto unilateral que conste en documento privado, inscrito en el Registro Mercantil de la Cámara de Comercio del lugar en que la sociedad establezca su domicilio principal, en el cual se expresará cuando menos lo siguiente: </w:t>
      </w:r>
    </w:p>
    <w:p w14:paraId="221E1C79"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1º. Nombre, documento de identidad y domicilio de los accionistas. </w:t>
      </w:r>
    </w:p>
    <w:p w14:paraId="783718CF"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2º. Razón social o denominación de la sociedad, seguida de las palabras"sociedad por acciones simplificada"; o de las letras S.A.S.; </w:t>
      </w:r>
    </w:p>
    <w:p w14:paraId="74BFA8A5"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3º. El domicilio principal de la sociedad y el de las distintas sucursales que se establezcan en el mismo acto de constitución. </w:t>
      </w:r>
    </w:p>
    <w:p w14:paraId="77B5AE0F"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4º. El término de duración, si este no fuere indefinido. Si nada se expresa en el acto de constitución, se entenderá que la sociedad se ha constituido por término indefinido. </w:t>
      </w:r>
    </w:p>
    <w:p w14:paraId="0FE379DA"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5º. Una enunciación clara y completa de las actividades principales, a menos que se exprese que la sociedad podrá realizar cualquier actividad comercial o civil, lícita. Si nada se expresa en el acto de constitución, se entenderá que la sociedad podrá realizar cualquier actividad lícita. </w:t>
      </w:r>
    </w:p>
    <w:p w14:paraId="24C6522D"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6º. El capital autorizado, suscrito y pagado, la clase, número y valor nominal de las acciones representativas del capital y la forma y términos en que estas deberán pagarse. </w:t>
      </w:r>
    </w:p>
    <w:p w14:paraId="674B41BE"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7º. La forma de administración y el nombre, documento de identidad y facultades de sus administradores. En todo caso, deberá designarse cuando menos un representante legal. </w:t>
      </w:r>
    </w:p>
    <w:p w14:paraId="4D25F51B"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Parágrafo 1º. El documento de constitución será objeto de autenticación de manera previa a la inscripción en el Registro Mercantil de la Cámara de Comercio, por quienes participen en su suscripción. Dicha autenticación podrá hacerse directamente o a través de apoderado. </w:t>
      </w:r>
    </w:p>
    <w:p w14:paraId="4438F9E7" w14:textId="77777777" w:rsidR="00873901" w:rsidRPr="0048003B" w:rsidRDefault="00873901" w:rsidP="00873901">
      <w:pPr>
        <w:pStyle w:val="Textonotapie"/>
        <w:ind w:firstLine="708"/>
        <w:jc w:val="both"/>
        <w:rPr>
          <w:rFonts w:ascii="Verdana" w:hAnsi="Verdana"/>
          <w:sz w:val="16"/>
          <w:szCs w:val="16"/>
          <w:lang w:val="es-CO"/>
        </w:rPr>
      </w:pPr>
      <w:r w:rsidRPr="0048003B">
        <w:rPr>
          <w:rFonts w:ascii="Verdana" w:hAnsi="Verdana"/>
          <w:sz w:val="16"/>
          <w:szCs w:val="16"/>
          <w:lang w:val="es-CO"/>
        </w:rPr>
        <w:t>Parágrafo 2º. Cuando los activos aportados a la sociedad comprendan bienes cuya transferencia requiera escritura pública, la constitución de la sociedad deberá hacerse de igual manera e inscribirse también en los registros correspondientes. </w:t>
      </w:r>
    </w:p>
  </w:footnote>
  <w:footnote w:id="16">
    <w:p w14:paraId="58D7FEBD" w14:textId="77777777" w:rsidR="00873901" w:rsidRPr="0048003B" w:rsidRDefault="00873901" w:rsidP="00873901">
      <w:pPr>
        <w:pStyle w:val="Textonotapie"/>
        <w:ind w:firstLine="708"/>
        <w:contextualSpacing/>
        <w:jc w:val="both"/>
        <w:rPr>
          <w:rFonts w:ascii="Verdana" w:hAnsi="Verdana" w:cs="Arial"/>
          <w:sz w:val="16"/>
          <w:szCs w:val="16"/>
        </w:rPr>
      </w:pPr>
      <w:r w:rsidRPr="0048003B">
        <w:rPr>
          <w:rStyle w:val="Refdenotaalpie"/>
          <w:rFonts w:ascii="Verdana" w:hAnsi="Verdana" w:cs="Arial"/>
          <w:sz w:val="16"/>
          <w:szCs w:val="16"/>
        </w:rPr>
        <w:footnoteRef/>
      </w:r>
      <w:r w:rsidRPr="0048003B">
        <w:rPr>
          <w:rFonts w:ascii="Verdana" w:hAnsi="Verdana" w:cs="Arial"/>
          <w:sz w:val="16"/>
          <w:szCs w:val="16"/>
        </w:rPr>
        <w:t xml:space="preserve"> En otros términos, las sociedades de economía mixta “pueden constituirse bajo cualquiera de las formas de sociedad prevista en el Código de Comercio, colectiva, en comanditas simples o por acciones, de responsabilidad limitada, anónima o simplificada por acciones, toda vez que la ley colombiana no señala ninguna en especial". Superintendencia de Sociedades, Oficio 220-024523 del 23 de abril de 2012.</w:t>
      </w:r>
    </w:p>
  </w:footnote>
  <w:footnote w:id="17">
    <w:p w14:paraId="7154811C" w14:textId="77777777" w:rsidR="00873901" w:rsidRPr="0048003B" w:rsidRDefault="00873901" w:rsidP="00873901">
      <w:pPr>
        <w:pStyle w:val="Textonotapie"/>
        <w:ind w:firstLine="708"/>
        <w:contextualSpacing/>
        <w:jc w:val="both"/>
        <w:rPr>
          <w:rFonts w:ascii="Verdana" w:hAnsi="Verdana" w:cs="Arial"/>
          <w:sz w:val="16"/>
          <w:szCs w:val="16"/>
        </w:rPr>
      </w:pPr>
      <w:r w:rsidRPr="0048003B">
        <w:rPr>
          <w:rStyle w:val="Refdenotaalpie"/>
          <w:rFonts w:ascii="Verdana" w:hAnsi="Verdana" w:cs="Arial"/>
          <w:sz w:val="16"/>
          <w:szCs w:val="16"/>
        </w:rPr>
        <w:footnoteRef/>
      </w:r>
      <w:r w:rsidRPr="0048003B">
        <w:rPr>
          <w:rFonts w:ascii="Verdana" w:hAnsi="Verdana" w:cs="Arial"/>
          <w:sz w:val="16"/>
          <w:szCs w:val="16"/>
        </w:rPr>
        <w:t xml:space="preserve"> Corte Constitucional. Sentencia C-316 del 24 de abril de 2003, M. P. Jaime Córdoba Triviño. </w:t>
      </w:r>
    </w:p>
  </w:footnote>
  <w:footnote w:id="18">
    <w:p w14:paraId="51E9F0F4" w14:textId="77777777" w:rsidR="00873901" w:rsidRPr="0048003B" w:rsidRDefault="00873901" w:rsidP="00873901">
      <w:pPr>
        <w:pStyle w:val="Textonotapie"/>
        <w:ind w:firstLine="708"/>
        <w:jc w:val="both"/>
        <w:rPr>
          <w:rFonts w:ascii="Verdana" w:hAnsi="Verdana"/>
          <w:sz w:val="16"/>
          <w:szCs w:val="16"/>
          <w:lang w:val="es-CO"/>
        </w:rPr>
      </w:pPr>
      <w:r w:rsidRPr="0048003B">
        <w:rPr>
          <w:rStyle w:val="Refdenotaalpie"/>
          <w:rFonts w:ascii="Verdana" w:hAnsi="Verdana"/>
          <w:sz w:val="16"/>
          <w:szCs w:val="16"/>
        </w:rPr>
        <w:footnoteRef/>
      </w:r>
      <w:r w:rsidRPr="0048003B">
        <w:rPr>
          <w:rFonts w:ascii="Verdana" w:hAnsi="Verdana"/>
          <w:sz w:val="16"/>
          <w:szCs w:val="16"/>
        </w:rPr>
        <w:t xml:space="preserve"> Consejo de Estado. Sección Tercera, Subsección C. Sentencia del 11 de agosto de 2025. C.P. Adriana Polidura Castillo, Exp. 65.246. </w:t>
      </w:r>
    </w:p>
  </w:footnote>
  <w:footnote w:id="19">
    <w:p w14:paraId="16CD9C22" w14:textId="77777777" w:rsidR="00873901" w:rsidRPr="005F70F5" w:rsidRDefault="00873901" w:rsidP="00873901">
      <w:pPr>
        <w:pStyle w:val="Textonotapie"/>
        <w:ind w:firstLine="708"/>
        <w:jc w:val="both"/>
        <w:rPr>
          <w:rFonts w:ascii="Verdana" w:hAnsi="Verdana" w:cs="Arial"/>
          <w:sz w:val="16"/>
          <w:szCs w:val="16"/>
          <w:lang w:val="es-ES"/>
        </w:rPr>
      </w:pPr>
      <w:r w:rsidRPr="0048003B">
        <w:rPr>
          <w:rStyle w:val="Refdenotaalpie"/>
          <w:rFonts w:ascii="Verdana" w:hAnsi="Verdana" w:cs="Arial"/>
          <w:sz w:val="16"/>
          <w:szCs w:val="16"/>
        </w:rPr>
        <w:footnoteRef/>
      </w:r>
      <w:r w:rsidRPr="0048003B">
        <w:rPr>
          <w:rFonts w:ascii="Verdana" w:hAnsi="Verdana" w:cs="Arial"/>
          <w:sz w:val="16"/>
          <w:szCs w:val="16"/>
        </w:rPr>
        <w:t xml:space="preserve"> Cfr. BENAVIDES, José Luis. El contrato estatal: entre el derecho público y el derecho privado. Segunda edición. Bogotá: Universidad Externado de Colombia, 2009. pp. 78-79.</w:t>
      </w:r>
      <w:r w:rsidRPr="002D6689">
        <w:rPr>
          <w:rFonts w:ascii="Verdana" w:hAnsi="Verdana"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AC78D9" w:rsidRDefault="00AC78D9"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AC78D9" w:rsidRDefault="00AC78D9">
    <w:pPr>
      <w:pStyle w:val="Encabezado"/>
    </w:pPr>
  </w:p>
  <w:p w14:paraId="5E18350A" w14:textId="705F7B76" w:rsidR="00AC78D9" w:rsidRPr="004A305D" w:rsidRDefault="00AC78D9" w:rsidP="00B01B1A">
    <w:pPr>
      <w:spacing w:after="0" w:line="120" w:lineRule="auto"/>
      <w:rPr>
        <w:rFonts w:ascii="Century Gothic" w:eastAsia="Geo" w:hAnsi="Century Gothic" w:cs="Geo"/>
        <w:sz w:val="16"/>
        <w:szCs w:val="16"/>
        <w:lang w:eastAsia="es-CO"/>
      </w:rPr>
    </w:pPr>
  </w:p>
  <w:p w14:paraId="211B7F5D" w14:textId="77777777" w:rsidR="00AC78D9" w:rsidRDefault="00AC78D9" w:rsidP="00844AE9">
    <w:pPr>
      <w:spacing w:after="0" w:line="240" w:lineRule="auto"/>
      <w:rPr>
        <w:rFonts w:ascii="Verdana" w:hAnsi="Verdana"/>
        <w:sz w:val="24"/>
        <w:szCs w:val="24"/>
      </w:rPr>
    </w:pPr>
  </w:p>
  <w:p w14:paraId="5A0054B1" w14:textId="77777777" w:rsidR="00AC78D9" w:rsidRPr="00C925AC" w:rsidRDefault="00AC78D9" w:rsidP="00844AE9">
    <w:pPr>
      <w:spacing w:after="0" w:line="240" w:lineRule="auto"/>
      <w:rPr>
        <w:rFonts w:ascii="Verdana" w:hAnsi="Verdana"/>
        <w:sz w:val="24"/>
        <w:szCs w:val="24"/>
      </w:rPr>
    </w:pPr>
  </w:p>
  <w:p w14:paraId="1FD1C243" w14:textId="37C5500A" w:rsidR="00AC78D9" w:rsidRPr="00C925AC" w:rsidRDefault="00AC78D9"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B1F36D8"/>
    <w:multiLevelType w:val="hybridMultilevel"/>
    <w:tmpl w:val="22EC068A"/>
    <w:lvl w:ilvl="0" w:tplc="D94A747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0711A51"/>
    <w:multiLevelType w:val="hybridMultilevel"/>
    <w:tmpl w:val="A518028C"/>
    <w:lvl w:ilvl="0" w:tplc="063EE9EE">
      <w:start w:val="1"/>
      <w:numFmt w:val="decimal"/>
      <w:lvlText w:val="%1."/>
      <w:lvlJc w:val="left"/>
      <w:pPr>
        <w:ind w:left="545" w:hanging="284"/>
      </w:pPr>
      <w:rPr>
        <w:rFonts w:ascii="Verdana" w:eastAsia="Verdana" w:hAnsi="Verdana" w:cs="Verdana" w:hint="default"/>
        <w:b/>
        <w:bCs/>
        <w:i w:val="0"/>
        <w:iCs w:val="0"/>
        <w:spacing w:val="-1"/>
        <w:w w:val="99"/>
        <w:sz w:val="22"/>
        <w:szCs w:val="22"/>
        <w:lang w:val="es-ES" w:eastAsia="en-US" w:bidi="ar-SA"/>
      </w:rPr>
    </w:lvl>
    <w:lvl w:ilvl="1" w:tplc="E3C4932E">
      <w:start w:val="1"/>
      <w:numFmt w:val="lowerLetter"/>
      <w:lvlText w:val="%2)"/>
      <w:lvlJc w:val="left"/>
      <w:pPr>
        <w:ind w:left="261" w:hanging="383"/>
      </w:pPr>
      <w:rPr>
        <w:rFonts w:ascii="Verdana" w:eastAsia="Verdana" w:hAnsi="Verdana" w:cs="Verdana" w:hint="default"/>
        <w:b w:val="0"/>
        <w:bCs w:val="0"/>
        <w:i w:val="0"/>
        <w:iCs w:val="0"/>
        <w:spacing w:val="-1"/>
        <w:w w:val="99"/>
        <w:sz w:val="22"/>
        <w:szCs w:val="22"/>
        <w:lang w:val="es-ES" w:eastAsia="en-US" w:bidi="ar-SA"/>
      </w:rPr>
    </w:lvl>
    <w:lvl w:ilvl="2" w:tplc="B1BCF86C">
      <w:start w:val="1"/>
      <w:numFmt w:val="lowerLetter"/>
      <w:lvlText w:val="%3)"/>
      <w:lvlJc w:val="left"/>
      <w:pPr>
        <w:ind w:left="981" w:hanging="360"/>
      </w:pPr>
      <w:rPr>
        <w:rFonts w:ascii="Verdana" w:eastAsia="Verdana" w:hAnsi="Verdana" w:cs="Verdana" w:hint="default"/>
        <w:b w:val="0"/>
        <w:bCs w:val="0"/>
        <w:i w:val="0"/>
        <w:iCs w:val="0"/>
        <w:spacing w:val="-1"/>
        <w:w w:val="99"/>
        <w:sz w:val="22"/>
        <w:szCs w:val="22"/>
        <w:lang w:val="es-ES" w:eastAsia="en-US" w:bidi="ar-SA"/>
      </w:rPr>
    </w:lvl>
    <w:lvl w:ilvl="3" w:tplc="DA86040E">
      <w:numFmt w:val="bullet"/>
      <w:lvlText w:val="•"/>
      <w:lvlJc w:val="left"/>
      <w:pPr>
        <w:ind w:left="2072" w:hanging="360"/>
      </w:pPr>
      <w:rPr>
        <w:rFonts w:hint="default"/>
        <w:lang w:val="es-ES" w:eastAsia="en-US" w:bidi="ar-SA"/>
      </w:rPr>
    </w:lvl>
    <w:lvl w:ilvl="4" w:tplc="CE88E080">
      <w:numFmt w:val="bullet"/>
      <w:lvlText w:val="•"/>
      <w:lvlJc w:val="left"/>
      <w:pPr>
        <w:ind w:left="3165" w:hanging="360"/>
      </w:pPr>
      <w:rPr>
        <w:rFonts w:hint="default"/>
        <w:lang w:val="es-ES" w:eastAsia="en-US" w:bidi="ar-SA"/>
      </w:rPr>
    </w:lvl>
    <w:lvl w:ilvl="5" w:tplc="1B5AB794">
      <w:numFmt w:val="bullet"/>
      <w:lvlText w:val="•"/>
      <w:lvlJc w:val="left"/>
      <w:pPr>
        <w:ind w:left="4257" w:hanging="360"/>
      </w:pPr>
      <w:rPr>
        <w:rFonts w:hint="default"/>
        <w:lang w:val="es-ES" w:eastAsia="en-US" w:bidi="ar-SA"/>
      </w:rPr>
    </w:lvl>
    <w:lvl w:ilvl="6" w:tplc="57C474B0">
      <w:numFmt w:val="bullet"/>
      <w:lvlText w:val="•"/>
      <w:lvlJc w:val="left"/>
      <w:pPr>
        <w:ind w:left="5350" w:hanging="360"/>
      </w:pPr>
      <w:rPr>
        <w:rFonts w:hint="default"/>
        <w:lang w:val="es-ES" w:eastAsia="en-US" w:bidi="ar-SA"/>
      </w:rPr>
    </w:lvl>
    <w:lvl w:ilvl="7" w:tplc="ED962E92">
      <w:numFmt w:val="bullet"/>
      <w:lvlText w:val="•"/>
      <w:lvlJc w:val="left"/>
      <w:pPr>
        <w:ind w:left="6442" w:hanging="360"/>
      </w:pPr>
      <w:rPr>
        <w:rFonts w:hint="default"/>
        <w:lang w:val="es-ES" w:eastAsia="en-US" w:bidi="ar-SA"/>
      </w:rPr>
    </w:lvl>
    <w:lvl w:ilvl="8" w:tplc="E7EC06B6">
      <w:numFmt w:val="bullet"/>
      <w:lvlText w:val="•"/>
      <w:lvlJc w:val="left"/>
      <w:pPr>
        <w:ind w:left="7535" w:hanging="360"/>
      </w:pPr>
      <w:rPr>
        <w:rFonts w:hint="default"/>
        <w:lang w:val="es-ES" w:eastAsia="en-US" w:bidi="ar-SA"/>
      </w:rPr>
    </w:lvl>
  </w:abstractNum>
  <w:abstractNum w:abstractNumId="12" w15:restartNumberingAfterBreak="0">
    <w:nsid w:val="61E905C1"/>
    <w:multiLevelType w:val="hybridMultilevel"/>
    <w:tmpl w:val="84F880E2"/>
    <w:lvl w:ilvl="0" w:tplc="60586CCE">
      <w:start w:val="4"/>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2BD41FA"/>
    <w:multiLevelType w:val="hybridMultilevel"/>
    <w:tmpl w:val="3926BBB4"/>
    <w:lvl w:ilvl="0" w:tplc="8E80698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1866AC"/>
    <w:multiLevelType w:val="hybridMultilevel"/>
    <w:tmpl w:val="3E5CC99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56A231F"/>
    <w:multiLevelType w:val="hybridMultilevel"/>
    <w:tmpl w:val="42E84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132272">
    <w:abstractNumId w:val="6"/>
  </w:num>
  <w:num w:numId="2" w16cid:durableId="2147311257">
    <w:abstractNumId w:val="1"/>
  </w:num>
  <w:num w:numId="3" w16cid:durableId="1777483980">
    <w:abstractNumId w:val="4"/>
  </w:num>
  <w:num w:numId="4" w16cid:durableId="10444527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9418216">
    <w:abstractNumId w:val="1"/>
  </w:num>
  <w:num w:numId="6" w16cid:durableId="999116930">
    <w:abstractNumId w:val="17"/>
  </w:num>
  <w:num w:numId="7" w16cid:durableId="2043943271">
    <w:abstractNumId w:val="5"/>
  </w:num>
  <w:num w:numId="8" w16cid:durableId="320937070">
    <w:abstractNumId w:val="16"/>
  </w:num>
  <w:num w:numId="9" w16cid:durableId="268467146">
    <w:abstractNumId w:val="7"/>
  </w:num>
  <w:num w:numId="10" w16cid:durableId="2033459302">
    <w:abstractNumId w:val="15"/>
  </w:num>
  <w:num w:numId="11" w16cid:durableId="625279763">
    <w:abstractNumId w:val="8"/>
  </w:num>
  <w:num w:numId="12" w16cid:durableId="6642852">
    <w:abstractNumId w:val="0"/>
  </w:num>
  <w:num w:numId="13" w16cid:durableId="676612209">
    <w:abstractNumId w:val="2"/>
  </w:num>
  <w:num w:numId="14" w16cid:durableId="1129590013">
    <w:abstractNumId w:val="18"/>
  </w:num>
  <w:num w:numId="15" w16cid:durableId="820929219">
    <w:abstractNumId w:val="14"/>
  </w:num>
  <w:num w:numId="16" w16cid:durableId="895580454">
    <w:abstractNumId w:val="3"/>
  </w:num>
  <w:num w:numId="17" w16cid:durableId="506016912">
    <w:abstractNumId w:val="9"/>
  </w:num>
  <w:num w:numId="18" w16cid:durableId="1884051979">
    <w:abstractNumId w:val="19"/>
  </w:num>
  <w:num w:numId="19" w16cid:durableId="1061901362">
    <w:abstractNumId w:val="20"/>
  </w:num>
  <w:num w:numId="20" w16cid:durableId="1920628158">
    <w:abstractNumId w:val="11"/>
  </w:num>
  <w:num w:numId="21" w16cid:durableId="424158958">
    <w:abstractNumId w:val="12"/>
  </w:num>
  <w:num w:numId="22" w16cid:durableId="435488153">
    <w:abstractNumId w:val="10"/>
  </w:num>
  <w:num w:numId="23" w16cid:durableId="9725191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27C8"/>
    <w:rsid w:val="00003830"/>
    <w:rsid w:val="00016F78"/>
    <w:rsid w:val="000216D4"/>
    <w:rsid w:val="00025100"/>
    <w:rsid w:val="00032375"/>
    <w:rsid w:val="00035DF5"/>
    <w:rsid w:val="00046945"/>
    <w:rsid w:val="00047EC5"/>
    <w:rsid w:val="000528D0"/>
    <w:rsid w:val="00055AD9"/>
    <w:rsid w:val="00061958"/>
    <w:rsid w:val="00061B2A"/>
    <w:rsid w:val="0006525F"/>
    <w:rsid w:val="000706F7"/>
    <w:rsid w:val="0007385D"/>
    <w:rsid w:val="00074084"/>
    <w:rsid w:val="00075264"/>
    <w:rsid w:val="00076DAF"/>
    <w:rsid w:val="00082362"/>
    <w:rsid w:val="000931DA"/>
    <w:rsid w:val="00097627"/>
    <w:rsid w:val="000A683E"/>
    <w:rsid w:val="000B05EB"/>
    <w:rsid w:val="000B19B9"/>
    <w:rsid w:val="000B2F1D"/>
    <w:rsid w:val="000B3013"/>
    <w:rsid w:val="000B7DEF"/>
    <w:rsid w:val="000C0848"/>
    <w:rsid w:val="000D0334"/>
    <w:rsid w:val="000D06A2"/>
    <w:rsid w:val="000D5DA7"/>
    <w:rsid w:val="000E5F89"/>
    <w:rsid w:val="000F27E0"/>
    <w:rsid w:val="000F6486"/>
    <w:rsid w:val="000F6EF4"/>
    <w:rsid w:val="001101A6"/>
    <w:rsid w:val="00112CF1"/>
    <w:rsid w:val="00112F81"/>
    <w:rsid w:val="00114140"/>
    <w:rsid w:val="00116940"/>
    <w:rsid w:val="0012013B"/>
    <w:rsid w:val="00121104"/>
    <w:rsid w:val="00125105"/>
    <w:rsid w:val="00125752"/>
    <w:rsid w:val="00126B92"/>
    <w:rsid w:val="00127233"/>
    <w:rsid w:val="001309B1"/>
    <w:rsid w:val="001349E2"/>
    <w:rsid w:val="001357B2"/>
    <w:rsid w:val="00136941"/>
    <w:rsid w:val="00137445"/>
    <w:rsid w:val="0014276D"/>
    <w:rsid w:val="00150845"/>
    <w:rsid w:val="0015699B"/>
    <w:rsid w:val="001573D6"/>
    <w:rsid w:val="0017133C"/>
    <w:rsid w:val="00176FD9"/>
    <w:rsid w:val="00177D5C"/>
    <w:rsid w:val="0018165A"/>
    <w:rsid w:val="001825C9"/>
    <w:rsid w:val="001936D7"/>
    <w:rsid w:val="001A2FF2"/>
    <w:rsid w:val="001A33BF"/>
    <w:rsid w:val="001A61AD"/>
    <w:rsid w:val="001B2952"/>
    <w:rsid w:val="001B3403"/>
    <w:rsid w:val="001B3D67"/>
    <w:rsid w:val="001B68E2"/>
    <w:rsid w:val="001C1E1F"/>
    <w:rsid w:val="001C27B7"/>
    <w:rsid w:val="001C564C"/>
    <w:rsid w:val="001D7D31"/>
    <w:rsid w:val="001E3351"/>
    <w:rsid w:val="001E4177"/>
    <w:rsid w:val="001F0B24"/>
    <w:rsid w:val="001F1667"/>
    <w:rsid w:val="001F7DC6"/>
    <w:rsid w:val="00206246"/>
    <w:rsid w:val="0022400B"/>
    <w:rsid w:val="00224DC7"/>
    <w:rsid w:val="00231224"/>
    <w:rsid w:val="002336FB"/>
    <w:rsid w:val="00233B17"/>
    <w:rsid w:val="002359C5"/>
    <w:rsid w:val="002421BB"/>
    <w:rsid w:val="00255231"/>
    <w:rsid w:val="0025796E"/>
    <w:rsid w:val="00267C21"/>
    <w:rsid w:val="002700A9"/>
    <w:rsid w:val="002707A2"/>
    <w:rsid w:val="00272002"/>
    <w:rsid w:val="00276D75"/>
    <w:rsid w:val="0028590B"/>
    <w:rsid w:val="00285CE5"/>
    <w:rsid w:val="00293A4B"/>
    <w:rsid w:val="002951A0"/>
    <w:rsid w:val="002962BC"/>
    <w:rsid w:val="002A093D"/>
    <w:rsid w:val="002A0DD0"/>
    <w:rsid w:val="002A3F23"/>
    <w:rsid w:val="002A49AC"/>
    <w:rsid w:val="002A64FD"/>
    <w:rsid w:val="002B1A16"/>
    <w:rsid w:val="002B1EF4"/>
    <w:rsid w:val="002B72B5"/>
    <w:rsid w:val="002B730F"/>
    <w:rsid w:val="002C7A84"/>
    <w:rsid w:val="002C7CFE"/>
    <w:rsid w:val="002D1400"/>
    <w:rsid w:val="002E2BF8"/>
    <w:rsid w:val="002E35C1"/>
    <w:rsid w:val="002E4FD9"/>
    <w:rsid w:val="002E57B3"/>
    <w:rsid w:val="002E6104"/>
    <w:rsid w:val="002E71D1"/>
    <w:rsid w:val="002F0FCD"/>
    <w:rsid w:val="002F2D9B"/>
    <w:rsid w:val="002F36BE"/>
    <w:rsid w:val="002F4390"/>
    <w:rsid w:val="002F4750"/>
    <w:rsid w:val="002F4E5F"/>
    <w:rsid w:val="0030657A"/>
    <w:rsid w:val="00310747"/>
    <w:rsid w:val="00317852"/>
    <w:rsid w:val="00322709"/>
    <w:rsid w:val="00322A85"/>
    <w:rsid w:val="003232B7"/>
    <w:rsid w:val="00324168"/>
    <w:rsid w:val="00324594"/>
    <w:rsid w:val="00330834"/>
    <w:rsid w:val="0033142A"/>
    <w:rsid w:val="00331E14"/>
    <w:rsid w:val="00334489"/>
    <w:rsid w:val="003448F4"/>
    <w:rsid w:val="003504CF"/>
    <w:rsid w:val="003522E5"/>
    <w:rsid w:val="003537EB"/>
    <w:rsid w:val="00353E9A"/>
    <w:rsid w:val="00361860"/>
    <w:rsid w:val="00361D1E"/>
    <w:rsid w:val="003625F8"/>
    <w:rsid w:val="00364295"/>
    <w:rsid w:val="0037015E"/>
    <w:rsid w:val="003717DB"/>
    <w:rsid w:val="00373061"/>
    <w:rsid w:val="00374F5E"/>
    <w:rsid w:val="00377E3E"/>
    <w:rsid w:val="00387EDA"/>
    <w:rsid w:val="003925C3"/>
    <w:rsid w:val="00397E8F"/>
    <w:rsid w:val="003A1EE6"/>
    <w:rsid w:val="003A6837"/>
    <w:rsid w:val="003A6D16"/>
    <w:rsid w:val="003A700C"/>
    <w:rsid w:val="003A779E"/>
    <w:rsid w:val="003C0EF9"/>
    <w:rsid w:val="003C3C40"/>
    <w:rsid w:val="003C5A95"/>
    <w:rsid w:val="003C5E46"/>
    <w:rsid w:val="003C64EE"/>
    <w:rsid w:val="003C7A05"/>
    <w:rsid w:val="003D0F4D"/>
    <w:rsid w:val="003D1D7A"/>
    <w:rsid w:val="003D5B0D"/>
    <w:rsid w:val="003E0499"/>
    <w:rsid w:val="003E18DE"/>
    <w:rsid w:val="003E1AFE"/>
    <w:rsid w:val="003E348A"/>
    <w:rsid w:val="003E4F80"/>
    <w:rsid w:val="003E5FEF"/>
    <w:rsid w:val="003E6439"/>
    <w:rsid w:val="003F0B24"/>
    <w:rsid w:val="003F1F34"/>
    <w:rsid w:val="003F2B36"/>
    <w:rsid w:val="003F3941"/>
    <w:rsid w:val="00406575"/>
    <w:rsid w:val="00414C74"/>
    <w:rsid w:val="004228E8"/>
    <w:rsid w:val="00425311"/>
    <w:rsid w:val="0042722E"/>
    <w:rsid w:val="004326CD"/>
    <w:rsid w:val="00437DB4"/>
    <w:rsid w:val="00440D68"/>
    <w:rsid w:val="00441434"/>
    <w:rsid w:val="004427A2"/>
    <w:rsid w:val="00443CC7"/>
    <w:rsid w:val="0044528D"/>
    <w:rsid w:val="00452953"/>
    <w:rsid w:val="00456C64"/>
    <w:rsid w:val="00466E39"/>
    <w:rsid w:val="0047261D"/>
    <w:rsid w:val="00472AA2"/>
    <w:rsid w:val="00482B83"/>
    <w:rsid w:val="0048328B"/>
    <w:rsid w:val="00485124"/>
    <w:rsid w:val="004874D3"/>
    <w:rsid w:val="00487EF1"/>
    <w:rsid w:val="00490415"/>
    <w:rsid w:val="00491E07"/>
    <w:rsid w:val="004A1847"/>
    <w:rsid w:val="004A1EF8"/>
    <w:rsid w:val="004A305D"/>
    <w:rsid w:val="004A3147"/>
    <w:rsid w:val="004B28D6"/>
    <w:rsid w:val="004B4E88"/>
    <w:rsid w:val="004C2B4F"/>
    <w:rsid w:val="004C3015"/>
    <w:rsid w:val="004C33E4"/>
    <w:rsid w:val="004D1012"/>
    <w:rsid w:val="004D5AB7"/>
    <w:rsid w:val="004D62C6"/>
    <w:rsid w:val="004E6C2E"/>
    <w:rsid w:val="004F21C4"/>
    <w:rsid w:val="004F4189"/>
    <w:rsid w:val="004F685F"/>
    <w:rsid w:val="004F6EA5"/>
    <w:rsid w:val="004F7990"/>
    <w:rsid w:val="00500525"/>
    <w:rsid w:val="0050094B"/>
    <w:rsid w:val="00503FCD"/>
    <w:rsid w:val="00521767"/>
    <w:rsid w:val="00523A2B"/>
    <w:rsid w:val="00524FD0"/>
    <w:rsid w:val="00525E40"/>
    <w:rsid w:val="00530A1F"/>
    <w:rsid w:val="0053319B"/>
    <w:rsid w:val="00543BBC"/>
    <w:rsid w:val="00545FAF"/>
    <w:rsid w:val="00552016"/>
    <w:rsid w:val="005566E8"/>
    <w:rsid w:val="005669C3"/>
    <w:rsid w:val="00572F13"/>
    <w:rsid w:val="00573DF3"/>
    <w:rsid w:val="00574867"/>
    <w:rsid w:val="005841B1"/>
    <w:rsid w:val="00591460"/>
    <w:rsid w:val="0059295C"/>
    <w:rsid w:val="00597A85"/>
    <w:rsid w:val="005A10E8"/>
    <w:rsid w:val="005A1493"/>
    <w:rsid w:val="005A1759"/>
    <w:rsid w:val="005A4D5D"/>
    <w:rsid w:val="005A65E0"/>
    <w:rsid w:val="005B3B54"/>
    <w:rsid w:val="005B3D99"/>
    <w:rsid w:val="005B7638"/>
    <w:rsid w:val="005C3777"/>
    <w:rsid w:val="005C5CDC"/>
    <w:rsid w:val="005D13A5"/>
    <w:rsid w:val="005D476C"/>
    <w:rsid w:val="005E6754"/>
    <w:rsid w:val="00606399"/>
    <w:rsid w:val="00613899"/>
    <w:rsid w:val="00615BCA"/>
    <w:rsid w:val="006169F7"/>
    <w:rsid w:val="006200BF"/>
    <w:rsid w:val="006219F8"/>
    <w:rsid w:val="006244C8"/>
    <w:rsid w:val="006302F7"/>
    <w:rsid w:val="0063049B"/>
    <w:rsid w:val="0063475B"/>
    <w:rsid w:val="006420BD"/>
    <w:rsid w:val="00646B9F"/>
    <w:rsid w:val="006545E9"/>
    <w:rsid w:val="006550CA"/>
    <w:rsid w:val="00665D70"/>
    <w:rsid w:val="006745D3"/>
    <w:rsid w:val="006827DE"/>
    <w:rsid w:val="006900D9"/>
    <w:rsid w:val="00693051"/>
    <w:rsid w:val="0069331C"/>
    <w:rsid w:val="00694B36"/>
    <w:rsid w:val="00695C52"/>
    <w:rsid w:val="006A222E"/>
    <w:rsid w:val="006A3C27"/>
    <w:rsid w:val="006A45A3"/>
    <w:rsid w:val="006A57ED"/>
    <w:rsid w:val="006B0C9A"/>
    <w:rsid w:val="006B40B4"/>
    <w:rsid w:val="006B5773"/>
    <w:rsid w:val="006C1E48"/>
    <w:rsid w:val="006C34C3"/>
    <w:rsid w:val="006C6AFF"/>
    <w:rsid w:val="006D77E9"/>
    <w:rsid w:val="006E0AF3"/>
    <w:rsid w:val="006F6606"/>
    <w:rsid w:val="00705B3D"/>
    <w:rsid w:val="00706C16"/>
    <w:rsid w:val="00707FD1"/>
    <w:rsid w:val="00712B65"/>
    <w:rsid w:val="007209DE"/>
    <w:rsid w:val="00727039"/>
    <w:rsid w:val="007276F5"/>
    <w:rsid w:val="00727CD4"/>
    <w:rsid w:val="0073204B"/>
    <w:rsid w:val="007340C3"/>
    <w:rsid w:val="0075235A"/>
    <w:rsid w:val="0075262A"/>
    <w:rsid w:val="00756841"/>
    <w:rsid w:val="0076175D"/>
    <w:rsid w:val="007649AB"/>
    <w:rsid w:val="00771D0C"/>
    <w:rsid w:val="00776115"/>
    <w:rsid w:val="007833AC"/>
    <w:rsid w:val="00786619"/>
    <w:rsid w:val="00795493"/>
    <w:rsid w:val="007A1830"/>
    <w:rsid w:val="007A2235"/>
    <w:rsid w:val="007A304C"/>
    <w:rsid w:val="007A5897"/>
    <w:rsid w:val="007B268C"/>
    <w:rsid w:val="007B3FCE"/>
    <w:rsid w:val="007B7171"/>
    <w:rsid w:val="007C0C0F"/>
    <w:rsid w:val="007C19EA"/>
    <w:rsid w:val="007C3DC2"/>
    <w:rsid w:val="007D2D31"/>
    <w:rsid w:val="007D5B3F"/>
    <w:rsid w:val="007E5497"/>
    <w:rsid w:val="007F0E65"/>
    <w:rsid w:val="007F2B3F"/>
    <w:rsid w:val="00806F5F"/>
    <w:rsid w:val="00812566"/>
    <w:rsid w:val="00820278"/>
    <w:rsid w:val="008252CC"/>
    <w:rsid w:val="0082568B"/>
    <w:rsid w:val="008258C9"/>
    <w:rsid w:val="00832B59"/>
    <w:rsid w:val="0083378B"/>
    <w:rsid w:val="00835405"/>
    <w:rsid w:val="00844AE9"/>
    <w:rsid w:val="00846855"/>
    <w:rsid w:val="008512D7"/>
    <w:rsid w:val="008516BF"/>
    <w:rsid w:val="00857653"/>
    <w:rsid w:val="00857F36"/>
    <w:rsid w:val="00861ADE"/>
    <w:rsid w:val="008646F6"/>
    <w:rsid w:val="00867F95"/>
    <w:rsid w:val="00873901"/>
    <w:rsid w:val="00873B9B"/>
    <w:rsid w:val="008843B6"/>
    <w:rsid w:val="008909B0"/>
    <w:rsid w:val="00891928"/>
    <w:rsid w:val="008932BB"/>
    <w:rsid w:val="00893D75"/>
    <w:rsid w:val="008A446D"/>
    <w:rsid w:val="008A5CC1"/>
    <w:rsid w:val="008A7501"/>
    <w:rsid w:val="008B1BD7"/>
    <w:rsid w:val="008B25F1"/>
    <w:rsid w:val="008B76C7"/>
    <w:rsid w:val="008C087B"/>
    <w:rsid w:val="008C6A17"/>
    <w:rsid w:val="008D180B"/>
    <w:rsid w:val="008E5477"/>
    <w:rsid w:val="008F0EA7"/>
    <w:rsid w:val="008F3DCB"/>
    <w:rsid w:val="008F582D"/>
    <w:rsid w:val="0091145F"/>
    <w:rsid w:val="009132A3"/>
    <w:rsid w:val="00913E17"/>
    <w:rsid w:val="00922031"/>
    <w:rsid w:val="00923C31"/>
    <w:rsid w:val="00923EEF"/>
    <w:rsid w:val="009419F9"/>
    <w:rsid w:val="00942687"/>
    <w:rsid w:val="00951B3F"/>
    <w:rsid w:val="0095685E"/>
    <w:rsid w:val="00956B82"/>
    <w:rsid w:val="00957C34"/>
    <w:rsid w:val="0096078F"/>
    <w:rsid w:val="00961B09"/>
    <w:rsid w:val="00964513"/>
    <w:rsid w:val="009652E2"/>
    <w:rsid w:val="00965334"/>
    <w:rsid w:val="0097093E"/>
    <w:rsid w:val="009721AA"/>
    <w:rsid w:val="00974941"/>
    <w:rsid w:val="00977274"/>
    <w:rsid w:val="009805C9"/>
    <w:rsid w:val="0098174A"/>
    <w:rsid w:val="009877B5"/>
    <w:rsid w:val="00995CC5"/>
    <w:rsid w:val="009A0DFA"/>
    <w:rsid w:val="009A3571"/>
    <w:rsid w:val="009A74B4"/>
    <w:rsid w:val="009B15EC"/>
    <w:rsid w:val="009B1BF0"/>
    <w:rsid w:val="009B2D26"/>
    <w:rsid w:val="009B3636"/>
    <w:rsid w:val="009B4089"/>
    <w:rsid w:val="009C60F2"/>
    <w:rsid w:val="009C71FA"/>
    <w:rsid w:val="009C72E7"/>
    <w:rsid w:val="009C7F7E"/>
    <w:rsid w:val="009D3058"/>
    <w:rsid w:val="009E29A2"/>
    <w:rsid w:val="009E4C7C"/>
    <w:rsid w:val="009E5DFF"/>
    <w:rsid w:val="009E7A76"/>
    <w:rsid w:val="009F16F3"/>
    <w:rsid w:val="009F3A13"/>
    <w:rsid w:val="00A07801"/>
    <w:rsid w:val="00A122D3"/>
    <w:rsid w:val="00A14468"/>
    <w:rsid w:val="00A1541E"/>
    <w:rsid w:val="00A17F13"/>
    <w:rsid w:val="00A17F54"/>
    <w:rsid w:val="00A20739"/>
    <w:rsid w:val="00A23AF9"/>
    <w:rsid w:val="00A33C78"/>
    <w:rsid w:val="00A45678"/>
    <w:rsid w:val="00A52377"/>
    <w:rsid w:val="00A6654D"/>
    <w:rsid w:val="00A77865"/>
    <w:rsid w:val="00A8529D"/>
    <w:rsid w:val="00A946A8"/>
    <w:rsid w:val="00AA079C"/>
    <w:rsid w:val="00AB0ADB"/>
    <w:rsid w:val="00AB6306"/>
    <w:rsid w:val="00AC78D9"/>
    <w:rsid w:val="00AD1D0C"/>
    <w:rsid w:val="00AD217A"/>
    <w:rsid w:val="00AD2E7C"/>
    <w:rsid w:val="00AE64A2"/>
    <w:rsid w:val="00AF0096"/>
    <w:rsid w:val="00AF0E6B"/>
    <w:rsid w:val="00AF1B43"/>
    <w:rsid w:val="00B00C0E"/>
    <w:rsid w:val="00B01B1A"/>
    <w:rsid w:val="00B0577D"/>
    <w:rsid w:val="00B06FEE"/>
    <w:rsid w:val="00B134E2"/>
    <w:rsid w:val="00B16B6B"/>
    <w:rsid w:val="00B2752D"/>
    <w:rsid w:val="00B3286D"/>
    <w:rsid w:val="00B417F6"/>
    <w:rsid w:val="00B422AB"/>
    <w:rsid w:val="00B44A47"/>
    <w:rsid w:val="00B45B2A"/>
    <w:rsid w:val="00B610BA"/>
    <w:rsid w:val="00B63408"/>
    <w:rsid w:val="00B66EBC"/>
    <w:rsid w:val="00B72CD3"/>
    <w:rsid w:val="00B72FFF"/>
    <w:rsid w:val="00B74CC0"/>
    <w:rsid w:val="00B811E9"/>
    <w:rsid w:val="00B84060"/>
    <w:rsid w:val="00B9023B"/>
    <w:rsid w:val="00B94844"/>
    <w:rsid w:val="00B9502D"/>
    <w:rsid w:val="00BC3D36"/>
    <w:rsid w:val="00BC42E1"/>
    <w:rsid w:val="00BC47E3"/>
    <w:rsid w:val="00BC66D4"/>
    <w:rsid w:val="00BD1155"/>
    <w:rsid w:val="00BD54A6"/>
    <w:rsid w:val="00BD7F72"/>
    <w:rsid w:val="00BE0CDD"/>
    <w:rsid w:val="00BE47D0"/>
    <w:rsid w:val="00BE6ACB"/>
    <w:rsid w:val="00BE78AF"/>
    <w:rsid w:val="00BF09E7"/>
    <w:rsid w:val="00BF7425"/>
    <w:rsid w:val="00C04FB3"/>
    <w:rsid w:val="00C0727C"/>
    <w:rsid w:val="00C11D8B"/>
    <w:rsid w:val="00C2068C"/>
    <w:rsid w:val="00C20A87"/>
    <w:rsid w:val="00C224D9"/>
    <w:rsid w:val="00C24ADE"/>
    <w:rsid w:val="00C3232E"/>
    <w:rsid w:val="00C330EB"/>
    <w:rsid w:val="00C333CC"/>
    <w:rsid w:val="00C406EB"/>
    <w:rsid w:val="00C43987"/>
    <w:rsid w:val="00C50066"/>
    <w:rsid w:val="00C50D69"/>
    <w:rsid w:val="00C5365C"/>
    <w:rsid w:val="00C754BE"/>
    <w:rsid w:val="00C75D66"/>
    <w:rsid w:val="00C76B1C"/>
    <w:rsid w:val="00C910A8"/>
    <w:rsid w:val="00C925AC"/>
    <w:rsid w:val="00C94820"/>
    <w:rsid w:val="00CA5DD0"/>
    <w:rsid w:val="00CB07FB"/>
    <w:rsid w:val="00CB3F68"/>
    <w:rsid w:val="00CB60BA"/>
    <w:rsid w:val="00CB6357"/>
    <w:rsid w:val="00CC06BB"/>
    <w:rsid w:val="00CC1B26"/>
    <w:rsid w:val="00CC4F9F"/>
    <w:rsid w:val="00CC5F11"/>
    <w:rsid w:val="00D03D8C"/>
    <w:rsid w:val="00D1035E"/>
    <w:rsid w:val="00D20C74"/>
    <w:rsid w:val="00D361FD"/>
    <w:rsid w:val="00D423A2"/>
    <w:rsid w:val="00D4478D"/>
    <w:rsid w:val="00D44E26"/>
    <w:rsid w:val="00D461E9"/>
    <w:rsid w:val="00D520D8"/>
    <w:rsid w:val="00D532F2"/>
    <w:rsid w:val="00D62B39"/>
    <w:rsid w:val="00D63AC2"/>
    <w:rsid w:val="00D7383B"/>
    <w:rsid w:val="00D7788A"/>
    <w:rsid w:val="00D77ED5"/>
    <w:rsid w:val="00D82037"/>
    <w:rsid w:val="00D85536"/>
    <w:rsid w:val="00D85D89"/>
    <w:rsid w:val="00DA231B"/>
    <w:rsid w:val="00DA4DD3"/>
    <w:rsid w:val="00DB20D2"/>
    <w:rsid w:val="00DB442D"/>
    <w:rsid w:val="00DB4451"/>
    <w:rsid w:val="00DC2C70"/>
    <w:rsid w:val="00DC39FC"/>
    <w:rsid w:val="00DD4B13"/>
    <w:rsid w:val="00DD6211"/>
    <w:rsid w:val="00DD765E"/>
    <w:rsid w:val="00DE0621"/>
    <w:rsid w:val="00DE5E13"/>
    <w:rsid w:val="00DF13F3"/>
    <w:rsid w:val="00DF2A39"/>
    <w:rsid w:val="00DF404D"/>
    <w:rsid w:val="00DF5254"/>
    <w:rsid w:val="00E02156"/>
    <w:rsid w:val="00E02524"/>
    <w:rsid w:val="00E06157"/>
    <w:rsid w:val="00E10200"/>
    <w:rsid w:val="00E14CE0"/>
    <w:rsid w:val="00E16408"/>
    <w:rsid w:val="00E17FEC"/>
    <w:rsid w:val="00E20894"/>
    <w:rsid w:val="00E21197"/>
    <w:rsid w:val="00E222B2"/>
    <w:rsid w:val="00E245AB"/>
    <w:rsid w:val="00E264CE"/>
    <w:rsid w:val="00E2764C"/>
    <w:rsid w:val="00E27CAF"/>
    <w:rsid w:val="00E27F2E"/>
    <w:rsid w:val="00E304C1"/>
    <w:rsid w:val="00E305F7"/>
    <w:rsid w:val="00E432B8"/>
    <w:rsid w:val="00E460E5"/>
    <w:rsid w:val="00E50AFE"/>
    <w:rsid w:val="00E540FD"/>
    <w:rsid w:val="00E570BC"/>
    <w:rsid w:val="00E60352"/>
    <w:rsid w:val="00E75C92"/>
    <w:rsid w:val="00E771DC"/>
    <w:rsid w:val="00E8505A"/>
    <w:rsid w:val="00E8772A"/>
    <w:rsid w:val="00E90F6B"/>
    <w:rsid w:val="00E92C27"/>
    <w:rsid w:val="00EA0E3D"/>
    <w:rsid w:val="00EA2550"/>
    <w:rsid w:val="00EB18B1"/>
    <w:rsid w:val="00EB543C"/>
    <w:rsid w:val="00EC195D"/>
    <w:rsid w:val="00EC38A7"/>
    <w:rsid w:val="00EC45D3"/>
    <w:rsid w:val="00ED5277"/>
    <w:rsid w:val="00EE1AA8"/>
    <w:rsid w:val="00EE2604"/>
    <w:rsid w:val="00EE7B18"/>
    <w:rsid w:val="00EF1AEF"/>
    <w:rsid w:val="00EF43AA"/>
    <w:rsid w:val="00EF6629"/>
    <w:rsid w:val="00F02F26"/>
    <w:rsid w:val="00F037CA"/>
    <w:rsid w:val="00F11799"/>
    <w:rsid w:val="00F16F76"/>
    <w:rsid w:val="00F2108A"/>
    <w:rsid w:val="00F21FE5"/>
    <w:rsid w:val="00F23533"/>
    <w:rsid w:val="00F23FEA"/>
    <w:rsid w:val="00F249AD"/>
    <w:rsid w:val="00F25B5D"/>
    <w:rsid w:val="00F27984"/>
    <w:rsid w:val="00F27B7B"/>
    <w:rsid w:val="00F31EDC"/>
    <w:rsid w:val="00F41F73"/>
    <w:rsid w:val="00F43E6F"/>
    <w:rsid w:val="00F462B3"/>
    <w:rsid w:val="00F50C53"/>
    <w:rsid w:val="00F517BE"/>
    <w:rsid w:val="00F51ECC"/>
    <w:rsid w:val="00F54E0C"/>
    <w:rsid w:val="00F5664F"/>
    <w:rsid w:val="00F577AD"/>
    <w:rsid w:val="00F57CB4"/>
    <w:rsid w:val="00F60C17"/>
    <w:rsid w:val="00F666C4"/>
    <w:rsid w:val="00F730C0"/>
    <w:rsid w:val="00F7342B"/>
    <w:rsid w:val="00F76A69"/>
    <w:rsid w:val="00F76AFC"/>
    <w:rsid w:val="00F8569A"/>
    <w:rsid w:val="00F861AF"/>
    <w:rsid w:val="00F93BFD"/>
    <w:rsid w:val="00F945E7"/>
    <w:rsid w:val="00FA0FE8"/>
    <w:rsid w:val="00FA47C0"/>
    <w:rsid w:val="00FB5DD1"/>
    <w:rsid w:val="00FB7BF0"/>
    <w:rsid w:val="00FC2B5D"/>
    <w:rsid w:val="00FC2C82"/>
    <w:rsid w:val="00FC6133"/>
    <w:rsid w:val="00FD0452"/>
    <w:rsid w:val="00FE0D34"/>
    <w:rsid w:val="00FE1B95"/>
    <w:rsid w:val="00FE2796"/>
    <w:rsid w:val="00FF1449"/>
    <w:rsid w:val="00FF1F6E"/>
    <w:rsid w:val="00FF252F"/>
    <w:rsid w:val="00FF341F"/>
    <w:rsid w:val="00FF3A86"/>
    <w:rsid w:val="00FF710A"/>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09CAF4C1-F9DF-46DB-9D1B-D4A7DC95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15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504CF"/>
    <w:rPr>
      <w:rFonts w:ascii="Geomanist Light" w:hAnsi="Geomanist Light"/>
      <w:lang w:val="es-ES"/>
    </w:rPr>
  </w:style>
  <w:style w:type="character" w:styleId="Fuerte">
    <w:name w:val="Strong"/>
    <w:basedOn w:val="Fuentedeprrafopredeter"/>
    <w:uiPriority w:val="22"/>
    <w:qFormat/>
    <w:rsid w:val="003E348A"/>
    <w:rPr>
      <w:b/>
      <w:bCs/>
    </w:rPr>
  </w:style>
  <w:style w:type="character" w:customStyle="1" w:styleId="NormalWebCar">
    <w:name w:val="Normal (Web) Car"/>
    <w:link w:val="NormalWeb"/>
    <w:uiPriority w:val="99"/>
    <w:locked/>
    <w:rsid w:val="003E348A"/>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99"/>
    <w:semiHidden/>
    <w:unhideWhenUsed/>
    <w:rsid w:val="0083378B"/>
    <w:pPr>
      <w:spacing w:after="120"/>
    </w:pPr>
  </w:style>
  <w:style w:type="character" w:customStyle="1" w:styleId="TextoindependienteCar">
    <w:name w:val="Texto independiente Car"/>
    <w:basedOn w:val="Fuentedeprrafopredeter"/>
    <w:link w:val="Textoindependiente"/>
    <w:uiPriority w:val="99"/>
    <w:semiHidden/>
    <w:rsid w:val="0083378B"/>
  </w:style>
  <w:style w:type="character" w:styleId="Mencinsinresolver">
    <w:name w:val="Unresolved Mention"/>
    <w:basedOn w:val="Fuentedeprrafopredeter"/>
    <w:uiPriority w:val="99"/>
    <w:semiHidden/>
    <w:unhideWhenUsed/>
    <w:rsid w:val="006C6AFF"/>
    <w:rPr>
      <w:color w:val="605E5C"/>
      <w:shd w:val="clear" w:color="auto" w:fill="E1DFDD"/>
    </w:rPr>
  </w:style>
  <w:style w:type="paragraph" w:styleId="Sinespaciado">
    <w:name w:val="No Spacing"/>
    <w:uiPriority w:val="1"/>
    <w:qFormat/>
    <w:rsid w:val="005B3B54"/>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5F5CA4-EE94-4161-B6D2-C980D8721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42376-147D-4580-866D-D7AFDD7E9A40}">
  <ds:schemaRefs>
    <ds:schemaRef ds:uri="http://schemas.openxmlformats.org/officeDocument/2006/bibliography"/>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21</Pages>
  <Words>6610</Words>
  <Characters>36361</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17</cp:revision>
  <cp:lastPrinted>2023-01-10T21:18:00Z</cp:lastPrinted>
  <dcterms:created xsi:type="dcterms:W3CDTF">2026-07-10T11:24:00Z</dcterms:created>
  <dcterms:modified xsi:type="dcterms:W3CDTF">2026-07-14T22:27:00Z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