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99ABC" w14:textId="77777777" w:rsidR="006607BB" w:rsidRPr="006607BB" w:rsidRDefault="006607BB" w:rsidP="006607BB">
      <w:pPr>
        <w:spacing w:after="0"/>
        <w:jc w:val="both"/>
        <w:rPr>
          <w:rFonts w:ascii="Verdana" w:hAnsi="Verdana"/>
          <w:lang w:val="es-ES"/>
        </w:rPr>
      </w:pPr>
      <w:bookmarkStart w:id="0" w:name="_Hlk143780582"/>
      <w:r w:rsidRPr="006607BB">
        <w:rPr>
          <w:rFonts w:ascii="Verdana" w:hAnsi="Verdana"/>
          <w:b/>
          <w:bCs/>
          <w:lang w:val="es-ES"/>
        </w:rPr>
        <w:t>DOCUMENTOS TIPO – Fundamento normativo – Obligatoriedad </w:t>
      </w:r>
      <w:r w:rsidRPr="006607BB">
        <w:rPr>
          <w:rFonts w:ascii="Verdana" w:hAnsi="Verdana"/>
          <w:lang w:val="es-ES"/>
        </w:rPr>
        <w:t> </w:t>
      </w:r>
    </w:p>
    <w:p w14:paraId="2161FB36" w14:textId="77777777" w:rsidR="006607BB" w:rsidRPr="006607BB" w:rsidRDefault="006607BB" w:rsidP="006607BB">
      <w:pPr>
        <w:spacing w:after="0"/>
        <w:jc w:val="both"/>
        <w:rPr>
          <w:rFonts w:ascii="Verdana" w:hAnsi="Verdana"/>
          <w:lang w:val="es-ES"/>
        </w:rPr>
      </w:pPr>
      <w:r w:rsidRPr="006607BB">
        <w:rPr>
          <w:rFonts w:ascii="Verdana" w:hAnsi="Verdana"/>
          <w:lang w:val="es-ES"/>
        </w:rPr>
        <w:t> </w:t>
      </w:r>
    </w:p>
    <w:p w14:paraId="46EF0316" w14:textId="77777777" w:rsidR="006607BB" w:rsidRPr="006607BB" w:rsidRDefault="006607BB" w:rsidP="006607BB">
      <w:pPr>
        <w:spacing w:after="0"/>
        <w:jc w:val="both"/>
        <w:rPr>
          <w:rFonts w:ascii="Verdana" w:hAnsi="Verdana"/>
          <w:sz w:val="21"/>
          <w:szCs w:val="21"/>
          <w:lang w:val="es-ES"/>
        </w:rPr>
      </w:pPr>
      <w:r w:rsidRPr="006607BB">
        <w:rPr>
          <w:rFonts w:ascii="Verdana" w:hAnsi="Verdana"/>
          <w:sz w:val="21"/>
          <w:szCs w:val="21"/>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5A562CDF" w14:textId="77777777" w:rsidR="006607BB" w:rsidRPr="006607BB" w:rsidRDefault="006607BB" w:rsidP="006607BB">
      <w:pPr>
        <w:spacing w:after="0"/>
        <w:jc w:val="both"/>
        <w:rPr>
          <w:rFonts w:ascii="Verdana" w:hAnsi="Verdana"/>
          <w:sz w:val="21"/>
          <w:szCs w:val="21"/>
          <w:lang w:val="es-ES"/>
        </w:rPr>
      </w:pPr>
      <w:r w:rsidRPr="006607BB">
        <w:rPr>
          <w:rFonts w:ascii="Verdana" w:hAnsi="Verdana"/>
          <w:sz w:val="21"/>
          <w:szCs w:val="21"/>
          <w:lang w:val="es-ES"/>
        </w:rPr>
        <w:t> </w:t>
      </w:r>
    </w:p>
    <w:p w14:paraId="37044499" w14:textId="77777777" w:rsidR="006607BB" w:rsidRPr="006607BB" w:rsidRDefault="006607BB" w:rsidP="006607BB">
      <w:pPr>
        <w:spacing w:after="0"/>
        <w:jc w:val="both"/>
        <w:rPr>
          <w:rFonts w:ascii="Verdana" w:hAnsi="Verdana"/>
          <w:lang w:val="es-ES"/>
        </w:rPr>
      </w:pPr>
      <w:r w:rsidRPr="006607BB">
        <w:rPr>
          <w:rFonts w:ascii="Verdana" w:hAnsi="Verdana"/>
          <w:b/>
          <w:bCs/>
          <w:lang w:val="es-ES"/>
        </w:rPr>
        <w:t>SECTOR SOCIAL</w:t>
      </w:r>
      <w:r w:rsidRPr="006607BB">
        <w:rPr>
          <w:rFonts w:ascii="Verdana" w:hAnsi="Verdana"/>
          <w:lang w:val="es-ES"/>
        </w:rPr>
        <w:t> </w:t>
      </w:r>
      <w:r w:rsidRPr="006607BB">
        <w:rPr>
          <w:rFonts w:ascii="Verdana" w:hAnsi="Verdana"/>
          <w:b/>
          <w:bCs/>
          <w:lang w:val="es-ES"/>
        </w:rPr>
        <w:t>– Documentos tipo – Vigentes</w:t>
      </w:r>
      <w:r w:rsidRPr="006607BB">
        <w:rPr>
          <w:rFonts w:ascii="Verdana" w:hAnsi="Verdana"/>
          <w:lang w:val="es-ES"/>
        </w:rPr>
        <w:t> </w:t>
      </w:r>
    </w:p>
    <w:p w14:paraId="39C87667"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5A731892"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r w:rsidRPr="006607BB">
        <w:rPr>
          <w:rFonts w:ascii="Verdana" w:hAnsi="Verdana"/>
          <w:sz w:val="20"/>
          <w:szCs w:val="20"/>
          <w:lang w:val="es-ES"/>
        </w:rPr>
        <w:t> </w:t>
      </w:r>
    </w:p>
    <w:p w14:paraId="0C827A00"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048F0721" w14:textId="77777777" w:rsidR="006607BB" w:rsidRPr="006607BB" w:rsidRDefault="006607BB" w:rsidP="006607BB">
      <w:pPr>
        <w:spacing w:after="0"/>
        <w:jc w:val="both"/>
        <w:rPr>
          <w:rFonts w:ascii="Verdana" w:hAnsi="Verdana"/>
          <w:lang w:val="es-ES"/>
        </w:rPr>
      </w:pPr>
      <w:r w:rsidRPr="006607BB">
        <w:rPr>
          <w:rFonts w:ascii="Verdana" w:hAnsi="Verdana"/>
          <w:b/>
          <w:bCs/>
          <w:lang w:val="es-ES"/>
        </w:rPr>
        <w:t>DOCUMENTOS TIPO – Aplicación – Matriz de Experiencia </w:t>
      </w:r>
      <w:r w:rsidRPr="006607BB">
        <w:rPr>
          <w:rFonts w:ascii="Verdana" w:hAnsi="Verdana"/>
          <w:lang w:val="es-ES"/>
        </w:rPr>
        <w:t> </w:t>
      </w:r>
    </w:p>
    <w:p w14:paraId="7E112825" w14:textId="77777777" w:rsidR="006607BB" w:rsidRPr="006607BB" w:rsidRDefault="006607BB" w:rsidP="006607BB">
      <w:pPr>
        <w:spacing w:after="0"/>
        <w:jc w:val="both"/>
        <w:rPr>
          <w:rFonts w:ascii="Verdana" w:hAnsi="Verdana"/>
          <w:lang w:val="es-ES"/>
        </w:rPr>
      </w:pPr>
      <w:r w:rsidRPr="006607BB">
        <w:rPr>
          <w:rFonts w:ascii="Verdana" w:hAnsi="Verdana"/>
          <w:lang w:val="es-ES"/>
        </w:rPr>
        <w:t> </w:t>
      </w:r>
    </w:p>
    <w:p w14:paraId="733E0541"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Para establecer si un objeto contractual está cobijado por los documentos tipo, la entidad debe verificar si se enmarca en los tipos de infraestructura, modalidades de selección y actividades estandarizadas en las matrices de experiencia.  La Matriz de Experiencia cumple una doble función. Por una parte, estandariza las condiciones de experiencia, de conformidad con el parágrafo 7 del artículo 2 de la Ley 1150 de 2007. Por otra, permite definir el ámbito de aplicación de los documentos tipo, ya que las actividades allí descritas son las que determinan su obligatoriedad. Por tanto, si el objeto contractual encaja materialmente en alguna de esas actividades, deberán aplicarse los documentos tipo del sector correspondiente; en caso contrario, su aplicación no será obligatoria. </w:t>
      </w:r>
    </w:p>
    <w:p w14:paraId="2D5C8B85" w14:textId="77777777" w:rsidR="006607BB" w:rsidRPr="006607BB" w:rsidRDefault="006607BB" w:rsidP="006607BB">
      <w:pPr>
        <w:spacing w:after="0"/>
        <w:jc w:val="both"/>
        <w:rPr>
          <w:rFonts w:ascii="Verdana" w:hAnsi="Verdana"/>
          <w:lang w:val="es-ES"/>
        </w:rPr>
      </w:pPr>
      <w:r w:rsidRPr="006607BB">
        <w:rPr>
          <w:rFonts w:ascii="Verdana" w:hAnsi="Verdana"/>
          <w:lang w:val="es-ES"/>
        </w:rPr>
        <w:t> </w:t>
      </w:r>
    </w:p>
    <w:p w14:paraId="52613F5D" w14:textId="77777777" w:rsidR="006607BB" w:rsidRPr="006607BB" w:rsidRDefault="006607BB" w:rsidP="006607BB">
      <w:pPr>
        <w:spacing w:after="0"/>
        <w:jc w:val="both"/>
        <w:rPr>
          <w:rFonts w:ascii="Verdana" w:hAnsi="Verdana"/>
          <w:lang w:val="es-ES"/>
        </w:rPr>
      </w:pPr>
      <w:r w:rsidRPr="006607BB">
        <w:rPr>
          <w:rFonts w:ascii="Verdana" w:hAnsi="Verdana"/>
          <w:b/>
          <w:bCs/>
          <w:lang w:val="es-ES"/>
        </w:rPr>
        <w:t>DOCUMENTOS TIPO – Matriz de Experiencia – Finalidad – Ley 1150 de 2007</w:t>
      </w:r>
      <w:r w:rsidRPr="006607BB">
        <w:rPr>
          <w:rFonts w:ascii="Verdana" w:hAnsi="Verdana"/>
          <w:lang w:val="es-ES"/>
        </w:rPr>
        <w:t> </w:t>
      </w:r>
    </w:p>
    <w:p w14:paraId="77C8A8A6" w14:textId="77777777" w:rsidR="006607BB" w:rsidRPr="006607BB" w:rsidRDefault="006607BB" w:rsidP="006607BB">
      <w:pPr>
        <w:spacing w:after="0"/>
        <w:jc w:val="both"/>
        <w:rPr>
          <w:rFonts w:ascii="Verdana" w:hAnsi="Verdana"/>
          <w:lang w:val="es-ES"/>
        </w:rPr>
      </w:pPr>
      <w:r w:rsidRPr="006607BB">
        <w:rPr>
          <w:rFonts w:ascii="Verdana" w:hAnsi="Verdana"/>
          <w:lang w:val="es-ES"/>
        </w:rPr>
        <w:t> </w:t>
      </w:r>
    </w:p>
    <w:p w14:paraId="67FAEEA6"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 </w:t>
      </w:r>
    </w:p>
    <w:p w14:paraId="092BABC0" w14:textId="77777777" w:rsidR="006607BB" w:rsidRPr="006607BB" w:rsidRDefault="006607BB" w:rsidP="006607BB">
      <w:pPr>
        <w:spacing w:after="0"/>
        <w:jc w:val="both"/>
        <w:rPr>
          <w:rFonts w:ascii="Verdana" w:hAnsi="Verdana"/>
          <w:sz w:val="20"/>
          <w:szCs w:val="20"/>
          <w:lang w:val="es-ES"/>
        </w:rPr>
      </w:pPr>
    </w:p>
    <w:p w14:paraId="20A24A5F"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29175E8D" w14:textId="77777777" w:rsidR="006607BB" w:rsidRPr="006607BB" w:rsidRDefault="006607BB" w:rsidP="006607BB">
      <w:pPr>
        <w:spacing w:after="0"/>
        <w:jc w:val="both"/>
        <w:rPr>
          <w:rFonts w:ascii="Verdana" w:hAnsi="Verdana"/>
          <w:sz w:val="20"/>
          <w:szCs w:val="20"/>
          <w:lang w:val="es-ES"/>
        </w:rPr>
      </w:pPr>
    </w:p>
    <w:p w14:paraId="0D0BDFDA"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195648AE" w14:textId="77777777" w:rsidR="006607BB" w:rsidRPr="006607BB" w:rsidRDefault="006607BB" w:rsidP="006607BB">
      <w:pPr>
        <w:spacing w:after="0"/>
        <w:jc w:val="both"/>
        <w:rPr>
          <w:rFonts w:ascii="Verdana" w:hAnsi="Verdana"/>
          <w:sz w:val="20"/>
          <w:szCs w:val="20"/>
          <w:lang w:val="es-ES"/>
        </w:rPr>
      </w:pPr>
    </w:p>
    <w:p w14:paraId="1B9770A9" w14:textId="77777777" w:rsidR="006607BB" w:rsidRDefault="006607BB" w:rsidP="006607BB">
      <w:pPr>
        <w:spacing w:after="0"/>
        <w:jc w:val="both"/>
        <w:rPr>
          <w:rFonts w:ascii="Verdana" w:hAnsi="Verdana"/>
          <w:sz w:val="20"/>
          <w:szCs w:val="20"/>
          <w:lang w:val="es-ES"/>
        </w:rPr>
      </w:pPr>
      <w:r w:rsidRPr="006607BB">
        <w:rPr>
          <w:rFonts w:ascii="Verdana" w:hAnsi="Verdana"/>
          <w:sz w:val="20"/>
          <w:szCs w:val="20"/>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 </w:t>
      </w:r>
    </w:p>
    <w:p w14:paraId="7E65D546" w14:textId="77777777" w:rsidR="006607BB" w:rsidRPr="006607BB" w:rsidRDefault="006607BB" w:rsidP="006607BB">
      <w:pPr>
        <w:spacing w:after="0"/>
        <w:jc w:val="both"/>
        <w:rPr>
          <w:rFonts w:ascii="Verdana" w:hAnsi="Verdana"/>
          <w:sz w:val="20"/>
          <w:szCs w:val="20"/>
          <w:lang w:val="es-ES"/>
        </w:rPr>
      </w:pPr>
    </w:p>
    <w:p w14:paraId="1BC9BB4B" w14:textId="77777777" w:rsidR="006607BB" w:rsidRPr="006607BB" w:rsidRDefault="006607BB" w:rsidP="006607BB">
      <w:pPr>
        <w:spacing w:after="0"/>
        <w:jc w:val="both"/>
        <w:rPr>
          <w:rFonts w:ascii="Verdana" w:hAnsi="Verdana"/>
          <w:lang w:val="es-ES"/>
        </w:rPr>
      </w:pPr>
      <w:r w:rsidRPr="006607BB">
        <w:rPr>
          <w:rFonts w:ascii="Verdana" w:hAnsi="Verdana"/>
          <w:b/>
          <w:bCs/>
          <w:lang w:val="es-ES"/>
        </w:rPr>
        <w:t>DOCUMENTOS TIPO – </w:t>
      </w:r>
      <w:r w:rsidRPr="006607BB">
        <w:rPr>
          <w:rFonts w:ascii="Verdana" w:hAnsi="Verdana"/>
          <w:b/>
          <w:bCs/>
        </w:rPr>
        <w:t>Matriz 1 Experiencia Sector Vivienda</w:t>
      </w:r>
      <w:r w:rsidRPr="006607BB">
        <w:rPr>
          <w:rFonts w:ascii="Verdana" w:hAnsi="Verdana"/>
          <w:b/>
          <w:bCs/>
          <w:lang w:val="es-ES"/>
        </w:rPr>
        <w:t> – Á</w:t>
      </w:r>
      <w:r w:rsidRPr="006607BB">
        <w:rPr>
          <w:rFonts w:ascii="Verdana" w:hAnsi="Verdana"/>
          <w:b/>
          <w:bCs/>
        </w:rPr>
        <w:t>rea construida o intervenida</w:t>
      </w:r>
      <w:r w:rsidRPr="006607BB">
        <w:rPr>
          <w:rFonts w:ascii="Verdana" w:hAnsi="Verdana"/>
          <w:lang w:val="es-ES"/>
        </w:rPr>
        <w:t> </w:t>
      </w:r>
    </w:p>
    <w:p w14:paraId="2522F30E"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48D32C83"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rPr>
        <w:t>Ahora bien, con respecto a lo referente al “área construida o intervenida” en el documento base, se establece que la entidad deberá indicar el área estimada de intervención del proceso de contratación, siguiendo las instrucciones allí establecidas; es decir, señalando el área a construir y/o intervenir en m² y el valor correspondiente al presupuesto oficial.</w:t>
      </w:r>
      <w:r w:rsidRPr="006607BB">
        <w:rPr>
          <w:rFonts w:ascii="Verdana" w:hAnsi="Verdana"/>
          <w:sz w:val="20"/>
          <w:szCs w:val="20"/>
          <w:lang w:val="es-ES"/>
        </w:rPr>
        <w:t> </w:t>
      </w:r>
    </w:p>
    <w:p w14:paraId="71D0E326" w14:textId="77777777" w:rsidR="006607BB" w:rsidRPr="006607BB" w:rsidRDefault="006607BB" w:rsidP="006607BB">
      <w:pPr>
        <w:spacing w:after="0"/>
        <w:jc w:val="both"/>
        <w:rPr>
          <w:rFonts w:ascii="Verdana" w:hAnsi="Verdana"/>
          <w:sz w:val="20"/>
          <w:szCs w:val="20"/>
          <w:lang w:val="es-ES"/>
        </w:rPr>
      </w:pPr>
    </w:p>
    <w:p w14:paraId="685F81EB"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rPr>
        <w:t>En este sentido, conviene revisar la siguiente definición de “área construida” incluida en el anexo 5 – Glosario, de los documentos tipo, toda vez, que no es cierto que esta definición es ambigua, así: “Área construida: Se entiende como el área por edificar y/o edificada que se va a intervenir y que corresponde a la suma de las superficies de los pisos, excluyendo azoteas y áreas sin cubrir o techar. “</w:t>
      </w:r>
      <w:r w:rsidRPr="006607BB">
        <w:rPr>
          <w:rFonts w:ascii="Verdana" w:hAnsi="Verdana"/>
          <w:sz w:val="20"/>
          <w:szCs w:val="20"/>
          <w:lang w:val="es-ES"/>
        </w:rPr>
        <w:t> </w:t>
      </w:r>
    </w:p>
    <w:p w14:paraId="2719B7B4" w14:textId="77777777" w:rsidR="006607BB" w:rsidRPr="006607BB" w:rsidRDefault="006607BB" w:rsidP="006607BB">
      <w:pPr>
        <w:spacing w:after="0"/>
        <w:jc w:val="both"/>
        <w:rPr>
          <w:rFonts w:ascii="Verdana" w:hAnsi="Verdana"/>
          <w:sz w:val="20"/>
          <w:szCs w:val="20"/>
          <w:lang w:val="es-ES"/>
        </w:rPr>
      </w:pPr>
    </w:p>
    <w:p w14:paraId="3307F687"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rPr>
        <w:t>En adición a lo anterior, y conforme con lo determinado en el documento base —numeral 3.5— y en la Matriz 1 – Experiencia Sector Vivienda, las entidades deben definir los metros cuadrados (m²) que solicitarán, de acuerdo con las características técnicas del proceso de selección. Así, respecto de la pregunta: “¿Cómo debe definirse el dimensionamiento al definir “área construida o intervenida (…)?”, debe indicarse que, para calcular el área del proceso de selección, las entidades pueden utilizar criterios de estimación de cantidades o unidades de referencia para definir el área del proyecto.</w:t>
      </w:r>
      <w:r w:rsidRPr="006607BB">
        <w:rPr>
          <w:rFonts w:ascii="Verdana" w:hAnsi="Verdana"/>
          <w:sz w:val="20"/>
          <w:szCs w:val="20"/>
          <w:lang w:val="es-ES"/>
        </w:rPr>
        <w:t> </w:t>
      </w:r>
    </w:p>
    <w:p w14:paraId="1D3D20A3" w14:textId="77777777" w:rsidR="006607BB" w:rsidRPr="006607BB" w:rsidRDefault="006607BB" w:rsidP="006607BB">
      <w:pPr>
        <w:spacing w:after="0"/>
        <w:jc w:val="both"/>
        <w:rPr>
          <w:rFonts w:ascii="Verdana" w:hAnsi="Verdana"/>
          <w:sz w:val="20"/>
          <w:szCs w:val="20"/>
          <w:lang w:val="es-ES"/>
        </w:rPr>
      </w:pPr>
    </w:p>
    <w:p w14:paraId="538970EF"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rPr>
        <w:t xml:space="preserve">En este contexto, se debe indicar que el área de intervención corresponderá a la superficie construida en la que se ejecutarán las actividades, determinada a partir del </w:t>
      </w:r>
      <w:r w:rsidRPr="006607BB">
        <w:rPr>
          <w:rFonts w:ascii="Verdana" w:hAnsi="Verdana"/>
          <w:sz w:val="20"/>
          <w:szCs w:val="20"/>
        </w:rPr>
        <w:lastRenderedPageBreak/>
        <w:t>levantamiento físico de los espacios objeto de intervención, definidos en los documentos técnicos.</w:t>
      </w:r>
      <w:r w:rsidRPr="006607BB">
        <w:rPr>
          <w:rFonts w:ascii="Verdana" w:hAnsi="Verdana"/>
          <w:sz w:val="20"/>
          <w:szCs w:val="20"/>
          <w:lang w:val="es-ES"/>
        </w:rPr>
        <w:t> </w:t>
      </w:r>
    </w:p>
    <w:p w14:paraId="5ABE5D22"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5407D929" w14:textId="77777777" w:rsidR="006607BB" w:rsidRPr="006607BB" w:rsidRDefault="006607BB" w:rsidP="006607BB">
      <w:pPr>
        <w:spacing w:after="0"/>
        <w:jc w:val="both"/>
        <w:rPr>
          <w:rFonts w:ascii="Verdana" w:hAnsi="Verdana"/>
          <w:sz w:val="20"/>
          <w:szCs w:val="20"/>
          <w:lang w:val="es-ES"/>
        </w:rPr>
      </w:pPr>
      <w:r w:rsidRPr="006607BB">
        <w:rPr>
          <w:rFonts w:ascii="Verdana" w:hAnsi="Verdana"/>
          <w:sz w:val="20"/>
          <w:szCs w:val="20"/>
          <w:lang w:val="es-ES"/>
        </w:rPr>
        <w:t> </w:t>
      </w:r>
    </w:p>
    <w:p w14:paraId="4C22E4BE" w14:textId="23B3DF62" w:rsidR="006607BB" w:rsidRDefault="006607BB" w:rsidP="006607BB">
      <w:pPr>
        <w:tabs>
          <w:tab w:val="left" w:pos="1316"/>
        </w:tabs>
        <w:spacing w:after="0"/>
        <w:jc w:val="both"/>
        <w:rPr>
          <w:rFonts w:ascii="Verdana" w:hAnsi="Verdana"/>
          <w:sz w:val="20"/>
          <w:szCs w:val="20"/>
          <w:lang w:val="es-ES"/>
        </w:rPr>
      </w:pPr>
      <w:r w:rsidRPr="006607BB">
        <w:rPr>
          <w:rFonts w:ascii="Verdana" w:hAnsi="Verdana"/>
          <w:sz w:val="20"/>
          <w:szCs w:val="20"/>
          <w:lang w:val="es-ES"/>
        </w:rPr>
        <w:t> </w:t>
      </w:r>
      <w:r>
        <w:rPr>
          <w:rFonts w:ascii="Verdana" w:hAnsi="Verdana"/>
          <w:sz w:val="20"/>
          <w:szCs w:val="20"/>
          <w:lang w:val="es-ES"/>
        </w:rPr>
        <w:tab/>
      </w:r>
    </w:p>
    <w:p w14:paraId="3D0CF6D9" w14:textId="77777777" w:rsidR="006607BB" w:rsidRDefault="006607BB" w:rsidP="006607BB">
      <w:pPr>
        <w:tabs>
          <w:tab w:val="left" w:pos="1316"/>
        </w:tabs>
        <w:spacing w:after="0"/>
        <w:jc w:val="both"/>
        <w:rPr>
          <w:rFonts w:ascii="Verdana" w:hAnsi="Verdana"/>
          <w:sz w:val="20"/>
          <w:szCs w:val="20"/>
          <w:lang w:val="es-ES"/>
        </w:rPr>
      </w:pPr>
    </w:p>
    <w:p w14:paraId="3F94F8D9" w14:textId="77777777" w:rsidR="006607BB" w:rsidRDefault="006607BB" w:rsidP="006607BB">
      <w:pPr>
        <w:tabs>
          <w:tab w:val="left" w:pos="1316"/>
        </w:tabs>
        <w:spacing w:after="0"/>
        <w:jc w:val="both"/>
        <w:rPr>
          <w:rFonts w:ascii="Verdana" w:hAnsi="Verdana"/>
          <w:sz w:val="20"/>
          <w:szCs w:val="20"/>
          <w:lang w:val="es-ES"/>
        </w:rPr>
      </w:pPr>
    </w:p>
    <w:p w14:paraId="26A72A85" w14:textId="77777777" w:rsidR="006607BB" w:rsidRDefault="006607BB" w:rsidP="006607BB">
      <w:pPr>
        <w:tabs>
          <w:tab w:val="left" w:pos="1316"/>
        </w:tabs>
        <w:spacing w:after="0"/>
        <w:jc w:val="both"/>
        <w:rPr>
          <w:rFonts w:ascii="Verdana" w:hAnsi="Verdana"/>
          <w:sz w:val="20"/>
          <w:szCs w:val="20"/>
          <w:lang w:val="es-ES"/>
        </w:rPr>
      </w:pPr>
    </w:p>
    <w:p w14:paraId="69051F35" w14:textId="77777777" w:rsidR="006607BB" w:rsidRDefault="006607BB" w:rsidP="006607BB">
      <w:pPr>
        <w:tabs>
          <w:tab w:val="left" w:pos="1316"/>
        </w:tabs>
        <w:spacing w:after="0"/>
        <w:jc w:val="both"/>
        <w:rPr>
          <w:rFonts w:ascii="Verdana" w:hAnsi="Verdana"/>
          <w:sz w:val="20"/>
          <w:szCs w:val="20"/>
          <w:lang w:val="es-ES"/>
        </w:rPr>
      </w:pPr>
    </w:p>
    <w:p w14:paraId="67CAA7D1" w14:textId="77777777" w:rsidR="006607BB" w:rsidRDefault="006607BB" w:rsidP="006607BB">
      <w:pPr>
        <w:tabs>
          <w:tab w:val="left" w:pos="1316"/>
        </w:tabs>
        <w:spacing w:after="0"/>
        <w:jc w:val="both"/>
        <w:rPr>
          <w:rFonts w:ascii="Verdana" w:hAnsi="Verdana"/>
          <w:sz w:val="20"/>
          <w:szCs w:val="20"/>
          <w:lang w:val="es-ES"/>
        </w:rPr>
      </w:pPr>
    </w:p>
    <w:p w14:paraId="4052C898" w14:textId="77777777" w:rsidR="006607BB" w:rsidRDefault="006607BB" w:rsidP="006607BB">
      <w:pPr>
        <w:tabs>
          <w:tab w:val="left" w:pos="1316"/>
        </w:tabs>
        <w:spacing w:after="0"/>
        <w:jc w:val="both"/>
        <w:rPr>
          <w:rFonts w:ascii="Verdana" w:hAnsi="Verdana"/>
          <w:sz w:val="20"/>
          <w:szCs w:val="20"/>
          <w:lang w:val="es-ES"/>
        </w:rPr>
      </w:pPr>
    </w:p>
    <w:p w14:paraId="18A74973" w14:textId="77777777" w:rsidR="006607BB" w:rsidRDefault="006607BB" w:rsidP="006607BB">
      <w:pPr>
        <w:tabs>
          <w:tab w:val="left" w:pos="1316"/>
        </w:tabs>
        <w:spacing w:after="0"/>
        <w:jc w:val="both"/>
        <w:rPr>
          <w:rFonts w:ascii="Verdana" w:hAnsi="Verdana"/>
          <w:sz w:val="20"/>
          <w:szCs w:val="20"/>
          <w:lang w:val="es-ES"/>
        </w:rPr>
      </w:pPr>
    </w:p>
    <w:p w14:paraId="3C5414C4" w14:textId="77777777" w:rsidR="006607BB" w:rsidRDefault="006607BB" w:rsidP="006607BB">
      <w:pPr>
        <w:tabs>
          <w:tab w:val="left" w:pos="1316"/>
        </w:tabs>
        <w:spacing w:after="0"/>
        <w:jc w:val="both"/>
        <w:rPr>
          <w:rFonts w:ascii="Verdana" w:hAnsi="Verdana"/>
          <w:sz w:val="20"/>
          <w:szCs w:val="20"/>
          <w:lang w:val="es-ES"/>
        </w:rPr>
      </w:pPr>
    </w:p>
    <w:p w14:paraId="188C38BA" w14:textId="77777777" w:rsidR="006607BB" w:rsidRDefault="006607BB" w:rsidP="006607BB">
      <w:pPr>
        <w:tabs>
          <w:tab w:val="left" w:pos="1316"/>
        </w:tabs>
        <w:spacing w:after="0"/>
        <w:jc w:val="both"/>
        <w:rPr>
          <w:rFonts w:ascii="Verdana" w:hAnsi="Verdana"/>
          <w:sz w:val="20"/>
          <w:szCs w:val="20"/>
          <w:lang w:val="es-ES"/>
        </w:rPr>
      </w:pPr>
    </w:p>
    <w:p w14:paraId="11E00A9B" w14:textId="77777777" w:rsidR="006607BB" w:rsidRDefault="006607BB" w:rsidP="006607BB">
      <w:pPr>
        <w:tabs>
          <w:tab w:val="left" w:pos="1316"/>
        </w:tabs>
        <w:spacing w:after="0"/>
        <w:jc w:val="both"/>
        <w:rPr>
          <w:rFonts w:ascii="Verdana" w:hAnsi="Verdana"/>
          <w:sz w:val="20"/>
          <w:szCs w:val="20"/>
          <w:lang w:val="es-ES"/>
        </w:rPr>
      </w:pPr>
    </w:p>
    <w:p w14:paraId="33341DBE" w14:textId="77777777" w:rsidR="006607BB" w:rsidRDefault="006607BB" w:rsidP="006607BB">
      <w:pPr>
        <w:tabs>
          <w:tab w:val="left" w:pos="1316"/>
        </w:tabs>
        <w:spacing w:after="0"/>
        <w:jc w:val="both"/>
        <w:rPr>
          <w:rFonts w:ascii="Verdana" w:hAnsi="Verdana"/>
          <w:sz w:val="20"/>
          <w:szCs w:val="20"/>
          <w:lang w:val="es-ES"/>
        </w:rPr>
      </w:pPr>
    </w:p>
    <w:p w14:paraId="6BF57BDA" w14:textId="77777777" w:rsidR="006607BB" w:rsidRDefault="006607BB" w:rsidP="006607BB">
      <w:pPr>
        <w:tabs>
          <w:tab w:val="left" w:pos="1316"/>
        </w:tabs>
        <w:spacing w:after="0"/>
        <w:jc w:val="both"/>
        <w:rPr>
          <w:rFonts w:ascii="Verdana" w:hAnsi="Verdana"/>
          <w:sz w:val="20"/>
          <w:szCs w:val="20"/>
          <w:lang w:val="es-ES"/>
        </w:rPr>
      </w:pPr>
    </w:p>
    <w:p w14:paraId="033DB3DD" w14:textId="77777777" w:rsidR="006607BB" w:rsidRDefault="006607BB" w:rsidP="006607BB">
      <w:pPr>
        <w:tabs>
          <w:tab w:val="left" w:pos="1316"/>
        </w:tabs>
        <w:spacing w:after="0"/>
        <w:jc w:val="both"/>
        <w:rPr>
          <w:rFonts w:ascii="Verdana" w:hAnsi="Verdana"/>
          <w:sz w:val="20"/>
          <w:szCs w:val="20"/>
          <w:lang w:val="es-ES"/>
        </w:rPr>
      </w:pPr>
    </w:p>
    <w:p w14:paraId="6B317C3F" w14:textId="77777777" w:rsidR="006607BB" w:rsidRDefault="006607BB" w:rsidP="006607BB">
      <w:pPr>
        <w:tabs>
          <w:tab w:val="left" w:pos="1316"/>
        </w:tabs>
        <w:spacing w:after="0"/>
        <w:jc w:val="both"/>
        <w:rPr>
          <w:rFonts w:ascii="Verdana" w:hAnsi="Verdana"/>
          <w:sz w:val="20"/>
          <w:szCs w:val="20"/>
          <w:lang w:val="es-ES"/>
        </w:rPr>
      </w:pPr>
    </w:p>
    <w:p w14:paraId="7D2FEF6D" w14:textId="77777777" w:rsidR="006607BB" w:rsidRDefault="006607BB" w:rsidP="006607BB">
      <w:pPr>
        <w:tabs>
          <w:tab w:val="left" w:pos="1316"/>
        </w:tabs>
        <w:spacing w:after="0"/>
        <w:jc w:val="both"/>
        <w:rPr>
          <w:rFonts w:ascii="Verdana" w:hAnsi="Verdana"/>
          <w:sz w:val="20"/>
          <w:szCs w:val="20"/>
          <w:lang w:val="es-ES"/>
        </w:rPr>
      </w:pPr>
    </w:p>
    <w:p w14:paraId="4F1F6B4A" w14:textId="77777777" w:rsidR="006607BB" w:rsidRDefault="006607BB" w:rsidP="006607BB">
      <w:pPr>
        <w:tabs>
          <w:tab w:val="left" w:pos="1316"/>
        </w:tabs>
        <w:spacing w:after="0"/>
        <w:jc w:val="both"/>
        <w:rPr>
          <w:rFonts w:ascii="Verdana" w:hAnsi="Verdana"/>
          <w:sz w:val="20"/>
          <w:szCs w:val="20"/>
          <w:lang w:val="es-ES"/>
        </w:rPr>
      </w:pPr>
    </w:p>
    <w:p w14:paraId="28D6CA5A" w14:textId="77777777" w:rsidR="006607BB" w:rsidRDefault="006607BB" w:rsidP="006607BB">
      <w:pPr>
        <w:tabs>
          <w:tab w:val="left" w:pos="1316"/>
        </w:tabs>
        <w:spacing w:after="0"/>
        <w:jc w:val="both"/>
        <w:rPr>
          <w:rFonts w:ascii="Verdana" w:hAnsi="Verdana"/>
          <w:sz w:val="20"/>
          <w:szCs w:val="20"/>
          <w:lang w:val="es-ES"/>
        </w:rPr>
      </w:pPr>
    </w:p>
    <w:p w14:paraId="34E720D5" w14:textId="77777777" w:rsidR="006607BB" w:rsidRDefault="006607BB" w:rsidP="006607BB">
      <w:pPr>
        <w:tabs>
          <w:tab w:val="left" w:pos="1316"/>
        </w:tabs>
        <w:spacing w:after="0"/>
        <w:jc w:val="both"/>
        <w:rPr>
          <w:rFonts w:ascii="Verdana" w:hAnsi="Verdana"/>
          <w:sz w:val="20"/>
          <w:szCs w:val="20"/>
          <w:lang w:val="es-ES"/>
        </w:rPr>
      </w:pPr>
    </w:p>
    <w:p w14:paraId="2A5E9626" w14:textId="77777777" w:rsidR="006607BB" w:rsidRDefault="006607BB" w:rsidP="006607BB">
      <w:pPr>
        <w:tabs>
          <w:tab w:val="left" w:pos="1316"/>
        </w:tabs>
        <w:spacing w:after="0"/>
        <w:jc w:val="both"/>
        <w:rPr>
          <w:rFonts w:ascii="Verdana" w:hAnsi="Verdana"/>
          <w:sz w:val="20"/>
          <w:szCs w:val="20"/>
          <w:lang w:val="es-ES"/>
        </w:rPr>
      </w:pPr>
    </w:p>
    <w:p w14:paraId="31F94DF9" w14:textId="77777777" w:rsidR="006607BB" w:rsidRDefault="006607BB" w:rsidP="006607BB">
      <w:pPr>
        <w:tabs>
          <w:tab w:val="left" w:pos="1316"/>
        </w:tabs>
        <w:spacing w:after="0"/>
        <w:jc w:val="both"/>
        <w:rPr>
          <w:rFonts w:ascii="Verdana" w:hAnsi="Verdana"/>
          <w:sz w:val="20"/>
          <w:szCs w:val="20"/>
          <w:lang w:val="es-ES"/>
        </w:rPr>
      </w:pPr>
    </w:p>
    <w:p w14:paraId="288935CC" w14:textId="77777777" w:rsidR="006607BB" w:rsidRDefault="006607BB" w:rsidP="006607BB">
      <w:pPr>
        <w:tabs>
          <w:tab w:val="left" w:pos="1316"/>
        </w:tabs>
        <w:spacing w:after="0"/>
        <w:jc w:val="both"/>
        <w:rPr>
          <w:rFonts w:ascii="Verdana" w:hAnsi="Verdana"/>
          <w:sz w:val="20"/>
          <w:szCs w:val="20"/>
          <w:lang w:val="es-ES"/>
        </w:rPr>
      </w:pPr>
    </w:p>
    <w:p w14:paraId="13A9BB00" w14:textId="77777777" w:rsidR="006607BB" w:rsidRDefault="006607BB" w:rsidP="006607BB">
      <w:pPr>
        <w:tabs>
          <w:tab w:val="left" w:pos="1316"/>
        </w:tabs>
        <w:spacing w:after="0"/>
        <w:jc w:val="both"/>
        <w:rPr>
          <w:rFonts w:ascii="Verdana" w:hAnsi="Verdana"/>
          <w:sz w:val="20"/>
          <w:szCs w:val="20"/>
          <w:lang w:val="es-ES"/>
        </w:rPr>
      </w:pPr>
    </w:p>
    <w:p w14:paraId="16338D66" w14:textId="77777777" w:rsidR="006607BB" w:rsidRDefault="006607BB" w:rsidP="006607BB">
      <w:pPr>
        <w:tabs>
          <w:tab w:val="left" w:pos="1316"/>
        </w:tabs>
        <w:spacing w:after="0"/>
        <w:jc w:val="both"/>
        <w:rPr>
          <w:rFonts w:ascii="Verdana" w:hAnsi="Verdana"/>
          <w:sz w:val="20"/>
          <w:szCs w:val="20"/>
          <w:lang w:val="es-ES"/>
        </w:rPr>
      </w:pPr>
    </w:p>
    <w:p w14:paraId="4F379232" w14:textId="77777777" w:rsidR="006607BB" w:rsidRDefault="006607BB" w:rsidP="006607BB">
      <w:pPr>
        <w:tabs>
          <w:tab w:val="left" w:pos="1316"/>
        </w:tabs>
        <w:spacing w:after="0"/>
        <w:jc w:val="both"/>
        <w:rPr>
          <w:rFonts w:ascii="Verdana" w:hAnsi="Verdana"/>
          <w:sz w:val="20"/>
          <w:szCs w:val="20"/>
          <w:lang w:val="es-ES"/>
        </w:rPr>
      </w:pPr>
    </w:p>
    <w:p w14:paraId="1D069C62" w14:textId="77777777" w:rsidR="006607BB" w:rsidRDefault="006607BB" w:rsidP="006607BB">
      <w:pPr>
        <w:tabs>
          <w:tab w:val="left" w:pos="1316"/>
        </w:tabs>
        <w:spacing w:after="0"/>
        <w:jc w:val="both"/>
        <w:rPr>
          <w:rFonts w:ascii="Verdana" w:hAnsi="Verdana"/>
          <w:sz w:val="20"/>
          <w:szCs w:val="20"/>
          <w:lang w:val="es-ES"/>
        </w:rPr>
      </w:pPr>
    </w:p>
    <w:p w14:paraId="1769DD67" w14:textId="77777777" w:rsidR="006607BB" w:rsidRDefault="006607BB" w:rsidP="006607BB">
      <w:pPr>
        <w:tabs>
          <w:tab w:val="left" w:pos="1316"/>
        </w:tabs>
        <w:spacing w:after="0"/>
        <w:jc w:val="both"/>
        <w:rPr>
          <w:rFonts w:ascii="Verdana" w:hAnsi="Verdana"/>
          <w:sz w:val="20"/>
          <w:szCs w:val="20"/>
          <w:lang w:val="es-ES"/>
        </w:rPr>
      </w:pPr>
    </w:p>
    <w:p w14:paraId="0E98836B" w14:textId="77777777" w:rsidR="006607BB" w:rsidRDefault="006607BB" w:rsidP="006607BB">
      <w:pPr>
        <w:tabs>
          <w:tab w:val="left" w:pos="1316"/>
        </w:tabs>
        <w:spacing w:after="0"/>
        <w:jc w:val="both"/>
        <w:rPr>
          <w:rFonts w:ascii="Verdana" w:hAnsi="Verdana"/>
          <w:sz w:val="20"/>
          <w:szCs w:val="20"/>
          <w:lang w:val="es-ES"/>
        </w:rPr>
      </w:pPr>
    </w:p>
    <w:p w14:paraId="05807CA5" w14:textId="77777777" w:rsidR="006607BB" w:rsidRDefault="006607BB" w:rsidP="006607BB">
      <w:pPr>
        <w:tabs>
          <w:tab w:val="left" w:pos="1316"/>
        </w:tabs>
        <w:spacing w:after="0"/>
        <w:jc w:val="both"/>
        <w:rPr>
          <w:rFonts w:ascii="Verdana" w:hAnsi="Verdana"/>
          <w:sz w:val="20"/>
          <w:szCs w:val="20"/>
          <w:lang w:val="es-ES"/>
        </w:rPr>
      </w:pPr>
    </w:p>
    <w:p w14:paraId="35C9E122" w14:textId="77777777" w:rsidR="006607BB" w:rsidRDefault="006607BB" w:rsidP="006607BB">
      <w:pPr>
        <w:tabs>
          <w:tab w:val="left" w:pos="1316"/>
        </w:tabs>
        <w:spacing w:after="0"/>
        <w:jc w:val="both"/>
        <w:rPr>
          <w:rFonts w:ascii="Verdana" w:hAnsi="Verdana"/>
          <w:sz w:val="20"/>
          <w:szCs w:val="20"/>
          <w:lang w:val="es-ES"/>
        </w:rPr>
      </w:pPr>
    </w:p>
    <w:p w14:paraId="3DD3971D" w14:textId="77777777" w:rsidR="006607BB" w:rsidRDefault="006607BB" w:rsidP="006607BB">
      <w:pPr>
        <w:tabs>
          <w:tab w:val="left" w:pos="1316"/>
        </w:tabs>
        <w:spacing w:after="0"/>
        <w:jc w:val="both"/>
        <w:rPr>
          <w:rFonts w:ascii="Verdana" w:hAnsi="Verdana"/>
          <w:sz w:val="20"/>
          <w:szCs w:val="20"/>
          <w:lang w:val="es-ES"/>
        </w:rPr>
      </w:pPr>
    </w:p>
    <w:p w14:paraId="690F65C9" w14:textId="77777777" w:rsidR="006607BB" w:rsidRDefault="006607BB" w:rsidP="006607BB">
      <w:pPr>
        <w:tabs>
          <w:tab w:val="left" w:pos="1316"/>
        </w:tabs>
        <w:spacing w:after="0"/>
        <w:jc w:val="both"/>
        <w:rPr>
          <w:rFonts w:ascii="Verdana" w:hAnsi="Verdana"/>
          <w:sz w:val="20"/>
          <w:szCs w:val="20"/>
          <w:lang w:val="es-ES"/>
        </w:rPr>
      </w:pPr>
    </w:p>
    <w:p w14:paraId="13604AA5" w14:textId="77777777" w:rsidR="006607BB" w:rsidRDefault="006607BB" w:rsidP="006607BB">
      <w:pPr>
        <w:tabs>
          <w:tab w:val="left" w:pos="1316"/>
        </w:tabs>
        <w:spacing w:after="0"/>
        <w:jc w:val="both"/>
        <w:rPr>
          <w:rFonts w:ascii="Verdana" w:hAnsi="Verdana"/>
          <w:sz w:val="20"/>
          <w:szCs w:val="20"/>
          <w:lang w:val="es-ES"/>
        </w:rPr>
      </w:pPr>
    </w:p>
    <w:p w14:paraId="09D78545" w14:textId="77777777" w:rsidR="006607BB" w:rsidRDefault="006607BB" w:rsidP="006607BB">
      <w:pPr>
        <w:tabs>
          <w:tab w:val="left" w:pos="1316"/>
        </w:tabs>
        <w:spacing w:after="0"/>
        <w:jc w:val="both"/>
        <w:rPr>
          <w:rFonts w:ascii="Verdana" w:hAnsi="Verdana"/>
          <w:sz w:val="20"/>
          <w:szCs w:val="20"/>
          <w:lang w:val="es-ES"/>
        </w:rPr>
      </w:pPr>
    </w:p>
    <w:p w14:paraId="710B6DAA" w14:textId="77777777" w:rsidR="006607BB" w:rsidRDefault="006607BB" w:rsidP="006607BB">
      <w:pPr>
        <w:tabs>
          <w:tab w:val="left" w:pos="1316"/>
        </w:tabs>
        <w:spacing w:after="0"/>
        <w:jc w:val="both"/>
        <w:rPr>
          <w:rFonts w:ascii="Verdana" w:hAnsi="Verdana"/>
          <w:sz w:val="20"/>
          <w:szCs w:val="20"/>
          <w:lang w:val="es-ES"/>
        </w:rPr>
      </w:pPr>
    </w:p>
    <w:p w14:paraId="312EC927" w14:textId="77777777" w:rsidR="006607BB" w:rsidRDefault="006607BB" w:rsidP="006607BB">
      <w:pPr>
        <w:tabs>
          <w:tab w:val="left" w:pos="1316"/>
        </w:tabs>
        <w:spacing w:after="0"/>
        <w:jc w:val="both"/>
        <w:rPr>
          <w:rFonts w:ascii="Verdana" w:hAnsi="Verdana"/>
          <w:sz w:val="20"/>
          <w:szCs w:val="20"/>
          <w:lang w:val="es-ES"/>
        </w:rPr>
      </w:pPr>
    </w:p>
    <w:p w14:paraId="53765B27" w14:textId="77777777" w:rsidR="006607BB" w:rsidRDefault="006607BB" w:rsidP="006607BB">
      <w:pPr>
        <w:tabs>
          <w:tab w:val="left" w:pos="1316"/>
        </w:tabs>
        <w:spacing w:after="0"/>
        <w:jc w:val="both"/>
        <w:rPr>
          <w:rFonts w:ascii="Verdana" w:hAnsi="Verdana"/>
          <w:sz w:val="20"/>
          <w:szCs w:val="20"/>
          <w:lang w:val="es-ES"/>
        </w:rPr>
      </w:pPr>
    </w:p>
    <w:p w14:paraId="05887997" w14:textId="77777777" w:rsidR="006607BB" w:rsidRDefault="006607BB" w:rsidP="006607BB">
      <w:pPr>
        <w:tabs>
          <w:tab w:val="left" w:pos="1316"/>
        </w:tabs>
        <w:spacing w:after="0"/>
        <w:jc w:val="both"/>
        <w:rPr>
          <w:rFonts w:ascii="Verdana" w:hAnsi="Verdana"/>
          <w:sz w:val="20"/>
          <w:szCs w:val="20"/>
          <w:lang w:val="es-ES"/>
        </w:rPr>
      </w:pPr>
    </w:p>
    <w:p w14:paraId="18ABF37B" w14:textId="77777777" w:rsidR="006607BB" w:rsidRDefault="006607BB" w:rsidP="006607BB">
      <w:pPr>
        <w:tabs>
          <w:tab w:val="left" w:pos="1316"/>
        </w:tabs>
        <w:spacing w:after="0"/>
        <w:jc w:val="both"/>
        <w:rPr>
          <w:rFonts w:ascii="Verdana" w:hAnsi="Verdana"/>
          <w:sz w:val="20"/>
          <w:szCs w:val="20"/>
          <w:lang w:val="es-ES"/>
        </w:rPr>
      </w:pPr>
    </w:p>
    <w:p w14:paraId="0D3966A5" w14:textId="3B3AEC5F" w:rsidR="00FE072F" w:rsidRDefault="00FE072F" w:rsidP="00DE1954">
      <w:pPr>
        <w:spacing w:after="0"/>
        <w:rPr>
          <w:rFonts w:ascii="Verdana" w:hAnsi="Verdana"/>
        </w:rPr>
      </w:pPr>
      <w:r w:rsidRPr="00FE072F">
        <w:rPr>
          <w:rFonts w:ascii="Verdana" w:hAnsi="Verdana"/>
        </w:rPr>
        <w:lastRenderedPageBreak/>
        <w:t xml:space="preserve">Bogotá D.C, 08 </w:t>
      </w:r>
      <w:r w:rsidR="00717AFF">
        <w:rPr>
          <w:rFonts w:ascii="Verdana" w:hAnsi="Verdana"/>
        </w:rPr>
        <w:t xml:space="preserve">de </w:t>
      </w:r>
      <w:r w:rsidRPr="00FE072F">
        <w:rPr>
          <w:rFonts w:ascii="Verdana" w:hAnsi="Verdana"/>
        </w:rPr>
        <w:t>Julio</w:t>
      </w:r>
      <w:r w:rsidR="00717AFF">
        <w:rPr>
          <w:rFonts w:ascii="Verdana" w:hAnsi="Verdana"/>
        </w:rPr>
        <w:t xml:space="preserve"> de</w:t>
      </w:r>
      <w:r w:rsidRPr="00FE072F">
        <w:rPr>
          <w:rFonts w:ascii="Verdana" w:hAnsi="Verdana"/>
        </w:rPr>
        <w:t xml:space="preserve"> 2026</w:t>
      </w:r>
    </w:p>
    <w:p w14:paraId="25C80950" w14:textId="4FCFE5C7" w:rsidR="00DE1954" w:rsidRPr="006E58BB" w:rsidRDefault="00FE072F" w:rsidP="00DE1954">
      <w:pPr>
        <w:spacing w:after="0"/>
        <w:rPr>
          <w:rFonts w:ascii="Verdana" w:hAnsi="Verdana"/>
        </w:rPr>
      </w:pPr>
      <w:r w:rsidRPr="0058705F">
        <w:rPr>
          <w:rFonts w:ascii="Verdana" w:hAnsi="Verdana"/>
          <w:noProof/>
        </w:rPr>
        <w:drawing>
          <wp:anchor distT="0" distB="0" distL="114300" distR="114300" simplePos="0" relativeHeight="251659264" behindDoc="0" locked="0" layoutInCell="1" allowOverlap="1" wp14:anchorId="0F8EAE3D" wp14:editId="10DED3C7">
            <wp:simplePos x="0" y="0"/>
            <wp:positionH relativeFrom="margin">
              <wp:posOffset>3398139</wp:posOffset>
            </wp:positionH>
            <wp:positionV relativeFrom="margin">
              <wp:posOffset>255397</wp:posOffset>
            </wp:positionV>
            <wp:extent cx="2286635" cy="648335"/>
            <wp:effectExtent l="0" t="0" r="0" b="0"/>
            <wp:wrapSquare wrapText="bothSides"/>
            <wp:docPr id="20090258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025857" name=""/>
                    <pic:cNvPicPr/>
                  </pic:nvPicPr>
                  <pic:blipFill>
                    <a:blip r:embed="rId10">
                      <a:extLst>
                        <a:ext uri="{28A0092B-C50C-407E-A947-70E740481C1C}">
                          <a14:useLocalDpi xmlns:a14="http://schemas.microsoft.com/office/drawing/2010/main" val="0"/>
                        </a:ext>
                      </a:extLst>
                    </a:blip>
                    <a:stretch>
                      <a:fillRect/>
                    </a:stretch>
                  </pic:blipFill>
                  <pic:spPr>
                    <a:xfrm>
                      <a:off x="0" y="0"/>
                      <a:ext cx="2286635" cy="648335"/>
                    </a:xfrm>
                    <a:prstGeom prst="rect">
                      <a:avLst/>
                    </a:prstGeom>
                  </pic:spPr>
                </pic:pic>
              </a:graphicData>
            </a:graphic>
          </wp:anchor>
        </w:drawing>
      </w:r>
    </w:p>
    <w:p w14:paraId="061A1995" w14:textId="56181BEB" w:rsidR="00DE1954" w:rsidRPr="006E58BB" w:rsidRDefault="00DE1954" w:rsidP="00DE1954">
      <w:pPr>
        <w:spacing w:after="0" w:line="276" w:lineRule="auto"/>
        <w:rPr>
          <w:rFonts w:ascii="Verdana" w:eastAsia="Calibri" w:hAnsi="Verdana" w:cs="Arial"/>
          <w:lang w:val="es-ES" w:eastAsia="es-ES"/>
        </w:rPr>
      </w:pPr>
      <w:r w:rsidRPr="006E58BB">
        <w:rPr>
          <w:rFonts w:ascii="Verdana" w:eastAsia="Calibri" w:hAnsi="Verdana" w:cs="Arial"/>
          <w:lang w:val="es-ES" w:eastAsia="es-ES"/>
        </w:rPr>
        <w:t>Señor</w:t>
      </w:r>
    </w:p>
    <w:p w14:paraId="3254229A" w14:textId="325F59B1" w:rsidR="00DE1954" w:rsidRPr="006E58BB" w:rsidRDefault="00DE1954" w:rsidP="00DE1954">
      <w:pPr>
        <w:spacing w:after="0" w:line="276" w:lineRule="auto"/>
        <w:rPr>
          <w:rFonts w:ascii="Verdana" w:eastAsia="Calibri" w:hAnsi="Verdana" w:cs="Arial"/>
          <w:b/>
          <w:bCs/>
          <w:lang w:eastAsia="es-ES"/>
        </w:rPr>
      </w:pPr>
      <w:r w:rsidRPr="006E58BB">
        <w:rPr>
          <w:rFonts w:ascii="Verdana" w:eastAsia="Calibri" w:hAnsi="Verdana" w:cs="Arial"/>
          <w:b/>
          <w:bCs/>
          <w:lang w:eastAsia="es-ES"/>
        </w:rPr>
        <w:t>David</w:t>
      </w:r>
      <w:r>
        <w:rPr>
          <w:rFonts w:ascii="Verdana" w:eastAsia="Calibri" w:hAnsi="Verdana" w:cs="Arial"/>
          <w:b/>
          <w:bCs/>
          <w:lang w:eastAsia="es-ES"/>
        </w:rPr>
        <w:t xml:space="preserve"> Fernando</w:t>
      </w:r>
      <w:r w:rsidRPr="006E58BB">
        <w:rPr>
          <w:rFonts w:ascii="Verdana" w:eastAsia="Calibri" w:hAnsi="Verdana" w:cs="Arial"/>
          <w:b/>
          <w:bCs/>
          <w:lang w:eastAsia="es-ES"/>
        </w:rPr>
        <w:t xml:space="preserve"> Chaparro</w:t>
      </w:r>
      <w:r>
        <w:rPr>
          <w:rFonts w:ascii="Verdana" w:eastAsia="Calibri" w:hAnsi="Verdana" w:cs="Arial"/>
          <w:b/>
          <w:bCs/>
          <w:lang w:eastAsia="es-ES"/>
        </w:rPr>
        <w:t xml:space="preserve"> </w:t>
      </w:r>
      <w:proofErr w:type="spellStart"/>
      <w:r w:rsidRPr="006E58BB">
        <w:rPr>
          <w:rFonts w:ascii="Verdana" w:eastAsia="Calibri" w:hAnsi="Verdana" w:cs="Arial"/>
          <w:b/>
          <w:bCs/>
          <w:lang w:eastAsia="es-ES"/>
        </w:rPr>
        <w:t>Chaparro</w:t>
      </w:r>
      <w:proofErr w:type="spellEnd"/>
    </w:p>
    <w:p w14:paraId="60C02DA2" w14:textId="77777777" w:rsidR="00DE1954" w:rsidRPr="006E58BB" w:rsidRDefault="00DE1954" w:rsidP="00DE1954">
      <w:pPr>
        <w:spacing w:after="0" w:line="276" w:lineRule="auto"/>
        <w:rPr>
          <w:rFonts w:ascii="Verdana" w:hAnsi="Verdana"/>
        </w:rPr>
      </w:pPr>
      <w:hyperlink r:id="rId11" w:history="1">
        <w:r w:rsidRPr="006E58BB">
          <w:rPr>
            <w:rStyle w:val="Hipervnculo"/>
            <w:rFonts w:ascii="Verdana" w:hAnsi="Verdana"/>
          </w:rPr>
          <w:t>david31fernando56@gmail.com</w:t>
        </w:r>
      </w:hyperlink>
    </w:p>
    <w:p w14:paraId="47A388D3" w14:textId="77777777" w:rsidR="00DE1954" w:rsidRPr="006E58BB" w:rsidRDefault="00DE1954" w:rsidP="00DE1954">
      <w:pPr>
        <w:spacing w:after="0" w:line="276" w:lineRule="auto"/>
        <w:rPr>
          <w:rFonts w:ascii="Verdana" w:hAnsi="Verdana"/>
        </w:rPr>
      </w:pPr>
      <w:r w:rsidRPr="006E58BB">
        <w:rPr>
          <w:rFonts w:ascii="Verdana" w:hAnsi="Verdana"/>
        </w:rPr>
        <w:t>Bogotá D.C.</w:t>
      </w:r>
    </w:p>
    <w:p w14:paraId="67C4F2D9" w14:textId="77777777" w:rsidR="00DE1954" w:rsidRPr="007E53B7" w:rsidRDefault="00DE1954" w:rsidP="00DE1954">
      <w:pPr>
        <w:spacing w:after="0" w:line="276" w:lineRule="auto"/>
        <w:rPr>
          <w:rFonts w:ascii="Verdana" w:eastAsia="Calibri" w:hAnsi="Verdana" w:cs="Arial"/>
          <w:b/>
          <w:bCs/>
          <w:color w:val="66CCFF"/>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DE1954" w:rsidRPr="007E53B7" w14:paraId="444ACFBD" w14:textId="77777777" w:rsidTr="00CE2684">
        <w:trPr>
          <w:trHeight w:val="999"/>
        </w:trPr>
        <w:tc>
          <w:tcPr>
            <w:tcW w:w="3261" w:type="dxa"/>
          </w:tcPr>
          <w:p w14:paraId="09A553C4" w14:textId="77777777" w:rsidR="00DE1954" w:rsidRPr="007E53B7" w:rsidRDefault="00DE1954" w:rsidP="00CE2684">
            <w:pPr>
              <w:spacing w:line="276" w:lineRule="auto"/>
              <w:jc w:val="both"/>
              <w:rPr>
                <w:rFonts w:ascii="Verdana" w:eastAsia="Calibri" w:hAnsi="Verdana" w:cs="Arial"/>
                <w:b/>
                <w:bCs/>
                <w:color w:val="66CCFF"/>
                <w:lang w:val="es-ES_tradnl" w:eastAsia="es-ES_tradnl"/>
              </w:rPr>
            </w:pPr>
          </w:p>
        </w:tc>
        <w:tc>
          <w:tcPr>
            <w:tcW w:w="5972" w:type="dxa"/>
            <w:hideMark/>
          </w:tcPr>
          <w:p w14:paraId="268B2D05" w14:textId="555529BC" w:rsidR="00DE1954" w:rsidRPr="00DF2EA7" w:rsidRDefault="00DE1954" w:rsidP="00CE2684">
            <w:pPr>
              <w:spacing w:line="276" w:lineRule="auto"/>
              <w:jc w:val="both"/>
              <w:rPr>
                <w:rFonts w:ascii="Verdana" w:eastAsia="Calibri" w:hAnsi="Verdana" w:cs="Arial"/>
                <w:b/>
                <w:bCs/>
                <w:lang w:val="es-ES" w:eastAsia="es-ES"/>
              </w:rPr>
            </w:pPr>
            <w:r>
              <w:rPr>
                <w:rFonts w:ascii="Verdana" w:eastAsia="Calibri" w:hAnsi="Verdana" w:cs="Arial"/>
                <w:b/>
                <w:bCs/>
                <w:lang w:val="es-ES" w:eastAsia="es-ES"/>
              </w:rPr>
              <w:t>C</w:t>
            </w:r>
            <w:r w:rsidRPr="00DF2EA7">
              <w:rPr>
                <w:rFonts w:ascii="Verdana" w:eastAsia="Calibri" w:hAnsi="Verdana" w:cs="Arial"/>
                <w:b/>
                <w:bCs/>
                <w:lang w:val="es-ES" w:eastAsia="es-ES"/>
              </w:rPr>
              <w:t>oncepto C</w:t>
            </w:r>
            <w:r w:rsidR="00717AFF">
              <w:rPr>
                <w:rFonts w:ascii="Verdana" w:eastAsia="Calibri" w:hAnsi="Verdana" w:cs="Arial"/>
                <w:b/>
                <w:bCs/>
                <w:lang w:val="es-ES" w:eastAsia="es-ES"/>
              </w:rPr>
              <w:t>-</w:t>
            </w:r>
            <w:r>
              <w:rPr>
                <w:rFonts w:ascii="Verdana" w:eastAsia="Calibri" w:hAnsi="Verdana" w:cs="Arial"/>
                <w:b/>
                <w:bCs/>
                <w:lang w:val="es-ES" w:eastAsia="es-ES"/>
              </w:rPr>
              <w:t xml:space="preserve">895 </w:t>
            </w:r>
            <w:r w:rsidRPr="00DF2EA7">
              <w:rPr>
                <w:rFonts w:ascii="Verdana" w:eastAsia="Calibri" w:hAnsi="Verdana" w:cs="Arial"/>
                <w:b/>
                <w:bCs/>
                <w:lang w:val="es-ES" w:eastAsia="es-ES"/>
              </w:rPr>
              <w:t>de 2026</w:t>
            </w:r>
          </w:p>
        </w:tc>
      </w:tr>
      <w:tr w:rsidR="00DE1954" w:rsidRPr="00CC7242" w14:paraId="18C53A65" w14:textId="77777777" w:rsidTr="00CE2684">
        <w:trPr>
          <w:trHeight w:val="1605"/>
        </w:trPr>
        <w:tc>
          <w:tcPr>
            <w:tcW w:w="3261" w:type="dxa"/>
            <w:hideMark/>
          </w:tcPr>
          <w:p w14:paraId="051064F9" w14:textId="77777777" w:rsidR="00DE1954" w:rsidRPr="00A11AA2" w:rsidRDefault="00DE1954" w:rsidP="00CE2684">
            <w:pPr>
              <w:spacing w:line="276" w:lineRule="auto"/>
              <w:jc w:val="both"/>
              <w:rPr>
                <w:rFonts w:ascii="Verdana" w:eastAsia="Calibri" w:hAnsi="Verdana" w:cs="Arial"/>
                <w:color w:val="66CCFF"/>
                <w:lang w:val="es-ES_tradnl" w:eastAsia="es-ES_tradnl"/>
              </w:rPr>
            </w:pPr>
            <w:r w:rsidRPr="00A11AA2">
              <w:rPr>
                <w:rFonts w:ascii="Verdana" w:eastAsia="Calibri" w:hAnsi="Verdana" w:cs="Arial"/>
                <w:b/>
                <w:lang w:val="es-ES_tradnl" w:eastAsia="es-ES_tradnl"/>
              </w:rPr>
              <w:t>Temas:</w:t>
            </w:r>
            <w:r w:rsidRPr="00A11AA2">
              <w:rPr>
                <w:rFonts w:ascii="Verdana" w:eastAsia="Calibri" w:hAnsi="Verdana" w:cs="Arial"/>
                <w:lang w:val="es-ES_tradnl" w:eastAsia="es-ES_tradnl"/>
              </w:rPr>
              <w:t xml:space="preserve">                  </w:t>
            </w:r>
          </w:p>
        </w:tc>
        <w:tc>
          <w:tcPr>
            <w:tcW w:w="5972" w:type="dxa"/>
          </w:tcPr>
          <w:p w14:paraId="60FE59BB" w14:textId="77777777" w:rsidR="00DE1954" w:rsidRPr="000D4E6C" w:rsidRDefault="00DE1954" w:rsidP="00CE2684">
            <w:pPr>
              <w:spacing w:line="276" w:lineRule="auto"/>
              <w:jc w:val="both"/>
              <w:rPr>
                <w:rFonts w:ascii="Verdana" w:hAnsi="Verdana"/>
              </w:rPr>
            </w:pPr>
            <w:r w:rsidRPr="000D4E6C">
              <w:rPr>
                <w:rFonts w:ascii="Verdana" w:eastAsia="Calibri" w:hAnsi="Verdana" w:cs="Arial"/>
                <w:lang w:val="es-ES_tradnl" w:eastAsia="es-MX"/>
              </w:rPr>
              <w:t>DOCUMENTOS TIPO – Fundamento normativo – Obligatoriedad / SECTOR SOCIAL</w:t>
            </w:r>
            <w:r w:rsidRPr="000D4E6C">
              <w:rPr>
                <w:rFonts w:ascii="Verdana" w:eastAsia="Calibri" w:hAnsi="Verdana"/>
                <w:lang w:val="es-ES" w:eastAsia="es-MX"/>
              </w:rPr>
              <w:t xml:space="preserve"> – Documentos tipo – Vigentes / DOCUMENTOS TIPO – Aplicación – Matriz de Experiencia / </w:t>
            </w:r>
            <w:r w:rsidRPr="000D4E6C">
              <w:rPr>
                <w:rFonts w:ascii="Verdana" w:eastAsia="Calibri" w:hAnsi="Verdana" w:cs="Times New Roman"/>
                <w:lang w:val="es-ES" w:eastAsia="es-MX"/>
              </w:rPr>
              <w:t xml:space="preserve">DOCUMENTOS TIPO – Matriz de Experiencia – Finalidad – Ley 1150 de 2007 / DOCUMENTOS TIPO – </w:t>
            </w:r>
            <w:r w:rsidRPr="000D4E6C">
              <w:rPr>
                <w:rFonts w:ascii="Verdana" w:hAnsi="Verdana"/>
              </w:rPr>
              <w:t>Matriz 1 Experiencia Sector Vivienda</w:t>
            </w:r>
            <w:r w:rsidRPr="000D4E6C">
              <w:rPr>
                <w:rFonts w:ascii="Verdana" w:eastAsia="Calibri" w:hAnsi="Verdana" w:cs="Times New Roman"/>
                <w:lang w:val="es-ES" w:eastAsia="es-MX"/>
              </w:rPr>
              <w:t xml:space="preserve"> – </w:t>
            </w:r>
            <w:r w:rsidRPr="000D4E6C">
              <w:rPr>
                <w:rFonts w:ascii="Verdana" w:hAnsi="Verdana"/>
                <w:lang w:val="es-ES"/>
              </w:rPr>
              <w:t>Á</w:t>
            </w:r>
            <w:r w:rsidRPr="000D4E6C">
              <w:rPr>
                <w:rFonts w:ascii="Verdana" w:hAnsi="Verdana"/>
              </w:rPr>
              <w:t>rea construida o intervenida</w:t>
            </w:r>
          </w:p>
        </w:tc>
      </w:tr>
      <w:tr w:rsidR="00DE1954" w:rsidRPr="00724695" w14:paraId="21CF72AD" w14:textId="77777777" w:rsidTr="00CE2684">
        <w:trPr>
          <w:trHeight w:val="597"/>
        </w:trPr>
        <w:tc>
          <w:tcPr>
            <w:tcW w:w="3261" w:type="dxa"/>
            <w:hideMark/>
          </w:tcPr>
          <w:p w14:paraId="615DF7E6" w14:textId="77777777" w:rsidR="00DE1954" w:rsidRPr="008C5E3B" w:rsidRDefault="00DE1954" w:rsidP="00CE2684">
            <w:pPr>
              <w:spacing w:line="276" w:lineRule="auto"/>
              <w:jc w:val="both"/>
              <w:rPr>
                <w:rFonts w:ascii="Verdana" w:eastAsia="Calibri" w:hAnsi="Verdana" w:cs="Arial"/>
                <w:b/>
                <w:lang w:val="es-ES_tradnl" w:eastAsia="es-ES_tradnl"/>
              </w:rPr>
            </w:pPr>
            <w:r w:rsidRPr="008C5E3B">
              <w:rPr>
                <w:rFonts w:ascii="Verdana" w:eastAsia="Calibri" w:hAnsi="Verdana" w:cs="Arial"/>
                <w:b/>
                <w:lang w:val="es-ES_tradnl" w:eastAsia="es-ES_tradnl"/>
              </w:rPr>
              <w:t xml:space="preserve">Radicación:             </w:t>
            </w:r>
          </w:p>
        </w:tc>
        <w:tc>
          <w:tcPr>
            <w:tcW w:w="5972" w:type="dxa"/>
          </w:tcPr>
          <w:p w14:paraId="6CFC3022" w14:textId="05CFD049" w:rsidR="00DE1954" w:rsidRPr="00724695" w:rsidRDefault="00DE1954" w:rsidP="00CE2684">
            <w:pPr>
              <w:spacing w:line="276" w:lineRule="auto"/>
              <w:jc w:val="both"/>
              <w:rPr>
                <w:rFonts w:ascii="Verdana" w:eastAsia="Calibri" w:hAnsi="Verdana" w:cs="Arial"/>
                <w:bCs/>
                <w:lang w:val="es-ES_tradnl" w:eastAsia="es-ES_tradnl"/>
              </w:rPr>
            </w:pPr>
            <w:r w:rsidRPr="00724695">
              <w:rPr>
                <w:rFonts w:ascii="Verdana" w:eastAsia="Calibri" w:hAnsi="Verdana" w:cs="Arial"/>
                <w:bCs/>
                <w:lang w:val="es-ES_tradnl" w:eastAsia="es-ES_tradnl"/>
              </w:rPr>
              <w:t xml:space="preserve">Respuesta a consulta con radicado </w:t>
            </w:r>
            <w:r w:rsidR="00717AFF" w:rsidRPr="00724695">
              <w:rPr>
                <w:rFonts w:ascii="Verdana" w:eastAsia="Calibri" w:hAnsi="Verdana" w:cs="Arial"/>
                <w:bCs/>
                <w:lang w:eastAsia="es-ES_tradnl"/>
              </w:rPr>
              <w:t xml:space="preserve">No. </w:t>
            </w:r>
            <w:r w:rsidR="00717AFF" w:rsidRPr="007B080E">
              <w:rPr>
                <w:rFonts w:ascii="Verdana" w:eastAsia="Calibri" w:hAnsi="Verdana" w:cs="Arial"/>
                <w:bCs/>
                <w:lang w:eastAsia="es-ES_tradnl"/>
              </w:rPr>
              <w:t>1</w:t>
            </w:r>
            <w:r w:rsidRPr="00F11E90">
              <w:rPr>
                <w:rFonts w:ascii="Verdana" w:eastAsia="Calibri" w:hAnsi="Verdana" w:cs="Arial"/>
                <w:bCs/>
                <w:lang w:eastAsia="es-ES_tradnl"/>
              </w:rPr>
              <w:t>_2026_05_28_007228</w:t>
            </w:r>
          </w:p>
        </w:tc>
      </w:tr>
    </w:tbl>
    <w:p w14:paraId="2E6F2719" w14:textId="77777777" w:rsidR="00DE1954" w:rsidRPr="00AB5C52" w:rsidRDefault="00DE1954" w:rsidP="00DE1954">
      <w:pPr>
        <w:spacing w:after="0" w:line="276" w:lineRule="auto"/>
        <w:jc w:val="both"/>
        <w:rPr>
          <w:rFonts w:ascii="Verdana" w:eastAsia="Calibri" w:hAnsi="Verdana" w:cs="Arial"/>
          <w:bCs/>
          <w:lang w:val="es-ES_tradnl" w:eastAsia="es-ES_tradnl"/>
        </w:rPr>
      </w:pPr>
    </w:p>
    <w:p w14:paraId="793BB229" w14:textId="77777777" w:rsidR="00DE1954" w:rsidRPr="00F11E90" w:rsidRDefault="00DE1954" w:rsidP="00DE1954">
      <w:pPr>
        <w:spacing w:after="0" w:line="276" w:lineRule="auto"/>
        <w:jc w:val="both"/>
        <w:rPr>
          <w:rFonts w:ascii="Verdana" w:eastAsia="Calibri" w:hAnsi="Verdana" w:cs="Arial"/>
          <w:bCs/>
          <w:lang w:val="es-ES" w:eastAsia="es-ES"/>
        </w:rPr>
      </w:pPr>
      <w:r w:rsidRPr="00F11E90">
        <w:rPr>
          <w:rFonts w:ascii="Verdana" w:eastAsia="Calibri" w:hAnsi="Verdana" w:cs="Arial"/>
          <w:bCs/>
          <w:lang w:val="es-ES" w:eastAsia="es-ES"/>
        </w:rPr>
        <w:t xml:space="preserve">Estimada señor </w:t>
      </w:r>
      <w:r w:rsidRPr="00F11E90">
        <w:rPr>
          <w:rFonts w:ascii="Verdana" w:eastAsia="Calibri" w:hAnsi="Verdana" w:cs="Arial"/>
          <w:bCs/>
          <w:lang w:eastAsia="es-ES"/>
        </w:rPr>
        <w:t>David Fernando</w:t>
      </w:r>
      <w:r w:rsidRPr="00F11E90">
        <w:rPr>
          <w:rFonts w:ascii="Verdana" w:eastAsia="Calibri" w:hAnsi="Verdana" w:cs="Arial"/>
          <w:bCs/>
          <w:lang w:val="es-ES" w:eastAsia="es-ES"/>
        </w:rPr>
        <w:t xml:space="preserve">:  </w:t>
      </w:r>
    </w:p>
    <w:p w14:paraId="022EC510" w14:textId="77777777" w:rsidR="00DE1954" w:rsidRPr="00AB5C52" w:rsidRDefault="00DE1954" w:rsidP="00DE1954">
      <w:pPr>
        <w:tabs>
          <w:tab w:val="left" w:pos="3768"/>
        </w:tabs>
        <w:spacing w:after="0" w:line="276" w:lineRule="auto"/>
        <w:jc w:val="both"/>
        <w:rPr>
          <w:rFonts w:ascii="Verdana" w:eastAsia="Calibri" w:hAnsi="Verdana" w:cs="Arial"/>
          <w:bCs/>
          <w:lang w:val="es-ES" w:eastAsia="es-ES"/>
        </w:rPr>
      </w:pPr>
      <w:r w:rsidRPr="00AB5C52">
        <w:rPr>
          <w:rFonts w:ascii="Verdana" w:eastAsia="Calibri" w:hAnsi="Verdana" w:cs="Arial"/>
          <w:bCs/>
          <w:lang w:val="es-ES" w:eastAsia="es-ES"/>
        </w:rPr>
        <w:tab/>
      </w:r>
    </w:p>
    <w:p w14:paraId="574A9528" w14:textId="77777777" w:rsidR="00DE1954" w:rsidRPr="003125D1" w:rsidRDefault="00DE1954" w:rsidP="00DE1954">
      <w:pPr>
        <w:spacing w:after="0" w:line="276" w:lineRule="auto"/>
        <w:jc w:val="both"/>
        <w:rPr>
          <w:rFonts w:ascii="Verdana" w:eastAsia="Calibri" w:hAnsi="Verdana" w:cs="Arial"/>
          <w:lang w:val="es-ES" w:eastAsia="es-ES"/>
        </w:rPr>
      </w:pPr>
      <w:r w:rsidRPr="003125D1">
        <w:rPr>
          <w:rFonts w:ascii="Verdana" w:eastAsia="Calibri" w:hAnsi="Verdana" w:cs="Arial"/>
          <w:lang w:val="es-ES" w:eastAsia="es-ES"/>
        </w:rPr>
        <w:t>En ejercicio de la competencia otorgada por los artículos 3, numeral 5º, y 11, numeral 8º, del Decreto Ley 4170 de 2011,</w:t>
      </w:r>
      <w:r w:rsidRPr="003125D1">
        <w:rPr>
          <w:rFonts w:ascii="Verdana" w:eastAsia="Arial MT" w:hAnsi="Verdana" w:cs="Arial MT"/>
          <w:lang w:val="es-ES" w:eastAsia="es-ES"/>
        </w:rPr>
        <w:t xml:space="preserve"> </w:t>
      </w:r>
      <w:r w:rsidRPr="003125D1">
        <w:rPr>
          <w:rFonts w:ascii="Verdana" w:eastAsia="Calibri" w:hAnsi="Verdana" w:cs="Arial"/>
        </w:rPr>
        <w:t xml:space="preserve">así como lo establecido en el artículo 4 de la Resolución 1707 de 2018 expedida por esta Entidad, </w:t>
      </w:r>
      <w:r w:rsidRPr="003125D1">
        <w:rPr>
          <w:rFonts w:ascii="Verdana" w:eastAsia="Calibri" w:hAnsi="Verdana" w:cs="Arial"/>
          <w:lang w:val="es-ES" w:eastAsia="es-ES"/>
        </w:rPr>
        <w:t xml:space="preserve">la Agencia Nacional de Contratación Pública –Colombia Compra Eficiente– responde su solicitud de consulta de fecha </w:t>
      </w:r>
      <w:r>
        <w:rPr>
          <w:rFonts w:ascii="Verdana" w:eastAsia="Calibri" w:hAnsi="Verdana" w:cs="Arial"/>
          <w:lang w:val="es-ES" w:eastAsia="es-ES"/>
        </w:rPr>
        <w:t>27 de mayo</w:t>
      </w:r>
      <w:r w:rsidRPr="003125D1">
        <w:rPr>
          <w:rFonts w:ascii="Verdana" w:eastAsia="Calibri" w:hAnsi="Verdana" w:cs="Arial"/>
          <w:lang w:val="es-ES" w:eastAsia="es-ES"/>
        </w:rPr>
        <w:t xml:space="preserve"> de 2026, en la cual manifiesta lo siguiente: </w:t>
      </w:r>
      <w:bookmarkStart w:id="1" w:name="_Hlk95313578"/>
    </w:p>
    <w:p w14:paraId="63490F06" w14:textId="77777777" w:rsidR="00DE1954" w:rsidRPr="003125D1" w:rsidRDefault="00DE1954" w:rsidP="00DE1954">
      <w:pPr>
        <w:spacing w:after="0" w:line="276" w:lineRule="auto"/>
        <w:jc w:val="both"/>
        <w:rPr>
          <w:rFonts w:ascii="Verdana" w:eastAsia="Calibri" w:hAnsi="Verdana" w:cs="Arial"/>
          <w:bCs/>
          <w:lang w:val="es-ES" w:eastAsia="es-ES"/>
        </w:rPr>
      </w:pPr>
    </w:p>
    <w:bookmarkEnd w:id="1"/>
    <w:p w14:paraId="04D254D1" w14:textId="77777777" w:rsidR="00DE1954" w:rsidRDefault="00DE1954" w:rsidP="00DE1954">
      <w:pPr>
        <w:spacing w:after="0" w:line="240" w:lineRule="auto"/>
        <w:ind w:left="709" w:right="709"/>
        <w:jc w:val="both"/>
        <w:rPr>
          <w:rFonts w:ascii="Verdana" w:eastAsia="Calibri" w:hAnsi="Verdana" w:cs="Arial"/>
          <w:i/>
          <w:iCs/>
          <w:sz w:val="20"/>
          <w:szCs w:val="20"/>
          <w:lang w:val="es-ES" w:eastAsia="es-ES"/>
        </w:rPr>
      </w:pPr>
      <w:r w:rsidRPr="008F18F2">
        <w:rPr>
          <w:rFonts w:ascii="Verdana" w:eastAsia="Calibri" w:hAnsi="Verdana" w:cs="Arial"/>
          <w:i/>
          <w:iCs/>
          <w:sz w:val="20"/>
          <w:szCs w:val="20"/>
          <w:lang w:val="es-ES" w:eastAsia="es-ES"/>
        </w:rPr>
        <w:t>“(…)</w:t>
      </w:r>
    </w:p>
    <w:p w14:paraId="140C7E2A" w14:textId="77777777" w:rsidR="00DE1954" w:rsidRDefault="00DE1954" w:rsidP="00DE1954">
      <w:pPr>
        <w:spacing w:after="0" w:line="240" w:lineRule="auto"/>
        <w:ind w:left="709" w:right="709"/>
        <w:jc w:val="both"/>
        <w:rPr>
          <w:rFonts w:ascii="Verdana" w:eastAsia="Calibri" w:hAnsi="Verdana" w:cs="Arial"/>
          <w:i/>
          <w:iCs/>
          <w:sz w:val="20"/>
          <w:szCs w:val="20"/>
          <w:lang w:val="es-ES" w:eastAsia="es-ES"/>
        </w:rPr>
      </w:pPr>
    </w:p>
    <w:p w14:paraId="3E50D97D" w14:textId="77777777" w:rsidR="00DE1954" w:rsidRDefault="00DE1954" w:rsidP="00DE1954">
      <w:pPr>
        <w:spacing w:after="0" w:line="240" w:lineRule="auto"/>
        <w:ind w:left="709" w:right="709"/>
        <w:jc w:val="both"/>
        <w:rPr>
          <w:rFonts w:ascii="Verdana" w:eastAsia="Calibri" w:hAnsi="Verdana" w:cs="Arial"/>
          <w:i/>
          <w:iCs/>
          <w:sz w:val="20"/>
          <w:szCs w:val="20"/>
          <w:lang w:eastAsia="es-ES"/>
        </w:rPr>
      </w:pPr>
      <w:r w:rsidRPr="001E3145">
        <w:rPr>
          <w:rFonts w:ascii="Verdana" w:eastAsia="Calibri" w:hAnsi="Verdana" w:cs="Arial"/>
          <w:i/>
          <w:iCs/>
          <w:sz w:val="20"/>
          <w:szCs w:val="20"/>
          <w:lang w:eastAsia="es-ES"/>
        </w:rPr>
        <w:t xml:space="preserve">solicito se aclare en los pliegos tipo de infraestructura social versión 2, en la experiencia de la matriz - 1 - experiencia el </w:t>
      </w:r>
      <w:proofErr w:type="spellStart"/>
      <w:r w:rsidRPr="001E3145">
        <w:rPr>
          <w:rFonts w:ascii="Verdana" w:eastAsia="Calibri" w:hAnsi="Verdana" w:cs="Arial"/>
          <w:i/>
          <w:iCs/>
          <w:sz w:val="20"/>
          <w:szCs w:val="20"/>
          <w:lang w:eastAsia="es-ES"/>
        </w:rPr>
        <w:t>como</w:t>
      </w:r>
      <w:proofErr w:type="spellEnd"/>
      <w:r w:rsidRPr="001E3145">
        <w:rPr>
          <w:rFonts w:ascii="Verdana" w:eastAsia="Calibri" w:hAnsi="Verdana" w:cs="Arial"/>
          <w:i/>
          <w:iCs/>
          <w:sz w:val="20"/>
          <w:szCs w:val="20"/>
          <w:lang w:eastAsia="es-ES"/>
        </w:rPr>
        <w:t xml:space="preserve"> debe definirse el criterio del dimensionamiento al definir "</w:t>
      </w:r>
      <w:proofErr w:type="spellStart"/>
      <w:r w:rsidRPr="001E3145">
        <w:rPr>
          <w:rFonts w:ascii="Verdana" w:eastAsia="Calibri" w:hAnsi="Verdana" w:cs="Arial"/>
          <w:i/>
          <w:iCs/>
          <w:sz w:val="20"/>
          <w:szCs w:val="20"/>
          <w:lang w:eastAsia="es-ES"/>
        </w:rPr>
        <w:t>area</w:t>
      </w:r>
      <w:proofErr w:type="spellEnd"/>
      <w:r w:rsidRPr="001E3145">
        <w:rPr>
          <w:rFonts w:ascii="Verdana" w:eastAsia="Calibri" w:hAnsi="Verdana" w:cs="Arial"/>
          <w:i/>
          <w:iCs/>
          <w:sz w:val="20"/>
          <w:szCs w:val="20"/>
          <w:lang w:eastAsia="es-ES"/>
        </w:rPr>
        <w:t xml:space="preserve"> construida o intervenida", toda vez que es ambigua su definición, ya que no es claro si hace referencia al </w:t>
      </w:r>
      <w:proofErr w:type="spellStart"/>
      <w:r w:rsidRPr="001E3145">
        <w:rPr>
          <w:rFonts w:ascii="Verdana" w:eastAsia="Calibri" w:hAnsi="Verdana" w:cs="Arial"/>
          <w:i/>
          <w:iCs/>
          <w:sz w:val="20"/>
          <w:szCs w:val="20"/>
          <w:lang w:eastAsia="es-ES"/>
        </w:rPr>
        <w:t>area</w:t>
      </w:r>
      <w:proofErr w:type="spellEnd"/>
      <w:r w:rsidRPr="001E3145">
        <w:rPr>
          <w:rFonts w:ascii="Verdana" w:eastAsia="Calibri" w:hAnsi="Verdana" w:cs="Arial"/>
          <w:i/>
          <w:iCs/>
          <w:sz w:val="20"/>
          <w:szCs w:val="20"/>
          <w:lang w:eastAsia="es-ES"/>
        </w:rPr>
        <w:t xml:space="preserve"> en m2 del proyecto que </w:t>
      </w:r>
      <w:proofErr w:type="spellStart"/>
      <w:r w:rsidRPr="001E3145">
        <w:rPr>
          <w:rFonts w:ascii="Verdana" w:eastAsia="Calibri" w:hAnsi="Verdana" w:cs="Arial"/>
          <w:i/>
          <w:iCs/>
          <w:sz w:val="20"/>
          <w:szCs w:val="20"/>
          <w:lang w:eastAsia="es-ES"/>
        </w:rPr>
        <w:t>seintervino</w:t>
      </w:r>
      <w:proofErr w:type="spellEnd"/>
      <w:r w:rsidRPr="001E3145">
        <w:rPr>
          <w:rFonts w:ascii="Verdana" w:eastAsia="Calibri" w:hAnsi="Verdana" w:cs="Arial"/>
          <w:i/>
          <w:iCs/>
          <w:sz w:val="20"/>
          <w:szCs w:val="20"/>
          <w:lang w:eastAsia="es-ES"/>
        </w:rPr>
        <w:t xml:space="preserve"> resumida en piso o el </w:t>
      </w:r>
      <w:proofErr w:type="spellStart"/>
      <w:r w:rsidRPr="001E3145">
        <w:rPr>
          <w:rFonts w:ascii="Verdana" w:eastAsia="Calibri" w:hAnsi="Verdana" w:cs="Arial"/>
          <w:i/>
          <w:iCs/>
          <w:sz w:val="20"/>
          <w:szCs w:val="20"/>
          <w:lang w:eastAsia="es-ES"/>
        </w:rPr>
        <w:t>area</w:t>
      </w:r>
      <w:proofErr w:type="spellEnd"/>
      <w:r w:rsidRPr="001E3145">
        <w:rPr>
          <w:rFonts w:ascii="Verdana" w:eastAsia="Calibri" w:hAnsi="Verdana" w:cs="Arial"/>
          <w:i/>
          <w:iCs/>
          <w:sz w:val="20"/>
          <w:szCs w:val="20"/>
          <w:lang w:eastAsia="es-ES"/>
        </w:rPr>
        <w:t xml:space="preserve"> puntual como pañetes, muros, pinturas, enchapes...</w:t>
      </w:r>
      <w:proofErr w:type="spellStart"/>
      <w:r w:rsidRPr="001E3145">
        <w:rPr>
          <w:rFonts w:ascii="Verdana" w:eastAsia="Calibri" w:hAnsi="Verdana" w:cs="Arial"/>
          <w:i/>
          <w:iCs/>
          <w:sz w:val="20"/>
          <w:szCs w:val="20"/>
          <w:lang w:eastAsia="es-ES"/>
        </w:rPr>
        <w:t>etc</w:t>
      </w:r>
      <w:proofErr w:type="spellEnd"/>
      <w:r w:rsidRPr="001E3145">
        <w:rPr>
          <w:rFonts w:ascii="Verdana" w:eastAsia="Calibri" w:hAnsi="Verdana" w:cs="Arial"/>
          <w:i/>
          <w:iCs/>
          <w:sz w:val="20"/>
          <w:szCs w:val="20"/>
          <w:lang w:eastAsia="es-ES"/>
        </w:rPr>
        <w:t xml:space="preserve">; independiente del </w:t>
      </w:r>
      <w:proofErr w:type="spellStart"/>
      <w:r w:rsidRPr="001E3145">
        <w:rPr>
          <w:rFonts w:ascii="Verdana" w:eastAsia="Calibri" w:hAnsi="Verdana" w:cs="Arial"/>
          <w:i/>
          <w:iCs/>
          <w:sz w:val="20"/>
          <w:szCs w:val="20"/>
          <w:lang w:eastAsia="es-ES"/>
        </w:rPr>
        <w:t>area</w:t>
      </w:r>
      <w:proofErr w:type="spellEnd"/>
      <w:r w:rsidRPr="001E3145">
        <w:rPr>
          <w:rFonts w:ascii="Verdana" w:eastAsia="Calibri" w:hAnsi="Verdana" w:cs="Arial"/>
          <w:i/>
          <w:iCs/>
          <w:sz w:val="20"/>
          <w:szCs w:val="20"/>
          <w:lang w:eastAsia="es-ES"/>
        </w:rPr>
        <w:t xml:space="preserve"> del piso del espacio</w:t>
      </w:r>
    </w:p>
    <w:p w14:paraId="3EB46E25" w14:textId="77777777" w:rsidR="00DE1954" w:rsidRPr="00585335" w:rsidRDefault="00DE1954" w:rsidP="00DE1954">
      <w:pPr>
        <w:spacing w:after="0" w:line="240" w:lineRule="auto"/>
        <w:ind w:left="709" w:right="709"/>
        <w:jc w:val="both"/>
        <w:rPr>
          <w:rFonts w:ascii="Verdana" w:eastAsia="Calibri" w:hAnsi="Verdana" w:cs="Arial"/>
          <w:i/>
          <w:iCs/>
          <w:sz w:val="20"/>
          <w:szCs w:val="20"/>
          <w:lang w:val="es-ES" w:eastAsia="es-ES"/>
        </w:rPr>
      </w:pPr>
    </w:p>
    <w:p w14:paraId="2AF26433" w14:textId="77777777" w:rsidR="00DE1954" w:rsidRPr="005277C6" w:rsidRDefault="00DE1954" w:rsidP="00DE1954">
      <w:pPr>
        <w:spacing w:after="0" w:line="240" w:lineRule="auto"/>
        <w:ind w:left="709" w:right="709"/>
        <w:jc w:val="both"/>
        <w:rPr>
          <w:rFonts w:ascii="Verdana" w:eastAsia="Calibri" w:hAnsi="Verdana" w:cs="Arial"/>
          <w:i/>
          <w:iCs/>
          <w:sz w:val="20"/>
          <w:szCs w:val="20"/>
          <w:lang w:val="es-ES" w:eastAsia="es-ES"/>
        </w:rPr>
      </w:pPr>
      <w:r w:rsidRPr="005277C6">
        <w:rPr>
          <w:rFonts w:ascii="Verdana" w:eastAsia="Calibri" w:hAnsi="Verdana" w:cs="Arial"/>
          <w:i/>
          <w:iCs/>
          <w:sz w:val="20"/>
          <w:szCs w:val="20"/>
          <w:lang w:val="es-ES" w:eastAsia="es-ES"/>
        </w:rPr>
        <w:lastRenderedPageBreak/>
        <w:t>(…)</w:t>
      </w:r>
      <w:r w:rsidRPr="005277C6">
        <w:rPr>
          <w:rFonts w:ascii="Verdana" w:eastAsia="Calibri" w:hAnsi="Verdana" w:cs="Arial"/>
          <w:i/>
          <w:iCs/>
          <w:sz w:val="20"/>
          <w:szCs w:val="20"/>
          <w:lang w:eastAsia="es-ES"/>
        </w:rPr>
        <w:t>”</w:t>
      </w:r>
    </w:p>
    <w:p w14:paraId="2FFABB71" w14:textId="77777777" w:rsidR="00DE1954" w:rsidRPr="00FC181B" w:rsidRDefault="00DE1954" w:rsidP="00DE1954">
      <w:pPr>
        <w:spacing w:after="0" w:line="276" w:lineRule="auto"/>
        <w:ind w:left="709" w:right="709"/>
        <w:jc w:val="both"/>
        <w:rPr>
          <w:rFonts w:ascii="Verdana" w:eastAsia="Times New Roman" w:hAnsi="Verdana" w:cs="Times New Roman"/>
          <w:sz w:val="20"/>
          <w:szCs w:val="20"/>
          <w:lang w:eastAsia="es-CO"/>
        </w:rPr>
      </w:pPr>
    </w:p>
    <w:p w14:paraId="40F59965" w14:textId="77777777" w:rsidR="00DE1954" w:rsidRPr="003125D1" w:rsidRDefault="00DE1954" w:rsidP="00DE1954">
      <w:pPr>
        <w:spacing w:after="120" w:line="276" w:lineRule="auto"/>
        <w:ind w:firstLine="709"/>
        <w:jc w:val="both"/>
        <w:rPr>
          <w:rFonts w:ascii="Verdana" w:eastAsia="Calibri" w:hAnsi="Verdana" w:cs="Arial"/>
          <w:lang w:val="es-ES_tradnl" w:eastAsia="es-ES_tradnl"/>
        </w:rPr>
      </w:pPr>
      <w:r w:rsidRPr="003125D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25D1">
        <w:rPr>
          <w:rFonts w:ascii="Verdana" w:eastAsia="Calibri" w:hAnsi="Verdana" w:cs="Arial"/>
          <w:lang w:val="es-ES_tradnl" w:eastAsia="es-ES_tradnl"/>
        </w:rPr>
        <w:tab/>
      </w:r>
    </w:p>
    <w:p w14:paraId="290A8C23" w14:textId="77777777" w:rsidR="00DE1954" w:rsidRPr="003125D1" w:rsidRDefault="00DE1954" w:rsidP="00DE1954">
      <w:pPr>
        <w:spacing w:after="0" w:line="276" w:lineRule="auto"/>
        <w:ind w:firstLine="708"/>
        <w:jc w:val="both"/>
        <w:rPr>
          <w:rFonts w:ascii="Verdana" w:eastAsia="Calibri" w:hAnsi="Verdana" w:cs="Arial"/>
          <w:lang w:val="es-ES" w:eastAsia="es-ES"/>
        </w:rPr>
      </w:pPr>
      <w:r w:rsidRPr="003125D1">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4AEE964" w14:textId="77777777" w:rsidR="00DE1954" w:rsidRPr="003125D1" w:rsidRDefault="00DE1954" w:rsidP="00DE1954">
      <w:pPr>
        <w:spacing w:after="0" w:line="276" w:lineRule="auto"/>
        <w:ind w:firstLine="709"/>
        <w:jc w:val="both"/>
        <w:rPr>
          <w:rFonts w:ascii="Verdana" w:eastAsia="Calibri" w:hAnsi="Verdana" w:cs="Arial"/>
          <w:lang w:val="es-ES" w:eastAsia="es-ES"/>
        </w:rPr>
      </w:pPr>
    </w:p>
    <w:p w14:paraId="153C7088" w14:textId="77777777" w:rsidR="00DE1954" w:rsidRPr="0007700E" w:rsidRDefault="00DE1954" w:rsidP="00DE195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7700E">
        <w:rPr>
          <w:rFonts w:ascii="Verdana" w:eastAsia="Century Gothic" w:hAnsi="Verdana" w:cs="Century Gothic"/>
          <w:b/>
          <w:bCs/>
          <w:lang w:val="es-ES"/>
        </w:rPr>
        <w:t>Problema planteado:</w:t>
      </w:r>
    </w:p>
    <w:p w14:paraId="4AB5C4A8" w14:textId="77777777" w:rsidR="00DE1954" w:rsidRDefault="00DE1954" w:rsidP="00DE1954">
      <w:pPr>
        <w:tabs>
          <w:tab w:val="left" w:pos="426"/>
        </w:tabs>
        <w:spacing w:after="0" w:line="276" w:lineRule="auto"/>
        <w:jc w:val="both"/>
        <w:rPr>
          <w:rFonts w:ascii="Verdana" w:eastAsia="Century Gothic" w:hAnsi="Verdana" w:cs="Century Gothic"/>
          <w:lang w:val="es-ES"/>
        </w:rPr>
      </w:pPr>
    </w:p>
    <w:p w14:paraId="434BFA07" w14:textId="77777777" w:rsidR="00DE1954" w:rsidRPr="0007700E" w:rsidRDefault="00DE1954" w:rsidP="00DE1954">
      <w:pPr>
        <w:tabs>
          <w:tab w:val="left" w:pos="426"/>
        </w:tabs>
        <w:spacing w:after="0" w:line="276" w:lineRule="auto"/>
        <w:jc w:val="both"/>
        <w:rPr>
          <w:rFonts w:ascii="Verdana" w:eastAsia="Century Gothic" w:hAnsi="Verdana" w:cs="Century Gothic"/>
          <w:lang w:val="es-ES"/>
        </w:rPr>
      </w:pPr>
    </w:p>
    <w:p w14:paraId="3A464429" w14:textId="77777777" w:rsidR="00DE1954" w:rsidRPr="0007700E" w:rsidRDefault="00DE1954" w:rsidP="00DE1954">
      <w:pPr>
        <w:spacing w:line="276" w:lineRule="auto"/>
        <w:jc w:val="both"/>
        <w:rPr>
          <w:rFonts w:ascii="Verdana" w:eastAsia="Century Gothic" w:hAnsi="Verdana" w:cs="Century Gothic"/>
        </w:rPr>
      </w:pPr>
      <w:r w:rsidRPr="0007700E">
        <w:rPr>
          <w:rFonts w:ascii="Verdana" w:eastAsia="Century Gothic" w:hAnsi="Verdana" w:cs="Century Gothic"/>
        </w:rPr>
        <w:t>De acuerdo con el contenido de su solicitud, esta Agencia resolverá el siguiente problema jurídico:</w:t>
      </w:r>
    </w:p>
    <w:p w14:paraId="34B1BEA6" w14:textId="77777777" w:rsidR="00DE1954" w:rsidRPr="0007700E" w:rsidRDefault="00DE1954" w:rsidP="00DE1954">
      <w:pPr>
        <w:pStyle w:val="Prrafodelista"/>
        <w:numPr>
          <w:ilvl w:val="0"/>
          <w:numId w:val="19"/>
        </w:numPr>
        <w:spacing w:line="276" w:lineRule="auto"/>
        <w:jc w:val="both"/>
        <w:rPr>
          <w:rFonts w:ascii="Verdana" w:eastAsia="Century Gothic" w:hAnsi="Verdana" w:cs="Century Gothic"/>
          <w:lang w:val="es-CO"/>
        </w:rPr>
      </w:pPr>
      <w:r w:rsidRPr="0007700E">
        <w:rPr>
          <w:rFonts w:ascii="Verdana" w:eastAsia="Century Gothic" w:hAnsi="Verdana" w:cs="Century Gothic"/>
          <w:lang w:val="es-CO"/>
        </w:rPr>
        <w:t>¿Qué área debe tenerse en cuenta para acreditar el requisito de experiencia cuando los Documentos Tipo de Infraestructura Social – Versión 2 exigen el cumplimiento del criterio de dimensionamiento correspondiente al "área construida o intervenida</w:t>
      </w:r>
      <w:r>
        <w:rPr>
          <w:rFonts w:ascii="Verdana" w:eastAsia="Century Gothic" w:hAnsi="Verdana" w:cs="Century Gothic"/>
          <w:lang w:val="es-CO"/>
        </w:rPr>
        <w:t>”</w:t>
      </w:r>
      <w:r w:rsidRPr="0007700E">
        <w:rPr>
          <w:rFonts w:ascii="Verdana" w:eastAsia="Century Gothic" w:hAnsi="Verdana" w:cs="Century Gothic"/>
          <w:lang w:val="es-CO"/>
        </w:rPr>
        <w:t>?</w:t>
      </w:r>
    </w:p>
    <w:p w14:paraId="21EBB368" w14:textId="77777777" w:rsidR="00DE1954" w:rsidRPr="0007700E" w:rsidRDefault="00DE1954" w:rsidP="00DE1954">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7700E">
        <w:rPr>
          <w:rFonts w:ascii="Verdana" w:eastAsia="Century Gothic" w:hAnsi="Verdana" w:cs="Century Gothic"/>
          <w:b/>
          <w:bCs/>
          <w:lang w:val="es-ES"/>
        </w:rPr>
        <w:t>Respuesta:</w:t>
      </w:r>
    </w:p>
    <w:p w14:paraId="6A4E7319" w14:textId="77777777" w:rsidR="00DE1954" w:rsidRPr="00B01738" w:rsidRDefault="00DE1954" w:rsidP="00DE1954">
      <w:pPr>
        <w:tabs>
          <w:tab w:val="left" w:pos="142"/>
          <w:tab w:val="left" w:pos="284"/>
        </w:tabs>
        <w:spacing w:line="276" w:lineRule="auto"/>
        <w:contextualSpacing/>
        <w:jc w:val="both"/>
        <w:rPr>
          <w:rFonts w:ascii="Verdana" w:eastAsia="Century Gothic" w:hAnsi="Verdana" w:cs="Century Gothic"/>
          <w:b/>
          <w:bCs/>
          <w:color w:val="0099CC"/>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E1954" w:rsidRPr="00B51B75" w14:paraId="22058B21" w14:textId="77777777" w:rsidTr="00CE2684">
        <w:trPr>
          <w:trHeight w:val="1057"/>
        </w:trPr>
        <w:tc>
          <w:tcPr>
            <w:tcW w:w="8828" w:type="dxa"/>
            <w:tcBorders>
              <w:top w:val="dotted" w:sz="4" w:space="0" w:color="auto"/>
              <w:left w:val="dotted" w:sz="4" w:space="0" w:color="auto"/>
              <w:bottom w:val="dotted" w:sz="4" w:space="0" w:color="auto"/>
              <w:right w:val="dotted" w:sz="4" w:space="0" w:color="auto"/>
            </w:tcBorders>
          </w:tcPr>
          <w:p w14:paraId="5EA26983" w14:textId="77777777" w:rsidR="00DE1954" w:rsidRDefault="00DE1954" w:rsidP="00CE2684">
            <w:pPr>
              <w:spacing w:after="120" w:line="276" w:lineRule="auto"/>
              <w:ind w:firstLine="709"/>
              <w:jc w:val="both"/>
              <w:rPr>
                <w:rFonts w:ascii="Verdana" w:hAnsi="Verdana" w:cs="Arial"/>
                <w:color w:val="000000" w:themeColor="text1"/>
              </w:rPr>
            </w:pPr>
            <w:r w:rsidRPr="00F63AD4">
              <w:rPr>
                <w:rFonts w:ascii="Verdana" w:hAnsi="Verdana" w:cs="Arial"/>
                <w:color w:val="000000" w:themeColor="text1"/>
              </w:rPr>
              <w:t xml:space="preserve">En atención a la consulta formulada, y con el fin de ilustrar el alcance del criterio de dimensionamiento correspondiente al </w:t>
            </w:r>
            <w:r w:rsidRPr="00F63AD4">
              <w:rPr>
                <w:rFonts w:ascii="Verdana" w:hAnsi="Verdana" w:cs="Arial"/>
                <w:b/>
                <w:bCs/>
                <w:color w:val="000000" w:themeColor="text1"/>
              </w:rPr>
              <w:t>"área construida o intervenida"</w:t>
            </w:r>
            <w:r w:rsidRPr="00F63AD4">
              <w:rPr>
                <w:rFonts w:ascii="Verdana" w:hAnsi="Verdana" w:cs="Arial"/>
                <w:color w:val="000000" w:themeColor="text1"/>
              </w:rPr>
              <w:t xml:space="preserve">, se tomará como referencia lo dispuesto en el </w:t>
            </w:r>
            <w:r w:rsidRPr="00F63AD4">
              <w:rPr>
                <w:rFonts w:ascii="Verdana" w:hAnsi="Verdana" w:cs="Arial"/>
                <w:b/>
                <w:bCs/>
                <w:color w:val="000000" w:themeColor="text1"/>
              </w:rPr>
              <w:t>Capítulo I – Obras en proyectos de vivienda(s) urbana(s)</w:t>
            </w:r>
            <w:r w:rsidRPr="00F63AD4">
              <w:rPr>
                <w:rFonts w:ascii="Verdana" w:hAnsi="Verdana" w:cs="Arial"/>
                <w:color w:val="000000" w:themeColor="text1"/>
              </w:rPr>
              <w:t xml:space="preserve">, específicamente en el </w:t>
            </w:r>
            <w:r w:rsidRPr="00F63AD4">
              <w:rPr>
                <w:rFonts w:ascii="Verdana" w:hAnsi="Verdana" w:cs="Arial"/>
                <w:color w:val="000000" w:themeColor="text1"/>
              </w:rPr>
              <w:lastRenderedPageBreak/>
              <w:t xml:space="preserve">numeral </w:t>
            </w:r>
            <w:r w:rsidRPr="00F63AD4">
              <w:rPr>
                <w:rFonts w:ascii="Verdana" w:hAnsi="Verdana" w:cs="Arial"/>
                <w:b/>
                <w:bCs/>
                <w:color w:val="000000" w:themeColor="text1"/>
              </w:rPr>
              <w:t>1.1 "Proyectos de construcción y/o ampliación y/o reconstrucción de vivienda(s) urbana(s)"</w:t>
            </w:r>
            <w:r w:rsidRPr="00F63AD4">
              <w:rPr>
                <w:rFonts w:ascii="Verdana" w:hAnsi="Verdana" w:cs="Arial"/>
                <w:color w:val="000000" w:themeColor="text1"/>
              </w:rPr>
              <w:t xml:space="preserve"> de la </w:t>
            </w:r>
            <w:r w:rsidRPr="00F63AD4">
              <w:rPr>
                <w:rFonts w:ascii="Verdana" w:hAnsi="Verdana" w:cs="Arial"/>
                <w:b/>
                <w:bCs/>
                <w:color w:val="000000" w:themeColor="text1"/>
              </w:rPr>
              <w:t>Matriz 1 – Experiencia del Sector Vivienda</w:t>
            </w:r>
            <w:r w:rsidRPr="00F63AD4">
              <w:rPr>
                <w:rFonts w:ascii="Verdana" w:hAnsi="Verdana" w:cs="Arial"/>
                <w:color w:val="000000" w:themeColor="text1"/>
              </w:rPr>
              <w:t>, por cuanto este contempla dicho criterio y permite explicar, mediante un ejemplo, la forma en que debe entenderse y acreditarse este requisito de experiencia.</w:t>
            </w:r>
          </w:p>
          <w:p w14:paraId="17B6A1DB"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Esta actividad 1.1 contenida en la Matriz 1 del Sector Vivienda, aplica para proyectos de construcción y/o ampliación y/o reconstrucción que recaigan sobre vivienda(s) urbana(s) y en adición a lo anterior, dicha Matriz 1 establece los siguientes requisitos de experiencia general y específica, además de un porcentaje (%) de dimensionamiento según la magnitud requerida en el proceso de contratación:</w:t>
            </w:r>
          </w:p>
          <w:p w14:paraId="546C0B2D"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“GENERAL:</w:t>
            </w:r>
          </w:p>
          <w:p w14:paraId="4FF5952A"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PROYECTOS QUE CORRESPONDAN Y/O CONTEMPLEN ACTIVIDADES DE: CONSTRUCCIÓN Y/O AMPLIACIÓN Y/O RECONSTRUCCIÓN DE EDIFICACIONES</w:t>
            </w:r>
          </w:p>
          <w:p w14:paraId="1B68419B"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ESPECÍFICA:</w:t>
            </w:r>
          </w:p>
          <w:p w14:paraId="09A98684"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“Por lo menos uno (1) de los contratos válidos aportados como experiencia general debe contemplar un área construida igual o superior al (F%) del total de metros cuadrados del proceso de selección, el cuál corresponde a [La Entidad indicará los metros cuadrados para el proceso de selección]</w:t>
            </w:r>
          </w:p>
          <w:p w14:paraId="479A3A10"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Nota general para experiencia específica: En el caso en el cual, debido a la magnitud física que sea empleada como variable para establecimiento del (F%) de dimensionamiento como experiencia específica, la Entidad podrá aceptar que el mismo sea acreditado con la sumatoria de máximo dos (2) de los contratos válidos aportados como experiencia, garantizando condiciones pluralistas y participativas, siendo requisitos adecuados y proporcionales.</w:t>
            </w:r>
          </w:p>
          <w:p w14:paraId="02B255ED"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w:t>
            </w:r>
          </w:p>
          <w:p w14:paraId="0E971DF9"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Porcentaje de Dimensionamiento:</w:t>
            </w:r>
          </w:p>
          <w:p w14:paraId="566587C4"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Valor de F% en función de las cuantías del proceso de contratación.</w:t>
            </w:r>
          </w:p>
          <w:p w14:paraId="10163E6D"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70% para los rangos entre Inferiores a 800 SMMLV, Entre 801 y 1500 SMMLV y Entre 1500 y 3000 SMMLV</w:t>
            </w:r>
          </w:p>
          <w:p w14:paraId="4065955E"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lastRenderedPageBreak/>
              <w:t>50% para rangos entre Inferiores a 3001 y 5000 SMMLV, y mayor o igual a 5001 SMMLV”.</w:t>
            </w:r>
          </w:p>
          <w:p w14:paraId="142012B7" w14:textId="77777777" w:rsidR="00DE1954" w:rsidRPr="00B51B75" w:rsidRDefault="00DE1954" w:rsidP="00CE2684">
            <w:pPr>
              <w:spacing w:after="120"/>
              <w:ind w:left="709" w:right="709"/>
              <w:jc w:val="both"/>
              <w:rPr>
                <w:rFonts w:ascii="Verdana" w:hAnsi="Verdana" w:cs="Arial"/>
                <w:color w:val="000000" w:themeColor="text1"/>
                <w:sz w:val="21"/>
                <w:szCs w:val="21"/>
              </w:rPr>
            </w:pPr>
          </w:p>
          <w:p w14:paraId="2D7AA89C"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De acuerdo con lo señalado, para acreditar la experiencia especifica contenida para la actividad 1.1, por lo menos uno de los contratos que se presenten dentro de la experiencia general, debe tener un área construida igual o superior al (F%) del total de metros cuadrados del proceso de selección. Ahora bien, la variable “F” corresponde al dimensionamiento que debe ser indicado por la entidad de acuerdo con el área del proceso de selección.</w:t>
            </w:r>
          </w:p>
          <w:p w14:paraId="55A33001"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w:t>
            </w:r>
          </w:p>
          <w:p w14:paraId="70756D34"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Ahora bien, con respecto a lo referente al “área construida o intervenida” en el documento base, se establece que la entidad deberá indicar el área estimada de intervención del proceso de contratación, siguiendo las instrucciones allí establecidas; es decir, señalando el área a construir y/o intervenir en m² y el valor correspondiente al presupuesto oficial.</w:t>
            </w:r>
          </w:p>
          <w:p w14:paraId="63EB51BC" w14:textId="77777777" w:rsidR="00DE1954"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En este sentido, conviene revisar la siguiente definición de “área construida” incluida en el anexo 5 – Glosario, de los documentos tipo, toda vez, que no es cierto que esta definición es ambigua, así:</w:t>
            </w:r>
          </w:p>
          <w:p w14:paraId="18211979" w14:textId="77777777" w:rsidR="00213563" w:rsidRDefault="00213563" w:rsidP="00CE2684">
            <w:pPr>
              <w:spacing w:after="120" w:line="276" w:lineRule="auto"/>
              <w:ind w:firstLine="709"/>
              <w:jc w:val="both"/>
              <w:rPr>
                <w:rFonts w:ascii="Verdana" w:hAnsi="Verdana" w:cs="Arial"/>
                <w:color w:val="000000" w:themeColor="text1"/>
              </w:rPr>
            </w:pPr>
          </w:p>
          <w:p w14:paraId="13829D6D" w14:textId="77777777" w:rsidR="00213563" w:rsidRPr="00B51B75" w:rsidRDefault="00213563" w:rsidP="00213563">
            <w:pPr>
              <w:spacing w:after="120" w:line="276" w:lineRule="auto"/>
              <w:jc w:val="both"/>
              <w:rPr>
                <w:rFonts w:ascii="Verdana" w:hAnsi="Verdana" w:cs="Arial"/>
                <w:color w:val="000000" w:themeColor="text1"/>
              </w:rPr>
            </w:pPr>
          </w:p>
          <w:p w14:paraId="55AB7E39" w14:textId="77777777" w:rsidR="00DE1954" w:rsidRPr="00B51B75" w:rsidRDefault="00DE1954" w:rsidP="00CE268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lastRenderedPageBreak/>
              <w:t>“Área construida: Se entiende como el área por edificar y/o edificada que se va a intervenir y que corresponde a la suma de las superficies de los pisos, excluyendo azoteas y áreas sin cubrir o techar. “</w:t>
            </w:r>
          </w:p>
          <w:p w14:paraId="2F16443F"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En adición a lo anterior, y conforme con lo determinado en el documento base —numeral 3.5— y en la Matriz 1 – Experiencia Sector Vivienda, las entidades deben definir los metros cuadrados (m²) que solicitarán, de acuerdo con las características técnicas del proceso de selección. Así, respecto de la pregunta: “¿Cómo debe definirse el dimensionamiento al definir “área construida o intervenida (…)?”, debe indicarse que, para calcular el área del proceso de selección, las entidades pueden utilizar criterios de estimación de cantidades o unidades de referencia para definir el área del proyecto.</w:t>
            </w:r>
          </w:p>
          <w:p w14:paraId="0445022D"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En este contexto, se debe indicar que el área de intervención corresponderá a la superficie construida en la que se ejecutarán las actividades, determinada a partir del levantamiento físico de los espacios objeto de intervención, definidos en los documentos técnicos.</w:t>
            </w:r>
          </w:p>
          <w:p w14:paraId="6671314B" w14:textId="77777777" w:rsidR="00DE1954" w:rsidRPr="00B51B75" w:rsidRDefault="00DE1954" w:rsidP="00CE268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Por ejemplo, para un proyecto de mantenimiento de vivienda, dichas áreas podrían calcularse, entre otros métodos, de la siguiente manera:</w:t>
            </w:r>
          </w:p>
          <w:p w14:paraId="1F7CE5E3" w14:textId="77777777" w:rsidR="00DE1954" w:rsidRPr="00B51B75" w:rsidRDefault="00DE1954" w:rsidP="00CE268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“a. Realizando un levantamiento o plano de la vivienda en donde se identifiquen los espacios a intervenir, por ejemplo: cocina, habitaciones, baños, cubiertas, pisos y muros, entre otros.</w:t>
            </w:r>
          </w:p>
          <w:p w14:paraId="158BEE90" w14:textId="77777777" w:rsidR="00DE1954" w:rsidRPr="00B51B75" w:rsidRDefault="00DE1954" w:rsidP="00CE268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b. Calculando el área de cada uno de los espacios, según las tipologías de mejoramiento o intervención.</w:t>
            </w:r>
          </w:p>
          <w:p w14:paraId="344BCD86" w14:textId="77777777" w:rsidR="00DE1954" w:rsidRPr="00B51B75" w:rsidRDefault="00DE1954" w:rsidP="00CE268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c. El área total de la vivienda corresponderá a la sumatoria de cada una de las áreas de los espacios a intervenir, la cual será el área promedio estimada por vivienda.</w:t>
            </w:r>
          </w:p>
          <w:p w14:paraId="5B1864E5" w14:textId="77777777" w:rsidR="00DE1954" w:rsidRPr="00B51B75" w:rsidRDefault="00DE1954" w:rsidP="00CE268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d. De acuerdo con el diagnóstico técnico estimado de cada vivienda, se definirá el área real; esta podrá multiplicarse por el número de viviendas intervenidas, de acuerdo con los componentes o tipos de mejoramiento”.</w:t>
            </w:r>
          </w:p>
          <w:p w14:paraId="51E38F84" w14:textId="77777777" w:rsidR="00DE1954" w:rsidRPr="00B51B75" w:rsidRDefault="00DE1954" w:rsidP="00CE2684">
            <w:pPr>
              <w:spacing w:after="120" w:line="276" w:lineRule="auto"/>
              <w:jc w:val="both"/>
              <w:rPr>
                <w:rFonts w:ascii="Verdana" w:hAnsi="Verdana" w:cs="Arial"/>
                <w:color w:val="000000" w:themeColor="text1"/>
              </w:rPr>
            </w:pPr>
            <w:r w:rsidRPr="00B51B75">
              <w:rPr>
                <w:rFonts w:ascii="Verdana" w:hAnsi="Verdana" w:cs="Arial"/>
                <w:color w:val="000000" w:themeColor="text1"/>
              </w:rPr>
              <w:t>Por otro lado, hay que indicar que a través del presente se da un ejemplo de cómo determinar el área de intervención, sin embargo, le corresponde a la entidad que adelanta el proceso de selección definir las alternativas para determinarla con base en criterios técnicos, el alcance del proyecto y los estudios previos del respectivo proceso.</w:t>
            </w:r>
          </w:p>
        </w:tc>
      </w:tr>
    </w:tbl>
    <w:p w14:paraId="49B7321A" w14:textId="77777777" w:rsidR="00DE1954" w:rsidRPr="00B51B75" w:rsidRDefault="00DE1954" w:rsidP="00DE1954">
      <w:pPr>
        <w:tabs>
          <w:tab w:val="left" w:pos="142"/>
          <w:tab w:val="left" w:pos="284"/>
        </w:tabs>
        <w:spacing w:after="0" w:line="276" w:lineRule="auto"/>
        <w:ind w:left="142" w:hanging="142"/>
        <w:jc w:val="both"/>
        <w:rPr>
          <w:rFonts w:ascii="Verdana" w:eastAsia="Century Gothic" w:hAnsi="Verdana" w:cs="Century Gothic"/>
          <w:b/>
          <w:bCs/>
          <w:color w:val="000000" w:themeColor="text1"/>
          <w:lang w:val="es-ES"/>
        </w:rPr>
      </w:pPr>
    </w:p>
    <w:p w14:paraId="1409E35E" w14:textId="77777777" w:rsidR="00DE1954" w:rsidRPr="00B51B75" w:rsidRDefault="00DE1954" w:rsidP="00DE1954">
      <w:pPr>
        <w:numPr>
          <w:ilvl w:val="0"/>
          <w:numId w:val="16"/>
        </w:numPr>
        <w:tabs>
          <w:tab w:val="left" w:pos="142"/>
          <w:tab w:val="left" w:pos="284"/>
        </w:tabs>
        <w:spacing w:after="0" w:line="276" w:lineRule="auto"/>
        <w:contextualSpacing/>
        <w:jc w:val="both"/>
        <w:rPr>
          <w:rFonts w:ascii="Verdana" w:eastAsia="Calibri" w:hAnsi="Verdana" w:cs="Arial"/>
          <w:color w:val="000000" w:themeColor="text1"/>
          <w:lang w:val="es-ES" w:eastAsia="es-MX"/>
        </w:rPr>
      </w:pPr>
      <w:r w:rsidRPr="00B51B75">
        <w:rPr>
          <w:rFonts w:ascii="Verdana" w:eastAsia="Century Gothic" w:hAnsi="Verdana" w:cs="Century Gothic"/>
          <w:b/>
          <w:bCs/>
          <w:color w:val="000000" w:themeColor="text1"/>
          <w:lang w:val="es-ES"/>
        </w:rPr>
        <w:lastRenderedPageBreak/>
        <w:t>Razones de la respuesta:</w:t>
      </w:r>
    </w:p>
    <w:p w14:paraId="5A645168" w14:textId="77777777" w:rsidR="00DE1954" w:rsidRPr="00B51B75" w:rsidRDefault="00DE1954" w:rsidP="00DE1954">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5593EED4" w14:textId="77777777" w:rsidR="00DE1954" w:rsidRPr="00B51B75" w:rsidRDefault="00DE1954" w:rsidP="00DE1954">
      <w:pPr>
        <w:tabs>
          <w:tab w:val="left" w:pos="142"/>
          <w:tab w:val="left" w:pos="284"/>
        </w:tabs>
        <w:spacing w:after="0" w:line="276" w:lineRule="auto"/>
        <w:contextualSpacing/>
        <w:jc w:val="both"/>
        <w:rPr>
          <w:rFonts w:ascii="Verdana" w:eastAsia="Calibri" w:hAnsi="Verdana" w:cs="Arial"/>
          <w:color w:val="000000" w:themeColor="text1"/>
          <w:lang w:val="es-ES" w:eastAsia="es-MX"/>
        </w:rPr>
      </w:pPr>
      <w:r w:rsidRPr="00B51B75">
        <w:rPr>
          <w:rFonts w:ascii="Verdana" w:eastAsia="Calibri" w:hAnsi="Verdana" w:cs="Arial"/>
          <w:color w:val="000000" w:themeColor="text1"/>
          <w:lang w:val="es-ES" w:eastAsia="es-MX"/>
        </w:rPr>
        <w:t xml:space="preserve">Lo anterior se sustenta en las siguientes consideraciones: </w:t>
      </w:r>
    </w:p>
    <w:p w14:paraId="273E1202" w14:textId="77777777" w:rsidR="00DE1954" w:rsidRPr="00B51B75" w:rsidRDefault="00DE1954" w:rsidP="00DE1954">
      <w:pPr>
        <w:spacing w:after="0" w:line="276" w:lineRule="auto"/>
        <w:jc w:val="both"/>
        <w:rPr>
          <w:rFonts w:ascii="Verdana" w:eastAsia="Calibri" w:hAnsi="Verdana" w:cs="Arial"/>
          <w:color w:val="000000" w:themeColor="text1"/>
          <w:lang w:val="es-ES" w:eastAsia="es-MX"/>
        </w:rPr>
      </w:pPr>
    </w:p>
    <w:p w14:paraId="1345AC26" w14:textId="77777777" w:rsidR="00DE1954" w:rsidRPr="00B51B75" w:rsidRDefault="00DE1954" w:rsidP="00DE1954">
      <w:pPr>
        <w:spacing w:after="120" w:line="276" w:lineRule="auto"/>
        <w:jc w:val="both"/>
        <w:rPr>
          <w:rFonts w:ascii="Verdana" w:eastAsia="Aptos" w:hAnsi="Verdana" w:cs="Arial"/>
          <w:color w:val="000000" w:themeColor="text1"/>
          <w:lang w:eastAsia="es-MX"/>
        </w:rPr>
      </w:pPr>
      <w:r w:rsidRPr="00B51B75">
        <w:rPr>
          <w:rFonts w:ascii="Verdana" w:eastAsia="Aptos" w:hAnsi="Verdana" w:cs="Arial"/>
          <w:color w:val="000000" w:themeColor="text1"/>
          <w:lang w:eastAsia="es-MX"/>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2E9E3FA" w14:textId="77777777" w:rsidR="00DE1954" w:rsidRPr="00B51B75" w:rsidRDefault="00DE1954" w:rsidP="00DE1954">
      <w:pPr>
        <w:spacing w:after="120" w:line="276" w:lineRule="auto"/>
        <w:ind w:firstLine="708"/>
        <w:jc w:val="both"/>
        <w:rPr>
          <w:rFonts w:ascii="Verdana" w:eastAsia="Aptos" w:hAnsi="Verdana" w:cs="Arial"/>
          <w:color w:val="000000" w:themeColor="text1"/>
          <w:lang w:eastAsia="es-MX"/>
        </w:rPr>
      </w:pPr>
      <w:r w:rsidRPr="00B51B75">
        <w:rPr>
          <w:rFonts w:ascii="Verdana" w:eastAsia="Aptos" w:hAnsi="Verdana" w:cs="Arial"/>
          <w:color w:val="000000" w:themeColor="text1"/>
          <w:lang w:val="es-ES" w:eastAsia="es-MX"/>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1DBD42D"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r w:rsidRPr="00B51B75">
        <w:rPr>
          <w:rFonts w:ascii="Verdana" w:eastAsia="Aptos" w:hAnsi="Verdana" w:cs="Arial"/>
          <w:color w:val="000000" w:themeColor="text1"/>
          <w:lang w:eastAsia="es-MX"/>
        </w:rPr>
        <w:t xml:space="preserve">En el sector social, </w:t>
      </w:r>
      <w:r w:rsidRPr="00B51B75">
        <w:rPr>
          <w:rFonts w:ascii="Verdana" w:eastAsia="Calibri" w:hAnsi="Verdana" w:cs="Arial"/>
          <w:color w:val="000000" w:themeColor="text1"/>
          <w:lang w:val="es-MX" w:eastAsia="es-MX"/>
        </w:rPr>
        <w:t xml:space="preserve">la Agencia Nacional de Contratación Pública – Colombia Compra </w:t>
      </w:r>
      <w:r w:rsidRPr="00B51B75">
        <w:rPr>
          <w:rFonts w:ascii="Verdana" w:eastAsia="Calibri" w:hAnsi="Verdana" w:cs="Arial"/>
          <w:color w:val="000000" w:themeColor="text1"/>
          <w:lang w:eastAsia="es-MX"/>
        </w:rPr>
        <w:t xml:space="preserve">Eficiente </w:t>
      </w:r>
      <w:r w:rsidRPr="00B51B75">
        <w:rPr>
          <w:rFonts w:ascii="Verdana" w:eastAsia="Times New Roman" w:hAnsi="Verdana" w:cs="Times New Roman"/>
          <w:color w:val="000000" w:themeColor="text1"/>
          <w:lang w:eastAsia="es-CO"/>
        </w:rPr>
        <w:t>en el segundo semestre del año 2025 adoptó las siguientes Resoluciones para contratar obra pública y concurso de méritos:</w:t>
      </w:r>
    </w:p>
    <w:p w14:paraId="39677A9F"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r w:rsidRPr="00B51B75">
        <w:rPr>
          <w:rFonts w:ascii="Verdana" w:eastAsia="Times New Roman" w:hAnsi="Verdana" w:cs="Times New Roman"/>
          <w:color w:val="000000" w:themeColor="text1"/>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51D7E90C"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r w:rsidRPr="00B51B75">
        <w:rPr>
          <w:rFonts w:ascii="Verdana" w:eastAsia="Times New Roman" w:hAnsi="Verdana" w:cs="Times New Roman"/>
          <w:color w:val="000000" w:themeColor="text1"/>
          <w:lang w:eastAsia="es-CO"/>
        </w:rPr>
        <w:t xml:space="preserve"> </w:t>
      </w:r>
      <w:proofErr w:type="spellStart"/>
      <w:r w:rsidRPr="00B51B75">
        <w:rPr>
          <w:rFonts w:ascii="Verdana" w:eastAsia="Times New Roman" w:hAnsi="Verdana" w:cs="Times New Roman"/>
          <w:color w:val="000000" w:themeColor="text1"/>
          <w:lang w:eastAsia="es-CO"/>
        </w:rPr>
        <w:t>ii</w:t>
      </w:r>
      <w:proofErr w:type="spellEnd"/>
      <w:r w:rsidRPr="00B51B75">
        <w:rPr>
          <w:rFonts w:ascii="Verdana" w:eastAsia="Times New Roman" w:hAnsi="Verdana" w:cs="Times New Roman"/>
          <w:color w:val="000000" w:themeColor="text1"/>
          <w:lang w:eastAsia="es-CO"/>
        </w:rPr>
        <w:t xml:space="preserve">) Resolución 540 del 21 de agosto de 2025 "Por la cual se adoptan los Documentos Tipo para los procesos de selección abreviada de menor cuantía de obra pública de infraestructura social; y los Documentos Tipo complementarios </w:t>
      </w:r>
      <w:r w:rsidRPr="00B51B75">
        <w:rPr>
          <w:rFonts w:ascii="Verdana" w:eastAsia="Times New Roman" w:hAnsi="Verdana" w:cs="Times New Roman"/>
          <w:color w:val="000000" w:themeColor="text1"/>
          <w:lang w:eastAsia="es-CO"/>
        </w:rPr>
        <w:lastRenderedPageBreak/>
        <w:t>para los procesos de selección abreviada de menor cuantía de obra pública de infraestructura social relacionados con los sectores educación, salud, cultura, recreación y deporte, institucional y vivienda".</w:t>
      </w:r>
    </w:p>
    <w:p w14:paraId="63144F8B"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proofErr w:type="spellStart"/>
      <w:r w:rsidRPr="00B51B75">
        <w:rPr>
          <w:rFonts w:ascii="Verdana" w:eastAsia="Times New Roman" w:hAnsi="Verdana" w:cs="Times New Roman"/>
          <w:color w:val="000000" w:themeColor="text1"/>
          <w:lang w:eastAsia="es-CO"/>
        </w:rPr>
        <w:t>iii</w:t>
      </w:r>
      <w:proofErr w:type="spellEnd"/>
      <w:r w:rsidRPr="00B51B75">
        <w:rPr>
          <w:rFonts w:ascii="Verdana" w:eastAsia="Times New Roman" w:hAnsi="Verdana" w:cs="Times New Roman"/>
          <w:color w:val="000000" w:themeColor="text1"/>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D3C6DB3"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proofErr w:type="spellStart"/>
      <w:r w:rsidRPr="00B51B75">
        <w:rPr>
          <w:rFonts w:ascii="Verdana" w:eastAsia="Times New Roman" w:hAnsi="Verdana" w:cs="Times New Roman"/>
          <w:color w:val="000000" w:themeColor="text1"/>
          <w:lang w:eastAsia="es-CO"/>
        </w:rPr>
        <w:t>iv</w:t>
      </w:r>
      <w:proofErr w:type="spellEnd"/>
      <w:r w:rsidRPr="00B51B75">
        <w:rPr>
          <w:rFonts w:ascii="Verdana" w:eastAsia="Times New Roman" w:hAnsi="Verdana" w:cs="Times New Roman"/>
          <w:color w:val="000000" w:themeColor="text1"/>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32493C94" w14:textId="77777777" w:rsidR="00DE1954" w:rsidRPr="00B51B75" w:rsidRDefault="00DE1954" w:rsidP="00DE1954">
      <w:pPr>
        <w:spacing w:after="120" w:line="276" w:lineRule="auto"/>
        <w:ind w:firstLine="708"/>
        <w:jc w:val="both"/>
        <w:rPr>
          <w:rFonts w:ascii="Verdana" w:eastAsia="Times New Roman" w:hAnsi="Verdana" w:cs="Times New Roman"/>
          <w:color w:val="000000" w:themeColor="text1"/>
          <w:lang w:eastAsia="es-CO"/>
        </w:rPr>
      </w:pPr>
      <w:r w:rsidRPr="00B51B75">
        <w:rPr>
          <w:rFonts w:ascii="Verdana" w:eastAsia="Times New Roman" w:hAnsi="Verdana" w:cs="Times New Roman"/>
          <w:color w:val="000000" w:themeColor="text1"/>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B51B75">
        <w:rPr>
          <w:rFonts w:ascii="Verdana" w:eastAsia="Aptos" w:hAnsi="Verdana" w:cs="Times New Roman"/>
          <w:color w:val="000000" w:themeColor="text1"/>
          <w:lang w:eastAsia="es-MX"/>
        </w:rPr>
        <w:t xml:space="preserve"> </w:t>
      </w:r>
    </w:p>
    <w:p w14:paraId="3EA5B75B" w14:textId="77777777" w:rsidR="00DE1954" w:rsidRPr="00B51B75" w:rsidRDefault="00DE1954" w:rsidP="00DE1954">
      <w:pPr>
        <w:spacing w:after="120" w:line="276" w:lineRule="auto"/>
        <w:ind w:firstLine="708"/>
        <w:jc w:val="both"/>
        <w:textAlignment w:val="baseline"/>
        <w:rPr>
          <w:rFonts w:ascii="Verdana" w:eastAsia="Calibri" w:hAnsi="Verdana" w:cs="Arial"/>
          <w:color w:val="000000" w:themeColor="text1"/>
          <w:lang w:eastAsia="es-MX"/>
        </w:rPr>
      </w:pPr>
      <w:r w:rsidRPr="00B51B75">
        <w:rPr>
          <w:rFonts w:ascii="Verdana" w:eastAsia="Aptos" w:hAnsi="Verdana" w:cs="Times New Roman"/>
          <w:color w:val="000000" w:themeColor="text1"/>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B51B75">
        <w:rPr>
          <w:rFonts w:ascii="Verdana" w:eastAsia="Calibri" w:hAnsi="Verdana" w:cs="Arial"/>
          <w:color w:val="000000" w:themeColor="text1"/>
          <w:vertAlign w:val="superscript"/>
          <w:lang w:eastAsia="es-MX"/>
        </w:rPr>
        <w:footnoteReference w:id="1"/>
      </w:r>
      <w:r w:rsidRPr="00B51B75">
        <w:rPr>
          <w:rFonts w:ascii="Verdana" w:eastAsia="Calibri" w:hAnsi="Verdana" w:cs="Arial"/>
          <w:color w:val="000000" w:themeColor="text1"/>
          <w:lang w:eastAsia="es-MX"/>
        </w:rPr>
        <w:t>.</w:t>
      </w:r>
    </w:p>
    <w:p w14:paraId="767803BC" w14:textId="77777777" w:rsidR="00DE1954" w:rsidRPr="00B51B75" w:rsidRDefault="00DE1954" w:rsidP="00DE1954">
      <w:pPr>
        <w:widowControl w:val="0"/>
        <w:autoSpaceDE w:val="0"/>
        <w:autoSpaceDN w:val="0"/>
        <w:spacing w:after="120" w:line="276" w:lineRule="auto"/>
        <w:ind w:firstLine="708"/>
        <w:jc w:val="both"/>
        <w:rPr>
          <w:rFonts w:ascii="Verdana" w:eastAsia="Calibri" w:hAnsi="Verdana" w:cs="Arial"/>
          <w:color w:val="000000" w:themeColor="text1"/>
          <w:kern w:val="2"/>
          <w14:ligatures w14:val="standardContextual"/>
        </w:rPr>
      </w:pPr>
      <w:r w:rsidRPr="00B51B75">
        <w:rPr>
          <w:rFonts w:ascii="Verdana" w:eastAsia="Calibri" w:hAnsi="Verdana" w:cs="Arial"/>
          <w:color w:val="000000" w:themeColor="text1"/>
          <w:kern w:val="2"/>
          <w14:ligatures w14:val="standardContextual"/>
        </w:rPr>
        <w:lastRenderedPageBreak/>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 </w:t>
      </w:r>
    </w:p>
    <w:p w14:paraId="75342FCA" w14:textId="77777777" w:rsidR="00DE1954" w:rsidRDefault="00DE1954" w:rsidP="00DE1954">
      <w:pPr>
        <w:widowControl w:val="0"/>
        <w:autoSpaceDE w:val="0"/>
        <w:autoSpaceDN w:val="0"/>
        <w:spacing w:after="120" w:line="276" w:lineRule="auto"/>
        <w:ind w:firstLine="708"/>
        <w:jc w:val="both"/>
        <w:rPr>
          <w:rFonts w:ascii="Verdana" w:eastAsia="Calibri" w:hAnsi="Verdana" w:cs="Times New Roman"/>
          <w:color w:val="000000" w:themeColor="text1"/>
          <w:lang w:eastAsia="es-MX"/>
        </w:rPr>
      </w:pPr>
      <w:r w:rsidRPr="00780A50">
        <w:rPr>
          <w:rFonts w:ascii="Verdana" w:eastAsia="Calibri" w:hAnsi="Verdana" w:cs="Times New Roman"/>
          <w:color w:val="000000" w:themeColor="text1"/>
          <w:lang w:eastAsia="es-MX"/>
        </w:rPr>
        <w:t>Para establecer si un objeto contractual está cobijado por los documentos tipo, la entidad debe verificar si se enmarca en los tipos de infraestructura, modalidades de selección y actividades estandarizadas en las matrices de experiencia.  La Matriz de Experiencia cumple una doble función. Por una parte, estandariza las condiciones de experiencia, de conformidad con el parágrafo 7 del artículo 2 de la Ley 1150 de 2007. Por otra, permite definir el ámbito de aplicación de los documentos tipo, ya que las actividades allí descritas son las que determinan su obligatoriedad. Por tanto, si el objeto contractual encaja materialmente en alguna de esas actividades, deberán aplicarse los documentos tipo del sector correspondiente; en caso contrario, su aplicación no será obligatoria.</w:t>
      </w:r>
    </w:p>
    <w:p w14:paraId="6E1A592F" w14:textId="77777777" w:rsidR="00DE1954" w:rsidRPr="002C0778" w:rsidRDefault="00DE1954" w:rsidP="00DE1954">
      <w:pPr>
        <w:widowControl w:val="0"/>
        <w:autoSpaceDE w:val="0"/>
        <w:autoSpaceDN w:val="0"/>
        <w:spacing w:after="120" w:line="276" w:lineRule="auto"/>
        <w:jc w:val="both"/>
        <w:rPr>
          <w:rFonts w:ascii="Verdana" w:eastAsia="Calibri" w:hAnsi="Verdana" w:cs="Times New Roman"/>
          <w:color w:val="000000" w:themeColor="text1"/>
          <w:lang w:eastAsia="es-MX"/>
        </w:rPr>
      </w:pPr>
      <w:r>
        <w:rPr>
          <w:rFonts w:ascii="Verdana" w:eastAsia="Calibri" w:hAnsi="Verdana" w:cs="Times New Roman"/>
          <w:color w:val="000000" w:themeColor="text1"/>
          <w:lang w:eastAsia="es-MX"/>
        </w:rPr>
        <w:lastRenderedPageBreak/>
        <w:t xml:space="preserve">II). </w:t>
      </w:r>
      <w:r w:rsidRPr="003865DA">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3DC4335" w14:textId="77777777" w:rsidR="00DE1954" w:rsidRPr="003B3006" w:rsidRDefault="00DE1954" w:rsidP="00DE1954">
      <w:pPr>
        <w:widowControl w:val="0"/>
        <w:autoSpaceDE w:val="0"/>
        <w:autoSpaceDN w:val="0"/>
        <w:spacing w:after="120" w:line="276" w:lineRule="auto"/>
        <w:ind w:firstLine="708"/>
        <w:jc w:val="both"/>
        <w:rPr>
          <w:rFonts w:ascii="Verdana" w:eastAsia="Calibri" w:hAnsi="Verdana" w:cs="Times New Roman"/>
          <w:color w:val="000000" w:themeColor="text1"/>
          <w:lang w:val="es-ES" w:eastAsia="es-MX"/>
        </w:rPr>
      </w:pPr>
      <w:r w:rsidRPr="003B3006">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40B07B8" w14:textId="77777777" w:rsidR="00DE1954" w:rsidRDefault="00DE1954" w:rsidP="00DE1954">
      <w:pPr>
        <w:widowControl w:val="0"/>
        <w:autoSpaceDE w:val="0"/>
        <w:autoSpaceDN w:val="0"/>
        <w:spacing w:after="120" w:line="276" w:lineRule="auto"/>
        <w:ind w:firstLine="708"/>
        <w:jc w:val="both"/>
        <w:rPr>
          <w:rFonts w:ascii="Verdana" w:eastAsia="Calibri" w:hAnsi="Verdana" w:cs="Times New Roman"/>
          <w:color w:val="000000" w:themeColor="text1"/>
          <w:lang w:val="es-ES" w:eastAsia="es-MX"/>
        </w:rPr>
      </w:pPr>
      <w:r w:rsidRPr="003B3006">
        <w:rPr>
          <w:rFonts w:ascii="Verdana" w:eastAsia="Calibri" w:hAnsi="Verdana" w:cs="Times New Roman"/>
          <w:lang w:val="es-ES"/>
        </w:rPr>
        <w:t xml:space="preserve">A efectos de la estandarización de las condiciones de experiencia, cada una de las actividades descritas en las matrices de experiencia tienen asignados unos requisitos generales y/o específicos, que puede exigir la entidad estatal y que deben acreditar los proponentes para participar en los procesos de contratación cuyos objetos correspondan con la actividad para la que se contemplan los mencionados requerimientos. </w:t>
      </w:r>
    </w:p>
    <w:p w14:paraId="2633F1EA" w14:textId="77777777" w:rsidR="00DE1954" w:rsidRDefault="00DE1954" w:rsidP="00DE1954">
      <w:pPr>
        <w:widowControl w:val="0"/>
        <w:autoSpaceDE w:val="0"/>
        <w:autoSpaceDN w:val="0"/>
        <w:spacing w:after="120" w:line="276" w:lineRule="auto"/>
        <w:ind w:firstLine="708"/>
        <w:jc w:val="both"/>
        <w:rPr>
          <w:rFonts w:ascii="Verdana" w:eastAsia="Calibri" w:hAnsi="Verdana" w:cs="Times New Roman"/>
          <w:color w:val="000000" w:themeColor="text1"/>
          <w:lang w:eastAsia="es-MX"/>
        </w:rPr>
      </w:pPr>
      <w:r w:rsidRPr="00F32E61">
        <w:rPr>
          <w:rFonts w:ascii="Verdana" w:eastAsia="Calibri" w:hAnsi="Verdana" w:cs="Times New Roman"/>
          <w:lang w:val="es-ES"/>
        </w:rPr>
        <w:t>En ese orden, cada entidad estatal deberá determinar la experiencia general y específica que debe acreditarse en cada procedimiento de selección, en función del objeto contractual. En desarrollo de ese análisis, teniendo en cuenta también las definiciones del Glosario, la entidad estatal deberá determinar si el objeto contractual se enmarca en alguno de los tipos de actividades, identificadas con un número y su descripción en la matriz de experiencia. De esta manera, deberá aplicar estrictamente lo contenido en dicha matriz. Por tanto, no podrá incluir, modificar, suprimir o alterar las condiciones de experiencia allí establecidas, salvo cuando de forma expresa esta lo determine.</w:t>
      </w:r>
    </w:p>
    <w:p w14:paraId="31D47035" w14:textId="77777777" w:rsidR="00DE1954" w:rsidRDefault="00DE1954" w:rsidP="00DE1954">
      <w:pPr>
        <w:widowControl w:val="0"/>
        <w:autoSpaceDE w:val="0"/>
        <w:autoSpaceDN w:val="0"/>
        <w:spacing w:after="120" w:line="276" w:lineRule="auto"/>
        <w:ind w:firstLine="708"/>
        <w:jc w:val="both"/>
        <w:rPr>
          <w:rFonts w:ascii="Verdana" w:eastAsia="Calibri" w:hAnsi="Verdana" w:cs="Times New Roman"/>
          <w:lang w:val="es-ES"/>
        </w:rPr>
      </w:pPr>
      <w:r w:rsidRPr="00CF7733">
        <w:rPr>
          <w:rFonts w:ascii="Verdana" w:eastAsia="Calibri" w:hAnsi="Verdana" w:cs="Times New Roman"/>
          <w:lang w:val="es-ES"/>
        </w:rPr>
        <w:t xml:space="preserve">Conforme a lo anterior, las entidades estatales que adelanten procesos de contratación de licitación de obra pública de infraestructura social asociados a los sectores educativo, </w:t>
      </w:r>
      <w:r>
        <w:rPr>
          <w:rFonts w:ascii="Verdana" w:eastAsia="Calibri" w:hAnsi="Verdana" w:cs="Times New Roman"/>
          <w:lang w:val="es-ES"/>
        </w:rPr>
        <w:t xml:space="preserve">institucional, </w:t>
      </w:r>
      <w:r w:rsidRPr="00CF7733">
        <w:rPr>
          <w:rFonts w:ascii="Verdana" w:eastAsia="Calibri" w:hAnsi="Verdana" w:cs="Times New Roman"/>
          <w:lang w:val="es-ES"/>
        </w:rPr>
        <w:t>salud</w:t>
      </w:r>
      <w:r>
        <w:rPr>
          <w:rFonts w:ascii="Verdana" w:eastAsia="Calibri" w:hAnsi="Verdana" w:cs="Times New Roman"/>
          <w:lang w:val="es-ES"/>
        </w:rPr>
        <w:t>, c</w:t>
      </w:r>
      <w:r w:rsidRPr="00CF7733">
        <w:rPr>
          <w:rFonts w:ascii="Verdana" w:eastAsia="Calibri" w:hAnsi="Verdana" w:cs="Times New Roman"/>
          <w:lang w:val="es-ES"/>
        </w:rPr>
        <w:t>ultura, recreación y deporte</w:t>
      </w:r>
      <w:r>
        <w:rPr>
          <w:rFonts w:ascii="Verdana" w:eastAsia="Calibri" w:hAnsi="Verdana" w:cs="Times New Roman"/>
          <w:lang w:val="es-ES"/>
        </w:rPr>
        <w:t xml:space="preserve"> y </w:t>
      </w:r>
      <w:r>
        <w:rPr>
          <w:rFonts w:ascii="Verdana" w:eastAsia="Calibri" w:hAnsi="Verdana" w:cs="Times New Roman"/>
          <w:lang w:val="es-ES"/>
        </w:rPr>
        <w:lastRenderedPageBreak/>
        <w:t>vivienda</w:t>
      </w:r>
      <w:r w:rsidRPr="00CF7733">
        <w:rPr>
          <w:rFonts w:ascii="Verdana" w:eastAsia="Calibri" w:hAnsi="Verdana" w:cs="Times New Roman"/>
          <w:lang w:val="es-ES"/>
        </w:rPr>
        <w:t>, deben definir la experiencia exigible, teniendo en cuenta las condiciones fijadas en las matrices de experiencia, de acuerdo con los siguientes pasos</w:t>
      </w:r>
      <w:r w:rsidRPr="00CF7733">
        <w:rPr>
          <w:rFonts w:ascii="Verdana" w:eastAsia="Calibri" w:hAnsi="Verdana" w:cs="Times New Roman"/>
          <w:vertAlign w:val="superscript"/>
          <w:lang w:val="es-ES"/>
        </w:rPr>
        <w:footnoteReference w:id="2"/>
      </w:r>
      <w:r w:rsidRPr="00CF7733">
        <w:rPr>
          <w:rFonts w:ascii="Verdana" w:eastAsia="Calibri" w:hAnsi="Verdana" w:cs="Times New Roman"/>
          <w:lang w:val="es-ES"/>
        </w:rPr>
        <w:t>:</w:t>
      </w:r>
    </w:p>
    <w:p w14:paraId="3DE15EB2" w14:textId="77777777" w:rsidR="00DE1954" w:rsidRPr="002E43EB" w:rsidRDefault="00DE1954" w:rsidP="00DE1954">
      <w:pPr>
        <w:widowControl w:val="0"/>
        <w:autoSpaceDE w:val="0"/>
        <w:autoSpaceDN w:val="0"/>
        <w:spacing w:after="120" w:line="240" w:lineRule="auto"/>
        <w:ind w:left="709" w:right="709" w:firstLine="708"/>
        <w:jc w:val="both"/>
        <w:rPr>
          <w:rFonts w:ascii="Verdana" w:eastAsia="Calibri" w:hAnsi="Verdana" w:cs="Times New Roman"/>
          <w:sz w:val="21"/>
          <w:szCs w:val="21"/>
          <w:u w:val="single"/>
          <w:lang w:val="es-ES"/>
        </w:rPr>
      </w:pPr>
      <w:r>
        <w:rPr>
          <w:rFonts w:ascii="Verdana" w:eastAsia="Calibri" w:hAnsi="Verdana" w:cs="Times New Roman"/>
          <w:sz w:val="21"/>
          <w:szCs w:val="21"/>
          <w:u w:val="single"/>
          <w:lang w:val="es-ES"/>
        </w:rPr>
        <w:t>“</w:t>
      </w:r>
      <w:r w:rsidRPr="002E43EB">
        <w:rPr>
          <w:rFonts w:ascii="Verdana" w:eastAsia="Calibri" w:hAnsi="Verdana" w:cs="Times New Roman"/>
          <w:sz w:val="21"/>
          <w:szCs w:val="21"/>
          <w:u w:val="single"/>
          <w:lang w:val="es-ES"/>
        </w:rPr>
        <w:t>2.3. Establecimiento de las condiciones de experiencia general, específica y % de dimensionamiento</w:t>
      </w:r>
      <w:r w:rsidRPr="002E43EB">
        <w:rPr>
          <w:rFonts w:ascii="Verdana" w:eastAsia="Calibri" w:hAnsi="Verdana" w:cs="Times New Roman"/>
          <w:sz w:val="21"/>
          <w:szCs w:val="21"/>
          <w:u w:val="single"/>
          <w:lang w:val="es-ES"/>
        </w:rPr>
        <w:tab/>
      </w:r>
      <w:r w:rsidRPr="002E43EB">
        <w:rPr>
          <w:rFonts w:ascii="Verdana" w:eastAsia="Calibri" w:hAnsi="Verdana" w:cs="Times New Roman"/>
          <w:sz w:val="21"/>
          <w:szCs w:val="21"/>
          <w:u w:val="single"/>
          <w:lang w:val="es-ES"/>
        </w:rPr>
        <w:tab/>
      </w:r>
      <w:r w:rsidRPr="002E43EB">
        <w:rPr>
          <w:rFonts w:ascii="Verdana" w:eastAsia="Calibri" w:hAnsi="Verdana" w:cs="Times New Roman"/>
          <w:sz w:val="21"/>
          <w:szCs w:val="21"/>
          <w:u w:val="single"/>
          <w:lang w:val="es-ES"/>
        </w:rPr>
        <w:tab/>
      </w:r>
      <w:r w:rsidRPr="002E43EB">
        <w:rPr>
          <w:rFonts w:ascii="Verdana" w:eastAsia="Calibri" w:hAnsi="Verdana" w:cs="Times New Roman"/>
          <w:sz w:val="21"/>
          <w:szCs w:val="21"/>
          <w:u w:val="single"/>
          <w:lang w:val="es-ES"/>
        </w:rPr>
        <w:tab/>
      </w:r>
    </w:p>
    <w:p w14:paraId="09FAAA69" w14:textId="77777777" w:rsidR="00DE1954" w:rsidRPr="00271652" w:rsidRDefault="00DE1954" w:rsidP="00DE1954">
      <w:pPr>
        <w:widowControl w:val="0"/>
        <w:autoSpaceDE w:val="0"/>
        <w:autoSpaceDN w:val="0"/>
        <w:spacing w:after="120" w:line="240" w:lineRule="auto"/>
        <w:ind w:left="709" w:right="709" w:firstLine="708"/>
        <w:jc w:val="both"/>
        <w:rPr>
          <w:rFonts w:ascii="Verdana" w:eastAsia="Calibri" w:hAnsi="Verdana" w:cs="Times New Roman"/>
          <w:sz w:val="21"/>
          <w:szCs w:val="21"/>
          <w:lang w:val="es-ES"/>
        </w:rPr>
      </w:pPr>
      <w:r w:rsidRPr="00271652">
        <w:rPr>
          <w:rFonts w:ascii="Verdana" w:eastAsia="Calibri" w:hAnsi="Verdana" w:cs="Times New Roman"/>
          <w:sz w:val="21"/>
          <w:szCs w:val="21"/>
          <w:lang w:val="es-ES"/>
        </w:rPr>
        <w:t>Una vez fue determinada o establecida la "actividad a contratar" requerida por la entidad estatal, se procederá a identificar la experiencia general y específica.</w:t>
      </w:r>
    </w:p>
    <w:p w14:paraId="70682627" w14:textId="77777777" w:rsidR="00DE1954" w:rsidRPr="00271652" w:rsidRDefault="00DE1954" w:rsidP="00DE1954">
      <w:pPr>
        <w:widowControl w:val="0"/>
        <w:autoSpaceDE w:val="0"/>
        <w:autoSpaceDN w:val="0"/>
        <w:spacing w:after="120" w:line="240" w:lineRule="auto"/>
        <w:ind w:left="709" w:right="709" w:firstLine="708"/>
        <w:jc w:val="both"/>
        <w:rPr>
          <w:rFonts w:ascii="Verdana" w:eastAsia="Calibri" w:hAnsi="Verdana" w:cs="Times New Roman"/>
          <w:sz w:val="21"/>
          <w:szCs w:val="21"/>
          <w:lang w:val="es-ES"/>
        </w:rPr>
      </w:pPr>
      <w:r w:rsidRPr="00271652">
        <w:rPr>
          <w:rFonts w:ascii="Verdana" w:eastAsia="Calibri" w:hAnsi="Verdana" w:cs="Arial"/>
          <w:noProof/>
          <w:color w:val="000000"/>
          <w:sz w:val="21"/>
          <w:szCs w:val="21"/>
          <w:lang w:val="es-MX"/>
        </w:rPr>
        <w:drawing>
          <wp:anchor distT="0" distB="0" distL="114300" distR="114300" simplePos="0" relativeHeight="251658240" behindDoc="0" locked="0" layoutInCell="1" allowOverlap="1" wp14:anchorId="59CF680F" wp14:editId="04D7F5BF">
            <wp:simplePos x="0" y="0"/>
            <wp:positionH relativeFrom="margin">
              <wp:posOffset>452755</wp:posOffset>
            </wp:positionH>
            <wp:positionV relativeFrom="margin">
              <wp:posOffset>2282190</wp:posOffset>
            </wp:positionV>
            <wp:extent cx="4705985" cy="2014855"/>
            <wp:effectExtent l="0" t="0" r="5715" b="4445"/>
            <wp:wrapSquare wrapText="bothSides"/>
            <wp:docPr id="16405892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589257" name="Imagen 164058925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705985" cy="2014855"/>
                    </a:xfrm>
                    <a:prstGeom prst="rect">
                      <a:avLst/>
                    </a:prstGeom>
                  </pic:spPr>
                </pic:pic>
              </a:graphicData>
            </a:graphic>
            <wp14:sizeRelH relativeFrom="margin">
              <wp14:pctWidth>0</wp14:pctWidth>
            </wp14:sizeRelH>
            <wp14:sizeRelV relativeFrom="margin">
              <wp14:pctHeight>0</wp14:pctHeight>
            </wp14:sizeRelV>
          </wp:anchor>
        </w:drawing>
      </w:r>
      <w:r w:rsidRPr="00271652">
        <w:rPr>
          <w:rFonts w:ascii="Verdana" w:eastAsia="Calibri" w:hAnsi="Verdana" w:cs="Times New Roman"/>
          <w:sz w:val="21"/>
          <w:szCs w:val="21"/>
          <w:lang w:val="es-ES"/>
        </w:rPr>
        <w:t xml:space="preserve">Es importante mencionar que ciertas actividades a contratar contemplan como parte del requisito de experiencia específica un "% de dimensionamiento" el cual se encuentra en función de una magnitud física establecida; y que dicho % de dimensionamiento se determina en función del rango de valores expresados en SMMLV en el cual se encuentre el valor del presupuesto oficial del proceso de contratación. </w:t>
      </w:r>
    </w:p>
    <w:p w14:paraId="668CA638" w14:textId="77777777" w:rsidR="00DE1954" w:rsidRPr="00271652" w:rsidRDefault="00DE1954" w:rsidP="00DE1954">
      <w:pPr>
        <w:widowControl w:val="0"/>
        <w:autoSpaceDE w:val="0"/>
        <w:autoSpaceDN w:val="0"/>
        <w:spacing w:after="120" w:line="240" w:lineRule="auto"/>
        <w:ind w:left="709" w:right="709"/>
        <w:jc w:val="both"/>
        <w:rPr>
          <w:rFonts w:ascii="Verdana" w:eastAsia="Calibri" w:hAnsi="Verdana" w:cs="Times New Roman"/>
          <w:sz w:val="21"/>
          <w:szCs w:val="21"/>
          <w:lang w:val="es-ES"/>
        </w:rPr>
      </w:pPr>
    </w:p>
    <w:tbl>
      <w:tblPr>
        <w:tblW w:w="0" w:type="auto"/>
        <w:tblCellMar>
          <w:left w:w="70" w:type="dxa"/>
          <w:right w:w="70" w:type="dxa"/>
        </w:tblCellMar>
        <w:tblLook w:val="04A0" w:firstRow="1" w:lastRow="0" w:firstColumn="1" w:lastColumn="0" w:noHBand="0" w:noVBand="1"/>
      </w:tblPr>
      <w:tblGrid>
        <w:gridCol w:w="1104"/>
        <w:gridCol w:w="1104"/>
        <w:gridCol w:w="1105"/>
        <w:gridCol w:w="1105"/>
        <w:gridCol w:w="1105"/>
        <w:gridCol w:w="1105"/>
        <w:gridCol w:w="1105"/>
        <w:gridCol w:w="1105"/>
      </w:tblGrid>
      <w:tr w:rsidR="00DE1954" w:rsidRPr="00271652" w14:paraId="4982FCB9" w14:textId="77777777" w:rsidTr="00CE2684">
        <w:trPr>
          <w:trHeight w:val="260"/>
        </w:trPr>
        <w:tc>
          <w:tcPr>
            <w:tcW w:w="0" w:type="auto"/>
            <w:gridSpan w:val="8"/>
            <w:tcBorders>
              <w:top w:val="nil"/>
              <w:left w:val="nil"/>
              <w:bottom w:val="nil"/>
              <w:right w:val="nil"/>
            </w:tcBorders>
            <w:vAlign w:val="center"/>
            <w:hideMark/>
          </w:tcPr>
          <w:p w14:paraId="3CD19C85" w14:textId="77777777" w:rsidR="00DE1954" w:rsidRPr="002E43EB" w:rsidRDefault="00DE1954" w:rsidP="00CE2684">
            <w:pPr>
              <w:spacing w:after="0" w:line="240" w:lineRule="auto"/>
              <w:ind w:left="709" w:right="709"/>
              <w:jc w:val="both"/>
              <w:rPr>
                <w:rFonts w:ascii="Verdana" w:eastAsia="Times New Roman" w:hAnsi="Verdana" w:cs="Calibri"/>
                <w:color w:val="000000" w:themeColor="text1"/>
                <w:sz w:val="21"/>
                <w:szCs w:val="21"/>
                <w:lang w:val="es-ES" w:eastAsia="es-ES_tradnl"/>
              </w:rPr>
            </w:pPr>
            <w:r w:rsidRPr="00271652">
              <w:rPr>
                <w:rFonts w:ascii="Verdana" w:eastAsia="Calibri" w:hAnsi="Verdana" w:cs="Times New Roman"/>
                <w:sz w:val="21"/>
                <w:szCs w:val="21"/>
                <w:lang w:val="es-ES"/>
              </w:rPr>
              <w:t xml:space="preserve">Este valor de "% de dimensionamiento" establecerá el valor por el cual será reemplazado el factor </w:t>
            </w:r>
            <w:r w:rsidRPr="00271652">
              <w:rPr>
                <w:rFonts w:ascii="Verdana" w:eastAsia="Calibri" w:hAnsi="Verdana" w:cs="Times New Roman"/>
                <w:b/>
                <w:bCs/>
                <w:color w:val="FF0000"/>
                <w:sz w:val="21"/>
                <w:szCs w:val="21"/>
                <w:lang w:val="es-ES"/>
              </w:rPr>
              <w:t>(F%)</w:t>
            </w:r>
            <w:r w:rsidRPr="002E43EB">
              <w:rPr>
                <w:rFonts w:ascii="Verdana" w:eastAsia="Calibri" w:hAnsi="Verdana" w:cs="Times New Roman"/>
                <w:color w:val="000000" w:themeColor="text1"/>
                <w:sz w:val="21"/>
                <w:szCs w:val="21"/>
                <w:lang w:val="es-ES"/>
              </w:rPr>
              <w:t>.”</w:t>
            </w:r>
          </w:p>
          <w:p w14:paraId="506E5C8D" w14:textId="77777777" w:rsidR="00DE1954" w:rsidRPr="00271652" w:rsidRDefault="00DE1954" w:rsidP="00CE2684">
            <w:pPr>
              <w:spacing w:after="0" w:line="240" w:lineRule="auto"/>
              <w:ind w:left="709" w:right="709"/>
              <w:jc w:val="both"/>
              <w:rPr>
                <w:rFonts w:ascii="Verdana" w:eastAsia="Times New Roman" w:hAnsi="Verdana" w:cs="Calibri"/>
                <w:color w:val="000000"/>
                <w:sz w:val="21"/>
                <w:szCs w:val="21"/>
                <w:lang w:val="es-ES" w:eastAsia="es-ES_tradnl"/>
              </w:rPr>
            </w:pPr>
          </w:p>
          <w:p w14:paraId="34E17CF1" w14:textId="77777777" w:rsidR="00DE1954" w:rsidRPr="000631AC" w:rsidRDefault="00DE1954" w:rsidP="00CE2684">
            <w:pPr>
              <w:spacing w:after="0" w:line="240" w:lineRule="auto"/>
              <w:ind w:left="709" w:right="709"/>
              <w:jc w:val="both"/>
              <w:rPr>
                <w:rFonts w:ascii="Verdana" w:eastAsia="Times New Roman" w:hAnsi="Verdana" w:cs="Calibri"/>
                <w:color w:val="000000"/>
                <w:sz w:val="21"/>
                <w:szCs w:val="21"/>
                <w:lang w:val="es-ES" w:eastAsia="es-ES_tradnl"/>
              </w:rPr>
            </w:pPr>
          </w:p>
        </w:tc>
      </w:tr>
      <w:tr w:rsidR="00DE1954" w:rsidRPr="000631AC" w14:paraId="29036078" w14:textId="77777777" w:rsidTr="00CE2684">
        <w:trPr>
          <w:trHeight w:val="260"/>
        </w:trPr>
        <w:tc>
          <w:tcPr>
            <w:tcW w:w="0" w:type="auto"/>
            <w:tcBorders>
              <w:top w:val="nil"/>
              <w:left w:val="nil"/>
              <w:bottom w:val="nil"/>
              <w:right w:val="nil"/>
            </w:tcBorders>
            <w:noWrap/>
            <w:vAlign w:val="bottom"/>
            <w:hideMark/>
          </w:tcPr>
          <w:p w14:paraId="41261083" w14:textId="77777777" w:rsidR="00DE1954" w:rsidRPr="000631AC" w:rsidRDefault="00DE1954" w:rsidP="00CE2684">
            <w:pPr>
              <w:spacing w:after="0" w:line="240" w:lineRule="auto"/>
              <w:jc w:val="both"/>
              <w:rPr>
                <w:rFonts w:ascii="Verdana" w:eastAsia="Times New Roman" w:hAnsi="Verdana" w:cs="Calibri"/>
                <w:color w:val="000000"/>
                <w:sz w:val="20"/>
                <w:szCs w:val="20"/>
                <w:lang w:val="es-ES" w:eastAsia="es-ES_tradnl"/>
              </w:rPr>
            </w:pPr>
          </w:p>
        </w:tc>
        <w:tc>
          <w:tcPr>
            <w:tcW w:w="0" w:type="auto"/>
            <w:tcBorders>
              <w:top w:val="nil"/>
              <w:left w:val="nil"/>
              <w:bottom w:val="nil"/>
              <w:right w:val="nil"/>
            </w:tcBorders>
            <w:noWrap/>
            <w:vAlign w:val="bottom"/>
            <w:hideMark/>
          </w:tcPr>
          <w:p w14:paraId="6C543A1E"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76468A81"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0B3C6F94"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289125DB"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63661906"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5EDAEC8B"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c>
          <w:tcPr>
            <w:tcW w:w="0" w:type="auto"/>
            <w:tcBorders>
              <w:top w:val="nil"/>
              <w:left w:val="nil"/>
              <w:bottom w:val="nil"/>
              <w:right w:val="nil"/>
            </w:tcBorders>
            <w:noWrap/>
            <w:vAlign w:val="bottom"/>
            <w:hideMark/>
          </w:tcPr>
          <w:p w14:paraId="0FB189E2" w14:textId="77777777" w:rsidR="00DE1954" w:rsidRPr="000631AC" w:rsidRDefault="00DE1954" w:rsidP="00CE2684">
            <w:pPr>
              <w:spacing w:after="0" w:line="240" w:lineRule="auto"/>
              <w:rPr>
                <w:rFonts w:ascii="Times New Roman" w:eastAsia="Times New Roman" w:hAnsi="Times New Roman" w:cs="Times New Roman"/>
                <w:sz w:val="20"/>
                <w:szCs w:val="20"/>
                <w:lang w:val="es-ES" w:eastAsia="es-ES_tradnl"/>
              </w:rPr>
            </w:pPr>
          </w:p>
        </w:tc>
      </w:tr>
    </w:tbl>
    <w:p w14:paraId="0198AC5F" w14:textId="77777777" w:rsidR="00DE1954" w:rsidRPr="00B51B75" w:rsidRDefault="00DE1954" w:rsidP="00DE1954">
      <w:pPr>
        <w:spacing w:after="120" w:line="276" w:lineRule="auto"/>
        <w:jc w:val="both"/>
        <w:rPr>
          <w:rFonts w:ascii="Verdana" w:hAnsi="Verdana" w:cs="Arial"/>
          <w:color w:val="000000" w:themeColor="text1"/>
        </w:rPr>
      </w:pPr>
      <w:r>
        <w:rPr>
          <w:rFonts w:ascii="Verdana" w:hAnsi="Verdana" w:cs="Arial"/>
          <w:color w:val="000000" w:themeColor="text1"/>
        </w:rPr>
        <w:t xml:space="preserve">III). </w:t>
      </w:r>
      <w:r w:rsidRPr="00B51B75">
        <w:rPr>
          <w:rFonts w:ascii="Verdana" w:hAnsi="Verdana" w:cs="Arial"/>
          <w:color w:val="000000" w:themeColor="text1"/>
        </w:rPr>
        <w:t>En respuesta a la petición</w:t>
      </w:r>
      <w:r>
        <w:rPr>
          <w:rFonts w:ascii="Verdana" w:hAnsi="Verdana" w:cs="Arial"/>
          <w:color w:val="000000" w:themeColor="text1"/>
        </w:rPr>
        <w:t xml:space="preserve"> y a efectos de ilustrar con un ejemplo la respuesta </w:t>
      </w:r>
      <w:r w:rsidRPr="00B51B75">
        <w:rPr>
          <w:rFonts w:ascii="Verdana" w:hAnsi="Verdana" w:cs="Arial"/>
          <w:color w:val="000000" w:themeColor="text1"/>
        </w:rPr>
        <w:t xml:space="preserve">hay que mencionar en el capítulo uno (1) obras en proyectos de vivienda(s) </w:t>
      </w:r>
      <w:r w:rsidRPr="00B51B75">
        <w:rPr>
          <w:rFonts w:ascii="Verdana" w:hAnsi="Verdana" w:cs="Arial"/>
          <w:color w:val="000000" w:themeColor="text1"/>
        </w:rPr>
        <w:lastRenderedPageBreak/>
        <w:t>urbana(s) de la Matriz 1 – Experiencia Sector Vivienda, se incluye la siguiente actividad, sobre la cual se puede dar respuesta a la consulta planteada:</w:t>
      </w:r>
    </w:p>
    <w:p w14:paraId="591964A5" w14:textId="77777777" w:rsidR="00DE1954" w:rsidRPr="00B51B75" w:rsidRDefault="00DE1954" w:rsidP="00DE1954">
      <w:pPr>
        <w:spacing w:after="120" w:line="276" w:lineRule="auto"/>
        <w:jc w:val="both"/>
        <w:rPr>
          <w:rFonts w:ascii="Verdana" w:hAnsi="Verdana" w:cs="Arial"/>
          <w:color w:val="000000" w:themeColor="text1"/>
          <w:sz w:val="21"/>
          <w:szCs w:val="21"/>
        </w:rPr>
      </w:pPr>
    </w:p>
    <w:p w14:paraId="3E36E742"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“1.1 PROYECTOS DE CONSTRUCCIÓN Y/O AMPLIACIÓN Y/O RECONSTRUCCIÓN DE VIVIENDA(S) URBANA(S)”.</w:t>
      </w:r>
    </w:p>
    <w:p w14:paraId="5B52A1B2" w14:textId="77777777" w:rsidR="00DE1954"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Esta actividad 1.1 contenida en la Matriz 1 del Sector Vivienda, aplica para proyectos de construcción y/o ampliación y/o reconstrucción que recaigan sobre vivienda(s) urbana(s) y en adición a lo anterior, dicha Matriz 1 establece los siguientes requisitos de experiencia general y específica, además de un porcentaje (%) de dimensionamiento según la magnitud requerida en el proceso de contratación:</w:t>
      </w:r>
    </w:p>
    <w:p w14:paraId="18E4A9F2" w14:textId="77777777" w:rsidR="00DE1954" w:rsidRPr="00B51B75" w:rsidRDefault="00DE1954" w:rsidP="00DE1954">
      <w:pPr>
        <w:spacing w:after="120" w:line="276" w:lineRule="auto"/>
        <w:ind w:firstLine="709"/>
        <w:jc w:val="both"/>
        <w:rPr>
          <w:rFonts w:ascii="Verdana" w:hAnsi="Verdana" w:cs="Arial"/>
          <w:color w:val="000000" w:themeColor="text1"/>
        </w:rPr>
      </w:pPr>
    </w:p>
    <w:p w14:paraId="0C1217E3"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“GENERAL:</w:t>
      </w:r>
    </w:p>
    <w:p w14:paraId="2D2B1A5C"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PROYECTOS QUE CORRESPONDAN Y/O CONTEMPLEN ACTIVIDADES DE: CONSTRUCCIÓN Y/O AMPLIACIÓN Y/O RECONSTRUCCIÓN DE EDIFICACIONES</w:t>
      </w:r>
    </w:p>
    <w:p w14:paraId="699F0C6B"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ESPECÍFICA:</w:t>
      </w:r>
    </w:p>
    <w:p w14:paraId="15AC4C46"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“Por lo menos uno (1) de los contratos válidos aportados como experiencia general debe contemplar un área construida igual o superior al (F%) del total de metros cuadrados del proceso de selección, el cuál corresponde a [La Entidad indicará los metros cuadrados para el proceso de selección]</w:t>
      </w:r>
    </w:p>
    <w:p w14:paraId="0DF6E662"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Nota general para experiencia específica: En el caso en el cual, debido a la magnitud física que sea empleada como variable para establecimiento del (F%) de dimensionamiento como experiencia específica, la Entidad podrá aceptar que el mismo sea acreditado con la sumatoria de máximo dos (2) de los contratos válidos aportados como experiencia, garantizando condiciones pluralistas y participativas, siendo requisitos adecuados y proporcionales.</w:t>
      </w:r>
    </w:p>
    <w:p w14:paraId="53F105FB"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w:t>
      </w:r>
    </w:p>
    <w:p w14:paraId="607F59DB"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Porcentaje de Dimensionamiento:</w:t>
      </w:r>
    </w:p>
    <w:p w14:paraId="10A70113"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Valor de F% en función de las cuantías del proceso de contratación.</w:t>
      </w:r>
    </w:p>
    <w:p w14:paraId="71E0F98F"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lastRenderedPageBreak/>
        <w:t>70% para los rangos entre Inferiores a 800 SMMLV, Entre 801 y 1500 SMMLV y Entre 1500 y 3000 SMMLV</w:t>
      </w:r>
    </w:p>
    <w:p w14:paraId="5ED2E3F9"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50% para rangos entre Inferiores a 3001 y 5000 SMMLV, y mayor o igual a 5001 SMMLV”.</w:t>
      </w:r>
    </w:p>
    <w:p w14:paraId="5B80BF91" w14:textId="77777777" w:rsidR="00DE1954" w:rsidRPr="00B51B75" w:rsidRDefault="00DE1954" w:rsidP="00DE1954">
      <w:pPr>
        <w:spacing w:after="120"/>
        <w:ind w:left="709" w:right="709"/>
        <w:jc w:val="both"/>
        <w:rPr>
          <w:rFonts w:ascii="Verdana" w:hAnsi="Verdana" w:cs="Arial"/>
          <w:color w:val="000000" w:themeColor="text1"/>
          <w:sz w:val="21"/>
          <w:szCs w:val="21"/>
        </w:rPr>
      </w:pPr>
    </w:p>
    <w:p w14:paraId="7541FE08"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De acuerdo con lo señalado, para acreditar la experiencia especifica contenida para la actividad 1.1, por lo menos uno de los contratos que se presenten dentro de la experiencia general, debe tener un área construida igual o superior al (F%) del total de metros cuadrados del proceso de selección. Ahora bien, la variable “F” corresponde al dimensionamiento que debe ser indicado por la entidad de acuerdo con el área del proceso de selección.</w:t>
      </w:r>
    </w:p>
    <w:p w14:paraId="7FBB695F"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Ahora bien, para acreditar la experiencia especifica se incluye la “Nota general para experiencia específica” en la que se indica que, en los eventos en que “la magnitud física que sea empleada como variable para establecimiento del (F%) de dimensionamiento (…) como experiencia específica, la Entidad podrá aceptar que el mismo sea acreditado con la sumatoria de máximo dos (2) de los contratos válidos aportados como experiencia”. De acuerdo con la nota, en los casos en los cuales el proyecto solicite acreditar un área de una magnitud importante, la Entidad puede optar por aceptar que dicha acreditación se realice con la sumatoria de máximo dos (2) de los contratos válidos aportados como experiencia general. En todo caso, la entidad deberá garantizar condiciones pluralistas y participativas, mediante requisitos adecuados y proporcionales.</w:t>
      </w:r>
    </w:p>
    <w:p w14:paraId="53C65414"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Ahora bien, con respecto a lo referente al “área construida o intervenida” en el documento base, se establece que la entidad deberá indicar el área estimada de intervención del proceso de contratación, siguiendo las instrucciones allí establecidas; es decir, señalando el área a construir y/o intervenir en m² y el valor correspondiente al presupuesto oficial.</w:t>
      </w:r>
    </w:p>
    <w:p w14:paraId="7A9452C3"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En este sentido, conviene revisar la siguiente definición de “área construida” incluida en el anexo 5 – Glosario, de los documentos tipo, toda vez, que no es cierto que esta definición es ambigua, así:</w:t>
      </w:r>
    </w:p>
    <w:p w14:paraId="2737F854" w14:textId="77777777" w:rsidR="00DE1954" w:rsidRPr="00B51B75" w:rsidRDefault="00DE1954" w:rsidP="00DE1954">
      <w:pPr>
        <w:spacing w:after="120" w:line="276" w:lineRule="auto"/>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“Área construida: Se entiende como el área por edificar y/o edificada que se va a intervenir y que corresponde a la suma de las superficies de los pisos, excluyendo azoteas y áreas sin cubrir o techar. “</w:t>
      </w:r>
    </w:p>
    <w:p w14:paraId="293E812A"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lastRenderedPageBreak/>
        <w:t>En adición a lo anterior, y conforme con lo determinado en el documento base —numeral 3.5— y en la Matriz 1 – Experiencia Sector Vivienda, las entidades deben definir los metros cuadrados (m²) que solicitarán, de acuerdo con las características técnicas del proceso de selección. Así, respecto de la pregunta: “¿Cómo debe definirse el dimensionamiento al definir “área construida o intervenida (…)?”, debe indicarse que, para calcular el área del proceso de selección, las entidades pueden utilizar criterios de estimación de cantidades o unidades de referencia para definir el área del proyecto.</w:t>
      </w:r>
    </w:p>
    <w:p w14:paraId="5DEDE925"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En este contexto, se debe indicar que el área de intervención corresponderá a la superficie construida en la que se ejecutarán las actividades, determinada a partir del levantamiento físico de los espacios objeto de intervención, definidos en los documentos técnicos.</w:t>
      </w:r>
    </w:p>
    <w:p w14:paraId="0B1615D3" w14:textId="77777777" w:rsidR="00DE1954" w:rsidRPr="00B51B75" w:rsidRDefault="00DE1954" w:rsidP="00DE1954">
      <w:pPr>
        <w:spacing w:after="120" w:line="276" w:lineRule="auto"/>
        <w:ind w:firstLine="709"/>
        <w:jc w:val="both"/>
        <w:rPr>
          <w:rFonts w:ascii="Verdana" w:hAnsi="Verdana" w:cs="Arial"/>
          <w:color w:val="000000" w:themeColor="text1"/>
        </w:rPr>
      </w:pPr>
      <w:r w:rsidRPr="00B51B75">
        <w:rPr>
          <w:rFonts w:ascii="Verdana" w:hAnsi="Verdana" w:cs="Arial"/>
          <w:color w:val="000000" w:themeColor="text1"/>
        </w:rPr>
        <w:t>Por ejemplo, para un proyecto de mantenimiento de vivienda, dichas áreas podrían calcularse, entre otros métodos, de la siguiente manera:</w:t>
      </w:r>
    </w:p>
    <w:p w14:paraId="694FE9E9" w14:textId="77777777" w:rsidR="00DE1954" w:rsidRPr="00B51B75" w:rsidRDefault="00DE1954" w:rsidP="00DE195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“a. Realizando un levantamiento o plano de la vivienda en donde se identifiquen los espacios a intervenir, por ejemplo: cocina, habitaciones, baños, cubiertas, pisos y muros, entre otros.</w:t>
      </w:r>
    </w:p>
    <w:p w14:paraId="39CD7A91" w14:textId="77777777" w:rsidR="00DE1954" w:rsidRPr="00B51B75" w:rsidRDefault="00DE1954" w:rsidP="00DE195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b. Calculando el área de cada uno de los espacios, según las tipologías de mejoramiento o intervención.</w:t>
      </w:r>
    </w:p>
    <w:p w14:paraId="1AE3EE3C" w14:textId="77777777" w:rsidR="00DE1954" w:rsidRPr="00B51B75" w:rsidRDefault="00DE1954" w:rsidP="00DE195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c. El área total de la vivienda corresponderá a la sumatoria de cada una de las áreas de los espacios a intervenir, la cual será el área promedio estimada por vivienda.</w:t>
      </w:r>
    </w:p>
    <w:p w14:paraId="35373A4E" w14:textId="77777777" w:rsidR="00DE1954" w:rsidRPr="00B51B75" w:rsidRDefault="00DE1954" w:rsidP="00DE1954">
      <w:pPr>
        <w:spacing w:after="120"/>
        <w:ind w:left="709" w:right="709"/>
        <w:jc w:val="both"/>
        <w:rPr>
          <w:rFonts w:ascii="Verdana" w:hAnsi="Verdana" w:cs="Arial"/>
          <w:color w:val="000000" w:themeColor="text1"/>
          <w:sz w:val="21"/>
          <w:szCs w:val="21"/>
        </w:rPr>
      </w:pPr>
      <w:r w:rsidRPr="00B51B75">
        <w:rPr>
          <w:rFonts w:ascii="Verdana" w:hAnsi="Verdana" w:cs="Arial"/>
          <w:color w:val="000000" w:themeColor="text1"/>
          <w:sz w:val="21"/>
          <w:szCs w:val="21"/>
        </w:rPr>
        <w:t>d. De acuerdo con el diagnóstico técnico estimado de cada vivienda, se definirá el área real; esta podrá multiplicarse por el número de viviendas intervenidas, de acuerdo con los componentes o tipos de mejoramiento”.</w:t>
      </w:r>
    </w:p>
    <w:p w14:paraId="22C49941" w14:textId="77777777" w:rsidR="00DE1954" w:rsidRDefault="00DE1954" w:rsidP="00DE1954">
      <w:pPr>
        <w:widowControl w:val="0"/>
        <w:autoSpaceDE w:val="0"/>
        <w:autoSpaceDN w:val="0"/>
        <w:spacing w:after="120" w:line="276" w:lineRule="auto"/>
        <w:jc w:val="both"/>
        <w:rPr>
          <w:rFonts w:ascii="Verdana" w:eastAsia="Calibri" w:hAnsi="Verdana" w:cs="Times New Roman"/>
          <w:lang w:val="es-ES"/>
        </w:rPr>
      </w:pPr>
      <w:r w:rsidRPr="00B51B75">
        <w:rPr>
          <w:rFonts w:ascii="Verdana" w:hAnsi="Verdana" w:cs="Arial"/>
          <w:color w:val="000000" w:themeColor="text1"/>
        </w:rPr>
        <w:t>Por otro lado, hay que indicar que a través del presente se da un ejemplo de cómo determinar el área de intervención, sin embargo, le corresponde a la entidad que adelanta el proceso de selección definir las alternativas para determinarla con base en criterios técnicos, el alcance del proyecto y los estudios previos del respectivo proceso.</w:t>
      </w:r>
    </w:p>
    <w:tbl>
      <w:tblPr>
        <w:tblW w:w="0" w:type="auto"/>
        <w:tblCellMar>
          <w:left w:w="70" w:type="dxa"/>
          <w:right w:w="70" w:type="dxa"/>
        </w:tblCellMar>
        <w:tblLook w:val="04A0" w:firstRow="1" w:lastRow="0" w:firstColumn="1" w:lastColumn="0" w:noHBand="0" w:noVBand="1"/>
      </w:tblPr>
      <w:tblGrid>
        <w:gridCol w:w="146"/>
        <w:gridCol w:w="146"/>
        <w:gridCol w:w="146"/>
        <w:gridCol w:w="146"/>
      </w:tblGrid>
      <w:tr w:rsidR="00DE1954" w:rsidRPr="002C0778" w14:paraId="58A0393E" w14:textId="77777777" w:rsidTr="00CE2684">
        <w:trPr>
          <w:trHeight w:val="260"/>
        </w:trPr>
        <w:tc>
          <w:tcPr>
            <w:tcW w:w="0" w:type="auto"/>
            <w:tcBorders>
              <w:top w:val="nil"/>
              <w:left w:val="nil"/>
              <w:bottom w:val="nil"/>
              <w:right w:val="nil"/>
            </w:tcBorders>
            <w:noWrap/>
            <w:vAlign w:val="bottom"/>
            <w:hideMark/>
          </w:tcPr>
          <w:p w14:paraId="6B382110" w14:textId="77777777" w:rsidR="00DE1954" w:rsidRPr="000631AC" w:rsidRDefault="00DE1954" w:rsidP="00CE2684">
            <w:pPr>
              <w:spacing w:after="0" w:line="240" w:lineRule="auto"/>
              <w:rPr>
                <w:rFonts w:ascii="Times New Roman" w:eastAsia="Times New Roman" w:hAnsi="Times New Roman" w:cs="Times New Roman"/>
                <w:color w:val="000000" w:themeColor="text1"/>
                <w:sz w:val="20"/>
                <w:szCs w:val="20"/>
                <w:lang w:val="es-ES" w:eastAsia="es-ES_tradnl"/>
              </w:rPr>
            </w:pPr>
          </w:p>
        </w:tc>
        <w:tc>
          <w:tcPr>
            <w:tcW w:w="0" w:type="auto"/>
            <w:tcBorders>
              <w:top w:val="nil"/>
              <w:left w:val="nil"/>
              <w:bottom w:val="nil"/>
              <w:right w:val="nil"/>
            </w:tcBorders>
            <w:noWrap/>
            <w:vAlign w:val="bottom"/>
            <w:hideMark/>
          </w:tcPr>
          <w:p w14:paraId="63594378" w14:textId="77777777" w:rsidR="00DE1954" w:rsidRPr="000631AC" w:rsidRDefault="00DE1954" w:rsidP="00CE2684">
            <w:pPr>
              <w:spacing w:after="0" w:line="240" w:lineRule="auto"/>
              <w:rPr>
                <w:rFonts w:ascii="Times New Roman" w:eastAsia="Times New Roman" w:hAnsi="Times New Roman" w:cs="Times New Roman"/>
                <w:color w:val="000000" w:themeColor="text1"/>
                <w:sz w:val="20"/>
                <w:szCs w:val="20"/>
                <w:lang w:val="es-ES" w:eastAsia="es-ES_tradnl"/>
              </w:rPr>
            </w:pPr>
          </w:p>
        </w:tc>
        <w:tc>
          <w:tcPr>
            <w:tcW w:w="0" w:type="auto"/>
            <w:tcBorders>
              <w:top w:val="nil"/>
              <w:left w:val="nil"/>
              <w:bottom w:val="nil"/>
              <w:right w:val="nil"/>
            </w:tcBorders>
            <w:noWrap/>
            <w:vAlign w:val="bottom"/>
            <w:hideMark/>
          </w:tcPr>
          <w:p w14:paraId="727E38B8" w14:textId="77777777" w:rsidR="00DE1954" w:rsidRPr="000631AC" w:rsidRDefault="00DE1954" w:rsidP="00CE2684">
            <w:pPr>
              <w:spacing w:after="0" w:line="240" w:lineRule="auto"/>
              <w:rPr>
                <w:rFonts w:ascii="Times New Roman" w:eastAsia="Times New Roman" w:hAnsi="Times New Roman" w:cs="Times New Roman"/>
                <w:color w:val="000000" w:themeColor="text1"/>
                <w:sz w:val="20"/>
                <w:szCs w:val="20"/>
                <w:lang w:val="es-ES" w:eastAsia="es-ES_tradnl"/>
              </w:rPr>
            </w:pPr>
          </w:p>
        </w:tc>
        <w:tc>
          <w:tcPr>
            <w:tcW w:w="0" w:type="auto"/>
            <w:tcBorders>
              <w:top w:val="nil"/>
              <w:left w:val="nil"/>
              <w:bottom w:val="nil"/>
              <w:right w:val="nil"/>
            </w:tcBorders>
            <w:noWrap/>
            <w:vAlign w:val="bottom"/>
            <w:hideMark/>
          </w:tcPr>
          <w:p w14:paraId="6F52DAC9" w14:textId="77777777" w:rsidR="00DE1954" w:rsidRPr="000631AC" w:rsidRDefault="00DE1954" w:rsidP="00CE2684">
            <w:pPr>
              <w:spacing w:after="0" w:line="240" w:lineRule="auto"/>
              <w:rPr>
                <w:rFonts w:ascii="Times New Roman" w:eastAsia="Times New Roman" w:hAnsi="Times New Roman" w:cs="Times New Roman"/>
                <w:color w:val="000000" w:themeColor="text1"/>
                <w:sz w:val="20"/>
                <w:szCs w:val="20"/>
                <w:lang w:val="es-ES" w:eastAsia="es-ES_tradnl"/>
              </w:rPr>
            </w:pPr>
          </w:p>
        </w:tc>
      </w:tr>
    </w:tbl>
    <w:p w14:paraId="15C0F2D7" w14:textId="77777777" w:rsidR="00DE1954" w:rsidRPr="002C0778" w:rsidRDefault="00DE1954" w:rsidP="00DE1954">
      <w:pPr>
        <w:spacing w:after="120" w:line="276" w:lineRule="auto"/>
        <w:jc w:val="both"/>
        <w:rPr>
          <w:rFonts w:ascii="Verdana" w:eastAsia="Times New Roman" w:hAnsi="Verdana" w:cs="Arial"/>
          <w:color w:val="000000" w:themeColor="text1"/>
          <w:lang w:eastAsia="es-ES_tradnl"/>
        </w:rPr>
      </w:pPr>
      <w:r w:rsidRPr="002C0778">
        <w:rPr>
          <w:rFonts w:ascii="Verdana" w:eastAsia="Times New Roman" w:hAnsi="Verdana" w:cs="Arial"/>
          <w:color w:val="000000" w:themeColor="text1"/>
          <w:lang w:eastAsia="es-ES_tradnl"/>
        </w:rPr>
        <w:t>IV</w:t>
      </w:r>
      <w:r w:rsidRPr="002C0778">
        <w:rPr>
          <w:rFonts w:ascii="Verdana" w:eastAsia="Calibri" w:hAnsi="Verdana" w:cs="Arial"/>
          <w:color w:val="000000" w:themeColor="text1"/>
          <w:shd w:val="clear" w:color="auto" w:fill="FFFFFF"/>
          <w:lang w:val="es-ES"/>
        </w:rPr>
        <w:t xml:space="preserve">). </w:t>
      </w:r>
      <w:r w:rsidRPr="002C0778">
        <w:rPr>
          <w:rFonts w:ascii="Verdana" w:eastAsia="Calibri" w:hAnsi="Verdana" w:cs="Arial"/>
          <w:bCs/>
          <w:color w:val="000000" w:themeColor="text1"/>
          <w:kern w:val="2"/>
          <w14:ligatures w14:val="standardContextual"/>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2C0778">
        <w:rPr>
          <w:rFonts w:ascii="Verdana" w:eastAsia="Calibri" w:hAnsi="Verdana" w:cs="Arial"/>
          <w:bCs/>
          <w:color w:val="000000" w:themeColor="text1"/>
          <w:kern w:val="2"/>
          <w14:ligatures w14:val="standardContextual"/>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630EA7D" w14:textId="77777777" w:rsidR="00DE1954" w:rsidRPr="002C0778" w:rsidRDefault="00DE1954" w:rsidP="00DE1954">
      <w:pPr>
        <w:spacing w:after="0" w:line="276" w:lineRule="auto"/>
        <w:ind w:firstLine="708"/>
        <w:jc w:val="both"/>
        <w:rPr>
          <w:rFonts w:ascii="Verdana" w:eastAsia="Calibri" w:hAnsi="Verdana" w:cs="Arial"/>
          <w:bCs/>
          <w:color w:val="000000" w:themeColor="text1"/>
          <w:kern w:val="2"/>
          <w14:ligatures w14:val="standardContextual"/>
        </w:rPr>
      </w:pPr>
      <w:r w:rsidRPr="002C0778">
        <w:rPr>
          <w:rFonts w:ascii="Verdana" w:eastAsia="Calibri" w:hAnsi="Verdana" w:cs="Arial"/>
          <w:bCs/>
          <w:color w:val="000000" w:themeColor="text1"/>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DA082B8" w14:textId="77777777" w:rsidR="00DE1954" w:rsidRDefault="00DE1954" w:rsidP="00DE1954">
      <w:pPr>
        <w:spacing w:after="120" w:line="276" w:lineRule="auto"/>
        <w:ind w:right="49"/>
        <w:jc w:val="both"/>
        <w:rPr>
          <w:rFonts w:ascii="Verdana" w:eastAsia="Calibri" w:hAnsi="Verdana" w:cs="Arial"/>
          <w:color w:val="0099CC"/>
          <w:sz w:val="20"/>
          <w:szCs w:val="20"/>
          <w:shd w:val="clear" w:color="auto" w:fill="FFFFFF"/>
          <w:lang w:val="es-ES"/>
        </w:rPr>
      </w:pPr>
    </w:p>
    <w:p w14:paraId="36587D6B" w14:textId="77777777" w:rsidR="00DE1954" w:rsidRPr="00B01738" w:rsidRDefault="00DE1954" w:rsidP="00DE1954">
      <w:pPr>
        <w:spacing w:after="120" w:line="276" w:lineRule="auto"/>
        <w:ind w:right="49"/>
        <w:jc w:val="both"/>
        <w:rPr>
          <w:rFonts w:ascii="Verdana" w:eastAsia="Calibri" w:hAnsi="Verdana" w:cs="Arial"/>
          <w:color w:val="0099CC"/>
          <w:sz w:val="20"/>
          <w:szCs w:val="20"/>
          <w:shd w:val="clear" w:color="auto" w:fill="FFFFFF"/>
          <w:lang w:val="es-ES"/>
        </w:rPr>
      </w:pPr>
    </w:p>
    <w:p w14:paraId="51C3A75B" w14:textId="77777777" w:rsidR="00DE1954" w:rsidRPr="004D7523" w:rsidRDefault="00DE1954" w:rsidP="00DE1954">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4D7523">
        <w:rPr>
          <w:rFonts w:ascii="Verdana" w:eastAsia="Century Gothic" w:hAnsi="Verdana" w:cs="Century Gothic"/>
          <w:b/>
          <w:bCs/>
          <w:lang w:val="es-ES_tradnl"/>
        </w:rPr>
        <w:t>Referencias normativas, jurisprudenciales y otras fuentes:</w:t>
      </w:r>
    </w:p>
    <w:p w14:paraId="0262665E" w14:textId="0E01090D" w:rsidR="00DE1954" w:rsidRDefault="00DE1954" w:rsidP="00DE1954">
      <w:pPr>
        <w:tabs>
          <w:tab w:val="left" w:pos="970"/>
        </w:tabs>
        <w:spacing w:after="0" w:line="276" w:lineRule="auto"/>
        <w:jc w:val="both"/>
        <w:rPr>
          <w:rFonts w:ascii="Verdana" w:eastAsia="Calibri" w:hAnsi="Verdana" w:cs="Arial"/>
          <w:b/>
          <w:bCs/>
        </w:rPr>
      </w:pPr>
    </w:p>
    <w:p w14:paraId="50527429" w14:textId="77777777" w:rsidR="00DE1954" w:rsidRPr="00DE1954" w:rsidRDefault="00DE1954" w:rsidP="00DE1954">
      <w:pPr>
        <w:tabs>
          <w:tab w:val="left" w:pos="970"/>
        </w:tabs>
        <w:spacing w:after="0" w:line="276" w:lineRule="auto"/>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E1954" w:rsidRPr="00D56B2A" w14:paraId="7179EF11" w14:textId="77777777" w:rsidTr="00CE2684">
        <w:trPr>
          <w:trHeight w:val="242"/>
        </w:trPr>
        <w:tc>
          <w:tcPr>
            <w:tcW w:w="8647" w:type="dxa"/>
            <w:tcBorders>
              <w:top w:val="dotted" w:sz="4" w:space="0" w:color="auto"/>
              <w:left w:val="dotted" w:sz="4" w:space="0" w:color="auto"/>
              <w:bottom w:val="dotted" w:sz="4" w:space="0" w:color="auto"/>
              <w:right w:val="dotted" w:sz="4" w:space="0" w:color="auto"/>
            </w:tcBorders>
          </w:tcPr>
          <w:p w14:paraId="228C584B" w14:textId="77777777" w:rsidR="00DE1954" w:rsidRPr="00D56B2A" w:rsidRDefault="00DE1954" w:rsidP="00CE2684">
            <w:pPr>
              <w:widowControl w:val="0"/>
              <w:autoSpaceDE w:val="0"/>
              <w:autoSpaceDN w:val="0"/>
              <w:snapToGrid w:val="0"/>
              <w:spacing w:after="120" w:line="276" w:lineRule="auto"/>
              <w:ind w:left="714"/>
              <w:jc w:val="both"/>
              <w:rPr>
                <w:rFonts w:ascii="Verdana" w:eastAsia="Calibri" w:hAnsi="Verdana" w:cs="Arial"/>
                <w:color w:val="3399FF"/>
                <w:lang w:val="es-ES_tradnl"/>
              </w:rPr>
            </w:pPr>
          </w:p>
          <w:p w14:paraId="7D2406D7" w14:textId="77777777" w:rsidR="00DE1954" w:rsidRPr="00DA2A79" w:rsidRDefault="00DE1954" w:rsidP="00DE1954">
            <w:pPr>
              <w:widowControl w:val="0"/>
              <w:numPr>
                <w:ilvl w:val="0"/>
                <w:numId w:val="17"/>
              </w:numPr>
              <w:autoSpaceDE w:val="0"/>
              <w:autoSpaceDN w:val="0"/>
              <w:spacing w:after="160" w:line="276" w:lineRule="auto"/>
              <w:ind w:left="714" w:hanging="357"/>
              <w:jc w:val="both"/>
              <w:rPr>
                <w:rFonts w:ascii="Verdana" w:eastAsia="Calibri" w:hAnsi="Verdana" w:cs="Arial"/>
                <w:lang w:val="es-ES_tradnl" w:eastAsia="es-MX"/>
              </w:rPr>
            </w:pPr>
            <w:r w:rsidRPr="00DA2A79">
              <w:rPr>
                <w:rFonts w:ascii="Verdana" w:eastAsia="Calibri" w:hAnsi="Verdana" w:cs="Arial"/>
                <w:lang w:val="es-ES_tradnl" w:eastAsia="es-MX"/>
              </w:rPr>
              <w:t xml:space="preserve">Ley 2022 de 2020, artículo 1. </w:t>
            </w:r>
          </w:p>
          <w:p w14:paraId="6A275EE3" w14:textId="77777777" w:rsidR="00DE1954" w:rsidRPr="002C0778" w:rsidRDefault="00DE1954" w:rsidP="00DE1954">
            <w:pPr>
              <w:widowControl w:val="0"/>
              <w:numPr>
                <w:ilvl w:val="0"/>
                <w:numId w:val="17"/>
              </w:numPr>
              <w:autoSpaceDE w:val="0"/>
              <w:autoSpaceDN w:val="0"/>
              <w:spacing w:after="160" w:line="276" w:lineRule="auto"/>
              <w:jc w:val="both"/>
              <w:rPr>
                <w:rFonts w:ascii="Verdana" w:eastAsia="Calibri" w:hAnsi="Verdana" w:cs="Arial"/>
                <w:lang w:eastAsia="es-MX"/>
              </w:rPr>
            </w:pPr>
            <w:r w:rsidRPr="00DA2A79">
              <w:rPr>
                <w:rFonts w:ascii="Verdana" w:eastAsia="Calibri" w:hAnsi="Verdana" w:cs="Arial"/>
                <w:lang w:eastAsia="es-MX"/>
              </w:rPr>
              <w:t>Ley 1150 de 2007, artículo 2.</w:t>
            </w:r>
          </w:p>
          <w:p w14:paraId="0370232E" w14:textId="77777777" w:rsidR="00DE1954" w:rsidRPr="00D56B2A" w:rsidRDefault="00DE1954" w:rsidP="00DE1954">
            <w:pPr>
              <w:widowControl w:val="0"/>
              <w:numPr>
                <w:ilvl w:val="0"/>
                <w:numId w:val="17"/>
              </w:numPr>
              <w:autoSpaceDE w:val="0"/>
              <w:autoSpaceDN w:val="0"/>
              <w:spacing w:after="120" w:line="276" w:lineRule="auto"/>
              <w:jc w:val="both"/>
              <w:rPr>
                <w:rFonts w:ascii="Verdana" w:hAnsi="Verdana" w:cs="Arial"/>
                <w:color w:val="3399FF"/>
              </w:rPr>
            </w:pPr>
            <w:r w:rsidRPr="00DA2A79">
              <w:rPr>
                <w:rFonts w:ascii="Verdana" w:eastAsia="Calibri" w:hAnsi="Verdana" w:cs="Arial"/>
                <w:lang w:val="es-ES_tradnl" w:eastAsia="es-MX"/>
              </w:rPr>
              <w:t xml:space="preserve">Documentos Tipo. Disponibles en: </w:t>
            </w:r>
            <w:hyperlink r:id="rId13" w:history="1">
              <w:r w:rsidRPr="00DA2A79">
                <w:rPr>
                  <w:rFonts w:ascii="Verdana" w:eastAsia="Calibri" w:hAnsi="Verdana" w:cs="Arial"/>
                  <w:color w:val="0000FF"/>
                  <w:u w:val="single"/>
                  <w:lang w:val="es-ES_tradnl" w:eastAsia="es-MX"/>
                </w:rPr>
                <w:t>https://www.colombiacompra.gov.co/documentos-tipo/documentos-tipo</w:t>
              </w:r>
            </w:hyperlink>
            <w:r w:rsidRPr="00DA2A79">
              <w:rPr>
                <w:rFonts w:ascii="Verdana" w:eastAsia="Calibri" w:hAnsi="Verdana" w:cs="Arial"/>
                <w:lang w:val="es-ES_tradnl" w:eastAsia="es-MX"/>
              </w:rPr>
              <w:t>.</w:t>
            </w:r>
          </w:p>
          <w:p w14:paraId="000240BB" w14:textId="77777777" w:rsidR="00DE1954" w:rsidRPr="00D56B2A" w:rsidRDefault="00DE1954" w:rsidP="00CE2684">
            <w:pPr>
              <w:widowControl w:val="0"/>
              <w:autoSpaceDE w:val="0"/>
              <w:autoSpaceDN w:val="0"/>
              <w:spacing w:after="120" w:line="276" w:lineRule="auto"/>
              <w:ind w:left="720"/>
              <w:jc w:val="both"/>
              <w:rPr>
                <w:rFonts w:ascii="Verdana" w:hAnsi="Verdana" w:cs="Arial"/>
                <w:color w:val="3399FF"/>
              </w:rPr>
            </w:pPr>
          </w:p>
        </w:tc>
      </w:tr>
    </w:tbl>
    <w:p w14:paraId="6DD554AA" w14:textId="77777777" w:rsidR="00DE1954" w:rsidRPr="00155CC1" w:rsidRDefault="00DE1954" w:rsidP="00DE1954">
      <w:pPr>
        <w:tabs>
          <w:tab w:val="left" w:pos="142"/>
          <w:tab w:val="left" w:pos="284"/>
        </w:tabs>
        <w:spacing w:after="0" w:line="276" w:lineRule="auto"/>
        <w:jc w:val="both"/>
        <w:rPr>
          <w:rFonts w:ascii="Verdana" w:eastAsia="Calibri" w:hAnsi="Verdana" w:cs="Arial"/>
          <w:color w:val="6699FF"/>
        </w:rPr>
      </w:pPr>
    </w:p>
    <w:p w14:paraId="2C1DDE58" w14:textId="77777777" w:rsidR="00DE1954" w:rsidRPr="0026211F" w:rsidRDefault="00DE1954" w:rsidP="00DE1954">
      <w:pPr>
        <w:tabs>
          <w:tab w:val="left" w:pos="142"/>
          <w:tab w:val="left" w:pos="284"/>
        </w:tabs>
        <w:spacing w:after="0" w:line="276" w:lineRule="auto"/>
        <w:jc w:val="both"/>
        <w:rPr>
          <w:rFonts w:ascii="Verdana" w:eastAsia="Century Gothic" w:hAnsi="Verdana" w:cs="Century Gothic"/>
          <w:b/>
          <w:bCs/>
          <w:lang w:val="es-ES"/>
        </w:rPr>
      </w:pPr>
      <w:r w:rsidRPr="0026211F">
        <w:rPr>
          <w:rFonts w:ascii="Verdana" w:eastAsia="Calibri" w:hAnsi="Verdana" w:cs="Arial"/>
          <w:b/>
          <w:bCs/>
        </w:rPr>
        <w:t>5</w:t>
      </w:r>
      <w:r w:rsidRPr="0026211F">
        <w:rPr>
          <w:rFonts w:ascii="Verdana" w:eastAsia="Calibri" w:hAnsi="Verdana" w:cs="Arial"/>
        </w:rPr>
        <w:t>.</w:t>
      </w:r>
      <w:r w:rsidRPr="0026211F">
        <w:rPr>
          <w:rFonts w:ascii="Verdana" w:eastAsia="Century Gothic" w:hAnsi="Verdana" w:cs="Century Gothic"/>
          <w:b/>
          <w:bCs/>
          <w:lang w:val="es-ES"/>
        </w:rPr>
        <w:t>Doctrina de la Agencia Nacional de Contratación Pública:</w:t>
      </w:r>
    </w:p>
    <w:p w14:paraId="10E78EB1" w14:textId="77777777" w:rsidR="00DE1954" w:rsidRPr="002C0778" w:rsidRDefault="00DE1954" w:rsidP="00DE1954">
      <w:pPr>
        <w:widowControl w:val="0"/>
        <w:autoSpaceDE w:val="0"/>
        <w:autoSpaceDN w:val="0"/>
        <w:spacing w:after="0" w:line="276" w:lineRule="auto"/>
        <w:jc w:val="both"/>
        <w:rPr>
          <w:rFonts w:ascii="Verdana" w:eastAsia="Calibri" w:hAnsi="Verdana" w:cs="Arial"/>
          <w:color w:val="FF0000"/>
          <w:lang w:eastAsia="es-MX"/>
        </w:rPr>
      </w:pPr>
    </w:p>
    <w:p w14:paraId="1E59E309" w14:textId="77777777" w:rsidR="00DE1954" w:rsidRPr="00C15B51" w:rsidRDefault="00DE1954" w:rsidP="00DE1954">
      <w:pPr>
        <w:spacing w:after="0" w:line="276" w:lineRule="auto"/>
        <w:jc w:val="both"/>
        <w:rPr>
          <w:rFonts w:ascii="Verdana" w:eastAsia="Calibri" w:hAnsi="Verdana" w:cs="Arial"/>
          <w:shd w:val="clear" w:color="auto" w:fill="FFFFFF"/>
          <w:lang w:val="es-ES" w:eastAsia="es-MX"/>
        </w:rPr>
      </w:pPr>
      <w:r w:rsidRPr="00FE66BB">
        <w:rPr>
          <w:rFonts w:ascii="Verdana" w:eastAsia="Calibri" w:hAnsi="Verdana" w:cs="Arial"/>
          <w:shd w:val="clear" w:color="auto" w:fill="FFFFFF"/>
          <w:lang w:val="es-ES" w:eastAsia="es-MX"/>
        </w:rPr>
        <w:t>La Agencia Nacional de Contratación Pública – Colombia Compra Eficiente se pronunció</w:t>
      </w:r>
      <w:r w:rsidRPr="00FE66BB">
        <w:rPr>
          <w:rFonts w:ascii="Verdana" w:eastAsia="Calibri" w:hAnsi="Verdana" w:cs="Times New Roman"/>
          <w:lang w:eastAsia="es-MX"/>
        </w:rPr>
        <w:t xml:space="preserve"> </w:t>
      </w:r>
      <w:r w:rsidRPr="00FE66BB">
        <w:rPr>
          <w:rFonts w:ascii="Verdana" w:eastAsia="Calibri" w:hAnsi="Verdana" w:cs="Arial"/>
          <w:shd w:val="clear" w:color="auto" w:fill="FFFFFF"/>
          <w:lang w:val="es-ES" w:eastAsia="es-MX"/>
        </w:rPr>
        <w:t xml:space="preserve">sobre el ámbito de aplicación de los documentos tipo de </w:t>
      </w:r>
      <w:r w:rsidRPr="00FE66BB">
        <w:rPr>
          <w:rFonts w:ascii="Verdana" w:eastAsia="Calibri" w:hAnsi="Verdana" w:cs="Arial"/>
          <w:shd w:val="clear" w:color="auto" w:fill="FFFFFF"/>
          <w:lang w:val="es-ES" w:eastAsia="es-MX"/>
        </w:rPr>
        <w:lastRenderedPageBreak/>
        <w:t>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FE66BB">
        <w:rPr>
          <w:rFonts w:ascii="Verdana" w:eastAsia="Calibri" w:hAnsi="Verdana" w:cs="Arial"/>
          <w:shd w:val="clear" w:color="auto" w:fill="FFFFFF"/>
          <w:lang w:val="es-ES" w:eastAsia="es-MX"/>
        </w:rPr>
        <w:tab/>
        <w:t>C-636 del 1 de noviembre de 2024, C-777 del 9 de diciembre de 2024, C-971 del 21 de enero de 2025 y C-1813 del 31 de diciembre de 2025, entre otros. Concretamente, sobre los documentos tipo del sector institucional, esta Agencia se pronunció en los conceptos C-258 del 19 de marzo de 2026, C-385 del 15 de abril, C-392 del 20 de abril de 2026, C-583 del 8 de mayo de 2026</w:t>
      </w:r>
      <w:r>
        <w:rPr>
          <w:rFonts w:ascii="Verdana" w:eastAsia="Calibri" w:hAnsi="Verdana" w:cs="Arial"/>
          <w:shd w:val="clear" w:color="auto" w:fill="FFFFFF"/>
          <w:lang w:val="es-ES" w:eastAsia="es-MX"/>
        </w:rPr>
        <w:t xml:space="preserve">, </w:t>
      </w:r>
      <w:r w:rsidRPr="00FE66BB">
        <w:rPr>
          <w:rFonts w:ascii="Verdana" w:eastAsia="Calibri" w:hAnsi="Verdana" w:cs="Arial"/>
          <w:shd w:val="clear" w:color="auto" w:fill="FFFFFF"/>
          <w:lang w:val="es-ES" w:eastAsia="es-MX"/>
        </w:rPr>
        <w:t>C-682 del 22 de mayo de 2026</w:t>
      </w:r>
      <w:r>
        <w:rPr>
          <w:rFonts w:ascii="Verdana" w:eastAsia="Calibri" w:hAnsi="Verdana" w:cs="Arial"/>
          <w:shd w:val="clear" w:color="auto" w:fill="FFFFFF"/>
          <w:lang w:val="es-ES" w:eastAsia="es-MX"/>
        </w:rPr>
        <w:t xml:space="preserve">, C-720 del 05 de junio de 2026, C-764 del </w:t>
      </w:r>
      <w:r w:rsidRPr="008E77F5">
        <w:rPr>
          <w:rFonts w:ascii="Verdana" w:eastAsia="Calibri" w:hAnsi="Verdana" w:cs="Arial"/>
          <w:shd w:val="clear" w:color="auto" w:fill="FFFFFF"/>
          <w:lang w:val="es-ES" w:eastAsia="es-MX"/>
        </w:rPr>
        <w:t>17 de junio de 2026</w:t>
      </w:r>
      <w:r>
        <w:rPr>
          <w:rFonts w:ascii="Verdana" w:eastAsia="Calibri" w:hAnsi="Verdana" w:cs="Arial"/>
          <w:shd w:val="clear" w:color="auto" w:fill="FFFFFF"/>
          <w:lang w:val="es-ES" w:eastAsia="es-MX"/>
        </w:rPr>
        <w:t>, C-810 del 24 de junio de 2026 y entre otros.</w:t>
      </w:r>
      <w:r w:rsidRPr="00FE66BB">
        <w:rPr>
          <w:rFonts w:ascii="Verdana" w:eastAsia="Calibri" w:hAnsi="Verdana" w:cs="Arial"/>
          <w:shd w:val="clear" w:color="auto" w:fill="FFFFFF"/>
          <w:lang w:val="es-ES" w:eastAsia="es-MX"/>
        </w:rPr>
        <w:t xml:space="preserve"> </w:t>
      </w:r>
    </w:p>
    <w:p w14:paraId="796795BA" w14:textId="77777777" w:rsidR="00DE1954" w:rsidRDefault="00DE1954" w:rsidP="00DE1954">
      <w:pPr>
        <w:spacing w:after="0" w:line="276" w:lineRule="auto"/>
        <w:jc w:val="both"/>
        <w:rPr>
          <w:rFonts w:ascii="Verdana" w:eastAsia="Calibri" w:hAnsi="Verdana" w:cs="Arial"/>
          <w:lang w:val="es-ES"/>
        </w:rPr>
      </w:pPr>
    </w:p>
    <w:p w14:paraId="15E7E906" w14:textId="77777777" w:rsidR="00DE1954" w:rsidRPr="003C2A6A" w:rsidRDefault="00DE1954" w:rsidP="00DE1954">
      <w:pPr>
        <w:spacing w:after="0" w:line="276" w:lineRule="auto"/>
        <w:jc w:val="both"/>
        <w:rPr>
          <w:rFonts w:ascii="Verdana" w:eastAsia="Calibri" w:hAnsi="Verdana" w:cs="Arial"/>
        </w:rPr>
      </w:pPr>
      <w:r w:rsidRPr="00240C45">
        <w:rPr>
          <w:rFonts w:ascii="Verdana" w:eastAsia="Calibri" w:hAnsi="Verdana" w:cs="Arial"/>
        </w:rPr>
        <w:t xml:space="preserve">Estos y otros conceptos se encuentran disponibles para consulta en el Sistema de relatoría de la Agencia, al cual se puede acceder a través del siguiente enlace: </w:t>
      </w:r>
      <w:hyperlink r:id="rId14" w:history="1">
        <w:r w:rsidRPr="00DE636B">
          <w:rPr>
            <w:rStyle w:val="Hipervnculo"/>
            <w:rFonts w:ascii="Verdana" w:eastAsia="Calibri" w:hAnsi="Verdana" w:cs="Arial"/>
          </w:rPr>
          <w:t>https://relatoria.colombiacompra.gov.co/busqueda/conceptos</w:t>
        </w:r>
      </w:hyperlink>
      <w:r w:rsidRPr="00240C45">
        <w:rPr>
          <w:rFonts w:ascii="Verdana" w:eastAsia="Calibri" w:hAnsi="Verdana" w:cs="Arial"/>
        </w:rPr>
        <w:t>.</w:t>
      </w:r>
    </w:p>
    <w:p w14:paraId="7CE346BF" w14:textId="77777777" w:rsidR="00DE1954" w:rsidRPr="00EF54B1" w:rsidRDefault="00DE1954" w:rsidP="00DE1954">
      <w:pPr>
        <w:spacing w:after="0" w:line="240" w:lineRule="auto"/>
        <w:jc w:val="both"/>
        <w:rPr>
          <w:rFonts w:ascii="Verdana" w:eastAsia="Calibri" w:hAnsi="Verdana" w:cs="Arial"/>
          <w:color w:val="000000" w:themeColor="text1"/>
          <w:shd w:val="clear" w:color="auto" w:fill="FFFFFF"/>
        </w:rPr>
      </w:pPr>
    </w:p>
    <w:p w14:paraId="361DF6BD" w14:textId="77777777" w:rsidR="00DE1954"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68F731F" w14:textId="77777777" w:rsidR="00DE1954"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38404A86" w14:textId="77777777" w:rsidR="00DE1954" w:rsidRPr="00B774CC"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La sostenibilidad no es una opción, es una obligación. Por ello, la Agencia Nacional de Contratación Pública –Colombia Compra Eficiente– te invita a realizar el </w:t>
      </w:r>
      <w:r w:rsidRPr="00B774CC">
        <w:rPr>
          <w:rFonts w:ascii="Verdana" w:eastAsia="Calibri" w:hAnsi="Verdana" w:cs="Arial"/>
          <w:b/>
          <w:bCs/>
          <w:color w:val="000000" w:themeColor="text1"/>
          <w:kern w:val="2"/>
          <w:shd w:val="clear" w:color="auto" w:fill="FFFFFF"/>
          <w14:ligatures w14:val="standardContextual"/>
        </w:rPr>
        <w:t>Curso de Contratación Pública Sostenible y Socialmente Responsable</w:t>
      </w:r>
      <w:r w:rsidRPr="00B774CC">
        <w:rPr>
          <w:rFonts w:ascii="Verdana" w:eastAsia="Calibri" w:hAnsi="Verdana" w:cs="Arial"/>
          <w:color w:val="000000" w:themeColor="text1"/>
          <w:kern w:val="2"/>
          <w:shd w:val="clear" w:color="auto" w:fill="FFFFFF"/>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 </w:t>
      </w:r>
      <w:r w:rsidRPr="00B774CC">
        <w:rPr>
          <w:rFonts w:ascii="Verdana" w:eastAsia="Calibri" w:hAnsi="Verdana" w:cs="Arial"/>
          <w:color w:val="000000" w:themeColor="text1"/>
          <w:kern w:val="2"/>
          <w:shd w:val="clear" w:color="auto" w:fill="FFFFFF"/>
          <w14:ligatures w14:val="standardContextual"/>
        </w:rPr>
        <w:br/>
      </w:r>
      <w:hyperlink r:id="rId15" w:tgtFrame="_blank" w:history="1">
        <w:r w:rsidRPr="00B774CC">
          <w:rPr>
            <w:rStyle w:val="Hipervnculo"/>
            <w:rFonts w:ascii="Verdana" w:eastAsia="Calibri" w:hAnsi="Verdana" w:cs="Arial"/>
            <w:kern w:val="2"/>
            <w:shd w:val="clear" w:color="auto" w:fill="FFFFFF"/>
            <w14:ligatures w14:val="standardContextual"/>
          </w:rPr>
          <w:t>https://formacionvirtual.colombiacompra.gov.co/mod/page/view.php?id=3718</w:t>
        </w:r>
      </w:hyperlink>
      <w:r w:rsidRPr="00B774CC">
        <w:rPr>
          <w:rFonts w:ascii="Verdana" w:eastAsia="Calibri" w:hAnsi="Verdana" w:cs="Arial"/>
          <w:color w:val="000000" w:themeColor="text1"/>
          <w:kern w:val="2"/>
          <w:shd w:val="clear" w:color="auto" w:fill="FFFFFF"/>
          <w14:ligatures w14:val="standardContextual"/>
        </w:rPr>
        <w:t> </w:t>
      </w:r>
    </w:p>
    <w:p w14:paraId="1577BD7D" w14:textId="77777777" w:rsidR="00DE1954" w:rsidRPr="00B774CC"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lastRenderedPageBreak/>
        <w:t> </w:t>
      </w:r>
    </w:p>
    <w:p w14:paraId="2DAD30D7" w14:textId="77777777" w:rsidR="00DE1954" w:rsidRPr="00B774CC"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De otro lado, te contamos que esta Agencia ha da un paso decisivo en la estandarización y modernización del </w:t>
      </w:r>
      <w:r w:rsidRPr="00B774CC">
        <w:rPr>
          <w:rFonts w:ascii="Verdana" w:eastAsia="Calibri" w:hAnsi="Verdana" w:cs="Arial"/>
          <w:b/>
          <w:bCs/>
          <w:color w:val="000000" w:themeColor="text1"/>
          <w:kern w:val="2"/>
          <w:shd w:val="clear" w:color="auto" w:fill="FFFFFF"/>
          <w14:ligatures w14:val="standardContextual"/>
        </w:rPr>
        <w:t>sector  social</w:t>
      </w:r>
      <w:r w:rsidRPr="00B774CC">
        <w:rPr>
          <w:rFonts w:ascii="Verdana" w:eastAsia="Calibri" w:hAnsi="Verdana" w:cs="Arial"/>
          <w:color w:val="000000" w:themeColor="text1"/>
          <w:kern w:val="2"/>
          <w:shd w:val="clear" w:color="auto" w:fill="FFFFFF"/>
          <w14:ligatures w14:val="standardContextual"/>
        </w:rPr>
        <w:t> con la expedición de las </w:t>
      </w:r>
      <w:r w:rsidRPr="00B774CC">
        <w:rPr>
          <w:rFonts w:ascii="Verdana" w:eastAsia="Calibri" w:hAnsi="Verdana" w:cs="Arial"/>
          <w:b/>
          <w:bCs/>
          <w:color w:val="000000" w:themeColor="text1"/>
          <w:kern w:val="2"/>
          <w:shd w:val="clear" w:color="auto" w:fill="FFFFFF"/>
          <w14:ligatures w14:val="standardContextual"/>
        </w:rPr>
        <w:t>Resoluciones 539, 540, 541, 952 y 953 de 2025</w:t>
      </w:r>
      <w:r w:rsidRPr="00B774CC">
        <w:rPr>
          <w:rFonts w:ascii="Verdana" w:eastAsia="Calibri" w:hAnsi="Verdana" w:cs="Arial"/>
          <w:color w:val="000000" w:themeColor="text1"/>
          <w:kern w:val="2"/>
          <w:shd w:val="clear" w:color="auto" w:fill="FFFFFF"/>
          <w14:ligatures w14:val="standardContextual"/>
        </w:rPr>
        <w:t>, </w:t>
      </w:r>
      <w:r w:rsidRPr="00B774CC">
        <w:rPr>
          <w:rFonts w:ascii="Verdana" w:eastAsia="Calibri" w:hAnsi="Verdana" w:cs="Arial"/>
          <w:b/>
          <w:bCs/>
          <w:color w:val="000000" w:themeColor="text1"/>
          <w:kern w:val="2"/>
          <w:shd w:val="clear" w:color="auto" w:fill="FFFFFF"/>
          <w14:ligatures w14:val="standardContextual"/>
        </w:rPr>
        <w:t>mediante las cuales adoptó Documentos Tipo</w:t>
      </w:r>
      <w:r w:rsidRPr="00B774CC">
        <w:rPr>
          <w:rFonts w:ascii="Verdana" w:eastAsia="Calibri" w:hAnsi="Verdana" w:cs="Arial"/>
          <w:color w:val="000000" w:themeColor="text1"/>
          <w:kern w:val="2"/>
          <w:shd w:val="clear" w:color="auto" w:fill="FFFFFF"/>
          <w14:ligatures w14:val="standardContextual"/>
        </w:rPr>
        <w:t> para las modalidades de selección de</w:t>
      </w:r>
      <w:r w:rsidRPr="00B774CC">
        <w:rPr>
          <w:rFonts w:ascii="Verdana" w:eastAsia="Calibri" w:hAnsi="Verdana" w:cs="Arial"/>
          <w:b/>
          <w:bCs/>
          <w:color w:val="000000" w:themeColor="text1"/>
          <w:kern w:val="2"/>
          <w:shd w:val="clear" w:color="auto" w:fill="FFFFFF"/>
          <w14:ligatures w14:val="standardContextual"/>
        </w:rPr>
        <w:t> licitación pública (versión 2), selección abreviada de menor cuantía, mínima cuantía, consultoría e interventoría</w:t>
      </w:r>
      <w:r w:rsidRPr="00B774CC">
        <w:rPr>
          <w:rFonts w:ascii="Verdana" w:eastAsia="Calibri" w:hAnsi="Verdana" w:cs="Arial"/>
          <w:color w:val="000000" w:themeColor="text1"/>
          <w:kern w:val="2"/>
          <w:shd w:val="clear" w:color="auto" w:fill="FFFFFF"/>
          <w14:ligatures w14:val="standardContextual"/>
        </w:rPr>
        <w:t>, promoviendo procesos más transparentes, eficientes  competitivos y sostenibles en sectores estratégicos como educación, salud, cultura, recreación, deporte, institucional y vivienda. Consulta y descarga los documentos aquí: </w:t>
      </w:r>
      <w:hyperlink r:id="rId16" w:tgtFrame="_blank" w:history="1">
        <w:r w:rsidRPr="00B774CC">
          <w:rPr>
            <w:rStyle w:val="Hipervnculo"/>
            <w:rFonts w:ascii="Verdana" w:eastAsia="Calibri" w:hAnsi="Verdana" w:cs="Arial"/>
            <w:kern w:val="2"/>
            <w:shd w:val="clear" w:color="auto" w:fill="FFFFFF"/>
            <w14:ligatures w14:val="standardContextual"/>
          </w:rPr>
          <w:t>https://www.colombiacompra.gov.co/normativa-y-relatoria/documentos-tipo</w:t>
        </w:r>
      </w:hyperlink>
      <w:r w:rsidRPr="00B774CC">
        <w:rPr>
          <w:rFonts w:ascii="Verdana" w:eastAsia="Calibri" w:hAnsi="Verdana" w:cs="Arial"/>
          <w:color w:val="000000" w:themeColor="text1"/>
          <w:kern w:val="2"/>
          <w:shd w:val="clear" w:color="auto" w:fill="FFFFFF"/>
          <w14:ligatures w14:val="standardContextual"/>
        </w:rPr>
        <w:t> </w:t>
      </w:r>
    </w:p>
    <w:p w14:paraId="68376612" w14:textId="77777777" w:rsidR="00DE1954" w:rsidRPr="00B774CC"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 </w:t>
      </w:r>
    </w:p>
    <w:p w14:paraId="3053A2B2" w14:textId="77777777" w:rsidR="00DE1954" w:rsidRPr="00B774CC"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14:ligatures w14:val="standardContextual"/>
        </w:rPr>
      </w:pPr>
      <w:r w:rsidRPr="00B774CC">
        <w:rPr>
          <w:rFonts w:ascii="Verdana" w:eastAsia="Calibri" w:hAnsi="Verdana" w:cs="Arial"/>
          <w:color w:val="000000" w:themeColor="text1"/>
          <w:kern w:val="2"/>
          <w:shd w:val="clear" w:color="auto" w:fill="FFFFFF"/>
          <w14:ligatures w14:val="standardContextual"/>
        </w:rPr>
        <w:t>Si quieres conocer más sobre la aplicación de Documentos Tipo puedes consultar la última versión de la </w:t>
      </w:r>
      <w:r w:rsidRPr="00B774CC">
        <w:rPr>
          <w:rFonts w:ascii="Verdana" w:eastAsia="Calibri" w:hAnsi="Verdana" w:cs="Arial"/>
          <w:b/>
          <w:bCs/>
          <w:color w:val="000000" w:themeColor="text1"/>
          <w:kern w:val="2"/>
          <w:shd w:val="clear" w:color="auto" w:fill="FFFFFF"/>
          <w14:ligatures w14:val="standardContextual"/>
        </w:rPr>
        <w:t>Guía para la comprensión e implementación de los Documentos Tipo de obra pública de infraestructura de transporte</w:t>
      </w:r>
      <w:r w:rsidRPr="00B774CC">
        <w:rPr>
          <w:rFonts w:ascii="Verdana" w:eastAsia="Calibri" w:hAnsi="Verdana" w:cs="Arial"/>
          <w:color w:val="000000" w:themeColor="text1"/>
          <w:kern w:val="2"/>
          <w:shd w:val="clear" w:color="auto" w:fill="FFFFFF"/>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r w:rsidRPr="00B774CC">
        <w:rPr>
          <w:rFonts w:ascii="Verdana" w:eastAsia="Calibri" w:hAnsi="Verdana" w:cs="Arial"/>
          <w:color w:val="000000" w:themeColor="text1"/>
          <w:kern w:val="2"/>
          <w:shd w:val="clear" w:color="auto" w:fill="FFFFFF"/>
          <w14:ligatures w14:val="standardContextual"/>
        </w:rPr>
        <w:br/>
      </w:r>
      <w:hyperlink r:id="rId17" w:tgtFrame="_blank" w:history="1">
        <w:r w:rsidRPr="00B774CC">
          <w:rPr>
            <w:rStyle w:val="Hipervnculo"/>
            <w:rFonts w:ascii="Verdana" w:eastAsia="Calibri" w:hAnsi="Verdana" w:cs="Arial"/>
            <w:kern w:val="2"/>
            <w:shd w:val="clear" w:color="auto" w:fill="FFFFFF"/>
            <w14:ligatures w14:val="standardContextual"/>
          </w:rPr>
          <w:t>https://www.colombiacompra.gov.co/archivos/manual/guia-para-la-comprension-e-implementacion-de-los-documentos-tipo-de-obra-publica-de-infraestructura-de-transporte-bajo-las-diferentes-modalidades-de-contratacion-vigentes</w:t>
        </w:r>
      </w:hyperlink>
      <w:r w:rsidRPr="00B774CC">
        <w:rPr>
          <w:rFonts w:ascii="Verdana" w:eastAsia="Calibri" w:hAnsi="Verdana" w:cs="Arial"/>
          <w:color w:val="000000" w:themeColor="text1"/>
          <w:kern w:val="2"/>
          <w:shd w:val="clear" w:color="auto" w:fill="FFFFFF"/>
          <w14:ligatures w14:val="standardContextual"/>
        </w:rPr>
        <w:t> </w:t>
      </w:r>
    </w:p>
    <w:p w14:paraId="13955E8F" w14:textId="77777777" w:rsidR="00DE1954" w:rsidRPr="00EF54B1" w:rsidRDefault="00DE1954" w:rsidP="00DE1954">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645949E5" w14:textId="77777777" w:rsidR="00DE1954" w:rsidRPr="009552C8" w:rsidRDefault="00DE1954" w:rsidP="00DE1954">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074CE00" w14:textId="77777777" w:rsidR="00DE1954" w:rsidRPr="009552C8" w:rsidRDefault="00DE1954" w:rsidP="00DE1954">
      <w:pPr>
        <w:spacing w:after="0" w:line="240" w:lineRule="auto"/>
        <w:jc w:val="both"/>
        <w:rPr>
          <w:rFonts w:ascii="Verdana" w:eastAsia="Aptos" w:hAnsi="Verdana" w:cs="Times New Roman"/>
          <w:kern w:val="2"/>
          <w14:ligatures w14:val="standardContextual"/>
        </w:rPr>
      </w:pPr>
    </w:p>
    <w:p w14:paraId="2C0FC0D9" w14:textId="77777777" w:rsidR="00DE1954" w:rsidRPr="009552C8" w:rsidRDefault="00DE1954" w:rsidP="00DE1954">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7603CE">
        <w:rPr>
          <w:rFonts w:ascii="Verdana" w:eastAsia="Calibri" w:hAnsi="Verdana" w:cs="Times New Roman"/>
          <w:color w:val="0000FF"/>
          <w:kern w:val="2"/>
          <w:u w:val="single"/>
          <w14:ligatures w14:val="standardContextual"/>
        </w:rPr>
        <w:t>@colombiacompra</w:t>
      </w:r>
      <w:r w:rsidRPr="007603CE">
        <w:rPr>
          <w:rFonts w:ascii="Verdana" w:eastAsia="Calibri" w:hAnsi="Verdana" w:cs="Times New Roman"/>
          <w:color w:val="0000FF"/>
          <w:kern w:val="2"/>
          <w14:ligatures w14:val="standardContextual"/>
        </w:rPr>
        <w:t xml:space="preserve"> </w:t>
      </w:r>
    </w:p>
    <w:p w14:paraId="73661F6B" w14:textId="77777777" w:rsidR="00DE1954" w:rsidRPr="009552C8" w:rsidRDefault="00DE1954" w:rsidP="00DE1954">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r w:rsidRPr="007603CE">
        <w:rPr>
          <w:rFonts w:ascii="Verdana" w:eastAsia="Calibri" w:hAnsi="Verdana" w:cs="Times New Roman"/>
          <w:color w:val="0000FF"/>
          <w:kern w:val="2"/>
          <w:u w:val="single"/>
          <w14:ligatures w14:val="standardContextual"/>
        </w:rPr>
        <w:t>ColombiaCompraEficiente</w:t>
      </w:r>
    </w:p>
    <w:p w14:paraId="2FD03CDD" w14:textId="77777777" w:rsidR="00DE1954" w:rsidRPr="009552C8" w:rsidRDefault="00DE1954" w:rsidP="00DE1954">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7603CE">
        <w:rPr>
          <w:rFonts w:ascii="Verdana" w:eastAsia="Calibri" w:hAnsi="Verdana" w:cs="Times New Roman"/>
          <w:color w:val="0000FF"/>
          <w:kern w:val="2"/>
          <w:u w:val="single"/>
          <w14:ligatures w14:val="standardContextual"/>
        </w:rPr>
        <w:t>Agencia Nacional de Contratación Pública - Colombia Compra Eficiente</w:t>
      </w:r>
      <w:r w:rsidRPr="007603CE">
        <w:rPr>
          <w:rFonts w:ascii="Verdana" w:eastAsia="Calibri" w:hAnsi="Verdana" w:cs="Times New Roman"/>
          <w:color w:val="0000FF"/>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7603CE">
        <w:rPr>
          <w:rFonts w:ascii="Verdana" w:eastAsia="Calibri" w:hAnsi="Verdana" w:cs="Times New Roman"/>
          <w:color w:val="0000FF"/>
          <w:kern w:val="2"/>
          <w:u w:val="single"/>
          <w14:ligatures w14:val="standardContextual"/>
        </w:rPr>
        <w:t>@colombiacompraeficiente_cce</w:t>
      </w:r>
    </w:p>
    <w:p w14:paraId="75580B53" w14:textId="77777777" w:rsidR="00DE1954" w:rsidRPr="005D21BF" w:rsidRDefault="00DE1954" w:rsidP="00DE1954">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57E156FC" w14:textId="77777777" w:rsidR="00DE1954" w:rsidRDefault="00DE1954" w:rsidP="00DE1954">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 xml:space="preserve">Este concepto tiene el alcance previsto en el artículo 28 del Código de Procedimiento Administrativo y de lo Contencioso Administrativo y las </w:t>
      </w:r>
      <w:r w:rsidRPr="00EF54B1">
        <w:rPr>
          <w:rFonts w:ascii="Verdana" w:eastAsia="Calibri" w:hAnsi="Verdana" w:cs="Arial"/>
          <w:color w:val="000000" w:themeColor="text1"/>
          <w:kern w:val="2"/>
          <w:lang w:val="es-ES_tradnl"/>
          <w14:ligatures w14:val="standardContextual"/>
        </w:rPr>
        <w:lastRenderedPageBreak/>
        <w:t>expresiones aquí utilizadas con mayúscula inicial deben ser entendidas con el significado que les otorga el artículo 2.2.1.1.1.3.1. del Decreto 1082 de 2015.</w:t>
      </w:r>
    </w:p>
    <w:p w14:paraId="7AD2F6CE" w14:textId="77777777" w:rsidR="00DE1954" w:rsidRPr="00EF54B1" w:rsidRDefault="00DE1954" w:rsidP="00DE1954">
      <w:pPr>
        <w:widowControl w:val="0"/>
        <w:autoSpaceDE w:val="0"/>
        <w:autoSpaceDN w:val="0"/>
        <w:spacing w:after="0" w:line="276" w:lineRule="auto"/>
        <w:jc w:val="both"/>
        <w:rPr>
          <w:rFonts w:ascii="Verdana" w:eastAsia="Calibri" w:hAnsi="Verdana" w:cs="Arial"/>
          <w:color w:val="000000" w:themeColor="text1"/>
        </w:rPr>
      </w:pPr>
    </w:p>
    <w:p w14:paraId="37E34896" w14:textId="565F82FD" w:rsidR="00DE1954" w:rsidRPr="00882303" w:rsidRDefault="00DE1954" w:rsidP="00882303">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256486C0" w14:textId="6BBC7756" w:rsidR="00DE1954" w:rsidRPr="000D5EB1" w:rsidRDefault="0024537D" w:rsidP="00882303">
      <w:pPr>
        <w:tabs>
          <w:tab w:val="left" w:pos="1320"/>
        </w:tabs>
        <w:jc w:val="center"/>
        <w:rPr>
          <w:noProof/>
        </w:rPr>
      </w:pPr>
      <w:r>
        <w:rPr>
          <w:noProof/>
        </w:rPr>
        <w:drawing>
          <wp:inline distT="0" distB="0" distL="0" distR="0" wp14:anchorId="6B87A841" wp14:editId="3BAC3B44">
            <wp:extent cx="3493311" cy="1298561"/>
            <wp:effectExtent l="0" t="0" r="0" b="0"/>
            <wp:docPr id="13667584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758424" name="Imagen 1366758424"/>
                    <pic:cNvPicPr/>
                  </pic:nvPicPr>
                  <pic:blipFill>
                    <a:blip r:embed="rId18">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tbl>
      <w:tblPr>
        <w:tblStyle w:val="Tablaconcuadrcula"/>
        <w:tblW w:w="0" w:type="auto"/>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185"/>
        <w:gridCol w:w="5925"/>
      </w:tblGrid>
      <w:tr w:rsidR="00DE1954" w14:paraId="5BD8F362" w14:textId="77777777" w:rsidTr="00CE2684">
        <w:trPr>
          <w:trHeight w:val="315"/>
        </w:trPr>
        <w:tc>
          <w:tcPr>
            <w:tcW w:w="1185" w:type="dxa"/>
            <w:tcBorders>
              <w:top w:val="nil"/>
              <w:left w:val="nil"/>
              <w:bottom w:val="nil"/>
              <w:right w:val="nil"/>
            </w:tcBorders>
            <w:tcMar>
              <w:left w:w="105" w:type="dxa"/>
              <w:right w:w="105" w:type="dxa"/>
            </w:tcMar>
            <w:vAlign w:val="center"/>
          </w:tcPr>
          <w:p w14:paraId="1C922894"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Elabor</w:t>
            </w:r>
            <w:r>
              <w:rPr>
                <w:rFonts w:ascii="Verdana" w:eastAsia="Verdana" w:hAnsi="Verdana" w:cs="Verdana"/>
                <w:sz w:val="16"/>
                <w:szCs w:val="16"/>
              </w:rPr>
              <w:t>o</w:t>
            </w:r>
            <w:r w:rsidRPr="3F869DD7">
              <w:rPr>
                <w:rFonts w:ascii="Verdana" w:eastAsia="Verdana" w:hAnsi="Verdana" w:cs="Verdana"/>
                <w:sz w:val="16"/>
                <w:szCs w:val="16"/>
              </w:rPr>
              <w:t>:</w:t>
            </w:r>
          </w:p>
        </w:tc>
        <w:tc>
          <w:tcPr>
            <w:tcW w:w="5925" w:type="dxa"/>
            <w:tcBorders>
              <w:top w:val="nil"/>
              <w:left w:val="nil"/>
              <w:bottom w:val="dotted" w:sz="4" w:space="0" w:color="7F7F7F" w:themeColor="text1" w:themeTint="80"/>
              <w:right w:val="nil"/>
            </w:tcBorders>
            <w:tcMar>
              <w:left w:w="105" w:type="dxa"/>
              <w:right w:w="105" w:type="dxa"/>
            </w:tcMar>
            <w:vAlign w:val="center"/>
          </w:tcPr>
          <w:p w14:paraId="2E2B6B6A" w14:textId="77777777" w:rsidR="00DE1954" w:rsidRDefault="00DE1954" w:rsidP="00CE2684">
            <w:pPr>
              <w:rPr>
                <w:rFonts w:ascii="Verdana" w:eastAsia="Times New Roman" w:hAnsi="Verdana" w:cs="Segoe UI"/>
                <w:color w:val="000000" w:themeColor="text1"/>
                <w:sz w:val="16"/>
                <w:szCs w:val="16"/>
                <w:lang w:eastAsia="es-ES"/>
              </w:rPr>
            </w:pPr>
            <w:r w:rsidRPr="3F869DD7">
              <w:rPr>
                <w:rFonts w:ascii="Verdana" w:eastAsia="Arial" w:hAnsi="Verdana" w:cs="Arial"/>
                <w:color w:val="000000" w:themeColor="text1"/>
                <w:sz w:val="16"/>
                <w:szCs w:val="16"/>
                <w:lang w:val="es-ES"/>
              </w:rPr>
              <w:t>Denis Andrea Cárdenas Hernández</w:t>
            </w:r>
          </w:p>
          <w:p w14:paraId="52C49D72" w14:textId="77777777" w:rsidR="00DE1954" w:rsidRPr="00AE4414" w:rsidRDefault="00DE1954" w:rsidP="00CE2684">
            <w:pPr>
              <w:rPr>
                <w:rFonts w:ascii="Verdana" w:eastAsia="Arial" w:hAnsi="Verdana" w:cs="Arial"/>
                <w:color w:val="000000" w:themeColor="text1"/>
                <w:sz w:val="16"/>
                <w:szCs w:val="16"/>
                <w:lang w:val="es-ES"/>
              </w:rPr>
            </w:pPr>
            <w:r w:rsidRPr="3F869DD7">
              <w:rPr>
                <w:rFonts w:ascii="Verdana" w:eastAsia="Arial" w:hAnsi="Verdana" w:cs="Arial"/>
                <w:color w:val="000000" w:themeColor="text1"/>
                <w:sz w:val="16"/>
                <w:szCs w:val="16"/>
                <w:lang w:val="es-ES"/>
              </w:rPr>
              <w:t>Analista T2-01 de la Subdirección de Gestión Contractual</w:t>
            </w:r>
          </w:p>
        </w:tc>
      </w:tr>
      <w:tr w:rsidR="00DE1954" w14:paraId="7A2273C7" w14:textId="77777777" w:rsidTr="00CE2684">
        <w:trPr>
          <w:trHeight w:val="315"/>
        </w:trPr>
        <w:tc>
          <w:tcPr>
            <w:tcW w:w="1185" w:type="dxa"/>
            <w:tcBorders>
              <w:top w:val="nil"/>
              <w:left w:val="nil"/>
              <w:bottom w:val="nil"/>
              <w:right w:val="nil"/>
            </w:tcBorders>
            <w:tcMar>
              <w:left w:w="105" w:type="dxa"/>
              <w:right w:w="105" w:type="dxa"/>
            </w:tcMar>
            <w:vAlign w:val="center"/>
          </w:tcPr>
          <w:p w14:paraId="2CFDCFB1"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Revisó: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20159205"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 xml:space="preserve">Juan David Cárdenas Cabeza </w:t>
            </w:r>
          </w:p>
          <w:p w14:paraId="768F7FB0"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Contratista de la Subdirección de Gestión Contractual</w:t>
            </w:r>
          </w:p>
        </w:tc>
      </w:tr>
      <w:tr w:rsidR="00DE1954" w14:paraId="35D76EE4" w14:textId="77777777" w:rsidTr="00CE2684">
        <w:trPr>
          <w:trHeight w:val="300"/>
        </w:trPr>
        <w:tc>
          <w:tcPr>
            <w:tcW w:w="1185" w:type="dxa"/>
            <w:tcBorders>
              <w:top w:val="nil"/>
              <w:left w:val="nil"/>
              <w:bottom w:val="nil"/>
              <w:right w:val="nil"/>
            </w:tcBorders>
            <w:tcMar>
              <w:left w:w="105" w:type="dxa"/>
              <w:right w:w="105" w:type="dxa"/>
            </w:tcMar>
            <w:vAlign w:val="center"/>
          </w:tcPr>
          <w:p w14:paraId="16C0886A"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Aprobó:</w:t>
            </w:r>
          </w:p>
        </w:tc>
        <w:tc>
          <w:tcPr>
            <w:tcW w:w="5925" w:type="dxa"/>
            <w:tcBorders>
              <w:top w:val="dotted" w:sz="4" w:space="0" w:color="7F7F7F" w:themeColor="text1" w:themeTint="80"/>
              <w:left w:val="nil"/>
              <w:bottom w:val="dotted" w:sz="4" w:space="0" w:color="7F7F7F" w:themeColor="text1" w:themeTint="80"/>
              <w:right w:val="nil"/>
            </w:tcBorders>
            <w:tcMar>
              <w:left w:w="105" w:type="dxa"/>
              <w:right w:w="105" w:type="dxa"/>
            </w:tcMar>
            <w:vAlign w:val="center"/>
          </w:tcPr>
          <w:p w14:paraId="733E0C5E"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Carolina Quintero Gacharná</w:t>
            </w:r>
          </w:p>
          <w:p w14:paraId="2E6D6564" w14:textId="77777777" w:rsidR="00DE1954" w:rsidRDefault="00DE1954" w:rsidP="00CE2684">
            <w:pPr>
              <w:rPr>
                <w:rFonts w:ascii="Verdana" w:eastAsia="Verdana" w:hAnsi="Verdana" w:cs="Verdana"/>
                <w:sz w:val="16"/>
                <w:szCs w:val="16"/>
              </w:rPr>
            </w:pPr>
            <w:r w:rsidRPr="3F869DD7">
              <w:rPr>
                <w:rFonts w:ascii="Verdana" w:eastAsia="Verdana" w:hAnsi="Verdana" w:cs="Verdana"/>
                <w:sz w:val="16"/>
                <w:szCs w:val="16"/>
              </w:rPr>
              <w:t>Subdirectora de Gestión Contractual ANCP – CCE</w:t>
            </w:r>
          </w:p>
        </w:tc>
      </w:tr>
    </w:tbl>
    <w:p w14:paraId="24C5F832" w14:textId="2532A545" w:rsidR="00DE1954" w:rsidRPr="000E2B93" w:rsidRDefault="00DE1954" w:rsidP="00DE1954">
      <w:pPr>
        <w:spacing w:after="0" w:line="240" w:lineRule="auto"/>
        <w:jc w:val="both"/>
        <w:textAlignment w:val="baseline"/>
        <w:rPr>
          <w:rFonts w:ascii="Verdana" w:eastAsia="Verdana" w:hAnsi="Verdana" w:cs="Verdana"/>
          <w:lang w:eastAsia="es-CO"/>
        </w:rPr>
      </w:pPr>
    </w:p>
    <w:p w14:paraId="1006A388" w14:textId="4E109D35"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A61CDF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bookmarkEnd w:id="0"/>
    <w:p w14:paraId="0F293BF4" w14:textId="5A9D8CA6" w:rsidR="00127233" w:rsidRPr="0015699B" w:rsidRDefault="00127233" w:rsidP="00DE1954">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2B413" w14:textId="77777777" w:rsidR="00592D70" w:rsidRDefault="00592D70" w:rsidP="004A1847">
      <w:pPr>
        <w:spacing w:after="0" w:line="240" w:lineRule="auto"/>
      </w:pPr>
      <w:r>
        <w:separator/>
      </w:r>
    </w:p>
  </w:endnote>
  <w:endnote w:type="continuationSeparator" w:id="0">
    <w:p w14:paraId="6964F8DC" w14:textId="77777777" w:rsidR="00592D70" w:rsidRDefault="00592D7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332AE3" w14:textId="77777777" w:rsidR="00592D70" w:rsidRDefault="00592D70" w:rsidP="004A1847">
      <w:pPr>
        <w:spacing w:after="0" w:line="240" w:lineRule="auto"/>
      </w:pPr>
      <w:r>
        <w:separator/>
      </w:r>
    </w:p>
  </w:footnote>
  <w:footnote w:type="continuationSeparator" w:id="0">
    <w:p w14:paraId="194C1EF7" w14:textId="77777777" w:rsidR="00592D70" w:rsidRDefault="00592D70" w:rsidP="004A1847">
      <w:pPr>
        <w:spacing w:after="0" w:line="240" w:lineRule="auto"/>
      </w:pPr>
      <w:r>
        <w:continuationSeparator/>
      </w:r>
    </w:p>
  </w:footnote>
  <w:footnote w:id="1">
    <w:p w14:paraId="42C5F98D" w14:textId="77777777" w:rsidR="00DE1954" w:rsidRPr="00EB1E25" w:rsidRDefault="00DE1954" w:rsidP="00DE1954">
      <w:pPr>
        <w:pStyle w:val="Textonotapie"/>
        <w:ind w:firstLine="708"/>
        <w:jc w:val="both"/>
        <w:rPr>
          <w:rFonts w:ascii="Verdana" w:hAnsi="Verdana"/>
          <w:sz w:val="18"/>
          <w:szCs w:val="18"/>
        </w:rPr>
      </w:pPr>
      <w:r w:rsidRPr="00EB1E25">
        <w:rPr>
          <w:rStyle w:val="Refdenotaalpie"/>
          <w:rFonts w:ascii="Verdana" w:hAnsi="Verdana"/>
          <w:sz w:val="18"/>
          <w:szCs w:val="18"/>
        </w:rPr>
        <w:footnoteRef/>
      </w:r>
      <w:r w:rsidRPr="00EB1E25">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0036D97" w14:textId="77777777" w:rsidR="00DE1954" w:rsidRPr="00EB1E25" w:rsidRDefault="00DE1954" w:rsidP="00DE1954">
      <w:pPr>
        <w:pStyle w:val="Textonotapie"/>
        <w:ind w:firstLine="708"/>
        <w:jc w:val="both"/>
        <w:rPr>
          <w:rFonts w:ascii="Verdana" w:hAnsi="Verdana"/>
          <w:sz w:val="18"/>
          <w:szCs w:val="18"/>
        </w:rPr>
      </w:pPr>
    </w:p>
    <w:p w14:paraId="5E900BC0" w14:textId="77777777" w:rsidR="00DE1954" w:rsidRPr="00EB1E25" w:rsidRDefault="00DE1954" w:rsidP="00DE1954">
      <w:pPr>
        <w:pStyle w:val="Textonotapie"/>
        <w:ind w:firstLine="708"/>
        <w:jc w:val="both"/>
        <w:rPr>
          <w:rFonts w:ascii="Verdana" w:hAnsi="Verdana"/>
          <w:sz w:val="18"/>
          <w:szCs w:val="18"/>
        </w:rPr>
      </w:pPr>
      <w:r w:rsidRPr="00EB1E25">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71FB30B" w14:textId="77777777" w:rsidR="00DE1954" w:rsidRPr="00EB1E25" w:rsidRDefault="00DE1954" w:rsidP="00DE1954">
      <w:pPr>
        <w:pStyle w:val="Textonotapie"/>
        <w:ind w:firstLine="708"/>
        <w:jc w:val="both"/>
        <w:rPr>
          <w:rFonts w:ascii="Verdana" w:hAnsi="Verdana"/>
          <w:sz w:val="18"/>
          <w:szCs w:val="18"/>
        </w:rPr>
      </w:pPr>
    </w:p>
    <w:p w14:paraId="76249538" w14:textId="77777777" w:rsidR="00DE1954" w:rsidRPr="00EB1E25" w:rsidRDefault="00DE1954" w:rsidP="00DE1954">
      <w:pPr>
        <w:pStyle w:val="Textonotapie"/>
        <w:ind w:firstLine="708"/>
        <w:jc w:val="both"/>
        <w:rPr>
          <w:rFonts w:ascii="Verdana" w:hAnsi="Verdana"/>
          <w:sz w:val="18"/>
          <w:szCs w:val="18"/>
        </w:rPr>
      </w:pPr>
      <w:r w:rsidRPr="00EB1E25">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747D7895" w14:textId="77777777" w:rsidR="00DE1954" w:rsidRPr="00EB1E25" w:rsidRDefault="00DE1954" w:rsidP="00DE1954">
      <w:pPr>
        <w:pStyle w:val="Textonotapie"/>
        <w:ind w:firstLine="708"/>
        <w:jc w:val="both"/>
        <w:rPr>
          <w:rFonts w:ascii="Verdana" w:hAnsi="Verdana"/>
          <w:sz w:val="18"/>
          <w:szCs w:val="18"/>
        </w:rPr>
      </w:pPr>
    </w:p>
    <w:p w14:paraId="0C87D40F" w14:textId="77777777" w:rsidR="00DE1954" w:rsidRPr="00EB1E25" w:rsidRDefault="00DE1954" w:rsidP="00DE1954">
      <w:pPr>
        <w:pStyle w:val="Textonotapie"/>
        <w:ind w:firstLine="708"/>
        <w:jc w:val="both"/>
        <w:rPr>
          <w:rFonts w:ascii="Verdana" w:hAnsi="Verdana"/>
          <w:sz w:val="18"/>
          <w:szCs w:val="18"/>
        </w:rPr>
      </w:pPr>
      <w:r w:rsidRPr="00EB1E25">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1DEF487" w14:textId="77777777" w:rsidR="00DE1954" w:rsidRPr="00EB1E25" w:rsidRDefault="00DE1954" w:rsidP="00DE1954">
      <w:pPr>
        <w:pStyle w:val="Textonotapie"/>
        <w:ind w:firstLine="708"/>
        <w:jc w:val="both"/>
        <w:rPr>
          <w:rFonts w:ascii="Verdana" w:hAnsi="Verdana"/>
          <w:sz w:val="18"/>
          <w:szCs w:val="18"/>
        </w:rPr>
      </w:pPr>
    </w:p>
    <w:p w14:paraId="7157B7E8" w14:textId="77777777" w:rsidR="00DE1954" w:rsidRPr="00EB1E25" w:rsidRDefault="00DE1954" w:rsidP="00DE1954">
      <w:pPr>
        <w:pStyle w:val="Textonotapie"/>
        <w:ind w:firstLine="708"/>
        <w:jc w:val="both"/>
        <w:rPr>
          <w:rFonts w:ascii="Verdana" w:hAnsi="Verdana"/>
          <w:sz w:val="18"/>
          <w:szCs w:val="18"/>
        </w:rPr>
      </w:pPr>
      <w:r w:rsidRPr="00EB1E25">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4D372974" w14:textId="77777777" w:rsidR="00DE1954" w:rsidRDefault="00DE1954" w:rsidP="00DE1954">
      <w:pPr>
        <w:pStyle w:val="Textonotapie"/>
        <w:ind w:firstLine="708"/>
        <w:jc w:val="both"/>
        <w:rPr>
          <w:rFonts w:ascii="Arial" w:eastAsia="Times New Roman" w:hAnsi="Arial" w:cs="Arial"/>
          <w:sz w:val="19"/>
          <w:szCs w:val="19"/>
          <w:lang w:val="es-ES" w:eastAsia="en-GB"/>
        </w:rPr>
      </w:pPr>
      <w:r w:rsidRPr="0089556B">
        <w:rPr>
          <w:rStyle w:val="Refdenotaalpie"/>
          <w:rFonts w:ascii="Arial" w:hAnsi="Arial" w:cs="Arial"/>
          <w:sz w:val="19"/>
          <w:szCs w:val="19"/>
        </w:rPr>
        <w:footnoteRef/>
      </w:r>
      <w:r w:rsidRPr="0089556B">
        <w:rPr>
          <w:rFonts w:ascii="Arial" w:hAnsi="Arial" w:cs="Arial"/>
          <w:sz w:val="19"/>
          <w:szCs w:val="19"/>
        </w:rPr>
        <w:t xml:space="preserve"> Estos parámetros se encuentran dispuestos de forma gráfica en la segunda página “Interpretación de la matriz 1 – experiencia” de cada una de las Matrices de experiencia adoptadas mediante las </w:t>
      </w:r>
      <w:r w:rsidRPr="0089556B">
        <w:rPr>
          <w:rFonts w:ascii="Arial" w:eastAsia="Times New Roman" w:hAnsi="Arial" w:cs="Arial"/>
          <w:sz w:val="19"/>
          <w:szCs w:val="19"/>
          <w:lang w:val="es-ES" w:eastAsia="en-GB"/>
        </w:rPr>
        <w:t>Resoluciones N</w:t>
      </w:r>
      <w:r>
        <w:rPr>
          <w:rFonts w:ascii="Arial" w:eastAsia="Times New Roman" w:hAnsi="Arial" w:cs="Arial"/>
          <w:sz w:val="19"/>
          <w:szCs w:val="19"/>
          <w:lang w:val="es-ES" w:eastAsia="en-GB"/>
        </w:rPr>
        <w:t xml:space="preserve">o. </w:t>
      </w:r>
      <w:r w:rsidRPr="007C38BF">
        <w:rPr>
          <w:rFonts w:ascii="Arial" w:eastAsia="Times New Roman" w:hAnsi="Arial" w:cs="Arial"/>
          <w:sz w:val="19"/>
          <w:szCs w:val="19"/>
          <w:lang w:val="es-ES" w:eastAsia="en-GB"/>
        </w:rPr>
        <w:t>539, 540 y 541 del 21 de agosto de 2025</w:t>
      </w:r>
      <w:r>
        <w:rPr>
          <w:rFonts w:ascii="Arial" w:eastAsia="Times New Roman" w:hAnsi="Arial" w:cs="Arial"/>
          <w:sz w:val="19"/>
          <w:szCs w:val="19"/>
          <w:lang w:val="es-ES" w:eastAsia="en-GB"/>
        </w:rPr>
        <w:t>.</w:t>
      </w:r>
    </w:p>
    <w:p w14:paraId="583E2FD0" w14:textId="77777777" w:rsidR="00DE1954" w:rsidRPr="0089556B" w:rsidRDefault="00DE1954" w:rsidP="00DE1954">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9B2EAF2E"/>
    <w:lvl w:ilvl="0">
      <w:start w:val="1"/>
      <w:numFmt w:val="decimal"/>
      <w:lvlText w:val="%1."/>
      <w:lvlJc w:val="left"/>
      <w:pPr>
        <w:ind w:left="360" w:hanging="360"/>
      </w:pPr>
      <w:rPr>
        <w:b/>
        <w:color w:val="auto"/>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9CE3728"/>
    <w:multiLevelType w:val="hybridMultilevel"/>
    <w:tmpl w:val="4DF629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EE8E77B4"/>
    <w:lvl w:ilvl="0" w:tplc="C1D210D2">
      <w:start w:val="1"/>
      <w:numFmt w:val="bullet"/>
      <w:lvlText w:val=""/>
      <w:lvlJc w:val="left"/>
      <w:pPr>
        <w:ind w:left="720" w:hanging="360"/>
      </w:pPr>
      <w:rPr>
        <w:rFonts w:ascii="Symbol" w:hAnsi="Symbol" w:hint="default"/>
        <w:color w:val="auto"/>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7353205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215"/>
    <w:rsid w:val="000A683E"/>
    <w:rsid w:val="000B19B9"/>
    <w:rsid w:val="000D0334"/>
    <w:rsid w:val="000D5DA7"/>
    <w:rsid w:val="000E59D4"/>
    <w:rsid w:val="000F6486"/>
    <w:rsid w:val="00116940"/>
    <w:rsid w:val="00125105"/>
    <w:rsid w:val="00127233"/>
    <w:rsid w:val="0015699B"/>
    <w:rsid w:val="001A33BF"/>
    <w:rsid w:val="001E4177"/>
    <w:rsid w:val="001F0B24"/>
    <w:rsid w:val="001F7DC6"/>
    <w:rsid w:val="00213563"/>
    <w:rsid w:val="0022400B"/>
    <w:rsid w:val="002421BB"/>
    <w:rsid w:val="0024537D"/>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03ED"/>
    <w:rsid w:val="00374F5E"/>
    <w:rsid w:val="00377E3E"/>
    <w:rsid w:val="003A779E"/>
    <w:rsid w:val="003D0F4D"/>
    <w:rsid w:val="003D5B0D"/>
    <w:rsid w:val="003E0499"/>
    <w:rsid w:val="003E4696"/>
    <w:rsid w:val="003E4F80"/>
    <w:rsid w:val="003E6439"/>
    <w:rsid w:val="003F3941"/>
    <w:rsid w:val="00406575"/>
    <w:rsid w:val="00414C74"/>
    <w:rsid w:val="0042722E"/>
    <w:rsid w:val="0044528D"/>
    <w:rsid w:val="00466E39"/>
    <w:rsid w:val="004A1847"/>
    <w:rsid w:val="004A305D"/>
    <w:rsid w:val="004E3B51"/>
    <w:rsid w:val="004F21C4"/>
    <w:rsid w:val="004F685F"/>
    <w:rsid w:val="00552E72"/>
    <w:rsid w:val="005566E8"/>
    <w:rsid w:val="00574867"/>
    <w:rsid w:val="0058705F"/>
    <w:rsid w:val="00591460"/>
    <w:rsid w:val="00592D70"/>
    <w:rsid w:val="00597E3C"/>
    <w:rsid w:val="005A65E0"/>
    <w:rsid w:val="005C3777"/>
    <w:rsid w:val="005C5CDC"/>
    <w:rsid w:val="005D476C"/>
    <w:rsid w:val="00602B32"/>
    <w:rsid w:val="006200BF"/>
    <w:rsid w:val="006219F8"/>
    <w:rsid w:val="006302F7"/>
    <w:rsid w:val="006441CB"/>
    <w:rsid w:val="00646B9F"/>
    <w:rsid w:val="006607BB"/>
    <w:rsid w:val="00665D70"/>
    <w:rsid w:val="006900D9"/>
    <w:rsid w:val="006B6F03"/>
    <w:rsid w:val="00706C16"/>
    <w:rsid w:val="00717AFF"/>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2303"/>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2ABD"/>
    <w:rsid w:val="009F3A13"/>
    <w:rsid w:val="00A122D3"/>
    <w:rsid w:val="00A14468"/>
    <w:rsid w:val="00A17F13"/>
    <w:rsid w:val="00A20739"/>
    <w:rsid w:val="00A2263C"/>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2D1F"/>
    <w:rsid w:val="00CB6357"/>
    <w:rsid w:val="00CC1B26"/>
    <w:rsid w:val="00D361FD"/>
    <w:rsid w:val="00D423A2"/>
    <w:rsid w:val="00D44E26"/>
    <w:rsid w:val="00D520D8"/>
    <w:rsid w:val="00D63AC2"/>
    <w:rsid w:val="00D7383B"/>
    <w:rsid w:val="00D7788A"/>
    <w:rsid w:val="00DA231B"/>
    <w:rsid w:val="00DC3556"/>
    <w:rsid w:val="00DC39FC"/>
    <w:rsid w:val="00DE1954"/>
    <w:rsid w:val="00DF5254"/>
    <w:rsid w:val="00E02524"/>
    <w:rsid w:val="00E16408"/>
    <w:rsid w:val="00E20894"/>
    <w:rsid w:val="00E245AB"/>
    <w:rsid w:val="00E2764C"/>
    <w:rsid w:val="00E27F2E"/>
    <w:rsid w:val="00E34873"/>
    <w:rsid w:val="00E50AFE"/>
    <w:rsid w:val="00E62BA5"/>
    <w:rsid w:val="00E75C92"/>
    <w:rsid w:val="00E771DC"/>
    <w:rsid w:val="00E8772A"/>
    <w:rsid w:val="00E90F6B"/>
    <w:rsid w:val="00E92C27"/>
    <w:rsid w:val="00EA0E3D"/>
    <w:rsid w:val="00EA53C7"/>
    <w:rsid w:val="00EC38A7"/>
    <w:rsid w:val="00EE1AA8"/>
    <w:rsid w:val="00F23FEA"/>
    <w:rsid w:val="00F31EDC"/>
    <w:rsid w:val="00F462B3"/>
    <w:rsid w:val="00F5664F"/>
    <w:rsid w:val="00F666C4"/>
    <w:rsid w:val="00F76AFC"/>
    <w:rsid w:val="00FA47C0"/>
    <w:rsid w:val="00FB5DD1"/>
    <w:rsid w:val="00FC2B5D"/>
    <w:rsid w:val="00FE072F"/>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E1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DE195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E195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56328790">
      <w:bodyDiv w:val="1"/>
      <w:marLeft w:val="0"/>
      <w:marRight w:val="0"/>
      <w:marTop w:val="0"/>
      <w:marBottom w:val="0"/>
      <w:divBdr>
        <w:top w:val="none" w:sz="0" w:space="0" w:color="auto"/>
        <w:left w:val="none" w:sz="0" w:space="0" w:color="auto"/>
        <w:bottom w:val="none" w:sz="0" w:space="0" w:color="auto"/>
        <w:right w:val="none" w:sz="0" w:space="0" w:color="auto"/>
      </w:divBdr>
      <w:divsChild>
        <w:div w:id="1388186511">
          <w:marLeft w:val="0"/>
          <w:marRight w:val="0"/>
          <w:marTop w:val="0"/>
          <w:marBottom w:val="0"/>
          <w:divBdr>
            <w:top w:val="none" w:sz="0" w:space="0" w:color="auto"/>
            <w:left w:val="none" w:sz="0" w:space="0" w:color="auto"/>
            <w:bottom w:val="none" w:sz="0" w:space="0" w:color="auto"/>
            <w:right w:val="none" w:sz="0" w:space="0" w:color="auto"/>
          </w:divBdr>
        </w:div>
        <w:div w:id="1852719787">
          <w:marLeft w:val="0"/>
          <w:marRight w:val="0"/>
          <w:marTop w:val="0"/>
          <w:marBottom w:val="0"/>
          <w:divBdr>
            <w:top w:val="none" w:sz="0" w:space="0" w:color="auto"/>
            <w:left w:val="none" w:sz="0" w:space="0" w:color="auto"/>
            <w:bottom w:val="none" w:sz="0" w:space="0" w:color="auto"/>
            <w:right w:val="none" w:sz="0" w:space="0" w:color="auto"/>
          </w:divBdr>
        </w:div>
        <w:div w:id="772475813">
          <w:marLeft w:val="0"/>
          <w:marRight w:val="0"/>
          <w:marTop w:val="0"/>
          <w:marBottom w:val="0"/>
          <w:divBdr>
            <w:top w:val="none" w:sz="0" w:space="0" w:color="auto"/>
            <w:left w:val="none" w:sz="0" w:space="0" w:color="auto"/>
            <w:bottom w:val="none" w:sz="0" w:space="0" w:color="auto"/>
            <w:right w:val="none" w:sz="0" w:space="0" w:color="auto"/>
          </w:divBdr>
        </w:div>
        <w:div w:id="1169516271">
          <w:marLeft w:val="0"/>
          <w:marRight w:val="0"/>
          <w:marTop w:val="0"/>
          <w:marBottom w:val="0"/>
          <w:divBdr>
            <w:top w:val="none" w:sz="0" w:space="0" w:color="auto"/>
            <w:left w:val="none" w:sz="0" w:space="0" w:color="auto"/>
            <w:bottom w:val="none" w:sz="0" w:space="0" w:color="auto"/>
            <w:right w:val="none" w:sz="0" w:space="0" w:color="auto"/>
          </w:divBdr>
        </w:div>
        <w:div w:id="2113627382">
          <w:marLeft w:val="0"/>
          <w:marRight w:val="0"/>
          <w:marTop w:val="0"/>
          <w:marBottom w:val="0"/>
          <w:divBdr>
            <w:top w:val="none" w:sz="0" w:space="0" w:color="auto"/>
            <w:left w:val="none" w:sz="0" w:space="0" w:color="auto"/>
            <w:bottom w:val="none" w:sz="0" w:space="0" w:color="auto"/>
            <w:right w:val="none" w:sz="0" w:space="0" w:color="auto"/>
          </w:divBdr>
        </w:div>
        <w:div w:id="1310791419">
          <w:marLeft w:val="0"/>
          <w:marRight w:val="0"/>
          <w:marTop w:val="0"/>
          <w:marBottom w:val="0"/>
          <w:divBdr>
            <w:top w:val="none" w:sz="0" w:space="0" w:color="auto"/>
            <w:left w:val="none" w:sz="0" w:space="0" w:color="auto"/>
            <w:bottom w:val="none" w:sz="0" w:space="0" w:color="auto"/>
            <w:right w:val="none" w:sz="0" w:space="0" w:color="auto"/>
          </w:divBdr>
        </w:div>
        <w:div w:id="613903257">
          <w:marLeft w:val="0"/>
          <w:marRight w:val="0"/>
          <w:marTop w:val="0"/>
          <w:marBottom w:val="0"/>
          <w:divBdr>
            <w:top w:val="none" w:sz="0" w:space="0" w:color="auto"/>
            <w:left w:val="none" w:sz="0" w:space="0" w:color="auto"/>
            <w:bottom w:val="none" w:sz="0" w:space="0" w:color="auto"/>
            <w:right w:val="none" w:sz="0" w:space="0" w:color="auto"/>
          </w:divBdr>
        </w:div>
        <w:div w:id="33816714">
          <w:marLeft w:val="0"/>
          <w:marRight w:val="0"/>
          <w:marTop w:val="0"/>
          <w:marBottom w:val="0"/>
          <w:divBdr>
            <w:top w:val="none" w:sz="0" w:space="0" w:color="auto"/>
            <w:left w:val="none" w:sz="0" w:space="0" w:color="auto"/>
            <w:bottom w:val="none" w:sz="0" w:space="0" w:color="auto"/>
            <w:right w:val="none" w:sz="0" w:space="0" w:color="auto"/>
          </w:divBdr>
        </w:div>
        <w:div w:id="699739536">
          <w:marLeft w:val="0"/>
          <w:marRight w:val="0"/>
          <w:marTop w:val="0"/>
          <w:marBottom w:val="0"/>
          <w:divBdr>
            <w:top w:val="none" w:sz="0" w:space="0" w:color="auto"/>
            <w:left w:val="none" w:sz="0" w:space="0" w:color="auto"/>
            <w:bottom w:val="none" w:sz="0" w:space="0" w:color="auto"/>
            <w:right w:val="none" w:sz="0" w:space="0" w:color="auto"/>
          </w:divBdr>
        </w:div>
        <w:div w:id="158935211">
          <w:marLeft w:val="0"/>
          <w:marRight w:val="0"/>
          <w:marTop w:val="0"/>
          <w:marBottom w:val="0"/>
          <w:divBdr>
            <w:top w:val="none" w:sz="0" w:space="0" w:color="auto"/>
            <w:left w:val="none" w:sz="0" w:space="0" w:color="auto"/>
            <w:bottom w:val="none" w:sz="0" w:space="0" w:color="auto"/>
            <w:right w:val="none" w:sz="0" w:space="0" w:color="auto"/>
          </w:divBdr>
        </w:div>
        <w:div w:id="1330206516">
          <w:marLeft w:val="0"/>
          <w:marRight w:val="0"/>
          <w:marTop w:val="0"/>
          <w:marBottom w:val="0"/>
          <w:divBdr>
            <w:top w:val="none" w:sz="0" w:space="0" w:color="auto"/>
            <w:left w:val="none" w:sz="0" w:space="0" w:color="auto"/>
            <w:bottom w:val="none" w:sz="0" w:space="0" w:color="auto"/>
            <w:right w:val="none" w:sz="0" w:space="0" w:color="auto"/>
          </w:divBdr>
        </w:div>
        <w:div w:id="381371795">
          <w:marLeft w:val="0"/>
          <w:marRight w:val="0"/>
          <w:marTop w:val="0"/>
          <w:marBottom w:val="0"/>
          <w:divBdr>
            <w:top w:val="none" w:sz="0" w:space="0" w:color="auto"/>
            <w:left w:val="none" w:sz="0" w:space="0" w:color="auto"/>
            <w:bottom w:val="none" w:sz="0" w:space="0" w:color="auto"/>
            <w:right w:val="none" w:sz="0" w:space="0" w:color="auto"/>
          </w:divBdr>
        </w:div>
        <w:div w:id="1120492783">
          <w:marLeft w:val="0"/>
          <w:marRight w:val="0"/>
          <w:marTop w:val="0"/>
          <w:marBottom w:val="0"/>
          <w:divBdr>
            <w:top w:val="none" w:sz="0" w:space="0" w:color="auto"/>
            <w:left w:val="none" w:sz="0" w:space="0" w:color="auto"/>
            <w:bottom w:val="none" w:sz="0" w:space="0" w:color="auto"/>
            <w:right w:val="none" w:sz="0" w:space="0" w:color="auto"/>
          </w:divBdr>
        </w:div>
        <w:div w:id="1550065925">
          <w:marLeft w:val="0"/>
          <w:marRight w:val="0"/>
          <w:marTop w:val="0"/>
          <w:marBottom w:val="0"/>
          <w:divBdr>
            <w:top w:val="none" w:sz="0" w:space="0" w:color="auto"/>
            <w:left w:val="none" w:sz="0" w:space="0" w:color="auto"/>
            <w:bottom w:val="none" w:sz="0" w:space="0" w:color="auto"/>
            <w:right w:val="none" w:sz="0" w:space="0" w:color="auto"/>
          </w:divBdr>
        </w:div>
        <w:div w:id="1251310511">
          <w:marLeft w:val="0"/>
          <w:marRight w:val="0"/>
          <w:marTop w:val="0"/>
          <w:marBottom w:val="0"/>
          <w:divBdr>
            <w:top w:val="none" w:sz="0" w:space="0" w:color="auto"/>
            <w:left w:val="none" w:sz="0" w:space="0" w:color="auto"/>
            <w:bottom w:val="none" w:sz="0" w:space="0" w:color="auto"/>
            <w:right w:val="none" w:sz="0" w:space="0" w:color="auto"/>
          </w:divBdr>
        </w:div>
        <w:div w:id="180315532">
          <w:marLeft w:val="0"/>
          <w:marRight w:val="0"/>
          <w:marTop w:val="0"/>
          <w:marBottom w:val="0"/>
          <w:divBdr>
            <w:top w:val="none" w:sz="0" w:space="0" w:color="auto"/>
            <w:left w:val="none" w:sz="0" w:space="0" w:color="auto"/>
            <w:bottom w:val="none" w:sz="0" w:space="0" w:color="auto"/>
            <w:right w:val="none" w:sz="0" w:space="0" w:color="auto"/>
          </w:divBdr>
        </w:div>
        <w:div w:id="1085764227">
          <w:marLeft w:val="0"/>
          <w:marRight w:val="0"/>
          <w:marTop w:val="0"/>
          <w:marBottom w:val="0"/>
          <w:divBdr>
            <w:top w:val="none" w:sz="0" w:space="0" w:color="auto"/>
            <w:left w:val="none" w:sz="0" w:space="0" w:color="auto"/>
            <w:bottom w:val="none" w:sz="0" w:space="0" w:color="auto"/>
            <w:right w:val="none" w:sz="0" w:space="0" w:color="auto"/>
          </w:divBdr>
        </w:div>
        <w:div w:id="637146797">
          <w:marLeft w:val="0"/>
          <w:marRight w:val="0"/>
          <w:marTop w:val="0"/>
          <w:marBottom w:val="0"/>
          <w:divBdr>
            <w:top w:val="none" w:sz="0" w:space="0" w:color="auto"/>
            <w:left w:val="none" w:sz="0" w:space="0" w:color="auto"/>
            <w:bottom w:val="none" w:sz="0" w:space="0" w:color="auto"/>
            <w:right w:val="none" w:sz="0" w:space="0" w:color="auto"/>
          </w:divBdr>
        </w:div>
        <w:div w:id="2095786499">
          <w:marLeft w:val="0"/>
          <w:marRight w:val="0"/>
          <w:marTop w:val="0"/>
          <w:marBottom w:val="0"/>
          <w:divBdr>
            <w:top w:val="none" w:sz="0" w:space="0" w:color="auto"/>
            <w:left w:val="none" w:sz="0" w:space="0" w:color="auto"/>
            <w:bottom w:val="none" w:sz="0" w:space="0" w:color="auto"/>
            <w:right w:val="none" w:sz="0" w:space="0" w:color="auto"/>
          </w:divBdr>
        </w:div>
        <w:div w:id="1119450087">
          <w:marLeft w:val="0"/>
          <w:marRight w:val="0"/>
          <w:marTop w:val="0"/>
          <w:marBottom w:val="0"/>
          <w:divBdr>
            <w:top w:val="none" w:sz="0" w:space="0" w:color="auto"/>
            <w:left w:val="none" w:sz="0" w:space="0" w:color="auto"/>
            <w:bottom w:val="none" w:sz="0" w:space="0" w:color="auto"/>
            <w:right w:val="none" w:sz="0" w:space="0" w:color="auto"/>
          </w:divBdr>
        </w:div>
        <w:div w:id="458377853">
          <w:marLeft w:val="0"/>
          <w:marRight w:val="0"/>
          <w:marTop w:val="0"/>
          <w:marBottom w:val="0"/>
          <w:divBdr>
            <w:top w:val="none" w:sz="0" w:space="0" w:color="auto"/>
            <w:left w:val="none" w:sz="0" w:space="0" w:color="auto"/>
            <w:bottom w:val="none" w:sz="0" w:space="0" w:color="auto"/>
            <w:right w:val="none" w:sz="0" w:space="0" w:color="auto"/>
          </w:divBdr>
        </w:div>
        <w:div w:id="898976240">
          <w:marLeft w:val="0"/>
          <w:marRight w:val="0"/>
          <w:marTop w:val="0"/>
          <w:marBottom w:val="0"/>
          <w:divBdr>
            <w:top w:val="none" w:sz="0" w:space="0" w:color="auto"/>
            <w:left w:val="none" w:sz="0" w:space="0" w:color="auto"/>
            <w:bottom w:val="none" w:sz="0" w:space="0" w:color="auto"/>
            <w:right w:val="none" w:sz="0" w:space="0" w:color="auto"/>
          </w:divBdr>
        </w:div>
        <w:div w:id="639265417">
          <w:marLeft w:val="0"/>
          <w:marRight w:val="0"/>
          <w:marTop w:val="0"/>
          <w:marBottom w:val="0"/>
          <w:divBdr>
            <w:top w:val="none" w:sz="0" w:space="0" w:color="auto"/>
            <w:left w:val="none" w:sz="0" w:space="0" w:color="auto"/>
            <w:bottom w:val="none" w:sz="0" w:space="0" w:color="auto"/>
            <w:right w:val="none" w:sz="0" w:space="0" w:color="auto"/>
          </w:divBdr>
        </w:div>
        <w:div w:id="980771684">
          <w:marLeft w:val="0"/>
          <w:marRight w:val="0"/>
          <w:marTop w:val="0"/>
          <w:marBottom w:val="0"/>
          <w:divBdr>
            <w:top w:val="none" w:sz="0" w:space="0" w:color="auto"/>
            <w:left w:val="none" w:sz="0" w:space="0" w:color="auto"/>
            <w:bottom w:val="none" w:sz="0" w:space="0" w:color="auto"/>
            <w:right w:val="none" w:sz="0" w:space="0" w:color="auto"/>
          </w:divBdr>
        </w:div>
        <w:div w:id="651493845">
          <w:marLeft w:val="0"/>
          <w:marRight w:val="0"/>
          <w:marTop w:val="0"/>
          <w:marBottom w:val="0"/>
          <w:divBdr>
            <w:top w:val="none" w:sz="0" w:space="0" w:color="auto"/>
            <w:left w:val="none" w:sz="0" w:space="0" w:color="auto"/>
            <w:bottom w:val="none" w:sz="0" w:space="0" w:color="auto"/>
            <w:right w:val="none" w:sz="0" w:space="0" w:color="auto"/>
          </w:divBdr>
        </w:div>
        <w:div w:id="1645239125">
          <w:marLeft w:val="0"/>
          <w:marRight w:val="0"/>
          <w:marTop w:val="0"/>
          <w:marBottom w:val="0"/>
          <w:divBdr>
            <w:top w:val="none" w:sz="0" w:space="0" w:color="auto"/>
            <w:left w:val="none" w:sz="0" w:space="0" w:color="auto"/>
            <w:bottom w:val="none" w:sz="0" w:space="0" w:color="auto"/>
            <w:right w:val="none" w:sz="0" w:space="0" w:color="auto"/>
          </w:divBdr>
        </w:div>
        <w:div w:id="20670990">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02436746">
      <w:bodyDiv w:val="1"/>
      <w:marLeft w:val="0"/>
      <w:marRight w:val="0"/>
      <w:marTop w:val="0"/>
      <w:marBottom w:val="0"/>
      <w:divBdr>
        <w:top w:val="none" w:sz="0" w:space="0" w:color="auto"/>
        <w:left w:val="none" w:sz="0" w:space="0" w:color="auto"/>
        <w:bottom w:val="none" w:sz="0" w:space="0" w:color="auto"/>
        <w:right w:val="none" w:sz="0" w:space="0" w:color="auto"/>
      </w:divBdr>
      <w:divsChild>
        <w:div w:id="793406680">
          <w:marLeft w:val="0"/>
          <w:marRight w:val="0"/>
          <w:marTop w:val="0"/>
          <w:marBottom w:val="0"/>
          <w:divBdr>
            <w:top w:val="none" w:sz="0" w:space="0" w:color="auto"/>
            <w:left w:val="none" w:sz="0" w:space="0" w:color="auto"/>
            <w:bottom w:val="none" w:sz="0" w:space="0" w:color="auto"/>
            <w:right w:val="none" w:sz="0" w:space="0" w:color="auto"/>
          </w:divBdr>
        </w:div>
        <w:div w:id="1380282099">
          <w:marLeft w:val="0"/>
          <w:marRight w:val="0"/>
          <w:marTop w:val="0"/>
          <w:marBottom w:val="0"/>
          <w:divBdr>
            <w:top w:val="none" w:sz="0" w:space="0" w:color="auto"/>
            <w:left w:val="none" w:sz="0" w:space="0" w:color="auto"/>
            <w:bottom w:val="none" w:sz="0" w:space="0" w:color="auto"/>
            <w:right w:val="none" w:sz="0" w:space="0" w:color="auto"/>
          </w:divBdr>
        </w:div>
        <w:div w:id="2319386">
          <w:marLeft w:val="0"/>
          <w:marRight w:val="0"/>
          <w:marTop w:val="0"/>
          <w:marBottom w:val="0"/>
          <w:divBdr>
            <w:top w:val="none" w:sz="0" w:space="0" w:color="auto"/>
            <w:left w:val="none" w:sz="0" w:space="0" w:color="auto"/>
            <w:bottom w:val="none" w:sz="0" w:space="0" w:color="auto"/>
            <w:right w:val="none" w:sz="0" w:space="0" w:color="auto"/>
          </w:divBdr>
        </w:div>
        <w:div w:id="1625188568">
          <w:marLeft w:val="0"/>
          <w:marRight w:val="0"/>
          <w:marTop w:val="0"/>
          <w:marBottom w:val="0"/>
          <w:divBdr>
            <w:top w:val="none" w:sz="0" w:space="0" w:color="auto"/>
            <w:left w:val="none" w:sz="0" w:space="0" w:color="auto"/>
            <w:bottom w:val="none" w:sz="0" w:space="0" w:color="auto"/>
            <w:right w:val="none" w:sz="0" w:space="0" w:color="auto"/>
          </w:divBdr>
        </w:div>
        <w:div w:id="1238054221">
          <w:marLeft w:val="0"/>
          <w:marRight w:val="0"/>
          <w:marTop w:val="0"/>
          <w:marBottom w:val="0"/>
          <w:divBdr>
            <w:top w:val="none" w:sz="0" w:space="0" w:color="auto"/>
            <w:left w:val="none" w:sz="0" w:space="0" w:color="auto"/>
            <w:bottom w:val="none" w:sz="0" w:space="0" w:color="auto"/>
            <w:right w:val="none" w:sz="0" w:space="0" w:color="auto"/>
          </w:divBdr>
        </w:div>
        <w:div w:id="1365715682">
          <w:marLeft w:val="0"/>
          <w:marRight w:val="0"/>
          <w:marTop w:val="0"/>
          <w:marBottom w:val="0"/>
          <w:divBdr>
            <w:top w:val="none" w:sz="0" w:space="0" w:color="auto"/>
            <w:left w:val="none" w:sz="0" w:space="0" w:color="auto"/>
            <w:bottom w:val="none" w:sz="0" w:space="0" w:color="auto"/>
            <w:right w:val="none" w:sz="0" w:space="0" w:color="auto"/>
          </w:divBdr>
        </w:div>
        <w:div w:id="962737421">
          <w:marLeft w:val="0"/>
          <w:marRight w:val="0"/>
          <w:marTop w:val="0"/>
          <w:marBottom w:val="0"/>
          <w:divBdr>
            <w:top w:val="none" w:sz="0" w:space="0" w:color="auto"/>
            <w:left w:val="none" w:sz="0" w:space="0" w:color="auto"/>
            <w:bottom w:val="none" w:sz="0" w:space="0" w:color="auto"/>
            <w:right w:val="none" w:sz="0" w:space="0" w:color="auto"/>
          </w:divBdr>
        </w:div>
        <w:div w:id="1296643930">
          <w:marLeft w:val="0"/>
          <w:marRight w:val="0"/>
          <w:marTop w:val="0"/>
          <w:marBottom w:val="0"/>
          <w:divBdr>
            <w:top w:val="none" w:sz="0" w:space="0" w:color="auto"/>
            <w:left w:val="none" w:sz="0" w:space="0" w:color="auto"/>
            <w:bottom w:val="none" w:sz="0" w:space="0" w:color="auto"/>
            <w:right w:val="none" w:sz="0" w:space="0" w:color="auto"/>
          </w:divBdr>
        </w:div>
        <w:div w:id="29689040">
          <w:marLeft w:val="0"/>
          <w:marRight w:val="0"/>
          <w:marTop w:val="0"/>
          <w:marBottom w:val="0"/>
          <w:divBdr>
            <w:top w:val="none" w:sz="0" w:space="0" w:color="auto"/>
            <w:left w:val="none" w:sz="0" w:space="0" w:color="auto"/>
            <w:bottom w:val="none" w:sz="0" w:space="0" w:color="auto"/>
            <w:right w:val="none" w:sz="0" w:space="0" w:color="auto"/>
          </w:divBdr>
        </w:div>
        <w:div w:id="880246453">
          <w:marLeft w:val="0"/>
          <w:marRight w:val="0"/>
          <w:marTop w:val="0"/>
          <w:marBottom w:val="0"/>
          <w:divBdr>
            <w:top w:val="none" w:sz="0" w:space="0" w:color="auto"/>
            <w:left w:val="none" w:sz="0" w:space="0" w:color="auto"/>
            <w:bottom w:val="none" w:sz="0" w:space="0" w:color="auto"/>
            <w:right w:val="none" w:sz="0" w:space="0" w:color="auto"/>
          </w:divBdr>
        </w:div>
        <w:div w:id="422461922">
          <w:marLeft w:val="0"/>
          <w:marRight w:val="0"/>
          <w:marTop w:val="0"/>
          <w:marBottom w:val="0"/>
          <w:divBdr>
            <w:top w:val="none" w:sz="0" w:space="0" w:color="auto"/>
            <w:left w:val="none" w:sz="0" w:space="0" w:color="auto"/>
            <w:bottom w:val="none" w:sz="0" w:space="0" w:color="auto"/>
            <w:right w:val="none" w:sz="0" w:space="0" w:color="auto"/>
          </w:divBdr>
        </w:div>
        <w:div w:id="450364826">
          <w:marLeft w:val="0"/>
          <w:marRight w:val="0"/>
          <w:marTop w:val="0"/>
          <w:marBottom w:val="0"/>
          <w:divBdr>
            <w:top w:val="none" w:sz="0" w:space="0" w:color="auto"/>
            <w:left w:val="none" w:sz="0" w:space="0" w:color="auto"/>
            <w:bottom w:val="none" w:sz="0" w:space="0" w:color="auto"/>
            <w:right w:val="none" w:sz="0" w:space="0" w:color="auto"/>
          </w:divBdr>
        </w:div>
        <w:div w:id="1757435486">
          <w:marLeft w:val="0"/>
          <w:marRight w:val="0"/>
          <w:marTop w:val="0"/>
          <w:marBottom w:val="0"/>
          <w:divBdr>
            <w:top w:val="none" w:sz="0" w:space="0" w:color="auto"/>
            <w:left w:val="none" w:sz="0" w:space="0" w:color="auto"/>
            <w:bottom w:val="none" w:sz="0" w:space="0" w:color="auto"/>
            <w:right w:val="none" w:sz="0" w:space="0" w:color="auto"/>
          </w:divBdr>
        </w:div>
        <w:div w:id="95177262">
          <w:marLeft w:val="0"/>
          <w:marRight w:val="0"/>
          <w:marTop w:val="0"/>
          <w:marBottom w:val="0"/>
          <w:divBdr>
            <w:top w:val="none" w:sz="0" w:space="0" w:color="auto"/>
            <w:left w:val="none" w:sz="0" w:space="0" w:color="auto"/>
            <w:bottom w:val="none" w:sz="0" w:space="0" w:color="auto"/>
            <w:right w:val="none" w:sz="0" w:space="0" w:color="auto"/>
          </w:divBdr>
        </w:div>
        <w:div w:id="1815829559">
          <w:marLeft w:val="0"/>
          <w:marRight w:val="0"/>
          <w:marTop w:val="0"/>
          <w:marBottom w:val="0"/>
          <w:divBdr>
            <w:top w:val="none" w:sz="0" w:space="0" w:color="auto"/>
            <w:left w:val="none" w:sz="0" w:space="0" w:color="auto"/>
            <w:bottom w:val="none" w:sz="0" w:space="0" w:color="auto"/>
            <w:right w:val="none" w:sz="0" w:space="0" w:color="auto"/>
          </w:divBdr>
        </w:div>
        <w:div w:id="1166507682">
          <w:marLeft w:val="0"/>
          <w:marRight w:val="0"/>
          <w:marTop w:val="0"/>
          <w:marBottom w:val="0"/>
          <w:divBdr>
            <w:top w:val="none" w:sz="0" w:space="0" w:color="auto"/>
            <w:left w:val="none" w:sz="0" w:space="0" w:color="auto"/>
            <w:bottom w:val="none" w:sz="0" w:space="0" w:color="auto"/>
            <w:right w:val="none" w:sz="0" w:space="0" w:color="auto"/>
          </w:divBdr>
        </w:div>
        <w:div w:id="735323142">
          <w:marLeft w:val="0"/>
          <w:marRight w:val="0"/>
          <w:marTop w:val="0"/>
          <w:marBottom w:val="0"/>
          <w:divBdr>
            <w:top w:val="none" w:sz="0" w:space="0" w:color="auto"/>
            <w:left w:val="none" w:sz="0" w:space="0" w:color="auto"/>
            <w:bottom w:val="none" w:sz="0" w:space="0" w:color="auto"/>
            <w:right w:val="none" w:sz="0" w:space="0" w:color="auto"/>
          </w:divBdr>
        </w:div>
        <w:div w:id="243683379">
          <w:marLeft w:val="0"/>
          <w:marRight w:val="0"/>
          <w:marTop w:val="0"/>
          <w:marBottom w:val="0"/>
          <w:divBdr>
            <w:top w:val="none" w:sz="0" w:space="0" w:color="auto"/>
            <w:left w:val="none" w:sz="0" w:space="0" w:color="auto"/>
            <w:bottom w:val="none" w:sz="0" w:space="0" w:color="auto"/>
            <w:right w:val="none" w:sz="0" w:space="0" w:color="auto"/>
          </w:divBdr>
        </w:div>
        <w:div w:id="1528639414">
          <w:marLeft w:val="0"/>
          <w:marRight w:val="0"/>
          <w:marTop w:val="0"/>
          <w:marBottom w:val="0"/>
          <w:divBdr>
            <w:top w:val="none" w:sz="0" w:space="0" w:color="auto"/>
            <w:left w:val="none" w:sz="0" w:space="0" w:color="auto"/>
            <w:bottom w:val="none" w:sz="0" w:space="0" w:color="auto"/>
            <w:right w:val="none" w:sz="0" w:space="0" w:color="auto"/>
          </w:divBdr>
        </w:div>
        <w:div w:id="2009091045">
          <w:marLeft w:val="0"/>
          <w:marRight w:val="0"/>
          <w:marTop w:val="0"/>
          <w:marBottom w:val="0"/>
          <w:divBdr>
            <w:top w:val="none" w:sz="0" w:space="0" w:color="auto"/>
            <w:left w:val="none" w:sz="0" w:space="0" w:color="auto"/>
            <w:bottom w:val="none" w:sz="0" w:space="0" w:color="auto"/>
            <w:right w:val="none" w:sz="0" w:space="0" w:color="auto"/>
          </w:divBdr>
        </w:div>
        <w:div w:id="620186956">
          <w:marLeft w:val="0"/>
          <w:marRight w:val="0"/>
          <w:marTop w:val="0"/>
          <w:marBottom w:val="0"/>
          <w:divBdr>
            <w:top w:val="none" w:sz="0" w:space="0" w:color="auto"/>
            <w:left w:val="none" w:sz="0" w:space="0" w:color="auto"/>
            <w:bottom w:val="none" w:sz="0" w:space="0" w:color="auto"/>
            <w:right w:val="none" w:sz="0" w:space="0" w:color="auto"/>
          </w:divBdr>
        </w:div>
        <w:div w:id="1907373576">
          <w:marLeft w:val="0"/>
          <w:marRight w:val="0"/>
          <w:marTop w:val="0"/>
          <w:marBottom w:val="0"/>
          <w:divBdr>
            <w:top w:val="none" w:sz="0" w:space="0" w:color="auto"/>
            <w:left w:val="none" w:sz="0" w:space="0" w:color="auto"/>
            <w:bottom w:val="none" w:sz="0" w:space="0" w:color="auto"/>
            <w:right w:val="none" w:sz="0" w:space="0" w:color="auto"/>
          </w:divBdr>
        </w:div>
        <w:div w:id="1867907675">
          <w:marLeft w:val="0"/>
          <w:marRight w:val="0"/>
          <w:marTop w:val="0"/>
          <w:marBottom w:val="0"/>
          <w:divBdr>
            <w:top w:val="none" w:sz="0" w:space="0" w:color="auto"/>
            <w:left w:val="none" w:sz="0" w:space="0" w:color="auto"/>
            <w:bottom w:val="none" w:sz="0" w:space="0" w:color="auto"/>
            <w:right w:val="none" w:sz="0" w:space="0" w:color="auto"/>
          </w:divBdr>
        </w:div>
        <w:div w:id="1802383806">
          <w:marLeft w:val="0"/>
          <w:marRight w:val="0"/>
          <w:marTop w:val="0"/>
          <w:marBottom w:val="0"/>
          <w:divBdr>
            <w:top w:val="none" w:sz="0" w:space="0" w:color="auto"/>
            <w:left w:val="none" w:sz="0" w:space="0" w:color="auto"/>
            <w:bottom w:val="none" w:sz="0" w:space="0" w:color="auto"/>
            <w:right w:val="none" w:sz="0" w:space="0" w:color="auto"/>
          </w:divBdr>
        </w:div>
        <w:div w:id="1310938509">
          <w:marLeft w:val="0"/>
          <w:marRight w:val="0"/>
          <w:marTop w:val="0"/>
          <w:marBottom w:val="0"/>
          <w:divBdr>
            <w:top w:val="none" w:sz="0" w:space="0" w:color="auto"/>
            <w:left w:val="none" w:sz="0" w:space="0" w:color="auto"/>
            <w:bottom w:val="none" w:sz="0" w:space="0" w:color="auto"/>
            <w:right w:val="none" w:sz="0" w:space="0" w:color="auto"/>
          </w:divBdr>
        </w:div>
        <w:div w:id="515659849">
          <w:marLeft w:val="0"/>
          <w:marRight w:val="0"/>
          <w:marTop w:val="0"/>
          <w:marBottom w:val="0"/>
          <w:divBdr>
            <w:top w:val="none" w:sz="0" w:space="0" w:color="auto"/>
            <w:left w:val="none" w:sz="0" w:space="0" w:color="auto"/>
            <w:bottom w:val="none" w:sz="0" w:space="0" w:color="auto"/>
            <w:right w:val="none" w:sz="0" w:space="0" w:color="auto"/>
          </w:divBdr>
        </w:div>
        <w:div w:id="322974188">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31fernando56@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43849D-33B0-424A-93E7-B8E3013F3A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20</Pages>
  <Words>5716</Words>
  <Characters>31439</Characters>
  <Application>Microsoft Office Word</Application>
  <DocSecurity>0</DocSecurity>
  <Lines>261</Lines>
  <Paragraphs>74</Paragraphs>
  <ScaleCrop>false</ScaleCrop>
  <Company/>
  <LinksUpToDate>false</LinksUpToDate>
  <CharactersWithSpaces>37081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2026-07-10T14:58:00Z</dcterms:created>
  <dcterms:modified xsi:type="dcterms:W3CDTF">2026-07-15T01:06:00Z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