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ECE47" w14:textId="36C3B293" w:rsidR="00794EB2" w:rsidRDefault="00794EB2" w:rsidP="00E43329">
      <w:pPr>
        <w:snapToGrid w:val="0"/>
        <w:spacing w:after="0" w:line="240" w:lineRule="auto"/>
        <w:contextualSpacing/>
        <w:jc w:val="both"/>
        <w:rPr>
          <w:rFonts w:ascii="Verdana" w:eastAsia="Arial" w:hAnsi="Verdana" w:cs="Arial"/>
          <w:b/>
          <w:bCs/>
          <w:color w:val="000000" w:themeColor="text1"/>
          <w:lang w:val="es-ES" w:eastAsia="es-ES_tradnl"/>
        </w:rPr>
      </w:pPr>
      <w:r w:rsidRPr="00794EB2">
        <w:rPr>
          <w:rFonts w:ascii="Verdana" w:eastAsia="Arial" w:hAnsi="Verdana" w:cs="Arial"/>
          <w:b/>
          <w:bCs/>
          <w:color w:val="000000"/>
          <w:lang w:val="es-ES" w:eastAsia="es-ES_tradnl"/>
        </w:rPr>
        <w:t>MODALIDADES DE SELECCIÓN – Clases</w:t>
      </w:r>
      <w:r w:rsidRPr="00794EB2">
        <w:rPr>
          <w:rFonts w:ascii="Verdana" w:eastAsia="Arial" w:hAnsi="Verdana" w:cs="Arial"/>
          <w:b/>
          <w:bCs/>
          <w:color w:val="000000" w:themeColor="text1"/>
          <w:lang w:val="es-ES" w:eastAsia="es-ES_tradnl"/>
        </w:rPr>
        <w:t xml:space="preserve"> </w:t>
      </w:r>
    </w:p>
    <w:p w14:paraId="7F132DCE" w14:textId="77777777" w:rsidR="00E43329" w:rsidRDefault="00E43329" w:rsidP="00E43329">
      <w:pPr>
        <w:snapToGrid w:val="0"/>
        <w:spacing w:after="0" w:line="240" w:lineRule="auto"/>
        <w:ind w:right="177"/>
        <w:contextualSpacing/>
        <w:jc w:val="both"/>
        <w:rPr>
          <w:rFonts w:ascii="Verdana" w:eastAsiaTheme="minorEastAsia" w:hAnsi="Verdana" w:cs="Arial"/>
          <w:lang w:val="es-ES" w:eastAsia="es-CO"/>
        </w:rPr>
      </w:pPr>
    </w:p>
    <w:p w14:paraId="2EBD80DC" w14:textId="32E46569" w:rsidR="00794EB2" w:rsidRPr="00E43329" w:rsidRDefault="00794EB2" w:rsidP="00E43329">
      <w:pPr>
        <w:snapToGrid w:val="0"/>
        <w:spacing w:after="0" w:line="240" w:lineRule="auto"/>
        <w:ind w:right="177"/>
        <w:contextualSpacing/>
        <w:jc w:val="both"/>
        <w:rPr>
          <w:rFonts w:ascii="Verdana" w:eastAsiaTheme="minorEastAsia" w:hAnsi="Verdana" w:cs="Arial"/>
          <w:sz w:val="20"/>
          <w:szCs w:val="20"/>
          <w:lang w:val="es-ES" w:eastAsia="es-CO"/>
        </w:rPr>
      </w:pPr>
      <w:r w:rsidRPr="00E43329">
        <w:rPr>
          <w:rFonts w:ascii="Verdana" w:eastAsiaTheme="minorEastAsia" w:hAnsi="Verdana" w:cs="Arial"/>
          <w:sz w:val="20"/>
          <w:szCs w:val="20"/>
          <w:lang w:val="es-ES" w:eastAsia="es-CO"/>
        </w:rPr>
        <w:t>Según lo dispuesto en el artículo 2 de la Ley 1150 de 2007, con la reforma introducida por la Ley 1474</w:t>
      </w:r>
      <w:r w:rsidRPr="00E43329">
        <w:rPr>
          <w:rFonts w:ascii="Verdana" w:eastAsiaTheme="minorEastAsia" w:hAnsi="Verdana" w:cs="Arial"/>
          <w:spacing w:val="1"/>
          <w:sz w:val="20"/>
          <w:szCs w:val="20"/>
          <w:lang w:val="es-ES" w:eastAsia="es-CO"/>
        </w:rPr>
        <w:t xml:space="preserve"> </w:t>
      </w:r>
      <w:r w:rsidRPr="00E43329">
        <w:rPr>
          <w:rFonts w:ascii="Verdana" w:eastAsiaTheme="minorEastAsia" w:hAnsi="Verdana" w:cs="Arial"/>
          <w:sz w:val="20"/>
          <w:szCs w:val="20"/>
          <w:lang w:val="es-ES" w:eastAsia="es-CO"/>
        </w:rPr>
        <w:t>de 2011, las modalidades de selección a las que actualmente pueden recurrir las Entidades Estatales para adelantar sus procesos de contratación estatal son: 1) la licitación pública, 2)</w:t>
      </w:r>
      <w:r w:rsidRPr="00E43329">
        <w:rPr>
          <w:rFonts w:ascii="Verdana" w:eastAsiaTheme="minorEastAsia" w:hAnsi="Verdana" w:cs="Arial"/>
          <w:spacing w:val="1"/>
          <w:sz w:val="20"/>
          <w:szCs w:val="20"/>
          <w:lang w:val="es-ES" w:eastAsia="es-CO"/>
        </w:rPr>
        <w:t xml:space="preserve"> la </w:t>
      </w:r>
      <w:r w:rsidRPr="00E43329">
        <w:rPr>
          <w:rFonts w:ascii="Verdana" w:eastAsiaTheme="minorEastAsia" w:hAnsi="Verdana" w:cs="Arial"/>
          <w:sz w:val="20"/>
          <w:szCs w:val="20"/>
          <w:lang w:val="es-ES" w:eastAsia="es-CO"/>
        </w:rPr>
        <w:t xml:space="preserve">selección abreviada, 3) el concurso de méritos, 4) la mínima cuantía y 5) la contratación directa. </w:t>
      </w:r>
    </w:p>
    <w:p w14:paraId="3688B8A8" w14:textId="77777777" w:rsidR="00E43329" w:rsidRPr="00E43329" w:rsidRDefault="00E43329" w:rsidP="00E43329">
      <w:pPr>
        <w:snapToGrid w:val="0"/>
        <w:contextualSpacing/>
        <w:jc w:val="both"/>
        <w:rPr>
          <w:rFonts w:ascii="Verdana" w:eastAsia="Calibri" w:hAnsi="Verdana" w:cs="Arial"/>
          <w:sz w:val="20"/>
          <w:szCs w:val="20"/>
          <w:lang w:val="es-ES" w:eastAsia="es-MX"/>
        </w:rPr>
      </w:pPr>
    </w:p>
    <w:p w14:paraId="37053750" w14:textId="31417094" w:rsidR="00794EB2" w:rsidRPr="00E43329" w:rsidRDefault="00794EB2" w:rsidP="00E43329">
      <w:pPr>
        <w:snapToGrid w:val="0"/>
        <w:spacing w:after="0" w:line="240" w:lineRule="auto"/>
        <w:contextualSpacing/>
        <w:jc w:val="both"/>
        <w:rPr>
          <w:rFonts w:ascii="Verdana" w:eastAsia="Arial" w:hAnsi="Verdana" w:cs="Arial"/>
          <w:sz w:val="20"/>
          <w:szCs w:val="20"/>
          <w:lang w:val="es-ES"/>
        </w:rPr>
      </w:pPr>
      <w:r w:rsidRPr="00E43329">
        <w:rPr>
          <w:rFonts w:ascii="Verdana" w:eastAsia="Calibri" w:hAnsi="Verdana" w:cs="Arial"/>
          <w:sz w:val="20"/>
          <w:szCs w:val="20"/>
          <w:lang w:val="es-ES" w:eastAsia="es-MX"/>
        </w:rPr>
        <w:t xml:space="preserve">En términos generales, </w:t>
      </w:r>
      <w:r w:rsidRPr="00E43329">
        <w:rPr>
          <w:rFonts w:ascii="Verdana" w:eastAsia="Arial" w:hAnsi="Verdana" w:cs="Arial"/>
          <w:sz w:val="20"/>
          <w:szCs w:val="20"/>
          <w:lang w:val="es-ES"/>
        </w:rPr>
        <w:t xml:space="preserve">la licitación pública, la selección abreviada, el concurso de méritos y la mínima cuantía son modalidades de selección competitivas o abiertas a competencia, ya que en ellas tiene lugar la participación de varios proponentes en una fase pública de presentación de ofertas. Esto permite que todas las personas interesadas concurran al proceso en igualdad de condiciones y compitan en el mismo. En contraste, la modalidad de selección de contratación directa no es competitiva, es decir, que no es abierta a los proponentes para que los interesados presenten sus ofertas. En esta, es la entidad la que determina, de forma directa, la persona que puede participar y que será seleccionada. En relación con esta última, es importante señalar que </w:t>
      </w:r>
      <w:r w:rsidRPr="00E43329">
        <w:rPr>
          <w:rFonts w:ascii="Verdana" w:eastAsia="Calibri" w:hAnsi="Verdana" w:cs="Arial"/>
          <w:sz w:val="20"/>
          <w:szCs w:val="20"/>
          <w:lang w:val="es-ES" w:eastAsia="es-MX"/>
        </w:rPr>
        <w:t xml:space="preserve">es una excepción al principio de libre concurrencia y competencia por lo que </w:t>
      </w:r>
      <w:r w:rsidRPr="00E43329">
        <w:rPr>
          <w:rFonts w:ascii="Verdana" w:eastAsia="Arial" w:hAnsi="Verdana" w:cs="Arial"/>
          <w:sz w:val="20"/>
          <w:szCs w:val="20"/>
          <w:lang w:val="es-ES"/>
        </w:rPr>
        <w:t>es de aplicación restrictiva, es decir, solo procede por las causales señaladas expresamente en la ley.</w:t>
      </w:r>
    </w:p>
    <w:p w14:paraId="21D85B92" w14:textId="77777777" w:rsidR="00E43329" w:rsidRDefault="00E43329" w:rsidP="00E43329">
      <w:pPr>
        <w:snapToGrid w:val="0"/>
        <w:ind w:right="177"/>
        <w:contextualSpacing/>
        <w:jc w:val="both"/>
        <w:rPr>
          <w:rFonts w:ascii="Verdana" w:eastAsia="Arial" w:hAnsi="Verdana" w:cs="Arial"/>
          <w:sz w:val="20"/>
          <w:szCs w:val="20"/>
          <w:lang w:val="es-ES"/>
        </w:rPr>
      </w:pPr>
    </w:p>
    <w:p w14:paraId="5E27C52A" w14:textId="49D23F6F" w:rsidR="00794EB2" w:rsidRPr="00E43329" w:rsidRDefault="00794EB2" w:rsidP="00E43329">
      <w:pPr>
        <w:snapToGrid w:val="0"/>
        <w:spacing w:after="0" w:line="240" w:lineRule="auto"/>
        <w:ind w:right="177"/>
        <w:contextualSpacing/>
        <w:jc w:val="both"/>
        <w:rPr>
          <w:rFonts w:ascii="Verdana" w:eastAsiaTheme="minorEastAsia" w:hAnsi="Verdana" w:cs="Arial"/>
          <w:sz w:val="20"/>
          <w:szCs w:val="20"/>
          <w:lang w:val="es-ES" w:eastAsia="es-CO"/>
        </w:rPr>
      </w:pPr>
      <w:r w:rsidRPr="00E43329">
        <w:rPr>
          <w:rFonts w:ascii="Verdana" w:eastAsia="Arial" w:hAnsi="Verdana" w:cs="Arial"/>
          <w:sz w:val="20"/>
          <w:szCs w:val="20"/>
          <w:lang w:val="es-ES"/>
        </w:rPr>
        <w:t>El Estatuto General de Contratación de la Administración Pública (compuesto principalmente por la Ley 80 de 1993, Ley 1150 de 2007 y el Decreto 1082 de 2015) señala las etapas y requisitos que deben cumplir las entidades para adelantar cada uno de estos procedimientos, incluyendo las circunstancias que los hacen procedentes para la adquisición de obras, bienes y servicios. Con</w:t>
      </w:r>
      <w:r w:rsidRPr="00E43329">
        <w:rPr>
          <w:rFonts w:ascii="Verdana" w:eastAsiaTheme="minorEastAsia" w:hAnsi="Verdana" w:cs="Arial"/>
          <w:sz w:val="20"/>
          <w:szCs w:val="20"/>
          <w:lang w:val="es-ES" w:eastAsia="es-CO"/>
        </w:rPr>
        <w:t xml:space="preserve"> base en este marco jurídico, cada entidad es responsable de determinar la modalidad de selección adecuada para satisfacer su necesidad y estructurar sus procedimientos contractuales en cumplimiento de los principios de la función administrativa, los presupuestales y los de contratación pública. En efecto, los Procesos de Contratación que deben adelantar las Entidades Estatales para adquirir los bienes, obras o servicios que requieren, se rigen por procedimientos reglados establecidos por la ley y el reglamento.</w:t>
      </w:r>
    </w:p>
    <w:p w14:paraId="3117D118" w14:textId="77777777" w:rsidR="00794EB2" w:rsidRPr="00794EB2" w:rsidRDefault="00794EB2" w:rsidP="00E43329">
      <w:pPr>
        <w:snapToGrid w:val="0"/>
        <w:spacing w:after="0" w:line="240" w:lineRule="auto"/>
        <w:contextualSpacing/>
        <w:jc w:val="both"/>
        <w:rPr>
          <w:rFonts w:ascii="Verdana" w:eastAsia="Arial" w:hAnsi="Verdana" w:cs="Arial"/>
          <w:b/>
          <w:bCs/>
          <w:color w:val="000000" w:themeColor="text1"/>
          <w:lang w:val="es-ES" w:eastAsia="es-ES_tradnl"/>
        </w:rPr>
      </w:pPr>
    </w:p>
    <w:p w14:paraId="70C530B0" w14:textId="026F69FB" w:rsidR="00666C5F" w:rsidRPr="00F56A30" w:rsidRDefault="00F56A30" w:rsidP="00E43329">
      <w:pPr>
        <w:snapToGrid w:val="0"/>
        <w:spacing w:after="0" w:line="240" w:lineRule="auto"/>
        <w:contextualSpacing/>
        <w:jc w:val="both"/>
        <w:rPr>
          <w:rFonts w:ascii="Verdana" w:eastAsia="Times New Roman" w:hAnsi="Verdana" w:cs="Arial"/>
          <w:b/>
          <w:bCs/>
          <w:sz w:val="20"/>
          <w:szCs w:val="20"/>
          <w:lang w:val="es-ES" w:eastAsia="es-MX"/>
        </w:rPr>
      </w:pPr>
      <w:r w:rsidRPr="00F56A30">
        <w:rPr>
          <w:rFonts w:ascii="Verdana" w:eastAsia="Arial" w:hAnsi="Verdana" w:cs="Arial"/>
          <w:b/>
          <w:bCs/>
          <w:color w:val="000000" w:themeColor="text1"/>
          <w:lang w:val="es-ES" w:eastAsia="es-ES_tradnl"/>
        </w:rPr>
        <w:t>CONTRATACIÓN DIRECTA – Contrato de prestación de servicios</w:t>
      </w:r>
    </w:p>
    <w:p w14:paraId="001F6B05" w14:textId="77777777" w:rsidR="00666C5F" w:rsidRDefault="00666C5F" w:rsidP="00E43329">
      <w:pPr>
        <w:snapToGrid w:val="0"/>
        <w:spacing w:after="0" w:line="240" w:lineRule="auto"/>
        <w:contextualSpacing/>
        <w:jc w:val="both"/>
        <w:rPr>
          <w:rFonts w:ascii="Verdana" w:eastAsia="Times New Roman" w:hAnsi="Verdana" w:cs="Arial"/>
          <w:sz w:val="20"/>
          <w:szCs w:val="20"/>
          <w:lang w:val="es-ES" w:eastAsia="es-MX"/>
        </w:rPr>
      </w:pPr>
    </w:p>
    <w:p w14:paraId="23213CC0" w14:textId="77777777" w:rsidR="00F56A30" w:rsidRDefault="00F56A30" w:rsidP="00F56A30">
      <w:pPr>
        <w:snapToGrid w:val="0"/>
        <w:spacing w:after="0" w:line="240" w:lineRule="auto"/>
        <w:contextualSpacing/>
        <w:jc w:val="both"/>
        <w:rPr>
          <w:rFonts w:ascii="Verdana" w:eastAsia="Times New Roman" w:hAnsi="Verdana" w:cs="Arial"/>
          <w:sz w:val="20"/>
          <w:szCs w:val="20"/>
          <w:lang w:val="es-ES" w:eastAsia="es-MX"/>
        </w:rPr>
      </w:pPr>
      <w:r w:rsidRPr="00F56A30">
        <w:rPr>
          <w:rFonts w:ascii="Verdana" w:eastAsia="Times New Roman" w:hAnsi="Verdana" w:cs="Arial"/>
          <w:sz w:val="20"/>
          <w:szCs w:val="20"/>
          <w:lang w:val="es-ES" w:eastAsia="es-MX"/>
        </w:rPr>
        <w:t xml:space="preserve">Específicamente respecto de la contratación de los servicios de representación judicial en procesos de cobro coactivo a los que se refiere su consulta, la modalidad de selección aplicable deberá definirse a partir del análisis del objeto contractual y de las actividades requeridas para su ejecución, razón por la cual no es viable determinar una modalidad de contratación única y concreta para este caso. </w:t>
      </w:r>
    </w:p>
    <w:p w14:paraId="55C1126C" w14:textId="77777777" w:rsidR="00F56A30" w:rsidRPr="00F56A30" w:rsidRDefault="00F56A30" w:rsidP="00F56A30">
      <w:pPr>
        <w:snapToGrid w:val="0"/>
        <w:spacing w:after="0" w:line="240" w:lineRule="auto"/>
        <w:contextualSpacing/>
        <w:jc w:val="both"/>
        <w:rPr>
          <w:rFonts w:ascii="Verdana" w:eastAsia="Times New Roman" w:hAnsi="Verdana" w:cs="Arial"/>
          <w:sz w:val="20"/>
          <w:szCs w:val="20"/>
          <w:lang w:val="es-ES" w:eastAsia="es-MX"/>
        </w:rPr>
      </w:pPr>
    </w:p>
    <w:p w14:paraId="4D246585" w14:textId="77777777" w:rsidR="00F56A30" w:rsidRPr="00F56A30" w:rsidRDefault="00F56A30" w:rsidP="00F56A30">
      <w:pPr>
        <w:snapToGrid w:val="0"/>
        <w:spacing w:after="0" w:line="240" w:lineRule="auto"/>
        <w:contextualSpacing/>
        <w:jc w:val="both"/>
        <w:rPr>
          <w:rFonts w:ascii="Verdana" w:eastAsia="Times New Roman" w:hAnsi="Verdana" w:cs="Arial"/>
          <w:sz w:val="20"/>
          <w:szCs w:val="20"/>
          <w:lang w:val="es-ES" w:eastAsia="es-MX"/>
        </w:rPr>
      </w:pPr>
      <w:r w:rsidRPr="00F56A30">
        <w:rPr>
          <w:rFonts w:ascii="Verdana" w:eastAsia="Times New Roman" w:hAnsi="Verdana" w:cs="Arial"/>
          <w:sz w:val="20"/>
          <w:szCs w:val="20"/>
          <w:lang w:val="es-ES" w:eastAsia="es-MX"/>
        </w:rPr>
        <w:t xml:space="preserve">En este sentido, es posible que para la contratación de dicho servicio pueda emplearse la modalidad de contratación directa aplicando la causal referente a los contratos de prestación de servicios profesionales, siempre que el alcance del servicio se enmarque en las actividades propias de este tipo de contratos. En efecto, de conformidad con el artículo 32, numeral 3º, de la Ley 80 de 1993, estos contratos se celebran para desarrollar “actividades relacionadas con la administración o funcionamiento de la </w:t>
      </w:r>
      <w:r w:rsidRPr="00F56A30">
        <w:rPr>
          <w:rFonts w:ascii="Verdana" w:eastAsia="Times New Roman" w:hAnsi="Verdana" w:cs="Arial"/>
          <w:sz w:val="20"/>
          <w:szCs w:val="20"/>
          <w:lang w:val="es-ES" w:eastAsia="es-MX"/>
        </w:rPr>
        <w:lastRenderedPageBreak/>
        <w:t>entidad”, es decir, que hagan parte de su giro ordinario o quehacer cotidiano y podrán celebrarse con personas naturales y jurídicas cuando dichas actividades no puedan realizarse con personal de planta o requieran conocimientos especializados</w:t>
      </w:r>
    </w:p>
    <w:p w14:paraId="0D693C6A" w14:textId="77777777" w:rsidR="00666C5F" w:rsidRDefault="00666C5F" w:rsidP="00E43329">
      <w:pPr>
        <w:snapToGrid w:val="0"/>
        <w:spacing w:after="0" w:line="240" w:lineRule="auto"/>
        <w:contextualSpacing/>
        <w:jc w:val="both"/>
        <w:rPr>
          <w:rFonts w:ascii="Verdana" w:eastAsia="Times New Roman" w:hAnsi="Verdana" w:cs="Arial"/>
          <w:sz w:val="20"/>
          <w:szCs w:val="20"/>
          <w:lang w:val="es-ES" w:eastAsia="es-MX"/>
        </w:rPr>
      </w:pPr>
    </w:p>
    <w:p w14:paraId="7B80076B" w14:textId="77777777" w:rsidR="00BC6B51" w:rsidRPr="00F37018" w:rsidRDefault="00BC6B51" w:rsidP="00BC6B51">
      <w:pPr>
        <w:spacing w:after="0" w:line="240" w:lineRule="auto"/>
        <w:jc w:val="both"/>
        <w:rPr>
          <w:rFonts w:ascii="Verdana" w:eastAsia="Arial" w:hAnsi="Verdana" w:cs="Arial"/>
          <w:color w:val="000000"/>
        </w:rPr>
      </w:pPr>
      <w:r w:rsidRPr="00F37018">
        <w:rPr>
          <w:rFonts w:ascii="Verdana" w:eastAsia="Arial" w:hAnsi="Verdana" w:cs="Arial"/>
          <w:b/>
          <w:bCs/>
          <w:color w:val="000000" w:themeColor="text1"/>
        </w:rPr>
        <w:t>PRINCIPIO DE SELECCIÓN OBJETIVA – Fundamento – Alcance – reglas aplicables</w:t>
      </w:r>
    </w:p>
    <w:p w14:paraId="79A984DC" w14:textId="77777777" w:rsidR="00BC6B51" w:rsidRPr="00A851AA" w:rsidRDefault="00BC6B51" w:rsidP="00BC6B51">
      <w:pPr>
        <w:spacing w:after="0" w:line="240" w:lineRule="auto"/>
        <w:jc w:val="both"/>
        <w:rPr>
          <w:rFonts w:ascii="Century Gothic" w:eastAsia="Arial" w:hAnsi="Century Gothic" w:cs="Arial"/>
          <w:color w:val="000000"/>
        </w:rPr>
      </w:pPr>
    </w:p>
    <w:p w14:paraId="775AE8D3" w14:textId="77777777" w:rsidR="00BC6B51" w:rsidRPr="00F37018" w:rsidRDefault="00BC6B51" w:rsidP="00BC6B51">
      <w:pPr>
        <w:spacing w:after="0" w:line="240" w:lineRule="auto"/>
        <w:jc w:val="both"/>
        <w:rPr>
          <w:rFonts w:ascii="Verdana" w:eastAsia="Arial" w:hAnsi="Verdana" w:cs="Arial"/>
          <w:color w:val="000000"/>
          <w:sz w:val="20"/>
          <w:szCs w:val="20"/>
        </w:rPr>
      </w:pPr>
      <w:r w:rsidRPr="00F37018">
        <w:rPr>
          <w:rFonts w:ascii="Verdana" w:eastAsia="Arial" w:hAnsi="Verdana" w:cs="Arial"/>
          <w:color w:val="000000"/>
          <w:sz w:val="20"/>
          <w:szCs w:val="20"/>
        </w:rPr>
        <w:t>(…) el principio de selección objetiva es un postulado que debe orientar la escogencia del futuro contratista del Estado en los procedimientos de selección adelantados por las entidades públicas, que se traduce en la exigencia de que la elección no esté basada en apreciaciones o factores subjetivos, sino en criterios objetivos, de carácter técnico, jurídico y financiero. En tal sentido, se trata de un principio que se deriva, en el ordenamiento jurídico colombiano, de principios como la igualdad (art. 13, C.P.) y la buena fe –manifestada en la confianza legítima– (art. 83 C.P.), así como de los principios de la función administrativa y de la gestión fiscal (arts. 209 y 267 C.P.). Dicho principio rector de los procedimientos de selección, además, encuentra fundamentación legal expresa e importancia para la transparencia, en disposiciones como el artículo 24, numeral 5º, literal a) de la Ley 80 de 1993, que regula el principio de transparencia, y que exige incorporar requisitos objetivos en los pliegos de condiciones; el artículo 24, numeral 5º, literal b) de la misma Ley, que manda que en el pliego se definan “reglas objetivas, justas, claras y completas que permitan la confección de ofrecimientos de la misma índole, aseguren una escogencia objetiva y eviten la declaratoria de desierta de la licitación”; y, de forma más clara profunda y clara, el artículo 5º de la Ley 1150 de 2007, cuyo primer inciso dispone que “Es objetiva la selección en la cual la escogencia se haga al ofrecimiento más favorable a la entidad y a los fines que ella busca, sin tener en consideración factores de afecto o de interés y, en general, cualquier clase de motivación subjetiva”.</w:t>
      </w:r>
    </w:p>
    <w:p w14:paraId="75A2DF0F" w14:textId="77777777" w:rsidR="00BC6B51" w:rsidRPr="00A851AA" w:rsidRDefault="00BC6B51" w:rsidP="00BC6B51">
      <w:pPr>
        <w:spacing w:after="0" w:line="240" w:lineRule="auto"/>
        <w:jc w:val="both"/>
        <w:rPr>
          <w:rFonts w:ascii="Century Gothic" w:eastAsia="Arial" w:hAnsi="Century Gothic" w:cs="Arial"/>
          <w:color w:val="000000"/>
          <w:sz w:val="20"/>
          <w:szCs w:val="20"/>
        </w:rPr>
      </w:pPr>
    </w:p>
    <w:p w14:paraId="46AD8DD8" w14:textId="77777777" w:rsidR="00BC6B51" w:rsidRDefault="00BC6B51" w:rsidP="00BC6B51">
      <w:pPr>
        <w:spacing w:after="0" w:line="240" w:lineRule="auto"/>
        <w:jc w:val="both"/>
        <w:rPr>
          <w:rFonts w:ascii="Century Gothic" w:eastAsia="Arial" w:hAnsi="Century Gothic" w:cs="Arial"/>
          <w:b/>
          <w:color w:val="000000"/>
          <w:sz w:val="20"/>
          <w:szCs w:val="20"/>
        </w:rPr>
      </w:pPr>
    </w:p>
    <w:p w14:paraId="6C36369D" w14:textId="77777777" w:rsidR="00BC6B51" w:rsidRDefault="00BC6B51" w:rsidP="00E43329">
      <w:pPr>
        <w:snapToGrid w:val="0"/>
        <w:spacing w:after="0" w:line="240" w:lineRule="auto"/>
        <w:contextualSpacing/>
        <w:jc w:val="both"/>
        <w:rPr>
          <w:rFonts w:ascii="Verdana" w:hAnsi="Verdana" w:cs="Arial"/>
          <w:b/>
          <w:color w:val="000000" w:themeColor="text1"/>
          <w:lang w:val="es-ES_tradnl"/>
        </w:rPr>
      </w:pPr>
    </w:p>
    <w:p w14:paraId="534717A4"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101986BE"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0AF7194A"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2A9A44F3"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5D8DDDA6"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27CE5302"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60E2673B"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3BCFF24F"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2556C6C2"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4A2A4F72" w14:textId="77777777" w:rsidR="00E062E8" w:rsidRDefault="00E062E8" w:rsidP="00E43329">
      <w:pPr>
        <w:snapToGrid w:val="0"/>
        <w:spacing w:after="0" w:line="240" w:lineRule="auto"/>
        <w:contextualSpacing/>
        <w:jc w:val="both"/>
        <w:rPr>
          <w:rFonts w:ascii="Verdana" w:hAnsi="Verdana" w:cs="Arial"/>
          <w:b/>
          <w:color w:val="000000" w:themeColor="text1"/>
          <w:lang w:val="es-ES_tradnl"/>
        </w:rPr>
      </w:pPr>
    </w:p>
    <w:p w14:paraId="51E107EB" w14:textId="77777777" w:rsidR="00E062E8" w:rsidRDefault="00E062E8" w:rsidP="00E43329">
      <w:pPr>
        <w:snapToGrid w:val="0"/>
        <w:spacing w:after="0" w:line="240" w:lineRule="auto"/>
        <w:contextualSpacing/>
        <w:jc w:val="both"/>
        <w:rPr>
          <w:rFonts w:ascii="Verdana" w:eastAsia="Times New Roman" w:hAnsi="Verdana" w:cs="Arial"/>
          <w:sz w:val="20"/>
          <w:szCs w:val="20"/>
          <w:lang w:val="es-ES" w:eastAsia="es-MX"/>
        </w:rPr>
      </w:pPr>
    </w:p>
    <w:p w14:paraId="101BFE63" w14:textId="77777777" w:rsidR="00BC6B51" w:rsidRDefault="00BC6B51" w:rsidP="00E43329">
      <w:pPr>
        <w:snapToGrid w:val="0"/>
        <w:spacing w:after="0" w:line="240" w:lineRule="auto"/>
        <w:contextualSpacing/>
        <w:jc w:val="both"/>
        <w:rPr>
          <w:rFonts w:ascii="Verdana" w:eastAsia="Times New Roman" w:hAnsi="Verdana" w:cs="Arial"/>
          <w:sz w:val="20"/>
          <w:szCs w:val="20"/>
          <w:lang w:val="es-ES" w:eastAsia="es-MX"/>
        </w:rPr>
      </w:pPr>
    </w:p>
    <w:p w14:paraId="0D6290AF" w14:textId="77777777" w:rsidR="00213EE5" w:rsidRDefault="00213EE5" w:rsidP="00D319EA">
      <w:pPr>
        <w:spacing w:after="0" w:line="240" w:lineRule="auto"/>
        <w:jc w:val="both"/>
        <w:rPr>
          <w:rFonts w:ascii="Verdana" w:eastAsia="Geomanist Light" w:hAnsi="Verdana" w:cs="Arial"/>
          <w:color w:val="000000" w:themeColor="text1"/>
          <w:lang w:val="es-MX"/>
        </w:rPr>
      </w:pPr>
    </w:p>
    <w:p w14:paraId="76CBE51D" w14:textId="77777777" w:rsidR="00213EE5" w:rsidRDefault="00213EE5" w:rsidP="00D319EA">
      <w:pPr>
        <w:spacing w:after="0" w:line="240" w:lineRule="auto"/>
        <w:jc w:val="both"/>
        <w:rPr>
          <w:rFonts w:ascii="Verdana" w:eastAsia="Geomanist Light" w:hAnsi="Verdana" w:cs="Arial"/>
          <w:color w:val="000000" w:themeColor="text1"/>
          <w:lang w:val="es-MX"/>
        </w:rPr>
      </w:pPr>
    </w:p>
    <w:p w14:paraId="2D54A1E8" w14:textId="77777777" w:rsidR="00213EE5" w:rsidRDefault="00213EE5" w:rsidP="00D319EA">
      <w:pPr>
        <w:spacing w:after="0" w:line="240" w:lineRule="auto"/>
        <w:jc w:val="both"/>
        <w:rPr>
          <w:rFonts w:ascii="Verdana" w:eastAsia="Geomanist Light" w:hAnsi="Verdana" w:cs="Arial"/>
          <w:color w:val="000000" w:themeColor="text1"/>
          <w:lang w:val="es-MX"/>
        </w:rPr>
      </w:pPr>
    </w:p>
    <w:p w14:paraId="0B44C93B" w14:textId="07218E16" w:rsidR="00F87BF5" w:rsidRDefault="00F87BF5" w:rsidP="00D319EA">
      <w:pPr>
        <w:spacing w:after="0" w:line="240" w:lineRule="auto"/>
        <w:jc w:val="both"/>
        <w:rPr>
          <w:rFonts w:ascii="Verdana" w:eastAsia="Geomanist Light" w:hAnsi="Verdana" w:cs="Arial"/>
          <w:color w:val="000000" w:themeColor="text1"/>
          <w:lang w:val="es-MX"/>
        </w:rPr>
      </w:pPr>
      <w:r w:rsidRPr="00F87BF5">
        <w:rPr>
          <w:rFonts w:ascii="Verdana" w:eastAsia="Geomanist Light" w:hAnsi="Verdana" w:cs="Arial"/>
          <w:color w:val="000000" w:themeColor="text1"/>
          <w:lang w:val="es-MX"/>
        </w:rPr>
        <w:lastRenderedPageBreak/>
        <w:t>Bogotá D.C., 09 de Julio de 2026</w:t>
      </w:r>
    </w:p>
    <w:p w14:paraId="182618C3" w14:textId="77777777" w:rsidR="00F87BF5" w:rsidRDefault="00F87BF5" w:rsidP="00D319EA">
      <w:pPr>
        <w:spacing w:after="0" w:line="240" w:lineRule="auto"/>
        <w:jc w:val="both"/>
        <w:rPr>
          <w:rFonts w:ascii="Verdana" w:eastAsia="Geomanist Light" w:hAnsi="Verdana" w:cs="Arial"/>
          <w:color w:val="000000" w:themeColor="text1"/>
          <w:lang w:val="es-MX"/>
        </w:rPr>
      </w:pPr>
    </w:p>
    <w:p w14:paraId="3DF0B5FC" w14:textId="41C7E134" w:rsidR="00F87BF5" w:rsidRDefault="00F87BF5" w:rsidP="00F87BF5">
      <w:pPr>
        <w:spacing w:after="0" w:line="240" w:lineRule="auto"/>
        <w:jc w:val="right"/>
        <w:rPr>
          <w:rFonts w:ascii="Verdana" w:eastAsia="Calibri" w:hAnsi="Verdana" w:cs="Arial"/>
          <w:color w:val="000000"/>
          <w:lang w:val="es-ES"/>
        </w:rPr>
      </w:pPr>
    </w:p>
    <w:p w14:paraId="338E8D11" w14:textId="2C174CFA" w:rsidR="0047433B" w:rsidRPr="002167F7" w:rsidRDefault="00213EE5" w:rsidP="001E02B0">
      <w:pPr>
        <w:spacing w:after="0" w:line="276" w:lineRule="auto"/>
        <w:jc w:val="right"/>
        <w:rPr>
          <w:rFonts w:ascii="Verdana" w:eastAsia="Calibri" w:hAnsi="Verdana" w:cs="Arial"/>
          <w:lang w:val="es-ES" w:eastAsia="es-ES"/>
        </w:rPr>
      </w:pPr>
      <w:r w:rsidRPr="00F87BF5">
        <w:rPr>
          <w:rFonts w:ascii="Verdana" w:eastAsia="Calibri" w:hAnsi="Verdana" w:cs="Arial"/>
          <w:noProof/>
          <w:color w:val="000000"/>
          <w:lang w:val="es-ES"/>
        </w:rPr>
        <w:drawing>
          <wp:anchor distT="0" distB="0" distL="114300" distR="114300" simplePos="0" relativeHeight="251658240" behindDoc="0" locked="0" layoutInCell="1" allowOverlap="1" wp14:anchorId="2D76C1B2" wp14:editId="14F0D86F">
            <wp:simplePos x="0" y="0"/>
            <wp:positionH relativeFrom="margin">
              <wp:align>right</wp:align>
            </wp:positionH>
            <wp:positionV relativeFrom="paragraph">
              <wp:posOffset>6019</wp:posOffset>
            </wp:positionV>
            <wp:extent cx="2789519" cy="793940"/>
            <wp:effectExtent l="0" t="0" r="0" b="6350"/>
            <wp:wrapSquare wrapText="bothSides"/>
            <wp:docPr id="10484583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58383" name=""/>
                    <pic:cNvPicPr/>
                  </pic:nvPicPr>
                  <pic:blipFill>
                    <a:blip r:embed="rId11">
                      <a:extLst>
                        <a:ext uri="{28A0092B-C50C-407E-A947-70E740481C1C}">
                          <a14:useLocalDpi xmlns:a14="http://schemas.microsoft.com/office/drawing/2010/main" val="0"/>
                        </a:ext>
                      </a:extLst>
                    </a:blip>
                    <a:stretch>
                      <a:fillRect/>
                    </a:stretch>
                  </pic:blipFill>
                  <pic:spPr>
                    <a:xfrm>
                      <a:off x="0" y="0"/>
                      <a:ext cx="2789519" cy="793940"/>
                    </a:xfrm>
                    <a:prstGeom prst="rect">
                      <a:avLst/>
                    </a:prstGeom>
                  </pic:spPr>
                </pic:pic>
              </a:graphicData>
            </a:graphic>
          </wp:anchor>
        </w:drawing>
      </w:r>
    </w:p>
    <w:p w14:paraId="7EC686A9" w14:textId="40F9A6B3" w:rsidR="0047433B" w:rsidRPr="00D319EA" w:rsidRDefault="0047433B" w:rsidP="0047433B">
      <w:pPr>
        <w:spacing w:after="0" w:line="276" w:lineRule="auto"/>
        <w:jc w:val="both"/>
        <w:rPr>
          <w:rFonts w:ascii="Verdana" w:eastAsia="Calibri" w:hAnsi="Verdana" w:cs="Arial"/>
          <w:lang w:val="es-ES" w:eastAsia="es-ES"/>
        </w:rPr>
      </w:pPr>
      <w:r w:rsidRPr="00D319EA">
        <w:rPr>
          <w:rFonts w:ascii="Verdana" w:eastAsia="Calibri" w:hAnsi="Verdana" w:cs="Arial"/>
          <w:lang w:val="es-ES" w:eastAsia="es-ES"/>
        </w:rPr>
        <w:t>Señora</w:t>
      </w:r>
    </w:p>
    <w:p w14:paraId="2128F828" w14:textId="6D265286" w:rsidR="0047433B" w:rsidRPr="00D319EA" w:rsidRDefault="00213EE5" w:rsidP="0047433B">
      <w:pPr>
        <w:spacing w:after="0" w:line="276" w:lineRule="auto"/>
        <w:jc w:val="both"/>
        <w:rPr>
          <w:rFonts w:ascii="Verdana" w:eastAsia="Calibri" w:hAnsi="Verdana" w:cs="Arial"/>
          <w:b/>
          <w:bCs/>
          <w:lang w:val="es-ES" w:eastAsia="es-ES"/>
        </w:rPr>
      </w:pPr>
      <w:r w:rsidRPr="00D319EA">
        <w:rPr>
          <w:rFonts w:ascii="Verdana" w:eastAsia="Calibri" w:hAnsi="Verdana" w:cs="Arial"/>
          <w:b/>
          <w:bCs/>
          <w:lang w:eastAsia="es-ES"/>
        </w:rPr>
        <w:t>María</w:t>
      </w:r>
      <w:r w:rsidR="00E062E8" w:rsidRPr="00D319EA">
        <w:rPr>
          <w:rFonts w:ascii="Verdana" w:eastAsia="Calibri" w:hAnsi="Verdana" w:cs="Arial"/>
          <w:b/>
          <w:bCs/>
          <w:lang w:eastAsia="es-ES"/>
        </w:rPr>
        <w:t xml:space="preserve"> Isabel Gil Ospina </w:t>
      </w:r>
    </w:p>
    <w:p w14:paraId="022C8BB6" w14:textId="37098675" w:rsidR="00D319EA" w:rsidRPr="00D319EA" w:rsidRDefault="00D319EA" w:rsidP="0047433B">
      <w:pPr>
        <w:spacing w:after="0" w:line="276" w:lineRule="auto"/>
        <w:jc w:val="both"/>
        <w:rPr>
          <w:rFonts w:ascii="Verdana" w:hAnsi="Verdana"/>
        </w:rPr>
      </w:pPr>
      <w:hyperlink r:id="rId12" w:history="1">
        <w:r w:rsidRPr="00D319EA">
          <w:rPr>
            <w:rStyle w:val="Hipervnculo"/>
            <w:rFonts w:ascii="Verdana" w:hAnsi="Verdana"/>
          </w:rPr>
          <w:t>mariaisabelgil@hotmail.com</w:t>
        </w:r>
      </w:hyperlink>
    </w:p>
    <w:p w14:paraId="0CB684A7" w14:textId="58618880" w:rsidR="0047433B" w:rsidRPr="00D319EA" w:rsidRDefault="00D319EA" w:rsidP="0047433B">
      <w:pPr>
        <w:spacing w:after="0" w:line="276" w:lineRule="auto"/>
        <w:jc w:val="both"/>
        <w:rPr>
          <w:rFonts w:ascii="Verdana" w:eastAsia="Calibri" w:hAnsi="Verdana" w:cs="Arial"/>
          <w:lang w:val="es-ES" w:eastAsia="es-ES"/>
        </w:rPr>
      </w:pPr>
      <w:r>
        <w:rPr>
          <w:rFonts w:ascii="Verdana" w:eastAsia="Calibri" w:hAnsi="Verdana" w:cs="Arial"/>
          <w:lang w:val="es-ES" w:eastAsia="es-ES"/>
        </w:rPr>
        <w:t>Medellín, Antioquia</w:t>
      </w:r>
    </w:p>
    <w:p w14:paraId="510BBBEE" w14:textId="77777777" w:rsidR="0047433B" w:rsidRPr="002167F7" w:rsidRDefault="0047433B" w:rsidP="0047433B">
      <w:pPr>
        <w:spacing w:after="0" w:line="276" w:lineRule="auto"/>
        <w:rPr>
          <w:rFonts w:ascii="Verdana" w:eastAsia="Calibri" w:hAnsi="Verdana" w:cs="Arial"/>
          <w:b/>
          <w:bCs/>
          <w:color w:val="000000"/>
          <w:lang w:val="es-ES"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47433B" w:rsidRPr="002167F7" w14:paraId="10A929CE" w14:textId="77777777" w:rsidTr="0067658D">
        <w:trPr>
          <w:trHeight w:val="480"/>
        </w:trPr>
        <w:tc>
          <w:tcPr>
            <w:tcW w:w="2689" w:type="dxa"/>
          </w:tcPr>
          <w:p w14:paraId="4A357B51" w14:textId="77777777" w:rsidR="0047433B" w:rsidRPr="002167F7" w:rsidRDefault="0047433B" w:rsidP="0067658D">
            <w:pPr>
              <w:spacing w:line="276" w:lineRule="auto"/>
              <w:jc w:val="both"/>
              <w:rPr>
                <w:rFonts w:ascii="Verdana" w:eastAsia="Calibri" w:hAnsi="Verdana" w:cs="Arial"/>
                <w:b/>
                <w:bCs/>
                <w:color w:val="7030A0"/>
                <w:lang w:val="es-ES" w:eastAsia="es-ES_tradnl"/>
              </w:rPr>
            </w:pPr>
          </w:p>
        </w:tc>
        <w:tc>
          <w:tcPr>
            <w:tcW w:w="6100" w:type="dxa"/>
          </w:tcPr>
          <w:p w14:paraId="00C8B4D0" w14:textId="2C05FF9B" w:rsidR="0047433B" w:rsidRDefault="0047433B" w:rsidP="0067658D">
            <w:pPr>
              <w:spacing w:line="276" w:lineRule="auto"/>
              <w:jc w:val="both"/>
              <w:rPr>
                <w:rFonts w:ascii="Verdana" w:eastAsia="Calibri" w:hAnsi="Verdana" w:cs="Arial"/>
                <w:b/>
                <w:bCs/>
                <w:lang w:val="es-ES" w:eastAsia="es-ES"/>
              </w:rPr>
            </w:pPr>
            <w:r w:rsidRPr="002167F7">
              <w:rPr>
                <w:rFonts w:ascii="Verdana" w:eastAsia="Calibri" w:hAnsi="Verdana" w:cs="Arial"/>
                <w:b/>
                <w:bCs/>
                <w:lang w:val="es-ES" w:eastAsia="es-ES"/>
              </w:rPr>
              <w:t>Concepto C-</w:t>
            </w:r>
            <w:r w:rsidR="00E062E8">
              <w:rPr>
                <w:rFonts w:ascii="Verdana" w:eastAsia="Calibri" w:hAnsi="Verdana" w:cs="Arial"/>
                <w:b/>
                <w:bCs/>
                <w:lang w:val="es-ES" w:eastAsia="es-ES"/>
              </w:rPr>
              <w:t>896</w:t>
            </w:r>
            <w:r w:rsidRPr="002167F7">
              <w:rPr>
                <w:rFonts w:ascii="Verdana" w:eastAsia="Calibri" w:hAnsi="Verdana" w:cs="Arial"/>
                <w:b/>
                <w:bCs/>
                <w:color w:val="7030A0"/>
                <w:lang w:val="es-ES" w:eastAsia="es-ES"/>
              </w:rPr>
              <w:t xml:space="preserve"> </w:t>
            </w:r>
            <w:r w:rsidRPr="002167F7">
              <w:rPr>
                <w:rFonts w:ascii="Verdana" w:eastAsia="Calibri" w:hAnsi="Verdana" w:cs="Arial"/>
                <w:b/>
                <w:bCs/>
                <w:lang w:val="es-ES" w:eastAsia="es-ES"/>
              </w:rPr>
              <w:t>de 202</w:t>
            </w:r>
            <w:r>
              <w:rPr>
                <w:rFonts w:ascii="Verdana" w:eastAsia="Calibri" w:hAnsi="Verdana" w:cs="Arial"/>
                <w:b/>
                <w:bCs/>
                <w:lang w:val="es-ES" w:eastAsia="es-ES"/>
              </w:rPr>
              <w:t>6</w:t>
            </w:r>
          </w:p>
          <w:p w14:paraId="2ECD2FA2" w14:textId="77777777" w:rsidR="0047433B" w:rsidRPr="002167F7" w:rsidRDefault="0047433B" w:rsidP="0067658D">
            <w:pPr>
              <w:spacing w:line="276" w:lineRule="auto"/>
              <w:jc w:val="both"/>
              <w:rPr>
                <w:rFonts w:ascii="Verdana" w:eastAsia="Calibri" w:hAnsi="Verdana" w:cs="Arial"/>
                <w:b/>
                <w:bCs/>
                <w:color w:val="7030A0"/>
                <w:lang w:val="es-ES" w:eastAsia="es-ES"/>
              </w:rPr>
            </w:pPr>
          </w:p>
        </w:tc>
      </w:tr>
      <w:tr w:rsidR="0047433B" w:rsidRPr="002167F7" w14:paraId="0438338F" w14:textId="77777777" w:rsidTr="0067658D">
        <w:trPr>
          <w:trHeight w:val="884"/>
        </w:trPr>
        <w:tc>
          <w:tcPr>
            <w:tcW w:w="2689" w:type="dxa"/>
          </w:tcPr>
          <w:p w14:paraId="44B57B8C" w14:textId="77777777" w:rsidR="0047433B" w:rsidRPr="00366D65" w:rsidRDefault="0047433B" w:rsidP="0067658D">
            <w:pPr>
              <w:spacing w:line="276" w:lineRule="auto"/>
              <w:jc w:val="both"/>
              <w:rPr>
                <w:rFonts w:ascii="Verdana" w:eastAsia="Calibri" w:hAnsi="Verdana" w:cs="Arial"/>
                <w:color w:val="000000"/>
                <w:lang w:val="es-ES" w:eastAsia="es-ES_tradnl"/>
              </w:rPr>
            </w:pPr>
            <w:r w:rsidRPr="00366D65">
              <w:rPr>
                <w:rFonts w:ascii="Verdana" w:eastAsia="Calibri" w:hAnsi="Verdana" w:cs="Arial"/>
                <w:b/>
                <w:color w:val="000000"/>
                <w:lang w:val="es-ES" w:eastAsia="es-ES_tradnl"/>
              </w:rPr>
              <w:t>Temas:</w:t>
            </w:r>
            <w:r w:rsidRPr="00366D65">
              <w:rPr>
                <w:rFonts w:ascii="Verdana" w:eastAsia="Calibri" w:hAnsi="Verdana" w:cs="Arial"/>
                <w:color w:val="000000"/>
                <w:lang w:val="es-ES" w:eastAsia="es-ES_tradnl"/>
              </w:rPr>
              <w:t xml:space="preserve">                   </w:t>
            </w:r>
          </w:p>
        </w:tc>
        <w:tc>
          <w:tcPr>
            <w:tcW w:w="6100" w:type="dxa"/>
          </w:tcPr>
          <w:p w14:paraId="0151726E" w14:textId="6995D1BE" w:rsidR="0047433B" w:rsidRPr="00366D65" w:rsidRDefault="0047433B" w:rsidP="0067658D">
            <w:pPr>
              <w:spacing w:line="276" w:lineRule="auto"/>
              <w:contextualSpacing/>
              <w:jc w:val="both"/>
              <w:rPr>
                <w:rFonts w:ascii="Verdana" w:eastAsia="Arial" w:hAnsi="Verdana"/>
                <w:lang w:val="es-ES" w:eastAsia="es-ES_tradnl"/>
              </w:rPr>
            </w:pPr>
            <w:r w:rsidRPr="00A90F24">
              <w:rPr>
                <w:rFonts w:ascii="Verdana" w:eastAsia="Arial" w:hAnsi="Verdana" w:cs="Arial"/>
                <w:color w:val="000000"/>
                <w:lang w:val="es-ES" w:eastAsia="es-ES_tradnl"/>
              </w:rPr>
              <w:t>MODALIDADES DE SELECCIÓN – Clase</w:t>
            </w:r>
            <w:r>
              <w:rPr>
                <w:rFonts w:ascii="Verdana" w:eastAsia="Arial" w:hAnsi="Verdana" w:cs="Arial"/>
                <w:color w:val="000000"/>
                <w:lang w:val="es-ES" w:eastAsia="es-ES_tradnl"/>
              </w:rPr>
              <w:t>s</w:t>
            </w:r>
            <w:r w:rsidR="00BC6B51">
              <w:rPr>
                <w:rFonts w:ascii="Verdana" w:eastAsia="Arial" w:hAnsi="Verdana" w:cs="Arial"/>
                <w:color w:val="000000"/>
                <w:lang w:val="es-ES" w:eastAsia="es-ES_tradnl"/>
              </w:rPr>
              <w:t xml:space="preserve"> </w:t>
            </w:r>
            <w:r>
              <w:rPr>
                <w:rFonts w:ascii="Verdana" w:eastAsia="Arial" w:hAnsi="Verdana" w:cs="Arial"/>
                <w:color w:val="000000" w:themeColor="text1"/>
                <w:lang w:val="es-ES" w:eastAsia="es-ES_tradnl"/>
              </w:rPr>
              <w:t>/ CONTRATACIÓN DIRECTA</w:t>
            </w:r>
            <w:r w:rsidRPr="00A90F24">
              <w:rPr>
                <w:rFonts w:ascii="Verdana" w:eastAsia="Arial" w:hAnsi="Verdana" w:cs="Arial"/>
                <w:color w:val="000000" w:themeColor="text1"/>
                <w:lang w:val="es-ES" w:eastAsia="es-ES_tradnl"/>
              </w:rPr>
              <w:t xml:space="preserve"> – </w:t>
            </w:r>
            <w:r>
              <w:rPr>
                <w:rFonts w:ascii="Verdana" w:eastAsia="Arial" w:hAnsi="Verdana" w:cs="Arial"/>
                <w:color w:val="000000" w:themeColor="text1"/>
                <w:lang w:val="es-ES" w:eastAsia="es-ES_tradnl"/>
              </w:rPr>
              <w:t>Contrato de prestación de servicios</w:t>
            </w:r>
            <w:r w:rsidR="00BC6B51">
              <w:rPr>
                <w:rFonts w:ascii="Verdana" w:eastAsia="Arial" w:hAnsi="Verdana" w:cs="Arial"/>
                <w:color w:val="000000" w:themeColor="text1"/>
                <w:lang w:val="es-ES" w:eastAsia="es-ES_tradnl"/>
              </w:rPr>
              <w:t xml:space="preserve"> </w:t>
            </w:r>
            <w:r w:rsidR="00082351" w:rsidRPr="00082351">
              <w:rPr>
                <w:rFonts w:ascii="Verdana" w:eastAsia="Arial" w:hAnsi="Verdana" w:cs="Arial"/>
                <w:b/>
                <w:bCs/>
                <w:color w:val="000000" w:themeColor="text1"/>
                <w:lang w:val="es-ES" w:eastAsia="es-ES_tradnl"/>
              </w:rPr>
              <w:t>–</w:t>
            </w:r>
            <w:r w:rsidR="00BC6B51">
              <w:rPr>
                <w:rFonts w:ascii="Verdana" w:eastAsia="Arial" w:hAnsi="Verdana" w:cs="Arial"/>
                <w:color w:val="000000" w:themeColor="text1"/>
                <w:lang w:val="es-ES" w:eastAsia="es-ES_tradnl"/>
              </w:rPr>
              <w:t xml:space="preserve"> </w:t>
            </w:r>
            <w:r w:rsidR="00E062E8" w:rsidRPr="00E062E8">
              <w:rPr>
                <w:rFonts w:ascii="Verdana" w:eastAsia="Arial" w:hAnsi="Verdana" w:cs="Arial"/>
                <w:color w:val="000000" w:themeColor="text1"/>
                <w:lang w:val="es-ES" w:eastAsia="es-ES_tradnl"/>
              </w:rPr>
              <w:t xml:space="preserve">PRINCIPIO DE SELECCIÓN OBJETIVA – Fundamento – Alcance – </w:t>
            </w:r>
            <w:r w:rsidR="00082351">
              <w:rPr>
                <w:rFonts w:ascii="Verdana" w:eastAsia="Arial" w:hAnsi="Verdana" w:cs="Arial"/>
                <w:color w:val="000000" w:themeColor="text1"/>
                <w:lang w:val="es-ES" w:eastAsia="es-ES_tradnl"/>
              </w:rPr>
              <w:t>R</w:t>
            </w:r>
            <w:r w:rsidR="00E062E8" w:rsidRPr="00E062E8">
              <w:rPr>
                <w:rFonts w:ascii="Verdana" w:eastAsia="Arial" w:hAnsi="Verdana" w:cs="Arial"/>
                <w:color w:val="000000" w:themeColor="text1"/>
                <w:lang w:val="es-ES" w:eastAsia="es-ES_tradnl"/>
              </w:rPr>
              <w:t>eglas aplicables</w:t>
            </w:r>
            <w:r w:rsidR="00E062E8">
              <w:rPr>
                <w:rFonts w:ascii="Verdana" w:eastAsia="Arial" w:hAnsi="Verdana" w:cs="Arial"/>
                <w:color w:val="000000" w:themeColor="text1"/>
                <w:lang w:val="es-ES" w:eastAsia="es-ES_tradnl"/>
              </w:rPr>
              <w:t xml:space="preserve"> </w:t>
            </w:r>
          </w:p>
          <w:p w14:paraId="2C9FA98C" w14:textId="77777777" w:rsidR="0047433B" w:rsidRPr="00366D65" w:rsidRDefault="0047433B" w:rsidP="0067658D">
            <w:pPr>
              <w:spacing w:line="276" w:lineRule="auto"/>
              <w:jc w:val="both"/>
              <w:rPr>
                <w:rFonts w:ascii="Verdana" w:eastAsia="Calibri" w:hAnsi="Verdana" w:cs="Arial"/>
                <w:lang w:val="es-ES" w:eastAsia="es-ES"/>
              </w:rPr>
            </w:pPr>
          </w:p>
        </w:tc>
      </w:tr>
      <w:tr w:rsidR="0047433B" w:rsidRPr="002167F7" w14:paraId="5BAA01CC" w14:textId="77777777" w:rsidTr="0067658D">
        <w:tc>
          <w:tcPr>
            <w:tcW w:w="2689" w:type="dxa"/>
          </w:tcPr>
          <w:p w14:paraId="7B1EAFCD" w14:textId="77777777" w:rsidR="0047433B" w:rsidRPr="00366D65" w:rsidRDefault="0047433B" w:rsidP="0067658D">
            <w:pPr>
              <w:spacing w:line="276" w:lineRule="auto"/>
              <w:jc w:val="both"/>
              <w:rPr>
                <w:rFonts w:ascii="Verdana" w:eastAsia="Calibri" w:hAnsi="Verdana" w:cs="Arial"/>
                <w:b/>
                <w:color w:val="000000" w:themeColor="text1"/>
                <w:lang w:val="es-ES" w:eastAsia="es-ES_tradnl"/>
              </w:rPr>
            </w:pPr>
            <w:r w:rsidRPr="00366D65">
              <w:rPr>
                <w:rFonts w:ascii="Verdana" w:eastAsia="Calibri" w:hAnsi="Verdana" w:cs="Arial"/>
                <w:b/>
                <w:color w:val="000000" w:themeColor="text1"/>
                <w:lang w:val="es-ES" w:eastAsia="es-ES_tradnl"/>
              </w:rPr>
              <w:t>Radicación:</w:t>
            </w:r>
            <w:r w:rsidRPr="00366D65">
              <w:rPr>
                <w:rFonts w:ascii="Verdana" w:eastAsia="Calibri" w:hAnsi="Verdana" w:cs="Arial"/>
                <w:color w:val="000000" w:themeColor="text1"/>
                <w:lang w:val="es-ES" w:eastAsia="es-ES_tradnl"/>
              </w:rPr>
              <w:t xml:space="preserve">               </w:t>
            </w:r>
          </w:p>
        </w:tc>
        <w:tc>
          <w:tcPr>
            <w:tcW w:w="6100" w:type="dxa"/>
          </w:tcPr>
          <w:p w14:paraId="634B5287" w14:textId="2D5B7FA3" w:rsidR="0047433B" w:rsidRPr="00366D65" w:rsidRDefault="0047433B" w:rsidP="0067658D">
            <w:pPr>
              <w:spacing w:line="276" w:lineRule="auto"/>
              <w:jc w:val="both"/>
              <w:rPr>
                <w:rFonts w:ascii="Verdana" w:eastAsia="Calibri" w:hAnsi="Verdana" w:cs="Arial"/>
                <w:color w:val="000000" w:themeColor="text1"/>
                <w:lang w:val="es-ES" w:eastAsia="es-ES_tradnl"/>
              </w:rPr>
            </w:pPr>
            <w:r w:rsidRPr="00366D65">
              <w:rPr>
                <w:rFonts w:ascii="Verdana" w:eastAsia="Calibri" w:hAnsi="Verdana" w:cs="Arial"/>
                <w:color w:val="000000" w:themeColor="text1"/>
                <w:lang w:val="es-ES" w:eastAsia="es-ES_tradnl"/>
              </w:rPr>
              <w:t>Respuesta a consulta con radicado No.</w:t>
            </w:r>
            <w:r>
              <w:rPr>
                <w:rFonts w:ascii="Verdana" w:eastAsia="Calibri" w:hAnsi="Verdana" w:cs="Arial"/>
                <w:color w:val="000000" w:themeColor="text1"/>
                <w:lang w:val="es-ES" w:eastAsia="es-ES_tradnl"/>
              </w:rPr>
              <w:t xml:space="preserve"> </w:t>
            </w:r>
            <w:r w:rsidR="00E062E8" w:rsidRPr="00E062E8">
              <w:rPr>
                <w:rFonts w:ascii="Verdana" w:eastAsia="Calibri" w:hAnsi="Verdana" w:cs="Arial"/>
                <w:color w:val="000000" w:themeColor="text1"/>
                <w:lang w:val="es-ES" w:eastAsia="es-ES_tradnl"/>
              </w:rPr>
              <w:t>1_2026_05_28_007246</w:t>
            </w:r>
          </w:p>
        </w:tc>
      </w:tr>
    </w:tbl>
    <w:p w14:paraId="2413D982" w14:textId="77777777" w:rsidR="0047433B" w:rsidRPr="002167F7" w:rsidRDefault="0047433B" w:rsidP="0047433B">
      <w:pPr>
        <w:spacing w:after="0" w:line="276" w:lineRule="auto"/>
        <w:jc w:val="both"/>
        <w:rPr>
          <w:rFonts w:ascii="Verdana" w:eastAsia="Calibri" w:hAnsi="Verdana" w:cs="Arial"/>
          <w:color w:val="000000"/>
          <w:lang w:val="es-ES" w:eastAsia="es-ES_tradnl"/>
        </w:rPr>
      </w:pPr>
    </w:p>
    <w:p w14:paraId="288C275F" w14:textId="77777777" w:rsidR="0047433B" w:rsidRPr="002167F7" w:rsidRDefault="0047433B" w:rsidP="0047433B">
      <w:pPr>
        <w:spacing w:after="0" w:line="276" w:lineRule="auto"/>
        <w:jc w:val="both"/>
        <w:rPr>
          <w:rFonts w:ascii="Verdana" w:eastAsia="Calibri" w:hAnsi="Verdana" w:cs="Arial"/>
          <w:color w:val="000000"/>
          <w:lang w:val="es-ES" w:eastAsia="es-ES_tradnl"/>
        </w:rPr>
      </w:pPr>
    </w:p>
    <w:p w14:paraId="23CF2481" w14:textId="01BD1996" w:rsidR="0047433B" w:rsidRPr="002167F7" w:rsidRDefault="0047433B" w:rsidP="0047433B">
      <w:pPr>
        <w:spacing w:after="0" w:line="276" w:lineRule="auto"/>
        <w:jc w:val="both"/>
        <w:rPr>
          <w:rFonts w:ascii="Verdana" w:eastAsia="Calibri" w:hAnsi="Verdana" w:cs="Arial"/>
          <w:color w:val="000000" w:themeColor="text1"/>
          <w:lang w:val="es-ES" w:eastAsia="es-ES"/>
        </w:rPr>
      </w:pPr>
      <w:r w:rsidRPr="002167F7">
        <w:rPr>
          <w:rFonts w:ascii="Verdana" w:eastAsia="Calibri" w:hAnsi="Verdana" w:cs="Arial"/>
          <w:color w:val="000000" w:themeColor="text1"/>
          <w:lang w:val="es-ES" w:eastAsia="es-ES"/>
        </w:rPr>
        <w:t xml:space="preserve">Estimada </w:t>
      </w:r>
      <w:r w:rsidRPr="002167F7">
        <w:rPr>
          <w:rFonts w:ascii="Verdana" w:eastAsia="Calibri" w:hAnsi="Verdana" w:cs="Arial"/>
          <w:color w:val="000000"/>
          <w:lang w:val="es-ES" w:eastAsia="es-ES_tradnl"/>
        </w:rPr>
        <w:t xml:space="preserve">señora </w:t>
      </w:r>
      <w:r w:rsidR="00D319EA">
        <w:rPr>
          <w:rFonts w:ascii="Verdana" w:eastAsia="Calibri" w:hAnsi="Verdana" w:cs="Arial"/>
          <w:color w:val="000000"/>
          <w:lang w:val="es-ES" w:eastAsia="es-ES_tradnl"/>
        </w:rPr>
        <w:t>Gil</w:t>
      </w:r>
      <w:r w:rsidRPr="002167F7">
        <w:rPr>
          <w:rFonts w:ascii="Verdana" w:eastAsia="Calibri" w:hAnsi="Verdana" w:cs="Arial"/>
          <w:color w:val="000000"/>
          <w:lang w:val="es-ES" w:eastAsia="es-ES_tradnl"/>
        </w:rPr>
        <w:t>:</w:t>
      </w:r>
      <w:r w:rsidRPr="002167F7">
        <w:rPr>
          <w:rFonts w:ascii="Verdana" w:eastAsia="Calibri" w:hAnsi="Verdana" w:cs="Arial"/>
          <w:color w:val="000000" w:themeColor="text1"/>
          <w:lang w:val="es-ES" w:eastAsia="es-ES"/>
        </w:rPr>
        <w:t xml:space="preserve"> </w:t>
      </w:r>
    </w:p>
    <w:p w14:paraId="5CB83D28" w14:textId="77777777" w:rsidR="0047433B" w:rsidRPr="002167F7" w:rsidRDefault="0047433B" w:rsidP="0047433B">
      <w:pPr>
        <w:tabs>
          <w:tab w:val="left" w:pos="3768"/>
        </w:tabs>
        <w:spacing w:after="0" w:line="276" w:lineRule="auto"/>
        <w:jc w:val="both"/>
        <w:rPr>
          <w:rFonts w:ascii="Verdana" w:eastAsia="Calibri" w:hAnsi="Verdana" w:cs="Arial"/>
          <w:color w:val="000000" w:themeColor="text1"/>
          <w:lang w:val="es-ES" w:eastAsia="es-ES"/>
        </w:rPr>
      </w:pPr>
      <w:r w:rsidRPr="002167F7">
        <w:rPr>
          <w:rFonts w:ascii="Verdana" w:eastAsia="Calibri" w:hAnsi="Verdana" w:cs="Arial"/>
          <w:color w:val="000000" w:themeColor="text1"/>
          <w:lang w:val="es-ES" w:eastAsia="es-ES"/>
        </w:rPr>
        <w:tab/>
      </w:r>
    </w:p>
    <w:p w14:paraId="230F0EA2" w14:textId="3CB94862" w:rsidR="0047433B" w:rsidRPr="00C57CDC" w:rsidRDefault="0047433B" w:rsidP="0047433B">
      <w:pPr>
        <w:spacing w:after="0" w:line="276" w:lineRule="auto"/>
        <w:jc w:val="both"/>
        <w:rPr>
          <w:rFonts w:ascii="Verdana" w:hAnsi="Verdana" w:cs="Arial"/>
          <w:lang w:val="es-ES"/>
        </w:rPr>
      </w:pPr>
      <w:r w:rsidRPr="002167F7">
        <w:rPr>
          <w:rFonts w:ascii="Verdana" w:eastAsia="Calibri" w:hAnsi="Verdana" w:cs="Arial"/>
          <w:color w:val="000000" w:themeColor="text1"/>
          <w:lang w:val="es-ES" w:eastAsia="es-ES"/>
        </w:rPr>
        <w:t>En ejercicio de la competencia otorgada por los artículos 3, numeral 5º, y 11, numeral 8º, del Decreto Ley 4170 de 2011,</w:t>
      </w:r>
      <w:r w:rsidRPr="002167F7">
        <w:rPr>
          <w:rFonts w:ascii="Verdana" w:eastAsia="Arial MT" w:hAnsi="Verdana" w:cs="Arial MT"/>
          <w:lang w:val="es-ES" w:eastAsia="es-ES"/>
        </w:rPr>
        <w:t xml:space="preserve"> </w:t>
      </w:r>
      <w:r w:rsidRPr="006C555A">
        <w:rPr>
          <w:rFonts w:ascii="Verdana" w:hAnsi="Verdana" w:cs="Arial"/>
          <w:lang w:val="es-ES_tradnl"/>
        </w:rPr>
        <w:t>así como lo establecido en</w:t>
      </w:r>
      <w:r w:rsidRPr="006C555A">
        <w:rPr>
          <w:rFonts w:ascii="Verdana" w:hAnsi="Verdana" w:cs="Arial"/>
        </w:rPr>
        <w:t xml:space="preserve"> la Resolución 469 de 2025 expedida por esta Entidad</w:t>
      </w:r>
      <w:r w:rsidRPr="002167F7">
        <w:rPr>
          <w:rFonts w:ascii="Verdana" w:hAnsi="Verdana" w:cs="Arial"/>
          <w:lang w:val="es-ES"/>
        </w:rPr>
        <w:t xml:space="preserve">, </w:t>
      </w:r>
      <w:r w:rsidRPr="002167F7">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00D319EA">
        <w:rPr>
          <w:rFonts w:ascii="Verdana" w:eastAsia="Calibri" w:hAnsi="Verdana" w:cs="Arial"/>
          <w:color w:val="000000" w:themeColor="text1"/>
          <w:lang w:val="es-ES" w:eastAsia="es-ES"/>
        </w:rPr>
        <w:t>28</w:t>
      </w:r>
      <w:r w:rsidRPr="002167F7">
        <w:rPr>
          <w:rFonts w:ascii="Verdana" w:eastAsia="Calibri" w:hAnsi="Verdana" w:cs="Arial"/>
          <w:color w:val="000000" w:themeColor="text1"/>
          <w:lang w:val="es-ES" w:eastAsia="es-ES"/>
        </w:rPr>
        <w:t xml:space="preserve"> de </w:t>
      </w:r>
      <w:r w:rsidR="00D319EA">
        <w:rPr>
          <w:rFonts w:ascii="Verdana" w:eastAsia="Calibri" w:hAnsi="Verdana" w:cs="Arial"/>
          <w:color w:val="000000" w:themeColor="text1"/>
          <w:lang w:val="es-ES" w:eastAsia="es-ES"/>
        </w:rPr>
        <w:t xml:space="preserve">mayo </w:t>
      </w:r>
      <w:r w:rsidRPr="002167F7">
        <w:rPr>
          <w:rFonts w:ascii="Verdana" w:eastAsia="Calibri" w:hAnsi="Verdana" w:cs="Arial"/>
          <w:color w:val="000000" w:themeColor="text1"/>
          <w:lang w:val="es-ES" w:eastAsia="es-ES"/>
        </w:rPr>
        <w:t>de 202</w:t>
      </w:r>
      <w:r>
        <w:rPr>
          <w:rFonts w:ascii="Verdana" w:eastAsia="Calibri" w:hAnsi="Verdana" w:cs="Arial"/>
          <w:color w:val="000000" w:themeColor="text1"/>
          <w:lang w:val="es-ES" w:eastAsia="es-ES"/>
        </w:rPr>
        <w:t>6</w:t>
      </w:r>
      <w:r w:rsidRPr="002167F7">
        <w:rPr>
          <w:rFonts w:ascii="Verdana" w:eastAsia="Calibri" w:hAnsi="Verdana" w:cs="Arial"/>
          <w:color w:val="000000" w:themeColor="text1"/>
          <w:lang w:val="es-ES" w:eastAsia="es-ES"/>
        </w:rPr>
        <w:t xml:space="preserve">, en la cual manifiesta lo siguiente: </w:t>
      </w:r>
    </w:p>
    <w:p w14:paraId="13B1344C" w14:textId="77777777" w:rsidR="0047433B" w:rsidRPr="002167F7" w:rsidRDefault="0047433B" w:rsidP="00D319EA">
      <w:pPr>
        <w:spacing w:after="0" w:line="276" w:lineRule="auto"/>
        <w:jc w:val="both"/>
        <w:rPr>
          <w:rFonts w:ascii="Verdana" w:eastAsia="Calibri" w:hAnsi="Verdana" w:cs="Arial"/>
          <w:color w:val="000000" w:themeColor="text1"/>
          <w:lang w:val="es-ES" w:eastAsia="es-ES"/>
        </w:rPr>
      </w:pPr>
    </w:p>
    <w:p w14:paraId="102FFA1D" w14:textId="5BD1B49D" w:rsidR="0047433B" w:rsidRPr="00D319EA" w:rsidRDefault="0047433B" w:rsidP="00D319EA">
      <w:pPr>
        <w:spacing w:after="0" w:line="240" w:lineRule="auto"/>
        <w:ind w:left="709" w:right="709"/>
        <w:jc w:val="both"/>
        <w:rPr>
          <w:rFonts w:ascii="Verdana" w:eastAsia="Century Gothic" w:hAnsi="Verdana" w:cs="Century Gothic"/>
          <w:color w:val="000000" w:themeColor="text1"/>
          <w:sz w:val="20"/>
          <w:szCs w:val="20"/>
        </w:rPr>
      </w:pPr>
      <w:r w:rsidRPr="002167F7">
        <w:rPr>
          <w:rFonts w:ascii="Verdana" w:eastAsia="Century Gothic" w:hAnsi="Verdana" w:cs="Century Gothic"/>
          <w:color w:val="000000" w:themeColor="text1"/>
          <w:sz w:val="20"/>
          <w:szCs w:val="20"/>
          <w:lang w:val="es-ES"/>
        </w:rPr>
        <w:t>“</w:t>
      </w:r>
      <w:r w:rsidR="00D319EA" w:rsidRPr="00D319EA">
        <w:rPr>
          <w:rFonts w:ascii="Verdana" w:eastAsia="Century Gothic" w:hAnsi="Verdana" w:cs="Century Gothic"/>
          <w:color w:val="000000" w:themeColor="text1"/>
          <w:sz w:val="20"/>
          <w:szCs w:val="20"/>
        </w:rPr>
        <w:t>La invitación publica hace parte del método para evidenciar</w:t>
      </w:r>
      <w:r w:rsidR="00D319EA">
        <w:rPr>
          <w:rFonts w:ascii="Verdana" w:eastAsia="Century Gothic" w:hAnsi="Verdana" w:cs="Century Gothic"/>
          <w:color w:val="000000" w:themeColor="text1"/>
          <w:sz w:val="20"/>
          <w:szCs w:val="20"/>
        </w:rPr>
        <w:t xml:space="preserve"> </w:t>
      </w:r>
      <w:r w:rsidR="00D319EA" w:rsidRPr="00D319EA">
        <w:rPr>
          <w:rFonts w:ascii="Verdana" w:eastAsia="Century Gothic" w:hAnsi="Verdana" w:cs="Century Gothic"/>
          <w:color w:val="000000" w:themeColor="text1"/>
          <w:sz w:val="20"/>
          <w:szCs w:val="20"/>
        </w:rPr>
        <w:t>el cumplimiento del principio de selección objetiva y otros,</w:t>
      </w:r>
      <w:r w:rsidR="00D319EA">
        <w:rPr>
          <w:rFonts w:ascii="Verdana" w:eastAsia="Century Gothic" w:hAnsi="Verdana" w:cs="Century Gothic"/>
          <w:color w:val="000000" w:themeColor="text1"/>
          <w:sz w:val="20"/>
          <w:szCs w:val="20"/>
        </w:rPr>
        <w:t xml:space="preserve"> </w:t>
      </w:r>
      <w:r w:rsidR="00D319EA" w:rsidRPr="00D319EA">
        <w:rPr>
          <w:rFonts w:ascii="Verdana" w:eastAsia="Century Gothic" w:hAnsi="Verdana" w:cs="Century Gothic"/>
          <w:color w:val="000000" w:themeColor="text1"/>
          <w:sz w:val="20"/>
          <w:szCs w:val="20"/>
        </w:rPr>
        <w:t>en algunas modalidades; ¿cuál es el procedimiento que debe</w:t>
      </w:r>
      <w:r w:rsidR="00D319EA">
        <w:rPr>
          <w:rFonts w:ascii="Verdana" w:eastAsia="Century Gothic" w:hAnsi="Verdana" w:cs="Century Gothic"/>
          <w:color w:val="000000" w:themeColor="text1"/>
          <w:sz w:val="20"/>
          <w:szCs w:val="20"/>
        </w:rPr>
        <w:t xml:space="preserve"> </w:t>
      </w:r>
      <w:r w:rsidR="00D319EA" w:rsidRPr="00D319EA">
        <w:rPr>
          <w:rFonts w:ascii="Verdana" w:eastAsia="Century Gothic" w:hAnsi="Verdana" w:cs="Century Gothic"/>
          <w:color w:val="000000" w:themeColor="text1"/>
          <w:sz w:val="20"/>
          <w:szCs w:val="20"/>
        </w:rPr>
        <w:t>emplearse para una contratación directa?</w:t>
      </w:r>
    </w:p>
    <w:p w14:paraId="1B9AEE59" w14:textId="77777777" w:rsidR="0047433B" w:rsidRDefault="0047433B" w:rsidP="0047433B">
      <w:pPr>
        <w:spacing w:after="0" w:line="276" w:lineRule="auto"/>
        <w:ind w:firstLine="709"/>
        <w:jc w:val="both"/>
        <w:rPr>
          <w:rFonts w:ascii="Verdana" w:eastAsia="Century Gothic" w:hAnsi="Verdana" w:cs="Century Gothic"/>
          <w:i/>
          <w:iCs/>
          <w:color w:val="000000" w:themeColor="text1"/>
          <w:sz w:val="20"/>
          <w:szCs w:val="20"/>
          <w:lang w:val="es-ES"/>
        </w:rPr>
      </w:pPr>
    </w:p>
    <w:p w14:paraId="21B68E92" w14:textId="77777777" w:rsidR="0047433B" w:rsidRPr="002167F7" w:rsidRDefault="0047433B" w:rsidP="0047433B">
      <w:pPr>
        <w:spacing w:before="120" w:after="120" w:line="276" w:lineRule="auto"/>
        <w:ind w:firstLine="709"/>
        <w:jc w:val="both"/>
        <w:rPr>
          <w:rFonts w:ascii="Verdana" w:eastAsia="Calibri" w:hAnsi="Verdana" w:cs="Arial"/>
          <w:color w:val="000000"/>
          <w:szCs w:val="24"/>
          <w:lang w:val="es-ES" w:eastAsia="es-ES_tradnl"/>
        </w:rPr>
      </w:pPr>
      <w:r w:rsidRPr="002167F7">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w:t>
      </w:r>
      <w:r w:rsidRPr="002167F7">
        <w:rPr>
          <w:rFonts w:ascii="Verdana" w:eastAsia="Calibri" w:hAnsi="Verdana" w:cs="Arial"/>
          <w:color w:val="000000"/>
          <w:lang w:val="es-ES" w:eastAsia="es-ES"/>
        </w:rPr>
        <w:lastRenderedPageBreak/>
        <w:t xml:space="preserve">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167F7">
        <w:rPr>
          <w:rFonts w:ascii="Verdana" w:eastAsia="Calibri" w:hAnsi="Verdana" w:cs="Arial"/>
          <w:color w:val="000000"/>
          <w:szCs w:val="24"/>
          <w:lang w:val="es-ES" w:eastAsia="es-ES_tradnl"/>
        </w:rPr>
        <w:tab/>
      </w:r>
    </w:p>
    <w:p w14:paraId="73884064" w14:textId="77777777" w:rsidR="0047433B" w:rsidRPr="002167F7" w:rsidRDefault="0047433B" w:rsidP="0047433B">
      <w:pPr>
        <w:spacing w:after="0" w:line="276" w:lineRule="auto"/>
        <w:ind w:firstLine="709"/>
        <w:jc w:val="both"/>
        <w:rPr>
          <w:rFonts w:ascii="Verdana" w:eastAsia="Calibri" w:hAnsi="Verdana" w:cs="Arial"/>
          <w:color w:val="000000"/>
          <w:lang w:val="es-ES" w:eastAsia="es-ES"/>
        </w:rPr>
      </w:pPr>
      <w:r w:rsidRPr="002167F7">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sidRPr="002167F7">
        <w:rPr>
          <w:rFonts w:ascii="Verdana" w:eastAsia="Calibri" w:hAnsi="Verdana" w:cs="Arial"/>
          <w:color w:val="7030A0"/>
          <w:lang w:val="es-ES" w:eastAsia="es-ES"/>
        </w:rPr>
        <w:t xml:space="preserve"> </w:t>
      </w:r>
      <w:r w:rsidRPr="002167F7">
        <w:rPr>
          <w:rFonts w:ascii="Verdana" w:eastAsia="Calibri" w:hAnsi="Verdana" w:cs="Arial"/>
          <w:color w:val="000000"/>
          <w:lang w:val="es-ES" w:eastAsia="es-ES"/>
        </w:rPr>
        <w:t>jurídico</w:t>
      </w:r>
      <w:r w:rsidRPr="002167F7">
        <w:rPr>
          <w:rFonts w:ascii="Verdana" w:eastAsia="Calibri" w:hAnsi="Verdana" w:cs="Arial"/>
          <w:color w:val="7030A0"/>
          <w:lang w:val="es-ES" w:eastAsia="es-ES"/>
        </w:rPr>
        <w:t xml:space="preserve"> </w:t>
      </w:r>
      <w:r w:rsidRPr="002167F7">
        <w:rPr>
          <w:rFonts w:ascii="Verdana" w:eastAsia="Calibri" w:hAnsi="Verdana" w:cs="Arial"/>
          <w:color w:val="000000"/>
          <w:lang w:val="es-ES" w:eastAsia="es-ES"/>
        </w:rPr>
        <w:t xml:space="preserve">de su consulta. </w:t>
      </w:r>
    </w:p>
    <w:p w14:paraId="4D1B35DD" w14:textId="77777777" w:rsidR="0047433B" w:rsidRPr="002167F7" w:rsidRDefault="0047433B" w:rsidP="0047433B">
      <w:pPr>
        <w:spacing w:after="0" w:line="276" w:lineRule="auto"/>
        <w:ind w:firstLine="709"/>
        <w:jc w:val="both"/>
        <w:rPr>
          <w:rFonts w:ascii="Verdana" w:eastAsia="Calibri" w:hAnsi="Verdana" w:cs="Arial"/>
          <w:color w:val="000000"/>
          <w:lang w:val="es-ES" w:eastAsia="es-ES"/>
        </w:rPr>
      </w:pPr>
    </w:p>
    <w:p w14:paraId="27EE2ABD" w14:textId="77777777" w:rsidR="0047433B" w:rsidRPr="002167F7" w:rsidRDefault="0047433B" w:rsidP="0047433B">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2167F7">
        <w:rPr>
          <w:rFonts w:ascii="Verdana" w:eastAsia="Century Gothic" w:hAnsi="Verdana" w:cs="Century Gothic"/>
          <w:b/>
          <w:bCs/>
        </w:rPr>
        <w:t>Problema planteado:</w:t>
      </w:r>
    </w:p>
    <w:p w14:paraId="76EA6B20" w14:textId="77777777" w:rsidR="0047433B" w:rsidRPr="002167F7" w:rsidRDefault="0047433B" w:rsidP="0047433B">
      <w:pPr>
        <w:tabs>
          <w:tab w:val="left" w:pos="426"/>
        </w:tabs>
        <w:spacing w:after="0" w:line="276" w:lineRule="auto"/>
        <w:jc w:val="both"/>
        <w:rPr>
          <w:rFonts w:ascii="Verdana" w:eastAsia="Century Gothic" w:hAnsi="Verdana" w:cs="Century Gothic"/>
          <w:lang w:val="es-ES"/>
        </w:rPr>
      </w:pPr>
    </w:p>
    <w:p w14:paraId="1A1C9BFF" w14:textId="4232066C" w:rsidR="0047433B" w:rsidRDefault="0047433B" w:rsidP="0047433B">
      <w:pPr>
        <w:spacing w:after="0" w:line="276" w:lineRule="auto"/>
        <w:jc w:val="both"/>
        <w:rPr>
          <w:rFonts w:ascii="Verdana" w:eastAsia="Century Gothic" w:hAnsi="Verdana" w:cs="Century Gothic"/>
          <w:lang w:val="es-ES"/>
        </w:rPr>
      </w:pPr>
      <w:r w:rsidRPr="002167F7">
        <w:rPr>
          <w:rFonts w:ascii="Verdana" w:eastAsia="Century Gothic" w:hAnsi="Verdana" w:cs="Century Gothic"/>
          <w:lang w:val="es-ES"/>
        </w:rPr>
        <w:t xml:space="preserve">De acuerdo con el contenido de su solicitud, esta Agencia resolverá el siguiente problema jurídico: </w:t>
      </w:r>
      <w:r w:rsidR="00D319EA" w:rsidRPr="00D319EA">
        <w:rPr>
          <w:rFonts w:ascii="Verdana" w:eastAsia="Century Gothic" w:hAnsi="Verdana" w:cs="Century Gothic"/>
          <w:lang w:val="es-ES"/>
        </w:rPr>
        <w:t>¿Cómo se garantiza y evidencia el cumplimiento del principio de selección objetiva en la modalidad de contratación directa, siendo que esta no exige invitación pública ni proceso competitivo?</w:t>
      </w:r>
      <w:r w:rsidR="00D319EA">
        <w:rPr>
          <w:rFonts w:ascii="Verdana" w:eastAsia="Century Gothic" w:hAnsi="Verdana" w:cs="Century Gothic"/>
          <w:lang w:val="es-ES"/>
        </w:rPr>
        <w:t xml:space="preserve"> </w:t>
      </w:r>
    </w:p>
    <w:p w14:paraId="5699325E" w14:textId="77777777" w:rsidR="0047433B" w:rsidRDefault="0047433B" w:rsidP="0047433B">
      <w:pPr>
        <w:spacing w:after="0" w:line="276" w:lineRule="auto"/>
        <w:jc w:val="both"/>
        <w:rPr>
          <w:rFonts w:ascii="Verdana" w:eastAsia="Century Gothic" w:hAnsi="Verdana" w:cs="Century Gothic"/>
          <w:lang w:val="es-ES"/>
        </w:rPr>
      </w:pPr>
    </w:p>
    <w:p w14:paraId="4E2E2AD9" w14:textId="77777777" w:rsidR="0047433B" w:rsidRPr="002167F7" w:rsidRDefault="0047433B" w:rsidP="0047433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167F7">
        <w:rPr>
          <w:rFonts w:ascii="Verdana" w:eastAsia="Century Gothic" w:hAnsi="Verdana" w:cs="Century Gothic"/>
          <w:b/>
          <w:bCs/>
        </w:rPr>
        <w:t>Respuesta:</w:t>
      </w:r>
    </w:p>
    <w:p w14:paraId="5C2E937B" w14:textId="77777777" w:rsidR="0047433B" w:rsidRPr="002167F7" w:rsidRDefault="0047433B" w:rsidP="0047433B">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7433B" w:rsidRPr="002167F7" w14:paraId="6EFBB3B8" w14:textId="77777777" w:rsidTr="0067658D">
        <w:tc>
          <w:tcPr>
            <w:tcW w:w="8828" w:type="dxa"/>
          </w:tcPr>
          <w:p w14:paraId="01DCCEEC" w14:textId="77777777" w:rsidR="0047433B" w:rsidRDefault="0047433B" w:rsidP="0067658D">
            <w:pPr>
              <w:spacing w:after="120" w:line="276" w:lineRule="auto"/>
              <w:ind w:right="177"/>
              <w:jc w:val="both"/>
              <w:rPr>
                <w:rFonts w:ascii="Verdana" w:eastAsiaTheme="minorEastAsia" w:hAnsi="Verdana" w:cs="Arial"/>
                <w:lang w:val="es-ES" w:eastAsia="es-CO"/>
              </w:rPr>
            </w:pPr>
            <w:r>
              <w:rPr>
                <w:rFonts w:ascii="Verdana" w:eastAsiaTheme="minorEastAsia" w:hAnsi="Verdana" w:cs="Arial"/>
                <w:lang w:val="es-ES" w:eastAsia="es-CO"/>
              </w:rPr>
              <w:t xml:space="preserve">Según lo dispuesto en </w:t>
            </w:r>
            <w:r w:rsidRPr="002167F7">
              <w:rPr>
                <w:rFonts w:ascii="Verdana" w:eastAsiaTheme="minorEastAsia" w:hAnsi="Verdana" w:cs="Arial"/>
                <w:lang w:val="es-ES" w:eastAsia="es-CO"/>
              </w:rPr>
              <w:t xml:space="preserve">el artículo 2 de la Ley 1150 </w:t>
            </w:r>
            <w:r>
              <w:rPr>
                <w:rFonts w:ascii="Verdana" w:eastAsiaTheme="minorEastAsia" w:hAnsi="Verdana" w:cs="Arial"/>
                <w:lang w:val="es-ES" w:eastAsia="es-CO"/>
              </w:rPr>
              <w:t>de 2007</w:t>
            </w:r>
            <w:r w:rsidRPr="002167F7">
              <w:rPr>
                <w:rFonts w:ascii="Verdana" w:eastAsiaTheme="minorEastAsia" w:hAnsi="Verdana" w:cs="Arial"/>
                <w:lang w:val="es-ES" w:eastAsia="es-CO"/>
              </w:rPr>
              <w:t>, las modalidades de selección a las que actualmente pueden recurrir las Entidades Estatales para adelantar sus procesos de contratación estatal son: 1) la licitación pública, 2)</w:t>
            </w:r>
            <w:r w:rsidRPr="002167F7">
              <w:rPr>
                <w:rFonts w:ascii="Verdana" w:eastAsiaTheme="minorEastAsia" w:hAnsi="Verdana" w:cs="Arial"/>
                <w:spacing w:val="1"/>
                <w:lang w:val="es-ES" w:eastAsia="es-CO"/>
              </w:rPr>
              <w:t xml:space="preserve"> la </w:t>
            </w:r>
            <w:r w:rsidRPr="002167F7">
              <w:rPr>
                <w:rFonts w:ascii="Verdana" w:eastAsiaTheme="minorEastAsia" w:hAnsi="Verdana" w:cs="Arial"/>
                <w:lang w:val="es-ES" w:eastAsia="es-CO"/>
              </w:rPr>
              <w:t xml:space="preserve">selección abreviada, 3) el concurso de méritos, 4) la mínima cuantía y 5) la contratación directa. </w:t>
            </w:r>
          </w:p>
          <w:p w14:paraId="0EFAE32B" w14:textId="77777777" w:rsidR="0047433B" w:rsidRDefault="0047433B" w:rsidP="0067658D">
            <w:pPr>
              <w:spacing w:after="120" w:line="276" w:lineRule="auto"/>
              <w:ind w:firstLine="709"/>
              <w:jc w:val="both"/>
              <w:rPr>
                <w:rFonts w:ascii="Verdana" w:eastAsia="Arial" w:hAnsi="Verdana" w:cs="Arial"/>
                <w:lang w:val="es-ES"/>
              </w:rPr>
            </w:pPr>
            <w:r>
              <w:rPr>
                <w:rFonts w:ascii="Verdana" w:eastAsia="Calibri" w:hAnsi="Verdana" w:cs="Arial"/>
                <w:lang w:val="es-ES" w:eastAsia="es-MX"/>
              </w:rPr>
              <w:t xml:space="preserve">En términos generales, </w:t>
            </w:r>
            <w:r w:rsidRPr="002167F7">
              <w:rPr>
                <w:rFonts w:ascii="Verdana" w:eastAsia="Arial" w:hAnsi="Verdana" w:cs="Arial"/>
                <w:lang w:val="es-ES"/>
              </w:rPr>
              <w:t xml:space="preserve">la licitación pública, la selección abreviada, el concurso de méritos y la mínima cuantía son modalidades de selección competitivas o abiertas a competencia, ya que en ellas tiene lugar la participación de varios proponentes en una fase pública de presentación de ofertas. Esto permite que todas las personas interesadas concurran al proceso en igualdad de condiciones y compitan en el mismo. En contraste, la modalidad de selección de contratación directa no es competitiva, es decir, que no es abierta a los proponentes para que los interesados presenten sus ofertas. En esta, es la entidad la que determina, de forma directa, la persona que puede </w:t>
            </w:r>
            <w:r w:rsidRPr="002167F7">
              <w:rPr>
                <w:rFonts w:ascii="Verdana" w:eastAsia="Arial" w:hAnsi="Verdana" w:cs="Arial"/>
                <w:lang w:val="es-ES"/>
              </w:rPr>
              <w:lastRenderedPageBreak/>
              <w:t>participar y que será seleccionada.</w:t>
            </w:r>
            <w:r>
              <w:rPr>
                <w:rFonts w:ascii="Verdana" w:eastAsia="Arial" w:hAnsi="Verdana" w:cs="Arial"/>
                <w:lang w:val="es-ES"/>
              </w:rPr>
              <w:t xml:space="preserve"> </w:t>
            </w:r>
            <w:r w:rsidRPr="002167F7">
              <w:rPr>
                <w:rFonts w:ascii="Verdana" w:eastAsia="Arial" w:hAnsi="Verdana" w:cs="Arial"/>
                <w:lang w:val="es-ES"/>
              </w:rPr>
              <w:t>En relación con</w:t>
            </w:r>
            <w:r>
              <w:rPr>
                <w:rFonts w:ascii="Verdana" w:eastAsia="Arial" w:hAnsi="Verdana" w:cs="Arial"/>
                <w:lang w:val="es-ES"/>
              </w:rPr>
              <w:t xml:space="preserve"> esta última</w:t>
            </w:r>
            <w:r w:rsidRPr="002167F7">
              <w:rPr>
                <w:rFonts w:ascii="Verdana" w:eastAsia="Arial" w:hAnsi="Verdana" w:cs="Arial"/>
                <w:lang w:val="es-ES"/>
              </w:rPr>
              <w:t xml:space="preserve">, es importante señalar que </w:t>
            </w:r>
            <w:r w:rsidRPr="002167F7">
              <w:rPr>
                <w:rFonts w:ascii="Verdana" w:eastAsia="Calibri" w:hAnsi="Verdana" w:cs="Arial"/>
                <w:lang w:val="es-ES" w:eastAsia="es-MX"/>
              </w:rPr>
              <w:t>es una excepción al principio de libre concurrencia y competencia</w:t>
            </w:r>
            <w:r>
              <w:rPr>
                <w:rFonts w:ascii="Verdana" w:eastAsia="Calibri" w:hAnsi="Verdana" w:cs="Arial"/>
                <w:lang w:val="es-ES" w:eastAsia="es-MX"/>
              </w:rPr>
              <w:t xml:space="preserve"> por lo que </w:t>
            </w:r>
            <w:r w:rsidRPr="002167F7">
              <w:rPr>
                <w:rFonts w:ascii="Verdana" w:eastAsia="Arial" w:hAnsi="Verdana" w:cs="Arial"/>
                <w:lang w:val="es-ES"/>
              </w:rPr>
              <w:t>es de aplicación restrictiva, es decir, solo procede por las causales señaladas e</w:t>
            </w:r>
            <w:r>
              <w:rPr>
                <w:rFonts w:ascii="Verdana" w:eastAsia="Arial" w:hAnsi="Verdana" w:cs="Arial"/>
                <w:lang w:val="es-ES"/>
              </w:rPr>
              <w:t>x</w:t>
            </w:r>
            <w:r w:rsidRPr="002167F7">
              <w:rPr>
                <w:rFonts w:ascii="Verdana" w:eastAsia="Arial" w:hAnsi="Verdana" w:cs="Arial"/>
                <w:lang w:val="es-ES"/>
              </w:rPr>
              <w:t>presamente en la ley.</w:t>
            </w:r>
          </w:p>
          <w:p w14:paraId="0A45E837" w14:textId="24126271" w:rsidR="00D319EA" w:rsidRPr="00D319EA" w:rsidRDefault="00D319EA" w:rsidP="00D319EA">
            <w:pPr>
              <w:spacing w:after="120" w:line="276" w:lineRule="auto"/>
              <w:ind w:firstLine="709"/>
              <w:jc w:val="both"/>
              <w:rPr>
                <w:rFonts w:ascii="Verdana" w:eastAsia="Arial" w:hAnsi="Verdana" w:cs="Arial"/>
                <w:lang w:val="es-ES"/>
              </w:rPr>
            </w:pPr>
            <w:r>
              <w:rPr>
                <w:rFonts w:ascii="Verdana" w:eastAsia="Arial" w:hAnsi="Verdana" w:cs="Arial"/>
                <w:lang w:val="es-ES"/>
              </w:rPr>
              <w:t xml:space="preserve">Teniendo en cuenta </w:t>
            </w:r>
            <w:r w:rsidR="003D31D0">
              <w:rPr>
                <w:rFonts w:ascii="Verdana" w:eastAsia="Arial" w:hAnsi="Verdana" w:cs="Arial"/>
                <w:lang w:val="es-ES"/>
              </w:rPr>
              <w:t>las anteriores consideraciones</w:t>
            </w:r>
            <w:r>
              <w:rPr>
                <w:rFonts w:ascii="Verdana" w:eastAsia="Arial" w:hAnsi="Verdana" w:cs="Arial"/>
                <w:lang w:val="es-ES"/>
              </w:rPr>
              <w:t xml:space="preserve">, es importante resaltar </w:t>
            </w:r>
            <w:proofErr w:type="gramStart"/>
            <w:r>
              <w:rPr>
                <w:rFonts w:ascii="Verdana" w:eastAsia="Arial" w:hAnsi="Verdana" w:cs="Arial"/>
                <w:lang w:val="es-ES"/>
              </w:rPr>
              <w:t>que</w:t>
            </w:r>
            <w:proofErr w:type="gramEnd"/>
            <w:r>
              <w:rPr>
                <w:rFonts w:ascii="Verdana" w:eastAsia="Arial" w:hAnsi="Verdana" w:cs="Arial"/>
                <w:lang w:val="es-ES"/>
              </w:rPr>
              <w:t xml:space="preserve"> e</w:t>
            </w:r>
            <w:r w:rsidRPr="00D319EA">
              <w:rPr>
                <w:rFonts w:ascii="Verdana" w:eastAsia="Arial" w:hAnsi="Verdana" w:cs="Arial"/>
                <w:lang w:val="es-ES"/>
              </w:rPr>
              <w:t>n la modalidad de contratación directa, el principio de selección objetiva no se evidencia a través de la invitación pública ni de la pluralidad de ofertas —que son mecanismos propios de las modalidades competitivas—, sino a través de un procedimiento distinto que se sustenta en la debida planeación. El procedimiento que debe emplearse para garantizar y evidenciar la selección objetiva en la contratación directa comprende los siguientes elementos:</w:t>
            </w:r>
          </w:p>
          <w:p w14:paraId="36EA3077" w14:textId="7AD21876" w:rsidR="00D319EA" w:rsidRPr="00D319EA" w:rsidRDefault="00D319EA" w:rsidP="00D319EA">
            <w:pPr>
              <w:spacing w:after="120" w:line="276" w:lineRule="auto"/>
              <w:ind w:firstLine="709"/>
              <w:jc w:val="both"/>
              <w:rPr>
                <w:rFonts w:ascii="Verdana" w:eastAsia="Arial" w:hAnsi="Verdana" w:cs="Arial"/>
                <w:lang w:val="es-ES"/>
              </w:rPr>
            </w:pPr>
            <w:r>
              <w:rPr>
                <w:rFonts w:ascii="Verdana" w:eastAsia="Arial" w:hAnsi="Verdana" w:cs="Arial"/>
                <w:lang w:val="es-ES"/>
              </w:rPr>
              <w:t>En primer lugar, l</w:t>
            </w:r>
            <w:r w:rsidRPr="00D319EA">
              <w:rPr>
                <w:rFonts w:ascii="Verdana" w:eastAsia="Arial" w:hAnsi="Verdana" w:cs="Arial"/>
                <w:lang w:val="es-ES"/>
              </w:rPr>
              <w:t>a entidad debe elaborar los estudios previos que identifiquen la necesidad a satisfacer, el objeto contractual, el valor estimado y la justificación de la modalidad de contratación directa aplicable. Estos estudios son el instrumento principal en el que se materializa y evidencia la objetividad de la escogencia, pues dejan registrada la motivación de la decisión y permiten su revisión y control (Conceptos C-564 de 2025, C-237 de 2025 y C-054 de 2026).</w:t>
            </w:r>
          </w:p>
          <w:p w14:paraId="51521EB2" w14:textId="285DAA3B" w:rsidR="00D319EA" w:rsidRPr="00D319EA" w:rsidRDefault="00D319EA" w:rsidP="00D319EA">
            <w:pPr>
              <w:spacing w:after="120" w:line="276" w:lineRule="auto"/>
              <w:ind w:firstLine="709"/>
              <w:jc w:val="both"/>
              <w:rPr>
                <w:rFonts w:ascii="Verdana" w:eastAsia="Arial" w:hAnsi="Verdana" w:cs="Arial"/>
                <w:lang w:val="es-ES"/>
              </w:rPr>
            </w:pPr>
            <w:r>
              <w:rPr>
                <w:rFonts w:ascii="Verdana" w:eastAsia="Arial" w:hAnsi="Verdana" w:cs="Arial"/>
                <w:lang w:val="es-ES"/>
              </w:rPr>
              <w:t>Subsiguientemente, c</w:t>
            </w:r>
            <w:r w:rsidRPr="00D319EA">
              <w:rPr>
                <w:rFonts w:ascii="Verdana" w:eastAsia="Arial" w:hAnsi="Verdana" w:cs="Arial"/>
                <w:lang w:val="es-ES"/>
              </w:rPr>
              <w:t>onforme al artículo 2.2.1.1.1.6.1 del Decreto 1082 de 2015, la entidad debe realizar el análisis del sector y del mercado, que permite verificar que el valor del contrato corresponde a las condiciones del mercado y que es asumible con el presupuesto disponible (Conceptos C-564 de 2025 y C-722 de 2025).</w:t>
            </w:r>
          </w:p>
          <w:p w14:paraId="567067DB" w14:textId="1F87B4E1" w:rsidR="00D319EA" w:rsidRPr="00D319EA" w:rsidRDefault="00D319EA" w:rsidP="00D319EA">
            <w:pPr>
              <w:spacing w:after="120" w:line="276" w:lineRule="auto"/>
              <w:ind w:firstLine="709"/>
              <w:jc w:val="both"/>
              <w:rPr>
                <w:rFonts w:ascii="Verdana" w:eastAsia="Arial" w:hAnsi="Verdana" w:cs="Arial"/>
                <w:lang w:val="es-ES"/>
              </w:rPr>
            </w:pPr>
            <w:r>
              <w:rPr>
                <w:rFonts w:ascii="Verdana" w:eastAsia="Arial" w:hAnsi="Verdana" w:cs="Arial"/>
                <w:lang w:val="es-ES"/>
              </w:rPr>
              <w:t>Posteriormente, l</w:t>
            </w:r>
            <w:r w:rsidRPr="00D319EA">
              <w:rPr>
                <w:rFonts w:ascii="Verdana" w:eastAsia="Arial" w:hAnsi="Verdana" w:cs="Arial"/>
                <w:lang w:val="es-ES"/>
              </w:rPr>
              <w:t>a entidad debe verificar y documentar que el contratista escogido reúne las condiciones de idoneidad, experiencia y capacidad necesarias para ejecutar el objeto contractual. Tratándose de contratos de prestación de servicios profesionales, la nominación de una persona determinada es admisible siempre que se fundamente en criterios previamente definidos y verificables, y no en factores subjetivos (Conceptos C-024 de 2025 y C-054 de 2026).</w:t>
            </w:r>
          </w:p>
          <w:p w14:paraId="314D2A8E" w14:textId="063E68D8" w:rsidR="00D319EA" w:rsidRPr="00D319EA" w:rsidRDefault="00D319EA" w:rsidP="00D319EA">
            <w:pPr>
              <w:spacing w:after="120" w:line="276" w:lineRule="auto"/>
              <w:ind w:firstLine="709"/>
              <w:jc w:val="both"/>
              <w:rPr>
                <w:rFonts w:ascii="Verdana" w:eastAsia="Arial" w:hAnsi="Verdana" w:cs="Arial"/>
                <w:lang w:val="es-ES"/>
              </w:rPr>
            </w:pPr>
            <w:r w:rsidRPr="00D319EA">
              <w:rPr>
                <w:rFonts w:ascii="Verdana" w:eastAsia="Arial" w:hAnsi="Verdana" w:cs="Arial"/>
                <w:lang w:val="es-ES"/>
              </w:rPr>
              <w:t xml:space="preserve">Cuando la causal lo requiera, la entidad debe expedir el acto administrativo que justifica la contratación directa, conforme al artículo 2.2.1.2.1.4.1 del Decreto 1082 de 2015, en el que se motiva la escogencia y se valora, entre otros aspectos, la correspondencia del valor del contrato con las condiciones del mercado. Se exceptúan de este acto los contratos de </w:t>
            </w:r>
            <w:r w:rsidRPr="00D319EA">
              <w:rPr>
                <w:rFonts w:ascii="Verdana" w:eastAsia="Arial" w:hAnsi="Verdana" w:cs="Arial"/>
                <w:lang w:val="es-ES"/>
              </w:rPr>
              <w:lastRenderedPageBreak/>
              <w:t>prestación de servicios profesionales y de apoyo a la gestión, así como los contratos y convenios interadministrativos y los demás casos previstos en la norma.</w:t>
            </w:r>
          </w:p>
          <w:p w14:paraId="40329144" w14:textId="786655EF" w:rsidR="0047433B" w:rsidRPr="00AB35A6" w:rsidRDefault="00D319EA" w:rsidP="00D319EA">
            <w:pPr>
              <w:spacing w:after="120" w:line="276" w:lineRule="auto"/>
              <w:ind w:firstLine="709"/>
              <w:jc w:val="both"/>
              <w:rPr>
                <w:rFonts w:ascii="Verdana" w:eastAsia="Arial" w:hAnsi="Verdana" w:cs="Arial"/>
                <w:lang w:val="es-ES"/>
              </w:rPr>
            </w:pPr>
            <w:r w:rsidRPr="00D319EA">
              <w:rPr>
                <w:rFonts w:ascii="Verdana" w:eastAsia="Arial" w:hAnsi="Verdana" w:cs="Arial"/>
                <w:lang w:val="es-ES"/>
              </w:rPr>
              <w:t>En síntesis, mientras que en las modalidades competitivas la selección objetiva se evidencia mediante la invitación pública y la comparación de una pluralidad de ofertas, en la contratación directa se evidencia mediante la motivación documentada en los estudios previos, el análisis del sector y la verificación de la idoneidad del contratista. La contratación directa es una excepción a la libre concurrencia, pero no una excepción al principio de selección objetiva, cuyo cumplimiento sigue siendo exigible por vías propias de esta modalidad no competitiva.</w:t>
            </w:r>
          </w:p>
        </w:tc>
      </w:tr>
    </w:tbl>
    <w:p w14:paraId="492A87C3" w14:textId="77777777" w:rsidR="0047433B" w:rsidRPr="002167F7" w:rsidRDefault="0047433B" w:rsidP="0047433B">
      <w:pPr>
        <w:tabs>
          <w:tab w:val="left" w:pos="142"/>
          <w:tab w:val="left" w:pos="284"/>
        </w:tabs>
        <w:spacing w:after="0" w:line="276" w:lineRule="auto"/>
        <w:jc w:val="both"/>
        <w:rPr>
          <w:rFonts w:ascii="Verdana" w:eastAsia="Century Gothic" w:hAnsi="Verdana" w:cs="Century Gothic"/>
          <w:b/>
          <w:bCs/>
          <w:lang w:val="es-ES"/>
        </w:rPr>
      </w:pPr>
    </w:p>
    <w:p w14:paraId="7FA72FA8" w14:textId="77777777" w:rsidR="0047433B" w:rsidRPr="002167F7" w:rsidRDefault="0047433B" w:rsidP="0047433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167F7">
        <w:rPr>
          <w:rFonts w:ascii="Verdana" w:eastAsia="Century Gothic" w:hAnsi="Verdana" w:cs="Century Gothic"/>
          <w:b/>
          <w:bCs/>
        </w:rPr>
        <w:t>Razones de la respuesta:</w:t>
      </w:r>
    </w:p>
    <w:p w14:paraId="4BDC4ED8" w14:textId="77777777" w:rsidR="0047433B" w:rsidRPr="002167F7" w:rsidRDefault="0047433B" w:rsidP="0047433B">
      <w:pPr>
        <w:spacing w:after="0" w:line="276" w:lineRule="auto"/>
        <w:jc w:val="both"/>
        <w:rPr>
          <w:rFonts w:ascii="Verdana" w:eastAsia="Calibri" w:hAnsi="Verdana" w:cs="Arial"/>
          <w:color w:val="7030A0"/>
          <w:lang w:val="es-ES"/>
        </w:rPr>
      </w:pPr>
    </w:p>
    <w:p w14:paraId="5DC99666" w14:textId="77777777" w:rsidR="0047433B" w:rsidRPr="002167F7" w:rsidRDefault="0047433B" w:rsidP="0047433B">
      <w:pPr>
        <w:spacing w:after="0" w:line="276" w:lineRule="auto"/>
        <w:jc w:val="both"/>
        <w:rPr>
          <w:rFonts w:ascii="Verdana" w:eastAsia="Calibri" w:hAnsi="Verdana" w:cs="Arial"/>
          <w:lang w:val="es-ES"/>
        </w:rPr>
      </w:pPr>
      <w:r w:rsidRPr="002167F7">
        <w:rPr>
          <w:rFonts w:ascii="Verdana" w:eastAsia="Calibri" w:hAnsi="Verdana" w:cs="Arial"/>
          <w:lang w:val="es-ES"/>
        </w:rPr>
        <w:t xml:space="preserve">Lo anterior se sustenta en las siguientes consideraciones: </w:t>
      </w:r>
    </w:p>
    <w:p w14:paraId="199BB068" w14:textId="77777777" w:rsidR="0047433B" w:rsidRPr="002167F7" w:rsidRDefault="0047433B" w:rsidP="0047433B">
      <w:pPr>
        <w:spacing w:after="0" w:line="276" w:lineRule="auto"/>
        <w:jc w:val="both"/>
        <w:rPr>
          <w:rFonts w:ascii="Verdana" w:eastAsia="Calibri" w:hAnsi="Verdana" w:cs="Arial"/>
          <w:lang w:val="es-ES"/>
        </w:rPr>
      </w:pPr>
    </w:p>
    <w:p w14:paraId="04CB4819" w14:textId="77777777" w:rsidR="0047433B" w:rsidRPr="002167F7" w:rsidRDefault="0047433B" w:rsidP="0047433B">
      <w:pPr>
        <w:spacing w:after="120" w:line="276" w:lineRule="auto"/>
        <w:ind w:right="176"/>
        <w:jc w:val="both"/>
        <w:rPr>
          <w:rFonts w:ascii="Verdana" w:eastAsia="Calibri" w:hAnsi="Verdana" w:cs="Arial"/>
          <w:lang w:val="es-ES"/>
        </w:rPr>
      </w:pPr>
      <w:r w:rsidRPr="002167F7">
        <w:rPr>
          <w:rFonts w:ascii="Verdana" w:eastAsia="Calibri" w:hAnsi="Verdana" w:cs="Arial"/>
          <w:lang w:val="es-ES"/>
        </w:rPr>
        <w:t>i</w:t>
      </w:r>
      <w:r>
        <w:rPr>
          <w:rFonts w:ascii="Verdana" w:eastAsia="Calibri" w:hAnsi="Verdana" w:cs="Arial"/>
          <w:lang w:val="es-ES"/>
        </w:rPr>
        <w:t>.</w:t>
      </w:r>
      <w:r w:rsidRPr="002167F7">
        <w:rPr>
          <w:rFonts w:ascii="Verdana" w:eastAsia="Calibri" w:hAnsi="Verdana" w:cs="Arial"/>
          <w:lang w:val="es-ES"/>
        </w:rPr>
        <w:t xml:space="preserve"> La contratación pública comprende, entre otros aspectos, la toma de decisiones del gasto que las entidades realizan para la ejecución de los recursos públicos asignados mediante la adquisición de bienes, obras o servicios que satisfacen sus necesidades. Para las adquisiciones, las entidades estructuran procedimientos de contratación mediante las modalidades de selección previamente definidas en el Estatuto General de Contratación de la Administración Pública </w:t>
      </w:r>
      <w:r w:rsidRPr="002167F7">
        <w:rPr>
          <w:rFonts w:ascii="Verdana" w:eastAsiaTheme="minorEastAsia" w:hAnsi="Verdana" w:cs="Arial"/>
          <w:lang w:val="es-ES" w:eastAsia="es-CO"/>
        </w:rPr>
        <w:t>–en adelante EGCAP–</w:t>
      </w:r>
      <w:r w:rsidRPr="002167F7">
        <w:rPr>
          <w:rFonts w:ascii="Verdana" w:eastAsia="Calibri" w:hAnsi="Verdana" w:cs="Arial"/>
          <w:lang w:val="es-ES"/>
        </w:rPr>
        <w:t>. En esta medida, conforme el artículo 29 de la Constitución Política, los procesos de selección son una manifestación de la legalidad de las formas de cada proceso en sede administrativa</w:t>
      </w:r>
      <w:r w:rsidRPr="002167F7">
        <w:rPr>
          <w:rFonts w:ascii="Verdana" w:eastAsia="Calibri" w:hAnsi="Verdana" w:cs="Arial"/>
          <w:vertAlign w:val="superscript"/>
          <w:lang w:val="es-ES"/>
        </w:rPr>
        <w:footnoteReference w:id="2"/>
      </w:r>
      <w:r w:rsidRPr="002167F7">
        <w:rPr>
          <w:rFonts w:ascii="Verdana" w:eastAsia="Calibri" w:hAnsi="Verdana" w:cs="Arial"/>
          <w:lang w:val="es-ES"/>
        </w:rPr>
        <w:t>.</w:t>
      </w:r>
    </w:p>
    <w:p w14:paraId="0599910C" w14:textId="77777777" w:rsidR="0047433B" w:rsidRPr="002167F7" w:rsidRDefault="0047433B" w:rsidP="0047433B">
      <w:pPr>
        <w:spacing w:before="120" w:after="120" w:line="276" w:lineRule="auto"/>
        <w:ind w:right="176" w:firstLine="708"/>
        <w:jc w:val="both"/>
        <w:rPr>
          <w:rFonts w:ascii="Verdana" w:eastAsiaTheme="minorEastAsia" w:hAnsi="Verdana" w:cs="Arial"/>
          <w:lang w:val="es-ES" w:eastAsia="es-CO"/>
        </w:rPr>
      </w:pPr>
      <w:r w:rsidRPr="002167F7">
        <w:rPr>
          <w:rFonts w:ascii="Verdana" w:eastAsiaTheme="minorEastAsia" w:hAnsi="Verdana" w:cs="Arial"/>
          <w:spacing w:val="-1"/>
          <w:lang w:val="es-ES" w:eastAsia="es-CO"/>
        </w:rPr>
        <w:t>Inicialmente,</w:t>
      </w:r>
      <w:r w:rsidRPr="002167F7">
        <w:rPr>
          <w:rFonts w:ascii="Verdana" w:eastAsiaTheme="minorEastAsia" w:hAnsi="Verdana" w:cs="Arial"/>
          <w:spacing w:val="-14"/>
          <w:lang w:val="es-ES" w:eastAsia="es-CO"/>
        </w:rPr>
        <w:t xml:space="preserve"> </w:t>
      </w:r>
      <w:r w:rsidRPr="002167F7">
        <w:rPr>
          <w:rFonts w:ascii="Verdana" w:eastAsiaTheme="minorEastAsia" w:hAnsi="Verdana" w:cs="Arial"/>
          <w:lang w:val="es-ES" w:eastAsia="es-CO"/>
        </w:rPr>
        <w:t>la</w:t>
      </w:r>
      <w:r w:rsidRPr="002167F7">
        <w:rPr>
          <w:rFonts w:ascii="Verdana" w:eastAsiaTheme="minorEastAsia" w:hAnsi="Verdana" w:cs="Arial"/>
          <w:spacing w:val="-15"/>
          <w:lang w:val="es-ES" w:eastAsia="es-CO"/>
        </w:rPr>
        <w:t xml:space="preserve"> </w:t>
      </w:r>
      <w:r w:rsidRPr="002167F7">
        <w:rPr>
          <w:rFonts w:ascii="Verdana" w:eastAsiaTheme="minorEastAsia" w:hAnsi="Verdana" w:cs="Arial"/>
          <w:lang w:val="es-ES" w:eastAsia="es-CO"/>
        </w:rPr>
        <w:t>Ley</w:t>
      </w:r>
      <w:r w:rsidRPr="002167F7">
        <w:rPr>
          <w:rFonts w:ascii="Verdana" w:eastAsiaTheme="minorEastAsia" w:hAnsi="Verdana" w:cs="Arial"/>
          <w:spacing w:val="-15"/>
          <w:lang w:val="es-ES" w:eastAsia="es-CO"/>
        </w:rPr>
        <w:t xml:space="preserve"> </w:t>
      </w:r>
      <w:r w:rsidRPr="002167F7">
        <w:rPr>
          <w:rFonts w:ascii="Verdana" w:eastAsiaTheme="minorEastAsia" w:hAnsi="Verdana" w:cs="Arial"/>
          <w:lang w:val="es-ES" w:eastAsia="es-CO"/>
        </w:rPr>
        <w:t>80</w:t>
      </w:r>
      <w:r w:rsidRPr="002167F7">
        <w:rPr>
          <w:rFonts w:ascii="Verdana" w:eastAsiaTheme="minorEastAsia" w:hAnsi="Verdana" w:cs="Arial"/>
          <w:spacing w:val="-15"/>
          <w:lang w:val="es-ES" w:eastAsia="es-CO"/>
        </w:rPr>
        <w:t xml:space="preserve"> </w:t>
      </w:r>
      <w:r w:rsidRPr="002167F7">
        <w:rPr>
          <w:rFonts w:ascii="Verdana" w:eastAsiaTheme="minorEastAsia" w:hAnsi="Verdana" w:cs="Arial"/>
          <w:lang w:val="es-ES" w:eastAsia="es-CO"/>
        </w:rPr>
        <w:t>de</w:t>
      </w:r>
      <w:r w:rsidRPr="002167F7">
        <w:rPr>
          <w:rFonts w:ascii="Verdana" w:eastAsiaTheme="minorEastAsia" w:hAnsi="Verdana" w:cs="Arial"/>
          <w:spacing w:val="-15"/>
          <w:lang w:val="es-ES" w:eastAsia="es-CO"/>
        </w:rPr>
        <w:t xml:space="preserve"> </w:t>
      </w:r>
      <w:r w:rsidRPr="002167F7">
        <w:rPr>
          <w:rFonts w:ascii="Verdana" w:eastAsiaTheme="minorEastAsia" w:hAnsi="Verdana" w:cs="Arial"/>
          <w:lang w:val="es-ES" w:eastAsia="es-CO"/>
        </w:rPr>
        <w:t>1993</w:t>
      </w:r>
      <w:r w:rsidRPr="002167F7">
        <w:rPr>
          <w:rFonts w:ascii="Verdana" w:eastAsiaTheme="minorEastAsia" w:hAnsi="Verdana" w:cs="Arial"/>
          <w:spacing w:val="-15"/>
          <w:lang w:val="es-ES" w:eastAsia="es-CO"/>
        </w:rPr>
        <w:t xml:space="preserve"> </w:t>
      </w:r>
      <w:r w:rsidRPr="002167F7">
        <w:rPr>
          <w:rFonts w:ascii="Verdana" w:eastAsiaTheme="minorEastAsia" w:hAnsi="Verdana" w:cs="Arial"/>
          <w:lang w:val="es-ES" w:eastAsia="es-CO"/>
        </w:rPr>
        <w:t>estableció</w:t>
      </w:r>
      <w:r w:rsidRPr="002167F7">
        <w:rPr>
          <w:rFonts w:ascii="Verdana" w:eastAsiaTheme="minorEastAsia" w:hAnsi="Verdana" w:cs="Arial"/>
          <w:spacing w:val="-14"/>
          <w:lang w:val="es-ES" w:eastAsia="es-CO"/>
        </w:rPr>
        <w:t xml:space="preserve"> </w:t>
      </w:r>
      <w:r w:rsidRPr="002167F7">
        <w:rPr>
          <w:rFonts w:ascii="Verdana" w:eastAsiaTheme="minorEastAsia" w:hAnsi="Verdana" w:cs="Arial"/>
          <w:lang w:val="es-ES" w:eastAsia="es-CO"/>
        </w:rPr>
        <w:t>tres</w:t>
      </w:r>
      <w:r w:rsidRPr="002167F7">
        <w:rPr>
          <w:rFonts w:ascii="Verdana" w:eastAsiaTheme="minorEastAsia" w:hAnsi="Verdana" w:cs="Arial"/>
          <w:spacing w:val="-14"/>
          <w:lang w:val="es-ES" w:eastAsia="es-CO"/>
        </w:rPr>
        <w:t xml:space="preserve"> </w:t>
      </w:r>
      <w:r w:rsidRPr="002167F7">
        <w:rPr>
          <w:rFonts w:ascii="Verdana" w:eastAsiaTheme="minorEastAsia" w:hAnsi="Verdana" w:cs="Arial"/>
          <w:lang w:val="es-ES" w:eastAsia="es-CO"/>
        </w:rPr>
        <w:t>(3)</w:t>
      </w:r>
      <w:r w:rsidRPr="002167F7">
        <w:rPr>
          <w:rFonts w:ascii="Verdana" w:eastAsiaTheme="minorEastAsia" w:hAnsi="Verdana" w:cs="Arial"/>
          <w:spacing w:val="-15"/>
          <w:lang w:val="es-ES" w:eastAsia="es-CO"/>
        </w:rPr>
        <w:t xml:space="preserve"> </w:t>
      </w:r>
      <w:r w:rsidRPr="002167F7">
        <w:rPr>
          <w:rFonts w:ascii="Verdana" w:eastAsiaTheme="minorEastAsia" w:hAnsi="Verdana" w:cs="Arial"/>
          <w:lang w:val="es-ES" w:eastAsia="es-CO"/>
        </w:rPr>
        <w:t>procedimientos</w:t>
      </w:r>
      <w:r w:rsidRPr="002167F7">
        <w:rPr>
          <w:rFonts w:ascii="Verdana" w:eastAsiaTheme="minorEastAsia" w:hAnsi="Verdana" w:cs="Arial"/>
          <w:spacing w:val="-14"/>
          <w:lang w:val="es-ES" w:eastAsia="es-CO"/>
        </w:rPr>
        <w:t xml:space="preserve"> </w:t>
      </w:r>
      <w:r w:rsidRPr="002167F7">
        <w:rPr>
          <w:rFonts w:ascii="Verdana" w:eastAsiaTheme="minorEastAsia" w:hAnsi="Verdana" w:cs="Arial"/>
          <w:lang w:val="es-ES" w:eastAsia="es-CO"/>
        </w:rPr>
        <w:t>de</w:t>
      </w:r>
      <w:r w:rsidRPr="002167F7">
        <w:rPr>
          <w:rFonts w:ascii="Verdana" w:eastAsiaTheme="minorEastAsia" w:hAnsi="Verdana" w:cs="Arial"/>
          <w:spacing w:val="-15"/>
          <w:lang w:val="es-ES" w:eastAsia="es-CO"/>
        </w:rPr>
        <w:t xml:space="preserve"> </w:t>
      </w:r>
      <w:r w:rsidRPr="002167F7">
        <w:rPr>
          <w:rFonts w:ascii="Verdana" w:eastAsiaTheme="minorEastAsia" w:hAnsi="Verdana" w:cs="Arial"/>
          <w:lang w:val="es-ES" w:eastAsia="es-CO"/>
        </w:rPr>
        <w:t>selección:</w:t>
      </w:r>
      <w:r w:rsidRPr="002167F7">
        <w:rPr>
          <w:rFonts w:ascii="Verdana" w:eastAsiaTheme="minorEastAsia" w:hAnsi="Verdana" w:cs="Arial"/>
          <w:spacing w:val="-15"/>
          <w:lang w:val="es-ES" w:eastAsia="es-CO"/>
        </w:rPr>
        <w:t xml:space="preserve"> </w:t>
      </w:r>
      <w:r w:rsidRPr="002167F7">
        <w:rPr>
          <w:rFonts w:ascii="Verdana" w:eastAsiaTheme="minorEastAsia" w:hAnsi="Verdana" w:cs="Arial"/>
          <w:lang w:val="es-ES" w:eastAsia="es-CO"/>
        </w:rPr>
        <w:t>i)</w:t>
      </w:r>
      <w:r w:rsidRPr="002167F7">
        <w:rPr>
          <w:rFonts w:ascii="Verdana" w:eastAsiaTheme="minorEastAsia" w:hAnsi="Verdana" w:cs="Arial"/>
          <w:spacing w:val="-16"/>
          <w:lang w:val="es-ES" w:eastAsia="es-CO"/>
        </w:rPr>
        <w:t xml:space="preserve"> </w:t>
      </w:r>
      <w:r w:rsidRPr="002167F7">
        <w:rPr>
          <w:rFonts w:ascii="Verdana" w:eastAsiaTheme="minorEastAsia" w:hAnsi="Verdana" w:cs="Arial"/>
          <w:lang w:val="es-ES" w:eastAsia="es-CO"/>
        </w:rPr>
        <w:t xml:space="preserve">licitación o concurso público, </w:t>
      </w:r>
      <w:proofErr w:type="spellStart"/>
      <w:r w:rsidRPr="002167F7">
        <w:rPr>
          <w:rFonts w:ascii="Verdana" w:eastAsiaTheme="minorEastAsia" w:hAnsi="Verdana" w:cs="Arial"/>
          <w:lang w:val="es-ES" w:eastAsia="es-CO"/>
        </w:rPr>
        <w:t>ii</w:t>
      </w:r>
      <w:proofErr w:type="spellEnd"/>
      <w:r w:rsidRPr="002167F7">
        <w:rPr>
          <w:rFonts w:ascii="Verdana" w:eastAsiaTheme="minorEastAsia" w:hAnsi="Verdana" w:cs="Arial"/>
          <w:lang w:val="es-ES" w:eastAsia="es-CO"/>
        </w:rPr>
        <w:t xml:space="preserve">) contratación sin formalidades plenas y </w:t>
      </w:r>
      <w:proofErr w:type="spellStart"/>
      <w:r w:rsidRPr="002167F7">
        <w:rPr>
          <w:rFonts w:ascii="Verdana" w:eastAsiaTheme="minorEastAsia" w:hAnsi="Verdana" w:cs="Arial"/>
          <w:lang w:val="es-ES" w:eastAsia="es-CO"/>
        </w:rPr>
        <w:t>iii</w:t>
      </w:r>
      <w:proofErr w:type="spellEnd"/>
      <w:r w:rsidRPr="002167F7">
        <w:rPr>
          <w:rFonts w:ascii="Verdana" w:eastAsiaTheme="minorEastAsia" w:hAnsi="Verdana" w:cs="Arial"/>
          <w:lang w:val="es-ES" w:eastAsia="es-CO"/>
        </w:rPr>
        <w:t>) contratación directa. Dentro de</w:t>
      </w:r>
      <w:r w:rsidRPr="002167F7">
        <w:rPr>
          <w:rFonts w:ascii="Verdana" w:eastAsiaTheme="minorEastAsia" w:hAnsi="Verdana" w:cs="Arial"/>
          <w:spacing w:val="1"/>
          <w:lang w:val="es-ES" w:eastAsia="es-CO"/>
        </w:rPr>
        <w:t xml:space="preserve"> </w:t>
      </w:r>
      <w:r w:rsidRPr="002167F7">
        <w:rPr>
          <w:rFonts w:ascii="Verdana" w:eastAsiaTheme="minorEastAsia" w:hAnsi="Verdana" w:cs="Arial"/>
          <w:lang w:val="es-ES" w:eastAsia="es-CO"/>
        </w:rPr>
        <w:t>este</w:t>
      </w:r>
      <w:r w:rsidRPr="002167F7">
        <w:rPr>
          <w:rFonts w:ascii="Verdana" w:eastAsiaTheme="minorEastAsia" w:hAnsi="Verdana" w:cs="Arial"/>
          <w:spacing w:val="-10"/>
          <w:lang w:val="es-ES" w:eastAsia="es-CO"/>
        </w:rPr>
        <w:t xml:space="preserve"> </w:t>
      </w:r>
      <w:r w:rsidRPr="002167F7">
        <w:rPr>
          <w:rFonts w:ascii="Verdana" w:eastAsiaTheme="minorEastAsia" w:hAnsi="Verdana" w:cs="Arial"/>
          <w:lang w:val="es-ES" w:eastAsia="es-CO"/>
        </w:rPr>
        <w:t>esquema,</w:t>
      </w:r>
      <w:r w:rsidRPr="002167F7">
        <w:rPr>
          <w:rFonts w:ascii="Verdana" w:eastAsiaTheme="minorEastAsia" w:hAnsi="Verdana" w:cs="Arial"/>
          <w:spacing w:val="-9"/>
          <w:lang w:val="es-ES" w:eastAsia="es-CO"/>
        </w:rPr>
        <w:t xml:space="preserve"> </w:t>
      </w:r>
      <w:r w:rsidRPr="002167F7">
        <w:rPr>
          <w:rFonts w:ascii="Verdana" w:eastAsiaTheme="minorEastAsia" w:hAnsi="Verdana" w:cs="Arial"/>
          <w:lang w:val="es-ES" w:eastAsia="es-CO"/>
        </w:rPr>
        <w:t>el</w:t>
      </w:r>
      <w:r w:rsidRPr="002167F7">
        <w:rPr>
          <w:rFonts w:ascii="Verdana" w:eastAsiaTheme="minorEastAsia" w:hAnsi="Verdana" w:cs="Arial"/>
          <w:spacing w:val="-10"/>
          <w:lang w:val="es-ES" w:eastAsia="es-CO"/>
        </w:rPr>
        <w:t xml:space="preserve"> </w:t>
      </w:r>
      <w:r w:rsidRPr="002167F7">
        <w:rPr>
          <w:rFonts w:ascii="Verdana" w:eastAsiaTheme="minorEastAsia" w:hAnsi="Verdana" w:cs="Arial"/>
          <w:lang w:val="es-ES" w:eastAsia="es-CO"/>
        </w:rPr>
        <w:t>primero</w:t>
      </w:r>
      <w:r w:rsidRPr="002167F7">
        <w:rPr>
          <w:rFonts w:ascii="Verdana" w:eastAsiaTheme="minorEastAsia" w:hAnsi="Verdana" w:cs="Arial"/>
          <w:spacing w:val="-9"/>
          <w:lang w:val="es-ES" w:eastAsia="es-CO"/>
        </w:rPr>
        <w:t xml:space="preserve"> </w:t>
      </w:r>
      <w:r w:rsidRPr="002167F7">
        <w:rPr>
          <w:rFonts w:ascii="Verdana" w:eastAsiaTheme="minorEastAsia" w:hAnsi="Verdana" w:cs="Arial"/>
          <w:lang w:val="es-ES" w:eastAsia="es-CO"/>
        </w:rPr>
        <w:t>era</w:t>
      </w:r>
      <w:r w:rsidRPr="002167F7">
        <w:rPr>
          <w:rFonts w:ascii="Verdana" w:eastAsiaTheme="minorEastAsia" w:hAnsi="Verdana" w:cs="Arial"/>
          <w:spacing w:val="-10"/>
          <w:lang w:val="es-ES" w:eastAsia="es-CO"/>
        </w:rPr>
        <w:t xml:space="preserve"> </w:t>
      </w:r>
      <w:r w:rsidRPr="002167F7">
        <w:rPr>
          <w:rFonts w:ascii="Verdana" w:eastAsiaTheme="minorEastAsia" w:hAnsi="Verdana" w:cs="Arial"/>
          <w:lang w:val="es-ES" w:eastAsia="es-CO"/>
        </w:rPr>
        <w:t>la</w:t>
      </w:r>
      <w:r w:rsidRPr="002167F7">
        <w:rPr>
          <w:rFonts w:ascii="Verdana" w:eastAsiaTheme="minorEastAsia" w:hAnsi="Verdana" w:cs="Arial"/>
          <w:spacing w:val="-10"/>
          <w:lang w:val="es-ES" w:eastAsia="es-CO"/>
        </w:rPr>
        <w:t xml:space="preserve"> </w:t>
      </w:r>
      <w:r w:rsidRPr="002167F7">
        <w:rPr>
          <w:rFonts w:ascii="Verdana" w:eastAsiaTheme="minorEastAsia" w:hAnsi="Verdana" w:cs="Arial"/>
          <w:lang w:val="es-ES" w:eastAsia="es-CO"/>
        </w:rPr>
        <w:t>regla</w:t>
      </w:r>
      <w:r w:rsidRPr="002167F7">
        <w:rPr>
          <w:rFonts w:ascii="Verdana" w:eastAsiaTheme="minorEastAsia" w:hAnsi="Verdana" w:cs="Arial"/>
          <w:spacing w:val="-9"/>
          <w:lang w:val="es-ES" w:eastAsia="es-CO"/>
        </w:rPr>
        <w:t xml:space="preserve"> </w:t>
      </w:r>
      <w:r w:rsidRPr="002167F7">
        <w:rPr>
          <w:rFonts w:ascii="Verdana" w:eastAsiaTheme="minorEastAsia" w:hAnsi="Verdana" w:cs="Arial"/>
          <w:lang w:val="es-ES" w:eastAsia="es-CO"/>
        </w:rPr>
        <w:t>general,</w:t>
      </w:r>
      <w:r w:rsidRPr="002167F7">
        <w:rPr>
          <w:rFonts w:ascii="Verdana" w:eastAsiaTheme="minorEastAsia" w:hAnsi="Verdana" w:cs="Arial"/>
          <w:spacing w:val="-10"/>
          <w:lang w:val="es-ES" w:eastAsia="es-CO"/>
        </w:rPr>
        <w:t xml:space="preserve"> </w:t>
      </w:r>
      <w:r w:rsidRPr="002167F7">
        <w:rPr>
          <w:rFonts w:ascii="Verdana" w:eastAsiaTheme="minorEastAsia" w:hAnsi="Verdana" w:cs="Arial"/>
          <w:lang w:val="es-ES" w:eastAsia="es-CO"/>
        </w:rPr>
        <w:t>pues</w:t>
      </w:r>
      <w:r w:rsidRPr="002167F7">
        <w:rPr>
          <w:rFonts w:ascii="Verdana" w:eastAsiaTheme="minorEastAsia" w:hAnsi="Verdana" w:cs="Arial"/>
          <w:spacing w:val="-9"/>
          <w:lang w:val="es-ES" w:eastAsia="es-CO"/>
        </w:rPr>
        <w:t xml:space="preserve"> </w:t>
      </w:r>
      <w:r w:rsidRPr="002167F7">
        <w:rPr>
          <w:rFonts w:ascii="Verdana" w:eastAsiaTheme="minorEastAsia" w:hAnsi="Verdana" w:cs="Arial"/>
          <w:lang w:val="es-ES" w:eastAsia="es-CO"/>
        </w:rPr>
        <w:t>sólo</w:t>
      </w:r>
      <w:r w:rsidRPr="002167F7">
        <w:rPr>
          <w:rFonts w:ascii="Verdana" w:eastAsiaTheme="minorEastAsia" w:hAnsi="Verdana" w:cs="Arial"/>
          <w:spacing w:val="-10"/>
          <w:lang w:val="es-ES" w:eastAsia="es-CO"/>
        </w:rPr>
        <w:t xml:space="preserve"> </w:t>
      </w:r>
      <w:r w:rsidRPr="002167F7">
        <w:rPr>
          <w:rFonts w:ascii="Verdana" w:eastAsiaTheme="minorEastAsia" w:hAnsi="Verdana" w:cs="Arial"/>
          <w:lang w:val="es-ES" w:eastAsia="es-CO"/>
        </w:rPr>
        <w:t>era</w:t>
      </w:r>
      <w:r w:rsidRPr="002167F7">
        <w:rPr>
          <w:rFonts w:ascii="Verdana" w:eastAsiaTheme="minorEastAsia" w:hAnsi="Verdana" w:cs="Arial"/>
          <w:spacing w:val="-9"/>
          <w:lang w:val="es-ES" w:eastAsia="es-CO"/>
        </w:rPr>
        <w:t xml:space="preserve"> </w:t>
      </w:r>
      <w:r w:rsidRPr="002167F7">
        <w:rPr>
          <w:rFonts w:ascii="Verdana" w:eastAsiaTheme="minorEastAsia" w:hAnsi="Verdana" w:cs="Arial"/>
          <w:lang w:val="es-ES" w:eastAsia="es-CO"/>
        </w:rPr>
        <w:t>posible</w:t>
      </w:r>
      <w:r w:rsidRPr="002167F7">
        <w:rPr>
          <w:rFonts w:ascii="Verdana" w:eastAsiaTheme="minorEastAsia" w:hAnsi="Verdana" w:cs="Arial"/>
          <w:spacing w:val="-10"/>
          <w:lang w:val="es-ES" w:eastAsia="es-CO"/>
        </w:rPr>
        <w:t xml:space="preserve"> </w:t>
      </w:r>
      <w:r w:rsidRPr="002167F7">
        <w:rPr>
          <w:rFonts w:ascii="Verdana" w:eastAsiaTheme="minorEastAsia" w:hAnsi="Verdana" w:cs="Arial"/>
          <w:lang w:val="es-ES" w:eastAsia="es-CO"/>
        </w:rPr>
        <w:t>acudir</w:t>
      </w:r>
      <w:r w:rsidRPr="002167F7">
        <w:rPr>
          <w:rFonts w:ascii="Verdana" w:eastAsiaTheme="minorEastAsia" w:hAnsi="Verdana" w:cs="Arial"/>
          <w:spacing w:val="-9"/>
          <w:lang w:val="es-ES" w:eastAsia="es-CO"/>
        </w:rPr>
        <w:t xml:space="preserve"> </w:t>
      </w:r>
      <w:r w:rsidRPr="002167F7">
        <w:rPr>
          <w:rFonts w:ascii="Verdana" w:eastAsiaTheme="minorEastAsia" w:hAnsi="Verdana" w:cs="Arial"/>
          <w:lang w:val="es-ES" w:eastAsia="es-CO"/>
        </w:rPr>
        <w:t>a</w:t>
      </w:r>
      <w:r w:rsidRPr="002167F7">
        <w:rPr>
          <w:rFonts w:ascii="Verdana" w:eastAsiaTheme="minorEastAsia" w:hAnsi="Verdana" w:cs="Arial"/>
          <w:spacing w:val="-10"/>
          <w:lang w:val="es-ES" w:eastAsia="es-CO"/>
        </w:rPr>
        <w:t xml:space="preserve"> </w:t>
      </w:r>
      <w:r w:rsidRPr="002167F7">
        <w:rPr>
          <w:rFonts w:ascii="Verdana" w:eastAsiaTheme="minorEastAsia" w:hAnsi="Verdana" w:cs="Arial"/>
          <w:lang w:val="es-ES" w:eastAsia="es-CO"/>
        </w:rPr>
        <w:t>los</w:t>
      </w:r>
      <w:r w:rsidRPr="002167F7">
        <w:rPr>
          <w:rFonts w:ascii="Verdana" w:eastAsiaTheme="minorEastAsia" w:hAnsi="Verdana" w:cs="Arial"/>
          <w:spacing w:val="-59"/>
          <w:lang w:val="es-ES" w:eastAsia="es-CO"/>
        </w:rPr>
        <w:t xml:space="preserve"> </w:t>
      </w:r>
      <w:r w:rsidRPr="002167F7">
        <w:rPr>
          <w:rFonts w:ascii="Verdana" w:eastAsiaTheme="minorEastAsia" w:hAnsi="Verdana" w:cs="Arial"/>
          <w:lang w:val="es-ES" w:eastAsia="es-CO"/>
        </w:rPr>
        <w:t xml:space="preserve">demás ante la configuración de </w:t>
      </w:r>
      <w:r w:rsidRPr="002167F7">
        <w:rPr>
          <w:rFonts w:ascii="Verdana" w:eastAsiaTheme="minorEastAsia" w:hAnsi="Verdana" w:cs="Arial"/>
          <w:lang w:val="es-ES" w:eastAsia="es-CO"/>
        </w:rPr>
        <w:lastRenderedPageBreak/>
        <w:t>causales previamente establecidas por el ordenamiento. En efecto, la</w:t>
      </w:r>
      <w:r w:rsidRPr="002167F7">
        <w:rPr>
          <w:rFonts w:ascii="Verdana" w:eastAsiaTheme="minorEastAsia" w:hAnsi="Verdana" w:cs="Arial"/>
          <w:spacing w:val="-4"/>
          <w:lang w:val="es-ES" w:eastAsia="es-CO"/>
        </w:rPr>
        <w:t xml:space="preserve"> </w:t>
      </w:r>
      <w:r w:rsidRPr="002167F7">
        <w:rPr>
          <w:rFonts w:ascii="Verdana" w:eastAsiaTheme="minorEastAsia" w:hAnsi="Verdana" w:cs="Arial"/>
          <w:lang w:val="es-ES" w:eastAsia="es-CO"/>
        </w:rPr>
        <w:t>Administración</w:t>
      </w:r>
      <w:r w:rsidRPr="002167F7">
        <w:rPr>
          <w:rFonts w:ascii="Verdana" w:eastAsiaTheme="minorEastAsia" w:hAnsi="Verdana" w:cs="Arial"/>
          <w:spacing w:val="-4"/>
          <w:lang w:val="es-ES" w:eastAsia="es-CO"/>
        </w:rPr>
        <w:t xml:space="preserve"> </w:t>
      </w:r>
      <w:r w:rsidRPr="002167F7">
        <w:rPr>
          <w:rFonts w:ascii="Verdana" w:eastAsiaTheme="minorEastAsia" w:hAnsi="Verdana" w:cs="Arial"/>
          <w:lang w:val="es-ES" w:eastAsia="es-CO"/>
        </w:rPr>
        <w:t>carecía</w:t>
      </w:r>
      <w:r w:rsidRPr="002167F7">
        <w:rPr>
          <w:rFonts w:ascii="Verdana" w:eastAsiaTheme="minorEastAsia" w:hAnsi="Verdana" w:cs="Arial"/>
          <w:spacing w:val="-4"/>
          <w:lang w:val="es-ES" w:eastAsia="es-CO"/>
        </w:rPr>
        <w:t xml:space="preserve"> </w:t>
      </w:r>
      <w:r w:rsidRPr="002167F7">
        <w:rPr>
          <w:rFonts w:ascii="Verdana" w:eastAsiaTheme="minorEastAsia" w:hAnsi="Verdana" w:cs="Arial"/>
          <w:lang w:val="es-ES" w:eastAsia="es-CO"/>
        </w:rPr>
        <w:t>de</w:t>
      </w:r>
      <w:r w:rsidRPr="002167F7">
        <w:rPr>
          <w:rFonts w:ascii="Verdana" w:eastAsiaTheme="minorEastAsia" w:hAnsi="Verdana" w:cs="Arial"/>
          <w:spacing w:val="-4"/>
          <w:lang w:val="es-ES" w:eastAsia="es-CO"/>
        </w:rPr>
        <w:t xml:space="preserve"> </w:t>
      </w:r>
      <w:r w:rsidRPr="002167F7">
        <w:rPr>
          <w:rFonts w:ascii="Verdana" w:eastAsiaTheme="minorEastAsia" w:hAnsi="Verdana" w:cs="Arial"/>
          <w:lang w:val="es-ES" w:eastAsia="es-CO"/>
        </w:rPr>
        <w:t>discrecionalidad</w:t>
      </w:r>
      <w:r w:rsidRPr="002167F7">
        <w:rPr>
          <w:rFonts w:ascii="Verdana" w:eastAsiaTheme="minorEastAsia" w:hAnsi="Verdana" w:cs="Arial"/>
          <w:spacing w:val="-4"/>
          <w:lang w:val="es-ES" w:eastAsia="es-CO"/>
        </w:rPr>
        <w:t xml:space="preserve"> </w:t>
      </w:r>
      <w:r w:rsidRPr="002167F7">
        <w:rPr>
          <w:rFonts w:ascii="Verdana" w:eastAsiaTheme="minorEastAsia" w:hAnsi="Verdana" w:cs="Arial"/>
          <w:lang w:val="es-ES" w:eastAsia="es-CO"/>
        </w:rPr>
        <w:t>para</w:t>
      </w:r>
      <w:r w:rsidRPr="002167F7">
        <w:rPr>
          <w:rFonts w:ascii="Verdana" w:eastAsiaTheme="minorEastAsia" w:hAnsi="Verdana" w:cs="Arial"/>
          <w:spacing w:val="-3"/>
          <w:lang w:val="es-ES" w:eastAsia="es-CO"/>
        </w:rPr>
        <w:t xml:space="preserve"> </w:t>
      </w:r>
      <w:r w:rsidRPr="002167F7">
        <w:rPr>
          <w:rFonts w:ascii="Verdana" w:eastAsiaTheme="minorEastAsia" w:hAnsi="Verdana" w:cs="Arial"/>
          <w:lang w:val="es-ES" w:eastAsia="es-CO"/>
        </w:rPr>
        <w:t>establecer</w:t>
      </w:r>
      <w:r w:rsidRPr="002167F7">
        <w:rPr>
          <w:rFonts w:ascii="Verdana" w:eastAsiaTheme="minorEastAsia" w:hAnsi="Verdana" w:cs="Arial"/>
          <w:spacing w:val="-4"/>
          <w:lang w:val="es-ES" w:eastAsia="es-CO"/>
        </w:rPr>
        <w:t xml:space="preserve"> estos </w:t>
      </w:r>
      <w:r w:rsidRPr="002167F7">
        <w:rPr>
          <w:rFonts w:ascii="Verdana" w:eastAsiaTheme="minorEastAsia" w:hAnsi="Verdana" w:cs="Arial"/>
          <w:lang w:val="es-ES" w:eastAsia="es-CO"/>
        </w:rPr>
        <w:t>procedimientos</w:t>
      </w:r>
      <w:r w:rsidRPr="002167F7">
        <w:rPr>
          <w:rFonts w:ascii="Verdana" w:eastAsiaTheme="minorEastAsia" w:hAnsi="Verdana" w:cs="Arial"/>
          <w:vertAlign w:val="superscript"/>
          <w:lang w:val="es-ES" w:eastAsia="es-CO"/>
        </w:rPr>
        <w:footnoteReference w:id="3"/>
      </w:r>
      <w:r w:rsidRPr="002167F7">
        <w:rPr>
          <w:rFonts w:ascii="Verdana" w:eastAsiaTheme="minorEastAsia" w:hAnsi="Verdana" w:cs="Arial"/>
          <w:lang w:val="es-ES" w:eastAsia="es-CO"/>
        </w:rPr>
        <w:t>.</w:t>
      </w:r>
    </w:p>
    <w:p w14:paraId="6F5E220B" w14:textId="77777777" w:rsidR="0047433B" w:rsidRPr="002167F7" w:rsidRDefault="0047433B" w:rsidP="0047433B">
      <w:pPr>
        <w:spacing w:before="120" w:after="120" w:line="276" w:lineRule="auto"/>
        <w:ind w:right="177" w:firstLine="708"/>
        <w:jc w:val="both"/>
        <w:rPr>
          <w:rFonts w:ascii="Verdana" w:eastAsiaTheme="minorEastAsia" w:hAnsi="Verdana" w:cs="Arial"/>
          <w:lang w:val="es-ES" w:eastAsia="es-CO"/>
        </w:rPr>
      </w:pPr>
      <w:r w:rsidRPr="002167F7">
        <w:rPr>
          <w:rFonts w:ascii="Verdana" w:eastAsiaTheme="minorEastAsia" w:hAnsi="Verdana" w:cs="Arial"/>
          <w:lang w:val="es-ES" w:eastAsia="es-CO"/>
        </w:rPr>
        <w:t>Después del 2007, el ordenamiento reguló nuevos procesos de selección. Con el artículo 2 de la Ley 1150 la licitación pública se convirtió en un</w:t>
      </w:r>
      <w:r>
        <w:rPr>
          <w:rFonts w:ascii="Verdana" w:eastAsiaTheme="minorEastAsia" w:hAnsi="Verdana" w:cs="Arial"/>
          <w:lang w:val="es-ES" w:eastAsia="es-CO"/>
        </w:rPr>
        <w:t xml:space="preserve"> </w:t>
      </w:r>
      <w:r w:rsidRPr="002167F7">
        <w:rPr>
          <w:rFonts w:ascii="Verdana" w:eastAsiaTheme="minorEastAsia" w:hAnsi="Verdana" w:cs="Arial"/>
          <w:lang w:val="es-ES" w:eastAsia="es-CO"/>
        </w:rPr>
        <w:t>procedimiento</w:t>
      </w:r>
      <w:r w:rsidRPr="002167F7">
        <w:rPr>
          <w:rFonts w:ascii="Verdana" w:eastAsiaTheme="minorEastAsia" w:hAnsi="Verdana" w:cs="Arial"/>
          <w:spacing w:val="1"/>
          <w:lang w:val="es-ES" w:eastAsia="es-CO"/>
        </w:rPr>
        <w:t xml:space="preserve"> </w:t>
      </w:r>
      <w:r w:rsidRPr="002167F7">
        <w:rPr>
          <w:rFonts w:ascii="Verdana" w:eastAsiaTheme="minorEastAsia" w:hAnsi="Verdana" w:cs="Arial"/>
          <w:lang w:val="es-ES" w:eastAsia="es-CO"/>
        </w:rPr>
        <w:t>independiente del concurso de méritos, y se creó el procedimiento de selección</w:t>
      </w:r>
      <w:r w:rsidRPr="002167F7">
        <w:rPr>
          <w:rFonts w:ascii="Verdana" w:eastAsiaTheme="minorEastAsia" w:hAnsi="Verdana" w:cs="Arial"/>
          <w:spacing w:val="1"/>
          <w:lang w:val="es-ES" w:eastAsia="es-CO"/>
        </w:rPr>
        <w:t xml:space="preserve"> </w:t>
      </w:r>
      <w:r w:rsidRPr="002167F7">
        <w:rPr>
          <w:rFonts w:ascii="Verdana" w:eastAsiaTheme="minorEastAsia" w:hAnsi="Verdana" w:cs="Arial"/>
          <w:lang w:val="es-ES" w:eastAsia="es-CO"/>
        </w:rPr>
        <w:t>abreviada. Finalmente, con la reforma introducida por la Ley 1474</w:t>
      </w:r>
      <w:r w:rsidRPr="002167F7">
        <w:rPr>
          <w:rFonts w:ascii="Verdana" w:eastAsiaTheme="minorEastAsia" w:hAnsi="Verdana" w:cs="Arial"/>
          <w:spacing w:val="1"/>
          <w:lang w:val="es-ES" w:eastAsia="es-CO"/>
        </w:rPr>
        <w:t xml:space="preserve"> </w:t>
      </w:r>
      <w:r w:rsidRPr="002167F7">
        <w:rPr>
          <w:rFonts w:ascii="Verdana" w:eastAsiaTheme="minorEastAsia" w:hAnsi="Verdana" w:cs="Arial"/>
          <w:lang w:val="es-ES" w:eastAsia="es-CO"/>
        </w:rPr>
        <w:t>de 2011, las modalidades de selección a las que actualmente pueden recurrir las Entidades Estatales para adelantar sus procesos de contratación estatal son: 1) la licitación pública, 2)</w:t>
      </w:r>
      <w:r w:rsidRPr="002167F7">
        <w:rPr>
          <w:rFonts w:ascii="Verdana" w:eastAsiaTheme="minorEastAsia" w:hAnsi="Verdana" w:cs="Arial"/>
          <w:spacing w:val="1"/>
          <w:lang w:val="es-ES" w:eastAsia="es-CO"/>
        </w:rPr>
        <w:t xml:space="preserve"> la </w:t>
      </w:r>
      <w:r w:rsidRPr="002167F7">
        <w:rPr>
          <w:rFonts w:ascii="Verdana" w:eastAsiaTheme="minorEastAsia" w:hAnsi="Verdana" w:cs="Arial"/>
          <w:lang w:val="es-ES" w:eastAsia="es-CO"/>
        </w:rPr>
        <w:t xml:space="preserve">selección abreviada, 3) el concurso de méritos, 4) la mínima cuantía y 5) la contratación directa. </w:t>
      </w:r>
    </w:p>
    <w:p w14:paraId="094CF20A" w14:textId="77777777" w:rsidR="0047433B" w:rsidRDefault="0047433B" w:rsidP="0047433B">
      <w:pPr>
        <w:spacing w:before="120" w:after="120" w:line="276" w:lineRule="auto"/>
        <w:ind w:right="177" w:firstLine="708"/>
        <w:jc w:val="both"/>
        <w:rPr>
          <w:rFonts w:ascii="Verdana" w:eastAsia="Calibri" w:hAnsi="Verdana" w:cs="Arial"/>
          <w:color w:val="000000" w:themeColor="text1"/>
          <w:lang w:val="es-ES"/>
        </w:rPr>
      </w:pPr>
      <w:r w:rsidRPr="002167F7">
        <w:rPr>
          <w:rFonts w:ascii="Verdana" w:eastAsiaTheme="minorEastAsia" w:hAnsi="Verdana" w:cs="Arial"/>
          <w:lang w:val="es-ES" w:eastAsia="es-CO"/>
        </w:rPr>
        <w:t>El Estatuto General de Contratación de la Administración Pública (compuesto principalmente por la Ley 80 de 1993, Ley 1150 de 2007 y el Decreto 1082 de 2015) señala las etapas y requisitos que deben cumplir las entidades para adelantar cada uno de estos procedimientos, incluyendo las circunstancias que los hacen procedentes</w:t>
      </w:r>
      <w:r w:rsidRPr="002167F7">
        <w:rPr>
          <w:rFonts w:ascii="Verdana" w:eastAsiaTheme="minorEastAsia" w:hAnsi="Verdana" w:cs="Arial"/>
          <w:spacing w:val="-6"/>
          <w:lang w:val="es-ES" w:eastAsia="es-CO"/>
        </w:rPr>
        <w:t xml:space="preserve"> </w:t>
      </w:r>
      <w:r w:rsidRPr="002167F7">
        <w:rPr>
          <w:rFonts w:ascii="Verdana" w:eastAsiaTheme="minorEastAsia" w:hAnsi="Verdana" w:cs="Arial"/>
          <w:lang w:val="es-ES" w:eastAsia="es-CO"/>
        </w:rPr>
        <w:t>para</w:t>
      </w:r>
      <w:r w:rsidRPr="002167F7">
        <w:rPr>
          <w:rFonts w:ascii="Verdana" w:eastAsiaTheme="minorEastAsia" w:hAnsi="Verdana" w:cs="Arial"/>
          <w:spacing w:val="-5"/>
          <w:lang w:val="es-ES" w:eastAsia="es-CO"/>
        </w:rPr>
        <w:t xml:space="preserve"> </w:t>
      </w:r>
      <w:r w:rsidRPr="002167F7">
        <w:rPr>
          <w:rFonts w:ascii="Verdana" w:eastAsiaTheme="minorEastAsia" w:hAnsi="Verdana" w:cs="Arial"/>
          <w:lang w:val="es-ES" w:eastAsia="es-CO"/>
        </w:rPr>
        <w:t>la</w:t>
      </w:r>
      <w:r w:rsidRPr="002167F7">
        <w:rPr>
          <w:rFonts w:ascii="Verdana" w:eastAsiaTheme="minorEastAsia" w:hAnsi="Verdana" w:cs="Arial"/>
          <w:spacing w:val="-6"/>
          <w:lang w:val="es-ES" w:eastAsia="es-CO"/>
        </w:rPr>
        <w:t xml:space="preserve"> </w:t>
      </w:r>
      <w:r w:rsidRPr="002167F7">
        <w:rPr>
          <w:rFonts w:ascii="Verdana" w:eastAsiaTheme="minorEastAsia" w:hAnsi="Verdana" w:cs="Arial"/>
          <w:lang w:val="es-ES" w:eastAsia="es-CO"/>
        </w:rPr>
        <w:t>adquisición</w:t>
      </w:r>
      <w:r w:rsidRPr="002167F7">
        <w:rPr>
          <w:rFonts w:ascii="Verdana" w:eastAsiaTheme="minorEastAsia" w:hAnsi="Verdana" w:cs="Arial"/>
          <w:spacing w:val="-5"/>
          <w:lang w:val="es-ES" w:eastAsia="es-CO"/>
        </w:rPr>
        <w:t xml:space="preserve"> </w:t>
      </w:r>
      <w:r w:rsidRPr="002167F7">
        <w:rPr>
          <w:rFonts w:ascii="Verdana" w:eastAsiaTheme="minorEastAsia" w:hAnsi="Verdana" w:cs="Arial"/>
          <w:lang w:val="es-ES" w:eastAsia="es-CO"/>
        </w:rPr>
        <w:t>de</w:t>
      </w:r>
      <w:r w:rsidRPr="002167F7">
        <w:rPr>
          <w:rFonts w:ascii="Verdana" w:eastAsiaTheme="minorEastAsia" w:hAnsi="Verdana" w:cs="Arial"/>
          <w:spacing w:val="-6"/>
          <w:lang w:val="es-ES" w:eastAsia="es-CO"/>
        </w:rPr>
        <w:t xml:space="preserve"> </w:t>
      </w:r>
      <w:r w:rsidRPr="002167F7">
        <w:rPr>
          <w:rFonts w:ascii="Verdana" w:eastAsiaTheme="minorEastAsia" w:hAnsi="Verdana" w:cs="Arial"/>
          <w:lang w:val="es-ES" w:eastAsia="es-CO"/>
        </w:rPr>
        <w:t>obras,</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bienes</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y</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servicios. Con base en este marco jurídico,</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cada</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entidad</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es</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responsable</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de</w:t>
      </w:r>
      <w:r w:rsidRPr="005C6655">
        <w:rPr>
          <w:rFonts w:ascii="Verdana" w:eastAsiaTheme="minorEastAsia" w:hAnsi="Verdana" w:cs="Arial"/>
          <w:lang w:val="es-ES" w:eastAsia="es-CO"/>
        </w:rPr>
        <w:t xml:space="preserve"> determinar la modalidad de selección adecuada para satisfacer su necesidad y </w:t>
      </w:r>
      <w:r w:rsidRPr="002167F7">
        <w:rPr>
          <w:rFonts w:ascii="Verdana" w:eastAsiaTheme="minorEastAsia" w:hAnsi="Verdana" w:cs="Arial"/>
          <w:lang w:val="es-ES" w:eastAsia="es-CO"/>
        </w:rPr>
        <w:t>estructurar</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sus</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procedimientos contractuales en cumplimiento de los principios de la función administrativa, los presupuestales y los de contratación pública.</w:t>
      </w:r>
      <w:r>
        <w:rPr>
          <w:rFonts w:ascii="Verdana" w:eastAsiaTheme="minorEastAsia" w:hAnsi="Verdana" w:cs="Arial"/>
          <w:lang w:val="es-ES" w:eastAsia="es-CO"/>
        </w:rPr>
        <w:t xml:space="preserve"> </w:t>
      </w:r>
      <w:r w:rsidRPr="002167F7">
        <w:rPr>
          <w:rFonts w:ascii="Verdana" w:hAnsi="Verdana"/>
          <w:lang w:val="es-ES"/>
        </w:rPr>
        <w:t>En efecto, los Procesos de Contratación que deben adelantar las Entidades Estatales para</w:t>
      </w:r>
      <w:r w:rsidRPr="002167F7">
        <w:rPr>
          <w:rFonts w:ascii="Verdana" w:eastAsia="Calibri" w:hAnsi="Verdana" w:cs="Arial"/>
          <w:color w:val="000000" w:themeColor="text1"/>
          <w:lang w:val="es-ES"/>
        </w:rPr>
        <w:t xml:space="preserve"> adquirir los bienes, obras o servicios que se requieren, se rigen por procedimientos reglados establecidos por la ley y el reglamento. </w:t>
      </w:r>
    </w:p>
    <w:p w14:paraId="67EE2ECA" w14:textId="77777777" w:rsidR="0047433B" w:rsidRPr="005C6655" w:rsidRDefault="0047433B" w:rsidP="0047433B">
      <w:pPr>
        <w:spacing w:before="120" w:after="120" w:line="276" w:lineRule="auto"/>
        <w:ind w:right="177" w:firstLine="708"/>
        <w:jc w:val="both"/>
        <w:rPr>
          <w:rFonts w:ascii="Verdana" w:eastAsiaTheme="minorEastAsia" w:hAnsi="Verdana" w:cs="Arial"/>
          <w:lang w:val="es-ES" w:eastAsia="es-CO"/>
        </w:rPr>
      </w:pPr>
      <w:r w:rsidRPr="002167F7">
        <w:rPr>
          <w:rFonts w:ascii="Verdana" w:eastAsia="Calibri" w:hAnsi="Verdana" w:cs="Arial"/>
          <w:color w:val="000000" w:themeColor="text1"/>
          <w:lang w:val="es-ES"/>
        </w:rPr>
        <w:t>Si bien el Estatuto prevé distintas modalidades de selección, competitivas y no competitivas, sujetas a procedimientos distintos, todas deben agotar una etapa precontractual en la que se realiza la planeación del contrato, lo cual se refleja en el análisis del sector económico y en los estudios previos. Durante la etapa de planeación, las entidades deben, entre otras cosas, determinar la modalidad de selección adecuada para adelantar el proceso de contratación.</w:t>
      </w:r>
      <w:bookmarkStart w:id="0" w:name="_Hlk54011258"/>
    </w:p>
    <w:p w14:paraId="3785EE53" w14:textId="77777777" w:rsidR="0047433B" w:rsidRPr="002167F7" w:rsidRDefault="0047433B" w:rsidP="0047433B">
      <w:pPr>
        <w:spacing w:before="120" w:after="120" w:line="276" w:lineRule="auto"/>
        <w:ind w:right="177" w:firstLine="708"/>
        <w:jc w:val="both"/>
        <w:rPr>
          <w:rFonts w:ascii="Verdana" w:eastAsia="Calibri" w:hAnsi="Verdana" w:cs="Arial"/>
          <w:bCs/>
          <w:lang w:val="es-ES" w:eastAsia="es-MX"/>
        </w:rPr>
      </w:pPr>
      <w:r w:rsidRPr="002167F7">
        <w:rPr>
          <w:rFonts w:ascii="Verdana" w:eastAsia="Calibri" w:hAnsi="Verdana" w:cs="Arial"/>
          <w:bCs/>
          <w:lang w:val="es-ES" w:eastAsia="es-MX"/>
        </w:rPr>
        <w:lastRenderedPageBreak/>
        <w:t>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bookmarkEnd w:id="0"/>
      <w:r w:rsidRPr="002167F7">
        <w:rPr>
          <w:rFonts w:ascii="Verdana" w:eastAsia="Calibri" w:hAnsi="Verdana" w:cs="Arial"/>
          <w:bCs/>
          <w:lang w:val="es-ES" w:eastAsia="es-MX"/>
        </w:rPr>
        <w:t>.</w:t>
      </w:r>
    </w:p>
    <w:p w14:paraId="2814B20E" w14:textId="77777777" w:rsidR="0047433B" w:rsidRPr="002167F7" w:rsidRDefault="0047433B" w:rsidP="0047433B">
      <w:pPr>
        <w:spacing w:before="120" w:after="120" w:line="276" w:lineRule="auto"/>
        <w:ind w:right="177" w:firstLine="708"/>
        <w:jc w:val="both"/>
        <w:rPr>
          <w:rFonts w:ascii="Verdana" w:eastAsia="Calibri" w:hAnsi="Verdana" w:cs="Arial"/>
          <w:color w:val="000000" w:themeColor="text1"/>
          <w:lang w:val="es-ES"/>
        </w:rPr>
      </w:pPr>
      <w:r w:rsidRPr="002167F7">
        <w:rPr>
          <w:rFonts w:ascii="Verdana" w:eastAsia="Calibri" w:hAnsi="Verdana" w:cs="Arial"/>
          <w:bCs/>
          <w:lang w:val="es-ES" w:eastAsia="es-ES_tradnl"/>
        </w:rPr>
        <w:t xml:space="preserve">El Estatuto General de Contratación de la Administración Pública contiene disposiciones que exigen a las Entidades Estatales el deber de realizar una planeación adecuada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En concordancia, </w:t>
      </w:r>
      <w:r w:rsidRPr="002167F7">
        <w:rPr>
          <w:rFonts w:ascii="Verdana" w:eastAsia="Times New Roman" w:hAnsi="Verdana" w:cs="Arial"/>
          <w:lang w:val="es-ES" w:eastAsia="es-MX"/>
        </w:rPr>
        <w:t>el artículo 2.2.1.1.2.1.1 del Decreto 1082 de 2015 señala el contenido mínimo de los estudios y documentos previos, entre el cual se incluye necesariamente la identificación de la modalidad de selección del contratista y su justificación, incluyendo los fundamentos jurídicos.</w:t>
      </w:r>
    </w:p>
    <w:p w14:paraId="3CFF9D00" w14:textId="77777777" w:rsidR="0047433B" w:rsidRPr="002167F7" w:rsidRDefault="0047433B" w:rsidP="0047433B">
      <w:pPr>
        <w:spacing w:before="120" w:after="120" w:line="276" w:lineRule="auto"/>
        <w:ind w:right="177" w:firstLine="708"/>
        <w:jc w:val="both"/>
        <w:rPr>
          <w:rFonts w:ascii="Verdana" w:eastAsia="Calibri" w:hAnsi="Verdana" w:cs="Arial"/>
          <w:color w:val="000000" w:themeColor="text1"/>
          <w:lang w:val="es-ES"/>
        </w:rPr>
      </w:pPr>
      <w:r w:rsidRPr="002167F7">
        <w:rPr>
          <w:rFonts w:ascii="Verdana" w:eastAsia="Times New Roman" w:hAnsi="Verdana" w:cs="Arial"/>
          <w:lang w:val="es-ES" w:eastAsia="es-MX"/>
        </w:rPr>
        <w:t>Al respecto, el artículo 2 de la Ley 1150 de 2007 establece las modalidades de selección aplicables a las entidades sometidas al EGCAP, indicando que la escogencia del contratista se efectuará por regla general bajo la modalidad de licitación pública, con las excepciones que señalan los numerales 2, 3 y 4 de dicho artículo. En efecto, las Entidades Estatales deben adelantar su</w:t>
      </w:r>
      <w:r>
        <w:rPr>
          <w:rFonts w:ascii="Verdana" w:eastAsia="Times New Roman" w:hAnsi="Verdana" w:cs="Arial"/>
          <w:lang w:val="es-ES" w:eastAsia="es-MX"/>
        </w:rPr>
        <w:t>s</w:t>
      </w:r>
      <w:r w:rsidRPr="002167F7">
        <w:rPr>
          <w:rFonts w:ascii="Verdana" w:eastAsia="Times New Roman" w:hAnsi="Verdana" w:cs="Arial"/>
          <w:lang w:val="es-ES" w:eastAsia="es-MX"/>
        </w:rPr>
        <w:t xml:space="preserve"> procesos de contratación, por regla general, mediante la modalidad de licitación pública. De esta forma, salvo que se configure alguno de los supuestos que la norma establece para que sea procedente un procedimiento distinto, la entidad deberá adelantar su contratación mediante dicha modalidad de selección. </w:t>
      </w:r>
    </w:p>
    <w:p w14:paraId="3536E1A4" w14:textId="77777777" w:rsidR="0047433B" w:rsidRPr="002167F7" w:rsidRDefault="0047433B" w:rsidP="0047433B">
      <w:pPr>
        <w:tabs>
          <w:tab w:val="left" w:pos="851"/>
          <w:tab w:val="left" w:pos="1134"/>
        </w:tabs>
        <w:spacing w:after="120" w:line="276" w:lineRule="auto"/>
        <w:jc w:val="both"/>
        <w:rPr>
          <w:rFonts w:ascii="Verdana" w:hAnsi="Verdana" w:cs="Arial"/>
          <w:color w:val="000000" w:themeColor="text1"/>
          <w:lang w:val="es-ES"/>
        </w:rPr>
      </w:pPr>
      <w:r w:rsidRPr="002167F7">
        <w:rPr>
          <w:rFonts w:ascii="Verdana" w:hAnsi="Verdana" w:cs="Arial"/>
          <w:color w:val="000000" w:themeColor="text1"/>
          <w:lang w:val="es-ES"/>
        </w:rPr>
        <w:tab/>
        <w:t xml:space="preserve">En relación con la </w:t>
      </w:r>
      <w:r w:rsidRPr="002167F7">
        <w:rPr>
          <w:rFonts w:ascii="Verdana" w:hAnsi="Verdana" w:cs="Arial"/>
          <w:i/>
          <w:iCs/>
          <w:color w:val="000000" w:themeColor="text1"/>
          <w:lang w:val="es-ES"/>
        </w:rPr>
        <w:t>licitación pública</w:t>
      </w:r>
      <w:r w:rsidRPr="002167F7">
        <w:rPr>
          <w:rFonts w:ascii="Verdana" w:hAnsi="Verdana" w:cs="Arial"/>
          <w:color w:val="000000" w:themeColor="text1"/>
          <w:lang w:val="es-ES"/>
        </w:rPr>
        <w:t xml:space="preserve">, el artículo 30 de la Ley 80 de 1993 definió la estructura del proceso y estableció sus fases. Según la norma, se puede distinguir entre la fase de planificación o preparatoria y la licitación propiamente dicha. El inciso primero del artículo mencionado establece dos momentos en el procedimiento de licitación: por un lado, el relacionado con la planificación, ya que la entidad, antes de iniciar el proceso de selección, debe </w:t>
      </w:r>
      <w:r w:rsidRPr="002167F7">
        <w:rPr>
          <w:rFonts w:ascii="Verdana" w:hAnsi="Verdana" w:cs="Arial"/>
          <w:color w:val="000000" w:themeColor="text1"/>
          <w:lang w:val="es-ES"/>
        </w:rPr>
        <w:lastRenderedPageBreak/>
        <w:t xml:space="preserve">desarrollar los estudios previos que fundamenten técnica y jurídicamente la contratación, de acuerdo con el inciso 12 del artículo 25 de esa ley y el artículo 2.2.1.1.2.1.1 del Decreto 1082 de 2015; por otro lado, se encuentra la etapa de inicio del proceso de selección, que se inicia con el acto administrativo de apertura del proceso. Además, el inciso 2 del artículo 30 de la Ley 80 de 1993 impone la obligación de preparar un pliego de condiciones, conforme a lo estipulado en el inciso 5 del artículo 24 de la misma ley y en el artículo 2.2.1.1.2.1.3 del Decreto 1082 de 2015. </w:t>
      </w:r>
    </w:p>
    <w:p w14:paraId="157B25D9" w14:textId="77777777" w:rsidR="0047433B" w:rsidRPr="002167F7" w:rsidRDefault="0047433B" w:rsidP="0047433B">
      <w:pPr>
        <w:tabs>
          <w:tab w:val="left" w:pos="851"/>
          <w:tab w:val="left" w:pos="1134"/>
        </w:tabs>
        <w:spacing w:after="120" w:line="276" w:lineRule="auto"/>
        <w:ind w:firstLine="709"/>
        <w:jc w:val="both"/>
        <w:rPr>
          <w:rFonts w:ascii="Verdana" w:hAnsi="Verdana" w:cs="Arial"/>
          <w:color w:val="000000" w:themeColor="text1"/>
          <w:lang w:val="es-ES"/>
        </w:rPr>
      </w:pPr>
      <w:r w:rsidRPr="002167F7">
        <w:rPr>
          <w:rFonts w:ascii="Verdana" w:hAnsi="Verdana" w:cs="Arial"/>
          <w:color w:val="000000" w:themeColor="text1"/>
          <w:lang w:val="es-ES"/>
        </w:rPr>
        <w:t xml:space="preserve">Por su parte, el numeral 3 señala que dentro de los 10 o 20 días calendario antes de la apertura de la licitación, la entidad debe publicar hasta 3 avisos para invitar a participar en el proceso de licitación. Los avisos deberán publicarse con intervalos de 2 a 5 días calendario entre cada uno, en la página web de la entidad y en el SECOP; en los pequeños poblados, esta publicación debe realizarse por bando o en los principales lugares públicos, por un término de 7 días calendario, uno de los cuales será en el “día de mercado” de la respectiva población. Además, se debe publicar otro aviso que contendrá la información señalada en el artículo 2.2.1.1.2.1.2. del Decreto 1082 de 2015.  </w:t>
      </w:r>
    </w:p>
    <w:p w14:paraId="3067C46F" w14:textId="77777777" w:rsidR="0047433B" w:rsidRPr="002167F7" w:rsidRDefault="0047433B" w:rsidP="0047433B">
      <w:pPr>
        <w:tabs>
          <w:tab w:val="left" w:pos="851"/>
          <w:tab w:val="left" w:pos="1134"/>
        </w:tabs>
        <w:spacing w:after="120" w:line="276" w:lineRule="auto"/>
        <w:ind w:firstLine="709"/>
        <w:jc w:val="both"/>
        <w:rPr>
          <w:rFonts w:ascii="Verdana" w:hAnsi="Verdana" w:cs="Arial"/>
          <w:color w:val="000000" w:themeColor="text1"/>
          <w:lang w:val="es-ES"/>
        </w:rPr>
      </w:pPr>
      <w:r w:rsidRPr="002167F7">
        <w:rPr>
          <w:rFonts w:ascii="Verdana" w:hAnsi="Verdana" w:cs="Arial"/>
          <w:color w:val="000000" w:themeColor="text1"/>
          <w:lang w:val="es-ES"/>
        </w:rPr>
        <w:t xml:space="preserve">De igual manera, debe elaborarse el proyecto de pliego de condiciones con base en el contenido de los documentos y estudios previos que, con anterioridad, estructuró la entidad para justificar la necesidad de la contratación. Los requisitos del pliego se encuentran en el artículo 2.2.1.1.2.1.3. del Decreto 1082 de 2015. Este documento debe publicarse en el SECOP </w:t>
      </w:r>
      <w:proofErr w:type="gramStart"/>
      <w:r w:rsidRPr="002167F7">
        <w:rPr>
          <w:rFonts w:ascii="Verdana" w:hAnsi="Verdana" w:cs="Arial"/>
          <w:color w:val="000000" w:themeColor="text1"/>
          <w:lang w:val="es-ES"/>
        </w:rPr>
        <w:t>conjuntamente con</w:t>
      </w:r>
      <w:proofErr w:type="gramEnd"/>
      <w:r w:rsidRPr="002167F7">
        <w:rPr>
          <w:rFonts w:ascii="Verdana" w:hAnsi="Verdana" w:cs="Arial"/>
          <w:color w:val="000000" w:themeColor="text1"/>
          <w:lang w:val="es-ES"/>
        </w:rPr>
        <w:t xml:space="preserve"> los estudios y documentos previos, por no menos de 10 días hábiles anteriores a la apertura del proceso de licitación, –</w:t>
      </w:r>
      <w:bookmarkStart w:id="1" w:name="_Hlk177288477"/>
      <w:r w:rsidRPr="002167F7">
        <w:rPr>
          <w:rFonts w:ascii="Verdana" w:hAnsi="Verdana" w:cs="Arial"/>
          <w:color w:val="000000" w:themeColor="text1"/>
          <w:lang w:val="es-ES"/>
        </w:rPr>
        <w:t>artículos 8</w:t>
      </w:r>
      <w:bookmarkEnd w:id="1"/>
      <w:r w:rsidRPr="002167F7">
        <w:rPr>
          <w:rFonts w:ascii="Verdana" w:hAnsi="Verdana" w:cs="Arial"/>
          <w:color w:val="000000" w:themeColor="text1"/>
          <w:lang w:val="es-ES"/>
        </w:rPr>
        <w:t xml:space="preserve"> de la Ley 1150 de 2007 y 2.2.1.1.2.1.4. del Decreto 1082 de 2015–.  </w:t>
      </w:r>
    </w:p>
    <w:p w14:paraId="17E79E8F" w14:textId="77777777" w:rsidR="0047433B" w:rsidRPr="002167F7" w:rsidRDefault="0047433B" w:rsidP="0047433B">
      <w:pPr>
        <w:spacing w:after="120" w:line="276" w:lineRule="auto"/>
        <w:ind w:firstLine="709"/>
        <w:jc w:val="both"/>
        <w:rPr>
          <w:rFonts w:ascii="Verdana" w:hAnsi="Verdana" w:cs="Arial"/>
          <w:color w:val="000000"/>
          <w:shd w:val="clear" w:color="auto" w:fill="FFFFFF"/>
          <w:lang w:val="es-ES"/>
        </w:rPr>
      </w:pPr>
      <w:r w:rsidRPr="002167F7">
        <w:rPr>
          <w:rFonts w:ascii="Verdana" w:hAnsi="Verdana" w:cs="Arial"/>
          <w:color w:val="000000"/>
          <w:shd w:val="clear" w:color="auto" w:fill="FFFFFF"/>
          <w:lang w:val="es-ES"/>
        </w:rPr>
        <w:t>En esta modalidad de selección, las entidades deberán establecer requisitos habilitantes y de calificación para elegir la oferta más favorable, según lo dispuesto en el artículo 5 de la Ley 1150 de 2007. Par esto, tendrán en cuenta factores técnicos y económicos, y la oferta más ventajosa será la que resulte de aplicar alguna de las siguientes alternativas:</w:t>
      </w:r>
      <w:r>
        <w:rPr>
          <w:rFonts w:ascii="Verdana" w:hAnsi="Verdana" w:cs="Arial"/>
          <w:color w:val="000000"/>
          <w:shd w:val="clear" w:color="auto" w:fill="FFFFFF"/>
          <w:lang w:val="es-ES"/>
        </w:rPr>
        <w:t xml:space="preserve"> </w:t>
      </w:r>
      <w:r w:rsidRPr="002167F7">
        <w:rPr>
          <w:rFonts w:ascii="Verdana" w:hAnsi="Verdana" w:cs="Arial"/>
          <w:color w:val="000000"/>
          <w:shd w:val="clear" w:color="auto" w:fill="FFFFFF"/>
          <w:lang w:val="es-ES"/>
        </w:rPr>
        <w:t>a) La ponderación de los elementos de calidad y precio soportados en puntajes o fórmulas señaladas en el pliego de condiciones; o b) La ponderación de los elementos de calidad y precio que representen la mejor relación de costo-beneficio para la entidad.</w:t>
      </w:r>
    </w:p>
    <w:p w14:paraId="2BBA8B53" w14:textId="77777777" w:rsidR="0047433B" w:rsidRPr="002167F7" w:rsidRDefault="0047433B" w:rsidP="0047433B">
      <w:pPr>
        <w:spacing w:after="120" w:line="276" w:lineRule="auto"/>
        <w:ind w:firstLine="708"/>
        <w:jc w:val="both"/>
        <w:rPr>
          <w:rFonts w:ascii="Verdana" w:eastAsia="Times New Roman" w:hAnsi="Verdana" w:cs="Arial"/>
          <w:lang w:val="es-ES" w:eastAsia="es-MX"/>
        </w:rPr>
      </w:pPr>
      <w:r w:rsidRPr="002167F7">
        <w:rPr>
          <w:rFonts w:ascii="Verdana" w:eastAsia="Times New Roman" w:hAnsi="Verdana" w:cs="Arial"/>
          <w:lang w:val="es-ES" w:eastAsia="es-MX"/>
        </w:rPr>
        <w:t xml:space="preserve"> En segundo lugar, el </w:t>
      </w:r>
      <w:r>
        <w:rPr>
          <w:rFonts w:ascii="Verdana" w:eastAsia="Times New Roman" w:hAnsi="Verdana" w:cs="Arial"/>
          <w:lang w:val="es-ES" w:eastAsia="es-MX"/>
        </w:rPr>
        <w:t xml:space="preserve">numeral 2 del </w:t>
      </w:r>
      <w:r w:rsidRPr="002167F7">
        <w:rPr>
          <w:rFonts w:ascii="Verdana" w:eastAsia="Times New Roman" w:hAnsi="Verdana" w:cs="Arial"/>
          <w:lang w:val="es-ES" w:eastAsia="es-MX"/>
        </w:rPr>
        <w:t xml:space="preserve">artículo 2 de la Ley 1150 de 2007 se refiere a la modalidad de </w:t>
      </w:r>
      <w:r w:rsidRPr="002167F7">
        <w:rPr>
          <w:rFonts w:ascii="Verdana" w:eastAsia="Times New Roman" w:hAnsi="Verdana" w:cs="Arial"/>
          <w:i/>
          <w:iCs/>
          <w:lang w:val="es-ES" w:eastAsia="es-MX"/>
        </w:rPr>
        <w:t>selección abreviada</w:t>
      </w:r>
      <w:r>
        <w:rPr>
          <w:rFonts w:ascii="Verdana" w:eastAsia="Times New Roman" w:hAnsi="Verdana" w:cs="Arial"/>
          <w:i/>
          <w:iCs/>
          <w:lang w:val="es-ES" w:eastAsia="es-MX"/>
        </w:rPr>
        <w:t xml:space="preserve">, </w:t>
      </w:r>
      <w:r w:rsidRPr="00283126">
        <w:rPr>
          <w:rFonts w:ascii="Verdana" w:eastAsia="Times New Roman" w:hAnsi="Verdana" w:cs="Arial"/>
          <w:lang w:val="es-ES" w:eastAsia="es-MX"/>
        </w:rPr>
        <w:t xml:space="preserve">a la que </w:t>
      </w:r>
      <w:r>
        <w:rPr>
          <w:rFonts w:ascii="Verdana" w:eastAsia="Times New Roman" w:hAnsi="Verdana" w:cs="Arial"/>
          <w:lang w:val="es-ES" w:eastAsia="es-MX"/>
        </w:rPr>
        <w:t>alude</w:t>
      </w:r>
      <w:r w:rsidRPr="00283126">
        <w:rPr>
          <w:rFonts w:ascii="Verdana" w:eastAsia="Times New Roman" w:hAnsi="Verdana" w:cs="Arial"/>
          <w:lang w:val="es-ES" w:eastAsia="es-MX"/>
        </w:rPr>
        <w:t xml:space="preserve"> en su consulta.</w:t>
      </w:r>
      <w:r w:rsidRPr="002167F7">
        <w:rPr>
          <w:rFonts w:ascii="Verdana" w:eastAsia="Times New Roman" w:hAnsi="Verdana" w:cs="Arial"/>
          <w:lang w:val="es-ES" w:eastAsia="es-MX"/>
        </w:rPr>
        <w:t xml:space="preserve"> Según la norma, esta modalidad es procedente para aquellos casos en que, por </w:t>
      </w:r>
      <w:r w:rsidRPr="002167F7">
        <w:rPr>
          <w:rFonts w:ascii="Verdana" w:eastAsia="Times New Roman" w:hAnsi="Verdana" w:cs="Arial"/>
          <w:lang w:val="es-ES" w:eastAsia="es-MX"/>
        </w:rPr>
        <w:lastRenderedPageBreak/>
        <w:t xml:space="preserve">las características del objeto a contratar, las circunstancias de la contratación o la cuantía o destinación del bien, obra o </w:t>
      </w:r>
      <w:proofErr w:type="gramStart"/>
      <w:r w:rsidRPr="002167F7">
        <w:rPr>
          <w:rFonts w:ascii="Verdana" w:eastAsia="Times New Roman" w:hAnsi="Verdana" w:cs="Arial"/>
          <w:lang w:val="es-ES" w:eastAsia="es-MX"/>
        </w:rPr>
        <w:t>servicio,</w:t>
      </w:r>
      <w:proofErr w:type="gramEnd"/>
      <w:r w:rsidRPr="002167F7">
        <w:rPr>
          <w:rFonts w:ascii="Verdana" w:eastAsia="Times New Roman" w:hAnsi="Verdana" w:cs="Arial"/>
          <w:lang w:val="es-ES" w:eastAsia="es-MX"/>
        </w:rPr>
        <w:t xml:space="preserve"> puedan adelantarse procesos simplificados para garantizar la eficiencia de la gestión contractual. Tanto la referida ley como el Decreto 1082 de 2015, en sus artículos </w:t>
      </w:r>
      <w:bookmarkStart w:id="2" w:name="2.2.1.2.1.2.1"/>
      <w:bookmarkEnd w:id="2"/>
      <w:r w:rsidRPr="002167F7">
        <w:rPr>
          <w:rFonts w:ascii="Verdana" w:eastAsia="Times New Roman" w:hAnsi="Verdana" w:cs="Arial"/>
          <w:lang w:val="es-ES" w:eastAsia="es-MX"/>
        </w:rPr>
        <w:t>2.2.1.2.1.2.1. al </w:t>
      </w:r>
      <w:bookmarkStart w:id="3" w:name="2.2.1.2.1.2.26"/>
      <w:bookmarkEnd w:id="3"/>
      <w:r w:rsidRPr="002167F7">
        <w:rPr>
          <w:rFonts w:ascii="Verdana" w:eastAsia="Times New Roman" w:hAnsi="Verdana" w:cs="Arial"/>
          <w:lang w:val="es-ES" w:eastAsia="es-MX"/>
        </w:rPr>
        <w:t xml:space="preserve">2.2.1.2.1.2.26., especifican las causales o supuestos para que sea procedente la modalidad de selección abreviada, así como los requisitos que deberá cumplir la entidad en cada uno. </w:t>
      </w:r>
    </w:p>
    <w:p w14:paraId="2E7FAB8C" w14:textId="77777777" w:rsidR="0047433B" w:rsidRPr="002167F7" w:rsidRDefault="0047433B" w:rsidP="0047433B">
      <w:pPr>
        <w:spacing w:line="276" w:lineRule="auto"/>
        <w:ind w:firstLine="708"/>
        <w:jc w:val="both"/>
        <w:rPr>
          <w:rFonts w:ascii="Verdana" w:eastAsia="Calibri" w:hAnsi="Verdana" w:cs="Arial"/>
          <w:lang w:val="es-ES"/>
        </w:rPr>
      </w:pPr>
      <w:bookmarkStart w:id="4" w:name="_Hlk39174727"/>
      <w:r w:rsidRPr="002167F7">
        <w:rPr>
          <w:rFonts w:ascii="Verdana" w:eastAsia="Calibri" w:hAnsi="Verdana" w:cs="Arial"/>
          <w:lang w:val="es-ES"/>
        </w:rPr>
        <w:t>Se trata de un procedimiento que agiliza la contratación estatal en los eventos en que no se justifica adelantar una licitación pública, pero tampoco limitar la participación de los proponentes como en la contratación directa, de forma tal que es un mecanismo de selección objetiva que asegura una mayor concurrencia de participantes sin sacrificar los principios de eficacia y eficiencia en el proceso de selección</w:t>
      </w:r>
      <w:bookmarkEnd w:id="4"/>
      <w:r w:rsidRPr="002167F7">
        <w:rPr>
          <w:rFonts w:ascii="Verdana" w:eastAsia="Calibri" w:hAnsi="Verdana" w:cs="Arial"/>
          <w:lang w:val="es-ES"/>
        </w:rPr>
        <w:t>. En la exposición de motivos se explica lo siguiente:</w:t>
      </w:r>
    </w:p>
    <w:p w14:paraId="72E4DCC4" w14:textId="77777777" w:rsidR="0047433B" w:rsidRPr="002167F7" w:rsidRDefault="0047433B" w:rsidP="0047433B">
      <w:pPr>
        <w:spacing w:after="120" w:line="240" w:lineRule="auto"/>
        <w:ind w:left="709" w:right="709"/>
        <w:jc w:val="both"/>
        <w:rPr>
          <w:rFonts w:ascii="Verdana" w:eastAsia="Calibri" w:hAnsi="Verdana" w:cs="Arial"/>
          <w:sz w:val="20"/>
          <w:szCs w:val="20"/>
          <w:lang w:val="es-ES"/>
        </w:rPr>
      </w:pPr>
      <w:r w:rsidRPr="002167F7">
        <w:rPr>
          <w:rFonts w:ascii="Verdana" w:eastAsia="Calibri" w:hAnsi="Verdana" w:cs="Arial"/>
          <w:sz w:val="20"/>
          <w:szCs w:val="20"/>
          <w:lang w:val="es-ES"/>
        </w:rPr>
        <w:t>“– Si bien la Licitación Pública sigue siendo la regla general, la misma pasa a reservarse para los procesos en los que la complejidad del objeto a contratar amerita la larga y cuidadosa ponderación de factores técnicos y económicos de las propuestas […].</w:t>
      </w:r>
    </w:p>
    <w:p w14:paraId="50F65346" w14:textId="77777777" w:rsidR="0047433B" w:rsidRPr="002167F7" w:rsidRDefault="0047433B" w:rsidP="0047433B">
      <w:pPr>
        <w:spacing w:after="120" w:line="240" w:lineRule="auto"/>
        <w:ind w:left="709" w:right="709"/>
        <w:jc w:val="both"/>
        <w:rPr>
          <w:rFonts w:ascii="Verdana" w:eastAsia="Calibri" w:hAnsi="Verdana" w:cs="Arial"/>
          <w:sz w:val="20"/>
          <w:szCs w:val="20"/>
          <w:lang w:val="es-ES"/>
        </w:rPr>
      </w:pPr>
      <w:r w:rsidRPr="002167F7">
        <w:rPr>
          <w:rFonts w:ascii="Verdana" w:eastAsia="Calibri" w:hAnsi="Verdana" w:cs="Arial"/>
          <w:sz w:val="20"/>
          <w:szCs w:val="20"/>
          <w:lang w:val="es-ES"/>
        </w:rPr>
        <w:t>– Se crea la llamada “selección abreviada”, para permitir la existencia de procedimientos de selección que, basados estrictamente en los principios cardinales de la contratación pública, permitan de manera ágil la adopción de decisiones de selección. En el sentido antedicho, las innovaciones del proceso de selección abreviada empiezan por una medida trascendental, para llevar a sólo horas los contratos referidos a la adquisición bienes de “características técnicas uniformes y de común utilización” […].</w:t>
      </w:r>
    </w:p>
    <w:p w14:paraId="14E578E0" w14:textId="77777777" w:rsidR="0047433B" w:rsidRPr="002167F7" w:rsidRDefault="0047433B" w:rsidP="0047433B">
      <w:pPr>
        <w:spacing w:line="240" w:lineRule="auto"/>
        <w:ind w:left="709" w:right="709"/>
        <w:jc w:val="both"/>
        <w:rPr>
          <w:rFonts w:ascii="Verdana" w:eastAsia="Calibri" w:hAnsi="Verdana" w:cs="Arial"/>
          <w:sz w:val="20"/>
          <w:szCs w:val="20"/>
          <w:lang w:val="es-ES"/>
        </w:rPr>
      </w:pPr>
      <w:r w:rsidRPr="002167F7">
        <w:rPr>
          <w:rFonts w:ascii="Verdana" w:eastAsia="Calibri" w:hAnsi="Verdana" w:cs="Arial"/>
          <w:sz w:val="20"/>
          <w:szCs w:val="20"/>
          <w:lang w:val="es-ES"/>
        </w:rPr>
        <w:t>– Adicionalmente en esta categoría se recoge la llamada “menor cuantía” (sólo aplicable en lo sucesivo a bienes o servicios diferentes de los anteriores), así como otros procesos que por su naturaleza o circunstancias deben ser objeto de tratamiento expedido, tales como la defensa y seguridad nacional, entre otras”</w:t>
      </w:r>
      <w:r w:rsidRPr="002167F7">
        <w:rPr>
          <w:rStyle w:val="Refdenotaalpie"/>
          <w:rFonts w:ascii="Verdana" w:eastAsia="Calibri" w:hAnsi="Verdana" w:cs="Arial"/>
          <w:sz w:val="20"/>
          <w:szCs w:val="20"/>
          <w:lang w:val="es-ES"/>
        </w:rPr>
        <w:footnoteReference w:id="4"/>
      </w:r>
      <w:r w:rsidRPr="002167F7">
        <w:rPr>
          <w:rFonts w:ascii="Verdana" w:eastAsia="Calibri" w:hAnsi="Verdana" w:cs="Arial"/>
          <w:sz w:val="20"/>
          <w:szCs w:val="20"/>
          <w:lang w:val="es-ES"/>
        </w:rPr>
        <w:t>.</w:t>
      </w:r>
    </w:p>
    <w:p w14:paraId="425AF80D" w14:textId="77777777" w:rsidR="0047433B" w:rsidRPr="002167F7" w:rsidRDefault="0047433B" w:rsidP="0047433B">
      <w:pPr>
        <w:spacing w:before="120" w:line="276" w:lineRule="auto"/>
        <w:ind w:firstLine="708"/>
        <w:jc w:val="both"/>
        <w:rPr>
          <w:rFonts w:ascii="Verdana" w:eastAsia="Calibri" w:hAnsi="Verdana" w:cs="Arial"/>
          <w:lang w:val="es-ES"/>
        </w:rPr>
      </w:pPr>
      <w:r w:rsidRPr="002167F7">
        <w:rPr>
          <w:rFonts w:ascii="Verdana" w:eastAsia="Calibri" w:hAnsi="Verdana" w:cs="Arial"/>
          <w:lang w:val="es-ES"/>
        </w:rPr>
        <w:t xml:space="preserve">De esta manera, la selección abreviada se caracteriza por tener etapas sencillas y términos relativamente más cortos que los de la licitación pública, lo cual se justifica por las circunstancias, la naturaleza y los objetos que se contratan, los cuales requieren de procedimientos más agiles, sencillos y eficientes. El Decreto 1082 de 2015 desarrolla las causales, regulando el pliego de condiciones, el procedimiento, las etapas, entre otros. Según el Consejo de Estado, el propósito del legislador es “[…] proveer de mayor agilidad y eficiencia </w:t>
      </w:r>
      <w:r w:rsidRPr="002167F7">
        <w:rPr>
          <w:rFonts w:ascii="Verdana" w:eastAsia="Calibri" w:hAnsi="Verdana" w:cs="Arial"/>
          <w:lang w:val="es-ES"/>
        </w:rPr>
        <w:lastRenderedPageBreak/>
        <w:t>la contratación de algunos bienes o servicios, en los que es deseable la concurrencia de oferentes, pero no en los términos y condiciones de una licitación pública, sino de manera abreviada o, en términos de la ley, simplificada”</w:t>
      </w:r>
      <w:r w:rsidRPr="002167F7">
        <w:rPr>
          <w:rStyle w:val="Refdenotaalpie"/>
          <w:rFonts w:ascii="Verdana" w:eastAsia="Calibri" w:hAnsi="Verdana" w:cs="Arial"/>
          <w:lang w:val="es-ES"/>
        </w:rPr>
        <w:footnoteReference w:id="5"/>
      </w:r>
      <w:r w:rsidRPr="002167F7">
        <w:rPr>
          <w:rFonts w:ascii="Verdana" w:eastAsia="Calibri" w:hAnsi="Verdana" w:cs="Arial"/>
          <w:lang w:val="es-ES"/>
        </w:rPr>
        <w:t xml:space="preserve">. </w:t>
      </w:r>
    </w:p>
    <w:p w14:paraId="36EAD9EC" w14:textId="77777777" w:rsidR="0047433B" w:rsidRPr="002167F7" w:rsidRDefault="0047433B" w:rsidP="0047433B">
      <w:pPr>
        <w:spacing w:before="120" w:after="120" w:line="276" w:lineRule="auto"/>
        <w:ind w:firstLine="708"/>
        <w:jc w:val="both"/>
        <w:rPr>
          <w:rFonts w:ascii="Verdana" w:eastAsia="Times New Roman" w:hAnsi="Verdana" w:cs="Arial"/>
          <w:lang w:val="es-ES" w:eastAsia="es-MX"/>
        </w:rPr>
      </w:pPr>
      <w:r w:rsidRPr="002167F7">
        <w:rPr>
          <w:rFonts w:ascii="Verdana" w:eastAsia="Times New Roman" w:hAnsi="Verdana" w:cs="Arial"/>
          <w:lang w:val="es-ES" w:eastAsia="es-MX"/>
        </w:rPr>
        <w:t>En este sentido</w:t>
      </w:r>
      <w:r>
        <w:rPr>
          <w:rFonts w:ascii="Verdana" w:eastAsia="Times New Roman" w:hAnsi="Verdana" w:cs="Arial"/>
          <w:lang w:val="es-ES" w:eastAsia="es-MX"/>
        </w:rPr>
        <w:t>,</w:t>
      </w:r>
      <w:r w:rsidRPr="002167F7">
        <w:rPr>
          <w:rFonts w:ascii="Verdana" w:eastAsia="Times New Roman" w:hAnsi="Verdana" w:cs="Arial"/>
          <w:lang w:val="es-ES" w:eastAsia="es-MX"/>
        </w:rPr>
        <w:t xml:space="preserve"> cuando se configure alguna de las siguientes circunstancias la Entidad podrá contratar mediante la modalidad de selección abreviada:</w:t>
      </w:r>
    </w:p>
    <w:p w14:paraId="6AB70C59" w14:textId="77777777" w:rsidR="0047433B" w:rsidRPr="002167F7"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La adquisición o suministro de bienes y servicios de características técnicas uniformes y de común utilización por parte de las entidades. Estos bienes corresponden a aquellos que tienen las mismas especificaciones técnicas, con independencia de su diseño o de sus características descriptivas, y comparten patrones de desempeño y calidad objetivamente definidos.</w:t>
      </w:r>
    </w:p>
    <w:p w14:paraId="0B619577" w14:textId="77777777" w:rsidR="0047433B" w:rsidRPr="002167F7" w:rsidRDefault="0047433B" w:rsidP="0047433B">
      <w:pPr>
        <w:spacing w:after="120" w:line="276" w:lineRule="auto"/>
        <w:ind w:left="709"/>
        <w:jc w:val="both"/>
        <w:rPr>
          <w:rFonts w:ascii="Verdana" w:eastAsia="Times New Roman" w:hAnsi="Verdana" w:cs="Arial"/>
          <w:lang w:val="es-ES" w:eastAsia="es-MX"/>
        </w:rPr>
      </w:pPr>
      <w:r w:rsidRPr="002167F7">
        <w:rPr>
          <w:rFonts w:ascii="Verdana" w:eastAsia="Times New Roman" w:hAnsi="Verdana" w:cs="Arial"/>
          <w:lang w:val="es-ES" w:eastAsia="es-MX"/>
        </w:rPr>
        <w:t>Cuando las entidades contraten estos bienes podrán adelantar procesos de selección abreviada por subasta inversa (regulada en los artículos 2.2.1.2.1.2.2. a </w:t>
      </w:r>
      <w:bookmarkStart w:id="5" w:name="2.2.1.2.1.2.6"/>
      <w:bookmarkEnd w:id="5"/>
      <w:r w:rsidRPr="002167F7">
        <w:rPr>
          <w:rFonts w:ascii="Verdana" w:eastAsia="Times New Roman" w:hAnsi="Verdana" w:cs="Arial"/>
          <w:lang w:val="es-ES" w:eastAsia="es-MX"/>
        </w:rPr>
        <w:t>2.2.1.2.1.2.6), mediante compra por catálogo derivado de la celebración de Acuerdos Marco de Precios e Instrumentos de Agregación de Demanda (regulados en los artículos 2.2.1.2.1.2.7. a 2.2.1.2.1.2.10.), o mediante bolsas de productos (</w:t>
      </w:r>
      <w:bookmarkStart w:id="6" w:name="2.2.1.2.1.2.11"/>
      <w:bookmarkEnd w:id="6"/>
      <w:r w:rsidRPr="002167F7">
        <w:rPr>
          <w:rFonts w:ascii="Verdana" w:eastAsia="Times New Roman" w:hAnsi="Verdana" w:cs="Arial"/>
          <w:lang w:val="es-ES" w:eastAsia="es-MX"/>
        </w:rPr>
        <w:t xml:space="preserve">artículos 2.2.1.2.1.2.11. a </w:t>
      </w:r>
      <w:bookmarkStart w:id="7" w:name="2.2.1.2.1.2.19"/>
      <w:bookmarkEnd w:id="7"/>
      <w:r w:rsidRPr="002167F7">
        <w:rPr>
          <w:rFonts w:ascii="Verdana" w:eastAsia="Times New Roman" w:hAnsi="Verdana" w:cs="Arial"/>
          <w:lang w:val="es-ES" w:eastAsia="es-MX"/>
        </w:rPr>
        <w:t>2.2.1.2.1.2.19.)</w:t>
      </w:r>
    </w:p>
    <w:p w14:paraId="39AFB59F" w14:textId="77777777" w:rsidR="0047433B" w:rsidRPr="002167F7"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 xml:space="preserve">Selección Abreviada de Menor cuantía: </w:t>
      </w:r>
      <w:r w:rsidRPr="002167F7">
        <w:rPr>
          <w:rFonts w:ascii="Verdana" w:eastAsia="Calibri" w:hAnsi="Verdana" w:cs="Arial"/>
          <w:color w:val="000000" w:themeColor="text1"/>
        </w:rPr>
        <w:t>se refiere a los procesos contractuales cuyo valor es inferior a los topes que la norma señala respecto del presupuesto anual de la entidad. En relación con las etapas, el artículo 2.2.1.2.1.2.20 del Decreto 1082 de 2015 señala que se rige por las normas generales del título en que se encuentra ubicado dicha norma y por las especiales contenidas en ese artículo</w:t>
      </w:r>
      <w:r w:rsidRPr="002167F7">
        <w:rPr>
          <w:vertAlign w:val="superscript"/>
        </w:rPr>
        <w:footnoteReference w:id="6"/>
      </w:r>
      <w:r w:rsidRPr="002167F7">
        <w:rPr>
          <w:rFonts w:ascii="Verdana" w:eastAsia="Calibri" w:hAnsi="Verdana" w:cs="Arial"/>
          <w:color w:val="000000" w:themeColor="text1"/>
        </w:rPr>
        <w:t xml:space="preserve">. </w:t>
      </w:r>
    </w:p>
    <w:p w14:paraId="24D761DD" w14:textId="77777777" w:rsidR="0047433B" w:rsidRPr="002167F7"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lastRenderedPageBreak/>
        <w:t>La celebración de contratos para la prestación de servicios de salud.</w:t>
      </w:r>
    </w:p>
    <w:p w14:paraId="75D23199" w14:textId="77777777" w:rsidR="0047433B" w:rsidRPr="002167F7"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 xml:space="preserve">La contratación cuyo proceso de licitación pública haya sido declarado desierto, en cuyo caso la entidad deberá iniciar la selección abreviada dentro de los cuatro meses siguientes a la declaración de desierta del proceso inicial. La Entidad Estatal podrá adelantar el Proceso de Contratación correspondiente aplicando las normas del proceso de selección abreviada de menor cuantía, para lo cual deberá prescindir de recibir manifestaciones de interés, y de realizar el sorteo de oferentes. </w:t>
      </w:r>
    </w:p>
    <w:p w14:paraId="1BC5C461" w14:textId="77777777" w:rsidR="0047433B" w:rsidRPr="002167F7"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La enajenación de bienes del Estado, con excepción de aquellos a que se refiere la Ley </w:t>
      </w:r>
      <w:hyperlink r:id="rId13" w:anchor="1" w:history="1">
        <w:r w:rsidRPr="002167F7">
          <w:rPr>
            <w:rFonts w:ascii="Verdana" w:hAnsi="Verdana"/>
            <w:lang w:eastAsia="es-MX"/>
          </w:rPr>
          <w:t>226</w:t>
        </w:r>
      </w:hyperlink>
      <w:r w:rsidRPr="002167F7">
        <w:rPr>
          <w:rFonts w:ascii="Verdana" w:eastAsia="Times New Roman" w:hAnsi="Verdana" w:cs="Arial"/>
          <w:lang w:eastAsia="es-MX"/>
        </w:rPr>
        <w:t> de 1995.</w:t>
      </w:r>
    </w:p>
    <w:p w14:paraId="0D0B7237" w14:textId="77777777" w:rsidR="0047433B" w:rsidRPr="002167F7"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La adquisición de productos de origen o destinación agropecuarios que se ofrezcan en las bolsas de productos legalmente constituidas.</w:t>
      </w:r>
    </w:p>
    <w:p w14:paraId="0B296B92" w14:textId="77777777" w:rsidR="0047433B" w:rsidRPr="002167F7"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Las empresas industriales y comerciales del Estado y las sociedades de economía mixta, sus filiales y las empresas en las cuales el Estado tenga más del cincuenta por ciento (50%) del capital social que no se encuentren en situación de competencia deben utilizar el procedimiento de selección abreviada de menor cuantía para los contratos que tengan como objeto su actividad comercial e industrial, salvo para los contratos de obra pública, consultoría, prestación de servicios, concesión, encargo fiduciario y fiducia pública, para los cuales se aplicará la modalidad que corresponda.</w:t>
      </w:r>
    </w:p>
    <w:p w14:paraId="4F106D5F" w14:textId="77777777" w:rsidR="0047433B" w:rsidRPr="002167F7"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 xml:space="preserve">La contratación de Entidades Estatales dedicadas a la protección de derechos humanos y población con alto grado de vulnerabilidad. Incluye los contratos de entidades a cargo de la ejecución de los programas de protección de personas amenazadas, programas de desmovilización y reincorporación a la vida civil de personas y grupos al margen de la ley, incluida la atención de los respectivos grupos familiares, programas de atención a población desplazada por la violencia, programas de protección de derechos humanos de grupos de personas habitantes de la calle, niños y niñas o jóvenes involucrados en grupos juveniles que hayan incurrido en conductas contra el patrimonio económico y sostengan enfrentamientos violentos de diferente tipo, y población en alto grado de vulnerabilidad con reconocido estado de exclusión que requieran capacitación, resocialización y preparación para el trabajo, incluidos los </w:t>
      </w:r>
      <w:r w:rsidRPr="002167F7">
        <w:rPr>
          <w:rFonts w:ascii="Verdana" w:eastAsia="Times New Roman" w:hAnsi="Verdana" w:cs="Arial"/>
          <w:lang w:eastAsia="es-MX"/>
        </w:rPr>
        <w:lastRenderedPageBreak/>
        <w:t>contratos fiduciarios que demanden. Lo anterior, según lo dispuesto el en literal h) del numeral 2 del artículo 2 de la Ley 1150 de 2007 y el artículo </w:t>
      </w:r>
      <w:bookmarkStart w:id="8" w:name="2.2.1.2.1.2.25"/>
      <w:bookmarkEnd w:id="8"/>
      <w:r w:rsidRPr="002167F7">
        <w:rPr>
          <w:rFonts w:ascii="Verdana" w:eastAsia="Times New Roman" w:hAnsi="Verdana" w:cs="Arial"/>
          <w:lang w:eastAsia="es-MX"/>
        </w:rPr>
        <w:t>2.2.1.2.1.2.25 del Decreto 1082 de 2015.</w:t>
      </w:r>
    </w:p>
    <w:p w14:paraId="4440AB3B" w14:textId="77777777" w:rsidR="0047433B" w:rsidRPr="002167F7"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La adquisición de bienes y servicios que se requieran para la defensa y seguridad nacional se realiza a través del procedimiento para la selección abreviada de menor cuantía.</w:t>
      </w:r>
    </w:p>
    <w:p w14:paraId="7FF5C87A" w14:textId="77777777" w:rsidR="0047433B" w:rsidRDefault="0047433B" w:rsidP="0047433B">
      <w:pPr>
        <w:pStyle w:val="Prrafodelista"/>
        <w:numPr>
          <w:ilvl w:val="0"/>
          <w:numId w:val="18"/>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 xml:space="preserve">Los bienes y servicios no uniformes de común utilización por parte de las entidades públicas, para lo cual esta Agencia puede celebrar acuerdos marco de precios y demás instrumentos de agregación de demanda. </w:t>
      </w:r>
    </w:p>
    <w:p w14:paraId="1318EC8E" w14:textId="77777777" w:rsidR="0047433B" w:rsidRDefault="0047433B" w:rsidP="0047433B">
      <w:pPr>
        <w:spacing w:after="120" w:line="276" w:lineRule="auto"/>
        <w:ind w:firstLine="708"/>
        <w:jc w:val="both"/>
        <w:rPr>
          <w:rFonts w:ascii="Verdana" w:eastAsia="Calibri" w:hAnsi="Verdana" w:cs="Arial"/>
          <w:lang w:val="es-ES"/>
        </w:rPr>
      </w:pPr>
      <w:r w:rsidRPr="00B50EB0">
        <w:rPr>
          <w:rFonts w:ascii="Verdana" w:eastAsia="Calibri" w:hAnsi="Verdana" w:cs="Arial"/>
          <w:lang w:val="es-ES"/>
        </w:rPr>
        <w:t>En este contexto, la determinación de la causal de selección abreviada aplicable dependerá de que el objeto a contratar se encuentre comprendido dentro de alguna de estas circunstancias. Para ello, la entidad deberá realizar, en la etapa de planeación del proceso de contratación, un análisis detallado de las actividades a desarrollar, los bienes o servicios a adquirir, sus especificaciones técnicas, la naturaleza de la entidad y los demás aspectos relevantes que permitan establecer la procedencia de alguna de dichas causales</w:t>
      </w:r>
      <w:r>
        <w:rPr>
          <w:rFonts w:ascii="Verdana" w:eastAsia="Calibri" w:hAnsi="Verdana" w:cs="Arial"/>
          <w:lang w:val="es-ES"/>
        </w:rPr>
        <w:t>.</w:t>
      </w:r>
    </w:p>
    <w:p w14:paraId="3E37BD5B" w14:textId="77777777" w:rsidR="0047433B" w:rsidRPr="0072491D" w:rsidRDefault="0047433B" w:rsidP="0047433B">
      <w:pPr>
        <w:spacing w:after="120" w:line="276" w:lineRule="auto"/>
        <w:ind w:firstLine="709"/>
        <w:jc w:val="both"/>
        <w:rPr>
          <w:rFonts w:ascii="Verdana" w:eastAsia="Calibri" w:hAnsi="Verdana" w:cs="Arial"/>
          <w:lang w:val="es-ES"/>
        </w:rPr>
      </w:pPr>
      <w:r w:rsidRPr="002167F7">
        <w:rPr>
          <w:rFonts w:ascii="Verdana" w:eastAsia="Times New Roman" w:hAnsi="Verdana" w:cs="Arial"/>
          <w:lang w:val="es-ES" w:eastAsia="es-MX"/>
        </w:rPr>
        <w:t xml:space="preserve">En tercer lugar, las Entidades Estatales podrán acudir a la modalidad denominada </w:t>
      </w:r>
      <w:r w:rsidRPr="002167F7">
        <w:rPr>
          <w:rFonts w:ascii="Verdana" w:eastAsia="Times New Roman" w:hAnsi="Verdana" w:cs="Arial"/>
          <w:i/>
          <w:iCs/>
          <w:lang w:val="es-ES" w:eastAsia="es-MX"/>
        </w:rPr>
        <w:t>concurso de méritos</w:t>
      </w:r>
      <w:r w:rsidRPr="002167F7">
        <w:rPr>
          <w:rFonts w:ascii="Verdana" w:eastAsia="Times New Roman" w:hAnsi="Verdana" w:cs="Arial"/>
          <w:lang w:val="es-ES" w:eastAsia="es-MX"/>
        </w:rPr>
        <w:t xml:space="preserve"> para la selección de consultores o proyectos</w:t>
      </w:r>
      <w:r w:rsidRPr="002167F7">
        <w:rPr>
          <w:rFonts w:ascii="Verdana" w:hAnsi="Verdana"/>
          <w:vertAlign w:val="superscript"/>
          <w:lang w:val="es-ES" w:eastAsia="es-ES_tradnl"/>
        </w:rPr>
        <w:footnoteReference w:id="7"/>
      </w:r>
      <w:r w:rsidRPr="002167F7">
        <w:rPr>
          <w:rFonts w:ascii="Verdana" w:eastAsia="Times New Roman" w:hAnsi="Verdana" w:cs="Arial"/>
          <w:lang w:val="es-ES" w:eastAsia="es-MX"/>
        </w:rPr>
        <w:t>.</w:t>
      </w:r>
      <w:r w:rsidRPr="002167F7">
        <w:rPr>
          <w:rFonts w:ascii="Verdana" w:hAnsi="Verdana" w:cs="Arial"/>
          <w:color w:val="000000" w:themeColor="text1"/>
          <w:lang w:val="es-ES"/>
        </w:rPr>
        <w:t xml:space="preserve"> En otras palabras, el concurso de méritos es un procedimiento de selección que deben realizar las Entidades Estatales para celebrar contratos de consultoría, entendidos como aquellos “[…]referidos a los estudios necesarios para la ejecución de proyectos de inversión, estudios de diagnóstico, prefactibilidad o factibilidad para programas o proyectos específicos, así como a las asesorías técnicas de coordinación, control y supervisión”, según lo dispuesto en el artículo 32, numeral 2, de la Ley 80 de 1993.</w:t>
      </w:r>
      <w:r w:rsidRPr="002167F7">
        <w:rPr>
          <w:rFonts w:ascii="Verdana" w:eastAsia="Calibri" w:hAnsi="Verdana" w:cs="Arial"/>
          <w:bCs/>
          <w:lang w:val="es-ES"/>
        </w:rPr>
        <w:t xml:space="preserve"> Así mismo, son contratos de consultoría los que tienen por objeto la interventoría, asesoría, gerencia de obra o de </w:t>
      </w:r>
      <w:r w:rsidRPr="002167F7">
        <w:rPr>
          <w:rFonts w:ascii="Verdana" w:eastAsia="Calibri" w:hAnsi="Verdana" w:cs="Arial"/>
          <w:bCs/>
          <w:lang w:val="es-ES"/>
        </w:rPr>
        <w:lastRenderedPageBreak/>
        <w:t>proyectos, dirección, programación y la ejecución de diseños, planos, anteproyectos y proyectos</w:t>
      </w:r>
      <w:r w:rsidRPr="002167F7">
        <w:rPr>
          <w:rStyle w:val="Refdenotaalpie"/>
          <w:rFonts w:ascii="Verdana" w:eastAsia="Calibri" w:hAnsi="Verdana" w:cs="Arial"/>
          <w:lang w:val="es-ES"/>
        </w:rPr>
        <w:footnoteReference w:id="8"/>
      </w:r>
      <w:r w:rsidRPr="002167F7">
        <w:rPr>
          <w:rFonts w:ascii="Verdana" w:eastAsia="Calibri" w:hAnsi="Verdana" w:cs="Arial"/>
          <w:bCs/>
          <w:lang w:val="es-ES"/>
        </w:rPr>
        <w:t>.</w:t>
      </w:r>
    </w:p>
    <w:p w14:paraId="7B68279E" w14:textId="77777777" w:rsidR="0047433B" w:rsidRPr="002167F7" w:rsidRDefault="0047433B" w:rsidP="0047433B">
      <w:pPr>
        <w:spacing w:line="276" w:lineRule="auto"/>
        <w:ind w:firstLine="709"/>
        <w:jc w:val="both"/>
        <w:rPr>
          <w:rFonts w:ascii="Verdana" w:eastAsia="Calibri" w:hAnsi="Verdana" w:cs="Arial"/>
          <w:lang w:val="es-ES"/>
        </w:rPr>
      </w:pPr>
      <w:r w:rsidRPr="002167F7">
        <w:rPr>
          <w:rFonts w:ascii="Verdana" w:eastAsia="Calibri" w:hAnsi="Verdana" w:cs="Arial"/>
          <w:bCs/>
          <w:lang w:val="es-ES"/>
        </w:rPr>
        <w:t>Bajo este entendimiento, la característica fundamental para identificar los contratos estatales de consultoría es el carácter ampliamente técnico de su contenido, que se diferencia de otros tipos contractuales, como el de prestación de servicios –apoyo a la gestión, servicios profesionales o de ejecución de trabajos artísticos–.</w:t>
      </w:r>
      <w:r w:rsidRPr="002167F7">
        <w:rPr>
          <w:rFonts w:ascii="Verdana" w:hAnsi="Verdana" w:cs="Arial"/>
          <w:lang w:val="es-ES"/>
        </w:rPr>
        <w:t xml:space="preserve"> En este sentido, son contratos de consultoría aquellos que incluyen dentro de su objeto la realización de actividades que se relacionan o se vinculan con las actividades descritas en el artículo </w:t>
      </w:r>
      <w:r w:rsidRPr="002167F7">
        <w:rPr>
          <w:rFonts w:ascii="Verdana" w:eastAsia="Calibri" w:hAnsi="Verdana" w:cs="Arial"/>
          <w:lang w:val="es-ES"/>
        </w:rPr>
        <w:t>32, numeral 2, de la Ley 80 de 1993, es decir, con funciones técnicas y especializadas.</w:t>
      </w:r>
    </w:p>
    <w:p w14:paraId="65C4D740" w14:textId="77777777" w:rsidR="0047433B" w:rsidRDefault="0047433B" w:rsidP="0047433B">
      <w:pPr>
        <w:spacing w:after="120" w:line="276" w:lineRule="auto"/>
        <w:ind w:firstLine="709"/>
        <w:jc w:val="both"/>
        <w:rPr>
          <w:rFonts w:ascii="Verdana" w:hAnsi="Verdana" w:cs="Arial"/>
          <w:lang w:val="es-ES"/>
        </w:rPr>
      </w:pPr>
      <w:r w:rsidRPr="002167F7">
        <w:rPr>
          <w:rFonts w:ascii="Verdana" w:hAnsi="Verdana" w:cs="Arial"/>
          <w:lang w:val="es-ES"/>
        </w:rPr>
        <w:t>Adicionalmente, según lo expuesto en el artículo 2.2.1.2.1.3.1.  del Decreto 1082</w:t>
      </w:r>
      <w:r>
        <w:rPr>
          <w:rFonts w:ascii="Verdana" w:hAnsi="Verdana" w:cs="Arial"/>
          <w:lang w:val="es-ES"/>
        </w:rPr>
        <w:t xml:space="preserve"> de 2015</w:t>
      </w:r>
      <w:r w:rsidRPr="002167F7">
        <w:rPr>
          <w:rFonts w:ascii="Verdana" w:hAnsi="Verdana" w:cs="Arial"/>
          <w:lang w:val="es-ES"/>
        </w:rPr>
        <w:t>, las Entidades Estatales deben seleccionar sus contratistas a través del concurso de méritos no solo para la prestación de servicios de consultoría a los que se refiere la ley 80 de 199</w:t>
      </w:r>
      <w:r>
        <w:rPr>
          <w:rFonts w:ascii="Verdana" w:hAnsi="Verdana" w:cs="Arial"/>
          <w:lang w:val="es-ES"/>
        </w:rPr>
        <w:t>3,</w:t>
      </w:r>
      <w:r w:rsidRPr="002167F7">
        <w:rPr>
          <w:rFonts w:ascii="Verdana" w:hAnsi="Verdana" w:cs="Arial"/>
          <w:lang w:val="es-ES"/>
        </w:rPr>
        <w:t xml:space="preserve"> sino también para selección de consultores de diseño, planos, anteproyectos y proyectos arquitectónicos.</w:t>
      </w:r>
      <w:r>
        <w:rPr>
          <w:rFonts w:ascii="Verdana" w:hAnsi="Verdana" w:cs="Arial"/>
          <w:lang w:val="es-ES"/>
        </w:rPr>
        <w:t xml:space="preserve"> </w:t>
      </w:r>
      <w:r w:rsidRPr="002167F7">
        <w:rPr>
          <w:rFonts w:ascii="Verdana" w:hAnsi="Verdana" w:cs="Arial"/>
          <w:lang w:val="es-ES"/>
        </w:rPr>
        <w:t xml:space="preserve">El procedimiento para la selección de proyectos de arquitectura es el establecido en los artículos 2.2.1.2.1.3.8 al 2.2.1.2.1.3.25 de dicho decreto, </w:t>
      </w:r>
      <w:r>
        <w:rPr>
          <w:rFonts w:ascii="Verdana" w:hAnsi="Verdana" w:cs="Arial"/>
          <w:lang w:val="es-ES"/>
        </w:rPr>
        <w:t xml:space="preserve">y </w:t>
      </w:r>
      <w:r w:rsidRPr="002167F7">
        <w:rPr>
          <w:rFonts w:ascii="Verdana" w:hAnsi="Verdana" w:cs="Arial"/>
          <w:lang w:val="es-ES"/>
        </w:rPr>
        <w:t>el procedimiento para consultoría será el establecido en los artículos </w:t>
      </w:r>
      <w:bookmarkStart w:id="9" w:name="2.2.1.2.1.3.2"/>
      <w:bookmarkEnd w:id="9"/>
      <w:r w:rsidRPr="002167F7">
        <w:rPr>
          <w:rFonts w:ascii="Verdana" w:hAnsi="Verdana" w:cs="Arial"/>
          <w:lang w:val="es-ES"/>
        </w:rPr>
        <w:t>2.2.1.2.1.3.2. a 2.2.1.2.1.3.7.</w:t>
      </w:r>
    </w:p>
    <w:p w14:paraId="4B82A005" w14:textId="77777777" w:rsidR="0047433B" w:rsidRPr="002167F7" w:rsidRDefault="0047433B" w:rsidP="0047433B">
      <w:pPr>
        <w:spacing w:after="120" w:line="276" w:lineRule="auto"/>
        <w:jc w:val="both"/>
        <w:rPr>
          <w:rFonts w:ascii="Verdana" w:hAnsi="Verdana" w:cs="Arial"/>
          <w:lang w:val="es-ES"/>
        </w:rPr>
      </w:pPr>
      <w:r w:rsidRPr="002167F7">
        <w:rPr>
          <w:rFonts w:ascii="Verdana" w:hAnsi="Verdana" w:cs="Arial"/>
          <w:lang w:val="es-ES"/>
        </w:rPr>
        <w:tab/>
        <w:t xml:space="preserve">En cuarto lugar, la modalidad </w:t>
      </w:r>
      <w:r w:rsidRPr="002167F7">
        <w:rPr>
          <w:rFonts w:ascii="Verdana" w:hAnsi="Verdana" w:cs="Arial"/>
          <w:i/>
          <w:iCs/>
          <w:lang w:val="es-ES"/>
        </w:rPr>
        <w:t>de mínima cuantía</w:t>
      </w:r>
      <w:r w:rsidRPr="002167F7">
        <w:rPr>
          <w:rFonts w:ascii="Verdana" w:hAnsi="Verdana" w:cs="Arial"/>
          <w:lang w:val="es-ES"/>
        </w:rPr>
        <w:t xml:space="preserve"> será aplicable siempre que el valor de la adquisición de los bienes, obras y/o servicios, no exceda el diez por ciento (10%) de la menor cuantía de la Entidad Estatal. Es decir, que </w:t>
      </w:r>
      <w:r>
        <w:rPr>
          <w:rFonts w:ascii="Verdana" w:hAnsi="Verdana" w:cs="Arial"/>
          <w:lang w:val="es-ES"/>
        </w:rPr>
        <w:t xml:space="preserve">será procedente </w:t>
      </w:r>
      <w:r w:rsidRPr="002167F7">
        <w:rPr>
          <w:rFonts w:ascii="Verdana" w:hAnsi="Verdana" w:cs="Arial"/>
          <w:lang w:val="es-ES"/>
        </w:rPr>
        <w:t xml:space="preserve">cuando se cumpla este requisito, independientemente del objeto a contratar. </w:t>
      </w:r>
      <w:r>
        <w:rPr>
          <w:rFonts w:ascii="Verdana" w:hAnsi="Verdana" w:cs="Arial"/>
          <w:lang w:val="es-ES"/>
        </w:rPr>
        <w:t>E</w:t>
      </w:r>
      <w:r w:rsidRPr="002167F7">
        <w:rPr>
          <w:rFonts w:ascii="Verdana" w:hAnsi="Verdana" w:cs="Arial"/>
          <w:lang w:val="es-ES"/>
        </w:rPr>
        <w:t xml:space="preserve">sta modalidad establece un procedimiento expedito y competitivo </w:t>
      </w:r>
      <w:r>
        <w:rPr>
          <w:rFonts w:ascii="Verdana" w:hAnsi="Verdana" w:cs="Arial"/>
          <w:lang w:val="es-ES"/>
        </w:rPr>
        <w:t xml:space="preserve">que se rige por lo dispuesto </w:t>
      </w:r>
      <w:r w:rsidRPr="002167F7">
        <w:rPr>
          <w:rFonts w:ascii="Verdana" w:hAnsi="Verdana" w:cs="Arial"/>
          <w:lang w:val="es-ES"/>
        </w:rPr>
        <w:t xml:space="preserve">en los artículos 2.2.1.2.1.5.1. a 2.2.1.2.1.5.6.  del Decreto 1082 de 2015. En términos generales, se caracteriza porque la entidad podrá exigir una capacidad financiera mínima, la publicación de la invitación se realiza por término no inferior a un (1) día hábil </w:t>
      </w:r>
      <w:r w:rsidRPr="002167F7">
        <w:rPr>
          <w:rFonts w:ascii="Verdana" w:hAnsi="Verdana" w:cs="Arial"/>
          <w:lang w:val="es-ES"/>
        </w:rPr>
        <w:lastRenderedPageBreak/>
        <w:t xml:space="preserve">para la formulación de observaciones o comentarios, y porque el único criterio de evaluación para determinar la oferta más favorable es el menor precio. </w:t>
      </w:r>
    </w:p>
    <w:p w14:paraId="6D41BDA0" w14:textId="77777777" w:rsidR="0047433B" w:rsidRPr="002167F7" w:rsidRDefault="0047433B" w:rsidP="0047433B">
      <w:pPr>
        <w:spacing w:after="120" w:line="276" w:lineRule="auto"/>
        <w:ind w:firstLine="708"/>
        <w:jc w:val="both"/>
        <w:rPr>
          <w:rFonts w:ascii="Verdana" w:eastAsia="Arial MT" w:hAnsi="Verdana" w:cs="Arial"/>
          <w:lang w:val="es-ES" w:eastAsia="es-ES" w:bidi="es-ES"/>
        </w:rPr>
      </w:pPr>
      <w:r w:rsidRPr="002167F7">
        <w:rPr>
          <w:rFonts w:ascii="Verdana" w:eastAsia="Times New Roman" w:hAnsi="Verdana" w:cs="Arial"/>
          <w:lang w:val="es-ES" w:eastAsia="es-MX"/>
        </w:rPr>
        <w:t xml:space="preserve">Finalmente, las entidades podrán contratar mediante la modalidad de </w:t>
      </w:r>
      <w:r w:rsidRPr="002167F7">
        <w:rPr>
          <w:rFonts w:ascii="Verdana" w:eastAsia="Times New Roman" w:hAnsi="Verdana" w:cs="Arial"/>
          <w:i/>
          <w:iCs/>
          <w:lang w:val="es-ES" w:eastAsia="es-MX"/>
        </w:rPr>
        <w:t>contratación directa</w:t>
      </w:r>
      <w:r w:rsidRPr="002167F7">
        <w:rPr>
          <w:rFonts w:ascii="Verdana" w:eastAsia="Times New Roman" w:hAnsi="Verdana" w:cs="Arial"/>
          <w:lang w:val="es-ES" w:eastAsia="es-MX"/>
        </w:rPr>
        <w:t xml:space="preserve"> únicamente cuando se configure alguna de las causales expresamente establecidas en </w:t>
      </w:r>
      <w:r>
        <w:rPr>
          <w:rFonts w:ascii="Verdana" w:eastAsia="Times New Roman" w:hAnsi="Verdana" w:cs="Arial"/>
          <w:lang w:val="es-ES" w:eastAsia="es-MX"/>
        </w:rPr>
        <w:t>el</w:t>
      </w:r>
      <w:r w:rsidRPr="002167F7">
        <w:rPr>
          <w:rFonts w:ascii="Verdana" w:eastAsia="Times New Roman" w:hAnsi="Verdana" w:cs="Arial"/>
          <w:lang w:val="es-ES" w:eastAsia="es-MX"/>
        </w:rPr>
        <w:t xml:space="preserve"> artículo 2.4 de la </w:t>
      </w:r>
      <w:r>
        <w:rPr>
          <w:rFonts w:ascii="Verdana" w:eastAsia="Times New Roman" w:hAnsi="Verdana" w:cs="Arial"/>
          <w:lang w:val="es-ES" w:eastAsia="es-MX"/>
        </w:rPr>
        <w:t>L</w:t>
      </w:r>
      <w:r w:rsidRPr="002167F7">
        <w:rPr>
          <w:rFonts w:ascii="Verdana" w:eastAsia="Times New Roman" w:hAnsi="Verdana" w:cs="Arial"/>
          <w:lang w:val="es-ES" w:eastAsia="es-MX"/>
        </w:rPr>
        <w:t xml:space="preserve">ey 1150 de 2007 y </w:t>
      </w:r>
      <w:r>
        <w:rPr>
          <w:rFonts w:ascii="Verdana" w:eastAsia="Times New Roman" w:hAnsi="Verdana" w:cs="Arial"/>
          <w:lang w:val="es-ES" w:eastAsia="es-MX"/>
        </w:rPr>
        <w:t xml:space="preserve">los artículos </w:t>
      </w:r>
      <w:r w:rsidRPr="002167F7">
        <w:rPr>
          <w:rFonts w:ascii="Verdana" w:eastAsia="Times New Roman" w:hAnsi="Verdana" w:cs="Arial"/>
          <w:lang w:val="es-ES" w:eastAsia="es-MX"/>
        </w:rPr>
        <w:t>2.2.1.2.1.4.1. al 2.2.1.2.1.4.11. del Decreto 1082 de 2015.</w:t>
      </w:r>
      <w:r w:rsidRPr="002167F7">
        <w:rPr>
          <w:rFonts w:ascii="Verdana" w:eastAsia="Arial MT" w:hAnsi="Verdana" w:cs="Arial"/>
          <w:lang w:val="es-ES" w:eastAsia="es-ES" w:bidi="es-ES"/>
        </w:rPr>
        <w:t xml:space="preserve"> Si bien la licitación pública es la modalidad de selección que constituye la regla general para las entidades regidas por el EGCAP, estas normas consagran algunas excepciones que atienden a la necesidad de proteger principios como la eficiencia, la eficacia, la economía, la celeridad o la integridad de las personas. Por esta razón, en los procesos que se adelanten directamente, las entidades deberán emitir un acto administrativo en el cual justifiquen la elección de esta modalidad.</w:t>
      </w:r>
    </w:p>
    <w:p w14:paraId="0E148CDA" w14:textId="77777777" w:rsidR="0047433B" w:rsidRPr="002167F7" w:rsidRDefault="0047433B" w:rsidP="0047433B">
      <w:pPr>
        <w:spacing w:after="120" w:line="276" w:lineRule="auto"/>
        <w:ind w:firstLine="708"/>
        <w:jc w:val="both"/>
        <w:rPr>
          <w:rFonts w:ascii="Verdana" w:hAnsi="Verdana" w:cs="Arial"/>
          <w:lang w:val="es-ES"/>
        </w:rPr>
      </w:pPr>
      <w:r w:rsidRPr="002167F7">
        <w:rPr>
          <w:rFonts w:ascii="Verdana" w:eastAsia="Arial MT" w:hAnsi="Verdana" w:cs="Arial"/>
          <w:lang w:val="es-ES" w:eastAsia="es-ES" w:bidi="es-ES"/>
        </w:rPr>
        <w:t xml:space="preserve"> </w:t>
      </w:r>
      <w:r w:rsidRPr="002167F7">
        <w:rPr>
          <w:rFonts w:ascii="Verdana" w:hAnsi="Verdana" w:cs="Arial"/>
          <w:lang w:val="es-ES"/>
        </w:rPr>
        <w:t>La contratación directa únicamente será procedente en los siguientes casos:</w:t>
      </w:r>
    </w:p>
    <w:p w14:paraId="456C460F"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Cuando se configuren</w:t>
      </w:r>
      <w:r>
        <w:rPr>
          <w:rFonts w:ascii="Verdana" w:eastAsia="Times New Roman" w:hAnsi="Verdana" w:cs="Arial"/>
          <w:lang w:eastAsia="es-MX"/>
        </w:rPr>
        <w:t xml:space="preserve"> los supuestos de la</w:t>
      </w:r>
      <w:r w:rsidRPr="002167F7">
        <w:rPr>
          <w:rFonts w:ascii="Verdana" w:eastAsia="Times New Roman" w:hAnsi="Verdana" w:cs="Arial"/>
          <w:lang w:eastAsia="es-MX"/>
        </w:rPr>
        <w:t xml:space="preserve"> urgencia manifiesta.</w:t>
      </w:r>
    </w:p>
    <w:p w14:paraId="65C8967F"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Pr>
          <w:rFonts w:ascii="Verdana" w:eastAsia="Times New Roman" w:hAnsi="Verdana" w:cs="Arial"/>
          <w:lang w:eastAsia="es-MX"/>
        </w:rPr>
        <w:t>Para la c</w:t>
      </w:r>
      <w:r w:rsidRPr="002167F7">
        <w:rPr>
          <w:rFonts w:ascii="Verdana" w:eastAsia="Times New Roman" w:hAnsi="Verdana" w:cs="Arial"/>
          <w:lang w:eastAsia="es-MX"/>
        </w:rPr>
        <w:t>ontratación de empréstitos.</w:t>
      </w:r>
    </w:p>
    <w:p w14:paraId="5B42794D"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 xml:space="preserve">La celebración de contratos interadministrativos, siempre que las obligaciones derivadas del mismo tengan relación directa con el objeto de la entidad ejecutora señalado en la ley o en sus reglamentos, salvo en los casos señalados en el literal c) del artículo 2.4 de la Ley 1150 de 2007. Éstos obedecen a un criterio orgánico, de modo que se configuran cuando se celebren entre </w:t>
      </w:r>
      <w:r>
        <w:rPr>
          <w:rFonts w:ascii="Verdana" w:eastAsia="Times New Roman" w:hAnsi="Verdana" w:cs="Arial"/>
          <w:lang w:eastAsia="es-MX"/>
        </w:rPr>
        <w:t>E</w:t>
      </w:r>
      <w:r w:rsidRPr="002167F7">
        <w:rPr>
          <w:rFonts w:ascii="Verdana" w:eastAsia="Times New Roman" w:hAnsi="Verdana" w:cs="Arial"/>
          <w:lang w:eastAsia="es-MX"/>
        </w:rPr>
        <w:t xml:space="preserve">ntidades </w:t>
      </w:r>
      <w:r>
        <w:rPr>
          <w:rFonts w:ascii="Verdana" w:eastAsia="Times New Roman" w:hAnsi="Verdana" w:cs="Arial"/>
          <w:lang w:eastAsia="es-MX"/>
        </w:rPr>
        <w:t>E</w:t>
      </w:r>
      <w:r w:rsidRPr="002167F7">
        <w:rPr>
          <w:rFonts w:ascii="Verdana" w:eastAsia="Times New Roman" w:hAnsi="Verdana" w:cs="Arial"/>
          <w:lang w:eastAsia="es-MX"/>
        </w:rPr>
        <w:t xml:space="preserve">statales. </w:t>
      </w:r>
    </w:p>
    <w:p w14:paraId="20345FC8"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La contratación de bienes y servicios en el sector Defensa y en el Departamento Administrativo de Seguridad, DAS (hoy Departamento Administrativo Dirección Nacional de Inteligencia), que necesiten reserva para su adquisición.</w:t>
      </w:r>
    </w:p>
    <w:p w14:paraId="144B4936"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Los contratos para el desarrollo de actividades científicas y tecnológicas, según lo dispuesto en el Decreto-Ley 591 y 393 de 1991.</w:t>
      </w:r>
    </w:p>
    <w:p w14:paraId="27445005"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Los contratos de encargo fiduciario que celebren las entidades territoriales cuando inician el Acuerdo de Reestructuración de Pasivos a que se refieren las Leyes 550 de 1999, 617 de 2000 y las normas que las modifiquen o adicionen, siempre y cuando los celebren con entidades financieras del sector público</w:t>
      </w:r>
      <w:r>
        <w:rPr>
          <w:rFonts w:ascii="Verdana" w:eastAsia="Times New Roman" w:hAnsi="Verdana" w:cs="Arial"/>
          <w:lang w:eastAsia="es-MX"/>
        </w:rPr>
        <w:t>.</w:t>
      </w:r>
    </w:p>
    <w:p w14:paraId="02BE9A86"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 xml:space="preserve">Cuando no exista pluralidad de oferentes en el mercado, es decir, cuando existe solamente una persona que puede proveer el bien o el servicio por </w:t>
      </w:r>
      <w:r w:rsidRPr="002167F7">
        <w:rPr>
          <w:rFonts w:ascii="Verdana" w:eastAsia="Times New Roman" w:hAnsi="Verdana" w:cs="Arial"/>
          <w:lang w:eastAsia="es-MX"/>
        </w:rPr>
        <w:lastRenderedPageBreak/>
        <w:t>ser titular de los derechos de propiedad industrial o de los derechos de autor, o por ser proveedor exclusivo en el territorio nacional</w:t>
      </w:r>
      <w:r w:rsidRPr="002167F7">
        <w:rPr>
          <w:rFonts w:ascii="Verdana" w:eastAsia="Arial" w:hAnsi="Verdana" w:cs="Arial"/>
          <w:vertAlign w:val="superscript"/>
        </w:rPr>
        <w:footnoteReference w:id="9"/>
      </w:r>
      <w:r w:rsidRPr="002167F7">
        <w:rPr>
          <w:rFonts w:ascii="Verdana" w:eastAsia="Times New Roman" w:hAnsi="Verdana" w:cs="Arial"/>
          <w:lang w:eastAsia="es-MX"/>
        </w:rPr>
        <w:t>. </w:t>
      </w:r>
    </w:p>
    <w:p w14:paraId="653ABDD3"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Para la prestación de servicios profesionales y de apoyo a la gestión, o para la ejecución de trabajos artísticos que sólo puedan encomendarse a determinadas personas naturales</w:t>
      </w:r>
      <w:r w:rsidRPr="002167F7">
        <w:rPr>
          <w:rFonts w:ascii="Verdana" w:eastAsia="Arial" w:hAnsi="Verdana" w:cs="Arial"/>
          <w:vertAlign w:val="superscript"/>
        </w:rPr>
        <w:footnoteReference w:id="10"/>
      </w:r>
      <w:r w:rsidRPr="002167F7">
        <w:rPr>
          <w:rFonts w:ascii="Verdana" w:eastAsia="Times New Roman" w:hAnsi="Verdana" w:cs="Arial"/>
          <w:lang w:eastAsia="es-MX"/>
        </w:rPr>
        <w:t>. 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19913BDF"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El arrendamiento o adquisición de inmuebles, según las reglas establecidas en los artículos 2.2.1.2.1.4.10 y 2.2.1.2.1.4.11</w:t>
      </w:r>
      <w:r>
        <w:rPr>
          <w:rFonts w:ascii="Verdana" w:eastAsia="Times New Roman" w:hAnsi="Verdana" w:cs="Arial"/>
          <w:lang w:eastAsia="es-MX"/>
        </w:rPr>
        <w:t xml:space="preserve"> de Decreto 1082 de 2015</w:t>
      </w:r>
      <w:r w:rsidRPr="002167F7">
        <w:rPr>
          <w:rFonts w:ascii="Verdana" w:eastAsia="Times New Roman" w:hAnsi="Verdana" w:cs="Arial"/>
          <w:lang w:eastAsia="es-MX"/>
        </w:rPr>
        <w:t>. </w:t>
      </w:r>
    </w:p>
    <w:p w14:paraId="73B299EC"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La contratación de bienes y servicios de la Dirección Nacional de Inteligencia y la Unidad Nacional de Protección que requieran reserva para su adquisición.</w:t>
      </w:r>
    </w:p>
    <w:p w14:paraId="25C7F09E"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La selección de peritos expertos o asesores técnicos para presentar o contradecir el dictamen pericial en procesos judiciales.</w:t>
      </w:r>
    </w:p>
    <w:p w14:paraId="026696DF"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Los contratos o convenios que suscriban</w:t>
      </w:r>
      <w:r>
        <w:rPr>
          <w:rFonts w:ascii="Verdana" w:eastAsia="Times New Roman" w:hAnsi="Verdana" w:cs="Arial"/>
          <w:lang w:eastAsia="es-MX"/>
        </w:rPr>
        <w:t xml:space="preserve"> las entidades</w:t>
      </w:r>
      <w:r w:rsidRPr="002167F7">
        <w:rPr>
          <w:rFonts w:ascii="Verdana" w:eastAsia="Times New Roman" w:hAnsi="Verdana" w:cs="Arial"/>
          <w:lang w:eastAsia="es-MX"/>
        </w:rPr>
        <w:t xml:space="preserve"> con los Cabildos Indígenas, las asociaciones de Cabildos Indígenas y/o Autoridades Tradicionales Indígenas, Consejos Indígenas y Organizaciones Indígenas con capacidad para contratar cuyo objeto esté relacionado con la ejecución de programas, planes y proyectos del plan de desarrollo relacionados con el fortalecimiento del gobierno propio, la identidad cultural, el ejercicio de la autonomía, la garantía de los derechos, satisfacción de necesidades y/o servicios públicos de los pueblos y comunidades indígenas. </w:t>
      </w:r>
    </w:p>
    <w:p w14:paraId="34B6A8B4"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Los contratos que suscriban con</w:t>
      </w:r>
      <w:r>
        <w:rPr>
          <w:rFonts w:ascii="Verdana" w:eastAsia="Times New Roman" w:hAnsi="Verdana" w:cs="Arial"/>
          <w:lang w:eastAsia="es-MX"/>
        </w:rPr>
        <w:t xml:space="preserve"> las entidades con</w:t>
      </w:r>
      <w:r w:rsidRPr="002167F7">
        <w:rPr>
          <w:rFonts w:ascii="Verdana" w:eastAsia="Times New Roman" w:hAnsi="Verdana" w:cs="Arial"/>
          <w:lang w:eastAsia="es-MX"/>
        </w:rPr>
        <w:t xml:space="preserve"> los consejos comunitarios de las comunidades negras regulados por la Ley </w:t>
      </w:r>
      <w:hyperlink r:id="rId14" w:anchor="INICIO" w:history="1">
        <w:r w:rsidRPr="002167F7">
          <w:rPr>
            <w:rFonts w:ascii="Verdana" w:eastAsia="Times New Roman" w:hAnsi="Verdana" w:cs="Arial"/>
            <w:lang w:eastAsia="es-MX"/>
          </w:rPr>
          <w:t>70</w:t>
        </w:r>
      </w:hyperlink>
      <w:r w:rsidRPr="002167F7">
        <w:rPr>
          <w:rFonts w:ascii="Verdana" w:eastAsia="Times New Roman" w:hAnsi="Verdana" w:cs="Arial"/>
          <w:lang w:eastAsia="es-MX"/>
        </w:rPr>
        <w:t xml:space="preserve"> de 1993, que se encuentren incorporados por el Ministerio del Interior en el correspondiente Registro Público Único Nacional y que hayan cumplido con el deber de actualización de información en el mismo registro, cuyo </w:t>
      </w:r>
      <w:r w:rsidRPr="002167F7">
        <w:rPr>
          <w:rFonts w:ascii="Verdana" w:eastAsia="Times New Roman" w:hAnsi="Verdana" w:cs="Arial"/>
          <w:lang w:eastAsia="es-MX"/>
        </w:rPr>
        <w:lastRenderedPageBreak/>
        <w:t>objeto esté relacionado con el fortalecimiento del gobierno propio, la identidad étnica y cultural, el ejercicio de la autonomía, y/o la garantía de los derechos de los pueblos de las mismas comunidades.</w:t>
      </w:r>
    </w:p>
    <w:p w14:paraId="5E72C401"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 xml:space="preserve">Los contratos que suscriban </w:t>
      </w:r>
      <w:r>
        <w:rPr>
          <w:rFonts w:ascii="Verdana" w:eastAsia="Times New Roman" w:hAnsi="Verdana" w:cs="Arial"/>
          <w:lang w:eastAsia="es-MX"/>
        </w:rPr>
        <w:t xml:space="preserve">las entidades </w:t>
      </w:r>
      <w:r w:rsidRPr="002167F7">
        <w:rPr>
          <w:rFonts w:ascii="Verdana" w:eastAsia="Times New Roman" w:hAnsi="Verdana" w:cs="Arial"/>
          <w:lang w:eastAsia="es-MX"/>
        </w:rPr>
        <w:t>con las organizaciones de base de personas pertenecientes a poblaciones afrocolombianas, raizales y palenqueras o con las demás formas y expresiones organizativas, que cuenten con diez (10) años o más de haber sido incorporados por el Ministerio del Interior en el correspondiente Registro Público Único Nacional y que hayan cumplido con el deber de actualización de información en el mismo registro, cuyo objeto esté relacionado con el fortalecimiento de sus organizaciones, la identidad étnica y cultural, y/o la garantía de los derechos de las poblaciones de las mismas organizaciones</w:t>
      </w:r>
      <w:r w:rsidRPr="002167F7">
        <w:rPr>
          <w:rFonts w:ascii="Verdana" w:eastAsia="Arial" w:hAnsi="Verdana" w:cs="Arial"/>
          <w:vertAlign w:val="superscript"/>
        </w:rPr>
        <w:footnoteReference w:id="11"/>
      </w:r>
      <w:r w:rsidRPr="002167F7">
        <w:rPr>
          <w:rFonts w:ascii="Verdana" w:eastAsia="Times New Roman" w:hAnsi="Verdana" w:cs="Arial"/>
          <w:lang w:eastAsia="es-MX"/>
        </w:rPr>
        <w:t>.</w:t>
      </w:r>
    </w:p>
    <w:p w14:paraId="73D63732" w14:textId="77777777" w:rsidR="0047433B" w:rsidRPr="002167F7" w:rsidRDefault="0047433B" w:rsidP="0047433B">
      <w:pPr>
        <w:pStyle w:val="Prrafodelista"/>
        <w:numPr>
          <w:ilvl w:val="0"/>
          <w:numId w:val="19"/>
        </w:numPr>
        <w:spacing w:after="120" w:line="276" w:lineRule="auto"/>
        <w:jc w:val="both"/>
        <w:rPr>
          <w:rFonts w:ascii="Verdana" w:eastAsia="Times New Roman" w:hAnsi="Verdana" w:cs="Arial"/>
          <w:lang w:eastAsia="es-MX"/>
        </w:rPr>
      </w:pPr>
      <w:r w:rsidRPr="002167F7">
        <w:rPr>
          <w:rFonts w:ascii="Verdana" w:eastAsia="Times New Roman" w:hAnsi="Verdana" w:cs="Arial"/>
          <w:lang w:eastAsia="es-MX"/>
        </w:rPr>
        <w:t xml:space="preserve">La compra de manera preferencial y directa de productos agropecuarios a los pueblos y comunidades indígenas y a las comunidades negras, afrocolombianas, raizales y palenqueras, organizaciones y asociaciones campesinas, en situaciones de emergencia y desastres y dentro de sus territorios, </w:t>
      </w:r>
      <w:r>
        <w:rPr>
          <w:rFonts w:ascii="Verdana" w:eastAsia="Times New Roman" w:hAnsi="Verdana" w:cs="Arial"/>
          <w:lang w:eastAsia="es-MX"/>
        </w:rPr>
        <w:t>los</w:t>
      </w:r>
      <w:r w:rsidRPr="002167F7">
        <w:rPr>
          <w:rFonts w:ascii="Verdana" w:eastAsia="Times New Roman" w:hAnsi="Verdana" w:cs="Arial"/>
          <w:lang w:eastAsia="es-MX"/>
        </w:rPr>
        <w:t xml:space="preserve"> cuales podrán ser donados al Fondo Nacional de Gestión del Riesgo de Desastres.</w:t>
      </w:r>
    </w:p>
    <w:p w14:paraId="7C107B63" w14:textId="77777777" w:rsidR="0047433B" w:rsidRPr="002167F7" w:rsidRDefault="0047433B" w:rsidP="0047433B">
      <w:pPr>
        <w:spacing w:after="120" w:line="276" w:lineRule="auto"/>
        <w:ind w:firstLine="709"/>
        <w:jc w:val="both"/>
        <w:rPr>
          <w:rFonts w:ascii="Verdana" w:eastAsia="Calibri" w:hAnsi="Verdana" w:cs="Arial"/>
          <w:lang w:val="es-ES" w:eastAsia="es-MX"/>
        </w:rPr>
      </w:pPr>
      <w:bookmarkStart w:id="10" w:name="_Hlk102550058"/>
      <w:r w:rsidRPr="002167F7">
        <w:rPr>
          <w:rFonts w:ascii="Verdana" w:eastAsia="Arial" w:hAnsi="Verdana" w:cs="Arial"/>
          <w:lang w:val="es-ES"/>
        </w:rPr>
        <w:t xml:space="preserve">En relación con la contratación directa, es importante señalar que </w:t>
      </w:r>
      <w:r w:rsidRPr="002167F7">
        <w:rPr>
          <w:rFonts w:ascii="Verdana" w:eastAsia="Calibri" w:hAnsi="Verdana" w:cs="Arial"/>
          <w:lang w:val="es-ES" w:eastAsia="es-MX"/>
        </w:rPr>
        <w:t xml:space="preserve">es una excepción al principio de libre concurrencia y competencia, </w:t>
      </w:r>
      <w:r>
        <w:rPr>
          <w:rFonts w:ascii="Verdana" w:eastAsia="Calibri" w:hAnsi="Verdana" w:cs="Arial"/>
          <w:lang w:val="es-ES" w:eastAsia="es-MX"/>
        </w:rPr>
        <w:t xml:space="preserve">según los cuales </w:t>
      </w:r>
      <w:r w:rsidRPr="002167F7">
        <w:rPr>
          <w:rFonts w:ascii="Verdana" w:eastAsia="Calibri" w:hAnsi="Verdana" w:cs="Arial"/>
          <w:lang w:val="es-ES" w:eastAsia="es-MX"/>
        </w:rPr>
        <w:t>cualquier persona interesada en satisfacer la necesidad de una entidad pued</w:t>
      </w:r>
      <w:r>
        <w:rPr>
          <w:rFonts w:ascii="Verdana" w:eastAsia="Calibri" w:hAnsi="Verdana" w:cs="Arial"/>
          <w:lang w:val="es-ES" w:eastAsia="es-MX"/>
        </w:rPr>
        <w:t>e</w:t>
      </w:r>
      <w:r w:rsidRPr="002167F7">
        <w:rPr>
          <w:rFonts w:ascii="Verdana" w:eastAsia="Calibri" w:hAnsi="Verdana" w:cs="Arial"/>
          <w:lang w:val="es-ES" w:eastAsia="es-MX"/>
        </w:rPr>
        <w:t xml:space="preserve"> presentar una oferta. </w:t>
      </w:r>
      <w:bookmarkStart w:id="11" w:name="_Hlk101520178"/>
      <w:bookmarkStart w:id="12" w:name="_Hlk101520187"/>
      <w:r w:rsidRPr="002167F7">
        <w:rPr>
          <w:rFonts w:ascii="Verdana" w:eastAsia="Calibri" w:hAnsi="Verdana" w:cs="Arial"/>
          <w:lang w:val="es-ES" w:eastAsia="es-MX"/>
        </w:rPr>
        <w:t>Siendo una excepción a los mencionados principios que rigen la contratación estatal, e</w:t>
      </w:r>
      <w:r w:rsidRPr="002167F7">
        <w:rPr>
          <w:rFonts w:ascii="Verdana" w:eastAsia="Arial" w:hAnsi="Verdana" w:cs="Arial"/>
          <w:lang w:val="es-ES"/>
        </w:rPr>
        <w:t>sta modalidad de contratación es de aplicación restrictiva, es decir, solo procede por las causales señaladas expresamente en la ley. Aunque las causales de contratación directa se encuentran contenidas en el numeral 4 del artículo 2 de la Ley 1150 de 2007, también se pueden encontrar en otras leyes eventos en los que se autorice la contratación bajo esta modalidad.</w:t>
      </w:r>
      <w:bookmarkEnd w:id="11"/>
      <w:r>
        <w:rPr>
          <w:rFonts w:ascii="Verdana" w:eastAsia="Calibri" w:hAnsi="Verdana" w:cs="Arial"/>
          <w:lang w:val="es-ES" w:eastAsia="es-MX"/>
        </w:rPr>
        <w:t xml:space="preserve"> De cualquier forma</w:t>
      </w:r>
      <w:r w:rsidRPr="002167F7">
        <w:rPr>
          <w:rFonts w:ascii="Verdana" w:eastAsia="Calibri" w:hAnsi="Verdana" w:cs="Arial"/>
          <w:lang w:val="es-ES" w:eastAsia="es-MX"/>
        </w:rPr>
        <w:t>, su aplicación no puede efectuarse por fuera del contenido normativo, ni operar más allá de lo que la misma norma dispone, dentro del contexto del ordenamiento jurídico de la contratación estatal.</w:t>
      </w:r>
      <w:bookmarkStart w:id="13" w:name="_Hlk101520248"/>
      <w:bookmarkEnd w:id="10"/>
      <w:bookmarkEnd w:id="12"/>
      <w:r w:rsidRPr="002167F7">
        <w:rPr>
          <w:rFonts w:ascii="Verdana" w:eastAsia="Calibri" w:hAnsi="Verdana" w:cs="Arial"/>
          <w:lang w:val="es-ES" w:eastAsia="es-MX"/>
        </w:rPr>
        <w:t xml:space="preserve"> </w:t>
      </w:r>
      <w:bookmarkEnd w:id="13"/>
    </w:p>
    <w:p w14:paraId="1F5A797B" w14:textId="77777777" w:rsidR="0047433B" w:rsidRDefault="0047433B" w:rsidP="0047433B">
      <w:pPr>
        <w:spacing w:after="120" w:line="276" w:lineRule="auto"/>
        <w:ind w:firstLine="709"/>
        <w:jc w:val="both"/>
        <w:rPr>
          <w:rFonts w:ascii="Verdana" w:eastAsia="Arial" w:hAnsi="Verdana" w:cs="Arial"/>
          <w:lang w:val="es-ES"/>
        </w:rPr>
      </w:pPr>
      <w:r w:rsidRPr="002167F7">
        <w:rPr>
          <w:rFonts w:ascii="Verdana" w:eastAsia="Calibri" w:hAnsi="Verdana" w:cs="Arial"/>
          <w:lang w:val="es-ES" w:eastAsia="es-MX"/>
        </w:rPr>
        <w:t>De lo expuesto</w:t>
      </w:r>
      <w:r>
        <w:rPr>
          <w:rFonts w:ascii="Verdana" w:eastAsia="Calibri" w:hAnsi="Verdana" w:cs="Arial"/>
          <w:lang w:val="es-ES" w:eastAsia="es-MX"/>
        </w:rPr>
        <w:t>,</w:t>
      </w:r>
      <w:r w:rsidRPr="002167F7">
        <w:rPr>
          <w:rFonts w:ascii="Verdana" w:eastAsia="Calibri" w:hAnsi="Verdana" w:cs="Arial"/>
          <w:lang w:val="es-ES" w:eastAsia="es-MX"/>
        </w:rPr>
        <w:t xml:space="preserve"> se observa que </w:t>
      </w:r>
      <w:r w:rsidRPr="002167F7">
        <w:rPr>
          <w:rFonts w:ascii="Verdana" w:eastAsia="Arial" w:hAnsi="Verdana" w:cs="Arial"/>
          <w:lang w:val="es-ES"/>
        </w:rPr>
        <w:t xml:space="preserve">la licitación pública, la selección abreviada, el concurso de méritos y la mínima cuantía son modalidades de selección competitivas o abiertas a competencia, ya que en ellas tiene lugar la participación de varios proponentes en una fase pública de presentación de </w:t>
      </w:r>
      <w:r w:rsidRPr="002167F7">
        <w:rPr>
          <w:rFonts w:ascii="Verdana" w:eastAsia="Arial" w:hAnsi="Verdana" w:cs="Arial"/>
          <w:lang w:val="es-ES"/>
        </w:rPr>
        <w:lastRenderedPageBreak/>
        <w:t>ofertas. Esto permite que todas las personas interesadas concurran al proceso en igualdad de condiciones y compitan en el mismo. En contraste, la modalidad de selección de contratación directa no es competitiva, es decir, que no es abierta a los proponentes para que los interesados presenten sus ofertas. En esta, es la entidad la que determina, de forma directa, la persona que puede participar y que será seleccionada.</w:t>
      </w:r>
    </w:p>
    <w:p w14:paraId="14F033B1" w14:textId="77777777" w:rsidR="00DB5907" w:rsidRDefault="00DB5907" w:rsidP="008D378B">
      <w:pPr>
        <w:spacing w:after="120" w:line="276" w:lineRule="auto"/>
        <w:jc w:val="both"/>
        <w:rPr>
          <w:rFonts w:ascii="Verdana" w:eastAsia="Arial" w:hAnsi="Verdana" w:cs="Arial"/>
          <w:lang w:val="es-ES"/>
        </w:rPr>
      </w:pPr>
    </w:p>
    <w:p w14:paraId="58B8F650" w14:textId="24F34C0F" w:rsidR="008D378B" w:rsidRPr="00B95769" w:rsidRDefault="008D378B" w:rsidP="008D378B">
      <w:pPr>
        <w:spacing w:after="120" w:line="276" w:lineRule="auto"/>
        <w:ind w:firstLine="708"/>
        <w:jc w:val="both"/>
        <w:rPr>
          <w:rFonts w:ascii="Verdana" w:eastAsia="Calibri" w:hAnsi="Verdana" w:cs="Arial"/>
          <w:bCs/>
          <w:lang w:eastAsia="es-ES_tradnl"/>
        </w:rPr>
      </w:pPr>
      <w:proofErr w:type="spellStart"/>
      <w:r w:rsidRPr="00B95769">
        <w:rPr>
          <w:rFonts w:ascii="Verdana" w:eastAsia="Calibri" w:hAnsi="Verdana" w:cs="Arial"/>
          <w:bCs/>
          <w:color w:val="000000"/>
          <w:lang w:eastAsia="es-ES_tradnl"/>
        </w:rPr>
        <w:t>ii</w:t>
      </w:r>
      <w:proofErr w:type="spellEnd"/>
      <w:r w:rsidRPr="00B95769">
        <w:rPr>
          <w:rFonts w:ascii="Verdana" w:eastAsia="Calibri" w:hAnsi="Verdana" w:cs="Arial"/>
          <w:bCs/>
          <w:color w:val="000000"/>
          <w:lang w:eastAsia="es-ES_tradnl"/>
        </w:rPr>
        <w:t>.</w:t>
      </w:r>
      <w:r>
        <w:rPr>
          <w:rFonts w:ascii="Verdana" w:eastAsia="Arial" w:hAnsi="Verdana" w:cs="Arial"/>
          <w:color w:val="000000"/>
        </w:rPr>
        <w:t xml:space="preserve"> </w:t>
      </w:r>
      <w:r w:rsidRPr="00B95769">
        <w:rPr>
          <w:rFonts w:ascii="Verdana" w:eastAsia="Arial" w:hAnsi="Verdana" w:cs="Arial"/>
          <w:color w:val="000000"/>
        </w:rPr>
        <w:t xml:space="preserve">En segundo lugar, uno de los principios transversales de los procedimientos de selección es el de </w:t>
      </w:r>
      <w:r w:rsidRPr="00B95769">
        <w:rPr>
          <w:rFonts w:ascii="Verdana" w:eastAsia="Arial" w:hAnsi="Verdana" w:cs="Arial"/>
          <w:i/>
          <w:color w:val="000000"/>
        </w:rPr>
        <w:t>selección objetiva</w:t>
      </w:r>
      <w:r w:rsidRPr="00B95769">
        <w:rPr>
          <w:rFonts w:ascii="Verdana" w:eastAsia="Arial" w:hAnsi="Verdana" w:cs="Arial"/>
          <w:color w:val="000000"/>
        </w:rPr>
        <w:t>. Se trata del postulado que exige que la escogencia de la oferta ganadora deba fundamentarse en factores objetivos, de carácter técnico, jurídico y financiero, y no en criterios subjetivos, como el afecto, la amistad, el ánimo de ayuda, el interés personal, etc. Si bien dentro de la historia de la contratación pública en Colombia se vislumbran antecedentes normativos que consagraban dicho principio</w:t>
      </w:r>
      <w:r w:rsidRPr="00E42471">
        <w:rPr>
          <w:vertAlign w:val="superscript"/>
        </w:rPr>
        <w:footnoteReference w:id="12"/>
      </w:r>
      <w:r w:rsidRPr="00B95769">
        <w:rPr>
          <w:rFonts w:ascii="Verdana" w:eastAsia="Arial" w:hAnsi="Verdana" w:cs="Arial"/>
          <w:color w:val="000000"/>
        </w:rPr>
        <w:t xml:space="preserve">, en la actualidad la disposición legal que lo prevé de manera más clara y contundente es el artículo 5 de la Ley 1150 de 2007, modificado por el artículo 88 de la Ley 1474 de 2011 y por el artículo 5 de la Ley 1882 de 2018. Esta norma prescribe lo siguiente: </w:t>
      </w:r>
    </w:p>
    <w:p w14:paraId="4ACE4709" w14:textId="77777777" w:rsidR="008D378B" w:rsidRPr="00E42471" w:rsidRDefault="008D378B" w:rsidP="008D378B">
      <w:pPr>
        <w:spacing w:after="120" w:line="240" w:lineRule="auto"/>
        <w:ind w:left="709" w:right="709"/>
        <w:jc w:val="both"/>
        <w:rPr>
          <w:rFonts w:ascii="Verdana" w:eastAsia="Arial" w:hAnsi="Verdana" w:cs="Arial"/>
          <w:color w:val="000000"/>
          <w:sz w:val="20"/>
          <w:szCs w:val="20"/>
        </w:rPr>
      </w:pPr>
      <w:r>
        <w:rPr>
          <w:rFonts w:ascii="Verdana" w:eastAsia="Arial" w:hAnsi="Verdana" w:cs="Arial"/>
          <w:color w:val="000000"/>
          <w:sz w:val="20"/>
          <w:szCs w:val="20"/>
        </w:rPr>
        <w:t>“</w:t>
      </w:r>
      <w:r w:rsidRPr="00E42471">
        <w:rPr>
          <w:rFonts w:ascii="Verdana" w:eastAsia="Arial" w:hAnsi="Verdana" w:cs="Arial"/>
          <w:color w:val="000000"/>
          <w:sz w:val="20"/>
          <w:szCs w:val="20"/>
        </w:rPr>
        <w:t>Artículo 5o.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6687F44A" w14:textId="77777777" w:rsidR="008D378B" w:rsidRPr="00E42471" w:rsidRDefault="008D378B" w:rsidP="008D378B">
      <w:pPr>
        <w:spacing w:after="12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lastRenderedPageBreak/>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p w14:paraId="08B3BACA" w14:textId="77777777" w:rsidR="008D378B" w:rsidRPr="00E42471" w:rsidRDefault="008D378B" w:rsidP="008D378B">
      <w:pPr>
        <w:spacing w:after="12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p>
    <w:p w14:paraId="72118D2E" w14:textId="77777777" w:rsidR="008D378B" w:rsidRPr="00E42471" w:rsidRDefault="008D378B" w:rsidP="008D378B">
      <w:pPr>
        <w:spacing w:after="12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En los procesos de selección en los que se tenga en cuenta los factores técnicos y económicos, la oferta más ventajosa será la que resulte de aplicar alguna de las siguientes alternativas:</w:t>
      </w:r>
    </w:p>
    <w:p w14:paraId="26620796" w14:textId="77777777" w:rsidR="008D378B" w:rsidRPr="00E42471" w:rsidRDefault="008D378B" w:rsidP="008D378B">
      <w:pPr>
        <w:spacing w:after="12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a) La ponderación de los elementos de calidad y precio soportados en puntajes o fórmulas señaladas en el pliego de condiciones; o</w:t>
      </w:r>
    </w:p>
    <w:p w14:paraId="19C9D24C" w14:textId="77777777" w:rsidR="008D378B" w:rsidRPr="00E42471" w:rsidRDefault="008D378B" w:rsidP="008D378B">
      <w:pPr>
        <w:spacing w:after="12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b) La ponderación de los elementos de calidad y precio que representen la mejor relación de costo-beneficio para la entidad.</w:t>
      </w:r>
    </w:p>
    <w:p w14:paraId="6E95680D" w14:textId="77777777" w:rsidR="008D378B" w:rsidRPr="00E42471" w:rsidRDefault="008D378B" w:rsidP="008D378B">
      <w:pPr>
        <w:spacing w:after="12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w:t>
      </w:r>
    </w:p>
    <w:p w14:paraId="74C5AEA2" w14:textId="77777777" w:rsidR="008D378B" w:rsidRPr="00E42471" w:rsidRDefault="008D378B" w:rsidP="008D378B">
      <w:pPr>
        <w:spacing w:after="12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4. En los procesos para la selección de consultores se hará uso de factores de calificación destinados a valorar los aspectos técnicos de la oferta o proyecto. De conformidad con las condiciones que señale el reglamento, se podrán utilizar criterios de experiencia específica del oferente y del equipo de trabajo, en el campo de que se trate.</w:t>
      </w:r>
    </w:p>
    <w:p w14:paraId="5EC97D0D" w14:textId="77777777" w:rsidR="008D378B" w:rsidRDefault="008D378B" w:rsidP="008D378B">
      <w:pPr>
        <w:spacing w:after="12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En ningún caso se podrá incluir el precio, como factor de escogencia para la selección de consultores</w:t>
      </w:r>
      <w:r>
        <w:rPr>
          <w:rFonts w:ascii="Verdana" w:eastAsia="Arial" w:hAnsi="Verdana" w:cs="Arial"/>
          <w:color w:val="000000"/>
          <w:sz w:val="20"/>
          <w:szCs w:val="20"/>
        </w:rPr>
        <w:t>[…]”.</w:t>
      </w:r>
    </w:p>
    <w:p w14:paraId="72CF53D4" w14:textId="77777777" w:rsidR="008D378B" w:rsidRPr="00A851AA" w:rsidRDefault="008D378B" w:rsidP="008D378B">
      <w:pPr>
        <w:spacing w:after="0" w:line="240" w:lineRule="auto"/>
        <w:ind w:right="709"/>
        <w:jc w:val="both"/>
        <w:rPr>
          <w:rFonts w:ascii="Century Gothic" w:eastAsia="Arial" w:hAnsi="Century Gothic" w:cs="Arial"/>
          <w:color w:val="000000"/>
        </w:rPr>
      </w:pPr>
    </w:p>
    <w:p w14:paraId="16CFF2BD" w14:textId="77777777" w:rsidR="008D378B" w:rsidRPr="00E42471" w:rsidRDefault="008D378B" w:rsidP="008D378B">
      <w:pPr>
        <w:tabs>
          <w:tab w:val="left" w:pos="0"/>
        </w:tabs>
        <w:spacing w:after="120" w:line="276" w:lineRule="auto"/>
        <w:ind w:firstLine="709"/>
        <w:jc w:val="both"/>
        <w:rPr>
          <w:rFonts w:ascii="Verdana" w:eastAsia="Arial" w:hAnsi="Verdana" w:cs="Arial"/>
          <w:color w:val="000000"/>
        </w:rPr>
      </w:pPr>
      <w:r w:rsidRPr="00E42471">
        <w:rPr>
          <w:rFonts w:ascii="Verdana" w:eastAsia="Arial" w:hAnsi="Verdana" w:cs="Arial"/>
          <w:color w:val="000000"/>
        </w:rPr>
        <w:lastRenderedPageBreak/>
        <w:t>De acuerdo con el artículo 5 de la Ley 1150 de 2007</w:t>
      </w:r>
      <w:r>
        <w:rPr>
          <w:rFonts w:ascii="Verdana" w:eastAsia="Arial" w:hAnsi="Verdana" w:cs="Arial"/>
          <w:color w:val="000000"/>
        </w:rPr>
        <w:t xml:space="preserve">, </w:t>
      </w:r>
      <w:r w:rsidRPr="00E42471">
        <w:rPr>
          <w:rFonts w:ascii="Verdana" w:eastAsia="Arial" w:hAnsi="Verdana" w:cs="Arial"/>
          <w:color w:val="000000"/>
        </w:rPr>
        <w:t xml:space="preserve">el deber de selección objetiva supone que las entidades escojan en los procesos de selección el </w:t>
      </w:r>
      <w:r w:rsidRPr="00E17F16">
        <w:rPr>
          <w:rFonts w:ascii="Verdana" w:eastAsia="Arial" w:hAnsi="Verdana" w:cs="Arial"/>
          <w:i/>
          <w:color w:val="000000"/>
        </w:rPr>
        <w:t xml:space="preserve">“[…] ofrecimiento más favorable a la entidad y a los fines que ella busca […]”. </w:t>
      </w:r>
      <w:r w:rsidRPr="00E42471">
        <w:rPr>
          <w:rFonts w:ascii="Verdana" w:eastAsia="Arial" w:hAnsi="Verdana" w:cs="Arial"/>
          <w:color w:val="000000"/>
        </w:rPr>
        <w:t xml:space="preserve">Tal favorabilidad debe determinarse a partir de criterios que pueden variar de acuerdo con el objeto contractual o la modalidad de selección aplicable, los cuales, en todo caso, para que la selección sea objetiva, deben señalarse en el pliego de condiciones o documento equivalente. </w:t>
      </w:r>
    </w:p>
    <w:p w14:paraId="42A006C4" w14:textId="77777777" w:rsidR="008D378B" w:rsidRPr="00E42471" w:rsidRDefault="008D378B" w:rsidP="008D378B">
      <w:pPr>
        <w:tabs>
          <w:tab w:val="left" w:pos="0"/>
        </w:tabs>
        <w:spacing w:after="120" w:line="276" w:lineRule="auto"/>
        <w:ind w:firstLine="709"/>
        <w:jc w:val="both"/>
        <w:rPr>
          <w:rFonts w:ascii="Verdana" w:eastAsia="Arial" w:hAnsi="Verdana" w:cs="Arial"/>
          <w:color w:val="000000"/>
        </w:rPr>
      </w:pPr>
      <w:r w:rsidRPr="00E42471">
        <w:rPr>
          <w:rFonts w:ascii="Verdana" w:eastAsia="Arial" w:hAnsi="Verdana" w:cs="Arial"/>
          <w:color w:val="000000"/>
        </w:rPr>
        <w:t>Al respecto, el numeral 1 del artículo 5 de la Ley 1150 de 2007 se refiere a algunos requisitos exigibles en la generalidad de procesos de selección adelantados conforme al EGCAP, tales como la capacidad jurídica, las condiciones de experiencia, la capacidad financiera y de organización, denominados requisitos habilitantes, los cuales –en principio, salvo expresa disposición legal– no otorgan puntaje. Lo anterior comoquiera que</w:t>
      </w:r>
      <w:r>
        <w:rPr>
          <w:rFonts w:ascii="Verdana" w:eastAsia="Arial" w:hAnsi="Verdana" w:cs="Arial"/>
          <w:color w:val="000000"/>
        </w:rPr>
        <w:t>,</w:t>
      </w:r>
      <w:r w:rsidRPr="00E42471">
        <w:rPr>
          <w:rFonts w:ascii="Verdana" w:eastAsia="Arial" w:hAnsi="Verdana" w:cs="Arial"/>
          <w:color w:val="000000"/>
        </w:rPr>
        <w:t xml:space="preserve"> estos no se refieren a la oferta misma sino a la idoneidad del oferente para asumir adecuadamente la ejecución del contrato</w:t>
      </w:r>
      <w:r w:rsidRPr="00E42471">
        <w:rPr>
          <w:rFonts w:ascii="Verdana" w:eastAsia="Arial" w:hAnsi="Verdana" w:cs="Arial"/>
          <w:color w:val="000000"/>
          <w:vertAlign w:val="superscript"/>
        </w:rPr>
        <w:footnoteReference w:id="13"/>
      </w:r>
      <w:r w:rsidRPr="00E42471">
        <w:rPr>
          <w:rFonts w:ascii="Verdana" w:eastAsia="Arial" w:hAnsi="Verdana" w:cs="Arial"/>
          <w:color w:val="000000"/>
        </w:rPr>
        <w:t xml:space="preserve">. Los oferentes que cumplan estos requisitos habilitantes son considerados idóneos para ejecutar el objeto contractual, de manera que sus ofertas pueden ser consideradas en la evaluación dirigida a determinar cuál es la más favorable para la entidad y los fines de la contratación. En este sentido, los requisitos </w:t>
      </w:r>
      <w:r w:rsidRPr="00E42471">
        <w:rPr>
          <w:rFonts w:ascii="Verdana" w:eastAsia="Arial" w:hAnsi="Verdana" w:cs="Arial"/>
          <w:i/>
          <w:color w:val="000000"/>
        </w:rPr>
        <w:t xml:space="preserve">habilitantes </w:t>
      </w:r>
      <w:r w:rsidRPr="00E42471">
        <w:rPr>
          <w:rFonts w:ascii="Verdana" w:eastAsia="Arial" w:hAnsi="Verdana" w:cs="Arial"/>
          <w:color w:val="000000"/>
        </w:rPr>
        <w:t>son aquellos que deben cumplir en igualdad de condiciones los proponentes y cumplido el mínimo establecido en el pliego de condiciones o documento equivalente hacen que los proponentes se habiliten en el procedimiento de selección y sean susceptibles de ser seleccionados como futuros contratistas.</w:t>
      </w:r>
    </w:p>
    <w:p w14:paraId="10305955" w14:textId="77777777" w:rsidR="008D378B" w:rsidRPr="00E42471" w:rsidRDefault="008D378B" w:rsidP="008D378B">
      <w:pPr>
        <w:tabs>
          <w:tab w:val="left" w:pos="0"/>
        </w:tabs>
        <w:spacing w:after="120" w:line="276" w:lineRule="auto"/>
        <w:ind w:firstLine="709"/>
        <w:jc w:val="both"/>
        <w:rPr>
          <w:rFonts w:ascii="Verdana" w:eastAsia="Arial" w:hAnsi="Verdana" w:cs="Arial"/>
          <w:color w:val="000000"/>
        </w:rPr>
      </w:pPr>
      <w:r w:rsidRPr="00E42471">
        <w:rPr>
          <w:rFonts w:ascii="Verdana" w:eastAsia="Arial" w:hAnsi="Verdana" w:cs="Arial"/>
          <w:color w:val="000000"/>
        </w:rPr>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El numeral 2 de esta norma 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2 se divide en dos literales, cada uno de los cuales hace referencia a los mecanismos por los que pueden optar las entidades para ponderar los </w:t>
      </w:r>
      <w:r w:rsidRPr="00E42471">
        <w:rPr>
          <w:rFonts w:ascii="Verdana" w:eastAsia="Arial" w:hAnsi="Verdana" w:cs="Arial"/>
          <w:color w:val="000000"/>
        </w:rPr>
        <w:lastRenderedPageBreak/>
        <w:t xml:space="preserve">elementos de calidad y precio de las ofertas. El literal a) alude a la ponderación de los referidos elementos mediante puntajes o fórmulas, mientras que el literal b) se refiere la elección de la oferta que represente la mejor relación costo – beneficio para la entidad. </w:t>
      </w:r>
    </w:p>
    <w:p w14:paraId="29DFDA56" w14:textId="77777777" w:rsidR="008D378B" w:rsidRPr="00E42471" w:rsidRDefault="008D378B" w:rsidP="008D378B">
      <w:pPr>
        <w:tabs>
          <w:tab w:val="left" w:pos="0"/>
        </w:tabs>
        <w:spacing w:after="120" w:line="276" w:lineRule="auto"/>
        <w:ind w:firstLine="709"/>
        <w:jc w:val="both"/>
        <w:rPr>
          <w:rFonts w:ascii="Verdana" w:eastAsia="Arial" w:hAnsi="Verdana" w:cs="Arial"/>
          <w:color w:val="000000"/>
        </w:rPr>
      </w:pPr>
      <w:r w:rsidRPr="00E42471">
        <w:rPr>
          <w:rFonts w:ascii="Verdana" w:eastAsia="Arial" w:hAnsi="Verdana" w:cs="Arial"/>
          <w:color w:val="000000"/>
        </w:rPr>
        <w:t>Por su parte, el numeral 3 establece que en los procesos de selección de bienes y servicios de características técnicas uniformes y de común utilización el único factor de evaluación consiste en el menor precio. Por último, el numeral 4, referente a procedimientos para selección de consultores, señala que debe hacerse uso de factores de calificación, para valorar los aspectos técnicos de la oferta, permitiendo que entre ellos se pondere la experiencia.</w:t>
      </w:r>
    </w:p>
    <w:p w14:paraId="0BC7E186" w14:textId="77777777" w:rsidR="008D378B" w:rsidRPr="00E42471" w:rsidRDefault="008D378B" w:rsidP="008D378B">
      <w:pPr>
        <w:tabs>
          <w:tab w:val="left" w:pos="0"/>
        </w:tabs>
        <w:spacing w:after="120" w:line="276" w:lineRule="auto"/>
        <w:ind w:firstLine="709"/>
        <w:jc w:val="both"/>
        <w:rPr>
          <w:rFonts w:ascii="Verdana" w:eastAsia="Arial" w:hAnsi="Verdana" w:cs="Arial"/>
          <w:color w:val="000000"/>
        </w:rPr>
      </w:pPr>
      <w:r w:rsidRPr="00E42471">
        <w:rPr>
          <w:rFonts w:ascii="Verdana" w:eastAsia="Arial" w:hAnsi="Verdana" w:cs="Arial"/>
          <w:color w:val="000000"/>
        </w:rPr>
        <w:t>Conforme a lo anterior, el artículo 5 de la Ley 1150 de 2007, alude a diferentes conceptos como factores de escogencia, de calificación, técnicos y económicos de escogencia, de evaluación y calificación. Además, el artículo alude a unos factores que no otorgan puntaje y de otros que inciden en la comparación de ofertas. Por ello, la doctrina define los requisitos o factores ponderables como “[…] aquellas condiciones de la oferta y no de quien la presenta, que sí entrarán a ser evaluadas por la Administración y que, en consecuencia, darán lugar a la escogencia objetiva de la mejor propuesta para la entidad”</w:t>
      </w:r>
      <w:r w:rsidRPr="00E42471">
        <w:rPr>
          <w:rFonts w:ascii="Verdana" w:eastAsia="Arial" w:hAnsi="Verdana" w:cs="Arial"/>
          <w:color w:val="000000"/>
          <w:vertAlign w:val="superscript"/>
        </w:rPr>
        <w:footnoteReference w:id="14"/>
      </w:r>
      <w:r w:rsidRPr="00E42471">
        <w:rPr>
          <w:rFonts w:ascii="Verdana" w:eastAsia="Arial" w:hAnsi="Verdana" w:cs="Arial"/>
          <w:color w:val="000000"/>
        </w:rPr>
        <w:t>. Todas estas categorías designan los “[…] factores a los cuales cabe otorgarles puntajes o que pueden ser ponderados, precisamente, pues estos son los factores que en últimas permiten una comparación de ofertas y una diferenciación entre ellas”</w:t>
      </w:r>
      <w:r w:rsidRPr="00E42471">
        <w:rPr>
          <w:rFonts w:ascii="Verdana" w:eastAsia="Arial" w:hAnsi="Verdana" w:cs="Arial"/>
          <w:color w:val="000000"/>
          <w:vertAlign w:val="superscript"/>
        </w:rPr>
        <w:footnoteReference w:id="15"/>
      </w:r>
      <w:r w:rsidRPr="00E42471">
        <w:rPr>
          <w:rFonts w:ascii="Verdana" w:eastAsia="Arial" w:hAnsi="Verdana" w:cs="Arial"/>
          <w:color w:val="000000"/>
        </w:rPr>
        <w:t>. Conforme a esto, la doctrina explica que:</w:t>
      </w:r>
    </w:p>
    <w:p w14:paraId="0E2381B6" w14:textId="77777777" w:rsidR="008D378B" w:rsidRPr="00E42471" w:rsidRDefault="008D378B" w:rsidP="008D378B">
      <w:pPr>
        <w:tabs>
          <w:tab w:val="left" w:pos="0"/>
        </w:tabs>
        <w:spacing w:after="120" w:line="240" w:lineRule="auto"/>
        <w:ind w:left="709" w:right="709"/>
        <w:jc w:val="both"/>
        <w:rPr>
          <w:rFonts w:ascii="Verdana" w:eastAsia="Arial" w:hAnsi="Verdana" w:cs="Arial"/>
          <w:color w:val="000000"/>
          <w:sz w:val="20"/>
          <w:szCs w:val="20"/>
        </w:rPr>
      </w:pPr>
      <w:r>
        <w:rPr>
          <w:rFonts w:ascii="Verdana" w:eastAsia="Arial" w:hAnsi="Verdana" w:cs="Arial"/>
          <w:color w:val="000000"/>
          <w:sz w:val="20"/>
          <w:szCs w:val="20"/>
        </w:rPr>
        <w:t>“</w:t>
      </w:r>
      <w:r w:rsidRPr="00E42471">
        <w:rPr>
          <w:rFonts w:ascii="Verdana" w:eastAsia="Arial" w:hAnsi="Verdana" w:cs="Arial"/>
          <w:color w:val="000000"/>
          <w:sz w:val="20"/>
          <w:szCs w:val="20"/>
        </w:rPr>
        <w:t xml:space="preserve">De acuerdo con ese entendimiento, el numeral 2 del artículo 5.° de la Ley  1150 de 2007, modificado por el artículo 88 de la Ley 1474 de 2011, comienza por señalar que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Es decir que los factores de ponderación o de evaluación son los que en realidad determinan la propuesta que mejor satisface las necesidades de la Administración y no simplemente cuál de los proponentes es el más idóneo en la ejecución del contrato, pues, se insiste, todo oferente que supere los requisitos mínimos </w:t>
      </w:r>
      <w:r w:rsidRPr="00E42471">
        <w:rPr>
          <w:rFonts w:ascii="Verdana" w:eastAsia="Arial" w:hAnsi="Verdana" w:cs="Arial"/>
          <w:color w:val="000000"/>
          <w:sz w:val="20"/>
          <w:szCs w:val="20"/>
        </w:rPr>
        <w:lastRenderedPageBreak/>
        <w:t xml:space="preserve">habilitantes se entiende que es suficientemente idóneo para la ejecución del objeto contractual.  </w:t>
      </w:r>
    </w:p>
    <w:p w14:paraId="0333E728" w14:textId="77777777" w:rsidR="008D378B" w:rsidRPr="00E42471" w:rsidRDefault="008D378B" w:rsidP="008D378B">
      <w:pPr>
        <w:tabs>
          <w:tab w:val="left" w:pos="0"/>
        </w:tabs>
        <w:spacing w:after="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 xml:space="preserve">De nuevo, aquí es preciso señalar que es el pliego de condiciones el que debe determinar cuáles son esos factores que en cada caso concreto permiten hacer una comparación entre las ofertas presentadas y, con base en ello, determinar cuál es la más favorable para la Administración Pública. </w:t>
      </w:r>
    </w:p>
    <w:p w14:paraId="79379A4E" w14:textId="77777777" w:rsidR="008D378B" w:rsidRPr="00E42471" w:rsidRDefault="008D378B" w:rsidP="008D378B">
      <w:pPr>
        <w:tabs>
          <w:tab w:val="left" w:pos="0"/>
        </w:tabs>
        <w:spacing w:after="12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w:t>
      </w:r>
    </w:p>
    <w:p w14:paraId="6527AC0E" w14:textId="77777777" w:rsidR="008D378B" w:rsidRPr="00E42471" w:rsidRDefault="008D378B" w:rsidP="008D378B">
      <w:pPr>
        <w:tabs>
          <w:tab w:val="left" w:pos="0"/>
        </w:tabs>
        <w:spacing w:after="0" w:line="240" w:lineRule="auto"/>
        <w:ind w:left="709" w:right="709"/>
        <w:jc w:val="both"/>
        <w:rPr>
          <w:rFonts w:ascii="Verdana" w:eastAsia="Arial" w:hAnsi="Verdana" w:cs="Arial"/>
          <w:color w:val="000000"/>
          <w:sz w:val="20"/>
          <w:szCs w:val="20"/>
        </w:rPr>
      </w:pPr>
      <w:r w:rsidRPr="00E42471">
        <w:rPr>
          <w:rFonts w:ascii="Verdana" w:eastAsia="Arial" w:hAnsi="Verdana" w:cs="Arial"/>
          <w:color w:val="000000"/>
          <w:sz w:val="20"/>
          <w:szCs w:val="20"/>
        </w:rPr>
        <w:t>Una siguiente conclusión que se deriva de la norma parcialmente transcrita consiste en que los pliegos de condiciones deben determinar dos situaciones por separado: 1. cuáles serán los factores o requisitos que serán evaluados por la Administración y 2. cuáles son los criterios para asignar puntaje a cada uno de los factores de evaluación y, con base en ello, poder hacer la comparación entre las ofertas y concluir cuál de ellas es la más ventajosa para la entidad estatal</w:t>
      </w:r>
      <w:r>
        <w:rPr>
          <w:rFonts w:ascii="Verdana" w:eastAsia="Arial" w:hAnsi="Verdana" w:cs="Arial"/>
          <w:color w:val="000000"/>
          <w:sz w:val="20"/>
          <w:szCs w:val="20"/>
        </w:rPr>
        <w:t>”</w:t>
      </w:r>
      <w:r w:rsidRPr="00E42471">
        <w:rPr>
          <w:rFonts w:ascii="Verdana" w:eastAsia="Arial" w:hAnsi="Verdana" w:cs="Arial"/>
          <w:color w:val="000000"/>
          <w:sz w:val="20"/>
          <w:szCs w:val="20"/>
          <w:vertAlign w:val="superscript"/>
        </w:rPr>
        <w:footnoteReference w:id="16"/>
      </w:r>
      <w:r w:rsidRPr="00E42471">
        <w:rPr>
          <w:rFonts w:ascii="Verdana" w:eastAsia="Arial" w:hAnsi="Verdana" w:cs="Arial"/>
          <w:color w:val="000000"/>
          <w:sz w:val="20"/>
          <w:szCs w:val="20"/>
        </w:rPr>
        <w:t>.</w:t>
      </w:r>
    </w:p>
    <w:p w14:paraId="3E00804F" w14:textId="77777777" w:rsidR="008D378B" w:rsidRPr="00E42471" w:rsidRDefault="008D378B" w:rsidP="008D378B">
      <w:pPr>
        <w:tabs>
          <w:tab w:val="left" w:pos="0"/>
        </w:tabs>
        <w:spacing w:after="0" w:line="276" w:lineRule="auto"/>
        <w:ind w:left="709" w:right="709"/>
        <w:jc w:val="both"/>
        <w:rPr>
          <w:rFonts w:ascii="Verdana" w:eastAsia="Arial" w:hAnsi="Verdana" w:cs="Arial"/>
          <w:color w:val="000000"/>
          <w:sz w:val="20"/>
          <w:szCs w:val="20"/>
        </w:rPr>
      </w:pPr>
    </w:p>
    <w:p w14:paraId="34472DC4" w14:textId="77777777" w:rsidR="008D378B" w:rsidRPr="00E42471" w:rsidRDefault="008D378B" w:rsidP="008D378B">
      <w:pPr>
        <w:tabs>
          <w:tab w:val="left" w:pos="0"/>
        </w:tabs>
        <w:spacing w:after="120" w:line="276" w:lineRule="auto"/>
        <w:ind w:firstLine="709"/>
        <w:jc w:val="both"/>
        <w:rPr>
          <w:rFonts w:ascii="Verdana" w:eastAsia="Arial" w:hAnsi="Verdana" w:cs="Arial"/>
          <w:color w:val="000000"/>
        </w:rPr>
      </w:pPr>
      <w:r w:rsidRPr="00E42471">
        <w:rPr>
          <w:rFonts w:ascii="Verdana" w:eastAsia="Arial" w:hAnsi="Verdana" w:cs="Arial"/>
          <w:color w:val="000000"/>
        </w:rPr>
        <w:t xml:space="preserve">En ese sentido, la asignación de puntaje es un mecanismo mediante el cual las entidades ponderan los factores de calificación </w:t>
      </w:r>
      <w:r w:rsidRPr="00065D9A">
        <w:rPr>
          <w:rFonts w:ascii="Arial" w:eastAsia="Tahoma" w:hAnsi="Arial" w:cs="Arial"/>
          <w:color w:val="000000"/>
        </w:rPr>
        <w:t>ꟷ</w:t>
      </w:r>
      <w:r w:rsidRPr="00E42471">
        <w:rPr>
          <w:rFonts w:ascii="Verdana" w:eastAsia="Arial" w:hAnsi="Verdana" w:cs="Arial"/>
          <w:i/>
          <w:color w:val="000000"/>
        </w:rPr>
        <w:t>v.g.</w:t>
      </w:r>
      <w:r w:rsidRPr="00E42471">
        <w:rPr>
          <w:rFonts w:ascii="Verdana" w:eastAsia="Arial" w:hAnsi="Verdana" w:cs="Arial"/>
          <w:color w:val="000000"/>
        </w:rPr>
        <w:t xml:space="preserve"> técnicos y económicos, de calidad y precio, etc.</w:t>
      </w:r>
      <w:r w:rsidRPr="00065D9A">
        <w:rPr>
          <w:rFonts w:ascii="Arial" w:eastAsia="Tahoma" w:hAnsi="Arial" w:cs="Arial"/>
          <w:color w:val="000000"/>
        </w:rPr>
        <w:t>ꟷ</w:t>
      </w:r>
      <w:r w:rsidRPr="00E42471">
        <w:rPr>
          <w:rFonts w:ascii="Verdana" w:eastAsia="Arial" w:hAnsi="Verdana" w:cs="Arial"/>
          <w:color w:val="000000"/>
        </w:rPr>
        <w:t xml:space="preserve"> en un determinado proceso de selección, como se desprende del literal a) del numeral 2 del artículo 5 de la Ley 1150 de 2007, en el que expresamente se alude al puntaje. Sin embargo, no es este el único mecanismo de ponderación que tienen a su alcance las entidades estatales para determinar el ofrecimiento más favorable, pues el propio literal b) del artículo 5.2 posibilita que el ofrecimiento más favorable se determine con un análisis de la relación costo-beneficio, evento en el no habría necesidad de acudir obligatoriamente a sistemas de asignación de puntaje. </w:t>
      </w:r>
    </w:p>
    <w:p w14:paraId="29B39497" w14:textId="77777777" w:rsidR="008D378B" w:rsidRPr="00E42471" w:rsidRDefault="008D378B" w:rsidP="008D378B">
      <w:pPr>
        <w:tabs>
          <w:tab w:val="left" w:pos="0"/>
        </w:tabs>
        <w:spacing w:after="120" w:line="276" w:lineRule="auto"/>
        <w:ind w:firstLine="709"/>
        <w:jc w:val="both"/>
        <w:rPr>
          <w:rFonts w:ascii="Verdana" w:eastAsia="Arial" w:hAnsi="Verdana" w:cs="Arial"/>
          <w:color w:val="000000"/>
        </w:rPr>
      </w:pPr>
      <w:r w:rsidRPr="00E42471">
        <w:rPr>
          <w:rFonts w:ascii="Verdana" w:eastAsia="Arial" w:hAnsi="Verdana" w:cs="Arial"/>
          <w:color w:val="000000"/>
        </w:rPr>
        <w:t>A estos se suman, los procesos de selección de bienes y servicios de características técnicas uniformes y de común utilización, así como los de mínima cuantía, en los que – según el numeral 3 del artículo 5</w:t>
      </w:r>
      <w:r>
        <w:rPr>
          <w:rFonts w:ascii="Verdana" w:eastAsia="Arial" w:hAnsi="Verdana" w:cs="Arial"/>
          <w:color w:val="000000"/>
        </w:rPr>
        <w:t>–</w:t>
      </w:r>
      <w:r w:rsidRPr="00E42471">
        <w:rPr>
          <w:rFonts w:ascii="Verdana" w:eastAsia="Arial" w:hAnsi="Verdana" w:cs="Arial"/>
          <w:color w:val="000000"/>
        </w:rPr>
        <w:t xml:space="preserve"> y numeral 5</w:t>
      </w:r>
      <w:r>
        <w:rPr>
          <w:rFonts w:ascii="Verdana" w:eastAsia="Arial" w:hAnsi="Verdana" w:cs="Arial"/>
          <w:color w:val="000000"/>
        </w:rPr>
        <w:t>, literal c)</w:t>
      </w:r>
      <w:r w:rsidRPr="00E42471">
        <w:rPr>
          <w:rFonts w:ascii="Verdana" w:eastAsia="Arial" w:hAnsi="Verdana" w:cs="Arial"/>
          <w:color w:val="000000"/>
        </w:rPr>
        <w:t xml:space="preserve"> del artículo 2 de la Ley 1150 de 2007</w:t>
      </w:r>
      <w:r>
        <w:rPr>
          <w:rFonts w:ascii="Verdana" w:eastAsia="Arial" w:hAnsi="Verdana" w:cs="Arial"/>
          <w:color w:val="000000"/>
        </w:rPr>
        <w:t>–</w:t>
      </w:r>
      <w:r w:rsidRPr="00E42471">
        <w:rPr>
          <w:rFonts w:ascii="Verdana" w:eastAsia="Arial" w:hAnsi="Verdana" w:cs="Arial"/>
          <w:color w:val="000000"/>
        </w:rPr>
        <w:t xml:space="preserve"> el único factor de selección es el menor precio ofertado, por lo que no hay lugar a ponderación mediante puntajes o relaciones costo beneficio.</w:t>
      </w:r>
    </w:p>
    <w:p w14:paraId="69583D45" w14:textId="77777777" w:rsidR="008D378B" w:rsidRPr="00E42471" w:rsidRDefault="008D378B" w:rsidP="008D378B">
      <w:pPr>
        <w:spacing w:after="120" w:line="276" w:lineRule="auto"/>
        <w:ind w:firstLine="709"/>
        <w:jc w:val="both"/>
        <w:rPr>
          <w:rFonts w:ascii="Verdana" w:eastAsia="Arial" w:hAnsi="Verdana" w:cs="Arial"/>
          <w:color w:val="000000"/>
        </w:rPr>
      </w:pPr>
      <w:r w:rsidRPr="00E42471">
        <w:rPr>
          <w:rFonts w:ascii="Verdana" w:eastAsia="Arial" w:hAnsi="Verdana" w:cs="Arial"/>
          <w:color w:val="000000"/>
        </w:rPr>
        <w:t xml:space="preserve">Conforme a lo anterior, </w:t>
      </w:r>
      <w:bookmarkStart w:id="14" w:name="_Hlk169791737"/>
      <w:r w:rsidRPr="00E42471">
        <w:rPr>
          <w:rFonts w:ascii="Verdana" w:eastAsia="Arial" w:hAnsi="Verdana" w:cs="Arial"/>
          <w:color w:val="000000"/>
        </w:rPr>
        <w:t>el deber de selección objetiva está ligado a la determinación del ofrecimiento más favorable, cuyo contenido debe ser precisado a partir de las diferentes alternativas del artículo 5 de la Ley 1150 de 2007, reglamentado por el artículo 2.2.1.1.2.2.2 del Decreto 1082 de 2015</w:t>
      </w:r>
      <w:bookmarkEnd w:id="14"/>
      <w:r>
        <w:rPr>
          <w:rStyle w:val="Refdenotaalpie"/>
          <w:rFonts w:ascii="Verdana" w:eastAsia="Arial" w:hAnsi="Verdana" w:cs="Arial"/>
          <w:color w:val="000000"/>
        </w:rPr>
        <w:footnoteReference w:id="17"/>
      </w:r>
      <w:r w:rsidRPr="00E42471">
        <w:rPr>
          <w:rFonts w:ascii="Verdana" w:eastAsia="Arial" w:hAnsi="Verdana" w:cs="Arial"/>
          <w:color w:val="000000"/>
        </w:rPr>
        <w:t xml:space="preserve">, </w:t>
      </w:r>
      <w:r w:rsidRPr="00E42471">
        <w:rPr>
          <w:rFonts w:ascii="Verdana" w:eastAsia="Arial" w:hAnsi="Verdana" w:cs="Arial"/>
          <w:color w:val="000000"/>
        </w:rPr>
        <w:lastRenderedPageBreak/>
        <w:t>que en todo caso deben reflejarse en el pliego de condiciones o documento equivalente para el respectivo proceso de selección. Estas disposiciones establecen que en los procesos de selección deben evaluarse, fuera de los requisitos habilitantes, los factores de calificación, valoración o evaluación. Estos pueden ponderarse mediante la asignación de puntaje, por lo que la norma se refiere a factores que no otorgan puntaje para diferenciar los requisitos habilitantes de los mencionados factores de calificación. Lo anterior, bajo el entendido que son estos últimos los que determinan la oferta más favorable para la entidad y la que en consecuencia debe elegirse.</w:t>
      </w:r>
    </w:p>
    <w:p w14:paraId="4A64A3D6" w14:textId="77777777" w:rsidR="0047433B" w:rsidRPr="008A0EA6" w:rsidRDefault="0047433B" w:rsidP="003D31D0">
      <w:pPr>
        <w:spacing w:after="0" w:line="276" w:lineRule="auto"/>
        <w:jc w:val="both"/>
        <w:rPr>
          <w:rFonts w:ascii="Verdana" w:eastAsia="Arial" w:hAnsi="Verdana" w:cs="Arial"/>
          <w:lang w:val="es-ES"/>
        </w:rPr>
      </w:pPr>
    </w:p>
    <w:p w14:paraId="11EE2AAD" w14:textId="77777777" w:rsidR="0047433B" w:rsidRPr="002167F7" w:rsidRDefault="0047433B" w:rsidP="0047433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167F7">
        <w:rPr>
          <w:rFonts w:ascii="Verdana" w:eastAsia="Century Gothic" w:hAnsi="Verdana" w:cs="Century Gothic"/>
          <w:b/>
          <w:bCs/>
        </w:rPr>
        <w:t>Referencias normativas</w:t>
      </w:r>
      <w:r>
        <w:rPr>
          <w:rFonts w:ascii="Verdana" w:eastAsia="Century Gothic" w:hAnsi="Verdana" w:cs="Century Gothic"/>
          <w:b/>
          <w:bCs/>
        </w:rPr>
        <w:t xml:space="preserve"> y</w:t>
      </w:r>
      <w:r w:rsidRPr="002167F7">
        <w:rPr>
          <w:rFonts w:ascii="Verdana" w:eastAsia="Century Gothic" w:hAnsi="Verdana" w:cs="Century Gothic"/>
          <w:b/>
          <w:bCs/>
        </w:rPr>
        <w:t xml:space="preserve"> jurisprudenciales</w:t>
      </w:r>
      <w:r>
        <w:rPr>
          <w:rFonts w:ascii="Verdana" w:eastAsia="Century Gothic" w:hAnsi="Verdana" w:cs="Century Gothic"/>
          <w:b/>
          <w:bCs/>
        </w:rPr>
        <w:t xml:space="preserve">: </w:t>
      </w:r>
    </w:p>
    <w:p w14:paraId="78E7F1D5" w14:textId="77777777" w:rsidR="0047433B" w:rsidRPr="002167F7" w:rsidRDefault="0047433B" w:rsidP="0047433B">
      <w:pPr>
        <w:widowControl w:val="0"/>
        <w:autoSpaceDE w:val="0"/>
        <w:autoSpaceDN w:val="0"/>
        <w:spacing w:after="0" w:line="276" w:lineRule="auto"/>
        <w:jc w:val="both"/>
        <w:rPr>
          <w:rFonts w:ascii="Verdana" w:hAnsi="Verdana" w:cs="Arial"/>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7433B" w:rsidRPr="0081195A" w14:paraId="2B2F19E6" w14:textId="77777777" w:rsidTr="0067658D">
        <w:trPr>
          <w:trHeight w:val="366"/>
        </w:trPr>
        <w:tc>
          <w:tcPr>
            <w:tcW w:w="8647" w:type="dxa"/>
          </w:tcPr>
          <w:p w14:paraId="7535610D" w14:textId="77777777" w:rsidR="0047433B" w:rsidRPr="0081195A" w:rsidRDefault="0047433B" w:rsidP="0067658D">
            <w:pPr>
              <w:pStyle w:val="Prrafodelista"/>
              <w:widowControl w:val="0"/>
              <w:numPr>
                <w:ilvl w:val="0"/>
                <w:numId w:val="17"/>
              </w:numPr>
              <w:tabs>
                <w:tab w:val="left" w:pos="8419"/>
              </w:tabs>
              <w:autoSpaceDE w:val="0"/>
              <w:autoSpaceDN w:val="0"/>
              <w:spacing w:before="120" w:after="120" w:line="276" w:lineRule="auto"/>
              <w:ind w:left="714" w:hanging="357"/>
              <w:contextualSpacing w:val="0"/>
              <w:jc w:val="both"/>
              <w:rPr>
                <w:rFonts w:ascii="Verdana" w:eastAsia="Calibri" w:hAnsi="Verdana" w:cs="Arial"/>
                <w:color w:val="000000"/>
              </w:rPr>
            </w:pPr>
            <w:r w:rsidRPr="0081195A">
              <w:rPr>
                <w:rFonts w:ascii="Verdana" w:eastAsia="Calibri" w:hAnsi="Verdana" w:cs="Arial"/>
                <w:color w:val="000000"/>
              </w:rPr>
              <w:t xml:space="preserve">Constitución Política, artículo 29. </w:t>
            </w:r>
          </w:p>
          <w:p w14:paraId="1BD9267D" w14:textId="77777777" w:rsidR="0047433B" w:rsidRPr="0081195A" w:rsidRDefault="0047433B" w:rsidP="0067658D">
            <w:pPr>
              <w:pStyle w:val="Prrafodelista"/>
              <w:widowControl w:val="0"/>
              <w:numPr>
                <w:ilvl w:val="0"/>
                <w:numId w:val="17"/>
              </w:numPr>
              <w:tabs>
                <w:tab w:val="left" w:pos="8419"/>
              </w:tabs>
              <w:autoSpaceDE w:val="0"/>
              <w:autoSpaceDN w:val="0"/>
              <w:spacing w:before="120" w:after="120" w:line="276" w:lineRule="auto"/>
              <w:ind w:left="714" w:hanging="357"/>
              <w:contextualSpacing w:val="0"/>
              <w:jc w:val="both"/>
              <w:rPr>
                <w:rFonts w:ascii="Verdana" w:eastAsia="Calibri" w:hAnsi="Verdana" w:cs="Arial"/>
                <w:color w:val="000000"/>
              </w:rPr>
            </w:pPr>
            <w:r w:rsidRPr="0081195A">
              <w:rPr>
                <w:rFonts w:ascii="Verdana" w:eastAsia="Calibri" w:hAnsi="Verdana" w:cs="Arial"/>
                <w:color w:val="000000"/>
              </w:rPr>
              <w:t xml:space="preserve">Ley 1150 de 2007, artículo 2 y 5. </w:t>
            </w:r>
          </w:p>
          <w:p w14:paraId="74A63923" w14:textId="77777777" w:rsidR="0047433B" w:rsidRPr="0081195A" w:rsidRDefault="0047433B" w:rsidP="0067658D">
            <w:pPr>
              <w:pStyle w:val="Prrafodelista"/>
              <w:widowControl w:val="0"/>
              <w:numPr>
                <w:ilvl w:val="0"/>
                <w:numId w:val="17"/>
              </w:numPr>
              <w:tabs>
                <w:tab w:val="left" w:pos="8419"/>
              </w:tabs>
              <w:autoSpaceDE w:val="0"/>
              <w:autoSpaceDN w:val="0"/>
              <w:spacing w:before="120" w:after="120" w:line="276" w:lineRule="auto"/>
              <w:ind w:left="714" w:hanging="357"/>
              <w:contextualSpacing w:val="0"/>
              <w:jc w:val="both"/>
              <w:rPr>
                <w:rFonts w:ascii="Verdana" w:eastAsia="Calibri" w:hAnsi="Verdana" w:cs="Arial"/>
                <w:color w:val="000000"/>
              </w:rPr>
            </w:pPr>
            <w:r w:rsidRPr="0081195A">
              <w:rPr>
                <w:rFonts w:ascii="Verdana" w:eastAsia="Calibri" w:hAnsi="Verdana" w:cs="Arial"/>
                <w:color w:val="000000"/>
              </w:rPr>
              <w:t>Decreto 1082 de 2015, Parte 2, Título 1, Capítulo 2, Sección 1.</w:t>
            </w:r>
          </w:p>
          <w:p w14:paraId="27EAE89B" w14:textId="77777777" w:rsidR="0047433B" w:rsidRPr="0081195A" w:rsidRDefault="0047433B" w:rsidP="0067658D">
            <w:pPr>
              <w:pStyle w:val="Prrafodelista"/>
              <w:widowControl w:val="0"/>
              <w:numPr>
                <w:ilvl w:val="0"/>
                <w:numId w:val="17"/>
              </w:numPr>
              <w:tabs>
                <w:tab w:val="left" w:pos="8419"/>
              </w:tabs>
              <w:autoSpaceDE w:val="0"/>
              <w:autoSpaceDN w:val="0"/>
              <w:spacing w:before="120" w:after="120" w:line="276" w:lineRule="auto"/>
              <w:ind w:left="714" w:hanging="357"/>
              <w:contextualSpacing w:val="0"/>
              <w:jc w:val="both"/>
              <w:rPr>
                <w:rFonts w:ascii="Verdana" w:eastAsia="Calibri" w:hAnsi="Verdana" w:cs="Arial"/>
                <w:color w:val="000000"/>
              </w:rPr>
            </w:pPr>
            <w:r w:rsidRPr="0081195A">
              <w:rPr>
                <w:rFonts w:ascii="Verdana" w:eastAsia="Calibri" w:hAnsi="Verdana" w:cs="Arial"/>
                <w:color w:val="000000"/>
              </w:rPr>
              <w:t xml:space="preserve">CONSEJO DE ESTADO. Sección Tercera. Subsección A. Sentencia del 23 de julio de 2015. </w:t>
            </w:r>
            <w:proofErr w:type="spellStart"/>
            <w:r w:rsidRPr="0081195A">
              <w:rPr>
                <w:rFonts w:ascii="Verdana" w:eastAsia="Calibri" w:hAnsi="Verdana" w:cs="Arial"/>
                <w:color w:val="000000"/>
              </w:rPr>
              <w:t>Exp</w:t>
            </w:r>
            <w:proofErr w:type="spellEnd"/>
            <w:r w:rsidRPr="0081195A">
              <w:rPr>
                <w:rFonts w:ascii="Verdana" w:eastAsia="Calibri" w:hAnsi="Verdana" w:cs="Arial"/>
                <w:color w:val="000000"/>
              </w:rPr>
              <w:t>. 36.805. C. P. Hernán Andrade Rincón.</w:t>
            </w:r>
          </w:p>
          <w:p w14:paraId="79EA4391" w14:textId="77777777" w:rsidR="0047433B" w:rsidRPr="002B2496" w:rsidRDefault="0047433B" w:rsidP="0067658D">
            <w:pPr>
              <w:pStyle w:val="Prrafodelista"/>
              <w:widowControl w:val="0"/>
              <w:numPr>
                <w:ilvl w:val="0"/>
                <w:numId w:val="17"/>
              </w:numPr>
              <w:tabs>
                <w:tab w:val="left" w:pos="8419"/>
              </w:tabs>
              <w:autoSpaceDE w:val="0"/>
              <w:autoSpaceDN w:val="0"/>
              <w:spacing w:before="120" w:after="120" w:line="276" w:lineRule="auto"/>
              <w:ind w:left="714" w:hanging="357"/>
              <w:contextualSpacing w:val="0"/>
              <w:jc w:val="both"/>
              <w:rPr>
                <w:rFonts w:ascii="Verdana" w:eastAsia="Calibri" w:hAnsi="Verdana" w:cs="Arial"/>
                <w:color w:val="000000"/>
              </w:rPr>
            </w:pPr>
            <w:r w:rsidRPr="0081195A">
              <w:rPr>
                <w:rFonts w:ascii="Verdana" w:eastAsia="Calibri" w:hAnsi="Verdana" w:cs="Arial"/>
                <w:color w:val="000000"/>
              </w:rPr>
              <w:t>CONSEJO DE ESTADO. Sección Tercera. Sentencia del 23 de junio de 2010. Rad. 16.367. C.P. Enrique Gil Botero</w:t>
            </w:r>
          </w:p>
        </w:tc>
      </w:tr>
    </w:tbl>
    <w:p w14:paraId="490148B9" w14:textId="77777777" w:rsidR="0047433B" w:rsidRPr="002167F7" w:rsidRDefault="0047433B" w:rsidP="0047433B">
      <w:pPr>
        <w:widowControl w:val="0"/>
        <w:autoSpaceDE w:val="0"/>
        <w:autoSpaceDN w:val="0"/>
        <w:spacing w:after="0" w:line="276" w:lineRule="auto"/>
        <w:jc w:val="both"/>
        <w:rPr>
          <w:rFonts w:ascii="Verdana" w:hAnsi="Verdana" w:cs="Arial"/>
          <w:lang w:val="es-ES"/>
        </w:rPr>
      </w:pPr>
    </w:p>
    <w:p w14:paraId="514FB593" w14:textId="77777777" w:rsidR="0047433B" w:rsidRPr="002167F7" w:rsidRDefault="0047433B" w:rsidP="0047433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167F7">
        <w:rPr>
          <w:rFonts w:ascii="Verdana" w:eastAsia="Century Gothic" w:hAnsi="Verdana" w:cs="Century Gothic"/>
          <w:b/>
          <w:bCs/>
        </w:rPr>
        <w:lastRenderedPageBreak/>
        <w:t>Doctrina de la Agencia Nacional de Contratación Pública:</w:t>
      </w:r>
    </w:p>
    <w:p w14:paraId="79F5B678" w14:textId="77777777" w:rsidR="0047433B" w:rsidRPr="002167F7" w:rsidRDefault="0047433B" w:rsidP="0047433B">
      <w:pPr>
        <w:widowControl w:val="0"/>
        <w:autoSpaceDE w:val="0"/>
        <w:autoSpaceDN w:val="0"/>
        <w:spacing w:after="0" w:line="276" w:lineRule="auto"/>
        <w:jc w:val="both"/>
        <w:rPr>
          <w:rFonts w:ascii="Verdana" w:hAnsi="Verdana" w:cs="Arial"/>
          <w:lang w:val="es-ES"/>
        </w:rPr>
      </w:pPr>
    </w:p>
    <w:p w14:paraId="62661347" w14:textId="60EBFCC1" w:rsidR="0047433B" w:rsidRPr="002167F7" w:rsidRDefault="0047433B" w:rsidP="0047433B">
      <w:pPr>
        <w:spacing w:after="0" w:line="276" w:lineRule="auto"/>
        <w:contextualSpacing/>
        <w:jc w:val="both"/>
        <w:rPr>
          <w:rFonts w:ascii="Verdana" w:eastAsia="Calibri" w:hAnsi="Verdana" w:cs="Arial"/>
          <w:b/>
          <w:bCs/>
          <w:lang w:val="es-ES" w:eastAsia="es-ES"/>
        </w:rPr>
      </w:pPr>
      <w:r w:rsidRPr="002167F7">
        <w:rPr>
          <w:rStyle w:val="normaltextrun"/>
          <w:rFonts w:ascii="Verdana" w:hAnsi="Verdana" w:cs="Arial"/>
          <w:color w:val="000000" w:themeColor="text1"/>
          <w:shd w:val="clear" w:color="auto" w:fill="FFFFFF"/>
          <w:lang w:val="es-ES"/>
        </w:rPr>
        <w:t>La Agencia Nacional de Contratación Pública – Colombia Compra Eficiente se ha referido</w:t>
      </w:r>
      <w:r>
        <w:rPr>
          <w:rStyle w:val="normaltextrun"/>
          <w:rFonts w:ascii="Verdana" w:hAnsi="Verdana" w:cs="Arial"/>
          <w:color w:val="000000" w:themeColor="text1"/>
          <w:shd w:val="clear" w:color="auto" w:fill="FFFFFF"/>
          <w:lang w:val="es-ES"/>
        </w:rPr>
        <w:t xml:space="preserve"> </w:t>
      </w:r>
      <w:r>
        <w:rPr>
          <w:rFonts w:ascii="Verdana" w:eastAsia="Calibri" w:hAnsi="Verdana" w:cs="Arial"/>
          <w:lang w:val="es-ES" w:eastAsia="es-ES_tradnl"/>
        </w:rPr>
        <w:t xml:space="preserve">al principio de selección objetiva y a las distintas modalidades de selección en conceptos </w:t>
      </w:r>
      <w:r w:rsidRPr="0098292D">
        <w:rPr>
          <w:rFonts w:ascii="Verdana" w:eastAsia="Calibri" w:hAnsi="Verdana" w:cs="Arial"/>
          <w:color w:val="000000" w:themeColor="text1"/>
          <w:lang w:val="es-ES_tradnl"/>
        </w:rPr>
        <w:t>C-633 del 2 de octubre de 2020, C-634 del 21 de octubre de 2020, C-675 del 25 de noviembre de 2020, C-802 del 1° de febrero de 2021, C-010 del 16 de febrero de 2021, C-083 del 18 de marzo de 2021, C-090 del 23 de marzo de 2021,</w:t>
      </w:r>
      <w:r>
        <w:rPr>
          <w:rFonts w:ascii="Verdana" w:eastAsia="Calibri" w:hAnsi="Verdana" w:cs="Arial"/>
          <w:color w:val="000000" w:themeColor="text1"/>
          <w:lang w:val="es-ES_tradnl"/>
        </w:rPr>
        <w:t xml:space="preserve"> </w:t>
      </w:r>
      <w:r w:rsidRPr="0098292D">
        <w:rPr>
          <w:rFonts w:ascii="Verdana" w:eastAsia="Calibri" w:hAnsi="Verdana" w:cs="Arial"/>
          <w:color w:val="000000" w:themeColor="text1"/>
          <w:lang w:val="es-ES_tradnl"/>
        </w:rPr>
        <w:t>C-250 del 2 de junio de 2021, C-409 del 13 de agosto de 2021, C-691 del 28 de diciembre de 2021, C-716 del 23 de enero de 2022, C-728 del 26 de enero de 2022, C-114 del 22 de marzo de 2022, C-140 del 28 de marzo de 2022, C-285 del 20 de mayo de 2022, C-343 del 31 de mayo de 2022, C-381 del 15 de julio de 2022, C-431 del 7 de julio de 2022, C-434 del 8 de julio de 2022, C-542 del 23 de agosto de 2022, C-595 del 9 de septiembre de 2022, C-772 del 28 de noviembre de 2022, C-793 del 21 de noviembre de 2022, C-923 del 27 de diciembre de 2022, C-965 del 27 de enero de 2023, C-058 del 10 de mayo de 2023, C-082 del 19 de abril de 2023, C-216 del 6 de junio de 2023 y C-304 del 4 de julio de 2023</w:t>
      </w:r>
      <w:r>
        <w:rPr>
          <w:rFonts w:ascii="Verdana" w:eastAsia="Calibri" w:hAnsi="Verdana" w:cs="Arial"/>
          <w:color w:val="000000" w:themeColor="text1"/>
          <w:lang w:val="es-ES_tradnl"/>
        </w:rPr>
        <w:t xml:space="preserve">, </w:t>
      </w:r>
      <w:r w:rsidRPr="00173FB2">
        <w:rPr>
          <w:rFonts w:ascii="Verdana" w:eastAsia="Calibri" w:hAnsi="Verdana" w:cs="Arial"/>
          <w:color w:val="000000" w:themeColor="text1"/>
          <w:lang w:val="es-ES_tradnl"/>
        </w:rPr>
        <w:t>C-249 del 26 de agosto de 2024, C</w:t>
      </w:r>
      <w:r>
        <w:rPr>
          <w:rFonts w:ascii="Verdana" w:eastAsia="Calibri" w:hAnsi="Verdana" w:cs="Arial"/>
          <w:color w:val="000000" w:themeColor="text1"/>
          <w:lang w:val="es-ES_tradnl"/>
        </w:rPr>
        <w:t>-</w:t>
      </w:r>
      <w:r w:rsidRPr="00173FB2">
        <w:rPr>
          <w:rFonts w:ascii="Verdana" w:eastAsia="Calibri" w:hAnsi="Verdana" w:cs="Arial"/>
          <w:color w:val="000000" w:themeColor="text1"/>
          <w:lang w:val="es-ES_tradnl"/>
        </w:rPr>
        <w:t>452 del 19 de septiembre de 2024, C- 625 del 29 de octubre de 2024, C</w:t>
      </w:r>
      <w:r>
        <w:rPr>
          <w:rFonts w:ascii="Verdana" w:eastAsia="Calibri" w:hAnsi="Verdana" w:cs="Arial"/>
          <w:color w:val="000000" w:themeColor="text1"/>
          <w:lang w:val="es-ES_tradnl"/>
        </w:rPr>
        <w:t>-</w:t>
      </w:r>
      <w:r w:rsidRPr="00173FB2">
        <w:rPr>
          <w:rFonts w:ascii="Verdana" w:eastAsia="Calibri" w:hAnsi="Verdana" w:cs="Arial"/>
          <w:color w:val="000000" w:themeColor="text1"/>
          <w:lang w:val="es-ES_tradnl"/>
        </w:rPr>
        <w:t>215 del 25 de marzo de 2025 C-556 del 17 de junio de 2025, C-668 del 8 de julio de 2025, C-848 del 04 de agosto de 2025, C–852 del 19 de agosto de 2025</w:t>
      </w:r>
      <w:r>
        <w:rPr>
          <w:rFonts w:ascii="Verdana" w:eastAsia="Calibri" w:hAnsi="Verdana" w:cs="Arial"/>
          <w:lang w:val="es-ES" w:eastAsia="es-ES_tradnl"/>
        </w:rPr>
        <w:t xml:space="preserve">, </w:t>
      </w:r>
      <w:r w:rsidRPr="00957AAF">
        <w:rPr>
          <w:rFonts w:ascii="Verdana" w:eastAsia="Calibri" w:hAnsi="Verdana" w:cs="Arial"/>
          <w:lang w:val="es-ES" w:eastAsia="es-ES_tradnl"/>
        </w:rPr>
        <w:t>C-992 de 2025</w:t>
      </w:r>
      <w:r>
        <w:rPr>
          <w:rFonts w:ascii="Verdana" w:eastAsia="Calibri" w:hAnsi="Verdana" w:cs="Arial"/>
          <w:lang w:val="es-ES" w:eastAsia="es-ES_tradnl"/>
        </w:rPr>
        <w:t xml:space="preserve">, </w:t>
      </w:r>
      <w:r w:rsidR="008D378B">
        <w:rPr>
          <w:rFonts w:ascii="Verdana" w:eastAsia="Calibri" w:hAnsi="Verdana" w:cs="Arial"/>
          <w:lang w:val="es-ES" w:eastAsia="es-ES_tradnl"/>
        </w:rPr>
        <w:t xml:space="preserve">C- 079 de 2026, </w:t>
      </w:r>
      <w:r w:rsidR="003D31D0" w:rsidRPr="003D31D0">
        <w:rPr>
          <w:rFonts w:ascii="Verdana" w:eastAsia="Calibri" w:hAnsi="Verdana" w:cs="Arial"/>
          <w:lang w:val="es-ES" w:eastAsia="es-ES_tradnl"/>
        </w:rPr>
        <w:t>C-722 de 2025</w:t>
      </w:r>
      <w:r w:rsidR="003D31D0">
        <w:rPr>
          <w:rFonts w:ascii="Verdana" w:eastAsia="Calibri" w:hAnsi="Verdana" w:cs="Arial"/>
          <w:lang w:val="es-ES" w:eastAsia="es-ES_tradnl"/>
        </w:rPr>
        <w:t xml:space="preserve">, </w:t>
      </w:r>
      <w:r>
        <w:rPr>
          <w:rFonts w:ascii="Verdana" w:eastAsia="Calibri" w:hAnsi="Verdana" w:cs="Arial"/>
          <w:lang w:val="es-ES" w:eastAsia="es-ES_tradnl"/>
        </w:rPr>
        <w:t>entre otros</w:t>
      </w:r>
      <w:r w:rsidRPr="002167F7">
        <w:rPr>
          <w:rFonts w:ascii="Verdana" w:eastAsia="Calibri" w:hAnsi="Verdana" w:cs="Arial"/>
          <w:lang w:val="es-ES" w:eastAsia="es-ES"/>
        </w:rPr>
        <w:t xml:space="preserve">. </w:t>
      </w:r>
      <w:r w:rsidRPr="002167F7">
        <w:rPr>
          <w:rFonts w:ascii="Verdana" w:hAnsi="Verdana" w:cs="Arial"/>
          <w:color w:val="000000" w:themeColor="text1"/>
          <w:shd w:val="clear" w:color="auto" w:fill="FFFFFF"/>
          <w:lang w:val="es-ES"/>
        </w:rPr>
        <w:t xml:space="preserve">Estos </w:t>
      </w:r>
      <w:r w:rsidRPr="002167F7">
        <w:rPr>
          <w:rStyle w:val="normaltextrun"/>
          <w:rFonts w:ascii="Verdana" w:hAnsi="Verdana" w:cs="Arial"/>
          <w:color w:val="000000" w:themeColor="text1"/>
          <w:shd w:val="clear" w:color="auto" w:fill="FFFFFF"/>
          <w:lang w:val="es-ES"/>
        </w:rPr>
        <w:t xml:space="preserve">se encuentran disponibles para consulta en el Sistema de relatoría de la Agencia, al cual puede accederse a través del siguiente enlace: </w:t>
      </w:r>
      <w:hyperlink r:id="rId15" w:history="1">
        <w:r w:rsidRPr="002167F7">
          <w:rPr>
            <w:rStyle w:val="Hipervnculo"/>
            <w:rFonts w:ascii="Verdana" w:hAnsi="Verdana" w:cs="Arial"/>
            <w:shd w:val="clear" w:color="auto" w:fill="FFFFFF"/>
            <w:lang w:val="es-ES"/>
          </w:rPr>
          <w:t>https://relatoria.colombiacompra.gov.co/busqueda/conceptos</w:t>
        </w:r>
      </w:hyperlink>
      <w:r w:rsidRPr="002167F7">
        <w:rPr>
          <w:rStyle w:val="Hipervnculo"/>
          <w:rFonts w:ascii="Verdana" w:hAnsi="Verdana"/>
          <w:lang w:val="es-ES"/>
        </w:rPr>
        <w:t>.</w:t>
      </w:r>
      <w:r w:rsidRPr="002167F7">
        <w:rPr>
          <w:rStyle w:val="normaltextrun"/>
          <w:rFonts w:ascii="Verdana" w:hAnsi="Verdana" w:cs="Arial"/>
          <w:color w:val="000000" w:themeColor="text1"/>
          <w:shd w:val="clear" w:color="auto" w:fill="FFFFFF"/>
          <w:lang w:val="es-ES"/>
        </w:rPr>
        <w:t xml:space="preserve">  </w:t>
      </w:r>
    </w:p>
    <w:p w14:paraId="00FE6409" w14:textId="77777777" w:rsidR="0047433B" w:rsidRPr="002167F7" w:rsidRDefault="0047433B" w:rsidP="0047433B">
      <w:pPr>
        <w:spacing w:after="0" w:line="276" w:lineRule="auto"/>
        <w:contextualSpacing/>
        <w:jc w:val="both"/>
        <w:rPr>
          <w:rFonts w:ascii="Verdana" w:hAnsi="Verdana"/>
          <w:lang w:val="es-ES"/>
        </w:rPr>
      </w:pPr>
    </w:p>
    <w:p w14:paraId="52520600" w14:textId="77777777" w:rsidR="003D31D0" w:rsidRPr="009A385A" w:rsidRDefault="003D31D0" w:rsidP="003D31D0">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6" w:tgtFrame="_new" w:history="1">
        <w:r w:rsidRPr="009A385A">
          <w:rPr>
            <w:rStyle w:val="Hipervnculo"/>
            <w:rFonts w:ascii="Verdana" w:hAnsi="Verdana"/>
          </w:rPr>
          <w:t>https://formacionvirtual.colombiacompra.gov.co/mod/page/view.php?id=3718</w:t>
        </w:r>
      </w:hyperlink>
    </w:p>
    <w:p w14:paraId="2FBD1135" w14:textId="77777777" w:rsidR="003D31D0" w:rsidRDefault="003D31D0" w:rsidP="003D31D0">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w:t>
      </w:r>
      <w:r w:rsidRPr="009A385A">
        <w:rPr>
          <w:rFonts w:ascii="Verdana" w:hAnsi="Verdana"/>
          <w:b/>
          <w:bCs/>
        </w:rPr>
        <w:lastRenderedPageBreak/>
        <w:t>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7" w:tgtFrame="_new" w:history="1">
        <w:r w:rsidRPr="00635F16">
          <w:rPr>
            <w:rStyle w:val="Hipervnculo"/>
            <w:rFonts w:ascii="Verdana" w:hAnsi="Verdana"/>
          </w:rPr>
          <w:t>https://www.colombiacompra.gov.co/normativa-y-relatoria/documentos-tipo</w:t>
        </w:r>
      </w:hyperlink>
    </w:p>
    <w:p w14:paraId="0349E49E" w14:textId="77777777" w:rsidR="003D31D0" w:rsidRPr="009A385A" w:rsidRDefault="003D31D0" w:rsidP="003D31D0">
      <w:pPr>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8"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4D42404" w14:textId="77777777" w:rsidR="003D31D0" w:rsidRPr="0027034B" w:rsidRDefault="003D31D0" w:rsidP="003D31D0">
      <w:pPr>
        <w:widowControl w:val="0"/>
        <w:autoSpaceDE w:val="0"/>
        <w:autoSpaceDN w:val="0"/>
        <w:spacing w:after="0" w:line="276" w:lineRule="auto"/>
        <w:jc w:val="both"/>
        <w:rPr>
          <w:rFonts w:ascii="Verdana" w:eastAsia="Calibri" w:hAnsi="Verdana" w:cs="Arial"/>
          <w:shd w:val="clear" w:color="auto" w:fill="FFFFFF"/>
          <w:lang w:val="es-ES"/>
        </w:rPr>
      </w:pPr>
    </w:p>
    <w:p w14:paraId="19768426" w14:textId="77777777" w:rsidR="003D31D0" w:rsidRPr="0027034B" w:rsidRDefault="003D31D0" w:rsidP="003D31D0">
      <w:pPr>
        <w:spacing w:after="0" w:line="276" w:lineRule="auto"/>
        <w:jc w:val="both"/>
        <w:rPr>
          <w:rFonts w:ascii="Verdana" w:eastAsia="Calibri" w:hAnsi="Verdana" w:cs="Times New Roman"/>
        </w:rPr>
      </w:pPr>
      <w:r w:rsidRPr="0027034B">
        <w:rPr>
          <w:rFonts w:ascii="Verdana" w:eastAsia="Calibri" w:hAnsi="Verdana" w:cs="Times New Roman"/>
        </w:rPr>
        <w:t xml:space="preserve">Por último, lo invitamos a seguirnos en las redes sociales en las cuales se difunde información institucional: </w:t>
      </w:r>
    </w:p>
    <w:p w14:paraId="72B8765A" w14:textId="77777777" w:rsidR="003D31D0" w:rsidRPr="0027034B" w:rsidRDefault="003D31D0" w:rsidP="003D31D0">
      <w:pPr>
        <w:spacing w:after="0" w:line="276" w:lineRule="auto"/>
        <w:jc w:val="both"/>
        <w:rPr>
          <w:rFonts w:ascii="Verdana" w:eastAsia="Calibri" w:hAnsi="Verdana" w:cs="Times New Roman"/>
        </w:rPr>
      </w:pPr>
    </w:p>
    <w:p w14:paraId="29A13EA7" w14:textId="77777777" w:rsidR="003D31D0" w:rsidRPr="0027034B" w:rsidRDefault="003D31D0" w:rsidP="003D31D0">
      <w:pPr>
        <w:spacing w:after="0" w:line="276" w:lineRule="auto"/>
        <w:jc w:val="both"/>
        <w:rPr>
          <w:rFonts w:ascii="Verdana" w:eastAsia="Calibri" w:hAnsi="Verdana" w:cs="Times New Roman"/>
        </w:rPr>
      </w:pPr>
      <w:r w:rsidRPr="0027034B">
        <w:rPr>
          <w:rFonts w:ascii="Verdana" w:eastAsia="Calibri" w:hAnsi="Verdana" w:cs="Times New Roman"/>
        </w:rPr>
        <w:t xml:space="preserve">Twitter: </w:t>
      </w:r>
      <w:r w:rsidRPr="0027034B">
        <w:rPr>
          <w:rFonts w:ascii="Verdana" w:eastAsia="Calibri" w:hAnsi="Verdana" w:cs="Times New Roman"/>
          <w:u w:val="single"/>
        </w:rPr>
        <w:t>@colombiacompra</w:t>
      </w:r>
      <w:r w:rsidRPr="0027034B">
        <w:rPr>
          <w:rFonts w:ascii="Verdana" w:eastAsia="Calibri" w:hAnsi="Verdana" w:cs="Times New Roman"/>
        </w:rPr>
        <w:t xml:space="preserve"> </w:t>
      </w:r>
    </w:p>
    <w:p w14:paraId="29ED4BFC" w14:textId="77777777" w:rsidR="003D31D0" w:rsidRPr="0027034B" w:rsidRDefault="003D31D0" w:rsidP="003D31D0">
      <w:pPr>
        <w:spacing w:after="0" w:line="276" w:lineRule="auto"/>
        <w:jc w:val="both"/>
        <w:rPr>
          <w:rFonts w:ascii="Verdana" w:eastAsia="Calibri" w:hAnsi="Verdana" w:cs="Times New Roman"/>
        </w:rPr>
      </w:pPr>
      <w:r w:rsidRPr="0027034B">
        <w:rPr>
          <w:rFonts w:ascii="Verdana" w:eastAsia="Calibri" w:hAnsi="Verdana" w:cs="Times New Roman"/>
        </w:rPr>
        <w:t xml:space="preserve">Facebook: </w:t>
      </w:r>
      <w:proofErr w:type="spellStart"/>
      <w:r w:rsidRPr="0027034B">
        <w:rPr>
          <w:rFonts w:ascii="Verdana" w:eastAsia="Calibri" w:hAnsi="Verdana" w:cs="Times New Roman"/>
          <w:u w:val="single"/>
        </w:rPr>
        <w:t>ColombiaCompraEficiente</w:t>
      </w:r>
      <w:proofErr w:type="spellEnd"/>
    </w:p>
    <w:p w14:paraId="0F88C8AF" w14:textId="77777777" w:rsidR="003D31D0" w:rsidRPr="0027034B" w:rsidRDefault="003D31D0" w:rsidP="003D31D0">
      <w:pPr>
        <w:spacing w:after="0" w:line="276" w:lineRule="auto"/>
        <w:jc w:val="both"/>
        <w:rPr>
          <w:rFonts w:ascii="Verdana" w:eastAsia="Calibri" w:hAnsi="Verdana" w:cs="Times New Roman"/>
        </w:rPr>
      </w:pPr>
      <w:r w:rsidRPr="0027034B">
        <w:rPr>
          <w:rFonts w:ascii="Verdana" w:eastAsia="Calibri" w:hAnsi="Verdana" w:cs="Times New Roman"/>
        </w:rPr>
        <w:t xml:space="preserve">LinkedIn: </w:t>
      </w:r>
      <w:r w:rsidRPr="0027034B">
        <w:rPr>
          <w:rFonts w:ascii="Verdana" w:eastAsia="Calibri" w:hAnsi="Verdana" w:cs="Times New Roman"/>
          <w:u w:val="single"/>
        </w:rPr>
        <w:t>Agencia Nacional de Contratación Pública - Colombia Compra Eficiente</w:t>
      </w:r>
      <w:r w:rsidRPr="0027034B">
        <w:rPr>
          <w:rFonts w:ascii="Verdana" w:eastAsia="Calibri" w:hAnsi="Verdana" w:cs="Times New Roman"/>
        </w:rPr>
        <w:t xml:space="preserve"> Instagram: </w:t>
      </w:r>
      <w:r w:rsidRPr="0027034B">
        <w:rPr>
          <w:rFonts w:ascii="Verdana" w:eastAsia="Calibri" w:hAnsi="Verdana" w:cs="Times New Roman"/>
          <w:u w:val="single"/>
        </w:rPr>
        <w:t>@colombiacompraeficiente_cce</w:t>
      </w:r>
    </w:p>
    <w:p w14:paraId="0D8795A7" w14:textId="77777777" w:rsidR="003D31D0" w:rsidRPr="0027034B" w:rsidRDefault="003D31D0" w:rsidP="003D31D0">
      <w:pPr>
        <w:widowControl w:val="0"/>
        <w:autoSpaceDE w:val="0"/>
        <w:autoSpaceDN w:val="0"/>
        <w:spacing w:after="0" w:line="276" w:lineRule="auto"/>
        <w:jc w:val="both"/>
        <w:rPr>
          <w:rFonts w:ascii="Verdana" w:eastAsia="Calibri" w:hAnsi="Verdana" w:cs="Arial"/>
        </w:rPr>
      </w:pPr>
    </w:p>
    <w:p w14:paraId="2584E45D" w14:textId="77777777" w:rsidR="003D31D0" w:rsidRPr="0027034B" w:rsidRDefault="003D31D0" w:rsidP="003D31D0">
      <w:pPr>
        <w:widowControl w:val="0"/>
        <w:autoSpaceDE w:val="0"/>
        <w:autoSpaceDN w:val="0"/>
        <w:spacing w:after="0" w:line="276" w:lineRule="auto"/>
        <w:jc w:val="both"/>
        <w:rPr>
          <w:rFonts w:ascii="Verdana" w:eastAsia="Calibri" w:hAnsi="Verdana" w:cs="Arial"/>
          <w:lang w:val="es-ES_tradnl"/>
        </w:rPr>
      </w:pPr>
      <w:r w:rsidRPr="0027034B">
        <w:rPr>
          <w:rFonts w:ascii="Verdana" w:eastAsia="Calibri" w:hAnsi="Verdana" w:cs="Arial"/>
        </w:rPr>
        <w:t xml:space="preserve">Este concepto tiene el alcance previsto en el artículo 28 del Código de Procedimiento Administrativo y de lo Contencioso Administrativo </w:t>
      </w:r>
      <w:r w:rsidRPr="0027034B">
        <w:rPr>
          <w:rFonts w:ascii="Verdana" w:eastAsia="Calibri" w:hAnsi="Verdana" w:cs="Arial"/>
          <w:lang w:val="es-ES_tradnl"/>
        </w:rPr>
        <w:t>y las expresiones aquí utilizadas con mayúscula inicial deben ser entendidas con el significado que les otorga el artículo 2.2.1.1.1.3.1. del Decreto 1082 de 2015.</w:t>
      </w:r>
    </w:p>
    <w:p w14:paraId="76397C34" w14:textId="77777777" w:rsidR="003D31D0" w:rsidRPr="0027034B" w:rsidRDefault="003D31D0" w:rsidP="003D31D0">
      <w:pPr>
        <w:widowControl w:val="0"/>
        <w:autoSpaceDE w:val="0"/>
        <w:autoSpaceDN w:val="0"/>
        <w:spacing w:after="0" w:line="276" w:lineRule="auto"/>
        <w:jc w:val="both"/>
        <w:rPr>
          <w:rFonts w:ascii="Verdana" w:eastAsia="Calibri" w:hAnsi="Verdana" w:cs="Arial"/>
        </w:rPr>
      </w:pPr>
    </w:p>
    <w:p w14:paraId="165ECE7B" w14:textId="77777777" w:rsidR="003D31D0" w:rsidRPr="0027034B" w:rsidRDefault="003D31D0" w:rsidP="003D31D0">
      <w:pPr>
        <w:spacing w:after="0" w:line="240" w:lineRule="auto"/>
        <w:rPr>
          <w:rFonts w:ascii="Verdana" w:eastAsia="Calibri" w:hAnsi="Verdana" w:cs="Arial"/>
          <w:lang w:eastAsia="es-CO"/>
        </w:rPr>
      </w:pPr>
      <w:r w:rsidRPr="0027034B">
        <w:rPr>
          <w:rFonts w:ascii="Verdana" w:eastAsia="Times New Roman" w:hAnsi="Verdana" w:cs="Arial"/>
          <w:lang w:eastAsia="es-CO"/>
        </w:rPr>
        <w:t>Atentamente,</w:t>
      </w:r>
      <w:r w:rsidRPr="0027034B">
        <w:rPr>
          <w:rFonts w:ascii="Verdana" w:eastAsia="Calibri" w:hAnsi="Verdana" w:cs="Arial"/>
          <w:lang w:eastAsia="es-CO"/>
        </w:rPr>
        <w:t xml:space="preserve"> </w:t>
      </w:r>
    </w:p>
    <w:p w14:paraId="4FF6617F" w14:textId="02190F3D" w:rsidR="0047433B" w:rsidRPr="00FF019D" w:rsidRDefault="00F87BF5" w:rsidP="0047433B">
      <w:pPr>
        <w:spacing w:line="276" w:lineRule="auto"/>
        <w:jc w:val="center"/>
        <w:rPr>
          <w:rFonts w:ascii="Verdana" w:hAnsi="Verdana" w:cs="Arial"/>
          <w:color w:val="000000" w:themeColor="text1"/>
          <w:lang w:val="es-ES" w:eastAsia="es-CO"/>
        </w:rPr>
      </w:pPr>
      <w:r>
        <w:rPr>
          <w:noProof/>
        </w:rPr>
        <w:lastRenderedPageBreak/>
        <w:drawing>
          <wp:inline distT="0" distB="0" distL="0" distR="0" wp14:anchorId="0F1BD2A3" wp14:editId="43327757">
            <wp:extent cx="3104515" cy="1336040"/>
            <wp:effectExtent l="0" t="0" r="0" b="0"/>
            <wp:docPr id="5279530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4515" cy="1336040"/>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7433B" w:rsidRPr="00AD4F6A" w14:paraId="0FB56278" w14:textId="77777777" w:rsidTr="0067658D">
        <w:trPr>
          <w:trHeight w:val="315"/>
        </w:trPr>
        <w:tc>
          <w:tcPr>
            <w:tcW w:w="893" w:type="dxa"/>
            <w:vAlign w:val="center"/>
            <w:hideMark/>
          </w:tcPr>
          <w:p w14:paraId="3A072951" w14:textId="77777777" w:rsidR="0047433B" w:rsidRPr="00AD4F6A" w:rsidRDefault="0047433B" w:rsidP="0067658D">
            <w:pPr>
              <w:contextualSpacing/>
              <w:rPr>
                <w:rFonts w:ascii="Verdana" w:hAnsi="Verdana" w:cs="Arial"/>
                <w:sz w:val="16"/>
                <w:szCs w:val="16"/>
                <w:lang w:eastAsia="es-ES"/>
              </w:rPr>
            </w:pPr>
            <w:r w:rsidRPr="00AD4F6A">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3FC8DCA5" w14:textId="1D3535F7" w:rsidR="0047433B" w:rsidRPr="00AD4F6A" w:rsidRDefault="003D31D0" w:rsidP="0067658D">
            <w:pPr>
              <w:contextualSpacing/>
              <w:rPr>
                <w:rFonts w:ascii="Verdana" w:hAnsi="Verdana"/>
                <w:sz w:val="16"/>
                <w:szCs w:val="16"/>
              </w:rPr>
            </w:pPr>
            <w:r>
              <w:rPr>
                <w:rFonts w:ascii="Verdana" w:hAnsi="Verdana"/>
                <w:sz w:val="16"/>
                <w:szCs w:val="16"/>
              </w:rPr>
              <w:t xml:space="preserve">Camilo J Martínez M </w:t>
            </w:r>
          </w:p>
          <w:p w14:paraId="17C58614" w14:textId="77777777" w:rsidR="0047433B" w:rsidRPr="00AD4F6A" w:rsidRDefault="0047433B" w:rsidP="0067658D">
            <w:pPr>
              <w:contextualSpacing/>
              <w:rPr>
                <w:rFonts w:ascii="Verdana" w:eastAsia="Arial" w:hAnsi="Verdana" w:cs="Arial"/>
                <w:sz w:val="16"/>
                <w:szCs w:val="16"/>
              </w:rPr>
            </w:pPr>
            <w:r w:rsidRPr="00AD4F6A">
              <w:rPr>
                <w:rFonts w:ascii="Verdana" w:hAnsi="Verdana"/>
                <w:sz w:val="16"/>
                <w:szCs w:val="16"/>
              </w:rPr>
              <w:t>Contratista de la Subdirección de Gestión Contractual</w:t>
            </w:r>
          </w:p>
        </w:tc>
      </w:tr>
      <w:tr w:rsidR="0047433B" w:rsidRPr="00AD4F6A" w14:paraId="4C88154D" w14:textId="77777777" w:rsidTr="0067658D">
        <w:trPr>
          <w:trHeight w:val="330"/>
        </w:trPr>
        <w:tc>
          <w:tcPr>
            <w:tcW w:w="893" w:type="dxa"/>
            <w:vAlign w:val="center"/>
            <w:hideMark/>
          </w:tcPr>
          <w:p w14:paraId="3C8F47B9" w14:textId="77777777" w:rsidR="0047433B" w:rsidRPr="00AD4F6A" w:rsidRDefault="0047433B" w:rsidP="0067658D">
            <w:pPr>
              <w:contextualSpacing/>
              <w:rPr>
                <w:rFonts w:ascii="Verdana" w:hAnsi="Verdana" w:cs="Arial"/>
                <w:sz w:val="16"/>
                <w:szCs w:val="16"/>
                <w:lang w:eastAsia="es-ES"/>
              </w:rPr>
            </w:pPr>
            <w:r w:rsidRPr="00AD4F6A">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F3A2DCB" w14:textId="77777777" w:rsidR="003D31D0" w:rsidRDefault="003D31D0" w:rsidP="0067658D">
            <w:pPr>
              <w:spacing w:before="100" w:beforeAutospacing="1" w:after="100" w:afterAutospacing="1"/>
              <w:contextualSpacing/>
              <w:textAlignment w:val="baseline"/>
              <w:rPr>
                <w:rFonts w:ascii="Verdana" w:eastAsia="Times New Roman" w:hAnsi="Verdana" w:cs="Arial"/>
                <w:sz w:val="16"/>
                <w:szCs w:val="16"/>
                <w:lang w:val="es-MX" w:eastAsia="es-CO"/>
              </w:rPr>
            </w:pPr>
            <w:r w:rsidRPr="003D31D0">
              <w:rPr>
                <w:rFonts w:ascii="Verdana" w:eastAsia="Times New Roman" w:hAnsi="Verdana" w:cs="Arial"/>
                <w:sz w:val="16"/>
                <w:szCs w:val="16"/>
                <w:lang w:val="es-MX" w:eastAsia="es-CO"/>
              </w:rPr>
              <w:t xml:space="preserve">Diana Saavedra </w:t>
            </w:r>
          </w:p>
          <w:p w14:paraId="48C1C3F9" w14:textId="350B57F5" w:rsidR="0047433B" w:rsidRPr="00AD4F6A" w:rsidRDefault="003D31D0" w:rsidP="0067658D">
            <w:pPr>
              <w:spacing w:before="100" w:beforeAutospacing="1" w:after="100" w:afterAutospacing="1"/>
              <w:contextualSpacing/>
              <w:textAlignment w:val="baseline"/>
              <w:rPr>
                <w:rFonts w:ascii="Verdana" w:eastAsia="Times New Roman" w:hAnsi="Verdana" w:cs="Segoe UI"/>
                <w:sz w:val="16"/>
                <w:szCs w:val="16"/>
                <w:lang w:eastAsia="es-ES_tradnl"/>
              </w:rPr>
            </w:pPr>
            <w:r w:rsidRPr="00AD4F6A">
              <w:rPr>
                <w:rFonts w:ascii="Verdana" w:hAnsi="Verdana"/>
                <w:sz w:val="16"/>
                <w:szCs w:val="16"/>
              </w:rPr>
              <w:t xml:space="preserve">Contratista de la </w:t>
            </w:r>
            <w:r w:rsidR="0047433B" w:rsidRPr="00AD4F6A">
              <w:rPr>
                <w:rFonts w:ascii="Verdana" w:eastAsia="Times New Roman" w:hAnsi="Verdana" w:cs="Arial"/>
                <w:sz w:val="16"/>
                <w:szCs w:val="16"/>
                <w:lang w:val="es-MX" w:eastAsia="es-CO"/>
              </w:rPr>
              <w:t>Subdirección de Gestión Contractual</w:t>
            </w:r>
          </w:p>
        </w:tc>
      </w:tr>
      <w:tr w:rsidR="0047433B" w:rsidRPr="00AD4F6A" w14:paraId="2D239145" w14:textId="77777777" w:rsidTr="0067658D">
        <w:trPr>
          <w:trHeight w:val="300"/>
        </w:trPr>
        <w:tc>
          <w:tcPr>
            <w:tcW w:w="893" w:type="dxa"/>
            <w:vAlign w:val="center"/>
          </w:tcPr>
          <w:p w14:paraId="1BA60FC1" w14:textId="77777777" w:rsidR="0047433B" w:rsidRPr="00AD4F6A" w:rsidRDefault="0047433B" w:rsidP="0067658D">
            <w:pPr>
              <w:contextualSpacing/>
              <w:rPr>
                <w:rFonts w:ascii="Verdana" w:hAnsi="Verdana" w:cs="Arial"/>
                <w:sz w:val="16"/>
                <w:szCs w:val="16"/>
                <w:lang w:eastAsia="es-ES"/>
              </w:rPr>
            </w:pPr>
            <w:r w:rsidRPr="00AD4F6A">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CB71E5A" w14:textId="77777777" w:rsidR="0047433B" w:rsidRPr="00AD4F6A" w:rsidRDefault="0047433B" w:rsidP="0067658D">
            <w:pPr>
              <w:contextualSpacing/>
              <w:rPr>
                <w:rFonts w:ascii="Verdana" w:eastAsia="Calibri" w:hAnsi="Verdana" w:cs="Arial"/>
                <w:sz w:val="16"/>
                <w:szCs w:val="16"/>
                <w:lang w:eastAsia="es-ES"/>
              </w:rPr>
            </w:pPr>
            <w:r w:rsidRPr="00AD4F6A">
              <w:rPr>
                <w:rFonts w:ascii="Verdana" w:eastAsia="Calibri" w:hAnsi="Verdana" w:cs="Arial"/>
                <w:sz w:val="16"/>
                <w:szCs w:val="16"/>
                <w:lang w:eastAsia="es-ES"/>
              </w:rPr>
              <w:t>Carolina Quintero Gacharná</w:t>
            </w:r>
          </w:p>
          <w:p w14:paraId="2814483A" w14:textId="77777777" w:rsidR="0047433B" w:rsidRPr="00AD4F6A" w:rsidRDefault="0047433B" w:rsidP="0067658D">
            <w:pPr>
              <w:contextualSpacing/>
              <w:rPr>
                <w:rFonts w:ascii="Verdana" w:eastAsia="Calibri" w:hAnsi="Verdana" w:cs="Arial"/>
                <w:sz w:val="16"/>
                <w:szCs w:val="16"/>
                <w:lang w:eastAsia="es-ES"/>
              </w:rPr>
            </w:pPr>
            <w:r w:rsidRPr="00AD4F6A">
              <w:rPr>
                <w:rFonts w:ascii="Verdana" w:eastAsia="Calibri" w:hAnsi="Verdana" w:cs="Arial"/>
                <w:sz w:val="16"/>
                <w:szCs w:val="16"/>
                <w:lang w:eastAsia="es-ES"/>
              </w:rPr>
              <w:t>Subdirectora de Gestión Contractual ANCP – CCE</w:t>
            </w:r>
          </w:p>
        </w:tc>
      </w:tr>
    </w:tbl>
    <w:p w14:paraId="4888C062" w14:textId="77777777" w:rsidR="0047433B" w:rsidRPr="00AD4F6A" w:rsidRDefault="0047433B" w:rsidP="0047433B"/>
    <w:p w14:paraId="414951E8" w14:textId="77777777" w:rsidR="0047433B" w:rsidRDefault="0047433B" w:rsidP="0047433B">
      <w:pPr>
        <w:spacing w:after="0" w:line="240" w:lineRule="auto"/>
        <w:rPr>
          <w:rFonts w:ascii="Verdana" w:eastAsia="Aptos" w:hAnsi="Verdana" w:cs="Times New Roman"/>
          <w:sz w:val="20"/>
          <w:szCs w:val="20"/>
        </w:rPr>
      </w:pPr>
    </w:p>
    <w:p w14:paraId="34D8171C" w14:textId="1D86EF3C" w:rsidR="0047433B" w:rsidRPr="00E27BE5" w:rsidRDefault="0047433B" w:rsidP="0047433B"/>
    <w:p w14:paraId="1C35A23B" w14:textId="77777777" w:rsidR="00E43329" w:rsidRDefault="00E43329" w:rsidP="00787715">
      <w:pPr>
        <w:spacing w:after="0" w:line="276" w:lineRule="auto"/>
        <w:jc w:val="both"/>
        <w:rPr>
          <w:rFonts w:ascii="Verdana" w:eastAsia="Arial" w:hAnsi="Verdana" w:cs="Arial"/>
          <w:color w:val="000000"/>
          <w:sz w:val="20"/>
          <w:szCs w:val="20"/>
          <w:lang w:val="es-ES"/>
        </w:rPr>
      </w:pPr>
    </w:p>
    <w:sectPr w:rsidR="00E43329"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7B314" w14:textId="77777777" w:rsidR="00B257B3" w:rsidRDefault="00B257B3" w:rsidP="004A1847">
      <w:pPr>
        <w:spacing w:after="0" w:line="240" w:lineRule="auto"/>
      </w:pPr>
      <w:r>
        <w:separator/>
      </w:r>
    </w:p>
  </w:endnote>
  <w:endnote w:type="continuationSeparator" w:id="0">
    <w:p w14:paraId="3EC87CE5" w14:textId="77777777" w:rsidR="00B257B3" w:rsidRDefault="00B257B3" w:rsidP="004A1847">
      <w:pPr>
        <w:spacing w:after="0" w:line="240" w:lineRule="auto"/>
      </w:pPr>
      <w:r>
        <w:continuationSeparator/>
      </w:r>
    </w:p>
  </w:endnote>
  <w:endnote w:type="continuationNotice" w:id="1">
    <w:p w14:paraId="4B6EA346" w14:textId="77777777" w:rsidR="00B257B3" w:rsidRDefault="00B25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B5F80" w14:textId="77777777" w:rsidR="00B257B3" w:rsidRDefault="00B257B3" w:rsidP="004A1847">
      <w:pPr>
        <w:spacing w:after="0" w:line="240" w:lineRule="auto"/>
      </w:pPr>
      <w:r>
        <w:separator/>
      </w:r>
    </w:p>
  </w:footnote>
  <w:footnote w:type="continuationSeparator" w:id="0">
    <w:p w14:paraId="6886D7B0" w14:textId="77777777" w:rsidR="00B257B3" w:rsidRDefault="00B257B3" w:rsidP="004A1847">
      <w:pPr>
        <w:spacing w:after="0" w:line="240" w:lineRule="auto"/>
      </w:pPr>
      <w:r>
        <w:continuationSeparator/>
      </w:r>
    </w:p>
  </w:footnote>
  <w:footnote w:type="continuationNotice" w:id="1">
    <w:p w14:paraId="5753F018" w14:textId="77777777" w:rsidR="00B257B3" w:rsidRDefault="00B257B3">
      <w:pPr>
        <w:spacing w:after="0" w:line="240" w:lineRule="auto"/>
      </w:pPr>
    </w:p>
  </w:footnote>
  <w:footnote w:id="2">
    <w:p w14:paraId="460866FC" w14:textId="77777777" w:rsidR="0047433B" w:rsidRPr="006C6F13" w:rsidRDefault="0047433B" w:rsidP="0047433B">
      <w:pPr>
        <w:snapToGrid w:val="0"/>
        <w:spacing w:after="0" w:line="240" w:lineRule="auto"/>
        <w:ind w:right="176" w:firstLine="708"/>
        <w:contextualSpacing/>
        <w:jc w:val="both"/>
        <w:rPr>
          <w:rFonts w:ascii="Verdana" w:hAnsi="Verdana" w:cs="Arial"/>
          <w:sz w:val="16"/>
          <w:szCs w:val="16"/>
        </w:rPr>
      </w:pPr>
      <w:r w:rsidRPr="006C6F13">
        <w:rPr>
          <w:rStyle w:val="Refdenotaalpie"/>
          <w:rFonts w:ascii="Verdana" w:hAnsi="Verdana" w:cs="Arial"/>
          <w:sz w:val="16"/>
          <w:szCs w:val="16"/>
        </w:rPr>
        <w:footnoteRef/>
      </w:r>
      <w:r w:rsidRPr="006C6F13">
        <w:rPr>
          <w:rFonts w:ascii="Verdana" w:hAnsi="Verdana" w:cs="Arial"/>
          <w:sz w:val="16"/>
          <w:szCs w:val="16"/>
        </w:rPr>
        <w:t xml:space="preserve"> Al</w:t>
      </w:r>
      <w:r w:rsidRPr="006C6F13">
        <w:rPr>
          <w:rFonts w:ascii="Verdana" w:hAnsi="Verdana" w:cs="Arial"/>
          <w:spacing w:val="-8"/>
          <w:sz w:val="16"/>
          <w:szCs w:val="16"/>
        </w:rPr>
        <w:t xml:space="preserve"> </w:t>
      </w:r>
      <w:r w:rsidRPr="006C6F13">
        <w:rPr>
          <w:rFonts w:ascii="Verdana" w:hAnsi="Verdana" w:cs="Arial"/>
          <w:sz w:val="16"/>
          <w:szCs w:val="16"/>
        </w:rPr>
        <w:t>respecto,</w:t>
      </w:r>
      <w:r w:rsidRPr="006C6F13">
        <w:rPr>
          <w:rFonts w:ascii="Verdana" w:hAnsi="Verdana" w:cs="Arial"/>
          <w:spacing w:val="-8"/>
          <w:sz w:val="16"/>
          <w:szCs w:val="16"/>
        </w:rPr>
        <w:t xml:space="preserve"> </w:t>
      </w:r>
      <w:r w:rsidRPr="006C6F13">
        <w:rPr>
          <w:rFonts w:ascii="Verdana" w:hAnsi="Verdana" w:cs="Arial"/>
          <w:sz w:val="16"/>
          <w:szCs w:val="16"/>
        </w:rPr>
        <w:t>la</w:t>
      </w:r>
      <w:r w:rsidRPr="006C6F13">
        <w:rPr>
          <w:rFonts w:ascii="Verdana" w:hAnsi="Verdana" w:cs="Arial"/>
          <w:spacing w:val="-8"/>
          <w:sz w:val="16"/>
          <w:szCs w:val="16"/>
        </w:rPr>
        <w:t xml:space="preserve"> </w:t>
      </w:r>
      <w:r w:rsidRPr="006C6F13">
        <w:rPr>
          <w:rFonts w:ascii="Verdana" w:hAnsi="Verdana" w:cs="Arial"/>
          <w:sz w:val="16"/>
          <w:szCs w:val="16"/>
        </w:rPr>
        <w:t>jurisprudencia</w:t>
      </w:r>
      <w:r w:rsidRPr="006C6F13">
        <w:rPr>
          <w:rFonts w:ascii="Verdana" w:hAnsi="Verdana" w:cs="Arial"/>
          <w:spacing w:val="-8"/>
          <w:sz w:val="16"/>
          <w:szCs w:val="16"/>
        </w:rPr>
        <w:t xml:space="preserve"> </w:t>
      </w:r>
      <w:r w:rsidRPr="006C6F13">
        <w:rPr>
          <w:rFonts w:ascii="Verdana" w:hAnsi="Verdana" w:cs="Arial"/>
          <w:sz w:val="16"/>
          <w:szCs w:val="16"/>
        </w:rPr>
        <w:t>explica</w:t>
      </w:r>
      <w:r w:rsidRPr="006C6F13">
        <w:rPr>
          <w:rFonts w:ascii="Verdana" w:hAnsi="Verdana" w:cs="Arial"/>
          <w:spacing w:val="-8"/>
          <w:sz w:val="16"/>
          <w:szCs w:val="16"/>
        </w:rPr>
        <w:t xml:space="preserve"> </w:t>
      </w:r>
      <w:r w:rsidRPr="006C6F13">
        <w:rPr>
          <w:rFonts w:ascii="Verdana" w:hAnsi="Verdana" w:cs="Arial"/>
          <w:sz w:val="16"/>
          <w:szCs w:val="16"/>
        </w:rPr>
        <w:t>que</w:t>
      </w:r>
      <w:r w:rsidRPr="006C6F13">
        <w:rPr>
          <w:rFonts w:ascii="Verdana" w:hAnsi="Verdana" w:cs="Arial"/>
          <w:spacing w:val="-8"/>
          <w:sz w:val="16"/>
          <w:szCs w:val="16"/>
        </w:rPr>
        <w:t xml:space="preserve"> </w:t>
      </w:r>
      <w:r w:rsidRPr="006C6F13">
        <w:rPr>
          <w:rFonts w:ascii="Verdana" w:hAnsi="Verdana" w:cs="Arial"/>
          <w:sz w:val="16"/>
          <w:szCs w:val="16"/>
        </w:rPr>
        <w:t>la</w:t>
      </w:r>
      <w:r w:rsidRPr="006C6F13">
        <w:rPr>
          <w:rFonts w:ascii="Verdana" w:hAnsi="Verdana" w:cs="Arial"/>
          <w:spacing w:val="-9"/>
          <w:sz w:val="16"/>
          <w:szCs w:val="16"/>
        </w:rPr>
        <w:t xml:space="preserve"> </w:t>
      </w:r>
      <w:r w:rsidRPr="006C6F13">
        <w:rPr>
          <w:rFonts w:ascii="Verdana" w:hAnsi="Verdana" w:cs="Arial"/>
          <w:sz w:val="16"/>
          <w:szCs w:val="16"/>
        </w:rPr>
        <w:t>garantía</w:t>
      </w:r>
      <w:r w:rsidRPr="006C6F13">
        <w:rPr>
          <w:rFonts w:ascii="Verdana" w:hAnsi="Verdana" w:cs="Arial"/>
          <w:spacing w:val="-8"/>
          <w:sz w:val="16"/>
          <w:szCs w:val="16"/>
        </w:rPr>
        <w:t xml:space="preserve"> </w:t>
      </w:r>
      <w:r w:rsidRPr="006C6F13">
        <w:rPr>
          <w:rFonts w:ascii="Verdana" w:hAnsi="Verdana" w:cs="Arial"/>
          <w:sz w:val="16"/>
          <w:szCs w:val="16"/>
        </w:rPr>
        <w:t>del</w:t>
      </w:r>
      <w:r w:rsidRPr="006C6F13">
        <w:rPr>
          <w:rFonts w:ascii="Verdana" w:hAnsi="Verdana" w:cs="Arial"/>
          <w:spacing w:val="-8"/>
          <w:sz w:val="16"/>
          <w:szCs w:val="16"/>
        </w:rPr>
        <w:t xml:space="preserve"> </w:t>
      </w:r>
      <w:r w:rsidRPr="006C6F13">
        <w:rPr>
          <w:rFonts w:ascii="Verdana" w:hAnsi="Verdana" w:cs="Arial"/>
          <w:sz w:val="16"/>
          <w:szCs w:val="16"/>
        </w:rPr>
        <w:t>debido</w:t>
      </w:r>
      <w:r w:rsidRPr="006C6F13">
        <w:rPr>
          <w:rFonts w:ascii="Verdana" w:hAnsi="Verdana" w:cs="Arial"/>
          <w:spacing w:val="-8"/>
          <w:sz w:val="16"/>
          <w:szCs w:val="16"/>
        </w:rPr>
        <w:t xml:space="preserve"> </w:t>
      </w:r>
      <w:r w:rsidRPr="006C6F13">
        <w:rPr>
          <w:rFonts w:ascii="Verdana" w:hAnsi="Verdana" w:cs="Arial"/>
          <w:sz w:val="16"/>
          <w:szCs w:val="16"/>
        </w:rPr>
        <w:t>proceso</w:t>
      </w:r>
      <w:r w:rsidRPr="006C6F13">
        <w:rPr>
          <w:rFonts w:ascii="Verdana" w:hAnsi="Verdana" w:cs="Arial"/>
          <w:spacing w:val="-8"/>
          <w:sz w:val="16"/>
          <w:szCs w:val="16"/>
        </w:rPr>
        <w:t xml:space="preserve"> </w:t>
      </w:r>
      <w:r w:rsidRPr="006C6F13">
        <w:rPr>
          <w:rFonts w:ascii="Verdana" w:hAnsi="Verdana" w:cs="Arial"/>
          <w:sz w:val="16"/>
          <w:szCs w:val="16"/>
        </w:rPr>
        <w:t>“[…]</w:t>
      </w:r>
      <w:r w:rsidRPr="006C6F13">
        <w:rPr>
          <w:rFonts w:ascii="Verdana" w:hAnsi="Verdana" w:cs="Arial"/>
          <w:spacing w:val="-8"/>
          <w:sz w:val="16"/>
          <w:szCs w:val="16"/>
        </w:rPr>
        <w:t xml:space="preserve"> </w:t>
      </w:r>
      <w:r w:rsidRPr="006C6F13">
        <w:rPr>
          <w:rFonts w:ascii="Verdana" w:hAnsi="Verdana" w:cs="Arial"/>
          <w:sz w:val="16"/>
          <w:szCs w:val="16"/>
        </w:rPr>
        <w:t>tampoco</w:t>
      </w:r>
      <w:r w:rsidRPr="006C6F13">
        <w:rPr>
          <w:rFonts w:ascii="Verdana" w:hAnsi="Verdana" w:cs="Arial"/>
          <w:spacing w:val="-8"/>
          <w:sz w:val="16"/>
          <w:szCs w:val="16"/>
        </w:rPr>
        <w:t xml:space="preserve"> </w:t>
      </w:r>
      <w:r w:rsidRPr="006C6F13">
        <w:rPr>
          <w:rFonts w:ascii="Verdana" w:hAnsi="Verdana" w:cs="Arial"/>
          <w:sz w:val="16"/>
          <w:szCs w:val="16"/>
        </w:rPr>
        <w:t>es</w:t>
      </w:r>
      <w:r w:rsidRPr="006C6F13">
        <w:rPr>
          <w:rFonts w:ascii="Verdana" w:hAnsi="Verdana" w:cs="Arial"/>
          <w:spacing w:val="-8"/>
          <w:sz w:val="16"/>
          <w:szCs w:val="16"/>
        </w:rPr>
        <w:t xml:space="preserve"> </w:t>
      </w:r>
      <w:r w:rsidRPr="006C6F13">
        <w:rPr>
          <w:rFonts w:ascii="Verdana" w:hAnsi="Verdana" w:cs="Arial"/>
          <w:sz w:val="16"/>
          <w:szCs w:val="16"/>
        </w:rPr>
        <w:t>exclusiva</w:t>
      </w:r>
      <w:r w:rsidRPr="006C6F13">
        <w:rPr>
          <w:rFonts w:ascii="Verdana" w:hAnsi="Verdana" w:cs="Arial"/>
          <w:spacing w:val="-8"/>
          <w:sz w:val="16"/>
          <w:szCs w:val="16"/>
        </w:rPr>
        <w:t xml:space="preserve"> </w:t>
      </w:r>
      <w:r w:rsidRPr="006C6F13">
        <w:rPr>
          <w:rFonts w:ascii="Verdana" w:hAnsi="Verdana" w:cs="Arial"/>
          <w:sz w:val="16"/>
          <w:szCs w:val="16"/>
        </w:rPr>
        <w:t>de</w:t>
      </w:r>
      <w:r w:rsidRPr="006C6F13">
        <w:rPr>
          <w:rFonts w:ascii="Verdana" w:hAnsi="Verdana" w:cs="Arial"/>
          <w:spacing w:val="1"/>
          <w:sz w:val="16"/>
          <w:szCs w:val="16"/>
        </w:rPr>
        <w:t xml:space="preserve"> </w:t>
      </w:r>
      <w:r w:rsidRPr="006C6F13">
        <w:rPr>
          <w:rFonts w:ascii="Verdana" w:hAnsi="Verdana" w:cs="Arial"/>
          <w:sz w:val="16"/>
          <w:szCs w:val="16"/>
        </w:rPr>
        <w:t>los procedimientos sancionatorios contractuales, sino de los demás trámites administrativos que se surten al</w:t>
      </w:r>
      <w:r w:rsidRPr="006C6F13">
        <w:rPr>
          <w:rFonts w:ascii="Verdana" w:hAnsi="Verdana" w:cs="Arial"/>
          <w:spacing w:val="1"/>
          <w:sz w:val="16"/>
          <w:szCs w:val="16"/>
        </w:rPr>
        <w:t xml:space="preserve"> </w:t>
      </w:r>
      <w:r w:rsidRPr="006C6F13">
        <w:rPr>
          <w:rFonts w:ascii="Verdana" w:hAnsi="Verdana" w:cs="Arial"/>
          <w:sz w:val="16"/>
          <w:szCs w:val="16"/>
        </w:rPr>
        <w:t>interior de la actividad contractual, que también deben garantizar un procedimiento previo que racionalice las</w:t>
      </w:r>
      <w:r w:rsidRPr="006C6F13">
        <w:rPr>
          <w:rFonts w:ascii="Verdana" w:hAnsi="Verdana" w:cs="Arial"/>
          <w:spacing w:val="1"/>
          <w:sz w:val="16"/>
          <w:szCs w:val="16"/>
        </w:rPr>
        <w:t xml:space="preserve"> </w:t>
      </w:r>
      <w:r w:rsidRPr="006C6F13">
        <w:rPr>
          <w:rFonts w:ascii="Verdana" w:hAnsi="Verdana" w:cs="Arial"/>
          <w:sz w:val="16"/>
          <w:szCs w:val="16"/>
        </w:rPr>
        <w:t>decisiones</w:t>
      </w:r>
      <w:r w:rsidRPr="006C6F13">
        <w:rPr>
          <w:rFonts w:ascii="Verdana" w:hAnsi="Verdana" w:cs="Arial"/>
          <w:spacing w:val="-12"/>
          <w:sz w:val="16"/>
          <w:szCs w:val="16"/>
        </w:rPr>
        <w:t xml:space="preserve"> </w:t>
      </w:r>
      <w:r w:rsidRPr="006C6F13">
        <w:rPr>
          <w:rFonts w:ascii="Verdana" w:hAnsi="Verdana" w:cs="Arial"/>
          <w:sz w:val="16"/>
          <w:szCs w:val="16"/>
        </w:rPr>
        <w:t>que</w:t>
      </w:r>
      <w:r w:rsidRPr="006C6F13">
        <w:rPr>
          <w:rFonts w:ascii="Verdana" w:hAnsi="Verdana" w:cs="Arial"/>
          <w:spacing w:val="-11"/>
          <w:sz w:val="16"/>
          <w:szCs w:val="16"/>
        </w:rPr>
        <w:t xml:space="preserve"> </w:t>
      </w:r>
      <w:r w:rsidRPr="006C6F13">
        <w:rPr>
          <w:rFonts w:ascii="Verdana" w:hAnsi="Verdana" w:cs="Arial"/>
          <w:sz w:val="16"/>
          <w:szCs w:val="16"/>
        </w:rPr>
        <w:t>se</w:t>
      </w:r>
      <w:r w:rsidRPr="006C6F13">
        <w:rPr>
          <w:rFonts w:ascii="Verdana" w:hAnsi="Verdana" w:cs="Arial"/>
          <w:spacing w:val="-11"/>
          <w:sz w:val="16"/>
          <w:szCs w:val="16"/>
        </w:rPr>
        <w:t xml:space="preserve"> </w:t>
      </w:r>
      <w:r w:rsidRPr="006C6F13">
        <w:rPr>
          <w:rFonts w:ascii="Verdana" w:hAnsi="Verdana" w:cs="Arial"/>
          <w:sz w:val="16"/>
          <w:szCs w:val="16"/>
        </w:rPr>
        <w:t>adoptan</w:t>
      </w:r>
      <w:r w:rsidRPr="006C6F13">
        <w:rPr>
          <w:rFonts w:ascii="Verdana" w:hAnsi="Verdana" w:cs="Arial"/>
          <w:spacing w:val="-11"/>
          <w:sz w:val="16"/>
          <w:szCs w:val="16"/>
        </w:rPr>
        <w:t xml:space="preserve"> </w:t>
      </w:r>
      <w:r w:rsidRPr="006C6F13">
        <w:rPr>
          <w:rFonts w:ascii="Verdana" w:hAnsi="Verdana" w:cs="Arial"/>
          <w:sz w:val="16"/>
          <w:szCs w:val="16"/>
        </w:rPr>
        <w:t>a</w:t>
      </w:r>
      <w:r w:rsidRPr="006C6F13">
        <w:rPr>
          <w:rFonts w:ascii="Verdana" w:hAnsi="Verdana" w:cs="Arial"/>
          <w:spacing w:val="-11"/>
          <w:sz w:val="16"/>
          <w:szCs w:val="16"/>
        </w:rPr>
        <w:t xml:space="preserve"> </w:t>
      </w:r>
      <w:r w:rsidRPr="006C6F13">
        <w:rPr>
          <w:rFonts w:ascii="Verdana" w:hAnsi="Verdana" w:cs="Arial"/>
          <w:sz w:val="16"/>
          <w:szCs w:val="16"/>
        </w:rPr>
        <w:t>través</w:t>
      </w:r>
      <w:r w:rsidRPr="006C6F13">
        <w:rPr>
          <w:rFonts w:ascii="Verdana" w:hAnsi="Verdana" w:cs="Arial"/>
          <w:spacing w:val="-11"/>
          <w:sz w:val="16"/>
          <w:szCs w:val="16"/>
        </w:rPr>
        <w:t xml:space="preserve"> </w:t>
      </w:r>
      <w:r w:rsidRPr="006C6F13">
        <w:rPr>
          <w:rFonts w:ascii="Verdana" w:hAnsi="Verdana" w:cs="Arial"/>
          <w:sz w:val="16"/>
          <w:szCs w:val="16"/>
        </w:rPr>
        <w:t>suyo.</w:t>
      </w:r>
      <w:r w:rsidRPr="006C6F13">
        <w:rPr>
          <w:rFonts w:ascii="Verdana" w:hAnsi="Verdana" w:cs="Arial"/>
          <w:spacing w:val="-11"/>
          <w:sz w:val="16"/>
          <w:szCs w:val="16"/>
        </w:rPr>
        <w:t xml:space="preserve"> </w:t>
      </w:r>
      <w:r w:rsidRPr="006C6F13">
        <w:rPr>
          <w:rFonts w:ascii="Verdana" w:hAnsi="Verdana" w:cs="Arial"/>
          <w:sz w:val="16"/>
          <w:szCs w:val="16"/>
        </w:rPr>
        <w:t>Los</w:t>
      </w:r>
      <w:r w:rsidRPr="006C6F13">
        <w:rPr>
          <w:rFonts w:ascii="Verdana" w:hAnsi="Verdana" w:cs="Arial"/>
          <w:spacing w:val="-11"/>
          <w:sz w:val="16"/>
          <w:szCs w:val="16"/>
        </w:rPr>
        <w:t xml:space="preserve"> </w:t>
      </w:r>
      <w:r w:rsidRPr="006C6F13">
        <w:rPr>
          <w:rFonts w:ascii="Verdana" w:hAnsi="Verdana" w:cs="Arial"/>
          <w:sz w:val="16"/>
          <w:szCs w:val="16"/>
        </w:rPr>
        <w:t>más</w:t>
      </w:r>
      <w:r w:rsidRPr="006C6F13">
        <w:rPr>
          <w:rFonts w:ascii="Verdana" w:hAnsi="Verdana" w:cs="Arial"/>
          <w:spacing w:val="-11"/>
          <w:sz w:val="16"/>
          <w:szCs w:val="16"/>
        </w:rPr>
        <w:t xml:space="preserve"> </w:t>
      </w:r>
      <w:r w:rsidRPr="006C6F13">
        <w:rPr>
          <w:rFonts w:ascii="Verdana" w:hAnsi="Verdana" w:cs="Arial"/>
          <w:sz w:val="16"/>
          <w:szCs w:val="16"/>
        </w:rPr>
        <w:t>representativos</w:t>
      </w:r>
      <w:r w:rsidRPr="006C6F13">
        <w:rPr>
          <w:rFonts w:ascii="Verdana" w:hAnsi="Verdana" w:cs="Arial"/>
          <w:spacing w:val="-11"/>
          <w:sz w:val="16"/>
          <w:szCs w:val="16"/>
        </w:rPr>
        <w:t xml:space="preserve"> </w:t>
      </w:r>
      <w:r w:rsidRPr="006C6F13">
        <w:rPr>
          <w:rFonts w:ascii="Verdana" w:hAnsi="Verdana" w:cs="Arial"/>
          <w:sz w:val="16"/>
          <w:szCs w:val="16"/>
        </w:rPr>
        <w:t>son</w:t>
      </w:r>
      <w:r w:rsidRPr="006C6F13">
        <w:rPr>
          <w:rFonts w:ascii="Verdana" w:hAnsi="Verdana" w:cs="Arial"/>
          <w:spacing w:val="-11"/>
          <w:sz w:val="16"/>
          <w:szCs w:val="16"/>
        </w:rPr>
        <w:t xml:space="preserve"> </w:t>
      </w:r>
      <w:r w:rsidRPr="006C6F13">
        <w:rPr>
          <w:rFonts w:ascii="Verdana" w:hAnsi="Verdana" w:cs="Arial"/>
          <w:sz w:val="16"/>
          <w:szCs w:val="16"/>
        </w:rPr>
        <w:t>los</w:t>
      </w:r>
      <w:r w:rsidRPr="006C6F13">
        <w:rPr>
          <w:rFonts w:ascii="Verdana" w:hAnsi="Verdana" w:cs="Arial"/>
          <w:spacing w:val="-11"/>
          <w:sz w:val="16"/>
          <w:szCs w:val="16"/>
        </w:rPr>
        <w:t xml:space="preserve"> </w:t>
      </w:r>
      <w:r w:rsidRPr="006C6F13">
        <w:rPr>
          <w:rFonts w:ascii="Verdana" w:hAnsi="Verdana" w:cs="Arial"/>
          <w:sz w:val="16"/>
          <w:szCs w:val="16"/>
        </w:rPr>
        <w:t>procesos</w:t>
      </w:r>
      <w:r w:rsidRPr="006C6F13">
        <w:rPr>
          <w:rFonts w:ascii="Verdana" w:hAnsi="Verdana" w:cs="Arial"/>
          <w:spacing w:val="-11"/>
          <w:sz w:val="16"/>
          <w:szCs w:val="16"/>
        </w:rPr>
        <w:t xml:space="preserve"> </w:t>
      </w:r>
      <w:r w:rsidRPr="006C6F13">
        <w:rPr>
          <w:rFonts w:ascii="Verdana" w:hAnsi="Verdana" w:cs="Arial"/>
          <w:sz w:val="16"/>
          <w:szCs w:val="16"/>
        </w:rPr>
        <w:t>de</w:t>
      </w:r>
      <w:r w:rsidRPr="006C6F13">
        <w:rPr>
          <w:rFonts w:ascii="Verdana" w:hAnsi="Verdana" w:cs="Arial"/>
          <w:spacing w:val="-12"/>
          <w:sz w:val="16"/>
          <w:szCs w:val="16"/>
        </w:rPr>
        <w:t xml:space="preserve"> </w:t>
      </w:r>
      <w:r w:rsidRPr="006C6F13">
        <w:rPr>
          <w:rFonts w:ascii="Verdana" w:hAnsi="Verdana" w:cs="Arial"/>
          <w:sz w:val="16"/>
          <w:szCs w:val="16"/>
        </w:rPr>
        <w:t>selección</w:t>
      </w:r>
      <w:r w:rsidRPr="006C6F13">
        <w:rPr>
          <w:rFonts w:ascii="Verdana" w:hAnsi="Verdana" w:cs="Arial"/>
          <w:spacing w:val="-11"/>
          <w:sz w:val="16"/>
          <w:szCs w:val="16"/>
        </w:rPr>
        <w:t xml:space="preserve"> </w:t>
      </w:r>
      <w:r w:rsidRPr="006C6F13">
        <w:rPr>
          <w:rFonts w:ascii="Verdana" w:hAnsi="Verdana" w:cs="Arial"/>
          <w:sz w:val="16"/>
          <w:szCs w:val="16"/>
        </w:rPr>
        <w:t>de</w:t>
      </w:r>
      <w:r w:rsidRPr="006C6F13">
        <w:rPr>
          <w:rFonts w:ascii="Verdana" w:hAnsi="Verdana" w:cs="Arial"/>
          <w:spacing w:val="-11"/>
          <w:sz w:val="16"/>
          <w:szCs w:val="16"/>
        </w:rPr>
        <w:t xml:space="preserve"> </w:t>
      </w:r>
      <w:r w:rsidRPr="006C6F13">
        <w:rPr>
          <w:rFonts w:ascii="Verdana" w:hAnsi="Verdana" w:cs="Arial"/>
          <w:sz w:val="16"/>
          <w:szCs w:val="16"/>
        </w:rPr>
        <w:t>contratistas,</w:t>
      </w:r>
      <w:r w:rsidRPr="006C6F13">
        <w:rPr>
          <w:rFonts w:ascii="Verdana" w:hAnsi="Verdana" w:cs="Arial"/>
          <w:spacing w:val="-50"/>
          <w:sz w:val="16"/>
          <w:szCs w:val="16"/>
        </w:rPr>
        <w:t xml:space="preserve"> </w:t>
      </w:r>
      <w:r w:rsidRPr="006C6F13">
        <w:rPr>
          <w:rFonts w:ascii="Verdana" w:hAnsi="Verdana" w:cs="Arial"/>
          <w:sz w:val="16"/>
          <w:szCs w:val="16"/>
        </w:rPr>
        <w:t>cuyas etapas y requisitos son de estricta observancia, tanto para la administración como para los participantes,</w:t>
      </w:r>
      <w:r w:rsidRPr="006C6F13">
        <w:rPr>
          <w:rFonts w:ascii="Verdana" w:hAnsi="Verdana" w:cs="Arial"/>
          <w:spacing w:val="-50"/>
          <w:sz w:val="16"/>
          <w:szCs w:val="16"/>
        </w:rPr>
        <w:t xml:space="preserve"> </w:t>
      </w:r>
      <w:r w:rsidRPr="006C6F13">
        <w:rPr>
          <w:rFonts w:ascii="Verdana" w:hAnsi="Verdana" w:cs="Arial"/>
          <w:sz w:val="16"/>
          <w:szCs w:val="16"/>
        </w:rPr>
        <w:t>en señal de respeto al principio de legalidad como a este derecho que integra el debido proceso” (CONSEJO</w:t>
      </w:r>
      <w:r w:rsidRPr="006C6F13">
        <w:rPr>
          <w:rFonts w:ascii="Verdana" w:hAnsi="Verdana" w:cs="Arial"/>
          <w:spacing w:val="1"/>
          <w:sz w:val="16"/>
          <w:szCs w:val="16"/>
        </w:rPr>
        <w:t xml:space="preserve"> </w:t>
      </w:r>
      <w:r w:rsidRPr="006C6F13">
        <w:rPr>
          <w:rFonts w:ascii="Verdana" w:hAnsi="Verdana" w:cs="Arial"/>
          <w:sz w:val="16"/>
          <w:szCs w:val="16"/>
        </w:rPr>
        <w:t>DE</w:t>
      </w:r>
      <w:r w:rsidRPr="006C6F13">
        <w:rPr>
          <w:rFonts w:ascii="Verdana" w:hAnsi="Verdana" w:cs="Arial"/>
          <w:spacing w:val="-4"/>
          <w:sz w:val="16"/>
          <w:szCs w:val="16"/>
        </w:rPr>
        <w:t xml:space="preserve"> </w:t>
      </w:r>
      <w:r w:rsidRPr="006C6F13">
        <w:rPr>
          <w:rFonts w:ascii="Verdana" w:hAnsi="Verdana" w:cs="Arial"/>
          <w:sz w:val="16"/>
          <w:szCs w:val="16"/>
        </w:rPr>
        <w:t>ESTADO.</w:t>
      </w:r>
      <w:r w:rsidRPr="006C6F13">
        <w:rPr>
          <w:rFonts w:ascii="Verdana" w:hAnsi="Verdana" w:cs="Arial"/>
          <w:spacing w:val="-4"/>
          <w:sz w:val="16"/>
          <w:szCs w:val="16"/>
        </w:rPr>
        <w:t xml:space="preserve"> </w:t>
      </w:r>
      <w:r w:rsidRPr="006C6F13">
        <w:rPr>
          <w:rFonts w:ascii="Verdana" w:hAnsi="Verdana" w:cs="Arial"/>
          <w:sz w:val="16"/>
          <w:szCs w:val="16"/>
        </w:rPr>
        <w:t>Sección</w:t>
      </w:r>
      <w:r w:rsidRPr="006C6F13">
        <w:rPr>
          <w:rFonts w:ascii="Verdana" w:hAnsi="Verdana" w:cs="Arial"/>
          <w:spacing w:val="-3"/>
          <w:sz w:val="16"/>
          <w:szCs w:val="16"/>
        </w:rPr>
        <w:t xml:space="preserve"> </w:t>
      </w:r>
      <w:r w:rsidRPr="006C6F13">
        <w:rPr>
          <w:rFonts w:ascii="Verdana" w:hAnsi="Verdana" w:cs="Arial"/>
          <w:sz w:val="16"/>
          <w:szCs w:val="16"/>
        </w:rPr>
        <w:t>Tercera.</w:t>
      </w:r>
      <w:r w:rsidRPr="006C6F13">
        <w:rPr>
          <w:rFonts w:ascii="Verdana" w:hAnsi="Verdana" w:cs="Arial"/>
          <w:spacing w:val="-4"/>
          <w:sz w:val="16"/>
          <w:szCs w:val="16"/>
        </w:rPr>
        <w:t xml:space="preserve"> </w:t>
      </w:r>
      <w:r w:rsidRPr="006C6F13">
        <w:rPr>
          <w:rFonts w:ascii="Verdana" w:hAnsi="Verdana" w:cs="Arial"/>
          <w:sz w:val="16"/>
          <w:szCs w:val="16"/>
        </w:rPr>
        <w:t>Sentencia</w:t>
      </w:r>
      <w:r w:rsidRPr="006C6F13">
        <w:rPr>
          <w:rFonts w:ascii="Verdana" w:hAnsi="Verdana" w:cs="Arial"/>
          <w:spacing w:val="-3"/>
          <w:sz w:val="16"/>
          <w:szCs w:val="16"/>
        </w:rPr>
        <w:t xml:space="preserve"> </w:t>
      </w:r>
      <w:r w:rsidRPr="006C6F13">
        <w:rPr>
          <w:rFonts w:ascii="Verdana" w:hAnsi="Verdana" w:cs="Arial"/>
          <w:sz w:val="16"/>
          <w:szCs w:val="16"/>
        </w:rPr>
        <w:t>del</w:t>
      </w:r>
      <w:r w:rsidRPr="006C6F13">
        <w:rPr>
          <w:rFonts w:ascii="Verdana" w:hAnsi="Verdana" w:cs="Arial"/>
          <w:spacing w:val="-4"/>
          <w:sz w:val="16"/>
          <w:szCs w:val="16"/>
        </w:rPr>
        <w:t xml:space="preserve"> </w:t>
      </w:r>
      <w:r w:rsidRPr="006C6F13">
        <w:rPr>
          <w:rFonts w:ascii="Verdana" w:hAnsi="Verdana" w:cs="Arial"/>
          <w:sz w:val="16"/>
          <w:szCs w:val="16"/>
        </w:rPr>
        <w:t>23</w:t>
      </w:r>
      <w:r w:rsidRPr="006C6F13">
        <w:rPr>
          <w:rFonts w:ascii="Verdana" w:hAnsi="Verdana" w:cs="Arial"/>
          <w:spacing w:val="-3"/>
          <w:sz w:val="16"/>
          <w:szCs w:val="16"/>
        </w:rPr>
        <w:t xml:space="preserve"> </w:t>
      </w:r>
      <w:r w:rsidRPr="006C6F13">
        <w:rPr>
          <w:rFonts w:ascii="Verdana" w:hAnsi="Verdana" w:cs="Arial"/>
          <w:sz w:val="16"/>
          <w:szCs w:val="16"/>
        </w:rPr>
        <w:t>de</w:t>
      </w:r>
      <w:r w:rsidRPr="006C6F13">
        <w:rPr>
          <w:rFonts w:ascii="Verdana" w:hAnsi="Verdana" w:cs="Arial"/>
          <w:spacing w:val="-4"/>
          <w:sz w:val="16"/>
          <w:szCs w:val="16"/>
        </w:rPr>
        <w:t xml:space="preserve"> </w:t>
      </w:r>
      <w:r w:rsidRPr="006C6F13">
        <w:rPr>
          <w:rFonts w:ascii="Verdana" w:hAnsi="Verdana" w:cs="Arial"/>
          <w:sz w:val="16"/>
          <w:szCs w:val="16"/>
        </w:rPr>
        <w:t>junio</w:t>
      </w:r>
      <w:r w:rsidRPr="006C6F13">
        <w:rPr>
          <w:rFonts w:ascii="Verdana" w:hAnsi="Verdana" w:cs="Arial"/>
          <w:spacing w:val="-3"/>
          <w:sz w:val="16"/>
          <w:szCs w:val="16"/>
        </w:rPr>
        <w:t xml:space="preserve"> </w:t>
      </w:r>
      <w:r w:rsidRPr="006C6F13">
        <w:rPr>
          <w:rFonts w:ascii="Verdana" w:hAnsi="Verdana" w:cs="Arial"/>
          <w:sz w:val="16"/>
          <w:szCs w:val="16"/>
        </w:rPr>
        <w:t>de</w:t>
      </w:r>
      <w:r w:rsidRPr="006C6F13">
        <w:rPr>
          <w:rFonts w:ascii="Verdana" w:hAnsi="Verdana" w:cs="Arial"/>
          <w:spacing w:val="-4"/>
          <w:sz w:val="16"/>
          <w:szCs w:val="16"/>
        </w:rPr>
        <w:t xml:space="preserve"> </w:t>
      </w:r>
      <w:r w:rsidRPr="006C6F13">
        <w:rPr>
          <w:rFonts w:ascii="Verdana" w:hAnsi="Verdana" w:cs="Arial"/>
          <w:sz w:val="16"/>
          <w:szCs w:val="16"/>
        </w:rPr>
        <w:t>2010.</w:t>
      </w:r>
      <w:r w:rsidRPr="006C6F13">
        <w:rPr>
          <w:rFonts w:ascii="Verdana" w:hAnsi="Verdana" w:cs="Arial"/>
          <w:spacing w:val="-3"/>
          <w:sz w:val="16"/>
          <w:szCs w:val="16"/>
        </w:rPr>
        <w:t xml:space="preserve"> </w:t>
      </w:r>
      <w:r w:rsidRPr="006C6F13">
        <w:rPr>
          <w:rFonts w:ascii="Verdana" w:hAnsi="Verdana" w:cs="Arial"/>
          <w:sz w:val="16"/>
          <w:szCs w:val="16"/>
        </w:rPr>
        <w:t>Rad.</w:t>
      </w:r>
      <w:r w:rsidRPr="006C6F13">
        <w:rPr>
          <w:rFonts w:ascii="Verdana" w:hAnsi="Verdana" w:cs="Arial"/>
          <w:spacing w:val="-4"/>
          <w:sz w:val="16"/>
          <w:szCs w:val="16"/>
        </w:rPr>
        <w:t xml:space="preserve"> </w:t>
      </w:r>
      <w:r w:rsidRPr="006C6F13">
        <w:rPr>
          <w:rFonts w:ascii="Verdana" w:hAnsi="Verdana" w:cs="Arial"/>
          <w:sz w:val="16"/>
          <w:szCs w:val="16"/>
        </w:rPr>
        <w:t>16.367.</w:t>
      </w:r>
      <w:r w:rsidRPr="006C6F13">
        <w:rPr>
          <w:rFonts w:ascii="Verdana" w:hAnsi="Verdana" w:cs="Arial"/>
          <w:spacing w:val="-3"/>
          <w:sz w:val="16"/>
          <w:szCs w:val="16"/>
        </w:rPr>
        <w:t xml:space="preserve"> </w:t>
      </w:r>
      <w:r w:rsidRPr="006C6F13">
        <w:rPr>
          <w:rFonts w:ascii="Verdana" w:hAnsi="Verdana" w:cs="Arial"/>
          <w:sz w:val="16"/>
          <w:szCs w:val="16"/>
        </w:rPr>
        <w:t>C.P.</w:t>
      </w:r>
      <w:r w:rsidRPr="006C6F13">
        <w:rPr>
          <w:rFonts w:ascii="Verdana" w:hAnsi="Verdana" w:cs="Arial"/>
          <w:spacing w:val="-4"/>
          <w:sz w:val="16"/>
          <w:szCs w:val="16"/>
        </w:rPr>
        <w:t xml:space="preserve"> </w:t>
      </w:r>
      <w:r w:rsidRPr="006C6F13">
        <w:rPr>
          <w:rFonts w:ascii="Verdana" w:hAnsi="Verdana" w:cs="Arial"/>
          <w:sz w:val="16"/>
          <w:szCs w:val="16"/>
        </w:rPr>
        <w:t>Enrique</w:t>
      </w:r>
      <w:r w:rsidRPr="006C6F13">
        <w:rPr>
          <w:rFonts w:ascii="Verdana" w:hAnsi="Verdana" w:cs="Arial"/>
          <w:spacing w:val="-3"/>
          <w:sz w:val="16"/>
          <w:szCs w:val="16"/>
        </w:rPr>
        <w:t xml:space="preserve"> </w:t>
      </w:r>
      <w:r w:rsidRPr="006C6F13">
        <w:rPr>
          <w:rFonts w:ascii="Verdana" w:hAnsi="Verdana" w:cs="Arial"/>
          <w:sz w:val="16"/>
          <w:szCs w:val="16"/>
        </w:rPr>
        <w:t>Gil</w:t>
      </w:r>
      <w:r w:rsidRPr="006C6F13">
        <w:rPr>
          <w:rFonts w:ascii="Verdana" w:hAnsi="Verdana" w:cs="Arial"/>
          <w:spacing w:val="-4"/>
          <w:sz w:val="16"/>
          <w:szCs w:val="16"/>
        </w:rPr>
        <w:t xml:space="preserve"> </w:t>
      </w:r>
      <w:r w:rsidRPr="006C6F13">
        <w:rPr>
          <w:rFonts w:ascii="Verdana" w:hAnsi="Verdana" w:cs="Arial"/>
          <w:sz w:val="16"/>
          <w:szCs w:val="16"/>
        </w:rPr>
        <w:t>Botero).</w:t>
      </w:r>
    </w:p>
  </w:footnote>
  <w:footnote w:id="3">
    <w:p w14:paraId="4B63BBA5" w14:textId="77777777" w:rsidR="0047433B" w:rsidRPr="006C6F13" w:rsidRDefault="0047433B" w:rsidP="0047433B">
      <w:pPr>
        <w:pStyle w:val="Textonotapie"/>
        <w:snapToGrid w:val="0"/>
        <w:ind w:firstLine="708"/>
        <w:contextualSpacing/>
        <w:jc w:val="both"/>
        <w:rPr>
          <w:rFonts w:ascii="Verdana" w:hAnsi="Verdana" w:cs="Arial"/>
          <w:sz w:val="16"/>
          <w:szCs w:val="16"/>
        </w:rPr>
      </w:pPr>
      <w:r w:rsidRPr="006C6F13">
        <w:rPr>
          <w:rStyle w:val="Refdenotaalpie"/>
          <w:rFonts w:ascii="Verdana" w:hAnsi="Verdana" w:cs="Arial"/>
          <w:sz w:val="16"/>
          <w:szCs w:val="16"/>
        </w:rPr>
        <w:footnoteRef/>
      </w:r>
      <w:r w:rsidRPr="006C6F13">
        <w:rPr>
          <w:rFonts w:ascii="Verdana" w:hAnsi="Verdana" w:cs="Arial"/>
          <w:sz w:val="16"/>
          <w:szCs w:val="16"/>
        </w:rPr>
        <w:t xml:space="preserve"> De hecho, en la exposición de motivos se explicó lo siguiente: “El proyecto mantiene como regla</w:t>
      </w:r>
      <w:r w:rsidRPr="006C6F13">
        <w:rPr>
          <w:rFonts w:ascii="Verdana" w:hAnsi="Verdana" w:cs="Arial"/>
          <w:spacing w:val="1"/>
          <w:sz w:val="16"/>
          <w:szCs w:val="16"/>
        </w:rPr>
        <w:t xml:space="preserve"> </w:t>
      </w:r>
      <w:r w:rsidRPr="006C6F13">
        <w:rPr>
          <w:rFonts w:ascii="Verdana" w:hAnsi="Verdana" w:cs="Arial"/>
          <w:sz w:val="16"/>
          <w:szCs w:val="16"/>
        </w:rPr>
        <w:t>general la utilización de procedimientos reglados de selección objetiva del contratista [...], lo que afirma la</w:t>
      </w:r>
      <w:r w:rsidRPr="006C6F13">
        <w:rPr>
          <w:rFonts w:ascii="Verdana" w:hAnsi="Verdana" w:cs="Arial"/>
          <w:spacing w:val="1"/>
          <w:sz w:val="16"/>
          <w:szCs w:val="16"/>
        </w:rPr>
        <w:t xml:space="preserve"> </w:t>
      </w:r>
      <w:r w:rsidRPr="006C6F13">
        <w:rPr>
          <w:rFonts w:ascii="Verdana" w:hAnsi="Verdana" w:cs="Arial"/>
          <w:sz w:val="16"/>
          <w:szCs w:val="16"/>
        </w:rPr>
        <w:t>ordenación que sobre la materia ha mantenido nuestra legislación desde el Código Fiscal de 1873 en cuanto</w:t>
      </w:r>
      <w:r w:rsidRPr="006C6F13">
        <w:rPr>
          <w:rFonts w:ascii="Verdana" w:hAnsi="Verdana" w:cs="Arial"/>
          <w:spacing w:val="1"/>
          <w:sz w:val="16"/>
          <w:szCs w:val="16"/>
        </w:rPr>
        <w:t xml:space="preserve"> </w:t>
      </w:r>
      <w:r w:rsidRPr="006C6F13">
        <w:rPr>
          <w:rFonts w:ascii="Verdana" w:hAnsi="Verdana" w:cs="Arial"/>
          <w:sz w:val="16"/>
          <w:szCs w:val="16"/>
        </w:rPr>
        <w:t>que</w:t>
      </w:r>
      <w:r w:rsidRPr="006C6F13">
        <w:rPr>
          <w:rFonts w:ascii="Verdana" w:hAnsi="Verdana" w:cs="Arial"/>
          <w:spacing w:val="1"/>
          <w:sz w:val="16"/>
          <w:szCs w:val="16"/>
        </w:rPr>
        <w:t xml:space="preserve"> </w:t>
      </w:r>
      <w:r w:rsidRPr="006C6F13">
        <w:rPr>
          <w:rFonts w:ascii="Verdana" w:hAnsi="Verdana" w:cs="Arial"/>
          <w:sz w:val="16"/>
          <w:szCs w:val="16"/>
        </w:rPr>
        <w:t>su</w:t>
      </w:r>
      <w:r w:rsidRPr="006C6F13">
        <w:rPr>
          <w:rFonts w:ascii="Verdana" w:hAnsi="Verdana" w:cs="Arial"/>
          <w:spacing w:val="1"/>
          <w:sz w:val="16"/>
          <w:szCs w:val="16"/>
        </w:rPr>
        <w:t xml:space="preserve"> </w:t>
      </w:r>
      <w:r w:rsidRPr="006C6F13">
        <w:rPr>
          <w:rFonts w:ascii="Verdana" w:hAnsi="Verdana" w:cs="Arial"/>
          <w:sz w:val="16"/>
          <w:szCs w:val="16"/>
        </w:rPr>
        <w:t>justificación</w:t>
      </w:r>
      <w:r w:rsidRPr="006C6F13">
        <w:rPr>
          <w:rFonts w:ascii="Verdana" w:hAnsi="Verdana" w:cs="Arial"/>
          <w:spacing w:val="1"/>
          <w:sz w:val="16"/>
          <w:szCs w:val="16"/>
        </w:rPr>
        <w:t xml:space="preserve"> </w:t>
      </w:r>
      <w:r w:rsidRPr="006C6F13">
        <w:rPr>
          <w:rFonts w:ascii="Verdana" w:hAnsi="Verdana" w:cs="Arial"/>
          <w:sz w:val="16"/>
          <w:szCs w:val="16"/>
        </w:rPr>
        <w:t>estriba,</w:t>
      </w:r>
      <w:r w:rsidRPr="006C6F13">
        <w:rPr>
          <w:rFonts w:ascii="Verdana" w:hAnsi="Verdana" w:cs="Arial"/>
          <w:spacing w:val="1"/>
          <w:sz w:val="16"/>
          <w:szCs w:val="16"/>
        </w:rPr>
        <w:t xml:space="preserve"> </w:t>
      </w:r>
      <w:r w:rsidRPr="006C6F13">
        <w:rPr>
          <w:rFonts w:ascii="Verdana" w:hAnsi="Verdana" w:cs="Arial"/>
          <w:sz w:val="16"/>
          <w:szCs w:val="16"/>
        </w:rPr>
        <w:t>esencialmente,</w:t>
      </w:r>
      <w:r w:rsidRPr="006C6F13">
        <w:rPr>
          <w:rFonts w:ascii="Verdana" w:hAnsi="Verdana" w:cs="Arial"/>
          <w:spacing w:val="1"/>
          <w:sz w:val="16"/>
          <w:szCs w:val="16"/>
        </w:rPr>
        <w:t xml:space="preserve"> </w:t>
      </w:r>
      <w:r w:rsidRPr="006C6F13">
        <w:rPr>
          <w:rFonts w:ascii="Verdana" w:hAnsi="Verdana" w:cs="Arial"/>
          <w:sz w:val="16"/>
          <w:szCs w:val="16"/>
        </w:rPr>
        <w:t>en</w:t>
      </w:r>
      <w:r w:rsidRPr="006C6F13">
        <w:rPr>
          <w:rFonts w:ascii="Verdana" w:hAnsi="Verdana" w:cs="Arial"/>
          <w:spacing w:val="1"/>
          <w:sz w:val="16"/>
          <w:szCs w:val="16"/>
        </w:rPr>
        <w:t xml:space="preserve"> </w:t>
      </w:r>
      <w:r w:rsidRPr="006C6F13">
        <w:rPr>
          <w:rFonts w:ascii="Verdana" w:hAnsi="Verdana" w:cs="Arial"/>
          <w:sz w:val="16"/>
          <w:szCs w:val="16"/>
        </w:rPr>
        <w:t>los</w:t>
      </w:r>
      <w:r w:rsidRPr="006C6F13">
        <w:rPr>
          <w:rFonts w:ascii="Verdana" w:hAnsi="Verdana" w:cs="Arial"/>
          <w:spacing w:val="1"/>
          <w:sz w:val="16"/>
          <w:szCs w:val="16"/>
        </w:rPr>
        <w:t xml:space="preserve"> </w:t>
      </w:r>
      <w:r w:rsidRPr="006C6F13">
        <w:rPr>
          <w:rFonts w:ascii="Verdana" w:hAnsi="Verdana" w:cs="Arial"/>
          <w:sz w:val="16"/>
          <w:szCs w:val="16"/>
        </w:rPr>
        <w:t>conceptos</w:t>
      </w:r>
      <w:r w:rsidRPr="006C6F13">
        <w:rPr>
          <w:rFonts w:ascii="Verdana" w:hAnsi="Verdana" w:cs="Arial"/>
          <w:spacing w:val="1"/>
          <w:sz w:val="16"/>
          <w:szCs w:val="16"/>
        </w:rPr>
        <w:t xml:space="preserve"> </w:t>
      </w:r>
      <w:r w:rsidRPr="006C6F13">
        <w:rPr>
          <w:rFonts w:ascii="Verdana" w:hAnsi="Verdana" w:cs="Arial"/>
          <w:sz w:val="16"/>
          <w:szCs w:val="16"/>
        </w:rPr>
        <w:t>de</w:t>
      </w:r>
      <w:r w:rsidRPr="006C6F13">
        <w:rPr>
          <w:rFonts w:ascii="Verdana" w:hAnsi="Verdana" w:cs="Arial"/>
          <w:spacing w:val="1"/>
          <w:sz w:val="16"/>
          <w:szCs w:val="16"/>
        </w:rPr>
        <w:t xml:space="preserve"> </w:t>
      </w:r>
      <w:r w:rsidRPr="006C6F13">
        <w:rPr>
          <w:rFonts w:ascii="Verdana" w:hAnsi="Verdana" w:cs="Arial"/>
          <w:sz w:val="16"/>
          <w:szCs w:val="16"/>
        </w:rPr>
        <w:t>seguridad,</w:t>
      </w:r>
      <w:r w:rsidRPr="006C6F13">
        <w:rPr>
          <w:rFonts w:ascii="Verdana" w:hAnsi="Verdana" w:cs="Arial"/>
          <w:spacing w:val="1"/>
          <w:sz w:val="16"/>
          <w:szCs w:val="16"/>
        </w:rPr>
        <w:t xml:space="preserve"> </w:t>
      </w:r>
      <w:r w:rsidRPr="006C6F13">
        <w:rPr>
          <w:rFonts w:ascii="Verdana" w:hAnsi="Verdana" w:cs="Arial"/>
          <w:sz w:val="16"/>
          <w:szCs w:val="16"/>
        </w:rPr>
        <w:t>corrección</w:t>
      </w:r>
      <w:r w:rsidRPr="006C6F13">
        <w:rPr>
          <w:rFonts w:ascii="Verdana" w:hAnsi="Verdana" w:cs="Arial"/>
          <w:spacing w:val="1"/>
          <w:sz w:val="16"/>
          <w:szCs w:val="16"/>
        </w:rPr>
        <w:t xml:space="preserve"> </w:t>
      </w:r>
      <w:r w:rsidRPr="006C6F13">
        <w:rPr>
          <w:rFonts w:ascii="Verdana" w:hAnsi="Verdana" w:cs="Arial"/>
          <w:sz w:val="16"/>
          <w:szCs w:val="16"/>
        </w:rPr>
        <w:t>y</w:t>
      </w:r>
      <w:r w:rsidRPr="006C6F13">
        <w:rPr>
          <w:rFonts w:ascii="Verdana" w:hAnsi="Verdana" w:cs="Arial"/>
          <w:spacing w:val="1"/>
          <w:sz w:val="16"/>
          <w:szCs w:val="16"/>
        </w:rPr>
        <w:t xml:space="preserve"> </w:t>
      </w:r>
      <w:r w:rsidRPr="006C6F13">
        <w:rPr>
          <w:rFonts w:ascii="Verdana" w:hAnsi="Verdana" w:cs="Arial"/>
          <w:sz w:val="16"/>
          <w:szCs w:val="16"/>
        </w:rPr>
        <w:t>moralidad</w:t>
      </w:r>
      <w:r w:rsidRPr="006C6F13">
        <w:rPr>
          <w:rFonts w:ascii="Verdana" w:hAnsi="Verdana" w:cs="Arial"/>
          <w:spacing w:val="1"/>
          <w:sz w:val="16"/>
          <w:szCs w:val="16"/>
        </w:rPr>
        <w:t xml:space="preserve"> </w:t>
      </w:r>
      <w:r w:rsidRPr="006C6F13">
        <w:rPr>
          <w:rFonts w:ascii="Verdana" w:hAnsi="Verdana" w:cs="Arial"/>
          <w:sz w:val="16"/>
          <w:szCs w:val="16"/>
        </w:rPr>
        <w:t>administrativas, así como en el principio de igualdad de oportunidades para que cualquier persona que esté en</w:t>
      </w:r>
      <w:r w:rsidRPr="006C6F13">
        <w:rPr>
          <w:rFonts w:ascii="Verdana" w:hAnsi="Verdana" w:cs="Arial"/>
          <w:spacing w:val="1"/>
          <w:sz w:val="16"/>
          <w:szCs w:val="16"/>
        </w:rPr>
        <w:t xml:space="preserve"> </w:t>
      </w:r>
      <w:r w:rsidRPr="006C6F13">
        <w:rPr>
          <w:rFonts w:ascii="Verdana" w:hAnsi="Verdana" w:cs="Arial"/>
          <w:spacing w:val="-1"/>
          <w:sz w:val="16"/>
          <w:szCs w:val="16"/>
        </w:rPr>
        <w:t>posibilidad</w:t>
      </w:r>
      <w:r w:rsidRPr="006C6F13">
        <w:rPr>
          <w:rFonts w:ascii="Verdana" w:hAnsi="Verdana" w:cs="Arial"/>
          <w:spacing w:val="-13"/>
          <w:sz w:val="16"/>
          <w:szCs w:val="16"/>
        </w:rPr>
        <w:t xml:space="preserve"> </w:t>
      </w:r>
      <w:r w:rsidRPr="006C6F13">
        <w:rPr>
          <w:rFonts w:ascii="Verdana" w:hAnsi="Verdana" w:cs="Arial"/>
          <w:spacing w:val="-1"/>
          <w:sz w:val="16"/>
          <w:szCs w:val="16"/>
        </w:rPr>
        <w:t>de</w:t>
      </w:r>
      <w:r w:rsidRPr="006C6F13">
        <w:rPr>
          <w:rFonts w:ascii="Verdana" w:hAnsi="Verdana" w:cs="Arial"/>
          <w:spacing w:val="-13"/>
          <w:sz w:val="16"/>
          <w:szCs w:val="16"/>
        </w:rPr>
        <w:t xml:space="preserve"> </w:t>
      </w:r>
      <w:r w:rsidRPr="006C6F13">
        <w:rPr>
          <w:rFonts w:ascii="Verdana" w:hAnsi="Verdana" w:cs="Arial"/>
          <w:spacing w:val="-1"/>
          <w:sz w:val="16"/>
          <w:szCs w:val="16"/>
        </w:rPr>
        <w:t>contratar</w:t>
      </w:r>
      <w:r w:rsidRPr="006C6F13">
        <w:rPr>
          <w:rFonts w:ascii="Verdana" w:hAnsi="Verdana" w:cs="Arial"/>
          <w:spacing w:val="-13"/>
          <w:sz w:val="16"/>
          <w:szCs w:val="16"/>
        </w:rPr>
        <w:t xml:space="preserve"> </w:t>
      </w:r>
      <w:r w:rsidRPr="006C6F13">
        <w:rPr>
          <w:rFonts w:ascii="Verdana" w:hAnsi="Verdana" w:cs="Arial"/>
          <w:spacing w:val="-1"/>
          <w:sz w:val="16"/>
          <w:szCs w:val="16"/>
        </w:rPr>
        <w:t>con</w:t>
      </w:r>
      <w:r w:rsidRPr="006C6F13">
        <w:rPr>
          <w:rFonts w:ascii="Verdana" w:hAnsi="Verdana" w:cs="Arial"/>
          <w:spacing w:val="-13"/>
          <w:sz w:val="16"/>
          <w:szCs w:val="16"/>
        </w:rPr>
        <w:t xml:space="preserve"> </w:t>
      </w:r>
      <w:r w:rsidRPr="006C6F13">
        <w:rPr>
          <w:rFonts w:ascii="Verdana" w:hAnsi="Verdana" w:cs="Arial"/>
          <w:spacing w:val="-1"/>
          <w:sz w:val="16"/>
          <w:szCs w:val="16"/>
        </w:rPr>
        <w:t>la</w:t>
      </w:r>
      <w:r w:rsidRPr="006C6F13">
        <w:rPr>
          <w:rFonts w:ascii="Verdana" w:hAnsi="Verdana" w:cs="Arial"/>
          <w:spacing w:val="-13"/>
          <w:sz w:val="16"/>
          <w:szCs w:val="16"/>
        </w:rPr>
        <w:t xml:space="preserve"> </w:t>
      </w:r>
      <w:r w:rsidRPr="006C6F13">
        <w:rPr>
          <w:rFonts w:ascii="Verdana" w:hAnsi="Verdana" w:cs="Arial"/>
          <w:spacing w:val="-1"/>
          <w:sz w:val="16"/>
          <w:szCs w:val="16"/>
        </w:rPr>
        <w:t>administración</w:t>
      </w:r>
      <w:r w:rsidRPr="006C6F13">
        <w:rPr>
          <w:rFonts w:ascii="Verdana" w:hAnsi="Verdana" w:cs="Arial"/>
          <w:spacing w:val="-13"/>
          <w:sz w:val="16"/>
          <w:szCs w:val="16"/>
        </w:rPr>
        <w:t xml:space="preserve"> </w:t>
      </w:r>
      <w:r w:rsidRPr="006C6F13">
        <w:rPr>
          <w:rFonts w:ascii="Verdana" w:hAnsi="Verdana" w:cs="Arial"/>
          <w:spacing w:val="-1"/>
          <w:sz w:val="16"/>
          <w:szCs w:val="16"/>
        </w:rPr>
        <w:t>tenga</w:t>
      </w:r>
      <w:r w:rsidRPr="006C6F13">
        <w:rPr>
          <w:rFonts w:ascii="Verdana" w:hAnsi="Verdana" w:cs="Arial"/>
          <w:spacing w:val="-12"/>
          <w:sz w:val="16"/>
          <w:szCs w:val="16"/>
        </w:rPr>
        <w:t xml:space="preserve"> </w:t>
      </w:r>
      <w:r w:rsidRPr="006C6F13">
        <w:rPr>
          <w:rFonts w:ascii="Verdana" w:hAnsi="Verdana" w:cs="Arial"/>
          <w:spacing w:val="-1"/>
          <w:sz w:val="16"/>
          <w:szCs w:val="16"/>
        </w:rPr>
        <w:t>acceso</w:t>
      </w:r>
      <w:r w:rsidRPr="006C6F13">
        <w:rPr>
          <w:rFonts w:ascii="Verdana" w:hAnsi="Verdana" w:cs="Arial"/>
          <w:spacing w:val="-13"/>
          <w:sz w:val="16"/>
          <w:szCs w:val="16"/>
        </w:rPr>
        <w:t xml:space="preserve"> </w:t>
      </w:r>
      <w:r w:rsidRPr="006C6F13">
        <w:rPr>
          <w:rFonts w:ascii="Verdana" w:hAnsi="Verdana" w:cs="Arial"/>
          <w:spacing w:val="-1"/>
          <w:sz w:val="16"/>
          <w:szCs w:val="16"/>
        </w:rPr>
        <w:t>a</w:t>
      </w:r>
      <w:r w:rsidRPr="006C6F13">
        <w:rPr>
          <w:rFonts w:ascii="Verdana" w:hAnsi="Verdana" w:cs="Arial"/>
          <w:spacing w:val="-13"/>
          <w:sz w:val="16"/>
          <w:szCs w:val="16"/>
        </w:rPr>
        <w:t xml:space="preserve"> </w:t>
      </w:r>
      <w:r w:rsidRPr="006C6F13">
        <w:rPr>
          <w:rFonts w:ascii="Verdana" w:hAnsi="Verdana" w:cs="Arial"/>
          <w:spacing w:val="-1"/>
          <w:sz w:val="16"/>
          <w:szCs w:val="16"/>
        </w:rPr>
        <w:t>ella”</w:t>
      </w:r>
      <w:r w:rsidRPr="006C6F13">
        <w:rPr>
          <w:rFonts w:ascii="Verdana" w:hAnsi="Verdana" w:cs="Arial"/>
          <w:spacing w:val="-13"/>
          <w:sz w:val="16"/>
          <w:szCs w:val="16"/>
        </w:rPr>
        <w:t xml:space="preserve"> </w:t>
      </w:r>
      <w:r w:rsidRPr="006C6F13">
        <w:rPr>
          <w:rFonts w:ascii="Verdana" w:hAnsi="Verdana" w:cs="Arial"/>
          <w:spacing w:val="-1"/>
          <w:sz w:val="16"/>
          <w:szCs w:val="16"/>
        </w:rPr>
        <w:t>(CONGRESO</w:t>
      </w:r>
      <w:r w:rsidRPr="006C6F13">
        <w:rPr>
          <w:rFonts w:ascii="Verdana" w:hAnsi="Verdana" w:cs="Arial"/>
          <w:spacing w:val="-13"/>
          <w:sz w:val="16"/>
          <w:szCs w:val="16"/>
        </w:rPr>
        <w:t xml:space="preserve"> </w:t>
      </w:r>
      <w:r w:rsidRPr="006C6F13">
        <w:rPr>
          <w:rFonts w:ascii="Verdana" w:hAnsi="Verdana" w:cs="Arial"/>
          <w:sz w:val="16"/>
          <w:szCs w:val="16"/>
        </w:rPr>
        <w:t>DE</w:t>
      </w:r>
      <w:r w:rsidRPr="006C6F13">
        <w:rPr>
          <w:rFonts w:ascii="Verdana" w:hAnsi="Verdana" w:cs="Arial"/>
          <w:spacing w:val="-13"/>
          <w:sz w:val="16"/>
          <w:szCs w:val="16"/>
        </w:rPr>
        <w:t xml:space="preserve"> </w:t>
      </w:r>
      <w:r w:rsidRPr="006C6F13">
        <w:rPr>
          <w:rFonts w:ascii="Verdana" w:hAnsi="Verdana" w:cs="Arial"/>
          <w:sz w:val="16"/>
          <w:szCs w:val="16"/>
        </w:rPr>
        <w:t>LA</w:t>
      </w:r>
      <w:r w:rsidRPr="006C6F13">
        <w:rPr>
          <w:rFonts w:ascii="Verdana" w:hAnsi="Verdana" w:cs="Arial"/>
          <w:spacing w:val="-13"/>
          <w:sz w:val="16"/>
          <w:szCs w:val="16"/>
        </w:rPr>
        <w:t xml:space="preserve"> </w:t>
      </w:r>
      <w:r w:rsidRPr="006C6F13">
        <w:rPr>
          <w:rFonts w:ascii="Verdana" w:hAnsi="Verdana" w:cs="Arial"/>
          <w:sz w:val="16"/>
          <w:szCs w:val="16"/>
        </w:rPr>
        <w:t>REPÚBLICA.</w:t>
      </w:r>
      <w:r w:rsidRPr="006C6F13">
        <w:rPr>
          <w:rFonts w:ascii="Verdana" w:hAnsi="Verdana" w:cs="Arial"/>
          <w:spacing w:val="-13"/>
          <w:sz w:val="16"/>
          <w:szCs w:val="16"/>
        </w:rPr>
        <w:t xml:space="preserve"> </w:t>
      </w:r>
      <w:r w:rsidRPr="006C6F13">
        <w:rPr>
          <w:rFonts w:ascii="Verdana" w:hAnsi="Verdana" w:cs="Arial"/>
          <w:sz w:val="16"/>
          <w:szCs w:val="16"/>
        </w:rPr>
        <w:t>Exposición</w:t>
      </w:r>
      <w:r w:rsidRPr="006C6F13">
        <w:rPr>
          <w:rFonts w:ascii="Verdana" w:hAnsi="Verdana" w:cs="Arial"/>
          <w:spacing w:val="1"/>
          <w:sz w:val="16"/>
          <w:szCs w:val="16"/>
        </w:rPr>
        <w:t xml:space="preserve"> </w:t>
      </w:r>
      <w:r w:rsidRPr="006C6F13">
        <w:rPr>
          <w:rFonts w:ascii="Verdana" w:hAnsi="Verdana" w:cs="Arial"/>
          <w:sz w:val="16"/>
          <w:szCs w:val="16"/>
        </w:rPr>
        <w:t>de</w:t>
      </w:r>
      <w:r w:rsidRPr="006C6F13">
        <w:rPr>
          <w:rFonts w:ascii="Verdana" w:hAnsi="Verdana" w:cs="Arial"/>
          <w:spacing w:val="-2"/>
          <w:sz w:val="16"/>
          <w:szCs w:val="16"/>
        </w:rPr>
        <w:t xml:space="preserve"> </w:t>
      </w:r>
      <w:r w:rsidRPr="006C6F13">
        <w:rPr>
          <w:rFonts w:ascii="Verdana" w:hAnsi="Verdana" w:cs="Arial"/>
          <w:sz w:val="16"/>
          <w:szCs w:val="16"/>
        </w:rPr>
        <w:t>motivos</w:t>
      </w:r>
      <w:r w:rsidRPr="006C6F13">
        <w:rPr>
          <w:rFonts w:ascii="Verdana" w:hAnsi="Verdana" w:cs="Arial"/>
          <w:spacing w:val="-2"/>
          <w:sz w:val="16"/>
          <w:szCs w:val="16"/>
        </w:rPr>
        <w:t xml:space="preserve"> </w:t>
      </w:r>
      <w:r w:rsidRPr="006C6F13">
        <w:rPr>
          <w:rFonts w:ascii="Verdana" w:hAnsi="Verdana" w:cs="Arial"/>
          <w:sz w:val="16"/>
          <w:szCs w:val="16"/>
        </w:rPr>
        <w:t>de</w:t>
      </w:r>
      <w:r w:rsidRPr="006C6F13">
        <w:rPr>
          <w:rFonts w:ascii="Verdana" w:hAnsi="Verdana" w:cs="Arial"/>
          <w:spacing w:val="-1"/>
          <w:sz w:val="16"/>
          <w:szCs w:val="16"/>
        </w:rPr>
        <w:t xml:space="preserve"> </w:t>
      </w:r>
      <w:r w:rsidRPr="006C6F13">
        <w:rPr>
          <w:rFonts w:ascii="Verdana" w:hAnsi="Verdana" w:cs="Arial"/>
          <w:sz w:val="16"/>
          <w:szCs w:val="16"/>
        </w:rPr>
        <w:t>la</w:t>
      </w:r>
      <w:r w:rsidRPr="006C6F13">
        <w:rPr>
          <w:rFonts w:ascii="Verdana" w:hAnsi="Verdana" w:cs="Arial"/>
          <w:spacing w:val="-2"/>
          <w:sz w:val="16"/>
          <w:szCs w:val="16"/>
        </w:rPr>
        <w:t xml:space="preserve"> </w:t>
      </w:r>
      <w:r w:rsidRPr="006C6F13">
        <w:rPr>
          <w:rFonts w:ascii="Verdana" w:hAnsi="Verdana" w:cs="Arial"/>
          <w:sz w:val="16"/>
          <w:szCs w:val="16"/>
        </w:rPr>
        <w:t>Ley</w:t>
      </w:r>
      <w:r w:rsidRPr="006C6F13">
        <w:rPr>
          <w:rFonts w:ascii="Verdana" w:hAnsi="Verdana" w:cs="Arial"/>
          <w:spacing w:val="-2"/>
          <w:sz w:val="16"/>
          <w:szCs w:val="16"/>
        </w:rPr>
        <w:t xml:space="preserve"> </w:t>
      </w:r>
      <w:r w:rsidRPr="006C6F13">
        <w:rPr>
          <w:rFonts w:ascii="Verdana" w:hAnsi="Verdana" w:cs="Arial"/>
          <w:sz w:val="16"/>
          <w:szCs w:val="16"/>
        </w:rPr>
        <w:t>80</w:t>
      </w:r>
      <w:r w:rsidRPr="006C6F13">
        <w:rPr>
          <w:rFonts w:ascii="Verdana" w:hAnsi="Verdana" w:cs="Arial"/>
          <w:spacing w:val="-1"/>
          <w:sz w:val="16"/>
          <w:szCs w:val="16"/>
        </w:rPr>
        <w:t xml:space="preserve"> </w:t>
      </w:r>
      <w:r w:rsidRPr="006C6F13">
        <w:rPr>
          <w:rFonts w:ascii="Verdana" w:hAnsi="Verdana" w:cs="Arial"/>
          <w:sz w:val="16"/>
          <w:szCs w:val="16"/>
        </w:rPr>
        <w:t>de</w:t>
      </w:r>
      <w:r w:rsidRPr="006C6F13">
        <w:rPr>
          <w:rFonts w:ascii="Verdana" w:hAnsi="Verdana" w:cs="Arial"/>
          <w:spacing w:val="-2"/>
          <w:sz w:val="16"/>
          <w:szCs w:val="16"/>
        </w:rPr>
        <w:t xml:space="preserve"> </w:t>
      </w:r>
      <w:r w:rsidRPr="006C6F13">
        <w:rPr>
          <w:rFonts w:ascii="Verdana" w:hAnsi="Verdana" w:cs="Arial"/>
          <w:sz w:val="16"/>
          <w:szCs w:val="16"/>
        </w:rPr>
        <w:t>1993.</w:t>
      </w:r>
      <w:r w:rsidRPr="006C6F13">
        <w:rPr>
          <w:rFonts w:ascii="Verdana" w:hAnsi="Verdana" w:cs="Arial"/>
          <w:spacing w:val="-1"/>
          <w:sz w:val="16"/>
          <w:szCs w:val="16"/>
        </w:rPr>
        <w:t xml:space="preserve"> </w:t>
      </w:r>
      <w:r w:rsidRPr="006C6F13">
        <w:rPr>
          <w:rFonts w:ascii="Verdana" w:hAnsi="Verdana" w:cs="Arial"/>
          <w:sz w:val="16"/>
          <w:szCs w:val="16"/>
        </w:rPr>
        <w:t>Gaceta</w:t>
      </w:r>
      <w:r w:rsidRPr="006C6F13">
        <w:rPr>
          <w:rFonts w:ascii="Verdana" w:hAnsi="Verdana" w:cs="Arial"/>
          <w:spacing w:val="-2"/>
          <w:sz w:val="16"/>
          <w:szCs w:val="16"/>
        </w:rPr>
        <w:t xml:space="preserve"> </w:t>
      </w:r>
      <w:r w:rsidRPr="006C6F13">
        <w:rPr>
          <w:rFonts w:ascii="Verdana" w:hAnsi="Verdana" w:cs="Arial"/>
          <w:sz w:val="16"/>
          <w:szCs w:val="16"/>
        </w:rPr>
        <w:t>del</w:t>
      </w:r>
      <w:r w:rsidRPr="006C6F13">
        <w:rPr>
          <w:rFonts w:ascii="Verdana" w:hAnsi="Verdana" w:cs="Arial"/>
          <w:spacing w:val="-2"/>
          <w:sz w:val="16"/>
          <w:szCs w:val="16"/>
        </w:rPr>
        <w:t xml:space="preserve"> </w:t>
      </w:r>
      <w:r w:rsidRPr="006C6F13">
        <w:rPr>
          <w:rFonts w:ascii="Verdana" w:hAnsi="Verdana" w:cs="Arial"/>
          <w:sz w:val="16"/>
          <w:szCs w:val="16"/>
        </w:rPr>
        <w:t>Congreso</w:t>
      </w:r>
      <w:r w:rsidRPr="006C6F13">
        <w:rPr>
          <w:rFonts w:ascii="Verdana" w:hAnsi="Verdana" w:cs="Arial"/>
          <w:spacing w:val="-1"/>
          <w:sz w:val="16"/>
          <w:szCs w:val="16"/>
        </w:rPr>
        <w:t xml:space="preserve"> </w:t>
      </w:r>
      <w:r w:rsidRPr="006C6F13">
        <w:rPr>
          <w:rFonts w:ascii="Verdana" w:hAnsi="Verdana" w:cs="Arial"/>
          <w:sz w:val="16"/>
          <w:szCs w:val="16"/>
        </w:rPr>
        <w:t>No.</w:t>
      </w:r>
      <w:r w:rsidRPr="006C6F13">
        <w:rPr>
          <w:rFonts w:ascii="Verdana" w:hAnsi="Verdana" w:cs="Arial"/>
          <w:spacing w:val="-2"/>
          <w:sz w:val="16"/>
          <w:szCs w:val="16"/>
        </w:rPr>
        <w:t xml:space="preserve"> </w:t>
      </w:r>
      <w:r w:rsidRPr="006C6F13">
        <w:rPr>
          <w:rFonts w:ascii="Verdana" w:hAnsi="Verdana" w:cs="Arial"/>
          <w:sz w:val="16"/>
          <w:szCs w:val="16"/>
        </w:rPr>
        <w:t>75</w:t>
      </w:r>
      <w:r w:rsidRPr="006C6F13">
        <w:rPr>
          <w:rFonts w:ascii="Verdana" w:hAnsi="Verdana" w:cs="Arial"/>
          <w:spacing w:val="-1"/>
          <w:sz w:val="16"/>
          <w:szCs w:val="16"/>
        </w:rPr>
        <w:t xml:space="preserve"> </w:t>
      </w:r>
      <w:r w:rsidRPr="006C6F13">
        <w:rPr>
          <w:rFonts w:ascii="Verdana" w:hAnsi="Verdana" w:cs="Arial"/>
          <w:sz w:val="16"/>
          <w:szCs w:val="16"/>
        </w:rPr>
        <w:t>del</w:t>
      </w:r>
      <w:r w:rsidRPr="006C6F13">
        <w:rPr>
          <w:rFonts w:ascii="Verdana" w:hAnsi="Verdana" w:cs="Arial"/>
          <w:spacing w:val="-2"/>
          <w:sz w:val="16"/>
          <w:szCs w:val="16"/>
        </w:rPr>
        <w:t xml:space="preserve"> </w:t>
      </w:r>
      <w:r w:rsidRPr="006C6F13">
        <w:rPr>
          <w:rFonts w:ascii="Verdana" w:hAnsi="Verdana" w:cs="Arial"/>
          <w:sz w:val="16"/>
          <w:szCs w:val="16"/>
        </w:rPr>
        <w:t>23</w:t>
      </w:r>
      <w:r w:rsidRPr="006C6F13">
        <w:rPr>
          <w:rFonts w:ascii="Verdana" w:hAnsi="Verdana" w:cs="Arial"/>
          <w:spacing w:val="-2"/>
          <w:sz w:val="16"/>
          <w:szCs w:val="16"/>
        </w:rPr>
        <w:t xml:space="preserve"> </w:t>
      </w:r>
      <w:r w:rsidRPr="006C6F13">
        <w:rPr>
          <w:rFonts w:ascii="Verdana" w:hAnsi="Verdana" w:cs="Arial"/>
          <w:sz w:val="16"/>
          <w:szCs w:val="16"/>
        </w:rPr>
        <w:t>de</w:t>
      </w:r>
      <w:r w:rsidRPr="006C6F13">
        <w:rPr>
          <w:rFonts w:ascii="Verdana" w:hAnsi="Verdana" w:cs="Arial"/>
          <w:spacing w:val="-1"/>
          <w:sz w:val="16"/>
          <w:szCs w:val="16"/>
        </w:rPr>
        <w:t xml:space="preserve"> </w:t>
      </w:r>
      <w:r w:rsidRPr="006C6F13">
        <w:rPr>
          <w:rFonts w:ascii="Verdana" w:hAnsi="Verdana" w:cs="Arial"/>
          <w:sz w:val="16"/>
          <w:szCs w:val="16"/>
        </w:rPr>
        <w:t>septiembre</w:t>
      </w:r>
      <w:r w:rsidRPr="006C6F13">
        <w:rPr>
          <w:rFonts w:ascii="Verdana" w:hAnsi="Verdana" w:cs="Arial"/>
          <w:spacing w:val="-2"/>
          <w:sz w:val="16"/>
          <w:szCs w:val="16"/>
        </w:rPr>
        <w:t xml:space="preserve"> </w:t>
      </w:r>
      <w:r w:rsidRPr="006C6F13">
        <w:rPr>
          <w:rFonts w:ascii="Verdana" w:hAnsi="Verdana" w:cs="Arial"/>
          <w:sz w:val="16"/>
          <w:szCs w:val="16"/>
        </w:rPr>
        <w:t>de</w:t>
      </w:r>
      <w:r w:rsidRPr="006C6F13">
        <w:rPr>
          <w:rFonts w:ascii="Verdana" w:hAnsi="Verdana" w:cs="Arial"/>
          <w:spacing w:val="-2"/>
          <w:sz w:val="16"/>
          <w:szCs w:val="16"/>
        </w:rPr>
        <w:t xml:space="preserve"> </w:t>
      </w:r>
      <w:r w:rsidRPr="006C6F13">
        <w:rPr>
          <w:rFonts w:ascii="Verdana" w:hAnsi="Verdana" w:cs="Arial"/>
          <w:sz w:val="16"/>
          <w:szCs w:val="16"/>
        </w:rPr>
        <w:t>1992).</w:t>
      </w:r>
    </w:p>
  </w:footnote>
  <w:footnote w:id="4">
    <w:p w14:paraId="4C228A93" w14:textId="77777777" w:rsidR="0047433B" w:rsidRPr="006C6F13" w:rsidRDefault="0047433B" w:rsidP="0047433B">
      <w:pPr>
        <w:pStyle w:val="Textonotapie"/>
        <w:snapToGrid w:val="0"/>
        <w:ind w:firstLine="708"/>
        <w:contextualSpacing/>
        <w:jc w:val="both"/>
        <w:rPr>
          <w:rFonts w:ascii="Verdana" w:hAnsi="Verdana" w:cs="Arial"/>
          <w:sz w:val="16"/>
          <w:szCs w:val="16"/>
        </w:rPr>
      </w:pPr>
      <w:r w:rsidRPr="006C6F13">
        <w:rPr>
          <w:rStyle w:val="Refdenotaalpie"/>
          <w:rFonts w:ascii="Verdana" w:hAnsi="Verdana" w:cs="Arial"/>
          <w:sz w:val="16"/>
          <w:szCs w:val="16"/>
        </w:rPr>
        <w:footnoteRef/>
      </w:r>
      <w:r w:rsidRPr="006C6F13">
        <w:rPr>
          <w:rFonts w:ascii="Verdana" w:hAnsi="Verdana" w:cs="Arial"/>
          <w:sz w:val="16"/>
          <w:szCs w:val="16"/>
        </w:rPr>
        <w:t xml:space="preserve"> CONGRESO DE LA REPÚBLICA. Exposición de motivos de la Ley 1150 de 2007. Gaceta del Congreso No. 458 del 1º de agosto de 2005. p. 8. </w:t>
      </w:r>
    </w:p>
  </w:footnote>
  <w:footnote w:id="5">
    <w:p w14:paraId="642AF6E0" w14:textId="77777777" w:rsidR="0047433B" w:rsidRPr="006C6F13" w:rsidRDefault="0047433B" w:rsidP="0047433B">
      <w:pPr>
        <w:pStyle w:val="Textonotapie"/>
        <w:snapToGrid w:val="0"/>
        <w:ind w:firstLine="708"/>
        <w:contextualSpacing/>
        <w:jc w:val="both"/>
        <w:rPr>
          <w:rFonts w:ascii="Verdana" w:hAnsi="Verdana" w:cs="Arial"/>
          <w:sz w:val="16"/>
          <w:szCs w:val="16"/>
        </w:rPr>
      </w:pPr>
      <w:r w:rsidRPr="006C6F13">
        <w:rPr>
          <w:rStyle w:val="Refdenotaalpie"/>
          <w:rFonts w:ascii="Verdana" w:hAnsi="Verdana" w:cs="Arial"/>
          <w:sz w:val="16"/>
          <w:szCs w:val="16"/>
        </w:rPr>
        <w:footnoteRef/>
      </w:r>
      <w:r w:rsidRPr="006C6F13">
        <w:rPr>
          <w:rFonts w:ascii="Verdana" w:hAnsi="Verdana" w:cs="Arial"/>
          <w:sz w:val="16"/>
          <w:szCs w:val="16"/>
        </w:rPr>
        <w:t xml:space="preserve"> CONSEJO DE ESTADO. Sección Tercera. Subsección A. Sentencia del 23 de julio de 2015. Exp. 36.805. C. P. Hernán Andrade Rincón. </w:t>
      </w:r>
    </w:p>
  </w:footnote>
  <w:footnote w:id="6">
    <w:p w14:paraId="5F4DE888" w14:textId="77777777" w:rsidR="0047433B" w:rsidRPr="006C6F13" w:rsidRDefault="0047433B" w:rsidP="0047433B">
      <w:pPr>
        <w:pStyle w:val="Textonotapie"/>
        <w:snapToGrid w:val="0"/>
        <w:ind w:firstLine="709"/>
        <w:contextualSpacing/>
        <w:jc w:val="both"/>
        <w:rPr>
          <w:rFonts w:ascii="Verdana" w:hAnsi="Verdana" w:cs="Arial"/>
          <w:color w:val="000000" w:themeColor="text1"/>
          <w:sz w:val="16"/>
          <w:szCs w:val="16"/>
        </w:rPr>
      </w:pPr>
      <w:r w:rsidRPr="006C6F13">
        <w:rPr>
          <w:rStyle w:val="Refdenotaalpie"/>
          <w:rFonts w:ascii="Verdana" w:hAnsi="Verdana" w:cs="Arial"/>
          <w:color w:val="000000" w:themeColor="text1"/>
          <w:sz w:val="16"/>
          <w:szCs w:val="16"/>
        </w:rPr>
        <w:footnoteRef/>
      </w:r>
      <w:r w:rsidRPr="006C6F13">
        <w:rPr>
          <w:rFonts w:ascii="Verdana" w:hAnsi="Verdana" w:cs="Arial"/>
          <w:color w:val="000000" w:themeColor="text1"/>
          <w:sz w:val="16"/>
          <w:szCs w:val="16"/>
        </w:rPr>
        <w:t xml:space="preserve"> Decreto 1082 de 2015.  Artículo 2.2.1.2.1.2.20. Procedimiento para la selección abreviada de menor cuantía. Además de las normas generales establecidas en el presente título, las siguientes reglas son aplicables a la selección abreviada de menor cuantía:</w:t>
      </w:r>
    </w:p>
    <w:p w14:paraId="4ADE9E98" w14:textId="77777777" w:rsidR="0047433B" w:rsidRPr="006C6F13" w:rsidRDefault="0047433B" w:rsidP="0047433B">
      <w:pPr>
        <w:pStyle w:val="Textonotapie"/>
        <w:snapToGrid w:val="0"/>
        <w:ind w:firstLine="708"/>
        <w:contextualSpacing/>
        <w:jc w:val="both"/>
        <w:rPr>
          <w:rFonts w:ascii="Verdana" w:hAnsi="Verdana" w:cs="Arial"/>
          <w:color w:val="000000" w:themeColor="text1"/>
          <w:sz w:val="16"/>
          <w:szCs w:val="16"/>
        </w:rPr>
      </w:pPr>
      <w:r w:rsidRPr="006C6F13">
        <w:rPr>
          <w:rFonts w:ascii="Verdana" w:hAnsi="Verdana" w:cs="Arial"/>
          <w:color w:val="000000" w:themeColor="text1"/>
          <w:sz w:val="16"/>
          <w:szCs w:val="16"/>
        </w:rPr>
        <w:t>1. En un término no mayor a tres (3) días hábiles contados a partir de la fecha de apertura del Proceso de Contratación los interesados deben manifestar su intención de participar, a través del mecanismo establecido para el efecto en los pliegos de condiciones.</w:t>
      </w:r>
    </w:p>
    <w:p w14:paraId="59770A5A" w14:textId="77777777" w:rsidR="0047433B" w:rsidRPr="006C6F13" w:rsidRDefault="0047433B" w:rsidP="0047433B">
      <w:pPr>
        <w:pStyle w:val="Textonotapie"/>
        <w:snapToGrid w:val="0"/>
        <w:ind w:firstLine="709"/>
        <w:contextualSpacing/>
        <w:jc w:val="both"/>
        <w:rPr>
          <w:rFonts w:ascii="Verdana" w:hAnsi="Verdana" w:cs="Arial"/>
          <w:color w:val="000000" w:themeColor="text1"/>
          <w:sz w:val="16"/>
          <w:szCs w:val="16"/>
        </w:rPr>
      </w:pPr>
      <w:r w:rsidRPr="006C6F13">
        <w:rPr>
          <w:rFonts w:ascii="Verdana" w:hAnsi="Verdana" w:cs="Arial"/>
          <w:color w:val="000000" w:themeColor="text1"/>
          <w:sz w:val="16"/>
          <w:szCs w:val="16"/>
        </w:rPr>
        <w:t>2. Si la Entidad Estatal recibe más de diez (10) manifestaciones de interés puede continuar el proceso o hacer un sorteo para seleccionar máximo diez (10) interesados con quienes continuará el Proceso de Contratación. La Entidad Estatal debe establecer en los pliegos de condiciones si hay lugar a sorteo y la forma en la cual lo hará.</w:t>
      </w:r>
    </w:p>
    <w:p w14:paraId="46D5166E" w14:textId="77777777" w:rsidR="0047433B" w:rsidRPr="006C6F13" w:rsidRDefault="0047433B" w:rsidP="0047433B">
      <w:pPr>
        <w:pStyle w:val="Textonotapie"/>
        <w:snapToGrid w:val="0"/>
        <w:ind w:firstLine="709"/>
        <w:contextualSpacing/>
        <w:jc w:val="both"/>
        <w:rPr>
          <w:rFonts w:ascii="Verdana" w:hAnsi="Verdana" w:cs="Arial"/>
          <w:color w:val="000000" w:themeColor="text1"/>
          <w:sz w:val="16"/>
          <w:szCs w:val="16"/>
        </w:rPr>
      </w:pPr>
      <w:r w:rsidRPr="006C6F13">
        <w:rPr>
          <w:rFonts w:ascii="Verdana" w:hAnsi="Verdana" w:cs="Arial"/>
          <w:color w:val="000000" w:themeColor="text1"/>
          <w:sz w:val="16"/>
          <w:szCs w:val="16"/>
        </w:rPr>
        <w:t>3. Si hay lugar a sorteo, el plazo para la presentación de las ofertas empezará a correr el día hábil siguiente a la fecha en la cual la Entidad Estatal informe a los interesados el resultado del sorteo.</w:t>
      </w:r>
    </w:p>
    <w:p w14:paraId="77CA5DD6" w14:textId="77777777" w:rsidR="0047433B" w:rsidRPr="006C6F13" w:rsidRDefault="0047433B" w:rsidP="0047433B">
      <w:pPr>
        <w:pStyle w:val="Textonotapie"/>
        <w:snapToGrid w:val="0"/>
        <w:ind w:firstLine="709"/>
        <w:contextualSpacing/>
        <w:jc w:val="both"/>
        <w:rPr>
          <w:rFonts w:ascii="Verdana" w:hAnsi="Verdana" w:cs="Arial"/>
          <w:color w:val="000000" w:themeColor="text1"/>
          <w:sz w:val="16"/>
          <w:szCs w:val="16"/>
        </w:rPr>
      </w:pPr>
      <w:r w:rsidRPr="006C6F13">
        <w:rPr>
          <w:rFonts w:ascii="Verdana" w:hAnsi="Verdana" w:cs="Arial"/>
          <w:color w:val="000000" w:themeColor="text1"/>
          <w:sz w:val="16"/>
          <w:szCs w:val="16"/>
        </w:rPr>
        <w:t xml:space="preserve">4. La Entidad Estatal debe publicar el informe de evaluación de ofertas durante tres (3) días hábiles”. </w:t>
      </w:r>
    </w:p>
  </w:footnote>
  <w:footnote w:id="7">
    <w:p w14:paraId="297EDFD1" w14:textId="77777777" w:rsidR="0047433B" w:rsidRPr="006C6F13" w:rsidRDefault="0047433B" w:rsidP="0047433B">
      <w:pPr>
        <w:pStyle w:val="NormalWeb"/>
        <w:snapToGrid w:val="0"/>
        <w:spacing w:before="0" w:beforeAutospacing="0" w:after="0" w:afterAutospacing="0"/>
        <w:ind w:firstLine="709"/>
        <w:contextualSpacing/>
        <w:jc w:val="both"/>
        <w:rPr>
          <w:rFonts w:ascii="Verdana" w:hAnsi="Verdana" w:cs="Arial"/>
          <w:color w:val="000000"/>
          <w:sz w:val="16"/>
          <w:szCs w:val="16"/>
          <w:lang w:eastAsia="es-ES_tradnl"/>
        </w:rPr>
      </w:pPr>
      <w:r w:rsidRPr="006C6F13">
        <w:rPr>
          <w:rStyle w:val="Refdenotaalpie"/>
          <w:rFonts w:ascii="Verdana" w:eastAsiaTheme="majorEastAsia" w:hAnsi="Verdana" w:cs="Arial"/>
          <w:sz w:val="16"/>
          <w:szCs w:val="16"/>
        </w:rPr>
        <w:footnoteRef/>
      </w:r>
      <w:r w:rsidRPr="006C6F13">
        <w:rPr>
          <w:rFonts w:ascii="Verdana" w:hAnsi="Verdana" w:cs="Arial"/>
          <w:sz w:val="16"/>
          <w:szCs w:val="16"/>
        </w:rPr>
        <w:t xml:space="preserve">  Ley 1150 de 2007, artículo 2, numeral 3: “[…]</w:t>
      </w:r>
      <w:r w:rsidRPr="006C6F13">
        <w:rPr>
          <w:rStyle w:val="PiedepginaCar"/>
          <w:rFonts w:ascii="Verdana" w:hAnsi="Verdana" w:cs="Arial"/>
          <w:color w:val="000000"/>
          <w:sz w:val="16"/>
          <w:szCs w:val="16"/>
        </w:rPr>
        <w:t xml:space="preserve"> </w:t>
      </w:r>
      <w:r w:rsidRPr="006C6F13">
        <w:rPr>
          <w:rFonts w:ascii="Verdana" w:hAnsi="Verdana" w:cs="Arial"/>
          <w:color w:val="000000"/>
          <w:sz w:val="16"/>
          <w:szCs w:val="16"/>
          <w:lang w:eastAsia="es-ES_tradnl"/>
        </w:rPr>
        <w:t>3. Concurso de méritos. Corresponde a la modalidad prevista para la selección de consultores o proyectos, en la que se podrán utilizar sistemas de concurso abierto o de precalificación. En este último caso, la conformación de la lista de precalificados se hará mediante convocatoria pública, permitiéndose establecer listas limitadas de oferentes mediante resolución motivada, que se entenderá notificada en estrados a los interesados, en la audiencia pública de conformación de la lista, utilizando para el efecto, entre otros, criterios de experiencia, capacidad intelectual y de organización de los proponentes, según sea el caso.</w:t>
      </w:r>
    </w:p>
    <w:p w14:paraId="035D1F2F" w14:textId="77777777" w:rsidR="0047433B" w:rsidRPr="006C6F13" w:rsidRDefault="0047433B" w:rsidP="0047433B">
      <w:pPr>
        <w:snapToGrid w:val="0"/>
        <w:spacing w:after="0" w:line="240" w:lineRule="auto"/>
        <w:ind w:firstLine="709"/>
        <w:contextualSpacing/>
        <w:jc w:val="both"/>
        <w:rPr>
          <w:rFonts w:ascii="Verdana" w:hAnsi="Verdana" w:cs="Arial"/>
          <w:color w:val="000000"/>
          <w:sz w:val="16"/>
          <w:szCs w:val="16"/>
        </w:rPr>
      </w:pPr>
      <w:r w:rsidRPr="006C6F13">
        <w:rPr>
          <w:rFonts w:ascii="Verdana" w:hAnsi="Verdana" w:cs="Arial"/>
          <w:color w:val="000000"/>
          <w:sz w:val="16"/>
          <w:szCs w:val="16"/>
        </w:rPr>
        <w:t>De conformidad con las condiciones que señale el reglamento, en desarrollo de estos procesos de selección, las propuestas técnicas o de proyectos podrán ser presentadas en forma anónima ante un jurado plural, impar deliberante y calificado</w:t>
      </w:r>
      <w:r w:rsidRPr="006C6F13">
        <w:rPr>
          <w:rFonts w:ascii="Verdana" w:hAnsi="Verdana" w:cs="Arial"/>
          <w:sz w:val="16"/>
          <w:szCs w:val="16"/>
        </w:rPr>
        <w:t>”.</w:t>
      </w:r>
    </w:p>
  </w:footnote>
  <w:footnote w:id="8">
    <w:p w14:paraId="268201C7" w14:textId="77777777" w:rsidR="0047433B" w:rsidRPr="006C6F13" w:rsidRDefault="0047433B" w:rsidP="0047433B">
      <w:pPr>
        <w:pStyle w:val="Textonotapie"/>
        <w:snapToGrid w:val="0"/>
        <w:ind w:firstLine="709"/>
        <w:contextualSpacing/>
        <w:jc w:val="both"/>
        <w:rPr>
          <w:rFonts w:ascii="Verdana" w:hAnsi="Verdana" w:cs="Arial"/>
          <w:color w:val="000000" w:themeColor="text1"/>
          <w:sz w:val="16"/>
          <w:szCs w:val="16"/>
          <w:lang w:val="es-ES"/>
        </w:rPr>
      </w:pPr>
      <w:r w:rsidRPr="006C6F13">
        <w:rPr>
          <w:rStyle w:val="Refdenotaalpie"/>
          <w:rFonts w:ascii="Verdana" w:hAnsi="Verdana" w:cs="Arial"/>
          <w:sz w:val="16"/>
          <w:szCs w:val="16"/>
        </w:rPr>
        <w:footnoteRef/>
      </w:r>
      <w:r w:rsidRPr="006C6F13">
        <w:rPr>
          <w:rFonts w:ascii="Verdana" w:hAnsi="Verdana" w:cs="Arial"/>
          <w:color w:val="000000" w:themeColor="text1"/>
          <w:sz w:val="16"/>
          <w:szCs w:val="16"/>
        </w:rPr>
        <w:t xml:space="preserve"> Según este artículo: </w:t>
      </w:r>
      <w:r>
        <w:rPr>
          <w:rFonts w:ascii="Verdana" w:hAnsi="Verdana" w:cs="Arial"/>
          <w:color w:val="000000" w:themeColor="text1"/>
          <w:sz w:val="16"/>
          <w:szCs w:val="16"/>
          <w:lang w:val="es-ES"/>
        </w:rPr>
        <w:t>“</w:t>
      </w:r>
      <w:r w:rsidRPr="006C6F13">
        <w:rPr>
          <w:rFonts w:ascii="Verdana" w:hAnsi="Verdana" w:cs="Arial"/>
          <w:color w:val="000000" w:themeColor="text1"/>
          <w:sz w:val="16"/>
          <w:szCs w:val="16"/>
          <w:lang w:val="es-ES"/>
        </w:rPr>
        <w:t>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648AEF81" w14:textId="77777777" w:rsidR="0047433B" w:rsidRPr="006C6F13" w:rsidRDefault="0047433B" w:rsidP="0047433B">
      <w:pPr>
        <w:pStyle w:val="Textonotapie"/>
        <w:snapToGrid w:val="0"/>
        <w:ind w:firstLine="709"/>
        <w:contextualSpacing/>
        <w:jc w:val="both"/>
        <w:rPr>
          <w:rFonts w:ascii="Verdana" w:hAnsi="Verdana" w:cs="Arial"/>
          <w:color w:val="000000" w:themeColor="text1"/>
          <w:sz w:val="16"/>
          <w:szCs w:val="16"/>
          <w:lang w:val="es-ES"/>
        </w:rPr>
      </w:pPr>
      <w:r w:rsidRPr="006C6F13">
        <w:rPr>
          <w:rFonts w:ascii="Verdana" w:hAnsi="Verdana" w:cs="Arial"/>
          <w:color w:val="000000" w:themeColor="text1"/>
          <w:sz w:val="16"/>
          <w:szCs w:val="16"/>
          <w:lang w:val="es-ES"/>
        </w:rPr>
        <w:t>Son también contratos de consultoría los que tienen por objeto la interventoría, asesoría, gerencia de obra o de proyectos, dirección, programación y la ejecución de diseños, planos, anteproyectos y proyectos.</w:t>
      </w:r>
    </w:p>
    <w:p w14:paraId="41131B41" w14:textId="77777777" w:rsidR="0047433B" w:rsidRPr="006C6F13" w:rsidRDefault="0047433B" w:rsidP="0047433B">
      <w:pPr>
        <w:pStyle w:val="Textonotapie"/>
        <w:snapToGrid w:val="0"/>
        <w:ind w:firstLine="709"/>
        <w:contextualSpacing/>
        <w:jc w:val="both"/>
        <w:rPr>
          <w:rFonts w:ascii="Verdana" w:hAnsi="Verdana" w:cs="Arial"/>
          <w:color w:val="000000" w:themeColor="text1"/>
          <w:sz w:val="16"/>
          <w:szCs w:val="16"/>
          <w:lang w:val="es-ES"/>
        </w:rPr>
      </w:pPr>
      <w:r w:rsidRPr="006C6F13">
        <w:rPr>
          <w:rFonts w:ascii="Verdana" w:hAnsi="Verdana" w:cs="Arial"/>
          <w:color w:val="000000" w:themeColor="text1"/>
          <w:sz w:val="16"/>
          <w:szCs w:val="16"/>
          <w:lang w:val="es-ES"/>
        </w:rPr>
        <w:t>Ninguna orden del interventor de una obra podrá darse verbalmente. Es obligatorio para el interventor entregar por escrito sus órdenes o sugerencias y ellas deben enmarcarse dentro de los términos del respectivo contrato</w:t>
      </w:r>
      <w:r>
        <w:rPr>
          <w:rFonts w:ascii="Verdana" w:hAnsi="Verdana" w:cs="Arial"/>
          <w:color w:val="000000" w:themeColor="text1"/>
          <w:sz w:val="16"/>
          <w:szCs w:val="16"/>
          <w:lang w:val="es-ES"/>
        </w:rPr>
        <w:t>”</w:t>
      </w:r>
      <w:r w:rsidRPr="006C6F13">
        <w:rPr>
          <w:rFonts w:ascii="Verdana" w:hAnsi="Verdana" w:cs="Arial"/>
          <w:color w:val="000000" w:themeColor="text1"/>
          <w:sz w:val="16"/>
          <w:szCs w:val="16"/>
          <w:lang w:val="es-ES"/>
        </w:rPr>
        <w:t>.</w:t>
      </w:r>
    </w:p>
    <w:p w14:paraId="15095BF7" w14:textId="77777777" w:rsidR="0047433B" w:rsidRPr="006C6F13" w:rsidRDefault="0047433B" w:rsidP="0047433B">
      <w:pPr>
        <w:pStyle w:val="Textonotapie"/>
        <w:snapToGrid w:val="0"/>
        <w:ind w:firstLine="709"/>
        <w:contextualSpacing/>
        <w:jc w:val="both"/>
        <w:rPr>
          <w:rFonts w:ascii="Verdana" w:hAnsi="Verdana" w:cs="Arial"/>
          <w:color w:val="000000" w:themeColor="text1"/>
          <w:sz w:val="16"/>
          <w:szCs w:val="16"/>
          <w:lang w:val="es-ES"/>
        </w:rPr>
      </w:pPr>
    </w:p>
  </w:footnote>
  <w:footnote w:id="9">
    <w:p w14:paraId="2319D3EC" w14:textId="77777777" w:rsidR="0047433B" w:rsidRPr="006C6F13" w:rsidRDefault="0047433B" w:rsidP="0047433B">
      <w:pPr>
        <w:snapToGrid w:val="0"/>
        <w:spacing w:after="0" w:line="240" w:lineRule="auto"/>
        <w:ind w:firstLine="707"/>
        <w:contextualSpacing/>
        <w:jc w:val="both"/>
        <w:rPr>
          <w:rFonts w:ascii="Verdana" w:hAnsi="Verdana" w:cs="Arial"/>
          <w:sz w:val="16"/>
          <w:szCs w:val="16"/>
        </w:rPr>
      </w:pPr>
      <w:r w:rsidRPr="006C6F13">
        <w:rPr>
          <w:rFonts w:ascii="Verdana" w:hAnsi="Verdana" w:cs="Arial"/>
          <w:sz w:val="16"/>
          <w:szCs w:val="16"/>
          <w:vertAlign w:val="superscript"/>
        </w:rPr>
        <w:footnoteRef/>
      </w:r>
      <w:r w:rsidRPr="006C6F13">
        <w:rPr>
          <w:rFonts w:ascii="Verdana" w:eastAsia="Arial" w:hAnsi="Verdana" w:cs="Arial"/>
          <w:color w:val="000000"/>
          <w:sz w:val="16"/>
          <w:szCs w:val="16"/>
        </w:rPr>
        <w:t xml:space="preserve"> No existe pluralidad de oferentes cuando sólo hay una persona que pueda proveer el bien o servicio, bien sea por ser el titular de los derechos de propiedad industrial o de los derechos de autor, bien sea por ser el proveedor exclusivo en el territorio nacional, de conformidad con el artículo 2.2.1.2.1.4.8 del Decreto 1082 de 2015.</w:t>
      </w:r>
    </w:p>
  </w:footnote>
  <w:footnote w:id="10">
    <w:p w14:paraId="30E3B943" w14:textId="77777777" w:rsidR="0047433B" w:rsidRPr="006C6F13" w:rsidRDefault="0047433B" w:rsidP="0047433B">
      <w:pPr>
        <w:snapToGrid w:val="0"/>
        <w:spacing w:after="0" w:line="240" w:lineRule="auto"/>
        <w:ind w:firstLine="707"/>
        <w:contextualSpacing/>
        <w:jc w:val="both"/>
        <w:rPr>
          <w:rFonts w:ascii="Verdana" w:hAnsi="Verdana" w:cs="Arial"/>
          <w:sz w:val="16"/>
          <w:szCs w:val="16"/>
        </w:rPr>
      </w:pPr>
      <w:r w:rsidRPr="006C6F13">
        <w:rPr>
          <w:rFonts w:ascii="Verdana" w:hAnsi="Verdana" w:cs="Arial"/>
          <w:sz w:val="16"/>
          <w:szCs w:val="16"/>
          <w:vertAlign w:val="superscript"/>
        </w:rPr>
        <w:footnoteRef/>
      </w:r>
      <w:r w:rsidRPr="006C6F13">
        <w:rPr>
          <w:rFonts w:ascii="Verdana" w:eastAsia="Arial" w:hAnsi="Verdana" w:cs="Arial"/>
          <w:color w:val="000000"/>
          <w:sz w:val="16"/>
          <w:szCs w:val="16"/>
        </w:rPr>
        <w:t xml:space="preserve"> Los contratos de prestación de servicios profesionales y de apoyo a la gestión son aquellos de naturaleza intelectual que se derivan del cumplimiento de funciones de la Administración, como los relacionados con actividades operativas, logísticas o asistenciales, de conformidad con el artículo 2.2.1.2.1.4.9 del Decreto 1082 de 2015.</w:t>
      </w:r>
    </w:p>
  </w:footnote>
  <w:footnote w:id="11">
    <w:p w14:paraId="2B46FF7B" w14:textId="77777777" w:rsidR="0047433B" w:rsidRPr="006C6F13" w:rsidRDefault="0047433B" w:rsidP="0047433B">
      <w:pPr>
        <w:pBdr>
          <w:top w:val="nil"/>
          <w:left w:val="nil"/>
          <w:bottom w:val="nil"/>
          <w:right w:val="nil"/>
          <w:between w:val="nil"/>
        </w:pBdr>
        <w:snapToGrid w:val="0"/>
        <w:spacing w:after="0" w:line="240" w:lineRule="auto"/>
        <w:ind w:firstLine="707"/>
        <w:contextualSpacing/>
        <w:jc w:val="both"/>
        <w:rPr>
          <w:rFonts w:ascii="Verdana" w:hAnsi="Verdana" w:cs="Arial"/>
          <w:color w:val="000000"/>
          <w:sz w:val="16"/>
          <w:szCs w:val="16"/>
        </w:rPr>
      </w:pPr>
      <w:r w:rsidRPr="006C6F13">
        <w:rPr>
          <w:rFonts w:ascii="Verdana" w:hAnsi="Verdana" w:cs="Arial"/>
          <w:sz w:val="16"/>
          <w:szCs w:val="16"/>
          <w:vertAlign w:val="superscript"/>
        </w:rPr>
        <w:footnoteRef/>
      </w:r>
      <w:r w:rsidRPr="006C6F13">
        <w:rPr>
          <w:rFonts w:ascii="Verdana" w:hAnsi="Verdana" w:cs="Arial"/>
          <w:color w:val="000000"/>
          <w:sz w:val="16"/>
          <w:szCs w:val="16"/>
        </w:rPr>
        <w:t xml:space="preserve"> Las </w:t>
      </w:r>
      <w:r>
        <w:rPr>
          <w:rFonts w:ascii="Verdana" w:hAnsi="Verdana" w:cs="Arial"/>
          <w:color w:val="000000"/>
          <w:sz w:val="16"/>
          <w:szCs w:val="16"/>
        </w:rPr>
        <w:t>tres</w:t>
      </w:r>
      <w:r w:rsidRPr="006C6F13">
        <w:rPr>
          <w:rFonts w:ascii="Verdana" w:hAnsi="Verdana" w:cs="Arial"/>
          <w:color w:val="000000"/>
          <w:sz w:val="16"/>
          <w:szCs w:val="16"/>
        </w:rPr>
        <w:t xml:space="preserve"> últimas causales fueron creadas por la Ley 2160 del 25 de noviembre de 2021.</w:t>
      </w:r>
    </w:p>
  </w:footnote>
  <w:footnote w:id="12">
    <w:p w14:paraId="43FB54B6" w14:textId="77777777" w:rsidR="008D378B" w:rsidRPr="00E17F16" w:rsidRDefault="008D378B" w:rsidP="008D378B">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E17F16">
        <w:rPr>
          <w:rFonts w:ascii="Verdana" w:hAnsi="Verdana" w:cs="Arial"/>
          <w:sz w:val="16"/>
          <w:szCs w:val="16"/>
          <w:vertAlign w:val="superscript"/>
        </w:rPr>
        <w:footnoteRef/>
      </w:r>
      <w:r w:rsidRPr="00E17F16">
        <w:rPr>
          <w:rFonts w:ascii="Verdana" w:eastAsia="Arial" w:hAnsi="Verdana" w:cs="Arial"/>
          <w:color w:val="000000"/>
          <w:sz w:val="16"/>
          <w:szCs w:val="16"/>
        </w:rPr>
        <w:t xml:space="preserve"> Al respecto, conviene recordar el artículo 29 de la Ley 80 de 1993, derogado por el artículo 32 de la Ley 1150 de 2007, que establecía: “La selección de contratistas será objetiva.</w:t>
      </w:r>
    </w:p>
    <w:p w14:paraId="1BED913A" w14:textId="77777777" w:rsidR="008D378B" w:rsidRPr="00E17F16" w:rsidRDefault="008D378B" w:rsidP="008D378B">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E17F16">
        <w:rPr>
          <w:rFonts w:ascii="Verdana" w:eastAsia="Arial" w:hAnsi="Verdana" w:cs="Arial"/>
          <w:color w:val="000000"/>
          <w:sz w:val="16"/>
          <w:szCs w:val="16"/>
        </w:rPr>
        <w:t>Es objetiva la selección en la cual la escogencia se hace al ofrecimiento más favorable a la entidad y a los fines que ella busca, sin tener en consideración factores de afecto o de interés y, en general, cualquier clase de motivación subjetiva.</w:t>
      </w:r>
    </w:p>
    <w:p w14:paraId="03E92003" w14:textId="77777777" w:rsidR="008D378B" w:rsidRPr="00E17F16" w:rsidRDefault="008D378B" w:rsidP="008D378B">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E17F16">
        <w:rPr>
          <w:rFonts w:ascii="Verdana" w:eastAsia="Arial" w:hAnsi="Verdana" w:cs="Arial"/>
          <w:color w:val="000000"/>
          <w:sz w:val="16"/>
          <w:szCs w:val="16"/>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w:t>
      </w:r>
    </w:p>
    <w:p w14:paraId="217DC093" w14:textId="77777777" w:rsidR="008D378B" w:rsidRPr="00E17F16" w:rsidRDefault="008D378B" w:rsidP="008D378B">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E17F16">
        <w:rPr>
          <w:rFonts w:ascii="Verdana" w:eastAsia="Arial" w:hAnsi="Verdana" w:cs="Arial"/>
          <w:color w:val="000000"/>
          <w:sz w:val="16"/>
          <w:szCs w:val="16"/>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14:paraId="705184B1" w14:textId="77777777" w:rsidR="008D378B" w:rsidRPr="00E42471" w:rsidRDefault="008D378B" w:rsidP="008D378B">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E17F16">
        <w:rPr>
          <w:rFonts w:ascii="Verdana" w:eastAsia="Arial" w:hAnsi="Verdana" w:cs="Arial"/>
          <w:color w:val="000000"/>
          <w:sz w:val="16"/>
          <w:szCs w:val="16"/>
        </w:rPr>
        <w:t>En caso de comparación de propuestas nacionales y extranjeras, se incluirán los costos necesarios para la entrega del producto terminado en el lugar de su utilización”.</w:t>
      </w:r>
    </w:p>
  </w:footnote>
  <w:footnote w:id="13">
    <w:p w14:paraId="025C6A79" w14:textId="77777777" w:rsidR="008D378B" w:rsidRPr="00E17F16" w:rsidRDefault="008D378B" w:rsidP="008D378B">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E17F16">
        <w:rPr>
          <w:rFonts w:ascii="Verdana" w:hAnsi="Verdana" w:cs="Arial"/>
          <w:sz w:val="16"/>
          <w:szCs w:val="16"/>
          <w:vertAlign w:val="superscript"/>
        </w:rPr>
        <w:footnoteRef/>
      </w:r>
      <w:r w:rsidRPr="00E17F16">
        <w:rPr>
          <w:rFonts w:ascii="Verdana" w:eastAsia="Arial" w:hAnsi="Verdana" w:cs="Arial"/>
          <w:color w:val="000000"/>
          <w:sz w:val="16"/>
          <w:szCs w:val="16"/>
        </w:rPr>
        <w:t xml:space="preserve"> DÁVILA VINUEZA, Luis Guillermo. Régimen jurídico de la contratación estatal. Tercera edición, Bogotá: Legis, 2016. p. 355.</w:t>
      </w:r>
    </w:p>
  </w:footnote>
  <w:footnote w:id="14">
    <w:p w14:paraId="2E6D544A" w14:textId="77777777" w:rsidR="008D378B" w:rsidRPr="00E17F16" w:rsidRDefault="008D378B" w:rsidP="008D378B">
      <w:pPr>
        <w:pBdr>
          <w:top w:val="nil"/>
          <w:left w:val="nil"/>
          <w:bottom w:val="nil"/>
          <w:right w:val="nil"/>
          <w:between w:val="nil"/>
        </w:pBdr>
        <w:spacing w:after="120" w:line="240" w:lineRule="auto"/>
        <w:ind w:firstLine="709"/>
        <w:jc w:val="both"/>
        <w:rPr>
          <w:rFonts w:ascii="Verdana" w:eastAsia="Arial" w:hAnsi="Verdana" w:cs="Arial"/>
          <w:color w:val="000000"/>
          <w:sz w:val="16"/>
          <w:szCs w:val="16"/>
        </w:rPr>
      </w:pPr>
      <w:r w:rsidRPr="00E17F16">
        <w:rPr>
          <w:rFonts w:ascii="Verdana" w:hAnsi="Verdana" w:cs="Arial"/>
          <w:sz w:val="16"/>
          <w:szCs w:val="16"/>
          <w:vertAlign w:val="superscript"/>
        </w:rPr>
        <w:footnoteRef/>
      </w:r>
      <w:r w:rsidRPr="00E17F16">
        <w:rPr>
          <w:rFonts w:ascii="Verdana" w:eastAsia="Arial" w:hAnsi="Verdana" w:cs="Arial"/>
          <w:color w:val="000000"/>
          <w:sz w:val="16"/>
          <w:szCs w:val="16"/>
        </w:rPr>
        <w:t xml:space="preserve"> RODRÍGUEZ TAMAYO, Mauricio F. Evaluación y rechazo de ofertas en la Ley 80 de 1993. Primera edición. Medellín: Librería Jurídica Sánchez, 2016. pp. 110-111.</w:t>
      </w:r>
    </w:p>
  </w:footnote>
  <w:footnote w:id="15">
    <w:p w14:paraId="3347546E" w14:textId="77777777" w:rsidR="008D378B" w:rsidRPr="00E42471" w:rsidRDefault="008D378B" w:rsidP="008D378B">
      <w:pPr>
        <w:pBdr>
          <w:top w:val="nil"/>
          <w:left w:val="nil"/>
          <w:bottom w:val="nil"/>
          <w:right w:val="nil"/>
          <w:between w:val="nil"/>
        </w:pBdr>
        <w:spacing w:after="120" w:line="240" w:lineRule="auto"/>
        <w:ind w:firstLine="709"/>
        <w:jc w:val="both"/>
        <w:rPr>
          <w:rFonts w:ascii="Verdana" w:eastAsia="Arial" w:hAnsi="Verdana" w:cs="Arial"/>
          <w:color w:val="000000"/>
          <w:sz w:val="16"/>
          <w:szCs w:val="16"/>
        </w:rPr>
      </w:pPr>
      <w:r w:rsidRPr="00E17F16">
        <w:rPr>
          <w:rFonts w:ascii="Verdana" w:hAnsi="Verdana" w:cs="Arial"/>
          <w:sz w:val="16"/>
          <w:szCs w:val="16"/>
          <w:vertAlign w:val="superscript"/>
        </w:rPr>
        <w:footnoteRef/>
      </w:r>
      <w:r w:rsidRPr="00E17F16">
        <w:rPr>
          <w:rFonts w:ascii="Verdana" w:eastAsia="Arial" w:hAnsi="Verdana" w:cs="Arial"/>
          <w:color w:val="000000"/>
          <w:sz w:val="16"/>
          <w:szCs w:val="16"/>
        </w:rPr>
        <w:t xml:space="preserve"> EXPÓSITO VELEZ, Juan C., El deber de selección objetiva, en: Del contrato estatal a los sistemas de compras públicas, por COVILLA MARTINEZ Juan C. y LOZANO VILLEGAS Germán (Eds.). Universidad Externado de Colombia, Bogotá, 2019. págs. 118-184.</w:t>
      </w:r>
    </w:p>
  </w:footnote>
  <w:footnote w:id="16">
    <w:p w14:paraId="527EDD9F" w14:textId="77777777" w:rsidR="008D378B" w:rsidRPr="00E42471" w:rsidRDefault="008D378B" w:rsidP="008D378B">
      <w:pPr>
        <w:pBdr>
          <w:top w:val="nil"/>
          <w:left w:val="nil"/>
          <w:bottom w:val="nil"/>
          <w:right w:val="nil"/>
          <w:between w:val="nil"/>
        </w:pBdr>
        <w:spacing w:after="120" w:line="240" w:lineRule="auto"/>
        <w:ind w:firstLine="709"/>
        <w:jc w:val="both"/>
        <w:rPr>
          <w:rFonts w:ascii="Verdana" w:eastAsia="Arial" w:hAnsi="Verdana" w:cs="Arial"/>
          <w:color w:val="000000"/>
          <w:sz w:val="16"/>
          <w:szCs w:val="16"/>
        </w:rPr>
      </w:pPr>
      <w:r w:rsidRPr="00E17F16">
        <w:rPr>
          <w:rFonts w:ascii="Verdana" w:hAnsi="Verdana" w:cs="Arial"/>
          <w:sz w:val="16"/>
          <w:szCs w:val="16"/>
          <w:vertAlign w:val="superscript"/>
        </w:rPr>
        <w:footnoteRef/>
      </w:r>
      <w:r w:rsidRPr="00E17F16">
        <w:rPr>
          <w:rFonts w:ascii="Verdana" w:eastAsia="Arial" w:hAnsi="Verdana" w:cs="Arial"/>
          <w:i/>
          <w:color w:val="000000"/>
          <w:sz w:val="16"/>
          <w:szCs w:val="16"/>
        </w:rPr>
        <w:t xml:space="preserve"> Ib</w:t>
      </w:r>
      <w:r>
        <w:rPr>
          <w:rFonts w:ascii="Verdana" w:eastAsia="Arial" w:hAnsi="Verdana" w:cs="Arial"/>
          <w:i/>
          <w:color w:val="000000"/>
          <w:sz w:val="16"/>
          <w:szCs w:val="16"/>
        </w:rPr>
        <w:t>id.</w:t>
      </w:r>
    </w:p>
  </w:footnote>
  <w:footnote w:id="17">
    <w:p w14:paraId="6808F88C" w14:textId="77777777" w:rsidR="008D378B" w:rsidRPr="00E17F16" w:rsidRDefault="008D378B" w:rsidP="008D378B">
      <w:pPr>
        <w:pStyle w:val="Textonotapie"/>
        <w:ind w:firstLine="708"/>
        <w:jc w:val="both"/>
        <w:rPr>
          <w:rFonts w:ascii="Verdana" w:hAnsi="Verdana"/>
          <w:sz w:val="16"/>
          <w:szCs w:val="16"/>
        </w:rPr>
      </w:pPr>
    </w:p>
    <w:p w14:paraId="3B340041" w14:textId="77777777" w:rsidR="008D378B" w:rsidRPr="00E17F16" w:rsidRDefault="008D378B" w:rsidP="008D378B">
      <w:pPr>
        <w:pStyle w:val="Textonotapie"/>
        <w:ind w:firstLine="708"/>
        <w:jc w:val="both"/>
        <w:rPr>
          <w:rFonts w:ascii="Verdana" w:hAnsi="Verdana"/>
          <w:sz w:val="16"/>
          <w:szCs w:val="16"/>
        </w:rPr>
      </w:pPr>
      <w:r w:rsidRPr="00E17F16">
        <w:rPr>
          <w:rStyle w:val="Refdenotaalpie"/>
          <w:rFonts w:ascii="Verdana" w:hAnsi="Verdana"/>
          <w:sz w:val="16"/>
          <w:szCs w:val="16"/>
        </w:rPr>
        <w:footnoteRef/>
      </w:r>
      <w:r w:rsidRPr="00E17F16">
        <w:rPr>
          <w:rFonts w:ascii="Verdana" w:hAnsi="Verdana"/>
          <w:sz w:val="16"/>
          <w:szCs w:val="16"/>
        </w:rPr>
        <w:t xml:space="preserve"> Decreto 1082 de 2015: “Artículo 2.2.1.1.2.2.2. Ofrecimiento más favorable. La Entidad Estatal debe determinar la oferta más favorable teniendo en cuenta las normas aplicables a cada modalidad de selección del contratista.</w:t>
      </w:r>
    </w:p>
    <w:p w14:paraId="54FA9EF2" w14:textId="77777777" w:rsidR="008D378B" w:rsidRPr="00E17F16" w:rsidRDefault="008D378B" w:rsidP="008D378B">
      <w:pPr>
        <w:pStyle w:val="Textonotapie"/>
        <w:ind w:firstLine="708"/>
        <w:jc w:val="both"/>
        <w:rPr>
          <w:rFonts w:ascii="Verdana" w:hAnsi="Verdana"/>
          <w:sz w:val="16"/>
          <w:szCs w:val="16"/>
        </w:rPr>
      </w:pPr>
      <w:r w:rsidRPr="00E17F16">
        <w:rPr>
          <w:rFonts w:ascii="Verdana" w:hAnsi="Verdana"/>
          <w:sz w:val="16"/>
          <w:szCs w:val="16"/>
        </w:rPr>
        <w:t>En la licitación y la selección abreviada de menor cuantía, la Entidad Estatal debe determinar la oferta más favorable teniendo en cuenta: (a) la ponderación de los elementos de calidad y precio soportados en puntajes o fórmulas; o (b) la ponderación de los elementos de calidad y precio que representen la mejor relación de costo-beneficio.</w:t>
      </w:r>
    </w:p>
    <w:p w14:paraId="2DB081E2" w14:textId="77777777" w:rsidR="008D378B" w:rsidRPr="00E17F16" w:rsidRDefault="008D378B" w:rsidP="008D378B">
      <w:pPr>
        <w:pStyle w:val="Textonotapie"/>
        <w:ind w:firstLine="708"/>
        <w:jc w:val="both"/>
        <w:rPr>
          <w:rFonts w:ascii="Verdana" w:hAnsi="Verdana"/>
          <w:sz w:val="16"/>
          <w:szCs w:val="16"/>
        </w:rPr>
      </w:pPr>
      <w:r w:rsidRPr="00E17F16">
        <w:rPr>
          <w:rFonts w:ascii="Verdana" w:hAnsi="Verdana"/>
          <w:sz w:val="16"/>
          <w:szCs w:val="16"/>
        </w:rPr>
        <w:t>[…]</w:t>
      </w:r>
    </w:p>
    <w:p w14:paraId="67737804" w14:textId="77777777" w:rsidR="008D378B" w:rsidRPr="00E17F16" w:rsidRDefault="008D378B" w:rsidP="008D378B">
      <w:pPr>
        <w:pStyle w:val="Textonotapie"/>
        <w:ind w:firstLine="708"/>
        <w:jc w:val="both"/>
        <w:rPr>
          <w:rFonts w:ascii="Verdana" w:hAnsi="Verdana"/>
          <w:sz w:val="16"/>
          <w:szCs w:val="16"/>
        </w:rPr>
      </w:pPr>
      <w:r w:rsidRPr="00E17F16">
        <w:rPr>
          <w:rFonts w:ascii="Verdana" w:hAnsi="Verdana"/>
          <w:sz w:val="16"/>
          <w:szCs w:val="16"/>
        </w:rPr>
        <w:t>Parágrafo. Los criterios de calidad para evaluar la mejor relación calidad-precio podrán incluir criterios ambientales o sociales vinculados al objeto del contrato.</w:t>
      </w:r>
    </w:p>
    <w:p w14:paraId="53D02524" w14:textId="77777777" w:rsidR="008D378B" w:rsidRPr="00E17F16" w:rsidRDefault="008D378B" w:rsidP="008D378B">
      <w:pPr>
        <w:pStyle w:val="Textonotapie"/>
        <w:ind w:firstLine="708"/>
        <w:jc w:val="both"/>
        <w:rPr>
          <w:rFonts w:ascii="Verdana" w:hAnsi="Verdana"/>
          <w:sz w:val="16"/>
          <w:szCs w:val="16"/>
        </w:rPr>
      </w:pPr>
      <w:r w:rsidRPr="00E17F16">
        <w:rPr>
          <w:rFonts w:ascii="Verdana" w:hAnsi="Verdana"/>
          <w:sz w:val="16"/>
          <w:szCs w:val="16"/>
        </w:rPr>
        <w:t>Los criterios ambientales podrán referirse, entre otras, a variables como la reducción del nivel de emisión de gases de efecto invernadero; el empleo de medidas de eficiencia energética y la utilización de energía procedente de fuentes renovables durante la ejecución del contrato.</w:t>
      </w:r>
    </w:p>
    <w:p w14:paraId="732DC14C" w14:textId="77777777" w:rsidR="008D378B" w:rsidRPr="00E17F16" w:rsidRDefault="008D378B" w:rsidP="008D378B">
      <w:pPr>
        <w:pStyle w:val="Textonotapie"/>
        <w:ind w:firstLine="708"/>
        <w:jc w:val="both"/>
        <w:rPr>
          <w:rFonts w:ascii="Verdana" w:hAnsi="Verdana"/>
          <w:sz w:val="16"/>
          <w:szCs w:val="16"/>
        </w:rPr>
      </w:pPr>
      <w:r w:rsidRPr="00E17F16">
        <w:rPr>
          <w:rFonts w:ascii="Verdana" w:hAnsi="Verdana"/>
          <w:sz w:val="16"/>
          <w:szCs w:val="16"/>
        </w:rPr>
        <w:t>Los criterios sociales se referirán, entre otras, a las siguientes finalidades: fomento de la integración social de personas con discapacidad, inclusión de personas pertenecientes a grupos vulnerables en la ejecución del contrato y, en general, la inserción sociolaboral de personas en situación de riesgo de exclusión social y la eliminación de criterios sospechosos de discriminación; el fomento de la contratación femenina o población LGTBIQ+; madres cabeza de hogar; personas que no cuenten con cualificaciones educativas de formación secundaria o profesional superior,; víctimas del conflicto armado; criterios referidos al suministro o a la utilización de productos basados en un comercio justo durante la ejecución del contrato, en los términos definidos por el artículo 4° de la Ley 2046 de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5pt;height:15.6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3D42B6C"/>
    <w:multiLevelType w:val="hybridMultilevel"/>
    <w:tmpl w:val="D292DB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9D66113"/>
    <w:multiLevelType w:val="hybridMultilevel"/>
    <w:tmpl w:val="D292DB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6"/>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1"/>
  </w:num>
  <w:num w:numId="13" w16cid:durableId="1512908409">
    <w:abstractNumId w:val="4"/>
  </w:num>
  <w:num w:numId="14" w16cid:durableId="895897244">
    <w:abstractNumId w:val="16"/>
  </w:num>
  <w:num w:numId="15" w16cid:durableId="390349800">
    <w:abstractNumId w:val="12"/>
  </w:num>
  <w:num w:numId="16" w16cid:durableId="341274352">
    <w:abstractNumId w:val="0"/>
  </w:num>
  <w:num w:numId="17" w16cid:durableId="679089576">
    <w:abstractNumId w:val="10"/>
  </w:num>
  <w:num w:numId="18" w16cid:durableId="2025326045">
    <w:abstractNumId w:val="3"/>
  </w:num>
  <w:num w:numId="19" w16cid:durableId="1612085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36E2"/>
    <w:rsid w:val="00016AA0"/>
    <w:rsid w:val="00016F78"/>
    <w:rsid w:val="00025436"/>
    <w:rsid w:val="00027A95"/>
    <w:rsid w:val="00036A0F"/>
    <w:rsid w:val="00044408"/>
    <w:rsid w:val="00046945"/>
    <w:rsid w:val="0005086E"/>
    <w:rsid w:val="00060A4B"/>
    <w:rsid w:val="00061B2A"/>
    <w:rsid w:val="00065E01"/>
    <w:rsid w:val="00082351"/>
    <w:rsid w:val="00082362"/>
    <w:rsid w:val="000935CD"/>
    <w:rsid w:val="000A4D8B"/>
    <w:rsid w:val="000A683E"/>
    <w:rsid w:val="000B19B9"/>
    <w:rsid w:val="000B7BB2"/>
    <w:rsid w:val="000B7E94"/>
    <w:rsid w:val="000C11E4"/>
    <w:rsid w:val="000C71CF"/>
    <w:rsid w:val="000D0334"/>
    <w:rsid w:val="000D5818"/>
    <w:rsid w:val="000F36A8"/>
    <w:rsid w:val="000F6486"/>
    <w:rsid w:val="00106DD9"/>
    <w:rsid w:val="00107078"/>
    <w:rsid w:val="00107BC1"/>
    <w:rsid w:val="00125105"/>
    <w:rsid w:val="00127233"/>
    <w:rsid w:val="001511A0"/>
    <w:rsid w:val="00151F9C"/>
    <w:rsid w:val="0015786E"/>
    <w:rsid w:val="001640BB"/>
    <w:rsid w:val="00164FDA"/>
    <w:rsid w:val="00170D29"/>
    <w:rsid w:val="00172231"/>
    <w:rsid w:val="00175AE3"/>
    <w:rsid w:val="00182C00"/>
    <w:rsid w:val="001831E4"/>
    <w:rsid w:val="00190A29"/>
    <w:rsid w:val="00194A27"/>
    <w:rsid w:val="001B22CB"/>
    <w:rsid w:val="001B6370"/>
    <w:rsid w:val="001C1B6A"/>
    <w:rsid w:val="001C42F4"/>
    <w:rsid w:val="001E02B0"/>
    <w:rsid w:val="001E4177"/>
    <w:rsid w:val="001F7DC6"/>
    <w:rsid w:val="00213EE5"/>
    <w:rsid w:val="002421BB"/>
    <w:rsid w:val="002463FD"/>
    <w:rsid w:val="00251201"/>
    <w:rsid w:val="0025796E"/>
    <w:rsid w:val="002707A2"/>
    <w:rsid w:val="002757C8"/>
    <w:rsid w:val="00282155"/>
    <w:rsid w:val="00283126"/>
    <w:rsid w:val="002927CE"/>
    <w:rsid w:val="002951A0"/>
    <w:rsid w:val="002962BC"/>
    <w:rsid w:val="002A093D"/>
    <w:rsid w:val="002A0DD0"/>
    <w:rsid w:val="002A49AC"/>
    <w:rsid w:val="002A64FD"/>
    <w:rsid w:val="002B2496"/>
    <w:rsid w:val="002B470D"/>
    <w:rsid w:val="002C1FDD"/>
    <w:rsid w:val="002C41DD"/>
    <w:rsid w:val="002C797A"/>
    <w:rsid w:val="002C7A84"/>
    <w:rsid w:val="002D232F"/>
    <w:rsid w:val="002E4FD9"/>
    <w:rsid w:val="002F55A6"/>
    <w:rsid w:val="00303B07"/>
    <w:rsid w:val="00322A85"/>
    <w:rsid w:val="00324168"/>
    <w:rsid w:val="00334A43"/>
    <w:rsid w:val="00343411"/>
    <w:rsid w:val="003448F4"/>
    <w:rsid w:val="00361D27"/>
    <w:rsid w:val="00363B85"/>
    <w:rsid w:val="00366D65"/>
    <w:rsid w:val="003704E1"/>
    <w:rsid w:val="00372BAF"/>
    <w:rsid w:val="00373872"/>
    <w:rsid w:val="00374F5E"/>
    <w:rsid w:val="00377E3E"/>
    <w:rsid w:val="00384862"/>
    <w:rsid w:val="003A114B"/>
    <w:rsid w:val="003A3BDF"/>
    <w:rsid w:val="003A779E"/>
    <w:rsid w:val="003A7C89"/>
    <w:rsid w:val="003B6761"/>
    <w:rsid w:val="003C04FB"/>
    <w:rsid w:val="003D0F4D"/>
    <w:rsid w:val="003D31D0"/>
    <w:rsid w:val="003D5B0D"/>
    <w:rsid w:val="003E0499"/>
    <w:rsid w:val="003F1409"/>
    <w:rsid w:val="003F3941"/>
    <w:rsid w:val="003F46B4"/>
    <w:rsid w:val="00400077"/>
    <w:rsid w:val="00404A25"/>
    <w:rsid w:val="00406575"/>
    <w:rsid w:val="00410ED1"/>
    <w:rsid w:val="0041468A"/>
    <w:rsid w:val="00414C74"/>
    <w:rsid w:val="0042722E"/>
    <w:rsid w:val="0044528D"/>
    <w:rsid w:val="00450D23"/>
    <w:rsid w:val="00451EAB"/>
    <w:rsid w:val="00464E89"/>
    <w:rsid w:val="0047433B"/>
    <w:rsid w:val="00480BF1"/>
    <w:rsid w:val="004A1847"/>
    <w:rsid w:val="004A305D"/>
    <w:rsid w:val="004C0644"/>
    <w:rsid w:val="004D10D5"/>
    <w:rsid w:val="004E301A"/>
    <w:rsid w:val="004F1A97"/>
    <w:rsid w:val="004F2114"/>
    <w:rsid w:val="004F21C4"/>
    <w:rsid w:val="004F685F"/>
    <w:rsid w:val="00502693"/>
    <w:rsid w:val="00506B20"/>
    <w:rsid w:val="00510130"/>
    <w:rsid w:val="0051261C"/>
    <w:rsid w:val="005452EB"/>
    <w:rsid w:val="005566E8"/>
    <w:rsid w:val="00570AFE"/>
    <w:rsid w:val="00574867"/>
    <w:rsid w:val="00591460"/>
    <w:rsid w:val="005A4749"/>
    <w:rsid w:val="005A5974"/>
    <w:rsid w:val="005A5F76"/>
    <w:rsid w:val="005B3816"/>
    <w:rsid w:val="005B4C33"/>
    <w:rsid w:val="005C1E12"/>
    <w:rsid w:val="005C3777"/>
    <w:rsid w:val="005C5CDC"/>
    <w:rsid w:val="005D476C"/>
    <w:rsid w:val="005F219A"/>
    <w:rsid w:val="005F4E9F"/>
    <w:rsid w:val="005F4FF8"/>
    <w:rsid w:val="005F59D1"/>
    <w:rsid w:val="00607C32"/>
    <w:rsid w:val="00610CCB"/>
    <w:rsid w:val="006219F8"/>
    <w:rsid w:val="006317F8"/>
    <w:rsid w:val="006336F5"/>
    <w:rsid w:val="00635EF4"/>
    <w:rsid w:val="006636AA"/>
    <w:rsid w:val="00665D70"/>
    <w:rsid w:val="00666C5F"/>
    <w:rsid w:val="006702FD"/>
    <w:rsid w:val="00683891"/>
    <w:rsid w:val="0068555E"/>
    <w:rsid w:val="006900D9"/>
    <w:rsid w:val="00696A1E"/>
    <w:rsid w:val="006A0DDD"/>
    <w:rsid w:val="006A5883"/>
    <w:rsid w:val="006B4CBC"/>
    <w:rsid w:val="006C34AB"/>
    <w:rsid w:val="006E4151"/>
    <w:rsid w:val="006F7448"/>
    <w:rsid w:val="00706C16"/>
    <w:rsid w:val="0072491D"/>
    <w:rsid w:val="00736B9B"/>
    <w:rsid w:val="00753E81"/>
    <w:rsid w:val="00756841"/>
    <w:rsid w:val="007649AB"/>
    <w:rsid w:val="0076788D"/>
    <w:rsid w:val="00771D0C"/>
    <w:rsid w:val="007833AC"/>
    <w:rsid w:val="00787715"/>
    <w:rsid w:val="00794EB2"/>
    <w:rsid w:val="007B268C"/>
    <w:rsid w:val="007B7171"/>
    <w:rsid w:val="007C0C0F"/>
    <w:rsid w:val="007C1378"/>
    <w:rsid w:val="007C362A"/>
    <w:rsid w:val="007C3DC2"/>
    <w:rsid w:val="007D72FE"/>
    <w:rsid w:val="007E5497"/>
    <w:rsid w:val="00806F5F"/>
    <w:rsid w:val="008160F0"/>
    <w:rsid w:val="00820278"/>
    <w:rsid w:val="008276FE"/>
    <w:rsid w:val="0086091B"/>
    <w:rsid w:val="008652B5"/>
    <w:rsid w:val="00867512"/>
    <w:rsid w:val="00867F95"/>
    <w:rsid w:val="008843B6"/>
    <w:rsid w:val="00891928"/>
    <w:rsid w:val="008920AA"/>
    <w:rsid w:val="00893A2E"/>
    <w:rsid w:val="008951A8"/>
    <w:rsid w:val="00896FC2"/>
    <w:rsid w:val="008A0EA6"/>
    <w:rsid w:val="008A446D"/>
    <w:rsid w:val="008B4702"/>
    <w:rsid w:val="008C3FEC"/>
    <w:rsid w:val="008C58F0"/>
    <w:rsid w:val="008D180B"/>
    <w:rsid w:val="008D378B"/>
    <w:rsid w:val="008F0EA7"/>
    <w:rsid w:val="00910616"/>
    <w:rsid w:val="00923EEF"/>
    <w:rsid w:val="00934871"/>
    <w:rsid w:val="009419F9"/>
    <w:rsid w:val="00942922"/>
    <w:rsid w:val="00947382"/>
    <w:rsid w:val="0095685E"/>
    <w:rsid w:val="00956E3F"/>
    <w:rsid w:val="00957AAF"/>
    <w:rsid w:val="00961B09"/>
    <w:rsid w:val="00965334"/>
    <w:rsid w:val="0097093E"/>
    <w:rsid w:val="00986AC5"/>
    <w:rsid w:val="009A0DFA"/>
    <w:rsid w:val="009A5FE5"/>
    <w:rsid w:val="009B150D"/>
    <w:rsid w:val="009B2D26"/>
    <w:rsid w:val="009B5F42"/>
    <w:rsid w:val="009C71FA"/>
    <w:rsid w:val="009C72E7"/>
    <w:rsid w:val="009D3058"/>
    <w:rsid w:val="009D308D"/>
    <w:rsid w:val="009F3A13"/>
    <w:rsid w:val="00A122D3"/>
    <w:rsid w:val="00A17659"/>
    <w:rsid w:val="00A17F13"/>
    <w:rsid w:val="00A20739"/>
    <w:rsid w:val="00A33C78"/>
    <w:rsid w:val="00A61309"/>
    <w:rsid w:val="00A62DBB"/>
    <w:rsid w:val="00A747B9"/>
    <w:rsid w:val="00A90F24"/>
    <w:rsid w:val="00A92BAE"/>
    <w:rsid w:val="00AA06D0"/>
    <w:rsid w:val="00AA4EC4"/>
    <w:rsid w:val="00AB0ADB"/>
    <w:rsid w:val="00AB35A6"/>
    <w:rsid w:val="00AC35CC"/>
    <w:rsid w:val="00AC524F"/>
    <w:rsid w:val="00AC7079"/>
    <w:rsid w:val="00AD0753"/>
    <w:rsid w:val="00AE5746"/>
    <w:rsid w:val="00B01B1A"/>
    <w:rsid w:val="00B126CF"/>
    <w:rsid w:val="00B149BD"/>
    <w:rsid w:val="00B219A2"/>
    <w:rsid w:val="00B257B3"/>
    <w:rsid w:val="00B348E4"/>
    <w:rsid w:val="00B50EB0"/>
    <w:rsid w:val="00B66319"/>
    <w:rsid w:val="00B71411"/>
    <w:rsid w:val="00B72CD3"/>
    <w:rsid w:val="00B72FFF"/>
    <w:rsid w:val="00B73D8E"/>
    <w:rsid w:val="00BC3D36"/>
    <w:rsid w:val="00BC6B51"/>
    <w:rsid w:val="00BD7433"/>
    <w:rsid w:val="00BD7B3D"/>
    <w:rsid w:val="00BD7F72"/>
    <w:rsid w:val="00BE37F3"/>
    <w:rsid w:val="00BF53F6"/>
    <w:rsid w:val="00C04746"/>
    <w:rsid w:val="00C04FB3"/>
    <w:rsid w:val="00C330EB"/>
    <w:rsid w:val="00C41061"/>
    <w:rsid w:val="00C57CDC"/>
    <w:rsid w:val="00C60A20"/>
    <w:rsid w:val="00C70C2B"/>
    <w:rsid w:val="00C7188B"/>
    <w:rsid w:val="00C754BE"/>
    <w:rsid w:val="00C76B1C"/>
    <w:rsid w:val="00C81BE0"/>
    <w:rsid w:val="00CB23AF"/>
    <w:rsid w:val="00CB5E6C"/>
    <w:rsid w:val="00CB6357"/>
    <w:rsid w:val="00CC1B26"/>
    <w:rsid w:val="00CC3436"/>
    <w:rsid w:val="00CD61F3"/>
    <w:rsid w:val="00CF738B"/>
    <w:rsid w:val="00D20204"/>
    <w:rsid w:val="00D319EA"/>
    <w:rsid w:val="00D423A2"/>
    <w:rsid w:val="00D44572"/>
    <w:rsid w:val="00D520D8"/>
    <w:rsid w:val="00D63AC2"/>
    <w:rsid w:val="00D67131"/>
    <w:rsid w:val="00D7383B"/>
    <w:rsid w:val="00D75F94"/>
    <w:rsid w:val="00DA231B"/>
    <w:rsid w:val="00DB5907"/>
    <w:rsid w:val="00DC1FE7"/>
    <w:rsid w:val="00DC39FC"/>
    <w:rsid w:val="00DD15F6"/>
    <w:rsid w:val="00DD22F5"/>
    <w:rsid w:val="00DE2565"/>
    <w:rsid w:val="00DF5254"/>
    <w:rsid w:val="00E062E8"/>
    <w:rsid w:val="00E16408"/>
    <w:rsid w:val="00E20894"/>
    <w:rsid w:val="00E245AB"/>
    <w:rsid w:val="00E2764C"/>
    <w:rsid w:val="00E27BE5"/>
    <w:rsid w:val="00E27F2E"/>
    <w:rsid w:val="00E41EDC"/>
    <w:rsid w:val="00E421AF"/>
    <w:rsid w:val="00E43329"/>
    <w:rsid w:val="00E50AFE"/>
    <w:rsid w:val="00E7001D"/>
    <w:rsid w:val="00E75C92"/>
    <w:rsid w:val="00E771DC"/>
    <w:rsid w:val="00E841DF"/>
    <w:rsid w:val="00E8772A"/>
    <w:rsid w:val="00E90F6B"/>
    <w:rsid w:val="00E91791"/>
    <w:rsid w:val="00E92C27"/>
    <w:rsid w:val="00EA0E3D"/>
    <w:rsid w:val="00EA331B"/>
    <w:rsid w:val="00EB1A5E"/>
    <w:rsid w:val="00EB5761"/>
    <w:rsid w:val="00EC38A7"/>
    <w:rsid w:val="00EC6324"/>
    <w:rsid w:val="00ED5C81"/>
    <w:rsid w:val="00ED7384"/>
    <w:rsid w:val="00EE1AA8"/>
    <w:rsid w:val="00F0190F"/>
    <w:rsid w:val="00F146BC"/>
    <w:rsid w:val="00F17EAF"/>
    <w:rsid w:val="00F20E9D"/>
    <w:rsid w:val="00F31EDC"/>
    <w:rsid w:val="00F33E03"/>
    <w:rsid w:val="00F445F9"/>
    <w:rsid w:val="00F462B3"/>
    <w:rsid w:val="00F518B4"/>
    <w:rsid w:val="00F52236"/>
    <w:rsid w:val="00F5664F"/>
    <w:rsid w:val="00F56A30"/>
    <w:rsid w:val="00F666C4"/>
    <w:rsid w:val="00F702A9"/>
    <w:rsid w:val="00F76AFC"/>
    <w:rsid w:val="00F80985"/>
    <w:rsid w:val="00F87BF5"/>
    <w:rsid w:val="00FA082A"/>
    <w:rsid w:val="00FA47C0"/>
    <w:rsid w:val="00FA4C2A"/>
    <w:rsid w:val="00FA67F4"/>
    <w:rsid w:val="00FB2606"/>
    <w:rsid w:val="00FB5DD1"/>
    <w:rsid w:val="00FC2B5D"/>
    <w:rsid w:val="00FD4744"/>
    <w:rsid w:val="00FF019D"/>
    <w:rsid w:val="00FF1449"/>
    <w:rsid w:val="165E9519"/>
    <w:rsid w:val="382536D9"/>
    <w:rsid w:val="6EFDAB80"/>
    <w:rsid w:val="7B6AA7A6"/>
    <w:rsid w:val="7C1839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8771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87715"/>
    <w:rPr>
      <w:rFonts w:ascii="Geomanist Light" w:hAnsi="Geomanist Light"/>
      <w:lang w:val="es-ES"/>
    </w:rPr>
  </w:style>
  <w:style w:type="character" w:customStyle="1" w:styleId="NormalWebCar">
    <w:name w:val="Normal (Web) Car"/>
    <w:link w:val="NormalWeb"/>
    <w:uiPriority w:val="99"/>
    <w:rsid w:val="00787715"/>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366D65"/>
    <w:rPr>
      <w:sz w:val="16"/>
      <w:szCs w:val="16"/>
    </w:rPr>
  </w:style>
  <w:style w:type="paragraph" w:styleId="Textocomentario">
    <w:name w:val="annotation text"/>
    <w:basedOn w:val="Normal"/>
    <w:link w:val="TextocomentarioCar"/>
    <w:uiPriority w:val="99"/>
    <w:unhideWhenUsed/>
    <w:rsid w:val="00366D65"/>
    <w:pPr>
      <w:spacing w:line="240" w:lineRule="auto"/>
    </w:pPr>
    <w:rPr>
      <w:sz w:val="20"/>
      <w:szCs w:val="20"/>
    </w:rPr>
  </w:style>
  <w:style w:type="character" w:customStyle="1" w:styleId="TextocomentarioCar">
    <w:name w:val="Texto comentario Car"/>
    <w:basedOn w:val="Fuentedeprrafopredeter"/>
    <w:link w:val="Textocomentario"/>
    <w:uiPriority w:val="99"/>
    <w:rsid w:val="00366D65"/>
    <w:rPr>
      <w:sz w:val="20"/>
      <w:szCs w:val="20"/>
    </w:rPr>
  </w:style>
  <w:style w:type="paragraph" w:styleId="Asuntodelcomentario">
    <w:name w:val="annotation subject"/>
    <w:basedOn w:val="Textocomentario"/>
    <w:next w:val="Textocomentario"/>
    <w:link w:val="AsuntodelcomentarioCar"/>
    <w:uiPriority w:val="99"/>
    <w:semiHidden/>
    <w:unhideWhenUsed/>
    <w:rsid w:val="00366D65"/>
    <w:rPr>
      <w:b/>
      <w:bCs/>
    </w:rPr>
  </w:style>
  <w:style w:type="character" w:customStyle="1" w:styleId="AsuntodelcomentarioCar">
    <w:name w:val="Asunto del comentario Car"/>
    <w:basedOn w:val="TextocomentarioCar"/>
    <w:link w:val="Asuntodelcomentario"/>
    <w:uiPriority w:val="99"/>
    <w:semiHidden/>
    <w:rsid w:val="00366D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retariasenado.gov.co/senado/basedoc/ley_0226_1995.html" TargetMode="External"/><Relationship Id="rId18"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mariaisabelgil@hotmail.com" TargetMode="External"/><Relationship Id="rId17" Type="http://schemas.openxmlformats.org/officeDocument/2006/relationships/hyperlink" Target="https://www.colombiacompra.gov.co/normativa-y-relatoria/documentos-tipo" TargetMode="External"/><Relationship Id="rId2" Type="http://schemas.openxmlformats.org/officeDocument/2006/relationships/customXml" Target="../customXml/item2.xml"/><Relationship Id="rId16" Type="http://schemas.openxmlformats.org/officeDocument/2006/relationships/hyperlink" Target="https://formacionvirtual.colombiacompra.gov.co/mod/page/view.php?id=371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relatoria.colombiacompra.gov.co/busqueda/concepto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cretariasenado.gov.co/senado/basedoc/ley_0070_1993.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AFF6C4A-CE95-483F-8289-20618B56B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70CCBE8E-8DA4-0043-B830-CFCAEC85B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8613</Words>
  <Characters>47375</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55877</CharactersWithSpaces>
  <SharedDoc>false</SharedDoc>
  <HLinks>
    <vt:vector size="30" baseType="variant">
      <vt:variant>
        <vt:i4>8126526</vt:i4>
      </vt:variant>
      <vt:variant>
        <vt:i4>12</vt:i4>
      </vt:variant>
      <vt:variant>
        <vt:i4>0</vt:i4>
      </vt:variant>
      <vt:variant>
        <vt:i4>5</vt:i4>
      </vt:variant>
      <vt:variant>
        <vt:lpwstr>https://nam02.safelinks.protection.outlook.com/?url=https%3A%2F%2Fwww.colombiacompra.gov.co%2Fwp-content%2Fuploads%2F2025%2F05%2FGUIA-DE-LINEAMIENTOS-DE-TRANSPARENCIA-Y-SELECCION-OBJETIVA-1.0.pdf&amp;data=05%7C02%7Cana.bonilla%40colombiacompra.gov.co%7C7cfff6dece924643582c08dd97bfed90%7C7b09041e245149d08cb179d5e3d8c1be%7C0%7C0%7C638833572791704363%7CUnknown%7CTWFpbGZsb3d8eyJFbXB0eU1hcGkiOnRydWUsIlYiOiIwLjAuMDAwMCIsIlAiOiJXaW4zMiIsIkFOIjoiTWFpbCIsIldUIjoyfQ%3D%3D%7C0%7C%7C%7C&amp;sdata=bvCyjLqjhhHk8z%2FCef2mJuv9SIv2uGUVZNSAdLedWrk%3D&amp;reserved=0</vt:lpwstr>
      </vt:variant>
      <vt:variant>
        <vt:lpwstr/>
      </vt:variant>
      <vt:variant>
        <vt:i4>7471218</vt:i4>
      </vt:variant>
      <vt:variant>
        <vt:i4>9</vt:i4>
      </vt:variant>
      <vt:variant>
        <vt:i4>0</vt:i4>
      </vt:variant>
      <vt:variant>
        <vt:i4>5</vt:i4>
      </vt:variant>
      <vt:variant>
        <vt:lpwstr>https://relatoria.colombiacompra.gov.co/busqueda/conceptos</vt:lpwstr>
      </vt:variant>
      <vt:variant>
        <vt:lpwstr/>
      </vt:variant>
      <vt:variant>
        <vt:i4>5963840</vt:i4>
      </vt:variant>
      <vt:variant>
        <vt:i4>6</vt:i4>
      </vt:variant>
      <vt:variant>
        <vt:i4>0</vt:i4>
      </vt:variant>
      <vt:variant>
        <vt:i4>5</vt:i4>
      </vt:variant>
      <vt:variant>
        <vt:lpwstr>http://www.secretariasenado.gov.co/senado/basedoc/ley_0070_1993.html</vt:lpwstr>
      </vt:variant>
      <vt:variant>
        <vt:lpwstr>INICIO</vt:lpwstr>
      </vt:variant>
      <vt:variant>
        <vt:i4>3997723</vt:i4>
      </vt:variant>
      <vt:variant>
        <vt:i4>3</vt:i4>
      </vt:variant>
      <vt:variant>
        <vt:i4>0</vt:i4>
      </vt:variant>
      <vt:variant>
        <vt:i4>5</vt:i4>
      </vt:variant>
      <vt:variant>
        <vt:lpwstr>http://www.secretariasenado.gov.co/senado/basedoc/ley_0226_1995.html</vt:lpwstr>
      </vt:variant>
      <vt:variant>
        <vt:lpwstr>1</vt:lpwstr>
      </vt:variant>
      <vt:variant>
        <vt:i4>8323147</vt:i4>
      </vt:variant>
      <vt:variant>
        <vt:i4>0</vt:i4>
      </vt:variant>
      <vt:variant>
        <vt:i4>0</vt:i4>
      </vt:variant>
      <vt:variant>
        <vt:i4>5</vt:i4>
      </vt:variant>
      <vt:variant>
        <vt:lpwstr>mailto:erikaucrispin@gmail.com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2026-07-07T18:40:00Z</dcterms:created>
  <dcterms:modified xsi:type="dcterms:W3CDTF">2026-07-29T14:11:00Z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