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50150F03" w14:textId="77777777" w:rsidR="00D52DE3" w:rsidRPr="0086590B" w:rsidRDefault="00D52DE3" w:rsidP="00D52DE3">
      <w:pPr>
        <w:spacing w:line="276" w:lineRule="auto"/>
        <w:jc w:val="both"/>
        <w:rPr>
          <w:rFonts w:ascii="Verdana" w:hAnsi="Verdana" w:cs="Arial"/>
          <w:b/>
          <w:bCs/>
          <w:color w:val="000000" w:themeColor="text1"/>
          <w:lang w:val="es-ES"/>
        </w:rPr>
      </w:pPr>
      <w:bookmarkStart w:id="1" w:name="_Hlk213674657"/>
      <w:bookmarkEnd w:id="1"/>
      <w:r w:rsidRPr="0086590B">
        <w:rPr>
          <w:rFonts w:ascii="Verdana" w:hAnsi="Verdana" w:cs="Arial"/>
          <w:b/>
          <w:bCs/>
          <w:color w:val="000000" w:themeColor="text1"/>
          <w:lang w:val="es-ES"/>
        </w:rPr>
        <w:t xml:space="preserve">SUBSANABILIDAD – Aplicación – Regla general – Excepciones </w:t>
      </w:r>
    </w:p>
    <w:p w14:paraId="52EDD103" w14:textId="77777777" w:rsidR="00D52DE3" w:rsidRPr="0086590B" w:rsidRDefault="00D52DE3" w:rsidP="00D52DE3">
      <w:pPr>
        <w:spacing w:after="0" w:line="240" w:lineRule="auto"/>
        <w:jc w:val="both"/>
        <w:rPr>
          <w:rFonts w:ascii="Verdana" w:eastAsia="Times New Roman" w:hAnsi="Verdana" w:cs="Arial"/>
          <w:sz w:val="20"/>
          <w:szCs w:val="20"/>
          <w:lang w:val="es-ES" w:eastAsia="es-ES"/>
        </w:rPr>
      </w:pPr>
      <w:r w:rsidRPr="0086590B">
        <w:rPr>
          <w:rFonts w:ascii="Verdana" w:hAnsi="Verdana" w:cs="Arial"/>
          <w:noProof/>
          <w:sz w:val="20"/>
          <w:szCs w:val="20"/>
          <w:lang w:val="es-ES"/>
        </w:rPr>
        <w:t>L</w:t>
      </w:r>
      <w:r w:rsidRPr="0086590B">
        <w:rPr>
          <w:rFonts w:ascii="Verdana" w:eastAsia="Times New Roman" w:hAnsi="Verdana" w:cs="Arial"/>
          <w:sz w:val="20"/>
          <w:szCs w:val="20"/>
        </w:rPr>
        <w:t xml:space="preserve">a regla de la </w:t>
      </w:r>
      <w:proofErr w:type="spellStart"/>
      <w:r w:rsidRPr="0086590B">
        <w:rPr>
          <w:rFonts w:ascii="Verdana" w:eastAsia="Times New Roman" w:hAnsi="Verdana" w:cs="Arial"/>
          <w:sz w:val="20"/>
          <w:szCs w:val="20"/>
        </w:rPr>
        <w:t>subsanabilidad</w:t>
      </w:r>
      <w:proofErr w:type="spellEnd"/>
      <w:r w:rsidRPr="0086590B">
        <w:rPr>
          <w:rFonts w:ascii="Verdana" w:eastAsia="Times New Roman" w:hAnsi="Verdana" w:cs="Arial"/>
          <w:sz w:val="20"/>
          <w:szCs w:val="20"/>
        </w:rPr>
        <w:t xml:space="preserve"> de las ofertas en los procedimientos de selección</w:t>
      </w:r>
      <w:r w:rsidRPr="0086590B">
        <w:rPr>
          <w:rFonts w:ascii="Verdana" w:eastAsia="Times New Roman" w:hAnsi="Verdana" w:cs="Arial"/>
          <w:b/>
          <w:bCs/>
          <w:sz w:val="20"/>
          <w:szCs w:val="20"/>
        </w:rPr>
        <w:t xml:space="preserve"> </w:t>
      </w:r>
      <w:r w:rsidRPr="0086590B">
        <w:rPr>
          <w:rFonts w:ascii="Verdana" w:eastAsia="Times New Roman" w:hAnsi="Verdana" w:cs="Arial"/>
          <w:sz w:val="20"/>
          <w:szCs w:val="20"/>
          <w:lang w:val="es-ES" w:eastAsia="es-ES"/>
        </w:rPr>
        <w:t>indica que, por regla general, la falta de entrega y los defectos en la acreditación de los requisitos habilitantes son aspectos subsanables. La excepción corresponde en la prohibición de permitir que se subsanen aspectos que otorgan puntaje, de valer la acreditación de circunstancias ocurridas con posterioridad al cierre del proceso y de permitir la entrega de la garantía de seriedad de la oferta que no fue aportada con la propuesta.</w:t>
      </w:r>
    </w:p>
    <w:p w14:paraId="087841A6" w14:textId="77777777" w:rsidR="00D52DE3" w:rsidRPr="0086590B" w:rsidRDefault="00D52DE3" w:rsidP="00D52DE3">
      <w:pPr>
        <w:spacing w:after="0" w:line="240" w:lineRule="auto"/>
        <w:jc w:val="both"/>
        <w:rPr>
          <w:rFonts w:ascii="Verdana" w:eastAsia="Times New Roman" w:hAnsi="Verdana" w:cs="Arial"/>
          <w:sz w:val="20"/>
          <w:szCs w:val="20"/>
          <w:lang w:val="es-ES" w:eastAsia="es-ES"/>
        </w:rPr>
      </w:pPr>
    </w:p>
    <w:p w14:paraId="087B43D1" w14:textId="77777777" w:rsidR="00D52DE3" w:rsidRPr="0086590B" w:rsidRDefault="00D52DE3" w:rsidP="00D52DE3">
      <w:pPr>
        <w:spacing w:after="0" w:line="240" w:lineRule="auto"/>
        <w:jc w:val="both"/>
        <w:rPr>
          <w:rFonts w:ascii="Verdana" w:eastAsia="Calibri" w:hAnsi="Verdana" w:cs="Arial"/>
          <w:b/>
          <w:bCs/>
          <w:lang w:val="es-ES" w:eastAsia="es-ES"/>
        </w:rPr>
      </w:pPr>
      <w:r w:rsidRPr="0086590B">
        <w:rPr>
          <w:rFonts w:ascii="Verdana" w:eastAsia="Calibri" w:hAnsi="Verdana" w:cs="Arial"/>
          <w:b/>
          <w:bCs/>
          <w:lang w:val="es-ES" w:eastAsia="es-ES"/>
        </w:rPr>
        <w:t>SUBSANABILIDAD DE LAS OFERTAS – Alcance de la regla – Ley 1882 de 2018– Ámbito temporal – Criterio material</w:t>
      </w:r>
    </w:p>
    <w:p w14:paraId="7BE5597A" w14:textId="77777777" w:rsidR="00D52DE3" w:rsidRPr="0086590B" w:rsidRDefault="00D52DE3" w:rsidP="00D52DE3">
      <w:pPr>
        <w:spacing w:after="0" w:line="240" w:lineRule="auto"/>
        <w:jc w:val="both"/>
        <w:rPr>
          <w:rFonts w:ascii="Verdana" w:hAnsi="Verdana" w:cs="Arial"/>
          <w:b/>
          <w:bCs/>
          <w:color w:val="000000" w:themeColor="text1"/>
          <w:lang w:val="es-ES"/>
        </w:rPr>
      </w:pPr>
    </w:p>
    <w:p w14:paraId="28A69223" w14:textId="77777777" w:rsidR="00D52DE3" w:rsidRPr="0086590B" w:rsidRDefault="00D52DE3" w:rsidP="00D52DE3">
      <w:pPr>
        <w:spacing w:after="0" w:line="240" w:lineRule="auto"/>
        <w:contextualSpacing/>
        <w:jc w:val="both"/>
        <w:rPr>
          <w:rFonts w:ascii="Verdana" w:hAnsi="Verdana" w:cs="Arial"/>
          <w:sz w:val="20"/>
          <w:szCs w:val="20"/>
          <w:lang w:val="es-ES"/>
          <w14:ligatures w14:val="standardContextual"/>
        </w:rPr>
      </w:pPr>
      <w:r w:rsidRPr="0086590B">
        <w:rPr>
          <w:rFonts w:ascii="Verdana" w:eastAsia="Calibri" w:hAnsi="Verdana" w:cs="Arial"/>
          <w:sz w:val="20"/>
          <w:szCs w:val="20"/>
          <w:lang w:val="es-ES"/>
        </w:rPr>
        <w:t xml:space="preserve">“[…] </w:t>
      </w:r>
      <w:r w:rsidRPr="0086590B">
        <w:rPr>
          <w:rFonts w:ascii="Verdana" w:hAnsi="Verdana" w:cs="Arial"/>
          <w:sz w:val="20"/>
          <w:szCs w:val="20"/>
          <w:lang w:val="es-ES"/>
          <w14:ligatures w14:val="standardContextual"/>
        </w:rPr>
        <w:t xml:space="preserve">Como puede observarse, la Ley 1882 de 2018: i) mantiene el criterio de la Ley 80 de 1993, relativo a que todo lo que no sea necesario para la comparación de propuestas no es título suficiente para su rechazo; </w:t>
      </w:r>
      <w:proofErr w:type="spellStart"/>
      <w:r w:rsidRPr="0086590B">
        <w:rPr>
          <w:rFonts w:ascii="Verdana" w:hAnsi="Verdana" w:cs="Arial"/>
          <w:sz w:val="20"/>
          <w:szCs w:val="20"/>
          <w:lang w:val="es-ES"/>
          <w14:ligatures w14:val="standardContextual"/>
        </w:rPr>
        <w:t>ii</w:t>
      </w:r>
      <w:proofErr w:type="spellEnd"/>
      <w:r w:rsidRPr="0086590B">
        <w:rPr>
          <w:rFonts w:ascii="Verdana" w:hAnsi="Verdana" w:cs="Arial"/>
          <w:sz w:val="20"/>
          <w:szCs w:val="20"/>
          <w:lang w:val="es-ES"/>
          <w14:ligatures w14:val="standardContextual"/>
        </w:rPr>
        <w:t xml:space="preserve">) mantiene el criterio aclaratorio de la Ley 1150 de 2007, según el cual todo lo que no afecte la asignación de puntaje puede subsanarse y, </w:t>
      </w:r>
      <w:proofErr w:type="spellStart"/>
      <w:r w:rsidRPr="0086590B">
        <w:rPr>
          <w:rFonts w:ascii="Verdana" w:hAnsi="Verdana" w:cs="Arial"/>
          <w:sz w:val="20"/>
          <w:szCs w:val="20"/>
          <w:lang w:val="es-ES"/>
          <w14:ligatures w14:val="standardContextual"/>
        </w:rPr>
        <w:t>iii</w:t>
      </w:r>
      <w:proofErr w:type="spellEnd"/>
      <w:r w:rsidRPr="0086590B">
        <w:rPr>
          <w:rFonts w:ascii="Verdana" w:hAnsi="Verdana" w:cs="Arial"/>
          <w:sz w:val="20"/>
          <w:szCs w:val="20"/>
          <w:lang w:val="es-ES"/>
          <w14:ligatures w14:val="standardContextual"/>
        </w:rPr>
        <w:t xml:space="preserve">) introduce modificaciones en relación con algunos aspectos que se analizarán a continuación. </w:t>
      </w:r>
    </w:p>
    <w:p w14:paraId="19410316" w14:textId="77777777" w:rsidR="00D52DE3" w:rsidRPr="0086590B" w:rsidRDefault="00D52DE3" w:rsidP="00D52DE3">
      <w:pPr>
        <w:spacing w:after="0" w:line="240" w:lineRule="auto"/>
        <w:contextualSpacing/>
        <w:jc w:val="both"/>
        <w:rPr>
          <w:rFonts w:ascii="Verdana" w:hAnsi="Verdana" w:cs="Arial"/>
          <w:sz w:val="20"/>
          <w:szCs w:val="20"/>
          <w:lang w:val="es-ES_tradnl"/>
        </w:rPr>
      </w:pPr>
    </w:p>
    <w:p w14:paraId="6E202992" w14:textId="77777777" w:rsidR="00D52DE3" w:rsidRPr="0086590B" w:rsidRDefault="00D52DE3" w:rsidP="00D52DE3">
      <w:pPr>
        <w:spacing w:after="0" w:line="240" w:lineRule="auto"/>
        <w:contextualSpacing/>
        <w:jc w:val="both"/>
        <w:rPr>
          <w:rFonts w:ascii="Verdana" w:eastAsia="Calibri" w:hAnsi="Verdana" w:cs="Arial"/>
          <w:sz w:val="20"/>
          <w:szCs w:val="20"/>
          <w:lang w:val="es-ES_tradnl"/>
        </w:rPr>
      </w:pPr>
      <w:r w:rsidRPr="0086590B">
        <w:rPr>
          <w:rFonts w:ascii="Verdana" w:hAnsi="Verdana" w:cs="Arial"/>
          <w:i/>
          <w:iCs/>
          <w:sz w:val="20"/>
          <w:szCs w:val="20"/>
          <w:lang w:val="es-ES_tradnl"/>
          <w14:ligatures w14:val="standardContextual"/>
        </w:rPr>
        <w:t>El primero</w:t>
      </w:r>
      <w:r w:rsidRPr="0086590B">
        <w:rPr>
          <w:rFonts w:ascii="Verdana" w:hAnsi="Verdana" w:cs="Arial"/>
          <w:sz w:val="20"/>
          <w:szCs w:val="20"/>
          <w:lang w:val="es-ES_tradnl"/>
          <w14:ligatures w14:val="standardContextual"/>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w:t>
      </w:r>
      <w:r w:rsidRPr="0086590B">
        <w:rPr>
          <w:rFonts w:ascii="Verdana" w:eastAsia="Calibri" w:hAnsi="Verdana" w:cs="Arial"/>
          <w:sz w:val="20"/>
          <w:szCs w:val="20"/>
          <w:lang w:val="es-ES_tradnl"/>
          <w14:ligatures w14:val="standardContextual"/>
        </w:rPr>
        <w:t xml:space="preserve">de selección a través del sistema de subasta. </w:t>
      </w:r>
      <w:r w:rsidRPr="0086590B">
        <w:rPr>
          <w:rFonts w:ascii="Verdana" w:eastAsia="Calibri" w:hAnsi="Verdana" w:cs="Arial"/>
          <w:sz w:val="20"/>
          <w:szCs w:val="20"/>
          <w:lang w:val="es-ES_tradnl"/>
        </w:rPr>
        <w:t>[…]</w:t>
      </w:r>
    </w:p>
    <w:p w14:paraId="62E7CA49" w14:textId="77777777" w:rsidR="00D52DE3" w:rsidRPr="0086590B" w:rsidRDefault="00D52DE3" w:rsidP="00D52DE3">
      <w:pPr>
        <w:spacing w:after="0" w:line="240" w:lineRule="auto"/>
        <w:contextualSpacing/>
        <w:jc w:val="both"/>
        <w:rPr>
          <w:rFonts w:ascii="Verdana" w:eastAsia="Calibri" w:hAnsi="Verdana" w:cs="Arial"/>
          <w:sz w:val="20"/>
          <w:szCs w:val="20"/>
          <w:lang w:val="es-ES_tradnl"/>
        </w:rPr>
      </w:pPr>
    </w:p>
    <w:p w14:paraId="71484349" w14:textId="77777777" w:rsidR="00D52DE3" w:rsidRPr="0086590B" w:rsidRDefault="00D52DE3" w:rsidP="00D52DE3">
      <w:pPr>
        <w:spacing w:line="240" w:lineRule="auto"/>
        <w:contextualSpacing/>
        <w:jc w:val="both"/>
        <w:rPr>
          <w:rFonts w:ascii="Verdana" w:hAnsi="Verdana" w:cs="Arial"/>
          <w:sz w:val="20"/>
          <w:szCs w:val="20"/>
          <w:lang w:val="es-ES"/>
        </w:rPr>
      </w:pPr>
      <w:r w:rsidRPr="0086590B">
        <w:rPr>
          <w:rFonts w:ascii="Verdana" w:eastAsia="Calibri" w:hAnsi="Verdana" w:cs="Arial"/>
          <w:sz w:val="20"/>
          <w:szCs w:val="20"/>
          <w:lang w:val="es-ES"/>
          <w14:ligatures w14:val="standardContextual"/>
        </w:rPr>
        <w:t xml:space="preserve">De otro lado, </w:t>
      </w:r>
      <w:r w:rsidRPr="0086590B">
        <w:rPr>
          <w:rFonts w:ascii="Verdana" w:eastAsia="Calibri" w:hAnsi="Verdana" w:cs="Arial"/>
          <w:i/>
          <w:iCs/>
          <w:sz w:val="20"/>
          <w:szCs w:val="20"/>
          <w:lang w:val="es-ES"/>
          <w14:ligatures w14:val="standardContextual"/>
        </w:rPr>
        <w:t>el segundo</w:t>
      </w:r>
      <w:r w:rsidRPr="0086590B">
        <w:rPr>
          <w:rFonts w:ascii="Verdana" w:eastAsia="Calibri" w:hAnsi="Verdana" w:cs="Arial"/>
          <w:sz w:val="20"/>
          <w:szCs w:val="20"/>
          <w:lang w:val="es-ES"/>
          <w14:ligatures w14:val="standardContextual"/>
        </w:rPr>
        <w:t xml:space="preserve"> cambio importante de la Ley 1882 de 2018 fue la introducción de un criterio material, directamente relacionado con los aspectos subsanables: “</w:t>
      </w:r>
      <w:r w:rsidRPr="0086590B">
        <w:rPr>
          <w:rFonts w:ascii="Verdana" w:hAnsi="Verdana" w:cs="Arial"/>
          <w:sz w:val="20"/>
          <w:szCs w:val="20"/>
          <w:lang w:val="es-ES"/>
          <w14:ligatures w14:val="standardContextual"/>
        </w:rPr>
        <w:t xml:space="preserve">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7C4A2F84" w14:textId="77777777" w:rsidR="00D52DE3" w:rsidRPr="0086590B" w:rsidRDefault="00D52DE3" w:rsidP="00D52DE3">
      <w:pPr>
        <w:spacing w:after="0" w:line="240" w:lineRule="auto"/>
        <w:contextualSpacing/>
        <w:jc w:val="both"/>
        <w:rPr>
          <w:rFonts w:ascii="Verdana" w:hAnsi="Verdana" w:cs="Arial"/>
          <w:sz w:val="20"/>
          <w:szCs w:val="20"/>
          <w:lang w:val="es-ES_tradnl"/>
          <w14:ligatures w14:val="standardContextual"/>
        </w:rPr>
      </w:pPr>
    </w:p>
    <w:p w14:paraId="450DDFA7" w14:textId="77777777" w:rsidR="00D52DE3" w:rsidRPr="0086590B" w:rsidRDefault="00D52DE3" w:rsidP="00D52DE3">
      <w:pPr>
        <w:spacing w:after="0" w:line="240" w:lineRule="auto"/>
        <w:contextualSpacing/>
        <w:jc w:val="both"/>
        <w:rPr>
          <w:rFonts w:ascii="Verdana" w:hAnsi="Verdana" w:cs="Arial"/>
          <w:sz w:val="20"/>
          <w:szCs w:val="20"/>
          <w:lang w:val="es-ES_tradnl"/>
        </w:rPr>
      </w:pPr>
      <w:r w:rsidRPr="0086590B">
        <w:rPr>
          <w:rFonts w:ascii="Verdana" w:hAnsi="Verdana" w:cs="Arial"/>
          <w:sz w:val="20"/>
          <w:szCs w:val="20"/>
          <w:lang w:val="es-ES_tradnl"/>
        </w:rPr>
        <w:t xml:space="preserve">[…] </w:t>
      </w:r>
    </w:p>
    <w:p w14:paraId="4049D785" w14:textId="77777777" w:rsidR="00D52DE3" w:rsidRPr="0086590B" w:rsidRDefault="00D52DE3" w:rsidP="00D52DE3">
      <w:pPr>
        <w:spacing w:after="0" w:line="240" w:lineRule="auto"/>
        <w:contextualSpacing/>
        <w:jc w:val="both"/>
        <w:rPr>
          <w:rFonts w:ascii="Verdana" w:hAnsi="Verdana" w:cs="Arial"/>
          <w:sz w:val="20"/>
          <w:szCs w:val="20"/>
          <w:lang w:val="es-ES_tradnl"/>
        </w:rPr>
      </w:pPr>
    </w:p>
    <w:p w14:paraId="6BDDD897" w14:textId="77777777" w:rsidR="00D52DE3" w:rsidRPr="0086590B" w:rsidRDefault="00D52DE3" w:rsidP="00D52DE3">
      <w:pPr>
        <w:spacing w:after="0" w:line="240" w:lineRule="auto"/>
        <w:contextualSpacing/>
        <w:jc w:val="both"/>
        <w:rPr>
          <w:rFonts w:ascii="Verdana" w:eastAsia="Calibri" w:hAnsi="Verdana" w:cs="Arial"/>
          <w:sz w:val="20"/>
          <w:szCs w:val="20"/>
          <w:lang w:val="es-ES_tradnl"/>
          <w14:ligatures w14:val="standardContextual"/>
        </w:rPr>
      </w:pPr>
      <w:r w:rsidRPr="0086590B">
        <w:rPr>
          <w:rFonts w:ascii="Verdana" w:eastAsia="Calibri" w:hAnsi="Verdana" w:cs="Arial"/>
          <w:sz w:val="20"/>
          <w:szCs w:val="20"/>
          <w:lang w:val="es-ES_tradnl"/>
          <w14:ligatures w14:val="standardContextua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r w:rsidRPr="0086590B">
        <w:rPr>
          <w:rFonts w:ascii="Verdana" w:eastAsia="Calibri" w:hAnsi="Verdana" w:cs="Arial"/>
          <w:sz w:val="20"/>
          <w:szCs w:val="20"/>
          <w:lang w:val="es-ES_tradnl"/>
        </w:rPr>
        <w:t>[…]”</w:t>
      </w:r>
    </w:p>
    <w:p w14:paraId="38CAF970" w14:textId="77777777" w:rsidR="00D52DE3" w:rsidRPr="0086590B" w:rsidRDefault="00D52DE3" w:rsidP="00D52DE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p>
    <w:p w14:paraId="5DD01CC5" w14:textId="77777777" w:rsidR="00D52DE3" w:rsidRPr="0086590B" w:rsidRDefault="00D52DE3" w:rsidP="00D52DE3">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r w:rsidRPr="0086590B">
        <w:rPr>
          <w:rFonts w:ascii="Verdana" w:hAnsi="Verdana" w:cs="Arial"/>
          <w:b/>
          <w:bCs/>
          <w:color w:val="000000" w:themeColor="text1"/>
        </w:rPr>
        <w:lastRenderedPageBreak/>
        <w:t xml:space="preserve">CAUSALES DE RECHAZO DE LAS OFERTAS – Origen – Límites en su configuración </w:t>
      </w:r>
    </w:p>
    <w:p w14:paraId="13EC9EAA" w14:textId="77777777" w:rsidR="00D52DE3" w:rsidRPr="0086590B" w:rsidRDefault="00D52DE3" w:rsidP="00D52DE3">
      <w:pPr>
        <w:pBdr>
          <w:top w:val="nil"/>
          <w:left w:val="nil"/>
          <w:bottom w:val="nil"/>
          <w:right w:val="nil"/>
          <w:between w:val="nil"/>
        </w:pBdr>
        <w:tabs>
          <w:tab w:val="left" w:pos="284"/>
        </w:tabs>
        <w:spacing w:after="0" w:line="240" w:lineRule="auto"/>
        <w:jc w:val="both"/>
        <w:rPr>
          <w:rFonts w:ascii="Verdana" w:hAnsi="Verdana" w:cs="Arial"/>
          <w:b/>
          <w:bCs/>
          <w:color w:val="000000" w:themeColor="text1"/>
        </w:rPr>
      </w:pPr>
    </w:p>
    <w:p w14:paraId="778FA537" w14:textId="77777777" w:rsidR="00D52DE3" w:rsidRPr="0086590B" w:rsidRDefault="00D52DE3" w:rsidP="00D52DE3">
      <w:pPr>
        <w:pBdr>
          <w:top w:val="nil"/>
          <w:left w:val="nil"/>
          <w:bottom w:val="nil"/>
          <w:right w:val="nil"/>
          <w:between w:val="nil"/>
        </w:pBdr>
        <w:tabs>
          <w:tab w:val="left" w:pos="284"/>
        </w:tabs>
        <w:spacing w:after="0" w:line="240" w:lineRule="auto"/>
        <w:jc w:val="both"/>
        <w:rPr>
          <w:rFonts w:ascii="Verdana" w:eastAsia="Arial" w:hAnsi="Verdana" w:cs="Arial"/>
          <w:color w:val="000000"/>
          <w:sz w:val="20"/>
          <w:szCs w:val="20"/>
        </w:rPr>
      </w:pPr>
      <w:r w:rsidRPr="0086590B">
        <w:rPr>
          <w:rFonts w:ascii="Verdana" w:eastAsia="Arial" w:hAnsi="Verdana" w:cs="Arial"/>
          <w:sz w:val="20"/>
          <w:szCs w:val="20"/>
        </w:rPr>
        <w:t xml:space="preserve">El rechazo de las ofertas y los eventos en los que proceden han sido asuntos de los que se ha ocupado la legislación nacional en materia de contratación pública, por lo que “la competencia de las entidades estales para establecer eventos de exclusión de propuestas es de carácter residual y restringido”. En ese sentido, si bien las entidades estatales, en ejercicio de la discrecionalidad que les corresponde en la configuración de los pliegos de condiciones, tienen competencia para determinar los requisitos que deben cumplir los proponentes para la presentación de ofertas y regular los eventos en los que procede su rechazo, el ejercicio de tales facultades encuentra ciertos límites en la ley y el reglamento, así como en los principios de razonabilidad y proporcionalidad.  </w:t>
      </w:r>
    </w:p>
    <w:p w14:paraId="5CC2176E" w14:textId="77777777" w:rsidR="00D52DE3" w:rsidRPr="0086590B" w:rsidRDefault="00D52DE3" w:rsidP="00D52DE3">
      <w:pPr>
        <w:spacing w:after="0" w:line="240" w:lineRule="auto"/>
        <w:jc w:val="both"/>
        <w:rPr>
          <w:rFonts w:ascii="Verdana" w:eastAsia="Arial" w:hAnsi="Verdana" w:cs="Arial"/>
          <w:sz w:val="20"/>
          <w:szCs w:val="20"/>
        </w:rPr>
      </w:pPr>
    </w:p>
    <w:p w14:paraId="1D09B8E5" w14:textId="77777777" w:rsidR="00D52DE3" w:rsidRPr="0086590B" w:rsidRDefault="00D52DE3" w:rsidP="00D52DE3">
      <w:pPr>
        <w:spacing w:after="0" w:line="240" w:lineRule="auto"/>
        <w:jc w:val="both"/>
        <w:rPr>
          <w:rFonts w:ascii="Verdana" w:eastAsia="Arial" w:hAnsi="Verdana" w:cs="Arial"/>
          <w:sz w:val="20"/>
          <w:szCs w:val="20"/>
        </w:rPr>
      </w:pPr>
      <w:r w:rsidRPr="0086590B">
        <w:rPr>
          <w:rFonts w:ascii="Verdana" w:eastAsia="Arial" w:hAnsi="Verdana" w:cs="Arial"/>
          <w:sz w:val="20"/>
          <w:szCs w:val="20"/>
        </w:rPr>
        <w:t xml:space="preserve">En ese entendido, uno de los límites a la facultad para establecer causales de rechazo, se encuentra en la regla de </w:t>
      </w:r>
      <w:proofErr w:type="spellStart"/>
      <w:r w:rsidRPr="0086590B">
        <w:rPr>
          <w:rFonts w:ascii="Verdana" w:eastAsia="Arial" w:hAnsi="Verdana" w:cs="Arial"/>
          <w:sz w:val="20"/>
          <w:szCs w:val="20"/>
        </w:rPr>
        <w:t>subsanabilidad</w:t>
      </w:r>
      <w:proofErr w:type="spellEnd"/>
      <w:r w:rsidRPr="0086590B">
        <w:rPr>
          <w:rFonts w:ascii="Verdana" w:eastAsia="Arial" w:hAnsi="Verdana" w:cs="Arial"/>
          <w:sz w:val="20"/>
          <w:szCs w:val="20"/>
        </w:rPr>
        <w:t xml:space="preserve"> del parágrafo 1 del artículo 5 de la Ley 1150 de 2007, según la cual “La ausencia de requisitos o la falta de documentos referentes a la futura contratación o al proponente, no necesarios para la comparación de las propuestas no servirán de título suficiente para el rechazo de los ofrecimientos hechos”, por lo que las entidades no podrán establecer causales de rechazo referentes a meros requisitos formales o rechazar las ofertas por esa razón. </w:t>
      </w:r>
    </w:p>
    <w:p w14:paraId="1906EC2E" w14:textId="77777777" w:rsidR="00D52DE3" w:rsidRPr="0086590B" w:rsidRDefault="00D52DE3" w:rsidP="00D52DE3">
      <w:pPr>
        <w:spacing w:after="0" w:line="240" w:lineRule="auto"/>
        <w:jc w:val="both"/>
        <w:rPr>
          <w:rFonts w:ascii="Verdana" w:eastAsia="Arial" w:hAnsi="Verdana" w:cs="Arial"/>
          <w:sz w:val="20"/>
          <w:szCs w:val="20"/>
        </w:rPr>
      </w:pPr>
    </w:p>
    <w:p w14:paraId="399F6306" w14:textId="77777777" w:rsidR="00D52DE3" w:rsidRPr="0086590B" w:rsidRDefault="00D52DE3" w:rsidP="00D52DE3">
      <w:pPr>
        <w:spacing w:after="0" w:line="240" w:lineRule="auto"/>
        <w:jc w:val="both"/>
        <w:rPr>
          <w:rFonts w:ascii="Verdana" w:eastAsia="Arial" w:hAnsi="Verdana" w:cs="Arial"/>
          <w:sz w:val="20"/>
          <w:szCs w:val="20"/>
        </w:rPr>
      </w:pPr>
      <w:r w:rsidRPr="0086590B">
        <w:rPr>
          <w:rFonts w:ascii="Verdana" w:hAnsi="Verdana" w:cs="Arial"/>
          <w:b/>
          <w:bCs/>
          <w:color w:val="000000" w:themeColor="text1"/>
        </w:rPr>
        <w:t>CAUSALES DE RECHAZO – Procedencia</w:t>
      </w:r>
    </w:p>
    <w:p w14:paraId="32A6AD81" w14:textId="77777777" w:rsidR="00D52DE3" w:rsidRPr="0086590B" w:rsidRDefault="00D52DE3" w:rsidP="00D52DE3">
      <w:pPr>
        <w:spacing w:after="0" w:line="240" w:lineRule="auto"/>
        <w:jc w:val="both"/>
        <w:rPr>
          <w:rFonts w:ascii="Verdana" w:eastAsia="Arial" w:hAnsi="Verdana" w:cs="Arial"/>
        </w:rPr>
      </w:pPr>
    </w:p>
    <w:p w14:paraId="3F5AFCEA" w14:textId="77777777" w:rsidR="00D52DE3" w:rsidRPr="0086590B" w:rsidRDefault="00D52DE3" w:rsidP="00D52DE3">
      <w:pPr>
        <w:spacing w:after="0" w:line="240" w:lineRule="auto"/>
        <w:jc w:val="both"/>
        <w:rPr>
          <w:rFonts w:ascii="Verdana" w:eastAsia="Arial" w:hAnsi="Verdana" w:cs="Arial"/>
          <w:color w:val="000000"/>
          <w:sz w:val="20"/>
          <w:szCs w:val="20"/>
        </w:rPr>
      </w:pPr>
      <w:r w:rsidRPr="0086590B">
        <w:rPr>
          <w:rFonts w:ascii="Verdana" w:eastAsia="Arial" w:hAnsi="Verdana" w:cs="Arial"/>
          <w:sz w:val="20"/>
          <w:szCs w:val="20"/>
        </w:rPr>
        <w:t xml:space="preserve">De acuerdo con la jurisprudencia citada, existen dos eventos en los cuales procede el rechazo de la oferta: i) cuando se configure alguna de las causales de rechazo originadas en la ley o el reglamento y ii) cuando se materialicen las establecidas en el pliego de condiciones. En tal sentido, las causales de rechazo de la oferta serán las consagradas en la ley o el reglamento producto de su aplicación, así como las definidas por las entidades en el respectivo pliego de condiciones. </w:t>
      </w:r>
    </w:p>
    <w:p w14:paraId="20A568B0" w14:textId="77777777" w:rsidR="00D52DE3" w:rsidRPr="0086590B" w:rsidRDefault="00D52DE3" w:rsidP="00D52DE3">
      <w:pPr>
        <w:spacing w:after="0"/>
        <w:rPr>
          <w:rFonts w:ascii="Verdana" w:hAnsi="Verdana"/>
        </w:rPr>
      </w:pPr>
    </w:p>
    <w:p w14:paraId="04ADECF3" w14:textId="77777777" w:rsidR="00D52DE3" w:rsidRPr="0086590B" w:rsidRDefault="00D52DE3" w:rsidP="00D52DE3">
      <w:pPr>
        <w:spacing w:after="0"/>
        <w:rPr>
          <w:rFonts w:ascii="Verdana" w:hAnsi="Verdana"/>
        </w:rPr>
      </w:pPr>
    </w:p>
    <w:p w14:paraId="1F67E4EB" w14:textId="77777777" w:rsidR="00D52DE3" w:rsidRPr="0086590B" w:rsidRDefault="00D52DE3" w:rsidP="00D52DE3">
      <w:pPr>
        <w:spacing w:after="0"/>
        <w:rPr>
          <w:rFonts w:ascii="Verdana" w:hAnsi="Verdana"/>
        </w:rPr>
      </w:pPr>
    </w:p>
    <w:p w14:paraId="6FC5DF83" w14:textId="77777777" w:rsidR="00D52DE3" w:rsidRPr="0086590B" w:rsidRDefault="00D52DE3" w:rsidP="00D52DE3">
      <w:pPr>
        <w:spacing w:after="0"/>
        <w:rPr>
          <w:rFonts w:ascii="Verdana" w:hAnsi="Verdana"/>
        </w:rPr>
      </w:pPr>
    </w:p>
    <w:p w14:paraId="151CA41F" w14:textId="77777777" w:rsidR="00D52DE3" w:rsidRPr="0086590B" w:rsidRDefault="00D52DE3" w:rsidP="00D52DE3">
      <w:pPr>
        <w:spacing w:after="0"/>
        <w:rPr>
          <w:rFonts w:ascii="Verdana" w:hAnsi="Verdana"/>
        </w:rPr>
      </w:pPr>
    </w:p>
    <w:p w14:paraId="06D0F2BC" w14:textId="77777777" w:rsidR="00D52DE3" w:rsidRPr="0086590B" w:rsidRDefault="00D52DE3" w:rsidP="00D52DE3">
      <w:pPr>
        <w:spacing w:after="0"/>
        <w:rPr>
          <w:rFonts w:ascii="Verdana" w:hAnsi="Verdana"/>
        </w:rPr>
      </w:pPr>
    </w:p>
    <w:p w14:paraId="18FCD5FD" w14:textId="77777777" w:rsidR="00D52DE3" w:rsidRPr="0086590B" w:rsidRDefault="00D52DE3" w:rsidP="00D52DE3">
      <w:pPr>
        <w:spacing w:after="0"/>
        <w:rPr>
          <w:rFonts w:ascii="Verdana" w:hAnsi="Verdana"/>
        </w:rPr>
      </w:pPr>
    </w:p>
    <w:p w14:paraId="36AA0D86" w14:textId="77777777" w:rsidR="00D52DE3" w:rsidRDefault="00D52DE3" w:rsidP="00D52DE3">
      <w:pPr>
        <w:spacing w:after="0" w:line="240" w:lineRule="auto"/>
        <w:rPr>
          <w:rFonts w:ascii="Verdana" w:eastAsia="Geomanist Light" w:hAnsi="Verdana" w:cs="Arial"/>
          <w:color w:val="000000" w:themeColor="text1"/>
        </w:rPr>
      </w:pPr>
    </w:p>
    <w:p w14:paraId="34D59384" w14:textId="77777777" w:rsidR="00D52DE3" w:rsidRDefault="00D52DE3" w:rsidP="00D52DE3">
      <w:pPr>
        <w:spacing w:after="0" w:line="240" w:lineRule="auto"/>
        <w:rPr>
          <w:rFonts w:ascii="Verdana" w:eastAsia="Geomanist Light" w:hAnsi="Verdana" w:cs="Arial"/>
          <w:color w:val="000000" w:themeColor="text1"/>
        </w:rPr>
      </w:pPr>
    </w:p>
    <w:p w14:paraId="0088ED86" w14:textId="77777777" w:rsidR="00D52DE3" w:rsidRDefault="00D52DE3" w:rsidP="00D52DE3">
      <w:pPr>
        <w:spacing w:after="0" w:line="240" w:lineRule="auto"/>
        <w:rPr>
          <w:rFonts w:ascii="Verdana" w:eastAsia="Geomanist Light" w:hAnsi="Verdana" w:cs="Arial"/>
          <w:color w:val="000000" w:themeColor="text1"/>
          <w:lang w:val="es-MX"/>
        </w:rPr>
      </w:pPr>
    </w:p>
    <w:p w14:paraId="200CD47F" w14:textId="77777777" w:rsidR="00D52DE3" w:rsidRDefault="00D52DE3" w:rsidP="00D52DE3">
      <w:pPr>
        <w:spacing w:after="0" w:line="240" w:lineRule="auto"/>
        <w:rPr>
          <w:rFonts w:ascii="Verdana" w:eastAsia="Geomanist Light" w:hAnsi="Verdana" w:cs="Arial"/>
          <w:color w:val="000000" w:themeColor="text1"/>
          <w:lang w:val="es-MX"/>
        </w:rPr>
      </w:pPr>
    </w:p>
    <w:p w14:paraId="2740C310" w14:textId="77777777" w:rsidR="00D52DE3" w:rsidRDefault="00D52DE3" w:rsidP="00D52DE3">
      <w:pPr>
        <w:spacing w:after="0" w:line="240" w:lineRule="auto"/>
        <w:rPr>
          <w:rFonts w:ascii="Verdana" w:eastAsia="Geomanist Light" w:hAnsi="Verdana" w:cs="Arial"/>
          <w:color w:val="000000" w:themeColor="text1"/>
          <w:lang w:val="es-MX"/>
        </w:rPr>
      </w:pPr>
    </w:p>
    <w:p w14:paraId="7A880142" w14:textId="77777777" w:rsidR="00D52DE3" w:rsidRDefault="00D52DE3" w:rsidP="00D52DE3">
      <w:pPr>
        <w:spacing w:after="0" w:line="240" w:lineRule="auto"/>
        <w:rPr>
          <w:rFonts w:ascii="Verdana" w:eastAsia="Geomanist Light" w:hAnsi="Verdana" w:cs="Arial"/>
          <w:color w:val="000000" w:themeColor="text1"/>
          <w:lang w:val="es-MX"/>
        </w:rPr>
      </w:pPr>
    </w:p>
    <w:p w14:paraId="4EA52B43" w14:textId="77777777" w:rsidR="00D52DE3" w:rsidRDefault="00D52DE3" w:rsidP="00D52DE3">
      <w:pPr>
        <w:spacing w:after="0" w:line="240" w:lineRule="auto"/>
        <w:rPr>
          <w:rFonts w:ascii="Verdana" w:eastAsia="Geomanist Light" w:hAnsi="Verdana" w:cs="Arial"/>
          <w:color w:val="000000" w:themeColor="text1"/>
          <w:lang w:val="es-MX"/>
        </w:rPr>
      </w:pPr>
    </w:p>
    <w:p w14:paraId="11646C21" w14:textId="77777777" w:rsidR="00D52DE3" w:rsidRPr="00CA0454" w:rsidRDefault="00D52DE3" w:rsidP="00D52DE3">
      <w:pPr>
        <w:spacing w:after="0" w:line="240" w:lineRule="auto"/>
        <w:rPr>
          <w:rFonts w:ascii="Verdana" w:hAnsi="Verdana"/>
        </w:rPr>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10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julio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494E5A9" w14:textId="77777777" w:rsidR="00D52DE3" w:rsidRDefault="00D52DE3" w:rsidP="00D52DE3">
      <w:pPr>
        <w:spacing w:after="0" w:line="240" w:lineRule="auto"/>
        <w:jc w:val="both"/>
        <w:rPr>
          <w:rFonts w:ascii="Verdana" w:eastAsia="Calibri" w:hAnsi="Verdana" w:cs="Arial"/>
          <w:color w:val="000000" w:themeColor="text1"/>
          <w:lang w:val="es-ES"/>
        </w:rPr>
      </w:pPr>
    </w:p>
    <w:p w14:paraId="44951932" w14:textId="77777777" w:rsidR="006C2E3F" w:rsidRDefault="006C2E3F" w:rsidP="00D52DE3">
      <w:pPr>
        <w:spacing w:after="0" w:line="240" w:lineRule="auto"/>
        <w:jc w:val="both"/>
        <w:rPr>
          <w:rFonts w:ascii="Verdana" w:eastAsia="Calibri" w:hAnsi="Verdana" w:cs="Arial"/>
          <w:color w:val="000000" w:themeColor="text1"/>
          <w:lang w:val="es-ES"/>
        </w:rPr>
      </w:pPr>
    </w:p>
    <w:p w14:paraId="03F22115" w14:textId="20A01641" w:rsidR="006C2E3F" w:rsidRDefault="00E1588A" w:rsidP="00E1588A">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586848AF" wp14:editId="63BA74EE">
            <wp:extent cx="2804432" cy="857250"/>
            <wp:effectExtent l="0" t="0" r="0" b="0"/>
            <wp:docPr id="6508467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6382" cy="857846"/>
                    </a:xfrm>
                    <a:prstGeom prst="rect">
                      <a:avLst/>
                    </a:prstGeom>
                    <a:noFill/>
                    <a:ln>
                      <a:noFill/>
                    </a:ln>
                  </pic:spPr>
                </pic:pic>
              </a:graphicData>
            </a:graphic>
          </wp:inline>
        </w:drawing>
      </w:r>
    </w:p>
    <w:p w14:paraId="6453164F" w14:textId="77777777" w:rsidR="006C2E3F" w:rsidRDefault="006C2E3F" w:rsidP="00D52DE3">
      <w:pPr>
        <w:spacing w:after="0" w:line="240" w:lineRule="auto"/>
        <w:jc w:val="both"/>
        <w:rPr>
          <w:rFonts w:ascii="Verdana" w:eastAsia="Calibri" w:hAnsi="Verdana" w:cs="Arial"/>
          <w:color w:val="000000" w:themeColor="text1"/>
          <w:lang w:val="es-ES"/>
        </w:rPr>
      </w:pPr>
    </w:p>
    <w:p w14:paraId="6F3B5CA8" w14:textId="77777777" w:rsidR="00D52DE3" w:rsidRDefault="00D52DE3" w:rsidP="00D52DE3">
      <w:pPr>
        <w:spacing w:after="0" w:line="240" w:lineRule="auto"/>
        <w:jc w:val="both"/>
        <w:rPr>
          <w:rFonts w:ascii="Verdana" w:eastAsia="Calibri" w:hAnsi="Verdana" w:cs="Arial"/>
          <w:color w:val="000000" w:themeColor="text1"/>
          <w:lang w:val="es-ES" w:eastAsia="es-ES"/>
        </w:rPr>
      </w:pPr>
    </w:p>
    <w:p w14:paraId="535E982F" w14:textId="77777777" w:rsidR="00D52DE3" w:rsidRPr="0046108F" w:rsidRDefault="00D52DE3" w:rsidP="00D52DE3">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6F01265A" w14:textId="77777777" w:rsidR="00D52DE3" w:rsidRPr="008E7174" w:rsidRDefault="00D52DE3" w:rsidP="00D52DE3">
      <w:pPr>
        <w:spacing w:after="0" w:line="240" w:lineRule="auto"/>
        <w:rPr>
          <w:rFonts w:ascii="Verdana" w:eastAsia="Calibri" w:hAnsi="Verdana" w:cs="Arial"/>
          <w:b/>
          <w:bCs/>
          <w:lang w:eastAsia="es-ES"/>
        </w:rPr>
      </w:pPr>
      <w:r w:rsidRPr="00076091">
        <w:rPr>
          <w:rFonts w:ascii="Verdana" w:eastAsia="Calibri" w:hAnsi="Verdana" w:cs="Arial"/>
          <w:b/>
          <w:bCs/>
          <w:lang w:eastAsia="es-ES"/>
        </w:rPr>
        <w:t>JACQUELINE HENAO NARANJO</w:t>
      </w:r>
    </w:p>
    <w:p w14:paraId="1A293E63" w14:textId="77777777" w:rsidR="00D52DE3" w:rsidRPr="008E7174" w:rsidRDefault="00D52DE3" w:rsidP="00D52DE3">
      <w:pPr>
        <w:spacing w:after="0" w:line="240" w:lineRule="auto"/>
        <w:rPr>
          <w:rFonts w:ascii="Verdana" w:eastAsia="Calibri" w:hAnsi="Verdana" w:cs="Arial"/>
          <w:b/>
          <w:bCs/>
          <w:lang w:eastAsia="es-ES"/>
        </w:rPr>
      </w:pPr>
      <w:hyperlink r:id="rId11" w:history="1">
        <w:r w:rsidRPr="0093744D">
          <w:rPr>
            <w:rStyle w:val="Hipervnculo"/>
            <w:rFonts w:ascii="Verdana" w:eastAsia="Calibri" w:hAnsi="Verdana" w:cs="Arial"/>
            <w:lang w:eastAsia="es-ES"/>
          </w:rPr>
          <w:t>jacquehenao@gmail.com</w:t>
        </w:r>
      </w:hyperlink>
      <w:r>
        <w:rPr>
          <w:rFonts w:ascii="Verdana" w:eastAsia="Calibri" w:hAnsi="Verdana" w:cs="Arial"/>
          <w:lang w:eastAsia="es-ES"/>
        </w:rPr>
        <w:t xml:space="preserve"> </w:t>
      </w:r>
    </w:p>
    <w:p w14:paraId="3B4B20D3" w14:textId="77777777" w:rsidR="00D52DE3" w:rsidRPr="00E9418A" w:rsidRDefault="00D52DE3" w:rsidP="00D52DE3">
      <w:pPr>
        <w:spacing w:after="0" w:line="240" w:lineRule="auto"/>
        <w:rPr>
          <w:rFonts w:ascii="Verdana" w:eastAsia="Calibri" w:hAnsi="Verdana" w:cs="Arial"/>
          <w:lang w:val="es-ES" w:eastAsia="es-ES"/>
        </w:rPr>
      </w:pPr>
      <w:r w:rsidRPr="008E7174">
        <w:rPr>
          <w:rFonts w:ascii="Verdana" w:eastAsia="Calibri" w:hAnsi="Verdana" w:cs="Arial"/>
          <w:lang w:val="es-ES" w:eastAsia="es-ES"/>
        </w:rPr>
        <w:t>Bogotá D.C.</w:t>
      </w:r>
    </w:p>
    <w:p w14:paraId="4C3715B8" w14:textId="77777777" w:rsidR="00D52DE3" w:rsidRPr="00CB7ABE" w:rsidRDefault="00D52DE3" w:rsidP="00D52DE3">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D52DE3" w:rsidRPr="00115E3D" w14:paraId="7C358E8E" w14:textId="77777777" w:rsidTr="00096425">
        <w:trPr>
          <w:trHeight w:val="615"/>
        </w:trPr>
        <w:tc>
          <w:tcPr>
            <w:tcW w:w="2270" w:type="dxa"/>
          </w:tcPr>
          <w:p w14:paraId="7849103A" w14:textId="77777777" w:rsidR="00D52DE3" w:rsidRPr="00CB7ABE" w:rsidRDefault="00D52DE3" w:rsidP="00096425">
            <w:pPr>
              <w:jc w:val="both"/>
              <w:rPr>
                <w:rFonts w:ascii="Verdana" w:eastAsia="Calibri" w:hAnsi="Verdana" w:cs="Arial"/>
                <w:b/>
                <w:bCs/>
                <w:color w:val="000000" w:themeColor="text1"/>
                <w:lang w:eastAsia="es-ES_tradnl"/>
              </w:rPr>
            </w:pPr>
          </w:p>
        </w:tc>
        <w:tc>
          <w:tcPr>
            <w:tcW w:w="6547" w:type="dxa"/>
          </w:tcPr>
          <w:p w14:paraId="26007FDA" w14:textId="77777777" w:rsidR="00D52DE3" w:rsidRPr="008A209A" w:rsidRDefault="00D52DE3" w:rsidP="00096425">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 xml:space="preserve">897 </w:t>
            </w:r>
            <w:r w:rsidRPr="008A209A">
              <w:rPr>
                <w:rFonts w:ascii="Verdana" w:eastAsia="Calibri" w:hAnsi="Verdana" w:cs="Arial"/>
                <w:b/>
                <w:bCs/>
                <w:color w:val="000000" w:themeColor="text1"/>
                <w:lang w:val="es-ES" w:eastAsia="es-ES"/>
              </w:rPr>
              <w:t>de 2026</w:t>
            </w:r>
          </w:p>
        </w:tc>
      </w:tr>
      <w:tr w:rsidR="00D52DE3" w:rsidRPr="007E403E" w14:paraId="0B4CE75F" w14:textId="77777777" w:rsidTr="00096425">
        <w:trPr>
          <w:trHeight w:val="1071"/>
        </w:trPr>
        <w:tc>
          <w:tcPr>
            <w:tcW w:w="2270" w:type="dxa"/>
          </w:tcPr>
          <w:p w14:paraId="2DAADEEA" w14:textId="77777777" w:rsidR="00D52DE3" w:rsidRPr="001B36DA" w:rsidRDefault="00D52DE3" w:rsidP="00096425">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0F367E45" w14:textId="77777777" w:rsidR="00D52DE3" w:rsidRPr="0086590B" w:rsidRDefault="00D52DE3" w:rsidP="00096425">
            <w:pPr>
              <w:jc w:val="both"/>
              <w:rPr>
                <w:rFonts w:ascii="Verdana" w:eastAsia="Calibri" w:hAnsi="Verdana" w:cs="Arial"/>
                <w:lang w:eastAsia="es-ES"/>
              </w:rPr>
            </w:pPr>
            <w:r w:rsidRPr="0086590B">
              <w:rPr>
                <w:rFonts w:ascii="Verdana" w:eastAsia="Calibri" w:hAnsi="Verdana" w:cs="Arial"/>
                <w:lang w:val="es-ES" w:eastAsia="es-ES"/>
              </w:rPr>
              <w:t>SUBSANABILIDAD – Aplicación – Regla general – Excepciones / SUBSANABILIDAD DE LAS OFERTAS – Alcance de la regla – Ley 1882 de 2018– Ámbito temporal – Criterio material / CAUSALES DE RECHAZO DE LAS OFERTAS – Origen – Límites en su configuración / CAUSALES DE RECHAZO – Procedencia</w:t>
            </w:r>
          </w:p>
          <w:p w14:paraId="3896C694" w14:textId="77777777" w:rsidR="00D52DE3" w:rsidRPr="00103B36" w:rsidRDefault="00D52DE3" w:rsidP="00CA0454">
            <w:pPr>
              <w:jc w:val="both"/>
              <w:rPr>
                <w:rFonts w:ascii="Verdana" w:eastAsia="Calibri" w:hAnsi="Verdana" w:cs="Arial"/>
                <w:color w:val="000000" w:themeColor="text1"/>
                <w:highlight w:val="yellow"/>
                <w:lang w:val="es-ES" w:eastAsia="es-ES"/>
              </w:rPr>
            </w:pPr>
            <w:r w:rsidRPr="00A272D1">
              <w:rPr>
                <w:rFonts w:ascii="Verdana" w:eastAsia="Calibri" w:hAnsi="Verdana" w:cs="Arial"/>
                <w:lang w:val="es-MX"/>
              </w:rPr>
              <w:t xml:space="preserve"> </w:t>
            </w:r>
          </w:p>
        </w:tc>
      </w:tr>
      <w:tr w:rsidR="00D52DE3" w:rsidRPr="00115E3D" w14:paraId="6EAC9919" w14:textId="77777777" w:rsidTr="00096425">
        <w:trPr>
          <w:trHeight w:val="653"/>
        </w:trPr>
        <w:tc>
          <w:tcPr>
            <w:tcW w:w="2270" w:type="dxa"/>
          </w:tcPr>
          <w:p w14:paraId="2054E58E" w14:textId="77777777" w:rsidR="00D52DE3" w:rsidRPr="00CB7ABE" w:rsidRDefault="00D52DE3" w:rsidP="00096425">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73F73B58" w14:textId="77777777" w:rsidR="00D52DE3" w:rsidRPr="00CB7ABE" w:rsidRDefault="00D52DE3" w:rsidP="00096425">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076091">
              <w:rPr>
                <w:rFonts w:ascii="Verdana" w:eastAsia="Calibri" w:hAnsi="Verdana" w:cs="Arial"/>
                <w:color w:val="000000" w:themeColor="text1"/>
                <w:lang w:val="es-ES_tradnl" w:eastAsia="es-ES_tradnl"/>
              </w:rPr>
              <w:t>1_2026_05_29_007257</w:t>
            </w:r>
            <w:r>
              <w:rPr>
                <w:rFonts w:ascii="Verdana" w:eastAsia="Calibri" w:hAnsi="Verdana" w:cs="Arial"/>
                <w:color w:val="000000" w:themeColor="text1"/>
                <w:lang w:val="es-ES_tradnl" w:eastAsia="es-ES_tradnl"/>
              </w:rPr>
              <w:t>.</w:t>
            </w:r>
          </w:p>
        </w:tc>
      </w:tr>
      <w:tr w:rsidR="00D52DE3" w:rsidRPr="00115E3D" w14:paraId="6E950AC3" w14:textId="77777777" w:rsidTr="00096425">
        <w:trPr>
          <w:trHeight w:val="278"/>
        </w:trPr>
        <w:tc>
          <w:tcPr>
            <w:tcW w:w="2270" w:type="dxa"/>
          </w:tcPr>
          <w:p w14:paraId="6E7A5747" w14:textId="77777777" w:rsidR="00D52DE3" w:rsidRPr="00CB7ABE" w:rsidRDefault="00D52DE3" w:rsidP="00096425">
            <w:pPr>
              <w:jc w:val="both"/>
              <w:rPr>
                <w:rFonts w:ascii="Verdana" w:eastAsia="Calibri" w:hAnsi="Verdana" w:cs="Arial"/>
                <w:b/>
                <w:color w:val="000000" w:themeColor="text1"/>
                <w:lang w:val="es-ES_tradnl" w:eastAsia="es-ES_tradnl"/>
              </w:rPr>
            </w:pPr>
          </w:p>
        </w:tc>
        <w:tc>
          <w:tcPr>
            <w:tcW w:w="6547" w:type="dxa"/>
          </w:tcPr>
          <w:p w14:paraId="66734117" w14:textId="77777777" w:rsidR="00D52DE3" w:rsidRPr="00CB7ABE" w:rsidRDefault="00D52DE3" w:rsidP="00096425">
            <w:pPr>
              <w:ind w:right="1"/>
              <w:jc w:val="both"/>
              <w:rPr>
                <w:rFonts w:ascii="Verdana" w:eastAsia="Calibri" w:hAnsi="Verdana" w:cs="Arial"/>
                <w:color w:val="000000" w:themeColor="text1"/>
                <w:lang w:val="es-ES_tradnl" w:eastAsia="es-ES_tradnl"/>
              </w:rPr>
            </w:pPr>
          </w:p>
        </w:tc>
      </w:tr>
    </w:tbl>
    <w:p w14:paraId="66CABAE5" w14:textId="77777777" w:rsidR="00D52DE3" w:rsidRPr="00115E3D" w:rsidRDefault="00D52DE3" w:rsidP="00D52DE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Henao;</w:t>
      </w:r>
    </w:p>
    <w:p w14:paraId="0A70DE4D" w14:textId="77777777" w:rsidR="00D52DE3" w:rsidRPr="00115E3D" w:rsidRDefault="00D52DE3" w:rsidP="00D52DE3">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270CF429" w14:textId="7915A737" w:rsidR="00D52DE3" w:rsidRPr="00115E3D" w:rsidRDefault="00D52DE3" w:rsidP="00D52DE3">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radicada ante esta entidad el 29 de mayo de 2026 </w:t>
      </w:r>
      <w:r w:rsidRPr="00115E3D">
        <w:rPr>
          <w:rFonts w:ascii="Verdana" w:eastAsia="Calibri" w:hAnsi="Verdana" w:cs="Arial"/>
          <w:color w:val="000000" w:themeColor="text1"/>
          <w:lang w:val="es-ES" w:eastAsia="es-ES"/>
        </w:rPr>
        <w:t xml:space="preserve">en la cual manifiesta lo siguiente: </w:t>
      </w:r>
    </w:p>
    <w:p w14:paraId="36FF879C" w14:textId="77777777" w:rsidR="00D52DE3" w:rsidRPr="00CA0454" w:rsidRDefault="00D52DE3" w:rsidP="00CA0454">
      <w:pPr>
        <w:spacing w:after="0" w:line="276" w:lineRule="auto"/>
        <w:ind w:left="709" w:right="709"/>
        <w:jc w:val="both"/>
        <w:rPr>
          <w:rFonts w:ascii="Verdana" w:eastAsia="Century Gothic" w:hAnsi="Verdana" w:cs="Century Gothic"/>
          <w:i/>
          <w:color w:val="000000" w:themeColor="text1"/>
          <w:lang w:val="es-ES"/>
        </w:rPr>
      </w:pPr>
      <w:bookmarkStart w:id="2" w:name="_Hlk95313578"/>
    </w:p>
    <w:bookmarkEnd w:id="2"/>
    <w:p w14:paraId="66626210" w14:textId="338A0DDF" w:rsidR="00D52DE3" w:rsidRPr="00AE51E5" w:rsidRDefault="00D52DE3" w:rsidP="00CA0454">
      <w:pPr>
        <w:spacing w:after="0" w:line="240" w:lineRule="auto"/>
        <w:ind w:left="709" w:right="709"/>
        <w:jc w:val="both"/>
        <w:rPr>
          <w:rFonts w:ascii="Verdana" w:eastAsia="Century Gothic" w:hAnsi="Verdana" w:cs="Century Gothic"/>
          <w:i/>
          <w:iCs/>
          <w:color w:val="000000" w:themeColor="text1"/>
          <w:sz w:val="20"/>
          <w:szCs w:val="20"/>
        </w:rPr>
      </w:pPr>
      <w:r w:rsidRPr="00AE51E5">
        <w:rPr>
          <w:rFonts w:ascii="Verdana" w:eastAsia="Century Gothic" w:hAnsi="Verdana" w:cs="Century Gothic"/>
          <w:i/>
          <w:iCs/>
          <w:color w:val="000000" w:themeColor="text1"/>
          <w:sz w:val="20"/>
          <w:szCs w:val="20"/>
          <w:lang w:val="es-ES"/>
        </w:rPr>
        <w:t>“</w:t>
      </w:r>
      <w:r w:rsidRPr="00AE51E5">
        <w:rPr>
          <w:rFonts w:ascii="Verdana" w:eastAsia="Century Gothic" w:hAnsi="Verdana" w:cs="Century Gothic"/>
          <w:i/>
          <w:iCs/>
          <w:color w:val="000000" w:themeColor="text1"/>
          <w:sz w:val="20"/>
          <w:szCs w:val="20"/>
        </w:rPr>
        <w:t xml:space="preserve">¿Puede una entidad rechazar a un proponente que en el momento del cierre no adjunto al (Sic) declaración de renta y bienes y conflicto de intereses </w:t>
      </w:r>
      <w:proofErr w:type="gramStart"/>
      <w:r w:rsidRPr="00AE51E5">
        <w:rPr>
          <w:rFonts w:ascii="Verdana" w:eastAsia="Century Gothic" w:hAnsi="Verdana" w:cs="Century Gothic"/>
          <w:i/>
          <w:iCs/>
          <w:color w:val="000000" w:themeColor="text1"/>
          <w:sz w:val="20"/>
          <w:szCs w:val="20"/>
        </w:rPr>
        <w:t>de acuerdo a</w:t>
      </w:r>
      <w:proofErr w:type="gramEnd"/>
      <w:r w:rsidRPr="00AE51E5">
        <w:rPr>
          <w:rFonts w:ascii="Verdana" w:eastAsia="Century Gothic" w:hAnsi="Verdana" w:cs="Century Gothic"/>
          <w:i/>
          <w:iCs/>
          <w:color w:val="000000" w:themeColor="text1"/>
          <w:sz w:val="20"/>
          <w:szCs w:val="20"/>
        </w:rPr>
        <w:t xml:space="preserve"> la ley 2013 del 2019 aun cuando en el tiempo de subsanación diligencia en el </w:t>
      </w:r>
      <w:proofErr w:type="spellStart"/>
      <w:r w:rsidRPr="00AE51E5">
        <w:rPr>
          <w:rFonts w:ascii="Verdana" w:eastAsia="Century Gothic" w:hAnsi="Verdana" w:cs="Century Gothic"/>
          <w:i/>
          <w:iCs/>
          <w:color w:val="000000" w:themeColor="text1"/>
          <w:sz w:val="20"/>
          <w:szCs w:val="20"/>
        </w:rPr>
        <w:t>Sigep</w:t>
      </w:r>
      <w:proofErr w:type="spellEnd"/>
      <w:r w:rsidRPr="00AE51E5">
        <w:rPr>
          <w:rFonts w:ascii="Verdana" w:eastAsia="Century Gothic" w:hAnsi="Verdana" w:cs="Century Gothic"/>
          <w:i/>
          <w:iCs/>
          <w:color w:val="000000" w:themeColor="text1"/>
          <w:sz w:val="20"/>
          <w:szCs w:val="20"/>
        </w:rPr>
        <w:t xml:space="preserve"> dicho formulario y lo adjunto en el </w:t>
      </w:r>
      <w:r w:rsidRPr="00AE51E5">
        <w:rPr>
          <w:rFonts w:ascii="Verdana" w:eastAsia="Century Gothic" w:hAnsi="Verdana" w:cs="Century Gothic"/>
          <w:i/>
          <w:iCs/>
          <w:color w:val="000000" w:themeColor="text1"/>
          <w:sz w:val="20"/>
          <w:szCs w:val="20"/>
        </w:rPr>
        <w:lastRenderedPageBreak/>
        <w:t>momento establecido por la entidad para subsanar?  Esto en el entendido que en dicho formulario se diligencia  información que existe con anterioridad al cierre y lo que se está haciendo es evidenciar dichas circunstancias  tal como lo indica el  Concepto C-449 de 2026 Temas: SUBSANABILIDAD – Aplicación – Regla general – Excepciones / SUBSANABILIDAD – Circunstancias posteriores – Cierre del proceso - Ley 1882 de 2018</w:t>
      </w:r>
      <w:r>
        <w:rPr>
          <w:rFonts w:ascii="Verdana" w:eastAsia="Century Gothic" w:hAnsi="Verdana" w:cs="Century Gothic"/>
          <w:i/>
          <w:iCs/>
          <w:color w:val="000000" w:themeColor="text1"/>
          <w:sz w:val="20"/>
          <w:szCs w:val="20"/>
        </w:rPr>
        <w:t>”</w:t>
      </w:r>
      <w:r w:rsidRPr="00AE51E5">
        <w:rPr>
          <w:rFonts w:ascii="Verdana" w:eastAsia="Century Gothic" w:hAnsi="Verdana" w:cs="Century Gothic"/>
          <w:i/>
          <w:iCs/>
          <w:color w:val="000000" w:themeColor="text1"/>
          <w:sz w:val="20"/>
          <w:szCs w:val="20"/>
        </w:rPr>
        <w:t>.</w:t>
      </w:r>
    </w:p>
    <w:p w14:paraId="6758DFDE" w14:textId="77777777" w:rsidR="00D52DE3" w:rsidRPr="00AE51E5" w:rsidRDefault="00D52DE3" w:rsidP="00D52DE3">
      <w:pPr>
        <w:spacing w:after="0" w:line="240" w:lineRule="auto"/>
        <w:ind w:left="567" w:right="333"/>
        <w:jc w:val="both"/>
        <w:rPr>
          <w:rFonts w:ascii="Verdana" w:eastAsia="Century Gothic" w:hAnsi="Verdana" w:cs="Century Gothic"/>
          <w:i/>
          <w:iCs/>
          <w:color w:val="000000" w:themeColor="text1"/>
          <w:sz w:val="20"/>
          <w:szCs w:val="20"/>
        </w:rPr>
      </w:pPr>
    </w:p>
    <w:p w14:paraId="0F56F4B2" w14:textId="77777777" w:rsidR="00D52DE3" w:rsidRDefault="00D52DE3" w:rsidP="00D52DE3">
      <w:pPr>
        <w:spacing w:after="0" w:line="240" w:lineRule="auto"/>
        <w:ind w:left="567" w:right="333"/>
        <w:jc w:val="both"/>
        <w:rPr>
          <w:rFonts w:ascii="Verdana" w:eastAsia="Century Gothic" w:hAnsi="Verdana" w:cs="Century Gothic"/>
          <w:i/>
          <w:iCs/>
          <w:color w:val="000000" w:themeColor="text1"/>
          <w:sz w:val="20"/>
          <w:szCs w:val="20"/>
        </w:rPr>
      </w:pPr>
    </w:p>
    <w:p w14:paraId="15F604BE" w14:textId="77777777" w:rsidR="00D52DE3" w:rsidRDefault="00D52DE3" w:rsidP="00D52DE3">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1A20A9B8" w14:textId="77777777" w:rsidR="00D52DE3" w:rsidRPr="00115E3D" w:rsidRDefault="00D52DE3" w:rsidP="00D52DE3">
      <w:pPr>
        <w:spacing w:after="0" w:line="240" w:lineRule="auto"/>
        <w:ind w:right="49"/>
        <w:jc w:val="both"/>
        <w:rPr>
          <w:rFonts w:ascii="Verdana" w:eastAsia="Calibri" w:hAnsi="Verdana" w:cs="Arial"/>
          <w:color w:val="000000" w:themeColor="text1"/>
          <w:szCs w:val="24"/>
          <w:lang w:val="es-ES_tradnl" w:eastAsia="es-ES_tradnl"/>
        </w:rPr>
      </w:pPr>
    </w:p>
    <w:p w14:paraId="721BB043" w14:textId="77777777" w:rsidR="00D52DE3" w:rsidRPr="00115E3D" w:rsidRDefault="00D52DE3" w:rsidP="00D52DE3">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2B45F1ED" w14:textId="77777777" w:rsidR="00D52DE3" w:rsidRDefault="00D52DE3" w:rsidP="00D52DE3">
      <w:pPr>
        <w:spacing w:after="0" w:line="276" w:lineRule="auto"/>
        <w:ind w:firstLine="709"/>
        <w:jc w:val="both"/>
        <w:rPr>
          <w:rFonts w:ascii="Verdana" w:eastAsia="Calibri" w:hAnsi="Verdana" w:cs="Arial"/>
          <w:color w:val="000000" w:themeColor="text1"/>
          <w:lang w:val="es-ES" w:eastAsia="es-ES"/>
        </w:rPr>
      </w:pPr>
    </w:p>
    <w:p w14:paraId="355EE70B" w14:textId="77777777" w:rsidR="00D52DE3" w:rsidRPr="00115E3D" w:rsidRDefault="00D52DE3" w:rsidP="00CA04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w:t>
      </w:r>
      <w:r>
        <w:rPr>
          <w:rFonts w:ascii="Verdana" w:eastAsia="Century Gothic" w:hAnsi="Verdana" w:cs="Century Gothic"/>
          <w:b/>
          <w:bCs/>
          <w:color w:val="000000" w:themeColor="text1"/>
        </w:rPr>
        <w:t>s</w:t>
      </w:r>
      <w:r w:rsidRPr="00115E3D">
        <w:rPr>
          <w:rFonts w:ascii="Verdana" w:eastAsia="Century Gothic" w:hAnsi="Verdana" w:cs="Century Gothic"/>
          <w:b/>
          <w:bCs/>
          <w:color w:val="000000" w:themeColor="text1"/>
        </w:rPr>
        <w:t xml:space="preserve"> planteado</w:t>
      </w:r>
      <w:r>
        <w:rPr>
          <w:rFonts w:ascii="Verdana" w:eastAsia="Century Gothic" w:hAnsi="Verdana" w:cs="Century Gothic"/>
          <w:b/>
          <w:bCs/>
          <w:color w:val="000000" w:themeColor="text1"/>
        </w:rPr>
        <w:t>s</w:t>
      </w:r>
      <w:r w:rsidRPr="00115E3D">
        <w:rPr>
          <w:rFonts w:ascii="Verdana" w:eastAsia="Century Gothic" w:hAnsi="Verdana" w:cs="Century Gothic"/>
          <w:b/>
          <w:bCs/>
          <w:color w:val="000000" w:themeColor="text1"/>
        </w:rPr>
        <w:t>:</w:t>
      </w:r>
    </w:p>
    <w:p w14:paraId="14D25196" w14:textId="77777777" w:rsidR="00D52DE3" w:rsidRPr="00115E3D" w:rsidRDefault="00D52DE3" w:rsidP="00D52DE3">
      <w:pPr>
        <w:tabs>
          <w:tab w:val="left" w:pos="426"/>
        </w:tabs>
        <w:spacing w:after="0" w:line="276" w:lineRule="auto"/>
        <w:jc w:val="both"/>
        <w:rPr>
          <w:rFonts w:ascii="Verdana" w:eastAsia="Century Gothic" w:hAnsi="Verdana" w:cs="Century Gothic"/>
          <w:color w:val="000000" w:themeColor="text1"/>
          <w:lang w:val="es-ES"/>
        </w:rPr>
      </w:pPr>
    </w:p>
    <w:p w14:paraId="6390B0FF" w14:textId="77777777" w:rsidR="00D52DE3" w:rsidRPr="0092729C" w:rsidRDefault="00D52DE3" w:rsidP="00D52DE3">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 siguiente</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 xml:space="preserve"> </w:t>
      </w:r>
      <w:r w:rsidRPr="00115E3D">
        <w:rPr>
          <w:rFonts w:ascii="Verdana" w:eastAsia="Century Gothic" w:hAnsi="Verdana" w:cs="Century Gothic"/>
          <w:color w:val="000000" w:themeColor="text1"/>
        </w:rPr>
        <w:t>jurídico:</w:t>
      </w:r>
      <w:r>
        <w:rPr>
          <w:rFonts w:ascii="Verdana" w:eastAsia="Century Gothic" w:hAnsi="Verdana" w:cs="Century Gothic"/>
          <w:color w:val="000000" w:themeColor="text1"/>
        </w:rPr>
        <w:t xml:space="preserve"> </w:t>
      </w:r>
      <w:r w:rsidRPr="00AD634B">
        <w:rPr>
          <w:rFonts w:ascii="Verdana" w:eastAsia="Century Gothic" w:hAnsi="Verdana" w:cs="Century Gothic"/>
          <w:color w:val="000000" w:themeColor="text1"/>
        </w:rPr>
        <w:t>¿Puede una entidad estatal rechazar una oferta cuando el proponente no adjuntó con su propuesta la declaración de bienes y rentas y de conflictos de interés exigida por la Ley 2013 de 2019, pese a que dicho documento fue diligenciado en el SIGEP y aportado dentro del término de subsanación, acreditando circunstancias preexistentes al cierre del proceso?</w:t>
      </w:r>
    </w:p>
    <w:p w14:paraId="40E307BE" w14:textId="77777777" w:rsidR="00D52DE3" w:rsidRDefault="00D52DE3" w:rsidP="00D52DE3">
      <w:pPr>
        <w:spacing w:after="0" w:line="276" w:lineRule="auto"/>
        <w:jc w:val="both"/>
        <w:rPr>
          <w:rFonts w:ascii="Verdana" w:eastAsia="Century Gothic" w:hAnsi="Verdana" w:cs="Century Gothic"/>
          <w:color w:val="000000" w:themeColor="text1"/>
        </w:rPr>
      </w:pPr>
    </w:p>
    <w:p w14:paraId="60ACED72" w14:textId="77777777" w:rsidR="00D52DE3" w:rsidRPr="00115E3D" w:rsidRDefault="00D52DE3" w:rsidP="00CA045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CA0454">
        <w:rPr>
          <w:rFonts w:ascii="Verdana" w:eastAsia="Century Gothic" w:hAnsi="Verdana" w:cs="Century Gothic"/>
          <w:b/>
          <w:color w:val="000000" w:themeColor="text1"/>
        </w:rPr>
        <w:lastRenderedPageBreak/>
        <w:t xml:space="preserve"> </w:t>
      </w:r>
      <w:r w:rsidRPr="00115E3D">
        <w:rPr>
          <w:rFonts w:ascii="Verdana" w:eastAsia="Century Gothic" w:hAnsi="Verdana" w:cs="Century Gothic"/>
          <w:b/>
          <w:bCs/>
          <w:color w:val="000000" w:themeColor="text1"/>
        </w:rPr>
        <w:t>Respuesta:</w:t>
      </w:r>
    </w:p>
    <w:p w14:paraId="651E1E0E" w14:textId="77777777" w:rsidR="00D52DE3" w:rsidRPr="00115E3D" w:rsidRDefault="00D52DE3" w:rsidP="00D52DE3">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52DE3" w:rsidRPr="00115E3D" w14:paraId="55CC1EAC" w14:textId="77777777" w:rsidTr="00096425">
        <w:trPr>
          <w:trHeight w:val="774"/>
        </w:trPr>
        <w:tc>
          <w:tcPr>
            <w:tcW w:w="8828" w:type="dxa"/>
          </w:tcPr>
          <w:p w14:paraId="4F73F1A7" w14:textId="77777777" w:rsidR="00D52DE3" w:rsidRDefault="00D52DE3" w:rsidP="00096425">
            <w:pPr>
              <w:spacing w:after="120" w:line="276" w:lineRule="auto"/>
              <w:jc w:val="both"/>
              <w:rPr>
                <w:rFonts w:ascii="Verdana" w:eastAsia="Arial" w:hAnsi="Verdana" w:cs="Arial"/>
              </w:rPr>
            </w:pPr>
            <w:r w:rsidRPr="000B19E6">
              <w:rPr>
                <w:rFonts w:ascii="Verdana" w:eastAsia="Arial" w:hAnsi="Verdana" w:cs="Arial"/>
              </w:rPr>
              <w:t xml:space="preserve">La Agencia Nacional de Contratación Pública – Colombia Compra Eficiente ha señalado de manera reiterada que la regla de </w:t>
            </w:r>
            <w:proofErr w:type="spellStart"/>
            <w:r w:rsidRPr="000B19E6">
              <w:rPr>
                <w:rFonts w:ascii="Verdana" w:eastAsia="Arial" w:hAnsi="Verdana" w:cs="Arial"/>
              </w:rPr>
              <w:t>subsanabilidad</w:t>
            </w:r>
            <w:proofErr w:type="spellEnd"/>
            <w:r w:rsidRPr="000B19E6">
              <w:rPr>
                <w:rFonts w:ascii="Verdana" w:eastAsia="Arial" w:hAnsi="Verdana" w:cs="Arial"/>
              </w:rPr>
              <w:t xml:space="preserve"> prevista en el parágrafo 1 del artículo 5 de la Ley 1150 de 2007, modificado por el artículo 5 de la Ley 1882 de 2018, constituye un mecanismo orientado a garantizar la prevalencia del derecho sustancial y la selección objetiva, permitiendo a los proponentes corregir o aportar aquellos documentos de la oferta que no sean necesarios para la comparación de las propuestas y respecto de los cuales no se asignen puntajes.</w:t>
            </w:r>
          </w:p>
          <w:p w14:paraId="2E0A6318" w14:textId="4B67E5FB" w:rsidR="00D52DE3" w:rsidRPr="000B19E6" w:rsidRDefault="00D52DE3" w:rsidP="00096425">
            <w:pPr>
              <w:spacing w:after="120" w:line="276" w:lineRule="auto"/>
              <w:jc w:val="both"/>
              <w:rPr>
                <w:rFonts w:ascii="Verdana" w:eastAsia="Arial" w:hAnsi="Verdana" w:cs="Arial"/>
              </w:rPr>
            </w:pPr>
            <w:r>
              <w:rPr>
                <w:rFonts w:ascii="Verdana" w:eastAsia="Arial" w:hAnsi="Verdana" w:cs="Arial"/>
              </w:rPr>
              <w:t xml:space="preserve">         </w:t>
            </w:r>
            <w:r w:rsidR="00365055">
              <w:rPr>
                <w:rFonts w:ascii="Verdana" w:eastAsia="Arial" w:hAnsi="Verdana" w:cs="Arial"/>
              </w:rPr>
              <w:t>Así mismo</w:t>
            </w:r>
            <w:r w:rsidRPr="000B19E6">
              <w:rPr>
                <w:rFonts w:ascii="Verdana" w:eastAsia="Arial" w:hAnsi="Verdana" w:cs="Arial"/>
              </w:rPr>
              <w:t xml:space="preserve">, mediante el Concepto C-449 del 1 de mayo de 2026, esta Agencia precisó que la </w:t>
            </w:r>
            <w:proofErr w:type="spellStart"/>
            <w:r w:rsidRPr="000B19E6">
              <w:rPr>
                <w:rFonts w:ascii="Verdana" w:eastAsia="Arial" w:hAnsi="Verdana" w:cs="Arial"/>
              </w:rPr>
              <w:t>subsanabilidad</w:t>
            </w:r>
            <w:proofErr w:type="spellEnd"/>
            <w:r w:rsidRPr="000B19E6">
              <w:rPr>
                <w:rFonts w:ascii="Verdana" w:eastAsia="Arial" w:hAnsi="Verdana" w:cs="Arial"/>
              </w:rPr>
              <w:t xml:space="preserve"> no recae sobre hechos o circunstancias ocurridas con posterioridad al cierre del proceso, sino sobre la acreditación o prueba de circunstancias que existían antes del vencimiento del plazo para presentar ofertas. En consecuencia, la limitación introducida por la Ley 1882 de 2018 busca impedir que un oferente adquiera o cumpla requisitos con posterioridad al cierre del proceso de selección, o que modifique las condiciones sustanciales de su propuesta una vez presentada.</w:t>
            </w:r>
          </w:p>
          <w:p w14:paraId="5F8857E0" w14:textId="77777777" w:rsidR="00D52DE3" w:rsidRPr="000B19E6" w:rsidRDefault="00D52DE3" w:rsidP="00096425">
            <w:pPr>
              <w:spacing w:after="120" w:line="276" w:lineRule="auto"/>
              <w:jc w:val="both"/>
              <w:rPr>
                <w:rFonts w:ascii="Verdana" w:eastAsia="Arial" w:hAnsi="Verdana" w:cs="Arial"/>
              </w:rPr>
            </w:pPr>
            <w:r>
              <w:rPr>
                <w:rFonts w:ascii="Verdana" w:eastAsia="Arial" w:hAnsi="Verdana" w:cs="Arial"/>
              </w:rPr>
              <w:t xml:space="preserve">         </w:t>
            </w:r>
            <w:r w:rsidRPr="000B19E6">
              <w:rPr>
                <w:rFonts w:ascii="Verdana" w:eastAsia="Arial" w:hAnsi="Verdana" w:cs="Arial"/>
              </w:rPr>
              <w:t xml:space="preserve">Bajo esta perspectiva, para determinar si la ausencia de la </w:t>
            </w:r>
            <w:r w:rsidRPr="00AD634B">
              <w:rPr>
                <w:rFonts w:ascii="Verdana" w:eastAsia="Century Gothic" w:hAnsi="Verdana" w:cs="Century Gothic"/>
                <w:color w:val="000000" w:themeColor="text1"/>
              </w:rPr>
              <w:t xml:space="preserve">declaración de bienes y rentas y de conflictos de interés </w:t>
            </w:r>
            <w:r w:rsidRPr="000B19E6">
              <w:rPr>
                <w:rFonts w:ascii="Verdana" w:eastAsia="Arial" w:hAnsi="Verdana" w:cs="Arial"/>
              </w:rPr>
              <w:t>previsto en la Ley 2013 de 2019 puede ser objeto de subsanación, la entidad debe verificar dos aspectos:</w:t>
            </w:r>
          </w:p>
          <w:p w14:paraId="0CA00325" w14:textId="77777777" w:rsidR="00D52DE3" w:rsidRPr="000B19E6" w:rsidRDefault="00D52DE3" w:rsidP="00096425">
            <w:pPr>
              <w:spacing w:after="120" w:line="276" w:lineRule="auto"/>
              <w:jc w:val="both"/>
              <w:rPr>
                <w:rFonts w:ascii="Verdana" w:eastAsia="Arial" w:hAnsi="Verdana" w:cs="Arial"/>
              </w:rPr>
            </w:pPr>
            <w:r w:rsidRPr="000B19E6">
              <w:rPr>
                <w:rFonts w:ascii="Verdana" w:eastAsia="Arial" w:hAnsi="Verdana" w:cs="Arial"/>
              </w:rPr>
              <w:t xml:space="preserve">         i) si tales documentos </w:t>
            </w:r>
            <w:r>
              <w:rPr>
                <w:rFonts w:ascii="Verdana" w:eastAsia="Arial" w:hAnsi="Verdana" w:cs="Arial"/>
              </w:rPr>
              <w:t xml:space="preserve">es </w:t>
            </w:r>
            <w:r w:rsidRPr="000B19E6">
              <w:rPr>
                <w:rFonts w:ascii="Verdana" w:eastAsia="Arial" w:hAnsi="Verdana" w:cs="Arial"/>
              </w:rPr>
              <w:t>necesari</w:t>
            </w:r>
            <w:r>
              <w:rPr>
                <w:rFonts w:ascii="Verdana" w:eastAsia="Arial" w:hAnsi="Verdana" w:cs="Arial"/>
              </w:rPr>
              <w:t>o</w:t>
            </w:r>
            <w:r w:rsidRPr="000B19E6">
              <w:rPr>
                <w:rFonts w:ascii="Verdana" w:eastAsia="Arial" w:hAnsi="Verdana" w:cs="Arial"/>
              </w:rPr>
              <w:t xml:space="preserve"> para la comparación de las ofertas o inciden en la asignación de puntaje; y</w:t>
            </w:r>
          </w:p>
          <w:p w14:paraId="71A562F4" w14:textId="77777777" w:rsidR="00D52DE3" w:rsidRPr="000B19E6" w:rsidRDefault="00D52DE3" w:rsidP="00096425">
            <w:pPr>
              <w:spacing w:after="120" w:line="276" w:lineRule="auto"/>
              <w:jc w:val="both"/>
              <w:rPr>
                <w:rFonts w:ascii="Verdana" w:eastAsia="Arial" w:hAnsi="Verdana" w:cs="Arial"/>
              </w:rPr>
            </w:pPr>
            <w:r w:rsidRPr="000B19E6">
              <w:rPr>
                <w:rFonts w:ascii="Verdana" w:eastAsia="Arial" w:hAnsi="Verdana" w:cs="Arial"/>
              </w:rPr>
              <w:t xml:space="preserve">        ii) si la información o circunstancia que acreditan existía con anterioridad al cierre del proceso de selección.</w:t>
            </w:r>
          </w:p>
          <w:p w14:paraId="70D2138A" w14:textId="6BEEB44F" w:rsidR="00D52DE3" w:rsidRPr="000B19E6" w:rsidRDefault="00D52DE3" w:rsidP="00096425">
            <w:pPr>
              <w:spacing w:after="120" w:line="276" w:lineRule="auto"/>
              <w:jc w:val="both"/>
              <w:rPr>
                <w:rFonts w:ascii="Verdana" w:eastAsia="Arial" w:hAnsi="Verdana" w:cs="Arial"/>
              </w:rPr>
            </w:pPr>
            <w:r>
              <w:rPr>
                <w:rFonts w:ascii="Verdana" w:eastAsia="Arial" w:hAnsi="Verdana" w:cs="Arial"/>
              </w:rPr>
              <w:t xml:space="preserve">         </w:t>
            </w:r>
            <w:r w:rsidRPr="000B19E6">
              <w:rPr>
                <w:rFonts w:ascii="Verdana" w:eastAsia="Arial" w:hAnsi="Verdana" w:cs="Arial"/>
              </w:rPr>
              <w:t>Respecto del primer aspecto, se observa que los documentos derivados de la Ley 2013 de 2019 tienen una finalidad de transparencia, publicidad y control, relacionada con la divulgación de información patrimonial, tributaria y de posibles conflictos de interés de los sujetos obligados. Tales documentos no constituyen factores de evaluación, no generan puntaje y no afectan la comparación objetiva de las ofertas, razón por la cual, desde la perspectiva del artículo 5 de la Ley 1882 de 2018, no corresponden a elementos cuya ausencia conduzca, por sí misma, al rechazo de la propuesta</w:t>
            </w:r>
            <w:r w:rsidR="0007023E">
              <w:rPr>
                <w:rFonts w:ascii="Verdana" w:eastAsia="Arial" w:hAnsi="Verdana" w:cs="Arial"/>
              </w:rPr>
              <w:t>, p</w:t>
            </w:r>
            <w:r w:rsidR="00FA3594">
              <w:rPr>
                <w:rFonts w:ascii="Verdana" w:eastAsia="Arial" w:hAnsi="Verdana" w:cs="Arial"/>
              </w:rPr>
              <w:t xml:space="preserve">or el contrario, </w:t>
            </w:r>
            <w:r w:rsidR="00FA3594">
              <w:rPr>
                <w:rFonts w:ascii="Verdana" w:eastAsia="Arial" w:hAnsi="Verdana" w:cs="Arial"/>
              </w:rPr>
              <w:lastRenderedPageBreak/>
              <w:t xml:space="preserve">la no entrega de este documento podría </w:t>
            </w:r>
            <w:r w:rsidR="0007023E">
              <w:rPr>
                <w:rFonts w:ascii="Verdana" w:eastAsia="Arial" w:hAnsi="Verdana" w:cs="Arial"/>
              </w:rPr>
              <w:t xml:space="preserve">ser objeto de subsanación dentro del término correspondiente. </w:t>
            </w:r>
          </w:p>
          <w:p w14:paraId="46447A5C" w14:textId="77777777" w:rsidR="00D52DE3" w:rsidRPr="000B19E6" w:rsidRDefault="00D52DE3" w:rsidP="00096425">
            <w:pPr>
              <w:spacing w:after="120" w:line="276" w:lineRule="auto"/>
              <w:jc w:val="both"/>
              <w:rPr>
                <w:rFonts w:ascii="Verdana" w:eastAsia="Arial" w:hAnsi="Verdana" w:cs="Arial"/>
              </w:rPr>
            </w:pPr>
            <w:r>
              <w:rPr>
                <w:rFonts w:ascii="Verdana" w:eastAsia="Arial" w:hAnsi="Verdana" w:cs="Arial"/>
              </w:rPr>
              <w:t xml:space="preserve">         </w:t>
            </w:r>
            <w:r w:rsidRPr="000B19E6">
              <w:rPr>
                <w:rFonts w:ascii="Verdana" w:eastAsia="Arial" w:hAnsi="Verdana" w:cs="Arial"/>
              </w:rPr>
              <w:t xml:space="preserve">En relación con el segundo aspecto, debe tenerse en cuenta que </w:t>
            </w:r>
            <w:r w:rsidRPr="00AD634B">
              <w:rPr>
                <w:rFonts w:ascii="Verdana" w:eastAsia="Century Gothic" w:hAnsi="Verdana" w:cs="Century Gothic"/>
                <w:color w:val="000000" w:themeColor="text1"/>
              </w:rPr>
              <w:t xml:space="preserve">declaración de bienes y rentas y de conflictos de interés </w:t>
            </w:r>
            <w:r w:rsidRPr="000B19E6">
              <w:rPr>
                <w:rFonts w:ascii="Verdana" w:eastAsia="Arial" w:hAnsi="Verdana" w:cs="Arial"/>
              </w:rPr>
              <w:t>contiene</w:t>
            </w:r>
            <w:r>
              <w:rPr>
                <w:rFonts w:ascii="Verdana" w:eastAsia="Arial" w:hAnsi="Verdana" w:cs="Arial"/>
              </w:rPr>
              <w:t xml:space="preserve"> </w:t>
            </w:r>
            <w:r w:rsidRPr="000B19E6">
              <w:rPr>
                <w:rFonts w:ascii="Verdana" w:eastAsia="Arial" w:hAnsi="Verdana" w:cs="Arial"/>
              </w:rPr>
              <w:t>información relativa a circunstancias jurídicas, patrimoniales y tributarias que, por su propia naturaleza, existen con anterioridad al cierre del proceso de selección. Por ello, cuando el proponente diligencia el formulario correspondiente en el SIGEP y lo aporta durante el término de subsanación concedido por la entidad, no está creando una nueva condición habilitante ni adquiriendo un requisito que no poseía al momento de presentar la oferta; simplemente está acreditando formalmente una situación preexistente.</w:t>
            </w:r>
          </w:p>
          <w:p w14:paraId="4C17048C" w14:textId="77777777" w:rsidR="00D52DE3" w:rsidRPr="000B19E6" w:rsidRDefault="00D52DE3" w:rsidP="00096425">
            <w:pPr>
              <w:spacing w:after="120" w:line="276" w:lineRule="auto"/>
              <w:jc w:val="both"/>
              <w:rPr>
                <w:rFonts w:ascii="Verdana" w:eastAsia="Arial" w:hAnsi="Verdana" w:cs="Arial"/>
              </w:rPr>
            </w:pPr>
            <w:r>
              <w:rPr>
                <w:rFonts w:ascii="Verdana" w:eastAsia="Arial" w:hAnsi="Verdana" w:cs="Arial"/>
              </w:rPr>
              <w:t xml:space="preserve">         </w:t>
            </w:r>
            <w:r w:rsidRPr="000B19E6">
              <w:rPr>
                <w:rFonts w:ascii="Verdana" w:eastAsia="Arial" w:hAnsi="Verdana" w:cs="Arial"/>
              </w:rPr>
              <w:t>Tal como se indicó en el Concepto C-449 del 1 de mayo de 2026, una cosa es el requisito o la circunstancia que debe existir al momento del cierre y otra distinta es el documento mediante el cual dicha circunstancia se acredita. En consecuencia, la regla legal no exige que el documento tenga fecha anterior al cierre del proceso, sino que el hecho o condición acreditada exista antes de dicho momento. Por ello, la circunstancia de que el formulario haya sido diligenciado en el SIGEP con posterioridad al cierre no impide su subsanación, siempre que la información allí contenida corresponda a hechos, situaciones o condiciones existentes con anterioridad al vencimiento del plazo para presentar ofertas.</w:t>
            </w:r>
          </w:p>
          <w:p w14:paraId="2A1642A2" w14:textId="77777777" w:rsidR="00D52DE3" w:rsidRPr="000B19E6" w:rsidRDefault="00D52DE3" w:rsidP="00096425">
            <w:pPr>
              <w:spacing w:after="120" w:line="276" w:lineRule="auto"/>
              <w:jc w:val="both"/>
              <w:rPr>
                <w:rFonts w:ascii="Verdana" w:eastAsia="Arial" w:hAnsi="Verdana" w:cs="Arial"/>
              </w:rPr>
            </w:pPr>
            <w:r>
              <w:rPr>
                <w:rFonts w:ascii="Verdana" w:eastAsia="Arial" w:hAnsi="Verdana" w:cs="Arial"/>
              </w:rPr>
              <w:t xml:space="preserve">         </w:t>
            </w:r>
            <w:r w:rsidRPr="000B19E6">
              <w:rPr>
                <w:rFonts w:ascii="Verdana" w:eastAsia="Arial" w:hAnsi="Verdana" w:cs="Arial"/>
              </w:rPr>
              <w:t xml:space="preserve">De esta manera, la interpretación sistemática del artículo 5 de la Ley 1150 de 2007, modificado por la Ley 1882 de 2018, conduce a concluir que la omisión inicial de </w:t>
            </w:r>
            <w:r w:rsidRPr="00AD634B">
              <w:rPr>
                <w:rFonts w:ascii="Verdana" w:eastAsia="Century Gothic" w:hAnsi="Verdana" w:cs="Century Gothic"/>
                <w:color w:val="000000" w:themeColor="text1"/>
              </w:rPr>
              <w:t xml:space="preserve">declaración de bienes y rentas y de conflictos de interés </w:t>
            </w:r>
            <w:r w:rsidRPr="000B19E6">
              <w:rPr>
                <w:rFonts w:ascii="Verdana" w:eastAsia="Arial" w:hAnsi="Verdana" w:cs="Arial"/>
              </w:rPr>
              <w:t>no constituye, por regla general, una causal autónoma de rechazo, cuando dichos documentos son aportados dentro del término de subsanación y acreditan circunstancias preexistentes al cierre del proceso.</w:t>
            </w:r>
          </w:p>
          <w:p w14:paraId="3306F72D" w14:textId="77777777" w:rsidR="00D52DE3" w:rsidRPr="00B643B2" w:rsidRDefault="00D52DE3" w:rsidP="00096425">
            <w:pPr>
              <w:spacing w:after="120" w:line="276" w:lineRule="auto"/>
              <w:jc w:val="both"/>
              <w:rPr>
                <w:rFonts w:ascii="Verdana" w:eastAsia="Calibri" w:hAnsi="Verdana"/>
              </w:rPr>
            </w:pPr>
            <w:r w:rsidRPr="00122D7C">
              <w:rPr>
                <w:rFonts w:ascii="Verdana" w:eastAsia="Arial" w:hAnsi="Verdana" w:cs="Arial"/>
              </w:rPr>
              <w:t xml:space="preserve"> </w:t>
            </w:r>
            <w:r>
              <w:rPr>
                <w:rFonts w:ascii="Verdana" w:eastAsia="Calibri" w:hAnsi="Verdana"/>
              </w:rPr>
              <w:t xml:space="preserve">        Finalmente</w:t>
            </w:r>
            <w:r w:rsidRPr="00B643B2">
              <w:rPr>
                <w:rFonts w:ascii="Verdana" w:eastAsia="Calibri" w:hAnsi="Verdana"/>
              </w:rPr>
              <w:t xml:space="preserv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w:t>
            </w:r>
            <w:r w:rsidRPr="00B643B2">
              <w:rPr>
                <w:rFonts w:ascii="Verdana" w:eastAsia="Calibri" w:hAnsi="Verdana"/>
              </w:rPr>
              <w:lastRenderedPageBreak/>
              <w:t>corresponderá a los interesados adoptar la decisión y, en caso de conflicto, a las autoridades judiciales, fiscales y disciplinarias.</w:t>
            </w:r>
          </w:p>
          <w:p w14:paraId="2D454746" w14:textId="77777777" w:rsidR="00D52DE3" w:rsidRPr="0029110A" w:rsidRDefault="00D52DE3" w:rsidP="00096425">
            <w:pPr>
              <w:spacing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A7FC537" w14:textId="77777777" w:rsidR="00D52DE3" w:rsidRDefault="00D52DE3" w:rsidP="00D52DE3">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72BDAA51" w14:textId="77777777" w:rsidR="00D52DE3" w:rsidRDefault="00D52DE3" w:rsidP="00D52DE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13BCF5F" w14:textId="77777777" w:rsidR="00D52DE3" w:rsidRDefault="00D52DE3" w:rsidP="00D52DE3">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1E8F69B9" w14:textId="77777777" w:rsidR="00D52DE3" w:rsidRDefault="00D52DE3" w:rsidP="00D52DE3">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7ED79B92" w14:textId="77777777" w:rsidR="00D52DE3" w:rsidRPr="003C0ED7" w:rsidRDefault="00D52DE3" w:rsidP="00D52DE3">
      <w:pPr>
        <w:spacing w:after="0" w:line="276" w:lineRule="auto"/>
        <w:jc w:val="both"/>
        <w:rPr>
          <w:rFonts w:ascii="Verdana" w:eastAsia="Calibri" w:hAnsi="Verdana" w:cs="Arial"/>
          <w:lang w:val="es-ES"/>
        </w:rPr>
      </w:pPr>
    </w:p>
    <w:p w14:paraId="3078272D" w14:textId="77777777" w:rsidR="00D52DE3" w:rsidRDefault="00D52DE3" w:rsidP="00CA0454">
      <w:pPr>
        <w:spacing w:after="120" w:line="276" w:lineRule="auto"/>
        <w:jc w:val="both"/>
        <w:rPr>
          <w:rFonts w:ascii="Verdana" w:eastAsia="Times New Roman" w:hAnsi="Verdana" w:cs="Arial"/>
          <w:lang w:val="es-ES_tradnl" w:eastAsia="es-ES_tradnl"/>
        </w:rPr>
      </w:pPr>
      <w:r w:rsidRPr="00D16A5E">
        <w:rPr>
          <w:rFonts w:ascii="Verdana" w:hAnsi="Verdana" w:cs="Arial"/>
          <w:noProof/>
          <w:lang w:val="es-ES_tradnl"/>
        </w:rPr>
        <w:t>L</w:t>
      </w:r>
      <w:r w:rsidRPr="00D16A5E">
        <w:rPr>
          <w:rFonts w:ascii="Verdana" w:eastAsia="Times New Roman" w:hAnsi="Verdana" w:cs="Arial"/>
        </w:rPr>
        <w:t xml:space="preserve">a regla de la </w:t>
      </w:r>
      <w:proofErr w:type="spellStart"/>
      <w:r w:rsidRPr="00D16A5E">
        <w:rPr>
          <w:rFonts w:ascii="Verdana" w:eastAsia="Times New Roman" w:hAnsi="Verdana" w:cs="Arial"/>
        </w:rPr>
        <w:t>subsanabilidad</w:t>
      </w:r>
      <w:proofErr w:type="spellEnd"/>
      <w:r w:rsidRPr="00D16A5E">
        <w:rPr>
          <w:rFonts w:ascii="Verdana" w:eastAsia="Times New Roman" w:hAnsi="Verdana" w:cs="Arial"/>
        </w:rPr>
        <w:t xml:space="preserve"> de las ofertas en los procedimientos de selección</w:t>
      </w:r>
      <w:r w:rsidRPr="00D16A5E">
        <w:rPr>
          <w:rFonts w:ascii="Verdana" w:eastAsia="Times New Roman" w:hAnsi="Verdana" w:cs="Arial"/>
          <w:b/>
          <w:bCs/>
        </w:rPr>
        <w:t xml:space="preserve"> </w:t>
      </w:r>
      <w:r w:rsidRPr="00D16A5E">
        <w:rPr>
          <w:rFonts w:ascii="Verdana" w:eastAsia="Times New Roman" w:hAnsi="Verdana" w:cs="Arial"/>
          <w:lang w:val="es-ES_tradnl" w:eastAsia="es-ES_tradnl"/>
        </w:rPr>
        <w:t>indica que, por regla general, la falta de entrega y los defectos en la acreditación de los requisitos habilitantes son aspectos subsanables. La excepción</w:t>
      </w:r>
      <w:r>
        <w:rPr>
          <w:rFonts w:ascii="Verdana" w:eastAsia="Times New Roman" w:hAnsi="Verdana" w:cs="Arial"/>
          <w:lang w:val="es-ES_tradnl" w:eastAsia="es-ES_tradnl"/>
        </w:rPr>
        <w:t xml:space="preserve"> a esta regla </w:t>
      </w:r>
      <w:r w:rsidRPr="00D16A5E">
        <w:rPr>
          <w:rFonts w:ascii="Verdana" w:eastAsia="Times New Roman" w:hAnsi="Verdana" w:cs="Arial"/>
          <w:lang w:val="es-ES_tradnl" w:eastAsia="es-ES_tradnl"/>
        </w:rPr>
        <w:t>se encuentra en la prohibición de permitir la entrega de la garantía de seriedad de la oferta que no fue aportada con la propuesta y de valer la acreditación de circunstancias ocurridas con posterioridad al cierre del proceso.</w:t>
      </w:r>
    </w:p>
    <w:p w14:paraId="0C83BBFF" w14:textId="77777777" w:rsidR="00D52DE3" w:rsidRPr="00447C67" w:rsidRDefault="00D52DE3" w:rsidP="00D52DE3">
      <w:pPr>
        <w:spacing w:after="120" w:line="276" w:lineRule="auto"/>
        <w:ind w:firstLine="708"/>
        <w:jc w:val="both"/>
        <w:rPr>
          <w:rFonts w:ascii="Verdana" w:eastAsia="Times New Roman" w:hAnsi="Verdana" w:cs="Arial"/>
          <w:lang w:val="es-ES_tradnl" w:eastAsia="es-ES_tradnl"/>
        </w:rPr>
      </w:pPr>
      <w:r>
        <w:rPr>
          <w:rFonts w:ascii="Verdana" w:eastAsia="Times New Roman" w:hAnsi="Verdana" w:cs="Arial"/>
          <w:lang w:val="es-ES_tradnl" w:eastAsia="es-ES_tradnl"/>
        </w:rPr>
        <w:t>L</w:t>
      </w:r>
      <w:r w:rsidRPr="00D16A5E">
        <w:rPr>
          <w:rFonts w:ascii="Verdana" w:eastAsia="Times New Roman" w:hAnsi="Verdana" w:cs="Arial"/>
          <w:lang w:val="es-ES_tradnl" w:eastAsia="es-ES_tradnl"/>
        </w:rPr>
        <w:t>a posibilidad de enmendar, corregir o subsanar los errores en los que se incurre en los documentos contentivos de la oferta es un tema que ha tenido diferentes momentos o etapas en el ordenamiento jurídico colombiano.</w:t>
      </w:r>
      <w:r>
        <w:rPr>
          <w:rFonts w:ascii="Verdana" w:eastAsia="Times New Roman" w:hAnsi="Verdana" w:cs="Arial"/>
          <w:lang w:val="es-ES_tradnl" w:eastAsia="es-ES_tradnl"/>
        </w:rPr>
        <w:t xml:space="preserve"> En atención a </w:t>
      </w:r>
      <w:r w:rsidRPr="00D16A5E">
        <w:rPr>
          <w:rFonts w:ascii="Verdana" w:eastAsia="Times New Roman" w:hAnsi="Verdana" w:cs="Arial"/>
          <w:lang w:val="es-ES" w:eastAsia="es-ES"/>
        </w:rPr>
        <w:t xml:space="preserve">lo anterior, a continuación, se hará referencia en forma general a los antecedentes de las diferentes posturas en torno a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w:t>
      </w:r>
    </w:p>
    <w:p w14:paraId="34CFE687" w14:textId="77777777" w:rsidR="00D52DE3" w:rsidRPr="00D16A5E" w:rsidRDefault="00D52DE3" w:rsidP="00D52DE3">
      <w:pPr>
        <w:spacing w:after="120" w:line="276" w:lineRule="auto"/>
        <w:ind w:firstLine="708"/>
        <w:jc w:val="both"/>
        <w:rPr>
          <w:rFonts w:ascii="Verdana" w:eastAsia="Calibri" w:hAnsi="Verdana" w:cs="Arial"/>
          <w:lang w:val="es-ES" w:eastAsia="es-ES"/>
        </w:rPr>
      </w:pPr>
      <w:r w:rsidRPr="00D16A5E">
        <w:rPr>
          <w:rFonts w:ascii="Verdana" w:eastAsia="Times New Roman" w:hAnsi="Verdana" w:cs="Arial"/>
          <w:lang w:val="es-ES" w:eastAsia="es-ES"/>
        </w:rPr>
        <w:t xml:space="preserve">En un </w:t>
      </w:r>
      <w:r w:rsidRPr="00D16A5E">
        <w:rPr>
          <w:rFonts w:ascii="Verdana" w:eastAsia="Times New Roman" w:hAnsi="Verdana" w:cs="Arial"/>
          <w:i/>
          <w:lang w:val="es-ES" w:eastAsia="es-ES"/>
        </w:rPr>
        <w:t>primer momento</w:t>
      </w:r>
      <w:r w:rsidRPr="00D16A5E">
        <w:rPr>
          <w:rFonts w:ascii="Verdana" w:eastAsia="Times New Roman" w:hAnsi="Verdana" w:cs="Arial"/>
          <w:lang w:val="es-ES" w:eastAsia="es-ES"/>
        </w:rPr>
        <w:t xml:space="preserve">, antes de la entrada en vigor de la Constitución Política de 1991, el régimen jurídico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26CB880F" w14:textId="77777777" w:rsidR="00D52DE3" w:rsidRPr="00D16A5E" w:rsidRDefault="00D52DE3" w:rsidP="00D52DE3">
      <w:pPr>
        <w:spacing w:after="0" w:line="276" w:lineRule="auto"/>
        <w:ind w:firstLine="709"/>
        <w:jc w:val="both"/>
        <w:rPr>
          <w:rFonts w:ascii="Verdana" w:eastAsia="Times New Roman" w:hAnsi="Verdana" w:cs="Arial"/>
          <w:lang w:val="es-ES" w:eastAsia="es-ES"/>
        </w:rPr>
      </w:pPr>
      <w:r w:rsidRPr="23327E23">
        <w:rPr>
          <w:rFonts w:ascii="Verdana" w:eastAsia="Times New Roman" w:hAnsi="Verdana" w:cs="Arial"/>
          <w:lang w:val="es-ES" w:eastAsia="es-ES"/>
        </w:rPr>
        <w:lastRenderedPageBreak/>
        <w:t xml:space="preserve">En un </w:t>
      </w:r>
      <w:r w:rsidRPr="23327E23">
        <w:rPr>
          <w:rFonts w:ascii="Verdana" w:eastAsia="Times New Roman" w:hAnsi="Verdana" w:cs="Arial"/>
          <w:i/>
          <w:lang w:val="es-ES" w:eastAsia="es-ES"/>
        </w:rPr>
        <w:t>segundo momento</w:t>
      </w:r>
      <w:r w:rsidRPr="23327E23">
        <w:rPr>
          <w:rFonts w:ascii="Verdana" w:eastAsia="Times New Roman" w:hAnsi="Verdana" w:cs="Arial"/>
          <w:lang w:val="es-ES" w:eastAsia="es-ES"/>
        </w:rPr>
        <w:t xml:space="preserve"> se expidió la Ley 80 de 1993, bajo el nuevo paradigma que supuso la Constitución de 1991, particularmente en la forma como se relaciona lo formal y lo sustancial en las actuaciones judiciales y administrativas. Este cambio quedó consignado en el artículo 228, que introdujo un principio de supremacía o prevalencia del derecho sustancial sobre lo procedimental. En este nuevo escenario constitucional, el numeral 15 del artículo 25 de la Ley 80 de 1993 dispuso lo siguiente: </w:t>
      </w:r>
    </w:p>
    <w:p w14:paraId="692F7812" w14:textId="77777777" w:rsidR="00D52DE3" w:rsidRPr="00D16A5E" w:rsidRDefault="00D52DE3" w:rsidP="00D52DE3">
      <w:pPr>
        <w:spacing w:after="0" w:line="276" w:lineRule="auto"/>
        <w:ind w:firstLine="709"/>
        <w:jc w:val="both"/>
        <w:rPr>
          <w:rFonts w:ascii="Verdana" w:eastAsia="Times New Roman" w:hAnsi="Verdana" w:cs="Arial"/>
          <w:lang w:val="es-ES_tradnl" w:eastAsia="es-ES_tradnl"/>
        </w:rPr>
      </w:pPr>
    </w:p>
    <w:p w14:paraId="5D1E3576" w14:textId="2D9A3531" w:rsidR="00D52DE3" w:rsidRPr="00CA0454" w:rsidRDefault="00AD1049" w:rsidP="00D52DE3">
      <w:pPr>
        <w:spacing w:after="0" w:line="240" w:lineRule="auto"/>
        <w:ind w:left="709" w:right="709"/>
        <w:jc w:val="both"/>
        <w:rPr>
          <w:rFonts w:ascii="Verdana" w:eastAsia="Times New Roman" w:hAnsi="Verdana" w:cs="Arial"/>
          <w:sz w:val="20"/>
          <w:szCs w:val="20"/>
          <w:lang w:val="es-ES_tradnl" w:eastAsia="es-ES_tradnl"/>
        </w:rPr>
      </w:pPr>
      <w:r>
        <w:rPr>
          <w:rFonts w:ascii="Verdana" w:eastAsia="Times New Roman" w:hAnsi="Verdana" w:cs="Arial"/>
          <w:sz w:val="20"/>
          <w:szCs w:val="20"/>
          <w:lang w:val="es-ES_tradnl" w:eastAsia="es-ES_tradnl"/>
        </w:rPr>
        <w:t>“</w:t>
      </w:r>
      <w:r w:rsidR="00D52DE3" w:rsidRPr="00CA0454">
        <w:rPr>
          <w:rFonts w:ascii="Verdana" w:eastAsia="Times New Roman" w:hAnsi="Verdana" w:cs="Arial"/>
          <w:sz w:val="20"/>
          <w:szCs w:val="20"/>
          <w:lang w:val="es-ES_tradnl" w:eastAsia="es-ES_tradnl"/>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w:t>
      </w:r>
    </w:p>
    <w:p w14:paraId="6AF5D16C" w14:textId="77777777" w:rsidR="00D52DE3" w:rsidRPr="00CA0454" w:rsidRDefault="00D52DE3" w:rsidP="00D52DE3">
      <w:pPr>
        <w:spacing w:after="0" w:line="240" w:lineRule="auto"/>
        <w:ind w:left="709" w:right="709"/>
        <w:jc w:val="both"/>
        <w:rPr>
          <w:rFonts w:ascii="Verdana" w:eastAsia="Times New Roman" w:hAnsi="Verdana" w:cs="Arial"/>
          <w:sz w:val="20"/>
          <w:szCs w:val="20"/>
          <w:lang w:val="es-ES_tradnl" w:eastAsia="es-ES_tradnl"/>
        </w:rPr>
      </w:pPr>
    </w:p>
    <w:p w14:paraId="7370091A" w14:textId="7965A603" w:rsidR="00D52DE3" w:rsidRPr="00CA0454" w:rsidRDefault="00D52DE3" w:rsidP="00D52DE3">
      <w:pPr>
        <w:spacing w:after="0" w:line="240" w:lineRule="auto"/>
        <w:ind w:left="709" w:right="709"/>
        <w:jc w:val="both"/>
        <w:rPr>
          <w:rFonts w:ascii="Verdana" w:eastAsia="Times New Roman" w:hAnsi="Verdana" w:cs="Arial"/>
          <w:sz w:val="20"/>
          <w:szCs w:val="20"/>
          <w:lang w:val="es-ES_tradnl" w:eastAsia="es-ES_tradnl"/>
        </w:rPr>
      </w:pPr>
      <w:r w:rsidRPr="00CA0454">
        <w:rPr>
          <w:rFonts w:ascii="Verdana" w:eastAsia="Times New Roman" w:hAnsi="Verdana" w:cs="Arial"/>
          <w:sz w:val="20"/>
          <w:szCs w:val="20"/>
          <w:lang w:val="es-ES_tradnl" w:eastAsia="es-ES_tradnl"/>
        </w:rPr>
        <w:t>La ausencia de requisitos o la falta de documentos referentes a la futura contratación o al proponente, no necesarios para la comparación de propuestas, no servirá de título suficiente para el rechazo de los ofrecimientos hechos</w:t>
      </w:r>
      <w:r w:rsidR="00AD1049">
        <w:rPr>
          <w:rFonts w:ascii="Verdana" w:eastAsia="Times New Roman" w:hAnsi="Verdana" w:cs="Arial"/>
          <w:sz w:val="20"/>
          <w:szCs w:val="20"/>
          <w:lang w:val="es-ES_tradnl" w:eastAsia="es-ES_tradnl"/>
        </w:rPr>
        <w:t>”</w:t>
      </w:r>
      <w:r w:rsidRPr="00CA0454">
        <w:rPr>
          <w:rFonts w:ascii="Verdana" w:eastAsia="Times New Roman" w:hAnsi="Verdana" w:cs="Arial"/>
          <w:sz w:val="20"/>
          <w:szCs w:val="20"/>
          <w:lang w:val="es-ES_tradnl" w:eastAsia="es-ES_tradnl"/>
        </w:rPr>
        <w:t xml:space="preserve">. </w:t>
      </w:r>
    </w:p>
    <w:p w14:paraId="2C1A27CD" w14:textId="77777777" w:rsidR="00D52DE3" w:rsidRPr="00D16A5E" w:rsidRDefault="00D52DE3" w:rsidP="00D52DE3">
      <w:pPr>
        <w:spacing w:after="0" w:line="276" w:lineRule="auto"/>
        <w:ind w:left="709" w:right="709"/>
        <w:jc w:val="both"/>
        <w:rPr>
          <w:rFonts w:ascii="Verdana" w:eastAsia="Times New Roman" w:hAnsi="Verdana" w:cs="Arial"/>
          <w:lang w:val="es-ES_tradnl" w:eastAsia="es-ES_tradnl"/>
        </w:rPr>
      </w:pPr>
    </w:p>
    <w:p w14:paraId="0275B8F8"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Bajo el amparo de esta norma, el régimen jurídico de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sufre un cambio fundamental, pues ya no era posible rechazar las ofertas por falta de requisitos o documentos que no fueran “</w:t>
      </w:r>
      <w:r w:rsidRPr="00D16A5E">
        <w:rPr>
          <w:rFonts w:ascii="Verdana" w:eastAsia="Times New Roman" w:hAnsi="Verdana" w:cs="Arial"/>
          <w:i/>
          <w:lang w:val="es-ES" w:eastAsia="es-ES"/>
        </w:rPr>
        <w:t>necesarios para la comparación de propuestas”.</w:t>
      </w:r>
      <w:r w:rsidRPr="00D16A5E">
        <w:rPr>
          <w:rFonts w:ascii="Verdana" w:eastAsia="Times New Roman" w:hAnsi="Verdana" w:cs="Arial"/>
          <w:lang w:val="es-ES" w:eastAsia="es-ES"/>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7945BF3B" w14:textId="77777777" w:rsidR="00D52DE3" w:rsidRPr="00D16A5E" w:rsidRDefault="00D52DE3" w:rsidP="00D52DE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Esta norma debía leerse en conjunto con otras de la Ley 80 de 1993, particularmente con el artículo 30.7</w:t>
      </w:r>
      <w:r w:rsidRPr="00D16A5E">
        <w:rPr>
          <w:rFonts w:ascii="Verdana" w:eastAsia="Times New Roman" w:hAnsi="Verdana" w:cs="Arial"/>
          <w:vertAlign w:val="superscript"/>
          <w:lang w:val="es-ES_tradnl" w:eastAsia="es-ES_tradnl"/>
        </w:rPr>
        <w:footnoteReference w:id="2"/>
      </w:r>
      <w:r w:rsidRPr="00D16A5E">
        <w:rPr>
          <w:rFonts w:ascii="Verdana" w:eastAsia="Times New Roman" w:hAnsi="Verdana" w:cs="Arial"/>
          <w:lang w:val="es-ES_tradnl" w:eastAsia="es-ES_tradnl"/>
        </w:rPr>
        <w:t xml:space="preserve">, que ordena a la entidad señalar un plazo razonable para evaluar las propuestas y para pedir a los proponentes, de ser necesario, que aclaren o expliquen aspectos que ofrezcan dudas y resulten </w:t>
      </w:r>
      <w:r w:rsidRPr="00D16A5E">
        <w:rPr>
          <w:rFonts w:ascii="Verdana" w:eastAsia="Times New Roman" w:hAnsi="Verdana" w:cs="Arial"/>
          <w:lang w:val="es-ES_tradnl" w:eastAsia="es-ES_tradnl"/>
        </w:rPr>
        <w:lastRenderedPageBreak/>
        <w:t>indispensables para llevar a cabo la evaluación</w:t>
      </w:r>
      <w:r>
        <w:rPr>
          <w:rFonts w:ascii="Verdana" w:eastAsia="Times New Roman" w:hAnsi="Verdana" w:cs="Arial"/>
          <w:lang w:val="es-ES_tradnl" w:eastAsia="es-ES_tradnl"/>
        </w:rPr>
        <w:t xml:space="preserve">. Así mismo, </w:t>
      </w:r>
      <w:r w:rsidRPr="00D16A5E">
        <w:rPr>
          <w:rFonts w:ascii="Verdana" w:eastAsia="Times New Roman" w:hAnsi="Verdana" w:cs="Arial"/>
          <w:lang w:val="es-ES_tradnl" w:eastAsia="es-ES_tradnl"/>
        </w:rPr>
        <w:t>con el artículo 30.8</w:t>
      </w:r>
      <w:r w:rsidRPr="00D16A5E">
        <w:rPr>
          <w:rFonts w:ascii="Verdana" w:eastAsia="Times New Roman" w:hAnsi="Verdana" w:cs="Arial"/>
          <w:vertAlign w:val="superscript"/>
          <w:lang w:val="es-ES_tradnl" w:eastAsia="es-ES_tradnl"/>
        </w:rPr>
        <w:footnoteReference w:id="3"/>
      </w:r>
      <w:r w:rsidRPr="00D16A5E">
        <w:rPr>
          <w:rFonts w:ascii="Verdana" w:eastAsia="Times New Roman" w:hAnsi="Verdana" w:cs="Arial"/>
          <w:lang w:val="es-ES_tradnl" w:eastAsia="es-ES_tradnl"/>
        </w:rPr>
        <w:t xml:space="preserve">, que consagró el término de </w:t>
      </w:r>
      <w:r>
        <w:rPr>
          <w:rFonts w:ascii="Verdana" w:eastAsia="Times New Roman" w:hAnsi="Verdana" w:cs="Arial"/>
          <w:lang w:val="es-ES_tradnl" w:eastAsia="es-ES_tradnl"/>
        </w:rPr>
        <w:t>cinco (</w:t>
      </w:r>
      <w:r w:rsidRPr="00D16A5E">
        <w:rPr>
          <w:rFonts w:ascii="Verdana" w:eastAsia="Times New Roman" w:hAnsi="Verdana" w:cs="Arial"/>
          <w:lang w:val="es-ES_tradnl" w:eastAsia="es-ES_tradnl"/>
        </w:rPr>
        <w:t>5</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días hábiles para que los oferentes presenten observaciones al informe de evaluación de las propuestas, sin que sea posible completar, adicionar, modificar o mejorar su oferta.  </w:t>
      </w:r>
    </w:p>
    <w:p w14:paraId="03C64309"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A partir de la lectura integrada de estas tres normas debía concluirse que con la Ley 80 de 1993 era posible subsanar las propuestas, y la omisión o el error en algún aspecto de esta no podía llevar a su rechazo, sin antes verificar que lo omitido fuera un aspecto necesario para la comparación. </w:t>
      </w:r>
    </w:p>
    <w:p w14:paraId="68065967" w14:textId="77777777" w:rsidR="00D52DE3" w:rsidRPr="00D16A5E" w:rsidRDefault="00D52DE3" w:rsidP="00D52DE3">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En un </w:t>
      </w:r>
      <w:r w:rsidRPr="00D16A5E">
        <w:rPr>
          <w:rFonts w:ascii="Verdana" w:eastAsia="Times New Roman" w:hAnsi="Verdana" w:cs="Arial"/>
          <w:i/>
          <w:lang w:val="es-ES_tradnl" w:eastAsia="es-ES_tradnl"/>
        </w:rPr>
        <w:t>tercer momento</w:t>
      </w:r>
      <w:r w:rsidRPr="00D16A5E">
        <w:rPr>
          <w:rFonts w:ascii="Verdana" w:eastAsia="Times New Roman" w:hAnsi="Verdana" w:cs="Arial"/>
          <w:lang w:val="es-ES_tradnl" w:eastAsia="es-ES_tradnl"/>
        </w:rPr>
        <w:t xml:space="preserve">, siguiendo la línea trazada por la Ley 80 de 1993, el legislador expidió la Ley 1150 de 2007, que, en el parágrafo 1º del artículo 5, determinó lo siguiente: </w:t>
      </w:r>
    </w:p>
    <w:p w14:paraId="56A0B9E8" w14:textId="77777777" w:rsidR="00D52DE3" w:rsidRPr="00462445" w:rsidRDefault="00D52DE3" w:rsidP="00D52DE3">
      <w:pPr>
        <w:spacing w:after="0" w:line="276" w:lineRule="auto"/>
        <w:ind w:left="709" w:right="709"/>
        <w:jc w:val="both"/>
        <w:rPr>
          <w:rFonts w:ascii="Verdana" w:eastAsia="Times New Roman" w:hAnsi="Verdana" w:cs="Arial"/>
          <w:lang w:val="es-ES" w:eastAsia="es-ES"/>
        </w:rPr>
      </w:pPr>
    </w:p>
    <w:p w14:paraId="6F08CBED" w14:textId="0DAE8144" w:rsidR="00D52DE3" w:rsidRPr="00CA0454" w:rsidRDefault="00263EFA" w:rsidP="00D52DE3">
      <w:pPr>
        <w:spacing w:after="0" w:line="240" w:lineRule="auto"/>
        <w:ind w:left="709" w:right="709"/>
        <w:jc w:val="both"/>
        <w:rPr>
          <w:rFonts w:ascii="Verdana" w:eastAsia="Times New Roman" w:hAnsi="Verdana" w:cs="Arial"/>
          <w:sz w:val="20"/>
          <w:szCs w:val="20"/>
          <w:lang w:val="es-ES" w:eastAsia="es-ES"/>
        </w:rPr>
      </w:pPr>
      <w:r>
        <w:rPr>
          <w:rFonts w:ascii="Verdana" w:eastAsia="Times New Roman" w:hAnsi="Verdana" w:cs="Arial"/>
          <w:sz w:val="20"/>
          <w:szCs w:val="20"/>
          <w:lang w:val="es-ES" w:eastAsia="es-ES"/>
        </w:rPr>
        <w:t>“</w:t>
      </w:r>
      <w:r w:rsidR="00D52DE3" w:rsidRPr="00CA0454">
        <w:rPr>
          <w:rFonts w:ascii="Verdana" w:eastAsia="Times New Roman" w:hAnsi="Verdana" w:cs="Arial"/>
          <w:sz w:val="20"/>
          <w:szCs w:val="20"/>
          <w:lang w:val="es-ES" w:eastAsia="es-ES"/>
        </w:rPr>
        <w:t xml:space="preserve">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00D52DE3" w:rsidRPr="00CA0454">
        <w:rPr>
          <w:rFonts w:ascii="Verdana" w:eastAsia="Times New Roman" w:hAnsi="Verdana" w:cs="Arial"/>
          <w:sz w:val="20"/>
          <w:szCs w:val="20"/>
          <w:lang w:val="es-ES" w:eastAsia="es-ES"/>
        </w:rPr>
        <w:t>puntaje,</w:t>
      </w:r>
      <w:proofErr w:type="gramEnd"/>
      <w:r w:rsidR="00D52DE3" w:rsidRPr="00CA0454">
        <w:rPr>
          <w:rFonts w:ascii="Verdana" w:eastAsia="Times New Roman" w:hAnsi="Verdana" w:cs="Arial"/>
          <w:sz w:val="20"/>
          <w:szCs w:val="20"/>
          <w:lang w:val="es-ES" w:eastAsia="es-ES"/>
        </w:rPr>
        <w:t xml:space="preserve"> podrán ser solicitados por las entidades en cualquier momento, hasta la adjudicación. No </w:t>
      </w:r>
      <w:proofErr w:type="gramStart"/>
      <w:r w:rsidR="00D52DE3" w:rsidRPr="00CA0454">
        <w:rPr>
          <w:rFonts w:ascii="Verdana" w:eastAsia="Times New Roman" w:hAnsi="Verdana" w:cs="Arial"/>
          <w:sz w:val="20"/>
          <w:szCs w:val="20"/>
          <w:lang w:val="es-ES" w:eastAsia="es-ES"/>
        </w:rPr>
        <w:t>obstante</w:t>
      </w:r>
      <w:proofErr w:type="gramEnd"/>
      <w:r w:rsidR="00D52DE3" w:rsidRPr="00CA0454">
        <w:rPr>
          <w:rFonts w:ascii="Verdana" w:eastAsia="Times New Roman" w:hAnsi="Verdana" w:cs="Arial"/>
          <w:sz w:val="20"/>
          <w:szCs w:val="20"/>
          <w:lang w:val="es-ES" w:eastAsia="es-ES"/>
        </w:rPr>
        <w:t xml:space="preserve"> lo anterior, en aquellos procesos de selección en los que se utilice el mecanismo de subasta, deberán ser solicitados hasta el momento previo a su realización</w:t>
      </w:r>
      <w:r>
        <w:rPr>
          <w:rFonts w:ascii="Verdana" w:eastAsia="Times New Roman" w:hAnsi="Verdana" w:cs="Arial"/>
          <w:sz w:val="20"/>
          <w:szCs w:val="20"/>
          <w:lang w:val="es-ES" w:eastAsia="es-ES"/>
        </w:rPr>
        <w:t>”</w:t>
      </w:r>
      <w:r w:rsidR="00D52DE3" w:rsidRPr="00CA0454">
        <w:rPr>
          <w:rFonts w:ascii="Verdana" w:eastAsia="Times New Roman" w:hAnsi="Verdana" w:cs="Arial"/>
          <w:sz w:val="20"/>
          <w:szCs w:val="20"/>
          <w:lang w:val="es-ES" w:eastAsia="es-ES"/>
        </w:rPr>
        <w:t xml:space="preserve">. </w:t>
      </w:r>
    </w:p>
    <w:p w14:paraId="3F842A59" w14:textId="77777777" w:rsidR="00D52DE3" w:rsidRPr="00462445" w:rsidRDefault="00D52DE3" w:rsidP="00D52DE3">
      <w:pPr>
        <w:spacing w:after="0" w:line="276" w:lineRule="auto"/>
        <w:ind w:left="709" w:right="709"/>
        <w:jc w:val="both"/>
        <w:rPr>
          <w:rFonts w:ascii="Verdana" w:eastAsia="Times New Roman" w:hAnsi="Verdana" w:cs="Arial"/>
          <w:lang w:val="es-ES" w:eastAsia="es-ES"/>
        </w:rPr>
      </w:pPr>
    </w:p>
    <w:p w14:paraId="4C597DDC"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w:t>
      </w:r>
    </w:p>
    <w:p w14:paraId="203E3F7C"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A partir de la Ley 1150 de 2007</w:t>
      </w:r>
      <w:r>
        <w:rPr>
          <w:rFonts w:ascii="Verdana" w:eastAsia="Times New Roman" w:hAnsi="Verdana" w:cs="Arial"/>
          <w:lang w:val="es-ES" w:eastAsia="es-ES"/>
        </w:rPr>
        <w:t>,</w:t>
      </w:r>
      <w:r w:rsidRPr="00D16A5E">
        <w:rPr>
          <w:rFonts w:ascii="Verdana" w:eastAsia="Times New Roman" w:hAnsi="Verdana" w:cs="Arial"/>
          <w:lang w:val="es-ES" w:eastAsia="es-ES"/>
        </w:rPr>
        <w:t xml:space="preserve">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de los aspectos que otorgan puntaje o no. Si la Administración encuentra que lo omitido por el proponente es un aspecto que </w:t>
      </w:r>
      <w:r w:rsidRPr="00D16A5E">
        <w:rPr>
          <w:rFonts w:ascii="Verdana" w:eastAsia="Times New Roman" w:hAnsi="Verdana" w:cs="Arial"/>
          <w:lang w:val="es-ES" w:eastAsia="es-ES"/>
        </w:rPr>
        <w:lastRenderedPageBreak/>
        <w:t xml:space="preserve">otorga puntaje, no es posible subsanarlo; pero, si lo omitido no otorga puntaje, la Administración debe requerir al proponente para que lo subsane.  </w:t>
      </w:r>
    </w:p>
    <w:p w14:paraId="0F16345E" w14:textId="77777777" w:rsidR="00D52DE3" w:rsidRPr="00D16A5E" w:rsidRDefault="00D52DE3" w:rsidP="00D52DE3">
      <w:pPr>
        <w:spacing w:after="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artículo 5 de la Ley 1150 de 2007, además de consagrar un criterio más claro, y, de paso, reducir la discrecionalidad de la Administración, fijó un ámbito temporal para que las entidades requirieran la subsanación de las ofertas: “en cualquier momento, hasta la adjudicación”. El Consejo de Estado, con particular sindéresis, concluyó que a partir del parágrafo 1º del artículo 5 de la Ley 1150, la definición de lo que es subsanable y lo que no lo es surge a partir del planteamiento de la pregunta sobre si el defecto asigna puntaje o no, en estos términos: </w:t>
      </w:r>
    </w:p>
    <w:p w14:paraId="61E3B617" w14:textId="77777777" w:rsidR="00D52DE3" w:rsidRPr="00D16A5E" w:rsidRDefault="00D52DE3" w:rsidP="00D52DE3">
      <w:pPr>
        <w:spacing w:after="0" w:line="276" w:lineRule="auto"/>
        <w:ind w:firstLine="709"/>
        <w:jc w:val="both"/>
        <w:rPr>
          <w:rFonts w:ascii="Verdana" w:eastAsia="Times New Roman" w:hAnsi="Verdana" w:cs="Arial"/>
          <w:lang w:val="es-ES_tradnl" w:eastAsia="es-ES_tradnl"/>
        </w:rPr>
      </w:pPr>
    </w:p>
    <w:p w14:paraId="77CD762E" w14:textId="15BA6BDD" w:rsidR="00D52DE3" w:rsidRPr="00CA0454" w:rsidRDefault="00D341A8" w:rsidP="00D52DE3">
      <w:pPr>
        <w:spacing w:after="0" w:line="240" w:lineRule="auto"/>
        <w:ind w:left="709" w:right="709"/>
        <w:jc w:val="both"/>
        <w:rPr>
          <w:rFonts w:ascii="Verdana" w:eastAsia="Times New Roman" w:hAnsi="Verdana" w:cs="Arial"/>
          <w:sz w:val="20"/>
          <w:szCs w:val="20"/>
          <w:lang w:val="es-ES" w:eastAsia="es-ES"/>
        </w:rPr>
      </w:pPr>
      <w:r>
        <w:rPr>
          <w:rFonts w:ascii="Verdana" w:eastAsia="Times New Roman" w:hAnsi="Verdana" w:cs="Arial"/>
          <w:sz w:val="20"/>
          <w:szCs w:val="20"/>
          <w:lang w:val="es-ES" w:eastAsia="es-ES"/>
        </w:rPr>
        <w:t>“</w:t>
      </w:r>
      <w:r w:rsidR="00D52DE3" w:rsidRPr="00CA0454">
        <w:rPr>
          <w:rFonts w:ascii="Verdana" w:eastAsia="Times New Roman" w:hAnsi="Verdana" w:cs="Arial"/>
          <w:sz w:val="20"/>
          <w:szCs w:val="20"/>
          <w:lang w:val="es-ES" w:eastAsia="es-ES"/>
        </w:rPr>
        <w:t>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o no a problemas de capacidad o a requisitos cumplidos antes o después de presentadas las ofertas, con la condición de que cuando le pidan la acreditación la satisfaga suficientemente</w:t>
      </w:r>
      <w:r>
        <w:rPr>
          <w:rFonts w:ascii="Verdana" w:eastAsia="Times New Roman" w:hAnsi="Verdana" w:cs="Arial"/>
          <w:sz w:val="20"/>
          <w:szCs w:val="20"/>
          <w:lang w:val="es-ES" w:eastAsia="es-ES"/>
        </w:rPr>
        <w:t>”</w:t>
      </w:r>
      <w:r w:rsidR="00D52DE3" w:rsidRPr="00CA0454">
        <w:rPr>
          <w:rFonts w:ascii="Verdana" w:eastAsia="Times New Roman" w:hAnsi="Verdana" w:cs="Arial"/>
          <w:sz w:val="20"/>
          <w:szCs w:val="20"/>
          <w:vertAlign w:val="superscript"/>
          <w:lang w:val="es-ES" w:eastAsia="es-ES"/>
        </w:rPr>
        <w:footnoteReference w:id="4"/>
      </w:r>
      <w:r w:rsidR="00D52DE3" w:rsidRPr="00CA0454">
        <w:rPr>
          <w:rFonts w:ascii="Verdana" w:eastAsia="Times New Roman" w:hAnsi="Verdana" w:cs="Arial"/>
          <w:sz w:val="20"/>
          <w:szCs w:val="20"/>
          <w:lang w:val="es-ES" w:eastAsia="es-ES"/>
        </w:rPr>
        <w:t>.</w:t>
      </w:r>
    </w:p>
    <w:p w14:paraId="203BBD25" w14:textId="77777777" w:rsidR="00D52DE3" w:rsidRPr="00D16A5E" w:rsidRDefault="00D52DE3" w:rsidP="00D52DE3">
      <w:pPr>
        <w:spacing w:after="0" w:line="240" w:lineRule="auto"/>
        <w:ind w:left="709" w:right="709"/>
        <w:jc w:val="both"/>
        <w:rPr>
          <w:rFonts w:ascii="Verdana" w:eastAsia="Times New Roman" w:hAnsi="Verdana" w:cs="Arial"/>
          <w:sz w:val="21"/>
          <w:szCs w:val="21"/>
          <w:lang w:val="es-ES_tradnl" w:eastAsia="es-ES_tradnl"/>
        </w:rPr>
      </w:pPr>
    </w:p>
    <w:p w14:paraId="2ED406CA" w14:textId="77777777" w:rsidR="00D52DE3" w:rsidRPr="00D16A5E" w:rsidRDefault="00D52DE3" w:rsidP="00D52DE3">
      <w:pPr>
        <w:tabs>
          <w:tab w:val="left" w:pos="284"/>
        </w:tabs>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Esa interpretación fue compartida por la </w:t>
      </w:r>
      <w:r w:rsidRPr="00D16A5E">
        <w:rPr>
          <w:rFonts w:ascii="Verdana" w:eastAsia="Times New Roman" w:hAnsi="Verdana" w:cs="Arial"/>
          <w:lang w:val="es-ES" w:eastAsia="es-CO"/>
        </w:rPr>
        <w:t>Agencia Nacional de Contratación Pública – Colombia Compra Eficiente</w:t>
      </w:r>
      <w:r w:rsidRPr="00D16A5E">
        <w:rPr>
          <w:rFonts w:ascii="Verdana" w:eastAsia="Times New Roman" w:hAnsi="Verdana" w:cs="Arial"/>
          <w:lang w:val="es-ES" w:eastAsia="es-ES"/>
        </w:rPr>
        <w:t>, pues en la Circular Externa Única se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si durante un Proceso de Contratación hay proponentes que no acreditaron en sus ofertas requisitos que no afectan la asignación de puntaje o la comparación de </w:t>
      </w:r>
      <w:proofErr w:type="gramStart"/>
      <w:r w:rsidRPr="00D16A5E">
        <w:rPr>
          <w:rFonts w:ascii="Verdana" w:eastAsia="Times New Roman" w:hAnsi="Verdana" w:cs="Arial"/>
          <w:lang w:val="es-ES" w:eastAsia="es-ES"/>
        </w:rPr>
        <w:t>las mismas</w:t>
      </w:r>
      <w:proofErr w:type="gramEnd"/>
      <w:r w:rsidRPr="00D16A5E">
        <w:rPr>
          <w:rFonts w:ascii="Verdana" w:eastAsia="Times New Roman" w:hAnsi="Verdana" w:cs="Arial"/>
          <w:lang w:val="es-ES" w:eastAsia="es-ES"/>
        </w:rPr>
        <w:t>, la Entidad Estatal deberá indicarlo en el informe de evaluación y advertir que la correspondiente oferta puede ser subsanada.</w:t>
      </w:r>
    </w:p>
    <w:p w14:paraId="17153EC3" w14:textId="77777777" w:rsidR="00D52DE3" w:rsidRPr="00D16A5E" w:rsidRDefault="00D52DE3" w:rsidP="00D52DE3">
      <w:pPr>
        <w:tabs>
          <w:tab w:val="left" w:pos="284"/>
        </w:tabs>
        <w:spacing w:after="0" w:line="276" w:lineRule="auto"/>
        <w:ind w:firstLine="709"/>
        <w:jc w:val="both"/>
        <w:rPr>
          <w:rFonts w:ascii="Verdana" w:eastAsia="Times New Roman" w:hAnsi="Verdana" w:cs="Arial"/>
          <w:lang w:val="es-ES_tradnl" w:eastAsia="es-CO"/>
        </w:rPr>
      </w:pPr>
      <w:r w:rsidRPr="00D16A5E">
        <w:rPr>
          <w:rFonts w:ascii="Verdana" w:eastAsia="Times New Roman" w:hAnsi="Verdana" w:cs="Arial"/>
          <w:lang w:val="es-ES_tradnl" w:eastAsia="es-CO"/>
        </w:rPr>
        <w:t xml:space="preserve">Finalmente, en un </w:t>
      </w:r>
      <w:r w:rsidRPr="00D16A5E">
        <w:rPr>
          <w:rFonts w:ascii="Verdana" w:eastAsia="Times New Roman" w:hAnsi="Verdana" w:cs="Arial"/>
          <w:i/>
          <w:lang w:val="es-ES_tradnl" w:eastAsia="es-CO"/>
        </w:rPr>
        <w:t>cuarto momento</w:t>
      </w:r>
      <w:r w:rsidRPr="00D16A5E">
        <w:rPr>
          <w:rFonts w:ascii="Verdana" w:eastAsia="Times New Roman" w:hAnsi="Verdana" w:cs="Arial"/>
          <w:lang w:val="es-ES_tradnl" w:eastAsia="es-CO"/>
        </w:rPr>
        <w:t xml:space="preserve">, el legislador expidió la Ley 1882 de 2018, con la finalidad de introducir cambios y ajustes para fortalecer la contratación pública. El artículo 5 modificó el parágrafo 1º y adicionó algunos otros, entre ellos el </w:t>
      </w:r>
      <w:r>
        <w:rPr>
          <w:rFonts w:ascii="Verdana" w:eastAsia="Times New Roman" w:hAnsi="Verdana" w:cs="Arial"/>
          <w:lang w:val="es-ES_tradnl" w:eastAsia="es-CO"/>
        </w:rPr>
        <w:t>3</w:t>
      </w:r>
      <w:r w:rsidRPr="00D16A5E">
        <w:rPr>
          <w:rFonts w:ascii="Verdana" w:eastAsia="Times New Roman" w:hAnsi="Verdana" w:cs="Arial"/>
          <w:lang w:val="es-ES_tradnl" w:eastAsia="es-CO"/>
        </w:rPr>
        <w:t>°</w:t>
      </w:r>
      <w:r>
        <w:rPr>
          <w:rFonts w:ascii="Verdana" w:eastAsia="Times New Roman" w:hAnsi="Verdana" w:cs="Arial"/>
          <w:lang w:val="es-ES_tradnl" w:eastAsia="es-CO"/>
        </w:rPr>
        <w:t xml:space="preserve"> y </w:t>
      </w:r>
      <w:r w:rsidRPr="00D16A5E">
        <w:rPr>
          <w:rFonts w:ascii="Verdana" w:eastAsia="Times New Roman" w:hAnsi="Verdana" w:cs="Arial"/>
          <w:lang w:val="es-ES_tradnl" w:eastAsia="es-CO"/>
        </w:rPr>
        <w:t xml:space="preserve">4° del artículo 5 de la Ley 1150 de 2007: </w:t>
      </w:r>
    </w:p>
    <w:p w14:paraId="25158E57" w14:textId="77777777" w:rsidR="00D52DE3" w:rsidRPr="000D2E9F" w:rsidRDefault="00D52DE3" w:rsidP="00D52DE3">
      <w:pPr>
        <w:spacing w:after="0" w:line="276" w:lineRule="auto"/>
        <w:ind w:left="709" w:right="709"/>
        <w:jc w:val="both"/>
        <w:rPr>
          <w:rFonts w:ascii="Verdana" w:eastAsia="Times New Roman" w:hAnsi="Verdana" w:cs="Arial"/>
          <w:lang w:val="es-ES_tradnl" w:eastAsia="es-CO"/>
        </w:rPr>
      </w:pPr>
    </w:p>
    <w:p w14:paraId="47026EBB" w14:textId="383C778C" w:rsidR="00D52DE3" w:rsidRPr="00CA0454" w:rsidRDefault="006C498F" w:rsidP="00D52DE3">
      <w:pPr>
        <w:spacing w:after="0" w:line="240" w:lineRule="auto"/>
        <w:ind w:left="709" w:right="709"/>
        <w:jc w:val="both"/>
        <w:rPr>
          <w:rFonts w:ascii="Verdana" w:eastAsia="Times New Roman" w:hAnsi="Verdana" w:cs="Arial"/>
          <w:sz w:val="20"/>
          <w:szCs w:val="20"/>
          <w:lang w:val="es-ES_tradnl" w:eastAsia="es-CO"/>
        </w:rPr>
      </w:pPr>
      <w:r>
        <w:rPr>
          <w:rFonts w:ascii="Verdana" w:eastAsia="Times New Roman" w:hAnsi="Verdana" w:cs="Arial"/>
          <w:sz w:val="20"/>
          <w:szCs w:val="20"/>
          <w:lang w:val="es-ES_tradnl" w:eastAsia="es-CO"/>
        </w:rPr>
        <w:t>“</w:t>
      </w:r>
      <w:r w:rsidR="00D52DE3" w:rsidRPr="00CA0454">
        <w:rPr>
          <w:rFonts w:ascii="Verdana" w:eastAsia="Times New Roman" w:hAnsi="Verdana" w:cs="Arial"/>
          <w:sz w:val="20"/>
          <w:szCs w:val="20"/>
          <w:lang w:val="es-ES_tradnl" w:eastAsia="es-CO"/>
        </w:rPr>
        <w:t xml:space="preserve">Artículo 5°. De la selección objetiva. </w:t>
      </w:r>
    </w:p>
    <w:p w14:paraId="435ECE94" w14:textId="77777777" w:rsidR="00D52DE3" w:rsidRPr="00CA0454" w:rsidRDefault="00D52DE3" w:rsidP="00D52DE3">
      <w:pPr>
        <w:pStyle w:val="paragraph"/>
        <w:spacing w:before="0" w:beforeAutospacing="0" w:after="0" w:afterAutospacing="0"/>
        <w:ind w:left="709" w:right="709"/>
        <w:jc w:val="both"/>
        <w:textAlignment w:val="baseline"/>
        <w:rPr>
          <w:rStyle w:val="normaltextrun"/>
          <w:rFonts w:ascii="Verdana" w:hAnsi="Verdana" w:cs="Arial"/>
          <w:color w:val="000000"/>
          <w:sz w:val="20"/>
          <w:szCs w:val="20"/>
          <w:lang w:val="es-ES"/>
        </w:rPr>
      </w:pPr>
    </w:p>
    <w:p w14:paraId="2727EB05"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lastRenderedPageBreak/>
        <w:t xml:space="preserve">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CA0454">
        <w:rPr>
          <w:rStyle w:val="normaltextrun"/>
          <w:rFonts w:ascii="Verdana" w:hAnsi="Verdana" w:cs="Arial"/>
          <w:color w:val="000000"/>
          <w:sz w:val="20"/>
          <w:szCs w:val="20"/>
          <w:lang w:val="es-ES"/>
        </w:rPr>
        <w:t>equivalentes,</w:t>
      </w:r>
      <w:proofErr w:type="gramEnd"/>
      <w:r w:rsidRPr="00CA0454">
        <w:rPr>
          <w:rStyle w:val="normaltextrun"/>
          <w:rFonts w:ascii="Verdana" w:hAnsi="Verdana" w:cs="Arial"/>
          <w:color w:val="000000"/>
          <w:sz w:val="20"/>
          <w:szCs w:val="20"/>
          <w:lang w:val="es-ES"/>
        </w:rPr>
        <w:t xml:space="preserve"> tendrán en cuenta los siguientes criterios:</w:t>
      </w:r>
      <w:r w:rsidRPr="00CA0454">
        <w:rPr>
          <w:rStyle w:val="eop"/>
          <w:rFonts w:ascii="Verdana" w:hAnsi="Verdana" w:cs="Arial"/>
          <w:color w:val="000000"/>
          <w:sz w:val="20"/>
          <w:szCs w:val="20"/>
        </w:rPr>
        <w:t> </w:t>
      </w:r>
    </w:p>
    <w:p w14:paraId="416FDDD5"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7B9E0500"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r w:rsidRPr="00CA0454">
        <w:rPr>
          <w:rStyle w:val="eop"/>
          <w:rFonts w:ascii="Verdana" w:hAnsi="Verdana" w:cs="Arial"/>
          <w:color w:val="000000"/>
          <w:sz w:val="20"/>
          <w:szCs w:val="20"/>
        </w:rPr>
        <w:t> </w:t>
      </w:r>
    </w:p>
    <w:p w14:paraId="7832BBEB"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4D602E5E"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r w:rsidRPr="00CA0454">
        <w:rPr>
          <w:rStyle w:val="eop"/>
          <w:rFonts w:ascii="Verdana" w:hAnsi="Verdana" w:cs="Arial"/>
          <w:color w:val="000000"/>
          <w:sz w:val="20"/>
          <w:szCs w:val="20"/>
        </w:rPr>
        <w:t> </w:t>
      </w:r>
    </w:p>
    <w:p w14:paraId="7DDF99B2"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p>
    <w:p w14:paraId="061841CC"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r w:rsidRPr="00CA0454">
        <w:rPr>
          <w:rStyle w:val="eop"/>
          <w:rFonts w:ascii="Verdana" w:hAnsi="Verdana" w:cs="Arial"/>
          <w:color w:val="000000"/>
          <w:sz w:val="20"/>
          <w:szCs w:val="20"/>
        </w:rPr>
        <w:t> </w:t>
      </w:r>
    </w:p>
    <w:p w14:paraId="6BA0D399"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p>
    <w:p w14:paraId="13E28008"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a) La ponderación de los elementos de calidad y precio soportados en puntajes o fórmulas señaladas en el pliego de condiciones; o</w:t>
      </w:r>
    </w:p>
    <w:p w14:paraId="735678A9"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p>
    <w:p w14:paraId="575FEFB8"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b) La ponderación de los elementos de calidad y precio que representen la mejor relación de costo-beneficio para la entidad.</w:t>
      </w:r>
      <w:r w:rsidRPr="00CA0454">
        <w:rPr>
          <w:rStyle w:val="eop"/>
          <w:rFonts w:ascii="Verdana" w:hAnsi="Verdana" w:cs="Arial"/>
          <w:color w:val="000000"/>
          <w:sz w:val="20"/>
          <w:szCs w:val="20"/>
        </w:rPr>
        <w:t> </w:t>
      </w:r>
    </w:p>
    <w:p w14:paraId="167C374B"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p>
    <w:p w14:paraId="3661FCBB"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r w:rsidRPr="00CA0454">
        <w:rPr>
          <w:rStyle w:val="eop"/>
          <w:rFonts w:ascii="Verdana" w:hAnsi="Verdana" w:cs="Arial"/>
          <w:color w:val="000000"/>
          <w:sz w:val="20"/>
          <w:szCs w:val="20"/>
        </w:rPr>
        <w:t> </w:t>
      </w:r>
    </w:p>
    <w:p w14:paraId="68296C85"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lastRenderedPageBreak/>
        <w:t> </w:t>
      </w:r>
    </w:p>
    <w:p w14:paraId="18351B50"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r w:rsidRPr="00CA0454">
        <w:rPr>
          <w:rStyle w:val="eop"/>
          <w:rFonts w:ascii="Verdana" w:hAnsi="Verdana" w:cs="Arial"/>
          <w:color w:val="000000"/>
          <w:sz w:val="20"/>
          <w:szCs w:val="20"/>
        </w:rPr>
        <w:t> </w:t>
      </w:r>
    </w:p>
    <w:p w14:paraId="48657C3E"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785C287E"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En ningún caso se podrá incluir el precio, como factor de escogencia para la selección de consultores.</w:t>
      </w:r>
      <w:r w:rsidRPr="00CA0454">
        <w:rPr>
          <w:rStyle w:val="eop"/>
          <w:rFonts w:ascii="Verdana" w:hAnsi="Verdana" w:cs="Arial"/>
          <w:color w:val="000000"/>
          <w:sz w:val="20"/>
          <w:szCs w:val="20"/>
        </w:rPr>
        <w:t> </w:t>
      </w:r>
    </w:p>
    <w:p w14:paraId="028A5F0A"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116CC074"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 xml:space="preserve">PARÁGRAFO 1o. &lt;Parágrafo modificado por el artículo 5 de la Ley 1882 de 2018. El nuevo texto es el siguiente:&gt;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0CA0454">
        <w:rPr>
          <w:rStyle w:val="normaltextrun"/>
          <w:rFonts w:ascii="Verdana" w:hAnsi="Verdana" w:cs="Arial"/>
          <w:color w:val="000000"/>
          <w:sz w:val="20"/>
          <w:szCs w:val="20"/>
          <w:lang w:val="es-ES"/>
        </w:rPr>
        <w:t>puntaje,</w:t>
      </w:r>
      <w:proofErr w:type="gramEnd"/>
      <w:r w:rsidRPr="00CA0454">
        <w:rPr>
          <w:rStyle w:val="normaltextrun"/>
          <w:rFonts w:ascii="Verdana" w:hAnsi="Verdana" w:cs="Arial"/>
          <w:color w:val="000000"/>
          <w:sz w:val="20"/>
          <w:szCs w:val="20"/>
          <w:lang w:val="es-ES"/>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r w:rsidRPr="00CA0454">
        <w:rPr>
          <w:rStyle w:val="eop"/>
          <w:rFonts w:ascii="Verdana" w:hAnsi="Verdana" w:cs="Arial"/>
          <w:color w:val="000000"/>
          <w:sz w:val="20"/>
          <w:szCs w:val="20"/>
        </w:rPr>
        <w:t> </w:t>
      </w:r>
    </w:p>
    <w:p w14:paraId="141FD001"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237B60C6"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Durante el término otorgado para subsanar las ofertas, los proponentes no podrán acreditar circunstancias ocurridas con posterioridad al cierre del proceso.</w:t>
      </w:r>
      <w:r w:rsidRPr="00CA0454">
        <w:rPr>
          <w:rStyle w:val="eop"/>
          <w:rFonts w:ascii="Verdana" w:hAnsi="Verdana" w:cs="Arial"/>
          <w:color w:val="000000"/>
          <w:sz w:val="20"/>
          <w:szCs w:val="20"/>
        </w:rPr>
        <w:t> </w:t>
      </w:r>
    </w:p>
    <w:p w14:paraId="4F3C5E6D"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59FF54E9"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PARÁGRAFO 2o. Las certificaciones de sistemas de gestión de calidad no serán objeto de calificación, ni podrán establecerse como documento habilitante para participar en licitaciones o concursos.</w:t>
      </w:r>
      <w:r w:rsidRPr="00CA0454">
        <w:rPr>
          <w:rStyle w:val="eop"/>
          <w:rFonts w:ascii="Verdana" w:hAnsi="Verdana" w:cs="Arial"/>
          <w:color w:val="000000"/>
          <w:sz w:val="20"/>
          <w:szCs w:val="20"/>
        </w:rPr>
        <w:t> </w:t>
      </w:r>
    </w:p>
    <w:p w14:paraId="33695C44"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6C056C93"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 xml:space="preserve">PARÁGRAFO 3o. &lt;Parágrafo adicionado por el artículo 5 de la Ley 1882 de 2018. El nuevo texto es el siguiente:&gt; La no entrega de la garantía de seriedad junto con la propuesta no será subsanable y será causal de rechazo de </w:t>
      </w:r>
      <w:proofErr w:type="gramStart"/>
      <w:r w:rsidRPr="00CA0454">
        <w:rPr>
          <w:rStyle w:val="normaltextrun"/>
          <w:rFonts w:ascii="Verdana" w:hAnsi="Verdana" w:cs="Arial"/>
          <w:color w:val="000000"/>
          <w:sz w:val="20"/>
          <w:szCs w:val="20"/>
          <w:lang w:val="es-ES"/>
        </w:rPr>
        <w:t>la misma</w:t>
      </w:r>
      <w:proofErr w:type="gramEnd"/>
      <w:r w:rsidRPr="00CA0454">
        <w:rPr>
          <w:rStyle w:val="normaltextrun"/>
          <w:rFonts w:ascii="Verdana" w:hAnsi="Verdana" w:cs="Arial"/>
          <w:color w:val="000000"/>
          <w:sz w:val="20"/>
          <w:szCs w:val="20"/>
          <w:lang w:val="es-ES"/>
        </w:rPr>
        <w:t>.</w:t>
      </w:r>
      <w:r w:rsidRPr="00CA0454">
        <w:rPr>
          <w:rStyle w:val="eop"/>
          <w:rFonts w:ascii="Verdana" w:hAnsi="Verdana" w:cs="Arial"/>
          <w:color w:val="000000"/>
          <w:sz w:val="20"/>
          <w:szCs w:val="20"/>
        </w:rPr>
        <w:t> </w:t>
      </w:r>
    </w:p>
    <w:p w14:paraId="2723355F"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0CC33BA1"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PARÁGRAFO 4o. &lt;Parágrafo adicionado por el artículo 5 de la Ley 1882 de 2018. El nuevo texto es el siguiente:&gt; En aquellos procesos de selección en los que se utilice el mecanismo de subasta, los documentos referentes a la futura contratación o al proponente, no necesarios para la comparación de las propuestas, deberán ser solicitados hasta el momento previo a su realización.</w:t>
      </w:r>
      <w:r w:rsidRPr="00CA0454">
        <w:rPr>
          <w:rStyle w:val="eop"/>
          <w:rFonts w:ascii="Verdana" w:hAnsi="Verdana" w:cs="Arial"/>
          <w:color w:val="000000"/>
          <w:sz w:val="20"/>
          <w:szCs w:val="20"/>
        </w:rPr>
        <w:t> </w:t>
      </w:r>
    </w:p>
    <w:p w14:paraId="38D35938" w14:textId="77777777" w:rsidR="00D52DE3" w:rsidRPr="00CA0454"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eop"/>
          <w:rFonts w:ascii="Verdana" w:hAnsi="Verdana" w:cs="Arial"/>
          <w:color w:val="000000"/>
          <w:sz w:val="20"/>
          <w:szCs w:val="20"/>
        </w:rPr>
        <w:t> </w:t>
      </w:r>
    </w:p>
    <w:p w14:paraId="1F1288FF" w14:textId="64A9FE01" w:rsidR="00D52DE3" w:rsidRPr="00556BC7" w:rsidRDefault="00D52DE3" w:rsidP="00D52DE3">
      <w:pPr>
        <w:pStyle w:val="paragraph"/>
        <w:spacing w:before="0" w:beforeAutospacing="0" w:after="0" w:afterAutospacing="0"/>
        <w:ind w:left="709" w:right="709"/>
        <w:jc w:val="both"/>
        <w:textAlignment w:val="baseline"/>
        <w:rPr>
          <w:rFonts w:ascii="Verdana" w:hAnsi="Verdana" w:cs="Segoe UI"/>
          <w:sz w:val="20"/>
          <w:szCs w:val="20"/>
        </w:rPr>
      </w:pPr>
      <w:r w:rsidRPr="00CA0454">
        <w:rPr>
          <w:rStyle w:val="normaltextrun"/>
          <w:rFonts w:ascii="Verdana" w:hAnsi="Verdana" w:cs="Arial"/>
          <w:color w:val="000000"/>
          <w:sz w:val="20"/>
          <w:szCs w:val="20"/>
          <w:lang w:val="es-ES"/>
        </w:rPr>
        <w:t xml:space="preserve">PARÁGRAFO 5o. &lt;Parágrafo adicionado por el artículo 5 de la Ley 1882 de 2018. El nuevo texto es el siguiente:&gt; En los procesos de contratación, </w:t>
      </w:r>
      <w:r w:rsidRPr="00CA0454">
        <w:rPr>
          <w:rStyle w:val="normaltextrun"/>
          <w:rFonts w:ascii="Verdana" w:hAnsi="Verdana" w:cs="Arial"/>
          <w:color w:val="000000"/>
          <w:sz w:val="20"/>
          <w:szCs w:val="20"/>
          <w:lang w:val="es-ES"/>
        </w:rPr>
        <w:lastRenderedPageBreak/>
        <w:t>las entidades estatales deberán aceptar la experiencia adquirida por los proponentes a través de la ejecución de contratos con particulares</w:t>
      </w:r>
      <w:r w:rsidR="006C498F">
        <w:rPr>
          <w:rStyle w:val="normaltextrun"/>
          <w:rFonts w:ascii="Verdana" w:hAnsi="Verdana" w:cs="Arial"/>
          <w:color w:val="000000"/>
          <w:sz w:val="20"/>
          <w:szCs w:val="20"/>
          <w:lang w:val="es-ES"/>
        </w:rPr>
        <w:t>”</w:t>
      </w:r>
      <w:r w:rsidRPr="00CA0454">
        <w:rPr>
          <w:rStyle w:val="normaltextrun"/>
          <w:rFonts w:ascii="Verdana" w:hAnsi="Verdana" w:cs="Arial"/>
          <w:color w:val="000000"/>
          <w:sz w:val="20"/>
          <w:szCs w:val="20"/>
          <w:lang w:val="es-ES"/>
        </w:rPr>
        <w:t>.</w:t>
      </w:r>
      <w:r w:rsidRPr="00556BC7">
        <w:rPr>
          <w:rStyle w:val="normaltextrun"/>
          <w:rFonts w:ascii="Verdana" w:hAnsi="Verdana" w:cs="Arial"/>
          <w:color w:val="000000"/>
          <w:sz w:val="20"/>
          <w:szCs w:val="20"/>
          <w:lang w:val="es-ES"/>
        </w:rPr>
        <w:t> </w:t>
      </w:r>
      <w:r w:rsidRPr="00556BC7">
        <w:rPr>
          <w:rStyle w:val="eop"/>
          <w:rFonts w:ascii="Verdana" w:hAnsi="Verdana" w:cs="Arial"/>
          <w:color w:val="000000"/>
          <w:sz w:val="20"/>
          <w:szCs w:val="20"/>
        </w:rPr>
        <w:t> </w:t>
      </w:r>
    </w:p>
    <w:p w14:paraId="251E5556" w14:textId="77777777" w:rsidR="00D52DE3" w:rsidRPr="00556BC7" w:rsidRDefault="00D52DE3" w:rsidP="00D52DE3">
      <w:pPr>
        <w:spacing w:after="0" w:line="276" w:lineRule="auto"/>
        <w:ind w:left="709" w:right="709"/>
        <w:jc w:val="both"/>
        <w:rPr>
          <w:rFonts w:ascii="Verdana" w:eastAsia="Times New Roman" w:hAnsi="Verdana" w:cs="Arial"/>
          <w:lang w:eastAsia="es-CO"/>
        </w:rPr>
      </w:pPr>
    </w:p>
    <w:p w14:paraId="17BC8EA6"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Como puede observarse, la Ley 1882 de 2018: i) mantiene el criterio de la Ley 80 de 1993, relativo a que todo lo que no sea necesario para la comparación de propuestas no es título suficiente para su rechazo;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xml:space="preserve">) mantiene el criterio aclaratorio de la Ley 1150 de 2007, según el cual todo lo que no afecte la asignación de puntaje puede subsanarse; y,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xml:space="preserve">) introduce modificaciones en relación con algunos aspectos que se analizarán a continuación. </w:t>
      </w:r>
    </w:p>
    <w:p w14:paraId="37B937F1" w14:textId="77777777" w:rsidR="00D52DE3" w:rsidRPr="00D16A5E" w:rsidRDefault="00D52DE3" w:rsidP="00D52DE3">
      <w:pPr>
        <w:spacing w:after="120" w:line="276" w:lineRule="auto"/>
        <w:ind w:right="51" w:firstLine="709"/>
        <w:jc w:val="both"/>
        <w:rPr>
          <w:rFonts w:ascii="Verdana" w:eastAsia="Times New Roman" w:hAnsi="Verdana" w:cs="Arial"/>
          <w:lang w:val="es-ES_tradnl" w:eastAsia="es-ES_tradnl"/>
        </w:rPr>
      </w:pPr>
      <w:r>
        <w:rPr>
          <w:rFonts w:ascii="Verdana" w:eastAsia="Times New Roman" w:hAnsi="Verdana" w:cs="Arial"/>
          <w:i/>
          <w:iCs/>
          <w:lang w:val="es-ES_tradnl" w:eastAsia="es-ES_tradnl"/>
        </w:rPr>
        <w:t>La</w:t>
      </w:r>
      <w:r w:rsidRPr="00D16A5E">
        <w:rPr>
          <w:rFonts w:ascii="Verdana" w:eastAsia="Times New Roman" w:hAnsi="Verdana" w:cs="Arial"/>
          <w:i/>
          <w:iCs/>
          <w:lang w:val="es-ES_tradnl" w:eastAsia="es-ES_tradnl"/>
        </w:rPr>
        <w:t xml:space="preserve"> primer</w:t>
      </w:r>
      <w:r>
        <w:rPr>
          <w:rFonts w:ascii="Verdana" w:eastAsia="Times New Roman" w:hAnsi="Verdana" w:cs="Arial"/>
          <w:i/>
          <w:iCs/>
          <w:lang w:val="es-ES_tradnl" w:eastAsia="es-ES_tradnl"/>
        </w:rPr>
        <w:t xml:space="preserve">a modificación </w:t>
      </w:r>
      <w:r>
        <w:rPr>
          <w:rFonts w:ascii="Verdana" w:eastAsia="Times New Roman" w:hAnsi="Verdana" w:cs="Arial"/>
          <w:lang w:val="es-ES_tradnl" w:eastAsia="es-ES_tradnl"/>
        </w:rPr>
        <w:t xml:space="preserve">está relacionada con </w:t>
      </w:r>
      <w:r w:rsidRPr="00D16A5E">
        <w:rPr>
          <w:rFonts w:ascii="Verdana" w:eastAsia="Times New Roman" w:hAnsi="Verdana" w:cs="Arial"/>
          <w:lang w:val="es-ES_tradnl" w:eastAsia="es-ES_tradnl"/>
        </w:rPr>
        <w:t>el ámbito temporal para ejercer la facultad de subsanar la oferta, pues la Ley 1882 de 2018 fijó una regla general y una excepción. La regla general es que</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el límite para que la entidad solicite y para que el proponente corrija lo que haga falta es hasta el término de traslado del informe de evaluación que corresponda a cada modalidad de selección. La excepción es que el límite anterior no aplica para los procesos de mínima cuantía y para el proceso de selección a través del sistema de subasta</w:t>
      </w:r>
      <w:r w:rsidRPr="00D16A5E">
        <w:rPr>
          <w:rFonts w:ascii="Verdana" w:eastAsia="Times New Roman" w:hAnsi="Verdana" w:cs="Arial"/>
          <w:vertAlign w:val="superscript"/>
          <w:lang w:val="es-ES_tradnl" w:eastAsia="es-ES_tradnl"/>
        </w:rPr>
        <w:footnoteReference w:id="5"/>
      </w:r>
      <w:r>
        <w:rPr>
          <w:rFonts w:ascii="Verdana" w:eastAsia="Times New Roman" w:hAnsi="Verdana" w:cs="Arial"/>
          <w:lang w:val="es-ES_tradnl" w:eastAsia="es-ES_tradnl"/>
        </w:rPr>
        <w:t>.</w:t>
      </w:r>
    </w:p>
    <w:p w14:paraId="57A3F6E2"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15932803">
        <w:rPr>
          <w:rFonts w:ascii="Verdana" w:eastAsia="Times New Roman" w:hAnsi="Verdana" w:cs="Arial"/>
          <w:lang w:val="es-ES" w:eastAsia="es-ES"/>
        </w:rPr>
        <w:t xml:space="preserve">Frente a la regla general aplicable a los demás procesos de selección, la norma fijó un límite final para que la Administración y los oferentes subsanen los requisitos o documentos que puedan y deban ser subsanados. No </w:t>
      </w:r>
      <w:proofErr w:type="gramStart"/>
      <w:r w:rsidRPr="15932803">
        <w:rPr>
          <w:rFonts w:ascii="Verdana" w:eastAsia="Times New Roman" w:hAnsi="Verdana" w:cs="Arial"/>
          <w:lang w:val="es-ES" w:eastAsia="es-ES"/>
        </w:rPr>
        <w:t>obstante</w:t>
      </w:r>
      <w:proofErr w:type="gramEnd"/>
      <w:r w:rsidRPr="15932803">
        <w:rPr>
          <w:rFonts w:ascii="Verdana" w:eastAsia="Times New Roman" w:hAnsi="Verdana" w:cs="Arial"/>
          <w:lang w:val="es-ES" w:eastAsia="es-ES"/>
        </w:rPr>
        <w:t xml:space="preserve"> lo anterior,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15932803">
        <w:rPr>
          <w:rFonts w:ascii="Verdana" w:eastAsia="Times New Roman" w:hAnsi="Verdana" w:cs="Arial"/>
          <w:i/>
          <w:iCs/>
          <w:lang w:val="es-ES" w:eastAsia="es-ES"/>
        </w:rPr>
        <w:t>deberán ser solicitados por las entidades estatales y deberán ser entregados por los proponentes hasta el término de traslado del informe de evaluación que corresponda a cada modalidad de selección”.</w:t>
      </w:r>
      <w:r w:rsidRPr="15932803">
        <w:rPr>
          <w:rFonts w:ascii="Verdana" w:eastAsia="Times New Roman" w:hAnsi="Verdana" w:cs="Arial"/>
          <w:lang w:val="es-ES" w:eastAsia="es-ES"/>
        </w:rPr>
        <w:t xml:space="preserve"> </w:t>
      </w:r>
    </w:p>
    <w:p w14:paraId="4843303D"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Sin perjuicio de lo expuesto</w:t>
      </w:r>
      <w:r w:rsidRPr="00D16A5E">
        <w:rPr>
          <w:rFonts w:ascii="Verdana" w:eastAsia="Times New Roman" w:hAnsi="Verdana" w:cs="Arial"/>
          <w:lang w:val="es-ES" w:eastAsia="es-ES"/>
        </w:rPr>
        <w:t xml:space="preserve">, de la lectura de este aparte podrían, en la práctica, darse dos interpretaciones que dan lugar a dos formas de proceder en los procesos de selección, en lo que a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se refiere. Primera, que la posibilidad para subsanar de los oferentes es el término del traslado del informe de evaluación, ya que es en este documento donde la Administración consigna los requisitos o documentos omitidos que los oferentes </w:t>
      </w:r>
      <w:r w:rsidRPr="00D16A5E">
        <w:rPr>
          <w:rFonts w:ascii="Verdana" w:eastAsia="Times New Roman" w:hAnsi="Verdana" w:cs="Arial"/>
          <w:lang w:val="es-ES" w:eastAsia="es-ES"/>
        </w:rPr>
        <w:lastRenderedPageBreak/>
        <w:t>deben subsanar, so pena de rechazo</w:t>
      </w:r>
      <w:r>
        <w:rPr>
          <w:rFonts w:ascii="Verdana" w:eastAsia="Times New Roman" w:hAnsi="Verdana" w:cs="Arial"/>
          <w:lang w:val="es-ES" w:eastAsia="es-ES"/>
        </w:rPr>
        <w:t>. S</w:t>
      </w:r>
      <w:r w:rsidRPr="00D16A5E">
        <w:rPr>
          <w:rFonts w:ascii="Verdana" w:eastAsia="Times New Roman" w:hAnsi="Verdana" w:cs="Arial"/>
          <w:lang w:val="es-ES" w:eastAsia="es-ES"/>
        </w:rPr>
        <w:t xml:space="preserve">egunda, que el término del traslado del informe de evaluación es el </w:t>
      </w:r>
      <w:r w:rsidRPr="00D16A5E">
        <w:rPr>
          <w:rFonts w:ascii="Verdana" w:eastAsia="Times New Roman" w:hAnsi="Verdana" w:cs="Arial"/>
          <w:i/>
          <w:lang w:val="es-ES" w:eastAsia="es-ES"/>
        </w:rPr>
        <w:t>límite</w:t>
      </w:r>
      <w:r w:rsidRPr="00D16A5E">
        <w:rPr>
          <w:rFonts w:ascii="Verdana" w:eastAsia="Times New Roman" w:hAnsi="Verdana" w:cs="Arial"/>
          <w:lang w:val="es-ES" w:eastAsia="es-ES"/>
        </w:rPr>
        <w:t xml:space="preserve"> para la subsanación de ofertas, pero no el único momento para hacerlo. </w:t>
      </w:r>
    </w:p>
    <w:p w14:paraId="549E82D4" w14:textId="77777777" w:rsidR="00D52DE3" w:rsidRPr="00D16A5E" w:rsidRDefault="00D52DE3" w:rsidP="00D52DE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De acuerdo con la primera interpretación, el informe de evaluación se convierte en la oportunidad que adopta la Administración para decirles a los oferentes qué documentos o requisitos omitieron y deben subsanar</w:t>
      </w:r>
      <w:r>
        <w:rPr>
          <w:rFonts w:ascii="Verdana" w:eastAsia="Times New Roman" w:hAnsi="Verdana" w:cs="Arial"/>
          <w:lang w:val="es-ES_tradnl" w:eastAsia="es-ES_tradnl"/>
        </w:rPr>
        <w:t>. C</w:t>
      </w:r>
      <w:r w:rsidRPr="00D16A5E">
        <w:rPr>
          <w:rFonts w:ascii="Verdana" w:eastAsia="Times New Roman" w:hAnsi="Verdana" w:cs="Arial"/>
          <w:lang w:val="es-ES_tradnl" w:eastAsia="es-ES_tradnl"/>
        </w:rPr>
        <w:t xml:space="preserve">onsecuentemente, el término del traslado es la oportunidad del proponente para cumplir con lo solicitado.  </w:t>
      </w:r>
    </w:p>
    <w:p w14:paraId="600DE3B8" w14:textId="77777777" w:rsidR="00D52DE3" w:rsidRPr="00D16A5E" w:rsidRDefault="00D52DE3" w:rsidP="00D52DE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0FE5E87B"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w:t>
      </w:r>
      <w:r>
        <w:rPr>
          <w:rFonts w:ascii="Verdana" w:eastAsia="Times New Roman" w:hAnsi="Verdana" w:cs="Arial"/>
          <w:lang w:val="es-ES" w:eastAsia="es-ES"/>
        </w:rPr>
        <w:t>. I</w:t>
      </w:r>
      <w:r w:rsidRPr="00D16A5E">
        <w:rPr>
          <w:rFonts w:ascii="Verdana" w:eastAsia="Times New Roman" w:hAnsi="Verdana" w:cs="Arial"/>
          <w:lang w:val="es-ES" w:eastAsia="es-ES"/>
        </w:rPr>
        <w:t>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Lo anterior, se aclara, sin desconocer el límite que establece la norma para que los oferentes, sin perjuicio de que lo hagan antes, cuenten hasta el término de traslado del informe de evaluación con la posibilidad de presentar la información solicitada.</w:t>
      </w:r>
    </w:p>
    <w:p w14:paraId="021479F9" w14:textId="77777777" w:rsidR="00D52DE3" w:rsidRPr="00D16A5E" w:rsidRDefault="00D52DE3" w:rsidP="00D52DE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El </w:t>
      </w:r>
      <w:r w:rsidRPr="003049F6">
        <w:rPr>
          <w:rFonts w:ascii="Verdana" w:eastAsia="Times New Roman" w:hAnsi="Verdana" w:cs="Arial"/>
          <w:i/>
          <w:iCs/>
          <w:lang w:val="es-ES_tradnl" w:eastAsia="es-ES_tradnl"/>
        </w:rPr>
        <w:t>segundo cambio</w:t>
      </w:r>
      <w:r w:rsidRPr="00D16A5E">
        <w:rPr>
          <w:rFonts w:ascii="Verdana" w:eastAsia="Times New Roman" w:hAnsi="Verdana" w:cs="Arial"/>
          <w:lang w:val="es-ES_tradnl" w:eastAsia="es-ES_tradnl"/>
        </w:rPr>
        <w:t xml:space="preserve"> importante de la Ley 1882 de 2018 fue la introducción de un criterio material, directamente relacionado con los aspectos subsanables: </w:t>
      </w:r>
      <w:r w:rsidRPr="00D16A5E">
        <w:rPr>
          <w:rFonts w:ascii="Verdana" w:eastAsia="Times New Roman" w:hAnsi="Verdana" w:cs="Arial"/>
          <w:i/>
          <w:iCs/>
          <w:lang w:val="es-ES_tradnl" w:eastAsia="es-ES_tradnl"/>
        </w:rPr>
        <w:t>“los proponentes no podrán acreditar circunstancias ocurridas con posterioridad al cierre del proceso”.</w:t>
      </w:r>
      <w:r w:rsidRPr="00D16A5E">
        <w:rPr>
          <w:rFonts w:ascii="Verdana" w:eastAsia="Times New Roman" w:hAnsi="Verdana" w:cs="Arial"/>
          <w:lang w:val="es-ES_tradnl" w:eastAsia="es-ES_tradnl"/>
        </w:rPr>
        <w:t xml:space="preserve"> Lo anterior ofrece dos aspectos que merecen clarificación</w:t>
      </w:r>
      <w:r>
        <w:rPr>
          <w:rFonts w:ascii="Verdana" w:eastAsia="Times New Roman" w:hAnsi="Verdana" w:cs="Arial"/>
          <w:lang w:val="es-ES_tradnl" w:eastAsia="es-ES_tradnl"/>
        </w:rPr>
        <w:t>;</w:t>
      </w:r>
      <w:r w:rsidRPr="00D16A5E">
        <w:rPr>
          <w:rFonts w:ascii="Verdana" w:eastAsia="Times New Roman" w:hAnsi="Verdana" w:cs="Arial"/>
          <w:lang w:val="es-ES_tradnl" w:eastAsia="es-ES_tradnl"/>
        </w:rPr>
        <w:t xml:space="preserve"> primero, qué debe entenderse por circunstancias ocurridas con posterioridad; y segundo, qué es el cierre del proceso. </w:t>
      </w:r>
    </w:p>
    <w:p w14:paraId="6697FD47"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lastRenderedPageBreak/>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w:t>
      </w:r>
      <w:r>
        <w:rPr>
          <w:rFonts w:ascii="Verdana" w:eastAsia="Times New Roman" w:hAnsi="Verdana" w:cs="Arial"/>
          <w:lang w:val="es-ES" w:eastAsia="es-ES"/>
        </w:rPr>
        <w:t>n esa ocasión, e</w:t>
      </w:r>
      <w:r w:rsidRPr="00D16A5E">
        <w:rPr>
          <w:rFonts w:ascii="Verdana" w:eastAsia="Times New Roman" w:hAnsi="Verdana" w:cs="Arial"/>
          <w:lang w:val="es-ES" w:eastAsia="es-ES"/>
        </w:rPr>
        <w:t>l Consejo de Estado precisó que</w:t>
      </w:r>
      <w:r>
        <w:rPr>
          <w:rFonts w:ascii="Verdana" w:eastAsia="Times New Roman" w:hAnsi="Verdana" w:cs="Arial"/>
          <w:lang w:val="es-ES" w:eastAsia="es-ES"/>
        </w:rPr>
        <w:t>,</w:t>
      </w:r>
      <w:r w:rsidRPr="00D16A5E">
        <w:rPr>
          <w:rFonts w:ascii="Verdana" w:eastAsia="Times New Roman" w:hAnsi="Verdana" w:cs="Arial"/>
          <w:lang w:val="es-ES" w:eastAsia="es-ES"/>
        </w:rPr>
        <w:t xml:space="preserve"> por cierre del proceso debe entenders</w:t>
      </w:r>
      <w:r w:rsidRPr="000C12F6">
        <w:rPr>
          <w:rFonts w:ascii="Verdana" w:eastAsia="Times New Roman" w:hAnsi="Verdana" w:cs="Arial"/>
          <w:lang w:val="es-ES" w:eastAsia="es-ES"/>
        </w:rPr>
        <w:t xml:space="preserve">e el vencimiento del plazo para la presentación de las ofertas y que </w:t>
      </w:r>
      <w:r w:rsidRPr="00D16A5E">
        <w:rPr>
          <w:rFonts w:ascii="Verdana" w:eastAsia="Times New Roman" w:hAnsi="Verdana" w:cs="Arial"/>
          <w:lang w:val="es-ES" w:eastAsia="es-ES"/>
        </w:rPr>
        <w:t>lo subsanable son las circunstancias que ocurrieron con anterioridad a esa fecha</w:t>
      </w:r>
      <w:r w:rsidRPr="00D16A5E">
        <w:rPr>
          <w:rFonts w:ascii="Verdana" w:eastAsia="Times New Roman" w:hAnsi="Verdana" w:cs="Arial"/>
          <w:vertAlign w:val="superscript"/>
          <w:lang w:val="es-ES" w:eastAsia="es-ES"/>
        </w:rPr>
        <w:footnoteReference w:id="6"/>
      </w:r>
      <w:r w:rsidRPr="00D16A5E">
        <w:rPr>
          <w:rFonts w:ascii="Verdana" w:eastAsia="Times New Roman" w:hAnsi="Verdana" w:cs="Arial"/>
          <w:lang w:val="es-ES" w:eastAsia="es-ES"/>
        </w:rPr>
        <w:t>.</w:t>
      </w:r>
    </w:p>
    <w:p w14:paraId="6FDC72FF" w14:textId="77777777" w:rsidR="00D52DE3" w:rsidRPr="00D16A5E" w:rsidRDefault="00D52DE3" w:rsidP="00D52DE3">
      <w:pPr>
        <w:spacing w:after="120" w:line="276" w:lineRule="auto"/>
        <w:ind w:firstLine="709"/>
        <w:jc w:val="both"/>
        <w:rPr>
          <w:rFonts w:ascii="Verdana" w:eastAsia="Times New Roman" w:hAnsi="Verdana" w:cs="Arial"/>
          <w:lang w:val="es-ES_tradnl" w:eastAsia="es-ES_tradnl"/>
        </w:rPr>
      </w:pPr>
      <w:r w:rsidRPr="00D16A5E">
        <w:rPr>
          <w:rFonts w:ascii="Verdana" w:eastAsia="Times New Roman" w:hAnsi="Verdana" w:cs="Arial"/>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734882F"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Un mejor entendimiento del significado de la expresión </w:t>
      </w:r>
      <w:r w:rsidRPr="00D16A5E">
        <w:rPr>
          <w:rFonts w:ascii="Verdana" w:eastAsia="Times New Roman" w:hAnsi="Verdana" w:cs="Arial"/>
          <w:i/>
          <w:lang w:val="es-ES" w:eastAsia="es-ES"/>
        </w:rPr>
        <w:t>“circunstancias ocurridas con posterioridad al cierre del proce</w:t>
      </w:r>
      <w:r w:rsidRPr="000C12F6">
        <w:rPr>
          <w:rFonts w:ascii="Verdana" w:eastAsia="Times New Roman" w:hAnsi="Verdana" w:cs="Arial"/>
          <w:i/>
          <w:lang w:val="es-ES" w:eastAsia="es-ES"/>
        </w:rPr>
        <w:t>so”</w:t>
      </w:r>
      <w:r w:rsidRPr="000C12F6">
        <w:rPr>
          <w:rFonts w:ascii="Verdana" w:eastAsia="Times New Roman" w:hAnsi="Verdana" w:cs="Arial"/>
          <w:lang w:val="es-ES" w:eastAsia="es-ES"/>
        </w:rPr>
        <w:t xml:space="preserve"> implica distinguir entre la prueba de un hecho y el hecho mismo. En</w:t>
      </w:r>
      <w:r w:rsidRPr="00D16A5E">
        <w:rPr>
          <w:rFonts w:ascii="Verdana" w:eastAsia="Times New Roman" w:hAnsi="Verdana" w:cs="Arial"/>
          <w:lang w:val="es-ES" w:eastAsia="es-ES"/>
        </w:rPr>
        <w:t xml:space="preserve"> el caso de la </w:t>
      </w:r>
      <w:proofErr w:type="spellStart"/>
      <w:r w:rsidRPr="00D16A5E">
        <w:rPr>
          <w:rFonts w:ascii="Verdana" w:eastAsia="Times New Roman" w:hAnsi="Verdana" w:cs="Arial"/>
          <w:lang w:val="es-ES" w:eastAsia="es-ES"/>
        </w:rPr>
        <w:t>subsanabilidad</w:t>
      </w:r>
      <w:proofErr w:type="spellEnd"/>
      <w:r w:rsidRPr="00D16A5E">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w:t>
      </w:r>
      <w:r w:rsidRPr="00D16A5E">
        <w:rPr>
          <w:rFonts w:ascii="Verdana" w:eastAsia="Times New Roman" w:hAnsi="Verdana" w:cs="Arial"/>
          <w:lang w:val="es-ES" w:eastAsia="es-ES"/>
        </w:rPr>
        <w:lastRenderedPageBreak/>
        <w:t>en palabras de la ley, que se acrediten hechos que ocurrieron después del cierre del proceso</w:t>
      </w:r>
      <w:r w:rsidRPr="00D16A5E">
        <w:rPr>
          <w:rFonts w:ascii="Verdana" w:eastAsia="Times New Roman" w:hAnsi="Verdana" w:cs="Arial"/>
          <w:vertAlign w:val="superscript"/>
          <w:lang w:val="es-ES" w:eastAsia="es-ES"/>
        </w:rPr>
        <w:footnoteReference w:id="7"/>
      </w:r>
      <w:r w:rsidRPr="00D16A5E">
        <w:rPr>
          <w:rFonts w:ascii="Verdana" w:eastAsia="Times New Roman" w:hAnsi="Verdana" w:cs="Arial"/>
          <w:lang w:val="es-ES" w:eastAsia="es-ES"/>
        </w:rPr>
        <w:t xml:space="preserve">. </w:t>
      </w:r>
    </w:p>
    <w:p w14:paraId="3559747A" w14:textId="77777777" w:rsidR="00D52DE3" w:rsidRPr="00D16A5E" w:rsidRDefault="00D52DE3" w:rsidP="00D52DE3">
      <w:pPr>
        <w:spacing w:after="120" w:line="276" w:lineRule="auto"/>
        <w:ind w:firstLine="709"/>
        <w:jc w:val="both"/>
        <w:rPr>
          <w:rFonts w:ascii="Verdana" w:eastAsia="Times New Roman" w:hAnsi="Verdana" w:cs="Arial"/>
          <w:lang w:val="es-ES" w:eastAsia="es-ES"/>
        </w:rPr>
      </w:pPr>
      <w:r w:rsidRPr="00D16A5E">
        <w:rPr>
          <w:rFonts w:ascii="Verdana" w:eastAsia="Times New Roman" w:hAnsi="Verdana" w:cs="Arial"/>
          <w:lang w:val="es-ES" w:eastAsia="es-ES"/>
        </w:rPr>
        <w:t xml:space="preserve">Por ejemplo: i) si un oferente olvidó adjuntar con su propuesta el certificado que da cuenta de su inscripción en el RUP, el requisito será subsanable siempre que la prueba allegada demuestre que el hecho, esto es, la inscripción en el registro, ocurrió con anterioridad al cierre del proceso, estando está en firme para dicho momento; </w:t>
      </w:r>
      <w:proofErr w:type="spellStart"/>
      <w:r w:rsidRPr="00D16A5E">
        <w:rPr>
          <w:rFonts w:ascii="Verdana" w:eastAsia="Times New Roman" w:hAnsi="Verdana" w:cs="Arial"/>
          <w:lang w:val="es-ES" w:eastAsia="es-ES"/>
        </w:rPr>
        <w:t>ii</w:t>
      </w:r>
      <w:proofErr w:type="spellEnd"/>
      <w:r w:rsidRPr="00D16A5E">
        <w:rPr>
          <w:rFonts w:ascii="Verdana" w:eastAsia="Times New Roman" w:hAnsi="Verdana" w:cs="Arial"/>
          <w:lang w:val="es-ES" w:eastAsia="es-ES"/>
        </w:rPr>
        <w:t>)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0D16A5E">
        <w:rPr>
          <w:rFonts w:ascii="Verdana" w:eastAsia="Times New Roman" w:hAnsi="Verdana" w:cs="Arial"/>
          <w:vertAlign w:val="superscript"/>
          <w:lang w:val="es-ES" w:eastAsia="es-ES"/>
        </w:rPr>
        <w:footnoteReference w:id="8"/>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iii</w:t>
      </w:r>
      <w:proofErr w:type="spellEnd"/>
      <w:r w:rsidRPr="00D16A5E">
        <w:rPr>
          <w:rFonts w:ascii="Verdana" w:eastAsia="Times New Roman" w:hAnsi="Verdana" w:cs="Arial"/>
          <w:lang w:val="es-ES" w:eastAsia="es-ES"/>
        </w:rPr>
        <w:t>) si un oferente no anexó el Certificado de existencia y representación legal, el documento aportado con posterioridad debe dar cuenta de que la sociedad existía antes del cierre del proceso</w:t>
      </w:r>
      <w:r w:rsidRPr="00D16A5E">
        <w:rPr>
          <w:rFonts w:ascii="Verdana" w:eastAsia="Times New Roman" w:hAnsi="Verdana" w:cs="Arial"/>
          <w:vertAlign w:val="superscript"/>
          <w:lang w:val="es-ES" w:eastAsia="es-ES"/>
        </w:rPr>
        <w:footnoteReference w:id="9"/>
      </w:r>
      <w:r w:rsidRPr="00D16A5E">
        <w:rPr>
          <w:rFonts w:ascii="Verdana" w:eastAsia="Times New Roman" w:hAnsi="Verdana" w:cs="Arial"/>
          <w:lang w:val="es-ES" w:eastAsia="es-ES"/>
        </w:rPr>
        <w:t xml:space="preserve">; </w:t>
      </w:r>
      <w:proofErr w:type="spellStart"/>
      <w:r w:rsidRPr="00D16A5E">
        <w:rPr>
          <w:rFonts w:ascii="Verdana" w:eastAsia="Times New Roman" w:hAnsi="Verdana" w:cs="Arial"/>
          <w:lang w:val="es-ES" w:eastAsia="es-ES"/>
        </w:rPr>
        <w:t>iv</w:t>
      </w:r>
      <w:proofErr w:type="spellEnd"/>
      <w:r w:rsidRPr="00D16A5E">
        <w:rPr>
          <w:rFonts w:ascii="Verdana" w:eastAsia="Times New Roman" w:hAnsi="Verdana" w:cs="Arial"/>
          <w:lang w:val="es-ES" w:eastAsia="es-ES"/>
        </w:rPr>
        <w:t xml:space="preserve">) si un oferente olvidó adjuntar un certificado que demuestra un título universitario, el </w:t>
      </w:r>
      <w:r w:rsidRPr="000C12F6">
        <w:rPr>
          <w:rFonts w:ascii="Verdana" w:eastAsia="Times New Roman" w:hAnsi="Verdana" w:cs="Arial"/>
          <w:lang w:val="es-ES" w:eastAsia="es-ES"/>
        </w:rPr>
        <w:t>documento, aunque tenga fecha posterior al cierre del proceso, debe</w:t>
      </w:r>
      <w:r w:rsidRPr="00D16A5E">
        <w:rPr>
          <w:rFonts w:ascii="Verdana" w:eastAsia="Times New Roman" w:hAnsi="Verdana" w:cs="Arial"/>
          <w:lang w:val="es-ES" w:eastAsia="es-ES"/>
        </w:rPr>
        <w:t xml:space="preserve"> acreditar que el título académico se obtuvo con anterioridad al cierre del proceso; v) si un oferente no allegó un certificado de experiencia, el documento que subsana –sin importar que tenga fecha posterior– debe demostrar que la experiencia que se pretende hacer valer se obtuvo antes de vencerse el término para presentar </w:t>
      </w:r>
      <w:r w:rsidRPr="00D16A5E">
        <w:rPr>
          <w:rFonts w:ascii="Verdana" w:eastAsia="Times New Roman" w:hAnsi="Verdana" w:cs="Arial"/>
          <w:lang w:val="es-ES" w:eastAsia="es-ES"/>
        </w:rPr>
        <w:lastRenderedPageBreak/>
        <w:t xml:space="preserve">ofertas y vi) si el oferente olvidó firmar la propuesta o presentar una copia de ella, puede subsanar sin que con ello se entienda que acreditó una circunstancia ocurrida con posterioridad al cierre del proceso. </w:t>
      </w:r>
    </w:p>
    <w:p w14:paraId="43D63A78" w14:textId="77777777" w:rsidR="00D52DE3" w:rsidRDefault="00D52DE3" w:rsidP="00D52DE3">
      <w:pPr>
        <w:spacing w:after="120" w:line="276" w:lineRule="auto"/>
        <w:ind w:firstLine="709"/>
        <w:jc w:val="both"/>
        <w:rPr>
          <w:rFonts w:ascii="Verdana" w:eastAsia="Times New Roman" w:hAnsi="Verdana" w:cs="Arial"/>
          <w:i/>
          <w:lang w:val="es-ES" w:eastAsia="es-ES"/>
        </w:rPr>
      </w:pPr>
      <w:r w:rsidRPr="00C33859">
        <w:rPr>
          <w:rFonts w:ascii="Verdana" w:eastAsia="Times New Roman" w:hAnsi="Verdana" w:cs="Arial"/>
          <w:lang w:val="es-ES" w:eastAsia="es-ES"/>
        </w:rPr>
        <w:t>Lo anterior quiere decir que no es la prueba –usualmente un documento– lo que debe ser anterior al cierre del proceso, sino el hecho que ella acredita. Es</w:t>
      </w:r>
      <w:r w:rsidRPr="00D16A5E">
        <w:rPr>
          <w:rFonts w:ascii="Verdana" w:eastAsia="Times New Roman" w:hAnsi="Verdana" w:cs="Arial"/>
          <w:lang w:val="es-ES" w:eastAsia="es-ES"/>
        </w:rPr>
        <w:t xml:space="preserve"> decir, ante la solicitud de la Administración de subsanar determinado requisito, el documento podría estar fechado con posterioridad al vencimiento del término para recibir propuestas, siempre y cuando el hecho que acredite haya ocurrido antes, esto es, que no sea una circunstancia ocurrida con posterioridad al cierre del proceso. Es por esto </w:t>
      </w:r>
      <w:proofErr w:type="gramStart"/>
      <w:r w:rsidRPr="00D16A5E">
        <w:rPr>
          <w:rFonts w:ascii="Verdana" w:eastAsia="Times New Roman" w:hAnsi="Verdana" w:cs="Arial"/>
          <w:lang w:val="es-ES" w:eastAsia="es-ES"/>
        </w:rPr>
        <w:t>que</w:t>
      </w:r>
      <w:proofErr w:type="gramEnd"/>
      <w:r w:rsidRPr="00D16A5E">
        <w:rPr>
          <w:rFonts w:ascii="Verdana" w:eastAsia="Times New Roman" w:hAnsi="Verdana" w:cs="Arial"/>
          <w:lang w:val="es-ES" w:eastAsia="es-ES"/>
        </w:rPr>
        <w:t xml:space="preserve"> el Consejo de Estado sostiene que” lo 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D16A5E">
        <w:rPr>
          <w:rFonts w:ascii="Verdana" w:eastAsia="Times New Roman" w:hAnsi="Verdana" w:cs="Arial"/>
          <w:vertAlign w:val="superscript"/>
          <w:lang w:val="es-ES" w:eastAsia="es-ES"/>
        </w:rPr>
        <w:footnoteReference w:id="10"/>
      </w:r>
      <w:r w:rsidRPr="00D16A5E">
        <w:rPr>
          <w:rFonts w:ascii="Verdana" w:eastAsia="Times New Roman" w:hAnsi="Verdana" w:cs="Arial"/>
          <w:lang w:val="es-ES" w:eastAsia="es-ES"/>
        </w:rPr>
        <w:t>.</w:t>
      </w:r>
    </w:p>
    <w:p w14:paraId="0C8DF8BF" w14:textId="77777777" w:rsidR="00D52DE3" w:rsidRPr="009F4606" w:rsidRDefault="00D52DE3" w:rsidP="00D52DE3">
      <w:pPr>
        <w:spacing w:after="120" w:line="276" w:lineRule="auto"/>
        <w:ind w:firstLine="709"/>
        <w:jc w:val="both"/>
        <w:rPr>
          <w:rStyle w:val="eop"/>
          <w:rFonts w:ascii="Verdana" w:hAnsi="Verdana" w:cs="Arial"/>
          <w:color w:val="000000"/>
        </w:rPr>
      </w:pPr>
      <w:r w:rsidRPr="00246D72">
        <w:rPr>
          <w:rFonts w:ascii="Verdana" w:eastAsia="Times New Roman" w:hAnsi="Verdana" w:cs="Arial"/>
          <w:iCs/>
          <w:lang w:val="es-ES" w:eastAsia="es-ES"/>
        </w:rPr>
        <w:t>Ahora bien,</w:t>
      </w:r>
      <w:r>
        <w:rPr>
          <w:rFonts w:ascii="Verdana" w:eastAsia="Times New Roman" w:hAnsi="Verdana" w:cs="Arial"/>
          <w:i/>
          <w:lang w:val="es-ES" w:eastAsia="es-ES"/>
        </w:rPr>
        <w:t xml:space="preserve"> e</w:t>
      </w:r>
      <w:r w:rsidRPr="009F4606">
        <w:rPr>
          <w:rStyle w:val="normaltextrun"/>
          <w:rFonts w:ascii="Verdana" w:hAnsi="Verdana" w:cs="Arial"/>
          <w:color w:val="000000"/>
          <w:lang w:val="es-ES"/>
        </w:rPr>
        <w:t xml:space="preserve">l parágrafo 3 del artículo 5 de la Ley 1882 de 2018 determinó, de manera expresa, que </w:t>
      </w:r>
      <w:r>
        <w:rPr>
          <w:rStyle w:val="normaltextrun"/>
          <w:rFonts w:ascii="Verdana" w:hAnsi="Verdana" w:cs="Arial"/>
          <w:color w:val="000000"/>
          <w:lang w:val="es-ES"/>
        </w:rPr>
        <w:t>“</w:t>
      </w:r>
      <w:r w:rsidRPr="009F4606">
        <w:rPr>
          <w:rStyle w:val="normaltextrun"/>
          <w:rFonts w:ascii="Verdana" w:hAnsi="Verdana" w:cs="Arial"/>
          <w:color w:val="000000"/>
          <w:lang w:val="es-ES"/>
        </w:rPr>
        <w:t xml:space="preserve">la no entrega de la garantía de seriedad junto con la propuesta no será subsanable y será causal de rechazo de </w:t>
      </w:r>
      <w:proofErr w:type="gramStart"/>
      <w:r w:rsidRPr="009F4606">
        <w:rPr>
          <w:rStyle w:val="normaltextrun"/>
          <w:rFonts w:ascii="Verdana" w:hAnsi="Verdana" w:cs="Arial"/>
          <w:color w:val="000000"/>
          <w:lang w:val="es-ES"/>
        </w:rPr>
        <w:t>la misma</w:t>
      </w:r>
      <w:proofErr w:type="gramEnd"/>
      <w:r>
        <w:rPr>
          <w:rStyle w:val="normaltextrun"/>
          <w:rFonts w:ascii="Verdana" w:hAnsi="Verdana" w:cs="Arial"/>
          <w:color w:val="000000"/>
          <w:lang w:val="es-ES"/>
        </w:rPr>
        <w:t>”</w:t>
      </w:r>
      <w:r w:rsidRPr="009F4606">
        <w:rPr>
          <w:rStyle w:val="normaltextrun"/>
          <w:rFonts w:ascii="Verdana" w:hAnsi="Verdana" w:cs="Arial"/>
          <w:color w:val="000000"/>
          <w:lang w:val="es-ES"/>
        </w:rPr>
        <w:t>, dejando claro que se trata de un documento de obligatoria presentación junto con la propuesta y que materializa los principios de seriedad e irrevocabilidad de la oferta.</w:t>
      </w:r>
      <w:r w:rsidRPr="009F4606">
        <w:rPr>
          <w:rStyle w:val="eop"/>
          <w:rFonts w:ascii="Verdana" w:hAnsi="Verdana" w:cs="Arial"/>
          <w:color w:val="000000"/>
        </w:rPr>
        <w:t> </w:t>
      </w:r>
    </w:p>
    <w:p w14:paraId="3D8C611F" w14:textId="77777777" w:rsidR="00D52DE3" w:rsidRDefault="00D52DE3" w:rsidP="00D52DE3">
      <w:pPr>
        <w:spacing w:after="120" w:line="276" w:lineRule="auto"/>
        <w:ind w:firstLine="709"/>
        <w:jc w:val="both"/>
        <w:rPr>
          <w:rFonts w:ascii="Verdana" w:eastAsia="Times New Roman" w:hAnsi="Verdana" w:cs="Arial"/>
          <w:lang w:val="es-ES" w:eastAsia="es-ES"/>
        </w:rPr>
      </w:pPr>
      <w:r w:rsidRPr="50927A94">
        <w:rPr>
          <w:rFonts w:ascii="Verdana" w:eastAsia="Times New Roman" w:hAnsi="Verdana" w:cs="Arial"/>
          <w:lang w:val="es-ES" w:eastAsia="es-ES"/>
        </w:rPr>
        <w:t>Visto lo anterior,</w:t>
      </w:r>
      <w:r>
        <w:rPr>
          <w:rFonts w:ascii="Verdana" w:eastAsia="Times New Roman" w:hAnsi="Verdana" w:cs="Arial"/>
          <w:lang w:val="es-ES" w:eastAsia="es-ES"/>
        </w:rPr>
        <w:t xml:space="preserve"> con miras a dar respuesta al problema jurídico planteado, debe decirse que,</w:t>
      </w:r>
      <w:r w:rsidRPr="50927A94">
        <w:rPr>
          <w:rFonts w:ascii="Verdana" w:eastAsia="Times New Roman" w:hAnsi="Verdana" w:cs="Arial"/>
          <w:lang w:val="es-ES" w:eastAsia="es-ES"/>
        </w:rPr>
        <w:t xml:space="preserve"> una vez verificada la ausencia de requisitos y/o documentos de la oferta, para efectos de saber si se pueden subsanar, la Administración se debe preguntar</w:t>
      </w:r>
      <w:r>
        <w:rPr>
          <w:rFonts w:ascii="Verdana" w:eastAsia="Times New Roman" w:hAnsi="Verdana" w:cs="Arial"/>
          <w:lang w:val="es-ES" w:eastAsia="es-ES"/>
        </w:rPr>
        <w:t xml:space="preserve">: </w:t>
      </w:r>
      <w:r w:rsidRPr="50927A94">
        <w:rPr>
          <w:rFonts w:ascii="Verdana" w:eastAsia="Times New Roman" w:hAnsi="Verdana" w:cs="Arial"/>
          <w:lang w:val="es-ES" w:eastAsia="es-ES"/>
        </w:rPr>
        <w:t>en primer lugar, si lo que hace falta es un documento que afecte la asignación de puntaje o no y</w:t>
      </w:r>
      <w:r>
        <w:rPr>
          <w:rFonts w:ascii="Verdana" w:eastAsia="Times New Roman" w:hAnsi="Verdana" w:cs="Arial"/>
          <w:lang w:val="es-ES" w:eastAsia="es-ES"/>
        </w:rPr>
        <w:t>;</w:t>
      </w:r>
      <w:r w:rsidRPr="50927A94">
        <w:rPr>
          <w:rFonts w:ascii="Verdana" w:eastAsia="Times New Roman" w:hAnsi="Verdana" w:cs="Arial"/>
          <w:lang w:val="es-ES" w:eastAsia="es-ES"/>
        </w:rPr>
        <w:t xml:space="preserve">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afecte la asignación de puntaje y la respuesta al segundo interrogante debe dar cuenta de que lo omitido sea la prueba de una circunstancia o hecho que ocurrió con anterioridad al cierre del proceso.</w:t>
      </w:r>
    </w:p>
    <w:p w14:paraId="4D76C2C5" w14:textId="77777777" w:rsidR="00D52DE3" w:rsidRPr="001A10D9" w:rsidRDefault="00D52DE3" w:rsidP="00D52DE3">
      <w:pPr>
        <w:spacing w:after="120" w:line="276" w:lineRule="auto"/>
        <w:ind w:firstLine="709"/>
        <w:jc w:val="both"/>
        <w:rPr>
          <w:rFonts w:ascii="Verdana" w:hAnsi="Verdana" w:cs="Arial"/>
          <w:noProof/>
          <w:lang w:val="es-ES_tradnl"/>
        </w:rPr>
      </w:pPr>
      <w:r w:rsidRPr="001A10D9">
        <w:rPr>
          <w:rFonts w:ascii="Verdana" w:hAnsi="Verdana" w:cs="Arial"/>
          <w:noProof/>
          <w:lang w:val="es-ES_tradnl"/>
        </w:rPr>
        <w:lastRenderedPageBreak/>
        <w:t xml:space="preserve">En conclusion, los requisitos o documentos que no sean necesarios para la comparación de las ofertas pueden subsanarse y todo lo que no sea necesario para la comparación de propuestas no es título suficiente para su rechazo. En sentido, </w:t>
      </w:r>
      <w:r>
        <w:rPr>
          <w:rFonts w:ascii="Verdana" w:hAnsi="Verdana" w:cs="Arial"/>
          <w:noProof/>
          <w:lang w:val="es-ES_tradnl"/>
        </w:rPr>
        <w:t xml:space="preserve">a manera de ejemplo, </w:t>
      </w:r>
      <w:r w:rsidRPr="001A10D9">
        <w:rPr>
          <w:rFonts w:ascii="Verdana" w:hAnsi="Verdana" w:cs="Arial"/>
          <w:noProof/>
          <w:lang w:val="es-ES_tradnl"/>
        </w:rPr>
        <w:t xml:space="preserve">si en un concurso de méritos se presentó a un profesional para cumplir con un perfil solicitado como requisito habilitante, pero la entidad encontró alguna inconsistencia, podría subsanarse el requisito habilitante. </w:t>
      </w:r>
    </w:p>
    <w:p w14:paraId="601AD79B" w14:textId="77777777" w:rsidR="00D52DE3" w:rsidRPr="0099216D" w:rsidRDefault="00D52DE3" w:rsidP="00D52DE3">
      <w:pPr>
        <w:spacing w:after="120" w:line="276" w:lineRule="auto"/>
        <w:ind w:firstLine="708"/>
        <w:jc w:val="both"/>
        <w:rPr>
          <w:rFonts w:ascii="Verdana" w:hAnsi="Verdana" w:cs="Arial"/>
          <w:bCs/>
          <w:lang w:val="es-ES_tradnl" w:eastAsia="es-ES" w:bidi="es-ES"/>
        </w:rPr>
      </w:pPr>
      <w:r>
        <w:rPr>
          <w:rFonts w:ascii="Verdana" w:eastAsia="Calibri" w:hAnsi="Verdana"/>
        </w:rPr>
        <w:t>De igual manera</w:t>
      </w:r>
      <w:r w:rsidRPr="00B643B2">
        <w:rPr>
          <w:rFonts w:ascii="Verdana" w:eastAsia="Calibri" w:hAnsi="Verdana"/>
        </w:rPr>
        <w:t>,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00CE3F90" w14:textId="77777777" w:rsidR="00D52DE3" w:rsidRDefault="00D52DE3" w:rsidP="00D52DE3">
      <w:pPr>
        <w:spacing w:after="120" w:line="276" w:lineRule="auto"/>
        <w:jc w:val="both"/>
        <w:rPr>
          <w:rFonts w:ascii="Verdana" w:eastAsia="Arial" w:hAnsi="Verdana" w:cs="Arial"/>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03691A28" w14:textId="77777777" w:rsidR="00D52DE3" w:rsidRPr="006B17A7" w:rsidRDefault="00D52DE3" w:rsidP="00D52DE3">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721D35C3" w14:textId="77777777" w:rsidR="00D52DE3" w:rsidRPr="006B17A7" w:rsidRDefault="00D52DE3" w:rsidP="00D52DE3">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2DE3" w:rsidRPr="006B17A7" w14:paraId="402AF2A1" w14:textId="77777777" w:rsidTr="00096425">
        <w:trPr>
          <w:trHeight w:val="870"/>
        </w:trPr>
        <w:tc>
          <w:tcPr>
            <w:tcW w:w="8647" w:type="dxa"/>
          </w:tcPr>
          <w:p w14:paraId="65A47F3E" w14:textId="77777777" w:rsidR="00D52DE3" w:rsidRPr="00D16A5E" w:rsidRDefault="00D52DE3" w:rsidP="00D52DE3">
            <w:pPr>
              <w:pStyle w:val="Prrafodelista"/>
              <w:numPr>
                <w:ilvl w:val="0"/>
                <w:numId w:val="17"/>
              </w:numPr>
              <w:spacing w:after="120" w:line="276" w:lineRule="auto"/>
              <w:jc w:val="both"/>
              <w:rPr>
                <w:rFonts w:ascii="Verdana" w:hAnsi="Verdana" w:cs="Arial"/>
                <w:noProof/>
                <w:lang w:val="es-ES_tradnl"/>
              </w:rPr>
            </w:pPr>
            <w:r>
              <w:rPr>
                <w:rFonts w:ascii="Verdana" w:hAnsi="Verdana" w:cs="Arial"/>
                <w:noProof/>
                <w:lang w:val="es-ES_tradnl"/>
              </w:rPr>
              <w:t>A</w:t>
            </w:r>
            <w:r w:rsidRPr="009F4606">
              <w:rPr>
                <w:rFonts w:ascii="Verdana" w:hAnsi="Verdana" w:cs="Arial"/>
                <w:noProof/>
                <w:lang w:val="es-ES_tradnl"/>
              </w:rPr>
              <w:t xml:space="preserve">rtículo 5 de la Ley 1150 de 2007, modificado por la Ley 1882 de 2018, </w:t>
            </w:r>
            <w:r>
              <w:rPr>
                <w:rFonts w:ascii="Verdana" w:hAnsi="Verdana" w:cs="Arial"/>
                <w:noProof/>
                <w:lang w:val="es-ES_tradnl"/>
              </w:rPr>
              <w:t xml:space="preserve">artículo 5 </w:t>
            </w:r>
            <w:r w:rsidRPr="009F4606">
              <w:rPr>
                <w:rFonts w:ascii="Verdana" w:hAnsi="Verdana" w:cs="Arial"/>
                <w:noProof/>
                <w:lang w:val="es-ES_tradnl"/>
              </w:rPr>
              <w:t>parágrafos 1, 3 y 4.</w:t>
            </w:r>
            <w:r>
              <w:rPr>
                <w:rFonts w:ascii="Verdana" w:hAnsi="Verdana" w:cs="Arial"/>
                <w:noProof/>
                <w:lang w:val="es-ES_tradnl"/>
              </w:rPr>
              <w:t xml:space="preserve"> </w:t>
            </w:r>
          </w:p>
          <w:p w14:paraId="72B262C9" w14:textId="77777777" w:rsidR="00D52DE3" w:rsidRDefault="00D52DE3" w:rsidP="00D52DE3">
            <w:pPr>
              <w:pStyle w:val="Prrafodelista"/>
              <w:numPr>
                <w:ilvl w:val="0"/>
                <w:numId w:val="17"/>
              </w:numPr>
              <w:spacing w:after="120" w:line="276" w:lineRule="auto"/>
              <w:jc w:val="both"/>
              <w:rPr>
                <w:rFonts w:ascii="Verdana" w:hAnsi="Verdana" w:cs="Arial"/>
                <w:noProof/>
                <w:lang w:val="es-ES_tradnl"/>
              </w:rPr>
            </w:pPr>
            <w:r w:rsidRPr="009F4606">
              <w:rPr>
                <w:rFonts w:ascii="Verdana" w:hAnsi="Verdana" w:cs="Arial"/>
                <w:noProof/>
                <w:lang w:val="es-ES_tradnl"/>
              </w:rPr>
              <w:t>Consejo de Estado. Sala de Consulta y Servicio Civil. Concepto del 20 de mayo de 2010. Exp. 1.992. C.P. Enrique José Arboleda Perdomo.</w:t>
            </w:r>
          </w:p>
          <w:p w14:paraId="40849D20" w14:textId="77777777" w:rsidR="00D52DE3" w:rsidRPr="00340039" w:rsidRDefault="00D52DE3" w:rsidP="00D52DE3">
            <w:pPr>
              <w:pStyle w:val="Prrafodelista"/>
              <w:widowControl w:val="0"/>
              <w:numPr>
                <w:ilvl w:val="0"/>
                <w:numId w:val="17"/>
              </w:numPr>
              <w:autoSpaceDE w:val="0"/>
              <w:autoSpaceDN w:val="0"/>
              <w:spacing w:after="120" w:line="276" w:lineRule="auto"/>
              <w:jc w:val="both"/>
              <w:rPr>
                <w:rFonts w:ascii="Verdana" w:hAnsi="Verdana" w:cs="Arial"/>
                <w:color w:val="7030A0"/>
              </w:rPr>
            </w:pPr>
            <w:r w:rsidRPr="00F97212">
              <w:rPr>
                <w:rFonts w:ascii="Verdana" w:hAnsi="Verdana" w:cs="Arial"/>
                <w:noProof/>
                <w:lang w:val="es-ES_tradnl"/>
              </w:rPr>
              <w:t>Consejo De Estado, Sección Tercera, Subsección C. Sentencia del 26 de febrero de 2011. C.P. Jaime Orlando Santofimio. Rad. 36.408.</w:t>
            </w:r>
          </w:p>
          <w:p w14:paraId="3A8CA1E0" w14:textId="77777777" w:rsidR="00D52DE3" w:rsidRPr="006B17A7" w:rsidRDefault="00D52DE3" w:rsidP="00D52DE3">
            <w:pPr>
              <w:pStyle w:val="Prrafodelista"/>
              <w:numPr>
                <w:ilvl w:val="0"/>
                <w:numId w:val="17"/>
              </w:numPr>
              <w:spacing w:after="120" w:line="276" w:lineRule="auto"/>
              <w:jc w:val="both"/>
              <w:rPr>
                <w:rFonts w:ascii="Verdana" w:eastAsia="Aptos" w:hAnsi="Verdana" w:cs="Arial"/>
              </w:rPr>
            </w:pPr>
            <w:r w:rsidRPr="00F97212">
              <w:rPr>
                <w:rFonts w:ascii="Verdana" w:hAnsi="Verdana" w:cs="Arial"/>
                <w:noProof/>
                <w:lang w:val="es-ES_tradnl"/>
              </w:rPr>
              <w:t>Consejo De Estado. Sección Tercera. Subsección C. Sentencia del 26 de febrero de 2014. Expediente: 25.804. Consejero Ponente: Enrique Gil Botero</w:t>
            </w:r>
            <w:r>
              <w:rPr>
                <w:rFonts w:ascii="Verdana" w:hAnsi="Verdana" w:cs="Arial"/>
                <w:noProof/>
                <w:lang w:val="es-ES_tradnl"/>
              </w:rPr>
              <w:t>.</w:t>
            </w:r>
            <w:r>
              <w:t xml:space="preserve"> </w:t>
            </w:r>
          </w:p>
        </w:tc>
      </w:tr>
    </w:tbl>
    <w:p w14:paraId="4AAAE5AD" w14:textId="77777777" w:rsidR="00D52DE3" w:rsidRPr="006B17A7" w:rsidRDefault="00D52DE3" w:rsidP="00D52DE3">
      <w:pPr>
        <w:widowControl w:val="0"/>
        <w:autoSpaceDE w:val="0"/>
        <w:autoSpaceDN w:val="0"/>
        <w:spacing w:after="0" w:line="276" w:lineRule="auto"/>
        <w:jc w:val="both"/>
        <w:rPr>
          <w:rFonts w:ascii="Verdana" w:eastAsia="Aptos" w:hAnsi="Verdana" w:cs="Arial"/>
        </w:rPr>
      </w:pPr>
    </w:p>
    <w:p w14:paraId="1939F9DD" w14:textId="77777777" w:rsidR="00D52DE3" w:rsidRPr="006B17A7" w:rsidRDefault="00D52DE3" w:rsidP="00CA0454">
      <w:pPr>
        <w:widowControl w:val="0"/>
        <w:autoSpaceDE w:val="0"/>
        <w:autoSpaceDN w:val="0"/>
        <w:spacing w:after="0" w:line="276" w:lineRule="auto"/>
        <w:outlineLvl w:val="0"/>
        <w:rPr>
          <w:rFonts w:ascii="Verdana" w:eastAsia="Arial" w:hAnsi="Verdana" w:cs="Arial"/>
          <w:b/>
          <w:bCs/>
          <w:lang w:val="es-ES"/>
        </w:rPr>
      </w:pPr>
      <w:r w:rsidRPr="006B17A7">
        <w:rPr>
          <w:rFonts w:ascii="Verdana" w:eastAsia="Arial" w:hAnsi="Verdana" w:cs="Arial"/>
          <w:b/>
          <w:bCs/>
          <w:lang w:val="es-ES"/>
        </w:rPr>
        <w:lastRenderedPageBreak/>
        <w:t>5. Doctrina de la Agencia Nacional de Contratación Pública:</w:t>
      </w:r>
    </w:p>
    <w:p w14:paraId="603348DB" w14:textId="77777777" w:rsidR="00D52DE3" w:rsidRPr="006B17A7" w:rsidRDefault="00D52DE3" w:rsidP="00D52DE3">
      <w:pPr>
        <w:widowControl w:val="0"/>
        <w:autoSpaceDE w:val="0"/>
        <w:autoSpaceDN w:val="0"/>
        <w:spacing w:after="0" w:line="276" w:lineRule="auto"/>
        <w:jc w:val="both"/>
        <w:rPr>
          <w:rFonts w:ascii="Verdana" w:eastAsia="Aptos" w:hAnsi="Verdana" w:cs="Arial"/>
        </w:rPr>
      </w:pPr>
    </w:p>
    <w:p w14:paraId="2A7EF4E4" w14:textId="77777777" w:rsidR="00D52DE3" w:rsidRPr="00ED0098" w:rsidRDefault="00D52DE3" w:rsidP="00D52DE3">
      <w:pPr>
        <w:widowControl w:val="0"/>
        <w:autoSpaceDE w:val="0"/>
        <w:autoSpaceDN w:val="0"/>
        <w:spacing w:after="0" w:line="276" w:lineRule="auto"/>
        <w:jc w:val="both"/>
        <w:rPr>
          <w:rStyle w:val="normaltextrun"/>
          <w:rFonts w:ascii="Verdana" w:hAnsi="Verdana" w:cs="Arial"/>
          <w:shd w:val="clear" w:color="auto" w:fill="FFFFFF"/>
        </w:rPr>
      </w:pPr>
      <w:r w:rsidRPr="00BD2870">
        <w:rPr>
          <w:rStyle w:val="normaltextrun"/>
          <w:rFonts w:ascii="Verdana" w:hAnsi="Verdana" w:cs="Arial"/>
          <w:shd w:val="clear" w:color="auto" w:fill="FFFFFF"/>
          <w:lang w:val="es-ES"/>
        </w:rPr>
        <w:t xml:space="preserve">Sobre la regla de </w:t>
      </w:r>
      <w:proofErr w:type="spellStart"/>
      <w:r w:rsidRPr="00BD2870">
        <w:rPr>
          <w:rStyle w:val="normaltextrun"/>
          <w:rFonts w:ascii="Verdana" w:hAnsi="Verdana" w:cs="Arial"/>
          <w:shd w:val="clear" w:color="auto" w:fill="FFFFFF"/>
          <w:lang w:val="es-ES"/>
        </w:rPr>
        <w:t>subsanabilidad</w:t>
      </w:r>
      <w:proofErr w:type="spellEnd"/>
      <w:r w:rsidRPr="00BD2870">
        <w:rPr>
          <w:rStyle w:val="normaltextrun"/>
          <w:rFonts w:ascii="Verdana" w:hAnsi="Verdana" w:cs="Arial"/>
          <w:shd w:val="clear" w:color="auto" w:fill="FFFFFF"/>
          <w:lang w:val="es-ES"/>
        </w:rPr>
        <w:t xml:space="preserve"> en los procesos de selección, se pronunció esta Subdirección en los conceptos 4201913000007643 del 26 de diciembre de 2019, C-343 del 17 de junio de 2020, C-518 del 9 de septiembre de 2020, C-614 del 5 de octubre de 2022, C-882 del 21 de diciembre de 2022, C-172 del 6 de junio de 2023,</w:t>
      </w:r>
      <w:r>
        <w:rPr>
          <w:rStyle w:val="normaltextrun"/>
          <w:rFonts w:ascii="Verdana" w:hAnsi="Verdana" w:cs="Arial"/>
          <w:shd w:val="clear" w:color="auto" w:fill="FFFFFF"/>
          <w:lang w:val="es-ES"/>
        </w:rPr>
        <w:t xml:space="preserve"> </w:t>
      </w:r>
      <w:r w:rsidRPr="00BD2870">
        <w:rPr>
          <w:rStyle w:val="normaltextrun"/>
          <w:rFonts w:ascii="Verdana" w:hAnsi="Verdana" w:cs="Arial"/>
          <w:shd w:val="clear" w:color="auto" w:fill="FFFFFF"/>
          <w:lang w:val="es-ES"/>
        </w:rPr>
        <w:t>C-748 del 29 de noviembre de 2024</w:t>
      </w:r>
      <w:r>
        <w:rPr>
          <w:rStyle w:val="normaltextrun"/>
          <w:rFonts w:ascii="Verdana" w:hAnsi="Verdana" w:cs="Arial"/>
          <w:shd w:val="clear" w:color="auto" w:fill="FFFFFF"/>
          <w:lang w:val="es-ES"/>
        </w:rPr>
        <w:t xml:space="preserve">, C-057 del 24 de febrero de 2026 y Concepto C-449 del 01 de mayo de 2026, </w:t>
      </w:r>
      <w:r>
        <w:rPr>
          <w:rFonts w:ascii="Verdana" w:eastAsia="Aptos" w:hAnsi="Verdana" w:cs="Arial"/>
          <w:color w:val="000000"/>
          <w:shd w:val="clear" w:color="auto" w:fill="FFFFFF"/>
          <w:lang w:val="es-ES"/>
        </w:rPr>
        <w:t>entre otros</w:t>
      </w:r>
      <w:r>
        <w:rPr>
          <w:rFonts w:ascii="Verdana" w:eastAsia="Arial" w:hAnsi="Verdana" w:cs="Arial"/>
          <w:lang w:val="es-MX" w:eastAsia="es-ES_tradnl"/>
        </w:rPr>
        <w:t xml:space="preserve"> </w:t>
      </w:r>
      <w:r w:rsidRPr="00E278D2">
        <w:rPr>
          <w:rStyle w:val="normaltextrun"/>
          <w:rFonts w:ascii="Verdana" w:hAnsi="Verdana" w:cs="Arial"/>
          <w:shd w:val="clear" w:color="auto" w:fill="FFFFFF"/>
        </w:rPr>
        <w:t>conceptos</w:t>
      </w:r>
      <w:r>
        <w:rPr>
          <w:rStyle w:val="normaltextrun"/>
          <w:rFonts w:ascii="Verdana" w:hAnsi="Verdana" w:cs="Arial"/>
          <w:shd w:val="clear" w:color="auto" w:fill="FFFFFF"/>
        </w:rPr>
        <w:t>,</w:t>
      </w:r>
      <w:r w:rsidRPr="00E278D2">
        <w:rPr>
          <w:rStyle w:val="normaltextrun"/>
          <w:rFonts w:ascii="Verdana" w:hAnsi="Verdana" w:cs="Arial"/>
          <w:shd w:val="clear" w:color="auto" w:fill="FFFFFF"/>
        </w:rPr>
        <w:t xml:space="preserve"> se encuentran disponibles para consulta en el Sistema de relatoría de la Agencia</w:t>
      </w:r>
      <w:r w:rsidRPr="00A1554D">
        <w:rPr>
          <w:rFonts w:ascii="Verdana" w:hAnsi="Verdana"/>
        </w:rPr>
        <w:t>, al cual puede acceder</w:t>
      </w:r>
      <w:r>
        <w:rPr>
          <w:rFonts w:ascii="Verdana" w:hAnsi="Verdana"/>
        </w:rPr>
        <w:t>se</w:t>
      </w:r>
      <w:r w:rsidRPr="00A1554D">
        <w:rPr>
          <w:rFonts w:ascii="Verdana" w:hAnsi="Verdana"/>
        </w:rPr>
        <w:t xml:space="preserve"> a través del siguiente enlace:</w:t>
      </w:r>
      <w:r>
        <w:rPr>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6385A7EB" w14:textId="77777777" w:rsidR="00D52DE3" w:rsidRPr="00115E3D" w:rsidRDefault="00D52DE3" w:rsidP="00D52DE3">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1987BB17" w14:textId="77777777" w:rsidR="00D52DE3" w:rsidRPr="009A385A" w:rsidRDefault="00D52DE3" w:rsidP="00CA0454">
      <w:pPr>
        <w:spacing w:after="0" w:line="276" w:lineRule="auto"/>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23F5DAC" w14:textId="77777777" w:rsidR="00F95FCC" w:rsidRDefault="00F95FCC" w:rsidP="00EE4B76">
      <w:pPr>
        <w:spacing w:after="0" w:line="276" w:lineRule="auto"/>
        <w:jc w:val="both"/>
        <w:rPr>
          <w:rFonts w:ascii="Verdana" w:hAnsi="Verdana"/>
        </w:rPr>
      </w:pPr>
    </w:p>
    <w:p w14:paraId="0721173C" w14:textId="410EDCF4" w:rsidR="00D52DE3" w:rsidRDefault="00D52DE3" w:rsidP="00CA0454">
      <w:pPr>
        <w:spacing w:after="0" w:line="276" w:lineRule="auto"/>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F5EF6CA" w14:textId="77777777" w:rsidR="00F95FCC" w:rsidRDefault="00F95FCC" w:rsidP="00EE4B76">
      <w:pPr>
        <w:spacing w:after="0" w:line="276" w:lineRule="auto"/>
        <w:jc w:val="both"/>
        <w:rPr>
          <w:rFonts w:ascii="Verdana" w:hAnsi="Verdana"/>
        </w:rPr>
      </w:pPr>
    </w:p>
    <w:p w14:paraId="1B84FCEA" w14:textId="71AEF0F6" w:rsidR="00D52DE3" w:rsidRPr="009A385A" w:rsidRDefault="00D52DE3" w:rsidP="00CA0454">
      <w:pPr>
        <w:spacing w:after="0" w:line="276" w:lineRule="auto"/>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 xml:space="preserve">se incorporaron orientaciones prácticas dirigidas a entidades </w:t>
      </w:r>
      <w:r w:rsidRPr="00797327">
        <w:rPr>
          <w:rFonts w:ascii="Verdana" w:hAnsi="Verdana"/>
        </w:rPr>
        <w:lastRenderedPageBreak/>
        <w:t>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704C3C2" w14:textId="77777777" w:rsidR="00F95FCC" w:rsidRDefault="00F95FCC" w:rsidP="00EE4B76">
      <w:pPr>
        <w:spacing w:after="0" w:line="276" w:lineRule="auto"/>
        <w:jc w:val="both"/>
        <w:rPr>
          <w:rFonts w:ascii="Verdana" w:hAnsi="Verdana"/>
          <w:color w:val="000000" w:themeColor="text1"/>
        </w:rPr>
      </w:pPr>
    </w:p>
    <w:p w14:paraId="57E7659D" w14:textId="755CDFDB" w:rsidR="00D52DE3" w:rsidRPr="00115E3D" w:rsidRDefault="00D52DE3" w:rsidP="00CA0454">
      <w:pPr>
        <w:spacing w:after="0" w:line="276"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6332123F" w14:textId="77777777" w:rsidR="00D52DE3" w:rsidRPr="00115E3D" w:rsidRDefault="00D52DE3" w:rsidP="00CA0454">
      <w:pPr>
        <w:spacing w:after="0" w:line="276" w:lineRule="auto"/>
        <w:jc w:val="both"/>
        <w:rPr>
          <w:rFonts w:ascii="Verdana" w:hAnsi="Verdana"/>
          <w:color w:val="000000" w:themeColor="text1"/>
        </w:rPr>
      </w:pPr>
    </w:p>
    <w:p w14:paraId="12F2EF67" w14:textId="77777777" w:rsidR="00D52DE3" w:rsidRPr="00115E3D" w:rsidRDefault="00D52DE3" w:rsidP="00CA0454">
      <w:pPr>
        <w:spacing w:after="0" w:line="276"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0CD70735" w14:textId="77777777" w:rsidR="00D52DE3" w:rsidRPr="00115E3D" w:rsidRDefault="00D52DE3" w:rsidP="00CA0454">
      <w:pPr>
        <w:spacing w:after="0" w:line="276"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303C25FE" w14:textId="77777777" w:rsidR="00D52DE3" w:rsidRPr="00115E3D" w:rsidRDefault="00D52DE3" w:rsidP="00CA0454">
      <w:pPr>
        <w:spacing w:after="0" w:line="276"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0E8A3B6C" w14:textId="77777777" w:rsidR="00D52DE3" w:rsidRPr="00115E3D" w:rsidRDefault="00D52DE3" w:rsidP="00D52DE3">
      <w:pPr>
        <w:widowControl w:val="0"/>
        <w:autoSpaceDE w:val="0"/>
        <w:autoSpaceDN w:val="0"/>
        <w:spacing w:after="0" w:line="276" w:lineRule="auto"/>
        <w:jc w:val="both"/>
        <w:rPr>
          <w:rFonts w:ascii="Verdana" w:hAnsi="Verdana" w:cs="Arial"/>
          <w:color w:val="000000" w:themeColor="text1"/>
        </w:rPr>
      </w:pPr>
    </w:p>
    <w:p w14:paraId="68164FE9" w14:textId="77777777" w:rsidR="00D52DE3" w:rsidRPr="00115E3D" w:rsidRDefault="00D52DE3" w:rsidP="00D52DE3">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7DE2566" w14:textId="77777777" w:rsidR="00D52DE3" w:rsidRDefault="00D52DE3" w:rsidP="00CA0454">
      <w:pPr>
        <w:spacing w:after="0" w:line="276" w:lineRule="auto"/>
        <w:rPr>
          <w:rFonts w:ascii="Verdana" w:eastAsia="Times New Roman" w:hAnsi="Verdana" w:cs="Arial"/>
          <w:color w:val="000000" w:themeColor="text1"/>
          <w:lang w:eastAsia="es-CO"/>
        </w:rPr>
      </w:pPr>
    </w:p>
    <w:p w14:paraId="604D7F49" w14:textId="77777777" w:rsidR="00D52DE3" w:rsidRPr="00115E3D" w:rsidRDefault="00D52DE3" w:rsidP="00CA0454">
      <w:pPr>
        <w:spacing w:after="0" w:line="276"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42158A4" w14:textId="77777777" w:rsidR="00E1588A" w:rsidRDefault="00E1588A" w:rsidP="00D52DE3">
      <w:pPr>
        <w:spacing w:line="276" w:lineRule="auto"/>
        <w:jc w:val="center"/>
        <w:rPr>
          <w:noProof/>
        </w:rPr>
      </w:pPr>
    </w:p>
    <w:p w14:paraId="25386307" w14:textId="55CDEC4B" w:rsidR="00E1588A" w:rsidRDefault="00E1588A" w:rsidP="00D52DE3">
      <w:pPr>
        <w:spacing w:line="276" w:lineRule="auto"/>
        <w:jc w:val="center"/>
        <w:rPr>
          <w:noProof/>
          <w:color w:val="000000" w:themeColor="text1"/>
          <w:lang w:val="es-ES_tradnl" w:eastAsia="es-CO"/>
        </w:rPr>
      </w:pPr>
      <w:r>
        <w:rPr>
          <w:noProof/>
        </w:rPr>
        <w:drawing>
          <wp:inline distT="0" distB="0" distL="0" distR="0" wp14:anchorId="26860C60" wp14:editId="69B3B8D9">
            <wp:extent cx="3059430" cy="1313360"/>
            <wp:effectExtent l="0" t="0" r="7620" b="1270"/>
            <wp:docPr id="189769773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66627" cy="1316449"/>
                    </a:xfrm>
                    <a:prstGeom prst="rect">
                      <a:avLst/>
                    </a:prstGeom>
                    <a:noFill/>
                    <a:ln>
                      <a:noFill/>
                    </a:ln>
                  </pic:spPr>
                </pic:pic>
              </a:graphicData>
            </a:graphic>
          </wp:inline>
        </w:drawing>
      </w:r>
    </w:p>
    <w:p w14:paraId="315367B4" w14:textId="77777777" w:rsidR="00E1588A" w:rsidRDefault="00E1588A" w:rsidP="00D52DE3">
      <w:pPr>
        <w:spacing w:line="276" w:lineRule="auto"/>
        <w:jc w:val="center"/>
        <w:rPr>
          <w:noProof/>
          <w:color w:val="000000" w:themeColor="text1"/>
          <w:lang w:val="es-ES_tradnl" w:eastAsia="es-CO"/>
        </w:rPr>
      </w:pPr>
    </w:p>
    <w:p w14:paraId="18190D6E" w14:textId="7F3BB9CA" w:rsidR="00D52DE3" w:rsidRDefault="00D52DE3" w:rsidP="00D52DE3">
      <w:pPr>
        <w:spacing w:line="276" w:lineRule="auto"/>
        <w:jc w:val="center"/>
        <w:rPr>
          <w:noProof/>
          <w:color w:val="000000" w:themeColor="text1"/>
          <w:lang w:val="es-ES_tradnl" w:eastAsia="es-CO"/>
        </w:rPr>
      </w:pPr>
      <w:r>
        <w:rPr>
          <w:noProof/>
          <w:color w:val="000000" w:themeColor="text1"/>
          <w:lang w:val="es-ES_tradnl" w:eastAsia="es-CO"/>
        </w:rPr>
        <w:t xml:space="preserve"> </w:t>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52DE3" w:rsidRPr="00115E3D" w14:paraId="62962CBC" w14:textId="77777777" w:rsidTr="00096425">
        <w:trPr>
          <w:trHeight w:val="315"/>
        </w:trPr>
        <w:tc>
          <w:tcPr>
            <w:tcW w:w="893" w:type="dxa"/>
            <w:vAlign w:val="center"/>
            <w:hideMark/>
          </w:tcPr>
          <w:p w14:paraId="1424FCBF" w14:textId="77777777" w:rsidR="00D52DE3" w:rsidRPr="00115E3D" w:rsidRDefault="00D52DE3" w:rsidP="0009642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6A00DF4F" w14:textId="77777777" w:rsidR="00D52DE3" w:rsidRPr="00115E3D" w:rsidRDefault="00D52DE3" w:rsidP="0009642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E83D52E" w14:textId="77777777" w:rsidR="00D52DE3" w:rsidRPr="00115E3D" w:rsidRDefault="00D52DE3" w:rsidP="00096425">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D52DE3" w:rsidRPr="00115E3D" w14:paraId="0249DCC2" w14:textId="77777777" w:rsidTr="00096425">
        <w:trPr>
          <w:trHeight w:val="330"/>
        </w:trPr>
        <w:tc>
          <w:tcPr>
            <w:tcW w:w="893" w:type="dxa"/>
            <w:vAlign w:val="center"/>
            <w:hideMark/>
          </w:tcPr>
          <w:p w14:paraId="363F1F22" w14:textId="77777777" w:rsidR="00D52DE3" w:rsidRPr="00115E3D" w:rsidRDefault="00D52DE3" w:rsidP="0009642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9A3857" w14:textId="77777777" w:rsidR="00D52DE3" w:rsidRDefault="00D52DE3" w:rsidP="0009642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6D70250A" w14:textId="77777777" w:rsidR="00D52DE3" w:rsidRPr="00115E3D" w:rsidRDefault="00D52DE3" w:rsidP="00096425">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D52DE3" w:rsidRPr="00115E3D" w14:paraId="6AB55904" w14:textId="77777777" w:rsidTr="00096425">
        <w:trPr>
          <w:trHeight w:val="300"/>
        </w:trPr>
        <w:tc>
          <w:tcPr>
            <w:tcW w:w="893" w:type="dxa"/>
            <w:vAlign w:val="center"/>
          </w:tcPr>
          <w:p w14:paraId="66A6B625" w14:textId="77777777" w:rsidR="00D52DE3" w:rsidRPr="00115E3D" w:rsidRDefault="00D52DE3" w:rsidP="0009642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A6A813" w14:textId="77777777" w:rsidR="00D52DE3" w:rsidRPr="00115E3D" w:rsidRDefault="00D52DE3" w:rsidP="0009642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288AAA55" w14:textId="77777777" w:rsidR="00D52DE3" w:rsidRPr="00115E3D" w:rsidRDefault="00D52DE3" w:rsidP="0009642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7C9026E2" w14:textId="77777777" w:rsidR="002A0DD0" w:rsidRPr="00D52DE3"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882845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E520AC" w14:textId="77777777" w:rsidR="00636D63" w:rsidRDefault="00636D63" w:rsidP="004A1847">
      <w:pPr>
        <w:spacing w:after="0" w:line="240" w:lineRule="auto"/>
      </w:pPr>
      <w:r>
        <w:separator/>
      </w:r>
    </w:p>
  </w:endnote>
  <w:endnote w:type="continuationSeparator" w:id="0">
    <w:p w14:paraId="684913D1" w14:textId="77777777" w:rsidR="00636D63" w:rsidRDefault="00636D63" w:rsidP="004A1847">
      <w:pPr>
        <w:spacing w:after="0" w:line="240" w:lineRule="auto"/>
      </w:pPr>
      <w:r>
        <w:continuationSeparator/>
      </w:r>
    </w:p>
  </w:endnote>
  <w:endnote w:type="continuationNotice" w:id="1">
    <w:p w14:paraId="0A88B4AC" w14:textId="77777777" w:rsidR="00636D63" w:rsidRDefault="00636D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B07556" w14:textId="77777777" w:rsidR="00636D63" w:rsidRDefault="00636D63" w:rsidP="004A1847">
      <w:pPr>
        <w:spacing w:after="0" w:line="240" w:lineRule="auto"/>
      </w:pPr>
      <w:r>
        <w:separator/>
      </w:r>
    </w:p>
  </w:footnote>
  <w:footnote w:type="continuationSeparator" w:id="0">
    <w:p w14:paraId="46AF90F5" w14:textId="77777777" w:rsidR="00636D63" w:rsidRDefault="00636D63" w:rsidP="004A1847">
      <w:pPr>
        <w:spacing w:after="0" w:line="240" w:lineRule="auto"/>
      </w:pPr>
      <w:r>
        <w:continuationSeparator/>
      </w:r>
    </w:p>
  </w:footnote>
  <w:footnote w:type="continuationNotice" w:id="1">
    <w:p w14:paraId="66883B30" w14:textId="77777777" w:rsidR="00636D63" w:rsidRDefault="00636D63">
      <w:pPr>
        <w:spacing w:after="0" w:line="240" w:lineRule="auto"/>
      </w:pPr>
    </w:p>
  </w:footnote>
  <w:footnote w:id="2">
    <w:p w14:paraId="02972266"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7B0F59F9" w14:textId="77777777" w:rsidR="00D52DE3" w:rsidRPr="00CA0454" w:rsidRDefault="00D52DE3" w:rsidP="00D52DE3">
      <w:pPr>
        <w:pStyle w:val="Textonotapie"/>
        <w:ind w:firstLine="709"/>
        <w:jc w:val="both"/>
        <w:rPr>
          <w:rFonts w:ascii="Verdana" w:hAnsi="Verdana" w:cs="Arial"/>
          <w:color w:val="000000"/>
          <w:sz w:val="16"/>
          <w:szCs w:val="16"/>
        </w:rPr>
      </w:pPr>
    </w:p>
  </w:footnote>
  <w:footnote w:id="3">
    <w:p w14:paraId="16FBAB22"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p w14:paraId="4FE103B4" w14:textId="77777777" w:rsidR="00D52DE3" w:rsidRPr="00CA0454" w:rsidRDefault="00D52DE3" w:rsidP="00D52DE3">
      <w:pPr>
        <w:pStyle w:val="Textonotapie"/>
        <w:ind w:firstLine="709"/>
        <w:jc w:val="both"/>
        <w:rPr>
          <w:rFonts w:ascii="Verdana" w:hAnsi="Verdana" w:cs="Arial"/>
          <w:color w:val="000000"/>
          <w:sz w:val="16"/>
          <w:szCs w:val="16"/>
        </w:rPr>
      </w:pPr>
    </w:p>
  </w:footnote>
  <w:footnote w:id="4">
    <w:p w14:paraId="0657EDC1"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CONSEJO DE ESTADO. Sección Tercera. Subsección C. Sentencia del 26 de febrero de 2014. Expediente: 25.804. Consejero Ponente: Enrique Gil Botero.</w:t>
      </w:r>
      <w:r w:rsidRPr="00CA0454">
        <w:rPr>
          <w:rFonts w:ascii="Verdana" w:hAnsi="Verdana"/>
          <w:sz w:val="16"/>
          <w:szCs w:val="16"/>
        </w:rPr>
        <w:t xml:space="preserve"> </w:t>
      </w:r>
      <w:hyperlink r:id="rId1" w:history="1">
        <w:r w:rsidRPr="00CA0454">
          <w:rPr>
            <w:rStyle w:val="Hipervnculo"/>
            <w:rFonts w:ascii="Verdana" w:hAnsi="Verdana" w:cs="Arial"/>
            <w:sz w:val="16"/>
            <w:szCs w:val="16"/>
          </w:rPr>
          <w:t>https://relatoria.colombiacompra.gov.co/providencias-consejo-de-estado/</w:t>
        </w:r>
      </w:hyperlink>
      <w:r w:rsidRPr="00CA0454">
        <w:rPr>
          <w:rFonts w:ascii="Verdana" w:hAnsi="Verdana" w:cs="Arial"/>
          <w:color w:val="000000"/>
          <w:sz w:val="16"/>
          <w:szCs w:val="16"/>
        </w:rPr>
        <w:t xml:space="preserve"> </w:t>
      </w:r>
    </w:p>
  </w:footnote>
  <w:footnote w:id="5">
    <w:p w14:paraId="7648C506"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Style w:val="Refdenotaalpie"/>
          <w:rFonts w:ascii="Verdana" w:hAnsi="Verdana" w:cs="Arial"/>
          <w:color w:val="000000"/>
          <w:sz w:val="16"/>
          <w:szCs w:val="16"/>
        </w:rPr>
        <w:t xml:space="preserve"> </w:t>
      </w:r>
      <w:r w:rsidRPr="00CA0454">
        <w:rPr>
          <w:rFonts w:ascii="Verdana" w:hAnsi="Verdana" w:cs="Arial"/>
          <w:color w:val="000000"/>
          <w:sz w:val="16"/>
          <w:szCs w:val="16"/>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60BB750F" w14:textId="77777777" w:rsidR="00D52DE3" w:rsidRPr="00CA0454" w:rsidRDefault="00D52DE3" w:rsidP="00D52DE3">
      <w:pPr>
        <w:pStyle w:val="Textonotapie"/>
        <w:ind w:firstLine="709"/>
        <w:jc w:val="both"/>
        <w:rPr>
          <w:rFonts w:ascii="Verdana" w:hAnsi="Verdana" w:cs="Arial"/>
          <w:color w:val="000000"/>
          <w:sz w:val="16"/>
          <w:szCs w:val="16"/>
        </w:rPr>
      </w:pPr>
    </w:p>
  </w:footnote>
  <w:footnote w:id="6">
    <w:p w14:paraId="1286A049"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51BFD035" w14:textId="77777777" w:rsidR="00D52DE3" w:rsidRPr="00CA0454" w:rsidRDefault="00D52DE3" w:rsidP="00D52DE3">
      <w:pPr>
        <w:pStyle w:val="Textonotapie"/>
        <w:ind w:firstLine="709"/>
        <w:jc w:val="both"/>
        <w:rPr>
          <w:rFonts w:ascii="Verdana" w:hAnsi="Verdana" w:cs="Arial"/>
          <w:color w:val="000000"/>
          <w:sz w:val="16"/>
          <w:szCs w:val="16"/>
        </w:rPr>
      </w:pPr>
    </w:p>
    <w:p w14:paraId="46A36A3A" w14:textId="77777777" w:rsidR="00D52DE3" w:rsidRPr="00CA0454" w:rsidRDefault="00D52DE3" w:rsidP="00D52DE3">
      <w:pPr>
        <w:pStyle w:val="Textonotapie"/>
        <w:ind w:firstLine="709"/>
        <w:jc w:val="both"/>
        <w:rPr>
          <w:rFonts w:ascii="Verdana" w:hAnsi="Verdana" w:cs="Arial"/>
          <w:color w:val="000000"/>
          <w:sz w:val="16"/>
          <w:szCs w:val="16"/>
        </w:rPr>
      </w:pPr>
      <w:r w:rsidRPr="00CA0454">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062F1F45" w14:textId="77777777" w:rsidR="00D52DE3" w:rsidRPr="00CA0454" w:rsidRDefault="00D52DE3" w:rsidP="00D52DE3">
      <w:pPr>
        <w:pStyle w:val="Textonotapie"/>
        <w:ind w:firstLine="709"/>
        <w:jc w:val="both"/>
        <w:rPr>
          <w:rFonts w:ascii="Verdana" w:hAnsi="Verdana" w:cs="Arial"/>
          <w:color w:val="000000"/>
          <w:sz w:val="16"/>
          <w:szCs w:val="16"/>
        </w:rPr>
      </w:pPr>
    </w:p>
  </w:footnote>
  <w:footnote w:id="7">
    <w:p w14:paraId="58CF58A1"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sz w:val="16"/>
          <w:szCs w:val="16"/>
        </w:rPr>
        <w:footnoteRef/>
      </w:r>
      <w:r w:rsidRPr="00CA0454">
        <w:rPr>
          <w:rFonts w:ascii="Verdana" w:hAnsi="Verdana" w:cs="Arial"/>
          <w:sz w:val="16"/>
          <w:szCs w:val="16"/>
        </w:rPr>
        <w:t xml:space="preserve"> </w:t>
      </w:r>
      <w:r w:rsidRPr="00CA0454">
        <w:rPr>
          <w:rFonts w:ascii="Verdana" w:hAnsi="Verdana" w:cs="Arial"/>
          <w:color w:val="000000"/>
          <w:sz w:val="16"/>
          <w:szCs w:val="16"/>
        </w:rPr>
        <w:t xml:space="preserve">En armonía con lo anterior, actualmente la Circular Externa Única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25880C08" w14:textId="77777777" w:rsidR="00D52DE3" w:rsidRPr="00CA0454" w:rsidRDefault="00D52DE3" w:rsidP="00D52DE3">
      <w:pPr>
        <w:pStyle w:val="Textonotapie"/>
        <w:ind w:firstLine="709"/>
        <w:jc w:val="both"/>
        <w:rPr>
          <w:rFonts w:ascii="Verdana" w:hAnsi="Verdana" w:cs="Arial"/>
          <w:color w:val="000000"/>
          <w:sz w:val="16"/>
          <w:szCs w:val="16"/>
        </w:rPr>
      </w:pPr>
    </w:p>
    <w:p w14:paraId="6F4245D3" w14:textId="77777777" w:rsidR="00D52DE3" w:rsidRPr="00CA0454" w:rsidRDefault="00D52DE3" w:rsidP="00D52DE3">
      <w:pPr>
        <w:pStyle w:val="Textonotapie"/>
        <w:ind w:firstLine="709"/>
        <w:jc w:val="both"/>
        <w:rPr>
          <w:rFonts w:ascii="Verdana" w:hAnsi="Verdana" w:cs="Arial"/>
          <w:color w:val="000000"/>
          <w:sz w:val="16"/>
          <w:szCs w:val="16"/>
        </w:rPr>
      </w:pPr>
      <w:r w:rsidRPr="00CA0454">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2" w:history="1">
        <w:r w:rsidRPr="00CA0454">
          <w:rPr>
            <w:rStyle w:val="Hipervnculo"/>
            <w:rFonts w:ascii="Verdana" w:hAnsi="Verdana" w:cs="Arial"/>
            <w:sz w:val="16"/>
            <w:szCs w:val="16"/>
          </w:rPr>
          <w:t>https://www.colombiacompra.gov.co/circulares?page=2</w:t>
        </w:r>
      </w:hyperlink>
      <w:r w:rsidRPr="00CA0454">
        <w:rPr>
          <w:rStyle w:val="Hipervnculo"/>
          <w:rFonts w:ascii="Verdana" w:hAnsi="Verdana" w:cs="Arial"/>
          <w:color w:val="000000"/>
          <w:sz w:val="16"/>
          <w:szCs w:val="16"/>
        </w:rPr>
        <w:t xml:space="preserve"> </w:t>
      </w:r>
    </w:p>
    <w:p w14:paraId="5C7DB553" w14:textId="77777777" w:rsidR="00D52DE3" w:rsidRPr="00CA0454" w:rsidRDefault="00D52DE3" w:rsidP="00D52DE3">
      <w:pPr>
        <w:pStyle w:val="Textonotapie"/>
        <w:ind w:firstLine="709"/>
        <w:jc w:val="both"/>
        <w:rPr>
          <w:rFonts w:ascii="Verdana" w:hAnsi="Verdana" w:cs="Arial"/>
          <w:color w:val="000000"/>
          <w:sz w:val="16"/>
          <w:szCs w:val="16"/>
        </w:rPr>
      </w:pPr>
    </w:p>
  </w:footnote>
  <w:footnote w:id="8">
    <w:p w14:paraId="5DA20CCA"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Ver CONSEJO DE ESTADO, Sección Tercera, Subsección C. Sentencia del 26 de febrero de 2011. C.P. Jaime Orlando Santofimio. Rad. 36.408. </w:t>
      </w:r>
    </w:p>
  </w:footnote>
  <w:footnote w:id="9">
    <w:p w14:paraId="2CD180D8" w14:textId="77777777" w:rsidR="00D52DE3" w:rsidRPr="00CA0454" w:rsidRDefault="00D52DE3" w:rsidP="00D52DE3">
      <w:pPr>
        <w:pStyle w:val="Textonotapie"/>
        <w:ind w:firstLine="709"/>
        <w:jc w:val="both"/>
        <w:rPr>
          <w:rFonts w:ascii="Verdana" w:hAnsi="Verdana" w:cs="Arial"/>
          <w:color w:val="000000"/>
          <w:sz w:val="16"/>
          <w:szCs w:val="16"/>
        </w:rPr>
      </w:pPr>
    </w:p>
    <w:p w14:paraId="7C48A1AD" w14:textId="77777777" w:rsidR="00D52DE3" w:rsidRPr="00CA0454" w:rsidRDefault="00D52DE3" w:rsidP="00D52DE3">
      <w:pPr>
        <w:pStyle w:val="Textonotapie"/>
        <w:ind w:firstLine="709"/>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Ver CONSEJO DE ESTADO, Sección Tercera, Subsección C. Sentencia del 26 de febrero de 2014. C.P. Enrique Gil Botero. Rad. 25.804. </w:t>
      </w:r>
    </w:p>
    <w:p w14:paraId="096F676E" w14:textId="77777777" w:rsidR="00D52DE3" w:rsidRPr="00CA0454" w:rsidRDefault="00D52DE3" w:rsidP="00D52DE3">
      <w:pPr>
        <w:pStyle w:val="Textonotapie"/>
        <w:ind w:firstLine="709"/>
        <w:jc w:val="both"/>
        <w:rPr>
          <w:rFonts w:ascii="Verdana" w:hAnsi="Verdana" w:cs="Arial"/>
          <w:color w:val="000000"/>
          <w:sz w:val="16"/>
          <w:szCs w:val="16"/>
        </w:rPr>
      </w:pPr>
    </w:p>
  </w:footnote>
  <w:footnote w:id="10">
    <w:p w14:paraId="11DFAAED" w14:textId="77777777" w:rsidR="00D52DE3" w:rsidRPr="00CA0454" w:rsidRDefault="00D52DE3" w:rsidP="00D52DE3">
      <w:pPr>
        <w:pStyle w:val="Textonotapie"/>
        <w:ind w:firstLine="708"/>
        <w:jc w:val="both"/>
        <w:rPr>
          <w:rFonts w:ascii="Verdana" w:hAnsi="Verdana" w:cs="Arial"/>
          <w:color w:val="000000"/>
          <w:sz w:val="16"/>
          <w:szCs w:val="16"/>
        </w:rPr>
      </w:pPr>
      <w:r w:rsidRPr="00CA0454">
        <w:rPr>
          <w:rStyle w:val="Refdenotaalpie"/>
          <w:rFonts w:ascii="Verdana" w:hAnsi="Verdana" w:cs="Arial"/>
          <w:color w:val="000000"/>
          <w:sz w:val="16"/>
          <w:szCs w:val="16"/>
        </w:rPr>
        <w:footnoteRef/>
      </w:r>
      <w:r w:rsidRPr="00CA0454">
        <w:rPr>
          <w:rFonts w:ascii="Verdana" w:hAnsi="Verdana" w:cs="Arial"/>
          <w:color w:val="000000"/>
          <w:sz w:val="16"/>
          <w:szCs w:val="16"/>
        </w:rPr>
        <w:t xml:space="preserve"> CONSEJO DE ESTADO. Sala de Consulta y Servicio Civil. Concepto del 20 de mayo de 2010. Expediente: 1992. Consejero Ponente: Enrique José Arboleda Perdomo.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67" w:hanging="360"/>
      </w:pPr>
      <w:rPr>
        <w:b/>
        <w:color w:val="000000" w:themeColor="text1"/>
      </w:rPr>
    </w:lvl>
    <w:lvl w:ilvl="1">
      <w:start w:val="2"/>
      <w:numFmt w:val="decimal"/>
      <w:isLgl/>
      <w:lvlText w:val="%1.%2"/>
      <w:lvlJc w:val="left"/>
      <w:pPr>
        <w:ind w:left="6307" w:hanging="360"/>
      </w:pPr>
    </w:lvl>
    <w:lvl w:ilvl="2">
      <w:start w:val="1"/>
      <w:numFmt w:val="decimal"/>
      <w:isLgl/>
      <w:lvlText w:val="%1.%2.%3"/>
      <w:lvlJc w:val="left"/>
      <w:pPr>
        <w:ind w:left="7027" w:hanging="720"/>
      </w:pPr>
    </w:lvl>
    <w:lvl w:ilvl="3">
      <w:start w:val="1"/>
      <w:numFmt w:val="decimal"/>
      <w:isLgl/>
      <w:lvlText w:val="%1.%2.%3.%4"/>
      <w:lvlJc w:val="left"/>
      <w:pPr>
        <w:ind w:left="7027" w:hanging="720"/>
      </w:pPr>
    </w:lvl>
    <w:lvl w:ilvl="4">
      <w:start w:val="1"/>
      <w:numFmt w:val="decimal"/>
      <w:isLgl/>
      <w:lvlText w:val="%1.%2.%3.%4.%5"/>
      <w:lvlJc w:val="left"/>
      <w:pPr>
        <w:ind w:left="7387" w:hanging="1080"/>
      </w:pPr>
    </w:lvl>
    <w:lvl w:ilvl="5">
      <w:start w:val="1"/>
      <w:numFmt w:val="decimal"/>
      <w:isLgl/>
      <w:lvlText w:val="%1.%2.%3.%4.%5.%6"/>
      <w:lvlJc w:val="left"/>
      <w:pPr>
        <w:ind w:left="7387" w:hanging="1080"/>
      </w:pPr>
    </w:lvl>
    <w:lvl w:ilvl="6">
      <w:start w:val="1"/>
      <w:numFmt w:val="decimal"/>
      <w:isLgl/>
      <w:lvlText w:val="%1.%2.%3.%4.%5.%6.%7"/>
      <w:lvlJc w:val="left"/>
      <w:pPr>
        <w:ind w:left="7747" w:hanging="1440"/>
      </w:pPr>
    </w:lvl>
    <w:lvl w:ilvl="7">
      <w:start w:val="1"/>
      <w:numFmt w:val="decimal"/>
      <w:isLgl/>
      <w:lvlText w:val="%1.%2.%3.%4.%5.%6.%7.%8"/>
      <w:lvlJc w:val="left"/>
      <w:pPr>
        <w:ind w:left="7747" w:hanging="1440"/>
      </w:pPr>
    </w:lvl>
    <w:lvl w:ilvl="8">
      <w:start w:val="1"/>
      <w:numFmt w:val="decimal"/>
      <w:isLgl/>
      <w:lvlText w:val="%1.%2.%3.%4.%5.%6.%7.%8.%9"/>
      <w:lvlJc w:val="left"/>
      <w:pPr>
        <w:ind w:left="8107"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25278968">
    <w:abstractNumId w:val="0"/>
  </w:num>
  <w:num w:numId="17" w16cid:durableId="63144366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023E"/>
    <w:rsid w:val="00082362"/>
    <w:rsid w:val="000A00CA"/>
    <w:rsid w:val="000A683E"/>
    <w:rsid w:val="000B19B9"/>
    <w:rsid w:val="000D0334"/>
    <w:rsid w:val="000D5DA7"/>
    <w:rsid w:val="000F6486"/>
    <w:rsid w:val="00116940"/>
    <w:rsid w:val="00125105"/>
    <w:rsid w:val="00127233"/>
    <w:rsid w:val="001457F0"/>
    <w:rsid w:val="00154EBC"/>
    <w:rsid w:val="0015699B"/>
    <w:rsid w:val="001A33BF"/>
    <w:rsid w:val="001E4177"/>
    <w:rsid w:val="001F0B24"/>
    <w:rsid w:val="001F7DC6"/>
    <w:rsid w:val="0022400B"/>
    <w:rsid w:val="002421BB"/>
    <w:rsid w:val="0025796E"/>
    <w:rsid w:val="00263EFA"/>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5055"/>
    <w:rsid w:val="00374F5E"/>
    <w:rsid w:val="00377E3E"/>
    <w:rsid w:val="00396C68"/>
    <w:rsid w:val="003A779E"/>
    <w:rsid w:val="003C0A28"/>
    <w:rsid w:val="003D0F4D"/>
    <w:rsid w:val="003D5B0D"/>
    <w:rsid w:val="003E0499"/>
    <w:rsid w:val="003E4F80"/>
    <w:rsid w:val="003E6439"/>
    <w:rsid w:val="003F3941"/>
    <w:rsid w:val="00406575"/>
    <w:rsid w:val="00414C74"/>
    <w:rsid w:val="0042722E"/>
    <w:rsid w:val="004343E1"/>
    <w:rsid w:val="0044528D"/>
    <w:rsid w:val="00466E39"/>
    <w:rsid w:val="004A1847"/>
    <w:rsid w:val="004A305D"/>
    <w:rsid w:val="004F21C4"/>
    <w:rsid w:val="004F685F"/>
    <w:rsid w:val="005566E8"/>
    <w:rsid w:val="00574867"/>
    <w:rsid w:val="00591460"/>
    <w:rsid w:val="005A4731"/>
    <w:rsid w:val="005A65E0"/>
    <w:rsid w:val="005C3777"/>
    <w:rsid w:val="005C5CDC"/>
    <w:rsid w:val="005D476C"/>
    <w:rsid w:val="006200BF"/>
    <w:rsid w:val="006219F8"/>
    <w:rsid w:val="006302F7"/>
    <w:rsid w:val="00636D63"/>
    <w:rsid w:val="00646B9F"/>
    <w:rsid w:val="00665D70"/>
    <w:rsid w:val="006900D9"/>
    <w:rsid w:val="006C1E54"/>
    <w:rsid w:val="006C2E3F"/>
    <w:rsid w:val="006C498F"/>
    <w:rsid w:val="006C729C"/>
    <w:rsid w:val="00706C16"/>
    <w:rsid w:val="007340C3"/>
    <w:rsid w:val="0075235A"/>
    <w:rsid w:val="00756841"/>
    <w:rsid w:val="007649AB"/>
    <w:rsid w:val="00771D0C"/>
    <w:rsid w:val="007833AC"/>
    <w:rsid w:val="007B268C"/>
    <w:rsid w:val="007B7171"/>
    <w:rsid w:val="007C0C0F"/>
    <w:rsid w:val="007C3DC2"/>
    <w:rsid w:val="007E3F6B"/>
    <w:rsid w:val="007E5497"/>
    <w:rsid w:val="00806F5F"/>
    <w:rsid w:val="00820278"/>
    <w:rsid w:val="008258C9"/>
    <w:rsid w:val="00844AE9"/>
    <w:rsid w:val="00867F95"/>
    <w:rsid w:val="008843B6"/>
    <w:rsid w:val="00891928"/>
    <w:rsid w:val="008A446D"/>
    <w:rsid w:val="008B25F1"/>
    <w:rsid w:val="008D180B"/>
    <w:rsid w:val="008F0EA7"/>
    <w:rsid w:val="009076F5"/>
    <w:rsid w:val="00923EEF"/>
    <w:rsid w:val="009367B6"/>
    <w:rsid w:val="009419F9"/>
    <w:rsid w:val="00941C97"/>
    <w:rsid w:val="0095685E"/>
    <w:rsid w:val="00961B09"/>
    <w:rsid w:val="00965334"/>
    <w:rsid w:val="0097093E"/>
    <w:rsid w:val="009A0DFA"/>
    <w:rsid w:val="009A1C6F"/>
    <w:rsid w:val="009B2D26"/>
    <w:rsid w:val="009B6DC4"/>
    <w:rsid w:val="009C71FA"/>
    <w:rsid w:val="009C72E7"/>
    <w:rsid w:val="009C7F7E"/>
    <w:rsid w:val="009D3058"/>
    <w:rsid w:val="009F3A13"/>
    <w:rsid w:val="00A122D3"/>
    <w:rsid w:val="00A14468"/>
    <w:rsid w:val="00A17F13"/>
    <w:rsid w:val="00A20739"/>
    <w:rsid w:val="00A23AF9"/>
    <w:rsid w:val="00A33C78"/>
    <w:rsid w:val="00AA423C"/>
    <w:rsid w:val="00AB0ADB"/>
    <w:rsid w:val="00AD1049"/>
    <w:rsid w:val="00B00C0E"/>
    <w:rsid w:val="00B01B1A"/>
    <w:rsid w:val="00B0381D"/>
    <w:rsid w:val="00B44A47"/>
    <w:rsid w:val="00B678AD"/>
    <w:rsid w:val="00B72CD3"/>
    <w:rsid w:val="00B72FFF"/>
    <w:rsid w:val="00BC3D36"/>
    <w:rsid w:val="00BD54A6"/>
    <w:rsid w:val="00BD7F72"/>
    <w:rsid w:val="00BF7425"/>
    <w:rsid w:val="00C04FB3"/>
    <w:rsid w:val="00C07363"/>
    <w:rsid w:val="00C11D8B"/>
    <w:rsid w:val="00C15139"/>
    <w:rsid w:val="00C330EB"/>
    <w:rsid w:val="00C50D69"/>
    <w:rsid w:val="00C5365C"/>
    <w:rsid w:val="00C754BE"/>
    <w:rsid w:val="00C76B1C"/>
    <w:rsid w:val="00C925AC"/>
    <w:rsid w:val="00CA0454"/>
    <w:rsid w:val="00CB6357"/>
    <w:rsid w:val="00CC1B26"/>
    <w:rsid w:val="00D341A8"/>
    <w:rsid w:val="00D361FD"/>
    <w:rsid w:val="00D423A2"/>
    <w:rsid w:val="00D44E26"/>
    <w:rsid w:val="00D520D8"/>
    <w:rsid w:val="00D52DE3"/>
    <w:rsid w:val="00D63AC2"/>
    <w:rsid w:val="00D7383B"/>
    <w:rsid w:val="00D7788A"/>
    <w:rsid w:val="00D81B32"/>
    <w:rsid w:val="00D86875"/>
    <w:rsid w:val="00DA231B"/>
    <w:rsid w:val="00DB4251"/>
    <w:rsid w:val="00DC39FC"/>
    <w:rsid w:val="00DC4226"/>
    <w:rsid w:val="00DF5254"/>
    <w:rsid w:val="00E02524"/>
    <w:rsid w:val="00E1588A"/>
    <w:rsid w:val="00E16408"/>
    <w:rsid w:val="00E20894"/>
    <w:rsid w:val="00E245AB"/>
    <w:rsid w:val="00E2764C"/>
    <w:rsid w:val="00E27F2E"/>
    <w:rsid w:val="00E46AD7"/>
    <w:rsid w:val="00E50AFE"/>
    <w:rsid w:val="00E75C92"/>
    <w:rsid w:val="00E771DC"/>
    <w:rsid w:val="00E8772A"/>
    <w:rsid w:val="00E90F6B"/>
    <w:rsid w:val="00E92C27"/>
    <w:rsid w:val="00EA0E3D"/>
    <w:rsid w:val="00EB0A82"/>
    <w:rsid w:val="00EC38A7"/>
    <w:rsid w:val="00EC7A99"/>
    <w:rsid w:val="00EE1AA8"/>
    <w:rsid w:val="00EE4B76"/>
    <w:rsid w:val="00F23FEA"/>
    <w:rsid w:val="00F31EDC"/>
    <w:rsid w:val="00F462B3"/>
    <w:rsid w:val="00F5664F"/>
    <w:rsid w:val="00F666C4"/>
    <w:rsid w:val="00F7344D"/>
    <w:rsid w:val="00F76AFC"/>
    <w:rsid w:val="00F95FCC"/>
    <w:rsid w:val="00FA3594"/>
    <w:rsid w:val="00FA47C0"/>
    <w:rsid w:val="00FB5DD1"/>
    <w:rsid w:val="00FC2B5D"/>
    <w:rsid w:val="00FD5C13"/>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2DE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2DE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acquehena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irculares?page=2" TargetMode="External"/><Relationship Id="rId1" Type="http://schemas.openxmlformats.org/officeDocument/2006/relationships/hyperlink" Target="https://relatoria.colombiacompra.gov.co/providencias-consejo-de-estad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E92E8F-B2B8-41AB-8603-D2D9D6299C72}"/>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21</Pages>
  <Words>6667</Words>
  <Characters>36673</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43254</CharactersWithSpaces>
  <SharedDoc>false</SharedDoc>
  <HLinks>
    <vt:vector size="42"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1245246</vt:i4>
      </vt:variant>
      <vt:variant>
        <vt:i4>0</vt:i4>
      </vt:variant>
      <vt:variant>
        <vt:i4>0</vt:i4>
      </vt:variant>
      <vt:variant>
        <vt:i4>5</vt:i4>
      </vt:variant>
      <vt:variant>
        <vt:lpwstr>mailto:jacquehenao@gmail.com</vt:lpwstr>
      </vt:variant>
      <vt:variant>
        <vt:lpwstr/>
      </vt:variant>
      <vt:variant>
        <vt:i4>2424940</vt:i4>
      </vt:variant>
      <vt:variant>
        <vt:i4>3</vt:i4>
      </vt:variant>
      <vt:variant>
        <vt:i4>0</vt:i4>
      </vt:variant>
      <vt:variant>
        <vt:i4>5</vt:i4>
      </vt:variant>
      <vt:variant>
        <vt:lpwstr>https://www.colombiacompra.gov.co/circulares?page=2</vt:lpwstr>
      </vt:variant>
      <vt:variant>
        <vt:lpwstr/>
      </vt:variant>
      <vt:variant>
        <vt:i4>3801145</vt:i4>
      </vt:variant>
      <vt:variant>
        <vt:i4>0</vt:i4>
      </vt:variant>
      <vt:variant>
        <vt:i4>0</vt:i4>
      </vt:variant>
      <vt:variant>
        <vt:i4>5</vt:i4>
      </vt:variant>
      <vt:variant>
        <vt:lpwstr>https://relatoria.colombiacompra.gov.co/providencias-consejo-de-estado/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2026-07-16T16:26:00Z</dcterms:created>
  <dcterms:modified xsi:type="dcterms:W3CDTF">2026-07-16T16:41:00Z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