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883A" w14:textId="77777777" w:rsidR="00BF7B83" w:rsidRPr="006C695D" w:rsidRDefault="00BF7B83" w:rsidP="00BF7B83">
      <w:pPr>
        <w:spacing w:after="0" w:line="240" w:lineRule="auto"/>
        <w:contextualSpacing/>
        <w:jc w:val="both"/>
        <w:rPr>
          <w:rFonts w:ascii="Verdana" w:eastAsia="Calibri" w:hAnsi="Verdana" w:cs="Arial"/>
          <w:b/>
          <w:lang w:val="es-MX" w:eastAsia="es-MX"/>
        </w:rPr>
      </w:pPr>
      <w:r w:rsidRPr="006C695D">
        <w:rPr>
          <w:rFonts w:ascii="Verdana" w:eastAsia="Calibri" w:hAnsi="Verdana" w:cs="Arial"/>
          <w:b/>
          <w:lang w:val="es-MX" w:eastAsia="es-MX"/>
        </w:rPr>
        <w:t xml:space="preserve">LEY DE GARANTÍAS ELECTORALES – Naturaleza jurídica </w:t>
      </w:r>
    </w:p>
    <w:p w14:paraId="089E16BB" w14:textId="77777777" w:rsidR="00BF7B83" w:rsidRPr="006C695D" w:rsidRDefault="00BF7B83" w:rsidP="00BF7B83">
      <w:pPr>
        <w:spacing w:after="0" w:line="240" w:lineRule="auto"/>
        <w:contextualSpacing/>
        <w:jc w:val="both"/>
        <w:rPr>
          <w:rFonts w:ascii="Verdana" w:eastAsia="Calibri" w:hAnsi="Verdana" w:cs="Arial"/>
          <w:b/>
          <w:sz w:val="20"/>
          <w:szCs w:val="20"/>
          <w:lang w:val="es-MX" w:eastAsia="es-MX"/>
        </w:rPr>
      </w:pPr>
    </w:p>
    <w:p w14:paraId="33DAA893"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r w:rsidRPr="006C695D">
        <w:rPr>
          <w:rFonts w:ascii="Verdana" w:eastAsia="Times New Roman" w:hAnsi="Verdana" w:cs="Arial"/>
          <w:bCs/>
          <w:sz w:val="20"/>
          <w:szCs w:val="20"/>
          <w:lang w:val="es-MX" w:eastAsia="es-CO"/>
        </w:rPr>
        <w:t>[…]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 En esta medida, la citada ley introduce limitaciones para realizar nombramientos, postulaciones, contrataciones o cualquier otro tipo de actividad que implique destinación de recursos públicos bajo el devenir propio de las entidades estatales.</w:t>
      </w:r>
    </w:p>
    <w:p w14:paraId="6681E26C" w14:textId="77777777" w:rsidR="00BF7B83" w:rsidRPr="006C695D" w:rsidRDefault="00BF7B83" w:rsidP="00BF7B83">
      <w:pPr>
        <w:spacing w:after="0"/>
        <w:jc w:val="both"/>
        <w:rPr>
          <w:rFonts w:ascii="Verdana" w:eastAsia="Verdana" w:hAnsi="Verdana" w:cs="Verdana"/>
          <w:b/>
          <w:lang w:val="es-MX"/>
        </w:rPr>
      </w:pPr>
    </w:p>
    <w:p w14:paraId="1FD82CF7" w14:textId="77777777" w:rsidR="00BF7B83" w:rsidRPr="006C695D" w:rsidRDefault="00BF7B83" w:rsidP="00BF7B83">
      <w:pPr>
        <w:spacing w:after="0" w:line="240" w:lineRule="auto"/>
        <w:contextualSpacing/>
        <w:jc w:val="both"/>
        <w:rPr>
          <w:rFonts w:ascii="Verdana" w:eastAsia="Calibri" w:hAnsi="Verdana" w:cs="Arial"/>
          <w:b/>
          <w:sz w:val="20"/>
          <w:szCs w:val="20"/>
          <w:lang w:val="es-MX" w:eastAsia="es-MX"/>
        </w:rPr>
      </w:pPr>
      <w:r w:rsidRPr="006C695D">
        <w:rPr>
          <w:rFonts w:ascii="Verdana" w:eastAsia="Calibri" w:hAnsi="Verdana" w:cs="Arial"/>
          <w:b/>
          <w:lang w:val="es-MX" w:eastAsia="es-MX"/>
        </w:rPr>
        <w:t>LEY DE GARANTÍAS ELECTORALES – Prohibiciones</w:t>
      </w:r>
      <w:r w:rsidRPr="006C695D">
        <w:rPr>
          <w:rFonts w:ascii="Verdana" w:eastAsia="Calibri" w:hAnsi="Verdana" w:cs="Arial"/>
          <w:b/>
          <w:sz w:val="20"/>
          <w:szCs w:val="20"/>
          <w:lang w:val="es-MX" w:eastAsia="es-MX"/>
        </w:rPr>
        <w:t xml:space="preserve"> </w:t>
      </w:r>
    </w:p>
    <w:p w14:paraId="4341D081" w14:textId="77777777" w:rsidR="00BF7B83" w:rsidRPr="006C695D" w:rsidRDefault="00BF7B83" w:rsidP="00BF7B83">
      <w:pPr>
        <w:spacing w:after="0" w:line="240" w:lineRule="auto"/>
        <w:contextualSpacing/>
        <w:jc w:val="both"/>
        <w:rPr>
          <w:rFonts w:ascii="Verdana" w:eastAsia="Calibri" w:hAnsi="Verdana" w:cs="Arial"/>
          <w:b/>
          <w:sz w:val="20"/>
          <w:szCs w:val="20"/>
          <w:lang w:val="es-MX" w:eastAsia="es-MX"/>
        </w:rPr>
      </w:pPr>
    </w:p>
    <w:p w14:paraId="4EE8B75C"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r w:rsidRPr="006C695D">
        <w:rPr>
          <w:rFonts w:ascii="Verdana" w:eastAsia="Times New Roman" w:hAnsi="Verdana" w:cs="Arial"/>
          <w:bCs/>
          <w:sz w:val="20"/>
          <w:szCs w:val="20"/>
          <w:lang w:val="es-MX" w:eastAsia="es-CO"/>
        </w:rPr>
        <w:t>De conformidad con lo anterior, 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50CF1DBC"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p>
    <w:p w14:paraId="34B4A2EB"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r w:rsidRPr="006C695D">
        <w:rPr>
          <w:rFonts w:ascii="Verdana" w:eastAsia="Times New Roman" w:hAnsi="Verdana" w:cs="Arial"/>
          <w:bCs/>
          <w:sz w:val="20"/>
          <w:szCs w:val="20"/>
          <w:lang w:val="es-MX" w:eastAsia="es-CO"/>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10DAE13F"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p>
    <w:p w14:paraId="37FFF97D"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r w:rsidRPr="006C695D">
        <w:rPr>
          <w:rFonts w:ascii="Verdana" w:eastAsia="Times New Roman" w:hAnsi="Verdana" w:cs="Arial"/>
          <w:bCs/>
          <w:sz w:val="20"/>
          <w:szCs w:val="20"/>
          <w:lang w:val="es-MX" w:eastAsia="es-CO"/>
        </w:rPr>
        <w:t>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721314D0" w14:textId="77777777" w:rsidR="00BF7B83" w:rsidRPr="006C695D" w:rsidRDefault="00BF7B83" w:rsidP="00BF7B83">
      <w:pPr>
        <w:spacing w:after="0" w:line="240" w:lineRule="auto"/>
        <w:contextualSpacing/>
        <w:jc w:val="both"/>
        <w:rPr>
          <w:rFonts w:ascii="Verdana" w:eastAsia="Times New Roman" w:hAnsi="Verdana" w:cs="Arial"/>
          <w:bCs/>
          <w:sz w:val="20"/>
          <w:szCs w:val="20"/>
          <w:lang w:val="es-MX" w:eastAsia="es-CO"/>
        </w:rPr>
      </w:pPr>
    </w:p>
    <w:p w14:paraId="611258AF" w14:textId="77777777" w:rsidR="00BF7B83" w:rsidRPr="006C695D" w:rsidRDefault="00BF7B83" w:rsidP="00BF7B83">
      <w:pPr>
        <w:spacing w:after="120" w:line="240" w:lineRule="auto"/>
        <w:jc w:val="both"/>
        <w:rPr>
          <w:rFonts w:ascii="Verdana" w:eastAsia="Times New Roman" w:hAnsi="Verdana" w:cs="Arial"/>
          <w:b/>
          <w:lang w:eastAsia="es-CO"/>
        </w:rPr>
      </w:pPr>
      <w:r w:rsidRPr="006C695D">
        <w:rPr>
          <w:rFonts w:ascii="Verdana" w:eastAsia="Times New Roman" w:hAnsi="Verdana" w:cs="Arial"/>
          <w:b/>
          <w:lang w:eastAsia="es-CO"/>
        </w:rPr>
        <w:t>CUERPOS DE BOMBEROS VOLUNTARIOS – Modalidades de selección contratación</w:t>
      </w:r>
    </w:p>
    <w:p w14:paraId="17E12BC9" w14:textId="77777777" w:rsidR="00BF7B83" w:rsidRPr="006C695D" w:rsidRDefault="00BF7B83" w:rsidP="00BF7B83">
      <w:pPr>
        <w:spacing w:after="120" w:line="240" w:lineRule="auto"/>
        <w:jc w:val="both"/>
        <w:rPr>
          <w:rFonts w:ascii="Verdana" w:eastAsia="Times New Roman" w:hAnsi="Verdana" w:cs="Arial"/>
          <w:b/>
          <w:sz w:val="20"/>
          <w:szCs w:val="20"/>
          <w:lang w:eastAsia="es-CO"/>
        </w:rPr>
      </w:pPr>
      <w:r w:rsidRPr="006C695D">
        <w:rPr>
          <w:rFonts w:ascii="Verdana" w:hAnsi="Verdana"/>
          <w:sz w:val="20"/>
          <w:szCs w:val="20"/>
        </w:rPr>
        <w:lastRenderedPageBreak/>
        <w:t xml:space="preserve">[…] </w:t>
      </w:r>
      <w:r w:rsidRPr="006C695D">
        <w:rPr>
          <w:rFonts w:ascii="Verdana" w:eastAsia="Calibri" w:hAnsi="Verdana" w:cs="Arial"/>
          <w:bCs/>
          <w:sz w:val="20"/>
          <w:szCs w:val="20"/>
          <w:lang w:val="es-ES_tradnl" w:eastAsia="x-none"/>
        </w:rPr>
        <w:t>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p>
    <w:p w14:paraId="34597B50" w14:textId="77777777" w:rsidR="00BF7B83" w:rsidRPr="006C695D" w:rsidRDefault="00BF7B83" w:rsidP="00BF7B83">
      <w:pPr>
        <w:spacing w:after="120" w:line="240" w:lineRule="auto"/>
        <w:jc w:val="both"/>
        <w:rPr>
          <w:rFonts w:ascii="Verdana" w:eastAsia="Calibri" w:hAnsi="Verdana" w:cs="Arial"/>
          <w:sz w:val="20"/>
          <w:szCs w:val="20"/>
          <w:lang w:val="es-ES_tradnl" w:eastAsia="x-none"/>
        </w:rPr>
      </w:pPr>
      <w:r w:rsidRPr="006C695D">
        <w:rPr>
          <w:rFonts w:ascii="Verdana" w:eastAsia="Calibri" w:hAnsi="Verdana" w:cs="Arial"/>
          <w:bCs/>
          <w:sz w:val="20"/>
          <w:szCs w:val="20"/>
          <w:lang w:val="es-ES_tradnl" w:eastAsia="x-none"/>
        </w:rPr>
        <w:t>De lo anterior se desprende que la restricción aplica, sin perjuicio de las excepciones establecidas en la misma ley, para celebrar cualquier contrato de forma directa, esto es, sin que exista un proceso abierto y competitivo.</w:t>
      </w:r>
      <w:r w:rsidRPr="006C695D">
        <w:rPr>
          <w:rFonts w:ascii="Verdana" w:eastAsia="Calibri" w:hAnsi="Verdana" w:cs="Arial"/>
          <w:sz w:val="20"/>
          <w:szCs w:val="20"/>
          <w:lang w:val="es-ES_tradnl" w:eastAsia="x-none"/>
        </w:rPr>
        <w:t xml:space="preserve"> Por tanto, no son materia de la prohibición las demás modalidades de selección previstas en la Ley 1150 de 2007, es decir, la licitación pública, el concurso de méritos y la selección abreviada, razón por la cual en ese período preelectoral de que trata la disposición pueden las entidades públicas seguir contratando bajo estos sistemas.</w:t>
      </w:r>
    </w:p>
    <w:p w14:paraId="67DC75DD" w14:textId="77777777" w:rsidR="00BF7B83" w:rsidRPr="006C695D" w:rsidRDefault="00BF7B83" w:rsidP="00BF7B83">
      <w:pPr>
        <w:spacing w:after="120" w:line="240" w:lineRule="auto"/>
        <w:jc w:val="both"/>
        <w:rPr>
          <w:rFonts w:ascii="Verdana" w:eastAsia="Times New Roman" w:hAnsi="Verdana" w:cs="Arial"/>
          <w:b/>
          <w:sz w:val="20"/>
          <w:szCs w:val="20"/>
          <w:lang w:eastAsia="es-CO"/>
        </w:rPr>
      </w:pPr>
      <w:r w:rsidRPr="006C695D">
        <w:rPr>
          <w:rFonts w:ascii="Verdana" w:eastAsia="Calibri" w:hAnsi="Verdana" w:cs="Arial"/>
          <w:sz w:val="20"/>
          <w:szCs w:val="20"/>
          <w:lang w:val="es-ES" w:eastAsia="es-CO"/>
        </w:rPr>
        <w:t xml:space="preserve">Como en otras oportunidades lo ha manifestado esta Agencia, las prórrogas, modificaciones o adiciones de los contratos suscritos antes de la entrada en vigencia de las prohibiciones anotadas, así como la cesión de </w:t>
      </w:r>
      <w:proofErr w:type="gramStart"/>
      <w:r w:rsidRPr="006C695D">
        <w:rPr>
          <w:rFonts w:ascii="Verdana" w:eastAsia="Calibri" w:hAnsi="Verdana" w:cs="Arial"/>
          <w:sz w:val="20"/>
          <w:szCs w:val="20"/>
          <w:lang w:val="es-ES" w:eastAsia="es-CO"/>
        </w:rPr>
        <w:t>los mismos</w:t>
      </w:r>
      <w:proofErr w:type="gramEnd"/>
      <w:r w:rsidRPr="006C695D">
        <w:rPr>
          <w:rFonts w:ascii="Verdana" w:eastAsia="Calibri" w:hAnsi="Verdana" w:cs="Arial"/>
          <w:sz w:val="20"/>
          <w:szCs w:val="20"/>
          <w:lang w:val="es-ES" w:eastAsia="es-CO"/>
        </w:rPr>
        <w:t>, pueden tener lugar en el período de aplicación de la Ley de Garantías, sin que ello haga nugatoria la restricción de la contratación directa y siempre que cumplan los principios de planeación, transparencia y responsabilidad […]</w:t>
      </w:r>
    </w:p>
    <w:p w14:paraId="0FA29C45" w14:textId="77777777" w:rsidR="00BF7B83" w:rsidRPr="006C695D" w:rsidRDefault="00BF7B83" w:rsidP="00BF7B83">
      <w:pPr>
        <w:spacing w:after="0"/>
        <w:jc w:val="both"/>
        <w:rPr>
          <w:rFonts w:ascii="Verdana" w:eastAsia="Times New Roman" w:hAnsi="Verdana" w:cs="Arial"/>
          <w:sz w:val="20"/>
          <w:szCs w:val="20"/>
          <w:lang w:eastAsia="x-none"/>
        </w:rPr>
      </w:pPr>
    </w:p>
    <w:p w14:paraId="6C51B5A4" w14:textId="77777777" w:rsidR="00BF7B83" w:rsidRPr="006C695D" w:rsidRDefault="00BF7B83" w:rsidP="00BF7B83">
      <w:pPr>
        <w:spacing w:after="0"/>
        <w:jc w:val="both"/>
        <w:rPr>
          <w:rFonts w:ascii="Verdana" w:eastAsia="Verdana" w:hAnsi="Verdana" w:cs="Verdana"/>
          <w:sz w:val="20"/>
          <w:szCs w:val="20"/>
        </w:rPr>
      </w:pPr>
      <w:r w:rsidRPr="006C695D">
        <w:rPr>
          <w:rFonts w:ascii="Verdana" w:eastAsia="Times New Roman" w:hAnsi="Verdana" w:cs="Arial"/>
          <w:b/>
          <w:bCs/>
          <w:lang w:eastAsia="es-CO"/>
        </w:rPr>
        <w:t>CUERPOS DE BOMBEROS VOLUNTARIOS – Servicio público esencial</w:t>
      </w:r>
    </w:p>
    <w:p w14:paraId="15B245B9" w14:textId="77777777" w:rsidR="00BF7B83" w:rsidRPr="006C695D" w:rsidRDefault="00BF7B83" w:rsidP="00BF7B83">
      <w:pPr>
        <w:spacing w:after="0"/>
        <w:jc w:val="both"/>
        <w:rPr>
          <w:rFonts w:ascii="Verdana" w:eastAsia="Verdana" w:hAnsi="Verdana" w:cs="Verdana"/>
          <w:sz w:val="20"/>
          <w:szCs w:val="20"/>
        </w:rPr>
      </w:pPr>
    </w:p>
    <w:p w14:paraId="73298878" w14:textId="77777777" w:rsidR="00BF7B83" w:rsidRPr="006C695D" w:rsidRDefault="00BF7B83" w:rsidP="00BF7B83">
      <w:pPr>
        <w:spacing w:after="120" w:line="240" w:lineRule="auto"/>
        <w:jc w:val="both"/>
        <w:rPr>
          <w:rFonts w:ascii="Verdana" w:eastAsia="Times New Roman" w:hAnsi="Verdana" w:cs="Arial"/>
          <w:bCs/>
          <w:sz w:val="20"/>
          <w:szCs w:val="20"/>
          <w:lang w:eastAsia="es-CO"/>
        </w:rPr>
      </w:pPr>
      <w:r w:rsidRPr="006C695D">
        <w:rPr>
          <w:rFonts w:ascii="Verdana" w:eastAsia="Times New Roman" w:hAnsi="Verdana" w:cs="Arial"/>
          <w:bCs/>
          <w:sz w:val="20"/>
          <w:szCs w:val="20"/>
          <w:lang w:eastAsia="es-CO"/>
        </w:rPr>
        <w:t xml:space="preserve">[…] Por su parte, el artículo 3 de la Ley 1575 de 2012 establece el marco conceptual y los principios que orientan la organización, dirección y prestación del servicio público esencial de gestión integral del riesgo contra incendio, así como las actividades de rescate y atención de incidentes con materiales peligrosos. En este sentido, precisa los elementos que estructuran la función bomberil y delimita su alcance dentro del sistema de gestión del riesgo, reafirmando su carácter de servicio público a cargo del Estado. Para el efecto, el inciso cuarto de la norma estable que: “Es obligación de los distritos, con asiento en su respectiva jurisdicción y de los municipios la prestación del servicio público esencial a través de los cuerpos de bomberos oficiales o </w:t>
      </w:r>
      <w:r w:rsidRPr="006C695D">
        <w:rPr>
          <w:rFonts w:ascii="Verdana" w:eastAsia="Times New Roman" w:hAnsi="Verdana" w:cs="Arial"/>
          <w:bCs/>
          <w:i/>
          <w:iCs/>
          <w:sz w:val="20"/>
          <w:szCs w:val="20"/>
          <w:lang w:eastAsia="es-CO"/>
        </w:rPr>
        <w:t>mediante la celebración de contratos y/o convenios con los cuerpos de bomberos voluntarios</w:t>
      </w:r>
      <w:r w:rsidRPr="006C695D">
        <w:rPr>
          <w:rFonts w:ascii="Verdana" w:eastAsia="Times New Roman" w:hAnsi="Verdana" w:cs="Arial"/>
          <w:bCs/>
          <w:sz w:val="20"/>
          <w:szCs w:val="20"/>
          <w:lang w:eastAsia="es-CO"/>
        </w:rPr>
        <w:t>” [Énfasis fuera de texto]. […]</w:t>
      </w:r>
    </w:p>
    <w:p w14:paraId="1B6561A0" w14:textId="77777777" w:rsidR="00BF7B83" w:rsidRPr="006C695D" w:rsidRDefault="00BF7B83" w:rsidP="00BF7B83">
      <w:pPr>
        <w:spacing w:after="0"/>
        <w:rPr>
          <w:rFonts w:ascii="Verdana" w:hAnsi="Verdana"/>
          <w:color w:val="EE0000"/>
        </w:rPr>
      </w:pPr>
    </w:p>
    <w:p w14:paraId="1B5EFEAF" w14:textId="77777777" w:rsidR="00BF7B83" w:rsidRPr="006C695D" w:rsidRDefault="00BF7B83" w:rsidP="00BF7B83">
      <w:pPr>
        <w:spacing w:after="0"/>
        <w:rPr>
          <w:rFonts w:ascii="Verdana" w:hAnsi="Verdana"/>
          <w:color w:val="EE0000"/>
        </w:rPr>
      </w:pPr>
    </w:p>
    <w:p w14:paraId="265D44F6" w14:textId="77777777" w:rsidR="00BF7B83" w:rsidRPr="006C695D" w:rsidRDefault="00BF7B83" w:rsidP="00BF7B83">
      <w:pPr>
        <w:spacing w:after="0"/>
        <w:rPr>
          <w:rFonts w:ascii="Verdana" w:hAnsi="Verdana"/>
          <w:color w:val="EE0000"/>
        </w:rPr>
      </w:pPr>
    </w:p>
    <w:p w14:paraId="632B4C7C" w14:textId="77777777" w:rsidR="00BF7B83" w:rsidRPr="006C695D" w:rsidRDefault="00BF7B83" w:rsidP="00BF7B83">
      <w:pPr>
        <w:spacing w:after="0"/>
        <w:rPr>
          <w:rFonts w:ascii="Verdana" w:hAnsi="Verdana"/>
          <w:color w:val="EE0000"/>
        </w:rPr>
      </w:pPr>
    </w:p>
    <w:p w14:paraId="0F2216F4" w14:textId="77777777" w:rsidR="00BF7B83" w:rsidRPr="006C695D" w:rsidRDefault="00BF7B83" w:rsidP="00BF7B83">
      <w:pPr>
        <w:spacing w:after="0"/>
        <w:rPr>
          <w:rFonts w:ascii="Verdana" w:hAnsi="Verdana"/>
          <w:color w:val="EE0000"/>
        </w:rPr>
      </w:pPr>
    </w:p>
    <w:p w14:paraId="29D74351" w14:textId="77777777" w:rsidR="00BF7B83" w:rsidRPr="006C695D" w:rsidRDefault="00BF7B83" w:rsidP="00BF7B83">
      <w:pPr>
        <w:spacing w:after="0"/>
        <w:rPr>
          <w:rFonts w:ascii="Verdana" w:hAnsi="Verdana"/>
          <w:color w:val="EE0000"/>
        </w:rPr>
      </w:pPr>
    </w:p>
    <w:p w14:paraId="423E4880" w14:textId="77777777" w:rsidR="00BF7B83" w:rsidRPr="006C695D" w:rsidRDefault="00BF7B83" w:rsidP="00BF7B83">
      <w:pPr>
        <w:spacing w:after="0"/>
        <w:rPr>
          <w:rFonts w:ascii="Verdana" w:hAnsi="Verdana"/>
          <w:color w:val="EE0000"/>
        </w:rPr>
      </w:pPr>
    </w:p>
    <w:p w14:paraId="6A703AAD" w14:textId="77777777" w:rsidR="00BF7B83" w:rsidRPr="006C695D" w:rsidRDefault="00BF7B83" w:rsidP="00BF7B83">
      <w:pPr>
        <w:spacing w:after="0"/>
        <w:rPr>
          <w:rFonts w:ascii="Verdana" w:hAnsi="Verdana"/>
          <w:color w:val="EE0000"/>
        </w:rPr>
      </w:pPr>
    </w:p>
    <w:p w14:paraId="6E87F96E" w14:textId="77777777" w:rsidR="00BF7B83" w:rsidRPr="006C695D" w:rsidRDefault="00BF7B83" w:rsidP="00BF7B83">
      <w:pPr>
        <w:spacing w:after="0"/>
        <w:rPr>
          <w:rFonts w:ascii="Verdana" w:hAnsi="Verdana"/>
          <w:color w:val="EE0000"/>
        </w:rPr>
      </w:pPr>
    </w:p>
    <w:p w14:paraId="7178D117" w14:textId="77777777" w:rsidR="00BF7B83" w:rsidRPr="006C695D" w:rsidRDefault="00BF7B83" w:rsidP="00BF7B83">
      <w:pPr>
        <w:spacing w:after="0"/>
        <w:rPr>
          <w:rFonts w:ascii="Verdana" w:hAnsi="Verdana"/>
          <w:color w:val="ED7D31" w:themeColor="accent2"/>
        </w:rPr>
      </w:pPr>
    </w:p>
    <w:p w14:paraId="12CFF015" w14:textId="1274E798" w:rsidR="00393A6D" w:rsidRPr="006C695D" w:rsidRDefault="00697F1E" w:rsidP="00563159">
      <w:pPr>
        <w:spacing w:after="0" w:line="240" w:lineRule="auto"/>
        <w:rPr>
          <w:rFonts w:ascii="Verdana" w:hAnsi="Verdana"/>
        </w:rPr>
      </w:pPr>
      <w:r w:rsidRPr="00697F1E">
        <w:rPr>
          <w:rFonts w:ascii="Verdana" w:eastAsia="Calibri" w:hAnsi="Verdana" w:cs="Arial"/>
          <w:lang w:val="es-ES" w:eastAsia="es-ES"/>
        </w:rPr>
        <w:lastRenderedPageBreak/>
        <w:drawing>
          <wp:anchor distT="0" distB="0" distL="114300" distR="114300" simplePos="0" relativeHeight="251658240" behindDoc="1" locked="0" layoutInCell="1" allowOverlap="1" wp14:anchorId="31012166" wp14:editId="5A0CD158">
            <wp:simplePos x="0" y="0"/>
            <wp:positionH relativeFrom="margin">
              <wp:posOffset>3334649</wp:posOffset>
            </wp:positionH>
            <wp:positionV relativeFrom="paragraph">
              <wp:posOffset>82681</wp:posOffset>
            </wp:positionV>
            <wp:extent cx="2420493" cy="718169"/>
            <wp:effectExtent l="0" t="0" r="0" b="6350"/>
            <wp:wrapNone/>
            <wp:docPr id="2036879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79118" name=""/>
                    <pic:cNvPicPr/>
                  </pic:nvPicPr>
                  <pic:blipFill>
                    <a:blip r:embed="rId10">
                      <a:extLst>
                        <a:ext uri="{28A0092B-C50C-407E-A947-70E740481C1C}">
                          <a14:useLocalDpi xmlns:a14="http://schemas.microsoft.com/office/drawing/2010/main" val="0"/>
                        </a:ext>
                      </a:extLst>
                    </a:blip>
                    <a:stretch>
                      <a:fillRect/>
                    </a:stretch>
                  </pic:blipFill>
                  <pic:spPr>
                    <a:xfrm>
                      <a:off x="0" y="0"/>
                      <a:ext cx="2420493" cy="718169"/>
                    </a:xfrm>
                    <a:prstGeom prst="rect">
                      <a:avLst/>
                    </a:prstGeom>
                  </pic:spPr>
                </pic:pic>
              </a:graphicData>
            </a:graphic>
            <wp14:sizeRelH relativeFrom="margin">
              <wp14:pctWidth>0</wp14:pctWidth>
            </wp14:sizeRelH>
            <wp14:sizeRelV relativeFrom="margin">
              <wp14:pctHeight>0</wp14:pctHeight>
            </wp14:sizeRelV>
          </wp:anchor>
        </w:drawing>
      </w:r>
      <w:r w:rsidR="00393A6D" w:rsidRPr="006C695D">
        <w:rPr>
          <w:rFonts w:ascii="Verdana" w:hAnsi="Verdana"/>
        </w:rPr>
        <w:t xml:space="preserve">Bogotá D.C., </w:t>
      </w:r>
      <w:r>
        <w:rPr>
          <w:rFonts w:ascii="Verdana" w:hAnsi="Verdana"/>
        </w:rPr>
        <w:t xml:space="preserve">09 Julio 2026 </w:t>
      </w:r>
    </w:p>
    <w:p w14:paraId="4E3A05CF" w14:textId="6A81D929" w:rsidR="00393A6D" w:rsidRPr="006C695D" w:rsidRDefault="00393A6D" w:rsidP="00563159">
      <w:pPr>
        <w:spacing w:after="0" w:line="240" w:lineRule="auto"/>
        <w:rPr>
          <w:rFonts w:ascii="Verdana" w:hAnsi="Verdana"/>
          <w:color w:val="EE0000"/>
          <w:lang w:val="es-ES"/>
        </w:rPr>
      </w:pPr>
    </w:p>
    <w:p w14:paraId="22FDA82C" w14:textId="6B8F0531" w:rsidR="00393A6D" w:rsidRPr="00697F1E" w:rsidRDefault="00393A6D" w:rsidP="00393A6D">
      <w:pPr>
        <w:spacing w:after="0" w:line="240" w:lineRule="auto"/>
        <w:rPr>
          <w:rFonts w:ascii="Verdana" w:hAnsi="Verdana"/>
          <w:lang w:val="es-ES"/>
        </w:rPr>
      </w:pPr>
      <w:bookmarkStart w:id="0" w:name="_Hlk143780582"/>
      <w:r w:rsidRPr="006C695D">
        <w:rPr>
          <w:rFonts w:ascii="Verdana" w:eastAsia="Calibri" w:hAnsi="Verdana" w:cs="Arial"/>
          <w:lang w:val="es-ES" w:eastAsia="es-ES"/>
        </w:rPr>
        <w:t>Señor</w:t>
      </w:r>
      <w:r w:rsidR="00697F1E" w:rsidRPr="00697F1E">
        <w:rPr>
          <w:noProof/>
        </w:rPr>
        <w:t xml:space="preserve"> </w:t>
      </w:r>
    </w:p>
    <w:p w14:paraId="78296EE1" w14:textId="77777777" w:rsidR="00393A6D" w:rsidRPr="006C695D" w:rsidRDefault="00393A6D" w:rsidP="00393A6D">
      <w:pPr>
        <w:spacing w:after="0" w:line="240" w:lineRule="auto"/>
        <w:rPr>
          <w:rFonts w:ascii="Verdana" w:hAnsi="Verdana"/>
          <w:lang w:val="es-ES"/>
        </w:rPr>
      </w:pPr>
      <w:r w:rsidRPr="006C695D">
        <w:rPr>
          <w:rFonts w:ascii="Verdana" w:eastAsia="Calibri" w:hAnsi="Verdana" w:cs="Arial"/>
          <w:b/>
          <w:bCs/>
          <w:lang w:eastAsia="es-ES"/>
        </w:rPr>
        <w:t>José Luis Beltrán Suárez</w:t>
      </w:r>
    </w:p>
    <w:p w14:paraId="688FB834" w14:textId="77777777" w:rsidR="00393A6D" w:rsidRPr="006C695D" w:rsidRDefault="00393A6D" w:rsidP="00563159">
      <w:pPr>
        <w:spacing w:after="0" w:line="240" w:lineRule="auto"/>
        <w:rPr>
          <w:rFonts w:ascii="Verdana" w:hAnsi="Verdana"/>
          <w:color w:val="EE0000"/>
        </w:rPr>
      </w:pPr>
      <w:hyperlink r:id="rId11" w:tgtFrame="_blank" w:history="1">
        <w:r w:rsidRPr="005428CB">
          <w:rPr>
            <w:rStyle w:val="Hipervnculo"/>
            <w:rFonts w:ascii="Verdana" w:hAnsi="Verdana"/>
          </w:rPr>
          <w:t>asesoriasintegralesbeltranasoc@gmail.com</w:t>
        </w:r>
      </w:hyperlink>
      <w:r w:rsidRPr="005428CB">
        <w:rPr>
          <w:rFonts w:ascii="Verdana" w:hAnsi="Verdana"/>
          <w:color w:val="EE0000"/>
        </w:rPr>
        <w:t xml:space="preserve"> </w:t>
      </w:r>
    </w:p>
    <w:p w14:paraId="6C9A9681" w14:textId="77777777" w:rsidR="00393A6D" w:rsidRPr="006C695D" w:rsidRDefault="00393A6D" w:rsidP="00563159">
      <w:pPr>
        <w:spacing w:after="0" w:line="240" w:lineRule="auto"/>
        <w:rPr>
          <w:rFonts w:ascii="Verdana" w:eastAsia="Calibri" w:hAnsi="Verdana" w:cs="Arial"/>
          <w:lang w:val="es-ES" w:eastAsia="es-ES"/>
        </w:rPr>
      </w:pPr>
      <w:r w:rsidRPr="006C695D">
        <w:rPr>
          <w:rFonts w:ascii="Verdana" w:eastAsia="Calibri" w:hAnsi="Verdana" w:cs="Arial"/>
          <w:lang w:val="es-ES" w:eastAsia="es-ES"/>
        </w:rPr>
        <w:t>Villahermosa, Tolima</w:t>
      </w:r>
    </w:p>
    <w:p w14:paraId="018CB71F" w14:textId="77777777" w:rsidR="00393A6D" w:rsidRPr="006C695D" w:rsidRDefault="00393A6D" w:rsidP="00563159">
      <w:pPr>
        <w:spacing w:after="0" w:line="240" w:lineRule="auto"/>
        <w:rPr>
          <w:rFonts w:ascii="Verdana" w:eastAsia="Calibri" w:hAnsi="Verdana" w:cs="Arial"/>
          <w:color w:val="EE0000"/>
          <w:lang w:val="es-ES" w:eastAsia="es-ES"/>
        </w:rPr>
      </w:pPr>
    </w:p>
    <w:p w14:paraId="0E59D53D" w14:textId="77777777" w:rsidR="00393A6D" w:rsidRPr="006C695D" w:rsidRDefault="00393A6D" w:rsidP="00393A6D">
      <w:pPr>
        <w:spacing w:after="0" w:line="240" w:lineRule="auto"/>
        <w:rPr>
          <w:rFonts w:ascii="Verdana" w:eastAsia="Calibri" w:hAnsi="Verdana" w:cs="Arial"/>
          <w:b/>
          <w:bCs/>
          <w:color w:val="EE0000"/>
          <w:lang w:val="es-ES" w:eastAsia="es-ES"/>
        </w:rPr>
      </w:pPr>
    </w:p>
    <w:tbl>
      <w:tblPr>
        <w:tblStyle w:val="Tablaconcuadrcul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393A6D" w:rsidRPr="005428CB" w14:paraId="2DC48899" w14:textId="77777777">
        <w:trPr>
          <w:trHeight w:val="300"/>
        </w:trPr>
        <w:tc>
          <w:tcPr>
            <w:tcW w:w="2410" w:type="dxa"/>
          </w:tcPr>
          <w:p w14:paraId="275648C0" w14:textId="77777777" w:rsidR="00393A6D" w:rsidRPr="006C695D" w:rsidRDefault="00393A6D">
            <w:pPr>
              <w:ind w:left="-142"/>
              <w:jc w:val="both"/>
              <w:rPr>
                <w:rFonts w:ascii="Verdana" w:eastAsia="Calibri" w:hAnsi="Verdana" w:cs="Arial"/>
                <w:b/>
                <w:bCs/>
                <w:lang w:val="es-ES" w:eastAsia="es-ES_tradnl"/>
              </w:rPr>
            </w:pPr>
          </w:p>
        </w:tc>
        <w:tc>
          <w:tcPr>
            <w:tcW w:w="6379" w:type="dxa"/>
          </w:tcPr>
          <w:p w14:paraId="3431A696" w14:textId="77777777" w:rsidR="00393A6D" w:rsidRPr="006C695D" w:rsidRDefault="00393A6D">
            <w:pPr>
              <w:ind w:left="3"/>
              <w:jc w:val="both"/>
              <w:rPr>
                <w:rFonts w:ascii="Verdana" w:eastAsia="Calibri" w:hAnsi="Verdana" w:cs="Arial"/>
                <w:b/>
                <w:bCs/>
                <w:lang w:val="es-ES" w:eastAsia="es-ES"/>
              </w:rPr>
            </w:pPr>
            <w:r w:rsidRPr="006C695D">
              <w:rPr>
                <w:rFonts w:ascii="Verdana" w:eastAsia="Calibri" w:hAnsi="Verdana" w:cs="Arial"/>
                <w:b/>
                <w:bCs/>
                <w:lang w:val="es-ES" w:eastAsia="es-ES"/>
              </w:rPr>
              <w:t>Concepto C-898 de 2026</w:t>
            </w:r>
          </w:p>
          <w:p w14:paraId="6FD0867E" w14:textId="77777777" w:rsidR="00393A6D" w:rsidRPr="006C695D" w:rsidRDefault="00393A6D">
            <w:pPr>
              <w:ind w:left="3"/>
              <w:jc w:val="both"/>
              <w:rPr>
                <w:rFonts w:ascii="Verdana" w:eastAsia="Calibri" w:hAnsi="Verdana" w:cs="Arial"/>
                <w:b/>
                <w:bCs/>
                <w:lang w:val="es-ES" w:eastAsia="es-ES"/>
              </w:rPr>
            </w:pPr>
          </w:p>
        </w:tc>
      </w:tr>
      <w:tr w:rsidR="00393A6D" w:rsidRPr="005428CB" w14:paraId="380B0A42" w14:textId="77777777">
        <w:trPr>
          <w:trHeight w:val="300"/>
        </w:trPr>
        <w:tc>
          <w:tcPr>
            <w:tcW w:w="2410" w:type="dxa"/>
          </w:tcPr>
          <w:p w14:paraId="67B91857" w14:textId="77777777" w:rsidR="00393A6D" w:rsidRPr="006C695D" w:rsidRDefault="00393A6D">
            <w:pPr>
              <w:ind w:left="424" w:firstLine="142"/>
              <w:jc w:val="both"/>
              <w:rPr>
                <w:rFonts w:ascii="Verdana" w:eastAsia="Calibri" w:hAnsi="Verdana" w:cs="Arial"/>
                <w:color w:val="EE0000"/>
                <w:lang w:val="es-ES" w:eastAsia="es-ES_tradnl"/>
              </w:rPr>
            </w:pPr>
            <w:r w:rsidRPr="006C695D">
              <w:rPr>
                <w:rFonts w:ascii="Verdana" w:eastAsia="Calibri" w:hAnsi="Verdana" w:cs="Arial"/>
                <w:b/>
                <w:lang w:val="es-ES" w:eastAsia="es-ES_tradnl"/>
              </w:rPr>
              <w:t>Temas:</w:t>
            </w:r>
            <w:r w:rsidRPr="006C695D">
              <w:rPr>
                <w:rFonts w:ascii="Verdana" w:eastAsia="Calibri" w:hAnsi="Verdana" w:cs="Arial"/>
                <w:lang w:val="es-ES" w:eastAsia="es-ES_tradnl"/>
              </w:rPr>
              <w:t xml:space="preserve">                  </w:t>
            </w:r>
          </w:p>
        </w:tc>
        <w:tc>
          <w:tcPr>
            <w:tcW w:w="6379" w:type="dxa"/>
          </w:tcPr>
          <w:p w14:paraId="42E7BBBD" w14:textId="77777777" w:rsidR="00393A6D" w:rsidRPr="006C695D" w:rsidRDefault="00393A6D" w:rsidP="00563159">
            <w:pPr>
              <w:jc w:val="both"/>
              <w:rPr>
                <w:rFonts w:ascii="Verdana" w:eastAsia="Calibri" w:hAnsi="Verdana" w:cs="Arial"/>
                <w:color w:val="EE0000"/>
              </w:rPr>
            </w:pPr>
            <w:r w:rsidRPr="006C695D">
              <w:rPr>
                <w:rFonts w:ascii="Verdana" w:eastAsia="Calibri" w:hAnsi="Verdana" w:cs="Arial"/>
              </w:rPr>
              <w:t xml:space="preserve">LEY DE GARANTÍAS ELECTORALES – Naturaleza jurídica / LEY DE GARANTÍAS ELECTORALES – Prohibiciones / CUERPOS DE BOMBEROS VOLUNTARIOS – Modalidades de selección contratación / CUERPOS DE BOMBEROS VOLUNTARIOS – Servicio público esencial </w:t>
            </w:r>
          </w:p>
          <w:p w14:paraId="4F1A1E59" w14:textId="77777777" w:rsidR="00393A6D" w:rsidRPr="006C695D" w:rsidRDefault="00393A6D" w:rsidP="00563159">
            <w:pPr>
              <w:jc w:val="both"/>
              <w:rPr>
                <w:rFonts w:ascii="Verdana" w:eastAsia="Calibri" w:hAnsi="Verdana" w:cs="Arial"/>
                <w:color w:val="EE0000"/>
              </w:rPr>
            </w:pPr>
          </w:p>
        </w:tc>
      </w:tr>
      <w:tr w:rsidR="00393A6D" w:rsidRPr="005428CB" w14:paraId="34E75906" w14:textId="77777777">
        <w:trPr>
          <w:trHeight w:val="350"/>
        </w:trPr>
        <w:tc>
          <w:tcPr>
            <w:tcW w:w="2410" w:type="dxa"/>
          </w:tcPr>
          <w:p w14:paraId="1A955C39" w14:textId="77777777" w:rsidR="00393A6D" w:rsidRPr="006C695D" w:rsidRDefault="00393A6D">
            <w:pPr>
              <w:ind w:left="561"/>
              <w:jc w:val="both"/>
              <w:rPr>
                <w:rFonts w:ascii="Verdana" w:eastAsia="Calibri" w:hAnsi="Verdana" w:cs="Arial"/>
                <w:b/>
                <w:lang w:val="es-ES" w:eastAsia="es-ES_tradnl"/>
              </w:rPr>
            </w:pPr>
            <w:r w:rsidRPr="006C695D">
              <w:rPr>
                <w:rFonts w:ascii="Verdana" w:eastAsia="Calibri" w:hAnsi="Verdana" w:cs="Arial"/>
                <w:b/>
                <w:lang w:val="es-ES" w:eastAsia="es-ES_tradnl"/>
              </w:rPr>
              <w:t>Radicación:</w:t>
            </w:r>
            <w:r w:rsidRPr="006C695D">
              <w:rPr>
                <w:rFonts w:ascii="Verdana" w:eastAsia="Calibri" w:hAnsi="Verdana" w:cs="Arial"/>
                <w:lang w:val="es-ES" w:eastAsia="es-ES_tradnl"/>
              </w:rPr>
              <w:t xml:space="preserve">              </w:t>
            </w:r>
          </w:p>
        </w:tc>
        <w:tc>
          <w:tcPr>
            <w:tcW w:w="6379" w:type="dxa"/>
          </w:tcPr>
          <w:p w14:paraId="61953A38" w14:textId="00B3C31C" w:rsidR="00393A6D" w:rsidRPr="006C695D" w:rsidRDefault="00393A6D">
            <w:pPr>
              <w:ind w:left="3"/>
              <w:jc w:val="both"/>
              <w:rPr>
                <w:rFonts w:ascii="Verdana" w:hAnsi="Verdana"/>
                <w:lang w:val="es-ES"/>
              </w:rPr>
            </w:pPr>
            <w:r w:rsidRPr="006C695D">
              <w:rPr>
                <w:rFonts w:ascii="Verdana" w:eastAsia="Calibri" w:hAnsi="Verdana" w:cs="Arial"/>
                <w:lang w:val="es-ES" w:eastAsia="es-ES"/>
              </w:rPr>
              <w:t>Respuesta a consulta con radicado No. 1_2026_05_29_007266</w:t>
            </w:r>
          </w:p>
        </w:tc>
      </w:tr>
      <w:tr w:rsidR="00393A6D" w:rsidRPr="005428CB" w14:paraId="65407C71" w14:textId="77777777">
        <w:trPr>
          <w:trHeight w:val="350"/>
        </w:trPr>
        <w:tc>
          <w:tcPr>
            <w:tcW w:w="2410" w:type="dxa"/>
          </w:tcPr>
          <w:p w14:paraId="05D1B02E" w14:textId="77777777" w:rsidR="00393A6D" w:rsidRDefault="00393A6D">
            <w:pPr>
              <w:ind w:left="561"/>
              <w:jc w:val="both"/>
              <w:rPr>
                <w:rFonts w:ascii="Verdana" w:eastAsia="Calibri" w:hAnsi="Verdana" w:cs="Arial"/>
                <w:b/>
                <w:color w:val="EE0000"/>
                <w:lang w:val="es-ES" w:eastAsia="es-ES_tradnl"/>
              </w:rPr>
            </w:pPr>
          </w:p>
          <w:p w14:paraId="2A4F1D7D" w14:textId="77777777" w:rsidR="007D27E6" w:rsidRPr="006C695D" w:rsidRDefault="007D27E6">
            <w:pPr>
              <w:ind w:left="561"/>
              <w:jc w:val="both"/>
              <w:rPr>
                <w:rFonts w:ascii="Verdana" w:eastAsia="Calibri" w:hAnsi="Verdana" w:cs="Arial"/>
                <w:b/>
                <w:color w:val="EE0000"/>
                <w:lang w:val="es-ES" w:eastAsia="es-ES_tradnl"/>
              </w:rPr>
            </w:pPr>
          </w:p>
        </w:tc>
        <w:tc>
          <w:tcPr>
            <w:tcW w:w="6379" w:type="dxa"/>
          </w:tcPr>
          <w:p w14:paraId="382B03E0" w14:textId="77777777" w:rsidR="00393A6D" w:rsidRPr="006C695D" w:rsidRDefault="00393A6D">
            <w:pPr>
              <w:ind w:left="3"/>
              <w:jc w:val="both"/>
              <w:rPr>
                <w:rFonts w:ascii="Verdana" w:eastAsia="Calibri" w:hAnsi="Verdana" w:cs="Arial"/>
                <w:color w:val="EE0000"/>
                <w:lang w:val="es-ES" w:eastAsia="es-ES"/>
              </w:rPr>
            </w:pPr>
          </w:p>
        </w:tc>
      </w:tr>
    </w:tbl>
    <w:p w14:paraId="75F2F39C" w14:textId="77777777" w:rsidR="00393A6D" w:rsidRPr="006C695D" w:rsidRDefault="00393A6D" w:rsidP="00393A6D">
      <w:pPr>
        <w:spacing w:after="0" w:line="276" w:lineRule="auto"/>
        <w:jc w:val="both"/>
        <w:rPr>
          <w:rFonts w:ascii="Verdana" w:eastAsia="Calibri" w:hAnsi="Verdana" w:cs="Arial"/>
          <w:lang w:val="es-ES" w:eastAsia="es-ES"/>
        </w:rPr>
      </w:pPr>
      <w:r w:rsidRPr="006C695D">
        <w:rPr>
          <w:rFonts w:ascii="Verdana" w:eastAsia="Calibri" w:hAnsi="Verdana" w:cs="Arial"/>
          <w:lang w:val="es-ES" w:eastAsia="es-ES"/>
        </w:rPr>
        <w:t>Estimado Señor Beltrán:</w:t>
      </w:r>
    </w:p>
    <w:p w14:paraId="04788B7B" w14:textId="77777777" w:rsidR="00393A6D" w:rsidRPr="006C695D" w:rsidRDefault="00393A6D" w:rsidP="00393A6D">
      <w:pPr>
        <w:tabs>
          <w:tab w:val="left" w:pos="3768"/>
        </w:tabs>
        <w:spacing w:after="0" w:line="276" w:lineRule="auto"/>
        <w:jc w:val="both"/>
        <w:rPr>
          <w:rFonts w:ascii="Verdana" w:eastAsia="Calibri" w:hAnsi="Verdana" w:cs="Arial"/>
          <w:lang w:val="es-ES" w:eastAsia="es-ES"/>
        </w:rPr>
      </w:pPr>
      <w:r w:rsidRPr="006C695D">
        <w:rPr>
          <w:rFonts w:ascii="Verdana" w:eastAsia="Calibri" w:hAnsi="Verdana" w:cs="Arial"/>
          <w:lang w:val="es-ES" w:eastAsia="es-ES"/>
        </w:rPr>
        <w:tab/>
      </w:r>
    </w:p>
    <w:p w14:paraId="1F8B9F10" w14:textId="77777777" w:rsidR="00393A6D" w:rsidRPr="006C695D" w:rsidRDefault="00393A6D" w:rsidP="00393A6D">
      <w:pPr>
        <w:spacing w:after="0" w:line="276" w:lineRule="auto"/>
        <w:jc w:val="both"/>
        <w:rPr>
          <w:rFonts w:ascii="Verdana" w:eastAsia="Calibri" w:hAnsi="Verdana" w:cs="Arial"/>
          <w:lang w:val="es-ES" w:eastAsia="es-ES"/>
        </w:rPr>
      </w:pPr>
      <w:r w:rsidRPr="006C695D">
        <w:rPr>
          <w:rFonts w:ascii="Verdana" w:eastAsia="Calibri" w:hAnsi="Verdana" w:cs="Arial"/>
          <w:lang w:val="es-ES" w:eastAsia="es-ES"/>
        </w:rPr>
        <w:t>En ejercicio de la competencia otorgada por los artículos 3, numeral 5º, y 11, numeral 8º, del Decreto Ley 4170 de 2011,</w:t>
      </w:r>
      <w:r w:rsidRPr="006C695D">
        <w:rPr>
          <w:rFonts w:ascii="Verdana" w:eastAsia="Arial MT" w:hAnsi="Verdana" w:cs="Arial MT"/>
          <w:lang w:val="es-ES" w:eastAsia="es-ES"/>
        </w:rPr>
        <w:t xml:space="preserve"> </w:t>
      </w:r>
      <w:r w:rsidRPr="006C695D">
        <w:rPr>
          <w:rFonts w:ascii="Verdana" w:hAnsi="Verdana" w:cs="Arial"/>
          <w:lang w:val="es-ES"/>
        </w:rPr>
        <w:t xml:space="preserve">así como lo establecido en el artículo 4 de la Resolución 469 de 2025 expedida por esta Entidad, </w:t>
      </w:r>
      <w:r w:rsidRPr="006C695D">
        <w:rPr>
          <w:rFonts w:ascii="Verdana" w:eastAsia="Calibri" w:hAnsi="Verdana" w:cs="Arial"/>
          <w:lang w:val="es-ES" w:eastAsia="es-ES"/>
        </w:rPr>
        <w:t xml:space="preserve">la Agencia Nacional de Contratación Pública – Colombia Compra Eficiente– responde su solicitud de consulta de fecha 29 de mayo de 2026, en la cual manifiesta lo siguiente: </w:t>
      </w:r>
    </w:p>
    <w:p w14:paraId="4A61F730"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bCs/>
          <w:color w:val="EE0000"/>
          <w:lang w:val="es-ES"/>
        </w:rPr>
      </w:pPr>
    </w:p>
    <w:p w14:paraId="2B54C621"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r w:rsidRPr="006C695D">
        <w:rPr>
          <w:rFonts w:ascii="Verdana" w:eastAsia="Century Gothic" w:hAnsi="Verdana" w:cs="Century Gothic"/>
          <w:i/>
          <w:iCs/>
          <w:sz w:val="20"/>
          <w:szCs w:val="20"/>
          <w:lang w:val="es-ES"/>
        </w:rPr>
        <w:t xml:space="preserve">“[…]Según la Ley 996 de 2005 establece restricciones a la contratación estatal durante el periodo preelectoral, particularmente frente a la contratación directa por parte de las entidades públicas dentro de los términos previstos en dicha normativa. </w:t>
      </w:r>
    </w:p>
    <w:p w14:paraId="6E41A3B9"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p>
    <w:p w14:paraId="6732D1D6"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r w:rsidRPr="006C695D">
        <w:rPr>
          <w:rFonts w:ascii="Verdana" w:eastAsia="Century Gothic" w:hAnsi="Verdana" w:cs="Century Gothic"/>
          <w:i/>
          <w:iCs/>
          <w:sz w:val="20"/>
          <w:szCs w:val="20"/>
          <w:lang w:val="es-ES"/>
        </w:rPr>
        <w:t xml:space="preserve">Por otra parte, la Ley 1575 de 2012 establece que la gestión integral del riesgo contra incendio, la preparación y atención de rescates en todas sus modalidades y la atención de incidentes con materiales peligrosos constituyen un servicio público esencial a cargo del Estado, el cual puede ser prestado a través de cuerpos de bomberos oficiales o voluntarios legalmente constituidos. </w:t>
      </w:r>
    </w:p>
    <w:p w14:paraId="23A8F2A9"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r w:rsidRPr="006C695D">
        <w:rPr>
          <w:rFonts w:ascii="Verdana" w:eastAsia="Century Gothic" w:hAnsi="Verdana" w:cs="Century Gothic"/>
          <w:i/>
          <w:iCs/>
          <w:sz w:val="20"/>
          <w:szCs w:val="20"/>
          <w:lang w:val="es-ES"/>
        </w:rPr>
        <w:t xml:space="preserve">Asimismo, la normativa bomberil prevé la destinación de recursos provenientes de la sobretasa bomberil para el fortalecimiento y </w:t>
      </w:r>
      <w:r w:rsidRPr="006C695D">
        <w:rPr>
          <w:rFonts w:ascii="Verdana" w:eastAsia="Century Gothic" w:hAnsi="Verdana" w:cs="Century Gothic"/>
          <w:i/>
          <w:iCs/>
          <w:sz w:val="20"/>
          <w:szCs w:val="20"/>
          <w:lang w:val="es-ES"/>
        </w:rPr>
        <w:lastRenderedPageBreak/>
        <w:t xml:space="preserve">financiación de las actividades desarrolladas por los cuerpos de bomberos en cumplimiento de sus funciones constitucionales y legales. </w:t>
      </w:r>
    </w:p>
    <w:p w14:paraId="2371F0CC"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p>
    <w:p w14:paraId="652F8CD0"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r w:rsidRPr="006C695D">
        <w:rPr>
          <w:rFonts w:ascii="Verdana" w:eastAsia="Century Gothic" w:hAnsi="Verdana" w:cs="Century Gothic"/>
          <w:i/>
          <w:iCs/>
          <w:sz w:val="20"/>
          <w:szCs w:val="20"/>
          <w:lang w:val="es-ES"/>
        </w:rPr>
        <w:t xml:space="preserve">En desarrollo de dichas disposiciones, las entidades territoriales deben garantizar la continuidad de las actividades relacionadas con la prevención y atención de incendios, emergencias, desastres y demás actuaciones asociadas a la gestión del riesgo. </w:t>
      </w:r>
    </w:p>
    <w:p w14:paraId="6C39E512"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p>
    <w:p w14:paraId="0415D7C2"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r w:rsidRPr="006C695D">
        <w:rPr>
          <w:rFonts w:ascii="Verdana" w:eastAsia="Century Gothic" w:hAnsi="Verdana" w:cs="Century Gothic"/>
          <w:i/>
          <w:iCs/>
          <w:sz w:val="20"/>
          <w:szCs w:val="20"/>
          <w:lang w:val="es-ES"/>
        </w:rPr>
        <w:t xml:space="preserve">No obstante, se presentan inquietudes respecto de la procedencia de celebrar convenios destinados a la transferencia de recursos de la sobretasa bomberil durante la vigencia de las restricciones previstas en la Ley 996 de 2005, especialmente cuando el reconocimiento jurídico o acto de constitución del respectivo cuerpo de bomberos voluntarios se produjo con posterioridad al inicio del periodo de restricción electoral. </w:t>
      </w:r>
    </w:p>
    <w:p w14:paraId="5502D676"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p>
    <w:p w14:paraId="68EA546A"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r w:rsidRPr="006C695D">
        <w:rPr>
          <w:rFonts w:ascii="Verdana" w:eastAsia="Century Gothic" w:hAnsi="Verdana" w:cs="Century Gothic"/>
          <w:i/>
          <w:iCs/>
          <w:sz w:val="20"/>
          <w:szCs w:val="20"/>
          <w:lang w:val="es-ES"/>
        </w:rPr>
        <w:t xml:space="preserve">Así las cosas, ¿Las restricciones a la contratación directa previstas en la Ley 996 de 2005 resultan aplicables a la celebración de convenios destinados a la transferencia de recursos de la sobretasa bomberil a cuerpos de bomberos voluntarios, cuando dichos recursos tienen como finalidad garantizar la prestación del servicio público esencial de gestión integral del riesgo contra incendio, atención de emergencias y atención de desastres? </w:t>
      </w:r>
    </w:p>
    <w:p w14:paraId="00B567C3"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lang w:val="es-ES"/>
        </w:rPr>
      </w:pPr>
    </w:p>
    <w:p w14:paraId="4A5A63FA" w14:textId="77777777" w:rsidR="00393A6D" w:rsidRPr="006C695D" w:rsidRDefault="00393A6D" w:rsidP="00393A6D">
      <w:pPr>
        <w:spacing w:after="0" w:line="240" w:lineRule="auto"/>
        <w:ind w:left="709" w:right="709"/>
        <w:jc w:val="both"/>
        <w:rPr>
          <w:rFonts w:ascii="Verdana" w:eastAsia="Century Gothic" w:hAnsi="Verdana" w:cs="Century Gothic"/>
          <w:i/>
          <w:iCs/>
          <w:sz w:val="20"/>
          <w:szCs w:val="20"/>
        </w:rPr>
      </w:pPr>
      <w:r w:rsidRPr="006C695D">
        <w:rPr>
          <w:rFonts w:ascii="Verdana" w:eastAsia="Century Gothic" w:hAnsi="Verdana" w:cs="Century Gothic"/>
          <w:i/>
          <w:iCs/>
          <w:sz w:val="20"/>
          <w:szCs w:val="20"/>
          <w:lang w:val="es-ES"/>
        </w:rPr>
        <w:t>La interpretación solicitada resulta necesaria para determinar el alcance de las restricciones contractuales previstas en la Ley 996 de 2005 frente al deber constitucional y legal de las entidades territoriales de garantizar la continuidad en la prestación del servicio público esencial bomberil y la adecuada destinación de los recursos de la sobretasa bomberil, permitiendo orientar las actuaciones administrativas y contractuales que deban adelantarse para la protección de la vida, integridad y seguridad de la comunidad.</w:t>
      </w:r>
      <w:r w:rsidRPr="006C695D">
        <w:rPr>
          <w:rFonts w:ascii="Verdana" w:eastAsia="Century Gothic" w:hAnsi="Verdana" w:cs="Century Gothic"/>
          <w:i/>
          <w:iCs/>
          <w:sz w:val="20"/>
          <w:szCs w:val="20"/>
        </w:rPr>
        <w:t xml:space="preserve"> […]”</w:t>
      </w:r>
    </w:p>
    <w:p w14:paraId="08BA5A3F" w14:textId="77777777" w:rsidR="00393A6D" w:rsidRPr="006C695D" w:rsidRDefault="00393A6D" w:rsidP="00393A6D">
      <w:pPr>
        <w:spacing w:before="120" w:after="120" w:line="240" w:lineRule="auto"/>
        <w:ind w:left="709" w:right="709"/>
        <w:contextualSpacing/>
        <w:jc w:val="both"/>
        <w:rPr>
          <w:rFonts w:ascii="Verdana" w:eastAsia="Century Gothic" w:hAnsi="Verdana" w:cs="Century Gothic"/>
          <w:i/>
          <w:iCs/>
          <w:sz w:val="20"/>
          <w:szCs w:val="20"/>
          <w:lang w:val="es-ES"/>
        </w:rPr>
      </w:pPr>
    </w:p>
    <w:p w14:paraId="7024DB74" w14:textId="77777777" w:rsidR="00393A6D" w:rsidRPr="006C695D" w:rsidRDefault="00393A6D" w:rsidP="00393A6D">
      <w:pPr>
        <w:spacing w:after="120" w:line="276" w:lineRule="auto"/>
        <w:ind w:firstLine="708"/>
        <w:jc w:val="both"/>
        <w:rPr>
          <w:rFonts w:ascii="Verdana" w:eastAsia="Calibri" w:hAnsi="Verdana" w:cs="Arial"/>
          <w:lang w:val="es-ES" w:eastAsia="es-ES"/>
        </w:rPr>
      </w:pPr>
      <w:r w:rsidRPr="006C695D">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w:t>
      </w:r>
      <w:r w:rsidRPr="006C695D">
        <w:rPr>
          <w:rFonts w:ascii="Verdana" w:eastAsia="Calibri" w:hAnsi="Verdana" w:cs="Arial"/>
          <w:lang w:val="es-ES" w:eastAsia="es-ES"/>
        </w:rPr>
        <w:lastRenderedPageBreak/>
        <w:t xml:space="preserve">por definición, no puede extenderse a la resolución de controversias, ni a brindar asesorías sobre casos puntuales.  </w:t>
      </w:r>
      <w:r w:rsidRPr="006C695D">
        <w:rPr>
          <w:rFonts w:ascii="Verdana" w:hAnsi="Verdana"/>
          <w:lang w:val="es-ES"/>
        </w:rPr>
        <w:tab/>
      </w:r>
    </w:p>
    <w:p w14:paraId="5103F6AA" w14:textId="77777777" w:rsidR="00393A6D" w:rsidRPr="006C695D" w:rsidRDefault="00393A6D" w:rsidP="00393A6D">
      <w:pPr>
        <w:spacing w:after="0" w:line="276" w:lineRule="auto"/>
        <w:ind w:firstLine="709"/>
        <w:jc w:val="both"/>
        <w:rPr>
          <w:rFonts w:ascii="Verdana" w:eastAsia="Calibri" w:hAnsi="Verdana" w:cs="Arial"/>
          <w:lang w:val="es-ES" w:eastAsia="es-ES"/>
        </w:rPr>
      </w:pPr>
      <w:r w:rsidRPr="006C695D">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201AA59C" w14:textId="77777777" w:rsidR="00393A6D" w:rsidRPr="006C695D" w:rsidRDefault="00393A6D" w:rsidP="00393A6D">
      <w:pPr>
        <w:spacing w:after="0" w:line="276" w:lineRule="auto"/>
        <w:ind w:firstLine="709"/>
        <w:jc w:val="both"/>
        <w:rPr>
          <w:rFonts w:ascii="Verdana" w:eastAsia="Calibri" w:hAnsi="Verdana" w:cs="Arial"/>
          <w:color w:val="EE0000"/>
          <w:lang w:val="es-ES" w:eastAsia="es-ES"/>
        </w:rPr>
      </w:pPr>
    </w:p>
    <w:p w14:paraId="395020F2"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lang w:val="es-ES"/>
        </w:rPr>
      </w:pPr>
      <w:r w:rsidRPr="006C695D">
        <w:rPr>
          <w:rFonts w:ascii="Verdana" w:eastAsia="Century Gothic" w:hAnsi="Verdana" w:cs="Century Gothic"/>
          <w:b/>
          <w:lang w:val="es-ES"/>
        </w:rPr>
        <w:t>1. Problema planteado:</w:t>
      </w:r>
    </w:p>
    <w:p w14:paraId="520CC47F" w14:textId="77777777" w:rsidR="00393A6D" w:rsidRPr="006C695D" w:rsidRDefault="00393A6D" w:rsidP="00393A6D">
      <w:pPr>
        <w:tabs>
          <w:tab w:val="left" w:pos="426"/>
        </w:tabs>
        <w:spacing w:after="0" w:line="276" w:lineRule="auto"/>
        <w:jc w:val="both"/>
        <w:rPr>
          <w:rFonts w:ascii="Verdana" w:eastAsia="Century Gothic" w:hAnsi="Verdana" w:cs="Century Gothic"/>
          <w:lang w:val="es-ES"/>
        </w:rPr>
      </w:pPr>
    </w:p>
    <w:p w14:paraId="4EDB1B25" w14:textId="77777777" w:rsidR="00393A6D" w:rsidRPr="006C695D" w:rsidRDefault="00393A6D" w:rsidP="00393A6D">
      <w:pPr>
        <w:spacing w:after="0" w:line="276" w:lineRule="auto"/>
        <w:jc w:val="both"/>
        <w:rPr>
          <w:rFonts w:ascii="Verdana" w:eastAsia="Century Gothic" w:hAnsi="Verdana" w:cs="Century Gothic"/>
          <w:color w:val="EE0000"/>
        </w:rPr>
      </w:pPr>
      <w:r w:rsidRPr="006C695D">
        <w:rPr>
          <w:rFonts w:ascii="Verdana" w:eastAsia="Century Gothic" w:hAnsi="Verdana" w:cs="Century Gothic"/>
          <w:lang w:val="es-ES"/>
        </w:rPr>
        <w:t>De acuerdo con el contenido de su solicitud, esta Agencia resolverá el siguiente problema jurídico:</w:t>
      </w:r>
      <w:r w:rsidRPr="006C695D">
        <w:rPr>
          <w:rFonts w:ascii="Verdana" w:eastAsia="Century Gothic" w:hAnsi="Verdana" w:cs="Century Gothic"/>
        </w:rPr>
        <w:t xml:space="preserve"> ¿Es procedente celebrar convenios para la transferencia de recursos de la sobretasa bomberil a cuerpos de bomberos voluntarios durante la vigencia de las restricciones previstas en la Ley 996 de 2005?</w:t>
      </w:r>
    </w:p>
    <w:p w14:paraId="46AD4092" w14:textId="77777777" w:rsidR="00393A6D" w:rsidRPr="006C695D" w:rsidRDefault="00393A6D" w:rsidP="00393A6D">
      <w:pPr>
        <w:spacing w:after="0" w:line="276" w:lineRule="auto"/>
        <w:jc w:val="both"/>
        <w:rPr>
          <w:rFonts w:ascii="Verdana" w:eastAsia="Century Gothic" w:hAnsi="Verdana" w:cs="Century Gothic"/>
          <w:color w:val="EE0000"/>
        </w:rPr>
      </w:pPr>
      <w:r w:rsidRPr="006C695D">
        <w:rPr>
          <w:rFonts w:ascii="Verdana" w:eastAsia="Century Gothic" w:hAnsi="Verdana" w:cs="Century Gothic"/>
          <w:color w:val="EE0000"/>
        </w:rPr>
        <w:t xml:space="preserve">    </w:t>
      </w:r>
    </w:p>
    <w:p w14:paraId="7F92EA9D"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lang w:val="es-ES"/>
        </w:rPr>
      </w:pPr>
      <w:r w:rsidRPr="006C695D">
        <w:rPr>
          <w:rFonts w:ascii="Verdana" w:eastAsia="Century Gothic" w:hAnsi="Verdana" w:cs="Century Gothic"/>
          <w:b/>
          <w:lang w:val="es-ES"/>
        </w:rPr>
        <w:t>2. Respuesta:</w:t>
      </w:r>
    </w:p>
    <w:p w14:paraId="423F9779"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color w:val="EE000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93A6D" w:rsidRPr="006C695D" w14:paraId="78B759F3" w14:textId="77777777">
        <w:tc>
          <w:tcPr>
            <w:tcW w:w="8828" w:type="dxa"/>
          </w:tcPr>
          <w:p w14:paraId="1CA2E256" w14:textId="77777777" w:rsidR="00393A6D" w:rsidRPr="006C695D" w:rsidRDefault="00393A6D">
            <w:pPr>
              <w:spacing w:after="120" w:line="276" w:lineRule="auto"/>
              <w:jc w:val="both"/>
              <w:rPr>
                <w:rFonts w:ascii="Verdana" w:eastAsia="Arial" w:hAnsi="Verdana" w:cs="Arial"/>
                <w:lang w:eastAsia="es-ES" w:bidi="es-ES"/>
              </w:rPr>
            </w:pPr>
            <w:r w:rsidRPr="006C695D">
              <w:rPr>
                <w:rFonts w:ascii="Verdana" w:eastAsia="Arial" w:hAnsi="Verdana" w:cs="Arial"/>
                <w:lang w:eastAsia="es-ES" w:bidi="es-ES"/>
              </w:rPr>
              <w:t>Las restricciones consagradas en la Ley de Garantías Electorales se dirigen a dos (2) tipos de campañas electorales diferenciadas: i) las presidenciales y ii) las que se adelanten para la elección de los demás cargos de elección popular, tanto a nivel nacional como territorial.</w:t>
            </w:r>
          </w:p>
          <w:p w14:paraId="2FD1CDDE" w14:textId="77777777" w:rsidR="00393A6D" w:rsidRPr="006C695D" w:rsidRDefault="00393A6D">
            <w:pPr>
              <w:spacing w:after="120" w:line="276" w:lineRule="auto"/>
              <w:ind w:firstLine="709"/>
              <w:jc w:val="both"/>
              <w:rPr>
                <w:rFonts w:ascii="Verdana" w:eastAsia="Calibri" w:hAnsi="Verdana" w:cs="Arial"/>
              </w:rPr>
            </w:pPr>
            <w:r w:rsidRPr="006C695D">
              <w:rPr>
                <w:rFonts w:ascii="Verdana" w:eastAsia="Calibri" w:hAnsi="Verdana" w:cs="Arial"/>
              </w:rPr>
              <w:t xml:space="preserve">Para las primeras, es decir las presidenciales, el </w:t>
            </w:r>
            <w:r w:rsidRPr="006C695D">
              <w:rPr>
                <w:rFonts w:ascii="Verdana" w:eastAsia="Calibri" w:hAnsi="Verdana" w:cs="Arial"/>
                <w:i/>
                <w:iCs/>
              </w:rPr>
              <w:t xml:space="preserve">artículo 33 </w:t>
            </w:r>
            <w:r w:rsidRPr="006C695D">
              <w:rPr>
                <w:rFonts w:ascii="Verdana" w:eastAsia="Calibri" w:hAnsi="Verdana" w:cs="Arial"/>
              </w:rPr>
              <w:t xml:space="preserve">de la Ley 996 de 2005 prohíbe “(…) la contratación directa por parte de </w:t>
            </w:r>
            <w:r w:rsidRPr="006C695D">
              <w:rPr>
                <w:rFonts w:ascii="Verdana" w:eastAsia="Calibri" w:hAnsi="Verdana" w:cs="Arial"/>
                <w:i/>
                <w:iCs/>
              </w:rPr>
              <w:t>todos los entes del Estado</w:t>
            </w:r>
            <w:r w:rsidRPr="006C695D">
              <w:rPr>
                <w:rFonts w:ascii="Verdana" w:eastAsia="Calibri" w:hAnsi="Verdana" w:cs="Arial"/>
              </w:rPr>
              <w:t xml:space="preserve">” durante los cuatro (4) meses anteriores a las </w:t>
            </w:r>
            <w:r w:rsidRPr="006C695D">
              <w:rPr>
                <w:rFonts w:ascii="Verdana" w:eastAsia="Calibri" w:hAnsi="Verdana" w:cs="Arial"/>
                <w:i/>
                <w:iCs/>
              </w:rPr>
              <w:t>elecciones presidenciales</w:t>
            </w:r>
            <w:r w:rsidRPr="006C695D">
              <w:rPr>
                <w:rFonts w:ascii="Verdana" w:eastAsia="Calibri" w:hAnsi="Verdana" w:cs="Arial"/>
              </w:rPr>
              <w:t>,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1ED38236" w14:textId="77777777" w:rsidR="00393A6D" w:rsidRPr="006C695D" w:rsidRDefault="00393A6D">
            <w:pPr>
              <w:spacing w:after="120" w:line="276" w:lineRule="auto"/>
              <w:ind w:firstLine="709"/>
              <w:jc w:val="both"/>
              <w:rPr>
                <w:rFonts w:ascii="Verdana" w:eastAsia="Times New Roman" w:hAnsi="Verdana" w:cs="Arial"/>
                <w:lang w:eastAsia="es-CO"/>
              </w:rPr>
            </w:pPr>
            <w:r w:rsidRPr="006C695D">
              <w:rPr>
                <w:rFonts w:ascii="Verdana" w:eastAsia="Calibri" w:hAnsi="Verdana" w:cs="Arial"/>
              </w:rPr>
              <w:t xml:space="preserve">Por otro lado, para las segundas, </w:t>
            </w:r>
            <w:r w:rsidRPr="006C695D">
              <w:rPr>
                <w:rFonts w:ascii="Verdana" w:eastAsia="Calibri" w:hAnsi="Verdana" w:cs="Arial"/>
                <w:i/>
                <w:iCs/>
              </w:rPr>
              <w:t xml:space="preserve">el parágrafo del artículo 38 </w:t>
            </w:r>
            <w:r w:rsidRPr="006C695D">
              <w:rPr>
                <w:rFonts w:ascii="Verdana" w:eastAsia="Calibri" w:hAnsi="Verdana" w:cs="Arial"/>
              </w:rPr>
              <w:t xml:space="preserve">de la Ley 996 de 2005 prevé una restricción, aplicable respecto de </w:t>
            </w:r>
            <w:r w:rsidRPr="006C695D">
              <w:rPr>
                <w:rFonts w:ascii="Verdana" w:eastAsia="Calibri" w:hAnsi="Verdana" w:cs="Arial"/>
                <w:i/>
                <w:iCs/>
              </w:rPr>
              <w:t>cualquier tipo de contienda electoral</w:t>
            </w:r>
            <w:r w:rsidRPr="006C695D">
              <w:rPr>
                <w:rFonts w:ascii="Verdana" w:eastAsia="Calibri" w:hAnsi="Verdana" w:cs="Arial"/>
              </w:rPr>
              <w:t xml:space="preserve">, que prohíbe a los gobernadores, alcaldes municipales o distritales, secretarios, gerentes y directores de entidades descentralizadas del </w:t>
            </w:r>
            <w:r w:rsidRPr="006C695D">
              <w:rPr>
                <w:rFonts w:ascii="Verdana" w:eastAsia="Calibri" w:hAnsi="Verdana" w:cs="Arial"/>
              </w:rPr>
              <w:lastRenderedPageBreak/>
              <w:t>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6C695D">
              <w:rPr>
                <w:rFonts w:ascii="Verdana" w:eastAsia="Arial" w:hAnsi="Verdana" w:cs="Arial"/>
                <w:lang w:eastAsia="es-ES" w:bidi="es-ES"/>
              </w:rPr>
              <w:t xml:space="preserve"> </w:t>
            </w:r>
            <w:r w:rsidRPr="006C695D">
              <w:rPr>
                <w:rFonts w:ascii="Verdana" w:eastAsia="Times New Roman" w:hAnsi="Verdana" w:cs="Arial"/>
                <w:lang w:eastAsia="es-CO"/>
              </w:rPr>
              <w:t xml:space="preserve">En este sentido, si una o ambas partes de la relación contractual es una entidad de aquellas descritas en el parágrafo </w:t>
            </w:r>
            <w:r w:rsidRPr="006C695D">
              <w:rPr>
                <w:rFonts w:ascii="Verdana" w:eastAsia="Times New Roman" w:hAnsi="Verdana" w:cs="Arial"/>
                <w:i/>
                <w:lang w:eastAsia="es-CO"/>
              </w:rPr>
              <w:t>ibidem</w:t>
            </w:r>
            <w:r w:rsidRPr="006C695D">
              <w:rPr>
                <w:rFonts w:ascii="Verdana" w:eastAsia="Times New Roman" w:hAnsi="Verdana" w:cs="Arial"/>
                <w:lang w:eastAsia="es-CO"/>
              </w:rPr>
              <w:t xml:space="preserve">, no podrá celebrar tales </w:t>
            </w:r>
            <w:r w:rsidRPr="006C695D">
              <w:rPr>
                <w:rFonts w:ascii="Verdana" w:eastAsia="Times New Roman" w:hAnsi="Verdana" w:cs="Arial"/>
                <w:i/>
                <w:iCs/>
                <w:lang w:eastAsia="es-CO"/>
              </w:rPr>
              <w:t>convenios</w:t>
            </w:r>
            <w:r w:rsidRPr="006C695D">
              <w:rPr>
                <w:rFonts w:ascii="Verdana" w:eastAsia="Times New Roman" w:hAnsi="Verdana" w:cs="Arial"/>
                <w:lang w:eastAsia="es-CO"/>
              </w:rPr>
              <w:t xml:space="preserve"> durante la aplicación de la Ley de Garantías Electorales, toda vez que la citada disposición hace referencia a dicha tipología contractual sin que el legislador hubiere contemplado un efecto extensivo a otra tipología. </w:t>
            </w:r>
          </w:p>
          <w:p w14:paraId="33370CD0" w14:textId="77777777" w:rsidR="00393A6D" w:rsidRPr="006C695D" w:rsidRDefault="00393A6D">
            <w:pPr>
              <w:tabs>
                <w:tab w:val="left" w:pos="426"/>
              </w:tabs>
              <w:spacing w:after="120" w:line="276" w:lineRule="auto"/>
              <w:ind w:firstLine="709"/>
              <w:jc w:val="both"/>
              <w:rPr>
                <w:rFonts w:ascii="Verdana" w:eastAsia="Times New Roman" w:hAnsi="Verdana" w:cs="Arial"/>
                <w:bCs/>
                <w:lang w:eastAsia="es-CO"/>
              </w:rPr>
            </w:pPr>
            <w:r w:rsidRPr="006C695D">
              <w:rPr>
                <w:rFonts w:ascii="Verdana" w:eastAsia="Times New Roman" w:hAnsi="Verdana" w:cs="Arial"/>
                <w:bCs/>
                <w:lang w:eastAsia="es-CO"/>
              </w:rPr>
              <w:t>Por su parte, el artículo 37 de la Ley 1575 de 2012 autoriza a los concejos municipales y distritales, a iniciativa del respectivo alcalde, para establecer sobretasas o recargos a los tributos allí previstos con el fin de financiar la actividad bomberil. De esta manera, el legislador previó una fuente de financiación destinada a garantizar la prestación del servicio público esencial a cargo de los municipios y distritos, permitiendo que las entidades territoriales cuenten con recursos específicamente orientados al sostenimiento de las actividades relacionadas con la gestión integral del riesgo contra incendio, los preparativos y atención de rescates en todas sus modalidades y la atención de incidentes con materiales peligrosos. En ese sentido, la sobretasa bomberil constituye un mecanismo de financiación cuya destinación se encuentra directamente vinculada al cumplimiento de las obligaciones que la propia Ley 1575 de 2012 asigna a los municipios y distritos en materia de prestación del servicio público bomberil.</w:t>
            </w:r>
          </w:p>
          <w:p w14:paraId="61F34E11" w14:textId="77777777" w:rsidR="00393A6D" w:rsidRPr="006C695D" w:rsidRDefault="00393A6D">
            <w:pPr>
              <w:tabs>
                <w:tab w:val="left" w:pos="426"/>
              </w:tabs>
              <w:spacing w:after="120" w:line="276" w:lineRule="auto"/>
              <w:jc w:val="both"/>
              <w:rPr>
                <w:rFonts w:ascii="Verdana" w:eastAsia="Calibri" w:hAnsi="Verdana" w:cs="Arial"/>
                <w:color w:val="EE0000"/>
              </w:rPr>
            </w:pPr>
            <w:r w:rsidRPr="006C695D">
              <w:rPr>
                <w:rFonts w:ascii="Verdana" w:eastAsia="Times New Roman" w:hAnsi="Verdana" w:cs="Arial"/>
                <w:bCs/>
                <w:lang w:eastAsia="es-CO"/>
              </w:rPr>
              <w:tab/>
              <w:t>Teniendo en cuenta el análisis precedente, de cara a la aplicación de la Ley de Garantías Electorales, la celebración de convenios para la transferencia de recursos provenientes de la sobretasa bomberil a cuerpos de bomberos voluntarios no se encuentra excluida, por su sola naturaleza, de la aplicación de las restricciones previstas en el artículo 33 de la Ley 996 de 2005. En consecuencia, su procedencia durante el periodo de restricción electoral dependerá de la naturaleza jurídica del convenio que se pretenda celebrar, del régimen de contratación aplicable y de la verificación de los supuestos previstos en la citada disposición, así como de las excepciones contempladas por el legislador.</w:t>
            </w:r>
          </w:p>
          <w:p w14:paraId="4E06DF75" w14:textId="77777777" w:rsidR="00393A6D" w:rsidRPr="006C695D" w:rsidRDefault="00393A6D">
            <w:pPr>
              <w:spacing w:line="276" w:lineRule="auto"/>
              <w:ind w:firstLine="709"/>
              <w:jc w:val="both"/>
              <w:rPr>
                <w:rFonts w:ascii="Verdana" w:eastAsia="Calibri" w:hAnsi="Verdana" w:cs="Arial"/>
                <w:color w:val="EE0000"/>
              </w:rPr>
            </w:pPr>
            <w:r w:rsidRPr="006C695D">
              <w:rPr>
                <w:rFonts w:ascii="Verdana" w:eastAsia="Calibri" w:hAnsi="Verdana" w:cs="Arial"/>
                <w:bCs/>
              </w:rPr>
              <w:lastRenderedPageBreak/>
              <w:t xml:space="preserve">Finalmente, al margen de la explicación precedente debe advertirse que </w:t>
            </w:r>
            <w:r w:rsidRPr="006C695D">
              <w:rPr>
                <w:rStyle w:val="s15"/>
                <w:rFonts w:ascii="Verdana" w:hAnsi="Verdana"/>
              </w:rPr>
              <w:t>el análisis requerido para resolver problemas específicos en torno a la gestión contractual debe ser realizado por quienes tengan interés en ello, de acuerdo con lo explicado la aclaración preliminar del presente oficio.</w:t>
            </w:r>
            <w:r w:rsidRPr="006C695D">
              <w:rPr>
                <w:rStyle w:val="apple-converted-space"/>
                <w:rFonts w:ascii="Verdana" w:hAnsi="Verdana"/>
              </w:rPr>
              <w:t> </w:t>
            </w:r>
            <w:r w:rsidRPr="006C695D">
              <w:rPr>
                <w:rStyle w:val="s15"/>
                <w:rFonts w:ascii="Verdana" w:hAnsi="Verdana"/>
              </w:rPr>
              <w:t>Por lo anterior, previo</w:t>
            </w:r>
            <w:r w:rsidRPr="006C695D">
              <w:rPr>
                <w:rStyle w:val="apple-converted-space"/>
                <w:rFonts w:ascii="Verdana" w:hAnsi="Verdana"/>
              </w:rPr>
              <w:t> </w:t>
            </w:r>
            <w:r w:rsidRPr="006C695D">
              <w:rPr>
                <w:rStyle w:val="s15"/>
                <w:rFonts w:ascii="Verdana" w:hAnsi="Verdana"/>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2D02C64D"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bCs/>
          <w:color w:val="EE0000"/>
          <w:lang w:val="es-ES"/>
        </w:rPr>
      </w:pPr>
    </w:p>
    <w:p w14:paraId="5E7E37BC"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lang w:val="es-ES"/>
        </w:rPr>
      </w:pPr>
      <w:r w:rsidRPr="006C695D">
        <w:rPr>
          <w:rFonts w:ascii="Verdana" w:eastAsia="Century Gothic" w:hAnsi="Verdana" w:cs="Century Gothic"/>
          <w:b/>
          <w:lang w:val="es-ES"/>
        </w:rPr>
        <w:t>3. Razones de la respuesta:</w:t>
      </w:r>
    </w:p>
    <w:p w14:paraId="2B2D173E" w14:textId="77777777" w:rsidR="00393A6D" w:rsidRPr="006C695D" w:rsidRDefault="00393A6D" w:rsidP="00393A6D">
      <w:pPr>
        <w:spacing w:after="0" w:line="276" w:lineRule="auto"/>
        <w:jc w:val="both"/>
        <w:rPr>
          <w:rFonts w:ascii="Verdana" w:eastAsia="Calibri" w:hAnsi="Verdana" w:cs="Arial"/>
          <w:lang w:val="es-ES"/>
        </w:rPr>
      </w:pPr>
    </w:p>
    <w:p w14:paraId="7BE1673B" w14:textId="77777777" w:rsidR="00393A6D" w:rsidRPr="006C695D" w:rsidRDefault="00393A6D" w:rsidP="00393A6D">
      <w:pPr>
        <w:spacing w:after="0" w:line="276" w:lineRule="auto"/>
        <w:jc w:val="both"/>
        <w:rPr>
          <w:rFonts w:ascii="Verdana" w:eastAsia="Calibri" w:hAnsi="Verdana" w:cs="Arial"/>
          <w:lang w:val="es-ES"/>
        </w:rPr>
      </w:pPr>
      <w:r w:rsidRPr="006C695D">
        <w:rPr>
          <w:rFonts w:ascii="Verdana" w:eastAsia="Calibri" w:hAnsi="Verdana" w:cs="Arial"/>
          <w:lang w:val="es-ES"/>
        </w:rPr>
        <w:t xml:space="preserve">Las respuestas anteriores se sustentan en las siguientes consideraciones: </w:t>
      </w:r>
    </w:p>
    <w:p w14:paraId="11424E1A"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lang w:val="es-ES"/>
        </w:rPr>
      </w:pPr>
    </w:p>
    <w:p w14:paraId="37BB051A" w14:textId="77777777" w:rsidR="00393A6D" w:rsidRPr="006C695D" w:rsidRDefault="00393A6D" w:rsidP="00393A6D">
      <w:pPr>
        <w:tabs>
          <w:tab w:val="left" w:pos="426"/>
        </w:tabs>
        <w:spacing w:after="120" w:line="276" w:lineRule="auto"/>
        <w:jc w:val="both"/>
        <w:rPr>
          <w:rFonts w:ascii="Verdana" w:eastAsia="Calibri" w:hAnsi="Verdana" w:cs="Arial"/>
          <w:bCs/>
          <w:lang w:val="es-ES_tradnl" w:eastAsia="es-CO"/>
        </w:rPr>
      </w:pPr>
      <w:bookmarkStart w:id="1" w:name="_Hlk102983874"/>
      <w:bookmarkStart w:id="2" w:name="_Hlk102388095"/>
      <w:r w:rsidRPr="006C695D">
        <w:rPr>
          <w:rFonts w:ascii="Verdana" w:eastAsia="Calibri" w:hAnsi="Verdana" w:cs="Arial"/>
          <w:bCs/>
          <w:lang w:eastAsia="es-ES_tradnl"/>
        </w:rPr>
        <w:t xml:space="preserve">i. </w:t>
      </w:r>
      <w:r w:rsidRPr="006C695D">
        <w:rPr>
          <w:rFonts w:ascii="Verdana" w:eastAsia="Calibri" w:hAnsi="Verdana" w:cs="Arial"/>
          <w:bCs/>
          <w:lang w:val="es-ES_tradnl" w:eastAsia="es-ES_tradnl"/>
        </w:rPr>
        <w:t>El ordenamiento jurídico colombiano contempla previsiones claras para evitar la obtención de beneficios personales en asuntos propios de la administración pública</w:t>
      </w:r>
      <w:r w:rsidRPr="006C695D">
        <w:rPr>
          <w:rFonts w:ascii="Verdana" w:eastAsia="Calibri" w:hAnsi="Verdana" w:cs="Arial"/>
          <w:bCs/>
          <w:i/>
          <w:iCs/>
          <w:lang w:val="es-ES_tradnl" w:eastAsia="es-ES_tradnl"/>
        </w:rPr>
        <w:t xml:space="preserve">. </w:t>
      </w:r>
      <w:r w:rsidRPr="006C695D">
        <w:rPr>
          <w:rFonts w:ascii="Verdana" w:eastAsia="Calibri" w:hAnsi="Verdana" w:cs="Arial"/>
          <w:bCs/>
          <w:lang w:val="es-ES_tradnl" w:eastAsia="es-ES_tradnl"/>
        </w:rPr>
        <w:t>Por ejemplo, el artículo 127 de la Constitución Política establece una prohibición contractual a los servidores públicos y, en cuanto a aspectos políticos establece restricciones a ciertos empleados del Estado, incluso en época no electoral</w:t>
      </w:r>
      <w:r w:rsidRPr="006C695D">
        <w:rPr>
          <w:rFonts w:ascii="Verdana" w:eastAsia="Calibri" w:hAnsi="Verdana" w:cs="Arial"/>
          <w:bCs/>
          <w:vertAlign w:val="superscript"/>
          <w:lang w:val="es-ES_tradnl" w:eastAsia="es-ES_tradnl"/>
        </w:rPr>
        <w:footnoteReference w:id="1"/>
      </w:r>
      <w:r w:rsidRPr="006C695D">
        <w:rPr>
          <w:rFonts w:ascii="Verdana" w:eastAsia="Calibri" w:hAnsi="Verdana" w:cs="Arial"/>
          <w:bCs/>
          <w:lang w:val="es-ES_tradnl" w:eastAsia="es-ES_tradnl"/>
        </w:rPr>
        <w:t xml:space="preserve">. </w:t>
      </w:r>
    </w:p>
    <w:p w14:paraId="1CBF7F21" w14:textId="77777777" w:rsidR="00393A6D" w:rsidRPr="006C695D" w:rsidRDefault="00393A6D" w:rsidP="00393A6D">
      <w:pPr>
        <w:tabs>
          <w:tab w:val="left" w:pos="426"/>
        </w:tabs>
        <w:spacing w:after="120" w:line="276" w:lineRule="auto"/>
        <w:ind w:firstLine="709"/>
        <w:jc w:val="both"/>
        <w:rPr>
          <w:rFonts w:ascii="Verdana" w:eastAsia="Calibri" w:hAnsi="Verdana" w:cs="Arial"/>
          <w:noProof/>
          <w:lang w:val="es-ES_tradnl" w:eastAsia="es-ES_tradnl"/>
        </w:rPr>
      </w:pPr>
      <w:r w:rsidRPr="006C695D">
        <w:rPr>
          <w:rFonts w:ascii="Verdana" w:eastAsia="Calibri" w:hAnsi="Verdana" w:cs="Arial"/>
          <w:bCs/>
          <w:lang w:val="es-ES_tradnl" w:eastAsia="es-CO"/>
        </w:rPr>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6C695D">
        <w:rPr>
          <w:rFonts w:ascii="Verdana" w:eastAsia="Calibri" w:hAnsi="Verdana" w:cs="Arial"/>
          <w:bCs/>
          <w:vertAlign w:val="superscript"/>
          <w:lang w:val="es-ES_tradnl" w:eastAsia="es-CO"/>
        </w:rPr>
        <w:footnoteReference w:id="2"/>
      </w:r>
      <w:r w:rsidRPr="006C695D">
        <w:rPr>
          <w:rFonts w:ascii="Verdana" w:eastAsia="Calibri" w:hAnsi="Verdana" w:cs="Arial"/>
          <w:bCs/>
          <w:lang w:val="es-ES_tradnl" w:eastAsia="es-CO"/>
        </w:rPr>
        <w:t xml:space="preserve">. En esta medida, introduce limitaciones para realizar nombramientos, postulaciones, </w:t>
      </w:r>
      <w:r w:rsidRPr="006C695D">
        <w:rPr>
          <w:rFonts w:ascii="Verdana" w:eastAsia="Calibri" w:hAnsi="Verdana" w:cs="Arial"/>
          <w:bCs/>
          <w:lang w:val="es-ES_tradnl" w:eastAsia="es-CO"/>
        </w:rPr>
        <w:lastRenderedPageBreak/>
        <w:t>contrataciones o cualquier otro tipo de actividad que implique destinación de recursos públicos bajo el devenir propio de las entidades estatales.</w:t>
      </w:r>
      <w:r w:rsidRPr="006C695D">
        <w:rPr>
          <w:rFonts w:ascii="Verdana" w:eastAsia="Calibri" w:hAnsi="Verdana" w:cs="Arial"/>
          <w:noProof/>
          <w:lang w:val="es-ES_tradnl" w:eastAsia="es-ES_tradnl"/>
        </w:rPr>
        <w:t xml:space="preserve"> </w:t>
      </w:r>
    </w:p>
    <w:p w14:paraId="797CCFCE" w14:textId="77777777" w:rsidR="00393A6D" w:rsidRPr="006C695D" w:rsidRDefault="00393A6D" w:rsidP="00393A6D">
      <w:pPr>
        <w:tabs>
          <w:tab w:val="left" w:pos="426"/>
        </w:tabs>
        <w:spacing w:after="0" w:line="276" w:lineRule="auto"/>
        <w:ind w:firstLine="709"/>
        <w:jc w:val="both"/>
        <w:rPr>
          <w:rFonts w:ascii="Verdana" w:eastAsia="Calibri" w:hAnsi="Verdana" w:cs="Arial"/>
          <w:bCs/>
          <w:lang w:val="es-ES_tradnl" w:eastAsia="es-CO"/>
        </w:rPr>
      </w:pPr>
      <w:r w:rsidRPr="006C695D">
        <w:rPr>
          <w:rFonts w:ascii="Verdana" w:eastAsia="Calibri" w:hAnsi="Verdana" w:cs="Arial"/>
          <w:bCs/>
          <w:lang w:val="es-ES_tradnl" w:eastAsia="es-CO"/>
        </w:rPr>
        <w:t>En armonía con lo anterior, la Corte Constitucional ha abordado la definición de la Ley de Garantías Electorales, en los siguientes términos:</w:t>
      </w:r>
    </w:p>
    <w:p w14:paraId="443D023A" w14:textId="77777777" w:rsidR="00393A6D" w:rsidRPr="006C695D" w:rsidRDefault="00393A6D" w:rsidP="00393A6D">
      <w:pPr>
        <w:tabs>
          <w:tab w:val="left" w:pos="426"/>
        </w:tabs>
        <w:spacing w:after="0" w:line="276" w:lineRule="auto"/>
        <w:ind w:firstLine="709"/>
        <w:jc w:val="both"/>
        <w:rPr>
          <w:rFonts w:ascii="Verdana" w:eastAsia="Calibri" w:hAnsi="Verdana" w:cs="Arial"/>
          <w:bCs/>
          <w:lang w:val="es-ES_tradnl" w:eastAsia="es-CO"/>
        </w:rPr>
      </w:pPr>
    </w:p>
    <w:p w14:paraId="738B5697" w14:textId="77777777" w:rsidR="00393A6D" w:rsidRPr="006C695D" w:rsidRDefault="00393A6D" w:rsidP="00393A6D">
      <w:pPr>
        <w:spacing w:after="0" w:line="240" w:lineRule="auto"/>
        <w:ind w:left="709" w:right="709"/>
        <w:jc w:val="both"/>
        <w:rPr>
          <w:rFonts w:ascii="Verdana" w:eastAsia="Calibri" w:hAnsi="Verdana" w:cs="Arial"/>
          <w:bCs/>
          <w:sz w:val="20"/>
          <w:szCs w:val="20"/>
          <w:lang w:val="es-ES_tradnl" w:eastAsia="es-CO"/>
        </w:rPr>
      </w:pPr>
      <w:r w:rsidRPr="006C695D">
        <w:rPr>
          <w:rFonts w:ascii="Verdana" w:eastAsia="Calibri" w:hAnsi="Verdana" w:cs="Arial"/>
          <w:sz w:val="20"/>
          <w:szCs w:val="20"/>
          <w:lang w:val="es-ES" w:eastAsia="es-CO"/>
        </w:rPr>
        <w:t xml:space="preserve">“[…] </w:t>
      </w:r>
      <w:r w:rsidRPr="006C695D">
        <w:rPr>
          <w:rFonts w:ascii="Verdana" w:eastAsia="Calibri" w:hAnsi="Verdana" w:cs="Arial"/>
          <w:bCs/>
          <w:sz w:val="20"/>
          <w:szCs w:val="20"/>
          <w:lang w:val="es-ES_tradnl" w:eastAsia="es-CO"/>
        </w:rPr>
        <w:t>la definición de reglas claras que permitan acceder a los canales de expresión democrática de manera efectiva e igualitaria. El objetivo de una ley de garantías es definir esas reglas.</w:t>
      </w:r>
    </w:p>
    <w:p w14:paraId="4385D1CC" w14:textId="77777777" w:rsidR="00393A6D" w:rsidRPr="006C695D" w:rsidRDefault="00393A6D" w:rsidP="00393A6D">
      <w:pPr>
        <w:spacing w:after="0" w:line="240" w:lineRule="auto"/>
        <w:ind w:left="709" w:right="709"/>
        <w:jc w:val="both"/>
        <w:rPr>
          <w:rFonts w:ascii="Verdana" w:eastAsia="Calibri" w:hAnsi="Verdana" w:cs="Arial"/>
          <w:bCs/>
          <w:sz w:val="20"/>
          <w:szCs w:val="20"/>
          <w:lang w:val="es-ES_tradnl" w:eastAsia="es-CO"/>
        </w:rPr>
      </w:pPr>
      <w:r w:rsidRPr="006C695D">
        <w:rPr>
          <w:rFonts w:ascii="Verdana" w:eastAsia="Calibri" w:hAnsi="Verdana" w:cs="Arial"/>
          <w:bCs/>
          <w:sz w:val="20"/>
          <w:szCs w:val="20"/>
          <w:lang w:val="es-ES_tradnl" w:eastAsia="es-CO"/>
        </w:rPr>
        <w:t xml:space="preserve">[…] </w:t>
      </w:r>
    </w:p>
    <w:p w14:paraId="7FCE4B28" w14:textId="77777777" w:rsidR="00393A6D" w:rsidRPr="006C695D" w:rsidRDefault="00393A6D" w:rsidP="00393A6D">
      <w:pPr>
        <w:spacing w:after="0" w:line="240" w:lineRule="auto"/>
        <w:ind w:left="709" w:right="709"/>
        <w:jc w:val="both"/>
        <w:rPr>
          <w:rFonts w:ascii="Verdana" w:eastAsia="Calibri" w:hAnsi="Verdana" w:cs="Arial"/>
          <w:bCs/>
          <w:sz w:val="20"/>
          <w:szCs w:val="20"/>
          <w:lang w:val="es-ES_tradnl" w:eastAsia="es-CO"/>
        </w:rPr>
      </w:pPr>
      <w:r w:rsidRPr="006C695D">
        <w:rPr>
          <w:rFonts w:ascii="Verdana" w:eastAsia="Calibri" w:hAnsi="Verdana" w:cs="Arial"/>
          <w:bCs/>
          <w:sz w:val="20"/>
          <w:szCs w:val="20"/>
          <w:lang w:val="es-ES_tradnl"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6C695D">
        <w:rPr>
          <w:rFonts w:ascii="Verdana" w:eastAsia="Calibri" w:hAnsi="Verdana" w:cs="Arial"/>
          <w:sz w:val="20"/>
          <w:szCs w:val="20"/>
          <w:vertAlign w:val="superscript"/>
          <w:lang w:val="es-ES_tradnl" w:eastAsia="es-ES_tradnl"/>
        </w:rPr>
        <w:footnoteReference w:id="3"/>
      </w:r>
      <w:r w:rsidRPr="006C695D">
        <w:rPr>
          <w:rFonts w:ascii="Verdana" w:eastAsia="Calibri" w:hAnsi="Verdana" w:cs="Arial"/>
          <w:bCs/>
          <w:sz w:val="20"/>
          <w:szCs w:val="20"/>
          <w:lang w:val="es-ES_tradnl" w:eastAsia="es-CO"/>
        </w:rPr>
        <w:t>.</w:t>
      </w:r>
    </w:p>
    <w:p w14:paraId="28264BBF" w14:textId="77777777" w:rsidR="00393A6D" w:rsidRPr="006C695D" w:rsidRDefault="00393A6D" w:rsidP="00393A6D">
      <w:pPr>
        <w:spacing w:after="0" w:line="240" w:lineRule="auto"/>
        <w:ind w:left="709" w:right="709"/>
        <w:jc w:val="both"/>
        <w:rPr>
          <w:rFonts w:ascii="Verdana" w:eastAsia="Calibri" w:hAnsi="Verdana" w:cs="Arial"/>
          <w:bCs/>
          <w:sz w:val="20"/>
          <w:szCs w:val="20"/>
          <w:lang w:val="es-ES_tradnl" w:eastAsia="es-CO"/>
        </w:rPr>
      </w:pPr>
    </w:p>
    <w:p w14:paraId="6034AEEF" w14:textId="77777777" w:rsidR="00393A6D" w:rsidRPr="006C695D" w:rsidRDefault="00393A6D" w:rsidP="00393A6D">
      <w:pPr>
        <w:spacing w:after="120" w:line="276" w:lineRule="auto"/>
        <w:ind w:firstLine="709"/>
        <w:jc w:val="both"/>
        <w:rPr>
          <w:rFonts w:ascii="Verdana" w:eastAsia="Times New Roman" w:hAnsi="Verdana" w:cs="Arial"/>
          <w:bCs/>
          <w:lang w:val="es-MX" w:eastAsia="es-CO"/>
        </w:rPr>
      </w:pPr>
      <w:bookmarkStart w:id="3" w:name="_Hlk78818186"/>
      <w:r w:rsidRPr="006C695D">
        <w:rPr>
          <w:rFonts w:ascii="Verdana" w:eastAsia="Times New Roman" w:hAnsi="Verdana" w:cs="Arial"/>
          <w:bCs/>
          <w:lang w:val="es-MX" w:eastAsia="es-CO"/>
        </w:rPr>
        <w:t xml:space="preserve">En este contexto, la Ley de Garantías Electorales establece el marco jurídico para el desarrollo de las elecciones, procurando condiciones de igualdad y transparencia para los aspirantes y, paralelamente, incluyendo restricciones en el actuar de los servidores públicos, las cuales buscan evitar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w:t>
      </w:r>
    </w:p>
    <w:p w14:paraId="6027EAC7" w14:textId="77777777" w:rsidR="00393A6D" w:rsidRPr="006C695D" w:rsidRDefault="00393A6D" w:rsidP="00393A6D">
      <w:pPr>
        <w:spacing w:after="0" w:line="276" w:lineRule="auto"/>
        <w:ind w:left="142" w:firstLine="709"/>
        <w:jc w:val="both"/>
        <w:rPr>
          <w:rFonts w:ascii="Verdana" w:eastAsia="Times New Roman" w:hAnsi="Verdana" w:cs="Arial"/>
          <w:bCs/>
          <w:lang w:val="es-MX" w:eastAsia="es-CO"/>
        </w:rPr>
      </w:pPr>
      <w:r w:rsidRPr="006C695D">
        <w:rPr>
          <w:rFonts w:ascii="Verdana" w:eastAsia="Times New Roman" w:hAnsi="Verdana" w:cs="Arial"/>
          <w:bCs/>
          <w:lang w:val="es-MX" w:eastAsia="es-CO"/>
        </w:rPr>
        <w:t>En efecto, la Sala de Consulta y Servicio Civil del Consejo de Estado al analizar la referida ley, precisó lo siguiente:</w:t>
      </w:r>
      <w:bookmarkEnd w:id="3"/>
    </w:p>
    <w:p w14:paraId="7666B9F8" w14:textId="77777777" w:rsidR="00393A6D" w:rsidRPr="006C695D" w:rsidRDefault="00393A6D" w:rsidP="00393A6D">
      <w:pPr>
        <w:spacing w:after="0" w:line="276" w:lineRule="auto"/>
        <w:ind w:left="142" w:firstLine="709"/>
        <w:jc w:val="both"/>
        <w:rPr>
          <w:rFonts w:ascii="Verdana" w:eastAsia="Calibri" w:hAnsi="Verdana" w:cs="Arial"/>
          <w:bCs/>
          <w:lang w:val="es-ES_tradnl" w:eastAsia="es-CO"/>
        </w:rPr>
      </w:pPr>
    </w:p>
    <w:p w14:paraId="5DF94B97" w14:textId="77777777" w:rsidR="00393A6D" w:rsidRPr="006C695D" w:rsidRDefault="00393A6D" w:rsidP="00393A6D">
      <w:pPr>
        <w:spacing w:after="0" w:line="240" w:lineRule="auto"/>
        <w:ind w:left="850" w:right="709"/>
        <w:jc w:val="both"/>
        <w:rPr>
          <w:rFonts w:ascii="Verdana" w:eastAsia="Calibri" w:hAnsi="Verdana" w:cs="Arial"/>
          <w:sz w:val="20"/>
          <w:szCs w:val="20"/>
          <w:lang w:val="es-ES" w:eastAsia="es-CO"/>
        </w:rPr>
      </w:pPr>
      <w:r w:rsidRPr="006C695D">
        <w:rPr>
          <w:rFonts w:ascii="Verdana" w:eastAsia="Calibri" w:hAnsi="Verdana" w:cs="Arial"/>
          <w:sz w:val="20"/>
          <w:szCs w:val="20"/>
          <w:lang w:val="es-ES"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w:t>
      </w:r>
      <w:r w:rsidRPr="006C695D">
        <w:rPr>
          <w:rFonts w:ascii="Verdana" w:eastAsia="Calibri" w:hAnsi="Verdana" w:cs="Arial"/>
          <w:sz w:val="20"/>
          <w:szCs w:val="20"/>
          <w:lang w:val="es-ES" w:eastAsia="es-CO"/>
        </w:rPr>
        <w:lastRenderedPageBreak/>
        <w:t>cual no son disponibles ni pueden ser derogadas, modificadas, ampliadas o adicionadas por acuerdo o convenio o acto unilateral.</w:t>
      </w:r>
    </w:p>
    <w:p w14:paraId="3FD5BA4B" w14:textId="77777777" w:rsidR="00393A6D" w:rsidRPr="006C695D" w:rsidRDefault="00393A6D" w:rsidP="00393A6D">
      <w:pPr>
        <w:spacing w:after="0" w:line="240" w:lineRule="auto"/>
        <w:ind w:left="850" w:right="709"/>
        <w:jc w:val="both"/>
        <w:rPr>
          <w:rFonts w:ascii="Verdana" w:eastAsia="Calibri" w:hAnsi="Verdana" w:cs="Arial"/>
          <w:bCs/>
          <w:sz w:val="20"/>
          <w:szCs w:val="20"/>
          <w:lang w:val="es-ES_tradnl" w:eastAsia="es-CO"/>
        </w:rPr>
      </w:pPr>
      <w:r w:rsidRPr="006C695D">
        <w:rPr>
          <w:rFonts w:ascii="Verdana" w:eastAsia="Calibri" w:hAnsi="Verdana" w:cs="Arial"/>
          <w:bCs/>
          <w:sz w:val="20"/>
          <w:szCs w:val="20"/>
          <w:lang w:val="es-ES_tradnl" w:eastAsia="es-CO"/>
        </w:rPr>
        <w:t>La jurisprudencia de la Corte Constitucional</w:t>
      </w:r>
      <w:r w:rsidRPr="006C695D">
        <w:rPr>
          <w:rFonts w:ascii="Verdana" w:eastAsia="Calibri" w:hAnsi="Verdana" w:cs="Arial"/>
          <w:bCs/>
          <w:sz w:val="20"/>
          <w:szCs w:val="20"/>
          <w:vertAlign w:val="superscript"/>
          <w:lang w:val="es-ES_tradnl" w:eastAsia="es-CO"/>
        </w:rPr>
        <w:footnoteReference w:id="4"/>
      </w:r>
      <w:r w:rsidRPr="006C695D">
        <w:rPr>
          <w:rFonts w:ascii="Verdana" w:eastAsia="Calibri" w:hAnsi="Verdana" w:cs="Arial"/>
          <w:bCs/>
          <w:sz w:val="20"/>
          <w:szCs w:val="20"/>
          <w:lang w:val="es-ES_tradnl" w:eastAsia="es-CO"/>
        </w:rPr>
        <w:t> y del Consejo de Estado</w:t>
      </w:r>
      <w:r w:rsidRPr="006C695D">
        <w:rPr>
          <w:rFonts w:ascii="Verdana" w:eastAsia="Calibri" w:hAnsi="Verdana" w:cs="Arial"/>
          <w:bCs/>
          <w:sz w:val="20"/>
          <w:szCs w:val="20"/>
          <w:vertAlign w:val="superscript"/>
          <w:lang w:val="es-ES_tradnl" w:eastAsia="es-CO"/>
        </w:rPr>
        <w:footnoteReference w:id="5"/>
      </w:r>
      <w:r w:rsidRPr="006C695D">
        <w:rPr>
          <w:rFonts w:ascii="Verdana" w:eastAsia="Calibri" w:hAnsi="Verdana" w:cs="Arial"/>
          <w:bCs/>
          <w:sz w:val="20"/>
          <w:szCs w:val="20"/>
          <w:lang w:val="es-ES_tradnl"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6C695D">
        <w:rPr>
          <w:rFonts w:ascii="Verdana" w:eastAsia="Calibri" w:hAnsi="Verdana" w:cs="Arial"/>
          <w:bCs/>
          <w:sz w:val="20"/>
          <w:szCs w:val="20"/>
          <w:vertAlign w:val="superscript"/>
          <w:lang w:val="es-ES_tradnl" w:eastAsia="es-CO"/>
        </w:rPr>
        <w:footnoteReference w:id="6"/>
      </w:r>
      <w:r w:rsidRPr="006C695D">
        <w:rPr>
          <w:rFonts w:ascii="Verdana" w:eastAsia="Calibri" w:hAnsi="Verdana" w:cs="Arial"/>
          <w:bCs/>
          <w:sz w:val="20"/>
          <w:szCs w:val="20"/>
          <w:lang w:val="es-ES_tradnl" w:eastAsia="es-CO"/>
        </w:rPr>
        <w:t>.</w:t>
      </w:r>
    </w:p>
    <w:p w14:paraId="0558B24E" w14:textId="77777777" w:rsidR="00393A6D" w:rsidRPr="006C695D" w:rsidRDefault="00393A6D" w:rsidP="00393A6D">
      <w:pPr>
        <w:spacing w:after="0" w:line="276" w:lineRule="auto"/>
        <w:ind w:left="851" w:right="709"/>
        <w:jc w:val="both"/>
        <w:rPr>
          <w:rFonts w:ascii="Verdana" w:eastAsia="Calibri" w:hAnsi="Verdana" w:cs="Arial"/>
          <w:bCs/>
          <w:lang w:val="es-ES_tradnl" w:eastAsia="es-CO"/>
        </w:rPr>
      </w:pPr>
    </w:p>
    <w:p w14:paraId="36BD12C2" w14:textId="77777777" w:rsidR="00393A6D" w:rsidRPr="006C695D" w:rsidRDefault="00393A6D" w:rsidP="00393A6D">
      <w:pPr>
        <w:spacing w:after="120" w:line="276" w:lineRule="auto"/>
        <w:ind w:left="142"/>
        <w:jc w:val="both"/>
        <w:rPr>
          <w:rFonts w:ascii="Verdana" w:eastAsia="Arial" w:hAnsi="Verdana" w:cs="Arial"/>
          <w:lang w:val="es-ES" w:eastAsia="es-ES" w:bidi="es-ES"/>
        </w:rPr>
      </w:pPr>
      <w:r w:rsidRPr="006C695D">
        <w:rPr>
          <w:rFonts w:ascii="Verdana" w:eastAsia="Calibri" w:hAnsi="Verdana" w:cs="Arial"/>
          <w:bCs/>
          <w:lang w:val="es-ES_tradnl" w:eastAsia="es-CO"/>
        </w:rPr>
        <w:tab/>
        <w:t>De</w:t>
      </w:r>
      <w:r w:rsidRPr="006C695D">
        <w:rPr>
          <w:rFonts w:ascii="Verdana" w:eastAsia="Arial" w:hAnsi="Verdana" w:cs="Arial"/>
          <w:lang w:val="es-ES" w:eastAsia="es-ES" w:bidi="es-ES"/>
        </w:rPr>
        <w:t xml:space="preserve"> conformidad con lo anterior, </w:t>
      </w:r>
      <w:bookmarkStart w:id="4" w:name="_Hlk77236098"/>
      <w:r w:rsidRPr="006C695D">
        <w:rPr>
          <w:rFonts w:ascii="Verdana" w:eastAsia="Arial" w:hAnsi="Verdana" w:cs="Arial"/>
          <w:lang w:val="es-ES" w:eastAsia="es-ES" w:bidi="es-ES"/>
        </w:rPr>
        <w:t>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4"/>
    </w:p>
    <w:p w14:paraId="0E856DB4" w14:textId="77777777" w:rsidR="00393A6D" w:rsidRPr="006C695D" w:rsidRDefault="00393A6D" w:rsidP="00393A6D">
      <w:pPr>
        <w:spacing w:after="120" w:line="276" w:lineRule="auto"/>
        <w:ind w:firstLine="709"/>
        <w:jc w:val="both"/>
        <w:rPr>
          <w:rFonts w:ascii="Verdana" w:eastAsia="Calibri" w:hAnsi="Verdana" w:cs="Arial"/>
          <w:lang w:val="es-ES_tradnl" w:eastAsia="es-ES_tradnl"/>
        </w:rPr>
      </w:pPr>
      <w:r w:rsidRPr="006C695D">
        <w:rPr>
          <w:rFonts w:ascii="Verdana" w:eastAsia="Calibri" w:hAnsi="Verdana" w:cs="Arial"/>
          <w:lang w:val="es-ES_tradnl" w:eastAsia="es-ES_tradnl"/>
        </w:rPr>
        <w:t xml:space="preserve">Por un lado, el artículo 33 de la Ley 996 de 2005 prohíbe </w:t>
      </w:r>
      <w:r w:rsidRPr="006C695D">
        <w:rPr>
          <w:rFonts w:ascii="Verdana" w:eastAsia="Calibri" w:hAnsi="Verdana" w:cs="Arial"/>
          <w:bCs/>
          <w:lang w:val="es-ES_tradnl" w:eastAsia="es-ES_tradnl"/>
        </w:rPr>
        <w:t xml:space="preserve">“[…] </w:t>
      </w:r>
      <w:r w:rsidRPr="006C695D">
        <w:rPr>
          <w:rFonts w:ascii="Verdana" w:eastAsia="Calibri" w:hAnsi="Verdana" w:cs="Arial"/>
          <w:lang w:val="es-ES_tradnl" w:eastAsia="es-ES_tradnl"/>
        </w:rPr>
        <w:t>la contratación directa por parte de todos los entes del Estado</w:t>
      </w:r>
      <w:r w:rsidRPr="006C695D">
        <w:rPr>
          <w:rFonts w:ascii="Verdana" w:eastAsia="Calibri" w:hAnsi="Verdana" w:cs="Arial"/>
          <w:bCs/>
          <w:lang w:val="es-ES_tradnl" w:eastAsia="es-ES_tradnl"/>
        </w:rPr>
        <w:t>”</w:t>
      </w:r>
      <w:r w:rsidRPr="006C695D">
        <w:rPr>
          <w:rFonts w:ascii="Verdana" w:eastAsia="Calibri" w:hAnsi="Verdana" w:cs="Arial"/>
          <w:lang w:val="es-ES_tradnl" w:eastAsia="es-ES_tradnl"/>
        </w:rPr>
        <w:t xml:space="preserve"> durante los cuatro (4) meses anteriores a las elecciones presidenciales, salvo </w:t>
      </w:r>
      <w:r w:rsidRPr="006C695D">
        <w:rPr>
          <w:rFonts w:ascii="Verdana" w:eastAsia="Calibri" w:hAnsi="Verdana" w:cs="Arial"/>
          <w:bCs/>
          <w:lang w:val="es-ES_tradnl" w:eastAsia="es-ES_tradnl"/>
        </w:rPr>
        <w:t xml:space="preserve">“[…] </w:t>
      </w:r>
      <w:r w:rsidRPr="006C695D">
        <w:rPr>
          <w:rFonts w:ascii="Verdana" w:eastAsia="Calibri" w:hAnsi="Verdana" w:cs="Arial"/>
          <w:lang w:val="es-ES_tradnl" w:eastAsia="es-ES_tradnl"/>
        </w:rPr>
        <w:t xml:space="preserve">lo referente a la defensa y seguridad del Estado, los contratos de crédito público, los requeridos para cubrir las emergencias educativas, sanitarias y desastres, así como también </w:t>
      </w:r>
      <w:r w:rsidRPr="006C695D">
        <w:rPr>
          <w:rFonts w:ascii="Verdana" w:eastAsia="Calibri" w:hAnsi="Verdana" w:cs="Arial"/>
          <w:lang w:val="es-ES_tradnl" w:eastAsia="es-ES_tradnl"/>
        </w:rPr>
        <w:lastRenderedPageBreak/>
        <w:t>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6C695D">
        <w:rPr>
          <w:rFonts w:ascii="Verdana" w:eastAsia="Calibri" w:hAnsi="Verdana" w:cs="Arial"/>
          <w:bCs/>
          <w:lang w:val="es-ES_tradnl" w:eastAsia="es-ES_tradnl"/>
        </w:rPr>
        <w:t>”</w:t>
      </w:r>
      <w:r w:rsidRPr="006C695D">
        <w:rPr>
          <w:rFonts w:ascii="Verdana" w:eastAsia="Calibri" w:hAnsi="Verdana" w:cs="Arial"/>
          <w:bCs/>
          <w:vertAlign w:val="superscript"/>
          <w:lang w:val="es-ES_tradnl" w:eastAsia="es-ES_tradnl"/>
        </w:rPr>
        <w:footnoteReference w:id="7"/>
      </w:r>
      <w:r w:rsidRPr="006C695D">
        <w:rPr>
          <w:rFonts w:ascii="Verdana" w:eastAsia="Calibri" w:hAnsi="Verdana" w:cs="Arial"/>
          <w:lang w:val="es-ES_tradnl" w:eastAsia="es-ES_tradnl"/>
        </w:rPr>
        <w:t>.</w:t>
      </w:r>
    </w:p>
    <w:p w14:paraId="2FCE41F9" w14:textId="77777777" w:rsidR="00393A6D" w:rsidRPr="006C695D" w:rsidRDefault="00393A6D" w:rsidP="00393A6D">
      <w:pPr>
        <w:widowControl w:val="0"/>
        <w:autoSpaceDE w:val="0"/>
        <w:autoSpaceDN w:val="0"/>
        <w:spacing w:after="120" w:line="276" w:lineRule="auto"/>
        <w:ind w:firstLine="709"/>
        <w:jc w:val="both"/>
        <w:rPr>
          <w:rFonts w:ascii="Verdana" w:eastAsia="Arial" w:hAnsi="Verdana" w:cs="Arial"/>
          <w:lang w:val="es-ES" w:eastAsia="es-ES" w:bidi="es-ES"/>
        </w:rPr>
      </w:pPr>
      <w:r w:rsidRPr="006C695D">
        <w:rPr>
          <w:rFonts w:ascii="Verdana" w:eastAsia="Calibri" w:hAnsi="Verdana" w:cs="Arial"/>
          <w:lang w:val="es-ES_tradnl" w:eastAsia="es-ES_tradnl"/>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6C695D">
        <w:rPr>
          <w:rFonts w:ascii="Verdana" w:eastAsia="Calibri" w:hAnsi="Verdana" w:cs="Arial"/>
          <w:bCs/>
          <w:lang w:val="es-ES_tradnl" w:eastAsia="es-ES_tradnl"/>
        </w:rPr>
        <w:t xml:space="preserve">“[…] </w:t>
      </w:r>
      <w:r w:rsidRPr="006C695D">
        <w:rPr>
          <w:rFonts w:ascii="Verdana" w:eastAsia="Calibri" w:hAnsi="Verdana" w:cs="Arial"/>
          <w:lang w:val="es-ES_tradnl" w:eastAsia="es-ES_tradn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6C695D">
        <w:rPr>
          <w:rFonts w:ascii="Verdana" w:eastAsia="Calibri" w:hAnsi="Verdana" w:cs="Arial"/>
          <w:bCs/>
          <w:lang w:val="es-ES_tradnl" w:eastAsia="es-ES_tradnl"/>
        </w:rPr>
        <w:t>”</w:t>
      </w:r>
      <w:r w:rsidRPr="006C695D">
        <w:rPr>
          <w:rFonts w:ascii="Verdana" w:eastAsia="Calibri" w:hAnsi="Verdana" w:cs="Arial"/>
          <w:bCs/>
          <w:vertAlign w:val="superscript"/>
          <w:lang w:val="es-ES_tradnl" w:eastAsia="es-ES_tradnl"/>
        </w:rPr>
        <w:footnoteReference w:id="8"/>
      </w:r>
      <w:r w:rsidRPr="006C695D">
        <w:rPr>
          <w:rFonts w:ascii="Verdana" w:eastAsia="Calibri" w:hAnsi="Verdana" w:cs="Arial"/>
          <w:lang w:val="es-ES_tradnl" w:eastAsia="es-ES_tradnl"/>
        </w:rPr>
        <w:t>.</w:t>
      </w:r>
      <w:r w:rsidRPr="006C695D">
        <w:rPr>
          <w:rFonts w:ascii="Verdana" w:eastAsia="Arial" w:hAnsi="Verdana" w:cs="Arial"/>
          <w:lang w:val="es-ES" w:eastAsia="es-ES" w:bidi="es-ES"/>
        </w:rPr>
        <w:t xml:space="preserve"> </w:t>
      </w:r>
    </w:p>
    <w:p w14:paraId="16C5AE0C" w14:textId="77777777" w:rsidR="00393A6D" w:rsidRPr="006C695D" w:rsidRDefault="00393A6D" w:rsidP="00393A6D">
      <w:pPr>
        <w:widowControl w:val="0"/>
        <w:autoSpaceDE w:val="0"/>
        <w:autoSpaceDN w:val="0"/>
        <w:spacing w:after="0" w:line="276" w:lineRule="auto"/>
        <w:ind w:left="142" w:right="113" w:firstLine="708"/>
        <w:jc w:val="both"/>
        <w:rPr>
          <w:rFonts w:ascii="Verdana" w:eastAsia="Arial" w:hAnsi="Verdana" w:cs="Arial"/>
          <w:lang w:val="es-ES" w:eastAsia="es-ES" w:bidi="es-ES"/>
        </w:rPr>
      </w:pPr>
      <w:r w:rsidRPr="006C695D">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38B2CBDD" w14:textId="77777777" w:rsidR="00393A6D" w:rsidRPr="006C695D" w:rsidRDefault="00393A6D" w:rsidP="00393A6D">
      <w:pPr>
        <w:widowControl w:val="0"/>
        <w:autoSpaceDE w:val="0"/>
        <w:autoSpaceDN w:val="0"/>
        <w:spacing w:after="0" w:line="240" w:lineRule="auto"/>
        <w:ind w:left="851" w:right="709"/>
        <w:jc w:val="both"/>
        <w:rPr>
          <w:rFonts w:ascii="Verdana" w:eastAsia="Arial" w:hAnsi="Verdana" w:cs="Arial"/>
          <w:sz w:val="20"/>
          <w:szCs w:val="20"/>
          <w:lang w:val="es-ES" w:eastAsia="es-ES" w:bidi="es-ES"/>
        </w:rPr>
      </w:pPr>
    </w:p>
    <w:p w14:paraId="3E43BE65" w14:textId="77777777" w:rsidR="00393A6D" w:rsidRPr="006C695D" w:rsidRDefault="00393A6D" w:rsidP="00393A6D">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6C695D">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w:t>
      </w:r>
      <w:r w:rsidRPr="006C695D">
        <w:rPr>
          <w:rFonts w:ascii="Verdana" w:eastAsia="Arial" w:hAnsi="Verdana" w:cs="Arial"/>
          <w:sz w:val="20"/>
          <w:szCs w:val="20"/>
          <w:lang w:val="es-ES" w:eastAsia="es-ES" w:bidi="es-ES"/>
        </w:rPr>
        <w:lastRenderedPageBreak/>
        <w:t xml:space="preserve">restricciones de los artículos 32 y 33 con sus excepciones, así como las del parágrafo del artículo 38. </w:t>
      </w:r>
      <w:r w:rsidRPr="006C695D">
        <w:rPr>
          <w:rFonts w:ascii="Verdana" w:eastAsia="Arial" w:hAnsi="Verdana" w:cs="Arial"/>
          <w:bCs/>
          <w:sz w:val="20"/>
          <w:szCs w:val="20"/>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sidRPr="006C695D">
        <w:rPr>
          <w:rFonts w:ascii="Verdana" w:eastAsia="Arial" w:hAnsi="Verdana" w:cs="Arial"/>
          <w:sz w:val="20"/>
          <w:szCs w:val="20"/>
          <w:vertAlign w:val="superscript"/>
          <w:lang w:val="es-ES" w:eastAsia="es-ES" w:bidi="es-ES"/>
        </w:rPr>
        <w:footnoteReference w:id="9"/>
      </w:r>
      <w:r w:rsidRPr="006C695D">
        <w:rPr>
          <w:rFonts w:ascii="Verdana" w:eastAsia="Arial" w:hAnsi="Verdana" w:cs="Arial"/>
          <w:sz w:val="20"/>
          <w:szCs w:val="20"/>
          <w:lang w:val="es-ES" w:eastAsia="es-ES" w:bidi="es-ES"/>
        </w:rPr>
        <w:t>.</w:t>
      </w:r>
    </w:p>
    <w:p w14:paraId="47EBEBC1" w14:textId="77777777" w:rsidR="00393A6D" w:rsidRPr="006C695D" w:rsidRDefault="00393A6D" w:rsidP="00393A6D">
      <w:pPr>
        <w:spacing w:after="0" w:line="276" w:lineRule="auto"/>
        <w:ind w:left="142" w:firstLine="709"/>
        <w:jc w:val="both"/>
        <w:rPr>
          <w:rFonts w:ascii="Verdana" w:eastAsia="Arial" w:hAnsi="Verdana" w:cs="Arial"/>
          <w:lang w:val="es-ES" w:eastAsia="es-ES" w:bidi="es-ES"/>
        </w:rPr>
      </w:pPr>
    </w:p>
    <w:p w14:paraId="40C01465" w14:textId="77777777" w:rsidR="00393A6D" w:rsidRPr="006C695D" w:rsidRDefault="00393A6D" w:rsidP="00393A6D">
      <w:pPr>
        <w:spacing w:after="120" w:line="276" w:lineRule="auto"/>
        <w:ind w:firstLine="709"/>
        <w:jc w:val="both"/>
        <w:rPr>
          <w:rFonts w:ascii="Verdana" w:eastAsia="Arial" w:hAnsi="Verdana" w:cs="Arial"/>
          <w:lang w:val="es-ES" w:eastAsia="es-ES" w:bidi="es-ES"/>
        </w:rPr>
      </w:pPr>
      <w:r w:rsidRPr="006C695D">
        <w:rPr>
          <w:rFonts w:ascii="Verdana" w:eastAsia="Arial" w:hAnsi="Verdana" w:cs="Arial"/>
          <w:lang w:val="es-ES" w:eastAsia="es-ES" w:bidi="es-ES"/>
        </w:rPr>
        <w:t xml:space="preserve">De lo anterior se desprende que </w:t>
      </w:r>
      <w:bookmarkStart w:id="6" w:name="_Hlk77236420"/>
      <w:bookmarkStart w:id="7" w:name="_Hlk78818435"/>
      <w:r w:rsidRPr="006C695D">
        <w:rPr>
          <w:rFonts w:ascii="Verdana" w:eastAsia="Arial" w:hAnsi="Verdana" w:cs="Arial"/>
          <w:lang w:val="es-ES" w:eastAsia="es-ES" w:bidi="es-ES"/>
        </w:rPr>
        <w:t xml:space="preserve">la Ley 996 de 2005 establece dos (2) tipos de restricciones en materia de contratación, las cuales coinciden parcialmente. </w:t>
      </w:r>
      <w:r w:rsidRPr="006C695D">
        <w:rPr>
          <w:rFonts w:ascii="Verdana" w:eastAsia="Arial" w:hAnsi="Verdana" w:cs="Arial"/>
          <w:i/>
          <w:iCs/>
          <w:lang w:val="es-ES" w:eastAsia="es-ES" w:bidi="es-ES"/>
        </w:rPr>
        <w:t>En primer lugar</w:t>
      </w:r>
      <w:r w:rsidRPr="006C695D">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6C695D">
        <w:rPr>
          <w:rFonts w:ascii="Verdana" w:eastAsia="Arial" w:hAnsi="Verdana" w:cs="Arial"/>
          <w:i/>
          <w:iCs/>
          <w:lang w:val="es-ES" w:eastAsia="es-ES" w:bidi="es-ES"/>
        </w:rPr>
        <w:t>En segundo lugar</w:t>
      </w:r>
      <w:r w:rsidRPr="006C695D">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6"/>
    </w:p>
    <w:bookmarkEnd w:id="7"/>
    <w:p w14:paraId="23DB32E5" w14:textId="77777777" w:rsidR="00393A6D" w:rsidRPr="006C695D" w:rsidRDefault="00393A6D" w:rsidP="00393A6D">
      <w:pPr>
        <w:spacing w:after="120" w:line="276" w:lineRule="auto"/>
        <w:ind w:firstLine="709"/>
        <w:jc w:val="both"/>
        <w:rPr>
          <w:rFonts w:ascii="Verdana" w:eastAsia="Arial" w:hAnsi="Verdana" w:cs="Arial"/>
          <w:lang w:val="es-ES" w:eastAsia="es-ES" w:bidi="es-ES"/>
        </w:rPr>
      </w:pPr>
      <w:r w:rsidRPr="006C695D">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2B3C4A9E" w14:textId="77777777" w:rsidR="00393A6D" w:rsidRPr="006C695D" w:rsidRDefault="00393A6D" w:rsidP="00393A6D">
      <w:pPr>
        <w:spacing w:after="120" w:line="276" w:lineRule="auto"/>
        <w:ind w:firstLine="709"/>
        <w:jc w:val="both"/>
        <w:rPr>
          <w:rFonts w:ascii="Verdana" w:eastAsia="Arial" w:hAnsi="Verdana" w:cs="Arial"/>
          <w:lang w:val="es-ES" w:eastAsia="es-ES" w:bidi="es-ES"/>
        </w:rPr>
      </w:pPr>
      <w:r w:rsidRPr="006C695D">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w:t>
      </w:r>
      <w:r w:rsidRPr="006C695D">
        <w:rPr>
          <w:rFonts w:ascii="Verdana" w:eastAsia="Arial" w:hAnsi="Verdana" w:cs="Arial"/>
          <w:lang w:val="es-ES" w:eastAsia="es-ES" w:bidi="es-ES"/>
        </w:rPr>
        <w:lastRenderedPageBreak/>
        <w:t xml:space="preserve">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14:paraId="4307578E" w14:textId="77777777" w:rsidR="00393A6D" w:rsidRPr="006C695D" w:rsidRDefault="00393A6D" w:rsidP="00393A6D">
      <w:pPr>
        <w:spacing w:after="0" w:line="276" w:lineRule="auto"/>
        <w:ind w:firstLine="708"/>
        <w:jc w:val="both"/>
        <w:rPr>
          <w:rFonts w:ascii="Verdana" w:eastAsia="Arial" w:hAnsi="Verdana" w:cs="Arial"/>
          <w:lang w:val="es-ES" w:eastAsia="es-ES" w:bidi="es-ES"/>
        </w:rPr>
      </w:pPr>
      <w:r w:rsidRPr="006C695D">
        <w:rPr>
          <w:rFonts w:ascii="Verdana" w:eastAsia="Arial" w:hAnsi="Verdana" w:cs="Arial"/>
          <w:lang w:val="es-ES" w:eastAsia="es-ES" w:bidi="es-ES"/>
        </w:rPr>
        <w:t xml:space="preserve">Teniendo en cuenta el objeto de su consulta, a continuación, se hará un análisis del alcance de cada una de las prohibiciones, con el fin de determinar si son aplicables a la contratación con los Cuerpos Voluntarios de Bomberos. </w:t>
      </w:r>
    </w:p>
    <w:p w14:paraId="0BB6B95B" w14:textId="77777777" w:rsidR="00393A6D" w:rsidRPr="006C695D" w:rsidRDefault="00393A6D" w:rsidP="00393A6D">
      <w:pPr>
        <w:spacing w:after="0" w:line="276" w:lineRule="auto"/>
        <w:jc w:val="both"/>
        <w:rPr>
          <w:rFonts w:ascii="Verdana" w:eastAsia="Calibri" w:hAnsi="Verdana" w:cs="Arial"/>
          <w:lang w:val="es-ES"/>
        </w:rPr>
      </w:pPr>
    </w:p>
    <w:p w14:paraId="7BF19892" w14:textId="77777777" w:rsidR="00393A6D" w:rsidRPr="006C695D" w:rsidRDefault="00393A6D" w:rsidP="00393A6D">
      <w:pPr>
        <w:spacing w:after="0" w:line="276" w:lineRule="auto"/>
        <w:jc w:val="both"/>
        <w:rPr>
          <w:rFonts w:ascii="Verdana" w:eastAsia="Calibri" w:hAnsi="Verdana" w:cs="Arial"/>
          <w:lang w:val="es-ES_tradnl" w:eastAsia="es-CO"/>
        </w:rPr>
      </w:pPr>
      <w:r w:rsidRPr="006C695D">
        <w:rPr>
          <w:rFonts w:ascii="Verdana" w:eastAsia="Calibri" w:hAnsi="Verdana" w:cs="Arial"/>
          <w:bCs/>
          <w:lang w:val="es-ES" w:eastAsia="es-CO"/>
        </w:rPr>
        <w:t xml:space="preserve">ii. </w:t>
      </w:r>
      <w:r w:rsidRPr="006C695D">
        <w:rPr>
          <w:rFonts w:ascii="Verdana" w:eastAsia="Calibri" w:hAnsi="Verdana" w:cs="Arial"/>
          <w:bCs/>
          <w:lang w:val="es-ES_tradnl" w:eastAsia="x-none"/>
        </w:rPr>
        <w:t xml:space="preserve">El ámbito material de la prohibición contenida en el artículo 33 de la ley 996 de 2005 está delimitado por la expresión </w:t>
      </w:r>
      <w:r w:rsidRPr="006C695D">
        <w:rPr>
          <w:rFonts w:ascii="Verdana" w:eastAsia="Calibri" w:hAnsi="Verdana" w:cs="Arial"/>
          <w:bCs/>
          <w:lang w:val="es-ES_tradnl" w:eastAsia="es-ES_tradnl"/>
        </w:rPr>
        <w:t>“</w:t>
      </w:r>
      <w:r w:rsidRPr="006C695D">
        <w:rPr>
          <w:rFonts w:ascii="Verdana" w:eastAsia="Calibri" w:hAnsi="Verdana" w:cs="Arial"/>
          <w:bCs/>
          <w:lang w:val="es-ES_tradnl" w:eastAsia="x-none"/>
        </w:rPr>
        <w:t>queda prohibida la contratación directa</w:t>
      </w:r>
      <w:r w:rsidRPr="006C695D">
        <w:rPr>
          <w:rFonts w:ascii="Verdana" w:eastAsia="Calibri" w:hAnsi="Verdana" w:cs="Arial"/>
          <w:lang w:val="es-ES_tradnl" w:eastAsia="es-ES_tradnl"/>
        </w:rPr>
        <w:t>”</w:t>
      </w:r>
      <w:r w:rsidRPr="006C695D">
        <w:rPr>
          <w:rFonts w:ascii="Verdana" w:eastAsia="Calibri" w:hAnsi="Verdana" w:cs="Arial"/>
          <w:bCs/>
          <w:lang w:val="es-ES_tradnl" w:eastAsia="x-none"/>
        </w:rPr>
        <w:t xml:space="preserve">. </w:t>
      </w:r>
      <w:r w:rsidRPr="006C695D">
        <w:rPr>
          <w:rFonts w:ascii="Verdana" w:eastAsia="Calibri" w:hAnsi="Verdana" w:cs="Arial"/>
          <w:lang w:val="es-ES_tradnl" w:eastAsia="es-CO"/>
        </w:rPr>
        <w:t xml:space="preserve"> A propósito de esta restricción de la Ley de Garantías Electorales, la Sala de Consulta y Servicio Civil del Consejo de Estado ha considerado que:</w:t>
      </w:r>
    </w:p>
    <w:p w14:paraId="7E7701EF" w14:textId="77777777" w:rsidR="00393A6D" w:rsidRPr="006C695D" w:rsidRDefault="00393A6D" w:rsidP="00393A6D">
      <w:pPr>
        <w:spacing w:after="0" w:line="276" w:lineRule="auto"/>
        <w:jc w:val="both"/>
        <w:rPr>
          <w:rFonts w:ascii="Verdana" w:eastAsia="Calibri" w:hAnsi="Verdana" w:cs="Arial"/>
          <w:bCs/>
          <w:lang w:val="es-ES_tradnl" w:eastAsia="es-CO"/>
        </w:rPr>
      </w:pPr>
    </w:p>
    <w:p w14:paraId="3692396B" w14:textId="77777777" w:rsidR="00393A6D" w:rsidRPr="006C695D" w:rsidRDefault="00393A6D" w:rsidP="00393A6D">
      <w:pPr>
        <w:spacing w:after="0" w:line="240" w:lineRule="auto"/>
        <w:ind w:left="709" w:right="709"/>
        <w:jc w:val="both"/>
        <w:rPr>
          <w:rFonts w:ascii="Verdana" w:eastAsia="Calibri" w:hAnsi="Verdana" w:cs="Arial"/>
          <w:sz w:val="20"/>
          <w:szCs w:val="20"/>
          <w:lang w:val="es-ES_tradnl" w:eastAsia="es-ES_tradnl"/>
        </w:rPr>
      </w:pPr>
      <w:r w:rsidRPr="006C695D">
        <w:rPr>
          <w:rFonts w:ascii="Verdana" w:eastAsia="Calibri" w:hAnsi="Verdana" w:cs="Arial"/>
          <w:sz w:val="20"/>
          <w:szCs w:val="20"/>
          <w:lang w:val="es-ES_tradnl" w:eastAsia="es-ES_tradnl"/>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6C695D">
        <w:rPr>
          <w:rFonts w:ascii="Verdana" w:eastAsia="Calibri" w:hAnsi="Verdana" w:cs="Arial"/>
          <w:sz w:val="20"/>
          <w:szCs w:val="20"/>
          <w:vertAlign w:val="superscript"/>
          <w:lang w:val="es-ES_tradnl" w:eastAsia="es-CO"/>
        </w:rPr>
        <w:footnoteReference w:id="10"/>
      </w:r>
      <w:r w:rsidRPr="006C695D">
        <w:rPr>
          <w:rFonts w:ascii="Verdana" w:eastAsia="Calibri" w:hAnsi="Verdana" w:cs="Arial"/>
          <w:sz w:val="20"/>
          <w:szCs w:val="20"/>
          <w:lang w:val="es-ES_tradnl" w:eastAsia="es-ES_tradnl"/>
        </w:rPr>
        <w:t>.</w:t>
      </w:r>
    </w:p>
    <w:p w14:paraId="22B180A2" w14:textId="77777777" w:rsidR="00393A6D" w:rsidRPr="006C695D" w:rsidRDefault="00393A6D" w:rsidP="00393A6D">
      <w:pPr>
        <w:spacing w:after="0" w:line="240" w:lineRule="auto"/>
        <w:ind w:left="709" w:right="709"/>
        <w:jc w:val="both"/>
        <w:rPr>
          <w:rFonts w:ascii="Verdana" w:eastAsia="Calibri" w:hAnsi="Verdana" w:cs="Arial"/>
          <w:sz w:val="20"/>
          <w:szCs w:val="20"/>
          <w:lang w:val="es-ES_tradnl" w:eastAsia="es-ES_tradnl"/>
        </w:rPr>
      </w:pPr>
    </w:p>
    <w:p w14:paraId="0EA09AA0" w14:textId="77777777" w:rsidR="00393A6D" w:rsidRPr="006C695D" w:rsidRDefault="00393A6D" w:rsidP="00393A6D">
      <w:pPr>
        <w:spacing w:after="0" w:line="240" w:lineRule="auto"/>
        <w:ind w:left="709" w:right="709"/>
        <w:jc w:val="both"/>
        <w:rPr>
          <w:rFonts w:ascii="Verdana" w:eastAsia="Calibri" w:hAnsi="Verdana" w:cs="Arial"/>
          <w:sz w:val="20"/>
          <w:szCs w:val="20"/>
          <w:lang w:val="es-ES" w:eastAsia="es-ES"/>
        </w:rPr>
      </w:pPr>
      <w:r w:rsidRPr="006C695D">
        <w:rPr>
          <w:rFonts w:ascii="Verdana" w:eastAsia="Calibri" w:hAnsi="Verdana" w:cs="Arial"/>
          <w:sz w:val="20"/>
          <w:szCs w:val="20"/>
          <w:lang w:val="es-ES" w:eastAsia="es-ES"/>
        </w:rPr>
        <w:t>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6C695D">
        <w:rPr>
          <w:rFonts w:ascii="Verdana" w:eastAsia="Calibri" w:hAnsi="Verdana" w:cs="Arial"/>
          <w:sz w:val="20"/>
          <w:szCs w:val="20"/>
          <w:vertAlign w:val="superscript"/>
          <w:lang w:val="es-ES" w:eastAsia="es-ES"/>
        </w:rPr>
        <w:footnoteReference w:id="11"/>
      </w:r>
      <w:r w:rsidRPr="006C695D">
        <w:rPr>
          <w:rFonts w:ascii="Verdana" w:eastAsia="Calibri" w:hAnsi="Verdana" w:cs="Arial"/>
          <w:sz w:val="20"/>
          <w:szCs w:val="20"/>
          <w:vertAlign w:val="superscript"/>
          <w:lang w:val="es-ES" w:eastAsia="es-ES"/>
        </w:rPr>
        <w:t>.</w:t>
      </w:r>
      <w:r w:rsidRPr="006C695D">
        <w:rPr>
          <w:rFonts w:ascii="Verdana" w:eastAsia="Calibri" w:hAnsi="Verdana" w:cs="Arial"/>
          <w:sz w:val="20"/>
          <w:szCs w:val="20"/>
          <w:lang w:val="es-ES" w:eastAsia="es-ES"/>
        </w:rPr>
        <w:t xml:space="preserve"> Por tanto, no son materia de la prohibición las demás modalidades de selección previstas en la ley 1150 de 2007, siendo estas, la licitación pública, el concurso de méritos y la selección abreviada, razón </w:t>
      </w:r>
      <w:r w:rsidRPr="006C695D">
        <w:rPr>
          <w:rFonts w:ascii="Verdana" w:eastAsia="Calibri" w:hAnsi="Verdana" w:cs="Arial"/>
          <w:sz w:val="20"/>
          <w:szCs w:val="20"/>
          <w:lang w:val="es-ES" w:eastAsia="es-ES"/>
        </w:rPr>
        <w:lastRenderedPageBreak/>
        <w:t>por la cual en ese periodo preelectoral de que trata la disposición pueden las entidades públicas seguir contratando bajo estos sistemas. [...]”</w:t>
      </w:r>
      <w:r w:rsidRPr="006C695D">
        <w:rPr>
          <w:rFonts w:ascii="Verdana" w:eastAsia="Calibri" w:hAnsi="Verdana" w:cs="Arial"/>
          <w:sz w:val="20"/>
          <w:szCs w:val="20"/>
          <w:vertAlign w:val="superscript"/>
          <w:lang w:val="es-ES" w:eastAsia="es-CO"/>
        </w:rPr>
        <w:footnoteReference w:id="12"/>
      </w:r>
      <w:r w:rsidRPr="006C695D">
        <w:rPr>
          <w:rFonts w:ascii="Verdana" w:eastAsia="Calibri" w:hAnsi="Verdana" w:cs="Arial"/>
          <w:sz w:val="20"/>
          <w:szCs w:val="20"/>
          <w:lang w:val="es-ES" w:eastAsia="es-ES"/>
        </w:rPr>
        <w:t xml:space="preserve"> .</w:t>
      </w:r>
    </w:p>
    <w:p w14:paraId="4258A273" w14:textId="77777777" w:rsidR="00393A6D" w:rsidRPr="006C695D" w:rsidRDefault="00393A6D" w:rsidP="00393A6D">
      <w:pPr>
        <w:spacing w:after="0" w:line="276" w:lineRule="auto"/>
        <w:ind w:left="709" w:right="709"/>
        <w:jc w:val="both"/>
        <w:rPr>
          <w:rFonts w:ascii="Verdana" w:eastAsia="Calibri" w:hAnsi="Verdana" w:cs="Arial"/>
          <w:lang w:val="es-ES" w:eastAsia="es-ES"/>
        </w:rPr>
      </w:pPr>
    </w:p>
    <w:p w14:paraId="5D5CE3B4" w14:textId="77777777" w:rsidR="00393A6D" w:rsidRPr="006C695D" w:rsidRDefault="00393A6D" w:rsidP="00393A6D">
      <w:pPr>
        <w:spacing w:after="120" w:line="276" w:lineRule="auto"/>
        <w:ind w:firstLine="709"/>
        <w:jc w:val="both"/>
        <w:rPr>
          <w:rFonts w:ascii="Verdana" w:eastAsia="Times New Roman" w:hAnsi="Verdana" w:cs="Arial"/>
          <w:bCs/>
          <w:lang w:val="es-ES_tradnl" w:eastAsia="x-none"/>
        </w:rPr>
      </w:pPr>
      <w:r w:rsidRPr="006C695D">
        <w:rPr>
          <w:rFonts w:ascii="Verdana" w:eastAsia="Calibri" w:hAnsi="Verdana" w:cs="Arial"/>
          <w:lang w:val="es-ES_tradnl" w:eastAsia="x-none"/>
        </w:rPr>
        <w:t xml:space="preserve">De acuerdo con el citado concepto, la prohibición del artículo 33 de la Ley de Garantías Electorales se refiere a </w:t>
      </w:r>
      <w:r w:rsidRPr="006C695D">
        <w:rPr>
          <w:rFonts w:ascii="Verdana" w:eastAsia="Calibri" w:hAnsi="Verdana" w:cs="Arial"/>
          <w:lang w:val="es-ES_tradnl" w:eastAsia="en-GB"/>
        </w:rPr>
        <w:t>“</w:t>
      </w:r>
      <w:r w:rsidRPr="006C695D">
        <w:rPr>
          <w:rFonts w:ascii="Verdana" w:eastAsia="Calibri" w:hAnsi="Verdana" w:cs="Arial"/>
          <w:lang w:val="es-ES_tradnl" w:eastAsia="x-none"/>
        </w:rPr>
        <w:t>cualquier sistema que no implique convocatoria pública y posibilidad de pluralidad de oferentes</w:t>
      </w:r>
      <w:r w:rsidRPr="006C695D">
        <w:rPr>
          <w:rFonts w:ascii="Verdana" w:eastAsia="Calibri" w:hAnsi="Verdana" w:cs="Arial"/>
          <w:lang w:val="es-ES_tradnl" w:eastAsia="en-GB"/>
        </w:rPr>
        <w:t>”</w:t>
      </w:r>
      <w:r w:rsidRPr="006C695D">
        <w:rPr>
          <w:rFonts w:ascii="Verdana" w:eastAsia="Calibri" w:hAnsi="Verdana" w:cs="Arial"/>
          <w:lang w:val="es-ES_tradnl" w:eastAsia="x-none"/>
        </w:rPr>
        <w:t>, por lo que excluye las demás modalidades de contratación previstas en la Ley 1150 de 2007, es decir, la licitación pública, la selección abreviada, el concurso de méritos y la mínima cuantía u otros previstos en normas especiales, que contemplen en alguna de sus etapas la posible participación de pluralidad de oferentes. Esta posición es congruente con la expedición de la Ley 1150 de 2007 que, entre otras reformas, introdujo la selección abreviada, rediseñó el concurso de méritos y sistematizó las causales de contratación directa, además lo es con la posterior creación de la modalidad de mínima cuantía establecida actualmente en el numeral 5 del artículo 2 de la Ley 1150 de 2007, de acuerdo con las modificaciones realizadas por leyes posteriores</w:t>
      </w:r>
      <w:r w:rsidRPr="006C695D">
        <w:rPr>
          <w:rFonts w:ascii="Verdana" w:eastAsia="Calibri" w:hAnsi="Verdana" w:cs="Arial"/>
          <w:vertAlign w:val="superscript"/>
          <w:lang w:val="es-ES_tradnl" w:eastAsia="x-none"/>
        </w:rPr>
        <w:footnoteReference w:id="13"/>
      </w:r>
      <w:r w:rsidRPr="006C695D">
        <w:rPr>
          <w:rFonts w:ascii="Verdana" w:eastAsia="Calibri" w:hAnsi="Verdana" w:cs="Arial"/>
          <w:lang w:val="es-ES_tradnl" w:eastAsia="x-none"/>
        </w:rPr>
        <w:t>.</w:t>
      </w:r>
      <w:r w:rsidRPr="006C695D">
        <w:rPr>
          <w:rFonts w:ascii="Verdana" w:eastAsia="Times New Roman" w:hAnsi="Verdana" w:cs="Arial"/>
          <w:lang w:val="es-ES_tradnl" w:eastAsia="x-none"/>
        </w:rPr>
        <w:t xml:space="preserve"> </w:t>
      </w:r>
    </w:p>
    <w:p w14:paraId="4F9846A2" w14:textId="77777777" w:rsidR="00393A6D" w:rsidRPr="006C695D" w:rsidRDefault="00393A6D" w:rsidP="00393A6D">
      <w:pPr>
        <w:spacing w:after="120" w:line="276" w:lineRule="auto"/>
        <w:ind w:firstLine="708"/>
        <w:jc w:val="both"/>
        <w:rPr>
          <w:rFonts w:ascii="Verdana" w:eastAsia="Calibri" w:hAnsi="Verdana" w:cs="Arial"/>
          <w:lang w:val="es-ES_tradnl" w:eastAsia="x-none"/>
        </w:rPr>
      </w:pPr>
      <w:r w:rsidRPr="006C695D">
        <w:rPr>
          <w:rFonts w:ascii="Verdana" w:eastAsia="Calibri" w:hAnsi="Verdana" w:cs="Arial"/>
          <w:lang w:val="es-ES_tradnl" w:eastAsia="x-none"/>
        </w:rPr>
        <w:t xml:space="preserve">De esta forma, con fundamento en la evolución de la normativa sobre la contratación pública, se ha depurado la noción de </w:t>
      </w:r>
      <w:r w:rsidRPr="006C695D">
        <w:rPr>
          <w:rFonts w:ascii="Verdana" w:eastAsia="Calibri" w:hAnsi="Verdana" w:cs="Arial"/>
          <w:lang w:val="es-ES_tradnl" w:eastAsia="en-GB"/>
        </w:rPr>
        <w:t>“</w:t>
      </w:r>
      <w:r w:rsidRPr="006C695D">
        <w:rPr>
          <w:rFonts w:ascii="Verdana" w:eastAsia="Calibri" w:hAnsi="Verdana" w:cs="Arial"/>
          <w:lang w:val="es-ES_tradnl" w:eastAsia="x-none"/>
        </w:rPr>
        <w:t>contratación directa</w:t>
      </w:r>
      <w:r w:rsidRPr="006C695D">
        <w:rPr>
          <w:rFonts w:ascii="Verdana" w:eastAsia="Calibri" w:hAnsi="Verdana" w:cs="Arial"/>
          <w:lang w:val="es-ES_tradnl" w:eastAsia="en-GB"/>
        </w:rPr>
        <w:t>”</w:t>
      </w:r>
      <w:r w:rsidRPr="006C695D">
        <w:rPr>
          <w:rFonts w:ascii="Verdana" w:eastAsia="Calibri" w:hAnsi="Verdana" w:cs="Arial"/>
          <w:lang w:val="es-ES_tradnl"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6C695D">
        <w:rPr>
          <w:rFonts w:ascii="Verdana" w:eastAsia="Calibri" w:hAnsi="Verdana" w:cs="Arial"/>
          <w:vertAlign w:val="superscript"/>
          <w:lang w:val="en-GB" w:eastAsia="x-none"/>
        </w:rPr>
        <w:footnoteReference w:id="14"/>
      </w:r>
      <w:r w:rsidRPr="006C695D">
        <w:rPr>
          <w:rFonts w:ascii="Verdana" w:eastAsia="Calibri" w:hAnsi="Verdana" w:cs="Arial"/>
          <w:lang w:val="es-ES_tradnl" w:eastAsia="x-none"/>
        </w:rPr>
        <w:t>, han establecido sistemas de contratación que implican convocatoria pública y participación de varios oferentes</w:t>
      </w:r>
      <w:r w:rsidRPr="006C695D">
        <w:rPr>
          <w:rFonts w:ascii="Verdana" w:eastAsia="Calibri" w:hAnsi="Verdana" w:cs="Arial"/>
          <w:lang w:val="es-ES_tradnl" w:eastAsia="en-GB"/>
        </w:rPr>
        <w:t>”</w:t>
      </w:r>
      <w:r w:rsidRPr="006C695D">
        <w:rPr>
          <w:rFonts w:ascii="Verdana" w:eastAsia="Calibri" w:hAnsi="Verdana" w:cs="Arial"/>
          <w:lang w:val="es-ES_tradnl" w:eastAsia="x-none"/>
        </w:rPr>
        <w:t xml:space="preserve">. </w:t>
      </w:r>
    </w:p>
    <w:p w14:paraId="1FDA9151" w14:textId="77777777" w:rsidR="00393A6D" w:rsidRPr="006C695D" w:rsidRDefault="00393A6D" w:rsidP="00393A6D">
      <w:pPr>
        <w:spacing w:after="120" w:line="276" w:lineRule="auto"/>
        <w:ind w:firstLine="708"/>
        <w:jc w:val="both"/>
        <w:rPr>
          <w:rFonts w:ascii="Verdana" w:eastAsia="Calibri" w:hAnsi="Verdana" w:cs="Arial"/>
          <w:bCs/>
          <w:lang w:val="es-ES_tradnl" w:eastAsia="es-CO"/>
        </w:rPr>
      </w:pPr>
      <w:r w:rsidRPr="006C695D">
        <w:rPr>
          <w:rFonts w:ascii="Verdana" w:eastAsia="Calibri" w:hAnsi="Verdana" w:cs="Arial"/>
          <w:bCs/>
          <w:lang w:val="es-ES_tradnl" w:eastAsia="x-none"/>
        </w:rPr>
        <w:t>E</w:t>
      </w:r>
      <w:r w:rsidRPr="006C695D">
        <w:rPr>
          <w:rFonts w:ascii="Verdana" w:eastAsia="Calibri" w:hAnsi="Verdana" w:cs="Arial"/>
          <w:lang w:val="es-ES_tradnl" w:eastAsia="x-none"/>
        </w:rPr>
        <w:t xml:space="preserve">n efecto, vale la pena mencionar que, en algunos sistemas de contratación, utilizados por entidades públicas con regímenes especiales, o </w:t>
      </w:r>
      <w:r w:rsidRPr="006C695D">
        <w:rPr>
          <w:rFonts w:ascii="Verdana" w:eastAsia="Calibri" w:hAnsi="Verdana" w:cs="Arial"/>
          <w:lang w:val="es-ES_tradnl" w:eastAsia="x-none"/>
        </w:rPr>
        <w:lastRenderedPageBreak/>
        <w:t>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r w:rsidRPr="006C695D">
        <w:rPr>
          <w:rFonts w:ascii="Verdana" w:eastAsia="Calibri" w:hAnsi="Verdana" w:cs="Arial"/>
          <w:vertAlign w:val="superscript"/>
          <w:lang w:val="es-ES_tradnl" w:eastAsia="x-none"/>
        </w:rPr>
        <w:footnoteReference w:id="15"/>
      </w:r>
      <w:r w:rsidRPr="006C695D">
        <w:rPr>
          <w:rFonts w:ascii="Verdana" w:eastAsia="Calibri" w:hAnsi="Verdana" w:cs="Arial"/>
          <w:lang w:val="es-ES_tradnl" w:eastAsia="x-none"/>
        </w:rPr>
        <w:t xml:space="preserve">. </w:t>
      </w:r>
    </w:p>
    <w:p w14:paraId="1F058973" w14:textId="77777777" w:rsidR="00393A6D" w:rsidRPr="006C695D" w:rsidRDefault="00393A6D" w:rsidP="00393A6D">
      <w:pPr>
        <w:spacing w:after="120" w:line="276" w:lineRule="auto"/>
        <w:ind w:firstLine="708"/>
        <w:jc w:val="both"/>
        <w:rPr>
          <w:rFonts w:ascii="Verdana" w:eastAsia="Calibri" w:hAnsi="Verdana" w:cs="Arial"/>
          <w:lang w:val="es-ES" w:eastAsia="es-CO"/>
        </w:rPr>
      </w:pPr>
      <w:r w:rsidRPr="006C695D">
        <w:rPr>
          <w:rFonts w:ascii="Verdana" w:eastAsia="Calibri" w:hAnsi="Verdana" w:cs="Arial"/>
          <w:lang w:val="es-ES"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3276BD05" w14:textId="77777777" w:rsidR="00393A6D" w:rsidRPr="006C695D" w:rsidRDefault="00393A6D" w:rsidP="00393A6D">
      <w:pPr>
        <w:spacing w:after="120" w:line="276" w:lineRule="auto"/>
        <w:ind w:firstLine="708"/>
        <w:jc w:val="both"/>
        <w:rPr>
          <w:rFonts w:ascii="Verdana" w:eastAsia="Calibri" w:hAnsi="Verdana" w:cs="Arial"/>
          <w:bCs/>
          <w:lang w:val="es-ES_tradnl" w:eastAsia="x-none"/>
        </w:rPr>
      </w:pPr>
      <w:r w:rsidRPr="006C695D">
        <w:rPr>
          <w:rFonts w:ascii="Verdana" w:eastAsia="Calibri" w:hAnsi="Verdana" w:cs="Arial"/>
          <w:bCs/>
          <w:lang w:val="es-ES_tradnl"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6C695D">
        <w:rPr>
          <w:rFonts w:ascii="Verdana" w:eastAsia="Calibri" w:hAnsi="Verdana" w:cs="Arial"/>
          <w:vertAlign w:val="superscript"/>
          <w:lang w:val="es-ES_tradnl" w:eastAsia="x-none"/>
        </w:rPr>
        <w:footnoteReference w:id="16"/>
      </w:r>
      <w:r w:rsidRPr="006C695D">
        <w:rPr>
          <w:rFonts w:ascii="Verdana" w:eastAsia="Calibri" w:hAnsi="Verdana" w:cs="Arial"/>
          <w:bCs/>
          <w:lang w:val="es-ES_tradnl" w:eastAsia="x-none"/>
        </w:rPr>
        <w:t>.</w:t>
      </w:r>
      <w:r w:rsidRPr="006C695D">
        <w:rPr>
          <w:rFonts w:ascii="Verdana" w:eastAsia="Calibri" w:hAnsi="Verdana" w:cs="Arial"/>
          <w:vertAlign w:val="superscript"/>
          <w:lang w:val="es-ES_tradnl" w:eastAsia="x-none"/>
        </w:rPr>
        <w:t xml:space="preserve"> </w:t>
      </w:r>
    </w:p>
    <w:p w14:paraId="103E4428" w14:textId="77777777" w:rsidR="00393A6D" w:rsidRPr="006C695D" w:rsidRDefault="00393A6D" w:rsidP="00393A6D">
      <w:pPr>
        <w:spacing w:after="120" w:line="276" w:lineRule="auto"/>
        <w:ind w:firstLine="708"/>
        <w:jc w:val="both"/>
        <w:rPr>
          <w:rFonts w:ascii="Verdana" w:eastAsia="Calibri" w:hAnsi="Verdana" w:cs="Arial"/>
          <w:lang w:val="es-ES_tradnl" w:eastAsia="x-none"/>
        </w:rPr>
      </w:pPr>
      <w:r w:rsidRPr="006C695D">
        <w:rPr>
          <w:rFonts w:ascii="Verdana" w:eastAsia="Calibri" w:hAnsi="Verdana" w:cs="Arial"/>
          <w:bCs/>
          <w:lang w:val="es-ES_tradnl" w:eastAsia="x-none"/>
        </w:rPr>
        <w:t>De lo anterior se desprende que la restricción aplica, sin perjuicio de las excepciones establecidas en la misma ley, para celebrar cualquier contrato de forma directa, esto es, sin que exista un proceso abierto y competitivo.</w:t>
      </w:r>
      <w:r w:rsidRPr="006C695D">
        <w:rPr>
          <w:rFonts w:ascii="Verdana" w:eastAsia="Calibri" w:hAnsi="Verdana" w:cs="Arial"/>
          <w:lang w:val="es-ES_tradnl" w:eastAsia="x-none"/>
        </w:rPr>
        <w:t xml:space="preserve"> Por tanto, no son materia de la prohibición las demás modalidades de selección previstas en la Ley 1150 de 2007, es decir, la licitación pública, el concurso de méritos y la selección abreviada, así como aquellos procesos competitivos y abiertos definidos en los manuales de las entidades con regímenes especiales de contratación, razón por la cual en ese período preelectoral de que trata la disposición pueden las entidades públicas seguir contratando bajo estos sistemas.</w:t>
      </w:r>
    </w:p>
    <w:p w14:paraId="3FC9761E" w14:textId="77777777" w:rsidR="00393A6D" w:rsidRPr="006C695D" w:rsidRDefault="00393A6D" w:rsidP="00393A6D">
      <w:pPr>
        <w:spacing w:after="120" w:line="276" w:lineRule="auto"/>
        <w:ind w:firstLine="708"/>
        <w:jc w:val="both"/>
        <w:rPr>
          <w:rFonts w:ascii="Verdana" w:eastAsia="Calibri" w:hAnsi="Verdana" w:cs="Arial"/>
          <w:lang w:val="es-ES"/>
        </w:rPr>
      </w:pPr>
      <w:r w:rsidRPr="006C695D">
        <w:rPr>
          <w:rFonts w:ascii="Verdana" w:eastAsia="Calibri" w:hAnsi="Verdana" w:cs="Arial"/>
          <w:lang w:val="es-ES" w:eastAsia="es-CO"/>
        </w:rPr>
        <w:lastRenderedPageBreak/>
        <w:t xml:space="preserve">Como en otras oportunidades lo ha manifestado esta Agencia, las prórrogas, modificaciones o adiciones de los contratos suscritos antes de la entrada en vigencia de las prohibiciones anotadas, así como la cesión de </w:t>
      </w:r>
      <w:proofErr w:type="gramStart"/>
      <w:r w:rsidRPr="006C695D">
        <w:rPr>
          <w:rFonts w:ascii="Verdana" w:eastAsia="Calibri" w:hAnsi="Verdana" w:cs="Arial"/>
          <w:lang w:val="es-ES" w:eastAsia="es-CO"/>
        </w:rPr>
        <w:t>los mismos</w:t>
      </w:r>
      <w:proofErr w:type="gramEnd"/>
      <w:r w:rsidRPr="006C695D">
        <w:rPr>
          <w:rFonts w:ascii="Verdana" w:eastAsia="Calibri" w:hAnsi="Verdana" w:cs="Arial"/>
          <w:lang w:val="es-ES" w:eastAsia="es-CO"/>
        </w:rPr>
        <w:t>, pueden tener lugar en el período de aplicación de la Ley de Garantías, sin que ello haga nugatoria la restricción de la contratación directa y siempre que cumplan los principios de planeación, transparencia y responsabilidad.</w:t>
      </w:r>
    </w:p>
    <w:p w14:paraId="2EC53098" w14:textId="77777777" w:rsidR="00393A6D" w:rsidRPr="006C695D" w:rsidRDefault="00393A6D" w:rsidP="00393A6D">
      <w:pPr>
        <w:spacing w:after="120" w:line="276" w:lineRule="auto"/>
        <w:ind w:firstLine="708"/>
        <w:jc w:val="both"/>
        <w:rPr>
          <w:rFonts w:ascii="Verdana" w:eastAsia="Calibri" w:hAnsi="Verdana" w:cs="Arial"/>
          <w:lang w:val="es-ES" w:eastAsia="es-CO"/>
        </w:rPr>
      </w:pPr>
      <w:r w:rsidRPr="006C695D">
        <w:rPr>
          <w:rFonts w:ascii="Verdana" w:eastAsia="Calibri" w:hAnsi="Verdana" w:cs="Arial"/>
          <w:lang w:val="es-ES"/>
        </w:rPr>
        <w:t>De otro lado, las excepciones a la restricción prevista en la Ley de Garantías Electorales, con fundamento en las cuales podrán las entidades públicas adelantar procedimientos de selección directa en períodos previos a la contienda electoral por la Presidencia, se encuentran consagradas de manera taxativa en el inciso final del citado artículo 33 de la Ley 996 de 2005 en lo referente a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6C695D">
        <w:rPr>
          <w:rFonts w:ascii="Verdana" w:eastAsia="Calibri" w:hAnsi="Verdana" w:cs="Arial"/>
          <w:lang w:val="es-ES"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5DE60CEF" w14:textId="77777777" w:rsidR="00393A6D" w:rsidRPr="006C695D" w:rsidRDefault="00393A6D" w:rsidP="00393A6D">
      <w:pPr>
        <w:shd w:val="clear" w:color="auto" w:fill="FFFFFF" w:themeFill="background1"/>
        <w:spacing w:line="276" w:lineRule="auto"/>
        <w:ind w:firstLine="709"/>
        <w:jc w:val="both"/>
        <w:rPr>
          <w:rFonts w:ascii="Verdana" w:hAnsi="Verdana" w:cs="Arial"/>
          <w:lang w:val="es-ES" w:eastAsia="es-CO"/>
        </w:rPr>
      </w:pPr>
      <w:r w:rsidRPr="006C695D">
        <w:rPr>
          <w:rFonts w:ascii="Verdana" w:eastAsia="Calibri" w:hAnsi="Verdana" w:cs="Arial"/>
          <w:bCs/>
          <w:lang w:val="es-ES_tradnl" w:eastAsia="x-none"/>
        </w:rPr>
        <w:t>En esta labor es importante tener en cuenta, como lo anotó la Corte Constitucional, en Sentencia C-1153 de noviembre 11 de 2005</w:t>
      </w:r>
      <w:r w:rsidRPr="006C695D">
        <w:rPr>
          <w:rFonts w:ascii="Verdana" w:eastAsia="Calibri" w:hAnsi="Verdana" w:cs="Calibri"/>
          <w:vertAlign w:val="superscript"/>
          <w:lang w:val="es-ES_tradnl" w:eastAsia="es-ES_tradnl"/>
        </w:rPr>
        <w:t>,</w:t>
      </w:r>
      <w:r w:rsidRPr="006C695D">
        <w:rPr>
          <w:rFonts w:ascii="Verdana" w:eastAsia="Calibri" w:hAnsi="Verdana" w:cs="Arial"/>
          <w:bCs/>
          <w:lang w:val="es-ES_tradnl" w:eastAsia="x-none"/>
        </w:rPr>
        <w:t xml:space="preserve">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6C695D">
        <w:rPr>
          <w:rFonts w:ascii="Verdana" w:eastAsia="Calibri" w:hAnsi="Verdana" w:cs="Arial"/>
          <w:vertAlign w:val="superscript"/>
          <w:lang w:val="es-ES_tradnl" w:eastAsia="es-ES_tradnl"/>
        </w:rPr>
        <w:footnoteReference w:id="17"/>
      </w:r>
      <w:r w:rsidRPr="006C695D">
        <w:rPr>
          <w:rFonts w:ascii="Verdana" w:eastAsia="Calibri" w:hAnsi="Verdana" w:cs="Arial"/>
          <w:bCs/>
          <w:lang w:val="es-ES_tradnl" w:eastAsia="x-none"/>
        </w:rPr>
        <w:t>. De ahí que la Corte haya hecho particular énfasis en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r w:rsidRPr="006C695D">
        <w:rPr>
          <w:rFonts w:ascii="Verdana" w:hAnsi="Verdana" w:cs="Arial"/>
          <w:lang w:val="es-ES" w:eastAsia="es-CO"/>
        </w:rPr>
        <w:t xml:space="preserve"> </w:t>
      </w:r>
    </w:p>
    <w:p w14:paraId="5D8B253C" w14:textId="77777777" w:rsidR="00393A6D" w:rsidRPr="006C695D" w:rsidRDefault="00393A6D" w:rsidP="00393A6D">
      <w:pPr>
        <w:shd w:val="clear" w:color="auto" w:fill="FFFFFF" w:themeFill="background1"/>
        <w:spacing w:line="276" w:lineRule="auto"/>
        <w:ind w:firstLine="709"/>
        <w:jc w:val="both"/>
        <w:rPr>
          <w:rFonts w:ascii="Verdana" w:hAnsi="Verdana" w:cs="Arial"/>
          <w:lang w:val="es-ES" w:eastAsia="es-CO"/>
        </w:rPr>
      </w:pPr>
      <w:r w:rsidRPr="006C695D">
        <w:rPr>
          <w:rFonts w:ascii="Verdana" w:hAnsi="Verdana" w:cs="Arial"/>
          <w:lang w:val="es-ES" w:eastAsia="es-CO"/>
        </w:rPr>
        <w:lastRenderedPageBreak/>
        <w:t>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exequibilidad. Así, por ejemplo, la Corte Constitucional explicó que “[…]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006C695D">
        <w:rPr>
          <w:rStyle w:val="Refdenotaalpie"/>
          <w:rFonts w:ascii="Verdana" w:hAnsi="Verdana" w:cs="Arial"/>
          <w:lang w:val="es-ES_tradnl" w:eastAsia="es-CO"/>
        </w:rPr>
        <w:footnoteReference w:id="18"/>
      </w:r>
      <w:r w:rsidRPr="006C695D">
        <w:rPr>
          <w:rFonts w:ascii="Verdana" w:hAnsi="Verdana" w:cs="Arial"/>
          <w:lang w:val="es-ES" w:eastAsia="es-CO"/>
        </w:rPr>
        <w:t xml:space="preserve">. </w:t>
      </w:r>
    </w:p>
    <w:p w14:paraId="3E2044AA" w14:textId="77777777" w:rsidR="00393A6D" w:rsidRPr="006C695D" w:rsidRDefault="00393A6D" w:rsidP="00393A6D">
      <w:pPr>
        <w:spacing w:line="276" w:lineRule="auto"/>
        <w:ind w:firstLine="708"/>
        <w:jc w:val="both"/>
        <w:rPr>
          <w:rFonts w:ascii="Verdana" w:hAnsi="Verdana" w:cs="Arial"/>
          <w:bCs/>
          <w:lang w:val="es-MX" w:eastAsia="x-none"/>
        </w:rPr>
      </w:pPr>
      <w:r w:rsidRPr="006C695D">
        <w:rPr>
          <w:rFonts w:ascii="Verdana" w:eastAsia="Times New Roman" w:hAnsi="Verdana" w:cs="Arial"/>
          <w:lang w:eastAsia="es-CO"/>
        </w:rPr>
        <w:t xml:space="preserve">Así mismo, </w:t>
      </w:r>
      <w:r w:rsidRPr="006C695D">
        <w:rPr>
          <w:rFonts w:ascii="Verdana" w:hAnsi="Verdana" w:cs="Arial"/>
          <w:bCs/>
          <w:lang w:val="es-MX" w:eastAsia="x-none"/>
        </w:rPr>
        <w:t>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6C695D">
        <w:rPr>
          <w:rStyle w:val="Refdenotaalpie"/>
          <w:rFonts w:ascii="Verdana" w:hAnsi="Verdana" w:cs="Arial"/>
          <w:lang w:val="es-ES_tradnl" w:eastAsia="es-CO"/>
        </w:rPr>
        <w:footnoteReference w:id="19"/>
      </w:r>
      <w:r w:rsidRPr="006C695D">
        <w:rPr>
          <w:rFonts w:ascii="Verdana" w:hAnsi="Verdana" w:cs="Arial"/>
          <w:bCs/>
          <w:lang w:val="es-MX" w:eastAsia="x-none"/>
        </w:rPr>
        <w:t>.</w:t>
      </w:r>
    </w:p>
    <w:p w14:paraId="76F70DBD" w14:textId="77777777" w:rsidR="00393A6D" w:rsidRPr="006C695D" w:rsidRDefault="00393A6D" w:rsidP="00393A6D">
      <w:pPr>
        <w:shd w:val="clear" w:color="auto" w:fill="FFFFFF"/>
        <w:spacing w:line="276" w:lineRule="auto"/>
        <w:ind w:firstLine="709"/>
        <w:jc w:val="both"/>
        <w:rPr>
          <w:rFonts w:ascii="Verdana" w:hAnsi="Verdana" w:cs="Arial"/>
          <w:lang w:val="es-ES_tradnl" w:eastAsia="es-CO"/>
        </w:rPr>
      </w:pPr>
      <w:r w:rsidRPr="006C695D">
        <w:rPr>
          <w:rFonts w:ascii="Verdana" w:hAnsi="Verdana" w:cs="Arial"/>
          <w:bCs/>
          <w:lang w:val="es-ES_tradnl"/>
        </w:rPr>
        <w:t>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p>
    <w:p w14:paraId="7ED6FFA5" w14:textId="77777777" w:rsidR="00393A6D" w:rsidRPr="006C695D" w:rsidRDefault="00393A6D" w:rsidP="00393A6D">
      <w:pPr>
        <w:spacing w:line="276" w:lineRule="auto"/>
        <w:ind w:firstLine="708"/>
        <w:jc w:val="both"/>
        <w:rPr>
          <w:rFonts w:ascii="Verdana" w:eastAsia="Calibri" w:hAnsi="Verdana" w:cs="Arial"/>
        </w:rPr>
      </w:pPr>
      <w:r w:rsidRPr="006C695D">
        <w:rPr>
          <w:rFonts w:ascii="Verdana" w:hAnsi="Verdana" w:cs="Arial"/>
          <w:bCs/>
          <w:lang w:val="es-MX" w:eastAsia="x-none"/>
        </w:rPr>
        <w:t>Entre las excepciones del artículo en comento se encuentran “[…] l</w:t>
      </w:r>
      <w:r w:rsidRPr="006C695D">
        <w:rPr>
          <w:rFonts w:ascii="Verdana" w:hAnsi="Verdana" w:cs="Arial"/>
          <w:bCs/>
          <w:lang w:eastAsia="x-none"/>
        </w:rPr>
        <w:t>os requeridos para cubrir las emergencias educativas, sanitarias y desastres […]</w:t>
      </w:r>
      <w:r w:rsidRPr="006C695D">
        <w:rPr>
          <w:rFonts w:ascii="Verdana" w:hAnsi="Verdana" w:cs="Arial"/>
          <w:bCs/>
          <w:lang w:val="es-MX" w:eastAsia="x-none"/>
        </w:rPr>
        <w:t>”</w:t>
      </w:r>
      <w:r w:rsidRPr="006C695D">
        <w:rPr>
          <w:rFonts w:ascii="Verdana" w:eastAsia="Calibri" w:hAnsi="Verdana" w:cs="Arial"/>
        </w:rPr>
        <w:t xml:space="preserve">. Sobre el alcance de estas excepciones, es necesario tener en cuenta que el </w:t>
      </w:r>
      <w:r w:rsidRPr="006C695D">
        <w:rPr>
          <w:rFonts w:ascii="Verdana" w:eastAsia="Calibri" w:hAnsi="Verdana" w:cs="Arial"/>
          <w:bCs/>
        </w:rPr>
        <w:t xml:space="preserve">artículo 28 del Código Civil dispone que “Las palabras de la ley se entenderán </w:t>
      </w:r>
      <w:r w:rsidRPr="006C695D">
        <w:rPr>
          <w:rFonts w:ascii="Verdana" w:eastAsia="Calibri" w:hAnsi="Verdana" w:cs="Arial"/>
          <w:bCs/>
        </w:rPr>
        <w:lastRenderedPageBreak/>
        <w:t xml:space="preserve">en su sentido natural y obvio, según el uso general de las mismas palabras; pero cuando el legislador las haya definido expresamente para ciertas materias, se les dará en éstas su significado legal”; igualmente, el artículo 29 </w:t>
      </w:r>
      <w:r w:rsidRPr="006C695D">
        <w:rPr>
          <w:rFonts w:ascii="Verdana" w:eastAsia="Calibri" w:hAnsi="Verdana" w:cs="Arial"/>
          <w:bCs/>
          <w:i/>
          <w:iCs/>
        </w:rPr>
        <w:t>ibidem</w:t>
      </w:r>
      <w:r w:rsidRPr="006C695D">
        <w:rPr>
          <w:rFonts w:ascii="Verdana" w:eastAsia="Calibri" w:hAnsi="Verdana" w:cs="Arial"/>
          <w:bCs/>
        </w:rPr>
        <w:t xml:space="preserve"> prescribe lo siguiente: “Las palabras técnicas de toda ciencia o arte se tomarán en el sentido que les den los que profesan la misma ciencia o arte; a menos que aparezca claramente que se han formado en sentido diverso”</w:t>
      </w:r>
      <w:r w:rsidRPr="006C695D">
        <w:rPr>
          <w:rStyle w:val="Refdenotaalpie"/>
          <w:rFonts w:ascii="Verdana" w:eastAsia="Calibri" w:hAnsi="Verdana" w:cs="Arial"/>
          <w:bCs/>
        </w:rPr>
        <w:footnoteReference w:id="20"/>
      </w:r>
      <w:r w:rsidRPr="006C695D">
        <w:rPr>
          <w:rFonts w:ascii="Verdana" w:eastAsia="Calibri" w:hAnsi="Verdana" w:cs="Arial"/>
          <w:bCs/>
        </w:rPr>
        <w:t>.</w:t>
      </w:r>
    </w:p>
    <w:p w14:paraId="191A640A" w14:textId="77777777" w:rsidR="00393A6D" w:rsidRPr="006C695D" w:rsidRDefault="00393A6D" w:rsidP="00393A6D">
      <w:pPr>
        <w:spacing w:line="276" w:lineRule="auto"/>
        <w:jc w:val="both"/>
        <w:rPr>
          <w:rFonts w:ascii="Verdana" w:eastAsia="Calibri" w:hAnsi="Verdana" w:cs="Arial"/>
          <w:bCs/>
        </w:rPr>
      </w:pPr>
      <w:r w:rsidRPr="006C695D">
        <w:rPr>
          <w:rFonts w:ascii="Verdana" w:eastAsia="Calibri" w:hAnsi="Verdana" w:cs="Arial"/>
          <w:bCs/>
        </w:rPr>
        <w:tab/>
        <w:t xml:space="preserve">Dentro de este marco, </w:t>
      </w:r>
      <w:r w:rsidRPr="006C695D">
        <w:rPr>
          <w:rFonts w:ascii="Verdana" w:eastAsia="Calibri" w:hAnsi="Verdana" w:cs="Arial"/>
          <w:lang w:val="es-ES"/>
        </w:rPr>
        <w:t xml:space="preserve">el artículo 42 de la Ley 80 de 1993 dispone que la urgencia manifiesta se declara, entre otras tres (3) circunstancias, con la finalidad de “[…] conjurar situaciones excepcionales relacionadas con hechos de calamidad o constitutivos de fuerza mayor o desastre que demanden actuaciones inmediatas […]”. En la medida en que la norma utiliza la conjunción “o”, en principio asimilaría la </w:t>
      </w:r>
      <w:r w:rsidRPr="006C695D">
        <w:rPr>
          <w:rFonts w:ascii="Verdana" w:eastAsia="Calibri" w:hAnsi="Verdana" w:cs="Arial"/>
          <w:i/>
          <w:lang w:val="es-ES"/>
        </w:rPr>
        <w:t>calamidad</w:t>
      </w:r>
      <w:r w:rsidRPr="006C695D">
        <w:rPr>
          <w:rFonts w:ascii="Verdana" w:eastAsia="Calibri" w:hAnsi="Verdana" w:cs="Arial"/>
          <w:lang w:val="es-ES"/>
        </w:rPr>
        <w:t xml:space="preserve"> y el </w:t>
      </w:r>
      <w:r w:rsidRPr="006C695D">
        <w:rPr>
          <w:rFonts w:ascii="Verdana" w:eastAsia="Calibri" w:hAnsi="Verdana" w:cs="Arial"/>
          <w:i/>
          <w:lang w:val="es-ES"/>
        </w:rPr>
        <w:t xml:space="preserve">desastre </w:t>
      </w:r>
      <w:r w:rsidRPr="006C695D">
        <w:rPr>
          <w:rFonts w:ascii="Verdana" w:eastAsia="Calibri" w:hAnsi="Verdana" w:cs="Arial"/>
          <w:lang w:val="es-ES"/>
        </w:rPr>
        <w:t xml:space="preserve">con la </w:t>
      </w:r>
      <w:r w:rsidRPr="006C695D">
        <w:rPr>
          <w:rFonts w:ascii="Verdana" w:eastAsia="Calibri" w:hAnsi="Verdana" w:cs="Arial"/>
          <w:i/>
          <w:lang w:val="es-ES"/>
        </w:rPr>
        <w:t>fuerza mayor</w:t>
      </w:r>
      <w:r w:rsidRPr="006C695D">
        <w:rPr>
          <w:rFonts w:ascii="Verdana" w:eastAsia="Calibri" w:hAnsi="Verdana" w:cs="Arial"/>
          <w:lang w:val="es-ES"/>
        </w:rPr>
        <w:t xml:space="preserve"> o el </w:t>
      </w:r>
      <w:r w:rsidRPr="006C695D">
        <w:rPr>
          <w:rFonts w:ascii="Verdana" w:eastAsia="Calibri" w:hAnsi="Verdana" w:cs="Arial"/>
          <w:i/>
          <w:lang w:val="es-ES"/>
        </w:rPr>
        <w:t>caso fortuito</w:t>
      </w:r>
      <w:r w:rsidRPr="006C695D">
        <w:rPr>
          <w:rFonts w:ascii="Verdana" w:eastAsia="Calibri" w:hAnsi="Verdana" w:cs="Arial"/>
          <w:lang w:val="es-ES"/>
        </w:rPr>
        <w:t xml:space="preserve">. </w:t>
      </w:r>
    </w:p>
    <w:p w14:paraId="247C9A4B" w14:textId="77777777" w:rsidR="00393A6D" w:rsidRPr="006C695D" w:rsidRDefault="00393A6D" w:rsidP="00393A6D">
      <w:pPr>
        <w:spacing w:after="0" w:line="276" w:lineRule="auto"/>
        <w:ind w:firstLine="708"/>
        <w:jc w:val="both"/>
        <w:rPr>
          <w:rFonts w:ascii="Verdana" w:eastAsia="Calibri" w:hAnsi="Verdana" w:cs="Arial"/>
          <w:lang w:val="es-ES_tradnl"/>
        </w:rPr>
      </w:pPr>
      <w:r w:rsidRPr="006C695D">
        <w:rPr>
          <w:rFonts w:ascii="Verdana" w:eastAsia="Calibri" w:hAnsi="Verdana" w:cs="Arial"/>
          <w:lang w:val="es-ES_tradnl"/>
        </w:rPr>
        <w:t>Al respecto, el artículo 64 del Código Civil define como tal “[…] el imprevisto o que no es posible resistir, como un naufragio, un terremoto, el apresamiento de enemigos, los actos de autoridad ejercidos por un funcionario público, etc.”</w:t>
      </w:r>
      <w:r w:rsidRPr="006C695D">
        <w:rPr>
          <w:rFonts w:ascii="Verdana" w:eastAsia="Calibri" w:hAnsi="Verdana" w:cs="Arial"/>
          <w:sz w:val="21"/>
          <w:szCs w:val="21"/>
          <w:vertAlign w:val="superscript"/>
          <w:lang w:val="es-ES_tradnl"/>
        </w:rPr>
        <w:footnoteReference w:id="21"/>
      </w:r>
      <w:r w:rsidRPr="006C695D">
        <w:rPr>
          <w:rFonts w:ascii="Verdana" w:eastAsia="Calibri" w:hAnsi="Verdana" w:cs="Arial"/>
          <w:sz w:val="21"/>
          <w:szCs w:val="21"/>
          <w:lang w:val="es-ES_tradnl"/>
        </w:rPr>
        <w:t>.</w:t>
      </w:r>
      <w:r w:rsidRPr="006C695D">
        <w:rPr>
          <w:rFonts w:ascii="Verdana" w:eastAsia="Calibri" w:hAnsi="Verdana" w:cs="Arial"/>
          <w:lang w:val="es-ES_tradnl"/>
        </w:rPr>
        <w:t xml:space="preserve"> Cuando provienen de fenómenos de la naturaleza estas </w:t>
      </w:r>
      <w:r w:rsidRPr="006C695D">
        <w:rPr>
          <w:rFonts w:ascii="Verdana" w:eastAsia="Calibri" w:hAnsi="Verdana" w:cs="Arial"/>
          <w:lang w:val="es-ES_tradnl"/>
        </w:rPr>
        <w:lastRenderedPageBreak/>
        <w:t>características confluyen con los conceptos de desastre y calamidad, los cuales –conforme al Diccionario de la Real Academia Española– constituyen una “Desgracia grande, suceso infeliz y lamentable” o “Desgracia o infortunio que alcanza a muchas personas”, respectivamente. Conforme al significado natural de las palabras, parece que la diferencia es el mayor alcance de la segunda respecto al primero. No obstante, además de la ocurrencia de desastres y calamidades que –aunque irresistibles– se presentan con cierto grado de previsibilidad o que, incluso, se originan en la actuación humana intencional, estos dos conceptos también los definió el artículo 4, numerales 5 y 8, de la Ley 1523 de 2012:</w:t>
      </w:r>
    </w:p>
    <w:p w14:paraId="5B37EDBC" w14:textId="77777777" w:rsidR="00393A6D" w:rsidRPr="006C695D" w:rsidRDefault="00393A6D" w:rsidP="00393A6D">
      <w:pPr>
        <w:spacing w:after="0" w:line="276" w:lineRule="auto"/>
        <w:ind w:firstLine="708"/>
        <w:jc w:val="both"/>
        <w:rPr>
          <w:rFonts w:ascii="Verdana" w:eastAsia="Calibri" w:hAnsi="Verdana" w:cs="Arial"/>
          <w:lang w:val="es-ES_tradnl"/>
        </w:rPr>
      </w:pPr>
    </w:p>
    <w:p w14:paraId="0BA831DF" w14:textId="77777777" w:rsidR="00393A6D" w:rsidRPr="006C695D" w:rsidRDefault="00393A6D" w:rsidP="00393A6D">
      <w:pPr>
        <w:spacing w:after="0" w:line="240" w:lineRule="auto"/>
        <w:ind w:left="709" w:right="709"/>
        <w:jc w:val="both"/>
        <w:rPr>
          <w:rFonts w:ascii="Verdana" w:eastAsia="Calibri" w:hAnsi="Verdana" w:cs="Arial"/>
          <w:sz w:val="20"/>
          <w:szCs w:val="20"/>
          <w:lang w:val="es-ES_tradnl"/>
        </w:rPr>
      </w:pPr>
      <w:r w:rsidRPr="006C695D">
        <w:rPr>
          <w:rFonts w:ascii="Verdana" w:eastAsia="Calibri" w:hAnsi="Verdana" w:cs="Arial"/>
          <w:sz w:val="20"/>
          <w:szCs w:val="20"/>
          <w:lang w:val="es-ES_tradnl"/>
        </w:rPr>
        <w:t>“Art. 4. Para efectos de la presente ley se entenderá por:</w:t>
      </w:r>
    </w:p>
    <w:p w14:paraId="4E8DF30E" w14:textId="77777777" w:rsidR="00393A6D" w:rsidRPr="006C695D" w:rsidRDefault="00393A6D" w:rsidP="00393A6D">
      <w:pPr>
        <w:spacing w:after="120" w:line="240" w:lineRule="auto"/>
        <w:ind w:left="709" w:right="709"/>
        <w:jc w:val="both"/>
        <w:rPr>
          <w:rFonts w:ascii="Verdana" w:eastAsia="Calibri" w:hAnsi="Verdana" w:cs="Arial"/>
          <w:sz w:val="20"/>
          <w:szCs w:val="20"/>
          <w:lang w:val="es-ES_tradnl"/>
        </w:rPr>
      </w:pPr>
      <w:r w:rsidRPr="006C695D">
        <w:rPr>
          <w:rFonts w:ascii="Verdana" w:eastAsia="Calibri" w:hAnsi="Verdana" w:cs="Arial"/>
          <w:sz w:val="20"/>
          <w:szCs w:val="20"/>
          <w:lang w:val="es-ES_tradnl"/>
        </w:rPr>
        <w:t>[…]</w:t>
      </w:r>
    </w:p>
    <w:p w14:paraId="36B23F05" w14:textId="77777777" w:rsidR="00393A6D" w:rsidRPr="006C695D" w:rsidRDefault="00393A6D" w:rsidP="00393A6D">
      <w:pPr>
        <w:spacing w:after="0" w:line="240" w:lineRule="auto"/>
        <w:ind w:left="709" w:right="709"/>
        <w:jc w:val="both"/>
        <w:rPr>
          <w:rFonts w:ascii="Verdana" w:eastAsia="Calibri" w:hAnsi="Verdana" w:cs="Arial"/>
          <w:sz w:val="20"/>
          <w:szCs w:val="20"/>
          <w:lang w:val="es-ES_tradnl"/>
        </w:rPr>
      </w:pPr>
      <w:r w:rsidRPr="006C695D">
        <w:rPr>
          <w:rFonts w:ascii="Verdana" w:eastAsia="Calibri" w:hAnsi="Verdana" w:cs="Arial"/>
          <w:sz w:val="20"/>
          <w:szCs w:val="20"/>
          <w:lang w:val="es-ES_tradnl"/>
        </w:rPr>
        <w:t>5. Calamidad pública: 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población, en el respectivo territorio, que exige al municipio, distrito o departamento ejecutar acciones de respuesta a la emergencia, rehabilitación y reconstrucción.</w:t>
      </w:r>
    </w:p>
    <w:p w14:paraId="6F2881F9" w14:textId="77777777" w:rsidR="00393A6D" w:rsidRPr="006C695D" w:rsidRDefault="00393A6D" w:rsidP="00393A6D">
      <w:pPr>
        <w:spacing w:after="120" w:line="240" w:lineRule="auto"/>
        <w:ind w:left="709" w:right="709"/>
        <w:jc w:val="both"/>
        <w:rPr>
          <w:rFonts w:ascii="Verdana" w:eastAsia="Calibri" w:hAnsi="Verdana" w:cs="Arial"/>
          <w:sz w:val="20"/>
          <w:szCs w:val="20"/>
          <w:lang w:val="es-ES_tradnl"/>
        </w:rPr>
      </w:pPr>
      <w:r w:rsidRPr="006C695D">
        <w:rPr>
          <w:rFonts w:ascii="Verdana" w:eastAsia="Calibri" w:hAnsi="Verdana" w:cs="Arial"/>
          <w:sz w:val="20"/>
          <w:szCs w:val="20"/>
          <w:lang w:val="es-ES_tradnl"/>
        </w:rPr>
        <w:t xml:space="preserve">[…] </w:t>
      </w:r>
    </w:p>
    <w:p w14:paraId="000F2186" w14:textId="77777777" w:rsidR="00393A6D" w:rsidRPr="006C695D" w:rsidRDefault="00393A6D" w:rsidP="00393A6D">
      <w:pPr>
        <w:spacing w:after="0" w:line="240" w:lineRule="auto"/>
        <w:ind w:left="709" w:right="709"/>
        <w:jc w:val="both"/>
        <w:rPr>
          <w:rFonts w:ascii="Verdana" w:eastAsia="Calibri" w:hAnsi="Verdana" w:cs="Arial"/>
          <w:sz w:val="20"/>
          <w:szCs w:val="20"/>
          <w:lang w:val="es-ES_tradnl"/>
        </w:rPr>
      </w:pPr>
      <w:r w:rsidRPr="006C695D">
        <w:rPr>
          <w:rFonts w:ascii="Verdana" w:eastAsia="Calibri" w:hAnsi="Verdana" w:cs="Arial"/>
          <w:sz w:val="20"/>
          <w:szCs w:val="20"/>
          <w:lang w:val="es-ES_tradnl"/>
        </w:rPr>
        <w:t xml:space="preserve">8. Desastre: 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w:t>
      </w:r>
      <w:r w:rsidRPr="006C695D">
        <w:rPr>
          <w:rFonts w:ascii="Verdana" w:eastAsia="Calibri" w:hAnsi="Verdana" w:cs="Arial"/>
          <w:sz w:val="20"/>
          <w:szCs w:val="20"/>
          <w:lang w:val="es-ES_tradnl"/>
        </w:rPr>
        <w:lastRenderedPageBreak/>
        <w:t>sociedad, que exige del Estado y del sistema nacional ejecutar acciones de respuesta a la emergencia, rehabilitación y reconstrucción</w:t>
      </w:r>
    </w:p>
    <w:p w14:paraId="5F85D317" w14:textId="77777777" w:rsidR="00393A6D" w:rsidRPr="006C695D" w:rsidRDefault="00393A6D" w:rsidP="00393A6D">
      <w:pPr>
        <w:spacing w:after="0" w:line="240" w:lineRule="auto"/>
        <w:ind w:left="709" w:right="709"/>
        <w:jc w:val="both"/>
        <w:rPr>
          <w:rFonts w:ascii="Verdana" w:eastAsia="Calibri" w:hAnsi="Verdana" w:cs="Arial"/>
          <w:sz w:val="20"/>
          <w:szCs w:val="20"/>
        </w:rPr>
      </w:pPr>
    </w:p>
    <w:p w14:paraId="2C000927" w14:textId="77777777" w:rsidR="00393A6D" w:rsidRPr="006C695D" w:rsidRDefault="00393A6D" w:rsidP="00393A6D">
      <w:pPr>
        <w:spacing w:after="0" w:line="240" w:lineRule="auto"/>
        <w:ind w:left="709" w:right="709"/>
        <w:jc w:val="both"/>
        <w:rPr>
          <w:rFonts w:ascii="Verdana" w:eastAsia="Calibri" w:hAnsi="Verdana" w:cs="Arial"/>
          <w:lang w:val="es-ES_tradnl"/>
        </w:rPr>
      </w:pPr>
      <w:r w:rsidRPr="006C695D">
        <w:rPr>
          <w:rFonts w:ascii="Verdana" w:eastAsia="Calibri" w:hAnsi="Verdana" w:cs="Arial"/>
          <w:sz w:val="20"/>
          <w:szCs w:val="20"/>
        </w:rPr>
        <w:t xml:space="preserve">9. Emergencia: Situación caracterizada por la alteración o interrupción intensa y grave de las condiciones normales de funcionamiento u operación de una comunidad, causada por un evento adverso o por la inminencia </w:t>
      </w:r>
      <w:proofErr w:type="gramStart"/>
      <w:r w:rsidRPr="006C695D">
        <w:rPr>
          <w:rFonts w:ascii="Verdana" w:eastAsia="Calibri" w:hAnsi="Verdana" w:cs="Arial"/>
          <w:sz w:val="20"/>
          <w:szCs w:val="20"/>
        </w:rPr>
        <w:t>del mismo</w:t>
      </w:r>
      <w:proofErr w:type="gramEnd"/>
      <w:r w:rsidRPr="006C695D">
        <w:rPr>
          <w:rFonts w:ascii="Verdana" w:eastAsia="Calibri" w:hAnsi="Verdana" w:cs="Arial"/>
          <w:sz w:val="20"/>
          <w:szCs w:val="20"/>
        </w:rPr>
        <w:t>, que obliga a una reacción inmediata y que requiere la respuesta de las instituciones del Estado, los medios de comunicación y de la comunidad en general</w:t>
      </w:r>
      <w:r w:rsidRPr="006C695D">
        <w:rPr>
          <w:rFonts w:ascii="Verdana" w:eastAsia="Calibri" w:hAnsi="Verdana" w:cs="Arial"/>
          <w:sz w:val="20"/>
          <w:szCs w:val="20"/>
          <w:lang w:val="es-ES_tradnl"/>
        </w:rPr>
        <w:t>”.</w:t>
      </w:r>
    </w:p>
    <w:p w14:paraId="186BDE95" w14:textId="77777777" w:rsidR="00393A6D" w:rsidRPr="006C695D" w:rsidRDefault="00393A6D" w:rsidP="00393A6D">
      <w:pPr>
        <w:spacing w:after="0" w:line="276" w:lineRule="auto"/>
        <w:ind w:firstLine="709"/>
        <w:jc w:val="both"/>
        <w:rPr>
          <w:rFonts w:ascii="Verdana" w:eastAsia="Calibri" w:hAnsi="Verdana" w:cs="Arial"/>
          <w:lang w:val="es-ES"/>
        </w:rPr>
      </w:pPr>
    </w:p>
    <w:p w14:paraId="7D46C38E" w14:textId="77777777" w:rsidR="00393A6D" w:rsidRPr="006C695D" w:rsidRDefault="00393A6D" w:rsidP="00393A6D">
      <w:pPr>
        <w:spacing w:after="120" w:line="276" w:lineRule="auto"/>
        <w:ind w:firstLine="709"/>
        <w:jc w:val="both"/>
        <w:rPr>
          <w:rFonts w:ascii="Verdana" w:eastAsia="Calibri" w:hAnsi="Verdana" w:cs="Arial"/>
          <w:bCs/>
          <w:lang w:val="es-ES_tradnl" w:eastAsia="x-none"/>
        </w:rPr>
      </w:pPr>
      <w:r w:rsidRPr="006C695D">
        <w:rPr>
          <w:rFonts w:ascii="Verdana" w:eastAsia="Calibri" w:hAnsi="Verdana" w:cs="Arial"/>
          <w:lang w:val="es-ES"/>
        </w:rPr>
        <w:t xml:space="preserve">Esta norma debe armonizarse con los artículos 56 y 57 </w:t>
      </w:r>
      <w:r w:rsidRPr="006C695D">
        <w:rPr>
          <w:rFonts w:ascii="Verdana" w:eastAsia="Calibri" w:hAnsi="Verdana" w:cs="Arial"/>
          <w:i/>
          <w:lang w:val="es-ES"/>
        </w:rPr>
        <w:t>ibidem</w:t>
      </w:r>
      <w:r w:rsidRPr="006C695D">
        <w:rPr>
          <w:rFonts w:ascii="Verdana" w:eastAsia="Calibri" w:hAnsi="Verdana" w:cs="Arial"/>
          <w:lang w:val="es-ES"/>
        </w:rPr>
        <w:t xml:space="preserve">, que asignan la competencia para declarar la ocurrencia de una situación de </w:t>
      </w:r>
      <w:r w:rsidRPr="006C695D">
        <w:rPr>
          <w:rFonts w:ascii="Verdana" w:eastAsia="Calibri" w:hAnsi="Verdana" w:cs="Arial"/>
          <w:i/>
          <w:lang w:val="es-ES"/>
        </w:rPr>
        <w:t>desastre</w:t>
      </w:r>
      <w:r w:rsidRPr="006C695D">
        <w:rPr>
          <w:rFonts w:ascii="Verdana" w:eastAsia="Calibri" w:hAnsi="Verdana" w:cs="Arial"/>
          <w:lang w:val="es-ES"/>
        </w:rPr>
        <w:t xml:space="preserve"> o una situación de </w:t>
      </w:r>
      <w:r w:rsidRPr="006C695D">
        <w:rPr>
          <w:rFonts w:ascii="Verdana" w:eastAsia="Calibri" w:hAnsi="Verdana" w:cs="Arial"/>
          <w:i/>
          <w:lang w:val="es-ES"/>
        </w:rPr>
        <w:t>calamidad pública</w:t>
      </w:r>
      <w:r w:rsidRPr="006C695D">
        <w:rPr>
          <w:rFonts w:ascii="Verdana" w:eastAsia="Calibri" w:hAnsi="Verdana" w:cs="Arial"/>
          <w:lang w:val="es-ES"/>
        </w:rPr>
        <w:t xml:space="preserve">. Particularmente, disponen que al Presidente de la República le corresponde declarar la situación de </w:t>
      </w:r>
      <w:r w:rsidRPr="006C695D">
        <w:rPr>
          <w:rFonts w:ascii="Verdana" w:eastAsia="Calibri" w:hAnsi="Verdana" w:cs="Arial"/>
          <w:i/>
          <w:lang w:val="es-ES"/>
        </w:rPr>
        <w:t>desastre</w:t>
      </w:r>
      <w:r w:rsidRPr="006C695D">
        <w:rPr>
          <w:rFonts w:ascii="Verdana" w:eastAsia="Calibri" w:hAnsi="Verdana" w:cs="Arial"/>
          <w:lang w:val="es-ES"/>
        </w:rPr>
        <w:t>, tanto en el orden nacional, departamental, como en el municipal y distrital</w:t>
      </w:r>
      <w:r w:rsidRPr="006C695D">
        <w:rPr>
          <w:rStyle w:val="Refdenotaalpie"/>
          <w:rFonts w:ascii="Verdana" w:eastAsia="Calibri" w:hAnsi="Verdana" w:cs="Arial"/>
          <w:lang w:val="es-ES"/>
        </w:rPr>
        <w:footnoteReference w:id="22"/>
      </w:r>
      <w:r w:rsidRPr="006C695D">
        <w:rPr>
          <w:rFonts w:ascii="Verdana" w:eastAsia="Calibri" w:hAnsi="Verdana" w:cs="Arial"/>
          <w:lang w:val="es-ES"/>
        </w:rPr>
        <w:t xml:space="preserve">, facultad que no pueden ejercer los gobernadores y alcaldes, porque la norma no les asignó esta competencia. No obstante, a los gobernadores y alcaldes sí les corresponde declarar la </w:t>
      </w:r>
      <w:r w:rsidRPr="006C695D">
        <w:rPr>
          <w:rFonts w:ascii="Verdana" w:eastAsia="Calibri" w:hAnsi="Verdana" w:cs="Arial"/>
          <w:i/>
          <w:lang w:val="es-ES"/>
        </w:rPr>
        <w:t>situación de calamidad pública</w:t>
      </w:r>
      <w:r w:rsidRPr="006C695D">
        <w:rPr>
          <w:rFonts w:ascii="Verdana" w:eastAsia="Calibri" w:hAnsi="Verdana" w:cs="Arial"/>
          <w:lang w:val="es-ES"/>
        </w:rPr>
        <w:t>, en los respectivos ámbitos, facultad que, en cambio, no puede ejercer el presidente de la república</w:t>
      </w:r>
      <w:r w:rsidRPr="006C695D">
        <w:rPr>
          <w:rStyle w:val="Refdenotaalpie"/>
          <w:rFonts w:ascii="Verdana" w:eastAsia="Calibri" w:hAnsi="Verdana" w:cs="Arial"/>
          <w:lang w:val="es-ES"/>
        </w:rPr>
        <w:footnoteReference w:id="23"/>
      </w:r>
      <w:r w:rsidRPr="006C695D">
        <w:rPr>
          <w:rFonts w:ascii="Verdana" w:eastAsia="Calibri" w:hAnsi="Verdana" w:cs="Arial"/>
          <w:lang w:val="es-ES"/>
        </w:rPr>
        <w:t xml:space="preserve">. </w:t>
      </w:r>
    </w:p>
    <w:p w14:paraId="1EC91F17" w14:textId="77777777" w:rsidR="00393A6D" w:rsidRPr="006C695D" w:rsidRDefault="00393A6D" w:rsidP="00393A6D">
      <w:pPr>
        <w:spacing w:after="120" w:line="276" w:lineRule="auto"/>
        <w:ind w:firstLine="709"/>
        <w:jc w:val="both"/>
        <w:rPr>
          <w:rFonts w:ascii="Verdana" w:eastAsia="Times New Roman" w:hAnsi="Verdana" w:cs="Arial"/>
          <w:bCs/>
          <w:lang w:val="es-MX" w:eastAsia="es-CO"/>
        </w:rPr>
      </w:pPr>
      <w:r w:rsidRPr="006C695D">
        <w:rPr>
          <w:rFonts w:ascii="Verdana" w:eastAsia="Calibri" w:hAnsi="Verdana" w:cs="Arial"/>
          <w:bCs/>
          <w:lang w:val="es-MX" w:eastAsia="x-none"/>
        </w:rPr>
        <w:lastRenderedPageBreak/>
        <w:t>En relación con los destinatarios de la restricción analizada</w:t>
      </w:r>
      <w:r w:rsidRPr="006C695D">
        <w:rPr>
          <w:rFonts w:ascii="Verdana" w:eastAsia="Times New Roman" w:hAnsi="Verdana" w:cs="Arial"/>
          <w:bCs/>
          <w:lang w:val="es-MX" w:eastAsia="x-none"/>
        </w:rPr>
        <w:t>, el artículo 33 de la Ley 996 de 2005 señala expresamente a los destinatarios de la prohibición, en el sentido de que son “todos los entes del Estado”, expresión que contempla a los diferentes organismos o entidades autorizadas por la ley para suscribir contratos.</w:t>
      </w:r>
      <w:r w:rsidRPr="006C695D">
        <w:rPr>
          <w:rFonts w:ascii="Verdana" w:eastAsia="Calibri" w:hAnsi="Verdana" w:cs="Arial"/>
          <w:lang w:val="es-MX"/>
        </w:rPr>
        <w:t xml:space="preserve"> </w:t>
      </w:r>
      <w:r w:rsidRPr="006C695D">
        <w:rPr>
          <w:rFonts w:ascii="Verdana" w:eastAsia="Times New Roman" w:hAnsi="Verdana" w:cs="Arial"/>
          <w:bCs/>
          <w:lang w:val="es-MX" w:eastAsia="x-none"/>
        </w:rPr>
        <w:t>En efecto, tal como lo ha sostenido el Consejo de Estado, el vocablo “todos” utilizado por el legislador comprende</w:t>
      </w:r>
      <w:r w:rsidRPr="006C695D">
        <w:rPr>
          <w:rFonts w:ascii="Verdana" w:eastAsia="Calibri" w:hAnsi="Verdana" w:cs="Arial"/>
          <w:lang w:val="es-MX"/>
        </w:rPr>
        <w:t xml:space="preserve"> </w:t>
      </w:r>
      <w:r w:rsidRPr="006C695D">
        <w:rPr>
          <w:rFonts w:ascii="Verdana" w:eastAsia="Times New Roman" w:hAnsi="Verdana" w:cs="Arial"/>
          <w:bCs/>
          <w:lang w:val="es-MX" w:eastAsia="x-none"/>
        </w:rPr>
        <w:t>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Sobre el particular, el Consejo de Estado, en Concepto con radicado 1727 de fecha 20 de febrero de 2006, consideró que</w:t>
      </w:r>
      <w:bookmarkStart w:id="8" w:name="_Hlk75787147"/>
      <w:r w:rsidRPr="006C695D">
        <w:rPr>
          <w:rFonts w:ascii="Verdana" w:eastAsia="Times New Roman" w:hAnsi="Verdana" w:cs="Arial"/>
          <w:bCs/>
          <w:lang w:val="es-MX" w:eastAsia="x-none"/>
        </w:rPr>
        <w:t xml:space="preserve"> </w:t>
      </w:r>
      <w:r w:rsidRPr="006C695D">
        <w:rPr>
          <w:rFonts w:ascii="Verdana" w:eastAsia="Calibri" w:hAnsi="Verdana" w:cs="Arial"/>
          <w:bCs/>
          <w:lang w:val="es-MX" w:eastAsia="x-none"/>
        </w:rPr>
        <w:t>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6C695D">
        <w:rPr>
          <w:rFonts w:ascii="Verdana" w:eastAsia="Calibri" w:hAnsi="Verdana" w:cs="Arial"/>
          <w:bCs/>
          <w:vertAlign w:val="superscript"/>
          <w:lang w:val="es-MX" w:eastAsia="x-none"/>
        </w:rPr>
        <w:footnoteReference w:id="24"/>
      </w:r>
      <w:r w:rsidRPr="006C695D">
        <w:rPr>
          <w:rFonts w:ascii="Verdana" w:eastAsia="Calibri" w:hAnsi="Verdana" w:cs="Arial"/>
          <w:bCs/>
          <w:lang w:val="es-MX" w:eastAsia="x-none"/>
        </w:rPr>
        <w:t>.</w:t>
      </w:r>
    </w:p>
    <w:p w14:paraId="214B62E9" w14:textId="7946B257" w:rsidR="00393A6D" w:rsidRPr="00CB14C4" w:rsidRDefault="00393A6D" w:rsidP="00CB14C4">
      <w:pPr>
        <w:spacing w:after="0" w:line="276" w:lineRule="auto"/>
        <w:ind w:firstLine="708"/>
        <w:jc w:val="both"/>
        <w:rPr>
          <w:rFonts w:ascii="Verdana" w:eastAsia="Times New Roman" w:hAnsi="Verdana" w:cs="Arial"/>
          <w:bCs/>
          <w:lang w:val="es-MX" w:eastAsia="x-none"/>
        </w:rPr>
      </w:pPr>
      <w:bookmarkStart w:id="9" w:name="_Hlk77237229"/>
      <w:bookmarkEnd w:id="8"/>
      <w:r w:rsidRPr="006C695D">
        <w:rPr>
          <w:rFonts w:ascii="Verdana" w:eastAsia="Calibri" w:hAnsi="Verdana" w:cs="Arial"/>
          <w:lang w:val="es-MX"/>
        </w:rPr>
        <w:t>Por lo tanto, la restricción prevista en la Ley 996 de 200</w:t>
      </w:r>
      <w:bookmarkStart w:id="10" w:name="_Hlk75741539"/>
      <w:r w:rsidRPr="006C695D">
        <w:rPr>
          <w:rFonts w:ascii="Verdana" w:eastAsia="Calibri" w:hAnsi="Verdana" w:cs="Arial"/>
          <w:lang w:val="es-MX"/>
        </w:rPr>
        <w:t xml:space="preserve">5, </w:t>
      </w:r>
      <w:r w:rsidRPr="006C695D">
        <w:rPr>
          <w:rFonts w:ascii="Verdana" w:eastAsia="Times New Roman" w:hAnsi="Verdana" w:cs="Arial"/>
          <w:bCs/>
          <w:lang w:val="es-MX" w:eastAsia="x-none"/>
        </w:rPr>
        <w:t>teniendo en cuenta la finalidad de la Ley de Garantías Electorales, cobija a cualquier ente público que pueda a través de la contratación directa romper el equilibrio entre los partidos y los candidatos en las elecciones presidenciales. 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w:t>
      </w:r>
      <w:bookmarkEnd w:id="9"/>
      <w:bookmarkEnd w:id="10"/>
      <w:r w:rsidRPr="006C695D">
        <w:rPr>
          <w:rFonts w:ascii="Verdana" w:eastAsia="Times New Roman" w:hAnsi="Verdana" w:cs="Arial"/>
          <w:bCs/>
          <w:lang w:val="es-MX" w:eastAsia="x-none"/>
        </w:rPr>
        <w:t>.</w:t>
      </w:r>
    </w:p>
    <w:p w14:paraId="641E503F" w14:textId="77777777" w:rsidR="00393A6D" w:rsidRPr="006C695D" w:rsidRDefault="00393A6D" w:rsidP="00393A6D">
      <w:pPr>
        <w:spacing w:after="0" w:line="276" w:lineRule="auto"/>
        <w:jc w:val="both"/>
        <w:rPr>
          <w:rFonts w:ascii="Verdana" w:eastAsia="Times New Roman" w:hAnsi="Verdana" w:cs="Arial"/>
          <w:lang w:eastAsia="es-CO"/>
        </w:rPr>
      </w:pPr>
      <w:r w:rsidRPr="006C695D">
        <w:rPr>
          <w:rFonts w:ascii="Verdana" w:eastAsia="Times New Roman" w:hAnsi="Verdana" w:cs="Arial"/>
          <w:bCs/>
          <w:lang w:val="es-MX" w:eastAsia="x-none"/>
        </w:rPr>
        <w:lastRenderedPageBreak/>
        <w:t xml:space="preserve">iii. De otra parte, es importante precisar el alcance de </w:t>
      </w:r>
      <w:r w:rsidRPr="006C695D">
        <w:rPr>
          <w:rFonts w:ascii="Verdana" w:eastAsia="Times New Roman" w:hAnsi="Verdana" w:cs="Arial"/>
          <w:lang w:val="es-MX" w:eastAsia="es-CO"/>
        </w:rPr>
        <w:t>la prohibición establecida en el parágrafo del artículo 38 de la Ley 996 de 2005. Al respecto, la Circular Externa No. 006 de 2025 expedida por la ANCP -CCE, en los literales ii) y iv) del numeral 2</w:t>
      </w:r>
      <w:r w:rsidRPr="006C695D">
        <w:rPr>
          <w:rFonts w:ascii="Verdana" w:eastAsia="Times New Roman" w:hAnsi="Verdana" w:cs="Arial"/>
          <w:lang w:eastAsia="es-CO"/>
        </w:rPr>
        <w:t>,</w:t>
      </w:r>
      <w:r w:rsidRPr="006C695D">
        <w:rPr>
          <w:rFonts w:ascii="Verdana" w:eastAsia="Times New Roman" w:hAnsi="Verdana" w:cs="Arial"/>
          <w:lang w:val="es-MX" w:eastAsia="es-CO"/>
        </w:rPr>
        <w:t xml:space="preserve"> indica que esta disposición</w:t>
      </w:r>
      <w:r w:rsidRPr="006C695D">
        <w:rPr>
          <w:rFonts w:ascii="Verdana" w:eastAsia="Times New Roman" w:hAnsi="Verdana" w:cs="Arial"/>
          <w:lang w:eastAsia="es-CO"/>
        </w:rPr>
        <w:t xml:space="preserve"> cobija expresamente a los </w:t>
      </w:r>
      <w:r w:rsidRPr="006C695D">
        <w:rPr>
          <w:rFonts w:ascii="Verdana" w:eastAsia="Times New Roman" w:hAnsi="Verdana" w:cs="Arial"/>
          <w:i/>
          <w:iCs/>
          <w:lang w:eastAsia="es-CO"/>
        </w:rPr>
        <w:t>convenios interadministrativos</w:t>
      </w:r>
      <w:r w:rsidRPr="006C695D">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6C695D">
        <w:rPr>
          <w:rFonts w:ascii="Verdana" w:eastAsia="Times New Roman" w:hAnsi="Verdana" w:cs="Arial"/>
          <w:i/>
          <w:iCs/>
          <w:lang w:eastAsia="es-CO"/>
        </w:rPr>
        <w:t>“aunque se configure alguno de los supuestos de excepción que señaló el inciso final del artículo 33”.</w:t>
      </w:r>
      <w:r w:rsidRPr="006C695D">
        <w:rPr>
          <w:rFonts w:ascii="Verdana" w:eastAsia="Times New Roman" w:hAnsi="Verdana" w:cs="Arial"/>
          <w:lang w:eastAsia="es-CO"/>
        </w:rPr>
        <w:t xml:space="preserve"> </w:t>
      </w:r>
    </w:p>
    <w:p w14:paraId="79F9654A" w14:textId="77777777" w:rsidR="00393A6D" w:rsidRPr="006C695D" w:rsidRDefault="00393A6D" w:rsidP="00393A6D">
      <w:pPr>
        <w:spacing w:before="120" w:after="0" w:line="276" w:lineRule="auto"/>
        <w:ind w:firstLine="708"/>
        <w:jc w:val="both"/>
        <w:rPr>
          <w:rFonts w:ascii="Verdana" w:eastAsia="Times New Roman" w:hAnsi="Verdana" w:cs="Arial"/>
          <w:lang w:eastAsia="es-CO"/>
        </w:rPr>
      </w:pPr>
      <w:r w:rsidRPr="006C695D">
        <w:rPr>
          <w:rFonts w:ascii="Verdana" w:eastAsia="Times New Roman" w:hAnsi="Verdana" w:cs="Arial"/>
          <w:lang w:eastAsia="es-CO"/>
        </w:rPr>
        <w:t xml:space="preserve">Sin embargo, es importante tener en cuenta que el ámbito de aplicación de la restricción prevista en el parágrafo del artículo 38 de la Ley 996 de 2005 solo se extiende a los </w:t>
      </w:r>
      <w:r w:rsidRPr="006C695D">
        <w:rPr>
          <w:rFonts w:ascii="Verdana" w:eastAsia="Times New Roman" w:hAnsi="Verdana" w:cs="Arial"/>
          <w:i/>
          <w:iCs/>
          <w:lang w:eastAsia="es-CO"/>
        </w:rPr>
        <w:t>convenios interadministrativos</w:t>
      </w:r>
      <w:r w:rsidRPr="006C695D">
        <w:rPr>
          <w:rFonts w:ascii="Verdana" w:eastAsia="Times New Roman" w:hAnsi="Verdana" w:cs="Arial"/>
          <w:lang w:eastAsia="es-CO"/>
        </w:rPr>
        <w:t xml:space="preserve"> en los que se contemple la </w:t>
      </w:r>
      <w:r w:rsidRPr="006C695D">
        <w:rPr>
          <w:rFonts w:ascii="Verdana" w:eastAsia="Times New Roman" w:hAnsi="Verdana" w:cs="Arial"/>
          <w:i/>
          <w:iCs/>
          <w:lang w:eastAsia="es-CO"/>
        </w:rPr>
        <w:t>ejecución de recursos públicos</w:t>
      </w:r>
      <w:r w:rsidRPr="006C695D">
        <w:rPr>
          <w:rFonts w:ascii="Verdana" w:eastAsia="Times New Roman" w:hAnsi="Verdana" w:cs="Arial"/>
          <w:lang w:eastAsia="es-CO"/>
        </w:rPr>
        <w:t xml:space="preserve">. Esto significa que la prohibición no resulta aplicable a </w:t>
      </w:r>
      <w:r w:rsidRPr="006C695D">
        <w:rPr>
          <w:rFonts w:ascii="Verdana" w:eastAsia="Times New Roman" w:hAnsi="Verdana" w:cs="Arial"/>
          <w:i/>
          <w:iCs/>
          <w:lang w:eastAsia="es-CO"/>
        </w:rPr>
        <w:t>convenios interadministrativos a título gratuito,</w:t>
      </w:r>
      <w:r w:rsidRPr="006C695D">
        <w:rPr>
          <w:rFonts w:ascii="Verdana" w:eastAsia="Times New Roman" w:hAnsi="Verdana" w:cs="Arial"/>
          <w:lang w:eastAsia="es-CO"/>
        </w:rPr>
        <w:t xml:space="preserve"> los cuales pueden celebrarse válidamente durante la vigencia de la mencionada restricción. </w:t>
      </w:r>
    </w:p>
    <w:p w14:paraId="6FAFB101" w14:textId="77777777" w:rsidR="00393A6D" w:rsidRPr="006C695D" w:rsidRDefault="00393A6D" w:rsidP="00393A6D">
      <w:pPr>
        <w:spacing w:before="120" w:after="0" w:line="276" w:lineRule="auto"/>
        <w:ind w:firstLine="708"/>
        <w:jc w:val="both"/>
        <w:rPr>
          <w:rFonts w:ascii="Verdana" w:eastAsia="Times New Roman" w:hAnsi="Verdana" w:cs="Arial"/>
          <w:lang w:eastAsia="es-CO"/>
        </w:rPr>
      </w:pPr>
      <w:r w:rsidRPr="006C695D">
        <w:rPr>
          <w:rFonts w:ascii="Verdana" w:eastAsia="Times New Roman" w:hAnsi="Verdana" w:cs="Arial"/>
          <w:lang w:eastAsia="es-CO"/>
        </w:rPr>
        <w:t xml:space="preserve">De esta manera, conforme a lo dispuesto en la Circular referida, si se suscriben </w:t>
      </w:r>
      <w:r w:rsidRPr="006C695D">
        <w:rPr>
          <w:rFonts w:ascii="Verdana" w:eastAsia="Times New Roman" w:hAnsi="Verdana" w:cs="Arial"/>
          <w:i/>
          <w:iCs/>
          <w:lang w:eastAsia="es-CO"/>
        </w:rPr>
        <w:t>convenios interadministrativos para la ejecución de recursos públicos</w:t>
      </w:r>
      <w:r w:rsidRPr="006C695D">
        <w:rPr>
          <w:rFonts w:ascii="Verdana" w:eastAsia="Times New Roman" w:hAnsi="Verdana" w:cs="Arial"/>
          <w:lang w:eastAsia="es-CO"/>
        </w:rPr>
        <w:t xml:space="preserve"> por los alcaldes, gobernadores, secretarios, gerentes y directores de las entidades del orden municipal, departamental o distrital, aplicará la prohibición del parágrafo del artículo 38 </w:t>
      </w:r>
      <w:r w:rsidRPr="006C695D">
        <w:rPr>
          <w:rFonts w:ascii="Verdana" w:eastAsia="Times New Roman" w:hAnsi="Verdana" w:cs="Arial"/>
          <w:i/>
          <w:iCs/>
          <w:lang w:eastAsia="es-CO"/>
        </w:rPr>
        <w:t>ibidem</w:t>
      </w:r>
      <w:r w:rsidRPr="006C695D">
        <w:rPr>
          <w:rFonts w:ascii="Verdana" w:eastAsia="Times New Roman" w:hAnsi="Verdana" w:cs="Arial"/>
          <w:lang w:eastAsia="es-CO"/>
        </w:rPr>
        <w:t>, independientemente de que se configure alguno de los supuestos de excepción que señaló el inciso final del artículo 33, es decir, que se trate de:</w:t>
      </w:r>
      <w:r w:rsidRPr="006C695D">
        <w:rPr>
          <w:rFonts w:ascii="Verdana" w:eastAsia="Aptos" w:hAnsi="Verdana" w:cs="Arial"/>
          <w:bCs/>
          <w:lang w:val="es-MX" w:eastAsia="x-none"/>
        </w:rPr>
        <w:t xml:space="preserve">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6C695D">
        <w:rPr>
          <w:rFonts w:ascii="Verdana" w:eastAsia="Aptos" w:hAnsi="Verdana" w:cs="Arial"/>
          <w:bCs/>
          <w:lang w:val="es-MX" w:eastAsia="es-CO"/>
        </w:rPr>
        <w:t xml:space="preserve"> </w:t>
      </w:r>
      <w:r w:rsidRPr="006C695D">
        <w:rPr>
          <w:rFonts w:ascii="Verdana" w:eastAsia="Times New Roman" w:hAnsi="Verdana" w:cs="Arial"/>
          <w:lang w:eastAsia="es-CO"/>
        </w:rPr>
        <w:t xml:space="preserve">  </w:t>
      </w:r>
    </w:p>
    <w:p w14:paraId="07A6AC2D" w14:textId="2F177961" w:rsidR="00CB14C4" w:rsidRDefault="00393A6D" w:rsidP="00CB14C4">
      <w:pPr>
        <w:spacing w:before="120" w:after="0" w:line="276" w:lineRule="auto"/>
        <w:ind w:firstLine="708"/>
        <w:jc w:val="both"/>
        <w:rPr>
          <w:rFonts w:ascii="Verdana" w:eastAsia="Aptos" w:hAnsi="Verdana" w:cs="Arial"/>
        </w:rPr>
      </w:pPr>
      <w:r w:rsidRPr="006C695D">
        <w:rPr>
          <w:rFonts w:ascii="Verdana" w:eastAsia="Times New Roman" w:hAnsi="Verdana" w:cs="Arial"/>
          <w:lang w:eastAsia="es-CO"/>
        </w:rPr>
        <w:t xml:space="preserve">En este punto, teniendo en cuenta lo señalado en el contenido de su petición, vale la pena destacar que, </w:t>
      </w:r>
      <w:r w:rsidRPr="006C695D">
        <w:rPr>
          <w:rFonts w:ascii="Verdana" w:eastAsia="Arial" w:hAnsi="Verdana" w:cs="Arial"/>
          <w:lang w:val="es-MX" w:eastAsia="es-ES" w:bidi="es-ES"/>
        </w:rPr>
        <w:t xml:space="preserve">mediante auto de 4 de octubre del 2024, el Consejo de Estado, Subsección C de la Sección Tercera, decretó medida de suspensión provisional parcial del </w:t>
      </w:r>
      <w:r w:rsidRPr="006C695D">
        <w:rPr>
          <w:rFonts w:ascii="Verdana" w:eastAsia="Aptos" w:hAnsi="Verdana" w:cs="Arial"/>
        </w:rPr>
        <w:t xml:space="preserve">numeral 16.2 de la Circular Externa Única de 2022 expedida por la Agencia Nacional de Contratación Pública -Colombia </w:t>
      </w:r>
      <w:r w:rsidRPr="006C695D">
        <w:rPr>
          <w:rFonts w:ascii="Verdana" w:eastAsia="Aptos" w:hAnsi="Verdana" w:cs="Arial"/>
        </w:rPr>
        <w:lastRenderedPageBreak/>
        <w:t>Compra Eficiente-, concretamente, respecto de los siguientes apartes normativos</w:t>
      </w:r>
      <w:r w:rsidRPr="006C695D">
        <w:rPr>
          <w:rFonts w:ascii="Verdana" w:eastAsia="Aptos" w:hAnsi="Verdana" w:cs="Arial"/>
          <w:vertAlign w:val="superscript"/>
        </w:rPr>
        <w:footnoteReference w:id="25"/>
      </w:r>
      <w:r w:rsidRPr="006C695D">
        <w:rPr>
          <w:rFonts w:ascii="Verdana" w:eastAsia="Aptos" w:hAnsi="Verdana" w:cs="Arial"/>
        </w:rPr>
        <w:t xml:space="preserve">: </w:t>
      </w:r>
    </w:p>
    <w:p w14:paraId="160270C6" w14:textId="77777777" w:rsidR="00CB14C4" w:rsidRPr="00CB14C4" w:rsidRDefault="00CB14C4" w:rsidP="00CB14C4">
      <w:pPr>
        <w:spacing w:before="120" w:after="0" w:line="276" w:lineRule="auto"/>
        <w:ind w:firstLine="708"/>
        <w:jc w:val="both"/>
        <w:rPr>
          <w:rFonts w:ascii="Verdana" w:eastAsia="Aptos" w:hAnsi="Verdana" w:cs="Arial"/>
        </w:rPr>
      </w:pPr>
    </w:p>
    <w:p w14:paraId="41881F57" w14:textId="77777777" w:rsidR="00393A6D" w:rsidRPr="006C695D" w:rsidRDefault="00393A6D" w:rsidP="00393A6D">
      <w:pPr>
        <w:spacing w:after="0" w:line="240" w:lineRule="auto"/>
        <w:ind w:left="709" w:right="709"/>
        <w:jc w:val="both"/>
        <w:rPr>
          <w:rFonts w:ascii="Verdana" w:eastAsia="Aptos" w:hAnsi="Verdana" w:cs="Arial"/>
          <w:sz w:val="20"/>
          <w:szCs w:val="20"/>
        </w:rPr>
      </w:pPr>
      <w:r w:rsidRPr="006C695D">
        <w:rPr>
          <w:rFonts w:ascii="Verdana" w:eastAsia="Aptos" w:hAnsi="Verdana" w:cs="Arial"/>
          <w:sz w:val="20"/>
          <w:szCs w:val="20"/>
          <w:lang w:val="es-MX"/>
        </w:rPr>
        <w:t>i)</w:t>
      </w:r>
      <w:r w:rsidRPr="006C695D">
        <w:rPr>
          <w:rFonts w:ascii="Verdana" w:eastAsia="Aptos" w:hAnsi="Verdana" w:cs="Arial"/>
          <w:sz w:val="20"/>
          <w:szCs w:val="20"/>
        </w:rPr>
        <w:t xml:space="preserve"> el inciso segundo 2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w:t>
      </w:r>
    </w:p>
    <w:p w14:paraId="1E271F1B" w14:textId="77777777" w:rsidR="00393A6D" w:rsidRPr="006C695D" w:rsidRDefault="00393A6D" w:rsidP="00393A6D">
      <w:pPr>
        <w:spacing w:after="0" w:line="240" w:lineRule="auto"/>
        <w:ind w:left="709" w:right="709"/>
        <w:jc w:val="both"/>
        <w:rPr>
          <w:rFonts w:ascii="Verdana" w:eastAsia="Aptos" w:hAnsi="Verdana" w:cs="Arial"/>
          <w:sz w:val="20"/>
          <w:szCs w:val="20"/>
        </w:rPr>
      </w:pPr>
    </w:p>
    <w:p w14:paraId="5DE101C2" w14:textId="77777777" w:rsidR="00393A6D" w:rsidRPr="006C695D" w:rsidRDefault="00393A6D" w:rsidP="00393A6D">
      <w:pPr>
        <w:spacing w:after="0" w:line="240" w:lineRule="auto"/>
        <w:ind w:left="709" w:right="709"/>
        <w:jc w:val="both"/>
        <w:rPr>
          <w:rFonts w:ascii="Verdana" w:eastAsia="Aptos" w:hAnsi="Verdana" w:cs="Arial"/>
          <w:sz w:val="20"/>
          <w:szCs w:val="20"/>
        </w:rPr>
      </w:pPr>
      <w:r w:rsidRPr="006C695D">
        <w:rPr>
          <w:rFonts w:ascii="Verdana" w:eastAsia="Aptos" w:hAnsi="Verdana" w:cs="Arial"/>
          <w:sz w:val="20"/>
          <w:szCs w:val="20"/>
        </w:rPr>
        <w:t xml:space="preserve">ii) la expresión y el siguiente párrafo contenidos en el inciso cuarto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 </w:t>
      </w:r>
    </w:p>
    <w:p w14:paraId="1C0D5D19" w14:textId="77777777" w:rsidR="00393A6D" w:rsidRPr="006C695D" w:rsidRDefault="00393A6D" w:rsidP="00393A6D">
      <w:pPr>
        <w:spacing w:after="0" w:line="276" w:lineRule="auto"/>
        <w:ind w:firstLine="709"/>
        <w:jc w:val="both"/>
        <w:rPr>
          <w:rFonts w:ascii="Verdana" w:eastAsia="Arial" w:hAnsi="Verdana" w:cs="Arial"/>
          <w:lang w:val="es-MX" w:eastAsia="es-ES" w:bidi="es-ES"/>
        </w:rPr>
      </w:pPr>
    </w:p>
    <w:p w14:paraId="47B957F5" w14:textId="77777777" w:rsidR="00393A6D" w:rsidRPr="006C695D" w:rsidRDefault="00393A6D" w:rsidP="00393A6D">
      <w:pPr>
        <w:spacing w:after="120" w:line="276" w:lineRule="auto"/>
        <w:ind w:firstLine="709"/>
        <w:jc w:val="both"/>
        <w:rPr>
          <w:rFonts w:ascii="Verdana" w:eastAsia="Arial" w:hAnsi="Verdana" w:cs="Arial"/>
          <w:i/>
          <w:iCs/>
          <w:lang w:eastAsia="es-ES" w:bidi="es-ES"/>
        </w:rPr>
      </w:pPr>
      <w:r w:rsidRPr="006C695D">
        <w:rPr>
          <w:rFonts w:ascii="Verdana" w:eastAsia="Arial" w:hAnsi="Verdana" w:cs="Arial"/>
          <w:lang w:val="es-MX" w:eastAsia="es-ES" w:bidi="es-ES"/>
        </w:rPr>
        <w:t xml:space="preserve">De conformidad con los argumentos de dicha providencia, se parte de la distinción entre los conceptos </w:t>
      </w:r>
      <w:r w:rsidRPr="006C695D">
        <w:rPr>
          <w:rFonts w:ascii="Verdana" w:eastAsia="Arial" w:hAnsi="Verdana" w:cs="Arial"/>
          <w:lang w:eastAsia="es-ES" w:bidi="es-ES"/>
        </w:rPr>
        <w:t>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w:t>
      </w:r>
      <w:r w:rsidRPr="006C695D">
        <w:rPr>
          <w:rFonts w:ascii="Verdana" w:eastAsia="Aptos" w:hAnsi="Verdana" w:cs="Times New Roman"/>
          <w:sz w:val="24"/>
          <w:szCs w:val="24"/>
          <w:lang w:eastAsia="es-CO"/>
        </w:rPr>
        <w:t xml:space="preserve"> </w:t>
      </w:r>
      <w:r w:rsidRPr="006C695D">
        <w:rPr>
          <w:rFonts w:ascii="Verdana" w:eastAsia="Arial" w:hAnsi="Verdana" w:cs="Arial"/>
          <w:lang w:eastAsia="es-ES" w:bidi="es-ES"/>
        </w:rPr>
        <w:t xml:space="preserve">En este sentido, en relación con el parágrafo del artículo 38 de la Ley 996 de 2005 concluyó que </w:t>
      </w:r>
      <w:r w:rsidRPr="006C695D">
        <w:rPr>
          <w:rFonts w:ascii="Verdana" w:eastAsia="Arial" w:hAnsi="Verdana" w:cs="Arial"/>
          <w:i/>
          <w:iCs/>
          <w:lang w:eastAsia="es-ES" w:bidi="es-ES"/>
        </w:rPr>
        <w:t xml:space="preserve">“si el legislador no diferenció al establecer la prohibición o la restricción, mal haría el reglamento en aplicar un efecto expansivo o extensivo para incluir una categoría no cobijada con la limitación, (…)”. </w:t>
      </w:r>
      <w:r w:rsidRPr="006C695D">
        <w:rPr>
          <w:rFonts w:ascii="Verdana" w:eastAsia="Arial" w:hAnsi="Verdana" w:cs="Arial"/>
          <w:lang w:eastAsia="es-ES" w:bidi="es-ES"/>
        </w:rPr>
        <w:t xml:space="preserve">Por tal motivo, para efectos de decretar la medida de suspensión provisional de los apartes señalados del numeral 16.2 de la Circular Externa Única, argumentó que </w:t>
      </w:r>
      <w:r w:rsidRPr="006C695D">
        <w:rPr>
          <w:rFonts w:ascii="Verdana" w:eastAsia="Arial" w:hAnsi="Verdana" w:cs="Arial"/>
          <w:i/>
          <w:iCs/>
          <w:lang w:eastAsia="es-ES" w:bidi="es-ES"/>
        </w:rPr>
        <w:t xml:space="preserve">“con independencia del propósito loable o plausible de la disposición ya que, procura que no se usen los recursos estatales para incidir o afectar la contienda electoral, no cabe duda de que la entidad demandada incorporó en la prohibición una categoría que no quedó comprendida expresa e inequívocamente en la ley. </w:t>
      </w:r>
    </w:p>
    <w:p w14:paraId="2C701D9C" w14:textId="77777777" w:rsidR="00393A6D" w:rsidRPr="006C695D" w:rsidRDefault="00393A6D" w:rsidP="00393A6D">
      <w:pPr>
        <w:spacing w:after="120" w:line="276" w:lineRule="auto"/>
        <w:ind w:firstLine="709"/>
        <w:jc w:val="both"/>
        <w:rPr>
          <w:rFonts w:ascii="Verdana" w:eastAsia="Arial" w:hAnsi="Verdana" w:cs="Arial"/>
          <w:lang w:eastAsia="es-ES" w:bidi="es-ES"/>
        </w:rPr>
      </w:pPr>
      <w:r w:rsidRPr="006C695D">
        <w:rPr>
          <w:rFonts w:ascii="Verdana" w:eastAsia="Arial" w:hAnsi="Verdana" w:cs="Arial"/>
          <w:lang w:eastAsia="es-ES" w:bidi="es-ES"/>
        </w:rPr>
        <w:lastRenderedPageBreak/>
        <w:t>De igual manera, mediante auto del 6 de noviembre de 2025, el Consejo de Estado, Subsección A de la Sección Tercera, decretó</w:t>
      </w:r>
      <w:r w:rsidRPr="006C695D">
        <w:rPr>
          <w:rFonts w:ascii="Verdana" w:eastAsia="Arial" w:hAnsi="Verdana" w:cs="Arial"/>
          <w:b/>
          <w:bCs/>
          <w:lang w:eastAsia="es-ES" w:bidi="es-ES"/>
        </w:rPr>
        <w:t xml:space="preserve"> </w:t>
      </w:r>
      <w:r w:rsidRPr="006C695D">
        <w:rPr>
          <w:rFonts w:ascii="Verdana" w:eastAsia="Arial" w:hAnsi="Verdana" w:cs="Arial"/>
          <w:lang w:eastAsia="es-ES" w:bidi="es-ES"/>
        </w:rPr>
        <w:t xml:space="preserve">la suspensión provisional de los apartes cuestionados del inciso segundo y del inciso cuarto del numeral 16.2 de la Circular Externa Única, versión 3 del 27 de diciembre de 2023, expedida por la Agencia Nacional de Contratación Pública – Colombia Compra Eficiente relacionados con los contratos interadministrativos. Para tales efectos, el alto tribunal resaltó la interpretación restrictiva de las normas que contienen prohibiciones, como la del parágrafo del artículo 38 de la Ley 996 de 2005, por manera que se excluye la analogía legis o iuris y la interpretación extensiva y reiteró los argumentos sobre la diferencia entre contratos y convenios interadministrativos. </w:t>
      </w:r>
    </w:p>
    <w:p w14:paraId="642CA7B6" w14:textId="77777777" w:rsidR="00393A6D" w:rsidRPr="006C695D" w:rsidRDefault="00393A6D" w:rsidP="00393A6D">
      <w:pPr>
        <w:spacing w:after="120" w:line="276" w:lineRule="auto"/>
        <w:ind w:firstLine="709"/>
        <w:jc w:val="both"/>
        <w:rPr>
          <w:rFonts w:ascii="Verdana" w:eastAsia="Times New Roman" w:hAnsi="Verdana" w:cs="Times New Roman"/>
          <w:lang w:eastAsia="es-ES"/>
        </w:rPr>
      </w:pPr>
      <w:r w:rsidRPr="006C695D">
        <w:rPr>
          <w:rFonts w:ascii="Verdana" w:eastAsia="Arial" w:hAnsi="Verdana" w:cs="Arial"/>
          <w:lang w:eastAsia="es-ES" w:bidi="es-ES"/>
        </w:rPr>
        <w:t xml:space="preserve">Finalmente, mediante sentencia del 17 de octubre de 2025, emitida por la Sala de lo Contencioso Administrativo del Consejo de Estado, dentro del expediente </w:t>
      </w:r>
      <w:r w:rsidRPr="006C695D">
        <w:rPr>
          <w:rFonts w:ascii="Verdana" w:eastAsia="Times New Roman" w:hAnsi="Verdana" w:cs="Times New Roman"/>
          <w:lang w:eastAsia="es-ES"/>
        </w:rPr>
        <w:t xml:space="preserve">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w:t>
      </w:r>
    </w:p>
    <w:p w14:paraId="202ADA3E" w14:textId="77777777" w:rsidR="00393A6D" w:rsidRPr="006C695D" w:rsidRDefault="00393A6D" w:rsidP="00393A6D">
      <w:pPr>
        <w:spacing w:after="120" w:line="276" w:lineRule="auto"/>
        <w:ind w:firstLine="709"/>
        <w:jc w:val="both"/>
        <w:rPr>
          <w:rFonts w:ascii="Verdana" w:eastAsia="Times New Roman" w:hAnsi="Verdana" w:cs="Times New Roman"/>
          <w:lang w:eastAsia="es-ES"/>
        </w:rPr>
      </w:pPr>
      <w:r w:rsidRPr="006C695D">
        <w:rPr>
          <w:rFonts w:ascii="Verdana" w:eastAsia="Times New Roman" w:hAnsi="Verdana" w:cs="Times New Roman"/>
          <w:lang w:eastAsia="es-ES"/>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w:t>
      </w:r>
      <w:r w:rsidRPr="006C695D">
        <w:rPr>
          <w:rFonts w:ascii="Verdana" w:eastAsia="Times New Roman" w:hAnsi="Verdana" w:cs="Times New Roman"/>
          <w:vertAlign w:val="superscript"/>
          <w:lang w:eastAsia="es-ES"/>
        </w:rPr>
        <w:footnoteReference w:id="26"/>
      </w:r>
      <w:r w:rsidRPr="006C695D">
        <w:rPr>
          <w:rFonts w:ascii="Verdana" w:eastAsia="Times New Roman" w:hAnsi="Verdana" w:cs="Times New Roman"/>
          <w:lang w:eastAsia="es-ES"/>
        </w:rPr>
        <w:t xml:space="preserve">. Sobre el particular, la Sala concluyó que contratos y convenios interadministrativos son figuras distintas en naturaleza, objeto y efectos, pues mientras los contratos implican obligaciones patrimoniales y contraprestación, los convenios se basan </w:t>
      </w:r>
      <w:r w:rsidRPr="006C695D">
        <w:rPr>
          <w:rFonts w:ascii="Verdana" w:eastAsia="Times New Roman" w:hAnsi="Verdana" w:cs="Times New Roman"/>
          <w:lang w:eastAsia="es-ES"/>
        </w:rPr>
        <w:lastRenderedPageBreak/>
        <w:t xml:space="preserve">en cooperación sin ánimo económico. Por ello, la restricción legal no podía aplicarse extensivamente a los contratos. </w:t>
      </w:r>
    </w:p>
    <w:p w14:paraId="2703504C" w14:textId="77777777" w:rsidR="00393A6D" w:rsidRPr="006C695D" w:rsidRDefault="00393A6D" w:rsidP="00393A6D">
      <w:pPr>
        <w:spacing w:after="0" w:line="276" w:lineRule="auto"/>
        <w:ind w:firstLine="709"/>
        <w:jc w:val="both"/>
        <w:rPr>
          <w:rFonts w:ascii="Verdana" w:eastAsia="Times New Roman" w:hAnsi="Verdana" w:cs="Arial"/>
          <w:lang w:eastAsia="es-CO"/>
        </w:rPr>
      </w:pPr>
      <w:r w:rsidRPr="006C695D">
        <w:rPr>
          <w:rFonts w:ascii="Verdana" w:eastAsia="Times New Roman" w:hAnsi="Verdana" w:cs="Times New Roman"/>
          <w:lang w:eastAsia="es-ES"/>
        </w:rPr>
        <w:t xml:space="preserve">A juicio de la Sala, aunque el propósito de la Circular Externa era legítimo —evitar el uso indebido de recursos en época electoral—, el numeral 16.2. desconoció el alcance literal del artículo 38 de la Ley 996 de 2005 y los límites de la potestad reglamentaria, lo que configuró un vicio de contenido. </w:t>
      </w:r>
      <w:r w:rsidRPr="006C695D">
        <w:rPr>
          <w:rFonts w:ascii="Verdana" w:eastAsia="Times New Roman" w:hAnsi="Verdana" w:cs="Arial"/>
          <w:lang w:eastAsia="es-CO"/>
        </w:rPr>
        <w:t xml:space="preserve"> Así las cosas, a la luz de lo expuesto por el Consejo de Estado, en la sentencia expedida por la Sección Tercera de la Sala de lo Contencioso Administrativo del 17 de octubre de 2025, en los autos del 4 de octubre de 2024 y 6 de noviembre de 2025, no resultaría aplicable la prohibición del parágrafo del artículo 38 de la Ley de Garantías Electorales a los </w:t>
      </w:r>
      <w:r w:rsidRPr="006C695D">
        <w:rPr>
          <w:rFonts w:ascii="Verdana" w:eastAsia="Times New Roman" w:hAnsi="Verdana" w:cs="Arial"/>
          <w:i/>
          <w:iCs/>
          <w:lang w:eastAsia="es-CO"/>
        </w:rPr>
        <w:t>contratos interadministrativos</w:t>
      </w:r>
      <w:r w:rsidRPr="006C695D">
        <w:rPr>
          <w:rFonts w:ascii="Verdana" w:eastAsia="Times New Roman" w:hAnsi="Verdana" w:cs="Arial"/>
          <w:lang w:eastAsia="es-CO"/>
        </w:rPr>
        <w:t>, esta prohibición solo aplicaría a los convenios interadministrativos que impliquen la ejecución de recursos públicos</w:t>
      </w:r>
      <w:r w:rsidRPr="006C695D">
        <w:rPr>
          <w:rFonts w:ascii="Verdana" w:eastAsia="Times New Roman" w:hAnsi="Verdana" w:cs="Arial"/>
          <w:vertAlign w:val="superscript"/>
          <w:lang w:eastAsia="es-CO"/>
        </w:rPr>
        <w:footnoteReference w:id="27"/>
      </w:r>
      <w:r w:rsidRPr="006C695D">
        <w:rPr>
          <w:rFonts w:ascii="Verdana" w:eastAsia="Times New Roman" w:hAnsi="Verdana" w:cs="Arial"/>
          <w:lang w:eastAsia="es-CO"/>
        </w:rPr>
        <w:t xml:space="preserve">. </w:t>
      </w:r>
    </w:p>
    <w:p w14:paraId="452C29EF" w14:textId="77777777" w:rsidR="00393A6D" w:rsidRPr="006C695D" w:rsidRDefault="00393A6D" w:rsidP="00393A6D">
      <w:pPr>
        <w:spacing w:after="0" w:line="276" w:lineRule="auto"/>
        <w:jc w:val="both"/>
        <w:rPr>
          <w:rFonts w:ascii="Verdana" w:eastAsia="Times New Roman" w:hAnsi="Verdana" w:cs="Arial"/>
          <w:lang w:eastAsia="es-CO"/>
        </w:rPr>
      </w:pPr>
    </w:p>
    <w:p w14:paraId="4A5183C0" w14:textId="77777777" w:rsidR="00393A6D" w:rsidRPr="006C695D" w:rsidRDefault="00393A6D" w:rsidP="00393A6D">
      <w:pPr>
        <w:spacing w:after="120" w:line="276" w:lineRule="auto"/>
        <w:jc w:val="both"/>
        <w:rPr>
          <w:rFonts w:ascii="Verdana" w:eastAsia="Times New Roman" w:hAnsi="Verdana" w:cs="Arial"/>
          <w:bCs/>
          <w:lang w:eastAsia="es-CO"/>
        </w:rPr>
      </w:pPr>
      <w:r w:rsidRPr="006C695D">
        <w:rPr>
          <w:rFonts w:ascii="Verdana" w:eastAsia="Times New Roman" w:hAnsi="Verdana" w:cs="Arial"/>
          <w:lang w:eastAsia="es-CO"/>
        </w:rPr>
        <w:t xml:space="preserve">iv. Ahora bien, para dar respuesta al problema jurídico es necesario revisar el ámbito de aplicación de la </w:t>
      </w:r>
      <w:r w:rsidRPr="006C695D">
        <w:rPr>
          <w:rFonts w:ascii="Verdana" w:eastAsia="Times New Roman" w:hAnsi="Verdana" w:cs="Arial"/>
          <w:bCs/>
          <w:lang w:eastAsia="es-CO"/>
        </w:rPr>
        <w:t xml:space="preserve">Ley 1575 de 2012, denominada </w:t>
      </w:r>
      <w:r w:rsidRPr="006C695D">
        <w:rPr>
          <w:rFonts w:ascii="Verdana" w:eastAsia="Times New Roman" w:hAnsi="Verdana" w:cs="Arial"/>
          <w:bCs/>
          <w:i/>
          <w:iCs/>
          <w:lang w:eastAsia="es-CO"/>
        </w:rPr>
        <w:t>“Ley General de Bomberos de Colombia”</w:t>
      </w:r>
      <w:r w:rsidRPr="006C695D">
        <w:rPr>
          <w:rFonts w:ascii="Verdana" w:eastAsia="Times New Roman" w:hAnsi="Verdana" w:cs="Arial"/>
          <w:bCs/>
          <w:lang w:eastAsia="es-CO"/>
        </w:rPr>
        <w:t xml:space="preserve">. El artículo 1 de este cuerpo normativo define </w:t>
      </w:r>
      <w:r w:rsidRPr="006C695D">
        <w:rPr>
          <w:rFonts w:ascii="Verdana" w:hAnsi="Verdana" w:cs="Arial"/>
          <w:bCs/>
        </w:rPr>
        <w:t>la gestión integral del riesgo de incendios, la preparación y atención de rescates en todas sus modalidades y la respuesta a incidentes con materiales peligrosos constituyen una responsabilidad concurrente de las autoridades y de los habitantes del territorio nacional, con especial énfasis en los municipios, los departamentos y la Nación, sin perjuicio de las competencias asignadas a las demás entidades que integran el Sistema Nacional para la Prevención y Atención de Desastres</w:t>
      </w:r>
      <w:r w:rsidRPr="006C695D">
        <w:rPr>
          <w:rFonts w:ascii="Verdana" w:eastAsia="Times New Roman" w:hAnsi="Verdana" w:cs="Arial"/>
          <w:bCs/>
          <w:vertAlign w:val="superscript"/>
          <w:lang w:eastAsia="es-CO"/>
        </w:rPr>
        <w:footnoteReference w:id="28"/>
      </w:r>
      <w:r w:rsidRPr="006C695D">
        <w:rPr>
          <w:rFonts w:ascii="Verdana" w:hAnsi="Verdana" w:cs="Arial"/>
          <w:bCs/>
        </w:rPr>
        <w:t>.</w:t>
      </w:r>
      <w:r w:rsidRPr="006C695D">
        <w:rPr>
          <w:rFonts w:ascii="Verdana" w:hAnsi="Verdana" w:cs="Arial"/>
        </w:rPr>
        <w:t xml:space="preserve"> </w:t>
      </w:r>
      <w:r w:rsidRPr="006C695D">
        <w:rPr>
          <w:rFonts w:ascii="Verdana" w:eastAsia="Times New Roman" w:hAnsi="Verdana" w:cs="Arial"/>
          <w:bCs/>
          <w:lang w:eastAsia="es-CO"/>
        </w:rPr>
        <w:t xml:space="preserve">De acuerdo con esto, la norma dispone en esquema de </w:t>
      </w:r>
      <w:r w:rsidRPr="006C695D">
        <w:rPr>
          <w:rFonts w:ascii="Verdana" w:eastAsia="Times New Roman" w:hAnsi="Verdana" w:cs="Arial"/>
          <w:bCs/>
          <w:i/>
          <w:iCs/>
          <w:lang w:eastAsia="es-CO"/>
        </w:rPr>
        <w:t>responsabilidad compartida</w:t>
      </w:r>
      <w:r w:rsidRPr="006C695D">
        <w:rPr>
          <w:rFonts w:ascii="Verdana" w:eastAsia="Times New Roman" w:hAnsi="Verdana" w:cs="Arial"/>
          <w:bCs/>
          <w:lang w:eastAsia="es-CO"/>
        </w:rPr>
        <w:t xml:space="preserve">, en el marco del cual las entidades públicas y privadas deben incorporar la contingencia asociada a estos riesgos en la administración de sus bienes muebles e inmuebles —incluidos parques </w:t>
      </w:r>
      <w:r w:rsidRPr="006C695D">
        <w:rPr>
          <w:rFonts w:ascii="Verdana" w:eastAsia="Times New Roman" w:hAnsi="Verdana" w:cs="Arial"/>
          <w:bCs/>
          <w:lang w:eastAsia="es-CO"/>
        </w:rPr>
        <w:lastRenderedPageBreak/>
        <w:t xml:space="preserve">naturales, edificaciones, desarrollos urbanísticos e instalaciones— y adelantar planes, programas y proyectos orientados a reducir su vulnerabilidad y fortalecer la prevención y atención de tales eventos. </w:t>
      </w:r>
    </w:p>
    <w:p w14:paraId="343832FE" w14:textId="77777777" w:rsidR="00393A6D" w:rsidRPr="006C695D" w:rsidRDefault="00393A6D" w:rsidP="00393A6D">
      <w:pPr>
        <w:spacing w:after="120" w:line="276" w:lineRule="auto"/>
        <w:jc w:val="both"/>
        <w:rPr>
          <w:rFonts w:ascii="Verdana" w:eastAsia="Times New Roman" w:hAnsi="Verdana" w:cs="Arial"/>
          <w:bCs/>
          <w:lang w:eastAsia="es-CO"/>
        </w:rPr>
      </w:pPr>
      <w:r w:rsidRPr="006C695D">
        <w:rPr>
          <w:rFonts w:ascii="Verdana" w:eastAsia="Times New Roman" w:hAnsi="Verdana" w:cs="Arial"/>
          <w:bCs/>
          <w:color w:val="EE0000"/>
          <w:lang w:eastAsia="es-CO"/>
        </w:rPr>
        <w:tab/>
      </w:r>
      <w:r w:rsidRPr="006C695D">
        <w:rPr>
          <w:rFonts w:ascii="Verdana" w:eastAsia="Times New Roman" w:hAnsi="Verdana" w:cs="Arial"/>
          <w:bCs/>
          <w:lang w:eastAsia="es-CO"/>
        </w:rPr>
        <w:t xml:space="preserve">En consonancia con lo anterior, el artículo 2 </w:t>
      </w:r>
      <w:r w:rsidRPr="006C695D">
        <w:rPr>
          <w:rFonts w:ascii="Verdana" w:hAnsi="Verdana" w:cs="Arial"/>
          <w:bCs/>
        </w:rPr>
        <w:t xml:space="preserve">dispone que la gestión integral del riesgo contra incendio, la preparación y atención de rescates en todas sus modalidades y la respuesta a incidentes con materiales peligrosos se encuentran a cargo de las instituciones bomberiles y, para todos los efectos, constituyen un servicio público esencial bajo responsabilidad del Estado. </w:t>
      </w:r>
      <w:r w:rsidRPr="006C695D">
        <w:rPr>
          <w:rFonts w:ascii="Verdana" w:eastAsia="Times New Roman" w:hAnsi="Verdana" w:cs="Arial"/>
          <w:bCs/>
          <w:lang w:eastAsia="es-CO"/>
        </w:rPr>
        <w:t>En ese sentido, corresponde al Estado garantizar su prestación eficiente a todos los habitantes del territorio nacional, de manera directa a través de los Cuerpos de Bomberos Oficiales, Voluntarios y aeronáuticos, asegurando la continuidad y cobertura de este servicio.</w:t>
      </w:r>
    </w:p>
    <w:p w14:paraId="6B0916BC" w14:textId="77777777" w:rsidR="00393A6D" w:rsidRPr="006C695D" w:rsidRDefault="00393A6D" w:rsidP="00393A6D">
      <w:pPr>
        <w:spacing w:after="120" w:line="276" w:lineRule="auto"/>
        <w:jc w:val="both"/>
        <w:rPr>
          <w:rFonts w:ascii="Verdana" w:eastAsia="Times New Roman" w:hAnsi="Verdana" w:cs="Arial"/>
          <w:bCs/>
          <w:lang w:eastAsia="es-CO"/>
        </w:rPr>
      </w:pPr>
      <w:r w:rsidRPr="006C695D">
        <w:rPr>
          <w:rFonts w:ascii="Verdana" w:eastAsia="Times New Roman" w:hAnsi="Verdana" w:cs="Arial"/>
          <w:bCs/>
          <w:lang w:eastAsia="es-CO"/>
        </w:rPr>
        <w:tab/>
        <w:t xml:space="preserve">Por su parte, el artículo 3 de la Ley 1575 de 2012 establece el marco conceptual y los principios que orientan la organización, dirección y prestación del servicio público esencial de gestión integral del riesgo contra incendio, así como las actividades de rescate y atención de incidentes con materiales peligrosos. En este sentido, precisa los elementos que estructuran la función bomberil y delimita su alcance dentro del sistema de gestión del riesgo, reafirmando su carácter de servicio público a cargo del Estado. Para el efecto, el inciso cuarto de la norma estable que: “Es obligación de los distritos, con asiento en su respectiva jurisdicción y de los municipios la prestación del servicio público esencial a través de los cuerpos de bomberos oficiales o </w:t>
      </w:r>
      <w:r w:rsidRPr="006C695D">
        <w:rPr>
          <w:rFonts w:ascii="Verdana" w:eastAsia="Times New Roman" w:hAnsi="Verdana" w:cs="Arial"/>
          <w:bCs/>
          <w:i/>
          <w:iCs/>
          <w:lang w:eastAsia="es-CO"/>
        </w:rPr>
        <w:t>mediante la celebración de contratos y/o convenios con los cuerpos de bomberos voluntarios</w:t>
      </w:r>
      <w:r w:rsidRPr="006C695D">
        <w:rPr>
          <w:rFonts w:ascii="Verdana" w:eastAsia="Times New Roman" w:hAnsi="Verdana" w:cs="Arial"/>
          <w:bCs/>
          <w:lang w:eastAsia="es-CO"/>
        </w:rPr>
        <w:t>” [Énfasis fuera de texto]. </w:t>
      </w:r>
    </w:p>
    <w:p w14:paraId="56BA09AE" w14:textId="77777777" w:rsidR="00393A6D" w:rsidRPr="006C695D" w:rsidRDefault="00393A6D" w:rsidP="00393A6D">
      <w:pPr>
        <w:spacing w:after="120" w:line="276" w:lineRule="auto"/>
        <w:jc w:val="both"/>
        <w:rPr>
          <w:rFonts w:ascii="Verdana" w:eastAsia="Times New Roman" w:hAnsi="Verdana" w:cs="Arial"/>
          <w:bCs/>
          <w:lang w:eastAsia="es-CO"/>
        </w:rPr>
      </w:pPr>
      <w:r w:rsidRPr="006C695D">
        <w:rPr>
          <w:rFonts w:ascii="Verdana" w:eastAsia="Times New Roman" w:hAnsi="Verdana" w:cs="Arial"/>
          <w:bCs/>
          <w:lang w:eastAsia="es-CO"/>
        </w:rPr>
        <w:t xml:space="preserve"> </w:t>
      </w:r>
      <w:r w:rsidRPr="006C695D">
        <w:rPr>
          <w:rFonts w:ascii="Verdana" w:eastAsia="Times New Roman" w:hAnsi="Verdana" w:cs="Arial"/>
          <w:bCs/>
          <w:lang w:eastAsia="es-CO"/>
        </w:rPr>
        <w:tab/>
        <w:t xml:space="preserve">Con arreglo a lo dispuesto en el artículo 4 de la referida ley, los </w:t>
      </w:r>
      <w:r w:rsidRPr="006C695D">
        <w:rPr>
          <w:rFonts w:ascii="Verdana" w:eastAsia="Times New Roman" w:hAnsi="Verdana" w:cs="Arial"/>
          <w:bCs/>
          <w:i/>
          <w:iCs/>
          <w:lang w:eastAsia="es-CO"/>
        </w:rPr>
        <w:t xml:space="preserve">Cuerpos de Bomberos Voluntarios Reconocidos </w:t>
      </w:r>
      <w:r w:rsidRPr="006C695D">
        <w:rPr>
          <w:rFonts w:ascii="Verdana" w:eastAsia="Times New Roman" w:hAnsi="Verdana" w:cs="Arial"/>
          <w:bCs/>
          <w:lang w:eastAsia="es-CO"/>
        </w:rPr>
        <w:t xml:space="preserve">integran los Bomberos de Colombia y hacen parte integral del Sistema Nacional para la Prevención y Atención de Desastres. Estos son definidos por el artículo 18 como aquellos </w:t>
      </w:r>
      <w:r w:rsidRPr="006C695D">
        <w:rPr>
          <w:rFonts w:ascii="Verdana" w:eastAsia="Times New Roman" w:hAnsi="Verdana" w:cs="Arial"/>
          <w:i/>
          <w:lang w:eastAsia="es-CO"/>
        </w:rPr>
        <w:t>“organizados como asociaciones sin ánimo de lucro, de utilidad común y con personería jurídica expedida por las secretarías de gobierno departamentales, organizadas para la prestación del servicio público para la gestión integral del riesgo contra incendio, los preparativos y atención de rescates en todas sus modalidades y la atención de incidentes con materiales peligrosos, en los términos del artículo segundo de la presente ley y con certificado de cumplimiento expedido por la dirección Nacional de Bomberos”</w:t>
      </w:r>
      <w:r w:rsidRPr="006C695D">
        <w:rPr>
          <w:rFonts w:ascii="Verdana" w:eastAsia="Times New Roman" w:hAnsi="Verdana" w:cs="Arial"/>
          <w:bCs/>
          <w:lang w:eastAsia="es-CO"/>
        </w:rPr>
        <w:t xml:space="preserve">. </w:t>
      </w:r>
    </w:p>
    <w:p w14:paraId="3A123AE4" w14:textId="77777777" w:rsidR="00393A6D" w:rsidRPr="006C695D" w:rsidRDefault="00393A6D" w:rsidP="00393A6D">
      <w:pPr>
        <w:spacing w:after="120" w:line="276" w:lineRule="auto"/>
        <w:jc w:val="both"/>
        <w:rPr>
          <w:rFonts w:ascii="Verdana" w:eastAsia="Times New Roman" w:hAnsi="Verdana" w:cs="Arial"/>
          <w:bCs/>
          <w:lang w:eastAsia="es-CO"/>
        </w:rPr>
      </w:pPr>
      <w:r w:rsidRPr="006C695D">
        <w:rPr>
          <w:rFonts w:ascii="Verdana" w:eastAsia="Times New Roman" w:hAnsi="Verdana" w:cs="Arial"/>
          <w:bCs/>
          <w:color w:val="EE0000"/>
          <w:lang w:eastAsia="es-CO"/>
        </w:rPr>
        <w:lastRenderedPageBreak/>
        <w:tab/>
      </w:r>
      <w:r w:rsidRPr="006C695D">
        <w:rPr>
          <w:rFonts w:ascii="Verdana" w:hAnsi="Verdana" w:cs="Arial"/>
          <w:bCs/>
        </w:rPr>
        <w:t xml:space="preserve">El artículo 22 de la Ley 1575 de 2012 define las funciones asignadas a los cuerpos de bomberos en el marco de la gestión integral del riesgo contra incendio, los preparativos y atención de rescates en todas sus modalidades y la respuesta a incidentes con materiales peligrosos. De esta manera, precisa el conjunto de competencias operativas, preventivas y de apoyo que estructuran el ejercicio de la función bomberil dentro del servicio público esencial a cargo del Estado. </w:t>
      </w:r>
      <w:r w:rsidRPr="006C695D">
        <w:rPr>
          <w:rFonts w:ascii="Verdana" w:eastAsia="Times New Roman" w:hAnsi="Verdana" w:cs="Arial"/>
          <w:bCs/>
          <w:lang w:eastAsia="es-CO"/>
        </w:rPr>
        <w:t>La disposición orienta la actuación de estas instituciones hacia la protección de la vida, los bienes y el ambiente, bajo criterios de coordinación con las autoridades competentes y en articulación con el Sistema Nacional de Gestión del Riesgo de Desastres, asegurando una respuesta oportuna, eficaz y organizada frente a las situaciones de emergencia.</w:t>
      </w:r>
    </w:p>
    <w:p w14:paraId="686A1F22" w14:textId="77777777" w:rsidR="00393A6D" w:rsidRPr="006C695D" w:rsidRDefault="00393A6D" w:rsidP="00393A6D">
      <w:pPr>
        <w:tabs>
          <w:tab w:val="left" w:pos="426"/>
        </w:tabs>
        <w:spacing w:after="120" w:line="276" w:lineRule="auto"/>
        <w:ind w:firstLine="709"/>
        <w:jc w:val="both"/>
        <w:rPr>
          <w:rFonts w:ascii="Verdana" w:eastAsia="Times New Roman" w:hAnsi="Verdana" w:cs="Arial"/>
          <w:bCs/>
          <w:lang w:eastAsia="es-CO"/>
        </w:rPr>
      </w:pPr>
      <w:r w:rsidRPr="006C695D">
        <w:rPr>
          <w:rFonts w:ascii="Verdana" w:eastAsia="Times New Roman" w:hAnsi="Verdana" w:cs="Arial"/>
          <w:bCs/>
          <w:lang w:eastAsia="es-CO"/>
        </w:rPr>
        <w:t>Por su parte, el artículo 37 de la Ley 1575 de 2012 autoriza a los concejos municipales y distritales, a iniciativa del respectivo alcalde, para establecer sobretasas o recargos a los tributos allí previstos con el fin de financiar la actividad bomberil. De esta manera, el legislador previó una fuente de financiación destinada a garantizar la prestación del servicio público esencial a cargo de los municipios y distritos, permitiendo que las entidades territoriales cuenten con recursos específicamente orientados al sostenimiento de las actividades relacionadas con la gestión integral del riesgo contra incendio, los preparativos y atención de rescates en todas sus modalidades y la atención de incidentes con materiales peligrosos. En ese sentido, la sobretasa bomberil constituye un mecanismo de financiación cuya destinación se encuentra directamente vinculada al cumplimiento de las obligaciones que la propia Ley 1575 de 2012 asigna a los municipios y distritos en materia de prestación del servicio público bomberil.</w:t>
      </w:r>
    </w:p>
    <w:p w14:paraId="4A39412E" w14:textId="77777777" w:rsidR="00393A6D" w:rsidRPr="006C695D" w:rsidRDefault="00393A6D" w:rsidP="00393A6D">
      <w:pPr>
        <w:tabs>
          <w:tab w:val="left" w:pos="426"/>
        </w:tabs>
        <w:spacing w:after="120" w:line="276" w:lineRule="auto"/>
        <w:jc w:val="both"/>
        <w:rPr>
          <w:rFonts w:ascii="Verdana" w:eastAsia="Times New Roman" w:hAnsi="Verdana" w:cs="Arial"/>
          <w:bCs/>
          <w:lang w:eastAsia="es-CO"/>
        </w:rPr>
      </w:pPr>
      <w:r w:rsidRPr="006C695D">
        <w:rPr>
          <w:rFonts w:ascii="Verdana" w:eastAsia="Times New Roman" w:hAnsi="Verdana" w:cs="Arial"/>
          <w:bCs/>
          <w:lang w:eastAsia="es-CO"/>
        </w:rPr>
        <w:tab/>
        <w:t>Teniendo en cuenta el análisis precedente, de cara a la aplicación de la Ley de Garantías Electorales, la celebración de convenios para la transferencia de recursos provenientes de la sobretasa bomberil a cuerpos de bomberos voluntarios no se encuentra excluida, por su sola naturaleza, de la aplicación de las restricciones previstas en el artículo 33 de la Ley 996 de 2005. En consecuencia, su procedencia durante el periodo de restricción electoral dependerá de la naturaleza jurídica del convenio que se pretenda celebrar, del régimen de contratación aplicable y de la verificación de los supuestos previstos en la citada disposición, así como de las excepciones contempladas por el legislador.</w:t>
      </w:r>
    </w:p>
    <w:p w14:paraId="118655C9" w14:textId="77777777" w:rsidR="00393A6D" w:rsidRPr="006C695D" w:rsidRDefault="00393A6D" w:rsidP="00393A6D">
      <w:pPr>
        <w:spacing w:after="0" w:line="276" w:lineRule="auto"/>
        <w:jc w:val="both"/>
        <w:rPr>
          <w:rFonts w:ascii="Verdana" w:eastAsia="Times New Roman" w:hAnsi="Verdana" w:cs="Times New Roman"/>
          <w:lang w:eastAsia="es-ES"/>
        </w:rPr>
      </w:pPr>
      <w:r w:rsidRPr="006C695D">
        <w:rPr>
          <w:rFonts w:ascii="Verdana" w:eastAsia="Calibri" w:hAnsi="Verdana" w:cs="Arial"/>
        </w:rPr>
        <w:lastRenderedPageBreak/>
        <w:t xml:space="preserve">v. Finalmente, es pertinente indicar que la Agencia Nacional de Contratación Púbica -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Estatuto General de Contratación de la Administración Pública.  </w:t>
      </w:r>
      <w:r w:rsidRPr="006C695D">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p w14:paraId="6995ABDA" w14:textId="77777777" w:rsidR="00393A6D" w:rsidRPr="006C695D" w:rsidRDefault="00393A6D" w:rsidP="00393A6D">
      <w:pPr>
        <w:spacing w:after="0" w:line="276" w:lineRule="auto"/>
        <w:ind w:firstLine="708"/>
        <w:jc w:val="both"/>
        <w:rPr>
          <w:rFonts w:ascii="Verdana" w:eastAsia="Times New Roman" w:hAnsi="Verdana" w:cs="Times New Roman"/>
          <w:color w:val="EE0000"/>
          <w:lang w:eastAsia="es-ES"/>
        </w:rPr>
      </w:pPr>
    </w:p>
    <w:bookmarkEnd w:id="1"/>
    <w:bookmarkEnd w:id="2"/>
    <w:p w14:paraId="2DEEAE00" w14:textId="77777777" w:rsidR="00393A6D" w:rsidRPr="006C695D" w:rsidRDefault="00393A6D" w:rsidP="00393A6D">
      <w:pPr>
        <w:spacing w:after="0" w:line="276" w:lineRule="auto"/>
        <w:jc w:val="both"/>
        <w:rPr>
          <w:rFonts w:ascii="Verdana" w:eastAsia="Century Gothic" w:hAnsi="Verdana" w:cs="Century Gothic"/>
          <w:b/>
          <w:lang w:val="es-ES"/>
        </w:rPr>
      </w:pPr>
      <w:r w:rsidRPr="006C695D">
        <w:rPr>
          <w:rFonts w:ascii="Verdana" w:eastAsia="Century Gothic" w:hAnsi="Verdana" w:cs="Century Gothic"/>
          <w:b/>
          <w:lang w:val="es-ES"/>
        </w:rPr>
        <w:t>4. Referencias normativas, jurisprudenciales y otras fuentes:</w:t>
      </w:r>
    </w:p>
    <w:p w14:paraId="38960DBE" w14:textId="77777777" w:rsidR="00393A6D" w:rsidRPr="006C695D" w:rsidRDefault="00393A6D" w:rsidP="00393A6D">
      <w:pPr>
        <w:spacing w:after="0" w:line="276" w:lineRule="auto"/>
        <w:jc w:val="both"/>
        <w:rPr>
          <w:rFonts w:ascii="Verdana" w:eastAsia="Century Gothic" w:hAnsi="Verdana" w:cs="Century Gothic"/>
          <w:b/>
          <w:color w:val="EE0000"/>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93A6D" w:rsidRPr="006C695D" w14:paraId="5FD63926" w14:textId="77777777">
        <w:trPr>
          <w:trHeight w:val="870"/>
        </w:trPr>
        <w:tc>
          <w:tcPr>
            <w:tcW w:w="8647" w:type="dxa"/>
          </w:tcPr>
          <w:p w14:paraId="6F9A0065"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Constitución Política de Colombia. Artículo 127.</w:t>
            </w:r>
          </w:p>
          <w:p w14:paraId="020E22BF"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Ley 996 de 2005. Artículos 33 y 38.</w:t>
            </w:r>
          </w:p>
          <w:p w14:paraId="7357BD32"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Ley 1150 de 2007. Artículo 2.</w:t>
            </w:r>
          </w:p>
          <w:p w14:paraId="08020FC5"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Ley 1523 de 2012. Artículos 4, 35 y 66.</w:t>
            </w:r>
          </w:p>
          <w:p w14:paraId="5223B2A3"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Ley 1575 de 2012. Artículos 1, 2, 3, 18, 22 Y 37.</w:t>
            </w:r>
          </w:p>
          <w:p w14:paraId="3E88E84A"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Corte Constitucional, Sentencia C- 1153 de 2005. M.P. Marco Gerardo Monroy Cabra.</w:t>
            </w:r>
          </w:p>
          <w:p w14:paraId="254426E4" w14:textId="77777777" w:rsidR="00393A6D" w:rsidRPr="006C695D" w:rsidRDefault="00393A6D">
            <w:pPr>
              <w:widowControl w:val="0"/>
              <w:numPr>
                <w:ilvl w:val="0"/>
                <w:numId w:val="16"/>
              </w:numPr>
              <w:autoSpaceDE w:val="0"/>
              <w:autoSpaceDN w:val="0"/>
              <w:spacing w:line="276" w:lineRule="auto"/>
              <w:ind w:left="714" w:hanging="357"/>
              <w:jc w:val="both"/>
              <w:rPr>
                <w:rFonts w:ascii="Verdana" w:eastAsia="Arial MT" w:hAnsi="Verdana" w:cs="Arial"/>
                <w:bCs/>
                <w:lang w:eastAsia="es-ES" w:bidi="es-ES"/>
              </w:rPr>
            </w:pPr>
            <w:r w:rsidRPr="006C695D">
              <w:rPr>
                <w:rFonts w:ascii="Verdana" w:eastAsia="Arial MT" w:hAnsi="Verdana" w:cs="Arial"/>
                <w:bCs/>
                <w:lang w:eastAsia="es-ES" w:bidi="es-ES"/>
              </w:rPr>
              <w:t xml:space="preserve">Consejo de Estado, Sala de Consulta y Servicio Civil de fecha 24 de julio de 2013, radicado 2166, Consejero Ponente: Álvaro Namén Vargas.  </w:t>
            </w:r>
          </w:p>
          <w:p w14:paraId="4294C1A9" w14:textId="77777777" w:rsidR="00393A6D" w:rsidRPr="006C695D" w:rsidRDefault="00393A6D">
            <w:pPr>
              <w:widowControl w:val="0"/>
              <w:numPr>
                <w:ilvl w:val="0"/>
                <w:numId w:val="16"/>
              </w:numPr>
              <w:autoSpaceDE w:val="0"/>
              <w:autoSpaceDN w:val="0"/>
              <w:spacing w:line="276" w:lineRule="auto"/>
              <w:jc w:val="both"/>
              <w:rPr>
                <w:rFonts w:ascii="Verdana" w:eastAsia="Calibri" w:hAnsi="Verdana" w:cs="Arial"/>
                <w:color w:val="EE0000"/>
                <w:lang w:val="es-ES"/>
              </w:rPr>
            </w:pPr>
            <w:r w:rsidRPr="006C695D">
              <w:rPr>
                <w:rFonts w:ascii="Verdana" w:eastAsia="Arial MT" w:hAnsi="Verdana" w:cs="Arial"/>
                <w:bCs/>
                <w:lang w:eastAsia="es-ES" w:bidi="es-ES"/>
              </w:rPr>
              <w:t>Consejo de Estado. Sala de Consulta y Servicio Civil, Concepto de 8 de mayo de 2018. Radicación Número: 11001-03-06-000-2018-00095-00(2382). Consejero Ponente: Álvaro Namén Vargas.</w:t>
            </w:r>
          </w:p>
        </w:tc>
      </w:tr>
    </w:tbl>
    <w:p w14:paraId="385B4EF5" w14:textId="77777777" w:rsidR="00393A6D" w:rsidRPr="006C695D" w:rsidRDefault="00393A6D" w:rsidP="00393A6D">
      <w:pPr>
        <w:widowControl w:val="0"/>
        <w:autoSpaceDE w:val="0"/>
        <w:autoSpaceDN w:val="0"/>
        <w:spacing w:after="0" w:line="276" w:lineRule="auto"/>
        <w:jc w:val="both"/>
        <w:rPr>
          <w:rFonts w:ascii="Verdana" w:hAnsi="Verdana" w:cs="Arial"/>
          <w:color w:val="EE0000"/>
          <w:lang w:val="es-ES"/>
        </w:rPr>
      </w:pPr>
    </w:p>
    <w:p w14:paraId="21F0D2EA"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lang w:val="es-ES"/>
        </w:rPr>
      </w:pPr>
      <w:r w:rsidRPr="006C695D">
        <w:rPr>
          <w:rFonts w:ascii="Verdana" w:eastAsia="Century Gothic" w:hAnsi="Verdana" w:cs="Century Gothic"/>
          <w:b/>
          <w:lang w:val="es-ES"/>
        </w:rPr>
        <w:t>5. Doctrina de la Agencia Nacional de Contratación Pública:</w:t>
      </w:r>
    </w:p>
    <w:p w14:paraId="2ED8208B" w14:textId="77777777" w:rsidR="00393A6D" w:rsidRPr="006C695D" w:rsidRDefault="00393A6D" w:rsidP="00393A6D">
      <w:pPr>
        <w:tabs>
          <w:tab w:val="left" w:pos="142"/>
          <w:tab w:val="left" w:pos="284"/>
        </w:tabs>
        <w:spacing w:after="0" w:line="276" w:lineRule="auto"/>
        <w:jc w:val="both"/>
        <w:rPr>
          <w:rFonts w:ascii="Verdana" w:eastAsia="Century Gothic" w:hAnsi="Verdana" w:cs="Century Gothic"/>
          <w:b/>
          <w:color w:val="EE0000"/>
          <w:lang w:val="es-ES"/>
        </w:rPr>
      </w:pPr>
    </w:p>
    <w:p w14:paraId="34653D8D" w14:textId="77777777" w:rsidR="00393A6D" w:rsidRPr="006C695D" w:rsidRDefault="00393A6D" w:rsidP="00393A6D">
      <w:pPr>
        <w:widowControl w:val="0"/>
        <w:autoSpaceDE w:val="0"/>
        <w:autoSpaceDN w:val="0"/>
        <w:spacing w:after="0" w:line="276" w:lineRule="auto"/>
        <w:jc w:val="both"/>
        <w:rPr>
          <w:rFonts w:ascii="Verdana" w:hAnsi="Verdana" w:cs="Arial"/>
          <w:shd w:val="clear" w:color="auto" w:fill="FFFFFF"/>
        </w:rPr>
      </w:pPr>
      <w:r w:rsidRPr="006C695D">
        <w:rPr>
          <w:rFonts w:ascii="Verdana" w:eastAsia="Calibri" w:hAnsi="Verdana" w:cs="Arial"/>
          <w:lang w:val="es-ES"/>
        </w:rPr>
        <w:t xml:space="preserve">La Agencia Nacional de Contratación Pública – Colombia Compra Eficiente se ha referido </w:t>
      </w:r>
      <w:r w:rsidRPr="006C695D">
        <w:rPr>
          <w:rFonts w:ascii="Verdana" w:hAnsi="Verdana" w:cs="Arial"/>
          <w:shd w:val="clear" w:color="auto" w:fill="FFFFFF"/>
          <w:lang w:val="es-ES"/>
        </w:rPr>
        <w:t xml:space="preserve">sobre </w:t>
      </w:r>
      <w:r w:rsidRPr="006C695D">
        <w:rPr>
          <w:rFonts w:ascii="Verdana" w:hAnsi="Verdana" w:cs="Arial"/>
        </w:rPr>
        <w:t>sobre la Ley de Garantías Electorales</w:t>
      </w:r>
      <w:r w:rsidRPr="006C695D">
        <w:rPr>
          <w:rFonts w:ascii="Verdana" w:hAnsi="Verdana" w:cs="Arial"/>
          <w:shd w:val="clear" w:color="auto" w:fill="FFFFFF"/>
        </w:rPr>
        <w:t xml:space="preserve"> </w:t>
      </w:r>
      <w:r w:rsidRPr="006C695D">
        <w:rPr>
          <w:rFonts w:ascii="Verdana" w:hAnsi="Verdana" w:cs="Arial"/>
        </w:rPr>
        <w:t xml:space="preserve">en los Conceptos C- 022 del 21 de febrero de 2022, C-045 del 3 de marzo de 2022, C-064 del 8 de marzo de </w:t>
      </w:r>
      <w:r w:rsidRPr="006C695D">
        <w:rPr>
          <w:rFonts w:ascii="Verdana" w:hAnsi="Verdana" w:cs="Arial"/>
        </w:rPr>
        <w:lastRenderedPageBreak/>
        <w:t xml:space="preserve">2022, C-072 del 11 de marzo de 2022, C- 097 del 18 de febrero de 2022, C-116 del 18 de febrero de 2022 y C-077 del 17 de marzo de 2022, </w:t>
      </w:r>
      <w:r w:rsidRPr="006C695D">
        <w:rPr>
          <w:rFonts w:ascii="Verdana" w:hAnsi="Verdana" w:cs="Arial"/>
          <w:shd w:val="clear" w:color="auto" w:fill="FFFFFF"/>
        </w:rPr>
        <w:t xml:space="preserve">C-180 del 21 de marzo de 2025, C-317 del 25 de abril de 2025, C-510 del 4 de junio de 2025, </w:t>
      </w:r>
      <w:r w:rsidRPr="006C695D">
        <w:rPr>
          <w:rFonts w:ascii="Verdana" w:hAnsi="Verdana" w:cs="Arial"/>
          <w:shd w:val="clear" w:color="auto" w:fill="FFFFFF"/>
          <w:lang w:val="es-ES"/>
        </w:rPr>
        <w:t xml:space="preserve">646 del 26 de junio de 2025, C-957 del 23 de agosto de 2025, C-975 del 28 de agosto de 2025, C-1015 del 4 de septiembre de 2025, C-1096 del 28 de agosto de 2025, C-1170 del 16 de septiembre de 2025, </w:t>
      </w:r>
      <w:r w:rsidRPr="006C695D">
        <w:rPr>
          <w:rFonts w:ascii="Verdana" w:hAnsi="Verdana" w:cs="Arial"/>
          <w:shd w:val="clear" w:color="auto" w:fill="FFFFFF"/>
        </w:rPr>
        <w:t>C–750 de 17 de julio 2025, C-868 del 12 de agosto de 2025, C-1057 del 5 de septiembre de 2025, C-1195 del 3 de octubre de 2025, C-1350 del 19 de septiembre de 2025, C- 1236 del 27 de octubre de 2025, C-1835 del 21 de enero de 2026 C-021 del 18 de febrero de  2026, C-250 del 30 de marzo de 2026, C-592 del 22 de mayo de 2026, C-644 del 01 de junio de 2026, entre otros.</w:t>
      </w:r>
    </w:p>
    <w:p w14:paraId="2AF727E2" w14:textId="77777777" w:rsidR="00393A6D" w:rsidRPr="006C695D" w:rsidRDefault="00393A6D" w:rsidP="00393A6D">
      <w:pPr>
        <w:widowControl w:val="0"/>
        <w:autoSpaceDE w:val="0"/>
        <w:autoSpaceDN w:val="0"/>
        <w:spacing w:after="0" w:line="276" w:lineRule="auto"/>
        <w:jc w:val="both"/>
        <w:rPr>
          <w:rFonts w:ascii="Verdana" w:hAnsi="Verdana" w:cs="Arial"/>
          <w:shd w:val="clear" w:color="auto" w:fill="FFFFFF"/>
          <w:lang w:val="es-ES"/>
        </w:rPr>
      </w:pPr>
    </w:p>
    <w:p w14:paraId="66C1E4E3" w14:textId="77777777" w:rsidR="00393A6D" w:rsidRPr="006C695D" w:rsidRDefault="00393A6D" w:rsidP="00393A6D">
      <w:pPr>
        <w:widowControl w:val="0"/>
        <w:autoSpaceDE w:val="0"/>
        <w:autoSpaceDN w:val="0"/>
        <w:spacing w:after="0" w:line="276" w:lineRule="auto"/>
        <w:jc w:val="both"/>
        <w:rPr>
          <w:rStyle w:val="Hipervnculo"/>
          <w:rFonts w:ascii="Verdana" w:hAnsi="Verdana" w:cs="Arial"/>
          <w:shd w:val="clear" w:color="auto" w:fill="FFFFFF"/>
          <w:lang w:val="es-ES"/>
        </w:rPr>
      </w:pPr>
      <w:r w:rsidRPr="006C695D">
        <w:rPr>
          <w:rFonts w:ascii="Verdana" w:hAnsi="Verdana" w:cs="Arial"/>
          <w:shd w:val="clear" w:color="auto" w:fill="FFFFFF"/>
          <w:lang w:val="es-ES"/>
        </w:rPr>
        <w:t>Estos</w:t>
      </w:r>
      <w:r w:rsidRPr="006C695D">
        <w:rPr>
          <w:rFonts w:ascii="Verdana" w:hAnsi="Verdana"/>
          <w:lang w:val="es-ES"/>
        </w:rPr>
        <w:t xml:space="preserve"> y otros se encuentran disponibles para consulta en el Sistema de relatoría de la Agencia, al cual se puede acceder a través del siguiente enlace:</w:t>
      </w:r>
      <w:r w:rsidRPr="006C695D">
        <w:rPr>
          <w:rFonts w:ascii="Verdana" w:hAnsi="Verdana" w:cs="Arial"/>
          <w:shd w:val="clear" w:color="auto" w:fill="FFFFFF"/>
          <w:lang w:val="es-ES"/>
        </w:rPr>
        <w:t xml:space="preserve"> </w:t>
      </w:r>
      <w:hyperlink r:id="rId12" w:history="1">
        <w:r w:rsidRPr="006C695D">
          <w:rPr>
            <w:rStyle w:val="Hipervnculo"/>
            <w:rFonts w:ascii="Verdana" w:hAnsi="Verdana" w:cs="Arial"/>
            <w:shd w:val="clear" w:color="auto" w:fill="FFFFFF"/>
            <w:lang w:val="es-ES"/>
          </w:rPr>
          <w:t>https://relatoria.colombiacompra.gov.co/busqueda/conceptos</w:t>
        </w:r>
      </w:hyperlink>
    </w:p>
    <w:p w14:paraId="3776C5DC" w14:textId="77777777" w:rsidR="00393A6D" w:rsidRPr="006C695D" w:rsidRDefault="00393A6D" w:rsidP="00393A6D">
      <w:pPr>
        <w:widowControl w:val="0"/>
        <w:autoSpaceDE w:val="0"/>
        <w:autoSpaceDN w:val="0"/>
        <w:spacing w:after="0" w:line="276" w:lineRule="auto"/>
        <w:jc w:val="both"/>
        <w:rPr>
          <w:rFonts w:ascii="Verdana" w:hAnsi="Verdana" w:cs="Arial"/>
          <w:shd w:val="clear" w:color="auto" w:fill="FFFFFF"/>
        </w:rPr>
      </w:pPr>
    </w:p>
    <w:p w14:paraId="62916A40" w14:textId="77777777" w:rsidR="00393A6D" w:rsidRPr="006C695D" w:rsidRDefault="00393A6D" w:rsidP="00393A6D">
      <w:pPr>
        <w:spacing w:after="0" w:line="276" w:lineRule="auto"/>
        <w:jc w:val="both"/>
        <w:rPr>
          <w:rFonts w:ascii="Verdana" w:hAnsi="Verdana"/>
        </w:rPr>
      </w:pPr>
      <w:r w:rsidRPr="006C695D">
        <w:rPr>
          <w:rFonts w:ascii="Verdana" w:hAnsi="Verdana"/>
        </w:rPr>
        <w:t xml:space="preserve">La sostenibilidad no es una opción, es una obligación. Por ello, la Agencia Nacional de Contratación Pública –Colombia Compra Eficiente– te invita a realizar el </w:t>
      </w:r>
      <w:r w:rsidRPr="006C695D">
        <w:rPr>
          <w:rFonts w:ascii="Verdana" w:hAnsi="Verdana"/>
          <w:b/>
          <w:bCs/>
        </w:rPr>
        <w:t>Curso de Contratación Pública Sostenible y Socialmente Responsable</w:t>
      </w:r>
      <w:r w:rsidRPr="006C695D">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6C695D">
        <w:rPr>
          <w:rFonts w:ascii="Verdana" w:hAnsi="Verdana"/>
        </w:rPr>
        <w:br/>
      </w:r>
      <w:hyperlink r:id="rId13" w:tgtFrame="_new" w:history="1">
        <w:r w:rsidRPr="006C695D">
          <w:rPr>
            <w:rStyle w:val="Hipervnculo"/>
            <w:rFonts w:ascii="Verdana" w:hAnsi="Verdana"/>
          </w:rPr>
          <w:t>https://formacionvirtual.colombiacompra.gov.co/mod/page/view.php?id=3718</w:t>
        </w:r>
      </w:hyperlink>
    </w:p>
    <w:p w14:paraId="7FA61793" w14:textId="77777777" w:rsidR="00393A6D" w:rsidRPr="006C695D" w:rsidRDefault="00393A6D" w:rsidP="00393A6D">
      <w:pPr>
        <w:spacing w:after="0" w:line="276" w:lineRule="auto"/>
        <w:jc w:val="both"/>
        <w:rPr>
          <w:rFonts w:ascii="Verdana" w:hAnsi="Verdana"/>
        </w:rPr>
      </w:pPr>
    </w:p>
    <w:p w14:paraId="21E36C0C" w14:textId="77777777" w:rsidR="00393A6D" w:rsidRPr="006C695D" w:rsidRDefault="00393A6D" w:rsidP="00393A6D">
      <w:pPr>
        <w:spacing w:after="0" w:line="276" w:lineRule="auto"/>
        <w:jc w:val="both"/>
        <w:rPr>
          <w:rFonts w:ascii="Verdana" w:hAnsi="Verdana"/>
        </w:rPr>
      </w:pPr>
      <w:r w:rsidRPr="006C695D">
        <w:rPr>
          <w:rFonts w:ascii="Verdana" w:hAnsi="Verdana"/>
        </w:rPr>
        <w:t xml:space="preserve">De otro lado, te contamos que esta Agencia ha da un paso decisivo en la estandarización y modernización del </w:t>
      </w:r>
      <w:r w:rsidRPr="006C695D">
        <w:rPr>
          <w:rFonts w:ascii="Verdana" w:hAnsi="Verdana"/>
          <w:b/>
          <w:bCs/>
        </w:rPr>
        <w:t>sector  social</w:t>
      </w:r>
      <w:r w:rsidRPr="006C695D">
        <w:rPr>
          <w:rFonts w:ascii="Verdana" w:hAnsi="Verdana"/>
        </w:rPr>
        <w:t xml:space="preserve"> con la expedición de las </w:t>
      </w:r>
      <w:r w:rsidRPr="006C695D">
        <w:rPr>
          <w:rFonts w:ascii="Verdana" w:hAnsi="Verdana"/>
          <w:b/>
          <w:bCs/>
        </w:rPr>
        <w:t>Resoluciones 539, 540, 541, 952 y 953 de 2025</w:t>
      </w:r>
      <w:r w:rsidRPr="006C695D">
        <w:rPr>
          <w:rFonts w:ascii="Verdana" w:hAnsi="Verdana"/>
        </w:rPr>
        <w:t xml:space="preserve">, </w:t>
      </w:r>
      <w:r w:rsidRPr="006C695D">
        <w:rPr>
          <w:rFonts w:ascii="Verdana" w:hAnsi="Verdana"/>
          <w:b/>
          <w:bCs/>
        </w:rPr>
        <w:t>mediante las cuales adoptó Documentos Tipo</w:t>
      </w:r>
      <w:r w:rsidRPr="006C695D">
        <w:rPr>
          <w:rFonts w:ascii="Verdana" w:hAnsi="Verdana"/>
        </w:rPr>
        <w:t xml:space="preserve"> para las modalidades de selección de</w:t>
      </w:r>
      <w:r w:rsidRPr="006C695D">
        <w:rPr>
          <w:rFonts w:ascii="Verdana" w:hAnsi="Verdana"/>
          <w:b/>
          <w:bCs/>
        </w:rPr>
        <w:t xml:space="preserve"> licitación pública (versión 2), selección abreviada de menor cuantía, mínima cuantía, consultoría e interventoría</w:t>
      </w:r>
      <w:r w:rsidRPr="006C695D">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6C695D">
          <w:rPr>
            <w:rStyle w:val="Hipervnculo"/>
            <w:rFonts w:ascii="Verdana" w:hAnsi="Verdana"/>
          </w:rPr>
          <w:t>https://www.colombiacompra.gov.co/normativa-y-relatoria/documentos-tipo</w:t>
        </w:r>
      </w:hyperlink>
    </w:p>
    <w:p w14:paraId="2CB4D5C3" w14:textId="77777777" w:rsidR="00393A6D" w:rsidRPr="006C695D" w:rsidRDefault="00393A6D" w:rsidP="00393A6D">
      <w:pPr>
        <w:spacing w:after="0" w:line="276" w:lineRule="auto"/>
        <w:jc w:val="both"/>
        <w:rPr>
          <w:rFonts w:ascii="Verdana" w:hAnsi="Verdana"/>
        </w:rPr>
      </w:pPr>
    </w:p>
    <w:p w14:paraId="307965AB" w14:textId="77777777" w:rsidR="00393A6D" w:rsidRPr="006C695D" w:rsidRDefault="00393A6D" w:rsidP="00393A6D">
      <w:pPr>
        <w:spacing w:after="0" w:line="276" w:lineRule="auto"/>
        <w:jc w:val="both"/>
        <w:rPr>
          <w:rFonts w:ascii="Verdana" w:hAnsi="Verdana"/>
        </w:rPr>
      </w:pPr>
      <w:r w:rsidRPr="006C695D">
        <w:rPr>
          <w:rFonts w:ascii="Verdana" w:hAnsi="Verdana"/>
        </w:rPr>
        <w:lastRenderedPageBreak/>
        <w:t xml:space="preserve">Si quieres conocer más sobre la aplicación de Documentos Tipo puedes consultar la última versión de la </w:t>
      </w:r>
      <w:r w:rsidRPr="006C695D">
        <w:rPr>
          <w:rFonts w:ascii="Verdana" w:hAnsi="Verdana"/>
          <w:b/>
          <w:bCs/>
        </w:rPr>
        <w:t>Guía para la comprensión e implementación de los Documentos Tipo de obra pública de infraestructura de transporte</w:t>
      </w:r>
      <w:r w:rsidRPr="006C695D">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6C695D">
        <w:rPr>
          <w:rFonts w:ascii="Verdana" w:hAnsi="Verdana"/>
        </w:rPr>
        <w:br/>
      </w:r>
      <w:hyperlink r:id="rId15" w:tgtFrame="_new" w:history="1">
        <w:r w:rsidRPr="006C695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6C7873D" w14:textId="77777777" w:rsidR="00393A6D" w:rsidRPr="006C695D" w:rsidRDefault="00393A6D" w:rsidP="00393A6D">
      <w:pPr>
        <w:spacing w:after="0" w:line="276" w:lineRule="auto"/>
        <w:jc w:val="both"/>
        <w:rPr>
          <w:rFonts w:ascii="Verdana" w:hAnsi="Verdana" w:cs="Arial"/>
          <w:shd w:val="clear" w:color="auto" w:fill="FFFFFF"/>
        </w:rPr>
      </w:pPr>
    </w:p>
    <w:p w14:paraId="2DFF8948" w14:textId="091BC035" w:rsidR="00393A6D" w:rsidRPr="006C695D" w:rsidRDefault="00393A6D" w:rsidP="00393A6D">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Por último, lo invitamos a seguirnos en las redes sociales en las cuales se difunde información institucional: </w:t>
      </w:r>
    </w:p>
    <w:p w14:paraId="3F42646D" w14:textId="77777777" w:rsidR="00393A6D" w:rsidRPr="006C695D" w:rsidRDefault="00393A6D" w:rsidP="00393A6D">
      <w:pPr>
        <w:spacing w:after="0" w:line="276" w:lineRule="auto"/>
        <w:jc w:val="both"/>
        <w:rPr>
          <w:rFonts w:ascii="Verdana" w:hAnsi="Verdana" w:cs="Arial"/>
          <w:shd w:val="clear" w:color="auto" w:fill="FFFFFF"/>
        </w:rPr>
      </w:pPr>
    </w:p>
    <w:p w14:paraId="71137832" w14:textId="77777777" w:rsidR="00393A6D" w:rsidRPr="006C695D" w:rsidRDefault="00393A6D" w:rsidP="00393A6D">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Twitter: </w:t>
      </w:r>
      <w:r w:rsidRPr="30821638">
        <w:rPr>
          <w:rStyle w:val="Hipervnculo"/>
          <w:rFonts w:ascii="Verdana" w:eastAsia="Verdana" w:hAnsi="Verdana" w:cs="Verdana"/>
        </w:rPr>
        <w:t>@colombiacompra</w:t>
      </w:r>
      <w:r w:rsidRPr="006C695D">
        <w:rPr>
          <w:rFonts w:ascii="Verdana" w:hAnsi="Verdana" w:cs="Arial"/>
          <w:shd w:val="clear" w:color="auto" w:fill="FFFFFF"/>
        </w:rPr>
        <w:t xml:space="preserve"> </w:t>
      </w:r>
    </w:p>
    <w:p w14:paraId="12F704C3" w14:textId="77777777" w:rsidR="00393A6D" w:rsidRPr="006C695D" w:rsidRDefault="00393A6D" w:rsidP="00393A6D">
      <w:pPr>
        <w:spacing w:after="0" w:line="276" w:lineRule="auto"/>
        <w:jc w:val="both"/>
        <w:rPr>
          <w:rFonts w:ascii="Verdana" w:hAnsi="Verdana" w:cs="Arial"/>
          <w:shd w:val="clear" w:color="auto" w:fill="FFFFFF"/>
        </w:rPr>
      </w:pPr>
      <w:r w:rsidRPr="006C695D">
        <w:rPr>
          <w:rFonts w:ascii="Verdana" w:hAnsi="Verdana" w:cs="Arial"/>
          <w:shd w:val="clear" w:color="auto" w:fill="FFFFFF"/>
        </w:rPr>
        <w:t>Facebook:</w:t>
      </w:r>
      <w:r w:rsidRPr="006C695D">
        <w:rPr>
          <w:rStyle w:val="Hipervnculo"/>
          <w:rFonts w:ascii="Verdana" w:hAnsi="Verdana"/>
          <w:color w:val="auto"/>
          <w:lang w:val="es-ES"/>
        </w:rPr>
        <w:t xml:space="preserve"> </w:t>
      </w:r>
      <w:r w:rsidRPr="30821638">
        <w:rPr>
          <w:rStyle w:val="Hipervnculo"/>
          <w:rFonts w:ascii="Verdana" w:eastAsia="Verdana" w:hAnsi="Verdana" w:cs="Verdana"/>
        </w:rPr>
        <w:t>ColombiaCompraEficiente</w:t>
      </w:r>
    </w:p>
    <w:p w14:paraId="297E6437" w14:textId="2943D24B" w:rsidR="00393A6D" w:rsidRPr="006C695D" w:rsidRDefault="00393A6D" w:rsidP="00393A6D">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LinkedIn: </w:t>
      </w:r>
      <w:r w:rsidRPr="30821638">
        <w:rPr>
          <w:rStyle w:val="Hipervnculo"/>
          <w:rFonts w:ascii="Verdana" w:eastAsia="Verdana" w:hAnsi="Verdana" w:cs="Verdana"/>
        </w:rPr>
        <w:t>Agencia Nacional de Contratación Pública - Colombia Compra Eficiente</w:t>
      </w:r>
      <w:r w:rsidRPr="006C695D">
        <w:rPr>
          <w:rFonts w:ascii="Verdana" w:hAnsi="Verdana" w:cs="Arial"/>
          <w:shd w:val="clear" w:color="auto" w:fill="FFFFFF"/>
        </w:rPr>
        <w:t xml:space="preserve"> </w:t>
      </w:r>
    </w:p>
    <w:p w14:paraId="2F260C0F" w14:textId="77777777" w:rsidR="00393A6D" w:rsidRPr="006C695D" w:rsidRDefault="00393A6D" w:rsidP="00393A6D">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Instagram: </w:t>
      </w:r>
      <w:r w:rsidRPr="006C695D">
        <w:rPr>
          <w:rStyle w:val="Hipervnculo"/>
          <w:rFonts w:ascii="Verdana" w:hAnsi="Verdana"/>
        </w:rPr>
        <w:t>@colombiacompraeficiente_cce</w:t>
      </w:r>
    </w:p>
    <w:p w14:paraId="61A978BC" w14:textId="77777777" w:rsidR="00393A6D" w:rsidRPr="006C695D" w:rsidRDefault="00393A6D" w:rsidP="00393A6D">
      <w:pPr>
        <w:widowControl w:val="0"/>
        <w:autoSpaceDE w:val="0"/>
        <w:autoSpaceDN w:val="0"/>
        <w:spacing w:after="0" w:line="276" w:lineRule="auto"/>
        <w:jc w:val="both"/>
        <w:rPr>
          <w:rFonts w:ascii="Verdana" w:hAnsi="Verdana" w:cs="Arial"/>
          <w:lang w:val="es-ES"/>
        </w:rPr>
      </w:pPr>
    </w:p>
    <w:p w14:paraId="3D89A39B" w14:textId="77777777" w:rsidR="00393A6D" w:rsidRPr="006C695D" w:rsidRDefault="00393A6D" w:rsidP="00393A6D">
      <w:pPr>
        <w:widowControl w:val="0"/>
        <w:autoSpaceDE w:val="0"/>
        <w:autoSpaceDN w:val="0"/>
        <w:spacing w:after="0" w:line="276" w:lineRule="auto"/>
        <w:jc w:val="both"/>
        <w:rPr>
          <w:rFonts w:ascii="Verdana" w:hAnsi="Verdana" w:cs="Arial"/>
          <w:lang w:val="es-ES"/>
        </w:rPr>
      </w:pPr>
      <w:r w:rsidRPr="006C695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4564CF2" w14:textId="77777777" w:rsidR="00393A6D" w:rsidRPr="006C695D" w:rsidRDefault="00393A6D" w:rsidP="00393A6D">
      <w:pPr>
        <w:widowControl w:val="0"/>
        <w:autoSpaceDE w:val="0"/>
        <w:autoSpaceDN w:val="0"/>
        <w:spacing w:after="0" w:line="276" w:lineRule="auto"/>
        <w:jc w:val="both"/>
        <w:rPr>
          <w:rFonts w:ascii="Verdana" w:hAnsi="Verdana" w:cs="Arial"/>
          <w:lang w:val="es-ES"/>
        </w:rPr>
      </w:pPr>
    </w:p>
    <w:p w14:paraId="5DD2BF5F" w14:textId="080BB1A3" w:rsidR="00393A6D" w:rsidRPr="006C695D" w:rsidRDefault="00393A6D" w:rsidP="00393A6D">
      <w:pPr>
        <w:spacing w:after="0" w:line="276" w:lineRule="auto"/>
        <w:rPr>
          <w:rFonts w:ascii="Verdana" w:hAnsi="Verdana" w:cs="Arial"/>
          <w:lang w:val="es-ES" w:eastAsia="es-CO"/>
        </w:rPr>
      </w:pPr>
      <w:r w:rsidRPr="006C695D">
        <w:rPr>
          <w:rFonts w:ascii="Verdana" w:eastAsia="Times New Roman" w:hAnsi="Verdana" w:cs="Arial"/>
          <w:lang w:val="es-ES" w:eastAsia="es-CO"/>
        </w:rPr>
        <w:t>Atentamente,</w:t>
      </w:r>
      <w:r w:rsidRPr="006C695D">
        <w:rPr>
          <w:rFonts w:ascii="Verdana" w:hAnsi="Verdana" w:cs="Arial"/>
          <w:lang w:val="es-ES" w:eastAsia="es-CO"/>
        </w:rPr>
        <w:t xml:space="preserve"> </w:t>
      </w:r>
    </w:p>
    <w:p w14:paraId="529CC1A4" w14:textId="37DD32E3" w:rsidR="00393A6D" w:rsidRDefault="00BF7B83" w:rsidP="00BF7B83">
      <w:pPr>
        <w:spacing w:after="0" w:line="276" w:lineRule="auto"/>
        <w:jc w:val="center"/>
        <w:rPr>
          <w:rFonts w:ascii="Verdana" w:hAnsi="Verdana"/>
          <w:noProof/>
          <w:color w:val="ED7D31" w:themeColor="accent2"/>
        </w:rPr>
      </w:pPr>
      <w:r w:rsidRPr="00BF7B83">
        <w:rPr>
          <w:rFonts w:ascii="Verdana" w:hAnsi="Verdana"/>
          <w:noProof/>
          <w:color w:val="ED7D31" w:themeColor="accent2"/>
        </w:rPr>
        <w:drawing>
          <wp:inline distT="0" distB="0" distL="0" distR="0" wp14:anchorId="3B8D6EDA" wp14:editId="3BE2665B">
            <wp:extent cx="3000794" cy="1019317"/>
            <wp:effectExtent l="0" t="0" r="9525" b="9525"/>
            <wp:docPr id="651337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37935" name=""/>
                    <pic:cNvPicPr/>
                  </pic:nvPicPr>
                  <pic:blipFill>
                    <a:blip r:embed="rId16"/>
                    <a:stretch>
                      <a:fillRect/>
                    </a:stretch>
                  </pic:blipFill>
                  <pic:spPr>
                    <a:xfrm>
                      <a:off x="0" y="0"/>
                      <a:ext cx="3000794" cy="1019317"/>
                    </a:xfrm>
                    <a:prstGeom prst="rect">
                      <a:avLst/>
                    </a:prstGeom>
                  </pic:spPr>
                </pic:pic>
              </a:graphicData>
            </a:graphic>
          </wp:inline>
        </w:drawing>
      </w:r>
    </w:p>
    <w:p w14:paraId="6986C00C" w14:textId="77777777" w:rsidR="00BF7B83" w:rsidRPr="00BF7B83" w:rsidRDefault="00BF7B83" w:rsidP="00BF7B83">
      <w:pPr>
        <w:spacing w:after="0" w:line="276" w:lineRule="auto"/>
        <w:jc w:val="center"/>
        <w:rPr>
          <w:rFonts w:ascii="Verdana" w:hAnsi="Verdana"/>
          <w:noProof/>
          <w:color w:val="ED7D31" w:themeColor="accent2"/>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93A6D" w:rsidRPr="006C695D" w14:paraId="74E19FFB" w14:textId="77777777">
        <w:trPr>
          <w:trHeight w:val="315"/>
        </w:trPr>
        <w:tc>
          <w:tcPr>
            <w:tcW w:w="893" w:type="dxa"/>
            <w:vAlign w:val="center"/>
            <w:hideMark/>
          </w:tcPr>
          <w:p w14:paraId="62BD8791" w14:textId="77777777" w:rsidR="00393A6D" w:rsidRPr="006C695D" w:rsidRDefault="00393A6D">
            <w:pPr>
              <w:contextualSpacing/>
              <w:rPr>
                <w:rFonts w:ascii="Verdana" w:hAnsi="Verdana" w:cs="Arial"/>
                <w:sz w:val="16"/>
                <w:szCs w:val="16"/>
                <w:lang w:val="es-ES" w:eastAsia="es-ES"/>
              </w:rPr>
            </w:pPr>
            <w:r w:rsidRPr="006C695D">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C06C176" w14:textId="77777777" w:rsidR="00393A6D" w:rsidRPr="006C695D" w:rsidRDefault="00393A6D">
            <w:pPr>
              <w:rPr>
                <w:rFonts w:ascii="Verdana" w:eastAsia="Times New Roman" w:hAnsi="Verdana" w:cs="Arial"/>
                <w:sz w:val="16"/>
                <w:szCs w:val="16"/>
                <w:lang w:eastAsia="es-ES"/>
              </w:rPr>
            </w:pPr>
            <w:r w:rsidRPr="006C695D">
              <w:rPr>
                <w:rFonts w:ascii="Verdana" w:eastAsia="Times New Roman" w:hAnsi="Verdana" w:cs="Arial"/>
                <w:sz w:val="16"/>
                <w:szCs w:val="16"/>
                <w:lang w:eastAsia="es-ES"/>
              </w:rPr>
              <w:t>Camila Alejandra Naranjo Gómez</w:t>
            </w:r>
          </w:p>
          <w:p w14:paraId="4A38820A" w14:textId="77777777" w:rsidR="00393A6D" w:rsidRPr="006C695D" w:rsidRDefault="00393A6D">
            <w:pPr>
              <w:contextualSpacing/>
              <w:rPr>
                <w:rFonts w:ascii="Verdana" w:eastAsia="Arial" w:hAnsi="Verdana" w:cs="Arial"/>
                <w:sz w:val="16"/>
                <w:szCs w:val="16"/>
                <w:lang w:val="es-ES"/>
              </w:rPr>
            </w:pPr>
            <w:r w:rsidRPr="006C695D">
              <w:rPr>
                <w:rFonts w:ascii="Verdana" w:eastAsia="Times New Roman" w:hAnsi="Verdana" w:cs="Arial"/>
                <w:sz w:val="16"/>
                <w:szCs w:val="16"/>
                <w:lang w:eastAsia="es-ES"/>
              </w:rPr>
              <w:t>Analista T2-02 de la Subdirección de Gestión Contractual</w:t>
            </w:r>
          </w:p>
        </w:tc>
      </w:tr>
      <w:tr w:rsidR="00393A6D" w:rsidRPr="006C695D" w14:paraId="13A64C00" w14:textId="77777777">
        <w:trPr>
          <w:trHeight w:val="330"/>
        </w:trPr>
        <w:tc>
          <w:tcPr>
            <w:tcW w:w="893" w:type="dxa"/>
            <w:vAlign w:val="center"/>
            <w:hideMark/>
          </w:tcPr>
          <w:p w14:paraId="0EC36509" w14:textId="77777777" w:rsidR="00393A6D" w:rsidRPr="006C695D" w:rsidRDefault="00393A6D">
            <w:pPr>
              <w:contextualSpacing/>
              <w:rPr>
                <w:rFonts w:ascii="Verdana" w:hAnsi="Verdana" w:cs="Arial"/>
                <w:sz w:val="16"/>
                <w:szCs w:val="16"/>
                <w:lang w:val="es-ES" w:eastAsia="es-ES"/>
              </w:rPr>
            </w:pPr>
            <w:r w:rsidRPr="006C695D">
              <w:rPr>
                <w:rFonts w:ascii="Verdana" w:hAnsi="Verdana" w:cs="Arial"/>
                <w:sz w:val="16"/>
                <w:szCs w:val="16"/>
                <w:lang w:val="es-ES" w:eastAsia="es-ES"/>
              </w:rPr>
              <w:lastRenderedPageBreak/>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907BFB1" w14:textId="77777777" w:rsidR="00393A6D" w:rsidRPr="006C695D" w:rsidRDefault="00393A6D">
            <w:pPr>
              <w:rPr>
                <w:rFonts w:ascii="Verdana" w:eastAsia="Times New Roman" w:hAnsi="Verdana" w:cs="Arial"/>
                <w:sz w:val="16"/>
                <w:szCs w:val="16"/>
                <w:lang w:eastAsia="es-ES"/>
              </w:rPr>
            </w:pPr>
            <w:r w:rsidRPr="006C695D">
              <w:rPr>
                <w:rFonts w:ascii="Verdana" w:eastAsia="Times New Roman" w:hAnsi="Verdana" w:cs="Arial"/>
                <w:sz w:val="16"/>
                <w:szCs w:val="16"/>
                <w:lang w:eastAsia="es-ES"/>
              </w:rPr>
              <w:t>Diana Lucia Saavedra Castañeda</w:t>
            </w:r>
          </w:p>
          <w:p w14:paraId="3951D6B2" w14:textId="77777777" w:rsidR="00393A6D" w:rsidRPr="006C695D" w:rsidRDefault="00393A6D">
            <w:pPr>
              <w:pStyle w:val="paragraph"/>
              <w:spacing w:before="0" w:beforeAutospacing="0" w:after="0" w:afterAutospacing="0"/>
              <w:contextualSpacing/>
              <w:textAlignment w:val="baseline"/>
              <w:rPr>
                <w:rFonts w:ascii="Verdana" w:hAnsi="Verdana" w:cs="Segoe UI"/>
                <w:sz w:val="16"/>
                <w:szCs w:val="16"/>
                <w:lang w:val="es-ES"/>
              </w:rPr>
            </w:pPr>
            <w:r w:rsidRPr="006C695D">
              <w:rPr>
                <w:rFonts w:ascii="Verdana" w:hAnsi="Verdana" w:cs="Arial"/>
                <w:sz w:val="16"/>
                <w:szCs w:val="16"/>
                <w:lang w:eastAsia="es-ES"/>
              </w:rPr>
              <w:t>Contratista de la Subdirección de Gestión Contractual</w:t>
            </w:r>
          </w:p>
        </w:tc>
      </w:tr>
      <w:tr w:rsidR="00393A6D" w:rsidRPr="006C695D" w14:paraId="101923CA" w14:textId="77777777">
        <w:trPr>
          <w:trHeight w:val="300"/>
        </w:trPr>
        <w:tc>
          <w:tcPr>
            <w:tcW w:w="893" w:type="dxa"/>
            <w:vAlign w:val="center"/>
          </w:tcPr>
          <w:p w14:paraId="6DBE4D9A" w14:textId="77777777" w:rsidR="00393A6D" w:rsidRPr="006C695D" w:rsidRDefault="00393A6D">
            <w:pPr>
              <w:contextualSpacing/>
              <w:rPr>
                <w:rFonts w:ascii="Verdana" w:hAnsi="Verdana" w:cs="Arial"/>
                <w:sz w:val="16"/>
                <w:szCs w:val="16"/>
                <w:lang w:val="es-ES" w:eastAsia="es-ES"/>
              </w:rPr>
            </w:pPr>
            <w:r w:rsidRPr="006C695D">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8B3F03A" w14:textId="77777777" w:rsidR="00393A6D" w:rsidRPr="006C695D" w:rsidRDefault="00393A6D">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Carolina Quintero Gacharná</w:t>
            </w:r>
          </w:p>
          <w:p w14:paraId="6A13AE78" w14:textId="77777777" w:rsidR="00393A6D" w:rsidRPr="006C695D" w:rsidRDefault="00393A6D">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Subdirectora de Gestión Contractual ANCP – CCE</w:t>
            </w:r>
          </w:p>
        </w:tc>
      </w:tr>
      <w:bookmarkEnd w:id="0"/>
    </w:tbl>
    <w:p w14:paraId="2F7EA8F7" w14:textId="77777777" w:rsidR="00393A6D" w:rsidRPr="006C695D" w:rsidRDefault="00393A6D" w:rsidP="00393A6D">
      <w:pPr>
        <w:spacing w:after="120" w:line="276" w:lineRule="auto"/>
        <w:jc w:val="both"/>
        <w:rPr>
          <w:rFonts w:ascii="Verdana" w:eastAsia="Century Gothic" w:hAnsi="Verdana" w:cs="Century Gothic"/>
          <w:b/>
          <w:color w:val="ED7D31" w:themeColor="accent2"/>
          <w:lang w:val="es-ES"/>
        </w:rPr>
      </w:pPr>
    </w:p>
    <w:p w14:paraId="0F293BF4" w14:textId="08CB3C9C" w:rsidR="00127233" w:rsidRPr="00393A6D" w:rsidRDefault="00127233" w:rsidP="00393A6D">
      <w:pPr>
        <w:rPr>
          <w:lang w:val="es-ES"/>
        </w:rPr>
      </w:pPr>
    </w:p>
    <w:sectPr w:rsidR="00127233" w:rsidRPr="00393A6D"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120B" w14:textId="77777777" w:rsidR="000B2C0F" w:rsidRDefault="000B2C0F" w:rsidP="004A1847">
      <w:pPr>
        <w:spacing w:after="0" w:line="240" w:lineRule="auto"/>
      </w:pPr>
      <w:r>
        <w:separator/>
      </w:r>
    </w:p>
  </w:endnote>
  <w:endnote w:type="continuationSeparator" w:id="0">
    <w:p w14:paraId="5EE437FD" w14:textId="77777777" w:rsidR="000B2C0F" w:rsidRDefault="000B2C0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5062" w14:textId="77777777" w:rsidR="000B2C0F" w:rsidRDefault="000B2C0F" w:rsidP="004A1847">
      <w:pPr>
        <w:spacing w:after="0" w:line="240" w:lineRule="auto"/>
      </w:pPr>
      <w:r>
        <w:separator/>
      </w:r>
    </w:p>
  </w:footnote>
  <w:footnote w:type="continuationSeparator" w:id="0">
    <w:p w14:paraId="75F16991" w14:textId="77777777" w:rsidR="000B2C0F" w:rsidRDefault="000B2C0F" w:rsidP="004A1847">
      <w:pPr>
        <w:spacing w:after="0" w:line="240" w:lineRule="auto"/>
      </w:pPr>
      <w:r>
        <w:continuationSeparator/>
      </w:r>
    </w:p>
  </w:footnote>
  <w:footnote w:id="1">
    <w:p w14:paraId="34244384" w14:textId="34FD046F" w:rsidR="007D27E6" w:rsidRPr="007D27E6" w:rsidRDefault="00393A6D" w:rsidP="007D27E6">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0735FF5D" w14:textId="77777777" w:rsidR="00393A6D" w:rsidRDefault="00393A6D" w:rsidP="00393A6D">
      <w:pPr>
        <w:pStyle w:val="Textonotapie"/>
        <w:ind w:firstLine="709"/>
        <w:jc w:val="both"/>
        <w:rPr>
          <w:rFonts w:ascii="Verdana" w:hAnsi="Verdana" w:cs="Arial"/>
          <w:sz w:val="16"/>
          <w:szCs w:val="16"/>
        </w:rPr>
      </w:pPr>
      <w:r w:rsidRPr="007D27E6">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048A8D0F" w14:textId="77777777" w:rsidR="007D27E6" w:rsidRPr="007D27E6" w:rsidRDefault="007D27E6" w:rsidP="00393A6D">
      <w:pPr>
        <w:pStyle w:val="Textonotapie"/>
        <w:ind w:firstLine="709"/>
        <w:jc w:val="both"/>
        <w:rPr>
          <w:rFonts w:ascii="Verdana" w:hAnsi="Verdana" w:cs="Arial"/>
          <w:sz w:val="16"/>
          <w:szCs w:val="16"/>
        </w:rPr>
      </w:pPr>
    </w:p>
  </w:footnote>
  <w:footnote w:id="2">
    <w:p w14:paraId="3D924849" w14:textId="77777777" w:rsidR="00393A6D" w:rsidRPr="007D27E6"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Gaceta del Congreso de la República No. 71 del 2005.</w:t>
      </w:r>
    </w:p>
  </w:footnote>
  <w:footnote w:id="3">
    <w:p w14:paraId="2FEBE685" w14:textId="77777777" w:rsidR="00393A6D" w:rsidRPr="007D27E6"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Corte Constitucional, Sentencia C- 1153 de 2005, M.P. Marco Gerardo Monroy Cabra.</w:t>
      </w:r>
    </w:p>
  </w:footnote>
  <w:footnote w:id="4">
    <w:p w14:paraId="07F75988" w14:textId="77777777" w:rsidR="00393A6D"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p w14:paraId="385D0677" w14:textId="77777777" w:rsidR="007D27E6" w:rsidRPr="007D27E6" w:rsidRDefault="007D27E6" w:rsidP="00393A6D">
      <w:pPr>
        <w:pStyle w:val="Textonotapie"/>
        <w:ind w:firstLine="709"/>
        <w:jc w:val="both"/>
        <w:rPr>
          <w:rFonts w:ascii="Verdana" w:hAnsi="Verdana" w:cs="Arial"/>
          <w:sz w:val="16"/>
          <w:szCs w:val="16"/>
        </w:rPr>
      </w:pPr>
    </w:p>
  </w:footnote>
  <w:footnote w:id="5">
    <w:p w14:paraId="37326862" w14:textId="77777777" w:rsidR="00393A6D" w:rsidRDefault="00393A6D" w:rsidP="00393A6D">
      <w:pPr>
        <w:pStyle w:val="Textonotapie"/>
        <w:ind w:firstLine="708"/>
        <w:jc w:val="both"/>
        <w:rPr>
          <w:rFonts w:ascii="Verdana" w:hAnsi="Verdana" w:cs="Arial"/>
          <w:sz w:val="16"/>
          <w:szCs w:val="16"/>
          <w:lang w:val="es-CO"/>
        </w:rPr>
      </w:pPr>
      <w:r w:rsidRPr="007D27E6">
        <w:rPr>
          <w:rStyle w:val="Refdenotaalpie"/>
          <w:rFonts w:ascii="Verdana" w:hAnsi="Verdana" w:cs="Arial"/>
          <w:sz w:val="16"/>
          <w:szCs w:val="16"/>
        </w:rPr>
        <w:footnoteRef/>
      </w:r>
      <w:r w:rsidRPr="007D27E6">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p w14:paraId="6973668E" w14:textId="77777777" w:rsidR="007D27E6" w:rsidRPr="007D27E6" w:rsidRDefault="007D27E6" w:rsidP="00393A6D">
      <w:pPr>
        <w:pStyle w:val="Textonotapie"/>
        <w:ind w:firstLine="708"/>
        <w:jc w:val="both"/>
        <w:rPr>
          <w:rFonts w:ascii="Verdana" w:hAnsi="Verdana" w:cs="Arial"/>
          <w:sz w:val="16"/>
          <w:szCs w:val="16"/>
          <w:lang w:val="es-CO"/>
        </w:rPr>
      </w:pPr>
    </w:p>
  </w:footnote>
  <w:footnote w:id="6">
    <w:p w14:paraId="23DB575D" w14:textId="77777777" w:rsidR="00393A6D" w:rsidRPr="007D27E6"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Consejo de Estado, Sala de Consulta y Servicio Civil de fecha 24 de julio de 2013, radicado 2166, Consejero Ponente: Álvaro Namén Vargas.  </w:t>
      </w:r>
    </w:p>
  </w:footnote>
  <w:footnote w:id="7">
    <w:p w14:paraId="30B34382" w14:textId="77777777" w:rsidR="00393A6D" w:rsidRPr="007D27E6" w:rsidRDefault="00393A6D" w:rsidP="00393A6D">
      <w:pPr>
        <w:spacing w:after="0" w:line="240" w:lineRule="auto"/>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w:t>
      </w:r>
      <w:r w:rsidRPr="007D27E6">
        <w:rPr>
          <w:rFonts w:ascii="Verdana" w:hAnsi="Verdana" w:cs="Arial"/>
          <w:bCs/>
          <w:color w:val="000000"/>
          <w:sz w:val="16"/>
          <w:szCs w:val="16"/>
        </w:rPr>
        <w:t>“</w:t>
      </w:r>
      <w:r w:rsidRPr="007D27E6">
        <w:rPr>
          <w:rFonts w:ascii="Verdana" w:hAnsi="Verdana" w:cs="Arial"/>
          <w:sz w:val="16"/>
          <w:szCs w:val="16"/>
        </w:rPr>
        <w:t>Artículo 33. Restricciones a la contratación pública. Durante los cuatro (4) meses anteriores a la elección presidencial y hasta la realización de la elección en la segunda vuelta, si fuere el caso, queda prohibida la contratación directa por parte de todos los entes del Estado.</w:t>
      </w:r>
    </w:p>
    <w:p w14:paraId="683198F5" w14:textId="77777777" w:rsidR="00393A6D" w:rsidRDefault="00393A6D" w:rsidP="00393A6D">
      <w:pPr>
        <w:spacing w:after="0" w:line="240" w:lineRule="auto"/>
        <w:ind w:firstLine="709"/>
        <w:jc w:val="both"/>
        <w:rPr>
          <w:rFonts w:ascii="Verdana" w:hAnsi="Verdana" w:cs="Arial"/>
          <w:sz w:val="16"/>
          <w:szCs w:val="16"/>
        </w:rPr>
      </w:pPr>
      <w:r w:rsidRPr="007D27E6">
        <w:rPr>
          <w:rFonts w:ascii="Verdana"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7D27E6">
        <w:rPr>
          <w:rFonts w:ascii="Verdana" w:hAnsi="Verdana" w:cs="Arial"/>
          <w:bCs/>
          <w:color w:val="000000"/>
          <w:sz w:val="16"/>
          <w:szCs w:val="16"/>
        </w:rPr>
        <w:t>”</w:t>
      </w:r>
      <w:r w:rsidRPr="007D27E6">
        <w:rPr>
          <w:rFonts w:ascii="Verdana" w:hAnsi="Verdana" w:cs="Arial"/>
          <w:sz w:val="16"/>
          <w:szCs w:val="16"/>
        </w:rPr>
        <w:t>.</w:t>
      </w:r>
    </w:p>
    <w:p w14:paraId="25513536" w14:textId="77777777" w:rsidR="007D27E6" w:rsidRPr="007D27E6" w:rsidRDefault="007D27E6" w:rsidP="00393A6D">
      <w:pPr>
        <w:spacing w:after="0" w:line="240" w:lineRule="auto"/>
        <w:ind w:firstLine="709"/>
        <w:jc w:val="both"/>
        <w:rPr>
          <w:rFonts w:ascii="Verdana" w:hAnsi="Verdana" w:cs="Arial"/>
          <w:sz w:val="16"/>
          <w:szCs w:val="16"/>
        </w:rPr>
      </w:pPr>
    </w:p>
  </w:footnote>
  <w:footnote w:id="8">
    <w:p w14:paraId="51C5DAD3" w14:textId="77777777" w:rsidR="00393A6D" w:rsidRPr="007D27E6" w:rsidRDefault="00393A6D" w:rsidP="00393A6D">
      <w:pPr>
        <w:pStyle w:val="NormalWeb"/>
        <w:spacing w:before="0" w:beforeAutospacing="0" w:after="0" w:afterAutospacing="0"/>
        <w:ind w:firstLine="709"/>
        <w:jc w:val="both"/>
        <w:rPr>
          <w:rFonts w:ascii="Verdana" w:hAnsi="Verdana" w:cs="Arial"/>
          <w:sz w:val="16"/>
          <w:szCs w:val="16"/>
          <w:lang w:val="es-MX"/>
        </w:rPr>
      </w:pPr>
      <w:r w:rsidRPr="007D27E6">
        <w:rPr>
          <w:rStyle w:val="Refdenotaalpie"/>
          <w:rFonts w:ascii="Verdana" w:hAnsi="Verdana" w:cs="Arial"/>
          <w:sz w:val="16"/>
          <w:szCs w:val="16"/>
        </w:rPr>
        <w:footnoteRef/>
      </w:r>
      <w:r w:rsidRPr="007D27E6">
        <w:rPr>
          <w:rFonts w:ascii="Verdana" w:hAnsi="Verdana" w:cs="Arial"/>
          <w:sz w:val="16"/>
          <w:szCs w:val="16"/>
        </w:rPr>
        <w:t xml:space="preserve"> </w:t>
      </w:r>
      <w:bookmarkStart w:id="5" w:name="38"/>
      <w:r w:rsidRPr="007D27E6">
        <w:rPr>
          <w:rFonts w:ascii="Verdana" w:hAnsi="Verdana" w:cs="Arial"/>
          <w:sz w:val="16"/>
          <w:szCs w:val="16"/>
        </w:rPr>
        <w:t>“</w:t>
      </w:r>
      <w:r w:rsidRPr="007D27E6">
        <w:rPr>
          <w:rFonts w:ascii="Verdana" w:hAnsi="Verdana" w:cs="Arial"/>
          <w:sz w:val="16"/>
          <w:szCs w:val="16"/>
          <w:lang w:val="es-MX"/>
        </w:rPr>
        <w:t>Artículo 38. Prohibiciones para los servidores públicos. A los empleados del Estado les está prohibido:</w:t>
      </w:r>
      <w:bookmarkEnd w:id="5"/>
      <w:r w:rsidRPr="007D27E6">
        <w:rPr>
          <w:rFonts w:ascii="Verdana" w:hAnsi="Verdana" w:cs="Arial"/>
          <w:sz w:val="16"/>
          <w:szCs w:val="16"/>
          <w:lang w:val="es-MX"/>
        </w:rPr>
        <w:t xml:space="preserve"> […] </w:t>
      </w:r>
      <w:r w:rsidRPr="007D27E6">
        <w:rPr>
          <w:rStyle w:val="baj"/>
          <w:rFonts w:ascii="Verdana" w:hAnsi="Verdana" w:cs="Arial"/>
          <w:sz w:val="16"/>
          <w:szCs w:val="16"/>
          <w:lang w:val="es-MX"/>
        </w:rPr>
        <w:t>Parágrafo.</w:t>
      </w:r>
      <w:r w:rsidRPr="007D27E6">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7D27E6">
        <w:rPr>
          <w:rFonts w:ascii="Verdana" w:eastAsia="Calibri" w:hAnsi="Verdana" w:cs="Arial"/>
          <w:bCs/>
          <w:color w:val="000000"/>
          <w:sz w:val="16"/>
          <w:szCs w:val="16"/>
        </w:rPr>
        <w:t>”</w:t>
      </w:r>
      <w:r w:rsidRPr="007D27E6">
        <w:rPr>
          <w:rFonts w:ascii="Verdana" w:hAnsi="Verdana" w:cs="Arial"/>
          <w:sz w:val="16"/>
          <w:szCs w:val="16"/>
          <w:lang w:val="es-MX"/>
        </w:rPr>
        <w:t>.</w:t>
      </w:r>
    </w:p>
  </w:footnote>
  <w:footnote w:id="9">
    <w:p w14:paraId="2E68B91B" w14:textId="77777777" w:rsidR="00393A6D" w:rsidRPr="007D27E6" w:rsidRDefault="00393A6D" w:rsidP="00393A6D">
      <w:pPr>
        <w:spacing w:after="0" w:line="240" w:lineRule="auto"/>
        <w:ind w:firstLine="709"/>
        <w:jc w:val="both"/>
        <w:rPr>
          <w:rFonts w:ascii="Verdana" w:hAnsi="Verdana" w:cs="Arial"/>
          <w:sz w:val="16"/>
          <w:szCs w:val="16"/>
          <w:lang w:val="es-ES"/>
        </w:rPr>
      </w:pPr>
      <w:r w:rsidRPr="007D27E6">
        <w:rPr>
          <w:rStyle w:val="Refdenotaalpie"/>
          <w:rFonts w:ascii="Verdana" w:hAnsi="Verdana" w:cs="Arial"/>
          <w:sz w:val="16"/>
          <w:szCs w:val="16"/>
        </w:rPr>
        <w:footnoteRef/>
      </w:r>
      <w:r w:rsidRPr="007D27E6">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10">
    <w:p w14:paraId="0291FC3B" w14:textId="77777777" w:rsidR="00393A6D"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Consejo de Estado. Sección Tercera. Sentencia de 3 de diciembre de 2007. Radicados: 24.715, 25.206, 25.409, 24.524, 27.834, 25.410, 26.105, 28.244, 31.447 -acumulados- “.</w:t>
      </w:r>
    </w:p>
    <w:p w14:paraId="573B9D01" w14:textId="77777777" w:rsidR="007D27E6" w:rsidRPr="007D27E6" w:rsidRDefault="007D27E6" w:rsidP="00393A6D">
      <w:pPr>
        <w:pStyle w:val="Textonotapie"/>
        <w:ind w:firstLine="709"/>
        <w:jc w:val="both"/>
        <w:rPr>
          <w:rFonts w:ascii="Verdana" w:hAnsi="Verdana" w:cs="Arial"/>
          <w:sz w:val="16"/>
          <w:szCs w:val="16"/>
        </w:rPr>
      </w:pPr>
    </w:p>
  </w:footnote>
  <w:footnote w:id="11">
    <w:p w14:paraId="3586187C" w14:textId="77777777" w:rsidR="00393A6D" w:rsidRPr="007D27E6"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“Al respecto ver el concepto 1712 de 2 de febrero de 2006. Consejo de Estado Sala de Consulta y Servicio Civil”.</w:t>
      </w:r>
    </w:p>
  </w:footnote>
  <w:footnote w:id="12">
    <w:p w14:paraId="7466179A" w14:textId="77777777" w:rsidR="00393A6D"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p w14:paraId="040B78F5" w14:textId="77777777" w:rsidR="007D27E6" w:rsidRPr="007D27E6" w:rsidRDefault="007D27E6" w:rsidP="00393A6D">
      <w:pPr>
        <w:pStyle w:val="Textonotapie"/>
        <w:ind w:firstLine="709"/>
        <w:jc w:val="both"/>
        <w:rPr>
          <w:rFonts w:ascii="Verdana" w:hAnsi="Verdana" w:cs="Arial"/>
          <w:sz w:val="16"/>
          <w:szCs w:val="16"/>
        </w:rPr>
      </w:pPr>
    </w:p>
  </w:footnote>
  <w:footnote w:id="13">
    <w:p w14:paraId="0BA45587" w14:textId="77777777" w:rsidR="00393A6D" w:rsidRPr="007D27E6" w:rsidRDefault="00393A6D" w:rsidP="00393A6D">
      <w:pPr>
        <w:pStyle w:val="Textonotapie"/>
        <w:ind w:firstLine="708"/>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“Artículo 2. De Las Modalidades De Selección. La escogencia del contratista se efectuará con arreglo a las modalidades de selección de licitación pública, selección abreviada, concurso de méritos y contratación directa, con base en las siguientes reglas: </w:t>
      </w:r>
    </w:p>
    <w:p w14:paraId="3A71C2C8" w14:textId="77777777" w:rsidR="00393A6D" w:rsidRPr="007D27E6" w:rsidRDefault="00393A6D" w:rsidP="00393A6D">
      <w:pPr>
        <w:pStyle w:val="Textonotapie"/>
        <w:ind w:firstLine="708"/>
        <w:jc w:val="both"/>
        <w:rPr>
          <w:rFonts w:ascii="Verdana" w:hAnsi="Verdana" w:cs="Arial"/>
          <w:sz w:val="16"/>
          <w:szCs w:val="16"/>
        </w:rPr>
      </w:pPr>
      <w:r w:rsidRPr="007D27E6">
        <w:rPr>
          <w:rFonts w:ascii="Verdana" w:hAnsi="Verdana" w:cs="Arial"/>
          <w:sz w:val="16"/>
          <w:szCs w:val="16"/>
        </w:rPr>
        <w:t>[…]</w:t>
      </w:r>
    </w:p>
    <w:p w14:paraId="394A48F9" w14:textId="77777777" w:rsidR="00393A6D" w:rsidRPr="007D27E6" w:rsidRDefault="00393A6D" w:rsidP="00393A6D">
      <w:pPr>
        <w:pStyle w:val="Textonotapie"/>
        <w:ind w:firstLine="708"/>
        <w:jc w:val="both"/>
        <w:rPr>
          <w:rFonts w:ascii="Verdana" w:hAnsi="Verdana" w:cs="Arial"/>
          <w:sz w:val="16"/>
          <w:szCs w:val="16"/>
        </w:rPr>
      </w:pPr>
      <w:r w:rsidRPr="007D27E6">
        <w:rPr>
          <w:rFonts w:ascii="Verdana" w:hAnsi="Verdana" w:cs="Arial"/>
          <w:sz w:val="16"/>
          <w:szCs w:val="16"/>
        </w:rPr>
        <w:t>5. Contratación mínima cuantía. [Numeral modificado por el artículo 30 de la Ley 2069 de 2020]”.</w:t>
      </w:r>
    </w:p>
  </w:footnote>
  <w:footnote w:id="14">
    <w:p w14:paraId="71DE5BE2" w14:textId="77777777" w:rsidR="00393A6D" w:rsidRPr="007D27E6" w:rsidRDefault="00393A6D" w:rsidP="00393A6D">
      <w:pPr>
        <w:pStyle w:val="Textonotapie"/>
        <w:ind w:firstLine="709"/>
        <w:jc w:val="both"/>
        <w:rPr>
          <w:rFonts w:ascii="Verdana" w:hAnsi="Verdana" w:cs="Arial"/>
          <w:sz w:val="16"/>
          <w:szCs w:val="16"/>
          <w:lang w:val="es-ES"/>
        </w:rPr>
      </w:pPr>
      <w:r w:rsidRPr="007D27E6">
        <w:rPr>
          <w:rStyle w:val="Refdenotaalpie"/>
          <w:rFonts w:ascii="Verdana" w:hAnsi="Verdana" w:cs="Arial"/>
          <w:sz w:val="16"/>
          <w:szCs w:val="16"/>
        </w:rPr>
        <w:footnoteRef/>
      </w:r>
      <w:r w:rsidRPr="007D27E6">
        <w:rPr>
          <w:rStyle w:val="Refdenotaalpie"/>
          <w:rFonts w:ascii="Verdana" w:hAnsi="Verdana" w:cs="Arial"/>
          <w:sz w:val="16"/>
          <w:szCs w:val="16"/>
        </w:rPr>
        <w:t xml:space="preserve"> </w:t>
      </w:r>
      <w:r w:rsidRPr="007D27E6">
        <w:rPr>
          <w:rFonts w:ascii="Verdana" w:hAnsi="Verdana" w:cs="Arial"/>
          <w:sz w:val="16"/>
          <w:szCs w:val="16"/>
          <w:lang w:val="es-ES"/>
        </w:rPr>
        <w:t xml:space="preserve">“[…] A este respecto, cabe recordar que el artículo 860 del Código de Comercio regula la licitación en el derecho privado”. </w:t>
      </w:r>
    </w:p>
  </w:footnote>
  <w:footnote w:id="15">
    <w:p w14:paraId="7A77EEB9" w14:textId="77777777" w:rsidR="00393A6D" w:rsidRDefault="00393A6D" w:rsidP="00393A6D">
      <w:pPr>
        <w:shd w:val="clear" w:color="auto" w:fill="FFFFFF"/>
        <w:spacing w:after="0" w:line="240" w:lineRule="auto"/>
        <w:ind w:firstLine="709"/>
        <w:jc w:val="both"/>
        <w:rPr>
          <w:rFonts w:ascii="Verdana" w:hAnsi="Verdana" w:cs="Arial"/>
          <w:sz w:val="16"/>
          <w:szCs w:val="16"/>
          <w:lang w:val="es-ES"/>
        </w:rPr>
      </w:pPr>
      <w:r w:rsidRPr="007D27E6">
        <w:rPr>
          <w:rStyle w:val="Refdenotaalpie"/>
          <w:rFonts w:ascii="Verdana" w:hAnsi="Verdana" w:cs="Arial"/>
          <w:sz w:val="16"/>
          <w:szCs w:val="16"/>
        </w:rPr>
        <w:footnoteRef/>
      </w:r>
      <w:r w:rsidRPr="007D27E6">
        <w:rPr>
          <w:rStyle w:val="Refdenotaalpie"/>
          <w:rFonts w:ascii="Verdana" w:hAnsi="Verdana" w:cs="Arial"/>
          <w:sz w:val="16"/>
          <w:szCs w:val="16"/>
        </w:rPr>
        <w:t xml:space="preserve"> </w:t>
      </w:r>
      <w:r w:rsidRPr="007D27E6">
        <w:rPr>
          <w:rFonts w:ascii="Verdana" w:hAnsi="Verdana" w:cs="Arial"/>
          <w:sz w:val="16"/>
          <w:szCs w:val="16"/>
          <w:lang w:val="es-ES"/>
        </w:rPr>
        <w:t>Consejo de Estado. Sala de Consulta y Servicio Civil, Concepto de 8 de mayo de 2018. Radicación Número: 11001-03-06-000-2018-00095-00(2382). Consejero Ponente: Álvaro Namén Vargas.</w:t>
      </w:r>
    </w:p>
    <w:p w14:paraId="7FE36948" w14:textId="77777777" w:rsidR="007D27E6" w:rsidRPr="007D27E6" w:rsidRDefault="007D27E6" w:rsidP="00393A6D">
      <w:pPr>
        <w:shd w:val="clear" w:color="auto" w:fill="FFFFFF"/>
        <w:spacing w:after="0" w:line="240" w:lineRule="auto"/>
        <w:ind w:firstLine="709"/>
        <w:jc w:val="both"/>
        <w:rPr>
          <w:rFonts w:ascii="Verdana" w:hAnsi="Verdana" w:cs="Arial"/>
          <w:sz w:val="16"/>
          <w:szCs w:val="16"/>
          <w:lang w:val="es-ES"/>
        </w:rPr>
      </w:pPr>
    </w:p>
  </w:footnote>
  <w:footnote w:id="16">
    <w:p w14:paraId="660E38B3" w14:textId="77777777" w:rsidR="00393A6D" w:rsidRPr="007D27E6"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Consejo de Estado. Sala de Consulta y Servicio Civil. Concepto del 08 de mayo de 2018. Exp. 2.382. C.P. Álvaro Namén Vargas.</w:t>
      </w:r>
    </w:p>
  </w:footnote>
  <w:footnote w:id="17">
    <w:p w14:paraId="4AA210DB" w14:textId="77777777" w:rsidR="00393A6D" w:rsidRPr="007D27E6" w:rsidRDefault="00393A6D" w:rsidP="00393A6D">
      <w:pPr>
        <w:pStyle w:val="Textonotapie"/>
        <w:ind w:firstLine="709"/>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No 216/05 Senado, No 235-Cámara que dio lugar a la Ley de Garantías Electorales.</w:t>
      </w:r>
    </w:p>
  </w:footnote>
  <w:footnote w:id="18">
    <w:p w14:paraId="466D75A1" w14:textId="77777777" w:rsidR="00393A6D" w:rsidRDefault="00393A6D" w:rsidP="00393A6D">
      <w:pPr>
        <w:pStyle w:val="Textonotapie"/>
        <w:ind w:firstLine="708"/>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Corte Constitucional. Sentencia C-1153 de 2005 M.P. Marco Gerardo Monroy Cabra. </w:t>
      </w:r>
    </w:p>
    <w:p w14:paraId="1EB3BAD8" w14:textId="77777777" w:rsidR="007D27E6" w:rsidRPr="007D27E6" w:rsidRDefault="007D27E6" w:rsidP="00393A6D">
      <w:pPr>
        <w:pStyle w:val="Textonotapie"/>
        <w:ind w:firstLine="708"/>
        <w:jc w:val="both"/>
        <w:rPr>
          <w:rFonts w:ascii="Verdana" w:hAnsi="Verdana" w:cs="Arial"/>
          <w:sz w:val="16"/>
          <w:szCs w:val="16"/>
        </w:rPr>
      </w:pPr>
    </w:p>
  </w:footnote>
  <w:footnote w:id="19">
    <w:p w14:paraId="704673AF" w14:textId="77777777" w:rsidR="00393A6D" w:rsidRPr="007D27E6" w:rsidRDefault="00393A6D" w:rsidP="00393A6D">
      <w:pPr>
        <w:pStyle w:val="Textonotapie"/>
        <w:ind w:firstLine="708"/>
        <w:jc w:val="both"/>
        <w:rPr>
          <w:rFonts w:ascii="Verdana" w:hAnsi="Verdana" w:cs="Arial"/>
          <w:sz w:val="16"/>
          <w:szCs w:val="16"/>
        </w:rPr>
      </w:pPr>
      <w:r w:rsidRPr="007D27E6">
        <w:rPr>
          <w:rStyle w:val="Refdenotaalpie"/>
          <w:rFonts w:ascii="Verdana" w:hAnsi="Verdana" w:cs="Arial"/>
          <w:sz w:val="16"/>
          <w:szCs w:val="16"/>
        </w:rPr>
        <w:footnoteRef/>
      </w:r>
      <w:r w:rsidRPr="007D27E6">
        <w:rPr>
          <w:rFonts w:ascii="Verdana" w:hAnsi="Verdana" w:cs="Arial"/>
          <w:sz w:val="16"/>
          <w:szCs w:val="16"/>
        </w:rPr>
        <w:t xml:space="preserve"> Consejo de Estado. Sala de Consulta y Servicio Civil. Concepto del 18 de febrero 2010. Rad. 11001-03-06-000-2010-00006-00 (1985). C.P. Enrique José Arboleda Perdomo.</w:t>
      </w:r>
    </w:p>
  </w:footnote>
  <w:footnote w:id="20">
    <w:p w14:paraId="59D0E461" w14:textId="77777777" w:rsidR="00393A6D" w:rsidRDefault="00393A6D" w:rsidP="00393A6D">
      <w:pPr>
        <w:pStyle w:val="Textonotapie"/>
        <w:ind w:firstLine="708"/>
        <w:jc w:val="both"/>
        <w:rPr>
          <w:rFonts w:ascii="Verdana" w:hAnsi="Verdana"/>
          <w:sz w:val="16"/>
          <w:szCs w:val="16"/>
        </w:rPr>
      </w:pPr>
      <w:r w:rsidRPr="007D27E6">
        <w:rPr>
          <w:rStyle w:val="Refdenotaalpie"/>
          <w:rFonts w:ascii="Verdana" w:hAnsi="Verdana"/>
          <w:sz w:val="16"/>
          <w:szCs w:val="16"/>
        </w:rPr>
        <w:footnoteRef/>
      </w:r>
      <w:r w:rsidRPr="007D27E6">
        <w:rPr>
          <w:rFonts w:ascii="Verdana" w:hAnsi="Verdana"/>
          <w:sz w:val="16"/>
          <w:szCs w:val="16"/>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7D27E6">
        <w:rPr>
          <w:rFonts w:ascii="Verdana" w:hAnsi="Verdana"/>
          <w:i/>
          <w:iCs/>
          <w:sz w:val="16"/>
          <w:szCs w:val="16"/>
        </w:rPr>
        <w:t>las palabras de la ley se entenderán en su sentido natural y obvio, según el uso general de las mismas palabras</w:t>
      </w:r>
      <w:r w:rsidRPr="007D27E6">
        <w:rPr>
          <w:rFonts w:ascii="Verdana" w:hAnsi="Verdana"/>
          <w:sz w:val="16"/>
          <w:szCs w:val="16"/>
        </w:rPr>
        <w:t>’, es decir, el uso de la gente educada. El Diccionario de la Lengua publicado por la Real Academia Española goza a este respecto de gran autoridad. ‘</w:t>
      </w:r>
      <w:r w:rsidRPr="007D27E6">
        <w:rPr>
          <w:rFonts w:ascii="Verdana" w:hAnsi="Verdana"/>
          <w:i/>
          <w:iCs/>
          <w:sz w:val="16"/>
          <w:szCs w:val="16"/>
        </w:rPr>
        <w:t>Pero cuando el legislador</w:t>
      </w:r>
      <w:r w:rsidRPr="007D27E6">
        <w:rPr>
          <w:rFonts w:ascii="Verdana" w:hAnsi="Verdana"/>
          <w:sz w:val="16"/>
          <w:szCs w:val="16"/>
        </w:rPr>
        <w:t xml:space="preserve">, agrega el artículo 20, </w:t>
      </w:r>
      <w:r w:rsidRPr="007D27E6">
        <w:rPr>
          <w:rFonts w:ascii="Verdana" w:hAnsi="Verdana"/>
          <w:i/>
          <w:iCs/>
          <w:sz w:val="16"/>
          <w:szCs w:val="16"/>
        </w:rPr>
        <w:t>las haya definido expresamente para ciertas materias se les dará en éstas su significado legal</w:t>
      </w:r>
      <w:r w:rsidRPr="007D27E6">
        <w:rPr>
          <w:rFonts w:ascii="Verdana" w:hAnsi="Verdana"/>
          <w:sz w:val="16"/>
          <w:szCs w:val="16"/>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 aparezca de manifiesto y con toda claridad” (CLARO SOLAR, Luis. Explicaciones de derecho civil chileno y comparado. Volumen I. Tomo I. Santiago: Editorial Jurídica de Chile, 2013. p. 117. Énfasis dentro del texto).</w:t>
      </w:r>
    </w:p>
    <w:p w14:paraId="40877E6B" w14:textId="77777777" w:rsidR="007D27E6" w:rsidRPr="007D27E6" w:rsidRDefault="007D27E6" w:rsidP="00393A6D">
      <w:pPr>
        <w:pStyle w:val="Textonotapie"/>
        <w:ind w:firstLine="708"/>
        <w:jc w:val="both"/>
        <w:rPr>
          <w:rFonts w:ascii="Verdana" w:hAnsi="Verdana"/>
          <w:sz w:val="16"/>
          <w:szCs w:val="16"/>
          <w:lang w:val="es-CO"/>
        </w:rPr>
      </w:pPr>
    </w:p>
  </w:footnote>
  <w:footnote w:id="21">
    <w:p w14:paraId="3DD634FB" w14:textId="77777777" w:rsidR="00393A6D" w:rsidRPr="007D27E6" w:rsidRDefault="00393A6D" w:rsidP="00393A6D">
      <w:pPr>
        <w:spacing w:after="0" w:line="240" w:lineRule="auto"/>
        <w:ind w:firstLine="708"/>
        <w:jc w:val="both"/>
        <w:rPr>
          <w:rFonts w:ascii="Verdana" w:eastAsia="Calibri" w:hAnsi="Verdana" w:cs="Arial"/>
          <w:sz w:val="16"/>
          <w:szCs w:val="16"/>
          <w:lang w:val="es-ES_tradnl"/>
        </w:rPr>
      </w:pPr>
      <w:r w:rsidRPr="007D27E6">
        <w:rPr>
          <w:rStyle w:val="Refdenotaalpie"/>
          <w:rFonts w:ascii="Verdana" w:hAnsi="Verdana" w:cs="Arial"/>
          <w:sz w:val="16"/>
          <w:szCs w:val="16"/>
        </w:rPr>
        <w:footnoteRef/>
      </w:r>
      <w:r w:rsidRPr="007D27E6">
        <w:rPr>
          <w:rFonts w:ascii="Verdana" w:hAnsi="Verdana" w:cs="Arial"/>
          <w:sz w:val="16"/>
          <w:szCs w:val="16"/>
        </w:rPr>
        <w:t xml:space="preserve"> </w:t>
      </w:r>
      <w:r w:rsidRPr="007D27E6">
        <w:rPr>
          <w:rFonts w:ascii="Verdana" w:hAnsi="Verdana" w:cs="Arial"/>
          <w:sz w:val="16"/>
          <w:szCs w:val="16"/>
          <w:lang w:val="es-ES_tradnl"/>
        </w:rPr>
        <w:t>La jurisprudencia delimita su sentido y alcance de la siguiente manera –</w:t>
      </w:r>
      <w:r w:rsidRPr="007D27E6">
        <w:rPr>
          <w:rFonts w:ascii="Verdana" w:hAnsi="Verdana" w:cs="Arial"/>
          <w:sz w:val="16"/>
          <w:szCs w:val="16"/>
          <w:lang w:val="es-ES"/>
        </w:rPr>
        <w:t>CORTE SUPREMA DE JUSTICIA. Sala de Casación Civil. Sentencia 20 de noviembre de 1989. MP. Alberto Ospina Botero. Publicada en la Gaceta Judicial. Tomo CXCVI. N° 2435. p. 93</w:t>
      </w:r>
      <w:r w:rsidRPr="007D27E6">
        <w:rPr>
          <w:rFonts w:ascii="Verdana" w:hAnsi="Verdana" w:cs="Arial"/>
          <w:sz w:val="16"/>
          <w:szCs w:val="16"/>
          <w:lang w:val="es-ES_tradnl"/>
        </w:rPr>
        <w:t>–:</w:t>
      </w:r>
    </w:p>
    <w:p w14:paraId="5DBB4F8F" w14:textId="77777777" w:rsidR="00393A6D" w:rsidRPr="007D27E6" w:rsidRDefault="00393A6D" w:rsidP="00393A6D">
      <w:pPr>
        <w:spacing w:after="0" w:line="240" w:lineRule="auto"/>
        <w:ind w:right="49" w:firstLine="708"/>
        <w:jc w:val="both"/>
        <w:rPr>
          <w:rFonts w:ascii="Verdana" w:eastAsia="Calibri" w:hAnsi="Verdana" w:cs="Arial"/>
          <w:sz w:val="16"/>
          <w:szCs w:val="16"/>
          <w:lang w:val="es-ES_tradnl"/>
        </w:rPr>
      </w:pPr>
      <w:r w:rsidRPr="007D27E6">
        <w:rPr>
          <w:rFonts w:ascii="Verdana" w:eastAsia="Calibri" w:hAnsi="Verdana" w:cs="Arial"/>
          <w:sz w:val="16"/>
          <w:szCs w:val="16"/>
          <w:lang w:val="es-ES_tradnl"/>
        </w:rPr>
        <w:t>“6. […] la fuerza mayor o caso fortuito se configura por la concurrencia de dos factores:</w:t>
      </w:r>
    </w:p>
    <w:p w14:paraId="75E7FAA3" w14:textId="77777777" w:rsidR="00393A6D" w:rsidRPr="007D27E6" w:rsidRDefault="00393A6D" w:rsidP="00393A6D">
      <w:pPr>
        <w:spacing w:after="0" w:line="240" w:lineRule="auto"/>
        <w:ind w:right="49" w:firstLine="708"/>
        <w:jc w:val="both"/>
        <w:rPr>
          <w:rFonts w:ascii="Verdana" w:eastAsia="Calibri" w:hAnsi="Verdana" w:cs="Arial"/>
          <w:sz w:val="16"/>
          <w:szCs w:val="16"/>
          <w:lang w:val="es-ES_tradnl"/>
        </w:rPr>
      </w:pPr>
      <w:r w:rsidRPr="007D27E6">
        <w:rPr>
          <w:rFonts w:ascii="Verdana" w:eastAsia="Calibri" w:hAnsi="Verdana" w:cs="Arial"/>
          <w:sz w:val="16"/>
          <w:szCs w:val="16"/>
          <w:lang w:val="es-ES_tradnl"/>
        </w:rPr>
        <w:t>a) Que el hecho sea imprevisible, esto es, que dentro de las circunstancias normales de la vida, no sea posible contemplar por anticipado su ocurrencia. Por el contrario, si el hecho razonablemente hubiera podido preverse, por ser un acontecimiento normal o de ocurrencia frecuente, tal hecho no estructura el elemento imprevisible, y</w:t>
      </w:r>
    </w:p>
    <w:p w14:paraId="5F872950" w14:textId="77777777" w:rsidR="00393A6D" w:rsidRPr="007D27E6" w:rsidRDefault="00393A6D" w:rsidP="00393A6D">
      <w:pPr>
        <w:spacing w:after="0" w:line="240" w:lineRule="auto"/>
        <w:ind w:right="49" w:firstLine="708"/>
        <w:jc w:val="both"/>
        <w:rPr>
          <w:rFonts w:ascii="Verdana" w:eastAsia="Calibri" w:hAnsi="Verdana" w:cs="Arial"/>
          <w:sz w:val="16"/>
          <w:szCs w:val="16"/>
          <w:lang w:val="es-ES_tradnl"/>
        </w:rPr>
      </w:pPr>
      <w:r w:rsidRPr="007D27E6">
        <w:rPr>
          <w:rFonts w:ascii="Verdana" w:eastAsia="Calibri" w:hAnsi="Verdana" w:cs="Arial"/>
          <w:sz w:val="16"/>
          <w:szCs w:val="16"/>
          <w:lang w:val="es-ES_tradnl"/>
        </w:rPr>
        <w:t>b) Que el hecho sea irresistible, o sea, que el agente no pueda evitar su acaecimiento ni superar sus consecuencias.</w:t>
      </w:r>
    </w:p>
    <w:p w14:paraId="5F48C3B1" w14:textId="77777777" w:rsidR="00393A6D" w:rsidRPr="007D27E6" w:rsidRDefault="00393A6D" w:rsidP="00393A6D">
      <w:pPr>
        <w:spacing w:after="0" w:line="240" w:lineRule="auto"/>
        <w:ind w:right="49" w:firstLine="708"/>
        <w:jc w:val="both"/>
        <w:rPr>
          <w:rFonts w:ascii="Verdana" w:eastAsia="Calibri" w:hAnsi="Verdana" w:cs="Arial"/>
          <w:sz w:val="16"/>
          <w:szCs w:val="16"/>
          <w:lang w:val="es-ES_tradnl"/>
        </w:rPr>
      </w:pPr>
      <w:r w:rsidRPr="007D27E6">
        <w:rPr>
          <w:rFonts w:ascii="Verdana" w:eastAsia="Calibri" w:hAnsi="Verdana" w:cs="Arial"/>
          <w:sz w:val="16"/>
          <w:szCs w:val="16"/>
          <w:lang w:val="es-ES_tradnl"/>
        </w:rPr>
        <w:t>En este preciso punto es indispensable anotar la diferencia existente entre la imposibilidad para resistir o superar el hecho y la dificultad para enfrentarlo. Porque un hecho no constituye caso fortuito o fuerza mayor, por la sola circunstancia de que se haga más difícil o más onerosa de lo previsto inicialmente.</w:t>
      </w:r>
    </w:p>
    <w:p w14:paraId="05885125" w14:textId="77777777" w:rsidR="00393A6D" w:rsidRPr="007D27E6" w:rsidRDefault="00393A6D" w:rsidP="00393A6D">
      <w:pPr>
        <w:spacing w:after="0" w:line="240" w:lineRule="auto"/>
        <w:ind w:right="49" w:firstLine="708"/>
        <w:jc w:val="both"/>
        <w:rPr>
          <w:rFonts w:ascii="Verdana" w:eastAsia="Calibri" w:hAnsi="Verdana" w:cs="Arial"/>
          <w:sz w:val="16"/>
          <w:szCs w:val="16"/>
          <w:lang w:val="es-ES_tradnl"/>
        </w:rPr>
      </w:pPr>
      <w:r w:rsidRPr="007D27E6">
        <w:rPr>
          <w:rFonts w:ascii="Verdana" w:eastAsia="Calibri" w:hAnsi="Verdana" w:cs="Arial"/>
          <w:sz w:val="16"/>
          <w:szCs w:val="16"/>
          <w:lang w:val="es-ES_tradnl"/>
        </w:rPr>
        <w:t>7. Según el verdadero sentido o inteligencia […] los elementos integrantes del caso fortuito o fuerza mayor, antes reseñados, deben ser concurrentes, lo cual se traduce en que si el hecho o suceso ciertamente es imprevisible pero se le puede resistir, no se da tal fenómeno, como tampoco se configura cuando a pesar de ser irresistible pudo preverse</w:t>
      </w:r>
    </w:p>
    <w:p w14:paraId="599DA4DF" w14:textId="77777777" w:rsidR="00393A6D" w:rsidRPr="007D27E6" w:rsidRDefault="00393A6D" w:rsidP="00393A6D">
      <w:pPr>
        <w:spacing w:after="0" w:line="240" w:lineRule="auto"/>
        <w:ind w:right="49"/>
        <w:jc w:val="both"/>
        <w:rPr>
          <w:rFonts w:ascii="Verdana" w:eastAsia="Calibri" w:hAnsi="Verdana" w:cs="Arial"/>
          <w:sz w:val="16"/>
          <w:szCs w:val="16"/>
          <w:lang w:val="es-ES_tradnl"/>
        </w:rPr>
      </w:pPr>
      <w:r w:rsidRPr="007D27E6">
        <w:rPr>
          <w:rFonts w:ascii="Verdana" w:eastAsia="Calibri" w:hAnsi="Verdana" w:cs="Arial"/>
          <w:sz w:val="16"/>
          <w:szCs w:val="16"/>
          <w:lang w:val="es-ES_tradnl"/>
        </w:rPr>
        <w:t>[…]</w:t>
      </w:r>
    </w:p>
    <w:p w14:paraId="0FCAF434" w14:textId="77777777" w:rsidR="00393A6D" w:rsidRPr="007D27E6" w:rsidRDefault="00393A6D" w:rsidP="00393A6D">
      <w:pPr>
        <w:pStyle w:val="Textonotapie"/>
        <w:ind w:right="49" w:firstLine="708"/>
        <w:jc w:val="both"/>
        <w:rPr>
          <w:rFonts w:ascii="Verdana" w:hAnsi="Verdana" w:cs="Arial"/>
          <w:sz w:val="16"/>
          <w:szCs w:val="16"/>
          <w:lang w:val="es-CO"/>
        </w:rPr>
      </w:pPr>
      <w:r w:rsidRPr="007D27E6">
        <w:rPr>
          <w:rFonts w:ascii="Verdana" w:eastAsia="Calibri" w:hAnsi="Verdana" w:cs="Arial"/>
          <w:sz w:val="16"/>
          <w:szCs w:val="16"/>
          <w:lang w:val="es-ES_tradnl"/>
        </w:rPr>
        <w:t>8. Si, sólo puede calificarse como caso fortuito o fuerza mayor el hecho que concurrentemente contemple los caracteres de imprevisible e irresistible, no resulta propio elaborar un listado de los acontecimientos que constituyen tal fenómeno, ni de los que no lo constituyen. Por tal virtud, ha sostenido la doctrina nacional y foránea que un acontecimiento determinado no puede calificarse fatalmente, por sí mismo y por fuerza de su naturaleza específica como constitutivo de fuerza mayor o caso fortuito, puesto que es indispensable, en cada caso o acontecimiento, analizar y ponderar todas las circunstancias que rodearon el hecho”.</w:t>
      </w:r>
    </w:p>
  </w:footnote>
  <w:footnote w:id="22">
    <w:p w14:paraId="780725A9" w14:textId="77777777" w:rsidR="00393A6D" w:rsidRPr="007D27E6" w:rsidRDefault="00393A6D" w:rsidP="00393A6D">
      <w:pPr>
        <w:pStyle w:val="Textonotapie"/>
        <w:ind w:firstLine="708"/>
        <w:jc w:val="both"/>
        <w:rPr>
          <w:rFonts w:ascii="Verdana" w:hAnsi="Verdana" w:cs="Arial"/>
          <w:sz w:val="16"/>
          <w:szCs w:val="16"/>
          <w:lang w:val="es-ES"/>
        </w:rPr>
      </w:pPr>
      <w:r w:rsidRPr="007D27E6">
        <w:rPr>
          <w:rStyle w:val="Refdenotaalpie"/>
          <w:rFonts w:ascii="Verdana" w:hAnsi="Verdana" w:cs="Arial"/>
          <w:sz w:val="16"/>
          <w:szCs w:val="16"/>
        </w:rPr>
        <w:footnoteRef/>
      </w:r>
      <w:r w:rsidRPr="007D27E6">
        <w:rPr>
          <w:rFonts w:ascii="Verdana" w:hAnsi="Verdana" w:cs="Arial"/>
          <w:sz w:val="16"/>
          <w:szCs w:val="16"/>
        </w:rPr>
        <w:t xml:space="preserve"> “</w:t>
      </w:r>
      <w:r w:rsidRPr="007D27E6">
        <w:rPr>
          <w:rFonts w:ascii="Verdana" w:hAnsi="Verdana" w:cs="Arial"/>
          <w:sz w:val="16"/>
          <w:szCs w:val="16"/>
          <w:lang w:val="es-ES"/>
        </w:rPr>
        <w:t>Artículo 56. Declaratoria de situación de desastre. Previa recomendación del Consejo Nacional, el Presidente de la República declarará mediante decreto la existencia de una situación de desastre y, en el mismo acto, la clasificará según su magnitud y efectos como de carácter nacional, regional, departamental, distrital o municipal, y pondrá en vigor las normas pertinentes propias del régimen especial para situaciones de desastre.</w:t>
      </w:r>
    </w:p>
    <w:p w14:paraId="453CBC21" w14:textId="77777777" w:rsidR="00393A6D" w:rsidRPr="007D27E6" w:rsidRDefault="00393A6D" w:rsidP="00393A6D">
      <w:pPr>
        <w:pStyle w:val="Textonotapie"/>
        <w:ind w:firstLine="708"/>
        <w:jc w:val="both"/>
        <w:rPr>
          <w:rFonts w:ascii="Verdana" w:hAnsi="Verdana" w:cs="Arial"/>
          <w:sz w:val="16"/>
          <w:szCs w:val="16"/>
          <w:lang w:val="es-ES"/>
        </w:rPr>
      </w:pPr>
      <w:r w:rsidRPr="007D27E6">
        <w:rPr>
          <w:rFonts w:ascii="Verdana" w:hAnsi="Verdana" w:cs="Arial"/>
          <w:sz w:val="16"/>
          <w:szCs w:val="16"/>
          <w:lang w:val="es-ES"/>
        </w:rPr>
        <w:t>1. Nacional. Existirá una situación de desastre nacional:</w:t>
      </w:r>
    </w:p>
    <w:p w14:paraId="460A2204" w14:textId="77777777" w:rsidR="00393A6D" w:rsidRPr="007D27E6" w:rsidRDefault="00393A6D" w:rsidP="00393A6D">
      <w:pPr>
        <w:pStyle w:val="Textonotapie"/>
        <w:ind w:firstLine="708"/>
        <w:jc w:val="both"/>
        <w:rPr>
          <w:rFonts w:ascii="Verdana" w:hAnsi="Verdana" w:cs="Arial"/>
          <w:sz w:val="16"/>
          <w:szCs w:val="16"/>
          <w:lang w:val="es-ES"/>
        </w:rPr>
      </w:pPr>
      <w:r w:rsidRPr="007D27E6">
        <w:rPr>
          <w:rFonts w:ascii="Verdana" w:hAnsi="Verdana" w:cs="Arial"/>
          <w:sz w:val="16"/>
          <w:szCs w:val="16"/>
          <w:lang w:val="es-ES"/>
        </w:rPr>
        <w:t>a). Cuando la materialización del riesgo afecte de manera desfavorable y grave los bienes jurídicos protegidos de las personas, de la colectividad nacional y de las instituciones de la Administración Pública Nacional, en todo el territorio nacional o en parte considerable del mismo.</w:t>
      </w:r>
    </w:p>
    <w:p w14:paraId="0DC7E01A" w14:textId="77777777" w:rsidR="00393A6D" w:rsidRPr="007D27E6" w:rsidRDefault="00393A6D" w:rsidP="00393A6D">
      <w:pPr>
        <w:pStyle w:val="Textonotapie"/>
        <w:ind w:firstLine="708"/>
        <w:jc w:val="both"/>
        <w:rPr>
          <w:rFonts w:ascii="Verdana" w:hAnsi="Verdana" w:cs="Arial"/>
          <w:sz w:val="16"/>
          <w:szCs w:val="16"/>
          <w:lang w:val="es-ES"/>
        </w:rPr>
      </w:pPr>
      <w:r w:rsidRPr="007D27E6">
        <w:rPr>
          <w:rFonts w:ascii="Verdana" w:hAnsi="Verdana" w:cs="Arial"/>
          <w:sz w:val="16"/>
          <w:szCs w:val="16"/>
          <w:lang w:val="es-ES"/>
        </w:rPr>
        <w:t>b). Cuando se hayan producido efectos adversos en uno (1) o más departamentos y su impacto rebase la capacidad técnica y los recursos de las administraciones departamentales y municipales involucradas.</w:t>
      </w:r>
    </w:p>
    <w:p w14:paraId="47ED0775" w14:textId="77777777" w:rsidR="00393A6D" w:rsidRPr="007D27E6" w:rsidRDefault="00393A6D" w:rsidP="00393A6D">
      <w:pPr>
        <w:pStyle w:val="Textonotapie"/>
        <w:ind w:firstLine="708"/>
        <w:jc w:val="both"/>
        <w:rPr>
          <w:rFonts w:ascii="Verdana" w:hAnsi="Verdana" w:cs="Arial"/>
          <w:sz w:val="16"/>
          <w:szCs w:val="16"/>
          <w:lang w:val="es-ES"/>
        </w:rPr>
      </w:pPr>
      <w:r w:rsidRPr="007D27E6">
        <w:rPr>
          <w:rFonts w:ascii="Verdana" w:hAnsi="Verdana" w:cs="Arial"/>
          <w:sz w:val="16"/>
          <w:szCs w:val="16"/>
          <w:lang w:val="es-ES"/>
        </w:rPr>
        <w:t>c). Cuando la emergencia tenga la capacidad de impactar de manera desfavorable y grave la economía nacional, las redes de servicios nacionales en su totalidad o en parte significativa de las mismas, el distrito capital y otros centros urbanos de importancia regional en la red de ciudades.</w:t>
      </w:r>
    </w:p>
    <w:p w14:paraId="6B43EE51" w14:textId="77777777" w:rsidR="00393A6D" w:rsidRPr="007D27E6" w:rsidRDefault="00393A6D" w:rsidP="00393A6D">
      <w:pPr>
        <w:pStyle w:val="Textonotapie"/>
        <w:ind w:firstLine="708"/>
        <w:jc w:val="both"/>
        <w:rPr>
          <w:rFonts w:ascii="Verdana" w:hAnsi="Verdana" w:cs="Arial"/>
          <w:sz w:val="16"/>
          <w:szCs w:val="16"/>
          <w:lang w:val="es-ES"/>
        </w:rPr>
      </w:pPr>
      <w:r w:rsidRPr="007D27E6">
        <w:rPr>
          <w:rFonts w:ascii="Verdana" w:hAnsi="Verdana" w:cs="Arial"/>
          <w:sz w:val="16"/>
          <w:szCs w:val="16"/>
          <w:lang w:val="es-ES"/>
        </w:rPr>
        <w:t>2. Departamental. Existirá una situación de desastre departamental cuando la materialización del riesgo afecte de manera desfavorable y grave los bienes jurídicos protegidos de los habitantes de un (1) departamento y de la administración pública departamental. El desastre de orden departamental puede presentarse en todo el departamento o en parte sustancial de su territorio rebasando la capacidad técnica y de recursos de los municipios afectados.</w:t>
      </w:r>
    </w:p>
    <w:p w14:paraId="281A78F6" w14:textId="77777777" w:rsidR="00393A6D" w:rsidRPr="007D27E6" w:rsidRDefault="00393A6D" w:rsidP="00393A6D">
      <w:pPr>
        <w:pStyle w:val="Textonotapie"/>
        <w:ind w:firstLine="708"/>
        <w:jc w:val="both"/>
        <w:rPr>
          <w:rFonts w:ascii="Verdana" w:hAnsi="Verdana" w:cs="Arial"/>
          <w:sz w:val="16"/>
          <w:szCs w:val="16"/>
          <w:lang w:val="es-ES"/>
        </w:rPr>
      </w:pPr>
      <w:r w:rsidRPr="007D27E6">
        <w:rPr>
          <w:rFonts w:ascii="Verdana" w:hAnsi="Verdana" w:cs="Arial"/>
          <w:sz w:val="16"/>
          <w:szCs w:val="16"/>
          <w:lang w:val="es-ES"/>
        </w:rPr>
        <w:t>3. Distrital o Municipal. Existirá una situación de desastre municipal o distrital cuando la materialización del riesgo afecte de manera desfavorable y grave los bienes jurídicos protegidos de los habitantes del municipio o distrito impactado y de la administración pública distrital. El desastre de orden distrital o municipal puede presentarse en todo el distrito o municipio o en parte sustancial del territorio de su jurisdicción, rebasando su capacidad técnica y de recursos […]”.</w:t>
      </w:r>
    </w:p>
  </w:footnote>
  <w:footnote w:id="23">
    <w:p w14:paraId="1A9F3FA0" w14:textId="77777777" w:rsidR="00393A6D" w:rsidRDefault="00393A6D" w:rsidP="00393A6D">
      <w:pPr>
        <w:pStyle w:val="Textonotapie"/>
        <w:ind w:firstLine="708"/>
        <w:jc w:val="both"/>
        <w:rPr>
          <w:rFonts w:ascii="Verdana" w:hAnsi="Verdana" w:cs="Arial"/>
          <w:sz w:val="16"/>
          <w:szCs w:val="16"/>
          <w:lang w:val="es-ES"/>
        </w:rPr>
      </w:pPr>
      <w:r w:rsidRPr="007D27E6">
        <w:rPr>
          <w:rStyle w:val="Refdenotaalpie"/>
          <w:rFonts w:ascii="Verdana" w:hAnsi="Verdana" w:cs="Arial"/>
          <w:sz w:val="16"/>
          <w:szCs w:val="16"/>
        </w:rPr>
        <w:footnoteRef/>
      </w:r>
      <w:r w:rsidRPr="007D27E6">
        <w:rPr>
          <w:rFonts w:ascii="Verdana" w:hAnsi="Verdana" w:cs="Arial"/>
          <w:sz w:val="16"/>
          <w:szCs w:val="16"/>
        </w:rPr>
        <w:t xml:space="preserve"> “</w:t>
      </w:r>
      <w:r w:rsidRPr="007D27E6">
        <w:rPr>
          <w:rFonts w:ascii="Verdana" w:hAnsi="Verdana" w:cs="Arial"/>
          <w:sz w:val="16"/>
          <w:szCs w:val="16"/>
          <w:lang w:val="es-ES"/>
        </w:rPr>
        <w:t>Artículo 57. Declaratoria de situación de calamidad pública. Los gobernadores y alcaldes, previo concepto favorable del Consejo Departamental, Distrital o Municipal de Gestión del Riesgo, podrán declararla situación de calamidad pública en su respectiva jurisdicción. Las declaratorias de situación de calamidad pública se producirán y aplicarán, en lo pertinente, de conformidad con las reglas de la declaratoria de la situación de desastre”.</w:t>
      </w:r>
    </w:p>
    <w:p w14:paraId="67199320" w14:textId="77777777" w:rsidR="00CB14C4" w:rsidRPr="007D27E6" w:rsidRDefault="00CB14C4" w:rsidP="00393A6D">
      <w:pPr>
        <w:pStyle w:val="Textonotapie"/>
        <w:ind w:firstLine="708"/>
        <w:jc w:val="both"/>
        <w:rPr>
          <w:rFonts w:ascii="Verdana" w:hAnsi="Verdana" w:cs="Arial"/>
          <w:sz w:val="16"/>
          <w:szCs w:val="16"/>
          <w:lang w:val="es-CO"/>
        </w:rPr>
      </w:pPr>
    </w:p>
  </w:footnote>
  <w:footnote w:id="24">
    <w:p w14:paraId="6A5890D3" w14:textId="77777777" w:rsidR="00393A6D" w:rsidRPr="007D27E6" w:rsidRDefault="00393A6D" w:rsidP="00393A6D">
      <w:pPr>
        <w:spacing w:after="0" w:line="240" w:lineRule="auto"/>
        <w:ind w:firstLine="709"/>
        <w:jc w:val="both"/>
        <w:rPr>
          <w:rFonts w:ascii="Verdana" w:hAnsi="Verdana" w:cs="Arial"/>
          <w:color w:val="000000"/>
          <w:sz w:val="16"/>
          <w:szCs w:val="16"/>
        </w:rPr>
      </w:pPr>
      <w:r w:rsidRPr="007D27E6">
        <w:rPr>
          <w:rStyle w:val="Refdenotaalpie"/>
          <w:rFonts w:ascii="Verdana" w:hAnsi="Verdana" w:cs="Arial"/>
          <w:color w:val="000000"/>
          <w:sz w:val="16"/>
          <w:szCs w:val="16"/>
        </w:rPr>
        <w:footnoteRef/>
      </w:r>
      <w:r w:rsidRPr="007D27E6">
        <w:rPr>
          <w:rFonts w:ascii="Verdana" w:hAnsi="Verdana" w:cs="Arial"/>
          <w:color w:val="000000"/>
          <w:sz w:val="16"/>
          <w:szCs w:val="16"/>
        </w:rPr>
        <w:t xml:space="preserve"> Consejo de Estado. Sala de Consulta y Servicio Civil. Concepto de 20 de febrero de 2006. Radicación Número: 11001-03-06-000-2006-00026-00 (1727). Consejero Ponente: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25">
    <w:p w14:paraId="62B8D53A" w14:textId="77777777" w:rsidR="00393A6D" w:rsidRPr="007D27E6" w:rsidRDefault="00393A6D" w:rsidP="00393A6D">
      <w:pPr>
        <w:pStyle w:val="Textonotapie"/>
        <w:ind w:firstLine="709"/>
        <w:jc w:val="both"/>
        <w:rPr>
          <w:rFonts w:ascii="Verdana" w:hAnsi="Verdana"/>
          <w:sz w:val="16"/>
          <w:szCs w:val="16"/>
          <w:lang w:val="es-CO"/>
        </w:rPr>
      </w:pPr>
      <w:r w:rsidRPr="007D27E6">
        <w:rPr>
          <w:rStyle w:val="Refdenotaalpie"/>
          <w:rFonts w:ascii="Verdana" w:hAnsi="Verdana"/>
          <w:sz w:val="16"/>
          <w:szCs w:val="16"/>
        </w:rPr>
        <w:footnoteRef/>
      </w:r>
      <w:r w:rsidRPr="007D27E6">
        <w:rPr>
          <w:rFonts w:ascii="Verdana" w:hAnsi="Verdana"/>
          <w:sz w:val="16"/>
          <w:szCs w:val="16"/>
        </w:rPr>
        <w:t xml:space="preserve"> Consejo de Estado, Sección Tercera. Auto del 4 de octubre de 2024. Exp. 70.313. C.P: Fredy Ibarra Martínez.</w:t>
      </w:r>
    </w:p>
  </w:footnote>
  <w:footnote w:id="26">
    <w:p w14:paraId="67D90575" w14:textId="77777777" w:rsidR="00393A6D" w:rsidRPr="007D27E6" w:rsidRDefault="00393A6D" w:rsidP="00393A6D">
      <w:pPr>
        <w:spacing w:after="0" w:line="240" w:lineRule="auto"/>
        <w:ind w:firstLine="709"/>
        <w:jc w:val="both"/>
        <w:rPr>
          <w:rFonts w:ascii="Verdana" w:eastAsia="Times New Roman" w:hAnsi="Verdana" w:cs="Times New Roman"/>
          <w:sz w:val="16"/>
          <w:szCs w:val="16"/>
          <w:lang w:eastAsia="es-ES"/>
        </w:rPr>
      </w:pPr>
      <w:r w:rsidRPr="007D27E6">
        <w:rPr>
          <w:rStyle w:val="Refdenotaalpie"/>
          <w:rFonts w:ascii="Verdana" w:hAnsi="Verdana"/>
          <w:sz w:val="16"/>
          <w:szCs w:val="16"/>
        </w:rPr>
        <w:footnoteRef/>
      </w:r>
      <w:r w:rsidRPr="007D27E6">
        <w:rPr>
          <w:rFonts w:ascii="Verdana" w:hAnsi="Verdana"/>
          <w:sz w:val="16"/>
          <w:szCs w:val="16"/>
        </w:rPr>
        <w:t xml:space="preserve"> </w:t>
      </w:r>
      <w:r w:rsidRPr="007D27E6">
        <w:rPr>
          <w:rFonts w:ascii="Verdana" w:eastAsia="Times New Roman" w:hAnsi="Verdana" w:cs="Times New Roman"/>
          <w:sz w:val="16"/>
          <w:szCs w:val="16"/>
          <w:lang w:eastAsia="es-ES"/>
        </w:rPr>
        <w:t xml:space="preserve">Consejo de Estado. Sala de lo Contencioso Administrativo. Sección Tercera. Subsección B. 17 de octubre de 2025. Magistrado Ponente: Fredy Ibarra Martínez.  </w:t>
      </w:r>
      <w:r w:rsidRPr="007D27E6">
        <w:rPr>
          <w:rFonts w:ascii="Verdana" w:hAnsi="Verdana"/>
          <w:sz w:val="16"/>
          <w:szCs w:val="16"/>
        </w:rPr>
        <w:t xml:space="preserve">La parte de la providencia señala: </w:t>
      </w:r>
      <w:r w:rsidRPr="007D27E6">
        <w:rPr>
          <w:rFonts w:ascii="Verdana" w:eastAsia="Times New Roman" w:hAnsi="Verdana" w:cs="Times New Roman"/>
          <w:sz w:val="16"/>
          <w:szCs w:val="16"/>
          <w:lang w:eastAsia="es-ES"/>
        </w:rPr>
        <w:t>Declárase la nulidad parcial del numeral 16.2 de la Circular Externa Única de 2022 expedida por la Agencia Nacional de Contratación Pública -Colombia Compra Eficiente-, concretamente, de los siguientes apartes normativos: i) el inciso tercero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ii) la expresión y el siguiente párrafo contenidos en el inciso quinto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w:t>
      </w:r>
    </w:p>
  </w:footnote>
  <w:footnote w:id="27">
    <w:p w14:paraId="0BB34F38" w14:textId="77777777" w:rsidR="00393A6D" w:rsidRDefault="00393A6D" w:rsidP="00393A6D">
      <w:pPr>
        <w:pStyle w:val="Textonotapie"/>
        <w:ind w:firstLine="709"/>
        <w:jc w:val="both"/>
        <w:rPr>
          <w:rFonts w:ascii="Verdana" w:hAnsi="Verdana"/>
          <w:sz w:val="16"/>
          <w:szCs w:val="16"/>
        </w:rPr>
      </w:pPr>
      <w:r w:rsidRPr="007D27E6">
        <w:rPr>
          <w:rStyle w:val="Refdenotaalpie"/>
          <w:rFonts w:ascii="Verdana" w:hAnsi="Verdana"/>
          <w:sz w:val="16"/>
          <w:szCs w:val="16"/>
        </w:rPr>
        <w:footnoteRef/>
      </w:r>
      <w:r w:rsidRPr="007D27E6">
        <w:rPr>
          <w:rFonts w:ascii="Verdana" w:hAnsi="Verdana"/>
          <w:sz w:val="16"/>
          <w:szCs w:val="16"/>
        </w:rPr>
        <w:t xml:space="preserve"> No obstante lo anterior, es importante mencionar que aún se encuentra por definir la demanda de nulidad simple, identificada con el Radicado número 11001-03-26-000-2025-00016-00, en la cual se cuestiona parcialmente el numeral 16.2 de la Circular Externa Única CCE-EICP-MA-06, Versión 03 del 27 de diciembre de 2023.</w:t>
      </w:r>
    </w:p>
    <w:p w14:paraId="68A21589" w14:textId="77777777" w:rsidR="00CB14C4" w:rsidRPr="007D27E6" w:rsidRDefault="00CB14C4" w:rsidP="00393A6D">
      <w:pPr>
        <w:pStyle w:val="Textonotapie"/>
        <w:ind w:firstLine="709"/>
        <w:jc w:val="both"/>
        <w:rPr>
          <w:rFonts w:ascii="Verdana" w:hAnsi="Verdana"/>
          <w:sz w:val="16"/>
          <w:szCs w:val="16"/>
          <w:lang w:val="es-CO"/>
        </w:rPr>
      </w:pPr>
    </w:p>
  </w:footnote>
  <w:footnote w:id="28">
    <w:p w14:paraId="78F2D887" w14:textId="77777777" w:rsidR="00393A6D" w:rsidRPr="007D27E6" w:rsidRDefault="00393A6D" w:rsidP="00393A6D">
      <w:pPr>
        <w:pStyle w:val="Textonotapie"/>
        <w:ind w:firstLine="708"/>
        <w:jc w:val="both"/>
        <w:rPr>
          <w:rStyle w:val="Refdenotaalpie"/>
          <w:rFonts w:ascii="Verdana" w:hAnsi="Verdana" w:cs="Arial"/>
          <w:sz w:val="16"/>
          <w:szCs w:val="16"/>
          <w:vertAlign w:val="baseline"/>
        </w:rPr>
      </w:pPr>
      <w:r w:rsidRPr="007D27E6">
        <w:rPr>
          <w:rStyle w:val="Refdenotaalpie"/>
          <w:rFonts w:ascii="Verdana" w:hAnsi="Verdana" w:cs="Arial"/>
          <w:sz w:val="16"/>
          <w:szCs w:val="16"/>
        </w:rPr>
        <w:footnoteRef/>
      </w:r>
      <w:r w:rsidRPr="007D27E6">
        <w:rPr>
          <w:rStyle w:val="Refdenotaalpie"/>
          <w:rFonts w:ascii="Verdana" w:hAnsi="Verdana" w:cs="Arial"/>
          <w:sz w:val="16"/>
          <w:szCs w:val="16"/>
          <w:vertAlign w:val="baseline"/>
        </w:rPr>
        <w:t xml:space="preserve"> Ley 1575 de 2012. </w:t>
      </w:r>
      <w:r w:rsidRPr="007D27E6">
        <w:rPr>
          <w:rFonts w:ascii="Verdana" w:hAnsi="Verdana" w:cs="Arial"/>
          <w:sz w:val="16"/>
          <w:szCs w:val="16"/>
        </w:rPr>
        <w:t>“</w:t>
      </w:r>
      <w:r w:rsidRPr="007D27E6">
        <w:rPr>
          <w:rStyle w:val="Refdenotaalpie"/>
          <w:rFonts w:ascii="Verdana" w:hAnsi="Verdana" w:cs="Arial"/>
          <w:sz w:val="16"/>
          <w:szCs w:val="16"/>
          <w:vertAlign w:val="baseline"/>
        </w:rPr>
        <w:t>Artículo 3. Competencias Del Nivel Nacional Y Territorial. El servicio público esencial se prestará con fundamento en los principios de subsidiariedad, coordinación y concurrencia, en cumplimiento de lo dispuesto en el artículo 288 de la Constitución.   </w:t>
      </w:r>
    </w:p>
    <w:p w14:paraId="1769B44C" w14:textId="77777777" w:rsidR="00393A6D" w:rsidRPr="007D27E6" w:rsidRDefault="00393A6D" w:rsidP="00393A6D">
      <w:pPr>
        <w:pStyle w:val="Textonotapie"/>
        <w:ind w:firstLine="708"/>
        <w:jc w:val="both"/>
        <w:rPr>
          <w:rStyle w:val="Refdenotaalpie"/>
          <w:rFonts w:ascii="Verdana" w:hAnsi="Verdana" w:cs="Arial"/>
          <w:sz w:val="16"/>
          <w:szCs w:val="16"/>
          <w:vertAlign w:val="baseline"/>
        </w:rPr>
      </w:pPr>
      <w:r w:rsidRPr="007D27E6">
        <w:rPr>
          <w:rFonts w:ascii="Verdana" w:hAnsi="Verdana" w:cs="Arial"/>
          <w:sz w:val="16"/>
          <w:szCs w:val="16"/>
        </w:rPr>
        <w:t>[</w:t>
      </w:r>
      <w:r w:rsidRPr="007D27E6">
        <w:rPr>
          <w:rStyle w:val="Refdenotaalpie"/>
          <w:rFonts w:ascii="Verdana" w:hAnsi="Verdana" w:cs="Arial"/>
          <w:sz w:val="16"/>
          <w:szCs w:val="16"/>
          <w:vertAlign w:val="baseline"/>
        </w:rPr>
        <w:t>…</w:t>
      </w:r>
      <w:r w:rsidRPr="007D27E6">
        <w:rPr>
          <w:rFonts w:ascii="Verdana" w:hAnsi="Verdana" w:cs="Arial"/>
          <w:sz w:val="16"/>
          <w:szCs w:val="16"/>
        </w:rPr>
        <w:t>]</w:t>
      </w:r>
      <w:r w:rsidRPr="007D27E6">
        <w:rPr>
          <w:rStyle w:val="Refdenotaalpie"/>
          <w:rFonts w:ascii="Verdana" w:hAnsi="Verdana" w:cs="Arial"/>
          <w:sz w:val="16"/>
          <w:szCs w:val="16"/>
          <w:vertAlign w:val="baseline"/>
        </w:rPr>
        <w:t>   </w:t>
      </w:r>
    </w:p>
    <w:p w14:paraId="4D3687D3" w14:textId="77777777" w:rsidR="00393A6D" w:rsidRPr="007D27E6" w:rsidRDefault="00393A6D" w:rsidP="00393A6D">
      <w:pPr>
        <w:pStyle w:val="Textonotapie"/>
        <w:ind w:firstLine="707"/>
        <w:jc w:val="both"/>
        <w:rPr>
          <w:rFonts w:ascii="Verdana" w:hAnsi="Verdana" w:cs="Arial"/>
          <w:sz w:val="16"/>
          <w:szCs w:val="16"/>
          <w:lang w:val="es-ES"/>
        </w:rPr>
      </w:pPr>
      <w:r w:rsidRPr="007D27E6">
        <w:rPr>
          <w:rFonts w:ascii="Verdana" w:hAnsi="Verdana" w:cs="Arial"/>
          <w:sz w:val="16"/>
          <w:szCs w:val="16"/>
        </w:rPr>
        <w:t>“</w:t>
      </w:r>
      <w:r w:rsidRPr="007D27E6">
        <w:rPr>
          <w:rStyle w:val="Refdenotaalpie"/>
          <w:rFonts w:ascii="Verdana" w:hAnsi="Verdana" w:cs="Arial"/>
          <w:sz w:val="16"/>
          <w:szCs w:val="16"/>
          <w:vertAlign w:val="baseline"/>
        </w:rPr>
        <w:t>Es obligación de los distritos, con asiento en su respectiva jurisdicción y de los municipios la prestación del servicio público esencial a través de los cuerpos de bomberos oficiales o mediante la celebración de contratos y/o convenios con los cuerpos de bomberos voluntarios</w:t>
      </w:r>
      <w:r w:rsidRPr="007D27E6">
        <w:rPr>
          <w:rFonts w:ascii="Verdana" w:hAnsi="Verdana" w:cs="Arial"/>
          <w:sz w:val="16"/>
          <w:szCs w:val="16"/>
        </w:rPr>
        <w:t>”</w:t>
      </w:r>
      <w:r w:rsidRPr="007D27E6">
        <w:rPr>
          <w:rStyle w:val="Refdenotaalpie"/>
          <w:rFonts w:ascii="Verdana" w:hAnsi="Verdana" w:cs="Arial"/>
          <w:sz w:val="16"/>
          <w:szCs w:val="16"/>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69146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B2C0F"/>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93A6D"/>
    <w:rsid w:val="003A779E"/>
    <w:rsid w:val="003D0F4D"/>
    <w:rsid w:val="003D1EAC"/>
    <w:rsid w:val="003D5B0D"/>
    <w:rsid w:val="003E0499"/>
    <w:rsid w:val="003E4F80"/>
    <w:rsid w:val="003E6439"/>
    <w:rsid w:val="003F3941"/>
    <w:rsid w:val="00406575"/>
    <w:rsid w:val="004114E7"/>
    <w:rsid w:val="00414C74"/>
    <w:rsid w:val="00421F91"/>
    <w:rsid w:val="0042722E"/>
    <w:rsid w:val="0044528D"/>
    <w:rsid w:val="00466E39"/>
    <w:rsid w:val="004A1847"/>
    <w:rsid w:val="004A305D"/>
    <w:rsid w:val="004F21C4"/>
    <w:rsid w:val="004F685F"/>
    <w:rsid w:val="005428CB"/>
    <w:rsid w:val="005566E8"/>
    <w:rsid w:val="00563159"/>
    <w:rsid w:val="00574867"/>
    <w:rsid w:val="00591460"/>
    <w:rsid w:val="005A65E0"/>
    <w:rsid w:val="005C3777"/>
    <w:rsid w:val="005C5CDC"/>
    <w:rsid w:val="005D476C"/>
    <w:rsid w:val="005D6C03"/>
    <w:rsid w:val="006200BF"/>
    <w:rsid w:val="006219F8"/>
    <w:rsid w:val="006302F7"/>
    <w:rsid w:val="00646B9F"/>
    <w:rsid w:val="00665D70"/>
    <w:rsid w:val="006900D9"/>
    <w:rsid w:val="00697F1E"/>
    <w:rsid w:val="006A053E"/>
    <w:rsid w:val="006E6A3F"/>
    <w:rsid w:val="006F623A"/>
    <w:rsid w:val="00706C16"/>
    <w:rsid w:val="007340C3"/>
    <w:rsid w:val="0075235A"/>
    <w:rsid w:val="00756841"/>
    <w:rsid w:val="007649AB"/>
    <w:rsid w:val="00771D0C"/>
    <w:rsid w:val="007833AC"/>
    <w:rsid w:val="007B268C"/>
    <w:rsid w:val="007B7171"/>
    <w:rsid w:val="007C0C0F"/>
    <w:rsid w:val="007C3DC2"/>
    <w:rsid w:val="007D27E6"/>
    <w:rsid w:val="007E5497"/>
    <w:rsid w:val="00806F5F"/>
    <w:rsid w:val="00820278"/>
    <w:rsid w:val="008258C9"/>
    <w:rsid w:val="00844AE9"/>
    <w:rsid w:val="00867F95"/>
    <w:rsid w:val="008843B6"/>
    <w:rsid w:val="00886706"/>
    <w:rsid w:val="00891928"/>
    <w:rsid w:val="008A446D"/>
    <w:rsid w:val="008B25F1"/>
    <w:rsid w:val="008B59C0"/>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E09BC"/>
    <w:rsid w:val="009F3A13"/>
    <w:rsid w:val="00A122D3"/>
    <w:rsid w:val="00A14468"/>
    <w:rsid w:val="00A17F13"/>
    <w:rsid w:val="00A20739"/>
    <w:rsid w:val="00A23AF9"/>
    <w:rsid w:val="00A33C78"/>
    <w:rsid w:val="00AB0ADB"/>
    <w:rsid w:val="00AD7F48"/>
    <w:rsid w:val="00AE04E5"/>
    <w:rsid w:val="00AF4187"/>
    <w:rsid w:val="00B00C0E"/>
    <w:rsid w:val="00B01B1A"/>
    <w:rsid w:val="00B0381D"/>
    <w:rsid w:val="00B44A47"/>
    <w:rsid w:val="00B72CD3"/>
    <w:rsid w:val="00B72FFF"/>
    <w:rsid w:val="00BC3D36"/>
    <w:rsid w:val="00BD54A6"/>
    <w:rsid w:val="00BD7F72"/>
    <w:rsid w:val="00BF7425"/>
    <w:rsid w:val="00BF7B83"/>
    <w:rsid w:val="00C04FB3"/>
    <w:rsid w:val="00C11D8B"/>
    <w:rsid w:val="00C15139"/>
    <w:rsid w:val="00C330EB"/>
    <w:rsid w:val="00C50D69"/>
    <w:rsid w:val="00C5365C"/>
    <w:rsid w:val="00C754BE"/>
    <w:rsid w:val="00C76B1C"/>
    <w:rsid w:val="00C925AC"/>
    <w:rsid w:val="00CB14C4"/>
    <w:rsid w:val="00CB6357"/>
    <w:rsid w:val="00CC1B26"/>
    <w:rsid w:val="00D361FD"/>
    <w:rsid w:val="00D423A2"/>
    <w:rsid w:val="00D44E26"/>
    <w:rsid w:val="00D520D8"/>
    <w:rsid w:val="00D63AC2"/>
    <w:rsid w:val="00D67F8B"/>
    <w:rsid w:val="00D7383B"/>
    <w:rsid w:val="00D7788A"/>
    <w:rsid w:val="00DA231B"/>
    <w:rsid w:val="00DC39FC"/>
    <w:rsid w:val="00DD4523"/>
    <w:rsid w:val="00DF5254"/>
    <w:rsid w:val="00E02524"/>
    <w:rsid w:val="00E16408"/>
    <w:rsid w:val="00E204D9"/>
    <w:rsid w:val="00E20894"/>
    <w:rsid w:val="00E245AB"/>
    <w:rsid w:val="00E2764C"/>
    <w:rsid w:val="00E27F2E"/>
    <w:rsid w:val="00E50AFE"/>
    <w:rsid w:val="00E75C92"/>
    <w:rsid w:val="00E771DC"/>
    <w:rsid w:val="00E82CC8"/>
    <w:rsid w:val="00E8772A"/>
    <w:rsid w:val="00E90F6B"/>
    <w:rsid w:val="00E92C27"/>
    <w:rsid w:val="00EA0E3D"/>
    <w:rsid w:val="00EC38A7"/>
    <w:rsid w:val="00EE1AA8"/>
    <w:rsid w:val="00EE241B"/>
    <w:rsid w:val="00F23FEA"/>
    <w:rsid w:val="00F31EDC"/>
    <w:rsid w:val="00F462B3"/>
    <w:rsid w:val="00F5664F"/>
    <w:rsid w:val="00F666C4"/>
    <w:rsid w:val="00F672F0"/>
    <w:rsid w:val="00F76AFC"/>
    <w:rsid w:val="00FA47C0"/>
    <w:rsid w:val="00FB5DD1"/>
    <w:rsid w:val="00FC2B5D"/>
    <w:rsid w:val="00FE5C87"/>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FA6FAB9-DD51-4357-9850-D8864686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93A6D"/>
    <w:pPr>
      <w:spacing w:line="240" w:lineRule="exact"/>
    </w:pPr>
    <w:rPr>
      <w:vertAlign w:val="superscript"/>
    </w:rPr>
  </w:style>
  <w:style w:type="character" w:customStyle="1" w:styleId="baj">
    <w:name w:val="b_aj"/>
    <w:basedOn w:val="Fuentedeprrafopredeter"/>
    <w:rsid w:val="00393A6D"/>
  </w:style>
  <w:style w:type="character" w:customStyle="1" w:styleId="NormalWebCar">
    <w:name w:val="Normal (Web) Car"/>
    <w:link w:val="NormalWeb"/>
    <w:uiPriority w:val="99"/>
    <w:locked/>
    <w:rsid w:val="00393A6D"/>
    <w:rPr>
      <w:rFonts w:ascii="Times New Roman" w:eastAsia="Times New Roman" w:hAnsi="Times New Roman" w:cs="Times New Roman"/>
      <w:sz w:val="24"/>
      <w:szCs w:val="24"/>
      <w:lang w:eastAsia="es-CO"/>
    </w:rPr>
  </w:style>
  <w:style w:type="character" w:customStyle="1" w:styleId="s15">
    <w:name w:val="s15"/>
    <w:basedOn w:val="Fuentedeprrafopredeter"/>
    <w:rsid w:val="00393A6D"/>
  </w:style>
  <w:style w:type="character" w:customStyle="1" w:styleId="apple-converted-space">
    <w:name w:val="apple-converted-space"/>
    <w:basedOn w:val="Fuentedeprrafopredeter"/>
    <w:rsid w:val="00393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esoriasintegralesbeltranasoc@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C816B1-75E9-4C94-8483-FC6847BE70F7}"/>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30</Pages>
  <Words>9701</Words>
  <Characters>53360</Characters>
  <Application>Microsoft Office Word</Application>
  <DocSecurity>0</DocSecurity>
  <Lines>444</Lines>
  <Paragraphs>125</Paragraphs>
  <ScaleCrop>false</ScaleCrop>
  <Company/>
  <LinksUpToDate>false</LinksUpToDate>
  <CharactersWithSpaces>62936</CharactersWithSpaces>
  <SharedDoc>false</SharedDoc>
  <HLinks>
    <vt:vector size="30" baseType="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917548</vt:i4>
      </vt:variant>
      <vt:variant>
        <vt:i4>0</vt:i4>
      </vt:variant>
      <vt:variant>
        <vt:i4>0</vt:i4>
      </vt:variant>
      <vt:variant>
        <vt:i4>5</vt:i4>
      </vt:variant>
      <vt:variant>
        <vt:lpwstr>mailto:asesoriasintegralesbeltranasoc@gmail.com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4</cp:revision>
  <cp:lastPrinted>2023-01-10T21:18:00Z</cp:lastPrinted>
  <dcterms:created xsi:type="dcterms:W3CDTF">2026-07-09T13:04:00Z</dcterms:created>
  <dcterms:modified xsi:type="dcterms:W3CDTF">2026-07-09T15:23:00Z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