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AA8DB" w14:textId="77777777" w:rsidR="00F2433D" w:rsidRDefault="00F2433D" w:rsidP="00F2433D">
      <w:pPr>
        <w:spacing w:after="0" w:line="240" w:lineRule="auto"/>
        <w:jc w:val="both"/>
        <w:rPr>
          <w:rFonts w:ascii="Verdana" w:eastAsia="Calibri" w:hAnsi="Verdana" w:cs="Arial"/>
          <w:b/>
          <w:bCs/>
          <w:lang w:val="es-ES" w:eastAsia="es-ES"/>
        </w:rPr>
      </w:pPr>
      <w:bookmarkStart w:id="0" w:name="_Hlk143780582"/>
      <w:r w:rsidRPr="00F2433D">
        <w:rPr>
          <w:rFonts w:ascii="Verdana" w:eastAsia="Calibri" w:hAnsi="Verdana" w:cs="Arial"/>
          <w:b/>
          <w:bCs/>
          <w:lang w:val="es-ES" w:eastAsia="es-ES"/>
        </w:rPr>
        <w:t xml:space="preserve">PLAN ANUAL DE ADQUISICIONES – Alcance – Finalidad  </w:t>
      </w:r>
    </w:p>
    <w:p w14:paraId="19D7AB58" w14:textId="77777777" w:rsidR="00F2433D" w:rsidRDefault="00F2433D" w:rsidP="00F2433D">
      <w:pPr>
        <w:spacing w:after="0" w:line="240" w:lineRule="auto"/>
        <w:jc w:val="both"/>
        <w:rPr>
          <w:rFonts w:ascii="Verdana" w:eastAsia="Calibri" w:hAnsi="Verdana" w:cs="Arial"/>
          <w:b/>
          <w:bCs/>
          <w:lang w:val="es-ES" w:eastAsia="es-ES"/>
        </w:rPr>
      </w:pPr>
    </w:p>
    <w:p w14:paraId="633EC76C" w14:textId="42633C01" w:rsidR="00F2433D" w:rsidRPr="00F2433D" w:rsidRDefault="00F2433D" w:rsidP="00F2433D">
      <w:pPr>
        <w:spacing w:after="0" w:line="240" w:lineRule="auto"/>
        <w:jc w:val="both"/>
        <w:rPr>
          <w:rFonts w:ascii="Verdana" w:eastAsia="Calibri" w:hAnsi="Verdana" w:cs="Arial"/>
          <w:b/>
          <w:bCs/>
          <w:sz w:val="20"/>
          <w:szCs w:val="20"/>
          <w:lang w:val="es-ES" w:eastAsia="es-ES"/>
        </w:rPr>
      </w:pPr>
      <w:r w:rsidRPr="00F2433D">
        <w:rPr>
          <w:rFonts w:ascii="Verdana" w:eastAsia="Calibri" w:hAnsi="Verdana" w:cs="Arial"/>
          <w:sz w:val="20"/>
          <w:szCs w:val="20"/>
          <w:lang w:val="es-ES"/>
        </w:rPr>
        <w:t xml:space="preserve">El Plan Anual de Adquisiciones </w:t>
      </w:r>
      <w:r w:rsidRPr="00F2433D">
        <w:rPr>
          <w:rFonts w:ascii="Verdana" w:eastAsia="Calibri" w:hAnsi="Verdana" w:cs="Arial"/>
          <w:sz w:val="20"/>
          <w:szCs w:val="20"/>
        </w:rPr>
        <w:t>un instrumento de planificación y orientación de la contratación de las Entidades Estatales, diseñado para identificar las necesidades de contratación, en el que se incluyen, de manera estimativa, los bienes, obras y servicios que la Administración Pública está interesada en adquirir para determinada vigencia</w:t>
      </w:r>
      <w:r w:rsidRPr="00F2433D">
        <w:rPr>
          <w:rFonts w:ascii="Verdana" w:eastAsia="Calibri" w:hAnsi="Verdana" w:cs="Arial"/>
          <w:sz w:val="20"/>
          <w:szCs w:val="20"/>
        </w:rPr>
        <w:t xml:space="preserve">. </w:t>
      </w:r>
    </w:p>
    <w:p w14:paraId="570862F6" w14:textId="77777777" w:rsidR="00F2433D" w:rsidRDefault="00F2433D" w:rsidP="00F2433D">
      <w:pPr>
        <w:spacing w:after="0" w:line="240" w:lineRule="auto"/>
        <w:jc w:val="both"/>
        <w:rPr>
          <w:rFonts w:ascii="Verdana" w:eastAsia="Calibri" w:hAnsi="Verdana" w:cs="Arial"/>
          <w:b/>
          <w:bCs/>
          <w:lang w:val="es-ES" w:eastAsia="es-ES"/>
        </w:rPr>
      </w:pPr>
    </w:p>
    <w:p w14:paraId="4BA6C82F" w14:textId="1277DA5D" w:rsidR="00F2433D" w:rsidRDefault="00F2433D" w:rsidP="00F2433D">
      <w:pPr>
        <w:spacing w:after="0" w:line="240" w:lineRule="auto"/>
        <w:jc w:val="both"/>
        <w:rPr>
          <w:rFonts w:ascii="Verdana" w:eastAsia="Calibri" w:hAnsi="Verdana" w:cs="Arial"/>
          <w:b/>
          <w:bCs/>
          <w:lang w:val="es-ES" w:eastAsia="es-ES"/>
        </w:rPr>
      </w:pPr>
      <w:r w:rsidRPr="00F2433D">
        <w:rPr>
          <w:rFonts w:ascii="Verdana" w:eastAsia="Calibri" w:hAnsi="Verdana" w:cs="Arial"/>
          <w:b/>
          <w:bCs/>
          <w:lang w:val="es-ES" w:eastAsia="es-ES"/>
        </w:rPr>
        <w:t xml:space="preserve">PLAN ANUAL DE ADQUISICIONES – Publicación – Entidades obligadas </w:t>
      </w:r>
    </w:p>
    <w:p w14:paraId="0997E1CD" w14:textId="77777777" w:rsidR="00951EF2" w:rsidRDefault="00951EF2" w:rsidP="00F2433D">
      <w:pPr>
        <w:spacing w:after="0" w:line="240" w:lineRule="auto"/>
        <w:jc w:val="both"/>
        <w:rPr>
          <w:rFonts w:ascii="Verdana" w:eastAsia="Calibri" w:hAnsi="Verdana" w:cs="Arial"/>
          <w:b/>
          <w:bCs/>
          <w:lang w:val="es-ES" w:eastAsia="es-ES"/>
        </w:rPr>
      </w:pPr>
    </w:p>
    <w:p w14:paraId="53B14222" w14:textId="26274ACA" w:rsidR="00951EF2" w:rsidRDefault="00951EF2" w:rsidP="00951EF2">
      <w:pPr>
        <w:tabs>
          <w:tab w:val="left" w:pos="0"/>
        </w:tabs>
        <w:spacing w:after="0" w:line="240" w:lineRule="auto"/>
        <w:jc w:val="both"/>
        <w:rPr>
          <w:rStyle w:val="normaltextrun"/>
          <w:rFonts w:ascii="Verdana" w:eastAsia="Calibri" w:hAnsi="Verdana" w:cs="Arial"/>
          <w:sz w:val="20"/>
          <w:szCs w:val="20"/>
          <w:lang w:val="es-ES"/>
        </w:rPr>
      </w:pPr>
      <w:r>
        <w:rPr>
          <w:rFonts w:ascii="Verdana" w:eastAsia="Calibri" w:hAnsi="Verdana" w:cs="Arial"/>
          <w:sz w:val="20"/>
          <w:szCs w:val="20"/>
          <w:lang w:val="es-ES"/>
        </w:rPr>
        <w:t xml:space="preserve">[…] </w:t>
      </w:r>
      <w:r w:rsidRPr="00951EF2">
        <w:rPr>
          <w:rFonts w:ascii="Verdana" w:eastAsia="Calibri" w:hAnsi="Verdana" w:cs="Arial"/>
          <w:sz w:val="20"/>
          <w:szCs w:val="20"/>
          <w:lang w:val="es-ES"/>
        </w:rPr>
        <w:t xml:space="preserve">de acuerdo con el artículo </w:t>
      </w:r>
      <w:r w:rsidRPr="00951EF2">
        <w:rPr>
          <w:rFonts w:ascii="Verdana" w:eastAsia="Calibri" w:hAnsi="Verdana" w:cs="Arial"/>
          <w:sz w:val="20"/>
          <w:szCs w:val="20"/>
          <w:lang w:val="es-ES_tradnl"/>
        </w:rPr>
        <w:t>2.2.1.1.1.4.3 ibidem</w:t>
      </w:r>
      <w:r w:rsidRPr="00951EF2">
        <w:rPr>
          <w:rFonts w:ascii="Verdana" w:eastAsia="Calibri" w:hAnsi="Verdana" w:cs="Arial"/>
          <w:i/>
          <w:iCs/>
          <w:sz w:val="20"/>
          <w:szCs w:val="20"/>
          <w:lang w:val="es-ES_tradnl"/>
        </w:rPr>
        <w:t xml:space="preserve">, </w:t>
      </w:r>
      <w:r w:rsidRPr="00951EF2">
        <w:rPr>
          <w:rFonts w:ascii="Verdana" w:eastAsia="Calibri" w:hAnsi="Verdana" w:cs="Arial"/>
          <w:sz w:val="20"/>
          <w:szCs w:val="20"/>
          <w:lang w:val="es-ES_tradnl"/>
        </w:rPr>
        <w:t>el PAA también debe publicarse en el SECOP</w:t>
      </w:r>
      <w:r w:rsidRPr="00951EF2">
        <w:rPr>
          <w:rFonts w:ascii="Verdana" w:eastAsia="Calibri" w:hAnsi="Verdana" w:cs="Arial"/>
          <w:sz w:val="20"/>
          <w:szCs w:val="20"/>
          <w:lang w:val="es-ES"/>
        </w:rPr>
        <w:t>. Se trata de una obligación que involucra a todas las Entidades del Estado sin importar la rama a la cual pertenecen, o si se trata de entidades descentralizadas territorialmente o por servicios; las empresas del Estado y las sociedades en las que el Estado tenga participación, sin que importe su monto.</w:t>
      </w:r>
    </w:p>
    <w:p w14:paraId="700F3B92" w14:textId="77777777" w:rsidR="00951EF2" w:rsidRDefault="00951EF2" w:rsidP="00951EF2">
      <w:pPr>
        <w:tabs>
          <w:tab w:val="left" w:pos="0"/>
        </w:tabs>
        <w:spacing w:after="0" w:line="240" w:lineRule="auto"/>
        <w:jc w:val="both"/>
        <w:rPr>
          <w:rStyle w:val="normaltextrun"/>
          <w:rFonts w:ascii="Verdana" w:eastAsia="Calibri" w:hAnsi="Verdana" w:cs="Arial"/>
          <w:sz w:val="20"/>
          <w:szCs w:val="20"/>
          <w:lang w:val="es-ES"/>
        </w:rPr>
      </w:pPr>
    </w:p>
    <w:p w14:paraId="7980ECA4" w14:textId="52430477" w:rsidR="00951EF2" w:rsidRPr="00951EF2" w:rsidRDefault="00951EF2" w:rsidP="00951EF2">
      <w:pPr>
        <w:tabs>
          <w:tab w:val="left" w:pos="0"/>
        </w:tabs>
        <w:spacing w:after="0" w:line="240" w:lineRule="auto"/>
        <w:jc w:val="both"/>
        <w:rPr>
          <w:rFonts w:ascii="Verdana" w:eastAsia="Calibri" w:hAnsi="Verdana" w:cs="Arial"/>
          <w:sz w:val="20"/>
          <w:szCs w:val="20"/>
          <w:lang w:val="es-ES"/>
        </w:rPr>
      </w:pPr>
      <w:r w:rsidRPr="00951EF2">
        <w:rPr>
          <w:rFonts w:ascii="Verdana" w:hAnsi="Verdana" w:cs="Arial"/>
          <w:sz w:val="20"/>
          <w:szCs w:val="20"/>
          <w:lang w:val="es-ES"/>
        </w:rPr>
        <w:t>Adicionalmente se aclara, que los sujetos que no contratan con cargo a recursos públicos no están obligados a publicarlo, mientras que aquellos que contratan tanto con cargo a recursos públicos como con aquellos que no tienen esta naturaleza, solamente están obligados a publicar el PAA para los recursos de carácter público que se ejecutarán duranta la vigencia fiscal.</w:t>
      </w:r>
    </w:p>
    <w:p w14:paraId="73FF2667" w14:textId="77777777" w:rsidR="00951EF2" w:rsidRDefault="00951EF2" w:rsidP="00F2433D">
      <w:pPr>
        <w:spacing w:after="0" w:line="240" w:lineRule="auto"/>
        <w:jc w:val="both"/>
        <w:rPr>
          <w:rFonts w:ascii="Verdana" w:eastAsia="Calibri" w:hAnsi="Verdana" w:cs="Arial"/>
          <w:b/>
          <w:bCs/>
          <w:lang w:val="es-ES" w:eastAsia="es-ES"/>
        </w:rPr>
      </w:pPr>
    </w:p>
    <w:p w14:paraId="533062D8" w14:textId="77777777" w:rsidR="00F2433D" w:rsidRDefault="00F2433D" w:rsidP="00F2433D">
      <w:pPr>
        <w:spacing w:after="0" w:line="240" w:lineRule="auto"/>
        <w:jc w:val="both"/>
        <w:rPr>
          <w:rFonts w:ascii="Verdana" w:eastAsia="Calibri" w:hAnsi="Verdana" w:cs="Arial"/>
          <w:b/>
          <w:bCs/>
          <w:lang w:val="es-ES" w:eastAsia="es-ES"/>
        </w:rPr>
      </w:pPr>
      <w:r w:rsidRPr="00F2433D">
        <w:rPr>
          <w:rFonts w:ascii="Verdana" w:eastAsia="Calibri" w:hAnsi="Verdana" w:cs="Arial"/>
          <w:b/>
          <w:bCs/>
          <w:lang w:val="es-ES" w:eastAsia="es-ES"/>
        </w:rPr>
        <w:t xml:space="preserve">PLAN ANUAL DE ADQUISICIONES – Contenido </w:t>
      </w:r>
    </w:p>
    <w:p w14:paraId="0CC65A07" w14:textId="77777777" w:rsidR="00951EF2" w:rsidRDefault="00951EF2" w:rsidP="00F2433D">
      <w:pPr>
        <w:spacing w:after="0" w:line="240" w:lineRule="auto"/>
        <w:jc w:val="both"/>
        <w:rPr>
          <w:rFonts w:ascii="Verdana" w:eastAsia="Calibri" w:hAnsi="Verdana" w:cs="Arial"/>
          <w:b/>
          <w:bCs/>
          <w:lang w:val="es-ES" w:eastAsia="es-ES"/>
        </w:rPr>
      </w:pPr>
    </w:p>
    <w:p w14:paraId="05D5099F" w14:textId="77777777" w:rsidR="00981CBD" w:rsidRDefault="00951EF2" w:rsidP="00981CBD">
      <w:pPr>
        <w:spacing w:after="0" w:line="240" w:lineRule="auto"/>
        <w:jc w:val="both"/>
        <w:rPr>
          <w:rFonts w:ascii="Verdana" w:eastAsia="Calibri" w:hAnsi="Verdana" w:cs="Arial"/>
          <w:sz w:val="20"/>
          <w:szCs w:val="20"/>
          <w:lang w:val="es-ES" w:eastAsia="es-ES_tradnl"/>
        </w:rPr>
      </w:pPr>
      <w:r w:rsidRPr="00981CBD">
        <w:rPr>
          <w:rStyle w:val="normaltextrun"/>
          <w:rFonts w:ascii="Verdana" w:hAnsi="Verdana" w:cs="Arial"/>
          <w:sz w:val="20"/>
          <w:szCs w:val="20"/>
          <w:lang w:val="es-ES"/>
        </w:rPr>
        <w:t>Teniendo en claro lo anterior, el artículo 2.2.1.1.1.4.1 del Decreto 1082 de 2015 establece el deber de elaborar el PAA, que debe contener un listado de lo que la entidad adquirirá durante el año, para satisfacer su necesidad de bienes, obras o servicios, y que debe tener la información desagregada, principalmente en los siguientes aspectos</w:t>
      </w:r>
      <w:r w:rsidRPr="00981CBD">
        <w:rPr>
          <w:rFonts w:ascii="Verdana" w:eastAsia="Calibri" w:hAnsi="Verdana" w:cs="Arial"/>
          <w:sz w:val="20"/>
          <w:szCs w:val="20"/>
          <w:lang w:val="es-ES" w:eastAsia="es-ES_tradnl"/>
        </w:rPr>
        <w:t>: i) identificación con el clasificador de bienes y servicios, ii) valor estimado del contrato, iii) tipo de recursos, iv) modalidad de selección y v) fecha de inicio del proceso contractual.</w:t>
      </w:r>
    </w:p>
    <w:p w14:paraId="7684AF5F" w14:textId="77777777" w:rsidR="00981CBD" w:rsidRDefault="00981CBD" w:rsidP="00981CBD">
      <w:pPr>
        <w:spacing w:after="0" w:line="240" w:lineRule="auto"/>
        <w:jc w:val="both"/>
        <w:rPr>
          <w:rFonts w:ascii="Verdana" w:eastAsia="Calibri" w:hAnsi="Verdana" w:cs="Arial"/>
          <w:sz w:val="20"/>
          <w:szCs w:val="20"/>
          <w:lang w:val="es-ES" w:eastAsia="es-ES_tradnl"/>
        </w:rPr>
      </w:pPr>
    </w:p>
    <w:p w14:paraId="7F2240D9" w14:textId="58DECDA9" w:rsidR="00951EF2" w:rsidRPr="00981CBD" w:rsidRDefault="00951EF2" w:rsidP="00981CBD">
      <w:pPr>
        <w:spacing w:after="0" w:line="240" w:lineRule="auto"/>
        <w:jc w:val="both"/>
        <w:rPr>
          <w:rFonts w:ascii="Verdana" w:eastAsia="Calibri" w:hAnsi="Verdana" w:cs="Arial"/>
          <w:sz w:val="20"/>
          <w:szCs w:val="20"/>
          <w:lang w:val="es-ES" w:eastAsia="es-ES_tradnl"/>
        </w:rPr>
      </w:pPr>
      <w:r w:rsidRPr="00981CBD">
        <w:rPr>
          <w:rFonts w:ascii="Verdana" w:eastAsia="Calibri" w:hAnsi="Verdana" w:cs="Arial"/>
          <w:sz w:val="20"/>
          <w:szCs w:val="20"/>
          <w:lang w:val="es-ES"/>
        </w:rPr>
        <w:t>Con relación a la configuración de dicho listado, en primer lugar, es necesario resaltar que el objetivo del PAA es indicar los bienes, obras y servicios que la entidad pretende adquirir, sin consideración a la forma en que estos se obtendrán, pues es el criterio de necesidad de aquellos el que fundamenta la inclusión o no en la lista del plan y no el carácter pecuniario de este ni su modalidad de contratación. Por tanto, bastará con que la entidad identifique la necesidad contractual para que deba incluirlo en el listado.</w:t>
      </w:r>
    </w:p>
    <w:p w14:paraId="1AC038B4" w14:textId="77777777" w:rsidR="00951EF2" w:rsidRDefault="00951EF2" w:rsidP="00F2433D">
      <w:pPr>
        <w:spacing w:after="0" w:line="240" w:lineRule="auto"/>
        <w:jc w:val="both"/>
        <w:rPr>
          <w:rFonts w:ascii="Verdana" w:eastAsia="Calibri" w:hAnsi="Verdana" w:cs="Arial"/>
          <w:b/>
          <w:bCs/>
          <w:lang w:val="es-ES" w:eastAsia="es-ES"/>
        </w:rPr>
      </w:pPr>
    </w:p>
    <w:p w14:paraId="03A1978D" w14:textId="77777777" w:rsidR="00F2433D" w:rsidRDefault="00F2433D" w:rsidP="00F2433D">
      <w:pPr>
        <w:spacing w:after="0" w:line="240" w:lineRule="auto"/>
        <w:jc w:val="both"/>
        <w:rPr>
          <w:rFonts w:ascii="Verdana" w:eastAsia="Calibri" w:hAnsi="Verdana" w:cs="Arial"/>
          <w:b/>
          <w:bCs/>
          <w:lang w:val="es-ES" w:eastAsia="es-ES"/>
        </w:rPr>
      </w:pPr>
      <w:r w:rsidRPr="00F2433D">
        <w:rPr>
          <w:rFonts w:ascii="Verdana" w:eastAsia="Calibri" w:hAnsi="Verdana" w:cs="Arial"/>
          <w:b/>
          <w:bCs/>
          <w:lang w:val="es-ES" w:eastAsia="es-ES"/>
        </w:rPr>
        <w:t xml:space="preserve">MODALIDADES DE SELECCIÓN – Procesos competitivos y no competitivos </w:t>
      </w:r>
    </w:p>
    <w:p w14:paraId="1307D4A6" w14:textId="77777777" w:rsidR="00981CBD" w:rsidRDefault="00981CBD" w:rsidP="00F2433D">
      <w:pPr>
        <w:spacing w:after="0" w:line="240" w:lineRule="auto"/>
        <w:jc w:val="both"/>
        <w:rPr>
          <w:rFonts w:ascii="Verdana" w:eastAsia="Calibri" w:hAnsi="Verdana" w:cs="Arial"/>
          <w:b/>
          <w:bCs/>
          <w:lang w:val="es-ES" w:eastAsia="es-ES"/>
        </w:rPr>
      </w:pPr>
    </w:p>
    <w:p w14:paraId="7491B770" w14:textId="77777777" w:rsidR="00981CBD" w:rsidRDefault="00981CBD" w:rsidP="00981CBD">
      <w:pPr>
        <w:spacing w:after="0" w:line="240" w:lineRule="auto"/>
        <w:jc w:val="both"/>
        <w:rPr>
          <w:rFonts w:ascii="Verdana" w:eastAsia="Calibri" w:hAnsi="Verdana" w:cs="Arial"/>
          <w:sz w:val="20"/>
          <w:szCs w:val="20"/>
          <w:lang w:eastAsia="es-ES_tradnl"/>
        </w:rPr>
      </w:pPr>
      <w:r w:rsidRPr="00981CBD">
        <w:rPr>
          <w:rFonts w:ascii="Verdana" w:eastAsia="Calibri" w:hAnsi="Verdana" w:cs="Arial"/>
          <w:sz w:val="20"/>
          <w:szCs w:val="20"/>
          <w:lang w:eastAsia="es-ES_tradnl"/>
        </w:rPr>
        <w:t xml:space="preserve">Ahora bien, las modalidades de selección pueden dividirse doctrinariamente en i) competitivas y ii) no competitivas. La Guía de competencia en las compras públicas de la Agencia Nacional de Contratación Pública – Colombia Compra Eficiente señala que: “[…] la competencia, entendida como rivalidad efectiva entre empresas de un mismo </w:t>
      </w:r>
      <w:r w:rsidRPr="00981CBD">
        <w:rPr>
          <w:rFonts w:ascii="Verdana" w:eastAsia="Calibri" w:hAnsi="Verdana" w:cs="Arial"/>
          <w:sz w:val="20"/>
          <w:szCs w:val="20"/>
          <w:lang w:eastAsia="es-ES_tradnl"/>
        </w:rPr>
        <w:lastRenderedPageBreak/>
        <w:t xml:space="preserve">mercado, incentiva la reducción de precios, el aumento de la calidad, la lucha contra la corrupción y la innovación por parte del sector privado”. </w:t>
      </w:r>
    </w:p>
    <w:p w14:paraId="0109B80D" w14:textId="77777777" w:rsidR="00981CBD" w:rsidRDefault="00981CBD" w:rsidP="00981CBD">
      <w:pPr>
        <w:spacing w:after="0" w:line="240" w:lineRule="auto"/>
        <w:jc w:val="both"/>
        <w:rPr>
          <w:rFonts w:ascii="Verdana" w:eastAsia="Calibri" w:hAnsi="Verdana" w:cs="Arial"/>
          <w:sz w:val="20"/>
          <w:szCs w:val="20"/>
          <w:lang w:eastAsia="es-ES_tradnl"/>
        </w:rPr>
      </w:pPr>
    </w:p>
    <w:p w14:paraId="696E097B" w14:textId="15372EC3" w:rsidR="00981CBD" w:rsidRPr="00981CBD" w:rsidRDefault="00981CBD" w:rsidP="00981CBD">
      <w:pPr>
        <w:spacing w:after="0" w:line="240" w:lineRule="auto"/>
        <w:jc w:val="both"/>
        <w:rPr>
          <w:rFonts w:ascii="Verdana" w:eastAsia="Calibri" w:hAnsi="Verdana" w:cs="Arial"/>
          <w:sz w:val="20"/>
          <w:szCs w:val="20"/>
          <w:lang w:eastAsia="es-ES_tradnl"/>
        </w:rPr>
      </w:pPr>
      <w:r w:rsidRPr="00981CBD">
        <w:rPr>
          <w:rFonts w:ascii="Verdana" w:eastAsia="Calibri" w:hAnsi="Verdana" w:cs="Arial"/>
          <w:sz w:val="20"/>
          <w:szCs w:val="20"/>
          <w:lang w:eastAsia="es-ES_tradnl"/>
        </w:rPr>
        <w:t xml:space="preserve">Por tanto, modalidades como la licitación pública, la selección abreviada, el concurso de méritos y la mínima cuantía son modalidades de selección competitivas o abiertas a competencia, ya que en ellas tiene lugar la participación de varios proponentes en una fase pública de presentación de ofertas. Esto permite que todas las personas interesadas concurran al proceso en igualdad de condiciones y compitan en el mismo. </w:t>
      </w:r>
    </w:p>
    <w:p w14:paraId="5E6DBFC3" w14:textId="77777777" w:rsidR="00981CBD" w:rsidRDefault="00981CBD" w:rsidP="00981CBD">
      <w:pPr>
        <w:spacing w:after="0" w:line="240" w:lineRule="auto"/>
        <w:jc w:val="both"/>
        <w:rPr>
          <w:rFonts w:ascii="Verdana" w:eastAsia="Calibri" w:hAnsi="Verdana" w:cs="Arial"/>
          <w:sz w:val="20"/>
          <w:szCs w:val="20"/>
          <w:lang w:eastAsia="es-ES_tradnl"/>
        </w:rPr>
      </w:pPr>
    </w:p>
    <w:p w14:paraId="75C0C6EB" w14:textId="6CE66997" w:rsidR="00981CBD" w:rsidRDefault="00981CBD" w:rsidP="00981CBD">
      <w:pPr>
        <w:spacing w:after="0" w:line="240" w:lineRule="auto"/>
        <w:jc w:val="both"/>
        <w:rPr>
          <w:rFonts w:ascii="Verdana" w:eastAsia="Calibri" w:hAnsi="Verdana" w:cs="Arial"/>
          <w:sz w:val="20"/>
          <w:szCs w:val="20"/>
          <w:lang w:eastAsia="es-ES_tradnl"/>
        </w:rPr>
      </w:pPr>
      <w:r w:rsidRPr="00981CBD">
        <w:rPr>
          <w:rFonts w:ascii="Verdana" w:eastAsia="Calibri" w:hAnsi="Verdana" w:cs="Arial"/>
          <w:sz w:val="20"/>
          <w:szCs w:val="20"/>
          <w:lang w:eastAsia="es-ES_tradnl"/>
        </w:rPr>
        <w:t>Lo contrario ocurre con la modalidad de selección de contratación directa que no es competitiva, es decir, que no es abierta a los proponentes para que los interesados presenten sus ofertas. En esta, es la entidad la que determina, de forma directa, la persona que puede participar y que será seleccionada.</w:t>
      </w:r>
    </w:p>
    <w:p w14:paraId="7C6B04E4" w14:textId="77777777" w:rsidR="00981CBD" w:rsidRDefault="00981CBD" w:rsidP="00981CBD">
      <w:pPr>
        <w:spacing w:after="0" w:line="240" w:lineRule="auto"/>
        <w:jc w:val="both"/>
        <w:rPr>
          <w:rFonts w:ascii="Verdana" w:eastAsia="Calibri" w:hAnsi="Verdana" w:cs="Arial"/>
          <w:sz w:val="20"/>
          <w:szCs w:val="20"/>
          <w:lang w:eastAsia="es-ES_tradnl"/>
        </w:rPr>
      </w:pPr>
    </w:p>
    <w:p w14:paraId="641D72B4" w14:textId="77777777" w:rsidR="00F2433D" w:rsidRDefault="00F2433D" w:rsidP="00F2433D">
      <w:pPr>
        <w:spacing w:after="0" w:line="240" w:lineRule="auto"/>
        <w:jc w:val="both"/>
        <w:rPr>
          <w:rFonts w:ascii="Verdana" w:eastAsia="Calibri" w:hAnsi="Verdana" w:cs="Arial"/>
          <w:b/>
          <w:bCs/>
          <w:lang w:val="es-ES" w:eastAsia="es-ES"/>
        </w:rPr>
      </w:pPr>
      <w:r w:rsidRPr="00F2433D">
        <w:rPr>
          <w:rFonts w:ascii="Verdana" w:eastAsia="Calibri" w:hAnsi="Verdana" w:cs="Arial"/>
          <w:b/>
          <w:bCs/>
          <w:lang w:val="es-ES" w:eastAsia="es-ES"/>
        </w:rPr>
        <w:t xml:space="preserve">CONTRATACIÓN DIRECTA – Modalidad de contratación restrictiva </w:t>
      </w:r>
    </w:p>
    <w:p w14:paraId="13029DEB" w14:textId="77777777" w:rsidR="00981CBD" w:rsidRPr="00981CBD" w:rsidRDefault="00981CBD" w:rsidP="00981CBD">
      <w:pPr>
        <w:spacing w:after="0" w:line="240" w:lineRule="auto"/>
        <w:jc w:val="both"/>
        <w:rPr>
          <w:rFonts w:ascii="Verdana" w:eastAsia="Calibri" w:hAnsi="Verdana" w:cs="Arial"/>
          <w:b/>
          <w:bCs/>
          <w:sz w:val="20"/>
          <w:szCs w:val="20"/>
          <w:lang w:val="es-ES" w:eastAsia="es-ES"/>
        </w:rPr>
      </w:pPr>
    </w:p>
    <w:p w14:paraId="625E053C" w14:textId="77777777" w:rsidR="00981CBD" w:rsidRPr="00981CBD" w:rsidRDefault="00981CBD" w:rsidP="00981CBD">
      <w:pPr>
        <w:spacing w:after="0" w:line="240" w:lineRule="auto"/>
        <w:jc w:val="both"/>
        <w:rPr>
          <w:rFonts w:ascii="Verdana" w:eastAsia="Calibri" w:hAnsi="Verdana" w:cs="Arial"/>
          <w:sz w:val="20"/>
          <w:szCs w:val="20"/>
          <w:lang w:eastAsia="es-ES_tradnl"/>
        </w:rPr>
      </w:pPr>
      <w:r w:rsidRPr="00981CBD">
        <w:rPr>
          <w:rFonts w:ascii="Verdana" w:eastAsia="Calibri" w:hAnsi="Verdana" w:cs="Arial"/>
          <w:sz w:val="20"/>
          <w:szCs w:val="20"/>
          <w:lang w:eastAsia="es-ES_tradnl"/>
        </w:rPr>
        <w:t xml:space="preserve">Debe señalarse sobre la contratación directa, que esta modalidad de contratación es de aplicación restrictiva, esto es, solo procede por las causales prescritas taxativamente en el numeral 4 del artículo 2 de la Ley 1150 de 2007. Además, es una excepción al principio de libre concurrencia y competencia que aplica a los procesos de contratación, para que cualquier persona interesada en satisfacer la necesidad de una entidad pueda presentar una oferta. </w:t>
      </w:r>
    </w:p>
    <w:p w14:paraId="1575C6F3" w14:textId="77777777" w:rsidR="00981CBD" w:rsidRPr="00981CBD" w:rsidRDefault="00981CBD" w:rsidP="00F2433D">
      <w:pPr>
        <w:spacing w:after="0" w:line="240" w:lineRule="auto"/>
        <w:jc w:val="both"/>
        <w:rPr>
          <w:rFonts w:ascii="Verdana" w:eastAsia="Calibri" w:hAnsi="Verdana" w:cs="Arial"/>
          <w:b/>
          <w:bCs/>
          <w:lang w:eastAsia="es-ES"/>
        </w:rPr>
      </w:pPr>
    </w:p>
    <w:p w14:paraId="7C0DCC80" w14:textId="77777777" w:rsidR="00F2433D" w:rsidRDefault="00F2433D" w:rsidP="00F2433D">
      <w:pPr>
        <w:spacing w:after="0" w:line="240" w:lineRule="auto"/>
        <w:jc w:val="both"/>
        <w:rPr>
          <w:rFonts w:ascii="Verdana" w:eastAsia="Calibri" w:hAnsi="Verdana" w:cs="Arial"/>
          <w:b/>
          <w:bCs/>
          <w:lang w:val="es-ES" w:eastAsia="es-ES"/>
        </w:rPr>
      </w:pPr>
      <w:r w:rsidRPr="00F2433D">
        <w:rPr>
          <w:rFonts w:ascii="Verdana" w:eastAsia="Calibri" w:hAnsi="Verdana" w:cs="Arial"/>
          <w:b/>
          <w:bCs/>
          <w:lang w:val="es-ES" w:eastAsia="es-ES"/>
        </w:rPr>
        <w:t xml:space="preserve">CONTRATACIÓN DIRECTA – No se requiere de varias ofertas </w:t>
      </w:r>
    </w:p>
    <w:p w14:paraId="6458928D" w14:textId="77777777" w:rsidR="00981CBD" w:rsidRDefault="00981CBD" w:rsidP="00F2433D">
      <w:pPr>
        <w:spacing w:after="0" w:line="240" w:lineRule="auto"/>
        <w:jc w:val="both"/>
        <w:rPr>
          <w:rFonts w:ascii="Verdana" w:eastAsia="Calibri" w:hAnsi="Verdana" w:cs="Arial"/>
          <w:b/>
          <w:bCs/>
          <w:lang w:val="es-ES" w:eastAsia="es-ES"/>
        </w:rPr>
      </w:pPr>
    </w:p>
    <w:p w14:paraId="3E88816E" w14:textId="77777777" w:rsidR="00981CBD" w:rsidRPr="00981CBD" w:rsidRDefault="00981CBD" w:rsidP="00981CBD">
      <w:pPr>
        <w:spacing w:after="0" w:line="240" w:lineRule="auto"/>
        <w:jc w:val="both"/>
        <w:rPr>
          <w:rFonts w:ascii="Verdana" w:eastAsia="Calibri" w:hAnsi="Verdana" w:cs="Arial"/>
          <w:sz w:val="20"/>
          <w:szCs w:val="20"/>
          <w:lang w:eastAsia="es-ES_tradnl"/>
        </w:rPr>
      </w:pPr>
      <w:r w:rsidRPr="00981CBD">
        <w:rPr>
          <w:rFonts w:ascii="Verdana" w:eastAsia="Calibri" w:hAnsi="Verdana" w:cs="Arial"/>
          <w:sz w:val="20"/>
          <w:szCs w:val="20"/>
          <w:lang w:eastAsia="es-ES_tradnl"/>
        </w:rPr>
        <w:t>En la contratación directa no es necesario que la entidad reciba más de una oferta, la cual proviene de la persona que la entidad escoge directamente, y por ende, invita a ofertar el bien o servicio que se requiere. Lo anterior puede estar basado en que el proponente es único, o en que el legislador privilegió algunos objetos contractuales u oferentes para contratarlos de manera directa. De igual forma, esto implica que el proceso será simplificado, corto, ágil y expedito, por no exigir el agotamiento de una convocatoria pública o la realización de un proceso competitivo. Lo anterior no exime a las entidades estatales de garantizar los principios rectores de la contratación pública.</w:t>
      </w:r>
    </w:p>
    <w:p w14:paraId="1FC4088B" w14:textId="77777777" w:rsidR="00981CBD" w:rsidRPr="00981CBD" w:rsidRDefault="00981CBD" w:rsidP="00F2433D">
      <w:pPr>
        <w:spacing w:after="0" w:line="240" w:lineRule="auto"/>
        <w:jc w:val="both"/>
        <w:rPr>
          <w:rFonts w:ascii="Verdana" w:eastAsia="Calibri" w:hAnsi="Verdana" w:cs="Arial"/>
          <w:b/>
          <w:bCs/>
          <w:lang w:eastAsia="es-ES"/>
        </w:rPr>
      </w:pPr>
    </w:p>
    <w:p w14:paraId="1E423EF1" w14:textId="77777777" w:rsidR="00F2433D" w:rsidRDefault="00F2433D" w:rsidP="00F2433D">
      <w:pPr>
        <w:spacing w:after="0" w:line="240" w:lineRule="auto"/>
        <w:jc w:val="both"/>
        <w:rPr>
          <w:rFonts w:ascii="Verdana" w:eastAsia="Calibri" w:hAnsi="Verdana" w:cs="Arial"/>
          <w:b/>
          <w:bCs/>
          <w:lang w:val="es-ES" w:eastAsia="es-ES"/>
        </w:rPr>
      </w:pPr>
      <w:r w:rsidRPr="00F2433D">
        <w:rPr>
          <w:rFonts w:ascii="Verdana" w:eastAsia="Calibri" w:hAnsi="Verdana" w:cs="Arial"/>
          <w:b/>
          <w:bCs/>
          <w:lang w:val="es-ES" w:eastAsia="es-ES"/>
        </w:rPr>
        <w:t xml:space="preserve">CONTRATACIÓN DIRECTA – No se otorga puntaje </w:t>
      </w:r>
    </w:p>
    <w:p w14:paraId="38C36F31" w14:textId="77777777" w:rsidR="00981CBD" w:rsidRPr="00981CBD" w:rsidRDefault="00981CBD" w:rsidP="00F2433D">
      <w:pPr>
        <w:spacing w:after="0" w:line="240" w:lineRule="auto"/>
        <w:jc w:val="both"/>
        <w:rPr>
          <w:rFonts w:ascii="Verdana" w:eastAsia="Calibri" w:hAnsi="Verdana" w:cs="Arial"/>
          <w:b/>
          <w:bCs/>
          <w:sz w:val="20"/>
          <w:szCs w:val="20"/>
          <w:lang w:val="es-ES" w:eastAsia="es-ES"/>
        </w:rPr>
      </w:pPr>
    </w:p>
    <w:p w14:paraId="64C2BE0F" w14:textId="77777777" w:rsidR="00981CBD" w:rsidRDefault="00981CBD" w:rsidP="00F2433D">
      <w:pPr>
        <w:spacing w:after="0" w:line="240" w:lineRule="auto"/>
        <w:jc w:val="both"/>
        <w:rPr>
          <w:rFonts w:ascii="Verdana" w:eastAsia="Calibri" w:hAnsi="Verdana" w:cs="Arial"/>
          <w:sz w:val="20"/>
          <w:szCs w:val="20"/>
          <w:lang w:eastAsia="es-ES_tradnl"/>
        </w:rPr>
      </w:pPr>
      <w:r w:rsidRPr="00981CBD">
        <w:rPr>
          <w:rFonts w:ascii="Verdana" w:eastAsia="Calibri" w:hAnsi="Verdana" w:cs="Arial"/>
          <w:sz w:val="20"/>
          <w:szCs w:val="20"/>
          <w:lang w:eastAsia="es-ES_tradnl"/>
        </w:rPr>
        <w:t>Debe destacarse que existe otra diferencia fundamental con las modalidades de selección competitivas mencionadas: en la contratación directa no se otorga puntaje a las ofertas para ponderarlas y elegir el ofrecimiento más favorable, pues la entidad recibe solo una oferta.</w:t>
      </w:r>
    </w:p>
    <w:p w14:paraId="56487F95" w14:textId="77777777" w:rsidR="00981CBD" w:rsidRDefault="00981CBD" w:rsidP="00F2433D">
      <w:pPr>
        <w:spacing w:after="0" w:line="240" w:lineRule="auto"/>
        <w:jc w:val="both"/>
        <w:rPr>
          <w:rFonts w:ascii="Verdana" w:eastAsia="Calibri" w:hAnsi="Verdana" w:cs="Arial"/>
          <w:sz w:val="20"/>
          <w:szCs w:val="20"/>
          <w:lang w:eastAsia="es-ES_tradnl"/>
        </w:rPr>
      </w:pPr>
    </w:p>
    <w:p w14:paraId="652C6BB8" w14:textId="1E0238C4" w:rsidR="00981CBD" w:rsidRPr="00981CBD" w:rsidRDefault="00981CBD" w:rsidP="00F2433D">
      <w:pPr>
        <w:spacing w:after="0" w:line="240" w:lineRule="auto"/>
        <w:jc w:val="both"/>
        <w:rPr>
          <w:rFonts w:ascii="Verdana" w:eastAsia="Calibri" w:hAnsi="Verdana" w:cs="Arial"/>
          <w:sz w:val="20"/>
          <w:szCs w:val="20"/>
          <w:lang w:eastAsia="es-ES_tradnl"/>
        </w:rPr>
      </w:pPr>
      <w:r w:rsidRPr="00981CBD">
        <w:rPr>
          <w:rFonts w:ascii="Verdana" w:eastAsia="Times New Roman" w:hAnsi="Verdana" w:cs="Arial"/>
          <w:sz w:val="20"/>
          <w:szCs w:val="20"/>
          <w:lang w:eastAsia="es-ES_tradnl"/>
        </w:rPr>
        <w:t>Por consiguiente, en la contratación directa la entidad no establece puntaje para ponderar ofertas, porque se presenta una sola, que corresponde a la de la persona a quien la entidad invitó y seleccionó en forma directa, teniendo en todo caso que garantizar el cumplimiento de los principios de la función administrativa y la gestión fiscal. En este sentido, la potestad discrecional de la Administración pública para la elección de un proveedor en la contratación directa se relaciona con los principios de moralidad administrativa y transparencia</w:t>
      </w:r>
      <w:r w:rsidRPr="006A0F21">
        <w:rPr>
          <w:rFonts w:ascii="Verdana" w:eastAsia="Times New Roman" w:hAnsi="Verdana" w:cs="Arial"/>
          <w:lang w:eastAsia="es-ES_tradnl"/>
        </w:rPr>
        <w:t>.</w:t>
      </w:r>
    </w:p>
    <w:p w14:paraId="2789EE5A" w14:textId="77777777" w:rsidR="00F2433D" w:rsidRDefault="00F2433D" w:rsidP="00F2433D">
      <w:pPr>
        <w:spacing w:after="0" w:line="240" w:lineRule="auto"/>
        <w:jc w:val="both"/>
        <w:rPr>
          <w:rFonts w:ascii="Verdana" w:eastAsia="Calibri" w:hAnsi="Verdana" w:cs="Arial"/>
          <w:b/>
          <w:bCs/>
          <w:lang w:val="es-ES" w:eastAsia="es-ES"/>
        </w:rPr>
      </w:pPr>
    </w:p>
    <w:p w14:paraId="6B4FB892" w14:textId="6E755D51" w:rsidR="00F2433D" w:rsidRDefault="00F2433D" w:rsidP="00F2433D">
      <w:pPr>
        <w:spacing w:after="0" w:line="240" w:lineRule="auto"/>
        <w:jc w:val="both"/>
        <w:rPr>
          <w:rFonts w:ascii="Verdana" w:eastAsia="Calibri" w:hAnsi="Verdana" w:cs="Arial"/>
          <w:b/>
          <w:bCs/>
          <w:lang w:val="es-ES" w:eastAsia="es-ES"/>
        </w:rPr>
      </w:pPr>
      <w:r w:rsidRPr="00F2433D">
        <w:rPr>
          <w:rFonts w:ascii="Verdana" w:eastAsia="Calibri" w:hAnsi="Verdana" w:cs="Arial"/>
          <w:b/>
          <w:bCs/>
          <w:lang w:val="es-ES" w:eastAsia="es-ES"/>
        </w:rPr>
        <w:t>CONTRATACIÓN DIRECTA – Aplicación de los principios de la actividad contractual</w:t>
      </w:r>
    </w:p>
    <w:p w14:paraId="5D3403A4" w14:textId="77777777" w:rsidR="00981CBD" w:rsidRDefault="00981CBD" w:rsidP="00F2433D">
      <w:pPr>
        <w:spacing w:after="0" w:line="240" w:lineRule="auto"/>
        <w:jc w:val="both"/>
        <w:rPr>
          <w:rFonts w:ascii="Verdana" w:eastAsia="Calibri" w:hAnsi="Verdana" w:cs="Arial"/>
          <w:b/>
          <w:bCs/>
          <w:lang w:val="es-ES" w:eastAsia="es-ES"/>
        </w:rPr>
      </w:pPr>
    </w:p>
    <w:p w14:paraId="597A7150" w14:textId="6AC2DF51" w:rsidR="00981CBD" w:rsidRDefault="00981CBD" w:rsidP="00F2433D">
      <w:pPr>
        <w:spacing w:after="0" w:line="240" w:lineRule="auto"/>
        <w:jc w:val="both"/>
        <w:rPr>
          <w:rFonts w:ascii="Verdana" w:eastAsia="Times New Roman" w:hAnsi="Verdana" w:cs="Arial"/>
          <w:sz w:val="20"/>
          <w:szCs w:val="20"/>
          <w:lang w:eastAsia="es-ES_tradnl"/>
        </w:rPr>
      </w:pPr>
      <w:r w:rsidRPr="00981CBD">
        <w:rPr>
          <w:rFonts w:ascii="Verdana" w:eastAsia="Times New Roman" w:hAnsi="Verdana" w:cs="Arial"/>
          <w:sz w:val="20"/>
          <w:szCs w:val="20"/>
          <w:lang w:eastAsia="es-ES_tradnl"/>
        </w:rPr>
        <w:t>E</w:t>
      </w:r>
      <w:r w:rsidRPr="00981CBD">
        <w:rPr>
          <w:rFonts w:ascii="Verdana" w:eastAsia="Arial" w:hAnsi="Verdana" w:cs="Arial"/>
          <w:sz w:val="20"/>
          <w:szCs w:val="20"/>
          <w:lang w:val="es-ES" w:eastAsia="es-ES" w:bidi="es-ES"/>
        </w:rPr>
        <w:t xml:space="preserve">l artículo 23 de la Ley 80 de 1993 dispone que: “Las actuaciones de quienes intervengan en la contratación estatal se desarrollarán con arreglo a los principios de transparencia, economía y responsabilidad y de conformidad con los postulados que rigen la función administrativa. Igualmente, se aplicarán en las mismas las normas que regulan la conducta de los servidores públicos, las reglas de interpretación de la contratación, los principios generales del derecho y los particulares del derecho administrativo”. Por su parte, el artículo 2 de la Ley 1150 del 2007 ordena que, en el procedimiento aplicable a cada una de las modalidades de selección de contratistas, “deberá observarse los principios de transparencia, economía, responsabilidad”. </w:t>
      </w:r>
    </w:p>
    <w:p w14:paraId="3E8D5DA6" w14:textId="77777777" w:rsidR="00552A51" w:rsidRDefault="00552A51" w:rsidP="00F2433D">
      <w:pPr>
        <w:spacing w:after="0" w:line="240" w:lineRule="auto"/>
        <w:jc w:val="both"/>
        <w:rPr>
          <w:rFonts w:ascii="Verdana" w:eastAsia="Times New Roman" w:hAnsi="Verdana" w:cs="Arial"/>
          <w:sz w:val="20"/>
          <w:szCs w:val="20"/>
          <w:lang w:eastAsia="es-ES_tradnl"/>
        </w:rPr>
      </w:pPr>
    </w:p>
    <w:p w14:paraId="6C0D5683" w14:textId="765B9F6F" w:rsidR="00552A51" w:rsidRDefault="00552A51" w:rsidP="00F2433D">
      <w:pPr>
        <w:spacing w:after="0" w:line="240" w:lineRule="auto"/>
        <w:jc w:val="both"/>
        <w:rPr>
          <w:rFonts w:ascii="Verdana" w:eastAsia="Times New Roman" w:hAnsi="Verdana" w:cs="Arial"/>
          <w:sz w:val="20"/>
          <w:szCs w:val="20"/>
          <w:lang w:eastAsia="es-ES_tradnl"/>
        </w:rPr>
      </w:pPr>
      <w:r>
        <w:rPr>
          <w:rFonts w:ascii="Verdana" w:eastAsia="Times New Roman" w:hAnsi="Verdana" w:cs="Arial"/>
          <w:sz w:val="20"/>
          <w:szCs w:val="20"/>
          <w:lang w:eastAsia="es-ES_tradnl"/>
        </w:rPr>
        <w:t xml:space="preserve">[…] </w:t>
      </w:r>
    </w:p>
    <w:p w14:paraId="0E3B1E1B" w14:textId="77777777" w:rsidR="00552A51" w:rsidRDefault="00552A51" w:rsidP="00F2433D">
      <w:pPr>
        <w:spacing w:after="0" w:line="240" w:lineRule="auto"/>
        <w:jc w:val="both"/>
        <w:rPr>
          <w:rFonts w:ascii="Verdana" w:eastAsia="Times New Roman" w:hAnsi="Verdana" w:cs="Arial"/>
          <w:sz w:val="20"/>
          <w:szCs w:val="20"/>
          <w:lang w:eastAsia="es-ES_tradnl"/>
        </w:rPr>
      </w:pPr>
    </w:p>
    <w:p w14:paraId="7AA75167" w14:textId="77777777" w:rsidR="00552A51" w:rsidRDefault="00552A51" w:rsidP="00552A51">
      <w:pPr>
        <w:spacing w:after="0" w:line="240" w:lineRule="auto"/>
        <w:jc w:val="both"/>
        <w:rPr>
          <w:rFonts w:ascii="Verdana" w:eastAsia="Calibri" w:hAnsi="Verdana" w:cs="Arial"/>
          <w:color w:val="000000" w:themeColor="text1"/>
          <w:lang w:val="es-ES" w:eastAsia="es-ES"/>
        </w:rPr>
      </w:pPr>
      <w:r>
        <w:rPr>
          <w:rFonts w:ascii="Verdana" w:eastAsia="Calibri" w:hAnsi="Verdana" w:cs="Arial"/>
          <w:color w:val="000000" w:themeColor="text1"/>
          <w:sz w:val="20"/>
          <w:szCs w:val="20"/>
          <w:lang w:val="es-ES" w:eastAsia="es-ES"/>
        </w:rPr>
        <w:t xml:space="preserve">[…] </w:t>
      </w:r>
      <w:r w:rsidRPr="00552A51">
        <w:rPr>
          <w:rFonts w:ascii="Verdana" w:eastAsia="Calibri" w:hAnsi="Verdana" w:cs="Arial"/>
          <w:color w:val="000000" w:themeColor="text1"/>
          <w:sz w:val="20"/>
          <w:szCs w:val="20"/>
          <w:lang w:val="es-ES" w:eastAsia="es-ES"/>
        </w:rPr>
        <w:t>la contratación directa no está exceptuada del cumplimiento de los principios de transparencia y selección objetiva, los cuales tienen como elemento común la objetividad en la selección del contratista. La evidencia son las definiciones expuestas en párrafos anteriores, ya que a pesar de que la entidad dirija la invitación a ofertar solamente a una persona, esto no significa que puede elegirla con base en criterios subjetivos, como el afecto, la amistad, el ánimo de ayuda, el interés personal, entre otros</w:t>
      </w:r>
      <w:r w:rsidRPr="006A0F21">
        <w:rPr>
          <w:rFonts w:ascii="Verdana" w:eastAsia="Calibri" w:hAnsi="Verdana" w:cs="Arial"/>
          <w:color w:val="000000" w:themeColor="text1"/>
          <w:lang w:val="es-ES" w:eastAsia="es-ES"/>
        </w:rPr>
        <w:t xml:space="preserve">. </w:t>
      </w:r>
    </w:p>
    <w:p w14:paraId="700D5248" w14:textId="77777777" w:rsidR="00552A51" w:rsidRDefault="00552A51" w:rsidP="00552A51">
      <w:pPr>
        <w:spacing w:after="0" w:line="240" w:lineRule="auto"/>
        <w:jc w:val="both"/>
        <w:rPr>
          <w:rFonts w:ascii="Verdana" w:eastAsia="Calibri" w:hAnsi="Verdana" w:cs="Arial"/>
          <w:color w:val="000000" w:themeColor="text1"/>
          <w:lang w:val="es-ES" w:eastAsia="es-ES"/>
        </w:rPr>
      </w:pPr>
    </w:p>
    <w:p w14:paraId="3F6CB67C" w14:textId="7FEADC2B" w:rsidR="00552A51" w:rsidRPr="00552A51" w:rsidRDefault="00552A51" w:rsidP="00552A51">
      <w:pPr>
        <w:spacing w:after="0" w:line="240" w:lineRule="auto"/>
        <w:jc w:val="both"/>
        <w:rPr>
          <w:rFonts w:ascii="Verdana" w:eastAsia="Calibri" w:hAnsi="Verdana" w:cs="Arial"/>
          <w:color w:val="000000" w:themeColor="text1"/>
          <w:sz w:val="20"/>
          <w:szCs w:val="20"/>
          <w:lang w:val="es-ES" w:eastAsia="es-ES"/>
        </w:rPr>
      </w:pPr>
      <w:r w:rsidRPr="00552A51">
        <w:rPr>
          <w:rFonts w:ascii="Verdana" w:eastAsia="Calibri" w:hAnsi="Verdana" w:cs="Arial"/>
          <w:color w:val="000000"/>
          <w:sz w:val="20"/>
          <w:szCs w:val="20"/>
          <w:lang w:val="es-ES_tradnl" w:eastAsia="es-ES_tradnl"/>
        </w:rPr>
        <w:t xml:space="preserve">En efecto, la persona a la que la entidad contrata de forma directa es aquella que se considera que cumple con lo requerido para satisfacer la necesidad </w:t>
      </w:r>
      <w:r w:rsidRPr="00552A51">
        <w:rPr>
          <w:rFonts w:ascii="Verdana" w:eastAsia="Calibri" w:hAnsi="Verdana" w:cs="Arial"/>
          <w:sz w:val="20"/>
          <w:szCs w:val="20"/>
          <w:lang w:eastAsia="es-ES_tradnl"/>
        </w:rPr>
        <w:t>contractual</w:t>
      </w:r>
      <w:r w:rsidRPr="00552A51">
        <w:rPr>
          <w:rFonts w:ascii="Verdana" w:eastAsia="Calibri" w:hAnsi="Verdana" w:cs="Arial"/>
          <w:color w:val="000000"/>
          <w:sz w:val="20"/>
          <w:szCs w:val="20"/>
          <w:lang w:val="es-ES_tradnl" w:eastAsia="es-ES_tradnl"/>
        </w:rPr>
        <w:t xml:space="preserve">. Esa consideración de la entidad contratante será objetiva en la medida en que se cumpla con el principio de planeación, que se refleja principalmente en los estudios previos y en el acto administrativo que justifica la contratación directa, en los casos en que aplica. De esta manera, aunque la contratación sea directa, como ya se explicó, esto no implica que la entidad no deba definir las condiciones del contratista que está en capacidad de cumplir el contrato, lo cual es un elemento común entre las modalidades de selección competitivas y no competitivas. </w:t>
      </w:r>
    </w:p>
    <w:p w14:paraId="7A7040A3" w14:textId="77777777" w:rsidR="00552A51" w:rsidRPr="00552A51" w:rsidRDefault="00552A51" w:rsidP="00552A51">
      <w:pPr>
        <w:spacing w:after="0" w:line="240" w:lineRule="auto"/>
        <w:jc w:val="both"/>
        <w:rPr>
          <w:rFonts w:ascii="Verdana" w:eastAsia="Calibri" w:hAnsi="Verdana" w:cs="Arial"/>
          <w:color w:val="000000" w:themeColor="text1"/>
          <w:lang w:val="es-ES_tradnl" w:eastAsia="es-ES"/>
        </w:rPr>
      </w:pPr>
    </w:p>
    <w:p w14:paraId="21E0BEA1" w14:textId="77777777" w:rsidR="00552A51" w:rsidRPr="00552A51" w:rsidRDefault="00552A51" w:rsidP="00F2433D">
      <w:pPr>
        <w:spacing w:after="0" w:line="240" w:lineRule="auto"/>
        <w:jc w:val="both"/>
        <w:rPr>
          <w:rFonts w:ascii="Verdana" w:eastAsia="Calibri" w:hAnsi="Verdana" w:cs="Arial"/>
          <w:b/>
          <w:bCs/>
          <w:lang w:val="es-ES" w:eastAsia="es-ES"/>
        </w:rPr>
      </w:pPr>
    </w:p>
    <w:p w14:paraId="1F14D692" w14:textId="77777777" w:rsidR="00F2433D" w:rsidRDefault="00F2433D" w:rsidP="00F2433D">
      <w:pPr>
        <w:spacing w:after="0" w:line="240" w:lineRule="auto"/>
        <w:jc w:val="both"/>
        <w:rPr>
          <w:rFonts w:ascii="Verdana" w:eastAsia="Verdana" w:hAnsi="Verdana" w:cs="Verdana"/>
          <w:b/>
          <w:bCs/>
        </w:rPr>
      </w:pPr>
    </w:p>
    <w:p w14:paraId="77AC2B52" w14:textId="77777777" w:rsidR="00552A51" w:rsidRDefault="00552A51" w:rsidP="00F2433D">
      <w:pPr>
        <w:spacing w:after="0" w:line="240" w:lineRule="auto"/>
        <w:jc w:val="both"/>
        <w:rPr>
          <w:rFonts w:ascii="Verdana" w:eastAsia="Verdana" w:hAnsi="Verdana" w:cs="Verdana"/>
          <w:b/>
          <w:bCs/>
        </w:rPr>
      </w:pPr>
    </w:p>
    <w:p w14:paraId="5CAEF83A" w14:textId="77777777" w:rsidR="00552A51" w:rsidRDefault="00552A51" w:rsidP="00F2433D">
      <w:pPr>
        <w:spacing w:after="0" w:line="240" w:lineRule="auto"/>
        <w:jc w:val="both"/>
        <w:rPr>
          <w:rFonts w:ascii="Verdana" w:eastAsia="Verdana" w:hAnsi="Verdana" w:cs="Verdana"/>
          <w:b/>
          <w:bCs/>
        </w:rPr>
      </w:pPr>
    </w:p>
    <w:p w14:paraId="20872458" w14:textId="77777777" w:rsidR="00552A51" w:rsidRDefault="00552A51" w:rsidP="00F2433D">
      <w:pPr>
        <w:spacing w:after="0" w:line="240" w:lineRule="auto"/>
        <w:jc w:val="both"/>
        <w:rPr>
          <w:rFonts w:ascii="Verdana" w:eastAsia="Verdana" w:hAnsi="Verdana" w:cs="Verdana"/>
          <w:b/>
          <w:bCs/>
        </w:rPr>
      </w:pPr>
    </w:p>
    <w:p w14:paraId="7739FE55" w14:textId="77777777" w:rsidR="00552A51" w:rsidRDefault="00552A51" w:rsidP="00F2433D">
      <w:pPr>
        <w:spacing w:after="0" w:line="240" w:lineRule="auto"/>
        <w:jc w:val="both"/>
        <w:rPr>
          <w:rFonts w:ascii="Verdana" w:eastAsia="Verdana" w:hAnsi="Verdana" w:cs="Verdana"/>
          <w:b/>
          <w:bCs/>
        </w:rPr>
      </w:pPr>
    </w:p>
    <w:p w14:paraId="33CE16A7" w14:textId="77777777" w:rsidR="00552A51" w:rsidRDefault="00552A51" w:rsidP="00F2433D">
      <w:pPr>
        <w:spacing w:after="0" w:line="240" w:lineRule="auto"/>
        <w:jc w:val="both"/>
        <w:rPr>
          <w:rFonts w:ascii="Verdana" w:eastAsia="Verdana" w:hAnsi="Verdana" w:cs="Verdana"/>
          <w:b/>
          <w:bCs/>
        </w:rPr>
      </w:pPr>
    </w:p>
    <w:p w14:paraId="54720FEC" w14:textId="77777777" w:rsidR="00552A51" w:rsidRPr="00F2433D" w:rsidRDefault="00552A51" w:rsidP="00F2433D">
      <w:pPr>
        <w:spacing w:after="0" w:line="240" w:lineRule="auto"/>
        <w:jc w:val="both"/>
        <w:rPr>
          <w:rFonts w:ascii="Verdana" w:eastAsia="Verdana" w:hAnsi="Verdana" w:cs="Verdana"/>
          <w:b/>
          <w:bCs/>
        </w:rPr>
      </w:pPr>
    </w:p>
    <w:p w14:paraId="40CE4194" w14:textId="2DB747F1" w:rsidR="00CB77E1" w:rsidRPr="00F2433D" w:rsidRDefault="001B6EEE" w:rsidP="00F2433D">
      <w:pPr>
        <w:spacing w:after="0" w:line="240" w:lineRule="auto"/>
        <w:jc w:val="both"/>
      </w:pPr>
      <w:r w:rsidRPr="00F2433D">
        <w:rPr>
          <w:rFonts w:ascii="Verdana" w:eastAsia="Verdana" w:hAnsi="Verdana" w:cs="Verdana"/>
        </w:rPr>
        <w:t xml:space="preserve">Bogotá D.C., </w:t>
      </w:r>
      <w:r w:rsidR="00CB77E1" w:rsidRPr="00F2433D">
        <w:rPr>
          <w:rFonts w:ascii="Verdana" w:eastAsia="Verdana" w:hAnsi="Verdana" w:cs="Verdana"/>
        </w:rPr>
        <w:t>09 Julio 2026</w:t>
      </w:r>
      <w:r w:rsidRPr="00F2433D">
        <w:tab/>
      </w:r>
    </w:p>
    <w:p w14:paraId="1120887D" w14:textId="76C09444" w:rsidR="001B6EEE" w:rsidRPr="0024624F" w:rsidRDefault="00CB77E1" w:rsidP="00CB77E1">
      <w:pPr>
        <w:spacing w:after="0"/>
        <w:jc w:val="right"/>
        <w:rPr>
          <w:rFonts w:ascii="Verdana" w:eastAsia="Verdana" w:hAnsi="Verdana" w:cs="Verdana"/>
        </w:rPr>
      </w:pPr>
      <w:r w:rsidRPr="00CB77E1">
        <w:drawing>
          <wp:inline distT="0" distB="0" distL="0" distR="0" wp14:anchorId="5504FD12" wp14:editId="3824308A">
            <wp:extent cx="2011070" cy="429127"/>
            <wp:effectExtent l="0" t="0" r="0" b="9525"/>
            <wp:docPr id="19925652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565250" name=""/>
                    <pic:cNvPicPr/>
                  </pic:nvPicPr>
                  <pic:blipFill>
                    <a:blip r:embed="rId10"/>
                    <a:stretch>
                      <a:fillRect/>
                    </a:stretch>
                  </pic:blipFill>
                  <pic:spPr>
                    <a:xfrm>
                      <a:off x="0" y="0"/>
                      <a:ext cx="2037321" cy="434729"/>
                    </a:xfrm>
                    <a:prstGeom prst="rect">
                      <a:avLst/>
                    </a:prstGeom>
                  </pic:spPr>
                </pic:pic>
              </a:graphicData>
            </a:graphic>
          </wp:inline>
        </w:drawing>
      </w:r>
      <w:r w:rsidR="001B6EEE">
        <w:br/>
      </w:r>
      <w:r w:rsidR="001B6EEE">
        <w:tab/>
      </w:r>
    </w:p>
    <w:p w14:paraId="2820D7C9" w14:textId="77777777" w:rsidR="001B6EEE" w:rsidRDefault="001B6EEE" w:rsidP="001B6EEE">
      <w:pPr>
        <w:spacing w:after="0" w:line="240" w:lineRule="auto"/>
        <w:jc w:val="both"/>
        <w:rPr>
          <w:rFonts w:ascii="Verdana" w:eastAsia="Calibri" w:hAnsi="Verdana" w:cs="Arial"/>
          <w:b/>
          <w:bCs/>
          <w:lang w:eastAsia="es-ES"/>
        </w:rPr>
      </w:pPr>
      <w:bookmarkStart w:id="1" w:name="_Hlk214366482"/>
      <w:r>
        <w:rPr>
          <w:rFonts w:ascii="Verdana" w:eastAsia="Calibri" w:hAnsi="Verdana" w:cs="Arial"/>
          <w:b/>
          <w:bCs/>
          <w:lang w:eastAsia="es-ES"/>
        </w:rPr>
        <w:t>Señor</w:t>
      </w:r>
    </w:p>
    <w:p w14:paraId="0F031297" w14:textId="77777777" w:rsidR="001B6EEE" w:rsidRDefault="001B6EEE" w:rsidP="001B6EEE">
      <w:pPr>
        <w:spacing w:after="0" w:line="240" w:lineRule="auto"/>
        <w:jc w:val="both"/>
        <w:rPr>
          <w:rFonts w:ascii="Verdana" w:eastAsia="Calibri" w:hAnsi="Verdana" w:cs="Arial"/>
          <w:b/>
          <w:bCs/>
          <w:lang w:eastAsia="es-ES"/>
        </w:rPr>
      </w:pPr>
      <w:r>
        <w:rPr>
          <w:rFonts w:ascii="Verdana" w:eastAsia="Calibri" w:hAnsi="Verdana" w:cs="Arial"/>
          <w:b/>
          <w:bCs/>
          <w:lang w:eastAsia="es-ES"/>
        </w:rPr>
        <w:t>José Orozco Goenaga</w:t>
      </w:r>
    </w:p>
    <w:p w14:paraId="03ECD2CC" w14:textId="77777777" w:rsidR="001B6EEE" w:rsidRPr="00CD5FF1" w:rsidRDefault="001B6EEE" w:rsidP="001B6EEE">
      <w:pPr>
        <w:spacing w:after="0" w:line="240" w:lineRule="auto"/>
        <w:jc w:val="both"/>
        <w:rPr>
          <w:rFonts w:ascii="Verdana" w:hAnsi="Verdana"/>
          <w:b/>
          <w:bCs/>
        </w:rPr>
      </w:pPr>
      <w:hyperlink r:id="rId11" w:history="1">
        <w:r w:rsidRPr="00CD5FF1">
          <w:rPr>
            <w:rStyle w:val="Hipervnculo"/>
            <w:rFonts w:ascii="Verdana" w:hAnsi="Verdana"/>
            <w:b/>
            <w:bCs/>
          </w:rPr>
          <w:t>josejorozcoj710@gmail.com</w:t>
        </w:r>
      </w:hyperlink>
    </w:p>
    <w:p w14:paraId="2F5F8878" w14:textId="77777777" w:rsidR="001B6EEE" w:rsidRPr="007F2AEC" w:rsidRDefault="001B6EEE" w:rsidP="001B6EEE">
      <w:pPr>
        <w:spacing w:after="0" w:line="240" w:lineRule="auto"/>
        <w:jc w:val="both"/>
        <w:rPr>
          <w:rFonts w:ascii="Verdana" w:hAnsi="Verdana"/>
        </w:rPr>
      </w:pPr>
      <w:r>
        <w:rPr>
          <w:rFonts w:ascii="Verdana" w:hAnsi="Verdana"/>
        </w:rPr>
        <w:t>Ciudad</w:t>
      </w:r>
    </w:p>
    <w:p w14:paraId="7F032B72" w14:textId="77777777" w:rsidR="001B6EEE" w:rsidRPr="007F2AEC" w:rsidRDefault="001B6EEE" w:rsidP="001B6EEE">
      <w:pPr>
        <w:spacing w:after="0" w:line="240" w:lineRule="auto"/>
        <w:jc w:val="both"/>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1B6EEE" w:rsidRPr="005644FE" w14:paraId="12D40A8B" w14:textId="77777777" w:rsidTr="00CA221B">
        <w:trPr>
          <w:trHeight w:val="162"/>
        </w:trPr>
        <w:tc>
          <w:tcPr>
            <w:tcW w:w="3119" w:type="dxa"/>
          </w:tcPr>
          <w:p w14:paraId="37A6BC09" w14:textId="77777777" w:rsidR="001B6EEE" w:rsidRPr="007F2AEC" w:rsidRDefault="001B6EEE" w:rsidP="00CA221B">
            <w:pPr>
              <w:jc w:val="both"/>
              <w:rPr>
                <w:rFonts w:ascii="Verdana" w:eastAsia="Calibri" w:hAnsi="Verdana" w:cs="Arial"/>
                <w:b/>
                <w:bCs/>
                <w:color w:val="7030A0"/>
                <w:lang w:eastAsia="es-ES_tradnl"/>
              </w:rPr>
            </w:pPr>
          </w:p>
        </w:tc>
        <w:tc>
          <w:tcPr>
            <w:tcW w:w="5670" w:type="dxa"/>
          </w:tcPr>
          <w:p w14:paraId="1288766C" w14:textId="77777777" w:rsidR="001B6EEE" w:rsidRPr="005644FE" w:rsidRDefault="001B6EEE" w:rsidP="00CA221B">
            <w:pPr>
              <w:jc w:val="both"/>
              <w:rPr>
                <w:rFonts w:ascii="Verdana" w:eastAsia="Calibri" w:hAnsi="Verdana" w:cs="Arial"/>
                <w:b/>
                <w:bCs/>
                <w:lang w:eastAsia="es-ES"/>
              </w:rPr>
            </w:pPr>
            <w:r w:rsidRPr="005644FE">
              <w:rPr>
                <w:rFonts w:ascii="Verdana" w:eastAsia="Calibri" w:hAnsi="Verdana" w:cs="Arial"/>
                <w:b/>
                <w:bCs/>
                <w:lang w:eastAsia="es-ES"/>
              </w:rPr>
              <w:t>Concepto C</w:t>
            </w:r>
            <w:r w:rsidRPr="00205473">
              <w:rPr>
                <w:rFonts w:ascii="Verdana" w:eastAsia="Calibri" w:hAnsi="Verdana" w:cs="Arial"/>
                <w:b/>
                <w:bCs/>
                <w:lang w:eastAsia="es-ES"/>
              </w:rPr>
              <w:t>-</w:t>
            </w:r>
            <w:r>
              <w:rPr>
                <w:rFonts w:ascii="Verdana" w:eastAsia="Calibri" w:hAnsi="Verdana" w:cs="Arial"/>
                <w:b/>
                <w:bCs/>
                <w:lang w:eastAsia="es-ES"/>
              </w:rPr>
              <w:t>899 de 2026</w:t>
            </w:r>
          </w:p>
          <w:p w14:paraId="1833B5D9" w14:textId="77777777" w:rsidR="001B6EEE" w:rsidRPr="005644FE" w:rsidRDefault="001B6EEE" w:rsidP="00CA221B">
            <w:pPr>
              <w:jc w:val="both"/>
              <w:rPr>
                <w:rFonts w:ascii="Verdana" w:eastAsia="Calibri" w:hAnsi="Verdana" w:cs="Arial"/>
                <w:b/>
                <w:bCs/>
                <w:color w:val="7030A0"/>
                <w:lang w:eastAsia="es-ES"/>
              </w:rPr>
            </w:pPr>
          </w:p>
        </w:tc>
      </w:tr>
      <w:tr w:rsidR="001B6EEE" w:rsidRPr="005644FE" w14:paraId="75C3E0DA" w14:textId="77777777" w:rsidTr="00CA221B">
        <w:trPr>
          <w:trHeight w:val="884"/>
        </w:trPr>
        <w:tc>
          <w:tcPr>
            <w:tcW w:w="3119" w:type="dxa"/>
          </w:tcPr>
          <w:p w14:paraId="6BA53FA0" w14:textId="77777777" w:rsidR="001B6EEE" w:rsidRPr="005644FE" w:rsidRDefault="001B6EEE" w:rsidP="00CA221B">
            <w:pPr>
              <w:jc w:val="both"/>
              <w:rPr>
                <w:rFonts w:ascii="Verdana" w:eastAsia="Calibri" w:hAnsi="Verdana" w:cs="Arial"/>
                <w:color w:val="000000"/>
                <w:lang w:eastAsia="es-ES_tradnl"/>
              </w:rPr>
            </w:pPr>
            <w:r w:rsidRPr="005644FE">
              <w:rPr>
                <w:rFonts w:ascii="Verdana" w:eastAsia="Calibri" w:hAnsi="Verdana" w:cs="Arial"/>
                <w:b/>
                <w:color w:val="000000"/>
                <w:lang w:eastAsia="es-ES_tradnl"/>
              </w:rPr>
              <w:t>Temas:</w:t>
            </w:r>
            <w:r w:rsidRPr="005644FE">
              <w:rPr>
                <w:rFonts w:ascii="Verdana" w:eastAsia="Calibri" w:hAnsi="Verdana" w:cs="Arial"/>
                <w:color w:val="000000"/>
                <w:lang w:eastAsia="es-ES_tradnl"/>
              </w:rPr>
              <w:t xml:space="preserve">                   </w:t>
            </w:r>
          </w:p>
        </w:tc>
        <w:tc>
          <w:tcPr>
            <w:tcW w:w="5670" w:type="dxa"/>
          </w:tcPr>
          <w:p w14:paraId="3D86C1C1" w14:textId="77777777" w:rsidR="001B6EEE" w:rsidRPr="00740C59" w:rsidRDefault="001B6EEE" w:rsidP="00CA221B">
            <w:pPr>
              <w:spacing w:after="120" w:line="276" w:lineRule="auto"/>
              <w:jc w:val="both"/>
              <w:rPr>
                <w:rFonts w:ascii="Verdana" w:eastAsia="Calibri" w:hAnsi="Verdana" w:cs="Arial"/>
                <w:lang w:val="es-ES" w:eastAsia="es-ES"/>
              </w:rPr>
            </w:pPr>
            <w:r>
              <w:rPr>
                <w:rFonts w:ascii="Verdana" w:eastAsia="Calibri" w:hAnsi="Verdana" w:cs="Arial"/>
                <w:lang w:val="es-ES" w:eastAsia="es-ES"/>
              </w:rPr>
              <w:t xml:space="preserve">PLAN ANUAL DE ADQUISICIONES – Alcance – Finalidad – PLAN ANUAL DE ADQUISICIONES – Publicación – Entidades obligadas / PLAN ANUAL DE ADQUISICIONES – Contenido / MODALIDADES DE SELECCIÓN – Procesos competitivos y no competitivos / CONTRATACIÓN DIRECTA – Modalidad de contratación restrictiva – CONTRATACIÓN DIRECTA – No se requiere de varias ofertas / CONTRATACIÓN DIRECTA – No se otorga puntaje / CONTRATACIÓN DIRECTA – Aplicación de los principios de la actividad contractual </w:t>
            </w:r>
          </w:p>
        </w:tc>
      </w:tr>
      <w:tr w:rsidR="001B6EEE" w:rsidRPr="005644FE" w14:paraId="4F184481" w14:textId="77777777" w:rsidTr="00CA221B">
        <w:tc>
          <w:tcPr>
            <w:tcW w:w="3119" w:type="dxa"/>
          </w:tcPr>
          <w:p w14:paraId="7695FFEE" w14:textId="77777777" w:rsidR="001B6EEE" w:rsidRPr="005644FE" w:rsidRDefault="001B6EEE" w:rsidP="00CA221B">
            <w:pPr>
              <w:jc w:val="both"/>
              <w:rPr>
                <w:rFonts w:ascii="Verdana" w:eastAsia="Calibri" w:hAnsi="Verdana" w:cs="Arial"/>
                <w:b/>
                <w:lang w:eastAsia="es-ES_tradnl"/>
              </w:rPr>
            </w:pPr>
            <w:r w:rsidRPr="005644FE">
              <w:rPr>
                <w:rFonts w:ascii="Verdana" w:eastAsia="Calibri" w:hAnsi="Verdana" w:cs="Arial"/>
                <w:b/>
                <w:lang w:eastAsia="es-ES_tradnl"/>
              </w:rPr>
              <w:t>Radicación:</w:t>
            </w:r>
            <w:r w:rsidRPr="005644FE">
              <w:rPr>
                <w:rFonts w:ascii="Verdana" w:eastAsia="Calibri" w:hAnsi="Verdana" w:cs="Arial"/>
                <w:lang w:eastAsia="es-ES_tradnl"/>
              </w:rPr>
              <w:t xml:space="preserve">               </w:t>
            </w:r>
          </w:p>
        </w:tc>
        <w:tc>
          <w:tcPr>
            <w:tcW w:w="5670" w:type="dxa"/>
          </w:tcPr>
          <w:p w14:paraId="73884DA9" w14:textId="77777777" w:rsidR="001B6EEE" w:rsidRPr="00F04657" w:rsidRDefault="001B6EEE" w:rsidP="00CA221B">
            <w:pPr>
              <w:jc w:val="both"/>
              <w:rPr>
                <w:rFonts w:ascii="Verdana" w:eastAsia="Calibri" w:hAnsi="Verdana" w:cs="Arial"/>
                <w:lang w:eastAsia="es-ES"/>
              </w:rPr>
            </w:pPr>
            <w:r w:rsidRPr="74C89D8F">
              <w:rPr>
                <w:rFonts w:ascii="Verdana" w:eastAsia="Calibri" w:hAnsi="Verdana" w:cs="Arial"/>
                <w:lang w:eastAsia="es-ES"/>
              </w:rPr>
              <w:t>Respuesta a consulta con radicado</w:t>
            </w:r>
            <w:r>
              <w:rPr>
                <w:rFonts w:ascii="Verdana" w:eastAsia="Calibri" w:hAnsi="Verdana" w:cs="Arial"/>
                <w:lang w:eastAsia="es-ES"/>
              </w:rPr>
              <w:t xml:space="preserve"> </w:t>
            </w:r>
            <w:r w:rsidRPr="00CD5FF1">
              <w:rPr>
                <w:rFonts w:ascii="Verdana" w:eastAsia="Calibri" w:hAnsi="Verdana" w:cs="Arial"/>
                <w:lang w:eastAsia="es-ES"/>
              </w:rPr>
              <w:t>1_2026_05_29_007271</w:t>
            </w:r>
          </w:p>
        </w:tc>
      </w:tr>
    </w:tbl>
    <w:p w14:paraId="7108E94B" w14:textId="77777777" w:rsidR="001B6EEE" w:rsidRPr="005644FE" w:rsidRDefault="001B6EEE" w:rsidP="001B6EEE">
      <w:pPr>
        <w:spacing w:after="0" w:line="276" w:lineRule="auto"/>
        <w:jc w:val="both"/>
        <w:rPr>
          <w:rFonts w:ascii="Verdana" w:eastAsia="Calibri" w:hAnsi="Verdana" w:cs="Arial"/>
          <w:lang w:eastAsia="es-ES_tradnl"/>
        </w:rPr>
      </w:pPr>
      <w:r>
        <w:rPr>
          <w:rFonts w:ascii="Verdana" w:eastAsia="Calibri" w:hAnsi="Verdana" w:cs="Arial"/>
          <w:lang w:eastAsia="es-ES_tradnl"/>
        </w:rPr>
        <w:t xml:space="preserve"> </w:t>
      </w:r>
    </w:p>
    <w:p w14:paraId="7DEAD9AE" w14:textId="77777777" w:rsidR="001B6EEE" w:rsidRPr="005644FE" w:rsidRDefault="001B6EEE" w:rsidP="001B6EEE">
      <w:pPr>
        <w:spacing w:after="0" w:line="276" w:lineRule="auto"/>
        <w:jc w:val="both"/>
        <w:rPr>
          <w:rFonts w:ascii="Verdana" w:eastAsia="Calibri" w:hAnsi="Verdana" w:cs="Arial"/>
          <w:lang w:eastAsia="es-ES"/>
        </w:rPr>
      </w:pPr>
      <w:r>
        <w:rPr>
          <w:rFonts w:ascii="Verdana" w:eastAsia="Calibri" w:hAnsi="Verdana" w:cs="Arial"/>
          <w:lang w:eastAsia="es-ES"/>
        </w:rPr>
        <w:t xml:space="preserve">Estimado señor Orozco: </w:t>
      </w:r>
    </w:p>
    <w:p w14:paraId="35ADD6BB" w14:textId="77777777" w:rsidR="001B6EEE" w:rsidRPr="00E02524" w:rsidRDefault="001B6EEE" w:rsidP="001B6EEE">
      <w:pPr>
        <w:spacing w:after="0" w:line="240" w:lineRule="auto"/>
        <w:jc w:val="both"/>
        <w:rPr>
          <w:rFonts w:ascii="Verdana" w:hAnsi="Verdana"/>
          <w:lang w:val="es-MX"/>
        </w:rPr>
      </w:pPr>
    </w:p>
    <w:p w14:paraId="69139AC6" w14:textId="77777777" w:rsidR="001B6EEE" w:rsidRPr="0084712D" w:rsidRDefault="001B6EEE" w:rsidP="001B6EEE">
      <w:pPr>
        <w:spacing w:after="120" w:line="276" w:lineRule="auto"/>
        <w:jc w:val="both"/>
        <w:rPr>
          <w:rFonts w:ascii="Verdana" w:hAnsi="Verdana"/>
        </w:rPr>
      </w:pPr>
      <w:r w:rsidRPr="0084712D">
        <w:rPr>
          <w:rFonts w:ascii="Verdana" w:hAnsi="Verdana"/>
        </w:rPr>
        <w:t>La Agencia Nacional de Contratación Pública – Colombia Compra Eficiente –, en ejercicio de las competencias otorgadas por los artículos 3, numeral 5º, y 11, numeral 8º, del Decreto Ley 4170 de 2011 y de conformidad con las modalidades del derecho de petición contempladas en la Ley 1755 de 2015 y en la resolución N° 469 del 2025 expedida por esta Agencia, responde la</w:t>
      </w:r>
      <w:r>
        <w:rPr>
          <w:rFonts w:ascii="Verdana" w:hAnsi="Verdana"/>
        </w:rPr>
        <w:t xml:space="preserve"> </w:t>
      </w:r>
      <w:r w:rsidRPr="0084712D">
        <w:rPr>
          <w:rFonts w:ascii="Verdana" w:hAnsi="Verdana"/>
        </w:rPr>
        <w:t xml:space="preserve">solicitud de consulta de fecha </w:t>
      </w:r>
      <w:r>
        <w:rPr>
          <w:rFonts w:ascii="Verdana" w:hAnsi="Verdana"/>
        </w:rPr>
        <w:t xml:space="preserve">29 de mayo </w:t>
      </w:r>
      <w:r w:rsidRPr="0084712D">
        <w:rPr>
          <w:rFonts w:ascii="Verdana" w:hAnsi="Verdana"/>
        </w:rPr>
        <w:t>de 2026, en la cual manifiesta lo siguiente:</w:t>
      </w:r>
    </w:p>
    <w:p w14:paraId="30258BC7" w14:textId="77777777" w:rsidR="001B6EEE" w:rsidRPr="002D339E" w:rsidRDefault="001B6EEE" w:rsidP="001B6EEE">
      <w:pPr>
        <w:spacing w:after="120" w:line="276" w:lineRule="auto"/>
        <w:jc w:val="both"/>
        <w:rPr>
          <w:rFonts w:ascii="Verdana" w:eastAsia="Calibri" w:hAnsi="Verdana" w:cs="Arial"/>
          <w:lang w:eastAsia="es-ES"/>
        </w:rPr>
      </w:pPr>
      <w:r w:rsidRPr="00E02524">
        <w:rPr>
          <w:rFonts w:ascii="Verdana" w:hAnsi="Verdana"/>
        </w:rPr>
        <w:t xml:space="preserve">PETICIÓN REALIZADA </w:t>
      </w:r>
    </w:p>
    <w:p w14:paraId="4EDD9804" w14:textId="77777777" w:rsidR="007208E3" w:rsidRDefault="001B6EEE" w:rsidP="001B6EEE">
      <w:pPr>
        <w:spacing w:after="0" w:line="240" w:lineRule="auto"/>
        <w:ind w:left="709" w:right="709"/>
        <w:jc w:val="both"/>
        <w:rPr>
          <w:rFonts w:ascii="Verdana" w:hAnsi="Verdana"/>
          <w:sz w:val="20"/>
          <w:szCs w:val="20"/>
        </w:rPr>
      </w:pPr>
      <w:r>
        <w:rPr>
          <w:rFonts w:ascii="Verdana" w:hAnsi="Verdana"/>
          <w:sz w:val="20"/>
          <w:szCs w:val="20"/>
        </w:rPr>
        <w:t xml:space="preserve">“(…) </w:t>
      </w:r>
      <w:r w:rsidRPr="00CD5FF1">
        <w:rPr>
          <w:rFonts w:ascii="Verdana" w:hAnsi="Verdana"/>
          <w:sz w:val="20"/>
          <w:szCs w:val="20"/>
        </w:rPr>
        <w:t>En el Plan Anual de Adquisiciones (PAA) de una entidad territorial para la vigencia 2026, identifico una necesidad de contratación directa de servicios profesionales (Ingeniería Ambiental, UNSPSC 77101700)</w:t>
      </w:r>
    </w:p>
    <w:p w14:paraId="70834C50" w14:textId="77777777" w:rsidR="007208E3" w:rsidRDefault="007208E3" w:rsidP="001B6EEE">
      <w:pPr>
        <w:spacing w:after="0" w:line="240" w:lineRule="auto"/>
        <w:ind w:left="709" w:right="709"/>
        <w:jc w:val="both"/>
        <w:rPr>
          <w:rFonts w:ascii="Verdana" w:hAnsi="Verdana"/>
          <w:sz w:val="20"/>
          <w:szCs w:val="20"/>
        </w:rPr>
      </w:pPr>
    </w:p>
    <w:p w14:paraId="2B700FB6" w14:textId="5B4B3D80" w:rsidR="001B6EEE" w:rsidRDefault="001B6EEE" w:rsidP="001B6EEE">
      <w:pPr>
        <w:spacing w:after="0" w:line="240" w:lineRule="auto"/>
        <w:ind w:left="709" w:right="709"/>
        <w:jc w:val="both"/>
        <w:rPr>
          <w:rFonts w:ascii="Verdana" w:hAnsi="Verdana"/>
          <w:sz w:val="20"/>
          <w:szCs w:val="20"/>
        </w:rPr>
      </w:pPr>
      <w:r w:rsidRPr="00CD5FF1">
        <w:rPr>
          <w:rFonts w:ascii="Verdana" w:hAnsi="Verdana"/>
          <w:sz w:val="20"/>
          <w:szCs w:val="20"/>
        </w:rPr>
        <w:t>Teniendo en cuenta que:</w:t>
      </w:r>
    </w:p>
    <w:p w14:paraId="0517785C" w14:textId="77777777" w:rsidR="001B6EEE" w:rsidRDefault="001B6EEE" w:rsidP="001B6EEE">
      <w:pPr>
        <w:spacing w:after="0" w:line="240" w:lineRule="auto"/>
        <w:ind w:left="709" w:right="709"/>
        <w:jc w:val="both"/>
        <w:rPr>
          <w:rFonts w:ascii="Verdana" w:hAnsi="Verdana"/>
          <w:sz w:val="20"/>
          <w:szCs w:val="20"/>
        </w:rPr>
      </w:pPr>
      <w:r w:rsidRPr="00CD5FF1">
        <w:rPr>
          <w:rFonts w:ascii="Verdana" w:hAnsi="Verdana"/>
          <w:sz w:val="20"/>
          <w:szCs w:val="20"/>
        </w:rPr>
        <w:br/>
        <w:t>El PAA es un documento de planeación de obligatoria publicación.</w:t>
      </w:r>
      <w:r w:rsidRPr="00CD5FF1">
        <w:rPr>
          <w:rFonts w:ascii="Verdana" w:hAnsi="Verdana"/>
          <w:sz w:val="20"/>
          <w:szCs w:val="20"/>
        </w:rPr>
        <w:br/>
        <w:t>La contratación directa para servicios profesionales es una de las causales de esta modalidad.</w:t>
      </w:r>
    </w:p>
    <w:p w14:paraId="70712095" w14:textId="77777777" w:rsidR="001B6EEE" w:rsidRDefault="001B6EEE" w:rsidP="001B6EEE">
      <w:pPr>
        <w:spacing w:after="0" w:line="240" w:lineRule="auto"/>
        <w:ind w:left="709" w:right="709"/>
        <w:jc w:val="both"/>
        <w:rPr>
          <w:rFonts w:ascii="Verdana" w:hAnsi="Verdana"/>
          <w:sz w:val="20"/>
          <w:szCs w:val="20"/>
        </w:rPr>
      </w:pPr>
      <w:r w:rsidRPr="00CD5FF1">
        <w:rPr>
          <w:rFonts w:ascii="Verdana" w:hAnsi="Verdana"/>
          <w:sz w:val="20"/>
          <w:szCs w:val="20"/>
        </w:rPr>
        <w:br/>
        <w:t>Solicito un concepto jurídico de esta Agencia sobre los siguientes puntos:</w:t>
      </w:r>
      <w:r w:rsidRPr="00CD5FF1">
        <w:rPr>
          <w:rFonts w:ascii="Verdana" w:hAnsi="Verdana"/>
          <w:sz w:val="20"/>
          <w:szCs w:val="20"/>
        </w:rPr>
        <w:br/>
      </w:r>
      <w:r w:rsidRPr="00CD5FF1">
        <w:rPr>
          <w:rFonts w:ascii="Verdana" w:hAnsi="Verdana"/>
          <w:sz w:val="20"/>
          <w:szCs w:val="20"/>
        </w:rPr>
        <w:br/>
        <w:t>1. ¿Es legal y procedente que un profesional interesado se comunique de manera proactiva y formal con la entidad, con base en la información del PAA, para manifestar su interés en participar en dicho proceso de selección, antes de la apertura oficial del mismo?</w:t>
      </w:r>
    </w:p>
    <w:p w14:paraId="3EFBF90D" w14:textId="77777777" w:rsidR="001B6EEE" w:rsidRDefault="001B6EEE" w:rsidP="001B6EEE">
      <w:pPr>
        <w:spacing w:after="0" w:line="240" w:lineRule="auto"/>
        <w:ind w:left="709" w:right="709"/>
        <w:jc w:val="both"/>
        <w:rPr>
          <w:rFonts w:ascii="Verdana" w:hAnsi="Verdana"/>
          <w:sz w:val="20"/>
          <w:szCs w:val="20"/>
        </w:rPr>
      </w:pPr>
      <w:r w:rsidRPr="00CD5FF1">
        <w:rPr>
          <w:rFonts w:ascii="Verdana" w:hAnsi="Verdana"/>
          <w:sz w:val="20"/>
          <w:szCs w:val="20"/>
        </w:rPr>
        <w:t>2. ¿Tiene la entidad estatal el deber jurídico de considerar dicha manifestación de interés bajo los principios de transparencia y selección objetiva, aun cuando la modalidad elegida sea la Contratación Directa?</w:t>
      </w:r>
      <w:r w:rsidRPr="00CD5FF1">
        <w:rPr>
          <w:rFonts w:ascii="Verdana" w:hAnsi="Verdana"/>
          <w:sz w:val="20"/>
          <w:szCs w:val="20"/>
        </w:rPr>
        <w:br/>
      </w:r>
      <w:r w:rsidRPr="00CD5FF1">
        <w:rPr>
          <w:rFonts w:ascii="Verdana" w:hAnsi="Verdana"/>
          <w:sz w:val="20"/>
          <w:szCs w:val="20"/>
        </w:rPr>
        <w:br/>
        <w:t xml:space="preserve">3. De no ser considerada una manifestación de interés oportuna, ¿qué mecanismos de control tiene un profesional para cuestionar la selección de otro contratista? </w:t>
      </w:r>
      <w:r>
        <w:rPr>
          <w:rFonts w:ascii="Verdana" w:hAnsi="Verdana"/>
          <w:sz w:val="20"/>
          <w:szCs w:val="20"/>
        </w:rPr>
        <w:t>(…)”.</w:t>
      </w:r>
    </w:p>
    <w:p w14:paraId="638E4A8D" w14:textId="77777777" w:rsidR="001B6EEE" w:rsidRPr="00647D77" w:rsidRDefault="001B6EEE" w:rsidP="001B6EEE">
      <w:pPr>
        <w:spacing w:after="0" w:line="240" w:lineRule="auto"/>
        <w:ind w:right="709"/>
        <w:jc w:val="both"/>
        <w:rPr>
          <w:rFonts w:ascii="Verdana" w:hAnsi="Verdana"/>
        </w:rPr>
      </w:pPr>
    </w:p>
    <w:p w14:paraId="64CEF377" w14:textId="77777777" w:rsidR="001B6EEE" w:rsidRPr="00F64722" w:rsidRDefault="001B6EEE" w:rsidP="001B6EEE">
      <w:pPr>
        <w:spacing w:after="120" w:line="276" w:lineRule="auto"/>
        <w:ind w:firstLine="709"/>
        <w:jc w:val="both"/>
        <w:rPr>
          <w:rFonts w:ascii="Verdana" w:eastAsia="Calibri" w:hAnsi="Verdana" w:cs="Arial"/>
          <w:color w:val="000000"/>
          <w:szCs w:val="24"/>
          <w:lang w:eastAsia="es-ES_tradnl"/>
        </w:rPr>
      </w:pPr>
      <w:r w:rsidRPr="005644FE">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Pr>
          <w:rFonts w:ascii="Verdana" w:eastAsia="Calibri" w:hAnsi="Verdana" w:cs="Arial"/>
          <w:color w:val="000000"/>
          <w:lang w:eastAsia="es-ES"/>
        </w:rPr>
        <w:t xml:space="preserve">la Agencia Nacional de Contratación Pública - </w:t>
      </w:r>
      <w:r w:rsidRPr="005644FE">
        <w:rPr>
          <w:rFonts w:ascii="Verdana" w:eastAsia="Calibri" w:hAnsi="Verdana" w:cs="Arial"/>
          <w:color w:val="000000"/>
          <w:lang w:eastAsia="es-ES"/>
        </w:rPr>
        <w:t xml:space="preserve">Colombia Compra Eficiente como una autoridad para solucionar problemas jurídicos particulares de todos los partícipes del sistema de compra pública. La competencia de esta entidad se fija con límites claros, con </w:t>
      </w:r>
      <w:r w:rsidRPr="00F64722">
        <w:rPr>
          <w:rFonts w:ascii="Verdana" w:eastAsia="Calibri" w:hAnsi="Verdana" w:cs="Arial"/>
          <w:color w:val="000000"/>
          <w:lang w:eastAsia="es-ES"/>
        </w:rPr>
        <w:t xml:space="preserve">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725EF9D0" w14:textId="77777777" w:rsidR="001B6EEE" w:rsidRPr="001B7256" w:rsidRDefault="001B6EEE" w:rsidP="001B6EEE">
      <w:pPr>
        <w:spacing w:after="120" w:line="276" w:lineRule="auto"/>
        <w:ind w:firstLine="709"/>
        <w:jc w:val="both"/>
        <w:rPr>
          <w:rFonts w:ascii="Verdana" w:eastAsia="Calibri" w:hAnsi="Verdana" w:cs="Arial"/>
          <w:lang w:eastAsia="es-ES"/>
        </w:rPr>
      </w:pPr>
      <w:r w:rsidRPr="00B75E8F">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w:t>
      </w:r>
      <w:r w:rsidRPr="001B7256">
        <w:rPr>
          <w:rFonts w:ascii="Verdana" w:eastAsia="Calibri" w:hAnsi="Verdana" w:cs="Arial"/>
          <w:color w:val="000000"/>
          <w:lang w:eastAsia="es-ES"/>
        </w:rPr>
        <w:t>es, haciendo abstracción del caso particular y concreto señalado en su petición pero señalando algunas consideraciones sobre las normas generales relacionadas a los problemas jurídicos de su consulta.</w:t>
      </w:r>
      <w:r w:rsidRPr="001B7256">
        <w:rPr>
          <w:rFonts w:ascii="Verdana" w:eastAsia="Calibri" w:hAnsi="Verdana" w:cs="Arial"/>
          <w:lang w:eastAsia="es-ES"/>
        </w:rPr>
        <w:t xml:space="preserve">  </w:t>
      </w:r>
    </w:p>
    <w:p w14:paraId="40A29BBF" w14:textId="77777777" w:rsidR="001B6EEE" w:rsidRPr="001B7256" w:rsidRDefault="001B6EEE" w:rsidP="001B6EE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1B7256">
        <w:rPr>
          <w:rFonts w:ascii="Verdana" w:eastAsia="Century Gothic" w:hAnsi="Verdana" w:cs="Century Gothic"/>
          <w:b/>
          <w:bCs/>
        </w:rPr>
        <w:t>Problema planteado:</w:t>
      </w:r>
    </w:p>
    <w:p w14:paraId="393DB98A" w14:textId="77777777" w:rsidR="001B6EEE" w:rsidRPr="001B7256" w:rsidRDefault="001B6EEE" w:rsidP="001B6EEE">
      <w:pPr>
        <w:spacing w:after="0" w:line="240" w:lineRule="auto"/>
        <w:jc w:val="both"/>
        <w:rPr>
          <w:rFonts w:ascii="Verdana" w:eastAsia="Calibri" w:hAnsi="Verdana" w:cs="Arial"/>
          <w:color w:val="000000"/>
          <w:lang w:eastAsia="es-ES"/>
        </w:rPr>
      </w:pPr>
    </w:p>
    <w:p w14:paraId="1003C418" w14:textId="77777777" w:rsidR="001B6EEE" w:rsidRDefault="001B6EEE" w:rsidP="001B6EEE">
      <w:pPr>
        <w:spacing w:after="0" w:line="276" w:lineRule="auto"/>
        <w:jc w:val="both"/>
        <w:rPr>
          <w:rFonts w:ascii="Verdana" w:eastAsia="Calibri" w:hAnsi="Verdana" w:cs="Arial"/>
          <w:color w:val="000000"/>
          <w:lang w:eastAsia="es-ES"/>
        </w:rPr>
      </w:pPr>
      <w:r w:rsidRPr="001B7256">
        <w:rPr>
          <w:rFonts w:ascii="Verdana" w:eastAsia="Calibri" w:hAnsi="Verdana" w:cs="Arial"/>
          <w:color w:val="000000"/>
          <w:lang w:eastAsia="es-ES"/>
        </w:rPr>
        <w:t xml:space="preserve">De acuerdo con el contenido de su solicitud, esta Agencia resolverá los siguientes problemas jurídicos: </w:t>
      </w:r>
      <w:r>
        <w:rPr>
          <w:rFonts w:ascii="Verdana" w:eastAsia="Calibri" w:hAnsi="Verdana" w:cs="Arial"/>
          <w:color w:val="000000"/>
          <w:lang w:eastAsia="es-ES"/>
        </w:rPr>
        <w:t xml:space="preserve">i) ¿Cuál es el alcance general del Plan Anual de adquisiciones? ii) ¿Cuáles son las características de la contratación directa?   </w:t>
      </w:r>
      <w:r w:rsidRPr="00CD5FF1">
        <w:rPr>
          <w:rFonts w:ascii="Verdana" w:eastAsia="Calibri" w:hAnsi="Verdana" w:cs="Arial"/>
          <w:color w:val="000000"/>
          <w:highlight w:val="yellow"/>
          <w:lang w:eastAsia="es-ES"/>
        </w:rPr>
        <w:t xml:space="preserve"> </w:t>
      </w:r>
      <w:r>
        <w:rPr>
          <w:rFonts w:ascii="Verdana" w:eastAsia="Calibri" w:hAnsi="Verdana" w:cs="Arial"/>
          <w:color w:val="000000"/>
          <w:lang w:eastAsia="es-ES"/>
        </w:rPr>
        <w:t xml:space="preserve"> </w:t>
      </w:r>
    </w:p>
    <w:p w14:paraId="7B8681D7" w14:textId="77777777" w:rsidR="001B6EEE" w:rsidRPr="007620A2" w:rsidRDefault="001B6EEE" w:rsidP="001B6EEE">
      <w:pPr>
        <w:spacing w:after="0" w:line="240" w:lineRule="auto"/>
        <w:jc w:val="both"/>
        <w:rPr>
          <w:rFonts w:ascii="Verdana" w:hAnsi="Verdana"/>
        </w:rPr>
      </w:pPr>
    </w:p>
    <w:p w14:paraId="72300CFD" w14:textId="77777777" w:rsidR="001B6EEE" w:rsidRPr="00C97CA6" w:rsidRDefault="001B6EEE" w:rsidP="001B6EEE">
      <w:pPr>
        <w:spacing w:after="0" w:line="276" w:lineRule="auto"/>
        <w:jc w:val="both"/>
        <w:rPr>
          <w:rFonts w:ascii="Verdana" w:eastAsia="Century Gothic" w:hAnsi="Verdana" w:cs="Century Gothic"/>
        </w:rPr>
      </w:pPr>
      <w:r w:rsidRPr="00B33011">
        <w:rPr>
          <w:rFonts w:ascii="Verdana" w:eastAsia="Century Gothic" w:hAnsi="Verdana" w:cs="Century Gothic"/>
          <w:b/>
          <w:bCs/>
        </w:rPr>
        <w:t>2. Respuesta:</w:t>
      </w:r>
    </w:p>
    <w:p w14:paraId="386F37BA" w14:textId="77777777" w:rsidR="001B6EEE" w:rsidRPr="005644FE" w:rsidRDefault="001B6EEE" w:rsidP="001B6EEE">
      <w:pPr>
        <w:spacing w:after="0" w:line="276" w:lineRule="auto"/>
        <w:jc w:val="both"/>
        <w:rPr>
          <w:rFonts w:ascii="Verdana" w:eastAsia="Century Gothic" w:hAnsi="Verdana" w:cs="Century Gothic"/>
          <w:b/>
          <w:bCs/>
        </w:rPr>
      </w:pPr>
    </w:p>
    <w:tbl>
      <w:tblPr>
        <w:tblStyle w:val="Tablaconcuadrcula"/>
        <w:tblW w:w="0" w:type="auto"/>
        <w:tblLook w:val="04A0" w:firstRow="1" w:lastRow="0" w:firstColumn="1" w:lastColumn="0" w:noHBand="0" w:noVBand="1"/>
      </w:tblPr>
      <w:tblGrid>
        <w:gridCol w:w="8828"/>
      </w:tblGrid>
      <w:tr w:rsidR="001B6EEE" w:rsidRPr="005644FE" w14:paraId="0D7F87DD" w14:textId="77777777" w:rsidTr="00CA221B">
        <w:tc>
          <w:tcPr>
            <w:tcW w:w="8828" w:type="dxa"/>
          </w:tcPr>
          <w:p w14:paraId="1DB9B11D" w14:textId="77777777" w:rsidR="001B6EEE" w:rsidRDefault="001B6EEE" w:rsidP="00CA221B">
            <w:pPr>
              <w:spacing w:after="120" w:line="276" w:lineRule="auto"/>
              <w:jc w:val="both"/>
              <w:rPr>
                <w:rFonts w:ascii="Verdana" w:eastAsia="Calibri" w:hAnsi="Verdana" w:cs="Arial"/>
              </w:rPr>
            </w:pPr>
            <w:r w:rsidRPr="008B5424">
              <w:rPr>
                <w:rFonts w:ascii="Verdana" w:eastAsia="Calibri" w:hAnsi="Verdana" w:cs="Arial"/>
              </w:rPr>
              <w:t xml:space="preserve">i) </w:t>
            </w:r>
            <w:r w:rsidRPr="008B5424">
              <w:rPr>
                <w:rFonts w:ascii="Verdana" w:eastAsia="Calibri" w:hAnsi="Verdana" w:cs="Arial"/>
                <w:lang w:val="es-ES"/>
              </w:rPr>
              <w:t xml:space="preserve">El Plan Anual de Adquisiciones </w:t>
            </w:r>
            <w:r w:rsidRPr="00F50E68">
              <w:rPr>
                <w:rFonts w:ascii="Verdana" w:eastAsia="Calibri" w:hAnsi="Verdana" w:cs="Arial"/>
              </w:rPr>
              <w:t>un instrumento de planificación y orientación de la contratación de las Entidades Estatales, diseñado para identificar las necesidades de contratación, en el que se incluyen, de manera estimativa, los bienes, obras y servicios que la Administración Pública está interesada en adquirir para determinada vigencia</w:t>
            </w:r>
            <w:r>
              <w:rPr>
                <w:rFonts w:ascii="Verdana" w:eastAsia="Calibri" w:hAnsi="Verdana" w:cs="Arial"/>
              </w:rPr>
              <w:t xml:space="preserve">. </w:t>
            </w:r>
            <w:r w:rsidRPr="00F50E68">
              <w:rPr>
                <w:rFonts w:ascii="Verdana" w:eastAsia="Calibri" w:hAnsi="Verdana" w:cs="Arial"/>
              </w:rPr>
              <w:t>Sin perjuicio de lo anterior, el PAA no restringe las decisiones en la contratación que habrán de adoptarse dentro de la anualidad respectiva, por lo que se considera un documento de carácter estimativo que tiene entre otras finalidades, la de “servir como referente inicial para evaluar la ejecución de presupuesto y pronosticar la demanda de bienes y servicios de la entidad durante el año referido del plan</w:t>
            </w:r>
            <w:r>
              <w:rPr>
                <w:rFonts w:ascii="Verdana" w:eastAsia="Calibri" w:hAnsi="Verdana" w:cs="Arial"/>
              </w:rPr>
              <w:t>.</w:t>
            </w:r>
          </w:p>
          <w:p w14:paraId="77CC7781" w14:textId="77777777" w:rsidR="001B6EEE" w:rsidRDefault="001B6EEE" w:rsidP="00CA221B">
            <w:pPr>
              <w:spacing w:after="120" w:line="276" w:lineRule="auto"/>
              <w:ind w:firstLine="709"/>
              <w:jc w:val="both"/>
              <w:rPr>
                <w:rFonts w:ascii="Verdana" w:eastAsia="Calibri" w:hAnsi="Verdana" w:cs="Arial"/>
                <w:lang w:val="es-ES" w:eastAsia="es-ES_tradnl"/>
              </w:rPr>
            </w:pPr>
            <w:r>
              <w:rPr>
                <w:rStyle w:val="normaltextrun"/>
                <w:rFonts w:ascii="Verdana" w:hAnsi="Verdana" w:cs="Arial"/>
                <w:lang w:val="es-ES"/>
              </w:rPr>
              <w:t>E</w:t>
            </w:r>
            <w:r w:rsidRPr="00F50E68">
              <w:rPr>
                <w:rStyle w:val="normaltextrun"/>
                <w:rFonts w:ascii="Verdana" w:hAnsi="Verdana" w:cs="Arial"/>
                <w:lang w:val="es-ES"/>
              </w:rPr>
              <w:t>l artículo 2.2.1.1.1.4.1 del Decreto 1082 de 2015 establece el deber de elaborar el PAA, que debe contener un listado de lo que la entidad adquirirá durante el año, para satisfacer su necesidad de bienes, obras o servicios, y que debe tener la información desagregada, principalmente en los siguientes aspectos</w:t>
            </w:r>
            <w:r w:rsidRPr="00F50E68">
              <w:rPr>
                <w:rFonts w:ascii="Verdana" w:eastAsia="Calibri" w:hAnsi="Verdana" w:cs="Arial"/>
                <w:lang w:val="es-ES" w:eastAsia="es-ES_tradnl"/>
              </w:rPr>
              <w:t>: i) identificación con el clasificador de bienes y servicios, ii) valor estimado del contrato, iii) tipo de recursos, iv) modalidad de selección y v) fecha de inicio del proceso contractual.</w:t>
            </w:r>
          </w:p>
          <w:p w14:paraId="7A11851F" w14:textId="77777777" w:rsidR="001B6EEE" w:rsidRDefault="001B6EEE" w:rsidP="00CA221B">
            <w:pPr>
              <w:spacing w:after="120" w:line="276" w:lineRule="auto"/>
              <w:ind w:firstLine="709"/>
              <w:jc w:val="both"/>
              <w:rPr>
                <w:rFonts w:ascii="Verdana" w:eastAsia="Calibri" w:hAnsi="Verdana" w:cs="Arial"/>
                <w:lang w:eastAsia="es-ES_tradnl"/>
              </w:rPr>
            </w:pPr>
            <w:r w:rsidRPr="00F50E68">
              <w:rPr>
                <w:rFonts w:ascii="Verdana" w:eastAsia="Times New Roman" w:hAnsi="Verdana" w:cs="Arial"/>
                <w:lang w:eastAsia="es-ES_tradnl"/>
              </w:rPr>
              <w:t xml:space="preserve">Adicionalmente, vale la pena aclarar que pese a que </w:t>
            </w:r>
            <w:r w:rsidRPr="00F50E68">
              <w:rPr>
                <w:rFonts w:ascii="Verdana" w:eastAsia="Calibri" w:hAnsi="Verdana" w:cs="Arial"/>
                <w:lang w:eastAsia="es-ES_tradnl"/>
              </w:rPr>
              <w:t xml:space="preserve">el PAA es un instrumento de planeación, no es el único documento a través del cual se materializa la planeación en un proceso de contratación, el cual también debe atender a los demás instrumentos generales de planeación que obligan a la entidad contratante –por ejemplo, planes de desarrollo nacionales, presupuestos plurianuales, planes territoriales, etc.–, además de requerir la expedición de los estudios técnicos, jurídicos y/o financieros necesarios, según el caso, para determinar la conveniencia y la legalidad de la contratación–art. 25 de la Ley 80 de 1993– , los estudios previos y el análisis del sector relativo a la contratación que se pretende adelantar –2.2.1.1.2.1.1 y 2.2.1.1.1.6.1 del Decreto 1082 de 2015–.  </w:t>
            </w:r>
          </w:p>
          <w:p w14:paraId="0D2D00CF" w14:textId="77777777" w:rsidR="001B6EEE" w:rsidRPr="006A0F21" w:rsidRDefault="001B6EEE" w:rsidP="00CA221B">
            <w:pPr>
              <w:spacing w:after="120" w:line="276" w:lineRule="auto"/>
              <w:jc w:val="both"/>
              <w:rPr>
                <w:rFonts w:ascii="Verdana" w:eastAsia="Calibri" w:hAnsi="Verdana" w:cs="Arial"/>
                <w:lang w:eastAsia="es-ES_tradnl"/>
              </w:rPr>
            </w:pPr>
            <w:r w:rsidRPr="00EA2204">
              <w:rPr>
                <w:rFonts w:ascii="Verdana" w:eastAsia="Calibri" w:hAnsi="Verdana" w:cs="Arial"/>
                <w:lang w:eastAsia="es-ES_tradnl"/>
              </w:rPr>
              <w:t xml:space="preserve">ii) las modalidades de selección pueden dividirse doctrinariamente en i) competitivas y ii) no competitivas. </w:t>
            </w:r>
            <w:r>
              <w:rPr>
                <w:rFonts w:ascii="Verdana" w:eastAsia="Calibri" w:hAnsi="Verdana" w:cs="Arial"/>
                <w:lang w:eastAsia="es-ES_tradnl"/>
              </w:rPr>
              <w:t>L</w:t>
            </w:r>
            <w:r w:rsidRPr="006A0F21">
              <w:rPr>
                <w:rFonts w:ascii="Verdana" w:eastAsia="Calibri" w:hAnsi="Verdana" w:cs="Arial"/>
                <w:lang w:eastAsia="es-ES_tradnl"/>
              </w:rPr>
              <w:t xml:space="preserve">a licitación pública, la selección abreviada, el concurso de méritos y la mínima cuantía son modalidades de selección competitivas o abiertas a competencia, ya que en ellas tiene lugar la participación de varios proponentes en una fase pública de presentación de ofertas. Esto permite que todas las personas interesadas concurran al proceso en igualdad de condiciones y compitan en el mismo. </w:t>
            </w:r>
          </w:p>
          <w:p w14:paraId="1284B322" w14:textId="77777777" w:rsidR="001B6EEE" w:rsidRDefault="001B6EEE" w:rsidP="00CA221B">
            <w:pPr>
              <w:spacing w:after="120" w:line="276" w:lineRule="auto"/>
              <w:ind w:firstLine="709"/>
              <w:jc w:val="both"/>
              <w:rPr>
                <w:rFonts w:ascii="Verdana" w:eastAsia="Calibri" w:hAnsi="Verdana" w:cs="Arial"/>
                <w:lang w:eastAsia="es-ES_tradnl"/>
              </w:rPr>
            </w:pPr>
            <w:r w:rsidRPr="006A0F21">
              <w:rPr>
                <w:rFonts w:ascii="Verdana" w:eastAsia="Calibri" w:hAnsi="Verdana" w:cs="Arial"/>
                <w:lang w:eastAsia="es-ES_tradnl"/>
              </w:rPr>
              <w:t>Lo contrario ocurre con la modalidad de selección de contratación directa que no es competitiva, es decir, que no es abierta a los proponentes para que los interesados presenten sus ofertas. En esta, es la entidad la que determina, de forma directa, la persona que puede participar y que será seleccionada.</w:t>
            </w:r>
          </w:p>
          <w:p w14:paraId="07D8E018" w14:textId="77777777" w:rsidR="001B6EEE" w:rsidRPr="006A0F21" w:rsidRDefault="001B6EEE" w:rsidP="00CA221B">
            <w:pPr>
              <w:spacing w:after="120" w:line="276" w:lineRule="auto"/>
              <w:ind w:firstLine="709"/>
              <w:jc w:val="both"/>
              <w:rPr>
                <w:rFonts w:ascii="Verdana" w:eastAsia="Calibri" w:hAnsi="Verdana" w:cs="Arial"/>
                <w:lang w:eastAsia="es-ES_tradnl"/>
              </w:rPr>
            </w:pPr>
            <w:r w:rsidRPr="006A0F21">
              <w:rPr>
                <w:rFonts w:ascii="Verdana" w:eastAsia="Calibri" w:hAnsi="Verdana" w:cs="Arial"/>
                <w:lang w:eastAsia="es-ES_tradnl"/>
              </w:rPr>
              <w:t>En la contratación directa no es necesario que la entidad reciba más de una oferta, la cual proviene de la persona que la entidad escoge directamente, y por ende, invita a ofertar el bien o servicio que se requiere. Lo anterior puede estar basado en que el proponente es único, o en que el legislador privilegió algunos objetos contractuales u oferentes para contratarlos de manera directa. De igual forma, esto implica que el proceso será simplificado, corto, ágil y expedito, por no exigir el agotamiento de una convocatoria pública o la realización de un proceso competitivo. Lo anterior no exime a las entidades estatales de garantizar los principios rectores de la contratación pública.</w:t>
            </w:r>
          </w:p>
          <w:p w14:paraId="2619A9CC" w14:textId="77777777" w:rsidR="001B6EEE" w:rsidRDefault="001B6EEE" w:rsidP="00CA221B">
            <w:pPr>
              <w:spacing w:after="120" w:line="276" w:lineRule="auto"/>
              <w:ind w:firstLine="709"/>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L</w:t>
            </w:r>
            <w:r w:rsidRPr="006A0F21">
              <w:rPr>
                <w:rFonts w:ascii="Verdana" w:eastAsia="Calibri" w:hAnsi="Verdana" w:cs="Arial"/>
                <w:color w:val="000000" w:themeColor="text1"/>
                <w:lang w:val="es-ES" w:eastAsia="es-ES"/>
              </w:rPr>
              <w:t>a contratación directa no está exceptuada del cumplimiento de los principios de transparencia y selección objetiva, los cuales tienen como elemento común la objetividad en la selección del contratista</w:t>
            </w:r>
            <w:r>
              <w:rPr>
                <w:rFonts w:ascii="Verdana" w:eastAsia="Calibri" w:hAnsi="Verdana" w:cs="Arial"/>
                <w:color w:val="000000" w:themeColor="text1"/>
                <w:lang w:val="es-ES" w:eastAsia="es-ES"/>
              </w:rPr>
              <w:t xml:space="preserve">; si bien, a </w:t>
            </w:r>
            <w:r w:rsidRPr="006A0F21">
              <w:rPr>
                <w:rFonts w:ascii="Verdana" w:eastAsia="Calibri" w:hAnsi="Verdana" w:cs="Arial"/>
                <w:color w:val="000000" w:themeColor="text1"/>
                <w:lang w:val="es-ES" w:eastAsia="es-ES"/>
              </w:rPr>
              <w:t xml:space="preserve">pesar de que la entidad dirija la invitación a ofertar solamente a una persona, esto no significa que puede elegirla con base en criterios subjetivos, como el afecto, la amistad, el ánimo de ayuda, el interés personal, entre otros. </w:t>
            </w:r>
          </w:p>
          <w:p w14:paraId="4193CFF9" w14:textId="77777777" w:rsidR="001B6EEE" w:rsidRDefault="001B6EEE" w:rsidP="00CA221B">
            <w:pPr>
              <w:spacing w:after="120" w:line="276" w:lineRule="auto"/>
              <w:ind w:firstLine="709"/>
              <w:jc w:val="both"/>
              <w:rPr>
                <w:rFonts w:ascii="Verdana" w:eastAsia="Calibri" w:hAnsi="Verdana" w:cs="Arial"/>
                <w:color w:val="000000"/>
                <w:lang w:val="es-ES_tradnl" w:eastAsia="es-ES_tradnl"/>
              </w:rPr>
            </w:pPr>
            <w:r w:rsidRPr="006A0F21">
              <w:rPr>
                <w:rFonts w:ascii="Verdana" w:eastAsia="Calibri" w:hAnsi="Verdana" w:cs="Arial"/>
                <w:color w:val="000000"/>
                <w:lang w:val="es-ES_tradnl" w:eastAsia="es-ES_tradnl"/>
              </w:rPr>
              <w:t xml:space="preserve">En efecto, la persona a la que la entidad contrata de forma directa es aquella que se considera que cumple con lo requerido para satisfacer la necesidad </w:t>
            </w:r>
            <w:r w:rsidRPr="006A0F21">
              <w:rPr>
                <w:rFonts w:ascii="Verdana" w:eastAsia="Calibri" w:hAnsi="Verdana" w:cs="Arial"/>
                <w:lang w:eastAsia="es-ES_tradnl"/>
              </w:rPr>
              <w:t>contractual</w:t>
            </w:r>
            <w:r w:rsidRPr="006A0F21">
              <w:rPr>
                <w:rFonts w:ascii="Verdana" w:eastAsia="Calibri" w:hAnsi="Verdana" w:cs="Arial"/>
                <w:color w:val="000000"/>
                <w:lang w:val="es-ES_tradnl" w:eastAsia="es-ES_tradnl"/>
              </w:rPr>
              <w:t xml:space="preserve">. Esa consideración de la entidad contratante será objetiva en la medida en que se cumpla con el principio de planeación, que se refleja principalmente en los estudios previos y en el acto administrativo que justifica la contratación directa, en los casos en que aplica. De esta manera, aunque la contratación sea directa, como ya se explicó, esto no implica que la entidad no deba definir las condiciones del contratista que está en capacidad de cumplir el contrato, lo cual es un elemento común entre las modalidades de selección competitivas y no competitivas. </w:t>
            </w:r>
          </w:p>
          <w:p w14:paraId="5E9E6DA1" w14:textId="77777777" w:rsidR="001B6EEE" w:rsidRDefault="001B6EEE" w:rsidP="00CA221B">
            <w:pPr>
              <w:spacing w:after="120" w:line="276" w:lineRule="auto"/>
              <w:ind w:firstLine="709"/>
              <w:jc w:val="both"/>
              <w:rPr>
                <w:rFonts w:ascii="Verdana" w:eastAsia="Calibri" w:hAnsi="Verdana" w:cs="Arial"/>
                <w:color w:val="000000"/>
                <w:lang w:val="es-ES" w:eastAsia="es-ES"/>
              </w:rPr>
            </w:pPr>
            <w:r>
              <w:rPr>
                <w:rFonts w:ascii="Verdana" w:eastAsia="Times New Roman" w:hAnsi="Verdana" w:cs="Arial"/>
                <w:lang w:eastAsia="es-ES_tradnl"/>
              </w:rPr>
              <w:t xml:space="preserve">De conformidad con lo anterior, es procedente que una persona pueda manifestarle a la entidad estatal el interés en ser tenido en cuenta para la futura contratación directa, de conformidad con la necesidad requerida por la administración y contemplada en el Plan Anual de adquisiciones.  </w:t>
            </w:r>
          </w:p>
          <w:p w14:paraId="7EE0A216" w14:textId="77777777" w:rsidR="001B6EEE" w:rsidRDefault="001B6EEE" w:rsidP="00CA221B">
            <w:pPr>
              <w:spacing w:after="120" w:line="276" w:lineRule="auto"/>
              <w:ind w:firstLine="709"/>
              <w:jc w:val="both"/>
              <w:rPr>
                <w:rFonts w:ascii="Verdana" w:eastAsia="Times New Roman" w:hAnsi="Verdana" w:cs="Arial"/>
                <w:lang w:eastAsia="es-ES_tradnl"/>
              </w:rPr>
            </w:pPr>
            <w:r>
              <w:rPr>
                <w:rFonts w:ascii="Verdana" w:eastAsia="Times New Roman" w:hAnsi="Verdana" w:cs="Arial"/>
                <w:lang w:eastAsia="es-ES_tradnl"/>
              </w:rPr>
              <w:t>Ahora bien, la entidad estatal puede tener o no en cuenta la manifestación de interés de la persona con el fin de que sea contratada, sin embargo, como se explicó en líneas anteriores, al ser un proceso de contratación no competitivo y por las características de la modalidad de selección dispuestas en la ley, no se requiere que la administración reciba manifestaciones de interés para así seleccionar al contratista. Por el contrario, es la administración quien generalmente invita a la persona a que presente su oferta, sin que exista una indebida decisión arbitraria, puesto que, aun siendo un proceso de contratación directa, se debe garantizar los principios de contratación, en especial el de transparencia y selección objetiva. Lo anterior se concreta teniendo en consideración que en los estudios previos se formulan los requisitos o exigencias necesarias para la escogencia del contratista y así satisfacer la necesidad, pues el contratista deberá estar en la capacidad de cumplir con el objeto del contrato.</w:t>
            </w:r>
          </w:p>
          <w:p w14:paraId="0AB715B7" w14:textId="77777777" w:rsidR="001B6EEE" w:rsidRDefault="001B6EEE" w:rsidP="00CA221B">
            <w:pPr>
              <w:spacing w:after="120" w:line="276" w:lineRule="auto"/>
              <w:ind w:firstLine="709"/>
              <w:jc w:val="both"/>
              <w:rPr>
                <w:rFonts w:ascii="Verdana" w:eastAsia="Times New Roman" w:hAnsi="Verdana" w:cs="Arial"/>
                <w:lang w:eastAsia="es-ES_tradnl"/>
              </w:rPr>
            </w:pPr>
            <w:r>
              <w:rPr>
                <w:rFonts w:ascii="Verdana" w:eastAsia="Times New Roman" w:hAnsi="Verdana" w:cs="Arial"/>
                <w:lang w:eastAsia="es-ES_tradnl"/>
              </w:rPr>
              <w:t xml:space="preserve">En atención a que la entidad no está obligada a tener en consideración la manifestación de interés ni a dar respuesta sobre ella, por cuanto se insiste, se trata de un proceso de contratación no competitivo, la entidad deberá dar observancia a las exigencias requeridas en los estudios previos para seleccionar al contratista que cumpla con los requisitos objetivamente decantados en los documentos del proceso de contratación. Ahora bien, en caso de que el interesado cuestione que el proceso de contratación no cumple con las exigencias de los requisitos precontractuales y se haya desconocido los principios de la contratación por parte de la entidad estatal, podrá acudir ante los entes de control – Procuraduría General de la Nación o Contraloría General de la República- con el fin de poner en conocimiento las eventuales irregularidades, así como la posibilidad de acudir ante el justicia penal para que indague las presuntas conductas punibles producto de la contratación directa.  </w:t>
            </w:r>
          </w:p>
          <w:p w14:paraId="2CC8BA5D" w14:textId="77777777" w:rsidR="001B6EEE" w:rsidRPr="0050411E" w:rsidRDefault="001B6EEE" w:rsidP="00CA221B">
            <w:pPr>
              <w:spacing w:after="120" w:line="276" w:lineRule="auto"/>
              <w:ind w:firstLine="709"/>
              <w:jc w:val="both"/>
              <w:rPr>
                <w:rFonts w:ascii="Verdana" w:eastAsia="Times New Roman" w:hAnsi="Verdana" w:cs="Arial"/>
                <w:lang w:eastAsia="es-ES_tradnl"/>
              </w:rPr>
            </w:pPr>
            <w:r>
              <w:rPr>
                <w:rFonts w:ascii="Verdana" w:eastAsia="Calibri" w:hAnsi="Verdana" w:cs="Arial"/>
              </w:rPr>
              <w:t>A</w:t>
            </w:r>
            <w:r w:rsidRPr="00E853DE">
              <w:rPr>
                <w:rFonts w:ascii="Verdana" w:eastAsia="Calibri" w:hAnsi="Verdana" w:cs="Arial"/>
                <w:bCs/>
                <w:color w:val="000000" w:themeColor="text1"/>
              </w:rPr>
              <w:t>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2BA2540F" w14:textId="77777777" w:rsidR="001B6EEE" w:rsidRPr="00BB773A" w:rsidRDefault="001B6EEE" w:rsidP="00CA221B">
            <w:pPr>
              <w:spacing w:after="120" w:line="276" w:lineRule="auto"/>
              <w:ind w:firstLine="709"/>
              <w:jc w:val="both"/>
              <w:rPr>
                <w:rFonts w:ascii="Verdana" w:eastAsia="Calibri" w:hAnsi="Verdana" w:cs="Arial"/>
              </w:rPr>
            </w:pPr>
            <w:r w:rsidRPr="00E853DE">
              <w:rPr>
                <w:rFonts w:ascii="Verdana" w:eastAsia="Calibri" w:hAnsi="Verdana" w:cs="Arial"/>
                <w:bCs/>
                <w:color w:val="000000" w:themeColor="text1"/>
              </w:rPr>
              <w:t>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tc>
      </w:tr>
    </w:tbl>
    <w:p w14:paraId="708BD68A" w14:textId="77777777" w:rsidR="001B6EEE" w:rsidRDefault="001B6EEE" w:rsidP="001B6EEE">
      <w:pPr>
        <w:tabs>
          <w:tab w:val="left" w:pos="142"/>
          <w:tab w:val="left" w:pos="284"/>
        </w:tabs>
        <w:spacing w:after="0" w:line="276" w:lineRule="auto"/>
        <w:jc w:val="both"/>
        <w:rPr>
          <w:rFonts w:ascii="Verdana" w:eastAsia="Century Gothic" w:hAnsi="Verdana" w:cs="Century Gothic"/>
          <w:b/>
          <w:bCs/>
        </w:rPr>
      </w:pPr>
    </w:p>
    <w:p w14:paraId="3FB2613F" w14:textId="77777777" w:rsidR="001B6EEE" w:rsidRPr="005644FE" w:rsidRDefault="001B6EEE" w:rsidP="001B6EEE">
      <w:pPr>
        <w:tabs>
          <w:tab w:val="left" w:pos="142"/>
          <w:tab w:val="left" w:pos="284"/>
        </w:tabs>
        <w:spacing w:after="0" w:line="276" w:lineRule="auto"/>
        <w:jc w:val="both"/>
        <w:rPr>
          <w:rFonts w:ascii="Verdana" w:eastAsia="Century Gothic" w:hAnsi="Verdana" w:cs="Century Gothic"/>
          <w:b/>
          <w:bCs/>
        </w:rPr>
      </w:pPr>
      <w:r w:rsidRPr="005644FE">
        <w:rPr>
          <w:rFonts w:ascii="Verdana" w:eastAsia="Century Gothic" w:hAnsi="Verdana" w:cs="Century Gothic"/>
          <w:b/>
          <w:bCs/>
        </w:rPr>
        <w:t>3. Razones de la respuesta:</w:t>
      </w:r>
    </w:p>
    <w:p w14:paraId="39498421" w14:textId="77777777" w:rsidR="001B6EEE" w:rsidRDefault="001B6EEE" w:rsidP="001B6EEE">
      <w:pPr>
        <w:tabs>
          <w:tab w:val="left" w:pos="142"/>
          <w:tab w:val="left" w:pos="284"/>
          <w:tab w:val="left" w:pos="6975"/>
        </w:tabs>
        <w:spacing w:after="0" w:line="276" w:lineRule="auto"/>
        <w:jc w:val="both"/>
        <w:rPr>
          <w:rFonts w:ascii="Verdana" w:eastAsia="Calibri" w:hAnsi="Verdana" w:cs="Arial"/>
        </w:rPr>
      </w:pPr>
    </w:p>
    <w:p w14:paraId="545EC273" w14:textId="77777777" w:rsidR="001B6EEE" w:rsidRDefault="001B6EEE" w:rsidP="001B6EEE">
      <w:pPr>
        <w:tabs>
          <w:tab w:val="left" w:pos="142"/>
          <w:tab w:val="left" w:pos="284"/>
          <w:tab w:val="left" w:pos="6975"/>
        </w:tabs>
        <w:spacing w:after="0" w:line="276" w:lineRule="auto"/>
        <w:jc w:val="both"/>
        <w:rPr>
          <w:rFonts w:ascii="Verdana" w:eastAsia="Calibri" w:hAnsi="Verdana" w:cs="Arial"/>
        </w:rPr>
      </w:pPr>
      <w:r w:rsidRPr="005644FE">
        <w:rPr>
          <w:rFonts w:ascii="Verdana" w:eastAsia="Calibri" w:hAnsi="Verdana" w:cs="Arial"/>
        </w:rPr>
        <w:t>Lo anterior se sustenta en las siguientes consideraciones:</w:t>
      </w:r>
    </w:p>
    <w:p w14:paraId="52569529" w14:textId="77777777" w:rsidR="001B6EEE" w:rsidRDefault="001B6EEE" w:rsidP="001B6EEE">
      <w:pPr>
        <w:tabs>
          <w:tab w:val="left" w:pos="142"/>
          <w:tab w:val="left" w:pos="284"/>
          <w:tab w:val="left" w:pos="6975"/>
        </w:tabs>
        <w:spacing w:after="0" w:line="276" w:lineRule="auto"/>
        <w:jc w:val="both"/>
        <w:rPr>
          <w:rFonts w:ascii="Verdana" w:eastAsia="Calibri" w:hAnsi="Verdana" w:cs="Arial"/>
        </w:rPr>
      </w:pPr>
    </w:p>
    <w:p w14:paraId="5EA52880" w14:textId="77777777" w:rsidR="001B6EEE" w:rsidRDefault="001B6EEE" w:rsidP="001B6EEE">
      <w:pPr>
        <w:tabs>
          <w:tab w:val="left" w:pos="142"/>
          <w:tab w:val="left" w:pos="284"/>
          <w:tab w:val="left" w:pos="6975"/>
        </w:tabs>
        <w:spacing w:after="120" w:line="276" w:lineRule="auto"/>
        <w:jc w:val="both"/>
        <w:rPr>
          <w:rFonts w:ascii="Verdana" w:eastAsia="Calibri" w:hAnsi="Verdana" w:cs="Arial"/>
          <w:lang w:val="es-ES"/>
        </w:rPr>
      </w:pPr>
      <w:r w:rsidRPr="008B5424">
        <w:rPr>
          <w:rFonts w:ascii="Verdana" w:eastAsia="Calibri" w:hAnsi="Verdana" w:cs="Arial"/>
        </w:rPr>
        <w:t xml:space="preserve">i) </w:t>
      </w:r>
      <w:r w:rsidRPr="008B5424">
        <w:rPr>
          <w:rFonts w:ascii="Verdana" w:eastAsia="Calibri" w:hAnsi="Verdana" w:cs="Arial"/>
          <w:lang w:val="es-ES"/>
        </w:rPr>
        <w:t xml:space="preserve">El Plan Anual de Adquisiciones </w:t>
      </w:r>
      <w:r w:rsidRPr="00F50E68">
        <w:rPr>
          <w:rFonts w:ascii="Verdana" w:eastAsia="Calibri" w:hAnsi="Verdana" w:cs="Arial"/>
        </w:rPr>
        <w:t>un instrumento de planificación y orientación de la contratación de las Entidades Estatales, diseñado para identificar las necesidades de contratación, en el que se incluyen, de manera estimativa, los bienes, obras y servicios que la Administración Pública está interesada en adquirir para determinada vigencia</w:t>
      </w:r>
      <w:r>
        <w:rPr>
          <w:rFonts w:ascii="Verdana" w:eastAsia="Calibri" w:hAnsi="Verdana" w:cs="Arial"/>
        </w:rPr>
        <w:t xml:space="preserve">. </w:t>
      </w:r>
      <w:r w:rsidRPr="00F50E68">
        <w:rPr>
          <w:rFonts w:ascii="Verdana" w:eastAsia="Calibri" w:hAnsi="Verdana" w:cs="Arial"/>
        </w:rPr>
        <w:t>Sin perjuicio de lo anterior, el PAA no restringe las decisiones en la contratación que habrán de adoptarse dentro de la anualidad respectiva, por lo que se considera un documento de carácter estimativo que tiene entre otras finalidades, la de “servir como referente inicial para evaluar la ejecución de presupuesto y pronosticar la demanda de bienes y servicios de la entidad durante el año referido del plan</w:t>
      </w:r>
      <w:r>
        <w:rPr>
          <w:rStyle w:val="Refdenotaalpie"/>
          <w:rFonts w:ascii="Verdana" w:eastAsia="Calibri" w:hAnsi="Verdana" w:cs="Arial"/>
          <w:lang w:val="es-ES"/>
        </w:rPr>
        <w:footnoteReference w:id="1"/>
      </w:r>
      <w:r w:rsidRPr="008B5424">
        <w:rPr>
          <w:rFonts w:ascii="Verdana" w:eastAsia="Calibri" w:hAnsi="Verdana" w:cs="Arial"/>
          <w:lang w:val="es-ES"/>
        </w:rPr>
        <w:t xml:space="preserve">. </w:t>
      </w:r>
    </w:p>
    <w:p w14:paraId="010F91D7" w14:textId="77777777" w:rsidR="001B6EEE" w:rsidRPr="00F50E68" w:rsidRDefault="001B6EEE" w:rsidP="001B6EEE">
      <w:pPr>
        <w:tabs>
          <w:tab w:val="left" w:pos="142"/>
          <w:tab w:val="left" w:pos="284"/>
          <w:tab w:val="left" w:pos="6975"/>
        </w:tabs>
        <w:spacing w:after="120" w:line="276" w:lineRule="auto"/>
        <w:ind w:firstLine="142"/>
        <w:jc w:val="both"/>
        <w:rPr>
          <w:rFonts w:ascii="Verdana" w:eastAsia="Calibri" w:hAnsi="Verdana" w:cs="Arial"/>
          <w:lang w:val="es-ES"/>
        </w:rPr>
      </w:pPr>
      <w:r>
        <w:rPr>
          <w:rFonts w:ascii="Verdana" w:eastAsia="Calibri" w:hAnsi="Verdana" w:cs="Arial"/>
          <w:lang w:val="es-ES"/>
        </w:rPr>
        <w:t xml:space="preserve">        </w:t>
      </w:r>
      <w:r w:rsidRPr="00F50E68">
        <w:rPr>
          <w:rFonts w:ascii="Verdana" w:eastAsia="Calibri" w:hAnsi="Verdana" w:cs="Arial"/>
          <w:lang w:val="es-ES"/>
        </w:rPr>
        <w:t xml:space="preserve">De acuerdo con el artículo </w:t>
      </w:r>
      <w:r w:rsidRPr="002A0C19">
        <w:rPr>
          <w:rFonts w:ascii="Verdana" w:eastAsia="Calibri" w:hAnsi="Verdana" w:cs="Arial"/>
          <w:lang w:val="es-ES"/>
        </w:rPr>
        <w:t>2.2.1.1.1.3.1 del Decreto 1082 de 2015, el PAA es el plan general de compras al que se refiere el artículo 74 de la Ley 1474 de 2011 y el plan de compras al que se refiere la Ley Anual de Presupuesto. Asimismo, el artículo 2.1.1.1.3.1 del Decreto 1082 de 2015 lo define como un instrumento de planeación contractual que las Entidades Estatales debe diligenciar, publicar y actualizar.</w:t>
      </w:r>
      <w:r w:rsidRPr="00F50E68">
        <w:rPr>
          <w:rFonts w:ascii="Verdana" w:eastAsia="Calibri" w:hAnsi="Verdana" w:cs="Arial"/>
          <w:lang w:val="es-ES"/>
        </w:rPr>
        <w:t xml:space="preserve"> En particular, el artículo 74 de la Ley 1474 de 2011 dispone que “todas las entidades del Estado” deben publicar, a más tardar el 31</w:t>
      </w:r>
      <w:r w:rsidRPr="002A0C19">
        <w:rPr>
          <w:rFonts w:ascii="Verdana" w:eastAsia="Calibri" w:hAnsi="Verdana" w:cs="Arial"/>
          <w:lang w:val="es-ES"/>
        </w:rPr>
        <w:t xml:space="preserve"> de enero de cada año, en su respectiva página web, el plan de acción, en el cual se incluye el plan general de compras</w:t>
      </w:r>
      <w:r w:rsidRPr="002A0C19">
        <w:rPr>
          <w:rFonts w:ascii="Verdana" w:eastAsia="Calibri" w:hAnsi="Verdana" w:cs="Arial"/>
          <w:vertAlign w:val="superscript"/>
          <w:lang w:val="es-ES"/>
        </w:rPr>
        <w:footnoteReference w:id="2"/>
      </w:r>
      <w:r w:rsidRPr="002A0C19">
        <w:rPr>
          <w:rFonts w:ascii="Verdana" w:eastAsia="Calibri" w:hAnsi="Verdana" w:cs="Arial"/>
          <w:lang w:val="es-ES"/>
        </w:rPr>
        <w:t>. Como ya se indicó, el plan general de compras para el ordenamiento vigente corresponde con el concepto de Plan Anual de</w:t>
      </w:r>
      <w:r w:rsidRPr="00F50E68">
        <w:rPr>
          <w:rFonts w:ascii="Verdana" w:eastAsia="Calibri" w:hAnsi="Verdana" w:cs="Arial"/>
          <w:lang w:val="es-ES_tradnl"/>
        </w:rPr>
        <w:t xml:space="preserve"> Adquisiciones como lo establece el artículo 2.2.1.1.1.3.1. del Decreto 1082 de 2015</w:t>
      </w:r>
      <w:r w:rsidRPr="00F50E68">
        <w:rPr>
          <w:rFonts w:ascii="Verdana" w:eastAsia="Calibri" w:hAnsi="Verdana" w:cs="Arial"/>
          <w:vertAlign w:val="superscript"/>
          <w:lang w:val="es-ES_tradnl"/>
        </w:rPr>
        <w:footnoteReference w:id="3"/>
      </w:r>
      <w:r w:rsidRPr="00F50E68">
        <w:rPr>
          <w:rFonts w:ascii="Verdana" w:eastAsia="Calibri" w:hAnsi="Verdana" w:cs="Arial"/>
          <w:lang w:val="es-ES_tradnl"/>
        </w:rPr>
        <w:t xml:space="preserve">.  </w:t>
      </w:r>
    </w:p>
    <w:p w14:paraId="4D5AA8B1" w14:textId="77777777" w:rsidR="001B6EEE" w:rsidRPr="002A0C19" w:rsidRDefault="001B6EEE" w:rsidP="001B6EEE">
      <w:pPr>
        <w:tabs>
          <w:tab w:val="left" w:pos="0"/>
        </w:tabs>
        <w:spacing w:line="276" w:lineRule="auto"/>
        <w:jc w:val="both"/>
        <w:rPr>
          <w:rStyle w:val="normaltextrun"/>
          <w:rFonts w:ascii="Verdana" w:eastAsia="Calibri" w:hAnsi="Verdana" w:cs="Arial"/>
          <w:lang w:val="es-ES"/>
        </w:rPr>
      </w:pPr>
      <w:r w:rsidRPr="00F50E68">
        <w:rPr>
          <w:rFonts w:ascii="Verdana" w:eastAsia="Calibri" w:hAnsi="Verdana" w:cs="Arial"/>
          <w:lang w:val="es-ES"/>
        </w:rPr>
        <w:tab/>
        <w:t xml:space="preserve">Además, de acuerdo con el artículo </w:t>
      </w:r>
      <w:r w:rsidRPr="00F50E68">
        <w:rPr>
          <w:rFonts w:ascii="Verdana" w:eastAsia="Calibri" w:hAnsi="Verdana" w:cs="Arial"/>
          <w:lang w:val="es-ES_tradnl"/>
        </w:rPr>
        <w:t>2.2.1.1.1.4.3 ibidem</w:t>
      </w:r>
      <w:r w:rsidRPr="00F50E68">
        <w:rPr>
          <w:rFonts w:ascii="Verdana" w:eastAsia="Calibri" w:hAnsi="Verdana" w:cs="Arial"/>
          <w:i/>
          <w:iCs/>
          <w:lang w:val="es-ES_tradnl"/>
        </w:rPr>
        <w:t xml:space="preserve">, </w:t>
      </w:r>
      <w:r w:rsidRPr="00F50E68">
        <w:rPr>
          <w:rFonts w:ascii="Verdana" w:eastAsia="Calibri" w:hAnsi="Verdana" w:cs="Arial"/>
          <w:lang w:val="es-ES_tradnl"/>
        </w:rPr>
        <w:t>el PAA también debe publicarse en el SECOP</w:t>
      </w:r>
      <w:r w:rsidRPr="00F50E68">
        <w:rPr>
          <w:rFonts w:ascii="Verdana" w:eastAsia="Calibri" w:hAnsi="Verdana" w:cs="Arial"/>
          <w:vertAlign w:val="superscript"/>
        </w:rPr>
        <w:footnoteReference w:id="4"/>
      </w:r>
      <w:r w:rsidRPr="00F50E68">
        <w:rPr>
          <w:rFonts w:ascii="Verdana" w:eastAsia="Calibri" w:hAnsi="Verdana" w:cs="Arial"/>
          <w:lang w:val="es-ES"/>
        </w:rPr>
        <w:t>. Se trata de una obligación que involucra a todas las Entidades del Estado sin importar la rama a la cual pertenecen, o si se trata de entidades descentralizadas territorialmente o por servicios; las empresas del Estado y las sociedades en las que el Estado tenga participación, sin que importe su monto.</w:t>
      </w:r>
    </w:p>
    <w:p w14:paraId="2A066200" w14:textId="77777777" w:rsidR="001B6EEE" w:rsidRPr="00F50E68" w:rsidRDefault="001B6EEE" w:rsidP="001B6EEE">
      <w:pPr>
        <w:spacing w:before="120" w:after="0" w:line="276" w:lineRule="auto"/>
        <w:ind w:firstLine="708"/>
        <w:jc w:val="both"/>
        <w:rPr>
          <w:rFonts w:ascii="Verdana" w:hAnsi="Verdana" w:cs="Arial"/>
          <w:lang w:val="es-ES"/>
        </w:rPr>
      </w:pPr>
      <w:r w:rsidRPr="00F50E68">
        <w:rPr>
          <w:rFonts w:ascii="Verdana" w:hAnsi="Verdana" w:cs="Arial"/>
          <w:lang w:val="es-ES"/>
        </w:rPr>
        <w:t>Adicionalmente se aclara, que los sujetos que no contratan con cargo a recursos públicos no están obligados a publicarlo, mientras que aquellos que contratan tanto con cargo a recursos públicos como con aquellos que no tienen esta naturaleza, solamente están obligados a publicar el PAA para los recursos de carácter público que se ejecutarán duranta la vigencia fiscal.</w:t>
      </w:r>
    </w:p>
    <w:p w14:paraId="51EA54D1" w14:textId="77777777" w:rsidR="001B6EEE" w:rsidRPr="00F50E68" w:rsidRDefault="001B6EEE" w:rsidP="001B6EEE">
      <w:pPr>
        <w:spacing w:before="120" w:after="120" w:line="276" w:lineRule="auto"/>
        <w:jc w:val="both"/>
        <w:rPr>
          <w:rFonts w:ascii="Verdana" w:eastAsia="Calibri" w:hAnsi="Verdana" w:cs="Arial"/>
          <w:sz w:val="24"/>
          <w:szCs w:val="24"/>
          <w:lang w:val="es-ES" w:eastAsia="es-ES_tradnl"/>
        </w:rPr>
      </w:pPr>
      <w:r w:rsidRPr="00F50E68">
        <w:rPr>
          <w:rFonts w:ascii="Verdana" w:eastAsia="Calibri" w:hAnsi="Verdana" w:cs="Arial"/>
          <w:lang w:val="es-ES"/>
        </w:rPr>
        <w:tab/>
      </w:r>
      <w:r w:rsidRPr="00F50E68">
        <w:rPr>
          <w:rStyle w:val="normaltextrun"/>
          <w:rFonts w:ascii="Verdana" w:hAnsi="Verdana" w:cs="Arial"/>
          <w:lang w:val="es-ES"/>
        </w:rPr>
        <w:t>Teniendo en claro lo anterior, el artículo 2.2.1.1.1.4.1 del Decreto 1082 de 2015 establece el deber de elaborar el PAA, que debe contener un listado de lo que la entidad adquirirá durante el año, para satisfacer su necesidad de bienes, obras o servicios, y que debe tener la información desagregada, principalmente en los siguientes aspectos</w:t>
      </w:r>
      <w:r w:rsidRPr="00F50E68">
        <w:rPr>
          <w:rFonts w:ascii="Verdana" w:eastAsia="Calibri" w:hAnsi="Verdana" w:cs="Arial"/>
          <w:lang w:val="es-ES" w:eastAsia="es-ES_tradnl"/>
        </w:rPr>
        <w:t>: i) identificación con el clasificador de bienes y servicios, ii) valor estimado del contrato, iii) tipo de recursos, iv) modalidad de selección y v) fecha de inicio del proceso contractual</w:t>
      </w:r>
      <w:r w:rsidRPr="00F50E68">
        <w:rPr>
          <w:rFonts w:ascii="Verdana" w:eastAsia="Calibri" w:hAnsi="Verdana" w:cs="Arial"/>
          <w:vertAlign w:val="superscript"/>
          <w:lang w:eastAsia="es-ES_tradnl"/>
        </w:rPr>
        <w:footnoteReference w:id="5"/>
      </w:r>
      <w:r w:rsidRPr="00F50E68">
        <w:rPr>
          <w:rFonts w:ascii="Verdana" w:eastAsia="Calibri" w:hAnsi="Verdana" w:cs="Arial"/>
          <w:lang w:val="es-ES" w:eastAsia="es-ES_tradnl"/>
        </w:rPr>
        <w:t>.</w:t>
      </w:r>
    </w:p>
    <w:p w14:paraId="25C4C652" w14:textId="77777777" w:rsidR="001B6EEE" w:rsidRPr="00F50E68" w:rsidRDefault="001B6EEE" w:rsidP="001B6EEE">
      <w:pPr>
        <w:tabs>
          <w:tab w:val="left" w:pos="0"/>
        </w:tabs>
        <w:spacing w:line="276" w:lineRule="auto"/>
        <w:jc w:val="both"/>
        <w:rPr>
          <w:rFonts w:ascii="Verdana" w:eastAsia="Calibri" w:hAnsi="Verdana" w:cs="Arial"/>
          <w:lang w:val="es-ES"/>
        </w:rPr>
      </w:pPr>
      <w:r w:rsidRPr="00F50E68">
        <w:rPr>
          <w:rFonts w:ascii="Verdana" w:eastAsia="Calibri" w:hAnsi="Verdana" w:cs="Arial"/>
          <w:lang w:val="es-ES"/>
        </w:rPr>
        <w:tab/>
        <w:t>Con relación a la configuración de dicho listado, en primer lugar, es necesario resaltar que el objetivo del PAA es indicar los bienes, obras y servicios que la entidad pretende adquirir, sin consideración a la forma en que estos se obtendrán, pues es el criterio de necesidad de aquellos el que fundamenta la inclusión o no en la lista del plan y no el carácter pecuniario de este ni su modalidad de contratación. Por tanto, bastará con que la entidad identifique la necesidad contractual para que deba incluirlo en el listado.</w:t>
      </w:r>
    </w:p>
    <w:p w14:paraId="08F8FCF4" w14:textId="77777777" w:rsidR="001B6EEE" w:rsidRPr="00F50E68" w:rsidRDefault="001B6EEE" w:rsidP="001B6EEE">
      <w:pPr>
        <w:spacing w:after="120" w:line="276" w:lineRule="auto"/>
        <w:ind w:firstLine="703"/>
        <w:jc w:val="both"/>
        <w:textAlignment w:val="baseline"/>
        <w:rPr>
          <w:rFonts w:ascii="Verdana" w:eastAsia="Times New Roman" w:hAnsi="Verdana" w:cs="Segoe UI"/>
          <w:lang w:eastAsia="es-CO"/>
        </w:rPr>
      </w:pPr>
      <w:r w:rsidRPr="00F50E68">
        <w:rPr>
          <w:rFonts w:ascii="Verdana" w:eastAsia="Times New Roman" w:hAnsi="Verdana" w:cs="Arial"/>
          <w:lang w:val="es-ES" w:eastAsia="es-CO"/>
        </w:rPr>
        <w:t>Un interrogante surge de lo anterior: ¿cómo puede la entidad definir si debe o no incluir un bien, obra o servicio en el plan? Basta consultar el artículo 2.2.1.1.1.4.1. del Decreto 1082 de 2015, donde señala que “[…] las entidades deben elaborar un plan anual de adquisiciones, el cual debe contener la lista de bienes, obras y servicios que pretenden adquirir durante el año”. Este aparte permite extraer el contenido esencialísimo del mismo, pues los enlista como requisitos mínimos del plan. Luego, la norma establece el deber de incluir otra información:  “[…] la Entidad Estatal debe señalar la necesidad y cuando conoce el bien, obra o servicio que satisface esa necesidad debe identificarlo utilizando el Clasificador de Bienes y Servicios, e indicar el valor estimado del contrato, el tipo de recursos con cargo a los cuales la Entidad Estatal pagará el bien, obra o servicio, la modalidad de selección del contratista, y la fecha aproximada en la cual la Entidad Estatal iniciará el Proceso de Contratación”, que no siendo menos importante es complementaria y descriptiva de la información esencialísima del plan, como se explicará a continuación. </w:t>
      </w:r>
      <w:r w:rsidRPr="00F50E68">
        <w:rPr>
          <w:rFonts w:ascii="Verdana" w:eastAsia="Times New Roman" w:hAnsi="Verdana" w:cs="Arial"/>
          <w:lang w:eastAsia="es-CO"/>
        </w:rPr>
        <w:t> </w:t>
      </w:r>
    </w:p>
    <w:p w14:paraId="530CC2DA" w14:textId="77777777" w:rsidR="001B6EEE" w:rsidRPr="00F50E68" w:rsidRDefault="001B6EEE" w:rsidP="001B6EEE">
      <w:pPr>
        <w:spacing w:after="120" w:line="276" w:lineRule="auto"/>
        <w:ind w:firstLine="703"/>
        <w:jc w:val="both"/>
        <w:textAlignment w:val="baseline"/>
        <w:rPr>
          <w:rFonts w:ascii="Verdana" w:eastAsia="Times New Roman" w:hAnsi="Verdana" w:cs="Segoe UI"/>
          <w:lang w:eastAsia="es-CO"/>
        </w:rPr>
      </w:pPr>
      <w:r w:rsidRPr="00F50E68">
        <w:rPr>
          <w:rFonts w:ascii="Verdana" w:eastAsia="Times New Roman" w:hAnsi="Verdana" w:cs="Arial"/>
          <w:lang w:val="es-ES" w:eastAsia="es-CO"/>
        </w:rPr>
        <w:t>La norma citada en el párrafo precedente dispone que el PAA tiene un contenido esencial –la lista de bienes, obras y servicios que la entidad pretenda adquirir– y otro que es obligatorio incluirlo pero que es complementario y descriptivo de lo esencial –valor del contrato, modalidad de selección, tipo de recursos, etc.–. A partir de esta clasificación se infiere su finalidad y el criterio rector para que, en cada caso, la entidad resuelva cómo se define si un bien, obra o servicio se incluye o no en el plan. </w:t>
      </w:r>
      <w:r w:rsidRPr="00F50E68">
        <w:rPr>
          <w:rFonts w:ascii="Verdana" w:eastAsia="Times New Roman" w:hAnsi="Verdana" w:cs="Arial"/>
          <w:lang w:eastAsia="es-CO"/>
        </w:rPr>
        <w:t> </w:t>
      </w:r>
    </w:p>
    <w:p w14:paraId="2B9C1776" w14:textId="77777777" w:rsidR="001B6EEE" w:rsidRPr="002A0C19" w:rsidRDefault="001B6EEE" w:rsidP="001B6EEE">
      <w:pPr>
        <w:spacing w:after="120" w:line="276" w:lineRule="auto"/>
        <w:ind w:firstLine="703"/>
        <w:jc w:val="both"/>
        <w:rPr>
          <w:rFonts w:ascii="Verdana" w:eastAsia="Times New Roman" w:hAnsi="Verdana" w:cs="Arial"/>
          <w:lang w:val="es-ES" w:eastAsia="es-CO"/>
        </w:rPr>
      </w:pPr>
      <w:r w:rsidRPr="00F50E68">
        <w:rPr>
          <w:rFonts w:ascii="Verdana" w:eastAsia="Times New Roman" w:hAnsi="Verdana" w:cs="Arial"/>
          <w:lang w:val="es-ES" w:eastAsia="es-ES_tradnl"/>
        </w:rPr>
        <w:t>Del primer aparte de la norma, se observa que su finalidad es clara: todos los bienes, obras o servicios que la entidad tenga intención de adquirir deben incluirse en el plan. Es decir, la obligación de incluir un contenido específico en el plan se fundamenta únicamente en que se trate de un bien, obra o servicio que la entidad pretenda adquirir</w:t>
      </w:r>
      <w:r w:rsidRPr="00F50E68">
        <w:rPr>
          <w:rFonts w:ascii="Verdana" w:eastAsia="Times New Roman" w:hAnsi="Verdana" w:cs="Arial"/>
          <w:i/>
          <w:iCs/>
          <w:lang w:val="es-ES" w:eastAsia="es-ES_tradnl"/>
        </w:rPr>
        <w:t>.</w:t>
      </w:r>
      <w:r w:rsidRPr="00F50E68">
        <w:rPr>
          <w:rFonts w:ascii="Verdana" w:eastAsia="Times New Roman" w:hAnsi="Verdana" w:cs="Arial"/>
          <w:lang w:val="es-ES" w:eastAsia="es-CO"/>
        </w:rPr>
        <w:t xml:space="preserve"> Adicionalmente, cuando el primer aparte señala que el plan “[…] deberá contener la lista de bienes, obras y servicios que pretenden adquirir durante un año”, es claro que adquirir es el elemento determinante para concluir que se debe enlistar un bien, obra o servicio en el plan. Esto, a pesar de que la misma disposición establezca otra información adicional que debe incluir este documento –modalidad, valor estimado–, pero que resulta ser complementaria o descriptiva a la señalada como información mínima o esencialísima del plan. </w:t>
      </w:r>
    </w:p>
    <w:p w14:paraId="1E3CE3C9" w14:textId="77777777" w:rsidR="001B6EEE" w:rsidRPr="00F50E68" w:rsidRDefault="001B6EEE" w:rsidP="001B6EEE">
      <w:pPr>
        <w:spacing w:before="120" w:after="120" w:line="276" w:lineRule="auto"/>
        <w:jc w:val="both"/>
        <w:rPr>
          <w:rFonts w:ascii="Verdana" w:eastAsia="Calibri" w:hAnsi="Verdana" w:cs="Arial"/>
        </w:rPr>
      </w:pPr>
      <w:r w:rsidRPr="00F50E68">
        <w:rPr>
          <w:rFonts w:ascii="Verdana" w:eastAsia="Calibri" w:hAnsi="Verdana" w:cs="Arial"/>
        </w:rPr>
        <w:tab/>
        <w:t xml:space="preserve">En ese orden, se considera que el PAA es un instrumento de planificación y orientación de las Entidades Estatales, establecido para identificar las necesidades de contratación, en el que se incluyen, de manera estimativa, los bienes, obras y servicios que la Administración está interesada en adquirir, pero que de ninguna manera restringe las decisiones en la contratación, que habrán de adoptarse dentro de la anualidad respectiva. </w:t>
      </w:r>
    </w:p>
    <w:p w14:paraId="20FB484C" w14:textId="77777777" w:rsidR="001B6EEE" w:rsidRDefault="001B6EEE" w:rsidP="001B6EEE">
      <w:pPr>
        <w:spacing w:after="120" w:line="276" w:lineRule="auto"/>
        <w:ind w:firstLine="709"/>
        <w:jc w:val="both"/>
        <w:rPr>
          <w:rFonts w:ascii="Verdana" w:eastAsia="Calibri" w:hAnsi="Verdana" w:cs="Arial"/>
          <w:lang w:eastAsia="es-ES_tradnl"/>
        </w:rPr>
      </w:pPr>
      <w:r w:rsidRPr="00F50E68">
        <w:rPr>
          <w:rFonts w:ascii="Verdana" w:eastAsia="Times New Roman" w:hAnsi="Verdana" w:cs="Arial"/>
          <w:lang w:eastAsia="es-ES_tradnl"/>
        </w:rPr>
        <w:t xml:space="preserve">Adicionalmente, vale la pena aclarar que pese a que </w:t>
      </w:r>
      <w:r w:rsidRPr="00F50E68">
        <w:rPr>
          <w:rFonts w:ascii="Verdana" w:eastAsia="Calibri" w:hAnsi="Verdana" w:cs="Arial"/>
          <w:lang w:eastAsia="es-ES_tradnl"/>
        </w:rPr>
        <w:t xml:space="preserve">el PAA es un instrumento de planeación, no es el único documento a través del cual se materializa la planeación en un proceso de contratación, el cual también debe atender a los demás instrumentos generales de planeación que obligan a la entidad contratante –por ejemplo, planes de desarrollo nacionales, presupuestos plurianuales, planes territoriales, etc.–, además de requerir la expedición de los estudios técnicos, jurídicos y/o financieros necesarios, según el caso, para determinar la conveniencia y la legalidad de la contratación–art. 25 de la Ley 80 de 1993– , los estudios previos y el análisis del sector relativo a la contratación que se pretende adelantar –2.2.1.1.2.1.1 y 2.2.1.1.1.6.1 del Decreto 1082 de 2015–.  </w:t>
      </w:r>
    </w:p>
    <w:p w14:paraId="631160E0" w14:textId="77777777" w:rsidR="001B6EEE" w:rsidRPr="006A0F21" w:rsidRDefault="001B6EEE" w:rsidP="001B6EEE">
      <w:pPr>
        <w:spacing w:after="120" w:line="276" w:lineRule="auto"/>
        <w:jc w:val="both"/>
        <w:rPr>
          <w:rFonts w:ascii="Verdana" w:eastAsia="Calibri" w:hAnsi="Verdana" w:cs="Arial"/>
          <w:lang w:val="es-ES" w:eastAsia="es-ES_tradnl"/>
        </w:rPr>
      </w:pPr>
      <w:r>
        <w:rPr>
          <w:rFonts w:ascii="Verdana" w:eastAsia="Calibri" w:hAnsi="Verdana" w:cs="Arial"/>
          <w:lang w:eastAsia="es-ES_tradnl"/>
        </w:rPr>
        <w:t xml:space="preserve">ii) </w:t>
      </w:r>
      <w:r w:rsidRPr="006A0F21">
        <w:rPr>
          <w:rFonts w:ascii="Verdana" w:eastAsia="Calibri" w:hAnsi="Verdana" w:cs="Arial"/>
          <w:lang w:eastAsia="es-ES_tradnl"/>
        </w:rPr>
        <w:t xml:space="preserve">La Ley 1150 de 2007, en el artículo 2, establece 5 modalidades de selección para la escogencia del contratista, y fija las reglas de cada modalidad: licitación pública, selección abreviada, concurso de méritos, mínima cuantía y contratación directa. </w:t>
      </w:r>
    </w:p>
    <w:p w14:paraId="2CBE6657" w14:textId="77777777" w:rsidR="001B6EEE" w:rsidRPr="006A0F21" w:rsidRDefault="001B6EEE" w:rsidP="001B6EEE">
      <w:pPr>
        <w:spacing w:after="120" w:line="276" w:lineRule="auto"/>
        <w:ind w:firstLine="709"/>
        <w:jc w:val="both"/>
        <w:rPr>
          <w:rFonts w:ascii="Verdana" w:eastAsia="Calibri" w:hAnsi="Verdana" w:cs="Arial"/>
          <w:lang w:eastAsia="es-ES_tradnl"/>
        </w:rPr>
      </w:pPr>
      <w:r w:rsidRPr="006A0F21">
        <w:rPr>
          <w:rFonts w:ascii="Verdana" w:eastAsia="Calibri" w:hAnsi="Verdana" w:cs="Arial"/>
          <w:lang w:eastAsia="es-ES_tradnl"/>
        </w:rPr>
        <w:t>Ahora bien, las modalidades de selección pueden dividirse doctrinariamente en i) competitivas y ii) no competitivas. La Guía de competencia en las compras públicas</w:t>
      </w:r>
      <w:r>
        <w:rPr>
          <w:rStyle w:val="Refdenotaalpie"/>
          <w:rFonts w:ascii="Verdana" w:eastAsia="Calibri" w:hAnsi="Verdana" w:cs="Arial"/>
          <w:lang w:eastAsia="es-ES_tradnl"/>
        </w:rPr>
        <w:footnoteReference w:id="6"/>
      </w:r>
      <w:r w:rsidRPr="006A0F21">
        <w:rPr>
          <w:rFonts w:ascii="Verdana" w:eastAsia="Calibri" w:hAnsi="Verdana" w:cs="Arial"/>
          <w:lang w:eastAsia="es-ES_tradnl"/>
        </w:rPr>
        <w:t xml:space="preserve"> de la Agencia Nacional de Contratación Pública – Colombia Compra Eficiente señala que: “[…] la competencia, entendida como rivalidad efectiva entre empresas de un mismo mercado, incentiva la reducción de precios, el aumento de la calidad, la lucha contra la corrupción y la innovación por parte del sector privado”</w:t>
      </w:r>
      <w:r w:rsidRPr="006A0F21">
        <w:rPr>
          <w:rFonts w:ascii="Verdana" w:eastAsia="Calibri" w:hAnsi="Verdana" w:cs="Arial"/>
          <w:vertAlign w:val="superscript"/>
          <w:lang w:eastAsia="es-ES_tradnl"/>
        </w:rPr>
        <w:footnoteReference w:id="7"/>
      </w:r>
      <w:r w:rsidRPr="006A0F21">
        <w:rPr>
          <w:rFonts w:ascii="Verdana" w:eastAsia="Calibri" w:hAnsi="Verdana" w:cs="Arial"/>
          <w:lang w:eastAsia="es-ES_tradnl"/>
        </w:rPr>
        <w:t xml:space="preserve">. </w:t>
      </w:r>
    </w:p>
    <w:p w14:paraId="1F68DFD7" w14:textId="77777777" w:rsidR="001B6EEE" w:rsidRPr="006A0F21" w:rsidRDefault="001B6EEE" w:rsidP="001B6EEE">
      <w:pPr>
        <w:spacing w:after="120" w:line="276" w:lineRule="auto"/>
        <w:ind w:firstLine="709"/>
        <w:jc w:val="both"/>
        <w:rPr>
          <w:rFonts w:ascii="Verdana" w:eastAsia="Calibri" w:hAnsi="Verdana" w:cs="Arial"/>
          <w:lang w:eastAsia="es-ES_tradnl"/>
        </w:rPr>
      </w:pPr>
      <w:r w:rsidRPr="006A0F21">
        <w:rPr>
          <w:rFonts w:ascii="Verdana" w:eastAsia="Calibri" w:hAnsi="Verdana" w:cs="Arial"/>
          <w:lang w:eastAsia="es-ES_tradnl"/>
        </w:rPr>
        <w:t xml:space="preserve">Por tanto, modalidades como la licitación pública, la selección abreviada, el concurso de méritos y la mínima cuantía son modalidades de selección competitivas o abiertas a competencia, ya que en ellas tiene lugar la participación de varios proponentes en una fase pública de presentación de ofertas. Esto permite que todas las personas interesadas concurran al proceso en igualdad de condiciones y compitan en el mismo. </w:t>
      </w:r>
    </w:p>
    <w:p w14:paraId="155FF27B" w14:textId="77777777" w:rsidR="001B6EEE" w:rsidRPr="006A0F21" w:rsidRDefault="001B6EEE" w:rsidP="001B6EEE">
      <w:pPr>
        <w:spacing w:after="120" w:line="276" w:lineRule="auto"/>
        <w:ind w:firstLine="709"/>
        <w:jc w:val="both"/>
        <w:rPr>
          <w:rFonts w:ascii="Verdana" w:eastAsia="Calibri" w:hAnsi="Verdana" w:cs="Arial"/>
          <w:lang w:eastAsia="es-ES_tradnl"/>
        </w:rPr>
      </w:pPr>
      <w:r w:rsidRPr="006A0F21">
        <w:rPr>
          <w:rFonts w:ascii="Verdana" w:eastAsia="Calibri" w:hAnsi="Verdana" w:cs="Arial"/>
          <w:lang w:eastAsia="es-ES_tradnl"/>
        </w:rPr>
        <w:t>Lo contrario ocurre con la modalidad de selección de contratación directa que no es competitiva, es decir, que no es abierta a los proponentes para que los interesados presenten sus ofertas. En esta, es la entidad la que determina, de forma directa, la persona que puede participar y que será seleccionada.</w:t>
      </w:r>
    </w:p>
    <w:p w14:paraId="1CE61514" w14:textId="77777777" w:rsidR="001B6EEE" w:rsidRPr="006A0F21" w:rsidRDefault="001B6EEE" w:rsidP="001B6EEE">
      <w:pPr>
        <w:spacing w:after="120" w:line="276" w:lineRule="auto"/>
        <w:ind w:firstLine="708"/>
        <w:jc w:val="both"/>
        <w:rPr>
          <w:rFonts w:ascii="Verdana" w:eastAsia="Calibri" w:hAnsi="Verdana" w:cs="Arial"/>
          <w:lang w:eastAsia="es-ES_tradnl"/>
        </w:rPr>
      </w:pPr>
      <w:r w:rsidRPr="006A0F21">
        <w:rPr>
          <w:rFonts w:ascii="Verdana" w:eastAsia="Calibri" w:hAnsi="Verdana" w:cs="Arial"/>
          <w:lang w:eastAsia="es-ES_tradnl"/>
        </w:rPr>
        <w:t xml:space="preserve">Lo anterior se complementa con lo expuesto por la Corte Constitucional, en Sentencia C-713 de 2009, que estudió la constitucionalidad de los artículos 2 –parcial– y 5 –parcial– de la Ley 1150 de 2007. En la decisión judicial mencionada analizó los principios de libre concurrencia y selección objetiva en la contratación pública, como expresiones del derecho a la igualdad de oportunidades para quienes tengan interés en participar en la contratación estatal. </w:t>
      </w:r>
    </w:p>
    <w:p w14:paraId="41C3632D" w14:textId="77777777" w:rsidR="001B6EEE" w:rsidRPr="006A0F21" w:rsidRDefault="001B6EEE" w:rsidP="001B6EEE">
      <w:pPr>
        <w:spacing w:after="120" w:line="276" w:lineRule="auto"/>
        <w:ind w:firstLine="708"/>
        <w:jc w:val="both"/>
        <w:rPr>
          <w:rFonts w:ascii="Verdana" w:eastAsia="Calibri" w:hAnsi="Verdana" w:cs="Arial"/>
          <w:lang w:eastAsia="es-ES_tradnl"/>
        </w:rPr>
      </w:pPr>
      <w:r w:rsidRPr="006A0F21">
        <w:rPr>
          <w:rFonts w:ascii="Verdana" w:eastAsia="Calibri" w:hAnsi="Verdana" w:cs="Arial"/>
          <w:lang w:eastAsia="es-ES_tradnl"/>
        </w:rPr>
        <w:t>Esos principios se manifiestan en que no exista discriminación y en que las entidades no impongan limitaciones mediante reglas que impidan la concurrencia para obtener mejores condiciones de contratación. Esto permite excepciones que busquen condiciones del contratista que sean favorables a los intereses del Estado y aseguren la transparencia del procedimiento como, por ejemplo, la inexistencia de las inhabilidades e incompatibilidades que también aplican en los supuestos de contratación directa</w:t>
      </w:r>
      <w:r w:rsidRPr="006A0F21">
        <w:rPr>
          <w:rFonts w:ascii="Verdana" w:eastAsia="Calibri" w:hAnsi="Verdana" w:cs="Arial"/>
          <w:vertAlign w:val="superscript"/>
          <w:lang w:eastAsia="es-ES_tradnl"/>
        </w:rPr>
        <w:footnoteReference w:id="8"/>
      </w:r>
      <w:r w:rsidRPr="006A0F21">
        <w:rPr>
          <w:rFonts w:ascii="Verdana" w:eastAsia="Calibri" w:hAnsi="Verdana" w:cs="Arial"/>
          <w:lang w:eastAsia="es-ES_tradnl"/>
        </w:rPr>
        <w:t>.</w:t>
      </w:r>
    </w:p>
    <w:p w14:paraId="7FC0970D" w14:textId="77777777" w:rsidR="001B6EEE" w:rsidRPr="006A0F21" w:rsidRDefault="001B6EEE" w:rsidP="001B6EEE">
      <w:pPr>
        <w:spacing w:after="120" w:line="276" w:lineRule="auto"/>
        <w:ind w:firstLine="709"/>
        <w:jc w:val="both"/>
        <w:rPr>
          <w:rFonts w:ascii="Verdana" w:eastAsia="Calibri" w:hAnsi="Verdana" w:cs="Arial"/>
          <w:lang w:eastAsia="es-ES_tradnl"/>
        </w:rPr>
      </w:pPr>
      <w:r w:rsidRPr="006A0F21">
        <w:rPr>
          <w:rFonts w:ascii="Verdana" w:eastAsia="Calibri" w:hAnsi="Verdana" w:cs="Arial"/>
          <w:lang w:eastAsia="es-ES_tradnl"/>
        </w:rPr>
        <w:t xml:space="preserve">Debe señalarse sobre la contratación directa, que esta modalidad de contratación es de aplicación restrictiva, esto es, solo procede por las causales prescritas taxativamente en el numeral 4 del artículo 2 de la Ley 1150 de 2007. Además, es una excepción al principio de libre concurrencia y competencia que aplica a los procesos de contratación, para que cualquier persona interesada en satisfacer la necesidad de una entidad pueda presentar una oferta. </w:t>
      </w:r>
    </w:p>
    <w:p w14:paraId="1A6FC888" w14:textId="77777777" w:rsidR="001B6EEE" w:rsidRPr="006A0F21" w:rsidRDefault="001B6EEE" w:rsidP="001B6EEE">
      <w:pPr>
        <w:spacing w:after="120" w:line="276" w:lineRule="auto"/>
        <w:ind w:firstLine="709"/>
        <w:jc w:val="both"/>
        <w:rPr>
          <w:rFonts w:ascii="Verdana" w:eastAsia="Calibri" w:hAnsi="Verdana" w:cs="Arial"/>
          <w:lang w:eastAsia="es-ES_tradnl"/>
        </w:rPr>
      </w:pPr>
      <w:r w:rsidRPr="006A0F21">
        <w:rPr>
          <w:rFonts w:ascii="Verdana" w:eastAsia="Calibri" w:hAnsi="Verdana" w:cs="Arial"/>
          <w:lang w:eastAsia="es-ES_tradnl"/>
        </w:rPr>
        <w:t>En la contratación directa no es necesario que la entidad reciba más de una oferta, la cual proviene de la persona que la entidad escoge directamente, y por ende, invita a ofertar el bien o servicio que se requiere. Lo anterior puede estar basado en que el proponente es único, o en que el legislador privilegió algunos objetos contractuales u oferentes para contratarlos de manera directa. De igual forma, esto implica que el proceso será simplificado, corto, ágil y expedito, por no exigir el agotamiento de una convocatoria pública o la realización de un proceso competitivo. Lo anterior no exime a las entidades estatales de garantizar los principios rectores de la contratación pública.</w:t>
      </w:r>
    </w:p>
    <w:p w14:paraId="4D6CD828" w14:textId="77777777" w:rsidR="001B6EEE" w:rsidRPr="006A0F21" w:rsidRDefault="001B6EEE" w:rsidP="001B6EEE">
      <w:pPr>
        <w:spacing w:after="120" w:line="276" w:lineRule="auto"/>
        <w:ind w:firstLine="709"/>
        <w:jc w:val="both"/>
        <w:rPr>
          <w:rFonts w:ascii="Verdana" w:eastAsia="Calibri" w:hAnsi="Verdana" w:cs="Arial"/>
          <w:lang w:eastAsia="es-ES_tradnl"/>
        </w:rPr>
      </w:pPr>
      <w:r w:rsidRPr="006A0F21">
        <w:rPr>
          <w:rFonts w:ascii="Verdana" w:eastAsia="Calibri" w:hAnsi="Verdana" w:cs="Arial"/>
          <w:lang w:eastAsia="es-ES_tradnl"/>
        </w:rPr>
        <w:t xml:space="preserve">Debe destacarse que existe otra diferencia fundamental con las modalidades de selección competitivas mencionadas: en la contratación directa no se otorga puntaje a las ofertas para ponderarlas y elegir el ofrecimiento más favorable, pues la entidad recibe solo una oferta. Lo anterior es explicado por el Consejo de Estado, en los siguientes términos: </w:t>
      </w:r>
    </w:p>
    <w:p w14:paraId="63AD4CB2" w14:textId="77777777" w:rsidR="001B6EEE" w:rsidRPr="006A0F21" w:rsidRDefault="001B6EEE" w:rsidP="001B6EEE">
      <w:pPr>
        <w:spacing w:after="0" w:line="240" w:lineRule="auto"/>
        <w:jc w:val="both"/>
        <w:rPr>
          <w:rFonts w:ascii="Verdana" w:eastAsia="Calibri" w:hAnsi="Verdana" w:cs="Arial"/>
          <w:lang w:eastAsia="es-ES_tradnl"/>
        </w:rPr>
      </w:pPr>
    </w:p>
    <w:p w14:paraId="0A644486" w14:textId="77777777" w:rsidR="001B6EEE" w:rsidRPr="000A61A6" w:rsidRDefault="001B6EEE" w:rsidP="001B6EEE">
      <w:pPr>
        <w:spacing w:after="0" w:line="240" w:lineRule="auto"/>
        <w:ind w:left="708" w:right="709"/>
        <w:jc w:val="both"/>
        <w:rPr>
          <w:rFonts w:ascii="Verdana" w:eastAsia="Calibri" w:hAnsi="Verdana" w:cs="Arial"/>
          <w:sz w:val="20"/>
          <w:szCs w:val="20"/>
          <w:lang w:eastAsia="es-ES_tradnl"/>
        </w:rPr>
      </w:pPr>
      <w:r w:rsidRPr="000A61A6">
        <w:rPr>
          <w:rFonts w:ascii="Verdana" w:eastAsia="Calibri" w:hAnsi="Verdana" w:cs="Arial"/>
          <w:sz w:val="20"/>
          <w:szCs w:val="20"/>
          <w:lang w:eastAsia="es-ES_tradnl"/>
        </w:rPr>
        <w:t>Se define la expresión contratación directa entendida como cualquier mecanismo de escogencia del contratista en el que se prescinde de la licitación o concurso, sin que se tenga en cuenta por el legislador estatutario el régimen de contratación aplicable, ya sea contenido en el Estatuto General de Contratación de la Administración Pública - ley 80 de 1993 -, o uno especial en razón del objeto del contrato o del órgano que contrata</w:t>
      </w:r>
      <w:r w:rsidRPr="000A61A6">
        <w:rPr>
          <w:rFonts w:ascii="Verdana" w:eastAsia="Calibri" w:hAnsi="Verdana" w:cs="Arial"/>
          <w:sz w:val="20"/>
          <w:szCs w:val="20"/>
          <w:vertAlign w:val="superscript"/>
          <w:lang w:eastAsia="es-ES_tradnl"/>
        </w:rPr>
        <w:footnoteReference w:id="9"/>
      </w:r>
      <w:r w:rsidRPr="000A61A6">
        <w:rPr>
          <w:rFonts w:ascii="Verdana" w:eastAsia="Calibri" w:hAnsi="Verdana" w:cs="Arial"/>
          <w:sz w:val="20"/>
          <w:szCs w:val="20"/>
          <w:lang w:eastAsia="es-ES_tradnl"/>
        </w:rPr>
        <w:t>.</w:t>
      </w:r>
    </w:p>
    <w:p w14:paraId="43A585D2" w14:textId="77777777" w:rsidR="001B6EEE" w:rsidRPr="006A0F21" w:rsidRDefault="001B6EEE" w:rsidP="001B6EEE">
      <w:pPr>
        <w:spacing w:after="0" w:line="276" w:lineRule="auto"/>
        <w:jc w:val="both"/>
        <w:rPr>
          <w:rFonts w:ascii="Verdana" w:eastAsia="Calibri" w:hAnsi="Verdana" w:cs="Arial"/>
          <w:lang w:val="es-ES" w:eastAsia="es-ES_tradnl"/>
        </w:rPr>
      </w:pPr>
    </w:p>
    <w:p w14:paraId="400BAB85" w14:textId="77777777" w:rsidR="001B6EEE" w:rsidRPr="006A0F21" w:rsidRDefault="001B6EEE" w:rsidP="001B6EEE">
      <w:pPr>
        <w:spacing w:after="120" w:line="276" w:lineRule="auto"/>
        <w:ind w:firstLine="709"/>
        <w:jc w:val="both"/>
        <w:rPr>
          <w:rFonts w:ascii="Verdana" w:eastAsia="Times New Roman" w:hAnsi="Verdana" w:cs="Arial"/>
          <w:lang w:eastAsia="es-ES_tradnl"/>
        </w:rPr>
      </w:pPr>
      <w:r w:rsidRPr="006A0F21">
        <w:rPr>
          <w:rFonts w:ascii="Verdana" w:eastAsia="Times New Roman" w:hAnsi="Verdana" w:cs="Arial"/>
          <w:lang w:eastAsia="es-ES_tradnl"/>
        </w:rPr>
        <w:t xml:space="preserve">Por consiguiente, en la contratación directa la entidad no establece puntaje para ponderar ofertas, porque se presenta una sola, que corresponde a la de la persona a quien la entidad invitó y seleccionó en forma directa, teniendo en todo caso que garantizar el cumplimiento de los principios de la función administrativa y la gestión fiscal. En este sentido, la potestad discrecional de la Administración pública para la elección de un proveedor en la contratación directa se relaciona con los principios de moralidad administrativa y transparencia. </w:t>
      </w:r>
    </w:p>
    <w:p w14:paraId="1ABFEC2E" w14:textId="77777777" w:rsidR="001B6EEE" w:rsidRDefault="001B6EEE" w:rsidP="001B6EEE">
      <w:pPr>
        <w:spacing w:after="120" w:line="276" w:lineRule="auto"/>
        <w:ind w:firstLine="709"/>
        <w:jc w:val="both"/>
        <w:rPr>
          <w:rFonts w:ascii="Verdana" w:eastAsia="Times New Roman" w:hAnsi="Verdana" w:cs="Arial"/>
          <w:lang w:eastAsia="es-ES_tradnl"/>
        </w:rPr>
      </w:pPr>
      <w:r w:rsidRPr="006A0F21">
        <w:rPr>
          <w:rFonts w:ascii="Verdana" w:eastAsia="Times New Roman" w:hAnsi="Verdana" w:cs="Arial"/>
          <w:lang w:eastAsia="es-ES_tradnl"/>
        </w:rPr>
        <w:t xml:space="preserve">Así las cosas, la contratación directa no es asimilable a los procesos de selección públicos y abiertos, como la licitación pública, selección abreviada, concurso de méritos y mínima cuantía, pero no significa que no se sujetan a las reglas para el cumplimiento de los principios de la contratación estatal y de la función administrativa. </w:t>
      </w:r>
    </w:p>
    <w:p w14:paraId="4FD4528A" w14:textId="77777777" w:rsidR="001B6EEE" w:rsidRPr="006E6E67" w:rsidRDefault="001B6EEE" w:rsidP="001B6EEE">
      <w:pPr>
        <w:spacing w:after="120" w:line="276" w:lineRule="auto"/>
        <w:ind w:firstLine="709"/>
        <w:jc w:val="both"/>
        <w:rPr>
          <w:rFonts w:ascii="Verdana" w:eastAsia="Times New Roman" w:hAnsi="Verdana" w:cs="Arial"/>
          <w:lang w:eastAsia="es-ES_tradnl"/>
        </w:rPr>
      </w:pPr>
      <w:r>
        <w:rPr>
          <w:rFonts w:ascii="Verdana" w:eastAsia="Times New Roman" w:hAnsi="Verdana" w:cs="Arial"/>
          <w:lang w:eastAsia="es-ES_tradnl"/>
        </w:rPr>
        <w:t>E</w:t>
      </w:r>
      <w:r w:rsidRPr="006A0F21">
        <w:rPr>
          <w:rFonts w:ascii="Verdana" w:eastAsia="Arial" w:hAnsi="Verdana" w:cs="Arial"/>
          <w:lang w:val="es-ES" w:eastAsia="es-ES" w:bidi="es-ES"/>
        </w:rPr>
        <w:t xml:space="preserve">l artículo 23 de la Ley 80 de 1993 dispone que: “Las actuaciones de quienes intervengan en la contratación estatal se desarrollarán con arreglo a los principios de transparencia, economía y responsabilidad y de conformidad con los postulados que rigen la función administrativa. Igualmente, se aplicarán en las mismas las normas que regulan la conducta de los servidores públicos, las reglas de interpretación de la contratación, los principios generales del derecho y los particulares del derecho administrativo”. Por su parte, el artículo 2 de la Ley 1150 del 2007 ordena que, en el procedimiento aplicable a cada una de las modalidades de selección de contratistas, “deberá observarse los principios de transparencia, economía, responsabilidad”. </w:t>
      </w:r>
    </w:p>
    <w:p w14:paraId="1F6F49F5" w14:textId="77777777" w:rsidR="001B6EEE" w:rsidRPr="006A0F21" w:rsidRDefault="001B6EEE" w:rsidP="001B6EEE">
      <w:pPr>
        <w:widowControl w:val="0"/>
        <w:autoSpaceDE w:val="0"/>
        <w:autoSpaceDN w:val="0"/>
        <w:spacing w:after="120" w:line="276" w:lineRule="auto"/>
        <w:ind w:firstLine="708"/>
        <w:jc w:val="both"/>
        <w:rPr>
          <w:rFonts w:ascii="Verdana" w:eastAsia="Arial" w:hAnsi="Verdana" w:cs="Arial"/>
          <w:lang w:val="es-ES" w:eastAsia="es-ES" w:bidi="es-ES"/>
        </w:rPr>
      </w:pPr>
      <w:r w:rsidRPr="006A0F21">
        <w:rPr>
          <w:rFonts w:ascii="Verdana" w:eastAsia="Arial" w:hAnsi="Verdana" w:cs="Arial"/>
          <w:lang w:val="es-ES" w:eastAsia="es-ES" w:bidi="es-ES"/>
        </w:rPr>
        <w:t>Los principios que rigen la actividad contractual de las entidades estatales están orientados a preservar la objetividad en la selección del contratista, para garantizar el interés general y la realización de los fines del Estado. De igual forma, dichos principios buscan hacer eficaz la participación, en igualdad de condiciones, de quienes reúnan los requisitos que sean exigidos en los documentos del proceso de contratación.</w:t>
      </w:r>
    </w:p>
    <w:p w14:paraId="0B74FCF8" w14:textId="77777777" w:rsidR="001B6EEE" w:rsidRPr="006A0F21" w:rsidRDefault="001B6EEE" w:rsidP="001B6EEE">
      <w:pPr>
        <w:widowControl w:val="0"/>
        <w:autoSpaceDE w:val="0"/>
        <w:autoSpaceDN w:val="0"/>
        <w:spacing w:after="120" w:line="276" w:lineRule="auto"/>
        <w:ind w:right="108" w:firstLine="709"/>
        <w:jc w:val="both"/>
        <w:rPr>
          <w:rFonts w:ascii="Verdana" w:eastAsia="Arial" w:hAnsi="Verdana" w:cs="Arial"/>
          <w:lang w:val="es-ES" w:eastAsia="es-ES" w:bidi="es-ES"/>
        </w:rPr>
      </w:pPr>
      <w:r w:rsidRPr="006A0F21">
        <w:rPr>
          <w:rFonts w:ascii="Verdana" w:eastAsia="Arial" w:hAnsi="Verdana" w:cs="Arial"/>
          <w:lang w:val="es-ES" w:eastAsia="es-ES" w:bidi="es-ES"/>
        </w:rPr>
        <w:t>El principio de transparencia dispone que la selección de los contratistas debe “edificarse sobre las bases de i) la igualdad y respeto a todos los interesados; ii) la objetividad, neutralidad y claridad de la reglas o condiciones impuestas para la presentación de las ofertas; iii) la garantía del derecho de contradicción; iv) la publicidad de las actuaciones de la administración; v) la motivación expresa, precisa y detallada del informe de evaluación, del acto de adjudicación o de la declaratoria de desierta; vi) la escogencia objetiva del contratista idóneo que ofrezca la oferta más favorable para los intereses de la administración”</w:t>
      </w:r>
      <w:r w:rsidRPr="006A0F21">
        <w:rPr>
          <w:rFonts w:ascii="Verdana" w:eastAsia="Arial" w:hAnsi="Verdana" w:cs="Arial"/>
          <w:vertAlign w:val="superscript"/>
          <w:lang w:val="es-ES" w:eastAsia="es-ES" w:bidi="es-ES"/>
        </w:rPr>
        <w:footnoteReference w:id="10"/>
      </w:r>
      <w:r w:rsidRPr="006A0F21">
        <w:rPr>
          <w:rFonts w:ascii="Verdana" w:eastAsia="Arial" w:hAnsi="Verdana" w:cs="Arial"/>
          <w:lang w:val="es-ES" w:eastAsia="es-ES" w:bidi="es-ES"/>
        </w:rPr>
        <w:t>.</w:t>
      </w:r>
    </w:p>
    <w:p w14:paraId="22197C14" w14:textId="77777777" w:rsidR="001B6EEE" w:rsidRPr="006A0F21" w:rsidRDefault="001B6EEE" w:rsidP="001B6EEE">
      <w:pPr>
        <w:spacing w:after="120" w:line="276" w:lineRule="auto"/>
        <w:ind w:firstLine="709"/>
        <w:jc w:val="both"/>
        <w:rPr>
          <w:rFonts w:ascii="Verdana" w:eastAsia="Calibri" w:hAnsi="Verdana" w:cs="Arial"/>
          <w:color w:val="000000"/>
          <w:lang w:val="es-ES_tradnl" w:eastAsia="es-ES_tradnl"/>
        </w:rPr>
      </w:pPr>
      <w:r w:rsidRPr="006A0F21">
        <w:rPr>
          <w:rFonts w:ascii="Verdana" w:eastAsia="Calibri" w:hAnsi="Verdana" w:cs="Arial"/>
          <w:color w:val="000000"/>
          <w:lang w:val="es-ES_tradnl" w:eastAsia="es-ES_tradnl"/>
        </w:rPr>
        <w:t xml:space="preserve">Otro de los principios transversales a todos los procedimientos de selección es el de </w:t>
      </w:r>
      <w:r w:rsidRPr="006A0F21">
        <w:rPr>
          <w:rFonts w:ascii="Verdana" w:eastAsia="Calibri" w:hAnsi="Verdana" w:cs="Arial"/>
          <w:i/>
          <w:iCs/>
          <w:color w:val="000000"/>
          <w:lang w:val="es-ES_tradnl" w:eastAsia="es-ES_tradnl"/>
        </w:rPr>
        <w:t>selección objetiva</w:t>
      </w:r>
      <w:r w:rsidRPr="006A0F21">
        <w:rPr>
          <w:rFonts w:ascii="Verdana" w:eastAsia="Calibri" w:hAnsi="Verdana" w:cs="Arial"/>
          <w:color w:val="000000"/>
          <w:lang w:val="es-ES_tradnl" w:eastAsia="es-ES_tradnl"/>
        </w:rPr>
        <w:t xml:space="preserve">. Se trata del postulado que exige que la escogencia de la oferta ganadora debe fundamentarse en factores objetivos, de carácter técnico, jurídico y financiero, y no en criterios subjetivos, como el afecto, la amistad, el ánimo de ayuda, el interés personal, entre otros. </w:t>
      </w:r>
    </w:p>
    <w:p w14:paraId="46B9D7C4" w14:textId="77777777" w:rsidR="001B6EEE" w:rsidRPr="006A0F21" w:rsidRDefault="001B6EEE" w:rsidP="001B6EEE">
      <w:pPr>
        <w:spacing w:after="120" w:line="276" w:lineRule="auto"/>
        <w:ind w:firstLine="709"/>
        <w:jc w:val="both"/>
        <w:rPr>
          <w:rFonts w:ascii="Verdana" w:eastAsia="Calibri" w:hAnsi="Verdana" w:cs="Arial"/>
          <w:color w:val="000000"/>
          <w:lang w:val="es-ES_tradnl" w:eastAsia="es-ES_tradnl"/>
        </w:rPr>
      </w:pPr>
      <w:r w:rsidRPr="006A0F21">
        <w:rPr>
          <w:rFonts w:ascii="Verdana" w:eastAsia="Calibri" w:hAnsi="Verdana" w:cs="Arial"/>
          <w:color w:val="000000"/>
          <w:lang w:val="es-ES_tradnl" w:eastAsia="es-ES_tradnl"/>
        </w:rPr>
        <w:t>Si bien dentro de la historia de la contratación pública en Colombia se vislumbran antecedentes normativos que consagraban dicho principio</w:t>
      </w:r>
      <w:r w:rsidRPr="006A0F21">
        <w:rPr>
          <w:rFonts w:ascii="Verdana" w:eastAsia="Calibri" w:hAnsi="Verdana" w:cs="Arial"/>
          <w:color w:val="000000"/>
          <w:vertAlign w:val="superscript"/>
          <w:lang w:val="es-ES_tradnl" w:eastAsia="es-ES_tradnl"/>
        </w:rPr>
        <w:footnoteReference w:id="11"/>
      </w:r>
      <w:r w:rsidRPr="006A0F21">
        <w:rPr>
          <w:rFonts w:ascii="Verdana" w:eastAsia="Calibri" w:hAnsi="Verdana" w:cs="Arial"/>
          <w:color w:val="000000"/>
          <w:lang w:val="es-ES_tradnl" w:eastAsia="es-ES_tradnl"/>
        </w:rPr>
        <w:t>, en la actualidad la disposición legal que lo prevé de manera más clara y contundente es el artículo 5 de la Ley 1150 de 2007, modificado por el artículo 88 de la Ley 1474 de 2011 y por el artículo 5 de la Ley 1882 de 2018</w:t>
      </w:r>
      <w:r w:rsidRPr="006A0F21">
        <w:rPr>
          <w:rFonts w:ascii="Verdana" w:eastAsia="Calibri" w:hAnsi="Verdana" w:cs="Arial"/>
          <w:color w:val="000000"/>
          <w:vertAlign w:val="superscript"/>
          <w:lang w:val="es-ES_tradnl" w:eastAsia="es-ES_tradnl"/>
        </w:rPr>
        <w:footnoteReference w:id="12"/>
      </w:r>
      <w:r w:rsidRPr="006A0F21">
        <w:rPr>
          <w:rFonts w:ascii="Verdana" w:eastAsia="Calibri" w:hAnsi="Verdana" w:cs="Arial"/>
          <w:color w:val="000000"/>
          <w:lang w:val="es-ES_tradnl" w:eastAsia="es-ES_tradnl"/>
        </w:rPr>
        <w:t>.</w:t>
      </w:r>
    </w:p>
    <w:p w14:paraId="62976580" w14:textId="77777777" w:rsidR="001B6EEE" w:rsidRPr="006A0F21" w:rsidRDefault="001B6EEE" w:rsidP="001B6EEE">
      <w:pPr>
        <w:spacing w:after="120" w:line="276" w:lineRule="auto"/>
        <w:ind w:firstLine="709"/>
        <w:jc w:val="both"/>
        <w:rPr>
          <w:rFonts w:ascii="Verdana" w:eastAsia="Calibri" w:hAnsi="Verdana" w:cs="Arial"/>
          <w:color w:val="000000"/>
          <w:lang w:val="es-ES" w:eastAsia="es-ES"/>
        </w:rPr>
      </w:pPr>
      <w:r w:rsidRPr="006A0F21">
        <w:rPr>
          <w:rFonts w:ascii="Verdana" w:eastAsia="Calibri" w:hAnsi="Verdana" w:cs="Arial"/>
          <w:color w:val="000000" w:themeColor="text1"/>
          <w:lang w:val="es-ES" w:eastAsia="es-ES"/>
        </w:rPr>
        <w:t xml:space="preserve">Así mismo, la Ley 80 de 1993 se refiere a la </w:t>
      </w:r>
      <w:r w:rsidRPr="006A0F21">
        <w:rPr>
          <w:rFonts w:ascii="Verdana" w:eastAsia="Calibri" w:hAnsi="Verdana" w:cs="Arial"/>
          <w:i/>
          <w:iCs/>
          <w:color w:val="000000" w:themeColor="text1"/>
          <w:lang w:val="es-ES" w:eastAsia="es-ES"/>
        </w:rPr>
        <w:t>selección objetiva</w:t>
      </w:r>
      <w:r w:rsidRPr="006A0F21">
        <w:rPr>
          <w:rFonts w:ascii="Verdana" w:eastAsia="Calibri" w:hAnsi="Verdana" w:cs="Arial"/>
          <w:color w:val="000000" w:themeColor="text1"/>
          <w:lang w:val="es-ES" w:eastAsia="es-ES"/>
        </w:rPr>
        <w:t xml:space="preserve"> en varios apartados, como: i) el primer inciso del artículo 21, que obliga a las entidades estatales a tener en cuenta la selección objetiva, al garantizar la participación de los oferentes de bienes y servicios de origen nacional, ii) el artículo 24, numeral 5º, literal a), que exige se indiquen en los pliegos de condiciones “[…] los requisitos objetivos necesarios para participar en el correspondiente proceso de selección”, iii) el artículo 24, numeral 5º, literal b), que establece que en los pliegos de condiciones se deben definir “[…] reglas objetivas, justas, claras y completas que permitan la confección de ofrecimientos de la misma índole, aseguren una escogencia objetiva y eviten la declaratoria de desierta de la licitación”. </w:t>
      </w:r>
    </w:p>
    <w:p w14:paraId="651DBD88" w14:textId="77777777" w:rsidR="001B6EEE" w:rsidRPr="006A0F21" w:rsidRDefault="001B6EEE" w:rsidP="001B6EEE">
      <w:pPr>
        <w:spacing w:after="120" w:line="276" w:lineRule="auto"/>
        <w:ind w:firstLine="709"/>
        <w:jc w:val="both"/>
        <w:rPr>
          <w:rFonts w:ascii="Verdana" w:eastAsia="Calibri" w:hAnsi="Verdana" w:cs="Arial"/>
          <w:color w:val="000000"/>
          <w:lang w:val="es-ES" w:eastAsia="es-ES"/>
        </w:rPr>
      </w:pPr>
      <w:r w:rsidRPr="006A0F21">
        <w:rPr>
          <w:rFonts w:ascii="Verdana" w:eastAsia="Calibri" w:hAnsi="Verdana" w:cs="Arial"/>
          <w:color w:val="000000" w:themeColor="text1"/>
          <w:lang w:val="es-ES" w:eastAsia="es-ES"/>
        </w:rPr>
        <w:t>De igual forma, iv) el artículo 24, numeral 8º, según el cual “Las autoridades no actuarán con desviación o abuso de poder y ejercerán sus competencias exclusivamente para los fines previstos en la ley. Igualmente, les será prohibido eludir los procedimientos de selección objetiva y los demás requisitos previstos en el presente estatuto”, v) el segundo inciso del parágrafo 3º del artículo 24, que exige tener en cuenta la selección objetiva de la entidad veedora para el procedimiento de venta de bienes de las entidades estatales por el sistema de martillo; vi) el numeral 18 del artículo 25, el cual señala que “La declaratoria de desierta de la licitación únicamente procederá por motivos o causas que impidan la escogencia objetiva”.</w:t>
      </w:r>
    </w:p>
    <w:p w14:paraId="40FD0909" w14:textId="77777777" w:rsidR="001B6EEE" w:rsidRPr="006A0F21" w:rsidRDefault="001B6EEE" w:rsidP="001B6EEE">
      <w:pPr>
        <w:spacing w:after="120" w:line="276" w:lineRule="auto"/>
        <w:ind w:firstLine="709"/>
        <w:jc w:val="both"/>
        <w:rPr>
          <w:rFonts w:ascii="Verdana" w:eastAsia="Calibri" w:hAnsi="Verdana" w:cs="Arial"/>
          <w:color w:val="000000"/>
          <w:lang w:val="es-ES" w:eastAsia="es-ES"/>
        </w:rPr>
      </w:pPr>
      <w:r w:rsidRPr="006A0F21">
        <w:rPr>
          <w:rFonts w:ascii="Verdana" w:eastAsia="Calibri" w:hAnsi="Verdana" w:cs="Arial"/>
          <w:color w:val="000000" w:themeColor="text1"/>
          <w:lang w:val="es-ES" w:eastAsia="es-ES"/>
        </w:rPr>
        <w:t xml:space="preserve">Finalmente, se manifiesta vii) en el numeral 2 del artículo 30, que dispone que “La entidad interesada elaborará los correspondientes pliegos de condiciones, […], en los cuales se detallarán especialmente los aspectos relativos al objeto del contrato, su regulación jurídica, los derechos y obligaciones de las partes, la determinación y ponderación de los factores objetivos de selección y todas las demás circunstancias de tiempo, modo y lugar que se consideren necesarias para garantizar reglas objetivas, claras y completas”, viii) el inciso final del artículo 38, que obliga a las entidades estatales que tengan como objeto la prestación de servicios y actividades de telecomunicaciones a respetar el principio de selección objetiva, y ix) el segundo inciso del artículo 76, que ordena cumplir también con dicho principio a las entidades que tengan por objeto la exploración, explotación y comercialización de recursos naturales renovables y no renovables. </w:t>
      </w:r>
    </w:p>
    <w:p w14:paraId="4650770F" w14:textId="77777777" w:rsidR="001B6EEE" w:rsidRPr="006A0F21" w:rsidRDefault="001B6EEE" w:rsidP="001B6EEE">
      <w:pPr>
        <w:spacing w:after="120" w:line="276" w:lineRule="auto"/>
        <w:ind w:firstLine="709"/>
        <w:jc w:val="both"/>
        <w:rPr>
          <w:rFonts w:ascii="Verdana" w:eastAsia="Calibri" w:hAnsi="Verdana" w:cs="Arial"/>
          <w:color w:val="000000"/>
          <w:lang w:val="es-ES" w:eastAsia="es-ES"/>
        </w:rPr>
      </w:pPr>
      <w:r w:rsidRPr="006A0F21">
        <w:rPr>
          <w:rFonts w:ascii="Verdana" w:eastAsia="Calibri" w:hAnsi="Verdana" w:cs="Arial"/>
          <w:color w:val="000000" w:themeColor="text1"/>
          <w:lang w:val="es-ES" w:eastAsia="es-ES"/>
        </w:rPr>
        <w:t>Por su parte, a nivel reglamentario, el Decreto 1082 de 2015 también se refiere a la selección objetiva como postulado esencial al interior de los procedimientos de selección. Así se infiere, por ejemplo, del numeral 4º del artículo 2.2.1.1.2.1.3., que indica que dentro de la información del pliego de condiciones se deben definir “Las condiciones de costo y/o calidad que la Entidad Estatal debe tener en cuenta para la selección objetiva, de acuerdo con la modalidad de selección del contratista”, entre otros.</w:t>
      </w:r>
    </w:p>
    <w:p w14:paraId="17F45DA8" w14:textId="77777777" w:rsidR="001B6EEE" w:rsidRPr="006A0F21" w:rsidRDefault="001B6EEE" w:rsidP="001B6EEE">
      <w:pPr>
        <w:spacing w:after="120" w:line="276" w:lineRule="auto"/>
        <w:ind w:firstLine="709"/>
        <w:jc w:val="both"/>
        <w:rPr>
          <w:rFonts w:ascii="Verdana" w:eastAsia="Calibri" w:hAnsi="Verdana" w:cs="Arial"/>
          <w:color w:val="000000"/>
          <w:lang w:val="es-ES_tradnl" w:eastAsia="es-ES_tradnl"/>
        </w:rPr>
      </w:pPr>
      <w:r w:rsidRPr="006A0F21">
        <w:rPr>
          <w:rFonts w:ascii="Verdana" w:eastAsia="Calibri" w:hAnsi="Verdana" w:cs="Arial"/>
          <w:color w:val="000000"/>
          <w:lang w:val="es-ES_tradnl" w:eastAsia="es-ES_tradnl"/>
        </w:rPr>
        <w:t>La jurisprudencia también ha reconocido la preponderancia de este deber en la etapa precontractual, indicando que su garantía es imprescindible para satisfacer adecuadamente las necesidades de la sociedad mediante la celebración del contrato. Al respecto, la Sección Tercera del Consejo de Estado ha dicho que la objetividad en la selección de los contratistas se relaciona, principalmente, con evitar criterios subjetivos, lo que significa reglas que evalúen factores comparables, dándole un valor a cada uno que permita una adjudicación objetiva</w:t>
      </w:r>
      <w:r w:rsidRPr="006A0F21">
        <w:rPr>
          <w:rFonts w:ascii="Verdana" w:eastAsia="Calibri" w:hAnsi="Verdana" w:cs="Arial"/>
          <w:color w:val="000000"/>
          <w:vertAlign w:val="superscript"/>
          <w:lang w:val="es-ES_tradnl" w:eastAsia="es-ES_tradnl"/>
        </w:rPr>
        <w:footnoteReference w:id="13"/>
      </w:r>
      <w:r w:rsidRPr="006A0F21">
        <w:rPr>
          <w:rFonts w:ascii="Verdana" w:eastAsia="Calibri" w:hAnsi="Verdana" w:cs="Arial"/>
          <w:color w:val="000000"/>
          <w:lang w:val="es-ES_tradnl" w:eastAsia="es-ES_tradnl"/>
        </w:rPr>
        <w:t xml:space="preserve">. </w:t>
      </w:r>
    </w:p>
    <w:p w14:paraId="14B9BC64" w14:textId="77777777" w:rsidR="001B6EEE" w:rsidRPr="006A0F21" w:rsidRDefault="001B6EEE" w:rsidP="001B6EEE">
      <w:pPr>
        <w:spacing w:after="120" w:line="276" w:lineRule="auto"/>
        <w:ind w:firstLine="709"/>
        <w:jc w:val="both"/>
        <w:rPr>
          <w:rFonts w:ascii="Verdana" w:eastAsia="Calibri" w:hAnsi="Verdana" w:cs="Arial"/>
          <w:color w:val="000000"/>
          <w:lang w:val="es-ES_tradnl" w:eastAsia="es-ES_tradnl"/>
        </w:rPr>
      </w:pPr>
      <w:r w:rsidRPr="006A0F21">
        <w:rPr>
          <w:rFonts w:ascii="Verdana" w:eastAsia="Calibri" w:hAnsi="Verdana" w:cs="Arial"/>
          <w:color w:val="000000"/>
          <w:lang w:val="es-ES_tradnl" w:eastAsia="es-ES_tradnl"/>
        </w:rPr>
        <w:t>Igualmente, ha señalado que la selección objetiva “fundamenta uno de los principales deberes de todos los responsables de la contratación estatal en el derecho colombiano, cual es el de mantener intacta la institucionalidad por encima de los intereses personales, individuales o subjetivos”</w:t>
      </w:r>
      <w:r w:rsidRPr="006A0F21">
        <w:rPr>
          <w:rFonts w:ascii="Verdana" w:eastAsia="Calibri" w:hAnsi="Verdana" w:cs="Arial"/>
          <w:color w:val="000000"/>
          <w:vertAlign w:val="superscript"/>
          <w:lang w:val="es-ES_tradnl" w:eastAsia="es-ES_tradnl"/>
        </w:rPr>
        <w:footnoteReference w:id="14"/>
      </w:r>
      <w:r w:rsidRPr="006A0F21">
        <w:rPr>
          <w:rFonts w:ascii="Verdana" w:eastAsia="Calibri" w:hAnsi="Verdana" w:cs="Arial"/>
          <w:color w:val="000000"/>
          <w:lang w:val="es-ES_tradnl" w:eastAsia="es-ES_tradnl"/>
        </w:rPr>
        <w:t>.</w:t>
      </w:r>
    </w:p>
    <w:p w14:paraId="347D114F" w14:textId="77777777" w:rsidR="001B6EEE" w:rsidRPr="006A0F21" w:rsidRDefault="001B6EEE" w:rsidP="001B6EEE">
      <w:pPr>
        <w:spacing w:after="120" w:line="276" w:lineRule="auto"/>
        <w:ind w:firstLine="709"/>
        <w:jc w:val="both"/>
        <w:rPr>
          <w:rFonts w:ascii="Verdana" w:eastAsia="Calibri" w:hAnsi="Verdana" w:cs="Arial"/>
          <w:color w:val="000000"/>
          <w:lang w:val="es-ES" w:eastAsia="es-ES"/>
        </w:rPr>
      </w:pPr>
      <w:r w:rsidRPr="006A0F21">
        <w:rPr>
          <w:rFonts w:ascii="Verdana" w:eastAsia="Calibri" w:hAnsi="Verdana" w:cs="Arial"/>
          <w:color w:val="000000" w:themeColor="text1"/>
          <w:lang w:val="es-ES" w:eastAsia="es-ES"/>
        </w:rPr>
        <w:t xml:space="preserve">Ahora bien, para garantizar los principios de la contratación pública en la contratación directa, particularmente, la transparencia y la selección objetiva, cuyos elementos se asemejan, como explicaremos enseguida. En ese aparte de este concepto se explicó, que en la sentencia C-713 de 2009 se analizaron las normas de la Ley 1150 de 2007, y en dicha decisión judicial se estableció que la contratación directa es una excepción, de las que puede hacer el legislador, a los principios de libre competencia y libre concurrencia. </w:t>
      </w:r>
    </w:p>
    <w:p w14:paraId="3D0DDA64" w14:textId="77777777" w:rsidR="001B6EEE" w:rsidRPr="00E45EBF" w:rsidRDefault="001B6EEE" w:rsidP="001B6EEE">
      <w:pPr>
        <w:spacing w:after="120" w:line="276" w:lineRule="auto"/>
        <w:ind w:firstLine="709"/>
        <w:jc w:val="both"/>
        <w:rPr>
          <w:rFonts w:ascii="Verdana" w:eastAsia="Calibri" w:hAnsi="Verdana" w:cs="Arial"/>
          <w:color w:val="000000" w:themeColor="text1"/>
          <w:lang w:val="es-ES" w:eastAsia="es-ES"/>
        </w:rPr>
      </w:pPr>
      <w:r w:rsidRPr="00E45EBF">
        <w:rPr>
          <w:rFonts w:ascii="Verdana" w:eastAsia="Calibri" w:hAnsi="Verdana" w:cs="Arial"/>
          <w:color w:val="000000" w:themeColor="text1"/>
          <w:lang w:val="es-ES" w:eastAsia="es-ES"/>
        </w:rPr>
        <w:t xml:space="preserve">Lo anterior puesto que no existe competencia, y por ello, no hay rivalidad entre los posibles proveedores del bien o servicio que requiere la entidad, teniendo en cuenta que al proceso solo concurre la persona que la entidad invita directamente. Esta persona es la única autorizada y, por ende, no hay libre concurrencia, porque así lo permiten las características de la modalidad de contratación directa analizadas, que dispuso el legislador. </w:t>
      </w:r>
    </w:p>
    <w:p w14:paraId="57800E3C" w14:textId="77777777" w:rsidR="001B6EEE" w:rsidRPr="00E45EBF" w:rsidRDefault="001B6EEE" w:rsidP="001B6EEE">
      <w:pPr>
        <w:spacing w:after="120" w:line="276" w:lineRule="auto"/>
        <w:ind w:firstLine="709"/>
        <w:jc w:val="both"/>
        <w:rPr>
          <w:rFonts w:ascii="Verdana" w:eastAsia="Calibri" w:hAnsi="Verdana" w:cs="Arial"/>
          <w:color w:val="000000" w:themeColor="text1"/>
          <w:lang w:val="es-ES" w:eastAsia="es-ES"/>
        </w:rPr>
      </w:pPr>
      <w:r w:rsidRPr="006A0F21">
        <w:rPr>
          <w:rFonts w:ascii="Verdana" w:eastAsia="Calibri" w:hAnsi="Verdana" w:cs="Arial"/>
          <w:color w:val="000000" w:themeColor="text1"/>
          <w:lang w:val="es-ES" w:eastAsia="es-ES"/>
        </w:rPr>
        <w:t xml:space="preserve">Sin embargo, la contratación directa no está exceptuada del cumplimiento de los principios de transparencia y selección objetiva, los cuales tienen como elemento común la objetividad en la selección del contratista. La evidencia son las definiciones expuestas en párrafos anteriores, ya que a pesar de que la entidad dirija la invitación a ofertar solamente a una persona, esto no significa que puede elegirla con base en criterios subjetivos, como el afecto, la amistad, el ánimo de ayuda, el interés personal, entre otros. </w:t>
      </w:r>
    </w:p>
    <w:p w14:paraId="66AF00D1" w14:textId="77777777" w:rsidR="001B6EEE" w:rsidRPr="006A0F21" w:rsidRDefault="001B6EEE" w:rsidP="001B6EEE">
      <w:pPr>
        <w:spacing w:after="120" w:line="276" w:lineRule="auto"/>
        <w:ind w:firstLine="709"/>
        <w:jc w:val="both"/>
        <w:rPr>
          <w:rFonts w:ascii="Verdana" w:eastAsia="Calibri" w:hAnsi="Verdana" w:cs="Arial"/>
          <w:color w:val="000000"/>
          <w:lang w:val="es-ES_tradnl" w:eastAsia="es-ES_tradnl"/>
        </w:rPr>
      </w:pPr>
      <w:r w:rsidRPr="006A0F21">
        <w:rPr>
          <w:rFonts w:ascii="Verdana" w:eastAsia="Calibri" w:hAnsi="Verdana" w:cs="Arial"/>
          <w:color w:val="000000"/>
          <w:lang w:val="es-ES_tradnl" w:eastAsia="es-ES_tradnl"/>
        </w:rPr>
        <w:t xml:space="preserve">En efecto, la persona a la que la entidad contrata de forma directa es aquella que se considera que cumple con lo requerido para satisfacer la necesidad </w:t>
      </w:r>
      <w:r w:rsidRPr="006A0F21">
        <w:rPr>
          <w:rFonts w:ascii="Verdana" w:eastAsia="Calibri" w:hAnsi="Verdana" w:cs="Arial"/>
          <w:lang w:eastAsia="es-ES_tradnl"/>
        </w:rPr>
        <w:t>contractual</w:t>
      </w:r>
      <w:r w:rsidRPr="006A0F21">
        <w:rPr>
          <w:rFonts w:ascii="Verdana" w:eastAsia="Calibri" w:hAnsi="Verdana" w:cs="Arial"/>
          <w:color w:val="000000"/>
          <w:lang w:val="es-ES_tradnl" w:eastAsia="es-ES_tradnl"/>
        </w:rPr>
        <w:t xml:space="preserve">. Esa consideración de la entidad contratante será objetiva en la medida en que se cumpla con el principio de planeación, que se refleja principalmente en los estudios previos y en el acto administrativo que justifica la contratación directa, en los casos en que aplica. De esta manera, aunque la contratación sea directa, como ya se explicó, esto no implica que la entidad no deba definir las condiciones del contratista que está en capacidad de cumplir el contrato, lo cual es un elemento común entre las modalidades de selección competitivas y no competitivas. </w:t>
      </w:r>
    </w:p>
    <w:p w14:paraId="62BF36C7" w14:textId="77777777" w:rsidR="001B6EEE" w:rsidRPr="006A0F21" w:rsidRDefault="001B6EEE" w:rsidP="001B6EEE">
      <w:pPr>
        <w:spacing w:after="120" w:line="276" w:lineRule="auto"/>
        <w:ind w:firstLine="709"/>
        <w:jc w:val="both"/>
        <w:rPr>
          <w:rFonts w:ascii="Verdana" w:eastAsia="Calibri" w:hAnsi="Verdana" w:cs="Arial"/>
          <w:color w:val="000000"/>
          <w:lang w:val="es-ES" w:eastAsia="es-ES"/>
        </w:rPr>
      </w:pPr>
      <w:r w:rsidRPr="006A0F21">
        <w:rPr>
          <w:rFonts w:ascii="Verdana" w:eastAsia="Calibri" w:hAnsi="Verdana" w:cs="Arial"/>
          <w:color w:val="000000" w:themeColor="text1"/>
          <w:lang w:val="es-ES" w:eastAsia="es-ES"/>
        </w:rPr>
        <w:t>En todo caso, siempre deben definirse los criterios de escogencia del contratista, pero la diferencia de las modalidades de selección radica en que las causales de contratación directa fueron dispuestas por el legislador en atención a que en el mercado no se encuentra una gran cantidad de proveedores que ofrezcan lo que la entidad requiere. O que, existiendo muchos proveedores, la entidad los puede diferenciar a partir del nivel de conocimientos o experiencia que estos poseen para elegir entre ellos a uno que la entidad, objetivamente, considera como el que puede desarrollar de mejor forma el objeto contractual y demás elementos materiales que justifican la existencia de las demás causales de contratación directa.</w:t>
      </w:r>
    </w:p>
    <w:p w14:paraId="5CA55CDD" w14:textId="77777777" w:rsidR="001B6EEE" w:rsidRDefault="001B6EEE" w:rsidP="001B6EEE">
      <w:pPr>
        <w:spacing w:after="120" w:line="276" w:lineRule="auto"/>
        <w:ind w:firstLine="709"/>
        <w:jc w:val="both"/>
        <w:rPr>
          <w:rFonts w:ascii="Verdana" w:eastAsia="Calibri" w:hAnsi="Verdana" w:cs="Arial"/>
          <w:color w:val="000000"/>
          <w:lang w:val="es-ES" w:eastAsia="es-ES"/>
        </w:rPr>
      </w:pPr>
      <w:r w:rsidRPr="006A0F21">
        <w:rPr>
          <w:rFonts w:ascii="Verdana" w:eastAsia="Calibri" w:hAnsi="Verdana" w:cs="Arial"/>
          <w:color w:val="000000" w:themeColor="text1"/>
          <w:lang w:val="es-ES" w:eastAsia="es-ES"/>
        </w:rPr>
        <w:t>De esta manera, a ese sujeto que la entidad selecciona puede invitarlo directamente a que presente oferta, sin que exista una indebida decisión arbitraria, esto es, una decisión caprichosa y basada en criterios subjetivos por parte de la entidad. La razón de esto es que, como se señaló, la objetividad está dada por la definición de criterios de escogencia que reflejen una justificación fundamentada en lo que requiere la entidad.</w:t>
      </w:r>
    </w:p>
    <w:p w14:paraId="4EE86BB1" w14:textId="77777777" w:rsidR="001B6EEE" w:rsidRDefault="001B6EEE" w:rsidP="001B6EEE">
      <w:pPr>
        <w:spacing w:after="120" w:line="276" w:lineRule="auto"/>
        <w:ind w:firstLine="709"/>
        <w:jc w:val="both"/>
        <w:rPr>
          <w:rFonts w:ascii="Verdana" w:eastAsia="Times New Roman" w:hAnsi="Verdana" w:cs="Arial"/>
          <w:lang w:eastAsia="es-ES_tradnl"/>
        </w:rPr>
      </w:pPr>
      <w:r w:rsidRPr="006A0F21">
        <w:rPr>
          <w:rFonts w:ascii="Verdana" w:eastAsia="Times New Roman" w:hAnsi="Verdana" w:cs="Arial"/>
          <w:lang w:eastAsia="es-ES_tradnl"/>
        </w:rPr>
        <w:t>Los fines públicos establecen un contenido diferente a las entidades públicas, a pesar de su posibilidad de contratar en forma directa, teniendo en cuenta las causales reguladas en el EGCAP. A partir de estos contenidos y principios, es donde la contratación directa de las entidades no es asimilable a la autonomía de la voluntad regulada en el derecho privado, pues deben garantizarse principios como la planeación, la transparencia, la economía, entre otros, para celebrar este tipo de contratos.</w:t>
      </w:r>
    </w:p>
    <w:p w14:paraId="4578443C" w14:textId="77777777" w:rsidR="001B6EEE" w:rsidRDefault="001B6EEE" w:rsidP="001B6EEE">
      <w:pPr>
        <w:spacing w:after="120" w:line="276" w:lineRule="auto"/>
        <w:ind w:firstLine="709"/>
        <w:jc w:val="both"/>
        <w:rPr>
          <w:rFonts w:ascii="Verdana" w:eastAsia="Calibri" w:hAnsi="Verdana" w:cs="Arial"/>
          <w:color w:val="000000"/>
          <w:lang w:val="es-ES" w:eastAsia="es-ES"/>
        </w:rPr>
      </w:pPr>
      <w:r>
        <w:rPr>
          <w:rFonts w:ascii="Verdana" w:eastAsia="Times New Roman" w:hAnsi="Verdana" w:cs="Arial"/>
          <w:lang w:eastAsia="es-ES_tradnl"/>
        </w:rPr>
        <w:t xml:space="preserve">De conformidad con lo anterior, es procedente que una persona pueda manifestarle a la entidad estatal el interés en ser tenido en cuenta para la futura contratación directa, de conformidad con la necesidad requerida por la administración y contemplada en el Plan Anual de adquisiciones.  </w:t>
      </w:r>
    </w:p>
    <w:p w14:paraId="31DE90F5" w14:textId="77777777" w:rsidR="001B6EEE" w:rsidRDefault="001B6EEE" w:rsidP="001B6EEE">
      <w:pPr>
        <w:spacing w:after="120" w:line="276" w:lineRule="auto"/>
        <w:ind w:firstLine="709"/>
        <w:jc w:val="both"/>
        <w:rPr>
          <w:rFonts w:ascii="Verdana" w:eastAsia="Times New Roman" w:hAnsi="Verdana" w:cs="Arial"/>
          <w:lang w:eastAsia="es-ES_tradnl"/>
        </w:rPr>
      </w:pPr>
      <w:r>
        <w:rPr>
          <w:rFonts w:ascii="Verdana" w:eastAsia="Times New Roman" w:hAnsi="Verdana" w:cs="Arial"/>
          <w:lang w:eastAsia="es-ES_tradnl"/>
        </w:rPr>
        <w:t>Ahora bien, la entidad estatal puede tener o no en cuenta la manifestación de interés de la persona con el fin de que sea contratada, sin embargo, como se explicó en líneas anteriores, al ser un proceso de contratación no competitivo y por las características de la modalidad de selección dispuestas en la ley, no se requiere que la administración reciba manifestaciones de interés para así seleccionar al contratista. Por el contrario, es la administración quien generalmente invita a la persona a que presente su oferta, sin que exista una indebida decisión arbitraria, puesto que, aun siendo un proceso de contratación directa, se debe garantizar los principios de contratación, en especial el de transparencia y selección objetiva. Lo anterior se concreta teniendo en consideración que en los estudios previos se formulan los requisitos o exigencias necesarias para la escogencia del contratista y así satisfacer la necesidad, pues el contratista deberá estar en la capacidad de cumplir con el objeto del contrato.</w:t>
      </w:r>
    </w:p>
    <w:p w14:paraId="426BD4B4" w14:textId="77777777" w:rsidR="001B6EEE" w:rsidRDefault="001B6EEE" w:rsidP="001B6EEE">
      <w:pPr>
        <w:spacing w:after="120" w:line="276" w:lineRule="auto"/>
        <w:ind w:firstLine="709"/>
        <w:jc w:val="both"/>
        <w:rPr>
          <w:rFonts w:ascii="Verdana" w:eastAsia="Times New Roman" w:hAnsi="Verdana" w:cs="Arial"/>
          <w:lang w:eastAsia="es-ES_tradnl"/>
        </w:rPr>
      </w:pPr>
      <w:r>
        <w:rPr>
          <w:rFonts w:ascii="Verdana" w:eastAsia="Times New Roman" w:hAnsi="Verdana" w:cs="Arial"/>
          <w:lang w:eastAsia="es-ES_tradnl"/>
        </w:rPr>
        <w:t xml:space="preserve">En atención a que la entidad no está obligada a tener en consideración la manifestación de interés ni a dar respuesta sobre ella, por cuanto se insiste, se trata de un proceso de contratación no competitivo, la entidad deberá dar observancia a las exigencias requeridas en los estudios previos para seleccionar al contratista que cumpla con los requisitos objetivamente decantados en los documentos del proceso de contratación. Ahora bien, en caso de que el interesado cuestione que el proceso de contratación no cumple con las exigencias de los requisitos precontractuales y se haya desconocido los principios de la contratación por parte de la entidad estatal, podrá acudir ante los entes de control – Procuraduría General de la Nación o Contraloría General de la República- con el fin de poner en conocimiento las eventuales irregularidades, así como la posibilidad de acudir ante el justicia penal para que indague las presuntas conductas punibles producto de la contratación directa.  </w:t>
      </w:r>
    </w:p>
    <w:p w14:paraId="3DCBE518" w14:textId="77777777" w:rsidR="001B6EEE" w:rsidRPr="0050411E" w:rsidRDefault="001B6EEE" w:rsidP="001B6EEE">
      <w:pPr>
        <w:spacing w:after="120" w:line="276" w:lineRule="auto"/>
        <w:ind w:firstLine="709"/>
        <w:jc w:val="both"/>
        <w:rPr>
          <w:rFonts w:ascii="Verdana" w:eastAsia="Times New Roman" w:hAnsi="Verdana" w:cs="Arial"/>
          <w:lang w:eastAsia="es-ES_tradnl"/>
        </w:rPr>
      </w:pPr>
      <w:r>
        <w:rPr>
          <w:rFonts w:ascii="Verdana" w:eastAsia="Calibri" w:hAnsi="Verdana" w:cs="Arial"/>
        </w:rPr>
        <w:t>A</w:t>
      </w:r>
      <w:r w:rsidRPr="00E853DE">
        <w:rPr>
          <w:rFonts w:ascii="Verdana" w:eastAsia="Calibri" w:hAnsi="Verdana" w:cs="Arial"/>
          <w:bCs/>
          <w:color w:val="000000" w:themeColor="text1"/>
        </w:rPr>
        <w:t>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52208C2E" w14:textId="77777777" w:rsidR="001B6EEE" w:rsidRPr="00224F57" w:rsidRDefault="001B6EEE" w:rsidP="001B6EEE">
      <w:pPr>
        <w:spacing w:after="120" w:line="276" w:lineRule="auto"/>
        <w:ind w:firstLine="709"/>
        <w:jc w:val="both"/>
        <w:rPr>
          <w:rFonts w:ascii="Verdana" w:eastAsia="Calibri" w:hAnsi="Verdana" w:cs="Arial"/>
        </w:rPr>
      </w:pPr>
      <w:r w:rsidRPr="00E853DE">
        <w:rPr>
          <w:rFonts w:ascii="Verdana" w:eastAsia="Calibri" w:hAnsi="Verdana" w:cs="Arial"/>
          <w:bCs/>
          <w:color w:val="000000" w:themeColor="text1"/>
        </w:rPr>
        <w:t>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r w:rsidRPr="00185EE9">
        <w:rPr>
          <w:rFonts w:ascii="Verdana" w:eastAsia="Calibri" w:hAnsi="Verdana" w:cs="Arial"/>
          <w:bCs/>
          <w:color w:val="000000" w:themeColor="text1"/>
        </w:rPr>
        <w:t xml:space="preserve"> </w:t>
      </w:r>
      <w:bookmarkStart w:id="2" w:name="_Hlk204854194"/>
    </w:p>
    <w:p w14:paraId="45AE9EF9" w14:textId="77777777" w:rsidR="001B6EEE" w:rsidRDefault="001B6EEE" w:rsidP="001B6EEE">
      <w:pPr>
        <w:spacing w:after="0" w:line="276" w:lineRule="auto"/>
        <w:jc w:val="both"/>
        <w:rPr>
          <w:rFonts w:ascii="Verdana" w:eastAsia="Century Gothic" w:hAnsi="Verdana" w:cs="Century Gothic"/>
          <w:b/>
          <w:bCs/>
        </w:rPr>
      </w:pPr>
      <w:r w:rsidRPr="00237877">
        <w:rPr>
          <w:rFonts w:ascii="Verdana" w:hAnsi="Verdana" w:cs="Arial"/>
          <w:b/>
          <w:color w:val="000000" w:themeColor="text1"/>
        </w:rPr>
        <w:t>4.</w:t>
      </w:r>
      <w:r>
        <w:rPr>
          <w:rFonts w:ascii="Verdana" w:hAnsi="Verdana" w:cs="Arial"/>
          <w:bCs/>
          <w:color w:val="000000" w:themeColor="text1"/>
        </w:rPr>
        <w:t xml:space="preserve"> </w:t>
      </w:r>
      <w:r w:rsidRPr="005644FE">
        <w:rPr>
          <w:rFonts w:ascii="Verdana" w:eastAsia="Century Gothic" w:hAnsi="Verdana" w:cs="Century Gothic"/>
          <w:b/>
          <w:bCs/>
        </w:rPr>
        <w:t>Referencias normativas</w:t>
      </w:r>
      <w:r>
        <w:rPr>
          <w:rFonts w:ascii="Verdana" w:eastAsia="Century Gothic" w:hAnsi="Verdana" w:cs="Century Gothic"/>
          <w:b/>
          <w:bCs/>
        </w:rPr>
        <w:t xml:space="preserve"> y jurisprudenciales</w:t>
      </w:r>
      <w:r w:rsidRPr="005644FE">
        <w:rPr>
          <w:rFonts w:ascii="Verdana" w:eastAsia="Century Gothic" w:hAnsi="Verdana" w:cs="Century Gothic"/>
          <w:b/>
          <w:bCs/>
        </w:rPr>
        <w:t>:</w:t>
      </w:r>
      <w:bookmarkEnd w:id="2"/>
    </w:p>
    <w:p w14:paraId="57157D43" w14:textId="77777777" w:rsidR="001B6EEE" w:rsidRPr="00E5656D" w:rsidRDefault="001B6EEE" w:rsidP="001B6EEE">
      <w:pPr>
        <w:spacing w:after="0" w:line="276" w:lineRule="auto"/>
        <w:jc w:val="both"/>
        <w:rPr>
          <w:rFonts w:ascii="Verdana" w:eastAsia="Century Gothic" w:hAnsi="Verdana" w:cs="Century Gothic"/>
          <w:b/>
          <w:bC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1B6EEE" w:rsidRPr="002D2C18" w14:paraId="67A8498B" w14:textId="77777777" w:rsidTr="00CA221B">
        <w:trPr>
          <w:trHeight w:val="56"/>
          <w:jc w:val="center"/>
        </w:trPr>
        <w:tc>
          <w:tcPr>
            <w:tcW w:w="8647" w:type="dxa"/>
          </w:tcPr>
          <w:p w14:paraId="6E736621" w14:textId="77777777" w:rsidR="001B6EEE" w:rsidRDefault="001B6EEE" w:rsidP="00CA221B">
            <w:pPr>
              <w:pStyle w:val="Prrafodelista"/>
              <w:numPr>
                <w:ilvl w:val="0"/>
                <w:numId w:val="17"/>
              </w:numPr>
              <w:spacing w:before="120" w:line="276" w:lineRule="auto"/>
              <w:jc w:val="both"/>
              <w:rPr>
                <w:rFonts w:ascii="Verdana" w:hAnsi="Verdana" w:cs="Arial"/>
                <w:lang w:eastAsia="es-ES"/>
              </w:rPr>
            </w:pPr>
            <w:r>
              <w:rPr>
                <w:rFonts w:ascii="Verdana" w:hAnsi="Verdana" w:cs="Arial"/>
                <w:lang w:eastAsia="es-ES"/>
              </w:rPr>
              <w:t>Ley 80 de 1993. Artículos 21, 23, 25, 30.</w:t>
            </w:r>
          </w:p>
          <w:p w14:paraId="5C21E451" w14:textId="77777777" w:rsidR="001B6EEE" w:rsidRPr="0035204D" w:rsidRDefault="001B6EEE" w:rsidP="00CA221B">
            <w:pPr>
              <w:pStyle w:val="Prrafodelista"/>
              <w:numPr>
                <w:ilvl w:val="0"/>
                <w:numId w:val="17"/>
              </w:numPr>
              <w:spacing w:before="120" w:line="276" w:lineRule="auto"/>
              <w:jc w:val="both"/>
              <w:rPr>
                <w:rFonts w:ascii="Verdana" w:hAnsi="Verdana" w:cs="Arial"/>
                <w:lang w:eastAsia="es-ES"/>
              </w:rPr>
            </w:pPr>
            <w:r>
              <w:rPr>
                <w:rFonts w:ascii="Verdana" w:hAnsi="Verdana" w:cs="Arial"/>
                <w:lang w:eastAsia="es-ES"/>
              </w:rPr>
              <w:t xml:space="preserve">Ley 1150 de 2007. Artículo 2. </w:t>
            </w:r>
          </w:p>
          <w:p w14:paraId="1B40D9A9" w14:textId="77777777" w:rsidR="001B6EEE" w:rsidRDefault="001B6EEE" w:rsidP="00CA221B">
            <w:pPr>
              <w:pStyle w:val="Prrafodelista"/>
              <w:numPr>
                <w:ilvl w:val="0"/>
                <w:numId w:val="17"/>
              </w:numPr>
              <w:spacing w:before="120" w:line="276" w:lineRule="auto"/>
              <w:jc w:val="both"/>
              <w:rPr>
                <w:rFonts w:ascii="Verdana" w:hAnsi="Verdana" w:cs="Arial"/>
                <w:lang w:eastAsia="es-ES"/>
              </w:rPr>
            </w:pPr>
            <w:r w:rsidRPr="00F50E68">
              <w:rPr>
                <w:rFonts w:ascii="Verdana" w:eastAsia="Calibri" w:hAnsi="Verdana" w:cs="Arial"/>
              </w:rPr>
              <w:t>Ley 1474 de 2011</w:t>
            </w:r>
            <w:r>
              <w:rPr>
                <w:rFonts w:ascii="Verdana" w:eastAsia="Calibri" w:hAnsi="Verdana" w:cs="Arial"/>
              </w:rPr>
              <w:t>. Artículo 74.</w:t>
            </w:r>
          </w:p>
          <w:p w14:paraId="21EAE0E5" w14:textId="77777777" w:rsidR="001B6EEE" w:rsidRPr="0035204D" w:rsidRDefault="001B6EEE" w:rsidP="00CA221B">
            <w:pPr>
              <w:pStyle w:val="Prrafodelista"/>
              <w:numPr>
                <w:ilvl w:val="0"/>
                <w:numId w:val="17"/>
              </w:numPr>
              <w:spacing w:before="120" w:line="276" w:lineRule="auto"/>
              <w:jc w:val="both"/>
              <w:rPr>
                <w:rFonts w:ascii="Verdana" w:hAnsi="Verdana" w:cs="Arial"/>
                <w:lang w:eastAsia="es-ES"/>
              </w:rPr>
            </w:pPr>
            <w:r>
              <w:rPr>
                <w:rFonts w:ascii="Verdana" w:hAnsi="Verdana" w:cs="Arial"/>
                <w:lang w:eastAsia="es-ES"/>
              </w:rPr>
              <w:t xml:space="preserve">Decreto 1082 de 2015. Artículo </w:t>
            </w:r>
            <w:r w:rsidRPr="00F50E68">
              <w:rPr>
                <w:rFonts w:ascii="Verdana" w:eastAsia="Calibri" w:hAnsi="Verdana" w:cs="Arial"/>
                <w:lang w:eastAsia="es-ES_tradnl"/>
              </w:rPr>
              <w:t>2.2.1.1.2.1.1</w:t>
            </w:r>
            <w:r>
              <w:rPr>
                <w:rFonts w:ascii="Verdana" w:eastAsia="Calibri" w:hAnsi="Verdana" w:cs="Arial"/>
                <w:lang w:eastAsia="es-ES_tradnl"/>
              </w:rPr>
              <w:t>,</w:t>
            </w:r>
            <w:r w:rsidRPr="00F50E68">
              <w:rPr>
                <w:rFonts w:ascii="Verdana" w:eastAsia="Calibri" w:hAnsi="Verdana" w:cs="Arial"/>
                <w:lang w:eastAsia="es-ES_tradnl"/>
              </w:rPr>
              <w:t xml:space="preserve"> 2.2.1.1.1.6.1 </w:t>
            </w:r>
            <w:r w:rsidRPr="002A0C19">
              <w:rPr>
                <w:rFonts w:ascii="Verdana" w:eastAsia="Calibri" w:hAnsi="Verdana" w:cs="Arial"/>
              </w:rPr>
              <w:t>2.1.1.1.3.1</w:t>
            </w:r>
            <w:r>
              <w:rPr>
                <w:rFonts w:ascii="Verdana" w:eastAsia="Calibri" w:hAnsi="Verdana" w:cs="Arial"/>
              </w:rPr>
              <w:t xml:space="preserve">, </w:t>
            </w:r>
            <w:r w:rsidRPr="00F50E68">
              <w:rPr>
                <w:rStyle w:val="normaltextrun"/>
                <w:rFonts w:ascii="Verdana" w:hAnsi="Verdana" w:cs="Arial"/>
              </w:rPr>
              <w:t>2.2.1.1.1.4.1</w:t>
            </w:r>
            <w:r w:rsidRPr="0035204D">
              <w:rPr>
                <w:rStyle w:val="normaltextrun"/>
                <w:rFonts w:ascii="Verdana" w:hAnsi="Verdana" w:cs="Arial"/>
              </w:rPr>
              <w:t xml:space="preserve">, </w:t>
            </w:r>
            <w:r w:rsidRPr="0035204D">
              <w:rPr>
                <w:rFonts w:ascii="Verdana" w:eastAsia="Calibri" w:hAnsi="Verdana" w:cs="Arial"/>
                <w:lang w:val="es-ES_tradnl"/>
              </w:rPr>
              <w:t>2.2.1.1.1.4.3.</w:t>
            </w:r>
          </w:p>
          <w:p w14:paraId="4AC26305" w14:textId="77777777" w:rsidR="001B6EEE" w:rsidRDefault="001B6EEE" w:rsidP="00CA221B">
            <w:pPr>
              <w:pStyle w:val="Prrafodelista"/>
              <w:numPr>
                <w:ilvl w:val="0"/>
                <w:numId w:val="17"/>
              </w:numPr>
              <w:spacing w:before="120" w:line="276" w:lineRule="auto"/>
              <w:jc w:val="both"/>
              <w:rPr>
                <w:rFonts w:ascii="Verdana" w:hAnsi="Verdana" w:cs="Arial"/>
                <w:lang w:eastAsia="es-ES"/>
              </w:rPr>
            </w:pPr>
            <w:r w:rsidRPr="0035204D">
              <w:rPr>
                <w:rFonts w:ascii="Verdana" w:hAnsi="Verdana" w:cs="Arial"/>
                <w:lang w:eastAsia="es-ES"/>
              </w:rPr>
              <w:t>Consejo de Estado. Sala de consulta y servicio civil. Sentencia del 20 de febrero de 2006. Exp. 1.727. C.P: Enrique José Arboleda Perdomo.</w:t>
            </w:r>
          </w:p>
          <w:p w14:paraId="1E5D88A4" w14:textId="77777777" w:rsidR="001B6EEE" w:rsidRDefault="001B6EEE" w:rsidP="00CA221B">
            <w:pPr>
              <w:pStyle w:val="Prrafodelista"/>
              <w:numPr>
                <w:ilvl w:val="0"/>
                <w:numId w:val="17"/>
              </w:numPr>
              <w:spacing w:before="120" w:line="276" w:lineRule="auto"/>
              <w:jc w:val="both"/>
              <w:rPr>
                <w:rFonts w:ascii="Verdana" w:hAnsi="Verdana" w:cs="Arial"/>
                <w:lang w:eastAsia="es-ES"/>
              </w:rPr>
            </w:pPr>
            <w:r w:rsidRPr="0035204D">
              <w:rPr>
                <w:rFonts w:ascii="Verdana" w:hAnsi="Verdana" w:cs="Arial"/>
                <w:lang w:eastAsia="es-ES"/>
              </w:rPr>
              <w:t>Consejo de Estado. Sala de lo Contencioso Administrativo. Sección Tercera. Sentencia del 29 de abril de 2015. Exp. 29.201. C.P. Olga Melida Valle de De La Hoz.</w:t>
            </w:r>
          </w:p>
          <w:p w14:paraId="054FBC8B" w14:textId="77777777" w:rsidR="001B6EEE" w:rsidRPr="0035204D" w:rsidRDefault="001B6EEE" w:rsidP="00CA221B">
            <w:pPr>
              <w:pStyle w:val="Prrafodelista"/>
              <w:numPr>
                <w:ilvl w:val="0"/>
                <w:numId w:val="17"/>
              </w:numPr>
              <w:spacing w:before="120" w:line="276" w:lineRule="auto"/>
              <w:jc w:val="both"/>
              <w:rPr>
                <w:rFonts w:ascii="Verdana" w:hAnsi="Verdana" w:cs="Arial"/>
                <w:lang w:eastAsia="es-ES"/>
              </w:rPr>
            </w:pPr>
            <w:r w:rsidRPr="002A2913">
              <w:rPr>
                <w:rFonts w:ascii="Verdana" w:hAnsi="Verdana" w:cs="Arial"/>
                <w:lang w:eastAsia="es-ES"/>
              </w:rPr>
              <w:t>Consejo de Estado. Sala de lo Contencioso Administrativo. Sección Tercera. Subsección A. Sentencia del 25 de octubre de 2019. Exp. 39.945. C.P: María Adriana Marín</w:t>
            </w:r>
            <w:r>
              <w:rPr>
                <w:rFonts w:ascii="Verdana" w:hAnsi="Verdana" w:cs="Arial"/>
                <w:lang w:eastAsia="es-ES"/>
              </w:rPr>
              <w:t>.</w:t>
            </w:r>
          </w:p>
          <w:p w14:paraId="5F00E67A" w14:textId="77777777" w:rsidR="001B6EEE" w:rsidRPr="0035204D" w:rsidRDefault="001B6EEE" w:rsidP="00CA221B">
            <w:pPr>
              <w:pStyle w:val="Prrafodelista"/>
              <w:numPr>
                <w:ilvl w:val="0"/>
                <w:numId w:val="17"/>
              </w:numPr>
              <w:spacing w:before="120" w:line="276" w:lineRule="auto"/>
              <w:jc w:val="both"/>
              <w:rPr>
                <w:rFonts w:ascii="Verdana" w:hAnsi="Verdana" w:cs="Arial"/>
                <w:lang w:eastAsia="es-ES"/>
              </w:rPr>
            </w:pPr>
            <w:r w:rsidRPr="0035204D">
              <w:rPr>
                <w:rFonts w:ascii="Verdana" w:hAnsi="Verdana" w:cs="Arial"/>
                <w:lang w:val="pt-BR"/>
              </w:rPr>
              <w:t xml:space="preserve">Corte Constitucional. Sentencia C-713 de 2009. </w:t>
            </w:r>
            <w:r w:rsidRPr="0035204D">
              <w:rPr>
                <w:rFonts w:ascii="Verdana" w:hAnsi="Verdana" w:cs="Arial"/>
              </w:rPr>
              <w:t>M.P. María Victoria Calle Correa.</w:t>
            </w:r>
          </w:p>
          <w:p w14:paraId="4096C930" w14:textId="77777777" w:rsidR="001B6EEE" w:rsidRPr="0035204D" w:rsidRDefault="001B6EEE" w:rsidP="00CA221B">
            <w:pPr>
              <w:pStyle w:val="Prrafodelista"/>
              <w:numPr>
                <w:ilvl w:val="0"/>
                <w:numId w:val="17"/>
              </w:numPr>
              <w:spacing w:before="120" w:line="276" w:lineRule="auto"/>
              <w:jc w:val="both"/>
              <w:rPr>
                <w:rFonts w:ascii="Verdana" w:hAnsi="Verdana" w:cs="Arial"/>
                <w:lang w:eastAsia="es-ES"/>
              </w:rPr>
            </w:pPr>
            <w:r w:rsidRPr="0035204D">
              <w:rPr>
                <w:rFonts w:ascii="Verdana" w:hAnsi="Verdana"/>
              </w:rPr>
              <w:t xml:space="preserve">Guía para elaborar el plan anual de adquisiciones. Disponible en </w:t>
            </w:r>
            <w:hyperlink r:id="rId12" w:history="1">
              <w:r w:rsidRPr="0035204D">
                <w:rPr>
                  <w:rStyle w:val="Hipervnculo"/>
                  <w:rFonts w:ascii="Verdana" w:hAnsi="Verdana"/>
                  <w:lang w:val="es-CO"/>
                </w:rPr>
                <w:t>guia_para_elaborar_el_plan_anual_de_adquisiciones_0.pdf</w:t>
              </w:r>
            </w:hyperlink>
          </w:p>
          <w:p w14:paraId="73B0FB5E" w14:textId="77777777" w:rsidR="001B6EEE" w:rsidRPr="0035204D" w:rsidRDefault="001B6EEE" w:rsidP="00CA221B">
            <w:pPr>
              <w:pStyle w:val="Prrafodelista"/>
              <w:numPr>
                <w:ilvl w:val="0"/>
                <w:numId w:val="17"/>
              </w:numPr>
              <w:spacing w:before="120" w:line="276" w:lineRule="auto"/>
              <w:jc w:val="both"/>
              <w:rPr>
                <w:rFonts w:ascii="Verdana" w:hAnsi="Verdana" w:cs="Arial"/>
                <w:lang w:eastAsia="es-ES"/>
              </w:rPr>
            </w:pPr>
            <w:r w:rsidRPr="0035204D">
              <w:rPr>
                <w:rFonts w:ascii="Verdana" w:hAnsi="Verdana"/>
              </w:rPr>
              <w:t xml:space="preserve">Guía de competencia en las compras públicas- Disponible en </w:t>
            </w:r>
            <w:hyperlink r:id="rId13" w:history="1">
              <w:r w:rsidRPr="0035204D">
                <w:rPr>
                  <w:rStyle w:val="Hipervnculo"/>
                  <w:rFonts w:ascii="Verdana" w:hAnsi="Verdana"/>
                  <w:lang w:val="es-CO"/>
                </w:rPr>
                <w:t>cce_guia_competencia_0.pdf</w:t>
              </w:r>
            </w:hyperlink>
          </w:p>
        </w:tc>
      </w:tr>
    </w:tbl>
    <w:p w14:paraId="3E1A5833" w14:textId="77777777" w:rsidR="001B6EEE" w:rsidRDefault="001B6EEE" w:rsidP="001B6EEE">
      <w:pPr>
        <w:tabs>
          <w:tab w:val="left" w:pos="142"/>
          <w:tab w:val="left" w:pos="284"/>
          <w:tab w:val="left" w:pos="3828"/>
        </w:tabs>
        <w:spacing w:after="0" w:line="276" w:lineRule="auto"/>
        <w:jc w:val="both"/>
        <w:rPr>
          <w:rFonts w:ascii="Verdana" w:eastAsia="Century Gothic" w:hAnsi="Verdana" w:cs="Century Gothic"/>
          <w:b/>
          <w:bCs/>
        </w:rPr>
      </w:pPr>
    </w:p>
    <w:p w14:paraId="13B67C4A" w14:textId="77777777" w:rsidR="001B6EEE" w:rsidRPr="0091091D" w:rsidRDefault="001B6EEE" w:rsidP="001B6EEE">
      <w:pPr>
        <w:tabs>
          <w:tab w:val="left" w:pos="142"/>
          <w:tab w:val="left" w:pos="284"/>
          <w:tab w:val="left" w:pos="3828"/>
        </w:tabs>
        <w:spacing w:after="0" w:line="276" w:lineRule="auto"/>
        <w:jc w:val="both"/>
        <w:rPr>
          <w:rFonts w:ascii="Verdana" w:eastAsia="Century Gothic" w:hAnsi="Verdana" w:cs="Century Gothic"/>
          <w:b/>
          <w:bCs/>
        </w:rPr>
      </w:pPr>
      <w:r w:rsidRPr="0091091D">
        <w:rPr>
          <w:rFonts w:ascii="Verdana" w:eastAsia="Century Gothic" w:hAnsi="Verdana" w:cs="Century Gothic"/>
          <w:b/>
          <w:bCs/>
        </w:rPr>
        <w:t>5. Doctrina de la Agencia Nacional de Contratación Pública:</w:t>
      </w:r>
    </w:p>
    <w:p w14:paraId="5ACADB9A" w14:textId="77777777" w:rsidR="001B6EEE" w:rsidRPr="007A3DD4" w:rsidRDefault="001B6EEE" w:rsidP="001B6EEE">
      <w:pPr>
        <w:widowControl w:val="0"/>
        <w:autoSpaceDE w:val="0"/>
        <w:autoSpaceDN w:val="0"/>
        <w:spacing w:after="0" w:line="240" w:lineRule="auto"/>
        <w:jc w:val="both"/>
        <w:rPr>
          <w:rStyle w:val="normaltextrun"/>
          <w:rFonts w:ascii="Verdana" w:hAnsi="Verdana" w:cs="Arial"/>
          <w:shd w:val="clear" w:color="auto" w:fill="FFFFFF"/>
        </w:rPr>
      </w:pPr>
    </w:p>
    <w:p w14:paraId="3357900B" w14:textId="77777777" w:rsidR="001B6EEE" w:rsidRDefault="001B6EEE" w:rsidP="001B6EEE">
      <w:pPr>
        <w:widowControl w:val="0"/>
        <w:autoSpaceDE w:val="0"/>
        <w:autoSpaceDN w:val="0"/>
        <w:spacing w:after="120" w:line="276" w:lineRule="auto"/>
        <w:jc w:val="both"/>
        <w:rPr>
          <w:rFonts w:ascii="Verdana" w:hAnsi="Verdana" w:cs="Arial"/>
          <w:shd w:val="clear" w:color="auto" w:fill="FFFFFF"/>
          <w:lang w:val="es-ES_tradnl"/>
        </w:rPr>
      </w:pPr>
      <w:r w:rsidRPr="006A0F21">
        <w:rPr>
          <w:rFonts w:ascii="Verdana" w:hAnsi="Verdana" w:cs="Arial"/>
          <w:shd w:val="clear" w:color="auto" w:fill="FFFFFF"/>
          <w:lang w:val="es-ES_tradnl"/>
        </w:rPr>
        <w:t>La Agencia Nacional de Contratación Pública – Colombia Compra Eficiente se</w:t>
      </w:r>
      <w:r>
        <w:rPr>
          <w:rFonts w:ascii="Verdana" w:hAnsi="Verdana" w:cs="Arial"/>
          <w:shd w:val="clear" w:color="auto" w:fill="FFFFFF"/>
          <w:lang w:val="es-ES_tradnl"/>
        </w:rPr>
        <w:t xml:space="preserve"> ha pronunciado sobre </w:t>
      </w:r>
      <w:r w:rsidRPr="00F50E68">
        <w:rPr>
          <w:rFonts w:ascii="Verdana" w:eastAsia="Aptos" w:hAnsi="Verdana" w:cs="Arial"/>
          <w:shd w:val="clear" w:color="auto" w:fill="FFFFFF"/>
          <w:lang w:val="es-ES"/>
        </w:rPr>
        <w:t xml:space="preserve">el marco jurídico </w:t>
      </w:r>
      <w:r>
        <w:rPr>
          <w:rFonts w:ascii="Verdana" w:eastAsia="Aptos" w:hAnsi="Verdana" w:cs="Arial"/>
          <w:shd w:val="clear" w:color="auto" w:fill="FFFFFF"/>
          <w:lang w:val="es-ES"/>
        </w:rPr>
        <w:t xml:space="preserve">y el alcance </w:t>
      </w:r>
      <w:r w:rsidRPr="00F50E68">
        <w:rPr>
          <w:rFonts w:ascii="Verdana" w:eastAsia="Aptos" w:hAnsi="Verdana" w:cs="Arial"/>
          <w:shd w:val="clear" w:color="auto" w:fill="FFFFFF"/>
          <w:lang w:val="es-ES"/>
        </w:rPr>
        <w:t xml:space="preserve">del PAA en los </w:t>
      </w:r>
      <w:r>
        <w:rPr>
          <w:rFonts w:ascii="Verdana" w:eastAsia="Aptos" w:hAnsi="Verdana" w:cs="Arial"/>
          <w:shd w:val="clear" w:color="auto" w:fill="FFFFFF"/>
          <w:lang w:val="es-ES"/>
        </w:rPr>
        <w:t>c</w:t>
      </w:r>
      <w:r w:rsidRPr="00F50E68">
        <w:rPr>
          <w:rFonts w:ascii="Verdana" w:eastAsia="Aptos" w:hAnsi="Verdana" w:cs="Arial"/>
          <w:shd w:val="clear" w:color="auto" w:fill="FFFFFF"/>
          <w:lang w:val="es-ES"/>
        </w:rPr>
        <w:t xml:space="preserve">onceptos </w:t>
      </w:r>
      <w:r w:rsidRPr="00F50E68">
        <w:rPr>
          <w:rFonts w:ascii="Verdana" w:eastAsia="Calibri" w:hAnsi="Verdana" w:cs="Arial"/>
          <w:lang w:val="es-ES_tradnl" w:eastAsia="es-MX"/>
        </w:rPr>
        <w:t>C-257 de 3 de junio de 2021, C-258 de 3 de junio de 2021, C-345 de 13 de julio de 2021, C-376 de 26 de julio de 2021, C-489 de 13 de septiembre de 2021, C-637 del 7 de diciembre de 2021, C-733 del 13 de enero de 2022,  C-026 del 18 de febrero de 2022, C-027 del 25 de febrero de 2022, C-047 del 2 de marzo de 2022, C-087 del 17 de marzo de 2022, C-408 del 23 de junio de 2022, C-622 de 28 de septiembre de 2022, C-754 de 9 de noviembre de 2022 , C-763 de 15 de noviembre de 2022, C-889 de 26 de diciembre de 2022, C-062 del 18 de abril de 2023, C-142 de 30 de mayo de 2023, C-196 de 15 de junio de 2023, C-122 de 21 de junio de 2023, C-364 de 6 de septiembre de 2023, C-438 del 24 de octubre 2023</w:t>
      </w:r>
      <w:r w:rsidRPr="00F50E68">
        <w:rPr>
          <w:rFonts w:ascii="Verdana" w:eastAsia="Aptos" w:hAnsi="Verdana" w:cs="Arial"/>
          <w:shd w:val="clear" w:color="auto" w:fill="FFFFFF"/>
          <w:lang w:val="es-ES"/>
        </w:rPr>
        <w:t xml:space="preserve">, C-887 del 20 de diciembre de 2024, C-934 del 30 de diciembre de 2024, C-1015 del 30 de diciembre de 2024, C-023 del 29 de enero de 2025, </w:t>
      </w:r>
      <w:r>
        <w:rPr>
          <w:rFonts w:ascii="Verdana" w:eastAsia="Aptos" w:hAnsi="Verdana" w:cs="Arial"/>
          <w:shd w:val="clear" w:color="auto" w:fill="FFFFFF"/>
          <w:lang w:val="es-ES"/>
        </w:rPr>
        <w:t xml:space="preserve">C-327 del 10 de abril de 2026, C-424 del 22 de mayo de 2026, </w:t>
      </w:r>
      <w:r w:rsidRPr="00F50E68">
        <w:rPr>
          <w:rFonts w:ascii="Verdana" w:eastAsia="Aptos" w:hAnsi="Verdana" w:cs="Arial"/>
          <w:shd w:val="clear" w:color="auto" w:fill="FFFFFF"/>
          <w:lang w:val="es-ES"/>
        </w:rPr>
        <w:t>entre otros</w:t>
      </w:r>
      <w:r>
        <w:rPr>
          <w:rFonts w:ascii="Verdana" w:eastAsia="Aptos" w:hAnsi="Verdana" w:cs="Arial"/>
          <w:shd w:val="clear" w:color="auto" w:fill="FFFFFF"/>
          <w:lang w:val="es-ES"/>
        </w:rPr>
        <w:t>.</w:t>
      </w:r>
      <w:r w:rsidRPr="006A0F21">
        <w:rPr>
          <w:rFonts w:ascii="Verdana" w:hAnsi="Verdana" w:cs="Arial"/>
          <w:shd w:val="clear" w:color="auto" w:fill="FFFFFF"/>
          <w:lang w:val="es-ES_tradnl"/>
        </w:rPr>
        <w:t xml:space="preserve"> </w:t>
      </w:r>
    </w:p>
    <w:p w14:paraId="413DBB74" w14:textId="77777777" w:rsidR="001B6EEE" w:rsidRPr="00CD5FF1" w:rsidRDefault="001B6EEE" w:rsidP="001B6EEE">
      <w:pPr>
        <w:widowControl w:val="0"/>
        <w:autoSpaceDE w:val="0"/>
        <w:autoSpaceDN w:val="0"/>
        <w:spacing w:after="120" w:line="276" w:lineRule="auto"/>
        <w:jc w:val="both"/>
        <w:rPr>
          <w:rFonts w:ascii="Verdana" w:hAnsi="Verdana" w:cs="Arial"/>
          <w:shd w:val="clear" w:color="auto" w:fill="FFFFFF"/>
          <w:lang w:val="es-ES"/>
        </w:rPr>
      </w:pPr>
      <w:r>
        <w:rPr>
          <w:rFonts w:ascii="Verdana" w:hAnsi="Verdana" w:cs="Arial"/>
          <w:shd w:val="clear" w:color="auto" w:fill="FFFFFF"/>
          <w:lang w:val="es-ES_tradnl"/>
        </w:rPr>
        <w:t xml:space="preserve">Así mismo la Agencia se ha pronunciado </w:t>
      </w:r>
      <w:r w:rsidRPr="006A0F21">
        <w:rPr>
          <w:rFonts w:ascii="Verdana" w:hAnsi="Verdana" w:cs="Arial"/>
          <w:shd w:val="clear" w:color="auto" w:fill="FFFFFF"/>
          <w:lang w:val="es-ES_tradnl"/>
        </w:rPr>
        <w:t>sobre la modalidad de selección del contratista por contratación directa y los principios de la contratación estatal en los conceptos No. 4201912000006310 del 9 de octubre de 2019, C-223 del 29 de abril de 2020, C-443 del 7 de julio de 2020 y, en particular, en los conceptos C-701 de 7 de diciembre de 2020, C-726 de 14 de diciembre de 2020</w:t>
      </w:r>
      <w:r w:rsidRPr="006A0F21">
        <w:rPr>
          <w:rFonts w:ascii="Verdana" w:hAnsi="Verdana" w:cs="Arial"/>
          <w:shd w:val="clear" w:color="auto" w:fill="FFFFFF"/>
        </w:rPr>
        <w:t xml:space="preserve"> y C-150 del 9 de abril de 2021, C-418 del 18 de agosto de 2021, C-561 del 8 de octubre de 2021</w:t>
      </w:r>
      <w:r>
        <w:rPr>
          <w:rFonts w:ascii="Verdana" w:hAnsi="Verdana" w:cs="Arial"/>
          <w:shd w:val="clear" w:color="auto" w:fill="FFFFFF"/>
        </w:rPr>
        <w:t>, C-564 del 30 de mayo de 2025,</w:t>
      </w:r>
      <w:r w:rsidRPr="006A0F21">
        <w:rPr>
          <w:rFonts w:ascii="Verdana" w:hAnsi="Verdana" w:cs="Arial"/>
          <w:shd w:val="clear" w:color="auto" w:fill="FFFFFF"/>
        </w:rPr>
        <w:t xml:space="preserve"> </w:t>
      </w:r>
      <w:r w:rsidRPr="00622C01">
        <w:rPr>
          <w:rFonts w:ascii="Verdana" w:hAnsi="Verdana" w:cs="Arial"/>
          <w:shd w:val="clear" w:color="auto" w:fill="FFFFFF"/>
          <w:lang w:val="es-ES"/>
        </w:rPr>
        <w:t>entre otro</w:t>
      </w:r>
      <w:r>
        <w:rPr>
          <w:rFonts w:ascii="Verdana" w:hAnsi="Verdana" w:cs="Arial"/>
          <w:shd w:val="clear" w:color="auto" w:fill="FFFFFF"/>
          <w:lang w:val="es-ES"/>
        </w:rPr>
        <w:t>s</w:t>
      </w:r>
      <w:r w:rsidRPr="00622C01">
        <w:rPr>
          <w:rFonts w:ascii="Verdana" w:hAnsi="Verdana" w:cs="Arial"/>
          <w:shd w:val="clear" w:color="auto" w:fill="FFFFFF"/>
          <w:lang w:val="es-ES"/>
        </w:rPr>
        <w:t>.</w:t>
      </w:r>
      <w:r>
        <w:rPr>
          <w:rFonts w:ascii="Verdana" w:hAnsi="Verdana" w:cs="Arial"/>
          <w:shd w:val="clear" w:color="auto" w:fill="FFFFFF"/>
          <w:lang w:val="es-ES"/>
        </w:rPr>
        <w:t xml:space="preserve"> </w:t>
      </w:r>
      <w:r w:rsidRPr="00622C01">
        <w:rPr>
          <w:rFonts w:ascii="Verdana" w:hAnsi="Verdana" w:cs="Arial"/>
        </w:rPr>
        <w:t xml:space="preserve">Estos y otros </w:t>
      </w:r>
      <w:r w:rsidRPr="00622C01">
        <w:rPr>
          <w:rFonts w:ascii="Verdana" w:hAnsi="Verdana"/>
        </w:rPr>
        <w:t>conceptos se encuentran disponibles para consulta en el Sistema de relatoría de la Agencia, al cual se puede acceder a través del siguiente enlace:</w:t>
      </w:r>
      <w:r w:rsidRPr="00622C01">
        <w:rPr>
          <w:rFonts w:ascii="Verdana" w:hAnsi="Verdana" w:cs="Arial"/>
          <w:shd w:val="clear" w:color="auto" w:fill="FFFFFF"/>
        </w:rPr>
        <w:t xml:space="preserve"> </w:t>
      </w:r>
      <w:hyperlink r:id="rId14" w:history="1">
        <w:r w:rsidRPr="00622C01">
          <w:rPr>
            <w:rFonts w:ascii="Verdana" w:hAnsi="Verdana" w:cs="Arial"/>
            <w:color w:val="0563C1" w:themeColor="hyperlink"/>
            <w:u w:val="single"/>
            <w:shd w:val="clear" w:color="auto" w:fill="FFFFFF"/>
          </w:rPr>
          <w:t>https://relatoria.colombiacompra.gov.co/busqueda/conceptos</w:t>
        </w:r>
      </w:hyperlink>
      <w:r w:rsidRPr="00622C01">
        <w:rPr>
          <w:rFonts w:ascii="Verdana" w:hAnsi="Verdana" w:cs="Arial"/>
          <w:shd w:val="clear" w:color="auto" w:fill="FFFFFF"/>
        </w:rPr>
        <w:t>.</w:t>
      </w:r>
      <w:r w:rsidRPr="00147D6A">
        <w:rPr>
          <w:rFonts w:ascii="Verdana" w:hAnsi="Verdana" w:cs="Arial"/>
          <w:color w:val="FF0000"/>
          <w:shd w:val="clear" w:color="auto" w:fill="FFFFFF"/>
        </w:rPr>
        <w:t xml:space="preserve"> </w:t>
      </w:r>
    </w:p>
    <w:p w14:paraId="784D3996" w14:textId="77777777" w:rsidR="001B6EEE" w:rsidRPr="00AB4B99" w:rsidRDefault="001B6EEE" w:rsidP="001B6EEE">
      <w:pPr>
        <w:widowControl w:val="0"/>
        <w:autoSpaceDE w:val="0"/>
        <w:autoSpaceDN w:val="0"/>
        <w:spacing w:after="120" w:line="276" w:lineRule="auto"/>
        <w:jc w:val="both"/>
        <w:rPr>
          <w:rFonts w:ascii="Verdana" w:hAnsi="Verdana" w:cs="Arial"/>
          <w:shd w:val="clear" w:color="auto" w:fill="FFFFFF"/>
        </w:rPr>
      </w:pPr>
      <w:r w:rsidRPr="00147D6A">
        <w:rPr>
          <w:rFonts w:ascii="Verdana" w:hAnsi="Verdana"/>
        </w:rPr>
        <w:t>La sostenibilidad no es una opción, es una obligación. Por ello</w:t>
      </w:r>
      <w:r w:rsidRPr="009A385A">
        <w:rPr>
          <w:rFonts w:ascii="Verdana" w:hAnsi="Verdana"/>
        </w:rPr>
        <w:t xml:space="preserve">,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5" w:tgtFrame="_new" w:history="1">
        <w:r w:rsidRPr="008746BD">
          <w:rPr>
            <w:rStyle w:val="Hipervnculo"/>
            <w:rFonts w:ascii="Verdana" w:hAnsi="Verdana"/>
          </w:rPr>
          <w:t>https://formacionvirtual.colombiacompra.gov.co/mod/page/view.php?id=3718</w:t>
        </w:r>
      </w:hyperlink>
    </w:p>
    <w:p w14:paraId="3B0E43B4" w14:textId="77777777" w:rsidR="001B6EEE" w:rsidRDefault="001B6EEE" w:rsidP="001B6EEE">
      <w:pPr>
        <w:widowControl w:val="0"/>
        <w:autoSpaceDE w:val="0"/>
        <w:autoSpaceDN w:val="0"/>
        <w:spacing w:after="120" w:line="276" w:lineRule="auto"/>
        <w:jc w:val="both"/>
        <w:rPr>
          <w:rStyle w:val="Hipervnculo"/>
          <w:rFonts w:ascii="Verdana" w:hAnsi="Verdana" w:cs="Arial"/>
          <w:color w:val="auto"/>
          <w:u w:val="none"/>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da</w:t>
      </w:r>
      <w:r>
        <w:rPr>
          <w:rFonts w:ascii="Verdana" w:hAnsi="Verdana"/>
        </w:rPr>
        <w:t>do</w:t>
      </w:r>
      <w:r w:rsidRPr="00635F16">
        <w:rPr>
          <w:rFonts w:ascii="Verdana" w:hAnsi="Verdana"/>
        </w:rPr>
        <w:t xml:space="preserve">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0E1EA7">
        <w:rPr>
          <w:rFonts w:ascii="Verdana" w:hAnsi="Verdana"/>
          <w:b/>
          <w:bCs/>
        </w:rPr>
        <w:t>Resoluciones 539, 540, 541, 952 y 953 de 2025</w:t>
      </w:r>
      <w:r w:rsidRPr="000E1EA7">
        <w:rPr>
          <w:rFonts w:ascii="Verdana" w:hAnsi="Verdana"/>
        </w:rPr>
        <w:t xml:space="preserve">, </w:t>
      </w:r>
      <w:r w:rsidRPr="000E1EA7">
        <w:rPr>
          <w:rFonts w:ascii="Verdana" w:hAnsi="Verdana"/>
          <w:b/>
          <w:bCs/>
        </w:rPr>
        <w:t>mediante las cuales adoptó Documentos Tipo</w:t>
      </w:r>
      <w:r w:rsidRPr="000E1EA7">
        <w:rPr>
          <w:rFonts w:ascii="Verdana" w:hAnsi="Verdana"/>
        </w:rPr>
        <w:t xml:space="preserve"> para las modalidades de selección de</w:t>
      </w:r>
      <w:r w:rsidRPr="000E1EA7">
        <w:rPr>
          <w:rFonts w:ascii="Verdana" w:hAnsi="Verdana"/>
          <w:b/>
          <w:bCs/>
        </w:rPr>
        <w:t xml:space="preserve"> licitación pública (versión 2), selección abreviada de menor cuantía, mínima cuantía, consultoría e interventoría</w:t>
      </w:r>
      <w:r w:rsidRPr="000E1EA7">
        <w:rPr>
          <w:rFonts w:ascii="Verdana" w:hAnsi="Verdana"/>
        </w:rPr>
        <w:t xml:space="preserve">, promoviendo procesos más transparentes, eficientes  competitivos y sostenibles en sectores estratégicos como educación, salud, cultura, recreación, deporte, institucional y vivienda. Consulta y descarga los documentos aquí: </w:t>
      </w:r>
      <w:hyperlink r:id="rId16" w:tgtFrame="_new" w:history="1">
        <w:r w:rsidRPr="000E1EA7">
          <w:rPr>
            <w:rStyle w:val="Hipervnculo"/>
            <w:rFonts w:ascii="Verdana" w:hAnsi="Verdana"/>
          </w:rPr>
          <w:t>https://www.colombiacompra.gov.co/normativa-y-relatoria/documentos-tipo</w:t>
        </w:r>
      </w:hyperlink>
    </w:p>
    <w:p w14:paraId="2D4821EA" w14:textId="77777777" w:rsidR="001B6EEE" w:rsidRDefault="001B6EEE" w:rsidP="001B6EEE">
      <w:pPr>
        <w:widowControl w:val="0"/>
        <w:autoSpaceDE w:val="0"/>
        <w:autoSpaceDN w:val="0"/>
        <w:spacing w:after="120" w:line="276" w:lineRule="auto"/>
        <w:jc w:val="both"/>
        <w:rPr>
          <w:rStyle w:val="Hipervnculo"/>
          <w:rFonts w:ascii="Verdana" w:hAnsi="Verdana" w:cs="Arial"/>
          <w:color w:val="auto"/>
          <w:u w:val="none"/>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8746BD">
        <w:rPr>
          <w:rFonts w:ascii="Verdana" w:hAnsi="Verdana"/>
        </w:rPr>
        <w:t>Además se incluyeron lineamientos que orientan la implementación de los criterios ambientales y sociales incluidos en los documentos tipo: Consulta la guía aquí:</w:t>
      </w:r>
      <w:r w:rsidRPr="008746BD">
        <w:rPr>
          <w:rFonts w:ascii="Verdana" w:hAnsi="Verdana"/>
        </w:rPr>
        <w:br/>
      </w:r>
      <w:hyperlink r:id="rId17" w:tgtFrame="_new" w:history="1">
        <w:r w:rsidRPr="008746BD">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4349D976" w14:textId="77777777" w:rsidR="001B6EEE" w:rsidRPr="007A3DD4" w:rsidRDefault="001B6EEE" w:rsidP="001B6EEE">
      <w:pPr>
        <w:widowControl w:val="0"/>
        <w:autoSpaceDE w:val="0"/>
        <w:autoSpaceDN w:val="0"/>
        <w:spacing w:after="120" w:line="276" w:lineRule="auto"/>
        <w:jc w:val="both"/>
        <w:rPr>
          <w:rFonts w:ascii="Verdana" w:hAnsi="Verdana" w:cs="Arial"/>
        </w:rPr>
      </w:pPr>
      <w:r w:rsidRPr="001A68FB">
        <w:rPr>
          <w:rFonts w:ascii="Verdana" w:hAnsi="Verdana"/>
        </w:rPr>
        <w:t>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w:t>
      </w:r>
      <w:r w:rsidRPr="00116940">
        <w:rPr>
          <w:rFonts w:ascii="Verdana" w:hAnsi="Verdana"/>
        </w:rPr>
        <w:t xml:space="preserve"> </w:t>
      </w:r>
    </w:p>
    <w:p w14:paraId="03285A57" w14:textId="77777777" w:rsidR="001B6EEE" w:rsidRPr="00116940" w:rsidRDefault="001B6EEE" w:rsidP="001B6EEE">
      <w:pPr>
        <w:pStyle w:val="Prrafodelista"/>
        <w:numPr>
          <w:ilvl w:val="0"/>
          <w:numId w:val="15"/>
        </w:numPr>
        <w:spacing w:after="0" w:line="276" w:lineRule="auto"/>
        <w:contextualSpacing w:val="0"/>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3E1E603F" w14:textId="77777777" w:rsidR="001B6EEE" w:rsidRPr="00116940" w:rsidRDefault="001B6EEE" w:rsidP="001B6EEE">
      <w:pPr>
        <w:pStyle w:val="Prrafodelista"/>
        <w:numPr>
          <w:ilvl w:val="0"/>
          <w:numId w:val="15"/>
        </w:numPr>
        <w:spacing w:after="0" w:line="276" w:lineRule="auto"/>
        <w:contextualSpacing w:val="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2E5F23E9" w14:textId="77777777" w:rsidR="001B6EEE" w:rsidRPr="00116940" w:rsidRDefault="001B6EEE" w:rsidP="001B6EEE">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8">
        <w:r w:rsidRPr="00116940">
          <w:rPr>
            <w:rStyle w:val="Hipervnculo"/>
            <w:rFonts w:ascii="Verdana" w:eastAsia="Verdana" w:hAnsi="Verdana" w:cs="Verdana"/>
            <w:lang w:val="es-MX"/>
          </w:rPr>
          <w:t>ventanilladeradicacion@colombiacompra.gov.co</w:t>
        </w:r>
      </w:hyperlink>
    </w:p>
    <w:p w14:paraId="12F17604" w14:textId="77777777" w:rsidR="001B6EEE" w:rsidRPr="00116940" w:rsidRDefault="001B6EEE" w:rsidP="001B6EEE">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9">
        <w:r w:rsidRPr="00116940">
          <w:rPr>
            <w:rStyle w:val="Hipervnculo"/>
            <w:rFonts w:ascii="Verdana" w:eastAsia="Verdana" w:hAnsi="Verdana" w:cs="Verdana"/>
            <w:lang w:val="es-MX"/>
          </w:rPr>
          <w:t>https://www.colombiacompra.gov.co/pqrsd/informacion-importante-antes-de-formular-una-pqrsd</w:t>
        </w:r>
      </w:hyperlink>
    </w:p>
    <w:p w14:paraId="54493F29" w14:textId="77777777" w:rsidR="001B6EEE" w:rsidRDefault="001B6EEE" w:rsidP="001B6EEE">
      <w:pPr>
        <w:spacing w:after="0" w:line="240" w:lineRule="auto"/>
        <w:jc w:val="both"/>
        <w:rPr>
          <w:rFonts w:ascii="Verdana" w:hAnsi="Verdana"/>
        </w:rPr>
      </w:pPr>
    </w:p>
    <w:p w14:paraId="1908DB38" w14:textId="77777777" w:rsidR="001B6EEE" w:rsidRDefault="001B6EEE" w:rsidP="001B6EEE">
      <w:pPr>
        <w:spacing w:after="0" w:line="276" w:lineRule="auto"/>
        <w:jc w:val="both"/>
        <w:rPr>
          <w:rFonts w:ascii="Verdana" w:hAnsi="Verdana"/>
        </w:rPr>
      </w:pPr>
      <w:r w:rsidRPr="00116940">
        <w:rPr>
          <w:rFonts w:ascii="Verdana" w:hAnsi="Verdana"/>
        </w:rPr>
        <w:t>Evalúa el servicio que ofrece la Agencia por el canal de atención de PQRSD en el siguiente enlace:</w:t>
      </w:r>
      <w:r>
        <w:rPr>
          <w:rFonts w:ascii="Verdana" w:hAnsi="Verdana"/>
        </w:rPr>
        <w:t xml:space="preserve"> </w:t>
      </w:r>
      <w:hyperlink r:id="rId20" w:history="1">
        <w:r w:rsidRPr="008746BD">
          <w:rPr>
            <w:rStyle w:val="Hipervnculo"/>
            <w:rFonts w:ascii="Verdana" w:eastAsia="Verdana" w:hAnsi="Verdana" w:cs="Verdana"/>
            <w:lang w:val="es-MX"/>
          </w:rPr>
          <w:t>https://forms.office.com/r/pPHyWVs2SZ</w:t>
        </w:r>
      </w:hyperlink>
      <w:r w:rsidRPr="008746BD">
        <w:rPr>
          <w:rStyle w:val="Hipervnculo"/>
          <w:rFonts w:ascii="Verdana" w:eastAsia="Verdana" w:hAnsi="Verdana" w:cs="Verdana"/>
          <w:lang w:val="es-MX"/>
        </w:rPr>
        <w:t>.</w:t>
      </w:r>
      <w:r>
        <w:rPr>
          <w:rFonts w:ascii="Verdana" w:hAnsi="Verdana"/>
        </w:rPr>
        <w:t xml:space="preserve"> </w:t>
      </w:r>
      <w:r w:rsidRPr="00116940">
        <w:rPr>
          <w:rFonts w:ascii="Verdana" w:hAnsi="Verdana"/>
        </w:rPr>
        <w:t>¡Ayúdanos a mejorar porque el compromiso es de todos!</w:t>
      </w:r>
    </w:p>
    <w:p w14:paraId="03CEA639" w14:textId="77777777" w:rsidR="001B6EEE" w:rsidRDefault="001B6EEE" w:rsidP="001B6EEE">
      <w:pPr>
        <w:spacing w:after="0" w:line="240" w:lineRule="auto"/>
        <w:jc w:val="both"/>
        <w:rPr>
          <w:rFonts w:ascii="Verdana" w:hAnsi="Verdana"/>
        </w:rPr>
      </w:pPr>
    </w:p>
    <w:p w14:paraId="29CB98FF" w14:textId="77777777" w:rsidR="001B6EEE" w:rsidRPr="00116940" w:rsidRDefault="001B6EEE" w:rsidP="001B6EEE">
      <w:pPr>
        <w:spacing w:after="0" w:line="276"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02B942A3" w14:textId="77777777" w:rsidR="001B6EEE" w:rsidRPr="008746BD" w:rsidRDefault="001B6EEE" w:rsidP="001B6EEE">
      <w:pPr>
        <w:spacing w:after="0" w:line="240" w:lineRule="auto"/>
        <w:jc w:val="both"/>
        <w:rPr>
          <w:rFonts w:ascii="Verdana" w:hAnsi="Verdana"/>
        </w:rPr>
      </w:pPr>
    </w:p>
    <w:p w14:paraId="183E0C15" w14:textId="77777777" w:rsidR="001B6EEE" w:rsidRPr="00116940" w:rsidRDefault="001B6EEE" w:rsidP="001B6EEE">
      <w:pPr>
        <w:spacing w:after="0" w:line="276"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1F624332" w14:textId="77777777" w:rsidR="001B6EEE" w:rsidRPr="00116940" w:rsidRDefault="001B6EEE" w:rsidP="001B6EEE">
      <w:pPr>
        <w:spacing w:after="0" w:line="276" w:lineRule="auto"/>
        <w:jc w:val="both"/>
        <w:rPr>
          <w:rFonts w:ascii="Verdana" w:hAnsi="Verdana"/>
        </w:rPr>
      </w:pPr>
      <w:r w:rsidRPr="00116940">
        <w:rPr>
          <w:rFonts w:ascii="Verdana" w:hAnsi="Verdana"/>
        </w:rPr>
        <w:t xml:space="preserve">Facebook: </w:t>
      </w:r>
      <w:r w:rsidRPr="00116940">
        <w:rPr>
          <w:rStyle w:val="Hipervnculo"/>
          <w:rFonts w:ascii="Verdana" w:hAnsi="Verdana"/>
        </w:rPr>
        <w:t>ColombiaCompraEficiente</w:t>
      </w:r>
    </w:p>
    <w:p w14:paraId="17B89D2C" w14:textId="77777777" w:rsidR="001B6EEE" w:rsidRPr="00116940" w:rsidRDefault="001B6EEE" w:rsidP="001B6EEE">
      <w:pPr>
        <w:spacing w:after="0" w:line="276"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207269D1" w14:textId="77777777" w:rsidR="001B6EEE" w:rsidRDefault="001B6EEE" w:rsidP="001B6EEE">
      <w:pPr>
        <w:spacing w:after="0" w:line="276" w:lineRule="auto"/>
        <w:jc w:val="both"/>
        <w:rPr>
          <w:rFonts w:ascii="Century Gothic" w:eastAsia="Century Gothic" w:hAnsi="Century Gothic" w:cs="Century Gothic"/>
          <w:lang w:val="es-ES" w:eastAsia="es-ES_tradnl"/>
        </w:rPr>
      </w:pPr>
    </w:p>
    <w:p w14:paraId="60523FAE" w14:textId="77777777" w:rsidR="001B6EEE" w:rsidRPr="00842775" w:rsidRDefault="001B6EEE" w:rsidP="001B6EEE">
      <w:pPr>
        <w:spacing w:after="120" w:line="276" w:lineRule="auto"/>
        <w:jc w:val="both"/>
        <w:rPr>
          <w:rFonts w:ascii="Verdana" w:hAnsi="Verdana"/>
          <w:lang w:val="es-MX"/>
        </w:rPr>
      </w:pPr>
      <w:r w:rsidRPr="00842775">
        <w:rPr>
          <w:rFonts w:ascii="Verdana" w:eastAsia="Century Gothic" w:hAnsi="Verdana" w:cs="Century Gothic"/>
          <w:lang w:val="es-ES" w:eastAsia="es-ES_tradn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r>
        <w:rPr>
          <w:rFonts w:ascii="Verdana" w:eastAsia="Century Gothic" w:hAnsi="Verdana" w:cs="Century Gothic"/>
          <w:lang w:val="es-ES" w:eastAsia="es-ES_tradnl"/>
        </w:rPr>
        <w:t>.</w:t>
      </w:r>
    </w:p>
    <w:p w14:paraId="4E61DE5C" w14:textId="77777777" w:rsidR="001B6EEE" w:rsidRDefault="001B6EEE" w:rsidP="001B6EEE">
      <w:pPr>
        <w:spacing w:after="0" w:line="276" w:lineRule="auto"/>
        <w:jc w:val="both"/>
        <w:rPr>
          <w:rFonts w:ascii="Verdana" w:hAnsi="Verdana"/>
          <w:lang w:val="es-MX"/>
        </w:rPr>
      </w:pPr>
    </w:p>
    <w:p w14:paraId="0115C6D3" w14:textId="48CBB45C" w:rsidR="001B6EEE" w:rsidRPr="00330029" w:rsidRDefault="001B6EEE" w:rsidP="001B6EEE">
      <w:pPr>
        <w:spacing w:after="0" w:line="276" w:lineRule="auto"/>
        <w:jc w:val="both"/>
        <w:rPr>
          <w:rFonts w:ascii="Verdana" w:hAnsi="Verdana"/>
          <w:lang w:val="es-MX"/>
        </w:rPr>
      </w:pPr>
      <w:r w:rsidRPr="00E02524">
        <w:rPr>
          <w:rFonts w:ascii="Verdana" w:hAnsi="Verdana"/>
          <w:lang w:val="es-MX"/>
        </w:rPr>
        <w:t>Cordialmente</w:t>
      </w:r>
    </w:p>
    <w:p w14:paraId="58768132" w14:textId="17EBE936" w:rsidR="001B6EEE" w:rsidRDefault="001B6EEE" w:rsidP="001B6EEE">
      <w:pPr>
        <w:spacing w:after="0" w:line="256" w:lineRule="auto"/>
        <w:jc w:val="center"/>
        <w:rPr>
          <w:rFonts w:ascii="Verdana" w:eastAsia="Calibri" w:hAnsi="Verdana" w:cs="Times New Roman"/>
        </w:rPr>
      </w:pPr>
    </w:p>
    <w:p w14:paraId="55474A95" w14:textId="513AF623" w:rsidR="001B6EEE" w:rsidRDefault="00CB77E1" w:rsidP="001B6EEE">
      <w:pPr>
        <w:spacing w:after="0" w:line="256" w:lineRule="auto"/>
        <w:jc w:val="center"/>
        <w:rPr>
          <w:rFonts w:ascii="Verdana" w:eastAsia="Calibri" w:hAnsi="Verdana" w:cs="Times New Roman"/>
        </w:rPr>
      </w:pPr>
      <w:r w:rsidRPr="0065791A">
        <w:rPr>
          <w:rFonts w:ascii="Century Gothic" w:hAnsi="Century Gothic"/>
          <w:noProof/>
        </w:rPr>
        <w:drawing>
          <wp:inline distT="0" distB="0" distL="0" distR="0" wp14:anchorId="5E017428" wp14:editId="640917FC">
            <wp:extent cx="2823667" cy="1330382"/>
            <wp:effectExtent l="0" t="0" r="0" b="3175"/>
            <wp:docPr id="119417683" name="Imagen 1" descr="Interfaz de usuario gráfica, Texto,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7683" name="Imagen 1" descr="Interfaz de usuario gráfica, Texto, Aplicación&#10;&#10;Descripción generada automáticamente con confianza media"/>
                    <pic:cNvPicPr/>
                  </pic:nvPicPr>
                  <pic:blipFill>
                    <a:blip r:embed="rId21"/>
                    <a:stretch>
                      <a:fillRect/>
                    </a:stretch>
                  </pic:blipFill>
                  <pic:spPr>
                    <a:xfrm>
                      <a:off x="0" y="0"/>
                      <a:ext cx="2832609" cy="1334595"/>
                    </a:xfrm>
                    <a:prstGeom prst="rect">
                      <a:avLst/>
                    </a:prstGeom>
                  </pic:spPr>
                </pic:pic>
              </a:graphicData>
            </a:graphic>
          </wp:inline>
        </w:drawing>
      </w:r>
    </w:p>
    <w:p w14:paraId="2B0513CA" w14:textId="77777777" w:rsidR="001B6EEE" w:rsidRDefault="001B6EEE" w:rsidP="001B6EEE">
      <w:pPr>
        <w:spacing w:after="0" w:line="256" w:lineRule="auto"/>
        <w:jc w:val="center"/>
        <w:rPr>
          <w:rFonts w:ascii="Verdana" w:eastAsia="Calibri" w:hAnsi="Verdana" w:cs="Times New Roman"/>
        </w:rPr>
      </w:pPr>
    </w:p>
    <w:tbl>
      <w:tblPr>
        <w:tblStyle w:val="Tablaconcuadrcula"/>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061"/>
      </w:tblGrid>
      <w:tr w:rsidR="001B6EEE" w:rsidRPr="005644FE" w14:paraId="55EE07FC" w14:textId="77777777" w:rsidTr="00CA221B">
        <w:trPr>
          <w:trHeight w:val="288"/>
        </w:trPr>
        <w:tc>
          <w:tcPr>
            <w:tcW w:w="893" w:type="dxa"/>
            <w:vAlign w:val="center"/>
            <w:hideMark/>
          </w:tcPr>
          <w:p w14:paraId="7CD5082B" w14:textId="77777777" w:rsidR="001B6EEE" w:rsidRPr="005644FE" w:rsidRDefault="001B6EEE" w:rsidP="00CA221B">
            <w:pPr>
              <w:contextualSpacing/>
              <w:rPr>
                <w:rFonts w:ascii="Verdana" w:hAnsi="Verdana" w:cs="Arial"/>
                <w:sz w:val="16"/>
                <w:szCs w:val="16"/>
                <w:lang w:eastAsia="es-ES"/>
              </w:rPr>
            </w:pPr>
            <w:r w:rsidRPr="005644FE">
              <w:rPr>
                <w:rFonts w:ascii="Verdana" w:hAnsi="Verdana" w:cs="Arial"/>
                <w:sz w:val="16"/>
                <w:szCs w:val="16"/>
                <w:lang w:eastAsia="es-ES"/>
              </w:rPr>
              <w:t>Elaboró:</w:t>
            </w:r>
          </w:p>
        </w:tc>
        <w:tc>
          <w:tcPr>
            <w:tcW w:w="5061" w:type="dxa"/>
            <w:tcBorders>
              <w:top w:val="nil"/>
              <w:left w:val="nil"/>
              <w:bottom w:val="dotted" w:sz="4" w:space="0" w:color="7F7F7F" w:themeColor="text1" w:themeTint="80"/>
              <w:right w:val="nil"/>
            </w:tcBorders>
            <w:vAlign w:val="center"/>
            <w:hideMark/>
          </w:tcPr>
          <w:p w14:paraId="13A74705" w14:textId="77777777" w:rsidR="001B6EEE" w:rsidRPr="005644FE" w:rsidRDefault="001B6EEE" w:rsidP="00CA221B">
            <w:pPr>
              <w:contextualSpacing/>
              <w:rPr>
                <w:rStyle w:val="normaltextrun"/>
                <w:rFonts w:ascii="Verdana" w:hAnsi="Verdana"/>
                <w:sz w:val="16"/>
                <w:szCs w:val="16"/>
              </w:rPr>
            </w:pPr>
            <w:r w:rsidRPr="005644FE">
              <w:rPr>
                <w:rStyle w:val="normaltextrun"/>
                <w:rFonts w:ascii="Verdana" w:hAnsi="Verdana"/>
                <w:sz w:val="16"/>
                <w:szCs w:val="16"/>
              </w:rPr>
              <w:t xml:space="preserve">Esperanza Contreras P </w:t>
            </w:r>
          </w:p>
          <w:p w14:paraId="135C45CA" w14:textId="77777777" w:rsidR="001B6EEE" w:rsidRPr="005644FE" w:rsidRDefault="001B6EEE" w:rsidP="00CA221B">
            <w:pPr>
              <w:contextualSpacing/>
              <w:rPr>
                <w:rFonts w:ascii="Verdana" w:eastAsia="Arial" w:hAnsi="Verdana" w:cs="Arial"/>
                <w:sz w:val="16"/>
                <w:szCs w:val="16"/>
              </w:rPr>
            </w:pPr>
            <w:r w:rsidRPr="005644FE">
              <w:rPr>
                <w:rStyle w:val="normaltextrun"/>
                <w:rFonts w:ascii="Verdana" w:hAnsi="Verdana" w:cs="Arial"/>
                <w:sz w:val="16"/>
                <w:szCs w:val="16"/>
              </w:rPr>
              <w:t>Contratista de la Subdirección de Gestión Contractual</w:t>
            </w:r>
            <w:r w:rsidRPr="005644FE">
              <w:rPr>
                <w:rStyle w:val="eop"/>
                <w:rFonts w:ascii="Verdana" w:hAnsi="Verdana" w:cs="Arial"/>
                <w:sz w:val="16"/>
                <w:szCs w:val="16"/>
              </w:rPr>
              <w:t> </w:t>
            </w:r>
          </w:p>
        </w:tc>
      </w:tr>
      <w:tr w:rsidR="001B6EEE" w:rsidRPr="005644FE" w14:paraId="316CD729" w14:textId="77777777" w:rsidTr="00CA221B">
        <w:trPr>
          <w:trHeight w:val="330"/>
        </w:trPr>
        <w:tc>
          <w:tcPr>
            <w:tcW w:w="893" w:type="dxa"/>
            <w:vAlign w:val="center"/>
            <w:hideMark/>
          </w:tcPr>
          <w:p w14:paraId="27B531D4" w14:textId="77777777" w:rsidR="001B6EEE" w:rsidRPr="005644FE" w:rsidRDefault="001B6EEE" w:rsidP="00CA221B">
            <w:pPr>
              <w:contextualSpacing/>
              <w:rPr>
                <w:rFonts w:ascii="Verdana" w:hAnsi="Verdana" w:cs="Arial"/>
                <w:sz w:val="16"/>
                <w:szCs w:val="16"/>
                <w:lang w:eastAsia="es-ES"/>
              </w:rPr>
            </w:pPr>
            <w:r w:rsidRPr="005644FE">
              <w:rPr>
                <w:rFonts w:ascii="Verdana" w:hAnsi="Verdana" w:cs="Arial"/>
                <w:sz w:val="16"/>
                <w:szCs w:val="16"/>
                <w:lang w:eastAsia="es-ES"/>
              </w:rPr>
              <w:t>Revisó:</w:t>
            </w:r>
          </w:p>
        </w:tc>
        <w:tc>
          <w:tcPr>
            <w:tcW w:w="5061" w:type="dxa"/>
            <w:tcBorders>
              <w:top w:val="dotted" w:sz="4" w:space="0" w:color="7F7F7F" w:themeColor="text1" w:themeTint="80"/>
              <w:left w:val="nil"/>
              <w:bottom w:val="dotted" w:sz="4" w:space="0" w:color="7F7F7F" w:themeColor="text1" w:themeTint="80"/>
              <w:right w:val="nil"/>
            </w:tcBorders>
            <w:vAlign w:val="center"/>
            <w:hideMark/>
          </w:tcPr>
          <w:p w14:paraId="6D455F57" w14:textId="77777777" w:rsidR="001B6EEE" w:rsidRPr="00CD5FF1" w:rsidRDefault="001B6EEE" w:rsidP="00CA221B">
            <w:pPr>
              <w:pStyle w:val="paragraph"/>
              <w:spacing w:before="0" w:beforeAutospacing="0" w:after="0" w:afterAutospacing="0"/>
              <w:contextualSpacing/>
              <w:textAlignment w:val="baseline"/>
              <w:rPr>
                <w:rStyle w:val="normaltextrun"/>
                <w:rFonts w:ascii="Verdana" w:hAnsi="Verdana"/>
                <w:sz w:val="16"/>
                <w:szCs w:val="16"/>
              </w:rPr>
            </w:pPr>
            <w:r w:rsidRPr="00CD5FF1">
              <w:rPr>
                <w:rStyle w:val="normaltextrun"/>
                <w:rFonts w:ascii="Verdana" w:hAnsi="Verdana"/>
                <w:sz w:val="16"/>
                <w:szCs w:val="16"/>
              </w:rPr>
              <w:t xml:space="preserve">Juan David Cárdenas. </w:t>
            </w:r>
          </w:p>
          <w:p w14:paraId="196777D5" w14:textId="77777777" w:rsidR="001B6EEE" w:rsidRPr="00147D6A" w:rsidRDefault="001B6EEE" w:rsidP="00CA221B">
            <w:pPr>
              <w:pStyle w:val="paragraph"/>
              <w:spacing w:before="0" w:beforeAutospacing="0" w:after="0" w:afterAutospacing="0"/>
              <w:contextualSpacing/>
              <w:textAlignment w:val="baseline"/>
              <w:rPr>
                <w:rFonts w:ascii="Verdana" w:hAnsi="Verdana" w:cs="Segoe UI"/>
                <w:sz w:val="16"/>
                <w:szCs w:val="16"/>
              </w:rPr>
            </w:pPr>
            <w:r w:rsidRPr="00147D6A">
              <w:rPr>
                <w:rStyle w:val="normaltextrun"/>
                <w:rFonts w:ascii="Verdana" w:hAnsi="Verdana"/>
                <w:sz w:val="16"/>
                <w:szCs w:val="16"/>
              </w:rPr>
              <w:t xml:space="preserve">Contratista Subdirección Gestión Contractual  </w:t>
            </w:r>
          </w:p>
        </w:tc>
      </w:tr>
      <w:tr w:rsidR="001B6EEE" w:rsidRPr="005644FE" w14:paraId="081AFE36" w14:textId="77777777" w:rsidTr="00CA221B">
        <w:trPr>
          <w:trHeight w:val="300"/>
        </w:trPr>
        <w:tc>
          <w:tcPr>
            <w:tcW w:w="893" w:type="dxa"/>
            <w:vAlign w:val="center"/>
          </w:tcPr>
          <w:p w14:paraId="3786FCE3" w14:textId="77777777" w:rsidR="001B6EEE" w:rsidRPr="005644FE" w:rsidRDefault="001B6EEE" w:rsidP="00CA221B">
            <w:pPr>
              <w:contextualSpacing/>
              <w:rPr>
                <w:rFonts w:ascii="Verdana" w:hAnsi="Verdana" w:cs="Arial"/>
                <w:sz w:val="16"/>
                <w:szCs w:val="16"/>
                <w:lang w:eastAsia="es-ES"/>
              </w:rPr>
            </w:pPr>
            <w:r w:rsidRPr="005644FE">
              <w:rPr>
                <w:rFonts w:ascii="Verdana" w:hAnsi="Verdana" w:cs="Arial"/>
                <w:sz w:val="16"/>
                <w:szCs w:val="16"/>
                <w:lang w:eastAsia="es-ES"/>
              </w:rPr>
              <w:t>Aprobó:</w:t>
            </w:r>
          </w:p>
        </w:tc>
        <w:tc>
          <w:tcPr>
            <w:tcW w:w="5061" w:type="dxa"/>
            <w:tcBorders>
              <w:top w:val="dotted" w:sz="4" w:space="0" w:color="7F7F7F" w:themeColor="text1" w:themeTint="80"/>
              <w:left w:val="nil"/>
              <w:bottom w:val="dotted" w:sz="4" w:space="0" w:color="7F7F7F" w:themeColor="text1" w:themeTint="80"/>
              <w:right w:val="nil"/>
            </w:tcBorders>
            <w:vAlign w:val="center"/>
          </w:tcPr>
          <w:p w14:paraId="50A064C2" w14:textId="77777777" w:rsidR="001B6EEE" w:rsidRPr="00147D6A" w:rsidRDefault="001B6EEE" w:rsidP="00CA221B">
            <w:pPr>
              <w:contextualSpacing/>
              <w:rPr>
                <w:rFonts w:ascii="Verdana" w:eastAsia="Calibri" w:hAnsi="Verdana" w:cs="Arial"/>
                <w:sz w:val="16"/>
                <w:szCs w:val="16"/>
                <w:lang w:eastAsia="es-ES"/>
              </w:rPr>
            </w:pPr>
            <w:r w:rsidRPr="00147D6A">
              <w:rPr>
                <w:rFonts w:ascii="Verdana" w:eastAsia="Calibri" w:hAnsi="Verdana" w:cs="Arial"/>
                <w:sz w:val="16"/>
                <w:szCs w:val="16"/>
                <w:lang w:eastAsia="es-ES"/>
              </w:rPr>
              <w:t>Carolina Quintero Gacharná</w:t>
            </w:r>
          </w:p>
          <w:p w14:paraId="34464D94" w14:textId="77777777" w:rsidR="001B6EEE" w:rsidRPr="00147D6A" w:rsidRDefault="001B6EEE" w:rsidP="00CA221B">
            <w:pPr>
              <w:contextualSpacing/>
              <w:rPr>
                <w:rFonts w:ascii="Verdana" w:eastAsia="Calibri" w:hAnsi="Verdana" w:cs="Arial"/>
                <w:sz w:val="16"/>
                <w:szCs w:val="16"/>
                <w:lang w:eastAsia="es-ES"/>
              </w:rPr>
            </w:pPr>
            <w:r w:rsidRPr="00147D6A">
              <w:rPr>
                <w:rFonts w:ascii="Verdana" w:eastAsia="Calibri" w:hAnsi="Verdana" w:cs="Arial"/>
                <w:sz w:val="16"/>
                <w:szCs w:val="16"/>
                <w:lang w:eastAsia="es-ES"/>
              </w:rPr>
              <w:t>Subdirectora de Gestión Contractual ANCP – CCE</w:t>
            </w:r>
          </w:p>
        </w:tc>
      </w:tr>
      <w:bookmarkEnd w:id="1"/>
    </w:tbl>
    <w:p w14:paraId="0E97101F" w14:textId="77777777" w:rsidR="001B6EEE" w:rsidRPr="0024624F" w:rsidRDefault="001B6EEE" w:rsidP="001B6EEE">
      <w:pPr>
        <w:spacing w:after="0"/>
        <w:rPr>
          <w:rFonts w:ascii="Verdana" w:eastAsia="Verdana" w:hAnsi="Verdana" w:cs="Verdana"/>
        </w:rPr>
      </w:pPr>
    </w:p>
    <w:bookmarkEnd w:id="0"/>
    <w:p w14:paraId="0F293BF4" w14:textId="4D075456" w:rsidR="00127233" w:rsidRPr="00BB2CD7" w:rsidRDefault="00127233" w:rsidP="00BB2CD7"/>
    <w:sectPr w:rsidR="00127233" w:rsidRPr="00BB2CD7"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387B7" w14:textId="77777777" w:rsidR="003E5B4E" w:rsidRDefault="003E5B4E" w:rsidP="004A1847">
      <w:pPr>
        <w:spacing w:after="0" w:line="240" w:lineRule="auto"/>
      </w:pPr>
      <w:r>
        <w:separator/>
      </w:r>
    </w:p>
  </w:endnote>
  <w:endnote w:type="continuationSeparator" w:id="0">
    <w:p w14:paraId="398009E7" w14:textId="77777777" w:rsidR="003E5B4E" w:rsidRDefault="003E5B4E"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01AF6" w14:textId="77777777" w:rsidR="003E5B4E" w:rsidRDefault="003E5B4E" w:rsidP="004A1847">
      <w:pPr>
        <w:spacing w:after="0" w:line="240" w:lineRule="auto"/>
      </w:pPr>
      <w:r>
        <w:separator/>
      </w:r>
    </w:p>
  </w:footnote>
  <w:footnote w:type="continuationSeparator" w:id="0">
    <w:p w14:paraId="0D69CE83" w14:textId="77777777" w:rsidR="003E5B4E" w:rsidRDefault="003E5B4E" w:rsidP="004A1847">
      <w:pPr>
        <w:spacing w:after="0" w:line="240" w:lineRule="auto"/>
      </w:pPr>
      <w:r>
        <w:continuationSeparator/>
      </w:r>
    </w:p>
  </w:footnote>
  <w:footnote w:id="1">
    <w:p w14:paraId="34B9F084" w14:textId="77777777" w:rsidR="001B6EEE" w:rsidRPr="002A0C19" w:rsidRDefault="001B6EEE" w:rsidP="001B6EEE">
      <w:pPr>
        <w:pStyle w:val="Textonotapie"/>
        <w:ind w:firstLine="709"/>
        <w:jc w:val="both"/>
        <w:rPr>
          <w:rFonts w:ascii="Verdana" w:hAnsi="Verdana"/>
          <w:sz w:val="16"/>
          <w:szCs w:val="16"/>
          <w:lang w:val="es-ES"/>
        </w:rPr>
      </w:pPr>
      <w:r w:rsidRPr="002A0C19">
        <w:rPr>
          <w:rStyle w:val="Refdenotaalpie"/>
          <w:rFonts w:ascii="Verdana" w:hAnsi="Verdana"/>
          <w:sz w:val="16"/>
          <w:szCs w:val="16"/>
        </w:rPr>
        <w:footnoteRef/>
      </w:r>
      <w:r w:rsidRPr="002A0C19">
        <w:rPr>
          <w:rFonts w:ascii="Verdana" w:hAnsi="Verdana"/>
          <w:sz w:val="16"/>
          <w:szCs w:val="16"/>
        </w:rPr>
        <w:t xml:space="preserve"> </w:t>
      </w:r>
      <w:r w:rsidRPr="002A0C19">
        <w:rPr>
          <w:rFonts w:ascii="Verdana" w:hAnsi="Verdana"/>
          <w:sz w:val="16"/>
          <w:szCs w:val="16"/>
          <w:lang w:val="es-ES"/>
        </w:rPr>
        <w:t xml:space="preserve">Guía para elaborar el plan anual de adquisiciones. Disponible en </w:t>
      </w:r>
      <w:hyperlink r:id="rId1" w:history="1">
        <w:r w:rsidRPr="002A0C19">
          <w:rPr>
            <w:rStyle w:val="Hipervnculo"/>
            <w:rFonts w:ascii="Verdana" w:hAnsi="Verdana"/>
            <w:sz w:val="16"/>
            <w:szCs w:val="16"/>
            <w:lang w:val="es-CO"/>
          </w:rPr>
          <w:t>guia_para_elaborar_el_plan_anual_de_adquisiciones_0.pdf</w:t>
        </w:r>
      </w:hyperlink>
    </w:p>
  </w:footnote>
  <w:footnote w:id="2">
    <w:p w14:paraId="5C4CCE1F" w14:textId="77777777" w:rsidR="001B6EEE" w:rsidRPr="002A0C19" w:rsidRDefault="001B6EEE" w:rsidP="001B6EEE">
      <w:pPr>
        <w:pStyle w:val="Textonotapie"/>
        <w:ind w:firstLine="708"/>
        <w:jc w:val="both"/>
        <w:rPr>
          <w:rFonts w:ascii="Verdana" w:hAnsi="Verdana" w:cs="Arial"/>
          <w:sz w:val="16"/>
          <w:szCs w:val="16"/>
        </w:rPr>
      </w:pPr>
    </w:p>
    <w:p w14:paraId="098C50C2" w14:textId="77777777" w:rsidR="001B6EEE" w:rsidRPr="002A0C19" w:rsidRDefault="001B6EEE" w:rsidP="001B6EEE">
      <w:pPr>
        <w:pStyle w:val="Textonotapie"/>
        <w:ind w:firstLine="708"/>
        <w:jc w:val="both"/>
        <w:rPr>
          <w:rFonts w:ascii="Verdana" w:hAnsi="Verdana" w:cs="Arial"/>
          <w:sz w:val="16"/>
          <w:szCs w:val="16"/>
          <w:lang w:val="es-ES"/>
        </w:rPr>
      </w:pPr>
      <w:r w:rsidRPr="002A0C19">
        <w:rPr>
          <w:rStyle w:val="Refdenotaalpie"/>
          <w:rFonts w:ascii="Verdana" w:hAnsi="Verdana" w:cs="Arial"/>
          <w:sz w:val="16"/>
          <w:szCs w:val="16"/>
        </w:rPr>
        <w:footnoteRef/>
      </w:r>
      <w:r w:rsidRPr="002A0C19">
        <w:rPr>
          <w:rFonts w:ascii="Verdana" w:hAnsi="Verdana" w:cs="Arial"/>
          <w:sz w:val="16"/>
          <w:szCs w:val="16"/>
        </w:rPr>
        <w:t xml:space="preserve"> El artículo 74 de la Ley 1474 prescribe: “</w:t>
      </w:r>
      <w:r w:rsidRPr="002A0C19">
        <w:rPr>
          <w:rFonts w:ascii="Verdana" w:hAnsi="Verdana" w:cs="Arial"/>
          <w:sz w:val="16"/>
          <w:szCs w:val="16"/>
          <w:lang w:val="es-ES"/>
        </w:rPr>
        <w:t>A partir de la vigencia de la presente ley, todas las entidades del Estado a más tardar el 31 de enero de cada año deberán publicar en su respectiva página web el Plan de Acción para el año siguiente, en el cual se especificarán los objetivos, las estrategias, los proyectos, las metas, los responsables, los planes generales de compras y la distribución presupuestal de sus proyectos de inversión junto a los indicadores de gestión.</w:t>
      </w:r>
    </w:p>
    <w:p w14:paraId="6702DF9E" w14:textId="77777777" w:rsidR="001B6EEE" w:rsidRPr="002A0C19" w:rsidRDefault="001B6EEE" w:rsidP="001B6EEE">
      <w:pPr>
        <w:pStyle w:val="Textonotapie"/>
        <w:ind w:firstLine="708"/>
        <w:jc w:val="both"/>
        <w:rPr>
          <w:rFonts w:ascii="Verdana" w:hAnsi="Verdana" w:cs="Arial"/>
          <w:sz w:val="16"/>
          <w:szCs w:val="16"/>
          <w:lang w:val="es-ES"/>
        </w:rPr>
      </w:pPr>
      <w:r w:rsidRPr="002A0C19">
        <w:rPr>
          <w:rFonts w:ascii="Verdana" w:hAnsi="Verdana" w:cs="Arial"/>
          <w:sz w:val="16"/>
          <w:szCs w:val="16"/>
          <w:lang w:val="es-ES"/>
        </w:rPr>
        <w:t>A partir del año siguiente, el Plan de Acción deberá estar acompañado del informe de gestión del año inmediatamente anterior.</w:t>
      </w:r>
    </w:p>
    <w:p w14:paraId="744992A0" w14:textId="77777777" w:rsidR="001B6EEE" w:rsidRPr="002A0C19" w:rsidRDefault="001B6EEE" w:rsidP="001B6EEE">
      <w:pPr>
        <w:pStyle w:val="Textonotapie"/>
        <w:ind w:firstLine="708"/>
        <w:jc w:val="both"/>
        <w:rPr>
          <w:rFonts w:ascii="Verdana" w:hAnsi="Verdana" w:cs="Arial"/>
          <w:sz w:val="16"/>
          <w:szCs w:val="16"/>
          <w:lang w:val="es-ES"/>
        </w:rPr>
      </w:pPr>
      <w:r w:rsidRPr="002A0C19">
        <w:rPr>
          <w:rFonts w:ascii="Verdana" w:hAnsi="Verdana" w:cs="Arial"/>
          <w:sz w:val="16"/>
          <w:szCs w:val="16"/>
          <w:lang w:val="es-ES"/>
        </w:rPr>
        <w:t>Igualmente publicarán por dicho medio su presupuesto debidamente desagregado, así como las modificaciones a este o a su desagregación.</w:t>
      </w:r>
      <w:r w:rsidRPr="002A0C19">
        <w:rPr>
          <w:rFonts w:ascii="Verdana" w:hAnsi="Verdana" w:cs="Arial"/>
          <w:sz w:val="16"/>
          <w:szCs w:val="16"/>
          <w:lang w:val="es-ES"/>
        </w:rPr>
        <w:tab/>
      </w:r>
    </w:p>
    <w:p w14:paraId="458B0959" w14:textId="77777777" w:rsidR="001B6EEE" w:rsidRPr="002A0C19" w:rsidRDefault="001B6EEE" w:rsidP="001B6EEE">
      <w:pPr>
        <w:pStyle w:val="Textonotapie"/>
        <w:ind w:firstLine="708"/>
        <w:jc w:val="both"/>
        <w:rPr>
          <w:rFonts w:ascii="Verdana" w:hAnsi="Verdana" w:cs="Arial"/>
          <w:sz w:val="16"/>
          <w:szCs w:val="16"/>
          <w:lang w:val="es-ES"/>
        </w:rPr>
      </w:pPr>
      <w:r w:rsidRPr="002A0C19">
        <w:rPr>
          <w:rFonts w:ascii="Verdana" w:hAnsi="Verdana" w:cs="Arial"/>
          <w:sz w:val="16"/>
          <w:szCs w:val="16"/>
          <w:lang w:val="es-ES"/>
        </w:rPr>
        <w:t>Parágrafo. Las empresas industriales y comerciales del Estado y las Sociedades de Economía Mixta estarán exentas de publicar la información relacionada con sus proyectos de inversión”.</w:t>
      </w:r>
    </w:p>
    <w:p w14:paraId="01F273AD" w14:textId="77777777" w:rsidR="001B6EEE" w:rsidRPr="00F50E68" w:rsidRDefault="001B6EEE" w:rsidP="001B6EEE">
      <w:pPr>
        <w:pStyle w:val="Textonotapie"/>
        <w:ind w:firstLine="708"/>
        <w:jc w:val="both"/>
        <w:rPr>
          <w:rFonts w:ascii="Verdana" w:hAnsi="Verdana" w:cs="Arial"/>
          <w:sz w:val="18"/>
          <w:szCs w:val="18"/>
          <w:lang w:val="es-ES"/>
        </w:rPr>
      </w:pPr>
      <w:r w:rsidRPr="00F50E68">
        <w:rPr>
          <w:rFonts w:ascii="Verdana" w:hAnsi="Verdana" w:cs="Arial"/>
          <w:sz w:val="18"/>
          <w:szCs w:val="18"/>
          <w:lang w:val="es-ES"/>
        </w:rPr>
        <w:t xml:space="preserve"> </w:t>
      </w:r>
    </w:p>
  </w:footnote>
  <w:footnote w:id="3">
    <w:p w14:paraId="4D4C6D3E" w14:textId="77777777" w:rsidR="001B6EEE" w:rsidRPr="002A0C19" w:rsidRDefault="001B6EEE" w:rsidP="001B6EEE">
      <w:pPr>
        <w:pStyle w:val="Textonotapie"/>
        <w:ind w:firstLine="709"/>
        <w:jc w:val="both"/>
        <w:rPr>
          <w:rFonts w:ascii="Verdana" w:hAnsi="Verdana" w:cs="Arial"/>
          <w:color w:val="000000"/>
          <w:sz w:val="16"/>
          <w:szCs w:val="16"/>
          <w:shd w:val="clear" w:color="auto" w:fill="FFFFFF"/>
        </w:rPr>
      </w:pPr>
      <w:r w:rsidRPr="002A0C19">
        <w:rPr>
          <w:rStyle w:val="Refdenotaalpie"/>
          <w:rFonts w:ascii="Verdana" w:hAnsi="Verdana" w:cs="Arial"/>
          <w:color w:val="000000"/>
          <w:sz w:val="16"/>
          <w:szCs w:val="16"/>
        </w:rPr>
        <w:footnoteRef/>
      </w:r>
      <w:r w:rsidRPr="002A0C19">
        <w:rPr>
          <w:rFonts w:ascii="Verdana" w:hAnsi="Verdana" w:cs="Arial"/>
          <w:color w:val="000000"/>
          <w:sz w:val="16"/>
          <w:szCs w:val="16"/>
        </w:rPr>
        <w:t xml:space="preserve"> “</w:t>
      </w:r>
      <w:r w:rsidRPr="002A0C19">
        <w:rPr>
          <w:rStyle w:val="Fuerte"/>
          <w:rFonts w:ascii="Verdana" w:hAnsi="Verdana" w:cs="Arial"/>
          <w:color w:val="000000"/>
          <w:sz w:val="16"/>
          <w:szCs w:val="16"/>
          <w:shd w:val="clear" w:color="auto" w:fill="FFFFFF"/>
        </w:rPr>
        <w:t>Artículo 2.2.1.1.1.3.1. </w:t>
      </w:r>
      <w:r w:rsidRPr="002A0C19">
        <w:rPr>
          <w:rStyle w:val="nfasis"/>
          <w:rFonts w:ascii="Verdana" w:hAnsi="Verdana" w:cs="Arial"/>
          <w:color w:val="000000"/>
          <w:sz w:val="16"/>
          <w:szCs w:val="16"/>
          <w:shd w:val="clear" w:color="auto" w:fill="FFFFFF"/>
        </w:rPr>
        <w:t>Definiciones. </w:t>
      </w:r>
      <w:r w:rsidRPr="002A0C19">
        <w:rPr>
          <w:rFonts w:ascii="Verdana" w:hAnsi="Verdana" w:cs="Arial"/>
          <w:color w:val="000000"/>
          <w:sz w:val="16"/>
          <w:szCs w:val="16"/>
          <w:shd w:val="clear" w:color="auto" w:fill="FFFFFF"/>
        </w:rPr>
        <w:t>Los términos no definidos en el Título I de la Parte 2 del presente decreto y utilizados frecuentemente deben entenderse de acuerdo con su significado natural y obvio. Para la interpretación del presente Título I, las expresiones aquí utilizadas con mayúscula inicial deben ser entendidas con el significado que a continuación se indica. Los términos definidos son utilizados en singular y en plural de acuerdo como lo requiera el contexto en el cual son utilizados.</w:t>
      </w:r>
    </w:p>
    <w:p w14:paraId="0807C29D" w14:textId="77777777" w:rsidR="001B6EEE" w:rsidRPr="002A0C19" w:rsidRDefault="001B6EEE" w:rsidP="001B6EEE">
      <w:pPr>
        <w:pStyle w:val="Textonotapie"/>
        <w:ind w:firstLine="709"/>
        <w:jc w:val="both"/>
        <w:rPr>
          <w:rFonts w:ascii="Verdana" w:hAnsi="Verdana" w:cs="Arial"/>
          <w:color w:val="000000"/>
          <w:sz w:val="16"/>
          <w:szCs w:val="16"/>
          <w:shd w:val="clear" w:color="auto" w:fill="FFFFFF"/>
        </w:rPr>
      </w:pPr>
      <w:r w:rsidRPr="002A0C19">
        <w:rPr>
          <w:rFonts w:ascii="Verdana" w:hAnsi="Verdana" w:cs="Arial"/>
          <w:color w:val="000000"/>
          <w:sz w:val="16"/>
          <w:szCs w:val="16"/>
          <w:shd w:val="clear" w:color="auto" w:fill="FFFFFF"/>
        </w:rPr>
        <w:t>[…]</w:t>
      </w:r>
    </w:p>
    <w:p w14:paraId="2CC1B869" w14:textId="77777777" w:rsidR="001B6EEE" w:rsidRPr="002A0C19" w:rsidRDefault="001B6EEE" w:rsidP="001B6EEE">
      <w:pPr>
        <w:pStyle w:val="Textonotapie"/>
        <w:ind w:firstLine="709"/>
        <w:jc w:val="both"/>
        <w:rPr>
          <w:rFonts w:ascii="Verdana" w:hAnsi="Verdana" w:cs="Arial"/>
          <w:color w:val="000000"/>
          <w:sz w:val="16"/>
          <w:szCs w:val="16"/>
        </w:rPr>
      </w:pPr>
      <w:r w:rsidRPr="002A0C19">
        <w:rPr>
          <w:rStyle w:val="nfasis"/>
          <w:rFonts w:ascii="Verdana" w:hAnsi="Verdana" w:cs="Arial"/>
          <w:color w:val="000000"/>
          <w:sz w:val="16"/>
          <w:szCs w:val="16"/>
        </w:rPr>
        <w:t>Plan Anual de Adquisiciones: </w:t>
      </w:r>
      <w:r w:rsidRPr="002A0C19">
        <w:rPr>
          <w:rFonts w:ascii="Verdana" w:hAnsi="Verdana" w:cs="Arial"/>
          <w:color w:val="000000"/>
          <w:sz w:val="16"/>
          <w:szCs w:val="16"/>
        </w:rPr>
        <w:t>Plan general de compras al que se refiere el </w:t>
      </w:r>
      <w:hyperlink r:id="rId2" w:history="1">
        <w:r w:rsidRPr="002A0C19">
          <w:rPr>
            <w:rStyle w:val="Hipervnculo1"/>
            <w:rFonts w:ascii="Verdana" w:hAnsi="Verdana" w:cs="Arial"/>
            <w:color w:val="000000"/>
            <w:sz w:val="16"/>
            <w:szCs w:val="16"/>
          </w:rPr>
          <w:t>artículo 74 de la Ley 1474 de 2011</w:t>
        </w:r>
      </w:hyperlink>
      <w:r w:rsidRPr="002A0C19">
        <w:rPr>
          <w:rFonts w:ascii="Verdana" w:hAnsi="Verdana" w:cs="Arial"/>
          <w:color w:val="000000"/>
          <w:sz w:val="16"/>
          <w:szCs w:val="16"/>
        </w:rPr>
        <w:t> y el plan de compras al que se refiere la Ley Anual de Presupuesto. Es un instrumento de planeación contractual que las Entidades Estatales deben diligenciar, publicar y actualizar en los términos del presente título”.</w:t>
      </w:r>
    </w:p>
  </w:footnote>
  <w:footnote w:id="4">
    <w:p w14:paraId="1ECC508A" w14:textId="77777777" w:rsidR="001B6EEE" w:rsidRPr="002A0C19" w:rsidRDefault="001B6EEE" w:rsidP="001B6EEE">
      <w:pPr>
        <w:pStyle w:val="Textonotapie"/>
        <w:ind w:firstLine="708"/>
        <w:jc w:val="both"/>
        <w:rPr>
          <w:rFonts w:ascii="Verdana" w:hAnsi="Verdana" w:cs="Arial"/>
          <w:sz w:val="16"/>
          <w:szCs w:val="16"/>
        </w:rPr>
      </w:pPr>
      <w:r w:rsidRPr="002A0C19">
        <w:rPr>
          <w:rStyle w:val="Refdenotaalpie"/>
          <w:rFonts w:ascii="Verdana" w:hAnsi="Verdana" w:cs="Arial"/>
          <w:sz w:val="16"/>
          <w:szCs w:val="16"/>
        </w:rPr>
        <w:footnoteRef/>
      </w:r>
      <w:r w:rsidRPr="002A0C19">
        <w:rPr>
          <w:rFonts w:ascii="Verdana" w:hAnsi="Verdana" w:cs="Arial"/>
          <w:sz w:val="16"/>
          <w:szCs w:val="16"/>
        </w:rPr>
        <w:t xml:space="preserve"> Decreto 1082 de 2015: “Artículo 2.2.1.1.1.4.3. Publicación del Plan Anual de Adquisiciones.</w:t>
      </w:r>
      <w:r w:rsidRPr="002A0C19">
        <w:rPr>
          <w:rFonts w:ascii="Verdana" w:hAnsi="Verdana" w:cs="Arial"/>
          <w:i/>
          <w:sz w:val="16"/>
          <w:szCs w:val="16"/>
        </w:rPr>
        <w:t> </w:t>
      </w:r>
      <w:r w:rsidRPr="002A0C19">
        <w:rPr>
          <w:rFonts w:ascii="Verdana" w:hAnsi="Verdana" w:cs="Arial"/>
          <w:sz w:val="16"/>
          <w:szCs w:val="16"/>
        </w:rPr>
        <w:t>La Entidad Estatal debe publicar su Plan Anual de Adquisiciones y las actualizaciones del mismo en su página web y en el SECOP, en la forma que para el efecto disponga Colombia Compra Eficiente”.</w:t>
      </w:r>
    </w:p>
    <w:p w14:paraId="1F3A810C" w14:textId="77777777" w:rsidR="001B6EEE" w:rsidRPr="002A0C19" w:rsidRDefault="001B6EEE" w:rsidP="001B6EEE">
      <w:pPr>
        <w:pStyle w:val="Textonotapie"/>
        <w:ind w:firstLine="708"/>
        <w:jc w:val="both"/>
        <w:rPr>
          <w:rFonts w:ascii="Verdana" w:hAnsi="Verdana" w:cs="Arial"/>
          <w:sz w:val="16"/>
          <w:szCs w:val="16"/>
        </w:rPr>
      </w:pPr>
    </w:p>
  </w:footnote>
  <w:footnote w:id="5">
    <w:p w14:paraId="227564B4" w14:textId="77777777" w:rsidR="001B6EEE" w:rsidRPr="002A0C19" w:rsidRDefault="001B6EEE" w:rsidP="001B6EEE">
      <w:pPr>
        <w:pStyle w:val="Textonotapie"/>
        <w:ind w:firstLine="708"/>
        <w:jc w:val="both"/>
        <w:rPr>
          <w:rFonts w:ascii="Verdana" w:hAnsi="Verdana" w:cs="Arial"/>
          <w:sz w:val="16"/>
          <w:szCs w:val="16"/>
        </w:rPr>
      </w:pPr>
      <w:r w:rsidRPr="002A0C19">
        <w:rPr>
          <w:rStyle w:val="Refdenotaalpie"/>
          <w:rFonts w:ascii="Verdana" w:hAnsi="Verdana" w:cs="Arial"/>
          <w:sz w:val="16"/>
          <w:szCs w:val="16"/>
        </w:rPr>
        <w:footnoteRef/>
      </w:r>
      <w:r w:rsidRPr="002A0C19">
        <w:rPr>
          <w:rFonts w:ascii="Verdana" w:hAnsi="Verdana" w:cs="Arial"/>
          <w:sz w:val="16"/>
          <w:szCs w:val="16"/>
        </w:rPr>
        <w:t xml:space="preserve"> Decreto 1082 de 2015, modificado por artículo 2 del Decreto 142 de 2023: “Artículo 2.2.1.1.1.4.1. Plan Anual de Adquisiciones. Las entidades estatales deben elaborar un Plan Anual de Adquisiciones, el cual debe contener la lista de bienes, obras y servicios que pretenden adquirir durante el año. En el Plan Anual de Adquisiciones, la Entidad Estatal debe señalar  como mínimo la necesidad y cuando conoce el bien, obra o servicio que  satisface esa necesidad debe identificarlo utilizando el Clasificador de Bienes  y Servicios, e indicar el valor estimado del contrato, el tipo de recursos con  cargo a los cuales la· entidad estatal pagará el bien, obra o servicio, la  modalidad de selección del contratista, y la fecha aproximada en la cual la  entidad estatal iniciará el Proceso de Contratación.</w:t>
      </w:r>
    </w:p>
    <w:p w14:paraId="0CA521D7" w14:textId="77777777" w:rsidR="001B6EEE" w:rsidRPr="002A0C19" w:rsidRDefault="001B6EEE" w:rsidP="001B6EEE">
      <w:pPr>
        <w:pStyle w:val="Textonotapie"/>
        <w:ind w:firstLine="708"/>
        <w:jc w:val="both"/>
        <w:rPr>
          <w:rFonts w:ascii="Verdana" w:hAnsi="Verdana" w:cs="Arial"/>
          <w:sz w:val="16"/>
          <w:szCs w:val="16"/>
        </w:rPr>
      </w:pPr>
      <w:r w:rsidRPr="002A0C19">
        <w:rPr>
          <w:rFonts w:ascii="Verdana" w:hAnsi="Verdana" w:cs="Arial"/>
          <w:sz w:val="16"/>
          <w:szCs w:val="16"/>
        </w:rPr>
        <w:t>Las entidades estatales deberán planear su contratación de manera que se promueva la división de Procesos de Contratación en lotes o segmentos en los que se facilite la participación de las Mipymes.</w:t>
      </w:r>
    </w:p>
    <w:p w14:paraId="360FDD6B" w14:textId="77777777" w:rsidR="001B6EEE" w:rsidRPr="002A0C19" w:rsidRDefault="001B6EEE" w:rsidP="001B6EEE">
      <w:pPr>
        <w:pStyle w:val="Textonotapie"/>
        <w:ind w:firstLine="708"/>
        <w:jc w:val="both"/>
        <w:rPr>
          <w:rFonts w:ascii="Verdana" w:hAnsi="Verdana" w:cs="Arial"/>
          <w:sz w:val="16"/>
          <w:szCs w:val="16"/>
        </w:rPr>
      </w:pPr>
      <w:r w:rsidRPr="002A0C19">
        <w:rPr>
          <w:rFonts w:ascii="Verdana" w:hAnsi="Verdana" w:cs="Arial"/>
          <w:sz w:val="16"/>
          <w:szCs w:val="16"/>
        </w:rPr>
        <w:t xml:space="preserve">Dentro de estas Mipymes se encuentran entre otras, las cooperativas de acuerdo con los requisitos del artículo 23 de la Ley 2069 de 2020 o las que se constituyan como entidades de economía solidaria de acuerdo con los requisitos del artículo 6 de la Ley 454 de 1998 o la norma que las modifique o sustituya. </w:t>
      </w:r>
    </w:p>
    <w:p w14:paraId="19AE2113" w14:textId="77777777" w:rsidR="001B6EEE" w:rsidRPr="002A0C19" w:rsidRDefault="001B6EEE" w:rsidP="001B6EEE">
      <w:pPr>
        <w:pStyle w:val="Textonotapie"/>
        <w:ind w:firstLine="708"/>
        <w:jc w:val="both"/>
        <w:rPr>
          <w:rFonts w:ascii="Verdana" w:hAnsi="Verdana" w:cs="Arial"/>
          <w:sz w:val="16"/>
          <w:szCs w:val="16"/>
        </w:rPr>
      </w:pPr>
      <w:r w:rsidRPr="002A0C19">
        <w:rPr>
          <w:rFonts w:ascii="Verdana" w:hAnsi="Verdana" w:cs="Arial"/>
          <w:sz w:val="16"/>
          <w:szCs w:val="16"/>
        </w:rPr>
        <w:t>Las asociaciones conformadas por sujetos de especial protección constitucional, asociaciones de pequeños productores locales y productores locales agropecuarios cuyos sistemas productivos pertenezcan a la Agricultura Campesina, Familiar y Comunitaria podrán ser clasificadas como Mipymes en los términos previstos en el artículo 23 de la Ley 2069 de 2020, el artículo 2 de la Ley 590 de 2000 y por el Decreto 957 de 2019 o las normas que los modifiquen”.</w:t>
      </w:r>
    </w:p>
  </w:footnote>
  <w:footnote w:id="6">
    <w:p w14:paraId="48378927" w14:textId="77777777" w:rsidR="001B6EEE" w:rsidRPr="000A1A6F" w:rsidRDefault="001B6EEE" w:rsidP="001B6EEE">
      <w:pPr>
        <w:pStyle w:val="Textonotapie"/>
        <w:ind w:firstLine="709"/>
        <w:jc w:val="both"/>
        <w:rPr>
          <w:rFonts w:ascii="Verdana" w:hAnsi="Verdana"/>
          <w:sz w:val="16"/>
          <w:szCs w:val="16"/>
        </w:rPr>
      </w:pPr>
      <w:r w:rsidRPr="001B7256">
        <w:rPr>
          <w:rStyle w:val="Refdenotaalpie"/>
          <w:rFonts w:ascii="Verdana" w:hAnsi="Verdana"/>
          <w:sz w:val="16"/>
          <w:szCs w:val="16"/>
        </w:rPr>
        <w:footnoteRef/>
      </w:r>
      <w:r w:rsidRPr="001B7256">
        <w:rPr>
          <w:rFonts w:ascii="Verdana" w:hAnsi="Verdana"/>
          <w:sz w:val="16"/>
          <w:szCs w:val="16"/>
        </w:rPr>
        <w:t xml:space="preserve"> </w:t>
      </w:r>
      <w:r w:rsidRPr="000A1A6F">
        <w:rPr>
          <w:rFonts w:ascii="Verdana" w:hAnsi="Verdana"/>
          <w:sz w:val="16"/>
          <w:szCs w:val="16"/>
        </w:rPr>
        <w:t xml:space="preserve">Guía de competencia en las compras públicas- Disponible en </w:t>
      </w:r>
      <w:hyperlink r:id="rId3" w:history="1">
        <w:r w:rsidRPr="000A1A6F">
          <w:rPr>
            <w:rStyle w:val="Hipervnculo"/>
            <w:rFonts w:ascii="Verdana" w:hAnsi="Verdana"/>
            <w:sz w:val="16"/>
            <w:szCs w:val="16"/>
            <w:lang w:val="es-CO"/>
          </w:rPr>
          <w:t>cce_guia_competencia_0.pdf</w:t>
        </w:r>
      </w:hyperlink>
    </w:p>
    <w:p w14:paraId="1595804D" w14:textId="77777777" w:rsidR="001B6EEE" w:rsidRPr="000A1A6F" w:rsidRDefault="001B6EEE" w:rsidP="001B6EEE">
      <w:pPr>
        <w:pStyle w:val="Textonotapie"/>
        <w:ind w:firstLine="709"/>
        <w:jc w:val="both"/>
        <w:rPr>
          <w:rFonts w:ascii="Verdana" w:hAnsi="Verdana"/>
          <w:sz w:val="16"/>
          <w:szCs w:val="16"/>
          <w:lang w:val="es-ES"/>
        </w:rPr>
      </w:pPr>
    </w:p>
  </w:footnote>
  <w:footnote w:id="7">
    <w:p w14:paraId="2367C95D" w14:textId="77777777" w:rsidR="001B6EEE" w:rsidRPr="000A1A6F" w:rsidRDefault="001B6EEE" w:rsidP="001B6EEE">
      <w:pPr>
        <w:pStyle w:val="Textonotapie"/>
        <w:ind w:firstLine="708"/>
        <w:rPr>
          <w:rFonts w:ascii="Verdana" w:hAnsi="Verdana"/>
          <w:sz w:val="16"/>
          <w:szCs w:val="16"/>
        </w:rPr>
      </w:pPr>
      <w:r w:rsidRPr="000A1A6F">
        <w:rPr>
          <w:rStyle w:val="Refdenotaalpie"/>
          <w:rFonts w:ascii="Verdana" w:hAnsi="Verdana"/>
          <w:sz w:val="16"/>
          <w:szCs w:val="16"/>
        </w:rPr>
        <w:footnoteRef/>
      </w:r>
      <w:r w:rsidRPr="000A1A6F">
        <w:rPr>
          <w:rFonts w:ascii="Verdana" w:hAnsi="Verdana"/>
          <w:sz w:val="16"/>
          <w:szCs w:val="16"/>
        </w:rPr>
        <w:t xml:space="preserve"> Agencia Nacional de Contratación Pública –Colombia Compra Eficiente. Guía de competencia en las compras públicas, 2018. p. 4. Disponible en línea: </w:t>
      </w:r>
      <w:hyperlink r:id="rId4" w:history="1">
        <w:r w:rsidRPr="000A1A6F">
          <w:rPr>
            <w:rStyle w:val="Hipervnculo"/>
            <w:rFonts w:ascii="Verdana" w:hAnsi="Verdana"/>
            <w:sz w:val="16"/>
            <w:szCs w:val="16"/>
          </w:rPr>
          <w:t>https://www.colombiacompra.gov.co/archivos/manual/guia-de-competencia-en-las-compras-publicas</w:t>
        </w:r>
      </w:hyperlink>
      <w:r w:rsidRPr="000A1A6F">
        <w:rPr>
          <w:rFonts w:ascii="Verdana" w:hAnsi="Verdana"/>
          <w:sz w:val="16"/>
          <w:szCs w:val="16"/>
        </w:rPr>
        <w:t xml:space="preserve"> </w:t>
      </w:r>
    </w:p>
    <w:p w14:paraId="5FA4C1E2" w14:textId="77777777" w:rsidR="001B6EEE" w:rsidRPr="000A1A6F" w:rsidRDefault="001B6EEE" w:rsidP="001B6EEE">
      <w:pPr>
        <w:pStyle w:val="Textonotapie"/>
        <w:ind w:firstLine="708"/>
        <w:rPr>
          <w:rFonts w:ascii="Verdana" w:hAnsi="Verdana"/>
          <w:sz w:val="16"/>
          <w:szCs w:val="16"/>
          <w:lang w:val="es-ES"/>
        </w:rPr>
      </w:pPr>
    </w:p>
  </w:footnote>
  <w:footnote w:id="8">
    <w:p w14:paraId="4EAEF7C8" w14:textId="77777777" w:rsidR="001B6EEE" w:rsidRPr="000A1A6F" w:rsidRDefault="001B6EEE" w:rsidP="001B6EEE">
      <w:pPr>
        <w:pStyle w:val="Textonotapie"/>
        <w:ind w:firstLine="708"/>
        <w:jc w:val="both"/>
        <w:rPr>
          <w:rFonts w:ascii="Verdana" w:hAnsi="Verdana" w:cs="Arial"/>
          <w:sz w:val="16"/>
          <w:szCs w:val="16"/>
        </w:rPr>
      </w:pPr>
      <w:r w:rsidRPr="000A1A6F">
        <w:rPr>
          <w:rStyle w:val="Refdenotaalpie"/>
          <w:rFonts w:ascii="Verdana" w:hAnsi="Verdana" w:cs="Arial"/>
          <w:sz w:val="16"/>
          <w:szCs w:val="16"/>
        </w:rPr>
        <w:footnoteRef/>
      </w:r>
      <w:r w:rsidRPr="000A1A6F">
        <w:rPr>
          <w:rFonts w:ascii="Verdana" w:hAnsi="Verdana" w:cs="Arial"/>
          <w:sz w:val="16"/>
          <w:szCs w:val="16"/>
          <w:lang w:val="pt-BR"/>
        </w:rPr>
        <w:t xml:space="preserve"> Corte Constitucional. Sentencia C-713 de 2009. </w:t>
      </w:r>
      <w:r w:rsidRPr="000A1A6F">
        <w:rPr>
          <w:rFonts w:ascii="Verdana" w:hAnsi="Verdana" w:cs="Arial"/>
          <w:sz w:val="16"/>
          <w:szCs w:val="16"/>
        </w:rPr>
        <w:t>M.P. María Victoria Calle Correa.</w:t>
      </w:r>
    </w:p>
  </w:footnote>
  <w:footnote w:id="9">
    <w:p w14:paraId="29649716" w14:textId="77777777" w:rsidR="001B6EEE" w:rsidRPr="00320B30" w:rsidRDefault="001B6EEE" w:rsidP="001B6EEE">
      <w:pPr>
        <w:pStyle w:val="Textonotapie"/>
        <w:ind w:firstLine="708"/>
        <w:jc w:val="both"/>
        <w:rPr>
          <w:rFonts w:ascii="Verdana" w:hAnsi="Verdana" w:cs="Arial"/>
          <w:sz w:val="16"/>
          <w:szCs w:val="16"/>
          <w:lang w:val="es-CO"/>
        </w:rPr>
      </w:pPr>
      <w:r w:rsidRPr="00320B30">
        <w:rPr>
          <w:rStyle w:val="Refdenotaalpie"/>
          <w:rFonts w:ascii="Verdana" w:hAnsi="Verdana" w:cs="Arial"/>
          <w:sz w:val="16"/>
          <w:szCs w:val="16"/>
        </w:rPr>
        <w:footnoteRef/>
      </w:r>
      <w:r w:rsidRPr="00320B30">
        <w:rPr>
          <w:rFonts w:ascii="Verdana" w:hAnsi="Verdana" w:cs="Arial"/>
          <w:sz w:val="16"/>
          <w:szCs w:val="16"/>
        </w:rPr>
        <w:t xml:space="preserve"> Consejo de Estado. Sala de consulta y servicio civil. Sentencia del 20 de febrero de 2006. Exp. 1.727. C.P</w:t>
      </w:r>
      <w:r>
        <w:rPr>
          <w:rFonts w:ascii="Verdana" w:hAnsi="Verdana" w:cs="Arial"/>
          <w:sz w:val="16"/>
          <w:szCs w:val="16"/>
        </w:rPr>
        <w:t>:</w:t>
      </w:r>
      <w:r w:rsidRPr="00320B30">
        <w:rPr>
          <w:rFonts w:ascii="Verdana" w:hAnsi="Verdana" w:cs="Arial"/>
          <w:sz w:val="16"/>
          <w:szCs w:val="16"/>
        </w:rPr>
        <w:t xml:space="preserve"> Enrique José Arboleda Perdomo.</w:t>
      </w:r>
    </w:p>
  </w:footnote>
  <w:footnote w:id="10">
    <w:p w14:paraId="13050242" w14:textId="77777777" w:rsidR="001B6EEE" w:rsidRDefault="001B6EEE" w:rsidP="001B6EEE">
      <w:pPr>
        <w:spacing w:after="0" w:line="240" w:lineRule="auto"/>
        <w:ind w:firstLine="680"/>
        <w:jc w:val="both"/>
        <w:rPr>
          <w:rFonts w:ascii="Verdana" w:hAnsi="Verdana" w:cs="Arial"/>
          <w:sz w:val="16"/>
          <w:szCs w:val="16"/>
        </w:rPr>
      </w:pPr>
      <w:r w:rsidRPr="00320B30">
        <w:rPr>
          <w:rStyle w:val="Refdenotaalpie"/>
          <w:rFonts w:ascii="Verdana" w:hAnsi="Verdana" w:cs="Arial"/>
          <w:sz w:val="16"/>
          <w:szCs w:val="16"/>
        </w:rPr>
        <w:footnoteRef/>
      </w:r>
      <w:r w:rsidRPr="00320B30">
        <w:rPr>
          <w:rFonts w:ascii="Verdana" w:hAnsi="Verdana" w:cs="Arial"/>
          <w:sz w:val="16"/>
          <w:szCs w:val="16"/>
        </w:rPr>
        <w:t xml:space="preserve"> Consejo de Estado. </w:t>
      </w:r>
      <w:r>
        <w:rPr>
          <w:rFonts w:ascii="Verdana" w:hAnsi="Verdana" w:cs="Arial"/>
          <w:sz w:val="16"/>
          <w:szCs w:val="16"/>
        </w:rPr>
        <w:t xml:space="preserve">Sala de lo Contencioso Administrativo. </w:t>
      </w:r>
      <w:r w:rsidRPr="00320B30">
        <w:rPr>
          <w:rFonts w:ascii="Verdana" w:hAnsi="Verdana" w:cs="Arial"/>
          <w:sz w:val="16"/>
          <w:szCs w:val="16"/>
        </w:rPr>
        <w:t>Sección Tercera. Sentencia del 29 de abril de 2015. Exp. 29.201. C.P. Olga Melida Valle de De La Hoz.</w:t>
      </w:r>
    </w:p>
    <w:p w14:paraId="42345A98" w14:textId="77777777" w:rsidR="001B6EEE" w:rsidRPr="00320B30" w:rsidRDefault="001B6EEE" w:rsidP="001B6EEE">
      <w:pPr>
        <w:spacing w:after="0" w:line="240" w:lineRule="auto"/>
        <w:ind w:firstLine="680"/>
        <w:jc w:val="both"/>
        <w:rPr>
          <w:rFonts w:ascii="Verdana" w:hAnsi="Verdana" w:cs="Arial"/>
          <w:sz w:val="16"/>
          <w:szCs w:val="16"/>
        </w:rPr>
      </w:pPr>
    </w:p>
  </w:footnote>
  <w:footnote w:id="11">
    <w:p w14:paraId="6D845108" w14:textId="77777777" w:rsidR="001B6EEE" w:rsidRPr="00320B30" w:rsidRDefault="001B6EEE" w:rsidP="001B6EEE">
      <w:pPr>
        <w:pStyle w:val="Textonotapie"/>
        <w:ind w:firstLine="709"/>
        <w:jc w:val="both"/>
        <w:rPr>
          <w:rFonts w:ascii="Verdana" w:hAnsi="Verdana" w:cs="Arial"/>
          <w:color w:val="000000"/>
          <w:sz w:val="16"/>
          <w:szCs w:val="16"/>
          <w:lang w:val="es-ES"/>
        </w:rPr>
      </w:pPr>
      <w:r w:rsidRPr="00320B30">
        <w:rPr>
          <w:rStyle w:val="Refdenotaalpie"/>
          <w:rFonts w:ascii="Verdana" w:hAnsi="Verdana" w:cs="Arial"/>
          <w:color w:val="000000"/>
          <w:sz w:val="16"/>
          <w:szCs w:val="16"/>
        </w:rPr>
        <w:footnoteRef/>
      </w:r>
      <w:r w:rsidRPr="00320B30">
        <w:rPr>
          <w:rFonts w:ascii="Verdana" w:hAnsi="Verdana" w:cs="Arial"/>
          <w:color w:val="000000"/>
          <w:sz w:val="16"/>
          <w:szCs w:val="16"/>
        </w:rPr>
        <w:t xml:space="preserve"> </w:t>
      </w:r>
      <w:r w:rsidRPr="00320B30">
        <w:rPr>
          <w:rFonts w:ascii="Verdana" w:hAnsi="Verdana" w:cs="Arial"/>
          <w:color w:val="000000"/>
          <w:sz w:val="16"/>
          <w:szCs w:val="16"/>
          <w:lang w:val="es-ES"/>
        </w:rPr>
        <w:t>Al respecto, conviene recordar el artículo 29 de la Ley 80 de 1993, derogado por el artículo 32 de la Ley 1150 de 2007, que establecía: “La selección de contratistas será objetiva.</w:t>
      </w:r>
    </w:p>
    <w:p w14:paraId="08259B9E" w14:textId="77777777" w:rsidR="001B6EEE" w:rsidRPr="00320B30" w:rsidRDefault="001B6EEE" w:rsidP="001B6EEE">
      <w:pPr>
        <w:pStyle w:val="Textonotapie"/>
        <w:ind w:firstLine="709"/>
        <w:jc w:val="both"/>
        <w:rPr>
          <w:rFonts w:ascii="Verdana" w:hAnsi="Verdana" w:cs="Arial"/>
          <w:color w:val="000000"/>
          <w:sz w:val="16"/>
          <w:szCs w:val="16"/>
          <w:lang w:val="es-ES"/>
        </w:rPr>
      </w:pPr>
      <w:r w:rsidRPr="00320B30">
        <w:rPr>
          <w:rFonts w:ascii="Verdana" w:hAnsi="Verdana" w:cs="Arial"/>
          <w:color w:val="000000"/>
          <w:sz w:val="16"/>
          <w:szCs w:val="16"/>
          <w:lang w:val="es-ES"/>
        </w:rPr>
        <w:t>Es objetiva la selección en la cual la escogencia se hace al ofrecimiento más favorable a la entidad y a los fines que ella busca, sin tener en consideración factores de afecto o de interés y, en general, cualquier clase de motivación subjetiva.</w:t>
      </w:r>
    </w:p>
    <w:p w14:paraId="25CFABAE" w14:textId="77777777" w:rsidR="001B6EEE" w:rsidRPr="00320B30" w:rsidRDefault="001B6EEE" w:rsidP="001B6EEE">
      <w:pPr>
        <w:pStyle w:val="Textonotapie"/>
        <w:ind w:firstLine="709"/>
        <w:jc w:val="both"/>
        <w:rPr>
          <w:rFonts w:ascii="Verdana" w:hAnsi="Verdana" w:cs="Arial"/>
          <w:color w:val="000000"/>
          <w:sz w:val="16"/>
          <w:szCs w:val="16"/>
          <w:lang w:val="es-ES"/>
        </w:rPr>
      </w:pPr>
      <w:r w:rsidRPr="00320B30">
        <w:rPr>
          <w:rFonts w:ascii="Verdana" w:hAnsi="Verdana" w:cs="Arial"/>
          <w:color w:val="000000"/>
          <w:sz w:val="16"/>
          <w:szCs w:val="16"/>
          <w:lang w:val="es-ES"/>
        </w:rPr>
        <w:t>Ofrecimiento más favorable es aquel que, teniendo en cuenta los factores de escogencia, tales como cumplimiento, experiencia, organización, equipos, plazo, precio y la ponderación precisa, detallada y concreta de los mismos, contenida en los pliegos de condiciones o términos de referencia o en el análisis previo a la suscripción del contrato, si se trata de contratación directa, resulta ser el más ventajoso para la entidad, sin que la favorabilidad la constituyan factores diferentes a los contenidos en dichos documentos, sólo alguno de ellos, el más bajo precio o el plazo ofrecido. El menor plazo que se ofrezca inferior al solicitado en los pliegos, no será objeto de evaluación.</w:t>
      </w:r>
    </w:p>
    <w:p w14:paraId="2AF9FD4A" w14:textId="77777777" w:rsidR="001B6EEE" w:rsidRPr="00320B30" w:rsidRDefault="001B6EEE" w:rsidP="001B6EEE">
      <w:pPr>
        <w:pStyle w:val="Textonotapie"/>
        <w:ind w:firstLine="709"/>
        <w:jc w:val="both"/>
        <w:rPr>
          <w:rFonts w:ascii="Verdana" w:hAnsi="Verdana" w:cs="Arial"/>
          <w:color w:val="000000"/>
          <w:sz w:val="16"/>
          <w:szCs w:val="16"/>
          <w:lang w:val="es-ES"/>
        </w:rPr>
      </w:pPr>
      <w:r w:rsidRPr="00320B30">
        <w:rPr>
          <w:rFonts w:ascii="Verdana" w:hAnsi="Verdana" w:cs="Arial"/>
          <w:color w:val="000000"/>
          <w:sz w:val="16"/>
          <w:szCs w:val="16"/>
          <w:lang w:val="es-ES"/>
        </w:rPr>
        <w:t>El administrador efectuará las comparaciones del caso mediante el cotejo de los diferentes ofrecimientos recibidos, la consulta de precios o condiciones del mercado y los estudios y deducciones de la entidad o de los organismos consultores o asesores designados para ello.</w:t>
      </w:r>
    </w:p>
    <w:p w14:paraId="5376D9DF" w14:textId="77777777" w:rsidR="001B6EEE" w:rsidRDefault="001B6EEE" w:rsidP="001B6EEE">
      <w:pPr>
        <w:pStyle w:val="Textonotapie"/>
        <w:ind w:firstLine="709"/>
        <w:jc w:val="both"/>
        <w:rPr>
          <w:rFonts w:ascii="Verdana" w:hAnsi="Verdana" w:cs="Arial"/>
          <w:color w:val="000000"/>
          <w:sz w:val="16"/>
          <w:szCs w:val="16"/>
          <w:lang w:val="es-ES"/>
        </w:rPr>
      </w:pPr>
      <w:r w:rsidRPr="00320B30">
        <w:rPr>
          <w:rFonts w:ascii="Verdana" w:hAnsi="Verdana" w:cs="Arial"/>
          <w:color w:val="000000"/>
          <w:sz w:val="16"/>
          <w:szCs w:val="16"/>
          <w:lang w:val="es-ES"/>
        </w:rPr>
        <w:t>En caso de comparación de propuestas nacionales y extranjeras, se incluirán los costos necesarios para la entrega del producto terminado en el lugar de su utilización”.</w:t>
      </w:r>
    </w:p>
    <w:p w14:paraId="11911FA0" w14:textId="77777777" w:rsidR="001B6EEE" w:rsidRPr="00320B30" w:rsidRDefault="001B6EEE" w:rsidP="001B6EEE">
      <w:pPr>
        <w:pStyle w:val="Textonotapie"/>
        <w:ind w:firstLine="709"/>
        <w:jc w:val="both"/>
        <w:rPr>
          <w:rFonts w:ascii="Verdana" w:hAnsi="Verdana" w:cs="Arial"/>
          <w:color w:val="000000"/>
          <w:sz w:val="16"/>
          <w:szCs w:val="16"/>
          <w:lang w:val="es-ES"/>
        </w:rPr>
      </w:pPr>
    </w:p>
  </w:footnote>
  <w:footnote w:id="12">
    <w:p w14:paraId="0776E7EA" w14:textId="77777777" w:rsidR="001B6EEE" w:rsidRPr="00320B30" w:rsidRDefault="001B6EEE" w:rsidP="001B6EEE">
      <w:pPr>
        <w:pStyle w:val="Textonotapie"/>
        <w:ind w:firstLine="709"/>
        <w:jc w:val="both"/>
        <w:rPr>
          <w:rFonts w:ascii="Verdana" w:hAnsi="Verdana" w:cs="Arial"/>
          <w:color w:val="000000"/>
          <w:sz w:val="16"/>
          <w:szCs w:val="16"/>
          <w:lang w:val="es-ES"/>
        </w:rPr>
      </w:pPr>
      <w:r w:rsidRPr="00320B30">
        <w:rPr>
          <w:rStyle w:val="Refdenotaalpie"/>
          <w:rFonts w:ascii="Verdana" w:hAnsi="Verdana" w:cs="Arial"/>
          <w:sz w:val="16"/>
          <w:szCs w:val="16"/>
        </w:rPr>
        <w:footnoteRef/>
      </w:r>
      <w:r w:rsidRPr="00320B30">
        <w:rPr>
          <w:rFonts w:ascii="Verdana" w:hAnsi="Verdana" w:cs="Arial"/>
          <w:sz w:val="16"/>
          <w:szCs w:val="16"/>
        </w:rPr>
        <w:t xml:space="preserve"> “</w:t>
      </w:r>
      <w:r w:rsidRPr="00320B30">
        <w:rPr>
          <w:rFonts w:ascii="Verdana" w:hAnsi="Verdana" w:cs="Arial"/>
          <w:color w:val="000000"/>
          <w:sz w:val="16"/>
          <w:szCs w:val="16"/>
          <w:lang w:val="es-ES"/>
        </w:rPr>
        <w:t>Artículo 5o. De la selección objetiva. Es objetiva la selección en la cual la escogencia se haga al ofrecimiento más favorable a la entidad y a los fines que ella busca, sin tener en consideración factores de afecto o de interés y, en general, cualquier clase de motivación subjetiva. En consecuencia, los factores de escogencia y calificación que establezcan las entidades en los pliegos de condiciones o sus equivalentes, tendrán en cuenta los siguientes criterios:</w:t>
      </w:r>
    </w:p>
    <w:p w14:paraId="77ABA49E" w14:textId="77777777" w:rsidR="001B6EEE" w:rsidRPr="00320B30" w:rsidRDefault="001B6EEE" w:rsidP="001B6EEE">
      <w:pPr>
        <w:pStyle w:val="Textonotapie"/>
        <w:ind w:firstLine="709"/>
        <w:jc w:val="both"/>
        <w:rPr>
          <w:rFonts w:ascii="Verdana" w:hAnsi="Verdana" w:cs="Arial"/>
          <w:color w:val="000000"/>
          <w:sz w:val="16"/>
          <w:szCs w:val="16"/>
          <w:lang w:val="es-ES"/>
        </w:rPr>
      </w:pPr>
      <w:r w:rsidRPr="00320B30">
        <w:rPr>
          <w:rFonts w:ascii="Verdana" w:hAnsi="Verdana" w:cs="Arial"/>
          <w:color w:val="000000"/>
          <w:sz w:val="16"/>
          <w:szCs w:val="16"/>
          <w:lang w:val="es-ES"/>
        </w:rPr>
        <w:t>[…]</w:t>
      </w:r>
    </w:p>
    <w:p w14:paraId="0ED72C79" w14:textId="77777777" w:rsidR="001B6EEE" w:rsidRPr="00320B30" w:rsidRDefault="001B6EEE" w:rsidP="001B6EEE">
      <w:pPr>
        <w:pStyle w:val="Textonotapie"/>
        <w:ind w:firstLine="709"/>
        <w:jc w:val="both"/>
        <w:rPr>
          <w:rFonts w:ascii="Verdana" w:hAnsi="Verdana" w:cs="Arial"/>
          <w:color w:val="000000"/>
          <w:sz w:val="16"/>
          <w:szCs w:val="16"/>
          <w:lang w:val="es-ES"/>
        </w:rPr>
      </w:pPr>
      <w:r w:rsidRPr="00320B30">
        <w:rPr>
          <w:rFonts w:ascii="Verdana" w:hAnsi="Verdana" w:cs="Arial"/>
          <w:color w:val="000000"/>
          <w:sz w:val="16"/>
          <w:szCs w:val="16"/>
          <w:lang w:val="es-ES"/>
        </w:rPr>
        <w:t>2. &lt;Numeral modificado por el artículo 88 de la Ley 1474 de 2011. El nuevo texto es el siguiente:&gt; La oferta más favorable será aquella que, teniendo en cuenta los factores técnicos y económicos de escogencia y la ponderación precisa y detallada de los mismos contenida en los pliegos de condiciones o sus equivalentes, resulte ser la más ventajosa para la entidad, sin que la favorabilidad la constituyan factores diferentes a los contenidos en dichos documentos. En los contratos de obra pública, el menor plazo ofrecido no será objeto de evaluación. La entidad efectuará las comparaciones del caso mediante el cotejo de los ofrecimientos recibidos y la consulta de precios o condiciones del mercado y los estudios y deducciones de la entidad o de los organismos consultores o asesores designados para ello.</w:t>
      </w:r>
    </w:p>
    <w:p w14:paraId="6FD1E729" w14:textId="77777777" w:rsidR="001B6EEE" w:rsidRPr="00320B30" w:rsidRDefault="001B6EEE" w:rsidP="001B6EEE">
      <w:pPr>
        <w:pStyle w:val="Textonotapie"/>
        <w:ind w:firstLine="709"/>
        <w:jc w:val="both"/>
        <w:rPr>
          <w:rFonts w:ascii="Verdana" w:hAnsi="Verdana" w:cs="Arial"/>
          <w:color w:val="000000"/>
          <w:sz w:val="16"/>
          <w:szCs w:val="16"/>
          <w:lang w:val="es-ES"/>
        </w:rPr>
      </w:pPr>
      <w:r w:rsidRPr="00320B30">
        <w:rPr>
          <w:rFonts w:ascii="Verdana" w:hAnsi="Verdana" w:cs="Arial"/>
          <w:color w:val="000000"/>
          <w:sz w:val="16"/>
          <w:szCs w:val="16"/>
          <w:lang w:val="es-ES"/>
        </w:rPr>
        <w:t>[…]</w:t>
      </w:r>
    </w:p>
    <w:p w14:paraId="629DFB7D" w14:textId="77777777" w:rsidR="001B6EEE" w:rsidRPr="00320B30" w:rsidRDefault="001B6EEE" w:rsidP="001B6EEE">
      <w:pPr>
        <w:pStyle w:val="Textonotapie"/>
        <w:jc w:val="both"/>
        <w:rPr>
          <w:rFonts w:ascii="Verdana" w:hAnsi="Verdana" w:cs="Arial"/>
          <w:sz w:val="16"/>
          <w:szCs w:val="16"/>
          <w:lang w:val="es-CO"/>
        </w:rPr>
      </w:pPr>
    </w:p>
  </w:footnote>
  <w:footnote w:id="13">
    <w:p w14:paraId="61C5E451" w14:textId="77777777" w:rsidR="001B6EEE" w:rsidRDefault="001B6EEE" w:rsidP="001B6EEE">
      <w:pPr>
        <w:pStyle w:val="Textonotapie"/>
        <w:ind w:firstLine="709"/>
        <w:jc w:val="both"/>
        <w:rPr>
          <w:rFonts w:ascii="Verdana" w:hAnsi="Verdana" w:cs="Arial"/>
          <w:color w:val="000000"/>
          <w:sz w:val="16"/>
          <w:szCs w:val="16"/>
        </w:rPr>
      </w:pPr>
      <w:r w:rsidRPr="00320B30">
        <w:rPr>
          <w:rStyle w:val="Refdenotaalpie"/>
          <w:rFonts w:ascii="Verdana" w:hAnsi="Verdana" w:cs="Arial"/>
          <w:color w:val="000000"/>
          <w:sz w:val="16"/>
          <w:szCs w:val="16"/>
        </w:rPr>
        <w:footnoteRef/>
      </w:r>
      <w:r w:rsidRPr="00320B30">
        <w:rPr>
          <w:rFonts w:ascii="Verdana" w:hAnsi="Verdana" w:cs="Arial"/>
          <w:color w:val="000000"/>
          <w:sz w:val="16"/>
          <w:szCs w:val="16"/>
        </w:rPr>
        <w:t xml:space="preserve"> Consejo de Estado.</w:t>
      </w:r>
      <w:r>
        <w:rPr>
          <w:rFonts w:ascii="Verdana" w:hAnsi="Verdana" w:cs="Arial"/>
          <w:color w:val="000000"/>
          <w:sz w:val="16"/>
          <w:szCs w:val="16"/>
        </w:rPr>
        <w:t xml:space="preserve"> Sala de lo Contencioso Administrativo.</w:t>
      </w:r>
      <w:r w:rsidRPr="00320B30">
        <w:rPr>
          <w:rFonts w:ascii="Verdana" w:hAnsi="Verdana" w:cs="Arial"/>
          <w:color w:val="000000"/>
          <w:sz w:val="16"/>
          <w:szCs w:val="16"/>
        </w:rPr>
        <w:t xml:space="preserve"> Sección Tercera. Subsección A. Sentencia del 25 de octubre de 2019. Exp. 39.945. C</w:t>
      </w:r>
      <w:r>
        <w:rPr>
          <w:rFonts w:ascii="Verdana" w:hAnsi="Verdana" w:cs="Arial"/>
          <w:color w:val="000000"/>
          <w:sz w:val="16"/>
          <w:szCs w:val="16"/>
        </w:rPr>
        <w:t xml:space="preserve">.P: </w:t>
      </w:r>
      <w:r w:rsidRPr="00320B30">
        <w:rPr>
          <w:rFonts w:ascii="Verdana" w:hAnsi="Verdana" w:cs="Arial"/>
          <w:color w:val="000000"/>
          <w:sz w:val="16"/>
          <w:szCs w:val="16"/>
        </w:rPr>
        <w:t>María Adriana Marín: La selección de contratistas, para cumplir con el requisito de objetividad, debe caracterizarse: 1. Ausencia total de subjetividad; 2. Estar determinada por la comparación de distintos factores, establecidos con anterioridad por la Administración en el pliego de condiciones; 3. Estar determinada la forma como los factores de selección serán evaluados y el valor que corresponde a cada uno de ellos en el pliego de condiciones y 4. Estar determinada la adjudicación y celebración del negocio jurídico por un análisis, comparación y evaluación objetiva de las propuestas presentadas.</w:t>
      </w:r>
    </w:p>
    <w:p w14:paraId="7FD4E591" w14:textId="77777777" w:rsidR="001B6EEE" w:rsidRPr="00320B30" w:rsidRDefault="001B6EEE" w:rsidP="001B6EEE">
      <w:pPr>
        <w:pStyle w:val="Textonotapie"/>
        <w:ind w:firstLine="709"/>
        <w:jc w:val="both"/>
        <w:rPr>
          <w:rFonts w:ascii="Verdana" w:hAnsi="Verdana" w:cs="Arial"/>
          <w:color w:val="000000"/>
          <w:sz w:val="16"/>
          <w:szCs w:val="16"/>
          <w:lang w:val="es-ES"/>
        </w:rPr>
      </w:pPr>
    </w:p>
  </w:footnote>
  <w:footnote w:id="14">
    <w:p w14:paraId="2577EC54" w14:textId="77777777" w:rsidR="001B6EEE" w:rsidRPr="00320B30" w:rsidRDefault="001B6EEE" w:rsidP="001B6EEE">
      <w:pPr>
        <w:pStyle w:val="Textonotapie"/>
        <w:ind w:firstLine="709"/>
        <w:jc w:val="both"/>
        <w:rPr>
          <w:rFonts w:ascii="Verdana" w:hAnsi="Verdana" w:cs="Arial"/>
          <w:color w:val="000000"/>
          <w:sz w:val="16"/>
          <w:szCs w:val="16"/>
          <w:lang w:val="es-ES"/>
        </w:rPr>
      </w:pPr>
      <w:r w:rsidRPr="00320B30">
        <w:rPr>
          <w:rStyle w:val="Refdenotaalpie"/>
          <w:rFonts w:ascii="Verdana" w:hAnsi="Verdana" w:cs="Arial"/>
          <w:color w:val="000000"/>
          <w:sz w:val="16"/>
          <w:szCs w:val="16"/>
        </w:rPr>
        <w:footnoteRef/>
      </w:r>
      <w:r w:rsidRPr="00320B30">
        <w:rPr>
          <w:rStyle w:val="Refdenotaalpie"/>
          <w:rFonts w:ascii="Verdana" w:hAnsi="Verdana" w:cs="Arial"/>
          <w:color w:val="000000"/>
          <w:sz w:val="16"/>
          <w:szCs w:val="16"/>
        </w:rPr>
        <w:t xml:space="preserve"> </w:t>
      </w:r>
      <w:r w:rsidRPr="00320B30">
        <w:rPr>
          <w:rFonts w:ascii="Verdana" w:hAnsi="Verdana" w:cs="Arial"/>
          <w:color w:val="000000"/>
          <w:sz w:val="16"/>
          <w:szCs w:val="16"/>
        </w:rPr>
        <w:t xml:space="preserve">Consejo de Estado. </w:t>
      </w:r>
      <w:r>
        <w:rPr>
          <w:rFonts w:ascii="Verdana" w:hAnsi="Verdana" w:cs="Arial"/>
          <w:color w:val="000000"/>
          <w:sz w:val="16"/>
          <w:szCs w:val="16"/>
        </w:rPr>
        <w:t xml:space="preserve">Sala de lo Contencioso Administrativo. </w:t>
      </w:r>
      <w:r w:rsidRPr="00320B30">
        <w:rPr>
          <w:rFonts w:ascii="Verdana" w:hAnsi="Verdana" w:cs="Arial"/>
          <w:color w:val="000000"/>
          <w:sz w:val="16"/>
          <w:szCs w:val="16"/>
        </w:rPr>
        <w:t>Sección Tercera. Subsección A. Sentencia del 5 de julio de 2018. Exp. 37.834. C</w:t>
      </w:r>
      <w:r>
        <w:rPr>
          <w:rFonts w:ascii="Verdana" w:hAnsi="Verdana" w:cs="Arial"/>
          <w:color w:val="000000"/>
          <w:sz w:val="16"/>
          <w:szCs w:val="16"/>
        </w:rPr>
        <w:t>.P</w:t>
      </w:r>
      <w:r w:rsidRPr="00320B30">
        <w:rPr>
          <w:rFonts w:ascii="Verdana" w:hAnsi="Verdana" w:cs="Arial"/>
          <w:color w:val="000000"/>
          <w:sz w:val="16"/>
          <w:szCs w:val="16"/>
        </w:rPr>
        <w:t>: Carlos Alberto Zambrano Barrera.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1C06310"/>
    <w:multiLevelType w:val="multilevel"/>
    <w:tmpl w:val="92EC0BC6"/>
    <w:lvl w:ilvl="0">
      <w:start w:val="1"/>
      <w:numFmt w:val="decimal"/>
      <w:lvlText w:val="%1."/>
      <w:lvlJc w:val="left"/>
      <w:pPr>
        <w:ind w:left="6601" w:hanging="360"/>
      </w:pPr>
      <w:rPr>
        <w:b/>
        <w:color w:val="000000" w:themeColor="text1"/>
        <w:lang w:val="es-CO"/>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8FB7985"/>
    <w:multiLevelType w:val="hybridMultilevel"/>
    <w:tmpl w:val="6D723D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6"/>
  </w:num>
  <w:num w:numId="8" w16cid:durableId="152644682">
    <w:abstractNumId w:val="12"/>
  </w:num>
  <w:num w:numId="9" w16cid:durableId="1317221377">
    <w:abstractNumId w:val="8"/>
  </w:num>
  <w:num w:numId="10" w16cid:durableId="1471245386">
    <w:abstractNumId w:val="11"/>
  </w:num>
  <w:num w:numId="11" w16cid:durableId="289172385">
    <w:abstractNumId w:val="9"/>
  </w:num>
  <w:num w:numId="12" w16cid:durableId="1470781324">
    <w:abstractNumId w:val="1"/>
  </w:num>
  <w:num w:numId="13" w16cid:durableId="1512908409">
    <w:abstractNumId w:val="4"/>
  </w:num>
  <w:num w:numId="14" w16cid:durableId="895897244">
    <w:abstractNumId w:val="14"/>
  </w:num>
  <w:num w:numId="15" w16cid:durableId="390349800">
    <w:abstractNumId w:val="10"/>
  </w:num>
  <w:num w:numId="16" w16cid:durableId="341274352">
    <w:abstractNumId w:val="0"/>
  </w:num>
  <w:num w:numId="17" w16cid:durableId="691346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A33BF"/>
    <w:rsid w:val="001B6EEE"/>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5B4E"/>
    <w:rsid w:val="003E6439"/>
    <w:rsid w:val="003F3941"/>
    <w:rsid w:val="00406575"/>
    <w:rsid w:val="00414C74"/>
    <w:rsid w:val="0042722E"/>
    <w:rsid w:val="0044528D"/>
    <w:rsid w:val="00466E39"/>
    <w:rsid w:val="004926EB"/>
    <w:rsid w:val="004A1847"/>
    <w:rsid w:val="004A305D"/>
    <w:rsid w:val="004F21C4"/>
    <w:rsid w:val="004F685F"/>
    <w:rsid w:val="00552A51"/>
    <w:rsid w:val="005566E8"/>
    <w:rsid w:val="00574867"/>
    <w:rsid w:val="00591460"/>
    <w:rsid w:val="005A65E0"/>
    <w:rsid w:val="005C3777"/>
    <w:rsid w:val="005C5CDC"/>
    <w:rsid w:val="005D476C"/>
    <w:rsid w:val="006200BF"/>
    <w:rsid w:val="006219F8"/>
    <w:rsid w:val="006302F7"/>
    <w:rsid w:val="00646B9F"/>
    <w:rsid w:val="00665D70"/>
    <w:rsid w:val="006900D9"/>
    <w:rsid w:val="00706C16"/>
    <w:rsid w:val="007208E3"/>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0E90"/>
    <w:rsid w:val="00891928"/>
    <w:rsid w:val="008A446D"/>
    <w:rsid w:val="008B25F1"/>
    <w:rsid w:val="008D180B"/>
    <w:rsid w:val="008F0EA7"/>
    <w:rsid w:val="00923EEF"/>
    <w:rsid w:val="009419F9"/>
    <w:rsid w:val="00951EF2"/>
    <w:rsid w:val="0095685E"/>
    <w:rsid w:val="00961B09"/>
    <w:rsid w:val="00965334"/>
    <w:rsid w:val="0097093E"/>
    <w:rsid w:val="00981CBD"/>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B2CD7"/>
    <w:rsid w:val="00BC3D36"/>
    <w:rsid w:val="00BD54A6"/>
    <w:rsid w:val="00BD7F72"/>
    <w:rsid w:val="00BE64BB"/>
    <w:rsid w:val="00BF7425"/>
    <w:rsid w:val="00C04FB3"/>
    <w:rsid w:val="00C11D8B"/>
    <w:rsid w:val="00C15139"/>
    <w:rsid w:val="00C330EB"/>
    <w:rsid w:val="00C50D69"/>
    <w:rsid w:val="00C5365C"/>
    <w:rsid w:val="00C754BE"/>
    <w:rsid w:val="00C75576"/>
    <w:rsid w:val="00C76B1C"/>
    <w:rsid w:val="00C925AC"/>
    <w:rsid w:val="00CB6357"/>
    <w:rsid w:val="00CB77E1"/>
    <w:rsid w:val="00CC1B26"/>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2696"/>
    <w:rsid w:val="00E8772A"/>
    <w:rsid w:val="00E90F6B"/>
    <w:rsid w:val="00E92C27"/>
    <w:rsid w:val="00EA0E3D"/>
    <w:rsid w:val="00EA4A95"/>
    <w:rsid w:val="00EC38A7"/>
    <w:rsid w:val="00EE1AA8"/>
    <w:rsid w:val="00F23FEA"/>
    <w:rsid w:val="00F2433D"/>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4DDEDF5C"/>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1B6EEE"/>
    <w:rPr>
      <w:rFonts w:ascii="Geomanist Light" w:hAnsi="Geomanist Light"/>
      <w:lang w:val="es-ES"/>
    </w:rPr>
  </w:style>
  <w:style w:type="paragraph" w:customStyle="1" w:styleId="Appelnotedebasde">
    <w:name w:val="Appel note de bas de..."/>
    <w:basedOn w:val="Normal"/>
    <w:link w:val="Refdenotaalpie"/>
    <w:uiPriority w:val="99"/>
    <w:rsid w:val="001B6EEE"/>
    <w:pPr>
      <w:spacing w:line="240" w:lineRule="exact"/>
    </w:pPr>
    <w:rPr>
      <w:vertAlign w:val="superscript"/>
    </w:rPr>
  </w:style>
  <w:style w:type="character" w:styleId="Fuerte">
    <w:name w:val="Strong"/>
    <w:basedOn w:val="Fuentedeprrafopredeter"/>
    <w:uiPriority w:val="22"/>
    <w:qFormat/>
    <w:rsid w:val="001B6EEE"/>
    <w:rPr>
      <w:b/>
      <w:bCs/>
    </w:rPr>
  </w:style>
  <w:style w:type="character" w:styleId="nfasis">
    <w:name w:val="Emphasis"/>
    <w:basedOn w:val="Fuentedeprrafopredeter"/>
    <w:uiPriority w:val="20"/>
    <w:qFormat/>
    <w:rsid w:val="001B6EEE"/>
    <w:rPr>
      <w:i/>
      <w:iCs/>
    </w:rPr>
  </w:style>
  <w:style w:type="character" w:customStyle="1" w:styleId="Hipervnculo1">
    <w:name w:val="Hipervínculo1"/>
    <w:basedOn w:val="Fuentedeprrafopredeter"/>
    <w:uiPriority w:val="99"/>
    <w:unhideWhenUsed/>
    <w:rsid w:val="001B6EEE"/>
    <w:rPr>
      <w:color w:val="F2F2F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wp-content/uploads/2024/08/cce_guia_competencia_0.pdf" TargetMode="External"/><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hyperlink" Target="https://operaciones.colombiacompra.gov.co/sites/cce_public/files/cce_documents/guia_para_elaborar_el_plan_anual_de_adquisiciones_0.pdf" TargetMode="External"/><Relationship Id="rId17"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lombiacompra.gov.co/normativa-y-relatoria/documentos-tipo"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sejorozcoj710@gmail.com"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formacionvirtual.colombiacompra.gov.co/mod/page/view.php?id=3718"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www.colombiacompra.gov.co/pqrsd/informacion-importante-antes-de-formular-una-pqrs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colombiacompra.gov.co/wp-content/uploads/2024/08/cce_guia_competencia_0.pdf" TargetMode="External"/><Relationship Id="rId2" Type="http://schemas.openxmlformats.org/officeDocument/2006/relationships/hyperlink" Target="http://www.alcaldiabogota.gov.co/sisjur/normas/Norma1.jsp?i=43292" TargetMode="External"/><Relationship Id="rId1" Type="http://schemas.openxmlformats.org/officeDocument/2006/relationships/hyperlink" Target="https://operaciones.colombiacompra.gov.co/sites/cce_public/files/cce_documents/guia_para_elaborar_el_plan_anual_de_adquisiciones_0.pdf" TargetMode="External"/><Relationship Id="rId4" Type="http://schemas.openxmlformats.org/officeDocument/2006/relationships/hyperlink" Target="https://www.colombiacompra.gov.co/archivos/manual/guia-de-competencia-en-las-compras-publica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A7518C-9811-450D-B73B-E99FD2589F0C}"/>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153</TotalTime>
  <Pages>25</Pages>
  <Words>8362</Words>
  <Characters>45991</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Esperanza Contreras Pedreros</cp:lastModifiedBy>
  <cp:revision>4</cp:revision>
  <cp:lastPrinted>2023-01-10T21:18:00Z</cp:lastPrinted>
  <dcterms:created xsi:type="dcterms:W3CDTF">2026-07-09T21:02:00Z</dcterms:created>
  <dcterms:modified xsi:type="dcterms:W3CDTF">2026-07-10T23:12:00Z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