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F30EE" w14:textId="77777777" w:rsidR="00352E13" w:rsidRPr="004E7E1E" w:rsidRDefault="00352E13" w:rsidP="00352E13">
      <w:pPr>
        <w:spacing w:after="0" w:line="240" w:lineRule="auto"/>
        <w:jc w:val="both"/>
        <w:rPr>
          <w:rFonts w:ascii="Verdana" w:eastAsia="Arial MT" w:hAnsi="Verdana" w:cs="Arial MT"/>
          <w:b/>
          <w:bCs/>
          <w:lang w:val="es-ES_tradnl"/>
        </w:rPr>
      </w:pPr>
      <w:bookmarkStart w:id="0" w:name="_Hlk143780582"/>
      <w:r w:rsidRPr="004E7E1E">
        <w:rPr>
          <w:rFonts w:ascii="Verdana" w:eastAsia="Arial MT" w:hAnsi="Verdana" w:cs="Arial MT"/>
          <w:b/>
          <w:bCs/>
          <w:lang w:val="es-ES_tradnl"/>
        </w:rPr>
        <w:t>PRECIOS ARTIFICIALMENTE BAJOS – Noción –</w:t>
      </w:r>
      <w:r>
        <w:rPr>
          <w:rFonts w:ascii="Verdana" w:eastAsia="Arial MT" w:hAnsi="Verdana" w:cs="Arial MT"/>
          <w:b/>
          <w:bCs/>
          <w:lang w:val="es-ES_tradnl"/>
        </w:rPr>
        <w:t xml:space="preserve"> </w:t>
      </w:r>
      <w:r w:rsidRPr="004E7E1E">
        <w:rPr>
          <w:rFonts w:ascii="Verdana" w:eastAsia="Arial MT" w:hAnsi="Verdana" w:cs="Arial MT"/>
          <w:b/>
          <w:bCs/>
          <w:lang w:val="es-ES_tradnl"/>
        </w:rPr>
        <w:t xml:space="preserve">Deber de las entidades estatales </w:t>
      </w:r>
    </w:p>
    <w:p w14:paraId="0634D881" w14:textId="77777777" w:rsidR="00352E13" w:rsidRPr="004E7E1E" w:rsidRDefault="00352E13" w:rsidP="00352E13">
      <w:pPr>
        <w:spacing w:after="0" w:line="240" w:lineRule="auto"/>
        <w:jc w:val="both"/>
        <w:rPr>
          <w:rFonts w:ascii="Verdana" w:eastAsia="Arial MT" w:hAnsi="Verdana" w:cs="Arial MT"/>
          <w:b/>
          <w:bCs/>
          <w:sz w:val="20"/>
          <w:szCs w:val="20"/>
          <w:lang w:val="es-ES_tradnl"/>
        </w:rPr>
      </w:pPr>
    </w:p>
    <w:p w14:paraId="34628FA0" w14:textId="77777777" w:rsidR="00352E13" w:rsidRPr="004E7E1E" w:rsidRDefault="00352E13" w:rsidP="00352E13">
      <w:pPr>
        <w:spacing w:after="0" w:line="240" w:lineRule="auto"/>
        <w:jc w:val="both"/>
        <w:rPr>
          <w:rFonts w:ascii="Verdana" w:eastAsia="Arial" w:hAnsi="Verdana" w:cs="Arial"/>
          <w:sz w:val="20"/>
          <w:szCs w:val="20"/>
          <w:lang w:val="es-ES" w:eastAsia="es-ES" w:bidi="es-ES"/>
        </w:rPr>
      </w:pPr>
      <w:r w:rsidRPr="004E7E1E">
        <w:rPr>
          <w:rFonts w:ascii="Verdana" w:eastAsia="Arial" w:hAnsi="Verdana" w:cs="Arial"/>
          <w:sz w:val="20"/>
          <w:szCs w:val="20"/>
          <w:lang w:val="es-ES" w:eastAsia="es-ES" w:bidi="es-ES"/>
        </w:rPr>
        <w:t>La Ley 80 de 1993, en el artículo 26, numeral 6, indica como una de las manifestaciones del principio de responsabilidad que los contratistas respondan cuando formulen propuestas en las que se fijen condiciones económicas y de contratación artificialmente bajas con el propósito de obtener la adjudicación del contrato.</w:t>
      </w:r>
    </w:p>
    <w:p w14:paraId="442CC0E5" w14:textId="77777777" w:rsidR="00352E13" w:rsidRPr="004E7E1E" w:rsidRDefault="00352E13" w:rsidP="00352E13">
      <w:pPr>
        <w:spacing w:after="0" w:line="240" w:lineRule="auto"/>
        <w:jc w:val="both"/>
        <w:rPr>
          <w:rFonts w:ascii="Verdana" w:eastAsia="Arial MT" w:hAnsi="Verdana" w:cs="Arial MT"/>
          <w:bCs/>
          <w:sz w:val="20"/>
          <w:szCs w:val="20"/>
          <w:lang w:val="es-ES"/>
        </w:rPr>
      </w:pPr>
      <w:r w:rsidRPr="004E7E1E">
        <w:rPr>
          <w:rFonts w:ascii="Verdana" w:eastAsia="Arial MT" w:hAnsi="Verdana" w:cs="Arial MT"/>
          <w:bCs/>
          <w:sz w:val="20"/>
          <w:szCs w:val="20"/>
          <w:lang w:val="es-ES"/>
        </w:rPr>
        <w:t>[…]</w:t>
      </w:r>
    </w:p>
    <w:p w14:paraId="03F0EDE2" w14:textId="77777777" w:rsidR="00352E13" w:rsidRPr="004E7E1E" w:rsidRDefault="00352E13" w:rsidP="00352E13">
      <w:pPr>
        <w:spacing w:after="0" w:line="240" w:lineRule="auto"/>
        <w:jc w:val="both"/>
        <w:rPr>
          <w:rFonts w:ascii="Verdana" w:eastAsia="Calibri" w:hAnsi="Verdana" w:cs="Arial"/>
          <w:sz w:val="20"/>
          <w:szCs w:val="20"/>
          <w:lang w:val="es-ES"/>
        </w:rPr>
      </w:pPr>
      <w:r w:rsidRPr="004E7E1E">
        <w:rPr>
          <w:rFonts w:ascii="Verdana" w:eastAsia="Calibri" w:hAnsi="Verdana" w:cs="Arial"/>
          <w:sz w:val="20"/>
          <w:szCs w:val="20"/>
          <w:lang w:val="es-MX"/>
        </w:rPr>
        <w:t xml:space="preserve">Así pues, el artículo 2.2.1.1.2.2.4 ibidem, establece lo que debe hacer la entidad cuando el precio de una oferta parece artificialmente bajo, esto es: i) solicitar explicación al oferente, </w:t>
      </w:r>
      <w:proofErr w:type="spellStart"/>
      <w:r w:rsidRPr="004E7E1E">
        <w:rPr>
          <w:rFonts w:ascii="Verdana" w:eastAsia="Calibri" w:hAnsi="Verdana" w:cs="Arial"/>
          <w:sz w:val="20"/>
          <w:szCs w:val="20"/>
          <w:lang w:val="es-MX"/>
        </w:rPr>
        <w:t>ii</w:t>
      </w:r>
      <w:proofErr w:type="spellEnd"/>
      <w:r w:rsidRPr="004E7E1E">
        <w:rPr>
          <w:rFonts w:ascii="Verdana" w:eastAsia="Calibri" w:hAnsi="Verdana" w:cs="Arial"/>
          <w:sz w:val="20"/>
          <w:szCs w:val="20"/>
          <w:lang w:val="es-MX"/>
        </w:rPr>
        <w:t xml:space="preserve">) analizar las explicaciones del oferente, </w:t>
      </w:r>
      <w:proofErr w:type="spellStart"/>
      <w:r w:rsidRPr="004E7E1E">
        <w:rPr>
          <w:rFonts w:ascii="Verdana" w:eastAsia="Calibri" w:hAnsi="Verdana" w:cs="Arial"/>
          <w:sz w:val="20"/>
          <w:szCs w:val="20"/>
          <w:lang w:val="es-MX"/>
        </w:rPr>
        <w:t>iii</w:t>
      </w:r>
      <w:proofErr w:type="spellEnd"/>
      <w:r w:rsidRPr="004E7E1E">
        <w:rPr>
          <w:rFonts w:ascii="Verdana" w:eastAsia="Calibri" w:hAnsi="Verdana" w:cs="Arial"/>
          <w:sz w:val="20"/>
          <w:szCs w:val="20"/>
          <w:lang w:val="es-MX"/>
        </w:rPr>
        <w:t xml:space="preserve">) el responsable de la evaluación de las ofertas debe recomendar rechazar o continuar la evaluación de la oferta, y </w:t>
      </w:r>
      <w:proofErr w:type="spellStart"/>
      <w:r w:rsidRPr="004E7E1E">
        <w:rPr>
          <w:rFonts w:ascii="Verdana" w:eastAsia="Calibri" w:hAnsi="Verdana" w:cs="Arial"/>
          <w:sz w:val="20"/>
          <w:szCs w:val="20"/>
          <w:lang w:val="es-MX"/>
        </w:rPr>
        <w:t>iv</w:t>
      </w:r>
      <w:proofErr w:type="spellEnd"/>
      <w:r w:rsidRPr="004E7E1E">
        <w:rPr>
          <w:rFonts w:ascii="Verdana" w:eastAsia="Calibri" w:hAnsi="Verdana" w:cs="Arial"/>
          <w:sz w:val="20"/>
          <w:szCs w:val="20"/>
          <w:lang w:val="es-MX"/>
        </w:rPr>
        <w:t>) para la subasta inversa, lo anterior se debe hacer al finalizar el evento.</w:t>
      </w:r>
    </w:p>
    <w:p w14:paraId="4CE29EAA" w14:textId="77777777" w:rsidR="00352E13" w:rsidRPr="004E7E1E" w:rsidRDefault="00352E13" w:rsidP="00352E13">
      <w:pPr>
        <w:spacing w:after="0" w:line="240" w:lineRule="auto"/>
        <w:jc w:val="both"/>
        <w:rPr>
          <w:rFonts w:ascii="Verdana" w:eastAsia="Arial MT" w:hAnsi="Verdana" w:cs="Arial MT"/>
          <w:b/>
          <w:bCs/>
          <w:lang w:val="es-ES"/>
        </w:rPr>
      </w:pPr>
    </w:p>
    <w:p w14:paraId="2CEDB600" w14:textId="77777777" w:rsidR="00352E13" w:rsidRPr="004E7E1E" w:rsidRDefault="00352E13" w:rsidP="00352E13">
      <w:pPr>
        <w:spacing w:after="0" w:line="240" w:lineRule="auto"/>
        <w:jc w:val="both"/>
        <w:rPr>
          <w:rFonts w:ascii="Verdana" w:eastAsia="Arial MT" w:hAnsi="Verdana" w:cs="Arial MT"/>
          <w:b/>
          <w:bCs/>
          <w:lang w:val="es-ES_tradnl"/>
        </w:rPr>
      </w:pPr>
      <w:r w:rsidRPr="004E7E1E">
        <w:rPr>
          <w:rFonts w:ascii="Verdana" w:eastAsia="Arial MT" w:hAnsi="Verdana" w:cs="Arial MT"/>
          <w:b/>
          <w:bCs/>
          <w:lang w:val="es-ES_tradnl"/>
        </w:rPr>
        <w:t xml:space="preserve">EVALUACIÓN DE LAS OFERTAS – Finalidad – Oportunidad </w:t>
      </w:r>
    </w:p>
    <w:p w14:paraId="366BFA76" w14:textId="77777777" w:rsidR="00352E13" w:rsidRDefault="00352E13" w:rsidP="00352E13">
      <w:pPr>
        <w:spacing w:after="0" w:line="240" w:lineRule="auto"/>
        <w:jc w:val="both"/>
        <w:rPr>
          <w:rFonts w:ascii="Verdana" w:eastAsia="Calibri" w:hAnsi="Verdana" w:cs="Arial"/>
          <w:lang w:val="es-ES"/>
        </w:rPr>
      </w:pPr>
    </w:p>
    <w:p w14:paraId="67746040" w14:textId="77777777" w:rsidR="00352E13" w:rsidRPr="004E7E1E" w:rsidRDefault="00352E13" w:rsidP="00352E13">
      <w:pPr>
        <w:spacing w:after="0" w:line="240" w:lineRule="auto"/>
        <w:jc w:val="both"/>
        <w:rPr>
          <w:rFonts w:ascii="Verdana" w:eastAsia="Arial MT" w:hAnsi="Verdana" w:cs="Arial MT"/>
          <w:bCs/>
          <w:sz w:val="20"/>
          <w:lang w:val="es-MX"/>
        </w:rPr>
      </w:pPr>
      <w:r w:rsidRPr="004E7E1E">
        <w:rPr>
          <w:rFonts w:ascii="Verdana" w:eastAsia="Arial MT" w:hAnsi="Verdana" w:cs="Arial MT"/>
          <w:bCs/>
          <w:sz w:val="20"/>
          <w:lang w:val="es-ES"/>
        </w:rPr>
        <w:t>Sin embargo, debe precisarse que el análisis de los precios de una oferta se hace en la fase de evaluación del procedimiento de selección, que es la oportunidad para verificar, a través del comité evaluador</w:t>
      </w:r>
      <w:r w:rsidRPr="004E7E1E">
        <w:rPr>
          <w:rFonts w:ascii="Verdana" w:eastAsia="Arial MT" w:hAnsi="Verdana" w:cs="Arial MT"/>
          <w:bCs/>
          <w:sz w:val="20"/>
          <w:lang w:val="es-MX"/>
        </w:rPr>
        <w:t xml:space="preserve"> si se cumplen o no las reglas de los pliegos de condiciones. En efecto, el objeto de la evaluación de las ofertas es comprobar que estas cumplen con los parámetros exigidos, establecer la habilitación del proponente en dicho proceso de selección y definir si, de acuerdo con la ponderación de los factores de evaluación aplicables, cuál será el que resultará adjudicatario del futuro contrato.</w:t>
      </w:r>
    </w:p>
    <w:p w14:paraId="769D59DA" w14:textId="77777777" w:rsidR="00352E13" w:rsidRPr="004E7E1E" w:rsidRDefault="00352E13" w:rsidP="00352E13">
      <w:pPr>
        <w:spacing w:after="0" w:line="240" w:lineRule="auto"/>
        <w:jc w:val="both"/>
        <w:rPr>
          <w:rFonts w:ascii="Verdana" w:eastAsia="Arial MT" w:hAnsi="Verdana" w:cs="Arial MT"/>
          <w:bCs/>
          <w:sz w:val="20"/>
        </w:rPr>
      </w:pPr>
    </w:p>
    <w:p w14:paraId="0D8D01E6" w14:textId="77777777" w:rsidR="00352E13" w:rsidRPr="004E7E1E" w:rsidRDefault="00352E13" w:rsidP="00352E13">
      <w:pPr>
        <w:spacing w:after="0" w:line="240" w:lineRule="auto"/>
        <w:jc w:val="both"/>
        <w:rPr>
          <w:rFonts w:ascii="Verdana" w:eastAsia="Arial MT" w:hAnsi="Verdana" w:cs="Arial MT"/>
          <w:bCs/>
          <w:sz w:val="20"/>
          <w:lang w:val="es-ES"/>
        </w:rPr>
      </w:pPr>
      <w:r w:rsidRPr="004E7E1E">
        <w:rPr>
          <w:rFonts w:ascii="Verdana" w:eastAsia="Arial MT" w:hAnsi="Verdana" w:cs="Arial MT"/>
          <w:bCs/>
          <w:sz w:val="20"/>
          <w:lang w:val="es-ES"/>
        </w:rPr>
        <w:t xml:space="preserve">En ese sentido, en la evaluación que se realiza antes de la adjudicación del contrato la entidad debe verificar la oferta y su componente económico, para determinar si corresponde con el resultado del análisis de la oferta en el estudio de mercado, o si los precios tienen un componente atípico que no se identificó al observar el comportamiento de los proveedores del bien, obra o servicio que pretende contratarse. En ese caso, la entidad podrá identificar las ofertas con precios que parecen artificialmente bajos, y seguir el procedimiento del Decreto 1082 de 2015. </w:t>
      </w:r>
    </w:p>
    <w:p w14:paraId="758E9836" w14:textId="77777777" w:rsidR="00352E13" w:rsidRPr="004E7E1E" w:rsidRDefault="00352E13" w:rsidP="00352E13">
      <w:pPr>
        <w:spacing w:after="0" w:line="240" w:lineRule="auto"/>
        <w:jc w:val="both"/>
        <w:rPr>
          <w:rFonts w:ascii="Verdana" w:eastAsia="Arial MT" w:hAnsi="Verdana" w:cs="Arial MT"/>
          <w:b/>
          <w:bCs/>
          <w:lang w:val="es-ES"/>
        </w:rPr>
      </w:pPr>
    </w:p>
    <w:p w14:paraId="7A7250A4" w14:textId="77777777" w:rsidR="00352E13" w:rsidRPr="004E7E1E" w:rsidRDefault="00352E13" w:rsidP="00352E13">
      <w:pPr>
        <w:spacing w:after="0" w:line="240" w:lineRule="auto"/>
        <w:jc w:val="both"/>
        <w:rPr>
          <w:rFonts w:ascii="Verdana" w:eastAsia="Arial MT" w:hAnsi="Verdana" w:cs="Arial MT"/>
          <w:b/>
          <w:bCs/>
          <w:lang w:val="es-ES_tradnl"/>
        </w:rPr>
      </w:pPr>
      <w:r w:rsidRPr="004E7E1E">
        <w:rPr>
          <w:rFonts w:ascii="Verdana" w:eastAsia="Arial MT" w:hAnsi="Verdana" w:cs="Arial MT"/>
          <w:b/>
          <w:bCs/>
          <w:lang w:val="es-ES_tradnl"/>
        </w:rPr>
        <w:t xml:space="preserve">GUÍA DE OFERTAS ARTIFICIALMENTE BAJAS – Manejo </w:t>
      </w:r>
    </w:p>
    <w:p w14:paraId="0E8C9BB1" w14:textId="77777777" w:rsidR="00352E13" w:rsidRPr="004E7E1E" w:rsidRDefault="00352E13" w:rsidP="00352E13">
      <w:pPr>
        <w:spacing w:after="0" w:line="240" w:lineRule="auto"/>
        <w:jc w:val="both"/>
        <w:rPr>
          <w:rFonts w:ascii="Verdana" w:eastAsia="Arial MT" w:hAnsi="Verdana" w:cs="Arial MT"/>
          <w:bCs/>
          <w:sz w:val="20"/>
          <w:lang w:val="es-ES_tradnl"/>
        </w:rPr>
      </w:pPr>
    </w:p>
    <w:p w14:paraId="433D8F5F" w14:textId="77777777" w:rsidR="00352E13" w:rsidRPr="004E7E1E" w:rsidRDefault="00352E13" w:rsidP="00352E13">
      <w:pPr>
        <w:spacing w:after="0" w:line="240" w:lineRule="auto"/>
        <w:jc w:val="both"/>
        <w:rPr>
          <w:rFonts w:ascii="Verdana" w:eastAsia="Arial MT" w:hAnsi="Verdana" w:cs="Arial MT"/>
          <w:bCs/>
          <w:sz w:val="20"/>
          <w:lang w:val="es-ES"/>
        </w:rPr>
      </w:pPr>
      <w:r w:rsidRPr="004E7E1E">
        <w:rPr>
          <w:rFonts w:ascii="Verdana" w:eastAsia="Arial MT" w:hAnsi="Verdana" w:cs="Arial MT"/>
          <w:bCs/>
          <w:sz w:val="20"/>
          <w:lang w:val="es-ES"/>
        </w:rPr>
        <w:t xml:space="preserve">De esta forma, y con el objetivo de brindar herramientas que orienten a las Entidades Estatales en este asunto, la Agencia Nacional de Contratación Pública – Colombia Compra Eficiente el 16 de diciembre de 2024, actualizó la “Guía para el manejo de ofertas artificialmente bajas en Procesos de Contratación”, en la que se señalan no sólo las posibles causas y consecuencias de ofertas artificialmente bajas, sino que también se relaciona a modo de sugerencia dos </w:t>
      </w:r>
      <w:r>
        <w:rPr>
          <w:rFonts w:ascii="Verdana" w:eastAsia="Arial MT" w:hAnsi="Verdana" w:cs="Arial MT"/>
          <w:bCs/>
          <w:sz w:val="20"/>
          <w:lang w:val="es-ES"/>
        </w:rPr>
        <w:t>herramientas</w:t>
      </w:r>
      <w:r w:rsidRPr="004E7E1E">
        <w:rPr>
          <w:rFonts w:ascii="Verdana" w:eastAsia="Arial MT" w:hAnsi="Verdana" w:cs="Arial MT"/>
          <w:bCs/>
          <w:sz w:val="20"/>
          <w:lang w:val="es-ES"/>
        </w:rPr>
        <w:t xml:space="preserve"> que podrían aplicar las entidades para identificarlas y manejarlas. Estas son: i) la comparación absoluta y; </w:t>
      </w:r>
      <w:proofErr w:type="spellStart"/>
      <w:r w:rsidRPr="004E7E1E">
        <w:rPr>
          <w:rFonts w:ascii="Verdana" w:eastAsia="Arial MT" w:hAnsi="Verdana" w:cs="Arial MT"/>
          <w:bCs/>
          <w:sz w:val="20"/>
          <w:lang w:val="es-ES"/>
        </w:rPr>
        <w:t>ii</w:t>
      </w:r>
      <w:proofErr w:type="spellEnd"/>
      <w:r w:rsidRPr="004E7E1E">
        <w:rPr>
          <w:rFonts w:ascii="Verdana" w:eastAsia="Arial MT" w:hAnsi="Verdana" w:cs="Arial MT"/>
          <w:bCs/>
          <w:sz w:val="20"/>
          <w:lang w:val="es-ES"/>
        </w:rPr>
        <w:t xml:space="preserve">) la comparación relativa. </w:t>
      </w:r>
    </w:p>
    <w:p w14:paraId="2BB20096" w14:textId="77777777" w:rsidR="00352E13" w:rsidRDefault="00352E13" w:rsidP="00352E13">
      <w:pPr>
        <w:spacing w:after="0"/>
        <w:rPr>
          <w:rFonts w:ascii="Verdana" w:eastAsia="Arial MT" w:hAnsi="Verdana" w:cs="Arial MT"/>
          <w:bCs/>
          <w:sz w:val="20"/>
          <w:lang w:val="es-ES"/>
        </w:rPr>
      </w:pPr>
      <w:r>
        <w:rPr>
          <w:rFonts w:ascii="Verdana" w:eastAsia="Arial MT" w:hAnsi="Verdana" w:cs="Arial MT"/>
          <w:bCs/>
          <w:sz w:val="20"/>
          <w:lang w:val="es-ES"/>
        </w:rPr>
        <w:t>(…)</w:t>
      </w:r>
    </w:p>
    <w:p w14:paraId="66CD427F" w14:textId="77777777" w:rsidR="00352E13" w:rsidRDefault="00352E13" w:rsidP="00352E13">
      <w:pPr>
        <w:spacing w:after="0" w:line="240" w:lineRule="auto"/>
        <w:jc w:val="both"/>
        <w:rPr>
          <w:rFonts w:ascii="Verdana" w:eastAsia="Arial MT" w:hAnsi="Verdana" w:cs="Arial MT"/>
          <w:bCs/>
          <w:sz w:val="20"/>
          <w:lang w:val="es-ES"/>
        </w:rPr>
      </w:pPr>
      <w:r w:rsidRPr="00462F0B">
        <w:rPr>
          <w:rFonts w:ascii="Verdana" w:eastAsia="Arial MT" w:hAnsi="Verdana" w:cs="Arial MT"/>
          <w:bCs/>
          <w:sz w:val="20"/>
          <w:lang w:val="es-ES"/>
        </w:rPr>
        <w:t xml:space="preserve">En la Guía de Colombia Compra Eficiente, existen dos (2) “herramientas” que se deben aplicar a todas las ofertas a evaluar, ya que así lo establece la Guía, sin excepciones. </w:t>
      </w:r>
      <w:r w:rsidRPr="00462F0B">
        <w:rPr>
          <w:rFonts w:ascii="Verdana" w:eastAsia="Arial MT" w:hAnsi="Verdana" w:cs="Arial MT"/>
          <w:bCs/>
          <w:sz w:val="20"/>
          <w:lang w:val="es-ES"/>
        </w:rPr>
        <w:lastRenderedPageBreak/>
        <w:t>Pero para identificar la oferta con precios artificialmente bajos no siempre se requieren las demás ofertas, como en la comparación absoluta, donde cada oferta se analiza respecto del valor señalado en el estudio del sector, sin incluir las otras ofertas del procedimiento. Por otra parte, en la comparación relativa, que se sugiere utilizarla cuando se reciben 5 o más ofertas, la Guía dispone que: “Con el fin de identificar ofertas que puedan ser consideradas cómo artificialmente bajas, la Entidad utilizará la siguiente metodología para establecer un valor mínimo aceptable: a. Primero deberá tomar el conjunto de ofertas a evaluar (…)”</w:t>
      </w:r>
      <w:r w:rsidRPr="00456021">
        <w:rPr>
          <w:rFonts w:ascii="Verdana" w:eastAsia="Arial MT" w:hAnsi="Verdana" w:cs="Arial MT"/>
          <w:bCs/>
          <w:sz w:val="20"/>
          <w:lang w:val="es-ES"/>
        </w:rPr>
        <w:t>.</w:t>
      </w:r>
    </w:p>
    <w:p w14:paraId="2F2EB914" w14:textId="77777777" w:rsidR="00352E13" w:rsidRDefault="00352E13" w:rsidP="00352E13">
      <w:pPr>
        <w:spacing w:after="0"/>
        <w:rPr>
          <w:rFonts w:ascii="Verdana" w:hAnsi="Verdana"/>
        </w:rPr>
      </w:pPr>
    </w:p>
    <w:p w14:paraId="4163406D" w14:textId="77777777" w:rsidR="00805CC0" w:rsidRPr="004E7E1E" w:rsidRDefault="00805CC0" w:rsidP="00805CC0">
      <w:pPr>
        <w:spacing w:after="0" w:line="240" w:lineRule="auto"/>
        <w:jc w:val="both"/>
        <w:rPr>
          <w:rFonts w:ascii="Verdana" w:eastAsia="Arial MT" w:hAnsi="Verdana" w:cs="Arial MT"/>
          <w:b/>
          <w:bCs/>
          <w:lang w:val="es-ES_tradnl"/>
        </w:rPr>
      </w:pPr>
      <w:r w:rsidRPr="004E7E1E">
        <w:rPr>
          <w:rFonts w:ascii="Verdana" w:eastAsia="Arial MT" w:hAnsi="Verdana" w:cs="Arial MT"/>
          <w:b/>
          <w:bCs/>
          <w:lang w:val="es-ES_tradnl"/>
        </w:rPr>
        <w:t xml:space="preserve">PRECIOS ARTIFICIALMENTE BAJOS – Guía – Procesos de </w:t>
      </w:r>
      <w:r>
        <w:rPr>
          <w:rFonts w:ascii="Verdana" w:eastAsia="Arial MT" w:hAnsi="Verdana" w:cs="Arial MT"/>
          <w:b/>
          <w:bCs/>
          <w:lang w:val="es-ES_tradnl"/>
        </w:rPr>
        <w:t>s</w:t>
      </w:r>
      <w:r w:rsidRPr="004E7E1E">
        <w:rPr>
          <w:rFonts w:ascii="Verdana" w:eastAsia="Arial MT" w:hAnsi="Verdana" w:cs="Arial MT"/>
          <w:b/>
          <w:bCs/>
          <w:lang w:val="es-ES_tradnl"/>
        </w:rPr>
        <w:t xml:space="preserve">ubasta – Subasta </w:t>
      </w:r>
      <w:r>
        <w:rPr>
          <w:rFonts w:ascii="Verdana" w:eastAsia="Arial MT" w:hAnsi="Verdana" w:cs="Arial MT"/>
          <w:b/>
          <w:bCs/>
          <w:lang w:val="es-ES_tradnl"/>
        </w:rPr>
        <w:t>i</w:t>
      </w:r>
      <w:r w:rsidRPr="004E7E1E">
        <w:rPr>
          <w:rFonts w:ascii="Verdana" w:eastAsia="Arial MT" w:hAnsi="Verdana" w:cs="Arial MT"/>
          <w:b/>
          <w:bCs/>
          <w:lang w:val="es-ES_tradnl"/>
        </w:rPr>
        <w:t>nversa</w:t>
      </w:r>
    </w:p>
    <w:p w14:paraId="17AB7535" w14:textId="77777777" w:rsidR="00805CC0" w:rsidRDefault="00805CC0" w:rsidP="00805CC0">
      <w:pPr>
        <w:spacing w:after="0" w:line="240" w:lineRule="auto"/>
        <w:jc w:val="both"/>
        <w:rPr>
          <w:rFonts w:ascii="Verdana" w:eastAsia="Arial MT" w:hAnsi="Verdana" w:cs="Arial MT"/>
          <w:b/>
          <w:bCs/>
          <w:lang w:val="es-ES_tradnl"/>
        </w:rPr>
      </w:pPr>
    </w:p>
    <w:p w14:paraId="27BC4367" w14:textId="77777777" w:rsidR="00805CC0" w:rsidRPr="00EA7B69" w:rsidRDefault="00805CC0" w:rsidP="00805CC0">
      <w:pPr>
        <w:spacing w:after="0" w:line="240" w:lineRule="auto"/>
        <w:jc w:val="both"/>
        <w:rPr>
          <w:rFonts w:ascii="Verdana" w:eastAsia="Arial MT" w:hAnsi="Verdana" w:cs="Arial MT"/>
          <w:bCs/>
          <w:sz w:val="20"/>
          <w:lang w:val="es-ES"/>
        </w:rPr>
      </w:pPr>
      <w:r w:rsidRPr="00EA7B69">
        <w:rPr>
          <w:rFonts w:ascii="Verdana" w:eastAsia="Arial MT" w:hAnsi="Verdana" w:cs="Arial MT"/>
          <w:bCs/>
          <w:sz w:val="20"/>
          <w:lang w:val="es-ES"/>
        </w:rPr>
        <w:t xml:space="preserve">Ahora bien, en el evento en que los lances presentados en la audiencia del proceso de subasta inversa se evidencian que son precios artificialmente bajos, debe tener en cuenta lo siguiente: i) requerir al oferente con relación a los precios ofertados que parecen bajos, con el fin de que sustente las razones o motivos del valor; </w:t>
      </w:r>
      <w:proofErr w:type="spellStart"/>
      <w:r w:rsidRPr="00EA7B69">
        <w:rPr>
          <w:rFonts w:ascii="Verdana" w:eastAsia="Arial MT" w:hAnsi="Verdana" w:cs="Arial MT"/>
          <w:bCs/>
          <w:sz w:val="20"/>
          <w:lang w:val="es-ES"/>
        </w:rPr>
        <w:t>ii</w:t>
      </w:r>
      <w:proofErr w:type="spellEnd"/>
      <w:r w:rsidRPr="00EA7B69">
        <w:rPr>
          <w:rFonts w:ascii="Verdana" w:eastAsia="Arial MT" w:hAnsi="Verdana" w:cs="Arial MT"/>
          <w:bCs/>
          <w:sz w:val="20"/>
          <w:lang w:val="es-ES"/>
        </w:rPr>
        <w:t xml:space="preserve">) analizar las explicaciones del oferente, para verificar si están sustentados en los valores ofrecidos y si son suficientes para ejecutar el contrato; </w:t>
      </w:r>
      <w:proofErr w:type="spellStart"/>
      <w:r w:rsidRPr="00EA7B69">
        <w:rPr>
          <w:rFonts w:ascii="Verdana" w:eastAsia="Arial MT" w:hAnsi="Verdana" w:cs="Arial MT"/>
          <w:bCs/>
          <w:sz w:val="20"/>
          <w:lang w:val="es-ES"/>
        </w:rPr>
        <w:t>iii</w:t>
      </w:r>
      <w:proofErr w:type="spellEnd"/>
      <w:r w:rsidRPr="00EA7B69">
        <w:rPr>
          <w:rFonts w:ascii="Verdana" w:eastAsia="Arial MT" w:hAnsi="Verdana" w:cs="Arial MT"/>
          <w:bCs/>
          <w:sz w:val="20"/>
          <w:lang w:val="es-ES"/>
        </w:rPr>
        <w:t xml:space="preserve">) definir si continúa con la evaluación de la oferta, en el sentido de que la explicación demuestra la capacidad del proponente para cumplir adecuadamente con el contrato con los precios ofertados o, si por el contrario, rechaza la oferta porque no fue sustentada. Esto debe realizarse al finalizar el evento de subasta, de acuerdo con el precio ofrecido al final de esta. </w:t>
      </w:r>
    </w:p>
    <w:p w14:paraId="7C729564" w14:textId="77777777" w:rsidR="00805CC0" w:rsidRPr="00EA7B69" w:rsidRDefault="00805CC0" w:rsidP="00805CC0">
      <w:pPr>
        <w:spacing w:after="0" w:line="240" w:lineRule="auto"/>
        <w:jc w:val="both"/>
        <w:rPr>
          <w:rFonts w:ascii="Verdana" w:eastAsia="Arial MT" w:hAnsi="Verdana" w:cs="Arial MT"/>
          <w:bCs/>
          <w:sz w:val="20"/>
          <w:lang w:val="es-ES"/>
        </w:rPr>
      </w:pPr>
      <w:r w:rsidRPr="00EA7B69">
        <w:rPr>
          <w:rFonts w:ascii="Verdana" w:eastAsia="Arial MT" w:hAnsi="Verdana" w:cs="Arial MT"/>
          <w:bCs/>
          <w:sz w:val="20"/>
          <w:lang w:val="es-ES"/>
        </w:rPr>
        <w:t>[…]</w:t>
      </w:r>
    </w:p>
    <w:p w14:paraId="4C0E91CA" w14:textId="77777777" w:rsidR="00C01C69"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xml:space="preserve">En el caso de la subasta inversa, la “Guía para el manejo de ofertas artificialmente bajas en procesos de contratación” de esta Agencia señala que se debe hacer uso de la comparación relativa, sobre el precio obtenido al final de </w:t>
      </w:r>
      <w:proofErr w:type="gramStart"/>
      <w:r w:rsidRPr="00C01C69">
        <w:rPr>
          <w:rFonts w:ascii="Verdana" w:eastAsia="Arial MT" w:hAnsi="Verdana" w:cs="Arial MT"/>
          <w:bCs/>
          <w:sz w:val="20"/>
          <w:lang w:val="es-ES"/>
        </w:rPr>
        <w:t>la misma</w:t>
      </w:r>
      <w:proofErr w:type="gramEnd"/>
      <w:r w:rsidRPr="00C01C69">
        <w:rPr>
          <w:rFonts w:ascii="Verdana" w:eastAsia="Arial MT" w:hAnsi="Verdana" w:cs="Arial MT"/>
          <w:bCs/>
          <w:sz w:val="20"/>
          <w:lang w:val="es-ES"/>
        </w:rPr>
        <w:t>, así:</w:t>
      </w:r>
    </w:p>
    <w:p w14:paraId="65FBC9AC" w14:textId="77777777" w:rsidR="00C01C69"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xml:space="preserve">“(…) • Verificar la oferta y su componente económico, para así determinar si los precios tienen un componente extraño que no fue posible determinar al momento de realizar el Estudio del sector, en relación con los proveedores del bien, obra o servicio que se pretende contratar. </w:t>
      </w:r>
    </w:p>
    <w:p w14:paraId="0774BCC8" w14:textId="77777777" w:rsidR="00C01C69"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xml:space="preserve">• Comparar el valor de cada oferta con el costo estimado de la provisión del bien o servicio de acuerdo con el Estudio del Sector. La verificación de ofertas artificialmente bajas puede sustentarse en información adicional a la utilizada en el Estudio del Sector, como precios de fabricantes y otros factores económicos relevantes. </w:t>
      </w:r>
    </w:p>
    <w:p w14:paraId="247AEA59" w14:textId="77777777" w:rsidR="00C01C69"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xml:space="preserve">• Solicitar explicaciones a los proponentes cuyas ofertas sean menores en un 20%, o un mayor porcentaje, al costo total estimado por la Entidad Estatal (comparación absoluta, ver numeral 2.1.1). </w:t>
      </w:r>
    </w:p>
    <w:p w14:paraId="1A7D19D2" w14:textId="77777777" w:rsidR="00C01C69"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Analizar la información remitida por el proponente y considerar el rechazo de las ofertas que cumplan con alguna de las condiciones establecidas en el numeral 4.2 de la presente Guía. (…)”</w:t>
      </w:r>
    </w:p>
    <w:p w14:paraId="4C545DB0" w14:textId="77777777" w:rsidR="00C01C69" w:rsidRPr="00C01C69" w:rsidRDefault="00C01C69" w:rsidP="00C01C69">
      <w:pPr>
        <w:spacing w:after="0" w:line="240" w:lineRule="auto"/>
        <w:jc w:val="both"/>
        <w:rPr>
          <w:rFonts w:ascii="Verdana" w:eastAsia="Arial MT" w:hAnsi="Verdana" w:cs="Arial MT"/>
          <w:bCs/>
          <w:sz w:val="20"/>
          <w:lang w:val="es-ES"/>
        </w:rPr>
      </w:pPr>
    </w:p>
    <w:p w14:paraId="1F8EB931" w14:textId="5B9AFEF4" w:rsidR="00805CC0" w:rsidRPr="00C01C69" w:rsidRDefault="00C01C69" w:rsidP="00C01C69">
      <w:pPr>
        <w:spacing w:after="0" w:line="240" w:lineRule="auto"/>
        <w:jc w:val="both"/>
        <w:rPr>
          <w:rFonts w:ascii="Verdana" w:eastAsia="Arial MT" w:hAnsi="Verdana" w:cs="Arial MT"/>
          <w:bCs/>
          <w:sz w:val="20"/>
          <w:lang w:val="es-ES"/>
        </w:rPr>
      </w:pPr>
      <w:r w:rsidRPr="00C01C69">
        <w:rPr>
          <w:rFonts w:ascii="Verdana" w:eastAsia="Arial MT" w:hAnsi="Verdana" w:cs="Arial MT"/>
          <w:bCs/>
          <w:sz w:val="20"/>
          <w:lang w:val="es-ES"/>
        </w:rPr>
        <w:t xml:space="preserve">Por tanto, respecto de su pregunta sobre el valor que se debe tener en cuenta para determinar una oferta artificialmente baja en la subasta inversa, como lo indica la Guía citada, es el costo estimado por la entidad estatal según el Estudio del Sector. Adicionalmente, respecto de la obligación de la entidad estatal de solicitar aclaración a </w:t>
      </w:r>
      <w:r w:rsidRPr="00C01C69">
        <w:rPr>
          <w:rFonts w:ascii="Verdana" w:eastAsia="Arial MT" w:hAnsi="Verdana" w:cs="Arial MT"/>
          <w:bCs/>
          <w:sz w:val="20"/>
          <w:lang w:val="es-ES"/>
        </w:rPr>
        <w:lastRenderedPageBreak/>
        <w:t>las ofertas que parecen artificialmente bajas, el artículo 2.2.1.1.2.2.4. del Decreto 1082 de 2015 es claro al señalar que: “Si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w:t>
      </w:r>
    </w:p>
    <w:p w14:paraId="61E7E2ED" w14:textId="77777777" w:rsidR="008C2DFE" w:rsidRPr="00C01C69" w:rsidRDefault="008C2DFE" w:rsidP="00C01C69">
      <w:pPr>
        <w:spacing w:after="0" w:line="240" w:lineRule="auto"/>
        <w:jc w:val="both"/>
        <w:rPr>
          <w:rFonts w:ascii="Verdana" w:eastAsia="Arial MT" w:hAnsi="Verdana" w:cs="Arial MT"/>
          <w:bCs/>
          <w:sz w:val="20"/>
          <w:lang w:val="es-ES"/>
        </w:rPr>
      </w:pPr>
    </w:p>
    <w:p w14:paraId="5BC81DD6" w14:textId="77777777" w:rsidR="008C2DFE" w:rsidRDefault="008C2DFE" w:rsidP="00352E13">
      <w:pPr>
        <w:spacing w:after="0"/>
        <w:rPr>
          <w:rFonts w:ascii="Verdana" w:hAnsi="Verdana"/>
        </w:rPr>
      </w:pPr>
    </w:p>
    <w:p w14:paraId="18342EE7" w14:textId="77777777" w:rsidR="008C2DFE" w:rsidRDefault="008C2DFE" w:rsidP="00352E13">
      <w:pPr>
        <w:spacing w:after="0"/>
        <w:rPr>
          <w:rFonts w:ascii="Verdana" w:hAnsi="Verdana"/>
        </w:rPr>
      </w:pPr>
    </w:p>
    <w:p w14:paraId="5DF514AF" w14:textId="77777777" w:rsidR="008C2DFE" w:rsidRDefault="008C2DFE" w:rsidP="00352E13">
      <w:pPr>
        <w:spacing w:after="0"/>
        <w:rPr>
          <w:rFonts w:ascii="Verdana" w:hAnsi="Verdana"/>
        </w:rPr>
      </w:pPr>
    </w:p>
    <w:p w14:paraId="696AAB7C" w14:textId="77777777" w:rsidR="008C2DFE" w:rsidRDefault="008C2DFE" w:rsidP="00352E13">
      <w:pPr>
        <w:spacing w:after="0"/>
        <w:rPr>
          <w:rFonts w:ascii="Verdana" w:hAnsi="Verdana"/>
        </w:rPr>
      </w:pPr>
    </w:p>
    <w:p w14:paraId="0F5B5A8C" w14:textId="77777777" w:rsidR="00472B43" w:rsidRDefault="00472B43" w:rsidP="00352E13">
      <w:pPr>
        <w:spacing w:after="0" w:line="240" w:lineRule="auto"/>
        <w:jc w:val="both"/>
        <w:rPr>
          <w:rFonts w:ascii="Verdana" w:eastAsia="Geomanist Light" w:hAnsi="Verdana" w:cs="Arial"/>
          <w:color w:val="000000" w:themeColor="text1"/>
        </w:rPr>
      </w:pPr>
    </w:p>
    <w:p w14:paraId="59B7C941" w14:textId="77777777" w:rsidR="00805CC0" w:rsidRDefault="00805CC0" w:rsidP="00352E13">
      <w:pPr>
        <w:spacing w:after="0" w:line="240" w:lineRule="auto"/>
        <w:jc w:val="both"/>
        <w:rPr>
          <w:rFonts w:ascii="Verdana" w:eastAsia="Geomanist Light" w:hAnsi="Verdana" w:cs="Arial"/>
          <w:color w:val="000000" w:themeColor="text1"/>
        </w:rPr>
      </w:pPr>
    </w:p>
    <w:p w14:paraId="63832A6A" w14:textId="77777777" w:rsidR="00805CC0" w:rsidRDefault="00805CC0" w:rsidP="00352E13">
      <w:pPr>
        <w:spacing w:after="0" w:line="240" w:lineRule="auto"/>
        <w:jc w:val="both"/>
        <w:rPr>
          <w:rFonts w:ascii="Verdana" w:eastAsia="Geomanist Light" w:hAnsi="Verdana" w:cs="Arial"/>
          <w:color w:val="000000" w:themeColor="text1"/>
        </w:rPr>
      </w:pPr>
    </w:p>
    <w:p w14:paraId="4A6947F9" w14:textId="77777777" w:rsidR="00D479B3" w:rsidRDefault="00D479B3" w:rsidP="00352E13">
      <w:pPr>
        <w:spacing w:after="0" w:line="240" w:lineRule="auto"/>
        <w:jc w:val="both"/>
        <w:rPr>
          <w:rFonts w:ascii="Verdana" w:eastAsia="Geomanist Light" w:hAnsi="Verdana" w:cs="Arial"/>
          <w:color w:val="000000" w:themeColor="text1"/>
        </w:rPr>
      </w:pPr>
    </w:p>
    <w:p w14:paraId="0FC63D95" w14:textId="77777777" w:rsidR="00D479B3" w:rsidRDefault="00D479B3" w:rsidP="00352E13">
      <w:pPr>
        <w:spacing w:after="0" w:line="240" w:lineRule="auto"/>
        <w:jc w:val="both"/>
        <w:rPr>
          <w:rFonts w:ascii="Verdana" w:eastAsia="Geomanist Light" w:hAnsi="Verdana" w:cs="Arial"/>
          <w:color w:val="000000" w:themeColor="text1"/>
        </w:rPr>
      </w:pPr>
    </w:p>
    <w:p w14:paraId="6D4B3CCF" w14:textId="77777777" w:rsidR="00D479B3" w:rsidRDefault="00D479B3" w:rsidP="00352E13">
      <w:pPr>
        <w:spacing w:after="0" w:line="240" w:lineRule="auto"/>
        <w:jc w:val="both"/>
        <w:rPr>
          <w:rFonts w:ascii="Verdana" w:eastAsia="Geomanist Light" w:hAnsi="Verdana" w:cs="Arial"/>
          <w:color w:val="000000" w:themeColor="text1"/>
        </w:rPr>
      </w:pPr>
    </w:p>
    <w:p w14:paraId="22C8C7A5" w14:textId="77777777" w:rsidR="00D479B3" w:rsidRDefault="00D479B3" w:rsidP="00352E13">
      <w:pPr>
        <w:spacing w:after="0" w:line="240" w:lineRule="auto"/>
        <w:jc w:val="both"/>
        <w:rPr>
          <w:rFonts w:ascii="Verdana" w:eastAsia="Geomanist Light" w:hAnsi="Verdana" w:cs="Arial"/>
          <w:color w:val="000000" w:themeColor="text1"/>
        </w:rPr>
      </w:pPr>
    </w:p>
    <w:p w14:paraId="0E7A789C" w14:textId="77777777" w:rsidR="00D479B3" w:rsidRDefault="00D479B3" w:rsidP="00352E13">
      <w:pPr>
        <w:spacing w:after="0" w:line="240" w:lineRule="auto"/>
        <w:jc w:val="both"/>
        <w:rPr>
          <w:rFonts w:ascii="Verdana" w:eastAsia="Geomanist Light" w:hAnsi="Verdana" w:cs="Arial"/>
          <w:color w:val="000000" w:themeColor="text1"/>
        </w:rPr>
      </w:pPr>
    </w:p>
    <w:p w14:paraId="221CC888" w14:textId="77777777" w:rsidR="00D479B3" w:rsidRDefault="00D479B3" w:rsidP="00352E13">
      <w:pPr>
        <w:spacing w:after="0" w:line="240" w:lineRule="auto"/>
        <w:jc w:val="both"/>
        <w:rPr>
          <w:rFonts w:ascii="Verdana" w:eastAsia="Geomanist Light" w:hAnsi="Verdana" w:cs="Arial"/>
          <w:color w:val="000000" w:themeColor="text1"/>
        </w:rPr>
      </w:pPr>
    </w:p>
    <w:p w14:paraId="22575A27" w14:textId="77777777" w:rsidR="00D479B3" w:rsidRDefault="00D479B3" w:rsidP="00352E13">
      <w:pPr>
        <w:spacing w:after="0" w:line="240" w:lineRule="auto"/>
        <w:jc w:val="both"/>
        <w:rPr>
          <w:rFonts w:ascii="Verdana" w:eastAsia="Geomanist Light" w:hAnsi="Verdana" w:cs="Arial"/>
          <w:color w:val="000000" w:themeColor="text1"/>
        </w:rPr>
      </w:pPr>
    </w:p>
    <w:p w14:paraId="4BE1F0BC" w14:textId="77777777" w:rsidR="00D479B3" w:rsidRDefault="00D479B3" w:rsidP="00352E13">
      <w:pPr>
        <w:spacing w:after="0" w:line="240" w:lineRule="auto"/>
        <w:jc w:val="both"/>
        <w:rPr>
          <w:rFonts w:ascii="Verdana" w:eastAsia="Geomanist Light" w:hAnsi="Verdana" w:cs="Arial"/>
          <w:color w:val="000000" w:themeColor="text1"/>
        </w:rPr>
      </w:pPr>
    </w:p>
    <w:p w14:paraId="0119BDE9" w14:textId="77777777" w:rsidR="00D479B3" w:rsidRDefault="00D479B3" w:rsidP="00352E13">
      <w:pPr>
        <w:spacing w:after="0" w:line="240" w:lineRule="auto"/>
        <w:jc w:val="both"/>
        <w:rPr>
          <w:rFonts w:ascii="Verdana" w:eastAsia="Geomanist Light" w:hAnsi="Verdana" w:cs="Arial"/>
          <w:color w:val="000000" w:themeColor="text1"/>
        </w:rPr>
      </w:pPr>
    </w:p>
    <w:p w14:paraId="6CDE09F3" w14:textId="77777777" w:rsidR="00D479B3" w:rsidRDefault="00D479B3" w:rsidP="00352E13">
      <w:pPr>
        <w:spacing w:after="0" w:line="240" w:lineRule="auto"/>
        <w:jc w:val="both"/>
        <w:rPr>
          <w:rFonts w:ascii="Verdana" w:eastAsia="Geomanist Light" w:hAnsi="Verdana" w:cs="Arial"/>
          <w:color w:val="000000" w:themeColor="text1"/>
        </w:rPr>
      </w:pPr>
    </w:p>
    <w:p w14:paraId="6F7B36D8" w14:textId="77777777" w:rsidR="00D479B3" w:rsidRDefault="00D479B3" w:rsidP="00352E13">
      <w:pPr>
        <w:spacing w:after="0" w:line="240" w:lineRule="auto"/>
        <w:jc w:val="both"/>
        <w:rPr>
          <w:rFonts w:ascii="Verdana" w:eastAsia="Geomanist Light" w:hAnsi="Verdana" w:cs="Arial"/>
          <w:color w:val="000000" w:themeColor="text1"/>
        </w:rPr>
      </w:pPr>
    </w:p>
    <w:p w14:paraId="7E8D4BAD" w14:textId="77777777" w:rsidR="00D479B3" w:rsidRDefault="00D479B3" w:rsidP="00352E13">
      <w:pPr>
        <w:spacing w:after="0" w:line="240" w:lineRule="auto"/>
        <w:jc w:val="both"/>
        <w:rPr>
          <w:rFonts w:ascii="Verdana" w:eastAsia="Geomanist Light" w:hAnsi="Verdana" w:cs="Arial"/>
          <w:color w:val="000000" w:themeColor="text1"/>
        </w:rPr>
      </w:pPr>
    </w:p>
    <w:p w14:paraId="5EAA8355" w14:textId="77777777" w:rsidR="00D479B3" w:rsidRDefault="00D479B3" w:rsidP="00352E13">
      <w:pPr>
        <w:spacing w:after="0" w:line="240" w:lineRule="auto"/>
        <w:jc w:val="both"/>
        <w:rPr>
          <w:rFonts w:ascii="Verdana" w:eastAsia="Geomanist Light" w:hAnsi="Verdana" w:cs="Arial"/>
          <w:color w:val="000000" w:themeColor="text1"/>
        </w:rPr>
      </w:pPr>
    </w:p>
    <w:p w14:paraId="34BCCD18" w14:textId="77777777" w:rsidR="00D479B3" w:rsidRDefault="00D479B3" w:rsidP="00352E13">
      <w:pPr>
        <w:spacing w:after="0" w:line="240" w:lineRule="auto"/>
        <w:jc w:val="both"/>
        <w:rPr>
          <w:rFonts w:ascii="Verdana" w:eastAsia="Geomanist Light" w:hAnsi="Verdana" w:cs="Arial"/>
          <w:color w:val="000000" w:themeColor="text1"/>
        </w:rPr>
      </w:pPr>
    </w:p>
    <w:p w14:paraId="1BDAA9F3" w14:textId="77777777" w:rsidR="00D479B3" w:rsidRDefault="00D479B3" w:rsidP="00352E13">
      <w:pPr>
        <w:spacing w:after="0" w:line="240" w:lineRule="auto"/>
        <w:jc w:val="both"/>
        <w:rPr>
          <w:rFonts w:ascii="Verdana" w:eastAsia="Geomanist Light" w:hAnsi="Verdana" w:cs="Arial"/>
          <w:color w:val="000000" w:themeColor="text1"/>
        </w:rPr>
      </w:pPr>
    </w:p>
    <w:p w14:paraId="2A9D9978" w14:textId="77777777" w:rsidR="00D479B3" w:rsidRDefault="00D479B3" w:rsidP="00352E13">
      <w:pPr>
        <w:spacing w:after="0" w:line="240" w:lineRule="auto"/>
        <w:jc w:val="both"/>
        <w:rPr>
          <w:rFonts w:ascii="Verdana" w:eastAsia="Geomanist Light" w:hAnsi="Verdana" w:cs="Arial"/>
          <w:color w:val="000000" w:themeColor="text1"/>
        </w:rPr>
      </w:pPr>
    </w:p>
    <w:p w14:paraId="7C177EBB" w14:textId="77777777" w:rsidR="00D479B3" w:rsidRDefault="00D479B3" w:rsidP="00352E13">
      <w:pPr>
        <w:spacing w:after="0" w:line="240" w:lineRule="auto"/>
        <w:jc w:val="both"/>
        <w:rPr>
          <w:rFonts w:ascii="Verdana" w:eastAsia="Geomanist Light" w:hAnsi="Verdana" w:cs="Arial"/>
          <w:color w:val="000000" w:themeColor="text1"/>
        </w:rPr>
      </w:pPr>
    </w:p>
    <w:p w14:paraId="575837D7" w14:textId="77777777" w:rsidR="00D479B3" w:rsidRDefault="00D479B3" w:rsidP="00352E13">
      <w:pPr>
        <w:spacing w:after="0" w:line="240" w:lineRule="auto"/>
        <w:jc w:val="both"/>
        <w:rPr>
          <w:rFonts w:ascii="Verdana" w:eastAsia="Geomanist Light" w:hAnsi="Verdana" w:cs="Arial"/>
          <w:color w:val="000000" w:themeColor="text1"/>
        </w:rPr>
      </w:pPr>
    </w:p>
    <w:p w14:paraId="6C896854" w14:textId="77777777" w:rsidR="00D479B3" w:rsidRDefault="00D479B3" w:rsidP="00352E13">
      <w:pPr>
        <w:spacing w:after="0" w:line="240" w:lineRule="auto"/>
        <w:jc w:val="both"/>
        <w:rPr>
          <w:rFonts w:ascii="Verdana" w:eastAsia="Geomanist Light" w:hAnsi="Verdana" w:cs="Arial"/>
          <w:color w:val="000000" w:themeColor="text1"/>
        </w:rPr>
      </w:pPr>
    </w:p>
    <w:p w14:paraId="7FCA5CF4" w14:textId="77777777" w:rsidR="00D479B3" w:rsidRDefault="00D479B3" w:rsidP="00352E13">
      <w:pPr>
        <w:spacing w:after="0" w:line="240" w:lineRule="auto"/>
        <w:jc w:val="both"/>
        <w:rPr>
          <w:rFonts w:ascii="Verdana" w:eastAsia="Geomanist Light" w:hAnsi="Verdana" w:cs="Arial"/>
          <w:color w:val="000000" w:themeColor="text1"/>
        </w:rPr>
      </w:pPr>
    </w:p>
    <w:p w14:paraId="340FA23D" w14:textId="77777777" w:rsidR="00D479B3" w:rsidRDefault="00D479B3" w:rsidP="00352E13">
      <w:pPr>
        <w:spacing w:after="0" w:line="240" w:lineRule="auto"/>
        <w:jc w:val="both"/>
        <w:rPr>
          <w:rFonts w:ascii="Verdana" w:eastAsia="Geomanist Light" w:hAnsi="Verdana" w:cs="Arial"/>
          <w:color w:val="000000" w:themeColor="text1"/>
        </w:rPr>
      </w:pPr>
    </w:p>
    <w:p w14:paraId="7D313A18" w14:textId="77777777" w:rsidR="00D479B3" w:rsidRDefault="00D479B3" w:rsidP="00352E13">
      <w:pPr>
        <w:spacing w:after="0" w:line="240" w:lineRule="auto"/>
        <w:jc w:val="both"/>
        <w:rPr>
          <w:rFonts w:ascii="Verdana" w:eastAsia="Geomanist Light" w:hAnsi="Verdana" w:cs="Arial"/>
          <w:color w:val="000000" w:themeColor="text1"/>
        </w:rPr>
      </w:pPr>
    </w:p>
    <w:p w14:paraId="4E20AA00" w14:textId="77777777" w:rsidR="00D479B3" w:rsidRDefault="00D479B3" w:rsidP="00352E13">
      <w:pPr>
        <w:spacing w:after="0" w:line="240" w:lineRule="auto"/>
        <w:jc w:val="both"/>
        <w:rPr>
          <w:rFonts w:ascii="Verdana" w:eastAsia="Geomanist Light" w:hAnsi="Verdana" w:cs="Arial"/>
          <w:color w:val="000000" w:themeColor="text1"/>
        </w:rPr>
      </w:pPr>
    </w:p>
    <w:p w14:paraId="20388FAC" w14:textId="77777777" w:rsidR="00D479B3" w:rsidRDefault="00D479B3" w:rsidP="00352E13">
      <w:pPr>
        <w:spacing w:after="0" w:line="240" w:lineRule="auto"/>
        <w:jc w:val="both"/>
        <w:rPr>
          <w:rFonts w:ascii="Verdana" w:eastAsia="Geomanist Light" w:hAnsi="Verdana" w:cs="Arial"/>
          <w:color w:val="000000" w:themeColor="text1"/>
        </w:rPr>
      </w:pPr>
    </w:p>
    <w:p w14:paraId="6D1FCAE8" w14:textId="77777777" w:rsidR="00D479B3" w:rsidRDefault="00D479B3" w:rsidP="00352E13">
      <w:pPr>
        <w:spacing w:after="0" w:line="240" w:lineRule="auto"/>
        <w:jc w:val="both"/>
        <w:rPr>
          <w:rFonts w:ascii="Verdana" w:eastAsia="Geomanist Light" w:hAnsi="Verdana" w:cs="Arial"/>
          <w:color w:val="000000" w:themeColor="text1"/>
        </w:rPr>
      </w:pPr>
    </w:p>
    <w:p w14:paraId="6DF9DCC1" w14:textId="77777777" w:rsidR="00D479B3" w:rsidRDefault="00D479B3" w:rsidP="00352E13">
      <w:pPr>
        <w:spacing w:after="0" w:line="240" w:lineRule="auto"/>
        <w:jc w:val="both"/>
        <w:rPr>
          <w:rFonts w:ascii="Verdana" w:eastAsia="Geomanist Light" w:hAnsi="Verdana" w:cs="Arial"/>
          <w:color w:val="000000" w:themeColor="text1"/>
        </w:rPr>
      </w:pPr>
    </w:p>
    <w:p w14:paraId="266B7362" w14:textId="77777777" w:rsidR="00D479B3" w:rsidRDefault="00D479B3" w:rsidP="00352E13">
      <w:pPr>
        <w:spacing w:after="0" w:line="240" w:lineRule="auto"/>
        <w:jc w:val="both"/>
        <w:rPr>
          <w:rFonts w:ascii="Verdana" w:eastAsia="Geomanist Light" w:hAnsi="Verdana" w:cs="Arial"/>
          <w:color w:val="000000" w:themeColor="text1"/>
        </w:rPr>
      </w:pPr>
    </w:p>
    <w:p w14:paraId="0B05393E" w14:textId="77777777" w:rsidR="00805CC0" w:rsidRDefault="00805CC0" w:rsidP="00352E13">
      <w:pPr>
        <w:spacing w:after="0" w:line="240" w:lineRule="auto"/>
        <w:jc w:val="both"/>
        <w:rPr>
          <w:rFonts w:ascii="Verdana" w:eastAsia="Geomanist Light" w:hAnsi="Verdana" w:cs="Arial"/>
          <w:color w:val="000000" w:themeColor="text1"/>
        </w:rPr>
      </w:pPr>
    </w:p>
    <w:p w14:paraId="32F7E51F" w14:textId="77777777" w:rsidR="00472B43" w:rsidRDefault="00472B43" w:rsidP="00352E13">
      <w:pPr>
        <w:spacing w:after="0" w:line="240" w:lineRule="auto"/>
        <w:jc w:val="both"/>
        <w:rPr>
          <w:rFonts w:ascii="Verdana" w:eastAsia="Geomanist Light" w:hAnsi="Verdana" w:cs="Arial"/>
          <w:color w:val="000000" w:themeColor="text1"/>
        </w:rPr>
      </w:pPr>
    </w:p>
    <w:p w14:paraId="2CDACA08" w14:textId="77777777" w:rsidR="00C1418A" w:rsidRDefault="007825F4" w:rsidP="007825F4">
      <w:pPr>
        <w:spacing w:after="0" w:line="240" w:lineRule="auto"/>
        <w:jc w:val="both"/>
        <w:rPr>
          <w:rFonts w:ascii="Verdana" w:eastAsia="Geomanist Light" w:hAnsi="Verdana" w:cs="Arial"/>
          <w:color w:val="000000" w:themeColor="text1"/>
        </w:rPr>
      </w:pPr>
      <w:r w:rsidRPr="007825F4">
        <w:rPr>
          <w:rFonts w:ascii="Verdana" w:eastAsia="Geomanist Light" w:hAnsi="Verdana" w:cs="Arial"/>
          <w:color w:val="000000" w:themeColor="text1"/>
        </w:rPr>
        <w:lastRenderedPageBreak/>
        <w:t xml:space="preserve">Bogotá D.C., </w:t>
      </w:r>
      <w:r w:rsidR="00C1418A">
        <w:rPr>
          <w:rFonts w:ascii="Verdana" w:eastAsia="Geomanist Light" w:hAnsi="Verdana" w:cs="Arial"/>
          <w:color w:val="000000" w:themeColor="text1"/>
        </w:rPr>
        <w:t>14 de julio de 2026</w:t>
      </w:r>
    </w:p>
    <w:p w14:paraId="79FF06AB" w14:textId="77777777" w:rsidR="00C1418A" w:rsidRDefault="00C1418A" w:rsidP="007825F4">
      <w:pPr>
        <w:spacing w:after="0" w:line="240" w:lineRule="auto"/>
        <w:jc w:val="both"/>
        <w:rPr>
          <w:rFonts w:ascii="Verdana" w:eastAsia="Geomanist Light" w:hAnsi="Verdana" w:cs="Arial"/>
          <w:color w:val="000000" w:themeColor="text1"/>
        </w:rPr>
      </w:pPr>
    </w:p>
    <w:p w14:paraId="4E37B1B9" w14:textId="21E443F1" w:rsidR="007825F4" w:rsidRPr="007825F4" w:rsidRDefault="00C1418A" w:rsidP="00C1418A">
      <w:pPr>
        <w:spacing w:after="0" w:line="240" w:lineRule="auto"/>
        <w:jc w:val="right"/>
        <w:rPr>
          <w:rFonts w:ascii="Verdana" w:eastAsia="Geomanist Light" w:hAnsi="Verdana" w:cs="Arial"/>
          <w:color w:val="000000" w:themeColor="text1"/>
        </w:rPr>
      </w:pPr>
      <w:r w:rsidRPr="00C1418A">
        <w:rPr>
          <w:rFonts w:ascii="Verdana" w:eastAsia="Geomanist Light" w:hAnsi="Verdana" w:cs="Arial"/>
          <w:noProof/>
          <w:color w:val="000000" w:themeColor="text1"/>
        </w:rPr>
        <w:drawing>
          <wp:inline distT="0" distB="0" distL="0" distR="0" wp14:anchorId="4D0F355D" wp14:editId="5B7F0F32">
            <wp:extent cx="3686689" cy="1000265"/>
            <wp:effectExtent l="0" t="0" r="0" b="9525"/>
            <wp:docPr id="1190437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37246" name=""/>
                    <pic:cNvPicPr/>
                  </pic:nvPicPr>
                  <pic:blipFill>
                    <a:blip r:embed="rId10"/>
                    <a:stretch>
                      <a:fillRect/>
                    </a:stretch>
                  </pic:blipFill>
                  <pic:spPr>
                    <a:xfrm>
                      <a:off x="0" y="0"/>
                      <a:ext cx="3686689" cy="1000265"/>
                    </a:xfrm>
                    <a:prstGeom prst="rect">
                      <a:avLst/>
                    </a:prstGeom>
                  </pic:spPr>
                </pic:pic>
              </a:graphicData>
            </a:graphic>
          </wp:inline>
        </w:drawing>
      </w:r>
      <w:r w:rsidR="007825F4" w:rsidRPr="007825F4">
        <w:rPr>
          <w:rFonts w:ascii="Verdana" w:eastAsia="Geomanist Light" w:hAnsi="Verdana" w:cs="Arial"/>
          <w:color w:val="000000" w:themeColor="text1"/>
        </w:rPr>
        <w:tab/>
      </w:r>
    </w:p>
    <w:p w14:paraId="26039CA0" w14:textId="49A9D7F4" w:rsidR="00352E13" w:rsidRPr="00470DD3" w:rsidRDefault="007825F4" w:rsidP="007825F4">
      <w:pPr>
        <w:spacing w:after="0" w:line="240" w:lineRule="auto"/>
        <w:jc w:val="both"/>
        <w:rPr>
          <w:rFonts w:ascii="Verdana" w:eastAsia="Times New Roman" w:hAnsi="Verdana" w:cs="Arial"/>
          <w:noProof/>
          <w:lang w:eastAsia="es-ES_tradnl"/>
        </w:rPr>
      </w:pPr>
      <w:r w:rsidRPr="007825F4">
        <w:rPr>
          <w:rFonts w:ascii="Verdana" w:eastAsia="Geomanist Light" w:hAnsi="Verdana" w:cs="Arial"/>
          <w:color w:val="000000" w:themeColor="text1"/>
        </w:rPr>
        <w:tab/>
      </w:r>
    </w:p>
    <w:p w14:paraId="739C7446" w14:textId="77777777" w:rsidR="00352E13" w:rsidRPr="00955976" w:rsidRDefault="00352E13" w:rsidP="00352E13">
      <w:pPr>
        <w:spacing w:after="0"/>
        <w:rPr>
          <w:rFonts w:ascii="Verdana" w:hAnsi="Verdana"/>
          <w:lang w:val="es-ES_tradnl"/>
        </w:rPr>
      </w:pPr>
    </w:p>
    <w:p w14:paraId="54258C94" w14:textId="77777777" w:rsidR="00352E13" w:rsidRPr="005E5B81" w:rsidRDefault="00352E13" w:rsidP="00352E13">
      <w:pPr>
        <w:spacing w:after="0" w:line="240" w:lineRule="auto"/>
        <w:jc w:val="both"/>
        <w:rPr>
          <w:rFonts w:ascii="Verdana" w:hAnsi="Verdana" w:cs="Arial"/>
          <w:bCs/>
          <w:lang w:val="es-ES" w:eastAsia="es-ES" w:bidi="es-ES"/>
        </w:rPr>
      </w:pPr>
    </w:p>
    <w:p w14:paraId="3F8EDA04" w14:textId="77777777" w:rsidR="00352E13" w:rsidRPr="005E5B81" w:rsidRDefault="00352E13" w:rsidP="00A03A44">
      <w:pPr>
        <w:widowControl w:val="0"/>
        <w:autoSpaceDE w:val="0"/>
        <w:autoSpaceDN w:val="0"/>
        <w:spacing w:after="0" w:line="240" w:lineRule="auto"/>
        <w:rPr>
          <w:rFonts w:ascii="Verdana" w:eastAsia="Verdana" w:hAnsi="Verdana" w:cs="Verdana"/>
          <w:lang w:val="es-ES"/>
        </w:rPr>
      </w:pPr>
      <w:r w:rsidRPr="005E5B81">
        <w:rPr>
          <w:rFonts w:ascii="Verdana" w:eastAsia="Verdana" w:hAnsi="Verdana" w:cs="Verdana"/>
          <w:spacing w:val="-2"/>
          <w:lang w:val="es-ES"/>
        </w:rPr>
        <w:t>Señor</w:t>
      </w:r>
    </w:p>
    <w:p w14:paraId="0AAC02A8" w14:textId="2F557BE0" w:rsidR="00A03A44" w:rsidRPr="00C1418A" w:rsidRDefault="00A03A44" w:rsidP="00A03A44">
      <w:pPr>
        <w:spacing w:after="0" w:line="240" w:lineRule="auto"/>
        <w:jc w:val="both"/>
        <w:rPr>
          <w:rFonts w:ascii="Verdana" w:eastAsia="Arial MT" w:hAnsi="Verdana" w:cs="Arial MT"/>
          <w:b/>
          <w:bCs/>
        </w:rPr>
      </w:pPr>
      <w:r w:rsidRPr="00C1418A">
        <w:rPr>
          <w:rFonts w:ascii="Verdana" w:hAnsi="Verdana" w:cs="Arial"/>
          <w:b/>
          <w:bCs/>
          <w:lang w:eastAsia="es-ES" w:bidi="es-ES"/>
        </w:rPr>
        <w:t xml:space="preserve">Anderson Stivens </w:t>
      </w:r>
      <w:r w:rsidRPr="00C1418A">
        <w:rPr>
          <w:rFonts w:ascii="Verdana" w:eastAsia="Arial MT" w:hAnsi="Verdana" w:cs="Arial MT"/>
          <w:b/>
          <w:bCs/>
        </w:rPr>
        <w:t>Guerrero Cortes</w:t>
      </w:r>
    </w:p>
    <w:p w14:paraId="526D6966" w14:textId="5A5A4CAE" w:rsidR="00A03A44" w:rsidRPr="00A03A44" w:rsidRDefault="00A03A44" w:rsidP="00A03A44">
      <w:pPr>
        <w:spacing w:after="0" w:line="240" w:lineRule="auto"/>
        <w:jc w:val="both"/>
        <w:rPr>
          <w:rFonts w:ascii="Verdana" w:eastAsia="Arial MT" w:hAnsi="Verdana" w:cs="Arial MT"/>
          <w:bCs/>
          <w:lang w:val="en-US"/>
        </w:rPr>
      </w:pPr>
      <w:hyperlink r:id="rId11" w:history="1">
        <w:r w:rsidRPr="00A03A44">
          <w:rPr>
            <w:rStyle w:val="Hipervnculo"/>
            <w:rFonts w:ascii="Verdana" w:eastAsia="Arial MT" w:hAnsi="Verdana" w:cs="Arial MT"/>
            <w:bCs/>
            <w:lang w:val="en-US"/>
          </w:rPr>
          <w:t>anderson.guerrero1220@gmail.com</w:t>
        </w:r>
      </w:hyperlink>
    </w:p>
    <w:p w14:paraId="6C61ABAC" w14:textId="06785BFB" w:rsidR="00352E13" w:rsidRPr="00A03A44" w:rsidRDefault="00352E13" w:rsidP="00A03A44">
      <w:pPr>
        <w:spacing w:after="0" w:line="240" w:lineRule="auto"/>
        <w:jc w:val="both"/>
        <w:rPr>
          <w:rFonts w:ascii="Verdana" w:eastAsia="Arial MT" w:hAnsi="Verdana" w:cs="Arial MT"/>
          <w:bCs/>
          <w:lang w:val="es-ES_tradnl"/>
        </w:rPr>
      </w:pPr>
      <w:r w:rsidRPr="00A03A44">
        <w:rPr>
          <w:rFonts w:ascii="Verdana" w:eastAsia="Arial MT" w:hAnsi="Verdana" w:cs="Arial MT"/>
          <w:bCs/>
          <w:lang w:val="es-ES_tradnl"/>
        </w:rPr>
        <w:t>Ciudad</w:t>
      </w:r>
    </w:p>
    <w:p w14:paraId="7A03CE02" w14:textId="77777777" w:rsidR="00352E13" w:rsidRPr="005E5B81" w:rsidRDefault="00352E13" w:rsidP="00352E13">
      <w:pPr>
        <w:spacing w:after="0" w:line="240" w:lineRule="auto"/>
        <w:jc w:val="both"/>
        <w:rPr>
          <w:rFonts w:ascii="Verdana" w:hAnsi="Verdana" w:cs="Arial"/>
          <w:b/>
          <w:bCs/>
          <w:lang w:val="es-ES_tradnl" w:eastAsia="es-ES" w:bidi="es-ES"/>
        </w:rPr>
      </w:pPr>
    </w:p>
    <w:p w14:paraId="7F030B8C" w14:textId="77777777" w:rsidR="00352E13" w:rsidRPr="005E5B81" w:rsidRDefault="00352E13" w:rsidP="00352E13">
      <w:pPr>
        <w:spacing w:after="0" w:line="240" w:lineRule="auto"/>
        <w:jc w:val="both"/>
        <w:rPr>
          <w:rFonts w:ascii="Verdana" w:hAnsi="Verdana" w:cs="Arial"/>
          <w:b/>
          <w:bCs/>
          <w:lang w:val="es-ES_tradnl" w:eastAsia="es-ES" w:bidi="es-ES"/>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42"/>
      </w:tblGrid>
      <w:tr w:rsidR="00352E13" w:rsidRPr="005E5B81" w14:paraId="1FF864C0" w14:textId="77777777" w:rsidTr="00472B43">
        <w:trPr>
          <w:trHeight w:val="463"/>
        </w:trPr>
        <w:tc>
          <w:tcPr>
            <w:tcW w:w="2689" w:type="dxa"/>
          </w:tcPr>
          <w:p w14:paraId="32DEFE8F" w14:textId="77777777" w:rsidR="00352E13" w:rsidRPr="005E5B81" w:rsidRDefault="00352E13" w:rsidP="00472B43">
            <w:pPr>
              <w:jc w:val="both"/>
              <w:rPr>
                <w:rFonts w:ascii="Verdana" w:hAnsi="Verdana" w:cs="Arial"/>
                <w:b/>
                <w:bCs/>
                <w:lang w:val="es-ES_tradnl" w:eastAsia="es-ES" w:bidi="es-ES"/>
              </w:rPr>
            </w:pPr>
          </w:p>
        </w:tc>
        <w:tc>
          <w:tcPr>
            <w:tcW w:w="6242" w:type="dxa"/>
          </w:tcPr>
          <w:p w14:paraId="2FD881CD" w14:textId="64F2B2F9" w:rsidR="00352E13" w:rsidRPr="005E5B81" w:rsidRDefault="00352E13" w:rsidP="00472B43">
            <w:pPr>
              <w:jc w:val="both"/>
              <w:rPr>
                <w:rFonts w:ascii="Verdana" w:hAnsi="Verdana" w:cs="Arial"/>
                <w:b/>
                <w:bCs/>
                <w:lang w:val="es-MX" w:eastAsia="es-ES" w:bidi="es-ES"/>
              </w:rPr>
            </w:pPr>
            <w:r w:rsidRPr="005E5B81">
              <w:rPr>
                <w:rFonts w:ascii="Verdana" w:hAnsi="Verdana" w:cs="Arial"/>
                <w:b/>
                <w:bCs/>
                <w:lang w:val="es-MX" w:eastAsia="es-ES" w:bidi="es-ES"/>
              </w:rPr>
              <w:t xml:space="preserve">Concepto C- </w:t>
            </w:r>
            <w:r w:rsidR="002F7BDA">
              <w:rPr>
                <w:rFonts w:ascii="Verdana" w:hAnsi="Verdana" w:cs="Arial"/>
                <w:b/>
                <w:bCs/>
                <w:lang w:val="es-MX" w:eastAsia="es-ES" w:bidi="es-ES"/>
              </w:rPr>
              <w:t>901</w:t>
            </w:r>
            <w:r w:rsidRPr="005E5B81">
              <w:rPr>
                <w:rFonts w:ascii="Verdana" w:hAnsi="Verdana" w:cs="Arial"/>
                <w:b/>
                <w:bCs/>
                <w:lang w:val="es-MX" w:eastAsia="es-ES" w:bidi="es-ES"/>
              </w:rPr>
              <w:t xml:space="preserve"> de 202</w:t>
            </w:r>
            <w:r w:rsidR="002F7BDA">
              <w:rPr>
                <w:rFonts w:ascii="Verdana" w:hAnsi="Verdana" w:cs="Arial"/>
                <w:b/>
                <w:bCs/>
                <w:lang w:val="es-MX" w:eastAsia="es-ES" w:bidi="es-ES"/>
              </w:rPr>
              <w:t>6</w:t>
            </w:r>
          </w:p>
        </w:tc>
      </w:tr>
      <w:tr w:rsidR="00352E13" w:rsidRPr="005E5B81" w14:paraId="3AE5BB93" w14:textId="77777777" w:rsidTr="00472B43">
        <w:trPr>
          <w:trHeight w:val="884"/>
        </w:trPr>
        <w:tc>
          <w:tcPr>
            <w:tcW w:w="2689" w:type="dxa"/>
          </w:tcPr>
          <w:p w14:paraId="173DD3F9" w14:textId="77777777" w:rsidR="00352E13" w:rsidRPr="005E5B81" w:rsidRDefault="00352E13" w:rsidP="00472B43">
            <w:pPr>
              <w:spacing w:line="276" w:lineRule="auto"/>
              <w:jc w:val="both"/>
              <w:rPr>
                <w:rFonts w:ascii="Verdana" w:hAnsi="Verdana" w:cs="Arial"/>
                <w:b/>
                <w:bCs/>
                <w:lang w:val="es-MX" w:eastAsia="es-ES" w:bidi="es-ES"/>
              </w:rPr>
            </w:pPr>
            <w:r w:rsidRPr="005E5B81">
              <w:rPr>
                <w:rFonts w:ascii="Verdana" w:hAnsi="Verdana" w:cs="Arial"/>
                <w:b/>
                <w:bCs/>
                <w:lang w:val="es-MX" w:eastAsia="es-ES" w:bidi="es-ES"/>
              </w:rPr>
              <w:t xml:space="preserve">Temas:                   </w:t>
            </w:r>
          </w:p>
        </w:tc>
        <w:tc>
          <w:tcPr>
            <w:tcW w:w="6242" w:type="dxa"/>
          </w:tcPr>
          <w:p w14:paraId="64355B9D" w14:textId="7B730184" w:rsidR="008C2DFE" w:rsidRPr="001D1EE1" w:rsidRDefault="00352E13" w:rsidP="008C2DFE">
            <w:pPr>
              <w:spacing w:line="276" w:lineRule="auto"/>
              <w:jc w:val="both"/>
              <w:rPr>
                <w:rFonts w:ascii="Verdana" w:hAnsi="Verdana" w:cs="Arial"/>
                <w:bCs/>
                <w:lang w:val="es-ES_tradnl" w:eastAsia="es-ES" w:bidi="es-ES"/>
              </w:rPr>
            </w:pPr>
            <w:r w:rsidRPr="00FF383E">
              <w:rPr>
                <w:rFonts w:ascii="Verdana" w:eastAsia="Arial MT" w:hAnsi="Verdana" w:cs="Arial MT"/>
                <w:bCs/>
                <w:lang w:val="es-ES_tradnl"/>
              </w:rPr>
              <w:t>PRECIOS ARTIFICIALMENTE BAJOS – Noción – Deber de las entidades estatales / EVALUACIÓN DE LAS OFERTAS – Finalidad – Oportunidad / GUÍA DE OFERTAS ARTIFICIALMENTE BAJAS – Manejo</w:t>
            </w:r>
            <w:r w:rsidR="00805CC0">
              <w:rPr>
                <w:rFonts w:ascii="Verdana" w:eastAsia="Arial MT" w:hAnsi="Verdana" w:cs="Arial MT"/>
                <w:bCs/>
                <w:lang w:val="es-ES_tradnl"/>
              </w:rPr>
              <w:t xml:space="preserve"> / </w:t>
            </w:r>
            <w:r w:rsidR="00805CC0" w:rsidRPr="00805CC0">
              <w:rPr>
                <w:rFonts w:ascii="Verdana" w:eastAsia="Arial MT" w:hAnsi="Verdana" w:cs="Arial MT"/>
                <w:bCs/>
                <w:lang w:val="es-ES_tradnl"/>
              </w:rPr>
              <w:t>PRECIOS ARTIFICIALMENTE BAJOS – Guía – Procesos de subasta – Subasta inversa</w:t>
            </w:r>
          </w:p>
          <w:p w14:paraId="39F9B01B" w14:textId="3C41DBDC" w:rsidR="00352E13" w:rsidRPr="001D1EE1" w:rsidRDefault="00352E13" w:rsidP="00C2627C">
            <w:pPr>
              <w:spacing w:line="276" w:lineRule="auto"/>
              <w:jc w:val="both"/>
              <w:rPr>
                <w:rFonts w:ascii="Verdana" w:hAnsi="Verdana" w:cs="Arial"/>
                <w:bCs/>
                <w:lang w:val="es-ES_tradnl" w:eastAsia="es-ES" w:bidi="es-ES"/>
              </w:rPr>
            </w:pPr>
          </w:p>
        </w:tc>
      </w:tr>
      <w:tr w:rsidR="00352E13" w:rsidRPr="005E5B81" w14:paraId="6FA91147" w14:textId="77777777" w:rsidTr="00472B43">
        <w:tc>
          <w:tcPr>
            <w:tcW w:w="2689" w:type="dxa"/>
          </w:tcPr>
          <w:p w14:paraId="1A59BFFC" w14:textId="77777777" w:rsidR="00352E13" w:rsidRPr="005E5B81" w:rsidRDefault="00352E13" w:rsidP="00472B43">
            <w:pPr>
              <w:jc w:val="both"/>
              <w:rPr>
                <w:rFonts w:ascii="Verdana" w:hAnsi="Verdana" w:cs="Arial"/>
                <w:b/>
                <w:bCs/>
                <w:lang w:val="es-MX" w:eastAsia="es-ES" w:bidi="es-ES"/>
              </w:rPr>
            </w:pPr>
            <w:r w:rsidRPr="005E5B81">
              <w:rPr>
                <w:rFonts w:ascii="Verdana" w:hAnsi="Verdana" w:cs="Arial"/>
                <w:b/>
                <w:bCs/>
                <w:lang w:val="es-MX" w:eastAsia="es-ES" w:bidi="es-ES"/>
              </w:rPr>
              <w:t xml:space="preserve">Radicación:               </w:t>
            </w:r>
          </w:p>
        </w:tc>
        <w:tc>
          <w:tcPr>
            <w:tcW w:w="6242" w:type="dxa"/>
          </w:tcPr>
          <w:p w14:paraId="0026E843" w14:textId="0EDCC1DE" w:rsidR="00352E13" w:rsidRPr="005E5B81" w:rsidRDefault="00352E13" w:rsidP="00472B43">
            <w:pPr>
              <w:jc w:val="both"/>
              <w:rPr>
                <w:rFonts w:ascii="Verdana" w:hAnsi="Verdana" w:cs="Arial"/>
                <w:bCs/>
                <w:lang w:val="es-MX" w:eastAsia="es-ES" w:bidi="es-ES"/>
              </w:rPr>
            </w:pPr>
            <w:r w:rsidRPr="005E5B81">
              <w:rPr>
                <w:rFonts w:ascii="Verdana" w:hAnsi="Verdana" w:cs="Arial"/>
                <w:bCs/>
                <w:lang w:val="es-MX" w:eastAsia="es-ES" w:bidi="es-ES"/>
              </w:rPr>
              <w:t xml:space="preserve">Respuesta a consulta con radicado No. </w:t>
            </w:r>
            <w:r w:rsidR="002F7BDA" w:rsidRPr="002F7BDA">
              <w:rPr>
                <w:rFonts w:ascii="Verdana" w:hAnsi="Verdana" w:cs="Arial"/>
                <w:bCs/>
                <w:lang w:eastAsia="es-ES" w:bidi="es-ES"/>
              </w:rPr>
              <w:t>1_2026_05_29_007291</w:t>
            </w:r>
          </w:p>
        </w:tc>
      </w:tr>
    </w:tbl>
    <w:p w14:paraId="4408C0D0" w14:textId="77777777" w:rsidR="00352E13" w:rsidRPr="005E5B81" w:rsidRDefault="00352E13" w:rsidP="00352E13">
      <w:pPr>
        <w:spacing w:after="0" w:line="240" w:lineRule="auto"/>
        <w:jc w:val="both"/>
        <w:rPr>
          <w:rFonts w:ascii="Verdana" w:hAnsi="Verdana" w:cs="Arial"/>
          <w:bCs/>
          <w:lang w:val="es-ES_tradnl" w:eastAsia="es-ES" w:bidi="es-ES"/>
        </w:rPr>
      </w:pPr>
    </w:p>
    <w:p w14:paraId="1ED9C2B5" w14:textId="77777777" w:rsidR="00352E13" w:rsidRPr="0094448B" w:rsidRDefault="00352E13" w:rsidP="00352E13">
      <w:pPr>
        <w:spacing w:after="0" w:line="240" w:lineRule="auto"/>
        <w:jc w:val="both"/>
        <w:rPr>
          <w:rFonts w:ascii="Verdana" w:hAnsi="Verdana" w:cs="Arial"/>
          <w:bCs/>
          <w:lang w:val="es-ES_tradnl" w:eastAsia="es-ES" w:bidi="es-ES"/>
        </w:rPr>
      </w:pPr>
    </w:p>
    <w:p w14:paraId="230F56BF" w14:textId="4C7C0C9D" w:rsidR="00352E13" w:rsidRPr="0094448B" w:rsidRDefault="00352E13" w:rsidP="00352E13">
      <w:pPr>
        <w:spacing w:after="0" w:line="240" w:lineRule="auto"/>
        <w:jc w:val="both"/>
        <w:rPr>
          <w:rFonts w:ascii="Verdana" w:hAnsi="Verdana" w:cs="Arial"/>
          <w:bCs/>
          <w:lang w:val="es-MX" w:eastAsia="es-ES" w:bidi="es-ES"/>
        </w:rPr>
      </w:pPr>
      <w:r>
        <w:rPr>
          <w:rFonts w:ascii="Verdana" w:hAnsi="Verdana" w:cs="Arial"/>
          <w:bCs/>
          <w:lang w:val="es-MX" w:eastAsia="es-ES" w:bidi="es-ES"/>
        </w:rPr>
        <w:t xml:space="preserve">Estimado señor </w:t>
      </w:r>
      <w:r w:rsidR="009C67D9">
        <w:rPr>
          <w:rFonts w:ascii="Verdana" w:hAnsi="Verdana" w:cs="Arial"/>
          <w:bCs/>
          <w:lang w:val="es-MX" w:eastAsia="es-ES" w:bidi="es-ES"/>
        </w:rPr>
        <w:t>Guerrero</w:t>
      </w:r>
      <w:r w:rsidRPr="0094448B">
        <w:rPr>
          <w:rFonts w:ascii="Verdana" w:hAnsi="Verdana" w:cs="Arial"/>
          <w:bCs/>
          <w:lang w:val="es-MX" w:eastAsia="es-ES" w:bidi="es-ES"/>
        </w:rPr>
        <w:t xml:space="preserve">: </w:t>
      </w:r>
    </w:p>
    <w:p w14:paraId="1E7FB1AF" w14:textId="77777777" w:rsidR="00352E13" w:rsidRPr="0094448B" w:rsidRDefault="00352E13" w:rsidP="00352E13">
      <w:pPr>
        <w:spacing w:after="0" w:line="240" w:lineRule="auto"/>
        <w:jc w:val="both"/>
        <w:rPr>
          <w:rFonts w:ascii="Verdana" w:hAnsi="Verdana" w:cs="Arial"/>
          <w:bCs/>
          <w:lang w:val="es-ES" w:eastAsia="es-ES" w:bidi="es-ES"/>
        </w:rPr>
      </w:pPr>
      <w:r w:rsidRPr="0094448B">
        <w:rPr>
          <w:rFonts w:ascii="Verdana" w:hAnsi="Verdana" w:cs="Arial"/>
          <w:bCs/>
          <w:lang w:val="es-ES" w:eastAsia="es-ES" w:bidi="es-ES"/>
        </w:rPr>
        <w:tab/>
      </w:r>
    </w:p>
    <w:p w14:paraId="23D04750" w14:textId="7BE4FE57" w:rsidR="00352E13" w:rsidRPr="0094448B" w:rsidRDefault="00352E13" w:rsidP="00352E13">
      <w:pPr>
        <w:spacing w:after="0" w:line="276" w:lineRule="auto"/>
        <w:jc w:val="both"/>
        <w:rPr>
          <w:rFonts w:ascii="Verdana" w:hAnsi="Verdana" w:cs="Arial"/>
          <w:bCs/>
          <w:lang w:val="es-ES" w:eastAsia="es-ES" w:bidi="es-ES"/>
        </w:rPr>
      </w:pPr>
      <w:r w:rsidRPr="0094448B">
        <w:rPr>
          <w:rFonts w:ascii="Verdana" w:hAnsi="Verdana" w:cs="Arial"/>
          <w:bCs/>
          <w:lang w:val="es-ES" w:eastAsia="es-ES" w:bidi="es-ES"/>
        </w:rPr>
        <w:t xml:space="preserve">En ejercicio de la competencia otorgada por los artículos 3, numeral 5º, y 11, numeral 8º, del Decreto Ley 4170 de 2011, </w:t>
      </w:r>
      <w:r w:rsidRPr="0094448B">
        <w:rPr>
          <w:rFonts w:ascii="Verdana" w:hAnsi="Verdana" w:cs="Arial"/>
          <w:bCs/>
          <w:lang w:eastAsia="es-ES" w:bidi="es-ES"/>
        </w:rPr>
        <w:t xml:space="preserve">así como lo establecido por la Resolución 469 de 2025 expedida por esta Entidad, </w:t>
      </w:r>
      <w:r w:rsidRPr="0094448B">
        <w:rPr>
          <w:rFonts w:ascii="Verdana" w:hAnsi="Verdana" w:cs="Arial"/>
          <w:bCs/>
          <w:lang w:val="es-ES" w:eastAsia="es-ES" w:bidi="es-ES"/>
        </w:rPr>
        <w:t>la Agencia Nacional de Contratación Pública – Colombia Compra Eficiente– responde su solicitud de consulta del</w:t>
      </w:r>
      <w:r>
        <w:rPr>
          <w:rFonts w:ascii="Verdana" w:hAnsi="Verdana" w:cs="Arial"/>
          <w:bCs/>
          <w:lang w:val="es-ES" w:eastAsia="es-ES" w:bidi="es-ES"/>
        </w:rPr>
        <w:t xml:space="preserve"> </w:t>
      </w:r>
      <w:r w:rsidR="002F7BDA">
        <w:rPr>
          <w:rFonts w:ascii="Verdana" w:hAnsi="Verdana" w:cs="Arial"/>
          <w:bCs/>
          <w:lang w:val="es-ES" w:eastAsia="es-ES" w:bidi="es-ES"/>
        </w:rPr>
        <w:t>29</w:t>
      </w:r>
      <w:r>
        <w:rPr>
          <w:rFonts w:ascii="Verdana" w:hAnsi="Verdana" w:cs="Arial"/>
          <w:bCs/>
          <w:lang w:val="es-ES" w:eastAsia="es-ES" w:bidi="es-ES"/>
        </w:rPr>
        <w:t xml:space="preserve"> de </w:t>
      </w:r>
      <w:r w:rsidR="002F7BDA">
        <w:rPr>
          <w:rFonts w:ascii="Verdana" w:hAnsi="Verdana" w:cs="Arial"/>
          <w:bCs/>
          <w:lang w:val="es-ES" w:eastAsia="es-ES" w:bidi="es-ES"/>
        </w:rPr>
        <w:t>mayo</w:t>
      </w:r>
      <w:r>
        <w:rPr>
          <w:rFonts w:ascii="Verdana" w:hAnsi="Verdana" w:cs="Arial"/>
          <w:bCs/>
          <w:lang w:val="es-ES" w:eastAsia="es-ES" w:bidi="es-ES"/>
        </w:rPr>
        <w:t xml:space="preserve"> de 202</w:t>
      </w:r>
      <w:r w:rsidR="002F7BDA">
        <w:rPr>
          <w:rFonts w:ascii="Verdana" w:hAnsi="Verdana" w:cs="Arial"/>
          <w:bCs/>
          <w:lang w:val="es-ES" w:eastAsia="es-ES" w:bidi="es-ES"/>
        </w:rPr>
        <w:t>6</w:t>
      </w:r>
      <w:r w:rsidRPr="0094448B">
        <w:rPr>
          <w:rFonts w:ascii="Verdana" w:hAnsi="Verdana" w:cs="Arial"/>
          <w:bCs/>
          <w:lang w:val="es-ES" w:eastAsia="es-ES" w:bidi="es-ES"/>
        </w:rPr>
        <w:t xml:space="preserve">, en la cual manifiesta: </w:t>
      </w:r>
    </w:p>
    <w:p w14:paraId="084C9F82" w14:textId="77777777" w:rsidR="00352E13" w:rsidRDefault="00352E13" w:rsidP="00352E13">
      <w:pPr>
        <w:spacing w:after="0" w:line="240" w:lineRule="auto"/>
        <w:jc w:val="both"/>
        <w:rPr>
          <w:rFonts w:ascii="Verdana" w:hAnsi="Verdana" w:cs="Arial"/>
          <w:b/>
          <w:bCs/>
          <w:lang w:val="es-ES" w:eastAsia="es-ES" w:bidi="es-ES"/>
        </w:rPr>
      </w:pPr>
    </w:p>
    <w:p w14:paraId="46E8D99B" w14:textId="12E0F397" w:rsidR="00122C6D" w:rsidRPr="00122C6D" w:rsidRDefault="00352E13" w:rsidP="00122C6D">
      <w:pPr>
        <w:spacing w:after="0" w:line="240" w:lineRule="auto"/>
        <w:ind w:left="709" w:right="709"/>
        <w:jc w:val="both"/>
        <w:rPr>
          <w:rFonts w:ascii="Verdana" w:hAnsi="Verdana" w:cs="Arial"/>
          <w:bCs/>
          <w:sz w:val="20"/>
          <w:szCs w:val="20"/>
          <w:lang w:eastAsia="es-ES" w:bidi="es-ES"/>
        </w:rPr>
      </w:pPr>
      <w:r>
        <w:rPr>
          <w:rFonts w:ascii="Verdana" w:hAnsi="Verdana" w:cs="Arial"/>
          <w:bCs/>
          <w:sz w:val="20"/>
          <w:szCs w:val="20"/>
          <w:lang w:eastAsia="es-ES" w:bidi="es-ES"/>
        </w:rPr>
        <w:t>“</w:t>
      </w:r>
      <w:r w:rsidR="00122C6D" w:rsidRPr="00122C6D">
        <w:rPr>
          <w:rFonts w:ascii="Verdana" w:hAnsi="Verdana" w:cs="Arial"/>
          <w:bCs/>
          <w:sz w:val="20"/>
          <w:szCs w:val="20"/>
          <w:lang w:eastAsia="es-ES" w:bidi="es-ES"/>
        </w:rPr>
        <w:t>¿Qué precio debe tomarse como referencia para determinar una</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posible oferta artificialmente baja? En la eventualidad que</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 xml:space="preserve">este precio de </w:t>
      </w:r>
      <w:r w:rsidR="00122C6D" w:rsidRPr="00122C6D">
        <w:rPr>
          <w:rFonts w:ascii="Verdana" w:hAnsi="Verdana" w:cs="Arial"/>
          <w:bCs/>
          <w:sz w:val="20"/>
          <w:szCs w:val="20"/>
          <w:lang w:eastAsia="es-ES" w:bidi="es-ES"/>
        </w:rPr>
        <w:lastRenderedPageBreak/>
        <w:t>referencia sea el del estudio de mercado, ¿la</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 xml:space="preserve">entidad debe solicitar al oferente con la oferta más </w:t>
      </w:r>
      <w:r w:rsidR="00122C6D">
        <w:rPr>
          <w:rFonts w:ascii="Verdana" w:hAnsi="Verdana" w:cs="Arial"/>
          <w:bCs/>
          <w:sz w:val="20"/>
          <w:szCs w:val="20"/>
          <w:lang w:eastAsia="es-ES" w:bidi="es-ES"/>
        </w:rPr>
        <w:t xml:space="preserve">económica </w:t>
      </w:r>
      <w:r w:rsidR="00122C6D" w:rsidRPr="00122C6D">
        <w:rPr>
          <w:rFonts w:ascii="Verdana" w:hAnsi="Verdana" w:cs="Arial"/>
          <w:bCs/>
          <w:sz w:val="20"/>
          <w:szCs w:val="20"/>
          <w:lang w:eastAsia="es-ES" w:bidi="es-ES"/>
        </w:rPr>
        <w:t>que aclare su oferta artificialmente baja en caso de que esta</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esté por debajo de la comparación absoluta y relativa? Lo</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anterior considerando su impacto en el desarrollo de la subasta</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inversa, al ser el precio de arranque del evento.</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¿Es posible que la entidad proceda a adjudicar un contrato,</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cuando la oferta más económica supera el 30% de descuento sin</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que se solicite aclaración de precios artificialmente bajos?,</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lo anterior considerando que los históricos reflejen que los</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descuentos no se acercan a este descuento en las vigencias</w:t>
      </w:r>
      <w:r w:rsidR="00122C6D">
        <w:rPr>
          <w:rFonts w:ascii="Verdana" w:hAnsi="Verdana" w:cs="Arial"/>
          <w:bCs/>
          <w:sz w:val="20"/>
          <w:szCs w:val="20"/>
          <w:lang w:eastAsia="es-ES" w:bidi="es-ES"/>
        </w:rPr>
        <w:t xml:space="preserve"> </w:t>
      </w:r>
      <w:r w:rsidR="00122C6D" w:rsidRPr="00122C6D">
        <w:rPr>
          <w:rFonts w:ascii="Verdana" w:hAnsi="Verdana" w:cs="Arial"/>
          <w:bCs/>
          <w:sz w:val="20"/>
          <w:szCs w:val="20"/>
          <w:lang w:eastAsia="es-ES" w:bidi="es-ES"/>
        </w:rPr>
        <w:t>anteriores.</w:t>
      </w:r>
    </w:p>
    <w:p w14:paraId="7312F9BE" w14:textId="59C94F49" w:rsidR="00352E13" w:rsidRPr="00A8203D" w:rsidRDefault="00122C6D" w:rsidP="00122C6D">
      <w:pPr>
        <w:spacing w:after="0" w:line="240" w:lineRule="auto"/>
        <w:ind w:left="709" w:right="709"/>
        <w:jc w:val="both"/>
        <w:rPr>
          <w:rFonts w:ascii="Verdana" w:hAnsi="Verdana" w:cs="Arial"/>
          <w:bCs/>
          <w:sz w:val="20"/>
          <w:szCs w:val="20"/>
          <w:lang w:eastAsia="es-ES" w:bidi="es-ES"/>
        </w:rPr>
      </w:pPr>
      <w:r w:rsidRPr="00122C6D">
        <w:rPr>
          <w:rFonts w:ascii="Verdana" w:hAnsi="Verdana" w:cs="Arial"/>
          <w:bCs/>
          <w:sz w:val="20"/>
          <w:szCs w:val="20"/>
          <w:lang w:eastAsia="es-ES" w:bidi="es-ES"/>
        </w:rPr>
        <w:t>¿</w:t>
      </w:r>
      <w:r w:rsidR="00C40C80" w:rsidRPr="00122C6D">
        <w:rPr>
          <w:rFonts w:ascii="Verdana" w:hAnsi="Verdana" w:cs="Arial"/>
          <w:bCs/>
          <w:sz w:val="20"/>
          <w:szCs w:val="20"/>
          <w:lang w:eastAsia="es-ES" w:bidi="es-ES"/>
        </w:rPr>
        <w:t>Qué</w:t>
      </w:r>
      <w:r w:rsidRPr="00122C6D">
        <w:rPr>
          <w:rFonts w:ascii="Verdana" w:hAnsi="Verdana" w:cs="Arial"/>
          <w:bCs/>
          <w:sz w:val="20"/>
          <w:szCs w:val="20"/>
          <w:lang w:eastAsia="es-ES" w:bidi="es-ES"/>
        </w:rPr>
        <w:t xml:space="preserve"> obligatoriedad le asiste a la entidad de solicitar</w:t>
      </w:r>
      <w:r>
        <w:rPr>
          <w:rFonts w:ascii="Verdana" w:hAnsi="Verdana" w:cs="Arial"/>
          <w:bCs/>
          <w:sz w:val="20"/>
          <w:szCs w:val="20"/>
          <w:lang w:eastAsia="es-ES" w:bidi="es-ES"/>
        </w:rPr>
        <w:t xml:space="preserve"> </w:t>
      </w:r>
      <w:r w:rsidRPr="00122C6D">
        <w:rPr>
          <w:rFonts w:ascii="Verdana" w:hAnsi="Verdana" w:cs="Arial"/>
          <w:bCs/>
          <w:sz w:val="20"/>
          <w:szCs w:val="20"/>
          <w:lang w:eastAsia="es-ES" w:bidi="es-ES"/>
        </w:rPr>
        <w:t>aclaración sobre precios artificialmente bajos?</w:t>
      </w:r>
      <w:r w:rsidR="00352E13">
        <w:rPr>
          <w:rFonts w:ascii="Verdana" w:hAnsi="Verdana" w:cs="Arial"/>
          <w:bCs/>
          <w:sz w:val="20"/>
          <w:szCs w:val="20"/>
          <w:lang w:eastAsia="es-ES" w:bidi="es-ES"/>
        </w:rPr>
        <w:t>”</w:t>
      </w:r>
    </w:p>
    <w:p w14:paraId="3A03D6B3" w14:textId="77777777" w:rsidR="00352E13" w:rsidRPr="0094448B" w:rsidRDefault="00352E13" w:rsidP="00352E13">
      <w:pPr>
        <w:spacing w:after="0" w:line="240" w:lineRule="auto"/>
        <w:jc w:val="both"/>
        <w:rPr>
          <w:rFonts w:ascii="Verdana" w:hAnsi="Verdana" w:cs="Arial"/>
          <w:b/>
          <w:bCs/>
          <w:lang w:val="es-ES" w:eastAsia="es-ES" w:bidi="es-ES"/>
        </w:rPr>
      </w:pPr>
    </w:p>
    <w:p w14:paraId="4050616D" w14:textId="77777777" w:rsidR="00352E13" w:rsidRPr="0094448B" w:rsidRDefault="00352E13" w:rsidP="00352E13">
      <w:pPr>
        <w:spacing w:after="120" w:line="276" w:lineRule="auto"/>
        <w:ind w:firstLine="709"/>
        <w:jc w:val="both"/>
        <w:rPr>
          <w:rFonts w:ascii="Verdana" w:eastAsia="Calibri" w:hAnsi="Verdana" w:cs="Times New Roman"/>
          <w:lang w:val="es-ES"/>
        </w:rPr>
      </w:pPr>
      <w:r w:rsidRPr="0094448B">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66B6689D" w14:textId="77777777" w:rsidR="00352E13" w:rsidRPr="0094448B" w:rsidRDefault="00352E13" w:rsidP="00352E13">
      <w:pPr>
        <w:spacing w:after="0" w:line="276" w:lineRule="auto"/>
        <w:ind w:firstLine="708"/>
        <w:jc w:val="both"/>
        <w:rPr>
          <w:rFonts w:ascii="Verdana" w:eastAsia="Calibri" w:hAnsi="Verdana" w:cs="Times New Roman"/>
          <w:lang w:val="es-ES"/>
        </w:rPr>
      </w:pPr>
      <w:r w:rsidRPr="0094448B">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el</w:t>
      </w:r>
      <w:r w:rsidRPr="0094448B">
        <w:rPr>
          <w:rFonts w:ascii="Verdana" w:eastAsia="Calibri" w:hAnsi="Verdana" w:cs="Times New Roman"/>
          <w:lang w:val="es-ES"/>
        </w:rPr>
        <w:t xml:space="preserve"> problema jurídico</w:t>
      </w:r>
      <w:r>
        <w:rPr>
          <w:rFonts w:ascii="Verdana" w:eastAsia="Calibri" w:hAnsi="Verdana" w:cs="Times New Roman"/>
          <w:lang w:val="es-ES"/>
        </w:rPr>
        <w:t xml:space="preserve"> </w:t>
      </w:r>
      <w:r w:rsidRPr="0094448B">
        <w:rPr>
          <w:rFonts w:ascii="Verdana" w:eastAsia="Calibri" w:hAnsi="Verdana" w:cs="Times New Roman"/>
          <w:lang w:val="es-ES"/>
        </w:rPr>
        <w:t>de su consulta.</w:t>
      </w:r>
    </w:p>
    <w:p w14:paraId="7ED83CF4" w14:textId="77777777" w:rsidR="00352E13" w:rsidRPr="0094448B" w:rsidRDefault="00352E13" w:rsidP="00352E13">
      <w:pPr>
        <w:spacing w:after="0" w:line="256" w:lineRule="auto"/>
        <w:rPr>
          <w:rFonts w:ascii="Verdana" w:eastAsia="Calibri" w:hAnsi="Verdana" w:cs="Times New Roman"/>
          <w:lang w:val="es-ES"/>
        </w:rPr>
      </w:pPr>
    </w:p>
    <w:p w14:paraId="48A74863" w14:textId="77777777" w:rsidR="00352E13" w:rsidRPr="0094448B" w:rsidRDefault="00352E13" w:rsidP="00352E13">
      <w:pPr>
        <w:numPr>
          <w:ilvl w:val="0"/>
          <w:numId w:val="16"/>
        </w:numPr>
        <w:spacing w:after="0" w:line="256" w:lineRule="auto"/>
        <w:contextualSpacing/>
        <w:rPr>
          <w:rFonts w:ascii="Verdana" w:eastAsia="Calibri" w:hAnsi="Verdana" w:cs="Times New Roman"/>
          <w:b/>
          <w:bCs/>
          <w:lang w:val="es-ES"/>
        </w:rPr>
      </w:pPr>
      <w:r w:rsidRPr="0094448B">
        <w:rPr>
          <w:rFonts w:ascii="Verdana" w:eastAsia="Calibri" w:hAnsi="Verdana" w:cs="Times New Roman"/>
          <w:b/>
          <w:bCs/>
          <w:lang w:val="es-ES"/>
        </w:rPr>
        <w:t>Problema planteado:</w:t>
      </w:r>
    </w:p>
    <w:p w14:paraId="5490DF98" w14:textId="77777777" w:rsidR="00352E13" w:rsidRPr="0094448B" w:rsidRDefault="00352E13" w:rsidP="00352E13">
      <w:pPr>
        <w:spacing w:after="0" w:line="256" w:lineRule="auto"/>
        <w:rPr>
          <w:rFonts w:ascii="Verdana" w:eastAsia="Calibri" w:hAnsi="Verdana" w:cs="Times New Roman"/>
        </w:rPr>
      </w:pPr>
    </w:p>
    <w:p w14:paraId="54DEBE0F" w14:textId="74DE2E14" w:rsidR="00352E13" w:rsidRPr="00DA1125" w:rsidRDefault="00352E13" w:rsidP="00352E13">
      <w:pPr>
        <w:spacing w:after="0" w:line="276" w:lineRule="auto"/>
        <w:jc w:val="both"/>
        <w:rPr>
          <w:rFonts w:ascii="Verdana" w:eastAsia="Calibri" w:hAnsi="Verdana" w:cs="Times New Roman"/>
        </w:rPr>
      </w:pPr>
      <w:r w:rsidRPr="0094448B">
        <w:rPr>
          <w:rFonts w:ascii="Verdana" w:eastAsia="Calibri" w:hAnsi="Verdana" w:cs="Times New Roman"/>
        </w:rPr>
        <w:t xml:space="preserve">De acuerdo con el contenido de su solicitud, esta Agencia procede a </w:t>
      </w:r>
      <w:r>
        <w:rPr>
          <w:rFonts w:ascii="Verdana" w:eastAsia="Calibri" w:hAnsi="Verdana" w:cs="Times New Roman"/>
        </w:rPr>
        <w:t xml:space="preserve">responder el siguiente problema jurídico: </w:t>
      </w:r>
      <w:r w:rsidRPr="00DB649C">
        <w:t xml:space="preserve"> </w:t>
      </w:r>
      <w:r w:rsidR="00DB649C" w:rsidRPr="00DB649C">
        <w:rPr>
          <w:rFonts w:ascii="Verdana" w:eastAsia="Calibri" w:hAnsi="Verdana" w:cs="Times New Roman"/>
        </w:rPr>
        <w:t xml:space="preserve">De conformidad con la </w:t>
      </w:r>
      <w:r w:rsidR="00DB649C">
        <w:rPr>
          <w:rFonts w:ascii="Verdana" w:eastAsia="Calibri" w:hAnsi="Verdana" w:cs="Times New Roman"/>
        </w:rPr>
        <w:t>“</w:t>
      </w:r>
      <w:r w:rsidR="00DB649C" w:rsidRPr="00DB649C">
        <w:rPr>
          <w:rFonts w:ascii="Verdana" w:eastAsia="Calibri" w:hAnsi="Verdana" w:cs="Times New Roman"/>
          <w:i/>
          <w:iCs/>
        </w:rPr>
        <w:t>Guía para el manejo de ofertas artificialmente bajas en procesos de contratación</w:t>
      </w:r>
      <w:r w:rsidR="00DB649C">
        <w:rPr>
          <w:rFonts w:ascii="Verdana" w:eastAsia="Calibri" w:hAnsi="Verdana" w:cs="Times New Roman"/>
        </w:rPr>
        <w:t>”</w:t>
      </w:r>
      <w:r w:rsidR="00DB649C" w:rsidRPr="00DB649C">
        <w:rPr>
          <w:rFonts w:ascii="Verdana" w:eastAsia="Calibri" w:hAnsi="Verdana" w:cs="Times New Roman"/>
        </w:rPr>
        <w:t>, ¿</w:t>
      </w:r>
      <w:r w:rsidR="008C0C29">
        <w:rPr>
          <w:rFonts w:ascii="Verdana" w:eastAsia="Calibri" w:hAnsi="Verdana" w:cs="Times New Roman"/>
        </w:rPr>
        <w:t>Cómo se manejan las ofertas</w:t>
      </w:r>
      <w:r w:rsidR="00DB649C" w:rsidRPr="00DB649C">
        <w:rPr>
          <w:rFonts w:ascii="Verdana" w:eastAsia="Calibri" w:hAnsi="Verdana" w:cs="Times New Roman"/>
        </w:rPr>
        <w:t xml:space="preserve"> artificialmente baj</w:t>
      </w:r>
      <w:r w:rsidR="008C0C29">
        <w:rPr>
          <w:rFonts w:ascii="Verdana" w:eastAsia="Calibri" w:hAnsi="Verdana" w:cs="Times New Roman"/>
        </w:rPr>
        <w:t>as en subasta inversa</w:t>
      </w:r>
      <w:r w:rsidR="00DB649C" w:rsidRPr="00DB649C">
        <w:rPr>
          <w:rFonts w:ascii="Verdana" w:eastAsia="Calibri" w:hAnsi="Verdana" w:cs="Times New Roman"/>
        </w:rPr>
        <w:t>?</w:t>
      </w:r>
    </w:p>
    <w:p w14:paraId="002E1840" w14:textId="60D93D9E" w:rsidR="00352E13" w:rsidRPr="0094448B" w:rsidRDefault="00352E13" w:rsidP="00352E13">
      <w:pPr>
        <w:spacing w:after="0" w:line="276" w:lineRule="auto"/>
        <w:jc w:val="both"/>
        <w:rPr>
          <w:rFonts w:ascii="Verdana" w:eastAsia="Calibri" w:hAnsi="Verdana" w:cs="Times New Roman"/>
          <w:bCs/>
        </w:rPr>
      </w:pPr>
    </w:p>
    <w:p w14:paraId="0364F7B7" w14:textId="77777777" w:rsidR="00352E13" w:rsidRPr="0094448B" w:rsidRDefault="00352E13" w:rsidP="00352E13">
      <w:pPr>
        <w:numPr>
          <w:ilvl w:val="0"/>
          <w:numId w:val="16"/>
        </w:numPr>
        <w:spacing w:after="0" w:line="256" w:lineRule="auto"/>
        <w:contextualSpacing/>
        <w:rPr>
          <w:rFonts w:ascii="Verdana" w:eastAsia="Calibri" w:hAnsi="Verdana" w:cs="Times New Roman"/>
          <w:b/>
          <w:bCs/>
          <w:lang w:val="es-ES"/>
        </w:rPr>
      </w:pPr>
      <w:r w:rsidRPr="0094448B">
        <w:rPr>
          <w:rFonts w:ascii="Verdana" w:eastAsia="Calibri" w:hAnsi="Verdana" w:cs="Times New Roman"/>
          <w:b/>
          <w:bCs/>
          <w:lang w:val="es-ES"/>
        </w:rPr>
        <w:t>Respuesta:</w:t>
      </w:r>
    </w:p>
    <w:p w14:paraId="537FDE41" w14:textId="77777777" w:rsidR="00352E13" w:rsidRPr="0094448B" w:rsidRDefault="00352E13" w:rsidP="00352E13">
      <w:pPr>
        <w:spacing w:after="0" w:line="240" w:lineRule="auto"/>
        <w:jc w:val="both"/>
        <w:rPr>
          <w:rFonts w:ascii="Verdana" w:hAnsi="Verdana" w:cs="Arial"/>
          <w:bCs/>
          <w:lang w:val="es-ES" w:eastAsia="es-ES" w:bidi="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52E13" w:rsidRPr="0094448B" w14:paraId="7FEC2C66" w14:textId="77777777" w:rsidTr="00472B43">
        <w:trPr>
          <w:trHeight w:val="70"/>
          <w:jc w:val="center"/>
        </w:trPr>
        <w:tc>
          <w:tcPr>
            <w:tcW w:w="8647" w:type="dxa"/>
          </w:tcPr>
          <w:p w14:paraId="4A7917CD" w14:textId="77777777" w:rsidR="00D64204" w:rsidRDefault="00D64204" w:rsidP="00D64204">
            <w:pPr>
              <w:spacing w:before="120" w:after="120" w:line="276" w:lineRule="auto"/>
              <w:jc w:val="both"/>
              <w:rPr>
                <w:rFonts w:ascii="Verdana" w:hAnsi="Verdana" w:cs="Arial"/>
                <w:bCs/>
                <w:lang w:eastAsia="es-ES"/>
              </w:rPr>
            </w:pPr>
            <w:r w:rsidRPr="001355E4">
              <w:rPr>
                <w:rFonts w:ascii="Verdana" w:hAnsi="Verdana" w:cs="Arial"/>
                <w:bCs/>
                <w:lang w:eastAsia="es-ES"/>
              </w:rPr>
              <w:t xml:space="preserve">En la Guía de Colombia Compra Eficiente, existen dos (2) </w:t>
            </w:r>
            <w:r>
              <w:rPr>
                <w:rFonts w:ascii="Verdana" w:hAnsi="Verdana" w:cs="Arial"/>
                <w:bCs/>
                <w:lang w:eastAsia="es-ES"/>
              </w:rPr>
              <w:t>“</w:t>
            </w:r>
            <w:r w:rsidRPr="001355E4">
              <w:rPr>
                <w:rFonts w:ascii="Verdana" w:hAnsi="Verdana" w:cs="Arial"/>
                <w:bCs/>
                <w:lang w:eastAsia="es-ES"/>
              </w:rPr>
              <w:t>herramientas</w:t>
            </w:r>
            <w:r>
              <w:rPr>
                <w:rFonts w:ascii="Verdana" w:hAnsi="Verdana" w:cs="Arial"/>
                <w:bCs/>
                <w:lang w:eastAsia="es-ES"/>
              </w:rPr>
              <w:t>”</w:t>
            </w:r>
            <w:r w:rsidRPr="001355E4">
              <w:rPr>
                <w:rFonts w:ascii="Verdana" w:hAnsi="Verdana" w:cs="Arial"/>
                <w:bCs/>
                <w:lang w:eastAsia="es-ES"/>
              </w:rPr>
              <w:t xml:space="preserve"> que se deben aplicar a todas las ofertas</w:t>
            </w:r>
            <w:r>
              <w:rPr>
                <w:rFonts w:ascii="Verdana" w:hAnsi="Verdana" w:cs="Arial"/>
                <w:bCs/>
                <w:lang w:eastAsia="es-ES"/>
              </w:rPr>
              <w:t xml:space="preserve"> a evaluar</w:t>
            </w:r>
            <w:r w:rsidRPr="001355E4">
              <w:rPr>
                <w:rFonts w:ascii="Verdana" w:hAnsi="Verdana" w:cs="Arial"/>
                <w:bCs/>
                <w:lang w:eastAsia="es-ES"/>
              </w:rPr>
              <w:t>, ya que así lo establece la Guía, sin excepciones. Pero para identificar la oferta con precios artificialmente bajos no siempre se requieren las demás ofertas, como en la comparación absoluta, donde cada oferta se analiza respecto del valor señalado en el estudio del sector, sin incluir las otras ofertas del procedimiento.</w:t>
            </w:r>
            <w:r>
              <w:rPr>
                <w:rFonts w:ascii="Verdana" w:hAnsi="Verdana" w:cs="Arial"/>
                <w:bCs/>
                <w:lang w:eastAsia="es-ES"/>
              </w:rPr>
              <w:t xml:space="preserve"> Por otra parte, en la comparación relativa, que se sugiere utilizarla cuando se reciben 5 o más ofertas.</w:t>
            </w:r>
          </w:p>
          <w:p w14:paraId="2292F388" w14:textId="77777777" w:rsidR="00D64204" w:rsidRPr="00AC1339" w:rsidRDefault="00D64204" w:rsidP="00D64204">
            <w:pPr>
              <w:spacing w:after="120" w:line="276" w:lineRule="auto"/>
              <w:ind w:firstLine="708"/>
              <w:jc w:val="both"/>
              <w:rPr>
                <w:rFonts w:ascii="Verdana" w:eastAsia="Calibri" w:hAnsi="Verdana" w:cs="Arial"/>
                <w:highlight w:val="yellow"/>
                <w:lang w:val="es-ES"/>
              </w:rPr>
            </w:pPr>
            <w:r w:rsidRPr="00AC1339">
              <w:rPr>
                <w:rFonts w:ascii="Verdana" w:eastAsia="Calibri" w:hAnsi="Verdana" w:cs="Arial"/>
                <w:lang w:val="es-ES"/>
              </w:rPr>
              <w:t>En ese sentid</w:t>
            </w:r>
            <w:r>
              <w:rPr>
                <w:rFonts w:ascii="Verdana" w:eastAsia="Calibri" w:hAnsi="Verdana" w:cs="Arial"/>
                <w:lang w:val="es-ES"/>
              </w:rPr>
              <w:t xml:space="preserve">o, </w:t>
            </w:r>
            <w:r w:rsidRPr="00AC1339">
              <w:rPr>
                <w:rFonts w:ascii="Verdana" w:eastAsia="Calibri" w:hAnsi="Verdana" w:cs="Arial"/>
                <w:lang w:val="es-ES"/>
              </w:rPr>
              <w:t>en la evaluación</w:t>
            </w:r>
            <w:r>
              <w:rPr>
                <w:rFonts w:ascii="Verdana" w:eastAsia="Calibri" w:hAnsi="Verdana" w:cs="Arial"/>
                <w:lang w:val="es-ES"/>
              </w:rPr>
              <w:t xml:space="preserve"> que se realiza antes de la adjudicación del contrato</w:t>
            </w:r>
            <w:r w:rsidRPr="00AC1339">
              <w:rPr>
                <w:rFonts w:ascii="Verdana" w:eastAsia="Calibri" w:hAnsi="Verdana" w:cs="Arial"/>
                <w:lang w:val="es-ES"/>
              </w:rPr>
              <w:t xml:space="preserve"> la entidad debe verificar la oferta y su componente económico, para determinar si corresponde con el resultado del análisis de la oferta en el estudio de mercado, o si los precios tienen un componente atípico que no se identificó al observar el comportamiento de los proveedores d</w:t>
            </w:r>
            <w:r>
              <w:rPr>
                <w:rFonts w:ascii="Verdana" w:eastAsia="Calibri" w:hAnsi="Verdana" w:cs="Arial"/>
                <w:lang w:val="es-ES"/>
              </w:rPr>
              <w:t xml:space="preserve">el bien, obra o servicio que </w:t>
            </w:r>
            <w:r w:rsidRPr="00AC1339">
              <w:rPr>
                <w:rFonts w:ascii="Verdana" w:eastAsia="Calibri" w:hAnsi="Verdana" w:cs="Arial"/>
                <w:lang w:val="es-ES"/>
              </w:rPr>
              <w:t>pretende contratar</w:t>
            </w:r>
            <w:r>
              <w:rPr>
                <w:rFonts w:ascii="Verdana" w:eastAsia="Calibri" w:hAnsi="Verdana" w:cs="Arial"/>
                <w:lang w:val="es-ES"/>
              </w:rPr>
              <w:t>se</w:t>
            </w:r>
            <w:r w:rsidRPr="00AC1339">
              <w:rPr>
                <w:rFonts w:ascii="Verdana" w:eastAsia="Calibri" w:hAnsi="Verdana" w:cs="Arial"/>
                <w:lang w:val="es-ES"/>
              </w:rPr>
              <w:t>. En ese caso, la entidad podrá identificar las ofertas con precios que parecen artificialmente bajos, y seguir el procedimiento del Decreto 1082 de 2015. Concluido dicho análisis, es posible que a partir de las explicaciones ofrecidas por el proponente se determine que el valor responde a circunstancias objetivas que le permiten cumplir el contrato, sin que con ello termine la evaluación, porque el Decreto 1082 de 2015 señala que la entidad puede continuar el análisis en esta fase de evaluación.</w:t>
            </w:r>
          </w:p>
          <w:p w14:paraId="7A957CFF" w14:textId="77777777" w:rsidR="00D64204" w:rsidRDefault="00D64204" w:rsidP="00D64204">
            <w:pPr>
              <w:spacing w:before="120" w:after="120" w:line="276" w:lineRule="auto"/>
              <w:ind w:firstLine="708"/>
              <w:jc w:val="both"/>
              <w:rPr>
                <w:rFonts w:ascii="Verdana" w:hAnsi="Verdana"/>
              </w:rPr>
            </w:pPr>
            <w:r>
              <w:rPr>
                <w:rFonts w:ascii="Verdana" w:hAnsi="Verdana" w:cs="Arial"/>
                <w:lang w:val="es-ES" w:eastAsia="es-ES"/>
              </w:rPr>
              <w:t xml:space="preserve">En el caso de la subasta inversa, la </w:t>
            </w:r>
            <w:r>
              <w:rPr>
                <w:rFonts w:ascii="Verdana" w:hAnsi="Verdana"/>
              </w:rPr>
              <w:t>“</w:t>
            </w:r>
            <w:r w:rsidRPr="00527F01">
              <w:rPr>
                <w:rFonts w:ascii="Verdana" w:hAnsi="Verdana"/>
              </w:rPr>
              <w:t>Gu</w:t>
            </w:r>
            <w:r>
              <w:rPr>
                <w:rFonts w:ascii="Verdana" w:hAnsi="Verdana"/>
              </w:rPr>
              <w:t xml:space="preserve">ía para el manejo de ofertas artificialmente bajas en procesos de contratación” de esta Agencia señala que se debe hacer uso de la comparación relativa, </w:t>
            </w:r>
            <w:r w:rsidRPr="006C7D60">
              <w:rPr>
                <w:rFonts w:ascii="Verdana" w:hAnsi="Verdana"/>
              </w:rPr>
              <w:t xml:space="preserve">sobre el precio obtenido al final de </w:t>
            </w:r>
            <w:proofErr w:type="gramStart"/>
            <w:r w:rsidRPr="006C7D60">
              <w:rPr>
                <w:rFonts w:ascii="Verdana" w:hAnsi="Verdana"/>
              </w:rPr>
              <w:t>la mism</w:t>
            </w:r>
            <w:r>
              <w:rPr>
                <w:rFonts w:ascii="Verdana" w:hAnsi="Verdana"/>
              </w:rPr>
              <w:t>a</w:t>
            </w:r>
            <w:proofErr w:type="gramEnd"/>
            <w:r>
              <w:rPr>
                <w:rFonts w:ascii="Verdana" w:hAnsi="Verdana"/>
              </w:rPr>
              <w:t>, así:</w:t>
            </w:r>
          </w:p>
          <w:p w14:paraId="53E9459C" w14:textId="77777777" w:rsidR="00D64204" w:rsidRPr="001724A6" w:rsidRDefault="00D64204" w:rsidP="00D64204">
            <w:pPr>
              <w:ind w:left="709" w:right="709"/>
              <w:jc w:val="both"/>
              <w:rPr>
                <w:rFonts w:ascii="Verdana" w:eastAsia="Aptos" w:hAnsi="Verdana" w:cs="Times New Roman"/>
                <w:kern w:val="2"/>
                <w:sz w:val="20"/>
                <w:szCs w:val="20"/>
                <w14:ligatures w14:val="standardContextual"/>
              </w:rPr>
            </w:pPr>
            <w:r w:rsidRPr="001724A6">
              <w:rPr>
                <w:rFonts w:ascii="Verdana" w:eastAsia="Aptos" w:hAnsi="Verdana" w:cs="Times New Roman"/>
                <w:kern w:val="2"/>
                <w:sz w:val="20"/>
                <w:szCs w:val="20"/>
                <w14:ligatures w14:val="standardContextual"/>
              </w:rPr>
              <w:t xml:space="preserve">“(…) • Verificar la oferta y su componente económico, para así determinar si los precios tienen un componente extraño que no fue posible determinar al momento de realizar el Estudio del sector, en relación con los proveedores del bien, obra o servicio que se pretende contratar. </w:t>
            </w:r>
          </w:p>
          <w:p w14:paraId="37205EFE" w14:textId="77777777" w:rsidR="00D64204" w:rsidRPr="001724A6" w:rsidRDefault="00D64204" w:rsidP="00D64204">
            <w:pPr>
              <w:ind w:left="709" w:right="709"/>
              <w:jc w:val="both"/>
              <w:rPr>
                <w:rFonts w:ascii="Verdana" w:eastAsia="Aptos" w:hAnsi="Verdana" w:cs="Times New Roman"/>
                <w:kern w:val="2"/>
                <w:sz w:val="20"/>
                <w:szCs w:val="20"/>
                <w14:ligatures w14:val="standardContextual"/>
              </w:rPr>
            </w:pPr>
            <w:r w:rsidRPr="001724A6">
              <w:rPr>
                <w:rFonts w:ascii="Verdana" w:eastAsia="Aptos" w:hAnsi="Verdana" w:cs="Times New Roman"/>
                <w:kern w:val="2"/>
                <w:sz w:val="20"/>
                <w:szCs w:val="20"/>
                <w14:ligatures w14:val="standardContextual"/>
              </w:rPr>
              <w:t xml:space="preserve">• Comparar el valor de cada oferta con el costo estimado de la provisión del bien o servicio de acuerdo con el Estudio del Sector. La verificación de ofertas artificialmente bajas puede sustentarse en </w:t>
            </w:r>
            <w:r w:rsidRPr="001724A6">
              <w:rPr>
                <w:rFonts w:ascii="Verdana" w:eastAsia="Aptos" w:hAnsi="Verdana" w:cs="Times New Roman"/>
                <w:kern w:val="2"/>
                <w:sz w:val="20"/>
                <w:szCs w:val="20"/>
                <w14:ligatures w14:val="standardContextual"/>
              </w:rPr>
              <w:lastRenderedPageBreak/>
              <w:t xml:space="preserve">información adicional a la utilizada en el Estudio del Sector, como precios de fabricantes y otros factores económicos relevantes. </w:t>
            </w:r>
          </w:p>
          <w:p w14:paraId="6FE910A2" w14:textId="77777777" w:rsidR="00D64204" w:rsidRPr="001724A6" w:rsidRDefault="00D64204" w:rsidP="00D64204">
            <w:pPr>
              <w:ind w:left="709" w:right="709"/>
              <w:jc w:val="both"/>
              <w:rPr>
                <w:rFonts w:ascii="Verdana" w:eastAsia="Aptos" w:hAnsi="Verdana" w:cs="Times New Roman"/>
                <w:kern w:val="2"/>
                <w:sz w:val="20"/>
                <w:szCs w:val="20"/>
                <w14:ligatures w14:val="standardContextual"/>
              </w:rPr>
            </w:pPr>
            <w:r w:rsidRPr="001724A6">
              <w:rPr>
                <w:rFonts w:ascii="Verdana" w:eastAsia="Aptos" w:hAnsi="Verdana" w:cs="Times New Roman"/>
                <w:kern w:val="2"/>
                <w:sz w:val="20"/>
                <w:szCs w:val="20"/>
                <w14:ligatures w14:val="standardContextual"/>
              </w:rPr>
              <w:t xml:space="preserve">• Solicitar explicaciones a los proponentes cuyas ofertas sean menores en un 20%, o un mayor porcentaje, al costo total estimado por la Entidad Estatal (comparación absoluta, ver numeral 2.1.1). </w:t>
            </w:r>
          </w:p>
          <w:p w14:paraId="5B30194D" w14:textId="77777777" w:rsidR="00D64204" w:rsidRDefault="00D64204" w:rsidP="00D64204">
            <w:pPr>
              <w:ind w:left="709" w:right="709"/>
              <w:jc w:val="both"/>
              <w:rPr>
                <w:rFonts w:ascii="Verdana" w:eastAsia="Aptos" w:hAnsi="Verdana" w:cs="Times New Roman"/>
                <w:kern w:val="2"/>
                <w:sz w:val="20"/>
                <w:szCs w:val="20"/>
                <w14:ligatures w14:val="standardContextual"/>
              </w:rPr>
            </w:pPr>
            <w:r w:rsidRPr="001724A6">
              <w:rPr>
                <w:rFonts w:ascii="Verdana" w:eastAsia="Aptos" w:hAnsi="Verdana" w:cs="Times New Roman"/>
                <w:kern w:val="2"/>
                <w:sz w:val="20"/>
                <w:szCs w:val="20"/>
                <w14:ligatures w14:val="standardContextual"/>
              </w:rPr>
              <w:t>• Analizar la información remitida por el proponente y considerar el rechazo de las ofertas que cumplan con alguna de las condiciones establecidas en el numeral 4.2 de la presente Guía. (…)”</w:t>
            </w:r>
          </w:p>
          <w:p w14:paraId="5F4781F4" w14:textId="77777777" w:rsidR="00D64204" w:rsidRPr="001724A6" w:rsidRDefault="00D64204" w:rsidP="00D64204">
            <w:pPr>
              <w:ind w:left="709" w:right="709"/>
              <w:jc w:val="both"/>
              <w:rPr>
                <w:rFonts w:ascii="Verdana" w:eastAsia="Aptos" w:hAnsi="Verdana" w:cs="Times New Roman"/>
                <w:kern w:val="2"/>
                <w:sz w:val="20"/>
                <w:szCs w:val="20"/>
                <w14:ligatures w14:val="standardContextual"/>
              </w:rPr>
            </w:pPr>
          </w:p>
          <w:p w14:paraId="55514575" w14:textId="77777777" w:rsidR="00D64204" w:rsidRPr="007047BB" w:rsidRDefault="00D64204" w:rsidP="00D64204">
            <w:pPr>
              <w:spacing w:before="120" w:after="120" w:line="276" w:lineRule="auto"/>
              <w:ind w:firstLine="708"/>
              <w:jc w:val="both"/>
              <w:rPr>
                <w:rFonts w:ascii="Verdana" w:hAnsi="Verdana" w:cs="Arial"/>
                <w:bCs/>
                <w:i/>
                <w:iCs/>
                <w:lang w:val="es-ES_tradnl" w:eastAsia="es-ES"/>
              </w:rPr>
            </w:pPr>
            <w:r>
              <w:rPr>
                <w:rFonts w:ascii="Verdana" w:hAnsi="Verdana" w:cs="Arial"/>
                <w:bCs/>
                <w:lang w:val="es-ES_tradnl" w:eastAsia="es-ES"/>
              </w:rPr>
              <w:t xml:space="preserve">Por tanto, respecto de su pregunta sobre el valor que se debe tener en cuenta para determinar una oferta artificialmente baja en la subasta inversa, como lo indica la Guía citada, es el costo estimado por la entidad estatal según el Estudio del Sector. Adicionalmente, respecto de la obligación de la entidad estatal de solicitar aclaración a las ofertas que parecen artificialmente bajas, el artículo </w:t>
            </w:r>
            <w:r w:rsidRPr="007E4E91">
              <w:rPr>
                <w:rFonts w:ascii="Verdana" w:hAnsi="Verdana" w:cs="Arial"/>
                <w:bCs/>
                <w:lang w:val="es-ES_tradnl" w:eastAsia="es-ES"/>
              </w:rPr>
              <w:t>2.2.1.1.2.2.4.</w:t>
            </w:r>
            <w:r>
              <w:rPr>
                <w:rFonts w:ascii="Verdana" w:hAnsi="Verdana" w:cs="Arial"/>
                <w:bCs/>
                <w:lang w:val="es-ES_tradnl" w:eastAsia="es-ES"/>
              </w:rPr>
              <w:t xml:space="preserve"> del Decreto 1082 de 2015 es claro al señalar que: </w:t>
            </w:r>
            <w:r w:rsidRPr="007047BB">
              <w:rPr>
                <w:rFonts w:ascii="Verdana" w:hAnsi="Verdana" w:cs="Arial"/>
                <w:bCs/>
                <w:i/>
                <w:iCs/>
                <w:lang w:val="es-ES_tradnl" w:eastAsia="es-ES"/>
              </w:rPr>
              <w:t xml:space="preserve">“Si de acuerdo con la información obtenida por la Entidad Estatal en su deber de análisis de que trata el artículo 2.2.1.1.1.6.1 del presente decreto, el valor de una oferta parece artificialmente bajo, la Entidad Estatal </w:t>
            </w:r>
            <w:r w:rsidRPr="007047BB">
              <w:rPr>
                <w:rFonts w:ascii="Verdana" w:hAnsi="Verdana" w:cs="Arial"/>
                <w:b/>
                <w:i/>
                <w:iCs/>
                <w:u w:val="single"/>
                <w:lang w:val="es-ES_tradnl" w:eastAsia="es-ES"/>
              </w:rPr>
              <w:t>debe</w:t>
            </w:r>
            <w:r w:rsidRPr="007047BB">
              <w:rPr>
                <w:rFonts w:ascii="Verdana" w:hAnsi="Verdana" w:cs="Arial"/>
                <w:bCs/>
                <w:i/>
                <w:iCs/>
                <w:lang w:val="es-ES_tradnl" w:eastAsia="es-ES"/>
              </w:rPr>
              <w:t xml:space="preserve"> requerir al oferente para que explique las razones que sustentan el valor ofrecido (…)”.</w:t>
            </w:r>
          </w:p>
          <w:p w14:paraId="65EAE8A7" w14:textId="29E26ED9" w:rsidR="00352E13" w:rsidRPr="0094448B" w:rsidRDefault="00D64204" w:rsidP="00D64204">
            <w:pPr>
              <w:spacing w:before="120" w:after="120" w:line="276" w:lineRule="auto"/>
              <w:ind w:firstLine="708"/>
              <w:jc w:val="both"/>
              <w:rPr>
                <w:rFonts w:ascii="Verdana" w:eastAsia="Calibri" w:hAnsi="Verdana" w:cs="Arial"/>
                <w:bCs/>
                <w:color w:val="000000" w:themeColor="text1"/>
              </w:rPr>
            </w:pPr>
            <w:r w:rsidRPr="0094448B">
              <w:rPr>
                <w:rFonts w:ascii="Verdana" w:hAnsi="Verdana" w:cs="Arial"/>
                <w:bCs/>
                <w:lang w:val="es-ES_tradnl" w:eastAsia="es-ES"/>
              </w:rPr>
              <w:t>E</w:t>
            </w:r>
            <w:r>
              <w:rPr>
                <w:rFonts w:ascii="Verdana" w:hAnsi="Verdana" w:cs="Arial"/>
                <w:bCs/>
                <w:lang w:val="es-ES_tradnl" w:eastAsia="es-ES"/>
              </w:rPr>
              <w:t>n todo caso</w:t>
            </w:r>
            <w:r w:rsidRPr="0094448B">
              <w:rPr>
                <w:rFonts w:ascii="Verdana" w:hAnsi="Verdana" w:cs="Arial"/>
                <w:bCs/>
                <w:lang w:val="es-ES_tradnl" w:eastAsia="es-ES"/>
              </w:rPr>
              <w:t xml:space="preserve">, </w:t>
            </w:r>
            <w:r w:rsidRPr="0094448B">
              <w:rPr>
                <w:rFonts w:ascii="Verdana" w:hAnsi="Verdana" w:cs="Arial"/>
                <w:bCs/>
                <w:lang w:eastAsia="es-ES"/>
              </w:rPr>
              <w:t xml:space="preserve">la entidad pública definirá en cada </w:t>
            </w:r>
            <w:r>
              <w:rPr>
                <w:rFonts w:ascii="Verdana" w:hAnsi="Verdana" w:cs="Arial"/>
                <w:bCs/>
                <w:lang w:eastAsia="es-ES"/>
              </w:rPr>
              <w:t xml:space="preserve">supuesto </w:t>
            </w:r>
            <w:r w:rsidRPr="0094448B">
              <w:rPr>
                <w:rFonts w:ascii="Verdana" w:hAnsi="Verdana" w:cs="Arial"/>
                <w:bCs/>
                <w:lang w:eastAsia="es-ES"/>
              </w:rPr>
              <w:t>lo relacionado con el tema objeto de consulta y teniendo en cuenta lo dispuesto en las normas previamente citadas. Al tratarse de un análisis que debe realizarse en el procedimiento contractual específico, la Agencia no puede definir un criterio universal y absoluto por vía consultiva, sino que brinda elementos de carácter general para que los partícipes del sistema de contratación pública adopten la decisión que corresponda, que sea acorde con el principio de juridicidad, sin que sea atribución de esta Agencia validar su gestión contractual.</w:t>
            </w:r>
          </w:p>
        </w:tc>
      </w:tr>
    </w:tbl>
    <w:p w14:paraId="22704E2D" w14:textId="77777777" w:rsidR="00352E13" w:rsidRDefault="00352E13" w:rsidP="00352E13">
      <w:pPr>
        <w:spacing w:after="0" w:line="276" w:lineRule="auto"/>
        <w:jc w:val="both"/>
        <w:rPr>
          <w:rFonts w:ascii="Verdana" w:eastAsia="Calibri" w:hAnsi="Verdana" w:cs="Arial"/>
          <w:bCs/>
          <w:color w:val="000000" w:themeColor="text1"/>
        </w:rPr>
      </w:pPr>
    </w:p>
    <w:p w14:paraId="4973D769" w14:textId="77777777" w:rsidR="00352E13" w:rsidRPr="0094448B" w:rsidRDefault="00352E13" w:rsidP="00352E13">
      <w:pPr>
        <w:numPr>
          <w:ilvl w:val="0"/>
          <w:numId w:val="16"/>
        </w:numPr>
        <w:spacing w:after="0" w:line="256" w:lineRule="auto"/>
        <w:rPr>
          <w:rFonts w:ascii="Verdana" w:eastAsia="Calibri" w:hAnsi="Verdana" w:cs="Times New Roman"/>
          <w:b/>
          <w:bCs/>
          <w:lang w:val="es-ES"/>
        </w:rPr>
      </w:pPr>
      <w:r w:rsidRPr="0094448B">
        <w:rPr>
          <w:rFonts w:ascii="Verdana" w:eastAsia="Calibri" w:hAnsi="Verdana" w:cs="Times New Roman"/>
          <w:b/>
          <w:bCs/>
          <w:lang w:val="es-ES"/>
        </w:rPr>
        <w:t>Razones de la respuesta:</w:t>
      </w:r>
    </w:p>
    <w:p w14:paraId="7C1BA06C" w14:textId="77777777" w:rsidR="00352E13" w:rsidRPr="0094448B" w:rsidRDefault="00352E13" w:rsidP="00352E13">
      <w:pPr>
        <w:spacing w:after="0" w:line="256" w:lineRule="auto"/>
        <w:rPr>
          <w:rFonts w:ascii="Verdana" w:eastAsia="Calibri" w:hAnsi="Verdana" w:cs="Times New Roman"/>
          <w:b/>
          <w:bCs/>
          <w:lang w:val="es-ES"/>
        </w:rPr>
      </w:pPr>
    </w:p>
    <w:p w14:paraId="4AE641CD" w14:textId="77777777" w:rsidR="00352E13" w:rsidRPr="0094448B" w:rsidRDefault="00352E13" w:rsidP="00352E13">
      <w:pPr>
        <w:spacing w:after="0" w:line="276" w:lineRule="auto"/>
        <w:jc w:val="both"/>
        <w:rPr>
          <w:rFonts w:ascii="Verdana" w:eastAsia="Calibri" w:hAnsi="Verdana" w:cs="Arial"/>
          <w:lang w:val="es-ES"/>
        </w:rPr>
      </w:pPr>
      <w:r w:rsidRPr="0094448B">
        <w:rPr>
          <w:rFonts w:ascii="Verdana" w:eastAsia="Calibri" w:hAnsi="Verdana" w:cs="Arial"/>
          <w:lang w:val="es-ES"/>
        </w:rPr>
        <w:t xml:space="preserve">Lo anterior se sustenta en las siguientes consideraciones: </w:t>
      </w:r>
    </w:p>
    <w:p w14:paraId="7E7724F8" w14:textId="77777777" w:rsidR="00352E13" w:rsidRPr="0094448B" w:rsidRDefault="00352E13" w:rsidP="00352E13">
      <w:pPr>
        <w:spacing w:after="0" w:line="276" w:lineRule="auto"/>
        <w:jc w:val="both"/>
        <w:rPr>
          <w:rFonts w:ascii="Verdana" w:eastAsia="Calibri" w:hAnsi="Verdana" w:cs="Arial"/>
          <w:lang w:val="es-ES"/>
        </w:rPr>
      </w:pPr>
    </w:p>
    <w:p w14:paraId="3BD23395" w14:textId="77777777" w:rsidR="00352E13" w:rsidRPr="00910028" w:rsidRDefault="00352E13" w:rsidP="00352E13">
      <w:pPr>
        <w:widowControl w:val="0"/>
        <w:autoSpaceDE w:val="0"/>
        <w:autoSpaceDN w:val="0"/>
        <w:snapToGrid w:val="0"/>
        <w:spacing w:after="0" w:line="276" w:lineRule="auto"/>
        <w:jc w:val="both"/>
        <w:rPr>
          <w:rFonts w:ascii="Verdana" w:eastAsia="Arial" w:hAnsi="Verdana" w:cs="Arial"/>
          <w:lang w:val="es-ES" w:eastAsia="es-ES" w:bidi="es-ES"/>
        </w:rPr>
      </w:pPr>
      <w:r w:rsidRPr="0094448B">
        <w:rPr>
          <w:rFonts w:ascii="Verdana" w:eastAsia="Calibri" w:hAnsi="Verdana" w:cs="Arial"/>
          <w:bCs/>
          <w:lang w:val="es-ES_tradnl"/>
        </w:rPr>
        <w:t xml:space="preserve">i. </w:t>
      </w:r>
      <w:r w:rsidRPr="00910028">
        <w:rPr>
          <w:rFonts w:ascii="Verdana" w:eastAsia="Arial" w:hAnsi="Verdana" w:cs="Arial"/>
          <w:lang w:val="es-ES" w:eastAsia="es-ES" w:bidi="es-ES"/>
        </w:rPr>
        <w:t xml:space="preserve">La Ley 80 de 1993, en el artículo 26, numeral 6, indica como una de las manifestaciones del principio de responsabilidad que los contratistas respondan cuando formulen propuestas en las que se fijen condiciones económicas y de </w:t>
      </w:r>
      <w:r w:rsidRPr="00910028">
        <w:rPr>
          <w:rFonts w:ascii="Verdana" w:eastAsia="Arial" w:hAnsi="Verdana" w:cs="Arial"/>
          <w:lang w:val="es-ES" w:eastAsia="es-ES" w:bidi="es-ES"/>
        </w:rPr>
        <w:lastRenderedPageBreak/>
        <w:t>contratación artificialmente bajas con el propósito de obtener la adjudicación del contrato</w:t>
      </w:r>
      <w:r w:rsidRPr="00910028">
        <w:rPr>
          <w:rFonts w:ascii="Verdana" w:eastAsia="Arial" w:hAnsi="Verdana" w:cs="Arial"/>
          <w:vertAlign w:val="superscript"/>
          <w:lang w:val="es-ES" w:eastAsia="es-ES" w:bidi="es-ES"/>
        </w:rPr>
        <w:footnoteReference w:id="1"/>
      </w:r>
      <w:r w:rsidRPr="00910028">
        <w:rPr>
          <w:rFonts w:ascii="Verdana" w:eastAsia="Arial" w:hAnsi="Verdana" w:cs="Arial"/>
          <w:lang w:val="es-ES" w:eastAsia="es-ES" w:bidi="es-ES"/>
        </w:rPr>
        <w:t>.</w:t>
      </w:r>
      <w:r>
        <w:rPr>
          <w:rFonts w:ascii="Verdana" w:eastAsia="Arial" w:hAnsi="Verdana" w:cs="Arial"/>
          <w:lang w:val="es-ES" w:eastAsia="es-ES" w:bidi="es-ES"/>
        </w:rPr>
        <w:t xml:space="preserve"> Al respecto, e</w:t>
      </w:r>
      <w:r w:rsidRPr="00910028">
        <w:rPr>
          <w:rFonts w:ascii="Verdana" w:eastAsia="Arial" w:hAnsi="Verdana" w:cs="Arial"/>
          <w:lang w:val="es-ES" w:eastAsia="es-ES" w:bidi="es-ES"/>
        </w:rPr>
        <w:t>l Consejo de Estado, Sección Tercera, sentencia 4 de junio de 2008, radicado No. 17.783, M.P. Myriam Guerrero de Escobar, define el precio artificialmente bajo como aquel que no tiene sustento o fundamento en su</w:t>
      </w:r>
      <w:r w:rsidRPr="00910028">
        <w:rPr>
          <w:rFonts w:ascii="Verdana" w:eastAsia="Arial" w:hAnsi="Verdana" w:cs="Arial"/>
          <w:spacing w:val="-45"/>
          <w:lang w:val="es-ES" w:eastAsia="es-ES" w:bidi="es-ES"/>
        </w:rPr>
        <w:t xml:space="preserve"> </w:t>
      </w:r>
      <w:r w:rsidRPr="00910028">
        <w:rPr>
          <w:rFonts w:ascii="Verdana" w:eastAsia="Arial" w:hAnsi="Verdana" w:cs="Arial"/>
          <w:lang w:val="es-ES" w:eastAsia="es-ES" w:bidi="es-ES"/>
        </w:rPr>
        <w:t>estructuración dentro del tráfico comercial:</w:t>
      </w:r>
    </w:p>
    <w:p w14:paraId="0A11ADC7" w14:textId="77777777" w:rsidR="00352E13" w:rsidRPr="00910028" w:rsidRDefault="00352E13" w:rsidP="00352E13">
      <w:pPr>
        <w:widowControl w:val="0"/>
        <w:autoSpaceDE w:val="0"/>
        <w:autoSpaceDN w:val="0"/>
        <w:spacing w:after="0" w:line="276" w:lineRule="auto"/>
        <w:ind w:left="720"/>
        <w:rPr>
          <w:rFonts w:ascii="Verdana" w:eastAsia="Arial" w:hAnsi="Verdana" w:cs="Arial"/>
          <w:lang w:val="es-ES" w:eastAsia="es-ES" w:bidi="es-ES"/>
        </w:rPr>
      </w:pPr>
    </w:p>
    <w:p w14:paraId="63446C2E" w14:textId="77777777" w:rsidR="00352E13" w:rsidRPr="00666BAC" w:rsidRDefault="00352E13" w:rsidP="00352E13">
      <w:pPr>
        <w:spacing w:after="0" w:line="240" w:lineRule="auto"/>
        <w:ind w:left="709" w:right="709"/>
        <w:jc w:val="both"/>
        <w:rPr>
          <w:rFonts w:ascii="Verdana" w:eastAsia="Aptos" w:hAnsi="Verdana" w:cs="Times New Roman"/>
          <w:kern w:val="2"/>
          <w:sz w:val="20"/>
          <w:szCs w:val="20"/>
          <w14:ligatures w14:val="standardContextual"/>
        </w:rPr>
      </w:pPr>
      <w:r w:rsidRPr="00666BAC">
        <w:rPr>
          <w:rFonts w:ascii="Verdana" w:eastAsia="Aptos" w:hAnsi="Verdana" w:cs="Times New Roman"/>
          <w:kern w:val="2"/>
          <w:sz w:val="20"/>
          <w:szCs w:val="20"/>
          <w14:ligatures w14:val="standardContextual"/>
        </w:rPr>
        <w:t>“El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y como parte de ella, el procedimiento de la licitación</w:t>
      </w:r>
      <w:r w:rsidRPr="00666BAC">
        <w:rPr>
          <w:rFonts w:ascii="Verdana" w:eastAsia="Aptos" w:hAnsi="Verdana" w:cs="Times New Roman"/>
          <w:spacing w:val="-8"/>
          <w:kern w:val="2"/>
          <w:sz w:val="20"/>
          <w:szCs w:val="20"/>
          <w14:ligatures w14:val="standardContextual"/>
        </w:rPr>
        <w:t xml:space="preserve"> </w:t>
      </w:r>
      <w:r w:rsidRPr="00666BAC">
        <w:rPr>
          <w:rFonts w:ascii="Verdana" w:eastAsia="Aptos" w:hAnsi="Verdana" w:cs="Times New Roman"/>
          <w:kern w:val="2"/>
          <w:sz w:val="20"/>
          <w:szCs w:val="20"/>
          <w14:ligatures w14:val="standardContextual"/>
        </w:rPr>
        <w:t>[…]”.</w:t>
      </w:r>
    </w:p>
    <w:p w14:paraId="52F70617" w14:textId="77777777" w:rsidR="00352E13" w:rsidRPr="00910028" w:rsidRDefault="00352E13" w:rsidP="00352E13">
      <w:pPr>
        <w:widowControl w:val="0"/>
        <w:autoSpaceDE w:val="0"/>
        <w:autoSpaceDN w:val="0"/>
        <w:spacing w:after="0" w:line="276" w:lineRule="auto"/>
        <w:ind w:left="720"/>
        <w:jc w:val="both"/>
        <w:rPr>
          <w:rFonts w:ascii="Verdana" w:eastAsia="Arial" w:hAnsi="Verdana" w:cs="Arial"/>
          <w:lang w:val="es-ES" w:eastAsia="es-ES" w:bidi="es-ES"/>
        </w:rPr>
      </w:pPr>
    </w:p>
    <w:p w14:paraId="69B170FA" w14:textId="77777777" w:rsidR="00352E13" w:rsidRDefault="00352E13" w:rsidP="00352E13">
      <w:pPr>
        <w:widowControl w:val="0"/>
        <w:autoSpaceDE w:val="0"/>
        <w:autoSpaceDN w:val="0"/>
        <w:spacing w:after="0" w:line="276" w:lineRule="auto"/>
        <w:ind w:firstLine="709"/>
        <w:jc w:val="both"/>
        <w:rPr>
          <w:rFonts w:ascii="Verdana" w:eastAsia="Arial" w:hAnsi="Verdana" w:cs="Arial"/>
          <w:lang w:val="es-ES" w:eastAsia="es-ES" w:bidi="es-ES"/>
        </w:rPr>
      </w:pPr>
      <w:r w:rsidRPr="00910028">
        <w:rPr>
          <w:rFonts w:ascii="Verdana" w:eastAsia="Arial" w:hAnsi="Verdana" w:cs="Arial"/>
          <w:lang w:val="es-ES" w:eastAsia="es-ES" w:bidi="es-ES"/>
        </w:rPr>
        <w:t xml:space="preserve">Por su parte, el artículo 2.2.1.1.2.2.4. del Decreto 1082 de 2015 establece que cuando el valor de una oferta parezca artificialmente bajo, la entidad debe requerir al oferente para que explique las razones que sustentan el valor ofrecido. Frente a estas explicaciones le corresponde al comité evaluador </w:t>
      </w:r>
      <w:r>
        <w:rPr>
          <w:rFonts w:ascii="Verdana" w:eastAsia="Arial" w:hAnsi="Verdana" w:cs="Arial"/>
          <w:lang w:val="es-ES" w:eastAsia="es-ES" w:bidi="es-ES"/>
        </w:rPr>
        <w:t>analizarlas y recomendar si d</w:t>
      </w:r>
      <w:r w:rsidRPr="00910028">
        <w:rPr>
          <w:rFonts w:ascii="Verdana" w:eastAsia="Arial" w:hAnsi="Verdana" w:cs="Arial"/>
          <w:lang w:val="es-ES" w:eastAsia="es-ES" w:bidi="es-ES"/>
        </w:rPr>
        <w:t>ebe rechazar la oferta o continuar con el análisis de la oferta durante la evaluación de las ofertas</w:t>
      </w:r>
      <w:r>
        <w:rPr>
          <w:rFonts w:ascii="Verdana" w:eastAsia="Arial" w:hAnsi="Verdana" w:cs="Arial"/>
          <w:lang w:val="es-ES" w:eastAsia="es-ES" w:bidi="es-ES"/>
        </w:rPr>
        <w:t>:</w:t>
      </w:r>
    </w:p>
    <w:p w14:paraId="574811BE" w14:textId="77777777" w:rsidR="00352E13" w:rsidRPr="001F4545" w:rsidRDefault="00352E13" w:rsidP="00352E13">
      <w:pPr>
        <w:spacing w:after="0" w:line="240" w:lineRule="auto"/>
        <w:ind w:left="708" w:right="616" w:firstLine="1"/>
        <w:jc w:val="both"/>
        <w:rPr>
          <w:rFonts w:ascii="Verdana" w:hAnsi="Verdana"/>
          <w:sz w:val="21"/>
          <w:szCs w:val="21"/>
        </w:rPr>
      </w:pPr>
    </w:p>
    <w:p w14:paraId="02DD8796" w14:textId="77777777" w:rsidR="00352E13" w:rsidRPr="00666BAC" w:rsidRDefault="00352E13" w:rsidP="00352E13">
      <w:pPr>
        <w:spacing w:after="0" w:line="240" w:lineRule="auto"/>
        <w:ind w:left="708" w:right="616" w:firstLine="1"/>
        <w:jc w:val="both"/>
        <w:rPr>
          <w:rFonts w:ascii="Verdana" w:hAnsi="Verdana"/>
          <w:sz w:val="20"/>
          <w:szCs w:val="20"/>
        </w:rPr>
      </w:pPr>
      <w:r w:rsidRPr="00666BAC">
        <w:rPr>
          <w:rFonts w:ascii="Verdana" w:hAnsi="Verdana"/>
          <w:bCs/>
          <w:sz w:val="20"/>
          <w:szCs w:val="20"/>
        </w:rPr>
        <w:t>“Artículo 2.2.1.1.2.2.4. </w:t>
      </w:r>
      <w:r w:rsidRPr="00666BAC">
        <w:rPr>
          <w:rFonts w:ascii="Verdana" w:hAnsi="Verdana"/>
          <w:bCs/>
          <w:i/>
          <w:iCs/>
          <w:sz w:val="20"/>
          <w:szCs w:val="20"/>
        </w:rPr>
        <w:t>Oferta con valor artificialmente bajo.</w:t>
      </w:r>
      <w:r w:rsidRPr="00666BAC">
        <w:rPr>
          <w:rFonts w:ascii="Verdana" w:hAnsi="Verdana"/>
          <w:i/>
          <w:iCs/>
          <w:sz w:val="20"/>
          <w:szCs w:val="20"/>
        </w:rPr>
        <w:t> </w:t>
      </w:r>
      <w:r w:rsidRPr="00666BAC">
        <w:rPr>
          <w:rFonts w:ascii="Verdana" w:hAnsi="Verdana"/>
          <w:sz w:val="20"/>
          <w:szCs w:val="20"/>
        </w:rPr>
        <w:t xml:space="preserve">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w:t>
      </w:r>
      <w:proofErr w:type="gramStart"/>
      <w:r w:rsidRPr="00666BAC">
        <w:rPr>
          <w:rFonts w:ascii="Verdana" w:hAnsi="Verdana"/>
          <w:sz w:val="20"/>
          <w:szCs w:val="20"/>
        </w:rPr>
        <w:t>la misma</w:t>
      </w:r>
      <w:proofErr w:type="gramEnd"/>
      <w:r w:rsidRPr="00666BAC">
        <w:rPr>
          <w:rFonts w:ascii="Verdana" w:hAnsi="Verdana"/>
          <w:sz w:val="20"/>
          <w:szCs w:val="20"/>
        </w:rPr>
        <w:t xml:space="preserve"> en la evaluación de las ofertas.</w:t>
      </w:r>
    </w:p>
    <w:p w14:paraId="07A725A4" w14:textId="77777777" w:rsidR="00352E13" w:rsidRDefault="00352E13" w:rsidP="00352E13">
      <w:pPr>
        <w:spacing w:after="0" w:line="240" w:lineRule="auto"/>
        <w:ind w:left="708" w:right="616" w:firstLine="1"/>
        <w:jc w:val="both"/>
        <w:rPr>
          <w:rFonts w:ascii="Verdana" w:hAnsi="Verdana"/>
          <w:sz w:val="20"/>
          <w:szCs w:val="20"/>
        </w:rPr>
      </w:pPr>
    </w:p>
    <w:p w14:paraId="325BB523" w14:textId="77777777" w:rsidR="00352E13" w:rsidRDefault="00352E13" w:rsidP="00352E13">
      <w:pPr>
        <w:spacing w:after="0" w:line="240" w:lineRule="auto"/>
        <w:ind w:left="708" w:right="616" w:firstLine="1"/>
        <w:jc w:val="both"/>
        <w:rPr>
          <w:rFonts w:ascii="Verdana" w:hAnsi="Verdana"/>
          <w:sz w:val="20"/>
          <w:szCs w:val="20"/>
        </w:rPr>
      </w:pPr>
      <w:r w:rsidRPr="00666BAC">
        <w:rPr>
          <w:rFonts w:ascii="Verdana" w:hAnsi="Verdana"/>
          <w:sz w:val="20"/>
          <w:szCs w:val="20"/>
        </w:rPr>
        <w:t>Cuando el valor de la oferta sobre la cual la Entidad Estatal tuvo dudas sobre su valor, responde a circunstancias objetivas del oferente y de su oferta que no ponen en riesgo el cumplimiento del contrato si este es adjudicado a tal oferta, la Entidad Estatal debe continuar con su análisis en el proceso de evaluación de ofertas.</w:t>
      </w:r>
    </w:p>
    <w:p w14:paraId="0340BECD" w14:textId="77777777" w:rsidR="00352E13" w:rsidRPr="00666BAC" w:rsidRDefault="00352E13" w:rsidP="00352E13">
      <w:pPr>
        <w:spacing w:after="0" w:line="240" w:lineRule="auto"/>
        <w:ind w:left="708" w:right="616" w:firstLine="1"/>
        <w:jc w:val="both"/>
        <w:rPr>
          <w:rFonts w:ascii="Verdana" w:hAnsi="Verdana"/>
          <w:sz w:val="20"/>
          <w:szCs w:val="20"/>
        </w:rPr>
      </w:pPr>
    </w:p>
    <w:p w14:paraId="65E46073" w14:textId="77777777" w:rsidR="00352E13" w:rsidRPr="00666BAC" w:rsidRDefault="00352E13" w:rsidP="00352E13">
      <w:pPr>
        <w:spacing w:after="0" w:line="240" w:lineRule="auto"/>
        <w:ind w:left="708" w:right="616" w:firstLine="1"/>
        <w:jc w:val="both"/>
        <w:rPr>
          <w:rFonts w:ascii="Verdana" w:hAnsi="Verdana"/>
          <w:sz w:val="20"/>
          <w:szCs w:val="20"/>
        </w:rPr>
      </w:pPr>
      <w:r w:rsidRPr="00666BAC">
        <w:rPr>
          <w:rFonts w:ascii="Verdana" w:hAnsi="Verdana"/>
          <w:sz w:val="20"/>
          <w:szCs w:val="20"/>
        </w:rPr>
        <w:t xml:space="preserve">En la subasta inversa esta disposición es aplicable sobre el precio obtenido al final de </w:t>
      </w:r>
      <w:proofErr w:type="gramStart"/>
      <w:r w:rsidRPr="00666BAC">
        <w:rPr>
          <w:rFonts w:ascii="Verdana" w:hAnsi="Verdana"/>
          <w:sz w:val="20"/>
          <w:szCs w:val="20"/>
        </w:rPr>
        <w:t>la misma</w:t>
      </w:r>
      <w:proofErr w:type="gramEnd"/>
      <w:r w:rsidRPr="00666BAC">
        <w:rPr>
          <w:rFonts w:ascii="Verdana" w:hAnsi="Verdana"/>
          <w:sz w:val="20"/>
          <w:szCs w:val="20"/>
        </w:rPr>
        <w:t>”.</w:t>
      </w:r>
    </w:p>
    <w:p w14:paraId="05551727" w14:textId="77777777" w:rsidR="00352E13" w:rsidRPr="00C71D70" w:rsidRDefault="00352E13" w:rsidP="00352E13">
      <w:pPr>
        <w:spacing w:after="0" w:line="240" w:lineRule="auto"/>
        <w:ind w:left="708" w:right="616" w:firstLine="1"/>
        <w:jc w:val="both"/>
        <w:rPr>
          <w:rFonts w:ascii="Verdana" w:hAnsi="Verdana"/>
          <w:sz w:val="21"/>
          <w:szCs w:val="21"/>
        </w:rPr>
      </w:pPr>
    </w:p>
    <w:p w14:paraId="2C65ED2A" w14:textId="77777777" w:rsidR="00352E13" w:rsidRPr="00AC1339" w:rsidRDefault="00352E13" w:rsidP="00352E13">
      <w:pPr>
        <w:spacing w:after="120" w:line="276" w:lineRule="auto"/>
        <w:ind w:firstLine="708"/>
        <w:jc w:val="both"/>
        <w:rPr>
          <w:rFonts w:ascii="Verdana" w:eastAsia="Calibri" w:hAnsi="Verdana" w:cs="Arial"/>
          <w:lang w:val="es-ES"/>
        </w:rPr>
      </w:pPr>
      <w:r w:rsidRPr="00AC1339">
        <w:rPr>
          <w:rFonts w:ascii="Verdana" w:eastAsia="Calibri" w:hAnsi="Verdana" w:cs="Arial"/>
          <w:lang w:val="es-MX"/>
        </w:rPr>
        <w:t xml:space="preserve">Así pues, el artículo 2.2.1.1.2.2.4 ibidem, establece lo que debe hacer la entidad cuando el precio de una oferta parece artificialmente bajo, esto es: i) solicitar explicación al oferente, </w:t>
      </w:r>
      <w:proofErr w:type="spellStart"/>
      <w:r w:rsidRPr="00AC1339">
        <w:rPr>
          <w:rFonts w:ascii="Verdana" w:eastAsia="Calibri" w:hAnsi="Verdana" w:cs="Arial"/>
          <w:lang w:val="es-MX"/>
        </w:rPr>
        <w:t>ii</w:t>
      </w:r>
      <w:proofErr w:type="spellEnd"/>
      <w:r w:rsidRPr="00AC1339">
        <w:rPr>
          <w:rFonts w:ascii="Verdana" w:eastAsia="Calibri" w:hAnsi="Verdana" w:cs="Arial"/>
          <w:lang w:val="es-MX"/>
        </w:rPr>
        <w:t xml:space="preserve">) analizar las explicaciones del oferente, </w:t>
      </w:r>
      <w:proofErr w:type="spellStart"/>
      <w:r w:rsidRPr="00AC1339">
        <w:rPr>
          <w:rFonts w:ascii="Verdana" w:eastAsia="Calibri" w:hAnsi="Verdana" w:cs="Arial"/>
          <w:lang w:val="es-MX"/>
        </w:rPr>
        <w:t>iii</w:t>
      </w:r>
      <w:proofErr w:type="spellEnd"/>
      <w:r w:rsidRPr="00AC1339">
        <w:rPr>
          <w:rFonts w:ascii="Verdana" w:eastAsia="Calibri" w:hAnsi="Verdana" w:cs="Arial"/>
          <w:lang w:val="es-MX"/>
        </w:rPr>
        <w:t xml:space="preserve">) el responsable de la evaluación de las ofertas debe recomendar rechazar o continuar la evaluación de la oferta, y </w:t>
      </w:r>
      <w:proofErr w:type="spellStart"/>
      <w:r w:rsidRPr="00AC1339">
        <w:rPr>
          <w:rFonts w:ascii="Verdana" w:eastAsia="Calibri" w:hAnsi="Verdana" w:cs="Arial"/>
          <w:lang w:val="es-MX"/>
        </w:rPr>
        <w:t>iv</w:t>
      </w:r>
      <w:proofErr w:type="spellEnd"/>
      <w:r w:rsidRPr="00AC1339">
        <w:rPr>
          <w:rFonts w:ascii="Verdana" w:eastAsia="Calibri" w:hAnsi="Verdana" w:cs="Arial"/>
          <w:lang w:val="es-MX"/>
        </w:rPr>
        <w:t>) para la subasta inversa, lo anterior se debe hacer al finalizar el evento.</w:t>
      </w:r>
    </w:p>
    <w:p w14:paraId="5D482E5C" w14:textId="77777777" w:rsidR="00352E13" w:rsidRPr="00AC1339" w:rsidRDefault="00352E13" w:rsidP="00352E13">
      <w:pPr>
        <w:spacing w:before="120" w:line="276" w:lineRule="auto"/>
        <w:ind w:firstLine="708"/>
        <w:jc w:val="both"/>
        <w:rPr>
          <w:rFonts w:ascii="Verdana" w:eastAsia="Calibri" w:hAnsi="Verdana" w:cs="Arial"/>
        </w:rPr>
      </w:pPr>
      <w:r w:rsidRPr="00AC1339">
        <w:rPr>
          <w:rFonts w:ascii="Verdana" w:eastAsia="Calibri" w:hAnsi="Verdana" w:cs="Arial"/>
          <w:lang w:val="es-ES"/>
        </w:rPr>
        <w:t>Sin embargo, debe precisarse que el análisis de los precios de una oferta se hace en la fase de evaluación del procedimiento</w:t>
      </w:r>
      <w:r>
        <w:rPr>
          <w:rFonts w:ascii="Verdana" w:eastAsia="Calibri" w:hAnsi="Verdana" w:cs="Arial"/>
          <w:lang w:val="es-ES"/>
        </w:rPr>
        <w:t xml:space="preserve"> de selección</w:t>
      </w:r>
      <w:r w:rsidRPr="00AC1339">
        <w:rPr>
          <w:rFonts w:ascii="Verdana" w:eastAsia="Calibri" w:hAnsi="Verdana" w:cs="Arial"/>
          <w:lang w:val="es-ES"/>
        </w:rPr>
        <w:t>, que es la oportunidad para verificar, a través del comité evaluador</w:t>
      </w:r>
      <w:r w:rsidRPr="00AC1339">
        <w:rPr>
          <w:rFonts w:ascii="Verdana" w:eastAsia="Aptos" w:hAnsi="Verdana" w:cs="Times New Roman"/>
          <w:kern w:val="2"/>
          <w:vertAlign w:val="superscript"/>
          <w:lang w:val="es-MX"/>
          <w14:ligatures w14:val="standardContextual"/>
        </w:rPr>
        <w:footnoteReference w:id="2"/>
      </w:r>
      <w:r>
        <w:rPr>
          <w:rFonts w:ascii="Verdana" w:eastAsia="Calibri" w:hAnsi="Verdana" w:cs="Arial"/>
          <w:lang w:val="es-MX"/>
        </w:rPr>
        <w:t xml:space="preserve"> si se cumplen o no</w:t>
      </w:r>
      <w:r w:rsidRPr="00AC1339">
        <w:rPr>
          <w:rFonts w:ascii="Verdana" w:eastAsia="Calibri" w:hAnsi="Verdana" w:cs="Arial"/>
          <w:lang w:val="es-MX"/>
        </w:rPr>
        <w:t xml:space="preserve"> las reglas </w:t>
      </w:r>
      <w:r>
        <w:rPr>
          <w:rFonts w:ascii="Verdana" w:eastAsia="Calibri" w:hAnsi="Verdana" w:cs="Arial"/>
          <w:lang w:val="es-MX"/>
        </w:rPr>
        <w:t>de</w:t>
      </w:r>
      <w:r w:rsidRPr="00AC1339">
        <w:rPr>
          <w:rFonts w:ascii="Verdana" w:eastAsia="Calibri" w:hAnsi="Verdana" w:cs="Arial"/>
          <w:lang w:val="es-MX"/>
        </w:rPr>
        <w:t xml:space="preserve"> los pliegos de condiciones. En efecto, el objeto de la evaluación de las ofertas es comprobar que estas cumplen con los parámetros exigidos, establecer la habilitación del proponente en dicho proceso de selección y definir si, de acuerdo con la ponderación de los factores de evaluación aplicables, cuál será el que resultará adjudicatario del futuro contrato.</w:t>
      </w:r>
    </w:p>
    <w:p w14:paraId="352771EA" w14:textId="77777777" w:rsidR="00352E13" w:rsidRPr="00AC1339" w:rsidRDefault="00352E13" w:rsidP="00352E13">
      <w:pPr>
        <w:spacing w:after="120" w:line="276" w:lineRule="auto"/>
        <w:ind w:firstLine="708"/>
        <w:jc w:val="both"/>
        <w:rPr>
          <w:rFonts w:ascii="Verdana" w:eastAsia="Calibri" w:hAnsi="Verdana" w:cs="Arial"/>
          <w:highlight w:val="yellow"/>
          <w:lang w:val="es-ES"/>
        </w:rPr>
      </w:pPr>
      <w:r w:rsidRPr="00AC1339">
        <w:rPr>
          <w:rFonts w:ascii="Verdana" w:eastAsia="Calibri" w:hAnsi="Verdana" w:cs="Arial"/>
          <w:lang w:val="es-ES"/>
        </w:rPr>
        <w:t>En ese sentid</w:t>
      </w:r>
      <w:r>
        <w:rPr>
          <w:rFonts w:ascii="Verdana" w:eastAsia="Calibri" w:hAnsi="Verdana" w:cs="Arial"/>
          <w:lang w:val="es-ES"/>
        </w:rPr>
        <w:t xml:space="preserve">o, </w:t>
      </w:r>
      <w:r w:rsidRPr="00AC1339">
        <w:rPr>
          <w:rFonts w:ascii="Verdana" w:eastAsia="Calibri" w:hAnsi="Verdana" w:cs="Arial"/>
          <w:lang w:val="es-ES"/>
        </w:rPr>
        <w:t>en la evaluación</w:t>
      </w:r>
      <w:r>
        <w:rPr>
          <w:rFonts w:ascii="Verdana" w:eastAsia="Calibri" w:hAnsi="Verdana" w:cs="Arial"/>
          <w:lang w:val="es-ES"/>
        </w:rPr>
        <w:t xml:space="preserve"> que se realiza antes de la adjudicación del contrato</w:t>
      </w:r>
      <w:r w:rsidRPr="00AC1339">
        <w:rPr>
          <w:rFonts w:ascii="Verdana" w:eastAsia="Calibri" w:hAnsi="Verdana" w:cs="Arial"/>
          <w:lang w:val="es-ES"/>
        </w:rPr>
        <w:t xml:space="preserve"> la entidad debe verificar la oferta y su componente económico, para determinar si corresponde con el resultado del análisis de la oferta en el estudio de mercado, o si los precios tienen un componente atípico que no se identificó al observar el comportamiento de los proveedores d</w:t>
      </w:r>
      <w:r>
        <w:rPr>
          <w:rFonts w:ascii="Verdana" w:eastAsia="Calibri" w:hAnsi="Verdana" w:cs="Arial"/>
          <w:lang w:val="es-ES"/>
        </w:rPr>
        <w:t xml:space="preserve">el bien, obra o servicio que </w:t>
      </w:r>
      <w:r w:rsidRPr="00AC1339">
        <w:rPr>
          <w:rFonts w:ascii="Verdana" w:eastAsia="Calibri" w:hAnsi="Verdana" w:cs="Arial"/>
          <w:lang w:val="es-ES"/>
        </w:rPr>
        <w:t>pretende contratar</w:t>
      </w:r>
      <w:r>
        <w:rPr>
          <w:rFonts w:ascii="Verdana" w:eastAsia="Calibri" w:hAnsi="Verdana" w:cs="Arial"/>
          <w:lang w:val="es-ES"/>
        </w:rPr>
        <w:t>se</w:t>
      </w:r>
      <w:r w:rsidRPr="00AC1339">
        <w:rPr>
          <w:rFonts w:ascii="Verdana" w:eastAsia="Calibri" w:hAnsi="Verdana" w:cs="Arial"/>
          <w:lang w:val="es-ES"/>
        </w:rPr>
        <w:t xml:space="preserve">. En ese caso, la entidad podrá identificar las ofertas con precios que parecen artificialmente bajos, y seguir el procedimiento del Decreto 1082 de 2015. Concluido dicho análisis, es posible que a partir de las explicaciones ofrecidas por el proponente se determine que el valor responde a circunstancias objetivas que le permiten cumplir el contrato, sin que con ello </w:t>
      </w:r>
      <w:r w:rsidRPr="00AC1339">
        <w:rPr>
          <w:rFonts w:ascii="Verdana" w:eastAsia="Calibri" w:hAnsi="Verdana" w:cs="Arial"/>
          <w:lang w:val="es-ES"/>
        </w:rPr>
        <w:lastRenderedPageBreak/>
        <w:t>termine la evaluación, porque el Decreto 1082 de 2015 señala que la entidad puede continuar el análisis en esta fase de evaluación.</w:t>
      </w:r>
    </w:p>
    <w:p w14:paraId="4549E677" w14:textId="77777777" w:rsidR="00352E13" w:rsidRDefault="00352E13" w:rsidP="00352E13">
      <w:pPr>
        <w:spacing w:after="120" w:line="276" w:lineRule="auto"/>
        <w:ind w:firstLine="708"/>
        <w:jc w:val="both"/>
        <w:rPr>
          <w:rFonts w:ascii="Verdana" w:eastAsia="Times New Roman" w:hAnsi="Verdana" w:cs="Arial"/>
          <w:lang w:val="es-ES"/>
        </w:rPr>
      </w:pPr>
      <w:r w:rsidRPr="00AC1339">
        <w:rPr>
          <w:rFonts w:ascii="Verdana" w:eastAsia="Times New Roman" w:hAnsi="Verdana" w:cs="Arial"/>
          <w:lang w:val="es-ES"/>
        </w:rPr>
        <w:t xml:space="preserve">De esta forma, y con el objetivo de brindar herramientas que orienten a las Entidades Estatales en este asunto, la Agencia Nacional de Contratación Pública – Colombia Compra Eficiente el 16 de diciembre de 2024, actualizó la “Guía para el manejo de ofertas artificialmente bajas en Procesos de Contratación”, en la que se señalan no sólo las posibles causas y consecuencias de ofertas artificialmente bajas, sino que también se relaciona a modo de sugerencia dos </w:t>
      </w:r>
      <w:r>
        <w:rPr>
          <w:rFonts w:ascii="Verdana" w:eastAsia="Times New Roman" w:hAnsi="Verdana" w:cs="Arial"/>
          <w:lang w:val="es-ES"/>
        </w:rPr>
        <w:t>herramientas</w:t>
      </w:r>
      <w:r w:rsidRPr="00AC1339">
        <w:rPr>
          <w:rFonts w:ascii="Verdana" w:eastAsia="Times New Roman" w:hAnsi="Verdana" w:cs="Arial"/>
          <w:lang w:val="es-ES"/>
        </w:rPr>
        <w:t xml:space="preserve"> que podrían aplicar las entidades para identificarlas y manejarlas. Estas son: i) la comparación absoluta y; </w:t>
      </w:r>
      <w:proofErr w:type="spellStart"/>
      <w:r w:rsidRPr="00AC1339">
        <w:rPr>
          <w:rFonts w:ascii="Verdana" w:eastAsia="Times New Roman" w:hAnsi="Verdana" w:cs="Arial"/>
          <w:lang w:val="es-ES"/>
        </w:rPr>
        <w:t>ii</w:t>
      </w:r>
      <w:proofErr w:type="spellEnd"/>
      <w:r w:rsidRPr="00AC1339">
        <w:rPr>
          <w:rFonts w:ascii="Verdana" w:eastAsia="Times New Roman" w:hAnsi="Verdana" w:cs="Arial"/>
          <w:lang w:val="es-ES"/>
        </w:rPr>
        <w:t>) la comparación relativa.</w:t>
      </w:r>
      <w:r>
        <w:rPr>
          <w:rFonts w:ascii="Verdana" w:eastAsia="Times New Roman" w:hAnsi="Verdana" w:cs="Arial"/>
          <w:lang w:val="es-ES"/>
        </w:rPr>
        <w:t xml:space="preserve"> </w:t>
      </w:r>
    </w:p>
    <w:p w14:paraId="3F1B2F82" w14:textId="7351081D" w:rsidR="00352E13" w:rsidRDefault="00352E13" w:rsidP="00352E13">
      <w:pPr>
        <w:spacing w:after="120" w:line="276" w:lineRule="auto"/>
        <w:ind w:firstLine="708"/>
        <w:jc w:val="both"/>
        <w:rPr>
          <w:rFonts w:ascii="Verdana" w:eastAsia="Times New Roman" w:hAnsi="Verdana" w:cs="Arial"/>
          <w:lang w:val="es-ES"/>
        </w:rPr>
      </w:pPr>
      <w:r>
        <w:rPr>
          <w:rFonts w:ascii="Verdana" w:eastAsia="Times New Roman" w:hAnsi="Verdana" w:cs="Arial"/>
          <w:lang w:val="es-ES"/>
        </w:rPr>
        <w:t xml:space="preserve">Es importante precisar que respecto de esas dos herramientas, la Guía señala que </w:t>
      </w:r>
      <w:r w:rsidRPr="00740FB0">
        <w:rPr>
          <w:rFonts w:ascii="Verdana" w:eastAsia="Times New Roman" w:hAnsi="Verdana" w:cs="Arial"/>
          <w:lang w:val="es-ES"/>
        </w:rPr>
        <w:t>se deben aplicar a todas las ofertas a evaluar, sin excepciones. Pero para identificar la oferta con precios artificialmente bajos no siempre se requieren las demás ofertas, como en la comparación absoluta, donde cada oferta se analiza respecto del valor señalado en el estudio del sector, sin incluir las otras ofertas del procedimiento. Por otra parte, en la comparación relativa, que se sugiere utilizarla cuando se reciben 5 o más ofertas</w:t>
      </w:r>
      <w:r w:rsidR="002D553E">
        <w:rPr>
          <w:rFonts w:ascii="Verdana" w:eastAsia="Times New Roman" w:hAnsi="Verdana" w:cs="Arial"/>
          <w:lang w:val="es-ES"/>
        </w:rPr>
        <w:t>.</w:t>
      </w:r>
    </w:p>
    <w:p w14:paraId="61A02C88" w14:textId="77777777" w:rsidR="00F80F0B" w:rsidRPr="00D40E49" w:rsidRDefault="00F80F0B" w:rsidP="00F80F0B">
      <w:pPr>
        <w:spacing w:after="120" w:line="276" w:lineRule="auto"/>
        <w:ind w:firstLine="708"/>
        <w:jc w:val="both"/>
        <w:rPr>
          <w:rFonts w:ascii="Verdana" w:eastAsia="Times New Roman" w:hAnsi="Verdana" w:cs="Arial"/>
          <w:lang w:val="es-ES"/>
        </w:rPr>
      </w:pPr>
      <w:r>
        <w:rPr>
          <w:rFonts w:ascii="Verdana" w:eastAsia="Times New Roman" w:hAnsi="Verdana" w:cs="Arial"/>
          <w:lang w:val="es-ES"/>
        </w:rPr>
        <w:t xml:space="preserve">Es importante precisar que dentro de la Guía para el manejo de ofertas artificialmente bajas en Procesos de Contratación” efectúa un análisis especial en torno a la subasta inversa, la cual puede ser </w:t>
      </w:r>
      <w:r w:rsidRPr="001E5EA5">
        <w:rPr>
          <w:rFonts w:ascii="Verdana" w:eastAsia="Times New Roman" w:hAnsi="Verdana" w:cs="Arial"/>
        </w:rPr>
        <w:t>ordinaria y a la inversa.</w:t>
      </w:r>
      <w:r>
        <w:rPr>
          <w:rFonts w:ascii="Verdana" w:eastAsia="Times New Roman" w:hAnsi="Verdana" w:cs="Arial"/>
        </w:rPr>
        <w:t xml:space="preserve"> La primera consiste en que </w:t>
      </w:r>
      <w:r w:rsidRPr="001E5EA5">
        <w:rPr>
          <w:rFonts w:ascii="Verdana" w:eastAsia="Times New Roman" w:hAnsi="Verdana" w:cs="Arial"/>
        </w:rPr>
        <w:t>los compradores compiten para obtener un bien o servicio, ofreciend</w:t>
      </w:r>
      <w:r>
        <w:rPr>
          <w:rFonts w:ascii="Verdana" w:eastAsia="Times New Roman" w:hAnsi="Verdana" w:cs="Arial"/>
        </w:rPr>
        <w:t xml:space="preserve">o precios cada vez más altos, mediante </w:t>
      </w:r>
      <w:r w:rsidRPr="001E5EA5">
        <w:rPr>
          <w:rFonts w:ascii="Verdana" w:eastAsia="Times New Roman" w:hAnsi="Verdana" w:cs="Arial"/>
        </w:rPr>
        <w:t xml:space="preserve">lances, </w:t>
      </w:r>
      <w:r>
        <w:rPr>
          <w:rFonts w:ascii="Verdana" w:eastAsia="Times New Roman" w:hAnsi="Verdana" w:cs="Arial"/>
        </w:rPr>
        <w:t xml:space="preserve">como es el caso de los procesos de contratación de enajenación </w:t>
      </w:r>
      <w:r w:rsidRPr="001E5EA5">
        <w:rPr>
          <w:rFonts w:ascii="Verdana" w:eastAsia="Times New Roman" w:hAnsi="Verdana" w:cs="Arial"/>
        </w:rPr>
        <w:t>directa a través de subasta pública mediante la modalidad de selecció</w:t>
      </w:r>
      <w:r>
        <w:rPr>
          <w:rFonts w:ascii="Verdana" w:eastAsia="Times New Roman" w:hAnsi="Verdana" w:cs="Arial"/>
        </w:rPr>
        <w:t xml:space="preserve">n abreviada, de acuerdo con lo prescrito en el artículo </w:t>
      </w:r>
      <w:r w:rsidRPr="001E5EA5">
        <w:rPr>
          <w:rFonts w:ascii="Verdana" w:eastAsia="Times New Roman" w:hAnsi="Verdana" w:cs="Arial"/>
        </w:rPr>
        <w:t xml:space="preserve">2.2.1.2.2.2.2 del Decreto 1082 </w:t>
      </w:r>
      <w:r>
        <w:rPr>
          <w:rFonts w:ascii="Verdana" w:eastAsia="Times New Roman" w:hAnsi="Verdana" w:cs="Arial"/>
        </w:rPr>
        <w:t>de 1025</w:t>
      </w:r>
      <w:r>
        <w:rPr>
          <w:rStyle w:val="Refdenotaalpie"/>
          <w:rFonts w:ascii="Verdana" w:eastAsia="Times New Roman" w:hAnsi="Verdana" w:cs="Arial"/>
        </w:rPr>
        <w:footnoteReference w:id="3"/>
      </w:r>
      <w:r>
        <w:rPr>
          <w:rFonts w:ascii="Verdana" w:eastAsia="Times New Roman" w:hAnsi="Verdana" w:cs="Arial"/>
        </w:rPr>
        <w:t xml:space="preserve">. El segundo, es la subasta inversa que consiste en que los vendedores compiten para obtener </w:t>
      </w:r>
      <w:r w:rsidRPr="001E5EA5">
        <w:rPr>
          <w:rFonts w:ascii="Verdana" w:eastAsia="Times New Roman" w:hAnsi="Verdana" w:cs="Arial"/>
        </w:rPr>
        <w:t>un negocio del comprador, y para ello, los lances realizados sobre la oferta económica tienen como objetivo disminuir los precios</w:t>
      </w:r>
      <w:r>
        <w:rPr>
          <w:rFonts w:ascii="Verdana" w:eastAsia="Times New Roman" w:hAnsi="Verdana" w:cs="Arial"/>
        </w:rPr>
        <w:t xml:space="preserve"> de los bienes y servicios que se están ofertando</w:t>
      </w:r>
      <w:r w:rsidRPr="001E5EA5">
        <w:rPr>
          <w:rFonts w:ascii="Verdana" w:eastAsia="Times New Roman" w:hAnsi="Verdana" w:cs="Arial"/>
        </w:rPr>
        <w:t>. E</w:t>
      </w:r>
      <w:r>
        <w:rPr>
          <w:rFonts w:ascii="Verdana" w:eastAsia="Times New Roman" w:hAnsi="Verdana" w:cs="Arial"/>
        </w:rPr>
        <w:t xml:space="preserve">jemplo de este escenario, es el procedimiento de la selección abreviada mediante subasta inversa, en la que se busca </w:t>
      </w:r>
      <w:r w:rsidRPr="001E5EA5">
        <w:rPr>
          <w:rFonts w:ascii="Verdana" w:eastAsia="Times New Roman" w:hAnsi="Verdana" w:cs="Arial"/>
        </w:rPr>
        <w:t>la adquisición o s</w:t>
      </w:r>
      <w:r>
        <w:rPr>
          <w:rFonts w:ascii="Verdana" w:eastAsia="Times New Roman" w:hAnsi="Verdana" w:cs="Arial"/>
        </w:rPr>
        <w:t xml:space="preserve">uministro de bienes y servicios </w:t>
      </w:r>
      <w:r w:rsidRPr="001E5EA5">
        <w:rPr>
          <w:rFonts w:ascii="Verdana" w:eastAsia="Times New Roman" w:hAnsi="Verdana" w:cs="Arial"/>
        </w:rPr>
        <w:t xml:space="preserve">de características técnicas uniformes y de </w:t>
      </w:r>
      <w:r w:rsidRPr="001E5EA5">
        <w:rPr>
          <w:rFonts w:ascii="Verdana" w:eastAsia="Times New Roman" w:hAnsi="Verdana" w:cs="Arial"/>
        </w:rPr>
        <w:lastRenderedPageBreak/>
        <w:t xml:space="preserve">común utilización por parte de las Entidades Estatales, </w:t>
      </w:r>
      <w:r>
        <w:rPr>
          <w:rFonts w:ascii="Verdana" w:eastAsia="Times New Roman" w:hAnsi="Verdana" w:cs="Arial"/>
        </w:rPr>
        <w:t xml:space="preserve">que está regulada en el artículo </w:t>
      </w:r>
      <w:r w:rsidRPr="001E5EA5">
        <w:rPr>
          <w:rFonts w:ascii="Verdana" w:eastAsia="Times New Roman" w:hAnsi="Verdana" w:cs="Arial"/>
        </w:rPr>
        <w:t>2</w:t>
      </w:r>
      <w:r>
        <w:rPr>
          <w:rFonts w:ascii="Verdana" w:eastAsia="Times New Roman" w:hAnsi="Verdana" w:cs="Arial"/>
        </w:rPr>
        <w:t>, numeral 2, literal a)</w:t>
      </w:r>
      <w:r w:rsidRPr="001E5EA5">
        <w:rPr>
          <w:rFonts w:ascii="Verdana" w:eastAsia="Times New Roman" w:hAnsi="Verdana" w:cs="Arial"/>
        </w:rPr>
        <w:t xml:space="preserve"> de la Ley 1150 de 2007, y el artículo 2.2.1.2.1.2.2 del Decreto 1082 de 2015</w:t>
      </w:r>
      <w:r>
        <w:rPr>
          <w:rStyle w:val="Refdenotaalpie"/>
          <w:rFonts w:ascii="Verdana" w:eastAsia="Times New Roman" w:hAnsi="Verdana" w:cs="Arial"/>
        </w:rPr>
        <w:footnoteReference w:id="4"/>
      </w:r>
      <w:r w:rsidRPr="001E5EA5">
        <w:rPr>
          <w:rFonts w:ascii="Verdana" w:eastAsia="Times New Roman" w:hAnsi="Verdana" w:cs="Arial"/>
        </w:rPr>
        <w:t>.</w:t>
      </w:r>
    </w:p>
    <w:p w14:paraId="58D94136" w14:textId="77777777" w:rsidR="00F80F0B" w:rsidRDefault="00F80F0B" w:rsidP="00F80F0B">
      <w:pPr>
        <w:spacing w:after="0" w:line="276" w:lineRule="auto"/>
        <w:ind w:firstLine="709"/>
        <w:jc w:val="both"/>
        <w:rPr>
          <w:rFonts w:ascii="Verdana" w:eastAsia="Times New Roman" w:hAnsi="Verdana" w:cs="Arial"/>
        </w:rPr>
      </w:pPr>
      <w:r>
        <w:rPr>
          <w:rFonts w:ascii="Verdana" w:eastAsia="Times New Roman" w:hAnsi="Verdana" w:cs="Arial"/>
          <w:lang w:val="es-ES"/>
        </w:rPr>
        <w:t xml:space="preserve">Dentro de la subasta inversa </w:t>
      </w:r>
      <w:r w:rsidRPr="001E5EA5">
        <w:rPr>
          <w:rFonts w:ascii="Verdana" w:eastAsia="Times New Roman" w:hAnsi="Verdana" w:cs="Arial"/>
        </w:rPr>
        <w:t xml:space="preserve">el único criterio de selección es el precio, </w:t>
      </w:r>
      <w:r>
        <w:rPr>
          <w:rFonts w:ascii="Verdana" w:eastAsia="Times New Roman" w:hAnsi="Verdana" w:cs="Arial"/>
        </w:rPr>
        <w:t>que se origina de los lances que son manifestación de pujas competitivas, en las que los procesos terminen en pre</w:t>
      </w:r>
      <w:r w:rsidRPr="001E5EA5">
        <w:rPr>
          <w:rFonts w:ascii="Verdana" w:eastAsia="Times New Roman" w:hAnsi="Verdana" w:cs="Arial"/>
        </w:rPr>
        <w:t xml:space="preserve">cios u ofertas bajas. </w:t>
      </w:r>
      <w:r>
        <w:rPr>
          <w:rFonts w:ascii="Verdana" w:eastAsia="Times New Roman" w:hAnsi="Verdana" w:cs="Arial"/>
        </w:rPr>
        <w:t xml:space="preserve">No obstante, dichas ofertas dentro de la audiencia de subasta </w:t>
      </w:r>
      <w:r w:rsidRPr="001E5EA5">
        <w:rPr>
          <w:rFonts w:ascii="Verdana" w:eastAsia="Times New Roman" w:hAnsi="Verdana" w:cs="Arial"/>
        </w:rPr>
        <w:t xml:space="preserve">no siempre deben </w:t>
      </w:r>
      <w:r>
        <w:rPr>
          <w:rFonts w:ascii="Verdana" w:eastAsia="Times New Roman" w:hAnsi="Verdana" w:cs="Arial"/>
        </w:rPr>
        <w:t xml:space="preserve">interpretarse como artificialmente bajas. En torno a este proceso de contratación, la Guía recomienda: </w:t>
      </w:r>
    </w:p>
    <w:p w14:paraId="21A78C5C" w14:textId="77777777" w:rsidR="00F80F0B" w:rsidRDefault="00F80F0B" w:rsidP="00F80F0B">
      <w:pPr>
        <w:spacing w:after="120" w:line="240" w:lineRule="auto"/>
        <w:jc w:val="both"/>
        <w:rPr>
          <w:rFonts w:ascii="Verdana" w:eastAsia="Times New Roman" w:hAnsi="Verdana" w:cs="Arial"/>
        </w:rPr>
      </w:pPr>
    </w:p>
    <w:p w14:paraId="33C073CC" w14:textId="77777777" w:rsidR="00F80F0B" w:rsidRPr="009653FC" w:rsidRDefault="00F80F0B" w:rsidP="00F80F0B">
      <w:pPr>
        <w:pStyle w:val="Prrafodelista"/>
        <w:numPr>
          <w:ilvl w:val="0"/>
          <w:numId w:val="19"/>
        </w:numPr>
        <w:spacing w:after="0" w:line="240" w:lineRule="auto"/>
        <w:ind w:right="709"/>
        <w:jc w:val="both"/>
        <w:rPr>
          <w:rFonts w:ascii="Verdana" w:eastAsia="Times New Roman" w:hAnsi="Verdana" w:cs="Arial"/>
          <w:sz w:val="21"/>
          <w:szCs w:val="21"/>
        </w:rPr>
      </w:pPr>
      <w:r w:rsidRPr="009653FC">
        <w:rPr>
          <w:rFonts w:ascii="Verdana" w:eastAsia="Times New Roman" w:hAnsi="Verdana" w:cs="Arial"/>
          <w:sz w:val="21"/>
          <w:szCs w:val="21"/>
        </w:rPr>
        <w:t xml:space="preserve">Verificar la oferta y su componente económico, para así determinar si los precios tienen un componente extraño que no fue posible determinar al momento de realizar el Estudio del sector, en relación con los proveedores del bien, obra o servicio que se pretende contratar. </w:t>
      </w:r>
    </w:p>
    <w:p w14:paraId="792732CC" w14:textId="77777777" w:rsidR="00F80F0B" w:rsidRDefault="00F80F0B" w:rsidP="00F80F0B">
      <w:pPr>
        <w:pStyle w:val="Prrafodelista"/>
        <w:numPr>
          <w:ilvl w:val="0"/>
          <w:numId w:val="19"/>
        </w:numPr>
        <w:spacing w:after="0" w:line="240" w:lineRule="auto"/>
        <w:ind w:right="709"/>
        <w:jc w:val="both"/>
        <w:rPr>
          <w:rFonts w:ascii="Verdana" w:eastAsia="Times New Roman" w:hAnsi="Verdana" w:cs="Arial"/>
          <w:sz w:val="21"/>
          <w:szCs w:val="21"/>
        </w:rPr>
      </w:pPr>
      <w:r w:rsidRPr="009653FC">
        <w:rPr>
          <w:rFonts w:ascii="Verdana" w:eastAsia="Times New Roman" w:hAnsi="Verdana" w:cs="Arial"/>
          <w:sz w:val="21"/>
          <w:szCs w:val="21"/>
        </w:rPr>
        <w:t xml:space="preserve">Comparar el valor de cada oferta con el costo estimado de la provisión del bien o servicio de acuerdo con el Estudio del Sector. La verificación de ofertas artificialmente bajas puede sustentarse en información adicional a la utilizada en el Estudio del Sector, como precios de fabricantes y otros factores económicos relevantes. </w:t>
      </w:r>
    </w:p>
    <w:p w14:paraId="6FD4A635" w14:textId="77777777" w:rsidR="00F80F0B" w:rsidRPr="009653FC" w:rsidRDefault="00F80F0B" w:rsidP="00F80F0B">
      <w:pPr>
        <w:pStyle w:val="Prrafodelista"/>
        <w:numPr>
          <w:ilvl w:val="0"/>
          <w:numId w:val="19"/>
        </w:numPr>
        <w:spacing w:after="0" w:line="240" w:lineRule="auto"/>
        <w:ind w:right="709"/>
        <w:jc w:val="both"/>
        <w:rPr>
          <w:rFonts w:ascii="Verdana" w:eastAsia="Times New Roman" w:hAnsi="Verdana" w:cs="Arial"/>
          <w:sz w:val="21"/>
          <w:szCs w:val="21"/>
        </w:rPr>
      </w:pPr>
      <w:r w:rsidRPr="009653FC">
        <w:rPr>
          <w:rFonts w:ascii="Verdana" w:eastAsia="Times New Roman" w:hAnsi="Verdana" w:cs="Arial"/>
          <w:sz w:val="21"/>
          <w:szCs w:val="21"/>
          <w:lang w:val="es-CO"/>
        </w:rPr>
        <w:t xml:space="preserve">Solicitar explicaciones a los </w:t>
      </w:r>
      <w:proofErr w:type="spellStart"/>
      <w:r w:rsidRPr="009653FC">
        <w:rPr>
          <w:rFonts w:ascii="Verdana" w:eastAsia="Times New Roman" w:hAnsi="Verdana" w:cs="Arial"/>
          <w:sz w:val="21"/>
          <w:szCs w:val="21"/>
          <w:lang w:val="es-CO"/>
        </w:rPr>
        <w:t>pr</w:t>
      </w:r>
      <w:proofErr w:type="spellEnd"/>
      <w:r w:rsidRPr="009653FC">
        <w:rPr>
          <w:rFonts w:ascii="Verdana" w:eastAsia="Times New Roman" w:hAnsi="Verdana" w:cs="Arial"/>
          <w:sz w:val="21"/>
          <w:szCs w:val="21"/>
        </w:rPr>
        <w:t>oponentes cuyas ofertas sean me</w:t>
      </w:r>
      <w:proofErr w:type="spellStart"/>
      <w:r w:rsidRPr="009653FC">
        <w:rPr>
          <w:rFonts w:ascii="Verdana" w:eastAsia="Times New Roman" w:hAnsi="Verdana" w:cs="Arial"/>
          <w:sz w:val="21"/>
          <w:szCs w:val="21"/>
          <w:lang w:val="es-CO"/>
        </w:rPr>
        <w:t>nores</w:t>
      </w:r>
      <w:proofErr w:type="spellEnd"/>
      <w:r w:rsidRPr="009653FC">
        <w:rPr>
          <w:rFonts w:ascii="Verdana" w:eastAsia="Times New Roman" w:hAnsi="Verdana" w:cs="Arial"/>
          <w:sz w:val="21"/>
          <w:szCs w:val="21"/>
          <w:lang w:val="es-CO"/>
        </w:rPr>
        <w:t xml:space="preserve"> en un 20%, o un mayor porcentaje, al costo total estimado por la Entidad Estatal (comparación absoluta, ver numeral 2.1.1). </w:t>
      </w:r>
    </w:p>
    <w:p w14:paraId="4BF920E3" w14:textId="77777777" w:rsidR="00F80F0B" w:rsidRPr="009653FC" w:rsidRDefault="00F80F0B" w:rsidP="00F80F0B">
      <w:pPr>
        <w:pStyle w:val="Prrafodelista"/>
        <w:numPr>
          <w:ilvl w:val="0"/>
          <w:numId w:val="19"/>
        </w:numPr>
        <w:spacing w:after="0" w:line="240" w:lineRule="auto"/>
        <w:ind w:right="709"/>
        <w:jc w:val="both"/>
        <w:rPr>
          <w:rFonts w:ascii="Verdana" w:eastAsia="Times New Roman" w:hAnsi="Verdana" w:cs="Arial"/>
          <w:sz w:val="21"/>
          <w:szCs w:val="21"/>
        </w:rPr>
      </w:pPr>
      <w:r w:rsidRPr="009653FC">
        <w:rPr>
          <w:rFonts w:ascii="Verdana" w:eastAsia="Times New Roman" w:hAnsi="Verdana" w:cs="Arial"/>
          <w:sz w:val="21"/>
          <w:szCs w:val="21"/>
          <w:lang w:val="es-CO"/>
        </w:rPr>
        <w:t>Analizar la información remitida por el proponente y considerar el rechazo de las ofertas que cumplan con alguna de las condiciones establecidas en el numeral 4.2 de la presente Guía</w:t>
      </w:r>
      <w:r>
        <w:rPr>
          <w:rStyle w:val="Refdenotaalpie"/>
          <w:rFonts w:ascii="Verdana" w:eastAsia="Times New Roman" w:hAnsi="Verdana" w:cs="Arial"/>
          <w:sz w:val="21"/>
          <w:szCs w:val="21"/>
          <w:lang w:val="es-CO"/>
        </w:rPr>
        <w:footnoteReference w:id="5"/>
      </w:r>
      <w:r w:rsidRPr="009653FC">
        <w:rPr>
          <w:rFonts w:ascii="Verdana" w:eastAsia="Times New Roman" w:hAnsi="Verdana" w:cs="Arial"/>
          <w:sz w:val="21"/>
          <w:szCs w:val="21"/>
          <w:lang w:val="es-CO"/>
        </w:rPr>
        <w:t xml:space="preserve">. </w:t>
      </w:r>
    </w:p>
    <w:p w14:paraId="2F6F7204" w14:textId="77777777" w:rsidR="00F80F0B" w:rsidRPr="001E5EA5" w:rsidRDefault="00F80F0B" w:rsidP="00F80F0B">
      <w:pPr>
        <w:spacing w:after="120" w:line="240" w:lineRule="auto"/>
        <w:ind w:firstLine="708"/>
        <w:jc w:val="both"/>
        <w:rPr>
          <w:rFonts w:ascii="Verdana" w:eastAsia="Times New Roman" w:hAnsi="Verdana" w:cs="Arial"/>
        </w:rPr>
      </w:pPr>
    </w:p>
    <w:p w14:paraId="6175DD37" w14:textId="77777777" w:rsidR="00F80F0B" w:rsidRPr="00527F01" w:rsidRDefault="00F80F0B" w:rsidP="00F80F0B">
      <w:pPr>
        <w:spacing w:after="120" w:line="276" w:lineRule="auto"/>
        <w:ind w:firstLine="708"/>
        <w:jc w:val="both"/>
        <w:rPr>
          <w:rFonts w:ascii="Verdana" w:hAnsi="Verdana"/>
        </w:rPr>
      </w:pPr>
      <w:r w:rsidRPr="00527F01">
        <w:rPr>
          <w:rFonts w:ascii="Verdana" w:eastAsia="Times New Roman" w:hAnsi="Verdana" w:cs="Arial"/>
        </w:rPr>
        <w:t>En este aspecto, también se destaca la importancia de hacer un análisis cuidadoso de la sostenibilidad de las ofertas</w:t>
      </w:r>
      <w:r>
        <w:rPr>
          <w:rFonts w:ascii="Verdana" w:eastAsia="Times New Roman" w:hAnsi="Verdana" w:cs="Arial"/>
        </w:rPr>
        <w:t xml:space="preserve"> en dichos procesos de contratación</w:t>
      </w:r>
      <w:r w:rsidRPr="00527F01">
        <w:rPr>
          <w:rFonts w:ascii="Verdana" w:eastAsia="Times New Roman" w:hAnsi="Verdana" w:cs="Arial"/>
        </w:rPr>
        <w:t xml:space="preserve">. Ahora bien, en el evento en que los lances presentados en la audiencia del proceso de subasta inversa se evidencian que son precios artificialmente bajos, debe tener en cuenta lo siguiente: i) requerir al oferente con relación a los precios ofertados que parecen bajos, con el fin de que sustente las razones o motivos del valor; </w:t>
      </w:r>
      <w:proofErr w:type="spellStart"/>
      <w:r w:rsidRPr="00527F01">
        <w:rPr>
          <w:rFonts w:ascii="Verdana" w:eastAsia="Times New Roman" w:hAnsi="Verdana" w:cs="Arial"/>
        </w:rPr>
        <w:t>ii</w:t>
      </w:r>
      <w:proofErr w:type="spellEnd"/>
      <w:r w:rsidRPr="00527F01">
        <w:rPr>
          <w:rFonts w:ascii="Verdana" w:eastAsia="Times New Roman" w:hAnsi="Verdana" w:cs="Arial"/>
        </w:rPr>
        <w:t>) a</w:t>
      </w:r>
      <w:r w:rsidRPr="00527F01">
        <w:rPr>
          <w:rFonts w:ascii="Verdana" w:hAnsi="Verdana"/>
        </w:rPr>
        <w:t xml:space="preserve">nalizar las explicaciones del oferente, para verificar si están sustentados en los valores ofrecidos y si son suficientes para ejecutar el contrato; </w:t>
      </w:r>
      <w:proofErr w:type="spellStart"/>
      <w:r w:rsidRPr="00527F01">
        <w:rPr>
          <w:rFonts w:ascii="Verdana" w:hAnsi="Verdana"/>
        </w:rPr>
        <w:t>iii</w:t>
      </w:r>
      <w:proofErr w:type="spellEnd"/>
      <w:r w:rsidRPr="00527F01">
        <w:rPr>
          <w:rFonts w:ascii="Verdana" w:hAnsi="Verdana"/>
        </w:rPr>
        <w:t xml:space="preserve">) definir si continúa con la evaluación de la oferta, en el sentido de </w:t>
      </w:r>
      <w:r w:rsidRPr="00527F01">
        <w:rPr>
          <w:rFonts w:ascii="Verdana" w:hAnsi="Verdana"/>
        </w:rPr>
        <w:lastRenderedPageBreak/>
        <w:t>que la explicación demuestra la capacidad del proponente para cumplir adecuadamente con el contrato con los precios ofertados o, si por el contrario, rechaza la oferta porque no fue sustentada</w:t>
      </w:r>
      <w:r>
        <w:rPr>
          <w:rStyle w:val="Refdenotaalpie"/>
          <w:rFonts w:ascii="Verdana" w:hAnsi="Verdana"/>
        </w:rPr>
        <w:footnoteReference w:id="6"/>
      </w:r>
      <w:r w:rsidRPr="00527F01">
        <w:rPr>
          <w:rFonts w:ascii="Verdana" w:hAnsi="Verdana"/>
        </w:rPr>
        <w:t xml:space="preserve">. Esto debe realizarse al finalizar el evento de subasta, de acuerdo con el precio ofrecido al final de esta. </w:t>
      </w:r>
    </w:p>
    <w:p w14:paraId="4CC71819" w14:textId="77777777" w:rsidR="00DE5679" w:rsidRPr="00527F01" w:rsidRDefault="00DE5679" w:rsidP="00DE5679">
      <w:pPr>
        <w:spacing w:after="120" w:line="276" w:lineRule="auto"/>
        <w:ind w:firstLine="708"/>
        <w:jc w:val="both"/>
        <w:rPr>
          <w:rFonts w:ascii="Verdana" w:eastAsia="Calibri" w:hAnsi="Verdana" w:cs="Arial"/>
        </w:rPr>
      </w:pPr>
      <w:r w:rsidRPr="00527F01">
        <w:rPr>
          <w:rFonts w:ascii="Verdana" w:eastAsia="Calibri" w:hAnsi="Verdana" w:cs="Arial"/>
        </w:rPr>
        <w:t xml:space="preserve">Finalmente, debe advertirse que el análisis requerido para resolver problemas específicos en torno a la verificación de ofertas que puedan resultar artificialmente bajas debe ser realizado por las Entidades.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0CF45F76" w14:textId="77777777" w:rsidR="00DE5679" w:rsidRDefault="00DE5679" w:rsidP="00692094">
      <w:pPr>
        <w:spacing w:after="120" w:line="276" w:lineRule="auto"/>
        <w:ind w:firstLine="708"/>
        <w:jc w:val="both"/>
        <w:rPr>
          <w:rFonts w:ascii="Verdana" w:hAnsi="Verdana"/>
        </w:rPr>
      </w:pPr>
      <w:r w:rsidRPr="00E61635">
        <w:rPr>
          <w:rFonts w:ascii="Verdana" w:hAnsi="Verdana"/>
        </w:rPr>
        <w:t xml:space="preserve">Dentro de este marco, corresponde a cada </w:t>
      </w:r>
      <w:r w:rsidRPr="005F3B31">
        <w:rPr>
          <w:rFonts w:ascii="Verdana" w:hAnsi="Verdana"/>
        </w:rPr>
        <w:t>entidad pública</w:t>
      </w:r>
      <w:r w:rsidRPr="00E61635">
        <w:rPr>
          <w:rFonts w:ascii="Verdana" w:hAnsi="Verdana"/>
        </w:rPr>
        <w:t>, en ejercicio de su competencia y previa valoración de los elementos fácticos y jurídicos, así como de las disposiciones legales mencionadas,</w:t>
      </w:r>
      <w:r>
        <w:rPr>
          <w:rFonts w:ascii="Verdana" w:hAnsi="Verdana"/>
        </w:rPr>
        <w:t xml:space="preserve"> en la fase de evaluación analizar los precios de las ofertas recibidas. </w:t>
      </w:r>
      <w:r w:rsidRPr="00E61635">
        <w:rPr>
          <w:rFonts w:ascii="Verdana" w:hAnsi="Verdana"/>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24CC841" w14:textId="77777777" w:rsidR="00352E13" w:rsidRDefault="00352E13" w:rsidP="00352E13">
      <w:pPr>
        <w:spacing w:after="120" w:line="276" w:lineRule="auto"/>
        <w:jc w:val="both"/>
        <w:rPr>
          <w:rFonts w:ascii="Verdana" w:eastAsia="Calibri" w:hAnsi="Verdana" w:cs="Arial"/>
          <w:bCs/>
          <w:lang w:val="es-ES_tradnl"/>
        </w:rPr>
      </w:pPr>
    </w:p>
    <w:p w14:paraId="46AB22AE" w14:textId="77777777" w:rsidR="00352E13" w:rsidRPr="006B4516" w:rsidRDefault="00352E13" w:rsidP="00352E13">
      <w:pPr>
        <w:pStyle w:val="Prrafodelista"/>
        <w:numPr>
          <w:ilvl w:val="0"/>
          <w:numId w:val="16"/>
        </w:numPr>
        <w:spacing w:after="120" w:line="276" w:lineRule="auto"/>
        <w:jc w:val="both"/>
        <w:rPr>
          <w:rFonts w:ascii="Verdana" w:eastAsia="Century Gothic" w:hAnsi="Verdana" w:cs="Century Gothic"/>
          <w:b/>
          <w:bCs/>
        </w:rPr>
      </w:pPr>
      <w:r w:rsidRPr="006B4516">
        <w:rPr>
          <w:rFonts w:ascii="Verdana" w:eastAsia="Century Gothic" w:hAnsi="Verdana" w:cs="Century Gothic"/>
          <w:b/>
          <w:bCs/>
        </w:rPr>
        <w:t>Referencias normativas, jurisprudenciales y otras fuentes:</w:t>
      </w: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52E13" w:rsidRPr="0094448B" w14:paraId="6D42DA02" w14:textId="77777777" w:rsidTr="00472B43">
        <w:trPr>
          <w:trHeight w:val="501"/>
          <w:jc w:val="center"/>
        </w:trPr>
        <w:tc>
          <w:tcPr>
            <w:tcW w:w="8647" w:type="dxa"/>
          </w:tcPr>
          <w:p w14:paraId="2E5E487A" w14:textId="77777777" w:rsidR="00352E13"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Ley 80 de 1993. Artículo 26</w:t>
            </w:r>
          </w:p>
          <w:p w14:paraId="720F2CEF" w14:textId="77777777" w:rsidR="00352E13"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Ley 1150 de 2007, artículo</w:t>
            </w:r>
            <w:r>
              <w:rPr>
                <w:rFonts w:ascii="Verdana" w:hAnsi="Verdana"/>
              </w:rPr>
              <w:t>s</w:t>
            </w:r>
            <w:r w:rsidRPr="005E5B81">
              <w:rPr>
                <w:rFonts w:ascii="Verdana" w:hAnsi="Verdana"/>
              </w:rPr>
              <w:t xml:space="preserve"> 4,</w:t>
            </w:r>
            <w:r>
              <w:rPr>
                <w:rFonts w:ascii="Verdana" w:hAnsi="Verdana"/>
              </w:rPr>
              <w:t xml:space="preserve"> 5 y 7. </w:t>
            </w:r>
          </w:p>
          <w:p w14:paraId="1B158347" w14:textId="77777777" w:rsidR="00573236" w:rsidRPr="003A6E04" w:rsidRDefault="00573236" w:rsidP="00573236">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rPr>
            </w:pPr>
            <w:r w:rsidRPr="003A6E04">
              <w:rPr>
                <w:rFonts w:ascii="Verdana" w:eastAsia="Calibri" w:hAnsi="Verdana" w:cs="Arial"/>
                <w:lang w:val="es-ES_tradnl"/>
              </w:rPr>
              <w:t xml:space="preserve">Ley 2022 de 2020, artículo 1. </w:t>
            </w:r>
          </w:p>
          <w:p w14:paraId="4B3BCB01" w14:textId="77777777" w:rsidR="00352E13" w:rsidRPr="00156132"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Decreto 1082 de 2015, artículo 2.2.1.1.2.1.3. numeral 8 y 9 artículo 2.2.1.2.3.1.6 y 2.2.1.2.3.1.9., 2.2.1.2.3.1.13., 2.2.1.2.3.1.14</w:t>
            </w:r>
            <w:r>
              <w:rPr>
                <w:rFonts w:ascii="Verdana" w:hAnsi="Verdana"/>
              </w:rPr>
              <w:t xml:space="preserve"> 2.2.1.2.3.2.8. y 2.2.1.2.1.5.5, </w:t>
            </w:r>
            <w:r w:rsidRPr="00156132">
              <w:rPr>
                <w:rFonts w:ascii="Verdana" w:hAnsi="Verdana"/>
                <w:lang w:val="es-ES"/>
              </w:rPr>
              <w:t>2.2.1.1.1.6.1</w:t>
            </w:r>
            <w:r>
              <w:rPr>
                <w:rFonts w:ascii="Verdana" w:hAnsi="Verdana"/>
                <w:lang w:val="es-ES"/>
              </w:rPr>
              <w:t xml:space="preserve">, 2.2.1.1.2.2.3 y </w:t>
            </w:r>
            <w:r>
              <w:rPr>
                <w:rFonts w:ascii="Verdana" w:hAnsi="Verdana"/>
                <w:lang w:val="es-ES"/>
              </w:rPr>
              <w:lastRenderedPageBreak/>
              <w:t xml:space="preserve">2.2.1.1.2.2.4. </w:t>
            </w:r>
          </w:p>
          <w:p w14:paraId="4FE7BAB5" w14:textId="77777777" w:rsidR="00352E13" w:rsidRPr="005E5B81"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 xml:space="preserve">Código de Comercio, artículos 846, 847 y 1068 </w:t>
            </w:r>
          </w:p>
          <w:p w14:paraId="07F28753" w14:textId="77777777" w:rsidR="00352E13" w:rsidRPr="005E5B81"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CORTE CONSTITUCIONAL. Sentencia C-452 de 1999. M.P. Eduardo Cifuentes Muñoz.</w:t>
            </w:r>
          </w:p>
          <w:p w14:paraId="7E3E3F42" w14:textId="77777777" w:rsidR="00352E13" w:rsidRPr="005E5B81" w:rsidRDefault="00352E13" w:rsidP="00352E13">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5E5B81">
              <w:rPr>
                <w:rFonts w:ascii="Verdana" w:hAnsi="Verdana"/>
              </w:rPr>
              <w:t xml:space="preserve">CONSEJO DE ESTADO. Sección Tercera. Sentencia del 4 de junio de 2008. </w:t>
            </w:r>
            <w:proofErr w:type="spellStart"/>
            <w:r w:rsidRPr="005E5B81">
              <w:rPr>
                <w:rFonts w:ascii="Verdana" w:hAnsi="Verdana"/>
              </w:rPr>
              <w:t>Exp</w:t>
            </w:r>
            <w:proofErr w:type="spellEnd"/>
            <w:r w:rsidRPr="005E5B81">
              <w:rPr>
                <w:rFonts w:ascii="Verdana" w:hAnsi="Verdana"/>
              </w:rPr>
              <w:t>. No. 17.783. C.P. Myriam Guerrero de Escobar.</w:t>
            </w:r>
          </w:p>
          <w:p w14:paraId="350DCB73" w14:textId="30E990EA" w:rsidR="00573236" w:rsidRPr="00573236" w:rsidRDefault="00352E13" w:rsidP="00DA2C52">
            <w:pPr>
              <w:widowControl w:val="0"/>
              <w:numPr>
                <w:ilvl w:val="0"/>
                <w:numId w:val="17"/>
              </w:numPr>
              <w:tabs>
                <w:tab w:val="left" w:pos="1181"/>
                <w:tab w:val="left" w:pos="2253"/>
                <w:tab w:val="left" w:pos="2437"/>
                <w:tab w:val="left" w:pos="3171"/>
                <w:tab w:val="left" w:pos="3400"/>
                <w:tab w:val="left" w:pos="3880"/>
                <w:tab w:val="left" w:pos="4036"/>
                <w:tab w:val="left" w:pos="4444"/>
                <w:tab w:val="left" w:pos="5490"/>
                <w:tab w:val="left" w:pos="5741"/>
                <w:tab w:val="left" w:pos="6365"/>
                <w:tab w:val="left" w:pos="6493"/>
                <w:tab w:val="left" w:pos="6589"/>
                <w:tab w:val="left" w:pos="6803"/>
                <w:tab w:val="left" w:pos="7503"/>
                <w:tab w:val="left" w:pos="8035"/>
                <w:tab w:val="left" w:pos="8273"/>
                <w:tab w:val="left" w:pos="8616"/>
              </w:tabs>
              <w:autoSpaceDE w:val="0"/>
              <w:autoSpaceDN w:val="0"/>
              <w:spacing w:before="120" w:after="120" w:line="276" w:lineRule="auto"/>
              <w:jc w:val="both"/>
              <w:rPr>
                <w:rFonts w:ascii="Verdana" w:hAnsi="Verdana"/>
              </w:rPr>
            </w:pPr>
            <w:r w:rsidRPr="00156132">
              <w:rPr>
                <w:rFonts w:ascii="Verdana" w:hAnsi="Verdana"/>
              </w:rPr>
              <w:t xml:space="preserve">AGENCIA NACIONAL DE CONTRATACIÓN PÚBLICA –COLOMBIA COMPRA EFICIENTE. Guía para el manejo de ofertas artificialmente bajas en procesos de contratación. Disponible en línea: </w:t>
            </w:r>
            <w:r w:rsidR="003B06F9" w:rsidRPr="00692094">
              <w:rPr>
                <w:rFonts w:ascii="Verdana" w:eastAsia="Calibri" w:hAnsi="Verdana" w:cs="Arial"/>
                <w:color w:val="0000FF"/>
                <w:u w:val="single"/>
                <w:lang w:val="es-ES_tradnl"/>
              </w:rPr>
              <w:t xml:space="preserve">chrome-extension://efaidnbmnnnibpcajpcglclefindmkaj/https://www.colombiacompra.gov.co/wp-content/uploads/2025/04/guia_para_el_manejo_de_ofertas_artifialmente_bajas.pdf </w:t>
            </w:r>
          </w:p>
        </w:tc>
      </w:tr>
    </w:tbl>
    <w:p w14:paraId="38B279C2" w14:textId="77777777" w:rsidR="00352E13" w:rsidRPr="0094448B" w:rsidRDefault="00352E13" w:rsidP="00352E13">
      <w:pPr>
        <w:spacing w:after="0" w:line="276" w:lineRule="auto"/>
        <w:ind w:right="709"/>
        <w:jc w:val="both"/>
        <w:rPr>
          <w:rFonts w:ascii="Verdana" w:hAnsi="Verdana" w:cs="Arial"/>
          <w:color w:val="000000" w:themeColor="text1"/>
        </w:rPr>
      </w:pPr>
    </w:p>
    <w:p w14:paraId="31F5EB35" w14:textId="77777777" w:rsidR="00352E13" w:rsidRPr="006B4516" w:rsidRDefault="00352E13" w:rsidP="00352E13">
      <w:pPr>
        <w:pStyle w:val="Prrafodelista"/>
        <w:numPr>
          <w:ilvl w:val="0"/>
          <w:numId w:val="16"/>
        </w:numPr>
        <w:spacing w:after="0" w:line="256" w:lineRule="auto"/>
        <w:rPr>
          <w:rFonts w:ascii="Verdana" w:eastAsia="Calibri" w:hAnsi="Verdana" w:cs="Times New Roman"/>
          <w:b/>
          <w:bCs/>
        </w:rPr>
      </w:pPr>
      <w:r w:rsidRPr="006B4516">
        <w:rPr>
          <w:rFonts w:ascii="Verdana" w:eastAsia="Calibri" w:hAnsi="Verdana" w:cs="Times New Roman"/>
          <w:b/>
          <w:bCs/>
        </w:rPr>
        <w:t>Doctrina de la Agencia Nacional de Contratación Pública:</w:t>
      </w:r>
    </w:p>
    <w:p w14:paraId="424D2107" w14:textId="77777777" w:rsidR="00352E13" w:rsidRPr="0094448B" w:rsidRDefault="00352E13" w:rsidP="00352E13">
      <w:pPr>
        <w:widowControl w:val="0"/>
        <w:autoSpaceDE w:val="0"/>
        <w:autoSpaceDN w:val="0"/>
        <w:spacing w:after="0" w:line="276" w:lineRule="auto"/>
        <w:jc w:val="both"/>
        <w:rPr>
          <w:rFonts w:ascii="Verdana" w:hAnsi="Verdana" w:cs="Arial"/>
          <w:bCs/>
          <w:shd w:val="clear" w:color="auto" w:fill="FFFFFF"/>
        </w:rPr>
      </w:pPr>
    </w:p>
    <w:p w14:paraId="23F8DC0B" w14:textId="4DF72967" w:rsidR="00352E13" w:rsidRPr="005E5B81" w:rsidRDefault="00352E13" w:rsidP="00352E13">
      <w:pPr>
        <w:widowControl w:val="0"/>
        <w:autoSpaceDE w:val="0"/>
        <w:autoSpaceDN w:val="0"/>
        <w:spacing w:after="0" w:line="276" w:lineRule="auto"/>
        <w:jc w:val="both"/>
        <w:rPr>
          <w:rFonts w:ascii="Verdana" w:hAnsi="Verdana" w:cs="Arial"/>
          <w:bCs/>
          <w:shd w:val="clear" w:color="auto" w:fill="FFFFFF"/>
        </w:rPr>
      </w:pPr>
      <w:r w:rsidRPr="0094448B">
        <w:rPr>
          <w:rFonts w:ascii="Verdana" w:hAnsi="Verdana" w:cs="Arial"/>
          <w:bCs/>
          <w:shd w:val="clear" w:color="auto" w:fill="FFFFFF"/>
        </w:rPr>
        <w:t>La Agencia Nacional de Contratación Pública – Colombia Compra Eficiente ha expedido los siguientes conceptos</w:t>
      </w:r>
      <w:r>
        <w:rPr>
          <w:rFonts w:ascii="Verdana" w:hAnsi="Verdana" w:cs="Arial"/>
          <w:bCs/>
          <w:shd w:val="clear" w:color="auto" w:fill="FFFFFF"/>
        </w:rPr>
        <w:t xml:space="preserve"> sobre precios artificialmente bajos:</w:t>
      </w:r>
      <w:r w:rsidRPr="0094448B">
        <w:rPr>
          <w:rFonts w:ascii="Verdana" w:hAnsi="Verdana" w:cs="Arial"/>
          <w:bCs/>
          <w:shd w:val="clear" w:color="auto" w:fill="FFFFFF"/>
        </w:rPr>
        <w:t xml:space="preserve"> </w:t>
      </w:r>
      <w:r w:rsidRPr="005E5B81">
        <w:rPr>
          <w:rFonts w:ascii="Verdana" w:hAnsi="Verdana" w:cs="Arial"/>
          <w:bCs/>
          <w:shd w:val="clear" w:color="auto" w:fill="FFFFFF"/>
          <w:lang w:val="es-ES"/>
        </w:rPr>
        <w:t xml:space="preserve">C–163 del 31 de marzo de 2020, C–200 del 14 de abril de 2020, C–767 del 7 de enero de 2021, C-205 del 7 de mayo de 2021, C-299 del 14 de mayo de 2022, C-484 de 2022, C-952 del 20 de enero de 2023, C-860 del 27 de diciembre de 2024, C-329 del 25 de abril de 2025, C-573 del 16 de junio de 2025, C-769 de 25 de julio de 2025, </w:t>
      </w:r>
      <w:r>
        <w:rPr>
          <w:rFonts w:ascii="Verdana" w:hAnsi="Verdana" w:cs="Arial"/>
          <w:bCs/>
          <w:shd w:val="clear" w:color="auto" w:fill="FFFFFF"/>
          <w:lang w:val="es-ES"/>
        </w:rPr>
        <w:t xml:space="preserve">C-1042 del 5 de septiembre de 2025, C-1069 del 12 de septiembre de 2025, C-1237 del 24 de septiembre de 2025, </w:t>
      </w:r>
      <w:r w:rsidR="001802F3" w:rsidRPr="001802F3">
        <w:rPr>
          <w:rFonts w:ascii="Verdana" w:eastAsia="Calibri" w:hAnsi="Verdana" w:cs="Arial"/>
          <w:kern w:val="2"/>
          <w:shd w:val="clear" w:color="auto" w:fill="FFFFFF"/>
          <w:lang w:val="es-ES"/>
          <w14:ligatures w14:val="standardContextual"/>
        </w:rPr>
        <w:t xml:space="preserve">C- 1846 </w:t>
      </w:r>
      <w:r w:rsidR="001802F3">
        <w:rPr>
          <w:rFonts w:ascii="Verdana" w:eastAsia="Calibri" w:hAnsi="Verdana" w:cs="Arial"/>
          <w:kern w:val="2"/>
          <w:shd w:val="clear" w:color="auto" w:fill="FFFFFF"/>
          <w:lang w:val="es-ES"/>
          <w14:ligatures w14:val="standardContextual"/>
        </w:rPr>
        <w:t>del 21 de enero de 2026.</w:t>
      </w:r>
      <w:r w:rsidR="0032104F">
        <w:rPr>
          <w:rFonts w:ascii="Verdana" w:eastAsia="Calibri" w:hAnsi="Verdana" w:cs="Arial"/>
          <w:kern w:val="2"/>
          <w:shd w:val="clear" w:color="auto" w:fill="FFFFFF"/>
          <w:lang w:val="es-ES"/>
          <w14:ligatures w14:val="standardContextual"/>
        </w:rPr>
        <w:t xml:space="preserve"> </w:t>
      </w:r>
      <w:r w:rsidRPr="0094448B">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1D1E44F3" w14:textId="77777777" w:rsidR="00352E13" w:rsidRPr="0094448B" w:rsidRDefault="00352E13" w:rsidP="00352E13">
      <w:pPr>
        <w:spacing w:after="0" w:line="256" w:lineRule="auto"/>
        <w:jc w:val="both"/>
        <w:rPr>
          <w:rFonts w:ascii="Verdana" w:eastAsia="Calibri" w:hAnsi="Verdana" w:cs="Times New Roman"/>
        </w:rPr>
      </w:pPr>
      <w:hyperlink r:id="rId12" w:history="1">
        <w:r w:rsidRPr="0094448B">
          <w:rPr>
            <w:rFonts w:ascii="Verdana" w:eastAsia="Calibri" w:hAnsi="Verdana" w:cs="Times New Roman"/>
            <w:color w:val="0000FF"/>
            <w:u w:val="single"/>
            <w:lang w:val="es-ES"/>
          </w:rPr>
          <w:t>https://relatoria.colombiacompra.gov.co/busqueda/conceptos</w:t>
        </w:r>
      </w:hyperlink>
    </w:p>
    <w:p w14:paraId="2D47E589" w14:textId="77777777" w:rsidR="00352E13" w:rsidRDefault="00352E13" w:rsidP="00352E13">
      <w:pPr>
        <w:spacing w:after="0" w:line="256" w:lineRule="auto"/>
        <w:jc w:val="both"/>
        <w:rPr>
          <w:rFonts w:ascii="Verdana" w:eastAsia="Calibri" w:hAnsi="Verdana" w:cs="Times New Roman"/>
        </w:rPr>
      </w:pPr>
    </w:p>
    <w:p w14:paraId="511CAC6C" w14:textId="77777777" w:rsidR="00FC6DD0" w:rsidRPr="00206556" w:rsidRDefault="00FC6DD0" w:rsidP="00FC6DD0">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w:t>
      </w:r>
      <w:r w:rsidRPr="00206556">
        <w:rPr>
          <w:rFonts w:ascii="Verdana" w:hAnsi="Verdana" w:cs="Arial"/>
          <w:shd w:val="clear" w:color="auto" w:fill="FFFFFF"/>
        </w:rPr>
        <w:lastRenderedPageBreak/>
        <w:t xml:space="preserve">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540F93D5" w14:textId="77777777" w:rsidR="00FC6DD0" w:rsidRPr="00206556" w:rsidRDefault="00FC6DD0" w:rsidP="00FC6DD0">
      <w:pPr>
        <w:spacing w:after="0" w:line="276" w:lineRule="auto"/>
        <w:jc w:val="both"/>
        <w:rPr>
          <w:rFonts w:ascii="Verdana" w:hAnsi="Verdana" w:cs="Arial"/>
          <w:shd w:val="clear" w:color="auto" w:fill="FFFFFF"/>
        </w:rPr>
      </w:pPr>
    </w:p>
    <w:p w14:paraId="74A74218" w14:textId="77777777" w:rsidR="00FC6DD0" w:rsidRPr="00206556" w:rsidRDefault="00FC6DD0" w:rsidP="00FC6DD0">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4" w:history="1">
        <w:r w:rsidRPr="00206556">
          <w:rPr>
            <w:rStyle w:val="Hipervnculo"/>
            <w:rFonts w:ascii="Verdana" w:hAnsi="Verdana" w:cs="Arial"/>
            <w:shd w:val="clear" w:color="auto" w:fill="FFFFFF"/>
          </w:rPr>
          <w:t>https://www.colombiacompra.gov.co/normativa-y-relatoria/documentos-tipo</w:t>
        </w:r>
      </w:hyperlink>
    </w:p>
    <w:p w14:paraId="4F9F8C40" w14:textId="77777777" w:rsidR="00FC6DD0" w:rsidRPr="00206556" w:rsidRDefault="00FC6DD0" w:rsidP="00FC6DD0">
      <w:pPr>
        <w:spacing w:after="0" w:line="276" w:lineRule="auto"/>
        <w:jc w:val="both"/>
        <w:rPr>
          <w:rFonts w:ascii="Verdana" w:hAnsi="Verdana" w:cs="Arial"/>
          <w:shd w:val="clear" w:color="auto" w:fill="FFFFFF"/>
        </w:rPr>
      </w:pPr>
    </w:p>
    <w:p w14:paraId="36D46511" w14:textId="77777777" w:rsidR="00FC6DD0" w:rsidRPr="00206556" w:rsidRDefault="00FC6DD0" w:rsidP="00FC6DD0">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0D3613A5" w14:textId="77777777" w:rsidR="00FC6DD0" w:rsidRPr="00206556" w:rsidRDefault="00FC6DD0" w:rsidP="00FC6DD0">
      <w:pPr>
        <w:spacing w:after="0" w:line="276" w:lineRule="auto"/>
        <w:jc w:val="both"/>
        <w:rPr>
          <w:rFonts w:ascii="Verdana" w:hAnsi="Verdana" w:cs="Arial"/>
          <w:color w:val="ED7D31" w:themeColor="accent2"/>
          <w:shd w:val="clear" w:color="auto" w:fill="FFFFFF"/>
        </w:rPr>
      </w:pPr>
    </w:p>
    <w:p w14:paraId="6E9C6BF1" w14:textId="77777777" w:rsidR="00FC6DD0" w:rsidRPr="00206556" w:rsidRDefault="00FC6DD0" w:rsidP="00FC6DD0">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01E5F5F0" w14:textId="77777777" w:rsidR="00FC6DD0" w:rsidRPr="00206556" w:rsidRDefault="00FC6DD0" w:rsidP="00FC6DD0">
      <w:pPr>
        <w:spacing w:after="0"/>
        <w:jc w:val="both"/>
        <w:rPr>
          <w:rFonts w:ascii="Verdana" w:hAnsi="Verdana" w:cs="Arial"/>
          <w:shd w:val="clear" w:color="auto" w:fill="FFFFFF"/>
        </w:rPr>
      </w:pPr>
    </w:p>
    <w:p w14:paraId="6E18B58D" w14:textId="77777777" w:rsidR="00FC6DD0" w:rsidRPr="00206556" w:rsidRDefault="00FC6DD0" w:rsidP="00FC6DD0">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44F9D95C" w14:textId="77777777" w:rsidR="00FC6DD0" w:rsidRPr="00206556" w:rsidRDefault="00FC6DD0" w:rsidP="00FC6DD0">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401487FF" w14:textId="77777777" w:rsidR="00FC6DD0" w:rsidRPr="00206556" w:rsidRDefault="00FC6DD0" w:rsidP="00FC6DD0">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6EB218DA" w14:textId="77777777" w:rsidR="00FC6DD0" w:rsidRPr="00206556" w:rsidRDefault="00FC6DD0" w:rsidP="00FC6DD0">
      <w:pPr>
        <w:spacing w:after="0"/>
        <w:jc w:val="both"/>
        <w:rPr>
          <w:rFonts w:ascii="Verdana" w:hAnsi="Verdana" w:cs="Arial"/>
          <w:shd w:val="clear" w:color="auto" w:fill="FFFFFF"/>
        </w:rPr>
      </w:pPr>
      <w:r w:rsidRPr="00206556">
        <w:rPr>
          <w:rFonts w:ascii="Verdana" w:hAnsi="Verdana" w:cs="Arial"/>
          <w:shd w:val="clear" w:color="auto" w:fill="FFFFFF"/>
        </w:rPr>
        <w:lastRenderedPageBreak/>
        <w:t xml:space="preserve">Instagram: </w:t>
      </w:r>
      <w:r w:rsidRPr="00206556">
        <w:rPr>
          <w:rStyle w:val="Hipervnculo"/>
          <w:rFonts w:ascii="Verdana" w:hAnsi="Verdana"/>
          <w:lang w:val="es-ES"/>
        </w:rPr>
        <w:t>@colombiacompraeficiente_cce</w:t>
      </w:r>
    </w:p>
    <w:p w14:paraId="41704D85" w14:textId="77777777" w:rsidR="00FC6DD0" w:rsidRPr="00206556" w:rsidRDefault="00FC6DD0" w:rsidP="00FC6DD0">
      <w:pPr>
        <w:widowControl w:val="0"/>
        <w:autoSpaceDE w:val="0"/>
        <w:autoSpaceDN w:val="0"/>
        <w:spacing w:after="0" w:line="276" w:lineRule="auto"/>
        <w:jc w:val="both"/>
        <w:rPr>
          <w:rFonts w:ascii="Verdana" w:hAnsi="Verdana" w:cs="Arial"/>
          <w:color w:val="ED7D31" w:themeColor="accent2"/>
          <w:lang w:val="es-ES"/>
        </w:rPr>
      </w:pPr>
    </w:p>
    <w:p w14:paraId="0C5AB791" w14:textId="77777777" w:rsidR="00FC6DD0" w:rsidRPr="00206556" w:rsidRDefault="00FC6DD0" w:rsidP="00FC6DD0">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F40FDC3" w14:textId="77777777" w:rsidR="00FC6DD0" w:rsidRPr="00206556" w:rsidRDefault="00FC6DD0" w:rsidP="00FC6DD0">
      <w:pPr>
        <w:widowControl w:val="0"/>
        <w:autoSpaceDE w:val="0"/>
        <w:autoSpaceDN w:val="0"/>
        <w:spacing w:after="0" w:line="276" w:lineRule="auto"/>
        <w:jc w:val="both"/>
        <w:rPr>
          <w:rFonts w:ascii="Verdana" w:hAnsi="Verdana" w:cs="Arial"/>
          <w:lang w:val="es-ES"/>
        </w:rPr>
      </w:pPr>
    </w:p>
    <w:p w14:paraId="4B53CB46" w14:textId="77777777" w:rsidR="00FC6DD0" w:rsidRPr="00206556" w:rsidRDefault="00FC6DD0" w:rsidP="00FC6DD0">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68AA276D" w14:textId="780F8268" w:rsidR="00FC6DD0" w:rsidRPr="00206556" w:rsidRDefault="0034784C" w:rsidP="00FC6DD0">
      <w:pPr>
        <w:autoSpaceDE w:val="0"/>
        <w:autoSpaceDN w:val="0"/>
        <w:adjustRightInd w:val="0"/>
        <w:spacing w:after="0" w:line="276" w:lineRule="auto"/>
        <w:jc w:val="center"/>
        <w:rPr>
          <w:rFonts w:ascii="Verdana" w:eastAsia="Calibri" w:hAnsi="Verdana" w:cs="Arial"/>
          <w:noProof/>
          <w:sz w:val="20"/>
          <w:szCs w:val="20"/>
        </w:rPr>
      </w:pPr>
      <w:r w:rsidRPr="002C3AD6">
        <w:rPr>
          <w:rFonts w:ascii="Century Gothic" w:hAnsi="Century Gothic"/>
          <w:noProof/>
        </w:rPr>
        <w:drawing>
          <wp:inline distT="0" distB="0" distL="0" distR="0" wp14:anchorId="060AC220" wp14:editId="65C6004B">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5"/>
                    <a:stretch>
                      <a:fillRect/>
                    </a:stretch>
                  </pic:blipFill>
                  <pic:spPr>
                    <a:xfrm>
                      <a:off x="0" y="0"/>
                      <a:ext cx="3772426" cy="1400370"/>
                    </a:xfrm>
                    <a:prstGeom prst="rect">
                      <a:avLst/>
                    </a:prstGeom>
                  </pic:spPr>
                </pic:pic>
              </a:graphicData>
            </a:graphic>
          </wp:inline>
        </w:drawing>
      </w:r>
    </w:p>
    <w:p w14:paraId="62B7691F" w14:textId="77777777" w:rsidR="00FC6DD0" w:rsidRPr="00206556" w:rsidRDefault="00FC6DD0" w:rsidP="00FC6DD0">
      <w:pPr>
        <w:spacing w:after="0" w:line="256" w:lineRule="auto"/>
        <w:jc w:val="center"/>
        <w:rPr>
          <w:rFonts w:ascii="Verdana" w:eastAsia="Times New Roman" w:hAnsi="Verdana" w:cs="Arial"/>
          <w:lang w:eastAsia="es-ES"/>
        </w:rPr>
      </w:pPr>
    </w:p>
    <w:p w14:paraId="3148B303" w14:textId="77777777" w:rsidR="00FC6DD0" w:rsidRPr="00206556" w:rsidRDefault="00FC6DD0" w:rsidP="00FC6DD0">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FC6DD0" w:rsidRPr="00206556" w14:paraId="3DF0285B" w14:textId="77777777" w:rsidTr="00845735">
        <w:trPr>
          <w:trHeight w:val="322"/>
        </w:trPr>
        <w:tc>
          <w:tcPr>
            <w:tcW w:w="733" w:type="dxa"/>
            <w:tcBorders>
              <w:top w:val="nil"/>
              <w:left w:val="nil"/>
              <w:bottom w:val="nil"/>
              <w:right w:val="nil"/>
            </w:tcBorders>
            <w:vAlign w:val="center"/>
            <w:hideMark/>
          </w:tcPr>
          <w:p w14:paraId="4D085161" w14:textId="77777777" w:rsidR="00FC6DD0" w:rsidRPr="00206556" w:rsidRDefault="00FC6DD0" w:rsidP="00845735">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326E787" w14:textId="77777777" w:rsidR="00FC6DD0" w:rsidRPr="00206556" w:rsidRDefault="00FC6DD0" w:rsidP="00845735">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val="es-ES_tradnl" w:eastAsia="es-ES"/>
              </w:rPr>
              <w:t>Ximena Ríos López</w:t>
            </w:r>
          </w:p>
          <w:p w14:paraId="168D1876" w14:textId="77777777" w:rsidR="00FC6DD0" w:rsidRPr="00A5703A" w:rsidRDefault="00FC6DD0" w:rsidP="00845735">
            <w:pPr>
              <w:autoSpaceDE w:val="0"/>
              <w:autoSpaceDN w:val="0"/>
              <w:adjustRightInd w:val="0"/>
              <w:spacing w:after="0" w:line="276" w:lineRule="auto"/>
              <w:rPr>
                <w:rFonts w:ascii="Verdana" w:eastAsia="Calibri" w:hAnsi="Verdana" w:cs="Arial"/>
              </w:rPr>
            </w:pPr>
            <w:r w:rsidRPr="00206556">
              <w:rPr>
                <w:rFonts w:ascii="Verdana" w:eastAsia="Times New Roman" w:hAnsi="Verdana" w:cs="Arial"/>
                <w:sz w:val="16"/>
                <w:szCs w:val="16"/>
                <w:lang w:eastAsia="es-ES"/>
              </w:rPr>
              <w:t>Gestor T1-11 de la Subdirección de Gestión Contractual</w:t>
            </w:r>
          </w:p>
        </w:tc>
      </w:tr>
      <w:tr w:rsidR="00FC6DD0" w:rsidRPr="00206556" w14:paraId="5A708A8B" w14:textId="77777777" w:rsidTr="00845735">
        <w:trPr>
          <w:trHeight w:val="322"/>
        </w:trPr>
        <w:tc>
          <w:tcPr>
            <w:tcW w:w="733" w:type="dxa"/>
            <w:tcBorders>
              <w:top w:val="nil"/>
              <w:left w:val="nil"/>
              <w:bottom w:val="nil"/>
              <w:right w:val="nil"/>
            </w:tcBorders>
            <w:vAlign w:val="center"/>
            <w:hideMark/>
          </w:tcPr>
          <w:p w14:paraId="4148FB75" w14:textId="77777777" w:rsidR="00FC6DD0" w:rsidRPr="00206556" w:rsidRDefault="00FC6DD0" w:rsidP="00845735">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7E38D86" w14:textId="77777777" w:rsidR="00FC6DD0" w:rsidRPr="00206556" w:rsidRDefault="00FC6DD0" w:rsidP="00845735">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Adriana López</w:t>
            </w:r>
          </w:p>
          <w:p w14:paraId="5FB9153C" w14:textId="77777777" w:rsidR="00FC6DD0" w:rsidRPr="00A5703A" w:rsidRDefault="00FC6DD0" w:rsidP="00845735">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 xml:space="preserve">Contratista </w:t>
            </w:r>
            <w:r w:rsidRPr="00206556">
              <w:rPr>
                <w:rFonts w:ascii="Verdana" w:eastAsia="Times New Roman" w:hAnsi="Verdana" w:cs="Arial"/>
                <w:sz w:val="16"/>
                <w:szCs w:val="16"/>
                <w:lang w:eastAsia="es-ES"/>
              </w:rPr>
              <w:t>de la Subdirección de Gestión Contractual</w:t>
            </w:r>
          </w:p>
        </w:tc>
      </w:tr>
      <w:tr w:rsidR="00FC6DD0" w:rsidRPr="00206556" w14:paraId="14B971F7" w14:textId="77777777" w:rsidTr="00845735">
        <w:trPr>
          <w:trHeight w:val="307"/>
        </w:trPr>
        <w:tc>
          <w:tcPr>
            <w:tcW w:w="733" w:type="dxa"/>
            <w:tcBorders>
              <w:top w:val="nil"/>
              <w:left w:val="nil"/>
              <w:bottom w:val="nil"/>
              <w:right w:val="nil"/>
            </w:tcBorders>
            <w:vAlign w:val="center"/>
            <w:hideMark/>
          </w:tcPr>
          <w:p w14:paraId="2A7FD7FB" w14:textId="77777777" w:rsidR="00FC6DD0" w:rsidRPr="00206556" w:rsidRDefault="00FC6DD0" w:rsidP="00845735">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58D77BA" w14:textId="77777777" w:rsidR="00FC6DD0" w:rsidRPr="00206556" w:rsidRDefault="00FC6DD0" w:rsidP="00845735">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1F36CF3F" w14:textId="77777777" w:rsidR="00FC6DD0" w:rsidRPr="00206556" w:rsidRDefault="00FC6DD0" w:rsidP="00845735">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tbl>
    <w:p w14:paraId="2955CE8C" w14:textId="77777777" w:rsidR="00FC6DD0" w:rsidRDefault="00FC6DD0" w:rsidP="00FC6DD0">
      <w:pPr>
        <w:autoSpaceDE w:val="0"/>
        <w:autoSpaceDN w:val="0"/>
        <w:adjustRightInd w:val="0"/>
        <w:spacing w:after="0" w:line="276" w:lineRule="auto"/>
        <w:jc w:val="center"/>
        <w:rPr>
          <w:rFonts w:ascii="Verdana" w:eastAsia="Calibri" w:hAnsi="Verdana" w:cs="Arial"/>
        </w:rPr>
      </w:pPr>
    </w:p>
    <w:p w14:paraId="5BE1A514" w14:textId="3476C5E9" w:rsidR="00FC6DD0" w:rsidRDefault="00FC6DD0" w:rsidP="00FC6DD0">
      <w:pPr>
        <w:autoSpaceDE w:val="0"/>
        <w:autoSpaceDN w:val="0"/>
        <w:adjustRightInd w:val="0"/>
        <w:spacing w:after="0" w:line="276" w:lineRule="auto"/>
        <w:jc w:val="center"/>
        <w:rPr>
          <w:rFonts w:ascii="Verdana" w:eastAsia="Calibri" w:hAnsi="Verdana" w:cs="Arial"/>
        </w:rPr>
      </w:pPr>
    </w:p>
    <w:p w14:paraId="7A86D065" w14:textId="77777777" w:rsidR="00FC6DD0" w:rsidRPr="003A1BAC" w:rsidRDefault="00FC6DD0" w:rsidP="00FC6DD0"/>
    <w:bookmarkEnd w:id="0"/>
    <w:p w14:paraId="57004332" w14:textId="77777777" w:rsidR="00FC6DD0" w:rsidRPr="0094448B" w:rsidRDefault="00FC6DD0" w:rsidP="00352E13">
      <w:pPr>
        <w:spacing w:after="0" w:line="256" w:lineRule="auto"/>
        <w:jc w:val="both"/>
        <w:rPr>
          <w:rFonts w:ascii="Verdana" w:eastAsia="Calibri" w:hAnsi="Verdana" w:cs="Times New Roman"/>
        </w:rPr>
      </w:pPr>
    </w:p>
    <w:sectPr w:rsidR="00FC6DD0" w:rsidRPr="0094448B"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C0BE" w14:textId="77777777" w:rsidR="00BC437A" w:rsidRDefault="00BC437A" w:rsidP="004A1847">
      <w:pPr>
        <w:spacing w:after="0" w:line="240" w:lineRule="auto"/>
      </w:pPr>
      <w:r>
        <w:separator/>
      </w:r>
    </w:p>
  </w:endnote>
  <w:endnote w:type="continuationSeparator" w:id="0">
    <w:p w14:paraId="1DF5B93D" w14:textId="77777777" w:rsidR="00BC437A" w:rsidRDefault="00BC437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charset w:val="01"/>
    <w:family w:val="swiss"/>
    <w:pitch w:val="variable"/>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22B9E88F" w:rsidR="006219F8" w:rsidRDefault="356CEDFD" w:rsidP="356CEDFD">
    <w:pPr>
      <w:pBdr>
        <w:top w:val="nil"/>
        <w:left w:val="nil"/>
        <w:bottom w:val="nil"/>
        <w:right w:val="nil"/>
        <w:between w:val="nil"/>
      </w:pBdr>
      <w:tabs>
        <w:tab w:val="center" w:pos="4419"/>
        <w:tab w:val="right" w:pos="8838"/>
        <w:tab w:val="center" w:pos="5400"/>
      </w:tabs>
      <w:spacing w:after="0"/>
      <w:jc w:val="right"/>
    </w:pPr>
    <w:r w:rsidRPr="356CEDFD">
      <w:rPr>
        <w:rFonts w:ascii="Century Gothic" w:eastAsia="Geo" w:hAnsi="Century Gothic" w:cs="Geo"/>
        <w:b/>
        <w:bCs/>
        <w:color w:val="000000" w:themeColor="text1"/>
        <w:sz w:val="16"/>
        <w:szCs w:val="16"/>
        <w:lang w:eastAsia="es-CO"/>
      </w:rPr>
      <w:t xml:space="preserve">Código: </w:t>
    </w:r>
    <w:r w:rsidRPr="356CEDFD">
      <w:rPr>
        <w:rFonts w:ascii="Century Gothic" w:eastAsia="Geo" w:hAnsi="Century Gothic" w:cs="Geo"/>
        <w:color w:val="000000" w:themeColor="text1"/>
        <w:sz w:val="16"/>
        <w:szCs w:val="16"/>
        <w:lang w:eastAsia="es-CO"/>
      </w:rPr>
      <w:t xml:space="preserve">CCE-REC-FM-17 </w:t>
    </w:r>
    <w:r w:rsidRPr="356CEDFD">
      <w:rPr>
        <w:rFonts w:ascii="Century Gothic" w:eastAsia="Geo" w:hAnsi="Century Gothic" w:cs="Geo"/>
        <w:b/>
        <w:bCs/>
        <w:color w:val="000000" w:themeColor="text1"/>
        <w:sz w:val="16"/>
        <w:szCs w:val="16"/>
        <w:lang w:eastAsia="es-CO"/>
      </w:rPr>
      <w:t>V</w:t>
    </w:r>
    <w:r w:rsidRPr="356CEDFD">
      <w:rPr>
        <w:rFonts w:ascii="Century Gothic" w:eastAsia="Arial Nova" w:hAnsi="Century Gothic" w:cs="Arial Nova"/>
        <w:b/>
        <w:bCs/>
        <w:color w:val="000000" w:themeColor="text1"/>
        <w:sz w:val="16"/>
        <w:szCs w:val="16"/>
        <w:lang w:eastAsia="es-CO"/>
      </w:rPr>
      <w:t xml:space="preserve">: </w:t>
    </w:r>
    <w:r w:rsidRPr="356CEDFD">
      <w:rPr>
        <w:rFonts w:ascii="Century Gothic" w:eastAsia="Geo" w:hAnsi="Century Gothic" w:cs="Geo"/>
        <w:sz w:val="16"/>
        <w:szCs w:val="16"/>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9258F" w14:textId="77777777" w:rsidR="00BC437A" w:rsidRDefault="00BC437A" w:rsidP="004A1847">
      <w:pPr>
        <w:spacing w:after="0" w:line="240" w:lineRule="auto"/>
      </w:pPr>
      <w:r>
        <w:separator/>
      </w:r>
    </w:p>
  </w:footnote>
  <w:footnote w:type="continuationSeparator" w:id="0">
    <w:p w14:paraId="3465A05E" w14:textId="77777777" w:rsidR="00BC437A" w:rsidRDefault="00BC437A" w:rsidP="004A1847">
      <w:pPr>
        <w:spacing w:after="0" w:line="240" w:lineRule="auto"/>
      </w:pPr>
      <w:r>
        <w:continuationSeparator/>
      </w:r>
    </w:p>
  </w:footnote>
  <w:footnote w:id="1">
    <w:p w14:paraId="30905601" w14:textId="77777777" w:rsidR="00352E13" w:rsidRPr="00666BAC" w:rsidRDefault="00352E13" w:rsidP="00352E13">
      <w:pPr>
        <w:spacing w:after="0" w:line="240" w:lineRule="auto"/>
        <w:ind w:firstLine="709"/>
        <w:jc w:val="both"/>
        <w:rPr>
          <w:rFonts w:ascii="Verdana" w:hAnsi="Verdana"/>
          <w:sz w:val="16"/>
          <w:szCs w:val="16"/>
        </w:rPr>
      </w:pPr>
      <w:r w:rsidRPr="00666BAC">
        <w:rPr>
          <w:rStyle w:val="Refdenotaalpie"/>
          <w:rFonts w:ascii="Verdana" w:hAnsi="Verdana"/>
          <w:sz w:val="16"/>
          <w:szCs w:val="16"/>
        </w:rPr>
        <w:footnoteRef/>
      </w:r>
      <w:r w:rsidRPr="00666BAC">
        <w:rPr>
          <w:rFonts w:ascii="Verdana" w:hAnsi="Verdana"/>
          <w:sz w:val="16"/>
          <w:szCs w:val="16"/>
        </w:rPr>
        <w:t xml:space="preserve"> Ley 80 de 1993: “Artículo 26. Del Principio de Responsabilidad. En virtud de este principio:</w:t>
      </w:r>
    </w:p>
    <w:p w14:paraId="2C4020E8" w14:textId="77777777" w:rsidR="00352E13" w:rsidRPr="00666BAC" w:rsidRDefault="00352E13" w:rsidP="00352E13">
      <w:pPr>
        <w:spacing w:after="0" w:line="240" w:lineRule="auto"/>
        <w:ind w:firstLine="709"/>
        <w:jc w:val="both"/>
        <w:rPr>
          <w:rFonts w:ascii="Verdana" w:hAnsi="Verdana"/>
          <w:sz w:val="16"/>
          <w:szCs w:val="16"/>
        </w:rPr>
      </w:pPr>
      <w:r w:rsidRPr="00666BAC">
        <w:rPr>
          <w:rFonts w:ascii="Verdana" w:hAnsi="Verdana"/>
          <w:sz w:val="16"/>
          <w:szCs w:val="16"/>
        </w:rPr>
        <w:t>[…]</w:t>
      </w:r>
    </w:p>
    <w:p w14:paraId="333B3521" w14:textId="77777777" w:rsidR="00352E13" w:rsidRPr="00666BAC" w:rsidRDefault="00352E13" w:rsidP="00352E13">
      <w:pPr>
        <w:spacing w:after="0" w:line="240" w:lineRule="auto"/>
        <w:ind w:firstLine="709"/>
        <w:jc w:val="both"/>
        <w:rPr>
          <w:rFonts w:ascii="Verdana" w:hAnsi="Verdana"/>
          <w:sz w:val="16"/>
          <w:szCs w:val="16"/>
        </w:rPr>
      </w:pPr>
      <w:r w:rsidRPr="00666BAC">
        <w:rPr>
          <w:rFonts w:ascii="Verdana" w:hAnsi="Verdana"/>
          <w:sz w:val="16"/>
          <w:szCs w:val="16"/>
        </w:rPr>
        <w:t>6o. Los contratistas responderán cuando formulen propuestas en las que se fijen condiciones económicas y de contratación artificialmente bajas con el propósito de obtener la adjudicación del contrato”.</w:t>
      </w:r>
    </w:p>
  </w:footnote>
  <w:footnote w:id="2">
    <w:p w14:paraId="01720C75" w14:textId="77777777" w:rsidR="00352E13" w:rsidRPr="00666BAC" w:rsidRDefault="00352E13" w:rsidP="00352E13">
      <w:pPr>
        <w:pStyle w:val="Textonotapie"/>
        <w:ind w:firstLine="709"/>
        <w:jc w:val="both"/>
        <w:rPr>
          <w:rFonts w:ascii="Verdana" w:hAnsi="Verdana" w:cs="Arial"/>
          <w:sz w:val="16"/>
          <w:szCs w:val="16"/>
        </w:rPr>
      </w:pPr>
      <w:r w:rsidRPr="00666BAC">
        <w:rPr>
          <w:rStyle w:val="Refdenotaalpie"/>
          <w:rFonts w:ascii="Verdana" w:hAnsi="Verdana" w:cs="Arial"/>
          <w:sz w:val="16"/>
          <w:szCs w:val="16"/>
        </w:rPr>
        <w:footnoteRef/>
      </w:r>
      <w:r w:rsidRPr="00666BAC">
        <w:rPr>
          <w:rFonts w:ascii="Verdana" w:hAnsi="Verdana" w:cs="Arial"/>
          <w:sz w:val="16"/>
          <w:szCs w:val="16"/>
        </w:rPr>
        <w:t xml:space="preserve"> Decreto 1082 de 2015: </w:t>
      </w:r>
      <w:r w:rsidRPr="00666BAC">
        <w:rPr>
          <w:rFonts w:ascii="Verdana" w:eastAsia="Times New Roman" w:hAnsi="Verdana" w:cs="Arial"/>
          <w:sz w:val="16"/>
          <w:szCs w:val="16"/>
          <w:lang w:val="es-CO"/>
        </w:rPr>
        <w:t>“</w:t>
      </w:r>
      <w:r w:rsidRPr="00666BAC">
        <w:rPr>
          <w:rFonts w:ascii="Verdana" w:hAnsi="Verdana" w:cs="Arial"/>
          <w:sz w:val="16"/>
          <w:szCs w:val="16"/>
        </w:rPr>
        <w:t>Artículo 2.2.1.1.2.2.3. Comité evaluador. La Entidad Estatal puede designar un comité evaluador conformado por servidores públicos o por particulares contratados para el efecto para evaluar las ofertas y las manifestaciones de interés para cada Proceso de Contratación por licitación, selección abreviada y concurso de méritos. El comité evaluador debe realizar su labor de manera objetiva, ciñéndose exclusivamente a las reglas contenidas en los pliegos de condiciones. El carácter asesor del comité no lo exime de la responsabilidad del ejercicio de la labor encomendada. En el evento en el cual la Entidad Estatal no acoja la recomendación efectuada por el comité evaluador, debe justificar su decisión.</w:t>
      </w:r>
    </w:p>
    <w:p w14:paraId="0F549356" w14:textId="77777777" w:rsidR="00352E13" w:rsidRPr="00666BAC" w:rsidRDefault="00352E13" w:rsidP="00352E13">
      <w:pPr>
        <w:pStyle w:val="Textonotapie"/>
        <w:ind w:firstLine="709"/>
        <w:jc w:val="both"/>
        <w:rPr>
          <w:rFonts w:ascii="Verdana" w:hAnsi="Verdana" w:cs="Arial"/>
          <w:sz w:val="16"/>
          <w:szCs w:val="16"/>
        </w:rPr>
      </w:pPr>
      <w:r w:rsidRPr="00666BAC">
        <w:rPr>
          <w:rFonts w:ascii="Verdana" w:hAnsi="Verdana" w:cs="Arial"/>
          <w:sz w:val="16"/>
          <w:szCs w:val="16"/>
        </w:rPr>
        <w:t>Los miembros del comité evaluador están sujetos al régimen de inhabilidades e incompatibilidades y conflicto de interés previstos en la Constitución y la ley.</w:t>
      </w:r>
    </w:p>
    <w:p w14:paraId="3AA511E0" w14:textId="77777777" w:rsidR="00352E13" w:rsidRPr="00666BAC" w:rsidRDefault="00352E13" w:rsidP="00352E13">
      <w:pPr>
        <w:pStyle w:val="Textonotapie"/>
        <w:ind w:firstLine="709"/>
        <w:jc w:val="both"/>
        <w:rPr>
          <w:rFonts w:ascii="Verdana" w:hAnsi="Verdana" w:cs="Arial"/>
          <w:sz w:val="16"/>
          <w:szCs w:val="16"/>
          <w:lang w:val="es-ES"/>
        </w:rPr>
      </w:pPr>
      <w:r w:rsidRPr="00666BAC">
        <w:rPr>
          <w:rFonts w:ascii="Verdana" w:hAnsi="Verdana" w:cs="Arial"/>
          <w:sz w:val="16"/>
          <w:szCs w:val="16"/>
        </w:rPr>
        <w:t>La verificación y la evaluación de las ofertas para la mínima cuantía será adelantada por quien sea designado por el ordenador del gasto sin que se requiera un comité plural”.</w:t>
      </w:r>
    </w:p>
  </w:footnote>
  <w:footnote w:id="3">
    <w:p w14:paraId="01B4780D" w14:textId="77777777" w:rsidR="00F80F0B" w:rsidRPr="00666BAC" w:rsidRDefault="00F80F0B" w:rsidP="00F80F0B">
      <w:pPr>
        <w:pStyle w:val="Textonotapie"/>
        <w:ind w:firstLine="708"/>
        <w:jc w:val="both"/>
        <w:rPr>
          <w:rFonts w:ascii="Verdana" w:hAnsi="Verdana"/>
          <w:sz w:val="16"/>
          <w:szCs w:val="16"/>
          <w:lang w:val="es-ES"/>
        </w:rPr>
      </w:pPr>
      <w:r w:rsidRPr="00666BAC">
        <w:rPr>
          <w:rStyle w:val="Refdenotaalpie"/>
          <w:rFonts w:ascii="Verdana" w:hAnsi="Verdana"/>
          <w:sz w:val="16"/>
          <w:szCs w:val="16"/>
        </w:rPr>
        <w:footnoteRef/>
      </w:r>
      <w:r w:rsidRPr="00666BAC">
        <w:rPr>
          <w:rFonts w:ascii="Verdana" w:hAnsi="Verdana"/>
          <w:sz w:val="16"/>
          <w:szCs w:val="16"/>
        </w:rPr>
        <w:t xml:space="preserve"> AGENCIA NACIONAL DE CONTRATACIÓN PÚBLICA –COLOMBIA COMPRA EFICIENTE. Guía para el manejo de ofertas artificialmente bajas en procesos de contratación. Disponible en línea: </w:t>
      </w:r>
      <w:hyperlink r:id="rId1" w:history="1">
        <w:r w:rsidRPr="00666BAC">
          <w:rPr>
            <w:rStyle w:val="Hipervnculo"/>
            <w:rFonts w:ascii="Verdana" w:hAnsi="Verdana"/>
            <w:sz w:val="16"/>
            <w:szCs w:val="16"/>
          </w:rPr>
          <w:t>https://www.colombiacompra.gov.co/archivos/manual/guia-para-el-manejo-de-ofertas-artificialmente-bajas-en-procesos-de-contratacion-2</w:t>
        </w:r>
      </w:hyperlink>
      <w:r w:rsidRPr="00666BAC">
        <w:rPr>
          <w:rFonts w:ascii="Verdana" w:hAnsi="Verdana"/>
          <w:sz w:val="16"/>
          <w:szCs w:val="16"/>
        </w:rPr>
        <w:t xml:space="preserve">. 2024. p.14. </w:t>
      </w:r>
    </w:p>
  </w:footnote>
  <w:footnote w:id="4">
    <w:p w14:paraId="036E41E0" w14:textId="77777777" w:rsidR="00F80F0B" w:rsidRPr="00666BAC" w:rsidRDefault="00F80F0B" w:rsidP="00F80F0B">
      <w:pPr>
        <w:pStyle w:val="Textonotapie"/>
        <w:ind w:firstLine="708"/>
        <w:rPr>
          <w:rFonts w:ascii="Verdana" w:hAnsi="Verdana"/>
          <w:sz w:val="16"/>
          <w:szCs w:val="16"/>
          <w:lang w:val="es-ES"/>
        </w:rPr>
      </w:pPr>
      <w:r w:rsidRPr="00666BAC">
        <w:rPr>
          <w:rStyle w:val="Refdenotaalpie"/>
          <w:rFonts w:ascii="Verdana" w:hAnsi="Verdana"/>
          <w:sz w:val="16"/>
          <w:szCs w:val="16"/>
        </w:rPr>
        <w:footnoteRef/>
      </w:r>
      <w:r w:rsidRPr="00666BAC">
        <w:rPr>
          <w:rFonts w:ascii="Verdana" w:hAnsi="Verdana"/>
          <w:sz w:val="16"/>
          <w:szCs w:val="16"/>
        </w:rPr>
        <w:t xml:space="preserve"> Ibídem., p. 14. </w:t>
      </w:r>
    </w:p>
  </w:footnote>
  <w:footnote w:id="5">
    <w:p w14:paraId="37E1D5DE" w14:textId="77777777" w:rsidR="00F80F0B" w:rsidRPr="00666BAC" w:rsidRDefault="00F80F0B" w:rsidP="00F80F0B">
      <w:pPr>
        <w:pStyle w:val="Textonotapie"/>
        <w:ind w:firstLine="708"/>
        <w:rPr>
          <w:rFonts w:ascii="Verdana" w:hAnsi="Verdana"/>
          <w:sz w:val="16"/>
          <w:szCs w:val="16"/>
          <w:lang w:val="es-ES"/>
        </w:rPr>
      </w:pPr>
      <w:r w:rsidRPr="00666BAC">
        <w:rPr>
          <w:rStyle w:val="Refdenotaalpie"/>
          <w:rFonts w:ascii="Verdana" w:hAnsi="Verdana"/>
          <w:sz w:val="16"/>
          <w:szCs w:val="16"/>
        </w:rPr>
        <w:footnoteRef/>
      </w:r>
      <w:r w:rsidRPr="00666BAC">
        <w:rPr>
          <w:rFonts w:ascii="Verdana" w:hAnsi="Verdana"/>
          <w:sz w:val="16"/>
          <w:szCs w:val="16"/>
        </w:rPr>
        <w:t xml:space="preserve"> Ibídem., p. 15. </w:t>
      </w:r>
    </w:p>
  </w:footnote>
  <w:footnote w:id="6">
    <w:p w14:paraId="6DD6658D" w14:textId="77777777" w:rsidR="00F80F0B" w:rsidRPr="00666BAC" w:rsidRDefault="00F80F0B" w:rsidP="00F80F0B">
      <w:pPr>
        <w:pStyle w:val="Textonotapie"/>
        <w:ind w:firstLine="708"/>
        <w:rPr>
          <w:rFonts w:ascii="Verdana" w:hAnsi="Verdana"/>
          <w:sz w:val="16"/>
          <w:szCs w:val="16"/>
          <w:lang w:val="es-ES"/>
        </w:rPr>
      </w:pPr>
      <w:r w:rsidRPr="00666BAC">
        <w:rPr>
          <w:rStyle w:val="Refdenotaalpie"/>
          <w:rFonts w:ascii="Verdana" w:hAnsi="Verdana"/>
          <w:sz w:val="16"/>
          <w:szCs w:val="16"/>
        </w:rPr>
        <w:footnoteRef/>
      </w:r>
      <w:r w:rsidRPr="00666BAC">
        <w:rPr>
          <w:rFonts w:ascii="Verdana" w:hAnsi="Verdana"/>
          <w:sz w:val="16"/>
          <w:szCs w:val="16"/>
        </w:rPr>
        <w:t xml:space="preserve"> Ibidem., p. 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0.3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58DEB14A"/>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8E5EF0"/>
    <w:multiLevelType w:val="hybridMultilevel"/>
    <w:tmpl w:val="5C802C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C0276A9"/>
    <w:multiLevelType w:val="hybridMultilevel"/>
    <w:tmpl w:val="6484BC98"/>
    <w:lvl w:ilvl="0" w:tplc="0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1"/>
  </w:num>
  <w:num w:numId="3" w16cid:durableId="876742304">
    <w:abstractNumId w:val="4"/>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0"/>
  </w:num>
  <w:num w:numId="13" w16cid:durableId="1512908409">
    <w:abstractNumId w:val="2"/>
  </w:num>
  <w:num w:numId="14" w16cid:durableId="895897244">
    <w:abstractNumId w:val="16"/>
  </w:num>
  <w:num w:numId="15" w16cid:durableId="390349800">
    <w:abstractNumId w:val="12"/>
  </w:num>
  <w:num w:numId="16" w16cid:durableId="685055289">
    <w:abstractNumId w:val="3"/>
  </w:num>
  <w:num w:numId="17" w16cid:durableId="468135061">
    <w:abstractNumId w:val="10"/>
  </w:num>
  <w:num w:numId="18" w16cid:durableId="1492209491">
    <w:abstractNumId w:val="5"/>
  </w:num>
  <w:num w:numId="19" w16cid:durableId="2881235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C07"/>
    <w:rsid w:val="00002C46"/>
    <w:rsid w:val="0000313C"/>
    <w:rsid w:val="00016F78"/>
    <w:rsid w:val="00046945"/>
    <w:rsid w:val="00060782"/>
    <w:rsid w:val="00061B2A"/>
    <w:rsid w:val="00082362"/>
    <w:rsid w:val="00087E99"/>
    <w:rsid w:val="000A683E"/>
    <w:rsid w:val="000B19B9"/>
    <w:rsid w:val="000D0334"/>
    <w:rsid w:val="000D5DA7"/>
    <w:rsid w:val="000F6486"/>
    <w:rsid w:val="00102131"/>
    <w:rsid w:val="001022FA"/>
    <w:rsid w:val="00106BC7"/>
    <w:rsid w:val="00116940"/>
    <w:rsid w:val="00122C6D"/>
    <w:rsid w:val="00125105"/>
    <w:rsid w:val="00127233"/>
    <w:rsid w:val="00133D7B"/>
    <w:rsid w:val="0014470B"/>
    <w:rsid w:val="00155822"/>
    <w:rsid w:val="0015699B"/>
    <w:rsid w:val="001724A6"/>
    <w:rsid w:val="001802F3"/>
    <w:rsid w:val="00186EEB"/>
    <w:rsid w:val="00192138"/>
    <w:rsid w:val="001A33BF"/>
    <w:rsid w:val="001C4459"/>
    <w:rsid w:val="001E4177"/>
    <w:rsid w:val="001E4195"/>
    <w:rsid w:val="001F0B24"/>
    <w:rsid w:val="001F7DC6"/>
    <w:rsid w:val="0022400B"/>
    <w:rsid w:val="002421BB"/>
    <w:rsid w:val="0025796E"/>
    <w:rsid w:val="002707A2"/>
    <w:rsid w:val="002951A0"/>
    <w:rsid w:val="002962BC"/>
    <w:rsid w:val="002A093D"/>
    <w:rsid w:val="002A0DD0"/>
    <w:rsid w:val="002A49AC"/>
    <w:rsid w:val="002A64FD"/>
    <w:rsid w:val="002B671B"/>
    <w:rsid w:val="002C7A84"/>
    <w:rsid w:val="002D553E"/>
    <w:rsid w:val="002E2BF8"/>
    <w:rsid w:val="002E4FD9"/>
    <w:rsid w:val="002E75E3"/>
    <w:rsid w:val="002F1B72"/>
    <w:rsid w:val="002F7BDA"/>
    <w:rsid w:val="0030657A"/>
    <w:rsid w:val="003145E1"/>
    <w:rsid w:val="0032104F"/>
    <w:rsid w:val="00322A85"/>
    <w:rsid w:val="0032308D"/>
    <w:rsid w:val="00324168"/>
    <w:rsid w:val="00330834"/>
    <w:rsid w:val="0033217B"/>
    <w:rsid w:val="0033287D"/>
    <w:rsid w:val="003448F4"/>
    <w:rsid w:val="0034784C"/>
    <w:rsid w:val="00352E13"/>
    <w:rsid w:val="00364E44"/>
    <w:rsid w:val="00374F5E"/>
    <w:rsid w:val="00377E3E"/>
    <w:rsid w:val="003A779E"/>
    <w:rsid w:val="003B06F9"/>
    <w:rsid w:val="003C059E"/>
    <w:rsid w:val="003C57CD"/>
    <w:rsid w:val="003D0F4D"/>
    <w:rsid w:val="003D5B0D"/>
    <w:rsid w:val="003E0499"/>
    <w:rsid w:val="003E4F80"/>
    <w:rsid w:val="003E6439"/>
    <w:rsid w:val="003E7A3E"/>
    <w:rsid w:val="003F3941"/>
    <w:rsid w:val="003F5F77"/>
    <w:rsid w:val="003F6FA6"/>
    <w:rsid w:val="00406575"/>
    <w:rsid w:val="00414C74"/>
    <w:rsid w:val="0042722E"/>
    <w:rsid w:val="0044528D"/>
    <w:rsid w:val="00466E39"/>
    <w:rsid w:val="00472B43"/>
    <w:rsid w:val="00481CBF"/>
    <w:rsid w:val="00485A7B"/>
    <w:rsid w:val="0049702C"/>
    <w:rsid w:val="004A1847"/>
    <w:rsid w:val="004A305D"/>
    <w:rsid w:val="004B116A"/>
    <w:rsid w:val="004F21C4"/>
    <w:rsid w:val="004F685F"/>
    <w:rsid w:val="00506159"/>
    <w:rsid w:val="00513E7B"/>
    <w:rsid w:val="00540CC1"/>
    <w:rsid w:val="00546424"/>
    <w:rsid w:val="005566E8"/>
    <w:rsid w:val="00573236"/>
    <w:rsid w:val="00574867"/>
    <w:rsid w:val="00580357"/>
    <w:rsid w:val="00591460"/>
    <w:rsid w:val="005A65E0"/>
    <w:rsid w:val="005C1EF4"/>
    <w:rsid w:val="005C3777"/>
    <w:rsid w:val="005C386C"/>
    <w:rsid w:val="005C5CDC"/>
    <w:rsid w:val="005D476C"/>
    <w:rsid w:val="006200BF"/>
    <w:rsid w:val="006209AF"/>
    <w:rsid w:val="006219F8"/>
    <w:rsid w:val="006302F7"/>
    <w:rsid w:val="00633F28"/>
    <w:rsid w:val="00641BEB"/>
    <w:rsid w:val="00646B9F"/>
    <w:rsid w:val="00652AA7"/>
    <w:rsid w:val="00665D70"/>
    <w:rsid w:val="00672E6D"/>
    <w:rsid w:val="006863DE"/>
    <w:rsid w:val="006900D9"/>
    <w:rsid w:val="00692094"/>
    <w:rsid w:val="006C7D60"/>
    <w:rsid w:val="006F5218"/>
    <w:rsid w:val="007047BB"/>
    <w:rsid w:val="00706C16"/>
    <w:rsid w:val="007340C3"/>
    <w:rsid w:val="007444C5"/>
    <w:rsid w:val="007477E9"/>
    <w:rsid w:val="0075235A"/>
    <w:rsid w:val="00752E59"/>
    <w:rsid w:val="00756841"/>
    <w:rsid w:val="007649AB"/>
    <w:rsid w:val="007650BA"/>
    <w:rsid w:val="00771D0C"/>
    <w:rsid w:val="007825F4"/>
    <w:rsid w:val="007833AC"/>
    <w:rsid w:val="00785B77"/>
    <w:rsid w:val="007B268C"/>
    <w:rsid w:val="007B47C2"/>
    <w:rsid w:val="007B7171"/>
    <w:rsid w:val="007C0C0F"/>
    <w:rsid w:val="007C3DC2"/>
    <w:rsid w:val="007D6550"/>
    <w:rsid w:val="007E4E91"/>
    <w:rsid w:val="007E5497"/>
    <w:rsid w:val="00805CC0"/>
    <w:rsid w:val="00806F5F"/>
    <w:rsid w:val="00820278"/>
    <w:rsid w:val="008258C9"/>
    <w:rsid w:val="00844AE9"/>
    <w:rsid w:val="00845F27"/>
    <w:rsid w:val="00854B24"/>
    <w:rsid w:val="00867F95"/>
    <w:rsid w:val="00871D36"/>
    <w:rsid w:val="008772FF"/>
    <w:rsid w:val="008843B6"/>
    <w:rsid w:val="00891928"/>
    <w:rsid w:val="008A446D"/>
    <w:rsid w:val="008A56FA"/>
    <w:rsid w:val="008B25F1"/>
    <w:rsid w:val="008B2D13"/>
    <w:rsid w:val="008B7432"/>
    <w:rsid w:val="008C0C29"/>
    <w:rsid w:val="008C2DFE"/>
    <w:rsid w:val="008D180B"/>
    <w:rsid w:val="008F0EA7"/>
    <w:rsid w:val="00913E3A"/>
    <w:rsid w:val="00917DF8"/>
    <w:rsid w:val="00923EEF"/>
    <w:rsid w:val="009419F9"/>
    <w:rsid w:val="0095685E"/>
    <w:rsid w:val="00961B09"/>
    <w:rsid w:val="00965334"/>
    <w:rsid w:val="0097093E"/>
    <w:rsid w:val="009A0DFA"/>
    <w:rsid w:val="009A1C6F"/>
    <w:rsid w:val="009B2D26"/>
    <w:rsid w:val="009B77FA"/>
    <w:rsid w:val="009C67D9"/>
    <w:rsid w:val="009C71FA"/>
    <w:rsid w:val="009C72E7"/>
    <w:rsid w:val="009C7F7E"/>
    <w:rsid w:val="009D3058"/>
    <w:rsid w:val="009D7A9E"/>
    <w:rsid w:val="009F3A13"/>
    <w:rsid w:val="00A03A44"/>
    <w:rsid w:val="00A122D3"/>
    <w:rsid w:val="00A14468"/>
    <w:rsid w:val="00A17F13"/>
    <w:rsid w:val="00A20739"/>
    <w:rsid w:val="00A23AF9"/>
    <w:rsid w:val="00A33C78"/>
    <w:rsid w:val="00AB0ADB"/>
    <w:rsid w:val="00AE7162"/>
    <w:rsid w:val="00B00C0E"/>
    <w:rsid w:val="00B01B1A"/>
    <w:rsid w:val="00B0381D"/>
    <w:rsid w:val="00B05ECD"/>
    <w:rsid w:val="00B265F3"/>
    <w:rsid w:val="00B36E60"/>
    <w:rsid w:val="00B432ED"/>
    <w:rsid w:val="00B44A47"/>
    <w:rsid w:val="00B72CD3"/>
    <w:rsid w:val="00B72FFF"/>
    <w:rsid w:val="00BB6966"/>
    <w:rsid w:val="00BC3D36"/>
    <w:rsid w:val="00BC437A"/>
    <w:rsid w:val="00BD0392"/>
    <w:rsid w:val="00BD54A6"/>
    <w:rsid w:val="00BD7F72"/>
    <w:rsid w:val="00BF222B"/>
    <w:rsid w:val="00BF33A7"/>
    <w:rsid w:val="00BF42EC"/>
    <w:rsid w:val="00BF4C9F"/>
    <w:rsid w:val="00BF62C9"/>
    <w:rsid w:val="00BF7425"/>
    <w:rsid w:val="00C01C69"/>
    <w:rsid w:val="00C04FB3"/>
    <w:rsid w:val="00C1181B"/>
    <w:rsid w:val="00C11D8B"/>
    <w:rsid w:val="00C1418A"/>
    <w:rsid w:val="00C15139"/>
    <w:rsid w:val="00C2627C"/>
    <w:rsid w:val="00C330EB"/>
    <w:rsid w:val="00C37408"/>
    <w:rsid w:val="00C40C80"/>
    <w:rsid w:val="00C476FE"/>
    <w:rsid w:val="00C50D69"/>
    <w:rsid w:val="00C5365C"/>
    <w:rsid w:val="00C63B4A"/>
    <w:rsid w:val="00C754BE"/>
    <w:rsid w:val="00C75B50"/>
    <w:rsid w:val="00C76B1C"/>
    <w:rsid w:val="00C82033"/>
    <w:rsid w:val="00C90DCE"/>
    <w:rsid w:val="00C925AC"/>
    <w:rsid w:val="00CA230F"/>
    <w:rsid w:val="00CB6357"/>
    <w:rsid w:val="00CC1B26"/>
    <w:rsid w:val="00CD120B"/>
    <w:rsid w:val="00CE00CD"/>
    <w:rsid w:val="00D15A8E"/>
    <w:rsid w:val="00D361FD"/>
    <w:rsid w:val="00D423A2"/>
    <w:rsid w:val="00D44E26"/>
    <w:rsid w:val="00D46A64"/>
    <w:rsid w:val="00D479B3"/>
    <w:rsid w:val="00D520D8"/>
    <w:rsid w:val="00D63AC2"/>
    <w:rsid w:val="00D64204"/>
    <w:rsid w:val="00D7383B"/>
    <w:rsid w:val="00D7640B"/>
    <w:rsid w:val="00D7788A"/>
    <w:rsid w:val="00DA1E12"/>
    <w:rsid w:val="00DA231B"/>
    <w:rsid w:val="00DA2C52"/>
    <w:rsid w:val="00DA37A4"/>
    <w:rsid w:val="00DA3A07"/>
    <w:rsid w:val="00DA5CA6"/>
    <w:rsid w:val="00DB649C"/>
    <w:rsid w:val="00DC39FC"/>
    <w:rsid w:val="00DE3C5C"/>
    <w:rsid w:val="00DE5679"/>
    <w:rsid w:val="00DF5254"/>
    <w:rsid w:val="00E02524"/>
    <w:rsid w:val="00E16408"/>
    <w:rsid w:val="00E20894"/>
    <w:rsid w:val="00E245AB"/>
    <w:rsid w:val="00E2764C"/>
    <w:rsid w:val="00E27F2E"/>
    <w:rsid w:val="00E321D4"/>
    <w:rsid w:val="00E50AFE"/>
    <w:rsid w:val="00E5757F"/>
    <w:rsid w:val="00E75C92"/>
    <w:rsid w:val="00E771DC"/>
    <w:rsid w:val="00E8772A"/>
    <w:rsid w:val="00E90F6B"/>
    <w:rsid w:val="00E92C27"/>
    <w:rsid w:val="00EA0E3D"/>
    <w:rsid w:val="00EA7B69"/>
    <w:rsid w:val="00EC38A7"/>
    <w:rsid w:val="00EC52F8"/>
    <w:rsid w:val="00EC58BA"/>
    <w:rsid w:val="00ED4A0B"/>
    <w:rsid w:val="00EE1AA8"/>
    <w:rsid w:val="00EE3F37"/>
    <w:rsid w:val="00F1791B"/>
    <w:rsid w:val="00F23FEA"/>
    <w:rsid w:val="00F27235"/>
    <w:rsid w:val="00F31EDC"/>
    <w:rsid w:val="00F462B3"/>
    <w:rsid w:val="00F5664F"/>
    <w:rsid w:val="00F666C4"/>
    <w:rsid w:val="00F726D0"/>
    <w:rsid w:val="00F76AFC"/>
    <w:rsid w:val="00F80F0B"/>
    <w:rsid w:val="00F877FF"/>
    <w:rsid w:val="00F9094D"/>
    <w:rsid w:val="00FA47C0"/>
    <w:rsid w:val="00FB5DD1"/>
    <w:rsid w:val="00FC2B5D"/>
    <w:rsid w:val="00FC6DD0"/>
    <w:rsid w:val="00FF1449"/>
    <w:rsid w:val="00FF7963"/>
    <w:rsid w:val="071B8F93"/>
    <w:rsid w:val="09908A09"/>
    <w:rsid w:val="0FF4CCA8"/>
    <w:rsid w:val="13CFC91B"/>
    <w:rsid w:val="19A2EC2C"/>
    <w:rsid w:val="1B855655"/>
    <w:rsid w:val="2859CA1B"/>
    <w:rsid w:val="32A4F9CF"/>
    <w:rsid w:val="356CEDFD"/>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E0359A2C-139B-4C12-B8F7-175971D1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352E1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352E13"/>
    <w:rPr>
      <w:rFonts w:ascii="Geomanist Light" w:hAnsi="Geomanist Light"/>
      <w:lang w:val="es-ES"/>
    </w:rPr>
  </w:style>
  <w:style w:type="character" w:styleId="Refdecomentario">
    <w:name w:val="annotation reference"/>
    <w:basedOn w:val="Fuentedeprrafopredeter"/>
    <w:uiPriority w:val="99"/>
    <w:semiHidden/>
    <w:unhideWhenUsed/>
    <w:rsid w:val="00BF62C9"/>
    <w:rPr>
      <w:sz w:val="16"/>
      <w:szCs w:val="16"/>
    </w:rPr>
  </w:style>
  <w:style w:type="paragraph" w:styleId="Textocomentario">
    <w:name w:val="annotation text"/>
    <w:basedOn w:val="Normal"/>
    <w:link w:val="TextocomentarioCar"/>
    <w:uiPriority w:val="99"/>
    <w:unhideWhenUsed/>
    <w:rsid w:val="00BF62C9"/>
    <w:pPr>
      <w:spacing w:line="240" w:lineRule="auto"/>
    </w:pPr>
    <w:rPr>
      <w:sz w:val="20"/>
      <w:szCs w:val="20"/>
    </w:rPr>
  </w:style>
  <w:style w:type="character" w:customStyle="1" w:styleId="TextocomentarioCar">
    <w:name w:val="Texto comentario Car"/>
    <w:basedOn w:val="Fuentedeprrafopredeter"/>
    <w:link w:val="Textocomentario"/>
    <w:uiPriority w:val="99"/>
    <w:rsid w:val="00BF62C9"/>
    <w:rPr>
      <w:sz w:val="20"/>
      <w:szCs w:val="20"/>
    </w:rPr>
  </w:style>
  <w:style w:type="paragraph" w:styleId="Asuntodelcomentario">
    <w:name w:val="annotation subject"/>
    <w:basedOn w:val="Textocomentario"/>
    <w:next w:val="Textocomentario"/>
    <w:link w:val="AsuntodelcomentarioCar"/>
    <w:uiPriority w:val="99"/>
    <w:semiHidden/>
    <w:unhideWhenUsed/>
    <w:rsid w:val="00BF62C9"/>
    <w:rPr>
      <w:b/>
      <w:bCs/>
    </w:rPr>
  </w:style>
  <w:style w:type="character" w:customStyle="1" w:styleId="AsuntodelcomentarioCar">
    <w:name w:val="Asunto del comentario Car"/>
    <w:basedOn w:val="TextocomentarioCar"/>
    <w:link w:val="Asuntodelcomentario"/>
    <w:uiPriority w:val="99"/>
    <w:semiHidden/>
    <w:rsid w:val="00BF6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erson.guerrero1220@gmail.com"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para-el-manejo-de-ofertas-artificialmente-bajas-en-procesos-de-contratacion-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98184C85-07C8-4FE3-8C66-2BDE9628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59</TotalTime>
  <Pages>15</Pages>
  <Words>4695</Words>
  <Characters>25828</Characters>
  <Application>Microsoft Office Word</Application>
  <DocSecurity>0</DocSecurity>
  <Lines>215</Lines>
  <Paragraphs>60</Paragraphs>
  <ScaleCrop>false</ScaleCrop>
  <Company/>
  <LinksUpToDate>false</LinksUpToDate>
  <CharactersWithSpaces>30463</CharactersWithSpaces>
  <SharedDoc>false</SharedDoc>
  <HLinks>
    <vt:vector size="36" baseType="variant">
      <vt:variant>
        <vt:i4>3276900</vt:i4>
      </vt:variant>
      <vt:variant>
        <vt:i4>15</vt:i4>
      </vt:variant>
      <vt:variant>
        <vt:i4>0</vt:i4>
      </vt:variant>
      <vt:variant>
        <vt:i4>5</vt:i4>
      </vt:variant>
      <vt:variant>
        <vt:lpwstr>https://nam02.safelinks.protection.outlook.com/?url=https%3A%2F%2Fwww.colombiacompra.gov.co%2Fwp-content%2Fuploads%2F2025%2F05%2FGUIA-DE-LINEAMIENTOS-DE-TRANSPARENCIA-Y-SELECCION-OBJETIVA-1.0.pdf&amp;data=05%7C02%7Cximena.rios%40colombiacompra.gov.co%7C7cfff6dece924643582c08dd97bfed90%7C7b09041e245149d08cb179d5e3d8c1be%7C0%7C0%7C638833572792160509%7CUnknown%7CTWFpbGZsb3d8eyJFbXB0eU1hcGkiOnRydWUsIlYiOiIwLjAuMDAwMCIsIlAiOiJXaW4zMiIsIkFOIjoiTWFpbCIsIldUIjoyfQ%3D%3D%7C0%7C%7C%7C&amp;sdata=c9fXX0l2fbd%2FlYjjmEFFr2nh5svDqag5kY1fYvsSiKY%3D&amp;reserved=0</vt:lpwstr>
      </vt:variant>
      <vt:variant>
        <vt:lpwstr/>
      </vt:variant>
      <vt:variant>
        <vt:i4>7471218</vt:i4>
      </vt:variant>
      <vt:variant>
        <vt:i4>12</vt:i4>
      </vt:variant>
      <vt:variant>
        <vt:i4>0</vt:i4>
      </vt:variant>
      <vt:variant>
        <vt:i4>5</vt:i4>
      </vt:variant>
      <vt:variant>
        <vt:lpwstr>https://relatoria.colombiacompra.gov.co/busqueda/conceptos</vt:lpwstr>
      </vt:variant>
      <vt:variant>
        <vt:lpwstr/>
      </vt:variant>
      <vt:variant>
        <vt:i4>2883689</vt:i4>
      </vt:variant>
      <vt:variant>
        <vt:i4>9</vt:i4>
      </vt:variant>
      <vt:variant>
        <vt:i4>0</vt:i4>
      </vt:variant>
      <vt:variant>
        <vt:i4>5</vt:i4>
      </vt:variant>
      <vt:variant>
        <vt:lpwstr>https://www.colombiacompra.gov.co/content/documentos-tipo-de-infraestructura-de-transporte</vt:lpwstr>
      </vt:variant>
      <vt:variant>
        <vt:lpwstr/>
      </vt:variant>
      <vt:variant>
        <vt:i4>917614</vt:i4>
      </vt:variant>
      <vt:variant>
        <vt:i4>3</vt:i4>
      </vt:variant>
      <vt:variant>
        <vt:i4>0</vt:i4>
      </vt:variant>
      <vt:variant>
        <vt:i4>5</vt:i4>
      </vt:variant>
      <vt:variant>
        <vt:lpwstr>mailto:gabriel-1578@hotmail.com</vt:lpwstr>
      </vt:variant>
      <vt:variant>
        <vt:lpwstr/>
      </vt:variant>
      <vt:variant>
        <vt:i4>983131</vt:i4>
      </vt:variant>
      <vt:variant>
        <vt:i4>0</vt:i4>
      </vt:variant>
      <vt:variant>
        <vt:i4>0</vt:i4>
      </vt:variant>
      <vt:variant>
        <vt:i4>5</vt:i4>
      </vt:variant>
      <vt:variant>
        <vt:lpwstr>https://www.superfinanciera.gov.co/publicacion/60819</vt:lpwstr>
      </vt:variant>
      <vt:variant>
        <vt:lpwstr/>
      </vt:variant>
      <vt:variant>
        <vt:i4>4653144</vt:i4>
      </vt:variant>
      <vt:variant>
        <vt:i4>0</vt:i4>
      </vt:variant>
      <vt:variant>
        <vt:i4>0</vt:i4>
      </vt:variant>
      <vt:variant>
        <vt:i4>5</vt:i4>
      </vt:variant>
      <vt:variant>
        <vt:lpwstr>https://www.colombiacompra.gov.co/documentos-tipo/documentos-tipo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71</cp:revision>
  <cp:lastPrinted>2023-01-10T21:18:00Z</cp:lastPrinted>
  <dcterms:created xsi:type="dcterms:W3CDTF">2026-06-11T21:42:00Z</dcterms:created>
  <dcterms:modified xsi:type="dcterms:W3CDTF">2026-07-15T15:02:00Z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