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71B4B" w14:textId="77777777" w:rsidR="009566EC" w:rsidRPr="009566EC" w:rsidRDefault="009566EC" w:rsidP="009566EC">
      <w:pPr>
        <w:spacing w:after="0" w:line="240" w:lineRule="auto"/>
        <w:jc w:val="both"/>
        <w:rPr>
          <w:rFonts w:ascii="Verdana" w:eastAsia="Verdana" w:hAnsi="Verdana" w:cs="Verdana"/>
          <w:b/>
          <w:bCs/>
          <w:lang w:val="es-ES"/>
        </w:rPr>
      </w:pPr>
      <w:bookmarkStart w:id="0" w:name="_Hlk143780582"/>
      <w:r w:rsidRPr="009566EC">
        <w:rPr>
          <w:rFonts w:ascii="Verdana" w:eastAsia="Verdana" w:hAnsi="Verdana" w:cs="Verdana"/>
          <w:b/>
          <w:bCs/>
          <w:lang w:val="es-ES"/>
        </w:rPr>
        <w:t xml:space="preserve">SARLAFT ‒ Marco jurídico – Definición </w:t>
      </w:r>
    </w:p>
    <w:p w14:paraId="1DC5D94D" w14:textId="77777777" w:rsidR="009566EC" w:rsidRDefault="009566EC" w:rsidP="009566EC">
      <w:pPr>
        <w:spacing w:after="0" w:line="240" w:lineRule="auto"/>
        <w:jc w:val="both"/>
        <w:rPr>
          <w:rFonts w:ascii="Verdana" w:eastAsia="Verdana" w:hAnsi="Verdana" w:cs="Verdana"/>
          <w:b/>
          <w:bCs/>
          <w:lang w:val="es-ES"/>
        </w:rPr>
      </w:pPr>
    </w:p>
    <w:p w14:paraId="44F9389D" w14:textId="47BF6CD8" w:rsidR="009566EC" w:rsidRPr="00C75658" w:rsidRDefault="00C75658" w:rsidP="00C75658">
      <w:pPr>
        <w:spacing w:after="0" w:line="240" w:lineRule="auto"/>
        <w:jc w:val="both"/>
        <w:rPr>
          <w:rFonts w:ascii="Verdana" w:eastAsia="Verdana" w:hAnsi="Verdana" w:cs="Verdana"/>
          <w:sz w:val="20"/>
          <w:szCs w:val="20"/>
          <w:lang w:val="es-ES"/>
        </w:rPr>
      </w:pPr>
      <w:r w:rsidRPr="00C75658">
        <w:rPr>
          <w:rFonts w:ascii="Verdana" w:eastAsia="Verdana" w:hAnsi="Verdana" w:cs="Verdana"/>
          <w:sz w:val="20"/>
          <w:szCs w:val="20"/>
          <w:lang w:val="es-ES"/>
        </w:rPr>
        <w:t>Dentro de este contexto, el SARLAFT es un sistema de prevención y control para la adecuada gestión del riesgo de lavado de activos y financiación del terrorismo. Para esto, se deberán adoptar unas políticas, procedimientos y herramientas mínimas que contemplen todas las actividades que realizan en desarrollo de su objeto social y que se ajusten a su tamaño, actividad económica, forma de comercialización y demás características particulares de cada agente sujeto a vigilancia. En el caso de las entidades vigiladas por la Superintendencia Financiera, se requiere que implementen el SARLAFT con el fin de prevenir que sean utilizadas para (i) dar apariencia de legalidad a activos provenientes de actividades delictivas y/o (</w:t>
      </w:r>
      <w:proofErr w:type="spellStart"/>
      <w:r w:rsidRPr="00C75658">
        <w:rPr>
          <w:rFonts w:ascii="Verdana" w:eastAsia="Verdana" w:hAnsi="Verdana" w:cs="Verdana"/>
          <w:sz w:val="20"/>
          <w:szCs w:val="20"/>
          <w:lang w:val="es-ES"/>
        </w:rPr>
        <w:t>ii</w:t>
      </w:r>
      <w:proofErr w:type="spellEnd"/>
      <w:r w:rsidRPr="00C75658">
        <w:rPr>
          <w:rFonts w:ascii="Verdana" w:eastAsia="Verdana" w:hAnsi="Verdana" w:cs="Verdana"/>
          <w:sz w:val="20"/>
          <w:szCs w:val="20"/>
          <w:lang w:val="es-ES"/>
        </w:rPr>
        <w:t xml:space="preserve">) canalizar recursos hacia la realización de actividades terroristas. Con este fin, en desarrollo de los dispuesto en los artículos 102 y subsiguientes del Decreto Ley 663 de 1993, Estatuto Orgánico del Sistema Financiero, así como lo dispuesto en el </w:t>
      </w:r>
      <w:r w:rsidR="009128D8" w:rsidRPr="00C75658">
        <w:rPr>
          <w:rFonts w:ascii="Verdana" w:eastAsia="Verdana" w:hAnsi="Verdana" w:cs="Verdana"/>
          <w:sz w:val="20"/>
          <w:szCs w:val="20"/>
          <w:lang w:val="es-ES"/>
        </w:rPr>
        <w:t>artículo</w:t>
      </w:r>
      <w:r w:rsidRPr="00C75658">
        <w:rPr>
          <w:rFonts w:ascii="Verdana" w:eastAsia="Verdana" w:hAnsi="Verdana" w:cs="Verdana"/>
          <w:sz w:val="20"/>
          <w:szCs w:val="20"/>
          <w:lang w:val="es-ES"/>
        </w:rPr>
        <w:t xml:space="preserve"> 22 de la Ley 964 de 2005, la Superintendencia determina los criterios y parámetros </w:t>
      </w:r>
      <w:r w:rsidR="009128D8" w:rsidRPr="00C75658">
        <w:rPr>
          <w:rFonts w:ascii="Verdana" w:eastAsia="Verdana" w:hAnsi="Verdana" w:cs="Verdana"/>
          <w:sz w:val="20"/>
          <w:szCs w:val="20"/>
          <w:lang w:val="es-ES"/>
        </w:rPr>
        <w:t>mínimos</w:t>
      </w:r>
      <w:r w:rsidRPr="00C75658">
        <w:rPr>
          <w:rFonts w:ascii="Verdana" w:eastAsia="Verdana" w:hAnsi="Verdana" w:cs="Verdana"/>
          <w:sz w:val="20"/>
          <w:szCs w:val="20"/>
          <w:lang w:val="es-ES"/>
        </w:rPr>
        <w:t xml:space="preserve"> que las entidades vigiladas deben atender en el </w:t>
      </w:r>
      <w:r w:rsidR="009128D8" w:rsidRPr="00C75658">
        <w:rPr>
          <w:rFonts w:ascii="Verdana" w:eastAsia="Verdana" w:hAnsi="Verdana" w:cs="Verdana"/>
          <w:sz w:val="20"/>
          <w:szCs w:val="20"/>
          <w:lang w:val="es-ES"/>
        </w:rPr>
        <w:t>diseño</w:t>
      </w:r>
      <w:r w:rsidRPr="00C75658">
        <w:rPr>
          <w:rFonts w:ascii="Verdana" w:eastAsia="Verdana" w:hAnsi="Verdana" w:cs="Verdana"/>
          <w:sz w:val="20"/>
          <w:szCs w:val="20"/>
          <w:lang w:val="es-ES"/>
        </w:rPr>
        <w:t>, implementación y funcionamiento del mencionado sistema.</w:t>
      </w:r>
    </w:p>
    <w:p w14:paraId="4D956B13" w14:textId="77777777" w:rsidR="00C75658" w:rsidRPr="009566EC" w:rsidRDefault="00C75658" w:rsidP="009566EC">
      <w:pPr>
        <w:spacing w:after="0" w:line="240" w:lineRule="auto"/>
        <w:jc w:val="both"/>
        <w:rPr>
          <w:rFonts w:ascii="Verdana" w:eastAsia="Verdana" w:hAnsi="Verdana" w:cs="Verdana"/>
          <w:b/>
          <w:bCs/>
          <w:lang w:val="es-ES"/>
        </w:rPr>
      </w:pPr>
    </w:p>
    <w:p w14:paraId="11D8770F" w14:textId="77777777" w:rsidR="009566EC" w:rsidRPr="009566EC" w:rsidRDefault="009566EC" w:rsidP="009566EC">
      <w:pPr>
        <w:spacing w:after="0" w:line="240" w:lineRule="auto"/>
        <w:jc w:val="both"/>
        <w:rPr>
          <w:rFonts w:ascii="Verdana" w:eastAsia="Verdana" w:hAnsi="Verdana" w:cs="Verdana"/>
          <w:b/>
          <w:bCs/>
          <w:lang w:val="es-ES"/>
        </w:rPr>
      </w:pPr>
      <w:r w:rsidRPr="009566EC">
        <w:rPr>
          <w:rFonts w:ascii="Verdana" w:eastAsia="Verdana" w:hAnsi="Verdana" w:cs="Verdana"/>
          <w:b/>
          <w:bCs/>
          <w:lang w:val="es-ES"/>
        </w:rPr>
        <w:t xml:space="preserve">RÉGIMEN DE INHABILIDADES E INCOMPATIBILIDADES – Reserva legal </w:t>
      </w:r>
    </w:p>
    <w:p w14:paraId="4579F654" w14:textId="77777777" w:rsidR="009566EC" w:rsidRPr="009566EC" w:rsidRDefault="009566EC" w:rsidP="009566EC">
      <w:pPr>
        <w:spacing w:after="0" w:line="240" w:lineRule="auto"/>
        <w:jc w:val="both"/>
        <w:rPr>
          <w:rFonts w:ascii="Verdana" w:eastAsia="Verdana" w:hAnsi="Verdana" w:cs="Verdana"/>
          <w:b/>
          <w:bCs/>
          <w:lang w:val="es-ES"/>
        </w:rPr>
      </w:pPr>
    </w:p>
    <w:p w14:paraId="0B543ADE" w14:textId="77777777" w:rsidR="00447557" w:rsidRPr="00447557" w:rsidRDefault="00447557" w:rsidP="00447557">
      <w:pPr>
        <w:spacing w:after="0" w:line="240" w:lineRule="auto"/>
        <w:jc w:val="both"/>
        <w:rPr>
          <w:rFonts w:ascii="Verdana" w:eastAsia="Verdana" w:hAnsi="Verdana" w:cs="Verdana"/>
          <w:sz w:val="20"/>
          <w:szCs w:val="20"/>
          <w:lang w:val="es-ES"/>
        </w:rPr>
      </w:pPr>
      <w:r w:rsidRPr="00447557">
        <w:rPr>
          <w:rFonts w:ascii="Verdana" w:eastAsia="Verdana" w:hAnsi="Verdana" w:cs="Verdana"/>
          <w:sz w:val="20"/>
          <w:szCs w:val="20"/>
          <w:lang w:val="es-ES"/>
        </w:rPr>
        <w:t xml:space="preserve">El carácter reconocidamente taxativo y restrictivo de régimen de inhabilidades implica que las entidades públicas no pueden establecer en el pliego de condiciones causales de inhabilidad o incompatibilidad no previstas en la Constitución o en la ley. En consecuencia, al tratarse de una materia que tiene reserva legal, no es posible que una entidad establezca nuevas causales que afecten la capacidad para contratar con el Estado que se encuentren relacionadas con el tema objeto de consulta, ni siquiera haciéndolas pasar como causa para rechazar los ofrecimientos realizados. </w:t>
      </w:r>
    </w:p>
    <w:p w14:paraId="59897F8D" w14:textId="77777777" w:rsidR="009566EC" w:rsidRPr="009566EC" w:rsidRDefault="009566EC" w:rsidP="009566EC">
      <w:pPr>
        <w:spacing w:after="0" w:line="240" w:lineRule="auto"/>
        <w:jc w:val="both"/>
        <w:rPr>
          <w:rFonts w:ascii="Verdana" w:eastAsia="Verdana" w:hAnsi="Verdana" w:cs="Verdana"/>
          <w:b/>
          <w:bCs/>
          <w:lang w:val="es-ES"/>
        </w:rPr>
      </w:pPr>
    </w:p>
    <w:p w14:paraId="545F1DA2" w14:textId="77777777" w:rsidR="009566EC" w:rsidRPr="009566EC" w:rsidRDefault="009566EC" w:rsidP="009566EC">
      <w:pPr>
        <w:spacing w:after="0" w:line="240" w:lineRule="auto"/>
        <w:jc w:val="both"/>
        <w:rPr>
          <w:rFonts w:ascii="Verdana" w:eastAsia="Verdana" w:hAnsi="Verdana" w:cs="Verdana"/>
          <w:b/>
          <w:bCs/>
          <w:lang w:val="es-ES"/>
        </w:rPr>
      </w:pPr>
      <w:r w:rsidRPr="009566EC">
        <w:rPr>
          <w:rFonts w:ascii="Verdana" w:eastAsia="Verdana" w:hAnsi="Verdana" w:cs="Verdana"/>
          <w:b/>
          <w:bCs/>
          <w:lang w:val="es-ES"/>
        </w:rPr>
        <w:t xml:space="preserve">REPORTE EN LISTAS RESTRICTIVAS – Medidas y alcance </w:t>
      </w:r>
    </w:p>
    <w:p w14:paraId="15BF8E5D" w14:textId="77777777" w:rsidR="009566EC" w:rsidRPr="009566EC" w:rsidRDefault="009566EC" w:rsidP="00187EBB">
      <w:pPr>
        <w:spacing w:after="0" w:line="240" w:lineRule="auto"/>
        <w:jc w:val="both"/>
        <w:rPr>
          <w:rFonts w:ascii="Verdana" w:eastAsia="Verdana" w:hAnsi="Verdana" w:cs="Verdana"/>
          <w:b/>
          <w:bCs/>
          <w:lang w:val="es-ES"/>
        </w:rPr>
      </w:pPr>
    </w:p>
    <w:p w14:paraId="45F6DE5C" w14:textId="77777777" w:rsidR="00187EBB" w:rsidRDefault="00187EBB" w:rsidP="00187EBB">
      <w:pPr>
        <w:snapToGrid w:val="0"/>
        <w:spacing w:after="0" w:line="240" w:lineRule="auto"/>
        <w:contextualSpacing/>
        <w:jc w:val="both"/>
        <w:rPr>
          <w:rFonts w:ascii="Verdana" w:eastAsia="Calibri" w:hAnsi="Verdana" w:cs="Arial"/>
          <w:color w:val="000000" w:themeColor="text1"/>
          <w:sz w:val="20"/>
          <w:szCs w:val="20"/>
        </w:rPr>
      </w:pPr>
      <w:r w:rsidRPr="00893C18">
        <w:rPr>
          <w:rFonts w:ascii="Verdana" w:eastAsia="Calibri" w:hAnsi="Verdana" w:cs="Arial"/>
          <w:color w:val="000000" w:themeColor="text1"/>
          <w:sz w:val="20"/>
          <w:szCs w:val="20"/>
        </w:rPr>
        <w:t xml:space="preserve">[…] las entidades deben implementar sistemas para prevenir el riesgo de que se introduzcan al sistema financiero recursos provenientes de actividades relacionadas con el lavado de activos y/o </w:t>
      </w:r>
      <w:proofErr w:type="spellStart"/>
      <w:r w:rsidRPr="00893C18">
        <w:rPr>
          <w:rFonts w:ascii="Verdana" w:eastAsia="Calibri" w:hAnsi="Verdana" w:cs="Arial"/>
          <w:color w:val="000000" w:themeColor="text1"/>
          <w:sz w:val="20"/>
          <w:szCs w:val="20"/>
        </w:rPr>
        <w:t>financiación</w:t>
      </w:r>
      <w:proofErr w:type="spellEnd"/>
      <w:r w:rsidRPr="00893C18">
        <w:rPr>
          <w:rFonts w:ascii="Verdana" w:eastAsia="Calibri" w:hAnsi="Verdana" w:cs="Arial"/>
          <w:color w:val="000000" w:themeColor="text1"/>
          <w:sz w:val="20"/>
          <w:szCs w:val="20"/>
        </w:rPr>
        <w:t xml:space="preserve"> del terrorismo (LA/FT), así como detectar y reportar las operaciones cuyo propósito sea dar apariencia de legalidad a operaciones vinculadas al LA/FT.</w:t>
      </w:r>
    </w:p>
    <w:p w14:paraId="2ABD3CD3" w14:textId="77777777" w:rsidR="00187EBB" w:rsidRPr="00893C18" w:rsidRDefault="00187EBB" w:rsidP="00187EBB">
      <w:pPr>
        <w:snapToGrid w:val="0"/>
        <w:spacing w:after="0" w:line="240" w:lineRule="auto"/>
        <w:contextualSpacing/>
        <w:jc w:val="both"/>
        <w:rPr>
          <w:rFonts w:ascii="Verdana" w:eastAsia="Calibri" w:hAnsi="Verdana" w:cs="Arial"/>
          <w:color w:val="000000" w:themeColor="text1"/>
          <w:sz w:val="20"/>
          <w:szCs w:val="20"/>
        </w:rPr>
      </w:pPr>
    </w:p>
    <w:p w14:paraId="38D3367B" w14:textId="77777777" w:rsidR="00187EBB" w:rsidRDefault="00187EBB" w:rsidP="00187EBB">
      <w:pPr>
        <w:spacing w:after="0" w:line="240" w:lineRule="auto"/>
        <w:jc w:val="both"/>
        <w:rPr>
          <w:rFonts w:ascii="Verdana" w:eastAsia="Calibri" w:hAnsi="Verdana" w:cs="Arial"/>
          <w:color w:val="000000" w:themeColor="text1"/>
          <w:sz w:val="20"/>
          <w:szCs w:val="20"/>
        </w:rPr>
      </w:pPr>
      <w:r w:rsidRPr="00893C18">
        <w:rPr>
          <w:rFonts w:ascii="Verdana" w:eastAsia="Calibri" w:hAnsi="Verdana" w:cs="Arial"/>
          <w:color w:val="000000" w:themeColor="text1"/>
          <w:sz w:val="20"/>
          <w:szCs w:val="20"/>
        </w:rPr>
        <w:t>En particular, para prevenir el riesgo de corrupción y de delitos derivados de la celebración de contratos estatales, la Sala de Consulta y Servicio Civil del Consejo de Estado explica que las entidades –tanto las sometidas como exceptuadas de la Ley 80 de 1993– tienen las siguientes opciones: “(i) En los estudios previos que sustentan la contratación: a) tipificar, estimar y asignar los riesgos para prevenir actos de corrupción; b) contemplar las medidas tendientes a verificar las calidades de los proponentes o futuros contratistas; (</w:t>
      </w:r>
      <w:proofErr w:type="spellStart"/>
      <w:r w:rsidRPr="00893C18">
        <w:rPr>
          <w:rFonts w:ascii="Verdana" w:eastAsia="Calibri" w:hAnsi="Verdana" w:cs="Arial"/>
          <w:color w:val="000000" w:themeColor="text1"/>
          <w:sz w:val="20"/>
          <w:szCs w:val="20"/>
        </w:rPr>
        <w:t>ii</w:t>
      </w:r>
      <w:proofErr w:type="spellEnd"/>
      <w:r w:rsidRPr="00893C18">
        <w:rPr>
          <w:rFonts w:ascii="Verdana" w:eastAsia="Calibri" w:hAnsi="Verdana" w:cs="Arial"/>
          <w:color w:val="000000" w:themeColor="text1"/>
          <w:sz w:val="20"/>
          <w:szCs w:val="20"/>
        </w:rPr>
        <w:t xml:space="preserve">) En los pliegos de condiciones y como parte integrante de la oferta: a) exigir la suscripción de “pactos o compromisos de integridad” y de la “declaración de origen de fondos”; b) identificar plenamente al proponente y verificar los datos pertinentes, de acuerdo con la prerrogativa de la entidad, y c) señalar </w:t>
      </w:r>
      <w:r w:rsidRPr="00893C18">
        <w:rPr>
          <w:rFonts w:ascii="Verdana" w:eastAsia="Calibri" w:hAnsi="Verdana" w:cs="Arial"/>
          <w:color w:val="000000" w:themeColor="text1"/>
          <w:sz w:val="20"/>
          <w:szCs w:val="20"/>
        </w:rPr>
        <w:lastRenderedPageBreak/>
        <w:t>expresamente que uno de los riesgos asociados al contrato es el de corrupción, el cual se relaciona directamente con el riesgo financiero y, en consecuencia, exigir garantías suficientes que permitan mantener cubierta a la entidad en relación con este riesgo; (</w:t>
      </w:r>
      <w:proofErr w:type="spellStart"/>
      <w:r w:rsidRPr="00893C18">
        <w:rPr>
          <w:rFonts w:ascii="Verdana" w:eastAsia="Calibri" w:hAnsi="Verdana" w:cs="Arial"/>
          <w:color w:val="000000" w:themeColor="text1"/>
          <w:sz w:val="20"/>
          <w:szCs w:val="20"/>
        </w:rPr>
        <w:t>iii</w:t>
      </w:r>
      <w:proofErr w:type="spellEnd"/>
      <w:r w:rsidRPr="00893C18">
        <w:rPr>
          <w:rFonts w:ascii="Verdana" w:eastAsia="Calibri" w:hAnsi="Verdana" w:cs="Arial"/>
          <w:color w:val="000000" w:themeColor="text1"/>
          <w:sz w:val="20"/>
          <w:szCs w:val="20"/>
        </w:rPr>
        <w:t>) En las cláusulas contractuales: a) incorporar la obligación a cargo del contratista de reportar periódicamente su información societaria, financiera y comercial, así como la modificación del estado de los mencionados riesgos; b) con el fin de proteger los intereses de la administración, incluir condiciones resolutorias expresas por hechos u omisiones que, aunque no estén tipificadas como causales de inhabilidad o incompatibilidad impliquen por parte del contratista o de las personas vinculadas a él actos de corrupción u otras circunstancias de las cuales se derive el aumento considerable de los riesgos para la entidad contratante o que vulneren los principios de la contratación estatal; c) estipular multas en los términos expuestos en este concepto”.</w:t>
      </w:r>
    </w:p>
    <w:p w14:paraId="58553AF8" w14:textId="77777777" w:rsidR="009566EC" w:rsidRPr="00187EBB" w:rsidRDefault="009566EC" w:rsidP="009566EC">
      <w:pPr>
        <w:spacing w:after="0" w:line="240" w:lineRule="auto"/>
        <w:jc w:val="both"/>
        <w:rPr>
          <w:rFonts w:ascii="Verdana" w:eastAsia="Verdana" w:hAnsi="Verdana" w:cs="Verdana"/>
          <w:b/>
          <w:bCs/>
        </w:rPr>
      </w:pPr>
    </w:p>
    <w:p w14:paraId="45135C84" w14:textId="77777777" w:rsidR="009566EC" w:rsidRPr="009566EC" w:rsidRDefault="009566EC" w:rsidP="009566EC">
      <w:pPr>
        <w:spacing w:after="0" w:line="240" w:lineRule="auto"/>
        <w:jc w:val="both"/>
        <w:rPr>
          <w:rFonts w:ascii="Verdana" w:eastAsia="Verdana" w:hAnsi="Verdana" w:cs="Verdana"/>
          <w:b/>
          <w:bCs/>
          <w:lang w:val="es-ES"/>
        </w:rPr>
      </w:pPr>
      <w:r w:rsidRPr="009566EC">
        <w:rPr>
          <w:rFonts w:ascii="Verdana" w:eastAsia="Verdana" w:hAnsi="Verdana" w:cs="Verdana"/>
          <w:b/>
          <w:bCs/>
          <w:lang w:val="es-ES"/>
        </w:rPr>
        <w:t xml:space="preserve">DEBIDA DILIGENCIA INTENSIFICADA – Resolución 2328 de 2025 – Definición – Debida diligencia – Debida diligencia intensificada </w:t>
      </w:r>
    </w:p>
    <w:p w14:paraId="763F369E" w14:textId="77777777" w:rsidR="009566EC" w:rsidRPr="00802767" w:rsidRDefault="009566EC" w:rsidP="00802767">
      <w:pPr>
        <w:spacing w:after="0" w:line="240" w:lineRule="auto"/>
        <w:jc w:val="both"/>
        <w:rPr>
          <w:rFonts w:ascii="Verdana" w:eastAsia="Verdana" w:hAnsi="Verdana" w:cs="Verdana"/>
          <w:sz w:val="20"/>
          <w:szCs w:val="20"/>
          <w:lang w:val="es-ES"/>
        </w:rPr>
      </w:pPr>
    </w:p>
    <w:p w14:paraId="222AC527" w14:textId="77777777" w:rsidR="00802767" w:rsidRPr="00802767" w:rsidRDefault="00802767" w:rsidP="00802767">
      <w:pPr>
        <w:spacing w:after="0" w:line="240" w:lineRule="auto"/>
        <w:jc w:val="both"/>
        <w:rPr>
          <w:rFonts w:ascii="Verdana" w:eastAsia="Verdana" w:hAnsi="Verdana" w:cs="Verdana"/>
          <w:sz w:val="20"/>
          <w:szCs w:val="20"/>
        </w:rPr>
      </w:pPr>
      <w:r w:rsidRPr="00802767">
        <w:rPr>
          <w:rFonts w:ascii="Verdana" w:eastAsia="Verdana" w:hAnsi="Verdana" w:cs="Verdana"/>
          <w:sz w:val="20"/>
          <w:szCs w:val="20"/>
          <w:lang w:val="es-ES"/>
        </w:rPr>
        <w:t>La Resolución 2328 de 2025, “</w:t>
      </w:r>
      <w:r w:rsidRPr="00802767">
        <w:rPr>
          <w:rFonts w:ascii="Verdana" w:eastAsia="Verdana" w:hAnsi="Verdana" w:cs="Verdana"/>
          <w:sz w:val="20"/>
          <w:szCs w:val="20"/>
        </w:rPr>
        <w:t xml:space="preserve">por la cual se modifica el capítulo 6 del Título V de la Circular Única de Infraestructura y Transporte”, que impone a los sujetos de vigilancia, inspección y control de la Superintendencia de Transporte la obligación de implementar el Sistema de Administración de Riesgos de Lavado de Activos, Financiación del Terrorismo y Financiación de la Proliferación de Armas de Destrucción Masiva –SARLAFT–. Dicha resolución establece un marco normativo detallado para la adopción de medidas de conocimiento de la contraparte, dentro del cual se definen dos niveles de diligencia en el artículo 5.6.2. En primer lugar, la debida diligencia, entendida en el artículo 5.6.2 como: “[…] el proceso mediante el cual la Empresa adopta medidas para el conocimiento de la Contraparte, de su negocio, operaciones, y Productos y el volumen de sus transacciones, que se desarrolla establecido en la presente resolución”. En segundo lugar, la debida diligencia intensificada, definida como: “[…] el proceso mediante el cual la Empresa adopta medidas adicionales y con mayor intensidad para el conocimiento de la contraparte, de su negocio, operaciones, productos y el volumen de sus transacciones”. </w:t>
      </w:r>
    </w:p>
    <w:p w14:paraId="34201614" w14:textId="2CA64913" w:rsidR="009566EC" w:rsidRPr="00802767" w:rsidRDefault="009566EC" w:rsidP="009566EC">
      <w:pPr>
        <w:spacing w:after="0" w:line="240" w:lineRule="auto"/>
        <w:jc w:val="both"/>
        <w:rPr>
          <w:rFonts w:ascii="Verdana" w:eastAsia="Verdana" w:hAnsi="Verdana" w:cs="Verdana"/>
          <w:b/>
          <w:bCs/>
        </w:rPr>
      </w:pPr>
    </w:p>
    <w:p w14:paraId="03257FA5" w14:textId="024E25B0" w:rsidR="009566EC" w:rsidRPr="009566EC" w:rsidRDefault="009566EC" w:rsidP="009566EC">
      <w:pPr>
        <w:spacing w:after="0" w:line="240" w:lineRule="auto"/>
        <w:jc w:val="both"/>
        <w:rPr>
          <w:rFonts w:ascii="Verdana" w:eastAsia="Verdana" w:hAnsi="Verdana" w:cs="Verdana"/>
          <w:b/>
          <w:bCs/>
        </w:rPr>
      </w:pPr>
      <w:r w:rsidRPr="009566EC">
        <w:rPr>
          <w:rFonts w:ascii="Verdana" w:eastAsia="Verdana" w:hAnsi="Verdana" w:cs="Verdana"/>
          <w:b/>
          <w:bCs/>
          <w:lang w:val="es-ES"/>
        </w:rPr>
        <w:t>DEBIDA DILIGENCIA INTENSIFICADA – Prohibición – Inhabilidades e incompatibilidades – causales de rechazo – Selección objetiva</w:t>
      </w:r>
    </w:p>
    <w:p w14:paraId="70A0CD51" w14:textId="77777777" w:rsidR="009566EC" w:rsidRPr="00F9669E" w:rsidRDefault="009566EC" w:rsidP="00F9669E">
      <w:pPr>
        <w:spacing w:after="0" w:line="240" w:lineRule="auto"/>
        <w:jc w:val="both"/>
        <w:rPr>
          <w:rFonts w:ascii="Verdana" w:eastAsia="Verdana" w:hAnsi="Verdana" w:cs="Verdana"/>
        </w:rPr>
      </w:pPr>
    </w:p>
    <w:p w14:paraId="431BEBF6" w14:textId="48E4958E" w:rsidR="009566EC" w:rsidRDefault="00802767" w:rsidP="00F9669E">
      <w:pPr>
        <w:spacing w:after="0" w:line="240" w:lineRule="auto"/>
        <w:jc w:val="both"/>
        <w:rPr>
          <w:rFonts w:ascii="Verdana" w:eastAsia="Verdana" w:hAnsi="Verdana" w:cs="Verdana"/>
          <w:sz w:val="20"/>
          <w:szCs w:val="20"/>
        </w:rPr>
      </w:pPr>
      <w:r w:rsidRPr="00F9669E">
        <w:rPr>
          <w:rFonts w:ascii="Verdana" w:eastAsia="Verdana" w:hAnsi="Verdana" w:cs="Verdana"/>
          <w:sz w:val="20"/>
          <w:szCs w:val="20"/>
        </w:rPr>
        <w:t>El artículo 5.6.11.2 establece que los procedimientos de debida diligencia deben permitir la prevención y control de los riesgos LA/FT/FP a los que se encuentra expuesto el sujeto obligado, aplicando medidas mínimas conforme al enfoque basado en riesgo. Este enfoque exige que la empresa evalúe las características de sus operaciones, productos, contratos, contrapartes, zonas geográficas y canales de distribución, de manera que el conocimiento de la contraparte sea proporcional al nivel de exposición identificado. La debida diligencia implica identificar y verificar la identidad de la contraparte y de sus beneficiarios finales, conocer la estructura de titularidad y control en el caso de personas jurídicas, y determinar si existen operaciones con activos virtuales que ameriten una diligencia intensificada</w:t>
      </w:r>
      <w:r w:rsidR="001F7052">
        <w:rPr>
          <w:rFonts w:ascii="Verdana" w:eastAsia="Verdana" w:hAnsi="Verdana" w:cs="Verdana"/>
          <w:sz w:val="20"/>
          <w:szCs w:val="20"/>
        </w:rPr>
        <w:t>.</w:t>
      </w:r>
    </w:p>
    <w:p w14:paraId="2FDD6188" w14:textId="77777777" w:rsidR="001F7052" w:rsidRPr="00F9669E" w:rsidRDefault="001F7052" w:rsidP="00F9669E">
      <w:pPr>
        <w:spacing w:after="0" w:line="240" w:lineRule="auto"/>
        <w:jc w:val="both"/>
        <w:rPr>
          <w:rFonts w:ascii="Verdana" w:eastAsia="Verdana" w:hAnsi="Verdana" w:cs="Verdana"/>
          <w:sz w:val="20"/>
          <w:szCs w:val="20"/>
        </w:rPr>
      </w:pPr>
    </w:p>
    <w:p w14:paraId="330651CF" w14:textId="1FE25506" w:rsidR="001F7052" w:rsidRPr="001F7052" w:rsidRDefault="001F7052" w:rsidP="001F7052">
      <w:pPr>
        <w:spacing w:after="0" w:line="240" w:lineRule="auto"/>
        <w:jc w:val="both"/>
        <w:rPr>
          <w:rFonts w:ascii="Verdana" w:eastAsia="Verdana" w:hAnsi="Verdana" w:cs="Verdana"/>
          <w:sz w:val="20"/>
          <w:szCs w:val="20"/>
        </w:rPr>
      </w:pPr>
      <w:r w:rsidRPr="001F7052">
        <w:rPr>
          <w:rFonts w:ascii="Verdana" w:eastAsia="Verdana" w:hAnsi="Verdana" w:cs="Verdana"/>
          <w:sz w:val="20"/>
          <w:szCs w:val="20"/>
        </w:rPr>
        <w:t xml:space="preserve">[…] este proceso de debida diligencia intensificada se activa frente a contrapartes catalogadas como de mayor riesgo, incluyendo las Personas Expuestas Políticamente (PEP) y aquellas ubicadas en países no cooperantes o jurisdicciones de alto riesgo, así como frente a contrapartes que desarrollan o realizan transacciones con activos virtuales, dada la naturaleza altamente vulnerable de estos instrumentos. En estos casos, la entidad debe profundizar en el conocimiento de la contraparte, su actividad económica, la estructura de titularidad y control, la trazabilidad de las operaciones y el origen de los fondos, aplicando verificaciones adicionales y más rigurosas que las previstas en la debida diligencia ordinaria. Además, el proceso exige la implementación de un mecanismo de aprobación por parte de la instancia o funcionario de mayor jerarquía, quien debe decidir si se vincula, rechaza o continúa la relación contractual una vez evaluados los resultados de la debida diligencia intensificada. </w:t>
      </w:r>
    </w:p>
    <w:p w14:paraId="70B03103" w14:textId="77777777" w:rsidR="001F7052" w:rsidRPr="001F7052" w:rsidRDefault="001F7052" w:rsidP="001F7052">
      <w:pPr>
        <w:spacing w:after="0" w:line="240" w:lineRule="auto"/>
        <w:jc w:val="both"/>
        <w:rPr>
          <w:rFonts w:ascii="Verdana" w:eastAsia="Verdana" w:hAnsi="Verdana" w:cs="Verdana"/>
          <w:sz w:val="20"/>
          <w:szCs w:val="20"/>
        </w:rPr>
      </w:pPr>
    </w:p>
    <w:p w14:paraId="44C40F53" w14:textId="77777777" w:rsidR="001F7052" w:rsidRPr="001F7052" w:rsidRDefault="001F7052" w:rsidP="001F7052">
      <w:pPr>
        <w:spacing w:after="0" w:line="240" w:lineRule="auto"/>
        <w:jc w:val="both"/>
        <w:rPr>
          <w:rFonts w:ascii="Verdana" w:eastAsia="Verdana" w:hAnsi="Verdana" w:cs="Verdana"/>
          <w:sz w:val="20"/>
          <w:szCs w:val="20"/>
        </w:rPr>
      </w:pPr>
      <w:r w:rsidRPr="001F7052">
        <w:rPr>
          <w:rFonts w:ascii="Verdana" w:eastAsia="Verdana" w:hAnsi="Verdana" w:cs="Verdana"/>
          <w:sz w:val="20"/>
          <w:szCs w:val="20"/>
        </w:rPr>
        <w:t>La posibilidad de rechazar la vinculación contractual prevista en el literal d) del artículo 5.6.11 debe entenderse de manera armónica con el régimen de contratación estatal y con los límites que este impone. En el contexto del SARLAFT, dicha facultad de rechazar el vínculo contractual no opera como una causal autónoma de exclusión, sino como una medida interna de gestión del riesgo que orienta la toma de decisiones dentro del proceso de debida diligencia intensificada. Por ello, su aplicación debe respetar las reglas de legalidad, taxatividad y competencia propias del sistema de compras públicas, evitando que se convierta en un mecanismo para introducir causales de rechazo, inhabilidad o incompatibilidad no previstas en la Constitución o en la ley. Es decir, para las entidades estatales que están sujetas a la Resolución 2328 de 2025 —es decir, aquellas bajo la supervisión de la Superintendencia de Transporte— las medidas de gestión del riesgo no pueden implicar la configuración de causales autónomas de inhabilidad, incompatibilidad o rechazo de ofertas con tintes de inhabilidad, pues tiene reserva legal o constitucional. En consecuencia, las entidades no pueden incorporar en los pliegos de condiciones causales derivadas del SARLAFT como motivos para excluir oferentes, ni pueden disfrazarlas como criterios de rechazo, dado que ello vulneraría el principio de legalidad y excedería su competencia normativa.</w:t>
      </w:r>
    </w:p>
    <w:p w14:paraId="212CFA1B" w14:textId="77777777" w:rsidR="001F7052" w:rsidRDefault="001F7052" w:rsidP="001F7052">
      <w:pPr>
        <w:spacing w:after="0" w:line="240" w:lineRule="auto"/>
        <w:jc w:val="both"/>
        <w:rPr>
          <w:rFonts w:ascii="Verdana" w:eastAsia="Verdana" w:hAnsi="Verdana" w:cs="Verdana"/>
        </w:rPr>
      </w:pPr>
    </w:p>
    <w:p w14:paraId="33E7E981" w14:textId="77777777" w:rsidR="001F7052" w:rsidRDefault="001F7052" w:rsidP="001F7052">
      <w:pPr>
        <w:spacing w:after="0" w:line="240" w:lineRule="auto"/>
        <w:jc w:val="both"/>
        <w:rPr>
          <w:rFonts w:ascii="Verdana" w:eastAsia="Verdana" w:hAnsi="Verdana" w:cs="Verdana"/>
        </w:rPr>
      </w:pPr>
    </w:p>
    <w:p w14:paraId="0788E2F4" w14:textId="77777777" w:rsidR="001F7052" w:rsidRDefault="001F7052" w:rsidP="001F7052">
      <w:pPr>
        <w:spacing w:after="0" w:line="240" w:lineRule="auto"/>
        <w:jc w:val="both"/>
        <w:rPr>
          <w:rFonts w:ascii="Verdana" w:eastAsia="Verdana" w:hAnsi="Verdana" w:cs="Verdana"/>
        </w:rPr>
      </w:pPr>
    </w:p>
    <w:p w14:paraId="610C9178" w14:textId="77777777" w:rsidR="001F7052" w:rsidRDefault="001F7052" w:rsidP="001F7052">
      <w:pPr>
        <w:spacing w:after="0" w:line="240" w:lineRule="auto"/>
        <w:jc w:val="both"/>
        <w:rPr>
          <w:rFonts w:ascii="Verdana" w:eastAsia="Verdana" w:hAnsi="Verdana" w:cs="Verdana"/>
        </w:rPr>
      </w:pPr>
    </w:p>
    <w:p w14:paraId="33C25803" w14:textId="77777777" w:rsidR="001F7052" w:rsidRDefault="001F7052" w:rsidP="001F7052">
      <w:pPr>
        <w:spacing w:after="0" w:line="240" w:lineRule="auto"/>
        <w:jc w:val="both"/>
        <w:rPr>
          <w:rFonts w:ascii="Verdana" w:eastAsia="Verdana" w:hAnsi="Verdana" w:cs="Verdana"/>
        </w:rPr>
      </w:pPr>
    </w:p>
    <w:p w14:paraId="2D49C23D" w14:textId="77777777" w:rsidR="001F7052" w:rsidRDefault="001F7052" w:rsidP="001F7052">
      <w:pPr>
        <w:spacing w:after="0" w:line="240" w:lineRule="auto"/>
        <w:jc w:val="both"/>
        <w:rPr>
          <w:rFonts w:ascii="Verdana" w:eastAsia="Verdana" w:hAnsi="Verdana" w:cs="Verdana"/>
        </w:rPr>
      </w:pPr>
    </w:p>
    <w:p w14:paraId="7709A7DC" w14:textId="77777777" w:rsidR="001F7052" w:rsidRDefault="001F7052" w:rsidP="001F7052">
      <w:pPr>
        <w:spacing w:after="0" w:line="240" w:lineRule="auto"/>
        <w:jc w:val="both"/>
        <w:rPr>
          <w:rFonts w:ascii="Verdana" w:eastAsia="Verdana" w:hAnsi="Verdana" w:cs="Verdana"/>
        </w:rPr>
      </w:pPr>
    </w:p>
    <w:p w14:paraId="7A7D0D70" w14:textId="77777777" w:rsidR="001F7052" w:rsidRDefault="001F7052" w:rsidP="001F7052">
      <w:pPr>
        <w:spacing w:after="0" w:line="240" w:lineRule="auto"/>
        <w:jc w:val="both"/>
        <w:rPr>
          <w:rFonts w:ascii="Verdana" w:eastAsia="Verdana" w:hAnsi="Verdana" w:cs="Verdana"/>
        </w:rPr>
      </w:pPr>
    </w:p>
    <w:p w14:paraId="131CB222" w14:textId="77777777" w:rsidR="001F7052" w:rsidRDefault="001F7052" w:rsidP="001F7052">
      <w:pPr>
        <w:spacing w:after="0" w:line="240" w:lineRule="auto"/>
        <w:jc w:val="both"/>
        <w:rPr>
          <w:rFonts w:ascii="Verdana" w:eastAsia="Verdana" w:hAnsi="Verdana" w:cs="Verdana"/>
        </w:rPr>
      </w:pPr>
    </w:p>
    <w:p w14:paraId="12F0C09D" w14:textId="77777777" w:rsidR="001F7052" w:rsidRDefault="001F7052" w:rsidP="001F7052">
      <w:pPr>
        <w:spacing w:after="0" w:line="240" w:lineRule="auto"/>
        <w:jc w:val="both"/>
        <w:rPr>
          <w:rFonts w:ascii="Verdana" w:eastAsia="Verdana" w:hAnsi="Verdana" w:cs="Verdana"/>
        </w:rPr>
      </w:pPr>
    </w:p>
    <w:p w14:paraId="36F98AC0" w14:textId="77777777" w:rsidR="001F7052" w:rsidRDefault="001F7052" w:rsidP="001F7052">
      <w:pPr>
        <w:spacing w:after="0" w:line="240" w:lineRule="auto"/>
        <w:jc w:val="both"/>
        <w:rPr>
          <w:rFonts w:ascii="Verdana" w:eastAsia="Verdana" w:hAnsi="Verdana" w:cs="Verdana"/>
        </w:rPr>
      </w:pPr>
    </w:p>
    <w:p w14:paraId="017AB1BB" w14:textId="77777777" w:rsidR="001F7052" w:rsidRDefault="001F7052" w:rsidP="001F7052">
      <w:pPr>
        <w:spacing w:after="0" w:line="240" w:lineRule="auto"/>
        <w:jc w:val="both"/>
        <w:rPr>
          <w:rFonts w:ascii="Verdana" w:eastAsia="Verdana" w:hAnsi="Verdana" w:cs="Verdana"/>
        </w:rPr>
      </w:pPr>
    </w:p>
    <w:p w14:paraId="504EA81A" w14:textId="77777777" w:rsidR="001F7052" w:rsidRDefault="001F7052" w:rsidP="001F7052">
      <w:pPr>
        <w:spacing w:after="0" w:line="240" w:lineRule="auto"/>
        <w:jc w:val="both"/>
        <w:rPr>
          <w:rFonts w:ascii="Verdana" w:eastAsia="Verdana" w:hAnsi="Verdana" w:cs="Verdana"/>
        </w:rPr>
      </w:pPr>
    </w:p>
    <w:p w14:paraId="092B3D7D" w14:textId="0AC7C726" w:rsidR="00E34DF0" w:rsidRPr="00753106" w:rsidRDefault="00D472C6" w:rsidP="001F7052">
      <w:pPr>
        <w:spacing w:after="0" w:line="240" w:lineRule="auto"/>
        <w:jc w:val="both"/>
        <w:rPr>
          <w:rFonts w:ascii="Verdana" w:hAnsi="Verdana"/>
          <w:lang w:val="es-ES"/>
        </w:rPr>
      </w:pPr>
      <w:r w:rsidRPr="00D472C6">
        <w:rPr>
          <w:rFonts w:ascii="Verdana" w:hAnsi="Verdana"/>
          <w:noProof/>
          <w:lang w:val="es-ES"/>
        </w:rPr>
        <w:lastRenderedPageBreak/>
        <w:drawing>
          <wp:anchor distT="0" distB="0" distL="114300" distR="114300" simplePos="0" relativeHeight="251657216" behindDoc="0" locked="0" layoutInCell="1" allowOverlap="1" wp14:anchorId="59B85762" wp14:editId="2A6ADEC3">
            <wp:simplePos x="0" y="0"/>
            <wp:positionH relativeFrom="margin">
              <wp:align>right</wp:align>
            </wp:positionH>
            <wp:positionV relativeFrom="paragraph">
              <wp:posOffset>52070</wp:posOffset>
            </wp:positionV>
            <wp:extent cx="2560320" cy="708660"/>
            <wp:effectExtent l="0" t="0" r="0" b="0"/>
            <wp:wrapSquare wrapText="bothSides"/>
            <wp:docPr id="20327186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0320" cy="708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4DF0" w:rsidRPr="30821638">
        <w:rPr>
          <w:rFonts w:ascii="Verdana" w:eastAsia="Verdana" w:hAnsi="Verdana" w:cs="Verdana"/>
        </w:rPr>
        <w:t xml:space="preserve">Bogotá D.C., </w:t>
      </w:r>
      <w:r w:rsidR="009566EC">
        <w:rPr>
          <w:rFonts w:ascii="Verdana" w:eastAsia="Verdana" w:hAnsi="Verdana" w:cs="Verdana"/>
        </w:rPr>
        <w:t>14 de julio de 2026</w:t>
      </w:r>
      <w:r w:rsidR="00E34DF0">
        <w:tab/>
      </w:r>
      <w:r w:rsidR="00E34DF0">
        <w:br/>
      </w:r>
    </w:p>
    <w:p w14:paraId="5AE2A55F" w14:textId="77777777" w:rsidR="00E34DF0" w:rsidRDefault="00E34DF0" w:rsidP="00E34DF0">
      <w:pPr>
        <w:spacing w:after="0" w:line="240" w:lineRule="auto"/>
        <w:jc w:val="both"/>
        <w:rPr>
          <w:rFonts w:ascii="Verdana" w:eastAsia="Calibri" w:hAnsi="Verdana" w:cs="Arial"/>
          <w:color w:val="000000" w:themeColor="text1"/>
          <w:lang w:val="es-ES" w:eastAsia="es-ES"/>
        </w:rPr>
      </w:pPr>
    </w:p>
    <w:p w14:paraId="43EF19DC" w14:textId="77777777" w:rsidR="00E34DF0" w:rsidRDefault="00E34DF0" w:rsidP="00E34DF0">
      <w:pPr>
        <w:spacing w:after="0" w:line="240"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Señores</w:t>
      </w:r>
    </w:p>
    <w:p w14:paraId="46BFD96C" w14:textId="77777777" w:rsidR="00E34DF0" w:rsidRPr="004B3E1B" w:rsidRDefault="00E34DF0" w:rsidP="00E34DF0">
      <w:pPr>
        <w:spacing w:after="0" w:line="240" w:lineRule="auto"/>
        <w:jc w:val="both"/>
        <w:rPr>
          <w:rFonts w:ascii="Verdana" w:eastAsia="Calibri" w:hAnsi="Verdana" w:cs="Arial"/>
          <w:b/>
          <w:bCs/>
          <w:color w:val="000000" w:themeColor="text1"/>
          <w:lang w:val="es-ES" w:eastAsia="es-ES"/>
        </w:rPr>
      </w:pPr>
      <w:r w:rsidRPr="004B3E1B">
        <w:rPr>
          <w:rFonts w:ascii="Verdana" w:eastAsia="Calibri" w:hAnsi="Verdana" w:cs="Arial"/>
          <w:b/>
          <w:bCs/>
          <w:color w:val="000000" w:themeColor="text1"/>
          <w:lang w:val="es-ES" w:eastAsia="es-ES"/>
        </w:rPr>
        <w:t>Cable Aéreo de Manizales</w:t>
      </w:r>
    </w:p>
    <w:p w14:paraId="4904EF88" w14:textId="77777777" w:rsidR="00E34DF0" w:rsidRPr="00BD3029" w:rsidRDefault="00E34DF0" w:rsidP="00E34DF0">
      <w:pPr>
        <w:spacing w:after="0" w:line="240" w:lineRule="auto"/>
        <w:jc w:val="both"/>
        <w:rPr>
          <w:rFonts w:ascii="Verdana" w:eastAsia="Calibri" w:hAnsi="Verdana" w:cs="Arial"/>
          <w:color w:val="000000" w:themeColor="text1"/>
          <w:lang w:val="es-ES" w:eastAsia="es-ES"/>
        </w:rPr>
      </w:pPr>
      <w:hyperlink r:id="rId12" w:history="1">
        <w:r w:rsidRPr="00495D8E">
          <w:rPr>
            <w:rStyle w:val="Hipervnculo"/>
            <w:rFonts w:ascii="Verdana" w:eastAsia="Calibri" w:hAnsi="Verdana" w:cs="Arial"/>
            <w:lang w:val="es-ES" w:eastAsia="es-ES"/>
          </w:rPr>
          <w:t>asesorajuridica2@cableaereomanizales.gov.co</w:t>
        </w:r>
      </w:hyperlink>
      <w:r>
        <w:rPr>
          <w:rFonts w:ascii="Verdana" w:eastAsia="Calibri" w:hAnsi="Verdana" w:cs="Arial"/>
          <w:color w:val="000000" w:themeColor="text1"/>
          <w:lang w:val="es-ES" w:eastAsia="es-ES"/>
        </w:rPr>
        <w:t xml:space="preserve"> </w:t>
      </w:r>
    </w:p>
    <w:p w14:paraId="5D661271" w14:textId="41BC22CE" w:rsidR="00E34DF0" w:rsidRPr="00753106" w:rsidRDefault="00E34DF0" w:rsidP="00E34DF0">
      <w:pPr>
        <w:spacing w:after="0" w:line="240" w:lineRule="auto"/>
        <w:rPr>
          <w:rFonts w:ascii="Verdana" w:eastAsia="Calibri" w:hAnsi="Verdana" w:cs="Arial"/>
          <w:color w:val="000000" w:themeColor="text1"/>
          <w:lang w:val="es-ES" w:eastAsia="es-ES_tradnl"/>
        </w:rPr>
      </w:pPr>
      <w:r>
        <w:rPr>
          <w:rFonts w:ascii="Verdana" w:eastAsia="Calibri" w:hAnsi="Verdana" w:cs="Arial"/>
          <w:color w:val="000000" w:themeColor="text1"/>
          <w:lang w:val="es-ES" w:eastAsia="es-ES_tradnl"/>
        </w:rPr>
        <w:t>Manizales, Caldas</w:t>
      </w:r>
    </w:p>
    <w:p w14:paraId="2FDE5151" w14:textId="77777777" w:rsidR="00E34DF0" w:rsidRDefault="00E34DF0" w:rsidP="00E34DF0">
      <w:pPr>
        <w:spacing w:after="0" w:line="240" w:lineRule="auto"/>
        <w:rPr>
          <w:rFonts w:ascii="Verdana" w:eastAsia="Calibri" w:hAnsi="Verdana" w:cs="Arial"/>
          <w:b/>
          <w:bCs/>
          <w:color w:val="000000" w:themeColor="text1"/>
          <w:lang w:val="es-ES" w:eastAsia="es-ES_tradnl"/>
        </w:rPr>
      </w:pPr>
    </w:p>
    <w:p w14:paraId="7EE26936" w14:textId="77777777" w:rsidR="00E34DF0" w:rsidRPr="00753106" w:rsidRDefault="00E34DF0" w:rsidP="00E34DF0">
      <w:pPr>
        <w:spacing w:after="0" w:line="240" w:lineRule="auto"/>
        <w:rPr>
          <w:rFonts w:ascii="Verdana" w:eastAsia="Calibri" w:hAnsi="Verdana" w:cs="Arial"/>
          <w:b/>
          <w:bCs/>
          <w:color w:val="000000" w:themeColor="text1"/>
          <w:lang w:val="es-ES" w:eastAsia="es-ES_tradnl"/>
        </w:rPr>
      </w:pPr>
    </w:p>
    <w:tbl>
      <w:tblPr>
        <w:tblStyle w:val="Tablaconcuadrcula"/>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E34DF0" w:rsidRPr="00753106" w14:paraId="3DA2A50C" w14:textId="77777777" w:rsidTr="00B275C9">
        <w:trPr>
          <w:gridAfter w:val="1"/>
          <w:wAfter w:w="4179" w:type="dxa"/>
          <w:trHeight w:val="304"/>
        </w:trPr>
        <w:tc>
          <w:tcPr>
            <w:tcW w:w="2689" w:type="dxa"/>
          </w:tcPr>
          <w:p w14:paraId="4EEB462F" w14:textId="77777777" w:rsidR="00E34DF0" w:rsidRPr="00753106" w:rsidRDefault="00E34DF0" w:rsidP="00B275C9">
            <w:pPr>
              <w:jc w:val="both"/>
              <w:rPr>
                <w:rFonts w:ascii="Verdana" w:eastAsia="Calibri" w:hAnsi="Verdana" w:cs="Arial"/>
                <w:b/>
                <w:bCs/>
                <w:color w:val="000000" w:themeColor="text1"/>
                <w:lang w:val="es-ES" w:eastAsia="es-ES_tradnl"/>
              </w:rPr>
            </w:pPr>
          </w:p>
        </w:tc>
        <w:tc>
          <w:tcPr>
            <w:tcW w:w="6100" w:type="dxa"/>
          </w:tcPr>
          <w:p w14:paraId="32F065CC" w14:textId="0620772E" w:rsidR="00E34DF0" w:rsidRPr="00753106" w:rsidRDefault="00E34DF0" w:rsidP="00B275C9">
            <w:pPr>
              <w:jc w:val="both"/>
              <w:rPr>
                <w:rFonts w:ascii="Verdana" w:eastAsia="Calibri" w:hAnsi="Verdana" w:cs="Arial"/>
                <w:b/>
                <w:bCs/>
                <w:color w:val="000000" w:themeColor="text1"/>
                <w:lang w:val="es-ES" w:eastAsia="es-ES"/>
              </w:rPr>
            </w:pPr>
            <w:r w:rsidRPr="00753106">
              <w:rPr>
                <w:rFonts w:ascii="Verdana" w:eastAsia="Calibri" w:hAnsi="Verdana" w:cs="Arial"/>
                <w:b/>
                <w:bCs/>
                <w:color w:val="000000" w:themeColor="text1"/>
                <w:lang w:val="es-ES" w:eastAsia="es-ES"/>
              </w:rPr>
              <w:t>Concepto C-</w:t>
            </w:r>
            <w:r>
              <w:rPr>
                <w:rFonts w:ascii="Verdana" w:eastAsia="Calibri" w:hAnsi="Verdana" w:cs="Arial"/>
                <w:b/>
                <w:bCs/>
                <w:color w:val="000000" w:themeColor="text1"/>
                <w:lang w:val="es-ES" w:eastAsia="es-ES"/>
              </w:rPr>
              <w:t>90</w:t>
            </w:r>
            <w:r w:rsidR="005708EC">
              <w:rPr>
                <w:rFonts w:ascii="Verdana" w:eastAsia="Calibri" w:hAnsi="Verdana" w:cs="Arial"/>
                <w:b/>
                <w:bCs/>
                <w:color w:val="000000" w:themeColor="text1"/>
                <w:lang w:val="es-ES" w:eastAsia="es-ES"/>
              </w:rPr>
              <w:t>2</w:t>
            </w:r>
            <w:r w:rsidRPr="00753106">
              <w:rPr>
                <w:rFonts w:ascii="Verdana" w:eastAsia="Calibri" w:hAnsi="Verdana" w:cs="Arial"/>
                <w:b/>
                <w:bCs/>
                <w:color w:val="000000" w:themeColor="text1"/>
                <w:lang w:val="es-ES" w:eastAsia="es-ES"/>
              </w:rPr>
              <w:t xml:space="preserve"> de 2026</w:t>
            </w:r>
          </w:p>
          <w:p w14:paraId="4B7E0C17" w14:textId="77777777" w:rsidR="00E34DF0" w:rsidRPr="00753106" w:rsidRDefault="00E34DF0" w:rsidP="00B275C9">
            <w:pPr>
              <w:jc w:val="both"/>
              <w:rPr>
                <w:rFonts w:ascii="Verdana" w:eastAsia="Calibri" w:hAnsi="Verdana" w:cs="Arial"/>
                <w:b/>
                <w:bCs/>
                <w:color w:val="000000" w:themeColor="text1"/>
                <w:lang w:val="es-ES" w:eastAsia="es-ES"/>
              </w:rPr>
            </w:pPr>
          </w:p>
        </w:tc>
      </w:tr>
      <w:tr w:rsidR="00E34DF0" w:rsidRPr="00753106" w14:paraId="61F08EA4" w14:textId="77777777" w:rsidTr="00B275C9">
        <w:trPr>
          <w:trHeight w:val="884"/>
        </w:trPr>
        <w:tc>
          <w:tcPr>
            <w:tcW w:w="2689" w:type="dxa"/>
          </w:tcPr>
          <w:p w14:paraId="23A29D45" w14:textId="77777777" w:rsidR="00E34DF0" w:rsidRPr="00753106" w:rsidRDefault="00E34DF0" w:rsidP="00B275C9">
            <w:pPr>
              <w:jc w:val="both"/>
              <w:rPr>
                <w:rFonts w:ascii="Verdana" w:eastAsia="Calibri" w:hAnsi="Verdana" w:cs="Arial"/>
                <w:color w:val="000000" w:themeColor="text1"/>
                <w:lang w:val="es-ES" w:eastAsia="es-ES_tradnl"/>
              </w:rPr>
            </w:pPr>
            <w:r w:rsidRPr="00753106">
              <w:rPr>
                <w:rFonts w:ascii="Verdana" w:eastAsia="Calibri" w:hAnsi="Verdana" w:cs="Arial"/>
                <w:b/>
                <w:color w:val="000000" w:themeColor="text1"/>
                <w:lang w:val="es-ES" w:eastAsia="es-ES_tradnl"/>
              </w:rPr>
              <w:t>Temas:</w:t>
            </w:r>
            <w:r w:rsidRPr="00753106">
              <w:rPr>
                <w:rFonts w:ascii="Verdana" w:eastAsia="Calibri" w:hAnsi="Verdana" w:cs="Arial"/>
                <w:color w:val="000000" w:themeColor="text1"/>
                <w:lang w:val="es-ES" w:eastAsia="es-ES_tradnl"/>
              </w:rPr>
              <w:t xml:space="preserve">                   </w:t>
            </w:r>
          </w:p>
        </w:tc>
        <w:tc>
          <w:tcPr>
            <w:tcW w:w="6100" w:type="dxa"/>
          </w:tcPr>
          <w:p w14:paraId="307826BA" w14:textId="55CA984C" w:rsidR="00E34DF0" w:rsidRPr="00753106" w:rsidRDefault="00E34DF0" w:rsidP="00B275C9">
            <w:pPr>
              <w:spacing w:line="276" w:lineRule="auto"/>
              <w:jc w:val="both"/>
              <w:rPr>
                <w:rFonts w:ascii="Verdana" w:eastAsia="Calibri" w:hAnsi="Verdana" w:cs="Arial"/>
                <w:lang w:val="es-ES" w:eastAsia="es-ES"/>
              </w:rPr>
            </w:pPr>
            <w:r w:rsidRPr="00753106">
              <w:rPr>
                <w:rFonts w:ascii="Verdana" w:eastAsia="Calibri" w:hAnsi="Verdana" w:cs="Arial"/>
                <w:lang w:val="es-ES" w:eastAsia="es-ES"/>
              </w:rPr>
              <w:t>SARLAFT ‒ Marco jurídico – Definición / RÉGIMEN DE INHABILIDADES E INCOMPATIBILIDADES – Reserva legal / REPORTE EN LISTAS RESTRICTIVAS – Medidas y alcance</w:t>
            </w:r>
            <w:r>
              <w:rPr>
                <w:rFonts w:ascii="Verdana" w:eastAsia="Calibri" w:hAnsi="Verdana" w:cs="Arial"/>
                <w:lang w:val="es-ES" w:eastAsia="es-ES"/>
              </w:rPr>
              <w:t xml:space="preserve"> / DEBIDA DILIGENCIA INTENSIFICADA – Resolución 2328 de 2025 – Definición – Debida diligencia – Debida diligencia intensificada / DEBIDA DILIGENCIA INTENSIFICADA – Prohibición – Inhabilidades e incompatibilidades – causales de rechazo – Selección objetiva</w:t>
            </w:r>
          </w:p>
          <w:p w14:paraId="0C726C10" w14:textId="77777777" w:rsidR="00E34DF0" w:rsidRPr="00753106" w:rsidRDefault="00E34DF0" w:rsidP="00B275C9">
            <w:pPr>
              <w:spacing w:line="276" w:lineRule="auto"/>
              <w:jc w:val="both"/>
              <w:rPr>
                <w:rFonts w:ascii="Verdana" w:eastAsia="Calibri" w:hAnsi="Verdana" w:cs="Arial"/>
                <w:color w:val="000000" w:themeColor="text1"/>
                <w:lang w:val="es-ES" w:eastAsia="es-ES"/>
              </w:rPr>
            </w:pPr>
          </w:p>
        </w:tc>
        <w:tc>
          <w:tcPr>
            <w:tcW w:w="4179" w:type="dxa"/>
          </w:tcPr>
          <w:p w14:paraId="1CA86806" w14:textId="77777777" w:rsidR="00E34DF0" w:rsidRPr="00753106" w:rsidRDefault="00E34DF0" w:rsidP="00B275C9">
            <w:pPr>
              <w:spacing w:line="276" w:lineRule="auto"/>
              <w:jc w:val="both"/>
              <w:rPr>
                <w:rFonts w:ascii="Verdana" w:eastAsia="Calibri" w:hAnsi="Verdana" w:cs="Arial"/>
                <w:b/>
                <w:bCs/>
                <w:color w:val="000000" w:themeColor="text1"/>
                <w:lang w:val="es-ES" w:eastAsia="es-ES"/>
              </w:rPr>
            </w:pPr>
          </w:p>
          <w:p w14:paraId="03AB693A" w14:textId="77777777" w:rsidR="00E34DF0" w:rsidRPr="00753106" w:rsidRDefault="00E34DF0" w:rsidP="00B275C9">
            <w:pPr>
              <w:rPr>
                <w:rFonts w:ascii="Verdana" w:hAnsi="Verdana"/>
                <w:lang w:val="es-ES"/>
              </w:rPr>
            </w:pPr>
          </w:p>
        </w:tc>
      </w:tr>
      <w:tr w:rsidR="00E34DF0" w:rsidRPr="00753106" w14:paraId="79FE991F" w14:textId="77777777" w:rsidTr="00B275C9">
        <w:trPr>
          <w:gridAfter w:val="1"/>
          <w:wAfter w:w="4179" w:type="dxa"/>
        </w:trPr>
        <w:tc>
          <w:tcPr>
            <w:tcW w:w="2689" w:type="dxa"/>
          </w:tcPr>
          <w:p w14:paraId="649D08BC" w14:textId="77777777" w:rsidR="00E34DF0" w:rsidRPr="00753106" w:rsidRDefault="00E34DF0" w:rsidP="00B275C9">
            <w:pPr>
              <w:jc w:val="both"/>
              <w:rPr>
                <w:rFonts w:ascii="Verdana" w:eastAsia="Calibri" w:hAnsi="Verdana" w:cs="Arial"/>
                <w:b/>
                <w:color w:val="000000" w:themeColor="text1"/>
                <w:lang w:val="es-ES" w:eastAsia="es-ES_tradnl"/>
              </w:rPr>
            </w:pPr>
            <w:r w:rsidRPr="00753106">
              <w:rPr>
                <w:rFonts w:ascii="Verdana" w:eastAsia="Calibri" w:hAnsi="Verdana" w:cs="Arial"/>
                <w:b/>
                <w:color w:val="000000" w:themeColor="text1"/>
                <w:lang w:val="es-ES" w:eastAsia="es-ES_tradnl"/>
              </w:rPr>
              <w:t>Radicación:</w:t>
            </w:r>
            <w:r w:rsidRPr="00753106">
              <w:rPr>
                <w:rFonts w:ascii="Verdana" w:eastAsia="Calibri" w:hAnsi="Verdana" w:cs="Arial"/>
                <w:color w:val="000000" w:themeColor="text1"/>
                <w:lang w:val="es-ES" w:eastAsia="es-ES_tradnl"/>
              </w:rPr>
              <w:t xml:space="preserve">               </w:t>
            </w:r>
          </w:p>
        </w:tc>
        <w:tc>
          <w:tcPr>
            <w:tcW w:w="6100" w:type="dxa"/>
          </w:tcPr>
          <w:p w14:paraId="7765085C" w14:textId="77777777" w:rsidR="00E34DF0" w:rsidRPr="00753106" w:rsidRDefault="00E34DF0" w:rsidP="00B275C9">
            <w:pPr>
              <w:jc w:val="both"/>
              <w:rPr>
                <w:rFonts w:ascii="Verdana" w:eastAsia="Calibri" w:hAnsi="Verdana" w:cs="Arial"/>
                <w:color w:val="000000" w:themeColor="text1"/>
                <w:lang w:val="es-ES" w:eastAsia="es-ES_tradnl"/>
              </w:rPr>
            </w:pPr>
            <w:r w:rsidRPr="00753106">
              <w:rPr>
                <w:rFonts w:ascii="Verdana" w:eastAsia="Calibri" w:hAnsi="Verdana" w:cs="Arial"/>
                <w:color w:val="000000" w:themeColor="text1"/>
                <w:lang w:val="es-ES" w:eastAsia="es-ES_tradnl"/>
              </w:rPr>
              <w:t>Respuesta a consultas con radicado</w:t>
            </w:r>
            <w:r>
              <w:rPr>
                <w:rFonts w:ascii="Verdana" w:eastAsia="Calibri" w:hAnsi="Verdana" w:cs="Arial"/>
                <w:color w:val="000000" w:themeColor="text1"/>
                <w:lang w:val="es-ES" w:eastAsia="es-ES_tradnl"/>
              </w:rPr>
              <w:t xml:space="preserve"> No </w:t>
            </w:r>
            <w:r w:rsidRPr="00823FE3">
              <w:rPr>
                <w:rFonts w:ascii="Verdana" w:eastAsia="Calibri" w:hAnsi="Verdana" w:cs="Arial"/>
                <w:color w:val="000000" w:themeColor="text1"/>
                <w:lang w:eastAsia="es-ES_tradnl"/>
              </w:rPr>
              <w:t>1_2026_06_01_007360</w:t>
            </w:r>
          </w:p>
        </w:tc>
      </w:tr>
    </w:tbl>
    <w:p w14:paraId="37452316" w14:textId="77777777" w:rsidR="00E34DF0" w:rsidRPr="00753106" w:rsidRDefault="00E34DF0" w:rsidP="00E34DF0">
      <w:pPr>
        <w:spacing w:after="0" w:line="276" w:lineRule="auto"/>
        <w:jc w:val="both"/>
        <w:rPr>
          <w:rFonts w:ascii="Verdana" w:eastAsia="Calibri" w:hAnsi="Verdana" w:cs="Arial"/>
          <w:color w:val="000000" w:themeColor="text1"/>
          <w:lang w:val="es-ES" w:eastAsia="es-ES_tradnl"/>
        </w:rPr>
      </w:pPr>
    </w:p>
    <w:p w14:paraId="725FE153" w14:textId="77777777" w:rsidR="00E34DF0" w:rsidRPr="00753106" w:rsidRDefault="00E34DF0" w:rsidP="00E34DF0">
      <w:pPr>
        <w:spacing w:after="0" w:line="276" w:lineRule="auto"/>
        <w:jc w:val="both"/>
        <w:rPr>
          <w:rFonts w:ascii="Verdana" w:eastAsia="Calibri" w:hAnsi="Verdana" w:cs="Arial"/>
          <w:color w:val="000000" w:themeColor="text1"/>
          <w:lang w:val="es-ES" w:eastAsia="es-ES_tradnl"/>
        </w:rPr>
      </w:pPr>
    </w:p>
    <w:p w14:paraId="6354214A" w14:textId="65CCA8EC" w:rsidR="00E34DF0" w:rsidRPr="00753106" w:rsidRDefault="00E34DF0" w:rsidP="00E34DF0">
      <w:pPr>
        <w:spacing w:after="0" w:line="276" w:lineRule="auto"/>
        <w:jc w:val="both"/>
        <w:rPr>
          <w:rFonts w:ascii="Verdana" w:eastAsia="Calibri" w:hAnsi="Verdana" w:cs="Arial"/>
          <w:color w:val="000000" w:themeColor="text1"/>
          <w:lang w:val="es-ES" w:eastAsia="es-ES"/>
        </w:rPr>
      </w:pPr>
      <w:r w:rsidRPr="00753106">
        <w:rPr>
          <w:rFonts w:ascii="Verdana" w:eastAsia="Calibri" w:hAnsi="Verdana" w:cs="Arial"/>
          <w:color w:val="000000" w:themeColor="text1"/>
          <w:lang w:val="es-ES" w:eastAsia="es-ES"/>
        </w:rPr>
        <w:t xml:space="preserve">Estimada </w:t>
      </w:r>
      <w:r w:rsidR="00AC5B40">
        <w:rPr>
          <w:rFonts w:ascii="Verdana" w:eastAsia="Calibri" w:hAnsi="Verdana" w:cs="Arial"/>
          <w:color w:val="000000" w:themeColor="text1"/>
          <w:lang w:val="es-ES" w:eastAsia="es-ES"/>
        </w:rPr>
        <w:t>Señores Cable Aéreo</w:t>
      </w:r>
      <w:r w:rsidRPr="00753106">
        <w:rPr>
          <w:rFonts w:ascii="Verdana" w:eastAsia="Calibri" w:hAnsi="Verdana" w:cs="Arial"/>
          <w:color w:val="000000" w:themeColor="text1"/>
          <w:lang w:val="es-ES" w:eastAsia="es-ES"/>
        </w:rPr>
        <w:t xml:space="preserve">: </w:t>
      </w:r>
    </w:p>
    <w:p w14:paraId="2D8E02B4" w14:textId="77777777" w:rsidR="00E34DF0" w:rsidRPr="00753106" w:rsidRDefault="00E34DF0" w:rsidP="00E34DF0">
      <w:pPr>
        <w:tabs>
          <w:tab w:val="left" w:pos="3768"/>
        </w:tabs>
        <w:spacing w:after="0" w:line="276" w:lineRule="auto"/>
        <w:jc w:val="both"/>
        <w:rPr>
          <w:rFonts w:ascii="Verdana" w:eastAsia="Calibri" w:hAnsi="Verdana" w:cs="Arial"/>
          <w:color w:val="000000" w:themeColor="text1"/>
          <w:lang w:val="es-ES" w:eastAsia="es-ES"/>
        </w:rPr>
      </w:pPr>
      <w:r w:rsidRPr="00753106">
        <w:rPr>
          <w:rFonts w:ascii="Verdana" w:eastAsia="Calibri" w:hAnsi="Verdana" w:cs="Arial"/>
          <w:color w:val="000000" w:themeColor="text1"/>
          <w:lang w:val="es-ES" w:eastAsia="es-ES"/>
        </w:rPr>
        <w:tab/>
      </w:r>
    </w:p>
    <w:p w14:paraId="3C0A7FAB" w14:textId="77777777" w:rsidR="00E34DF0" w:rsidRPr="00E8087A" w:rsidRDefault="00E34DF0" w:rsidP="00E34DF0">
      <w:pPr>
        <w:spacing w:after="0" w:line="276" w:lineRule="auto"/>
        <w:jc w:val="both"/>
        <w:rPr>
          <w:rFonts w:ascii="Verdana" w:eastAsia="Calibri" w:hAnsi="Verdana" w:cs="Arial"/>
          <w:bCs/>
          <w:color w:val="000000" w:themeColor="text1"/>
          <w:lang w:val="es-ES" w:eastAsia="es-ES" w:bidi="es-ES"/>
        </w:rPr>
      </w:pPr>
      <w:r w:rsidRPr="00E8087A">
        <w:rPr>
          <w:rFonts w:ascii="Verdana" w:eastAsia="Calibri" w:hAnsi="Verdana" w:cs="Arial"/>
          <w:bCs/>
          <w:color w:val="000000" w:themeColor="text1"/>
          <w:lang w:val="es-ES" w:eastAsia="es-ES" w:bidi="es-ES"/>
        </w:rPr>
        <w:t xml:space="preserve">En ejercicio de la competencia otorgada por los artículos 3, numeral 5º, y 11, numeral 8º, del Decreto Ley 4170 de 2011, </w:t>
      </w:r>
      <w:r w:rsidRPr="00E8087A">
        <w:rPr>
          <w:rFonts w:ascii="Verdana" w:eastAsia="Calibri" w:hAnsi="Verdana" w:cs="Arial"/>
          <w:bCs/>
          <w:color w:val="000000" w:themeColor="text1"/>
          <w:lang w:eastAsia="es-ES"/>
        </w:rPr>
        <w:t xml:space="preserve">así como lo establecido por la Resolución 469 de 2025 expedida por esta Entidad, </w:t>
      </w:r>
      <w:r w:rsidRPr="00E8087A">
        <w:rPr>
          <w:rFonts w:ascii="Verdana" w:eastAsia="Calibri" w:hAnsi="Verdana" w:cs="Arial"/>
          <w:bCs/>
          <w:color w:val="000000" w:themeColor="text1"/>
          <w:lang w:val="es-ES" w:eastAsia="es-ES" w:bidi="es-ES"/>
        </w:rPr>
        <w:t xml:space="preserve">la Agencia Nacional de Contratación Pública – Colombia Compra Eficiente– responde la solicitud de consulta que fue remitida parcialmente por competencia el </w:t>
      </w:r>
      <w:r>
        <w:rPr>
          <w:rFonts w:ascii="Verdana" w:eastAsia="Calibri" w:hAnsi="Verdana" w:cs="Arial"/>
          <w:bCs/>
          <w:color w:val="000000" w:themeColor="text1"/>
          <w:lang w:val="es-ES" w:eastAsia="es-ES" w:bidi="es-ES"/>
        </w:rPr>
        <w:t xml:space="preserve">1 de junio de </w:t>
      </w:r>
      <w:r w:rsidRPr="00E8087A">
        <w:rPr>
          <w:rFonts w:ascii="Verdana" w:eastAsia="Calibri" w:hAnsi="Verdana" w:cs="Arial"/>
          <w:bCs/>
          <w:color w:val="000000" w:themeColor="text1"/>
          <w:lang w:val="es-ES" w:eastAsia="es-ES" w:bidi="es-ES"/>
        </w:rPr>
        <w:t xml:space="preserve">2026, en la cual manifiesta: </w:t>
      </w:r>
    </w:p>
    <w:p w14:paraId="79D09983" w14:textId="77777777" w:rsidR="00E34DF0" w:rsidRPr="00753106" w:rsidRDefault="00E34DF0" w:rsidP="00E34DF0">
      <w:pPr>
        <w:spacing w:after="0" w:line="276" w:lineRule="auto"/>
        <w:jc w:val="both"/>
        <w:rPr>
          <w:rFonts w:ascii="Verdana" w:eastAsia="Calibri" w:hAnsi="Verdana" w:cs="Arial"/>
          <w:color w:val="000000" w:themeColor="text1"/>
          <w:lang w:val="es-ES" w:eastAsia="es-ES"/>
        </w:rPr>
      </w:pPr>
    </w:p>
    <w:p w14:paraId="529E20FD" w14:textId="77777777" w:rsidR="00E34DF0" w:rsidRPr="00FE23A2" w:rsidRDefault="00E34DF0" w:rsidP="00E34DF0">
      <w:pPr>
        <w:numPr>
          <w:ilvl w:val="0"/>
          <w:numId w:val="18"/>
        </w:numPr>
        <w:spacing w:after="0" w:line="240" w:lineRule="auto"/>
        <w:ind w:right="709"/>
        <w:jc w:val="both"/>
        <w:rPr>
          <w:rFonts w:ascii="Verdana" w:eastAsia="Century Gothic" w:hAnsi="Verdana" w:cs="Century Gothic"/>
          <w:i/>
          <w:iCs/>
          <w:color w:val="000000" w:themeColor="text1"/>
          <w:sz w:val="20"/>
          <w:szCs w:val="20"/>
        </w:rPr>
      </w:pPr>
      <w:r w:rsidRPr="00FE23A2">
        <w:rPr>
          <w:rFonts w:ascii="Verdana" w:eastAsia="Century Gothic" w:hAnsi="Verdana" w:cs="Century Gothic"/>
          <w:i/>
          <w:iCs/>
          <w:color w:val="000000" w:themeColor="text1"/>
          <w:sz w:val="20"/>
          <w:szCs w:val="20"/>
        </w:rPr>
        <w:t>¿Cómo deben interpretar y aplicar las entidades públicas sometidas al Estatuto General de Contratación las disposiciones contenidas en la Resolución 2328 de 2025 y sus modificaciones, particularmente aquellas relacionadas con la debida diligencia intensificada y la posibilidad de aprobar, rechazar o continuar relaciones contractuales?</w:t>
      </w:r>
    </w:p>
    <w:p w14:paraId="1764610E" w14:textId="77777777" w:rsidR="00E34DF0" w:rsidRPr="00FE23A2" w:rsidRDefault="00E34DF0" w:rsidP="00E34DF0">
      <w:pPr>
        <w:numPr>
          <w:ilvl w:val="0"/>
          <w:numId w:val="18"/>
        </w:numPr>
        <w:spacing w:after="0" w:line="240" w:lineRule="auto"/>
        <w:ind w:right="709"/>
        <w:jc w:val="both"/>
        <w:rPr>
          <w:rFonts w:ascii="Verdana" w:eastAsia="Century Gothic" w:hAnsi="Verdana" w:cs="Century Gothic"/>
          <w:i/>
          <w:iCs/>
          <w:color w:val="000000" w:themeColor="text1"/>
          <w:sz w:val="20"/>
          <w:szCs w:val="20"/>
        </w:rPr>
      </w:pPr>
      <w:r w:rsidRPr="00FE23A2">
        <w:rPr>
          <w:rFonts w:ascii="Verdana" w:eastAsia="Century Gothic" w:hAnsi="Verdana" w:cs="Century Gothic"/>
          <w:i/>
          <w:iCs/>
          <w:color w:val="000000" w:themeColor="text1"/>
          <w:sz w:val="20"/>
          <w:szCs w:val="20"/>
        </w:rPr>
        <w:lastRenderedPageBreak/>
        <w:t>¿Puede una entidad estatal establecer como causal de rechazo de una oferta la aparición de hallazgos, alertas o coincidencias en listas restrictivas derivadas de la implementación del SARLAFT, aun cuando ello no constituya una inhabilidad o incompatibilidad legalmente prevista?</w:t>
      </w:r>
    </w:p>
    <w:p w14:paraId="00EC1315" w14:textId="77777777" w:rsidR="00E34DF0" w:rsidRPr="00FE23A2" w:rsidRDefault="00E34DF0" w:rsidP="00E34DF0">
      <w:pPr>
        <w:numPr>
          <w:ilvl w:val="0"/>
          <w:numId w:val="18"/>
        </w:numPr>
        <w:spacing w:after="0" w:line="240" w:lineRule="auto"/>
        <w:ind w:right="709"/>
        <w:jc w:val="both"/>
        <w:rPr>
          <w:rFonts w:ascii="Verdana" w:eastAsia="Century Gothic" w:hAnsi="Verdana" w:cs="Century Gothic"/>
          <w:i/>
          <w:iCs/>
          <w:color w:val="000000" w:themeColor="text1"/>
          <w:sz w:val="20"/>
          <w:szCs w:val="20"/>
        </w:rPr>
      </w:pPr>
      <w:r w:rsidRPr="00FE23A2">
        <w:rPr>
          <w:rFonts w:ascii="Verdana" w:eastAsia="Century Gothic" w:hAnsi="Verdana" w:cs="Century Gothic"/>
          <w:i/>
          <w:iCs/>
          <w:color w:val="000000" w:themeColor="text1"/>
          <w:sz w:val="20"/>
          <w:szCs w:val="20"/>
        </w:rPr>
        <w:t>¿La implementación del SARLAFT permite abstenerse de contratar o terminar unilateralmente un contrato estatal por riesgos asociados a LA/FT/FP cuando no exista una causal expresa en la ley?</w:t>
      </w:r>
    </w:p>
    <w:p w14:paraId="7BA4BA8E" w14:textId="77777777" w:rsidR="00E34DF0" w:rsidRPr="00FE23A2" w:rsidRDefault="00E34DF0" w:rsidP="00E34DF0">
      <w:pPr>
        <w:numPr>
          <w:ilvl w:val="0"/>
          <w:numId w:val="18"/>
        </w:numPr>
        <w:spacing w:after="0" w:line="240" w:lineRule="auto"/>
        <w:ind w:right="709"/>
        <w:jc w:val="both"/>
        <w:rPr>
          <w:rFonts w:ascii="Verdana" w:eastAsia="Century Gothic" w:hAnsi="Verdana" w:cs="Century Gothic"/>
          <w:i/>
          <w:iCs/>
          <w:color w:val="000000" w:themeColor="text1"/>
          <w:sz w:val="20"/>
          <w:szCs w:val="20"/>
        </w:rPr>
      </w:pPr>
      <w:r w:rsidRPr="00FE23A2">
        <w:rPr>
          <w:rFonts w:ascii="Verdana" w:eastAsia="Century Gothic" w:hAnsi="Verdana" w:cs="Century Gothic"/>
          <w:i/>
          <w:iCs/>
          <w:color w:val="000000" w:themeColor="text1"/>
          <w:sz w:val="20"/>
          <w:szCs w:val="20"/>
        </w:rPr>
        <w:t>¿Cuál debe ser el alcance de los procedimientos de debida diligencia intensificada frente a contratistas y proveedores en entidades sometidas al Estatuto General de Contratación Pública?</w:t>
      </w:r>
    </w:p>
    <w:p w14:paraId="7995E70C" w14:textId="77777777" w:rsidR="00E34DF0" w:rsidRPr="00FE23A2" w:rsidRDefault="00E34DF0" w:rsidP="00E34DF0">
      <w:pPr>
        <w:numPr>
          <w:ilvl w:val="0"/>
          <w:numId w:val="18"/>
        </w:numPr>
        <w:spacing w:after="0" w:line="240" w:lineRule="auto"/>
        <w:ind w:right="709"/>
        <w:jc w:val="both"/>
        <w:rPr>
          <w:rFonts w:ascii="Verdana" w:eastAsia="Century Gothic" w:hAnsi="Verdana" w:cs="Century Gothic"/>
          <w:i/>
          <w:iCs/>
          <w:color w:val="000000" w:themeColor="text1"/>
          <w:sz w:val="20"/>
          <w:szCs w:val="20"/>
        </w:rPr>
      </w:pPr>
      <w:r w:rsidRPr="00FE23A2">
        <w:rPr>
          <w:rFonts w:ascii="Verdana" w:eastAsia="Century Gothic" w:hAnsi="Verdana" w:cs="Century Gothic"/>
          <w:i/>
          <w:iCs/>
          <w:color w:val="000000" w:themeColor="text1"/>
          <w:sz w:val="20"/>
          <w:szCs w:val="20"/>
        </w:rPr>
        <w:t>¿Debe entenderse que las medidas previstas en el SARLAFT corresponden a mecanismos de gestión y administración del riesgo, sin que por sí mismas constituyan causales autónomas de rechazo, exclusión o terminación contractual?</w:t>
      </w:r>
    </w:p>
    <w:p w14:paraId="06CDC0B5" w14:textId="77777777" w:rsidR="00E34DF0" w:rsidRPr="00FE23A2" w:rsidRDefault="00E34DF0" w:rsidP="00E34DF0">
      <w:pPr>
        <w:numPr>
          <w:ilvl w:val="0"/>
          <w:numId w:val="18"/>
        </w:numPr>
        <w:spacing w:after="0" w:line="240" w:lineRule="auto"/>
        <w:ind w:right="709"/>
        <w:jc w:val="both"/>
        <w:rPr>
          <w:rFonts w:ascii="Verdana" w:eastAsia="Century Gothic" w:hAnsi="Verdana" w:cs="Century Gothic"/>
          <w:i/>
          <w:iCs/>
          <w:color w:val="000000" w:themeColor="text1"/>
          <w:sz w:val="20"/>
          <w:szCs w:val="20"/>
        </w:rPr>
      </w:pPr>
      <w:r w:rsidRPr="00FE23A2">
        <w:rPr>
          <w:rFonts w:ascii="Verdana" w:eastAsia="Century Gothic" w:hAnsi="Verdana" w:cs="Century Gothic"/>
          <w:i/>
          <w:iCs/>
          <w:color w:val="000000" w:themeColor="text1"/>
          <w:sz w:val="20"/>
          <w:szCs w:val="20"/>
        </w:rPr>
        <w:t>¿Qué medidas jurídicas y procedimentales recomienda Colombia Compra Eficiente para armonizar el cumplimiento de las obligaciones SARLAFT con el principio de legalidad en la contratación estatal?</w:t>
      </w:r>
    </w:p>
    <w:p w14:paraId="1E669149" w14:textId="77777777" w:rsidR="00E34DF0" w:rsidRPr="00FE23A2" w:rsidRDefault="00E34DF0" w:rsidP="00E34DF0">
      <w:pPr>
        <w:spacing w:after="0"/>
        <w:ind w:left="709" w:right="709"/>
        <w:jc w:val="both"/>
        <w:rPr>
          <w:rFonts w:ascii="Verdana" w:eastAsia="Century Gothic" w:hAnsi="Verdana" w:cs="Century Gothic"/>
          <w:i/>
          <w:iCs/>
          <w:color w:val="000000" w:themeColor="text1"/>
          <w:sz w:val="20"/>
          <w:szCs w:val="20"/>
        </w:rPr>
      </w:pPr>
    </w:p>
    <w:p w14:paraId="5FE05377" w14:textId="77777777" w:rsidR="00E34DF0" w:rsidRPr="00753106" w:rsidRDefault="00E34DF0" w:rsidP="00E34DF0">
      <w:pPr>
        <w:spacing w:after="0" w:line="276" w:lineRule="auto"/>
        <w:contextualSpacing/>
        <w:jc w:val="both"/>
        <w:rPr>
          <w:rFonts w:ascii="Verdana" w:eastAsia="Calibri" w:hAnsi="Verdana" w:cs="Arial"/>
          <w:color w:val="000000" w:themeColor="text1"/>
          <w:szCs w:val="24"/>
          <w:lang w:val="es-ES" w:eastAsia="es-ES_tradnl"/>
        </w:rPr>
      </w:pPr>
      <w:r w:rsidRPr="00753106">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753106">
        <w:rPr>
          <w:rFonts w:ascii="Verdana" w:eastAsia="Calibri" w:hAnsi="Verdana" w:cs="Arial"/>
          <w:color w:val="000000" w:themeColor="text1"/>
          <w:szCs w:val="24"/>
          <w:lang w:val="es-ES" w:eastAsia="es-ES_tradnl"/>
        </w:rPr>
        <w:tab/>
      </w:r>
    </w:p>
    <w:p w14:paraId="3BEEF40B" w14:textId="77777777" w:rsidR="00E34DF0" w:rsidRPr="00753106" w:rsidRDefault="00E34DF0" w:rsidP="00E34DF0">
      <w:pPr>
        <w:spacing w:before="120" w:after="120" w:line="276" w:lineRule="auto"/>
        <w:ind w:firstLine="709"/>
        <w:jc w:val="both"/>
        <w:rPr>
          <w:rFonts w:ascii="Verdana" w:eastAsia="Calibri" w:hAnsi="Verdana" w:cs="Arial"/>
          <w:color w:val="000000" w:themeColor="text1"/>
          <w:lang w:val="es-ES" w:eastAsia="es-ES"/>
        </w:rPr>
      </w:pPr>
      <w:r w:rsidRPr="00753106">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Pr>
          <w:rFonts w:ascii="Verdana" w:eastAsia="Calibri" w:hAnsi="Verdana" w:cs="Arial"/>
          <w:color w:val="000000" w:themeColor="text1"/>
          <w:lang w:val="es-ES" w:eastAsia="es-ES"/>
        </w:rPr>
        <w:t xml:space="preserve">el problema jurídico de su consulta. </w:t>
      </w:r>
    </w:p>
    <w:p w14:paraId="7D02D4FD" w14:textId="77777777" w:rsidR="00E34DF0" w:rsidRPr="00753106" w:rsidRDefault="00E34DF0" w:rsidP="00E34DF0">
      <w:pPr>
        <w:spacing w:after="0" w:line="276" w:lineRule="auto"/>
        <w:jc w:val="both"/>
        <w:rPr>
          <w:rFonts w:ascii="Verdana" w:eastAsia="Calibri" w:hAnsi="Verdana" w:cs="Arial"/>
          <w:color w:val="000000" w:themeColor="text1"/>
          <w:lang w:val="es-ES" w:eastAsia="es-ES"/>
        </w:rPr>
      </w:pPr>
    </w:p>
    <w:p w14:paraId="70B1E63E" w14:textId="77777777" w:rsidR="00E34DF0" w:rsidRPr="00753106" w:rsidRDefault="00E34DF0" w:rsidP="00E34DF0">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753106">
        <w:rPr>
          <w:rFonts w:ascii="Verdana" w:eastAsia="Century Gothic" w:hAnsi="Verdana" w:cs="Century Gothic"/>
          <w:b/>
          <w:bCs/>
          <w:color w:val="000000" w:themeColor="text1"/>
        </w:rPr>
        <w:t>Problema planteado:</w:t>
      </w:r>
    </w:p>
    <w:p w14:paraId="73DACDEF" w14:textId="77777777" w:rsidR="00E34DF0" w:rsidRPr="00753106" w:rsidRDefault="00E34DF0" w:rsidP="00E34DF0">
      <w:pPr>
        <w:tabs>
          <w:tab w:val="left" w:pos="426"/>
        </w:tabs>
        <w:spacing w:after="0" w:line="276" w:lineRule="auto"/>
        <w:jc w:val="both"/>
        <w:rPr>
          <w:rFonts w:ascii="Verdana" w:eastAsia="Century Gothic" w:hAnsi="Verdana" w:cs="Century Gothic"/>
          <w:color w:val="000000" w:themeColor="text1"/>
          <w:lang w:val="es-ES"/>
        </w:rPr>
      </w:pPr>
    </w:p>
    <w:p w14:paraId="2C1B3BF1" w14:textId="77777777" w:rsidR="00E34DF0" w:rsidRPr="006B1D32" w:rsidRDefault="00E34DF0" w:rsidP="00E34DF0">
      <w:pPr>
        <w:spacing w:after="0" w:line="276" w:lineRule="auto"/>
        <w:jc w:val="both"/>
        <w:rPr>
          <w:rFonts w:ascii="Verdana" w:eastAsia="Century Gothic" w:hAnsi="Verdana" w:cs="Century Gothic"/>
          <w:color w:val="000000" w:themeColor="text1"/>
        </w:rPr>
      </w:pPr>
      <w:r w:rsidRPr="00753106">
        <w:rPr>
          <w:rFonts w:ascii="Verdana" w:eastAsia="Century Gothic" w:hAnsi="Verdana" w:cs="Century Gothic"/>
          <w:color w:val="000000" w:themeColor="text1"/>
          <w:lang w:val="es-ES"/>
        </w:rPr>
        <w:lastRenderedPageBreak/>
        <w:t xml:space="preserve">De acuerdo con el contenido de su solicitud, esta Agencia resolverá </w:t>
      </w:r>
      <w:r>
        <w:rPr>
          <w:rFonts w:ascii="Verdana" w:eastAsia="Century Gothic" w:hAnsi="Verdana" w:cs="Century Gothic"/>
          <w:color w:val="000000" w:themeColor="text1"/>
          <w:lang w:val="es-ES"/>
        </w:rPr>
        <w:t xml:space="preserve">el siguiente problema jurídico: </w:t>
      </w:r>
      <w:r w:rsidRPr="00E72366">
        <w:rPr>
          <w:rFonts w:ascii="Verdana" w:eastAsia="Century Gothic" w:hAnsi="Verdana" w:cs="Century Gothic"/>
          <w:color w:val="000000" w:themeColor="text1"/>
        </w:rPr>
        <w:t>i)</w:t>
      </w:r>
      <w:r>
        <w:rPr>
          <w:rFonts w:ascii="Verdana" w:eastAsia="Century Gothic" w:hAnsi="Verdana" w:cs="Century Gothic"/>
          <w:color w:val="000000" w:themeColor="text1"/>
        </w:rPr>
        <w:t xml:space="preserve"> </w:t>
      </w:r>
      <w:r w:rsidRPr="006B1D32">
        <w:rPr>
          <w:rFonts w:ascii="Verdana" w:eastAsia="Century Gothic" w:hAnsi="Verdana" w:cs="Century Gothic"/>
          <w:color w:val="000000" w:themeColor="text1"/>
        </w:rPr>
        <w:t>¿Cuál es la naturaleza jurídica y el alcance de las obligaciones de debida diligencia y debida diligencia intensificada previstas en la Resolución 2328 de 2025 para los sujetos vigilados por la Superintendencia de Transporte, cuando estos se encuentran sometidos al Estatuto General de Contratación de la Administración Pública?</w:t>
      </w:r>
      <w:r>
        <w:rPr>
          <w:rFonts w:ascii="Verdana" w:eastAsia="Century Gothic" w:hAnsi="Verdana" w:cs="Century Gothic"/>
          <w:color w:val="000000" w:themeColor="text1"/>
        </w:rPr>
        <w:t xml:space="preserve">; </w:t>
      </w:r>
      <w:proofErr w:type="spellStart"/>
      <w:r>
        <w:rPr>
          <w:rFonts w:ascii="Verdana" w:eastAsia="Century Gothic" w:hAnsi="Verdana" w:cs="Century Gothic"/>
          <w:color w:val="000000" w:themeColor="text1"/>
        </w:rPr>
        <w:t>ii</w:t>
      </w:r>
      <w:proofErr w:type="spellEnd"/>
      <w:r>
        <w:rPr>
          <w:rFonts w:ascii="Verdana" w:eastAsia="Century Gothic" w:hAnsi="Verdana" w:cs="Century Gothic"/>
          <w:color w:val="000000" w:themeColor="text1"/>
        </w:rPr>
        <w:t>)</w:t>
      </w:r>
      <w:r>
        <w:rPr>
          <w:rFonts w:ascii="Verdana" w:eastAsia="Century Gothic" w:hAnsi="Verdana" w:cs="Century Gothic"/>
          <w:b/>
          <w:bCs/>
          <w:color w:val="000000" w:themeColor="text1"/>
        </w:rPr>
        <w:t xml:space="preserve"> </w:t>
      </w:r>
      <w:r w:rsidRPr="006B1D32">
        <w:rPr>
          <w:rFonts w:ascii="Verdana" w:eastAsia="Century Gothic" w:hAnsi="Verdana" w:cs="Century Gothic"/>
          <w:color w:val="000000" w:themeColor="text1"/>
        </w:rPr>
        <w:t>¿Puede una entidad estatal, con fundamento en hallazgos, alertas o coincidencias en listas restrictivas derivadas del SARLAFT, rechazar ofertas, abstenerse de contratar o terminar unilateralmente un contrato estatal, sin que exista causal de inhabilidad, incompatibilidad o terminación expresamente prevista en la Constitución o en la ley?</w:t>
      </w:r>
      <w:r>
        <w:rPr>
          <w:rFonts w:ascii="Verdana" w:eastAsia="Century Gothic" w:hAnsi="Verdana" w:cs="Century Gothic"/>
          <w:color w:val="000000" w:themeColor="text1"/>
        </w:rPr>
        <w:t xml:space="preserve">; y </w:t>
      </w:r>
      <w:proofErr w:type="spellStart"/>
      <w:r>
        <w:rPr>
          <w:rFonts w:ascii="Verdana" w:eastAsia="Century Gothic" w:hAnsi="Verdana" w:cs="Century Gothic"/>
          <w:color w:val="000000" w:themeColor="text1"/>
        </w:rPr>
        <w:t>iii</w:t>
      </w:r>
      <w:proofErr w:type="spellEnd"/>
      <w:r>
        <w:rPr>
          <w:rFonts w:ascii="Verdana" w:eastAsia="Century Gothic" w:hAnsi="Verdana" w:cs="Century Gothic"/>
          <w:color w:val="000000" w:themeColor="text1"/>
        </w:rPr>
        <w:t>)</w:t>
      </w:r>
      <w:r>
        <w:rPr>
          <w:rFonts w:ascii="Verdana" w:eastAsia="Century Gothic" w:hAnsi="Verdana" w:cs="Century Gothic"/>
          <w:b/>
          <w:bCs/>
          <w:color w:val="000000" w:themeColor="text1"/>
        </w:rPr>
        <w:t xml:space="preserve">  </w:t>
      </w:r>
      <w:r w:rsidRPr="006B1D32">
        <w:rPr>
          <w:rFonts w:ascii="Verdana" w:eastAsia="Century Gothic" w:hAnsi="Verdana" w:cs="Century Gothic"/>
          <w:color w:val="000000" w:themeColor="text1"/>
        </w:rPr>
        <w:t>¿Qué medidas pueden adoptar las entidades estatales en los estudios previos, los pliegos de condiciones y las cláusulas contractuales para gestionar los riesgos de LA/FT/FP y de corrupción de manera compatible con los principios de legalidad y selección objetiva?</w:t>
      </w:r>
    </w:p>
    <w:p w14:paraId="2BD7589B" w14:textId="77777777" w:rsidR="00E34DF0" w:rsidRPr="00753106" w:rsidRDefault="00E34DF0" w:rsidP="00E34DF0">
      <w:pPr>
        <w:spacing w:after="0" w:line="276" w:lineRule="auto"/>
        <w:jc w:val="both"/>
        <w:rPr>
          <w:rFonts w:ascii="Verdana" w:eastAsia="Calibri" w:hAnsi="Verdana" w:cs="Arial"/>
          <w:color w:val="000000" w:themeColor="text1"/>
          <w:lang w:val="es-ES"/>
        </w:rPr>
      </w:pPr>
    </w:p>
    <w:p w14:paraId="7F6EF3CB" w14:textId="77777777" w:rsidR="00E34DF0" w:rsidRPr="00753106" w:rsidRDefault="00E34DF0" w:rsidP="00E34DF0">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753106">
        <w:rPr>
          <w:rFonts w:ascii="Verdana" w:eastAsia="Century Gothic" w:hAnsi="Verdana" w:cs="Century Gothic"/>
          <w:b/>
          <w:bCs/>
          <w:color w:val="000000" w:themeColor="text1"/>
        </w:rPr>
        <w:t>Respuesta:</w:t>
      </w:r>
    </w:p>
    <w:p w14:paraId="5E8BA982" w14:textId="77777777" w:rsidR="00E34DF0" w:rsidRPr="00753106" w:rsidRDefault="00E34DF0" w:rsidP="00E34DF0">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E34DF0" w:rsidRPr="00753106" w14:paraId="33B4E9A5" w14:textId="77777777" w:rsidTr="00B275C9">
        <w:tc>
          <w:tcPr>
            <w:tcW w:w="8828" w:type="dxa"/>
          </w:tcPr>
          <w:p w14:paraId="2EF2B652" w14:textId="77777777" w:rsidR="00E34DF0" w:rsidRDefault="00E34DF0" w:rsidP="00B275C9">
            <w:pPr>
              <w:widowControl w:val="0"/>
              <w:autoSpaceDE w:val="0"/>
              <w:autoSpaceDN w:val="0"/>
              <w:spacing w:before="120" w:after="120" w:line="276" w:lineRule="auto"/>
              <w:jc w:val="both"/>
              <w:rPr>
                <w:rFonts w:ascii="Verdana" w:eastAsia="Calibri" w:hAnsi="Verdana" w:cs="Arial"/>
              </w:rPr>
            </w:pPr>
            <w:r w:rsidRPr="00E72366">
              <w:rPr>
                <w:rFonts w:ascii="Verdana" w:eastAsia="Calibri" w:hAnsi="Verdana" w:cs="Arial"/>
              </w:rPr>
              <w:t>Frente al primer problema jurídico</w:t>
            </w:r>
            <w:r w:rsidRPr="00270845">
              <w:rPr>
                <w:rFonts w:ascii="Verdana" w:eastAsia="Calibri" w:hAnsi="Verdana" w:cs="Arial"/>
              </w:rPr>
              <w:t xml:space="preserve">, la Resolución 2328 de 2025, expedida por la Superintendencia de Transporte, impone a sus sujetos de vigilancia, inspección y control la obligación de implementar el SARLAFT, dentro del cual la debida diligencia y la debida diligencia intensificada —definidas en los artículos 5.6.2 y 5.6.11.3 de la Circular Única de Infraestructura y Transporte— constituyen procesos de conocimiento de la contraparte, de sus operaciones y del origen de sus fondos, bajo un enfoque basado en riesgo. Cuando el sujeto obligado es, además, una entidad sometida al Estatuto General de Contratación de la Administración Pública, dichas obligaciones tienen la naturaleza de instrumentos internos de gestión y administración del riesgo LA/FT/FP, y no la de fuentes de capacidad o incapacidad para contratar. </w:t>
            </w:r>
          </w:p>
          <w:p w14:paraId="30493651" w14:textId="77777777" w:rsidR="00E34DF0" w:rsidRDefault="00E34DF0" w:rsidP="00B275C9">
            <w:pPr>
              <w:spacing w:after="120" w:line="276" w:lineRule="auto"/>
              <w:ind w:firstLine="709"/>
              <w:jc w:val="both"/>
              <w:rPr>
                <w:rFonts w:ascii="Verdana" w:eastAsia="Calibri" w:hAnsi="Verdana" w:cs="Arial"/>
              </w:rPr>
            </w:pPr>
            <w:r w:rsidRPr="00270845">
              <w:rPr>
                <w:rFonts w:ascii="Verdana" w:eastAsia="Calibri" w:hAnsi="Verdana" w:cs="Arial"/>
              </w:rPr>
              <w:t xml:space="preserve">En consecuencia, la facultad prevista en el literal d) del artículo 5.6.11.3 —conforme a la cual la instancia de mayor jerarquía aprueba la vinculación, la rechaza o decide continuar la relación contractual tras la debida diligencia intensificada— debe interpretarse de manera armónica con el régimen de contratación estatal: orienta la toma de decisiones dentro del sistema de administración del riesgo, pero no opera como una causal autónoma de </w:t>
            </w:r>
            <w:r w:rsidRPr="00270845">
              <w:rPr>
                <w:rFonts w:ascii="Verdana" w:eastAsia="Calibri" w:hAnsi="Verdana" w:cs="Arial"/>
              </w:rPr>
              <w:lastRenderedPageBreak/>
              <w:t>exclusión, pues su aplicación está sujeta a las reglas de legalidad, taxatividad y competencia propias del sistema de compra pública</w:t>
            </w:r>
            <w:r>
              <w:rPr>
                <w:rFonts w:ascii="Verdana" w:eastAsia="Calibri" w:hAnsi="Verdana" w:cs="Arial"/>
              </w:rPr>
              <w:t>.</w:t>
            </w:r>
          </w:p>
          <w:p w14:paraId="03B582B1" w14:textId="77777777" w:rsidR="00E34DF0" w:rsidRDefault="00E34DF0" w:rsidP="00B275C9">
            <w:pPr>
              <w:spacing w:after="120" w:line="276" w:lineRule="auto"/>
              <w:ind w:firstLine="709"/>
              <w:jc w:val="both"/>
              <w:rPr>
                <w:rFonts w:ascii="Verdana" w:eastAsia="Calibri" w:hAnsi="Verdana" w:cs="Arial"/>
              </w:rPr>
            </w:pPr>
            <w:r>
              <w:rPr>
                <w:rFonts w:ascii="Verdana" w:eastAsia="Calibri" w:hAnsi="Verdana" w:cs="Arial"/>
              </w:rPr>
              <w:t>Respecto</w:t>
            </w:r>
            <w:r w:rsidRPr="00E72366">
              <w:rPr>
                <w:rFonts w:ascii="Verdana" w:eastAsia="Calibri" w:hAnsi="Verdana" w:cs="Arial"/>
              </w:rPr>
              <w:t xml:space="preserve"> al segundo problema jurídico</w:t>
            </w:r>
            <w:r w:rsidRPr="00D00127">
              <w:rPr>
                <w:rFonts w:ascii="Verdana" w:eastAsia="Calibri" w:hAnsi="Verdana" w:cs="Arial"/>
              </w:rPr>
              <w:t xml:space="preserve">, la respuesta es negativa en tres sentidos. Primero, el régimen de inhabilidades e incompatibilidades tiene reserva constitucional y legal y es de carácter taxativo, por lo que las entidades estatales no pueden establecer en los pliegos de condiciones causales de inhabilidad o incompatibilidad no previstas en la Constitución o en la ley, ni introducirlas de manera encubierta bajo la forma de causales de rechazo. Por ello, los hallazgos, alertas o coincidencias en listas restrictivas derivados del SARLAFT no configuran, por sí mismos, inhabilidades ni pueden camuflarse como criterios de exclusión de oferentes. Segundo, las listas nacionales —como el Boletín de </w:t>
            </w:r>
            <w:proofErr w:type="gramStart"/>
            <w:r w:rsidRPr="00D00127">
              <w:rPr>
                <w:rFonts w:ascii="Verdana" w:eastAsia="Calibri" w:hAnsi="Verdana" w:cs="Arial"/>
              </w:rPr>
              <w:t>Responsables</w:t>
            </w:r>
            <w:proofErr w:type="gramEnd"/>
            <w:r w:rsidRPr="00D00127">
              <w:rPr>
                <w:rFonts w:ascii="Verdana" w:eastAsia="Calibri" w:hAnsi="Verdana" w:cs="Arial"/>
              </w:rPr>
              <w:t xml:space="preserve"> Fiscales, los antecedentes disciplinarios y penales— son instrumentos de verificación de inhabilidades ya tipificadas en la ley, no fuentes de inhabilidad; y las listas restrictivas internacionales —OFAC, ONU, UE— pueden activar deberes de diligencia adicionales, pero no generan inhabilidad ni habilitan la abstención de contratar por fuera de las causales legales. Tercero, la terminación unilateral del contrato estatal tiene regulación especial y taxativa en los artículos 17 y 45 —en concordancia con los numerales 1, 2 y 4 del artículo 44— de la Ley 80 de 1993, cuyas causales son de interpretación restrictiva y ninguna de las cuales se relaciona con el incumplimiento de medidas SARLAFT, la inclusión en listas restrictivas o las señales de alerta derivadas del sistema; la autonomía de la voluntad no habilita a las entidades para adicionar causales que la ley no contempló. Únicamente cuando los hechos configuren una causal legal —por ejemplo, la inhabilidad sobreviniente del literal j) del numeral 1 del artículo 8 de la Ley 80 de 1993— procederá la terminación unilateral con fundamento en el numeral 1 del artículo 44 ibidem, mediante acto administrativo debidamente motivado.</w:t>
            </w:r>
          </w:p>
          <w:p w14:paraId="65637BCB" w14:textId="77777777" w:rsidR="00E34DF0" w:rsidRPr="00911D72" w:rsidRDefault="00E34DF0" w:rsidP="00B275C9">
            <w:pPr>
              <w:spacing w:after="120" w:line="276" w:lineRule="auto"/>
              <w:ind w:firstLine="709"/>
              <w:jc w:val="both"/>
              <w:rPr>
                <w:rFonts w:ascii="Verdana" w:eastAsia="Calibri" w:hAnsi="Verdana" w:cs="Arial"/>
              </w:rPr>
            </w:pPr>
            <w:r w:rsidRPr="00E72366">
              <w:rPr>
                <w:rFonts w:ascii="Verdana" w:eastAsia="Calibri" w:hAnsi="Verdana" w:cs="Arial"/>
              </w:rPr>
              <w:t>Frente al tercer problema jurídico</w:t>
            </w:r>
            <w:r w:rsidRPr="00911D72">
              <w:rPr>
                <w:rFonts w:ascii="Verdana" w:eastAsia="Calibri" w:hAnsi="Verdana" w:cs="Arial"/>
              </w:rPr>
              <w:t xml:space="preserve">, las entidades sí cuentan con mecanismos para armonizar el cumplimiento de las obligaciones SARLAFT con los principios de legalidad y selección objetiva, conforme a los parámetros fijados por la Sala de Consulta y Servicio Civil del Consejo de Estado en el Concepto del 27 de agosto de 2015. En los estudios previos, pueden tipificar, estimar y asignar los riesgos de corrupción y LA/FT como categorías explícitas de la matriz de riesgos, definir el nivel de diligencia que ejercerán sobre los proponentes y exigir las garantías correspondientes. En la fase precontractual, </w:t>
            </w:r>
            <w:r w:rsidRPr="00911D72">
              <w:rPr>
                <w:rFonts w:ascii="Verdana" w:eastAsia="Calibri" w:hAnsi="Verdana" w:cs="Arial"/>
              </w:rPr>
              <w:lastRenderedPageBreak/>
              <w:t>deben realizar la revisión sistemática de las listas nacionales para verificar inhabilidades tipificadas, implementar mecanismos de verificación de situaciones de control conforme al Decreto 1600 de 2024 e identificar al beneficiario final según la Ley 2195 de 2022; asimismo, pueden exigir declaraciones de origen lícito de fondos y la suscripción de pactos de integridad. En las cláusulas contractuales, pueden incorporar obligaciones de reporte periódico de información societaria, financiera y comercial relevante para identificar potenciales inhabilidades o la materialización de los riesgos, así como mecanismos de respuesta de carácter convencional —multas y condiciones resolutorias expresas— pactados con sustento en el principio de buena fe y en el artículo 3 de la Ley 80 de 1993. Durante la suscripción y ejecución del contrato, deberán verificar el estado de las inhabilidades para descartar causales sobrevinientes y adoptar, según el caso, las medidas de renuncia o cesión que la ley establece.</w:t>
            </w:r>
          </w:p>
          <w:p w14:paraId="3490FD21" w14:textId="77777777" w:rsidR="00E34DF0" w:rsidRPr="00911D72" w:rsidRDefault="00E34DF0" w:rsidP="00B275C9">
            <w:pPr>
              <w:spacing w:after="120" w:line="276" w:lineRule="auto"/>
              <w:ind w:firstLine="709"/>
              <w:jc w:val="both"/>
              <w:rPr>
                <w:rFonts w:ascii="Verdana" w:eastAsia="Calibri" w:hAnsi="Verdana" w:cs="Arial"/>
              </w:rPr>
            </w:pPr>
            <w:r w:rsidRPr="00911D72">
              <w:rPr>
                <w:rFonts w:ascii="Verdana" w:eastAsia="Calibri" w:hAnsi="Verdana" w:cs="Arial"/>
              </w:rPr>
              <w:t>Lo anterior no obsta para que las entidades ejerzan la potestad de incluir causales de rechazo en el pliego de condiciones o documento equivalente, siempre que estén debidamente justificadas en relación con el objeto contractual y respondan a defectos, omisiones o circunstancias que permitan deducir que la oferta no resulta favorable para los intereses de la entidad, la protección del interés general y los fines y principios de la contratación, conforme a la jurisprudencia del Consejo de Estado. Así, por ejemplo, el reporte de un oferente en listas vinculantes aplicables en Colombia en materia de financiación del terrorismo podría, en determinados procesos, sustentar una causal de rechazo, siempre que esta no encubra ni equivalga, en la práctica, a la creación de una inhabilidad o incompatibilidad no prevista en la Constitución o en la ley, ni se fundamente en consideraciones subjetivas, so pena de comprometer los principios de transparencia, igualdad y selección objetiva.</w:t>
            </w:r>
          </w:p>
          <w:p w14:paraId="394BA16C" w14:textId="77777777" w:rsidR="00E34DF0" w:rsidRPr="00911D72" w:rsidRDefault="00E34DF0" w:rsidP="00B275C9">
            <w:pPr>
              <w:spacing w:after="120" w:line="276" w:lineRule="auto"/>
              <w:ind w:firstLine="709"/>
              <w:jc w:val="both"/>
              <w:rPr>
                <w:rFonts w:ascii="Verdana" w:eastAsia="Calibri" w:hAnsi="Verdana" w:cs="Arial"/>
              </w:rPr>
            </w:pPr>
            <w:r w:rsidRPr="00911D72">
              <w:rPr>
                <w:rFonts w:ascii="Verdana" w:eastAsia="Calibri" w:hAnsi="Verdana" w:cs="Arial"/>
              </w:rPr>
              <w:t xml:space="preserve">Finalmente, se precisa que esta Agencia ha sostenido en los Conceptos 415140001639 del 17 de junio de 2019, C-001 de 2020, C-230 de 2020, C-684 de 2020, C-958 de 2023, C-279 de 2025, C-1080 de 2025 y C-1449 de 2025 que la inclusión en la Lista Clinton o los controles derivados del SARLAFT no generan inhabilidades o incompatibilidades ni pueden camuflarse como causales de rechazo, y se ha pronunciado sobre el rechazo de ofertas y la terminación unilateral frente al riesgo de lavado de activos en los Conceptos </w:t>
            </w:r>
            <w:r w:rsidRPr="00911D72">
              <w:rPr>
                <w:rFonts w:ascii="Verdana" w:eastAsia="Calibri" w:hAnsi="Verdana" w:cs="Arial"/>
              </w:rPr>
              <w:lastRenderedPageBreak/>
              <w:t xml:space="preserve">C-419 de 2023 y C-494 de 2024. La Agencia no ha expedido circulares, guías o manuales específicos sobre la consulta de listas restrictivas en procedimientos de </w:t>
            </w:r>
            <w:proofErr w:type="spellStart"/>
            <w:r w:rsidRPr="00E72366">
              <w:rPr>
                <w:rFonts w:ascii="Verdana" w:eastAsia="Calibri" w:hAnsi="Verdana" w:cs="Arial"/>
                <w:i/>
                <w:iCs/>
              </w:rPr>
              <w:t>compliance</w:t>
            </w:r>
            <w:proofErr w:type="spellEnd"/>
            <w:r w:rsidRPr="00911D72">
              <w:rPr>
                <w:rFonts w:ascii="Verdana" w:eastAsia="Calibri" w:hAnsi="Verdana" w:cs="Arial"/>
              </w:rPr>
              <w:t xml:space="preserve"> o debida diligencia en la contratación estatal, sin perjuicio de que dicha consulta constituya una buena práctica de gestión del riesgo en los términos aquí señalados.</w:t>
            </w:r>
          </w:p>
          <w:p w14:paraId="257C7C2F" w14:textId="77777777" w:rsidR="00E34DF0" w:rsidRPr="00753106" w:rsidRDefault="00E34DF0" w:rsidP="00B275C9">
            <w:pPr>
              <w:widowControl w:val="0"/>
              <w:autoSpaceDE w:val="0"/>
              <w:autoSpaceDN w:val="0"/>
              <w:spacing w:before="120" w:after="120" w:line="276" w:lineRule="auto"/>
              <w:ind w:firstLine="709"/>
              <w:jc w:val="both"/>
              <w:rPr>
                <w:rFonts w:ascii="Verdana" w:eastAsia="Arial" w:hAnsi="Verdana" w:cs="Arial"/>
                <w:color w:val="000000"/>
                <w:lang w:val="es-ES"/>
              </w:rPr>
            </w:pPr>
            <w:r w:rsidRPr="00911D72">
              <w:rPr>
                <w:rFonts w:ascii="Verdana" w:eastAsia="Calibri" w:hAnsi="Verdana" w:cs="Arial"/>
              </w:rPr>
              <w:t xml:space="preserve">Al margen de la explicación precedente, debe advertirse que el análisis requerido para resolver problemas específicos en torno a la gestión contractual de las entidades públicas debe ser realizado por quienes tengan interés en ello, de acuerdo con la aclaración preliminar del presente oficio. Por lo anterior, previo concepto de sus </w:t>
            </w:r>
            <w:proofErr w:type="gramStart"/>
            <w:r w:rsidRPr="00911D72">
              <w:rPr>
                <w:rFonts w:ascii="Verdana" w:eastAsia="Calibri" w:hAnsi="Verdana" w:cs="Arial"/>
              </w:rPr>
              <w:t>asesores,</w:t>
            </w:r>
            <w:proofErr w:type="gramEnd"/>
            <w:r w:rsidRPr="00911D72">
              <w:rPr>
                <w:rFonts w:ascii="Verdana" w:eastAsia="Calibri" w:hAnsi="Verdana" w:cs="Arial"/>
              </w:rPr>
              <w:t xml:space="preserve"> corresponde a los interesados adoptar la decisión pertinente y, en caso de conflicto, a las autoridades judiciales, fiscales y disciplinarias. Así, cada entidad definirá la forma de adelantar su gestión contractual, sin que sea atribución de Colombia Compra Eficiente validar sus actuaciones.</w:t>
            </w:r>
          </w:p>
        </w:tc>
      </w:tr>
    </w:tbl>
    <w:p w14:paraId="3E743F3A" w14:textId="77777777" w:rsidR="00E34DF0" w:rsidRPr="00753106" w:rsidRDefault="00E34DF0" w:rsidP="00E34DF0">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0CAA5736" w14:textId="77777777" w:rsidR="00E34DF0" w:rsidRPr="00753106" w:rsidRDefault="00E34DF0" w:rsidP="00E34DF0">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753106">
        <w:rPr>
          <w:rFonts w:ascii="Verdana" w:eastAsia="Century Gothic" w:hAnsi="Verdana" w:cs="Century Gothic"/>
          <w:b/>
          <w:bCs/>
          <w:color w:val="000000" w:themeColor="text1"/>
        </w:rPr>
        <w:t>Razones de la respuesta:</w:t>
      </w:r>
    </w:p>
    <w:p w14:paraId="7DE05C80" w14:textId="77777777" w:rsidR="00E34DF0" w:rsidRPr="00753106" w:rsidRDefault="00E34DF0" w:rsidP="00E34DF0">
      <w:pPr>
        <w:spacing w:after="0" w:line="276" w:lineRule="auto"/>
        <w:jc w:val="both"/>
        <w:rPr>
          <w:rFonts w:ascii="Verdana" w:eastAsia="Calibri" w:hAnsi="Verdana" w:cs="Arial"/>
          <w:color w:val="000000" w:themeColor="text1"/>
          <w:lang w:val="es-ES"/>
        </w:rPr>
      </w:pPr>
    </w:p>
    <w:p w14:paraId="234988F2" w14:textId="77777777" w:rsidR="00E34DF0" w:rsidRPr="00753106" w:rsidRDefault="00E34DF0" w:rsidP="00E34DF0">
      <w:pPr>
        <w:spacing w:after="0" w:line="276" w:lineRule="auto"/>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 xml:space="preserve">Lo anterior se sustenta en las siguientes consideraciones: </w:t>
      </w:r>
    </w:p>
    <w:p w14:paraId="57177BDD" w14:textId="77777777" w:rsidR="00E34DF0" w:rsidRPr="00753106" w:rsidRDefault="00E34DF0" w:rsidP="00E34DF0">
      <w:pPr>
        <w:spacing w:after="0" w:line="276" w:lineRule="auto"/>
        <w:jc w:val="both"/>
        <w:rPr>
          <w:rFonts w:ascii="Verdana" w:eastAsia="Calibri" w:hAnsi="Verdana" w:cs="Arial"/>
          <w:lang w:val="es-ES"/>
        </w:rPr>
      </w:pPr>
    </w:p>
    <w:p w14:paraId="3AF79FDB" w14:textId="77777777" w:rsidR="00E34DF0" w:rsidRPr="00753106" w:rsidRDefault="00E34DF0" w:rsidP="00E34DF0">
      <w:pPr>
        <w:spacing w:after="120" w:line="276" w:lineRule="auto"/>
        <w:jc w:val="both"/>
        <w:rPr>
          <w:rFonts w:ascii="Verdana" w:eastAsia="Calibri" w:hAnsi="Verdana" w:cs="Arial"/>
          <w:color w:val="000000" w:themeColor="text1"/>
          <w:lang w:val="es-ES"/>
        </w:rPr>
      </w:pPr>
      <w:r w:rsidRPr="00753106">
        <w:rPr>
          <w:rFonts w:ascii="Verdana" w:eastAsia="Calibri" w:hAnsi="Verdana" w:cs="Arial"/>
          <w:lang w:val="es-ES"/>
        </w:rPr>
        <w:t>i.</w:t>
      </w:r>
      <w:r w:rsidRPr="00753106">
        <w:rPr>
          <w:rFonts w:ascii="Verdana" w:eastAsia="Calibri" w:hAnsi="Verdana" w:cs="Arial"/>
          <w:color w:val="000000" w:themeColor="text1"/>
          <w:lang w:val="es-ES"/>
        </w:rPr>
        <w:t xml:space="preserve"> La debida diligencia o verificación en listas vinculantes, restrictivas y no restrictivas es una acción fundamental al interior de todos los </w:t>
      </w:r>
      <w:r w:rsidRPr="00753106">
        <w:rPr>
          <w:rFonts w:ascii="Verdana" w:eastAsia="Calibri" w:hAnsi="Verdana" w:cs="Arial"/>
          <w:i/>
          <w:iCs/>
          <w:color w:val="000000" w:themeColor="text1"/>
          <w:lang w:val="es-ES"/>
        </w:rPr>
        <w:t>sistemas de gestión del riesgo de lavado de activos y financiación del terrorismo</w:t>
      </w:r>
      <w:r w:rsidRPr="00753106">
        <w:rPr>
          <w:rFonts w:ascii="Verdana" w:eastAsia="Calibri" w:hAnsi="Verdana" w:cs="Arial"/>
          <w:color w:val="000000" w:themeColor="text1"/>
          <w:lang w:val="es-ES"/>
        </w:rPr>
        <w:t>, pues se configura en la etapa de conocimiento del proveedor, así como en la vinculación del extremo contractual, satisfaciendo la necesidad de salvaguardar el interés general inherente en la contratación pública, de forma que implique el menor sacrificio posible al derecho de igualdad y al reconocimiento de la personalidad jurídica de quienes aspiran a contratar con el Estado.</w:t>
      </w:r>
    </w:p>
    <w:p w14:paraId="48BC74D7" w14:textId="77777777" w:rsidR="00E34DF0" w:rsidRPr="00753106" w:rsidRDefault="00E34DF0" w:rsidP="00E34DF0">
      <w:pPr>
        <w:spacing w:after="120" w:line="276" w:lineRule="auto"/>
        <w:ind w:firstLine="709"/>
        <w:jc w:val="both"/>
        <w:rPr>
          <w:rFonts w:ascii="Verdana" w:eastAsia="Calibri" w:hAnsi="Verdana" w:cs="Arial"/>
          <w:color w:val="000000" w:themeColor="text1"/>
          <w:lang w:val="es-ES"/>
        </w:rPr>
      </w:pPr>
      <w:r w:rsidRPr="00753106">
        <w:rPr>
          <w:rFonts w:ascii="Verdana" w:hAnsi="Verdana" w:cs="Arial"/>
          <w:color w:val="000000" w:themeColor="text1"/>
          <w:lang w:val="es-ES"/>
        </w:rPr>
        <w:t xml:space="preserve">Con respecto </w:t>
      </w:r>
      <w:r w:rsidRPr="00753106">
        <w:rPr>
          <w:rFonts w:ascii="Verdana" w:hAnsi="Verdana"/>
          <w:lang w:val="es-ES"/>
        </w:rPr>
        <w:t>al riesgo de lavado de activos en los procesos de contratación</w:t>
      </w:r>
      <w:r w:rsidRPr="00753106">
        <w:rPr>
          <w:rFonts w:ascii="Verdana" w:hAnsi="Verdana"/>
          <w:i/>
          <w:iCs/>
          <w:lang w:val="es-ES"/>
        </w:rPr>
        <w:t xml:space="preserve">, </w:t>
      </w:r>
      <w:r w:rsidRPr="00753106">
        <w:rPr>
          <w:rFonts w:ascii="Verdana" w:eastAsia="Calibri" w:hAnsi="Verdana" w:cs="Arial"/>
          <w:color w:val="000000" w:themeColor="text1"/>
          <w:lang w:val="es-ES"/>
        </w:rPr>
        <w:t xml:space="preserve">la Ley 526 de 1999, modificada por las Leyes 1121 de 2006, 1621 de 2012 y 1762 de 2015, creó la </w:t>
      </w:r>
      <w:bookmarkStart w:id="1" w:name="_Hlk56670371"/>
      <w:r w:rsidRPr="00753106">
        <w:rPr>
          <w:rFonts w:ascii="Verdana" w:eastAsia="Calibri" w:hAnsi="Verdana" w:cs="Arial"/>
          <w:color w:val="000000" w:themeColor="text1"/>
          <w:lang w:val="es-ES"/>
        </w:rPr>
        <w:t>Unidad de Información y Análisis Financiero</w:t>
      </w:r>
      <w:bookmarkEnd w:id="1"/>
      <w:r w:rsidRPr="00753106">
        <w:rPr>
          <w:rFonts w:ascii="Verdana" w:eastAsia="Calibri" w:hAnsi="Verdana" w:cs="Arial"/>
          <w:color w:val="000000" w:themeColor="text1"/>
          <w:lang w:val="es-ES"/>
        </w:rPr>
        <w:t xml:space="preserve"> –UIAF– adscrita al Ministerio de Hacienda y Crédito Público, con el propósito de detectar prácticas asociadas con el lavado de activos, financiación del terrorismo y las conductas relacionadas con la defraudación en materia aduanera. Adicionalmente, el artículo 2 del Decreto 1497 de 2002, actualmente compilado en el Decreto Único Reglamentario 1068 de 2015 del sector Hacienda y Crédito </w:t>
      </w:r>
      <w:r w:rsidRPr="00753106">
        <w:rPr>
          <w:rFonts w:ascii="Verdana" w:eastAsia="Calibri" w:hAnsi="Verdana" w:cs="Arial"/>
          <w:color w:val="000000" w:themeColor="text1"/>
          <w:lang w:val="es-ES"/>
        </w:rPr>
        <w:lastRenderedPageBreak/>
        <w:t>Público, dispuso que las entidades públicas y privadas, incluso, las pertenecientes a sectores diferentes al financiero, asegurador y bursátil, están obligadas</w:t>
      </w:r>
      <w:r>
        <w:rPr>
          <w:rFonts w:ascii="Verdana" w:eastAsia="Calibri" w:hAnsi="Verdana" w:cs="Arial"/>
          <w:color w:val="000000" w:themeColor="text1"/>
          <w:lang w:val="es-ES"/>
        </w:rPr>
        <w:t xml:space="preserve"> a</w:t>
      </w:r>
      <w:r w:rsidRPr="00753106">
        <w:rPr>
          <w:rFonts w:ascii="Verdana" w:eastAsia="Calibri" w:hAnsi="Verdana" w:cs="Arial"/>
          <w:color w:val="000000" w:themeColor="text1"/>
          <w:lang w:val="es-ES"/>
        </w:rPr>
        <w:t xml:space="preserve"> reportar operaciones sospechosas a la UIAF. </w:t>
      </w:r>
    </w:p>
    <w:p w14:paraId="00DB459C" w14:textId="77777777" w:rsidR="00E34DF0" w:rsidRPr="00753106" w:rsidRDefault="00E34DF0" w:rsidP="00E34DF0">
      <w:pPr>
        <w:spacing w:after="0" w:line="276" w:lineRule="auto"/>
        <w:ind w:firstLine="708"/>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Dentro de este contexto, el SARLAFT es un sistema de prevención y control para la adecuada gestión del riesgo de lavado de activos y financiación del terrorismo. Para esto, se deberán adoptar unas políticas, procedimientos y herramientas mínimas que contemplen todas las actividades que realizan en desarrollo de su objeto social y que se ajusten a su tamaño, actividad económica, forma de comercialización y demás características particulares de cada agente sujeto a vigilancia. En el caso de las entidades vigiladas por la Superintendencia Financiera, se requiere que implementen el SARLAFT con el fin de prevenir que sean utilizadas para (i) dar apariencia de legalidad a activos provenientes de actividades delictivas y/o (</w:t>
      </w:r>
      <w:proofErr w:type="spellStart"/>
      <w:r w:rsidRPr="00753106">
        <w:rPr>
          <w:rFonts w:ascii="Verdana" w:eastAsia="Calibri" w:hAnsi="Verdana" w:cs="Arial"/>
          <w:color w:val="000000" w:themeColor="text1"/>
          <w:lang w:val="es-ES"/>
        </w:rPr>
        <w:t>ii</w:t>
      </w:r>
      <w:proofErr w:type="spellEnd"/>
      <w:r w:rsidRPr="00753106">
        <w:rPr>
          <w:rFonts w:ascii="Verdana" w:eastAsia="Calibri" w:hAnsi="Verdana" w:cs="Arial"/>
          <w:color w:val="000000" w:themeColor="text1"/>
          <w:lang w:val="es-ES"/>
        </w:rPr>
        <w:t xml:space="preserve">) canalizar recursos hacia la realización de actividades terroristas. Con este fin, en desarrollo de los dispuesto en los artículos 102 y subsiguientes del Decreto Ley 663 de 1993, Estatuto Orgánico del Sistema Financiero, así como lo dispuesto en el </w:t>
      </w:r>
      <w:proofErr w:type="spellStart"/>
      <w:r w:rsidRPr="00753106">
        <w:rPr>
          <w:rFonts w:ascii="Verdana" w:eastAsia="Calibri" w:hAnsi="Verdana" w:cs="Arial"/>
          <w:color w:val="000000" w:themeColor="text1"/>
          <w:lang w:val="es-ES"/>
        </w:rPr>
        <w:t>artículo</w:t>
      </w:r>
      <w:proofErr w:type="spellEnd"/>
      <w:r w:rsidRPr="00753106">
        <w:rPr>
          <w:rFonts w:ascii="Verdana" w:eastAsia="Calibri" w:hAnsi="Verdana" w:cs="Arial"/>
          <w:color w:val="000000" w:themeColor="text1"/>
          <w:lang w:val="es-ES"/>
        </w:rPr>
        <w:t xml:space="preserve"> 22 de la Ley 964 de 2005, la Superintendencia determina los criterios y parámetros </w:t>
      </w:r>
      <w:proofErr w:type="spellStart"/>
      <w:r w:rsidRPr="00753106">
        <w:rPr>
          <w:rFonts w:ascii="Verdana" w:eastAsia="Calibri" w:hAnsi="Verdana" w:cs="Arial"/>
          <w:color w:val="000000" w:themeColor="text1"/>
          <w:lang w:val="es-ES"/>
        </w:rPr>
        <w:t>mínimos</w:t>
      </w:r>
      <w:proofErr w:type="spellEnd"/>
      <w:r w:rsidRPr="00753106">
        <w:rPr>
          <w:rFonts w:ascii="Verdana" w:eastAsia="Calibri" w:hAnsi="Verdana" w:cs="Arial"/>
          <w:color w:val="000000" w:themeColor="text1"/>
          <w:lang w:val="es-ES"/>
        </w:rPr>
        <w:t xml:space="preserve"> que las entidades vigiladas deben atender en el </w:t>
      </w:r>
      <w:proofErr w:type="spellStart"/>
      <w:r w:rsidRPr="00753106">
        <w:rPr>
          <w:rFonts w:ascii="Verdana" w:eastAsia="Calibri" w:hAnsi="Verdana" w:cs="Arial"/>
          <w:color w:val="000000" w:themeColor="text1"/>
          <w:lang w:val="es-ES"/>
        </w:rPr>
        <w:t>diseño</w:t>
      </w:r>
      <w:proofErr w:type="spellEnd"/>
      <w:r w:rsidRPr="00753106">
        <w:rPr>
          <w:rFonts w:ascii="Verdana" w:eastAsia="Calibri" w:hAnsi="Verdana" w:cs="Arial"/>
          <w:color w:val="000000" w:themeColor="text1"/>
          <w:lang w:val="es-ES"/>
        </w:rPr>
        <w:t>, implementación y funcionamiento del mencionado sistema</w:t>
      </w:r>
      <w:r w:rsidRPr="00753106">
        <w:rPr>
          <w:rStyle w:val="Refdenotaalpie"/>
          <w:rFonts w:ascii="Verdana" w:eastAsia="Calibri" w:hAnsi="Verdana" w:cs="Arial"/>
          <w:color w:val="000000" w:themeColor="text1"/>
          <w:lang w:val="es-ES"/>
        </w:rPr>
        <w:footnoteReference w:id="2"/>
      </w:r>
      <w:r w:rsidRPr="00753106">
        <w:rPr>
          <w:rFonts w:ascii="Verdana" w:eastAsia="Calibri" w:hAnsi="Verdana" w:cs="Arial"/>
          <w:color w:val="000000" w:themeColor="text1"/>
          <w:lang w:val="es-ES"/>
        </w:rPr>
        <w:t xml:space="preserve">. </w:t>
      </w:r>
    </w:p>
    <w:p w14:paraId="770A1B8E" w14:textId="77777777" w:rsidR="00E34DF0" w:rsidRPr="00753106" w:rsidRDefault="00E34DF0" w:rsidP="00E34DF0">
      <w:pPr>
        <w:spacing w:before="120" w:after="0" w:line="276" w:lineRule="auto"/>
        <w:ind w:firstLine="708"/>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Bajo dicho marco, las entidades deben implementar sistemas para prevenir el riesgo de que se introduzcan al sistema financiero recursos provenientes de actividades relacionadas con el lavado de activos y/o financiación del terrorismo (LA/FT), así como detectar y reportar las operaciones cuyo propósito sea dar apariencia de legalidad a operaciones vinculadas al LA/FT.</w:t>
      </w:r>
    </w:p>
    <w:p w14:paraId="59D00508" w14:textId="77777777" w:rsidR="00E34DF0" w:rsidRPr="00753106" w:rsidRDefault="00E34DF0" w:rsidP="00E34DF0">
      <w:pPr>
        <w:spacing w:before="120" w:after="0" w:line="276" w:lineRule="auto"/>
        <w:ind w:firstLine="708"/>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 xml:space="preserve">En particular, para prevenir el riesgo de corrupción y de delitos derivados de la celebración de contratos estatales, esta Agencia ha señalado que las entidades contratantes –tanto las sometidas como exceptuadas de la Ley 80 de 1993– cuentan con las siguientes opciones, conforme a los parámetros fijados por la </w:t>
      </w:r>
      <w:bookmarkStart w:id="2" w:name="_Hlk148964958"/>
      <w:r w:rsidRPr="00753106">
        <w:rPr>
          <w:rFonts w:ascii="Verdana" w:eastAsia="Calibri" w:hAnsi="Verdana" w:cs="Arial"/>
          <w:color w:val="000000" w:themeColor="text1"/>
          <w:lang w:val="es-ES"/>
        </w:rPr>
        <w:t>Sala de Consulta y Servicio Civil del Consejo de Estado</w:t>
      </w:r>
      <w:bookmarkEnd w:id="2"/>
      <w:r w:rsidRPr="00753106">
        <w:rPr>
          <w:rFonts w:ascii="Verdana" w:eastAsia="Calibri" w:hAnsi="Verdana" w:cs="Arial"/>
          <w:color w:val="000000" w:themeColor="text1"/>
          <w:lang w:val="es-ES"/>
        </w:rPr>
        <w:t xml:space="preserve">: </w:t>
      </w:r>
    </w:p>
    <w:p w14:paraId="1C5DDF3F" w14:textId="77777777" w:rsidR="00E34DF0" w:rsidRPr="00F4529B" w:rsidRDefault="00E34DF0" w:rsidP="00E34DF0">
      <w:pPr>
        <w:spacing w:after="0" w:line="240" w:lineRule="auto"/>
        <w:ind w:left="709" w:right="709" w:firstLine="708"/>
        <w:jc w:val="both"/>
        <w:rPr>
          <w:rFonts w:ascii="Verdana" w:eastAsia="Calibri" w:hAnsi="Verdana" w:cs="Arial"/>
          <w:color w:val="000000" w:themeColor="text1"/>
          <w:sz w:val="20"/>
          <w:szCs w:val="20"/>
          <w:lang w:val="es-ES"/>
        </w:rPr>
      </w:pPr>
    </w:p>
    <w:p w14:paraId="584A3779" w14:textId="77777777" w:rsidR="00E34DF0" w:rsidRPr="00F4529B" w:rsidRDefault="00E34DF0" w:rsidP="00E34DF0">
      <w:pPr>
        <w:spacing w:after="120" w:line="240" w:lineRule="auto"/>
        <w:ind w:left="709" w:right="709" w:firstLine="708"/>
        <w:jc w:val="both"/>
        <w:rPr>
          <w:rFonts w:ascii="Verdana" w:eastAsia="Calibri" w:hAnsi="Verdana" w:cs="Arial"/>
          <w:color w:val="000000" w:themeColor="text1"/>
          <w:sz w:val="20"/>
          <w:szCs w:val="20"/>
          <w:lang w:val="es-ES"/>
        </w:rPr>
      </w:pPr>
      <w:r w:rsidRPr="00F4529B">
        <w:rPr>
          <w:rFonts w:ascii="Verdana" w:eastAsia="Calibri" w:hAnsi="Verdana" w:cs="Arial"/>
          <w:color w:val="000000" w:themeColor="text1"/>
          <w:sz w:val="20"/>
          <w:szCs w:val="20"/>
          <w:lang w:val="es-ES"/>
        </w:rPr>
        <w:t xml:space="preserve">1. En los </w:t>
      </w:r>
      <w:r w:rsidRPr="00F4529B">
        <w:rPr>
          <w:rFonts w:ascii="Verdana" w:eastAsia="Calibri" w:hAnsi="Verdana" w:cs="Arial"/>
          <w:i/>
          <w:iCs/>
          <w:color w:val="000000" w:themeColor="text1"/>
          <w:sz w:val="20"/>
          <w:szCs w:val="20"/>
          <w:lang w:val="es-ES"/>
        </w:rPr>
        <w:t>estudios previos</w:t>
      </w:r>
      <w:r w:rsidRPr="00F4529B">
        <w:rPr>
          <w:rFonts w:ascii="Verdana" w:eastAsia="Calibri" w:hAnsi="Verdana" w:cs="Arial"/>
          <w:color w:val="000000" w:themeColor="text1"/>
          <w:sz w:val="20"/>
          <w:szCs w:val="20"/>
          <w:lang w:val="es-ES"/>
        </w:rPr>
        <w:t xml:space="preserve"> que sustentan la contratación: </w:t>
      </w:r>
    </w:p>
    <w:p w14:paraId="323EF0A7" w14:textId="77777777" w:rsidR="00E34DF0" w:rsidRPr="00F4529B" w:rsidRDefault="00E34DF0" w:rsidP="00E34DF0">
      <w:pPr>
        <w:snapToGrid w:val="0"/>
        <w:spacing w:after="0" w:line="240" w:lineRule="auto"/>
        <w:ind w:left="709" w:right="709"/>
        <w:contextualSpacing/>
        <w:jc w:val="both"/>
        <w:rPr>
          <w:rFonts w:ascii="Verdana" w:eastAsia="Calibri" w:hAnsi="Verdana" w:cs="Arial"/>
          <w:color w:val="000000" w:themeColor="text1"/>
          <w:sz w:val="20"/>
          <w:szCs w:val="20"/>
          <w:lang w:val="es-ES"/>
        </w:rPr>
      </w:pPr>
      <w:r w:rsidRPr="00F4529B">
        <w:rPr>
          <w:rFonts w:ascii="Verdana" w:eastAsia="Calibri" w:hAnsi="Verdana" w:cs="Arial"/>
          <w:color w:val="000000" w:themeColor="text1"/>
          <w:sz w:val="20"/>
          <w:szCs w:val="20"/>
          <w:lang w:val="es-ES"/>
        </w:rPr>
        <w:t xml:space="preserve">a) Tipificar, estimar y asignar los riesgos para prevenir actos de corrupción; </w:t>
      </w:r>
    </w:p>
    <w:p w14:paraId="33A30C63" w14:textId="77777777" w:rsidR="00E34DF0" w:rsidRPr="00F4529B" w:rsidRDefault="00E34DF0" w:rsidP="00E34DF0">
      <w:pPr>
        <w:snapToGrid w:val="0"/>
        <w:spacing w:after="0" w:line="240" w:lineRule="auto"/>
        <w:ind w:left="709" w:right="709"/>
        <w:contextualSpacing/>
        <w:jc w:val="both"/>
        <w:rPr>
          <w:rFonts w:ascii="Verdana" w:eastAsia="Calibri" w:hAnsi="Verdana" w:cs="Arial"/>
          <w:color w:val="000000" w:themeColor="text1"/>
          <w:sz w:val="20"/>
          <w:szCs w:val="20"/>
          <w:lang w:val="es-ES"/>
        </w:rPr>
      </w:pPr>
      <w:r w:rsidRPr="00F4529B">
        <w:rPr>
          <w:rFonts w:ascii="Verdana" w:eastAsia="Calibri" w:hAnsi="Verdana" w:cs="Arial"/>
          <w:color w:val="000000" w:themeColor="text1"/>
          <w:sz w:val="20"/>
          <w:szCs w:val="20"/>
          <w:lang w:val="es-ES"/>
        </w:rPr>
        <w:lastRenderedPageBreak/>
        <w:t>b) Contemplar las medidas tendientes a verificar las calidades de los proponentes o futuros contratistas;</w:t>
      </w:r>
    </w:p>
    <w:p w14:paraId="111F0404" w14:textId="77777777" w:rsidR="00E34DF0" w:rsidRPr="00F4529B" w:rsidRDefault="00E34DF0" w:rsidP="00E34DF0">
      <w:pPr>
        <w:spacing w:after="0" w:line="240" w:lineRule="auto"/>
        <w:ind w:left="709" w:right="709" w:firstLine="708"/>
        <w:jc w:val="both"/>
        <w:rPr>
          <w:rFonts w:ascii="Verdana" w:eastAsia="Calibri" w:hAnsi="Verdana" w:cs="Arial"/>
          <w:color w:val="000000" w:themeColor="text1"/>
          <w:sz w:val="20"/>
          <w:szCs w:val="20"/>
          <w:lang w:val="es-ES"/>
        </w:rPr>
      </w:pPr>
    </w:p>
    <w:p w14:paraId="6DE9BCF5" w14:textId="77777777" w:rsidR="00E34DF0" w:rsidRPr="00F4529B" w:rsidRDefault="00E34DF0" w:rsidP="00E34DF0">
      <w:pPr>
        <w:spacing w:after="120" w:line="240" w:lineRule="auto"/>
        <w:ind w:left="709" w:right="709" w:firstLine="708"/>
        <w:jc w:val="both"/>
        <w:rPr>
          <w:rFonts w:ascii="Verdana" w:eastAsia="Calibri" w:hAnsi="Verdana" w:cs="Arial"/>
          <w:color w:val="000000" w:themeColor="text1"/>
          <w:sz w:val="20"/>
          <w:szCs w:val="20"/>
          <w:lang w:val="es-ES"/>
        </w:rPr>
      </w:pPr>
      <w:r w:rsidRPr="00F4529B">
        <w:rPr>
          <w:rFonts w:ascii="Verdana" w:eastAsia="Calibri" w:hAnsi="Verdana" w:cs="Arial"/>
          <w:color w:val="000000" w:themeColor="text1"/>
          <w:sz w:val="20"/>
          <w:szCs w:val="20"/>
          <w:lang w:val="es-ES"/>
        </w:rPr>
        <w:t xml:space="preserve">2. En los pliegos de condiciones y como parte integrante de la oferta: </w:t>
      </w:r>
    </w:p>
    <w:p w14:paraId="3B02E2FD" w14:textId="77777777" w:rsidR="00E34DF0" w:rsidRPr="00F4529B" w:rsidRDefault="00E34DF0" w:rsidP="00E34DF0">
      <w:pPr>
        <w:snapToGrid w:val="0"/>
        <w:spacing w:after="0" w:line="240" w:lineRule="auto"/>
        <w:ind w:left="709" w:right="709"/>
        <w:contextualSpacing/>
        <w:jc w:val="both"/>
        <w:rPr>
          <w:rFonts w:ascii="Verdana" w:eastAsia="Calibri" w:hAnsi="Verdana" w:cs="Arial"/>
          <w:color w:val="000000" w:themeColor="text1"/>
          <w:sz w:val="20"/>
          <w:szCs w:val="20"/>
          <w:lang w:val="es-ES"/>
        </w:rPr>
      </w:pPr>
      <w:r w:rsidRPr="00F4529B">
        <w:rPr>
          <w:rFonts w:ascii="Verdana" w:eastAsia="Calibri" w:hAnsi="Verdana" w:cs="Arial"/>
          <w:color w:val="000000" w:themeColor="text1"/>
          <w:sz w:val="20"/>
          <w:szCs w:val="20"/>
          <w:lang w:val="es-ES"/>
        </w:rPr>
        <w:t xml:space="preserve">a) Exigir la suscripción de “pactos o compromisos de integridad” y de la “declaración de origen de fondos”; </w:t>
      </w:r>
    </w:p>
    <w:p w14:paraId="78CAD19C" w14:textId="77777777" w:rsidR="00E34DF0" w:rsidRPr="00F4529B" w:rsidRDefault="00E34DF0" w:rsidP="00E34DF0">
      <w:pPr>
        <w:snapToGrid w:val="0"/>
        <w:spacing w:after="0" w:line="240" w:lineRule="auto"/>
        <w:ind w:left="709" w:right="709"/>
        <w:contextualSpacing/>
        <w:jc w:val="both"/>
        <w:rPr>
          <w:rFonts w:ascii="Verdana" w:eastAsia="Calibri" w:hAnsi="Verdana" w:cs="Arial"/>
          <w:color w:val="000000" w:themeColor="text1"/>
          <w:sz w:val="20"/>
          <w:szCs w:val="20"/>
          <w:lang w:val="es-ES"/>
        </w:rPr>
      </w:pPr>
      <w:r w:rsidRPr="00F4529B">
        <w:rPr>
          <w:rFonts w:ascii="Verdana" w:eastAsia="Calibri" w:hAnsi="Verdana" w:cs="Arial"/>
          <w:color w:val="000000" w:themeColor="text1"/>
          <w:sz w:val="20"/>
          <w:szCs w:val="20"/>
          <w:lang w:val="es-ES"/>
        </w:rPr>
        <w:t xml:space="preserve">b) Identificar plenamente al proponente y verificar los datos pertinentes, de acuerdo con la prerrogativa de la entidad, y </w:t>
      </w:r>
    </w:p>
    <w:p w14:paraId="17D83560" w14:textId="77777777" w:rsidR="00E34DF0" w:rsidRPr="00F4529B" w:rsidRDefault="00E34DF0" w:rsidP="00E34DF0">
      <w:pPr>
        <w:snapToGrid w:val="0"/>
        <w:spacing w:after="0" w:line="240" w:lineRule="auto"/>
        <w:ind w:left="709" w:right="709"/>
        <w:contextualSpacing/>
        <w:jc w:val="both"/>
        <w:rPr>
          <w:rFonts w:ascii="Verdana" w:eastAsia="Calibri" w:hAnsi="Verdana" w:cs="Arial"/>
          <w:color w:val="000000" w:themeColor="text1"/>
          <w:sz w:val="20"/>
          <w:szCs w:val="20"/>
          <w:lang w:val="es-ES"/>
        </w:rPr>
      </w:pPr>
      <w:r w:rsidRPr="00F4529B">
        <w:rPr>
          <w:rFonts w:ascii="Verdana" w:eastAsia="Calibri" w:hAnsi="Verdana" w:cs="Arial"/>
          <w:color w:val="000000" w:themeColor="text1"/>
          <w:sz w:val="20"/>
          <w:szCs w:val="20"/>
          <w:lang w:val="es-ES"/>
        </w:rPr>
        <w:t>c) Señalar expresamente que uno de los riesgos asociados al contrato es el de corrupción, el cual se relaciona directamente con el riesgo financiero y, en consecuencia, exigir garantías suficientes que permitan mantener cubierta a la entidad en relación con este riesgo;</w:t>
      </w:r>
    </w:p>
    <w:p w14:paraId="5C846656" w14:textId="77777777" w:rsidR="00E34DF0" w:rsidRPr="00F4529B" w:rsidRDefault="00E34DF0" w:rsidP="00E34DF0">
      <w:pPr>
        <w:spacing w:after="0" w:line="240" w:lineRule="auto"/>
        <w:ind w:left="709" w:right="709" w:firstLine="708"/>
        <w:jc w:val="both"/>
        <w:rPr>
          <w:rFonts w:ascii="Verdana" w:eastAsia="Calibri" w:hAnsi="Verdana" w:cs="Arial"/>
          <w:color w:val="000000" w:themeColor="text1"/>
          <w:sz w:val="20"/>
          <w:szCs w:val="20"/>
          <w:lang w:val="es-ES"/>
        </w:rPr>
      </w:pPr>
    </w:p>
    <w:p w14:paraId="5E56CF80" w14:textId="77777777" w:rsidR="00E34DF0" w:rsidRPr="00F4529B" w:rsidRDefault="00E34DF0" w:rsidP="00E34DF0">
      <w:pPr>
        <w:spacing w:after="0" w:line="240" w:lineRule="auto"/>
        <w:ind w:left="709" w:right="709" w:firstLine="708"/>
        <w:jc w:val="both"/>
        <w:rPr>
          <w:rFonts w:ascii="Verdana" w:eastAsia="Calibri" w:hAnsi="Verdana" w:cs="Arial"/>
          <w:color w:val="000000" w:themeColor="text1"/>
          <w:sz w:val="20"/>
          <w:szCs w:val="20"/>
          <w:lang w:val="es-ES"/>
        </w:rPr>
      </w:pPr>
      <w:r w:rsidRPr="00F4529B">
        <w:rPr>
          <w:rFonts w:ascii="Verdana" w:eastAsia="Calibri" w:hAnsi="Verdana" w:cs="Arial"/>
          <w:color w:val="000000" w:themeColor="text1"/>
          <w:sz w:val="20"/>
          <w:szCs w:val="20"/>
          <w:lang w:val="es-ES"/>
        </w:rPr>
        <w:t xml:space="preserve">3. En las cláusulas contractuales: </w:t>
      </w:r>
    </w:p>
    <w:p w14:paraId="43634EAC" w14:textId="77777777" w:rsidR="00E34DF0" w:rsidRPr="00F4529B" w:rsidRDefault="00E34DF0" w:rsidP="00E34DF0">
      <w:pPr>
        <w:spacing w:after="0" w:line="240" w:lineRule="auto"/>
        <w:ind w:left="709" w:right="709"/>
        <w:jc w:val="both"/>
        <w:rPr>
          <w:rFonts w:ascii="Verdana" w:eastAsia="Calibri" w:hAnsi="Verdana" w:cs="Arial"/>
          <w:color w:val="000000" w:themeColor="text1"/>
          <w:sz w:val="20"/>
          <w:szCs w:val="20"/>
          <w:lang w:val="es-ES"/>
        </w:rPr>
      </w:pPr>
      <w:r w:rsidRPr="00F4529B">
        <w:rPr>
          <w:rFonts w:ascii="Verdana" w:eastAsia="Calibri" w:hAnsi="Verdana" w:cs="Arial"/>
          <w:color w:val="000000" w:themeColor="text1"/>
          <w:sz w:val="20"/>
          <w:szCs w:val="20"/>
          <w:lang w:val="es-ES"/>
        </w:rPr>
        <w:t xml:space="preserve">a) Incorporar la obligación a cargo del contratista de reportar periódicamente su información societaria, financiera y comercial, así como la modificación del estado de los mencionados riesgos; </w:t>
      </w:r>
    </w:p>
    <w:p w14:paraId="53CDE8E9" w14:textId="77777777" w:rsidR="00E34DF0" w:rsidRDefault="00E34DF0" w:rsidP="00E34DF0">
      <w:pPr>
        <w:spacing w:after="0" w:line="240" w:lineRule="auto"/>
        <w:ind w:left="709" w:right="709"/>
        <w:jc w:val="both"/>
        <w:rPr>
          <w:rFonts w:ascii="Verdana" w:eastAsia="Calibri" w:hAnsi="Verdana" w:cs="Arial"/>
          <w:color w:val="000000" w:themeColor="text1"/>
          <w:sz w:val="20"/>
          <w:szCs w:val="20"/>
          <w:lang w:val="es-ES"/>
        </w:rPr>
      </w:pPr>
      <w:r w:rsidRPr="00F4529B">
        <w:rPr>
          <w:rFonts w:ascii="Verdana" w:eastAsia="Calibri" w:hAnsi="Verdana" w:cs="Arial"/>
          <w:color w:val="000000" w:themeColor="text1"/>
          <w:sz w:val="20"/>
          <w:szCs w:val="20"/>
          <w:lang w:val="es-ES"/>
        </w:rPr>
        <w:t>b) Con el fin de proteger los intereses de la administración, incluir condiciones resolutorias expresas por hechos u omisiones que, aunque no estén tipificadas como causales de inhabilidad o incompatibilidad impliquen por parte del contratista o de las personas vinculadas a él actos de corrupción u otras circunstancias de las cuales se derive el aumento considerable de los riesgos para la entidad contratante o que vulneren los principios de la contratación estatal; y</w:t>
      </w:r>
    </w:p>
    <w:p w14:paraId="1D6D16FA" w14:textId="77777777" w:rsidR="00E34DF0" w:rsidRPr="00F4529B" w:rsidRDefault="00E34DF0" w:rsidP="00E34DF0">
      <w:pPr>
        <w:spacing w:after="0" w:line="240" w:lineRule="auto"/>
        <w:ind w:left="709" w:right="709"/>
        <w:jc w:val="both"/>
        <w:rPr>
          <w:rFonts w:ascii="Verdana" w:eastAsia="Calibri" w:hAnsi="Verdana" w:cs="Arial"/>
          <w:color w:val="000000" w:themeColor="text1"/>
          <w:sz w:val="20"/>
          <w:szCs w:val="20"/>
          <w:lang w:val="es-ES"/>
        </w:rPr>
      </w:pPr>
      <w:r w:rsidRPr="00F4529B">
        <w:rPr>
          <w:rFonts w:ascii="Verdana" w:eastAsia="Calibri" w:hAnsi="Verdana" w:cs="Arial"/>
          <w:color w:val="000000" w:themeColor="text1"/>
          <w:sz w:val="20"/>
          <w:szCs w:val="20"/>
          <w:lang w:val="es-ES"/>
        </w:rPr>
        <w:t>c) Estipular multas en los términos expuestos en este concepto</w:t>
      </w:r>
      <w:r w:rsidRPr="00753106">
        <w:rPr>
          <w:rStyle w:val="Refdenotaalpie"/>
          <w:rFonts w:ascii="Verdana" w:eastAsia="Calibri" w:hAnsi="Verdana" w:cs="Arial"/>
          <w:color w:val="000000" w:themeColor="text1"/>
          <w:lang w:val="es-ES"/>
        </w:rPr>
        <w:footnoteReference w:id="3"/>
      </w:r>
      <w:r w:rsidRPr="00753106">
        <w:rPr>
          <w:rFonts w:ascii="Verdana" w:eastAsia="Calibri" w:hAnsi="Verdana" w:cs="Arial"/>
          <w:color w:val="000000" w:themeColor="text1"/>
          <w:lang w:val="es-ES"/>
        </w:rPr>
        <w:t>.</w:t>
      </w:r>
    </w:p>
    <w:p w14:paraId="7D17309C" w14:textId="77777777" w:rsidR="00E34DF0" w:rsidRPr="00753106" w:rsidRDefault="00E34DF0" w:rsidP="00E34DF0">
      <w:pPr>
        <w:spacing w:after="0" w:line="276" w:lineRule="auto"/>
        <w:ind w:left="709" w:right="709"/>
        <w:jc w:val="both"/>
        <w:rPr>
          <w:rFonts w:ascii="Verdana" w:eastAsia="Calibri" w:hAnsi="Verdana" w:cs="Arial"/>
          <w:color w:val="000000" w:themeColor="text1"/>
          <w:lang w:val="es-ES"/>
        </w:rPr>
      </w:pPr>
    </w:p>
    <w:p w14:paraId="7DB0CEEC" w14:textId="77777777" w:rsidR="00E34DF0" w:rsidRPr="00753106" w:rsidRDefault="00E34DF0" w:rsidP="00E34DF0">
      <w:pPr>
        <w:spacing w:after="120" w:line="276" w:lineRule="auto"/>
        <w:ind w:firstLine="709"/>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 xml:space="preserve">En virtud de lo anterior, puede concluirse que el SARLAFT constituye una </w:t>
      </w:r>
      <w:r w:rsidRPr="00753106">
        <w:rPr>
          <w:rFonts w:ascii="Verdana" w:eastAsia="Calibri" w:hAnsi="Verdana" w:cs="Arial"/>
          <w:i/>
          <w:iCs/>
          <w:color w:val="000000" w:themeColor="text1"/>
          <w:lang w:val="es-ES"/>
        </w:rPr>
        <w:t>política de manejo del riesgo</w:t>
      </w:r>
      <w:r w:rsidRPr="00753106">
        <w:rPr>
          <w:rFonts w:ascii="Verdana" w:eastAsia="Calibri" w:hAnsi="Verdana" w:cs="Arial"/>
          <w:color w:val="000000" w:themeColor="text1"/>
          <w:lang w:val="es-ES"/>
        </w:rPr>
        <w:t xml:space="preserve">, en el marco de los procesos de debida diligencia, la cual </w:t>
      </w:r>
      <w:r>
        <w:rPr>
          <w:rFonts w:ascii="Verdana" w:eastAsia="Calibri" w:hAnsi="Verdana" w:cs="Arial"/>
          <w:color w:val="000000" w:themeColor="text1"/>
          <w:lang w:val="es-ES"/>
        </w:rPr>
        <w:t xml:space="preserve">se refiere </w:t>
      </w:r>
      <w:r w:rsidRPr="00753106">
        <w:rPr>
          <w:rFonts w:ascii="Verdana" w:eastAsia="Calibri" w:hAnsi="Verdana" w:cs="Arial"/>
          <w:color w:val="000000" w:themeColor="text1"/>
          <w:lang w:val="es-ES"/>
        </w:rPr>
        <w:t xml:space="preserve">a una validación establecida en la gestión interna del riesgo crítico de la organización, donde se busca el aseguramiento en las relaciones contractuales con sus contrapartes. Dicho aseguramiento se busca en materia de prevención de los riesgos asociados al lavado de activos, financiación del terrorismo y la proliferación de armas de destrucción masiva, donde las compañías están expuestas a los riesgos de reputación, legales, operacionales y de contagio que afectarían ostensiblemente cualquier organización y la continuidad en la ejecución de una actividad contractual. </w:t>
      </w:r>
    </w:p>
    <w:p w14:paraId="02FF367D" w14:textId="77777777" w:rsidR="00E34DF0" w:rsidRPr="00753106" w:rsidRDefault="00E34DF0" w:rsidP="00E34DF0">
      <w:pPr>
        <w:spacing w:after="120" w:line="276" w:lineRule="auto"/>
        <w:ind w:firstLine="709"/>
        <w:jc w:val="both"/>
        <w:rPr>
          <w:rFonts w:ascii="Verdana" w:eastAsia="Calibri" w:hAnsi="Verdana" w:cs="Arial"/>
          <w:lang w:val="es-ES"/>
        </w:rPr>
      </w:pPr>
      <w:r w:rsidRPr="00753106">
        <w:rPr>
          <w:rFonts w:ascii="Verdana" w:eastAsia="Calibri" w:hAnsi="Verdana" w:cs="Arial"/>
          <w:lang w:val="es-ES"/>
        </w:rPr>
        <w:t xml:space="preserve">Sin perjuicio de otras medidas que adopte la entidad que adelanta el proceso de selección, el alcance, oportunidad y metodología para el análisis de </w:t>
      </w:r>
      <w:r w:rsidRPr="00753106">
        <w:rPr>
          <w:rFonts w:ascii="Verdana" w:eastAsia="Calibri" w:hAnsi="Verdana" w:cs="Arial"/>
          <w:lang w:val="es-ES"/>
        </w:rPr>
        <w:lastRenderedPageBreak/>
        <w:t>los riesgos en comento en el marco de los procesos de contratación pública debe seguir</w:t>
      </w:r>
      <w:r w:rsidRPr="00753106">
        <w:rPr>
          <w:rFonts w:ascii="Verdana" w:eastAsia="Calibri" w:hAnsi="Verdana" w:cs="Arial"/>
          <w:i/>
          <w:iCs/>
          <w:lang w:val="es-ES"/>
        </w:rPr>
        <w:t xml:space="preserve"> las condiciones antes referidas por la Sala de Consulta y Servicio Civil en el Concepto del 27 de agosto de 2015</w:t>
      </w:r>
      <w:r w:rsidRPr="00753106">
        <w:rPr>
          <w:rFonts w:ascii="Verdana" w:eastAsia="Calibri" w:hAnsi="Verdana" w:cs="Arial"/>
          <w:lang w:val="es-ES"/>
        </w:rPr>
        <w:t xml:space="preserve">. Sin embargo, y en atención a su consulta, es importante resaltar que ninguna de las medidas que sugiere el Consejo de Estado incluye la consagración de causales de rechazo con tintes habilitantes, ni la posibilidad de terminar unilateralmente los contratos o ejercer facultades exorbitantes. Respecto al riesgo de corrupción, sumado a las medidas previstas en el artículo 9 del EGCAP y de la Ley 1150 de 2007, siempre que se configure el supuesto de la inhabilidad del literal j) del artículo 8.1 de la Ley 80 de 1993, podrá aplicarse la causal de terminación unilateral del artículo 44.1 </w:t>
      </w:r>
      <w:r w:rsidRPr="00753106">
        <w:rPr>
          <w:rFonts w:ascii="Verdana" w:eastAsia="Calibri" w:hAnsi="Verdana" w:cs="Arial"/>
          <w:i/>
          <w:iCs/>
          <w:lang w:val="es-ES"/>
        </w:rPr>
        <w:t>ibidem</w:t>
      </w:r>
      <w:r w:rsidRPr="00753106">
        <w:rPr>
          <w:rFonts w:ascii="Verdana" w:eastAsia="Calibri" w:hAnsi="Verdana" w:cs="Arial"/>
          <w:lang w:val="es-ES"/>
        </w:rPr>
        <w:t xml:space="preserve">. </w:t>
      </w:r>
    </w:p>
    <w:p w14:paraId="13DA0B8A" w14:textId="77777777" w:rsidR="00E34DF0" w:rsidRPr="00753106" w:rsidRDefault="00E34DF0" w:rsidP="00E34DF0">
      <w:pPr>
        <w:spacing w:after="120" w:line="276" w:lineRule="auto"/>
        <w:ind w:firstLine="709"/>
        <w:jc w:val="both"/>
        <w:rPr>
          <w:rFonts w:ascii="Verdana" w:hAnsi="Verdana" w:cs="Arial"/>
          <w:color w:val="000000" w:themeColor="text1"/>
          <w:lang w:val="es-ES"/>
        </w:rPr>
      </w:pPr>
      <w:r w:rsidRPr="00753106">
        <w:rPr>
          <w:rFonts w:ascii="Verdana" w:eastAsia="Calibri" w:hAnsi="Verdana" w:cs="Arial"/>
          <w:lang w:val="es-ES"/>
        </w:rPr>
        <w:t>E</w:t>
      </w:r>
      <w:r w:rsidRPr="00753106">
        <w:rPr>
          <w:rFonts w:ascii="Verdana" w:hAnsi="Verdana"/>
          <w:lang w:val="es-ES"/>
        </w:rPr>
        <w:t xml:space="preserve">l carácter reconocidamente taxativo y restrictivo de régimen de inhabilidades implica que las entidades públicas no pueden establecer en el pliego de condiciones causales de inhabilidad o incompatibilidad no previstas en la Constitución o en la ley. En consecuencia, al tratarse de una materia que tiene reserva legal, no es posible que una entidad establezca nuevas causales que afecten la capacidad para contratar con el Estado que se encuentren relacionadas con el tema objeto de consulta, ni siquiera haciéndolas pasar como causa para rechazar los ofrecimientos realizados. </w:t>
      </w:r>
    </w:p>
    <w:p w14:paraId="2EF97478" w14:textId="77777777" w:rsidR="00E34DF0" w:rsidRPr="00753106" w:rsidRDefault="00E34DF0" w:rsidP="00E34DF0">
      <w:pPr>
        <w:spacing w:after="120" w:line="276" w:lineRule="auto"/>
        <w:ind w:firstLine="709"/>
        <w:jc w:val="both"/>
        <w:rPr>
          <w:rFonts w:ascii="Verdana" w:hAnsi="Verdana" w:cs="Arial"/>
          <w:color w:val="000000" w:themeColor="text1"/>
          <w:lang w:val="es-ES"/>
        </w:rPr>
      </w:pPr>
      <w:r w:rsidRPr="00753106">
        <w:rPr>
          <w:rFonts w:ascii="Verdana" w:hAnsi="Verdana"/>
          <w:lang w:val="es-ES"/>
        </w:rPr>
        <w:t xml:space="preserve">Tampoco podrán proceder a la terminación unilateral del contrato con ocasión a la inclusión del contratista en listas restrictivas, teniendo en cuenta que este supuesto no fue contemplado en </w:t>
      </w:r>
      <w:r w:rsidRPr="00753106">
        <w:rPr>
          <w:rFonts w:ascii="Verdana" w:hAnsi="Verdana" w:cs="Arial"/>
          <w:color w:val="000000" w:themeColor="text1"/>
          <w:lang w:val="es-ES"/>
        </w:rPr>
        <w:t xml:space="preserve">los artículos 17 y 45 del EGCAP. El artículo 17 de la Ley 80 de 1993 establece expresamente que la terminación unilateral de contrato procede: i) cuando las exigencias del servicio público lo requieran o la situación de orden público lo imponga; </w:t>
      </w:r>
      <w:proofErr w:type="spellStart"/>
      <w:r w:rsidRPr="00753106">
        <w:rPr>
          <w:rFonts w:ascii="Verdana" w:hAnsi="Verdana" w:cs="Arial"/>
          <w:color w:val="000000" w:themeColor="text1"/>
          <w:lang w:val="es-ES"/>
        </w:rPr>
        <w:t>ii</w:t>
      </w:r>
      <w:proofErr w:type="spellEnd"/>
      <w:r w:rsidRPr="00753106">
        <w:rPr>
          <w:rFonts w:ascii="Verdana" w:hAnsi="Verdana" w:cs="Arial"/>
          <w:color w:val="000000" w:themeColor="text1"/>
          <w:lang w:val="es-ES"/>
        </w:rPr>
        <w:t xml:space="preserve">) por muerte o incapacidad física permanente del contratista, si es persona natural, o por disolución de la persona jurídica del contratista; </w:t>
      </w:r>
      <w:proofErr w:type="spellStart"/>
      <w:r w:rsidRPr="00753106">
        <w:rPr>
          <w:rFonts w:ascii="Verdana" w:hAnsi="Verdana" w:cs="Arial"/>
          <w:color w:val="000000" w:themeColor="text1"/>
          <w:lang w:val="es-ES"/>
        </w:rPr>
        <w:t>iii</w:t>
      </w:r>
      <w:proofErr w:type="spellEnd"/>
      <w:r w:rsidRPr="00753106">
        <w:rPr>
          <w:rFonts w:ascii="Verdana" w:hAnsi="Verdana" w:cs="Arial"/>
          <w:color w:val="000000" w:themeColor="text1"/>
          <w:lang w:val="es-ES"/>
        </w:rPr>
        <w:t xml:space="preserve">) por interdicción judicial o declaración de quiebra del contratista; y </w:t>
      </w:r>
      <w:proofErr w:type="spellStart"/>
      <w:r w:rsidRPr="00753106">
        <w:rPr>
          <w:rFonts w:ascii="Verdana" w:hAnsi="Verdana" w:cs="Arial"/>
          <w:color w:val="000000" w:themeColor="text1"/>
          <w:lang w:val="es-ES"/>
        </w:rPr>
        <w:t>iv</w:t>
      </w:r>
      <w:proofErr w:type="spellEnd"/>
      <w:r w:rsidRPr="00753106">
        <w:rPr>
          <w:rFonts w:ascii="Verdana" w:hAnsi="Verdana" w:cs="Arial"/>
          <w:color w:val="000000" w:themeColor="text1"/>
          <w:lang w:val="es-ES"/>
        </w:rPr>
        <w:t xml:space="preserve">) por cesación de pagos, concurso de acreedores o embargos judiciales del contratista que afecten de manera grave el cumplimiento del contrato. </w:t>
      </w:r>
    </w:p>
    <w:p w14:paraId="32F5E714" w14:textId="77777777" w:rsidR="00E34DF0" w:rsidRPr="00753106" w:rsidRDefault="00E34DF0" w:rsidP="00E34DF0">
      <w:pPr>
        <w:spacing w:after="120" w:line="276" w:lineRule="auto"/>
        <w:ind w:firstLine="709"/>
        <w:jc w:val="both"/>
        <w:rPr>
          <w:rFonts w:ascii="Verdana" w:hAnsi="Verdana" w:cs="Arial"/>
          <w:color w:val="000000" w:themeColor="text1"/>
          <w:lang w:val="es-ES"/>
        </w:rPr>
      </w:pPr>
      <w:r w:rsidRPr="00753106">
        <w:rPr>
          <w:rFonts w:ascii="Verdana" w:hAnsi="Verdana" w:cs="Arial"/>
          <w:color w:val="000000" w:themeColor="text1"/>
          <w:lang w:val="es-ES"/>
        </w:rPr>
        <w:t xml:space="preserve">Adicionalmente, conforme a los numerales 1, 2, y 4 del artículo 44 y el inciso segundo de artículo 45 del EGCAP, el jefe o representante legal de la entidad debe dar por terminado el contrato mediante acto administrativo debidamente motivado y ordenar su liquidación en el estado en que se encuentre cuando: i) se celebre con personas incursas en causales de inhabilidad o incompatibilidad previstas en la Constitución y la ley, </w:t>
      </w:r>
      <w:proofErr w:type="spellStart"/>
      <w:r w:rsidRPr="00753106">
        <w:rPr>
          <w:rFonts w:ascii="Verdana" w:hAnsi="Verdana" w:cs="Arial"/>
          <w:color w:val="000000" w:themeColor="text1"/>
          <w:lang w:val="es-ES"/>
        </w:rPr>
        <w:t>ii</w:t>
      </w:r>
      <w:proofErr w:type="spellEnd"/>
      <w:r w:rsidRPr="00753106">
        <w:rPr>
          <w:rFonts w:ascii="Verdana" w:hAnsi="Verdana" w:cs="Arial"/>
          <w:color w:val="000000" w:themeColor="text1"/>
          <w:lang w:val="es-ES"/>
        </w:rPr>
        <w:t xml:space="preserve">) se celebren contra </w:t>
      </w:r>
      <w:r w:rsidRPr="00753106">
        <w:rPr>
          <w:rFonts w:ascii="Verdana" w:hAnsi="Verdana" w:cs="Arial"/>
          <w:color w:val="000000" w:themeColor="text1"/>
          <w:lang w:val="es-ES"/>
        </w:rPr>
        <w:lastRenderedPageBreak/>
        <w:t xml:space="preserve">expresa prohibición constitucional o legal y </w:t>
      </w:r>
      <w:proofErr w:type="spellStart"/>
      <w:r w:rsidRPr="00753106">
        <w:rPr>
          <w:rFonts w:ascii="Verdana" w:hAnsi="Verdana" w:cs="Arial"/>
          <w:color w:val="000000" w:themeColor="text1"/>
          <w:lang w:val="es-ES"/>
        </w:rPr>
        <w:t>iii</w:t>
      </w:r>
      <w:proofErr w:type="spellEnd"/>
      <w:r w:rsidRPr="00753106">
        <w:rPr>
          <w:rFonts w:ascii="Verdana" w:hAnsi="Verdana" w:cs="Arial"/>
          <w:color w:val="000000" w:themeColor="text1"/>
          <w:lang w:val="es-ES"/>
        </w:rPr>
        <w:t>) se declaren nulos los actos administrativos en que se fundamenten.</w:t>
      </w:r>
    </w:p>
    <w:p w14:paraId="1EAEA8AF" w14:textId="77777777" w:rsidR="00E34DF0" w:rsidRPr="00753106" w:rsidRDefault="00E34DF0" w:rsidP="00E34DF0">
      <w:pPr>
        <w:spacing w:before="120" w:after="120" w:line="276" w:lineRule="auto"/>
        <w:ind w:firstLine="708"/>
        <w:jc w:val="both"/>
        <w:rPr>
          <w:rFonts w:ascii="Verdana" w:hAnsi="Verdana" w:cs="Arial"/>
          <w:color w:val="000000" w:themeColor="text1"/>
          <w:lang w:val="es-ES"/>
        </w:rPr>
      </w:pPr>
      <w:r w:rsidRPr="00753106">
        <w:rPr>
          <w:rFonts w:ascii="Verdana" w:hAnsi="Verdana" w:cs="Arial"/>
          <w:color w:val="000000" w:themeColor="text1"/>
          <w:lang w:val="es-ES"/>
        </w:rPr>
        <w:t xml:space="preserve">En efecto, en lo atinente a la terminación unilateral del contrato, si bien la ley otorga a las entidades públicas la potestad de actuar en ejercicio de una facultad exorbitante, les impone el cumplimiento de presupuestos de forzosa aplicación y a la vez restringe la medida a los eventos previstos en la misma. Efectivamente, para declarar la terminación unilateral se requiere i) que la manifestación de la voluntad de la administración se materialice en un acto administrativo, </w:t>
      </w:r>
      <w:proofErr w:type="spellStart"/>
      <w:r w:rsidRPr="00753106">
        <w:rPr>
          <w:rFonts w:ascii="Verdana" w:hAnsi="Verdana" w:cs="Arial"/>
          <w:color w:val="000000" w:themeColor="text1"/>
          <w:lang w:val="es-ES"/>
        </w:rPr>
        <w:t>ii</w:t>
      </w:r>
      <w:proofErr w:type="spellEnd"/>
      <w:r w:rsidRPr="00753106">
        <w:rPr>
          <w:rFonts w:ascii="Verdana" w:hAnsi="Verdana" w:cs="Arial"/>
          <w:color w:val="000000" w:themeColor="text1"/>
          <w:lang w:val="es-ES"/>
        </w:rPr>
        <w:t xml:space="preserve">) que dicho acto debe ser el resultado de un análisis soportado en la realidad del contrato, es decir, debe estar debidamente motivado y </w:t>
      </w:r>
      <w:proofErr w:type="spellStart"/>
      <w:r w:rsidRPr="00753106">
        <w:rPr>
          <w:rFonts w:ascii="Verdana" w:hAnsi="Verdana" w:cs="Arial"/>
          <w:color w:val="000000" w:themeColor="text1"/>
          <w:lang w:val="es-ES"/>
        </w:rPr>
        <w:t>iii</w:t>
      </w:r>
      <w:proofErr w:type="spellEnd"/>
      <w:r w:rsidRPr="00753106">
        <w:rPr>
          <w:rFonts w:ascii="Verdana" w:hAnsi="Verdana" w:cs="Arial"/>
          <w:color w:val="000000" w:themeColor="text1"/>
          <w:lang w:val="es-ES"/>
        </w:rPr>
        <w:t>) que la causal que se alegue en la decisión se encuentre enmarcada en los eventos que la ley ha dispuesto.</w:t>
      </w:r>
    </w:p>
    <w:p w14:paraId="2D8A00D1" w14:textId="77777777" w:rsidR="00E34DF0" w:rsidRPr="00753106" w:rsidRDefault="00E34DF0" w:rsidP="00E34DF0">
      <w:pPr>
        <w:spacing w:after="120" w:line="276" w:lineRule="auto"/>
        <w:ind w:firstLine="709"/>
        <w:jc w:val="both"/>
        <w:rPr>
          <w:rFonts w:ascii="Verdana" w:hAnsi="Verdana" w:cs="Arial"/>
          <w:color w:val="000000" w:themeColor="text1"/>
          <w:lang w:val="es-ES"/>
        </w:rPr>
      </w:pPr>
      <w:r w:rsidRPr="00753106">
        <w:rPr>
          <w:rFonts w:ascii="Verdana" w:hAnsi="Verdana" w:cs="Arial"/>
          <w:color w:val="000000" w:themeColor="text1"/>
          <w:lang w:val="es-ES"/>
        </w:rPr>
        <w:t xml:space="preserve">De esta forma, tanto el artículo 17 de la Ley 80 de 1993, como los numerales 1, 2, y 4 del artículo 44, en concordancia con el inciso segundo de artículo 45 del Estatuto General de Contratación de la Administración Pública (EGCAP), establecen expresamente los eventos en los cuales procede la </w:t>
      </w:r>
      <w:r w:rsidRPr="00753106">
        <w:rPr>
          <w:rFonts w:ascii="Verdana" w:hAnsi="Verdana" w:cs="Arial"/>
          <w:i/>
          <w:iCs/>
          <w:color w:val="000000" w:themeColor="text1"/>
          <w:lang w:val="es-ES"/>
        </w:rPr>
        <w:t>terminación unilateral</w:t>
      </w:r>
      <w:r w:rsidRPr="00753106">
        <w:rPr>
          <w:rFonts w:ascii="Verdana" w:hAnsi="Verdana" w:cs="Arial"/>
          <w:color w:val="000000" w:themeColor="text1"/>
          <w:lang w:val="es-ES"/>
        </w:rPr>
        <w:t xml:space="preserve"> del contrato</w:t>
      </w:r>
      <w:r w:rsidRPr="00753106">
        <w:rPr>
          <w:rStyle w:val="Refdenotaalpie"/>
          <w:rFonts w:ascii="Verdana" w:hAnsi="Verdana" w:cs="Arial"/>
          <w:color w:val="000000" w:themeColor="text1"/>
          <w:lang w:val="es-ES"/>
        </w:rPr>
        <w:footnoteReference w:id="4"/>
      </w:r>
      <w:r w:rsidRPr="00753106">
        <w:rPr>
          <w:rFonts w:ascii="Verdana" w:hAnsi="Verdana" w:cs="Arial"/>
          <w:color w:val="000000" w:themeColor="text1"/>
          <w:lang w:val="es-ES"/>
        </w:rPr>
        <w:t xml:space="preserve">. Adicionalmente, el inciso primero del artículo 13 de la Ley 80 de 1993 dispone que “Los contratos que celebren las entidades a que se refiere el artículo 2o. del presente estatuto se regirán por las disposiciones comerciales y civiles pertinentes, salvo en las materias particularmente reguladas en esta ley”. En consecuencia, dado que la terminación unilateral tiene regulación especial en los artículos 17 y 45 del EGCAP, las causales aplicables son de </w:t>
      </w:r>
      <w:r w:rsidRPr="00753106">
        <w:rPr>
          <w:rFonts w:ascii="Verdana" w:hAnsi="Verdana" w:cs="Arial"/>
          <w:i/>
          <w:iCs/>
          <w:color w:val="000000" w:themeColor="text1"/>
          <w:lang w:val="es-ES"/>
        </w:rPr>
        <w:t>interpretación restrictiva</w:t>
      </w:r>
      <w:r w:rsidRPr="00753106">
        <w:rPr>
          <w:rFonts w:ascii="Verdana" w:hAnsi="Verdana" w:cs="Arial"/>
          <w:color w:val="000000" w:themeColor="text1"/>
          <w:lang w:val="es-ES"/>
        </w:rPr>
        <w:t xml:space="preserve">. </w:t>
      </w:r>
    </w:p>
    <w:p w14:paraId="224E1118" w14:textId="77777777" w:rsidR="00E34DF0" w:rsidRPr="00753106" w:rsidRDefault="00E34DF0" w:rsidP="00E34DF0">
      <w:pPr>
        <w:spacing w:after="120" w:line="276" w:lineRule="auto"/>
        <w:ind w:firstLine="709"/>
        <w:jc w:val="both"/>
        <w:rPr>
          <w:rFonts w:ascii="Verdana" w:hAnsi="Verdana" w:cs="Arial"/>
          <w:color w:val="000000" w:themeColor="text1"/>
          <w:lang w:val="es-ES"/>
        </w:rPr>
      </w:pPr>
      <w:r w:rsidRPr="00753106">
        <w:rPr>
          <w:rFonts w:ascii="Verdana" w:hAnsi="Verdana" w:cs="Arial"/>
          <w:color w:val="000000" w:themeColor="text1"/>
          <w:lang w:val="es-ES"/>
        </w:rPr>
        <w:t xml:space="preserve">En lo relacionado con las cláusulas excepcionales al derecho común de terminación, interpretación y modificación unilaterales, el numeral 2 del mencionado artículo 14 regula su ejercicio en atención al tipo de contrato de que se trate. La exposición de motivos de la Ley 80 de 1993 establece que la administración debe estar dotada de mecanismos eficaces, así fueren </w:t>
      </w:r>
      <w:r w:rsidRPr="00753106">
        <w:rPr>
          <w:rFonts w:ascii="Verdana" w:hAnsi="Verdana" w:cs="Arial"/>
          <w:color w:val="000000" w:themeColor="text1"/>
          <w:lang w:val="es-ES"/>
        </w:rPr>
        <w:lastRenderedPageBreak/>
        <w:t>excepcionales, que contribuyan a la adecuada realización de la finalidad contractual y de los fines estatales</w:t>
      </w:r>
      <w:r w:rsidRPr="00753106">
        <w:rPr>
          <w:rStyle w:val="Refdenotaalpie"/>
          <w:rFonts w:ascii="Verdana" w:hAnsi="Verdana" w:cs="Arial"/>
          <w:color w:val="000000" w:themeColor="text1"/>
          <w:lang w:val="es-ES"/>
        </w:rPr>
        <w:footnoteReference w:id="5"/>
      </w:r>
      <w:r w:rsidRPr="00753106">
        <w:rPr>
          <w:rFonts w:ascii="Verdana" w:hAnsi="Verdana" w:cs="Arial"/>
          <w:color w:val="000000" w:themeColor="text1"/>
          <w:lang w:val="es-ES"/>
        </w:rPr>
        <w:t xml:space="preserve">. Es por eso </w:t>
      </w:r>
      <w:proofErr w:type="gramStart"/>
      <w:r w:rsidRPr="00753106">
        <w:rPr>
          <w:rFonts w:ascii="Verdana" w:hAnsi="Verdana" w:cs="Arial"/>
          <w:color w:val="000000" w:themeColor="text1"/>
          <w:lang w:val="es-ES"/>
        </w:rPr>
        <w:t>que</w:t>
      </w:r>
      <w:proofErr w:type="gramEnd"/>
      <w:r>
        <w:rPr>
          <w:rFonts w:ascii="Verdana" w:hAnsi="Verdana" w:cs="Arial"/>
          <w:color w:val="000000" w:themeColor="text1"/>
          <w:lang w:val="es-ES"/>
        </w:rPr>
        <w:t>,</w:t>
      </w:r>
      <w:r w:rsidRPr="00753106">
        <w:rPr>
          <w:rFonts w:ascii="Verdana" w:hAnsi="Verdana" w:cs="Arial"/>
          <w:color w:val="000000" w:themeColor="text1"/>
          <w:lang w:val="es-ES"/>
        </w:rPr>
        <w:t xml:space="preserve"> cuando se presenten circunstancias que amenacen la paralización de los servicios, las entidades públicas pueden tomar medidas que conduzcan a garantizar la continua y adecuada prestación del servicio, con fundamento en la prevalencia del interés público sobre el particular. En este sentido, los motivos aducidos por la Entidad Estatal para ejercer las cláusulas excepcionales deben ser graves, ya que no cualquier hecho puede provocarla pues son inescindibles al interés general, sin que se pueda desconocer las compensaciones e indemnizaciones a que tendrán derecho las personas objeto de tales medidas, traducida en la contraprestación necesaria para mantener la igualdad contractual.</w:t>
      </w:r>
    </w:p>
    <w:p w14:paraId="27F27DEB" w14:textId="77777777" w:rsidR="00E34DF0" w:rsidRPr="00753106" w:rsidRDefault="00E34DF0" w:rsidP="00E34DF0">
      <w:pPr>
        <w:spacing w:after="0" w:line="276" w:lineRule="auto"/>
        <w:ind w:firstLine="709"/>
        <w:jc w:val="both"/>
        <w:rPr>
          <w:rFonts w:ascii="Verdana" w:hAnsi="Verdana" w:cs="Arial"/>
          <w:color w:val="000000" w:themeColor="text1"/>
          <w:lang w:val="es-ES"/>
        </w:rPr>
      </w:pPr>
      <w:r w:rsidRPr="00753106">
        <w:rPr>
          <w:rFonts w:ascii="Verdana" w:hAnsi="Verdana" w:cs="Arial"/>
          <w:color w:val="000000" w:themeColor="text1"/>
          <w:lang w:val="es-ES"/>
        </w:rPr>
        <w:t>Ya que ninguna de las causales de terminación unilateral establecidas en la Ley 80 de 1993 se relaciona con los controles derivados del SARLAFT</w:t>
      </w:r>
      <w:r w:rsidRPr="00753106">
        <w:rPr>
          <w:rStyle w:val="Refdenotaalpie"/>
          <w:rFonts w:ascii="Verdana" w:hAnsi="Verdana" w:cs="Arial"/>
          <w:color w:val="000000" w:themeColor="text1"/>
          <w:lang w:val="es-ES"/>
        </w:rPr>
        <w:footnoteReference w:id="6"/>
      </w:r>
      <w:r w:rsidRPr="00753106">
        <w:rPr>
          <w:rFonts w:ascii="Verdana" w:hAnsi="Verdana" w:cs="Arial"/>
          <w:color w:val="000000" w:themeColor="text1"/>
          <w:lang w:val="es-ES"/>
        </w:rPr>
        <w:t xml:space="preserve"> y que las potestades exorbitantes de las entidades públicas se rigen por el principio de legalidad, el ejercicio de la autonomía de la voluntad no les permite adicionar causales o supuestos </w:t>
      </w:r>
      <w:r w:rsidRPr="00753106">
        <w:rPr>
          <w:rFonts w:ascii="Verdana" w:eastAsia="Calibri" w:hAnsi="Verdana" w:cs="Arial"/>
          <w:color w:val="000000" w:themeColor="text1"/>
          <w:lang w:val="es-ES"/>
        </w:rPr>
        <w:t>que no contempló la norma.</w:t>
      </w:r>
    </w:p>
    <w:p w14:paraId="1CD55CB1" w14:textId="77777777" w:rsidR="00E34DF0" w:rsidRPr="00753106" w:rsidRDefault="00E34DF0" w:rsidP="00E34DF0">
      <w:pPr>
        <w:spacing w:after="0" w:line="276" w:lineRule="auto"/>
        <w:ind w:firstLine="709"/>
        <w:jc w:val="both"/>
        <w:rPr>
          <w:rFonts w:ascii="Verdana" w:hAnsi="Verdana" w:cs="Arial"/>
          <w:color w:val="000000" w:themeColor="text1"/>
          <w:lang w:val="es-ES"/>
        </w:rPr>
      </w:pPr>
    </w:p>
    <w:p w14:paraId="4051AE3E" w14:textId="77777777" w:rsidR="00E34DF0" w:rsidRPr="00753106" w:rsidRDefault="00E34DF0" w:rsidP="00E34DF0">
      <w:pPr>
        <w:spacing w:after="120" w:line="276" w:lineRule="auto"/>
        <w:jc w:val="both"/>
        <w:rPr>
          <w:rFonts w:ascii="Verdana" w:hAnsi="Verdana" w:cs="Arial"/>
          <w:color w:val="000000" w:themeColor="text1"/>
          <w:lang w:val="es-ES"/>
        </w:rPr>
      </w:pPr>
      <w:proofErr w:type="spellStart"/>
      <w:r w:rsidRPr="00753106">
        <w:rPr>
          <w:rFonts w:ascii="Verdana" w:hAnsi="Verdana" w:cs="Arial"/>
          <w:color w:val="000000" w:themeColor="text1"/>
          <w:lang w:val="es-ES"/>
        </w:rPr>
        <w:t>ii</w:t>
      </w:r>
      <w:proofErr w:type="spellEnd"/>
      <w:r w:rsidRPr="00753106">
        <w:rPr>
          <w:rFonts w:ascii="Verdana" w:hAnsi="Verdana" w:cs="Arial"/>
          <w:color w:val="000000" w:themeColor="text1"/>
          <w:lang w:val="es-ES"/>
        </w:rPr>
        <w:t xml:space="preserve">.  Con respecto a la consulta en listas, </w:t>
      </w:r>
      <w:r w:rsidRPr="00753106">
        <w:rPr>
          <w:rFonts w:ascii="Verdana" w:eastAsia="Calibri" w:hAnsi="Verdana" w:cs="Arial"/>
          <w:lang w:val="es-ES"/>
        </w:rPr>
        <w:t xml:space="preserve">es importante aclarar que aquellas de orden nacional, como es el caso del Boletín de </w:t>
      </w:r>
      <w:proofErr w:type="gramStart"/>
      <w:r w:rsidRPr="00753106">
        <w:rPr>
          <w:rFonts w:ascii="Verdana" w:eastAsia="Calibri" w:hAnsi="Verdana" w:cs="Arial"/>
          <w:lang w:val="es-ES"/>
        </w:rPr>
        <w:t>Responsables</w:t>
      </w:r>
      <w:proofErr w:type="gramEnd"/>
      <w:r w:rsidRPr="00753106">
        <w:rPr>
          <w:rFonts w:ascii="Verdana" w:eastAsia="Calibri" w:hAnsi="Verdana" w:cs="Arial"/>
          <w:lang w:val="es-ES"/>
        </w:rPr>
        <w:t xml:space="preserve"> Fiscales de la Contraloría, la página de consulta de la Procuraduría General de la Nación o la consulta de antecedentes penales, son fuentes de información que sirven a las entidades para la verificación de las causales de inhabilidad ya tipificadas en la ley. En efecto, consultarlas es parte del deber de verificación de la capacidad </w:t>
      </w:r>
      <w:r w:rsidRPr="00753106">
        <w:rPr>
          <w:rFonts w:ascii="Verdana" w:eastAsia="Calibri" w:hAnsi="Verdana" w:cs="Arial"/>
          <w:lang w:val="es-ES"/>
        </w:rPr>
        <w:lastRenderedPageBreak/>
        <w:t xml:space="preserve">jurídica del proponente. Las listas no generan per se la inhabilidad, pues su fuente es legal, sino que constituyen un instrumento de verificación de la capacidad jurídica en los procesos de contratación estatal. </w:t>
      </w:r>
    </w:p>
    <w:p w14:paraId="1896665B" w14:textId="77777777" w:rsidR="00E34DF0" w:rsidRPr="00753106" w:rsidRDefault="00E34DF0" w:rsidP="00E34DF0">
      <w:pPr>
        <w:spacing w:after="120" w:line="276" w:lineRule="auto"/>
        <w:ind w:firstLine="709"/>
        <w:jc w:val="both"/>
        <w:rPr>
          <w:rFonts w:ascii="Verdana" w:eastAsia="Calibri" w:hAnsi="Verdana" w:cs="Arial"/>
          <w:lang w:val="es-ES"/>
        </w:rPr>
      </w:pPr>
      <w:r w:rsidRPr="00753106">
        <w:rPr>
          <w:rFonts w:ascii="Verdana" w:eastAsia="Calibri" w:hAnsi="Verdana" w:cs="Arial"/>
          <w:lang w:val="es-ES"/>
        </w:rPr>
        <w:t>Por su parte, las denominadas listas restrictivas internacionales, como es el caso de OFAC</w:t>
      </w:r>
      <w:r w:rsidRPr="00753106">
        <w:rPr>
          <w:rStyle w:val="Refdenotaalpie"/>
          <w:rFonts w:ascii="Verdana" w:eastAsia="Calibri" w:hAnsi="Verdana" w:cs="Arial"/>
          <w:lang w:val="es-ES"/>
        </w:rPr>
        <w:footnoteReference w:id="7"/>
      </w:r>
      <w:r w:rsidRPr="00753106">
        <w:rPr>
          <w:rFonts w:ascii="Verdana" w:eastAsia="Calibri" w:hAnsi="Verdana" w:cs="Arial"/>
          <w:lang w:val="es-ES"/>
        </w:rPr>
        <w:t xml:space="preserve">, ONU o UE, pueden ser mecanismos de consulta de información que activen deberes de diligencia adicionales en cabeza de las entidades contratantes. Como lo precisó esta Agencia en el concepto C-1449 de 2025, el alcance de la consulta en dichas listas no genera inhabilidad ni justifica la terminación unilateral del contrato, pero puede activar verificaciones adicionales. </w:t>
      </w:r>
    </w:p>
    <w:p w14:paraId="5CE15EC3" w14:textId="77777777" w:rsidR="00E34DF0" w:rsidRPr="00753106" w:rsidRDefault="00E34DF0" w:rsidP="00E34DF0">
      <w:pPr>
        <w:spacing w:after="120" w:line="276" w:lineRule="auto"/>
        <w:ind w:firstLine="709"/>
        <w:jc w:val="both"/>
        <w:rPr>
          <w:rFonts w:ascii="Verdana" w:eastAsia="Calibri" w:hAnsi="Verdana" w:cs="Arial"/>
          <w:lang w:val="es-ES"/>
        </w:rPr>
      </w:pPr>
      <w:r w:rsidRPr="00753106">
        <w:rPr>
          <w:rFonts w:ascii="Verdana" w:eastAsia="Calibri" w:hAnsi="Verdana" w:cs="Arial"/>
          <w:lang w:val="es-ES"/>
        </w:rPr>
        <w:t>En efecto, las entidades pueden, dentro del marco definido por el Consejo de Estado, incorporar en los estudios previos la tipificación de los riesgos de corrupción y LA/FT como categorías explícitas en la matriz de riesgos del proceso, definiendo el nivel de diligencia que ejercerán sobre los proponentes; con base en este análisis, podrán luego exigir las garantías correspondientes. Durante la fase precontractual será necesario que la entidad realice la revisión sistemática y oportuna de listas nacionales con el fin de verificar la presencia de inhabilidades, así como la implementación de mecanismos para la verificación de situaciones de control, conforme con lo dispuesto en el Decreto 1600 de 2024, y la identificación del beneficiario final, según lo establecido en la Ley 2195 de 2022. La entidad deberá verificar el estado de las inhabilidades durante la suscripción y ejecución del contrato, con el fin de descartar la configuración de causales sobrevinientes, y adoptar las medidas de renuncia o cesión que la ley establece según el caso. Las entidades también pueden incluir obligaciones contractuales sobre el reporte periódico de información que resulte relevante para identificar potenciales inhabilidades o la materialización de dichos riesgos, así como mecanismos de respuesta, como es el caso de multas o condiciones resolutorias.</w:t>
      </w:r>
    </w:p>
    <w:p w14:paraId="4CFD5766" w14:textId="77777777" w:rsidR="00E34DF0" w:rsidRDefault="00E34DF0" w:rsidP="00E34DF0">
      <w:pPr>
        <w:spacing w:after="0" w:line="276" w:lineRule="auto"/>
        <w:ind w:firstLine="709"/>
        <w:jc w:val="both"/>
        <w:rPr>
          <w:rFonts w:ascii="Verdana" w:eastAsia="Calibri" w:hAnsi="Verdana" w:cs="Arial"/>
          <w:lang w:val="es-ES"/>
        </w:rPr>
      </w:pPr>
      <w:r w:rsidRPr="00753106">
        <w:rPr>
          <w:rFonts w:ascii="Verdana" w:eastAsia="Calibri" w:hAnsi="Verdana" w:cs="Arial"/>
          <w:lang w:val="es-ES"/>
        </w:rPr>
        <w:t xml:space="preserve">Con lo anterior, la entidad puede determinar acciones y metodologías oportunas y apropiadas que son acordes con el principio de legalidad y de selección objetiva, pues las medidas establecidas por el Consejo de Estado </w:t>
      </w:r>
      <w:r w:rsidRPr="00753106">
        <w:rPr>
          <w:rFonts w:ascii="Verdana" w:eastAsia="Calibri" w:hAnsi="Verdana" w:cs="Arial"/>
          <w:lang w:val="es-ES"/>
        </w:rPr>
        <w:lastRenderedPageBreak/>
        <w:t>incluyen la tipificación previa de los riesgos de corrupción y LA/FT; la consagración expresa de mecanismos de verificación en los documentos del proceso, como es el caso de exigir declaraciones de origen lícito de fondos, de beneficiario final o la suscripción de pactos de integridad; y la incorporación en el contrato de cláusulas para la gestión de dichos riesgos, como las condiciones resolutorias de carácter convencional que pueden pactar las partes con sustento en el principio de buena fe y el artículo 3 de la Ley 80 de 1993. Adicionalmente, tanto la postura de esta Agencia como del Consejo de Estado es clara en que la consulta de listas restrictivas puede activar medidas de debida diligencia en el marco de lo establecido por la entidad, sin que esto implique la potestad de incluir causales de terminación unilateral, de inhabilidad o de rechazo que afecten la capacidad para contratar con el Estado y no hayan sido previstas en la Constitución o en la ley.</w:t>
      </w:r>
    </w:p>
    <w:p w14:paraId="2E0EC7DC" w14:textId="77777777" w:rsidR="00E34DF0" w:rsidRDefault="00E34DF0" w:rsidP="00E34DF0">
      <w:pPr>
        <w:spacing w:after="0" w:line="276" w:lineRule="auto"/>
        <w:ind w:firstLine="709"/>
        <w:jc w:val="both"/>
        <w:rPr>
          <w:rFonts w:ascii="Verdana" w:eastAsia="Calibri" w:hAnsi="Verdana" w:cs="Arial"/>
          <w:lang w:val="es-ES"/>
        </w:rPr>
      </w:pPr>
    </w:p>
    <w:p w14:paraId="08161AAB" w14:textId="77777777" w:rsidR="00E34DF0" w:rsidRDefault="00E34DF0" w:rsidP="00E34DF0">
      <w:pPr>
        <w:spacing w:after="120" w:line="276" w:lineRule="auto"/>
        <w:jc w:val="both"/>
        <w:rPr>
          <w:rFonts w:ascii="Verdana" w:eastAsia="Calibri" w:hAnsi="Verdana" w:cs="Arial"/>
        </w:rPr>
      </w:pPr>
      <w:proofErr w:type="spellStart"/>
      <w:r>
        <w:rPr>
          <w:rFonts w:ascii="Verdana" w:eastAsia="Calibri" w:hAnsi="Verdana" w:cs="Arial"/>
          <w:lang w:val="es-ES"/>
        </w:rPr>
        <w:t>iii</w:t>
      </w:r>
      <w:proofErr w:type="spellEnd"/>
      <w:r>
        <w:rPr>
          <w:rFonts w:ascii="Verdana" w:eastAsia="Calibri" w:hAnsi="Verdana" w:cs="Arial"/>
          <w:lang w:val="es-ES"/>
        </w:rPr>
        <w:t xml:space="preserve">. La Resolución 2328 de 2025, </w:t>
      </w:r>
      <w:r w:rsidRPr="009A5C76">
        <w:rPr>
          <w:rFonts w:ascii="Verdana" w:eastAsia="Calibri" w:hAnsi="Verdana" w:cs="Arial"/>
          <w:lang w:val="es-ES"/>
        </w:rPr>
        <w:t>“</w:t>
      </w:r>
      <w:r w:rsidRPr="009A5C76">
        <w:rPr>
          <w:rFonts w:ascii="Verdana" w:eastAsia="Calibri" w:hAnsi="Verdana" w:cs="Arial"/>
        </w:rPr>
        <w:t>por la cual se modifica el capítulo 6 del Título V de la Circular Única de Infraestructura y Transporte”</w:t>
      </w:r>
      <w:r>
        <w:rPr>
          <w:rFonts w:ascii="Verdana" w:eastAsia="Calibri" w:hAnsi="Verdana" w:cs="Arial"/>
        </w:rPr>
        <w:t xml:space="preserve">, </w:t>
      </w:r>
      <w:r w:rsidRPr="005822F5">
        <w:rPr>
          <w:rFonts w:ascii="Verdana" w:eastAsia="Calibri" w:hAnsi="Verdana" w:cs="Arial"/>
        </w:rPr>
        <w:t>que impone a los sujetos de vigilancia, inspección y control de la Superintendencia de Transporte la obligación de implementar el Sistema de Administración de Riesgos de Lavado de Activos, Financiación del Terrorismo y Financiación de la Proliferación de Armas de Destrucción Masiva –SARLAFT–.</w:t>
      </w:r>
      <w:r>
        <w:rPr>
          <w:rFonts w:ascii="Verdana" w:eastAsia="Calibri" w:hAnsi="Verdana" w:cs="Arial"/>
        </w:rPr>
        <w:t xml:space="preserve"> Dicha </w:t>
      </w:r>
      <w:r w:rsidRPr="005822F5">
        <w:rPr>
          <w:rFonts w:ascii="Verdana" w:eastAsia="Calibri" w:hAnsi="Verdana" w:cs="Arial"/>
        </w:rPr>
        <w:t>resolución establece un marco normativo detallado para la adopción de medidas de conocimiento de la contraparte, dentro del cual se definen dos niveles de diligencia</w:t>
      </w:r>
      <w:r>
        <w:rPr>
          <w:rFonts w:ascii="Verdana" w:eastAsia="Calibri" w:hAnsi="Verdana" w:cs="Arial"/>
        </w:rPr>
        <w:t xml:space="preserve"> en el artículo 5.6.2</w:t>
      </w:r>
      <w:r w:rsidRPr="005822F5">
        <w:rPr>
          <w:rFonts w:ascii="Verdana" w:eastAsia="Calibri" w:hAnsi="Verdana" w:cs="Arial"/>
        </w:rPr>
        <w:t xml:space="preserve">. En primer lugar, la </w:t>
      </w:r>
      <w:r w:rsidRPr="000615E7">
        <w:rPr>
          <w:rFonts w:ascii="Verdana" w:eastAsia="Calibri" w:hAnsi="Verdana" w:cs="Arial"/>
        </w:rPr>
        <w:t>debida diligencia</w:t>
      </w:r>
      <w:r w:rsidRPr="005822F5">
        <w:rPr>
          <w:rFonts w:ascii="Verdana" w:eastAsia="Calibri" w:hAnsi="Verdana" w:cs="Arial"/>
        </w:rPr>
        <w:t xml:space="preserve">, entendida en el artículo 5.6.2 como: “[…] el proceso mediante el cual la Empresa adopta medidas para el conocimiento de la Contraparte, de su negocio, operaciones, y Productos y el volumen de sus transacciones, que se desarrolla establecido en la presente resolución”. En segundo lugar, </w:t>
      </w:r>
      <w:r w:rsidRPr="00E249B6">
        <w:rPr>
          <w:rFonts w:ascii="Verdana" w:eastAsia="Calibri" w:hAnsi="Verdana" w:cs="Arial"/>
        </w:rPr>
        <w:t>la debida diligencia intensificada</w:t>
      </w:r>
      <w:r w:rsidRPr="005822F5">
        <w:rPr>
          <w:rFonts w:ascii="Verdana" w:eastAsia="Calibri" w:hAnsi="Verdana" w:cs="Arial"/>
        </w:rPr>
        <w:t>, definida como: “[…] el proceso mediante el cual la Empresa adopta medidas adicionales y con mayor intensidad para el conocimiento de la contraparte, de su negocio, operaciones, productos y el volumen de sus transacciones”.</w:t>
      </w:r>
      <w:r>
        <w:rPr>
          <w:rFonts w:ascii="Verdana" w:eastAsia="Calibri" w:hAnsi="Verdana" w:cs="Arial"/>
        </w:rPr>
        <w:t xml:space="preserve"> </w:t>
      </w:r>
    </w:p>
    <w:p w14:paraId="5309BA22" w14:textId="77777777" w:rsidR="00E34DF0" w:rsidRPr="009A44DC" w:rsidRDefault="00E34DF0" w:rsidP="00E34DF0">
      <w:pPr>
        <w:spacing w:after="120" w:line="276" w:lineRule="auto"/>
        <w:ind w:firstLine="709"/>
        <w:jc w:val="both"/>
        <w:rPr>
          <w:rFonts w:ascii="Verdana" w:eastAsia="Calibri" w:hAnsi="Verdana" w:cs="Arial"/>
        </w:rPr>
      </w:pPr>
      <w:r w:rsidRPr="009A44DC">
        <w:rPr>
          <w:rFonts w:ascii="Verdana" w:eastAsia="Calibri" w:hAnsi="Verdana" w:cs="Arial"/>
        </w:rPr>
        <w:t>El artículo 5.6.11.2</w:t>
      </w:r>
      <w:r>
        <w:rPr>
          <w:rStyle w:val="Refdenotaalpie"/>
          <w:rFonts w:ascii="Verdana" w:eastAsia="Calibri" w:hAnsi="Verdana" w:cs="Arial"/>
        </w:rPr>
        <w:footnoteReference w:id="8"/>
      </w:r>
      <w:r w:rsidRPr="009A44DC">
        <w:rPr>
          <w:rFonts w:ascii="Verdana" w:eastAsia="Calibri" w:hAnsi="Verdana" w:cs="Arial"/>
        </w:rPr>
        <w:t xml:space="preserve"> establece que los procedimientos de debida diligencia deben permitir la prevención y control de los riesgos LA/FT/FP a los que se </w:t>
      </w:r>
      <w:r w:rsidRPr="009A44DC">
        <w:rPr>
          <w:rFonts w:ascii="Verdana" w:eastAsia="Calibri" w:hAnsi="Verdana" w:cs="Arial"/>
        </w:rPr>
        <w:lastRenderedPageBreak/>
        <w:t>encuentra expuesto el sujeto obligado, aplicando medidas mínimas conforme al enfoque basado en riesgo. Este enfoque exige que la empresa evalúe las características de sus operaciones, productos, contratos, contrapartes, zonas geográficas y canales de distribución, de manera que el conocimiento de la contraparte sea proporcional al nivel de exposición identificado. La debida diligencia implica identificar y verificar la identidad de la contraparte y de sus beneficiarios finales, conocer la estructura de titularidad y control en el caso de personas jurídicas, y determinar si existen operaciones con activos virtuales que ameriten una diligencia intensificada.</w:t>
      </w:r>
    </w:p>
    <w:p w14:paraId="3736840B" w14:textId="77777777" w:rsidR="00E34DF0" w:rsidRPr="009A44DC" w:rsidRDefault="00E34DF0" w:rsidP="00E34DF0">
      <w:pPr>
        <w:spacing w:after="120" w:line="276" w:lineRule="auto"/>
        <w:ind w:firstLine="709"/>
        <w:jc w:val="both"/>
        <w:rPr>
          <w:rFonts w:ascii="Verdana" w:eastAsia="Calibri" w:hAnsi="Verdana" w:cs="Arial"/>
        </w:rPr>
      </w:pPr>
      <w:r w:rsidRPr="009A44DC">
        <w:rPr>
          <w:rFonts w:ascii="Verdana" w:eastAsia="Calibri" w:hAnsi="Verdana" w:cs="Arial"/>
        </w:rPr>
        <w:t xml:space="preserve">Asimismo, el procedimiento debe incluir la revisión continua de la relación comercial y de las transacciones realizadas, verificando su consistencia con el perfil de riesgo y el conocimiento previo de la contraparte, incluso respecto del origen de los fondos cuando sea necesario. De manera complementaria, los sujetos obligados deben consultar de forma permanente las listas internacionales vinculantes para Colombia y, en caso de identificar que un cliente actual o potencial se encuentra incluido en ellas, reportarlo de inmediato a la UIAF y a la </w:t>
      </w:r>
      <w:proofErr w:type="gramStart"/>
      <w:r w:rsidRPr="009A44DC">
        <w:rPr>
          <w:rFonts w:ascii="Verdana" w:eastAsia="Calibri" w:hAnsi="Verdana" w:cs="Arial"/>
        </w:rPr>
        <w:t>Fiscalía General</w:t>
      </w:r>
      <w:proofErr w:type="gramEnd"/>
      <w:r w:rsidRPr="009A44DC">
        <w:rPr>
          <w:rFonts w:ascii="Verdana" w:eastAsia="Calibri" w:hAnsi="Verdana" w:cs="Arial"/>
        </w:rPr>
        <w:t xml:space="preserve"> de la Nación. </w:t>
      </w:r>
    </w:p>
    <w:p w14:paraId="41745DBB" w14:textId="77777777" w:rsidR="00E34DF0" w:rsidRDefault="00E34DF0" w:rsidP="00E34DF0">
      <w:pPr>
        <w:spacing w:after="0" w:line="276" w:lineRule="auto"/>
        <w:ind w:firstLine="709"/>
        <w:jc w:val="both"/>
        <w:rPr>
          <w:rFonts w:ascii="Verdana" w:eastAsia="Calibri" w:hAnsi="Verdana" w:cs="Arial"/>
        </w:rPr>
      </w:pPr>
      <w:r>
        <w:rPr>
          <w:rFonts w:ascii="Verdana" w:eastAsia="Calibri" w:hAnsi="Verdana" w:cs="Arial"/>
        </w:rPr>
        <w:t xml:space="preserve">Por otro lado, la debida diligencia intensificada regulado en el artículo 5.6.11.3. se constituye </w:t>
      </w:r>
      <w:r w:rsidRPr="00A17920">
        <w:rPr>
          <w:rFonts w:ascii="Verdana" w:eastAsia="Calibri" w:hAnsi="Verdana" w:cs="Arial"/>
        </w:rPr>
        <w:t xml:space="preserve">como un conjunto de medidas reforzadas que permiten </w:t>
      </w:r>
      <w:r w:rsidRPr="00A17920">
        <w:rPr>
          <w:rFonts w:ascii="Verdana" w:eastAsia="Calibri" w:hAnsi="Verdana" w:cs="Arial"/>
        </w:rPr>
        <w:lastRenderedPageBreak/>
        <w:t xml:space="preserve">a los sujetos obligados obtener un conocimiento más profundo de la contraparte, de sus operaciones y del origen de los fondos involucrados. A diferencia de la debida diligencia ordinaria, este nivel exige actividades adicionales y más rigurosas, orientadas a gestionar situaciones de mayor exposición al riesgo LA/FT/FP. </w:t>
      </w:r>
      <w:r>
        <w:rPr>
          <w:rFonts w:ascii="Verdana" w:eastAsia="Calibri" w:hAnsi="Verdana" w:cs="Arial"/>
        </w:rPr>
        <w:t>Al respecto, dicho artículo prescribe:</w:t>
      </w:r>
    </w:p>
    <w:p w14:paraId="283CB091" w14:textId="77777777" w:rsidR="00E34DF0" w:rsidRDefault="00E34DF0" w:rsidP="00E34DF0">
      <w:pPr>
        <w:spacing w:after="0" w:line="276" w:lineRule="auto"/>
        <w:ind w:firstLine="709"/>
        <w:jc w:val="both"/>
        <w:rPr>
          <w:rFonts w:ascii="Verdana" w:eastAsia="Calibri" w:hAnsi="Verdana" w:cs="Arial"/>
        </w:rPr>
      </w:pPr>
    </w:p>
    <w:p w14:paraId="3B4E7827" w14:textId="77777777" w:rsidR="00E34DF0" w:rsidRDefault="00E34DF0" w:rsidP="00E34DF0">
      <w:pPr>
        <w:spacing w:after="0" w:line="276" w:lineRule="auto"/>
        <w:ind w:left="709" w:right="709"/>
        <w:jc w:val="both"/>
        <w:rPr>
          <w:rFonts w:ascii="Verdana" w:eastAsia="Calibri" w:hAnsi="Verdana" w:cs="Arial"/>
          <w:sz w:val="20"/>
          <w:szCs w:val="20"/>
        </w:rPr>
      </w:pPr>
      <w:r w:rsidRPr="00683805">
        <w:rPr>
          <w:rFonts w:ascii="Verdana" w:eastAsia="Calibri" w:hAnsi="Verdana" w:cs="Arial"/>
          <w:sz w:val="20"/>
          <w:szCs w:val="20"/>
        </w:rPr>
        <w:t>Artículo 5.6.11.3. </w:t>
      </w:r>
      <w:r w:rsidRPr="00683805">
        <w:rPr>
          <w:rFonts w:ascii="Verdana" w:eastAsia="Calibri" w:hAnsi="Verdana" w:cs="Arial"/>
          <w:i/>
          <w:iCs/>
          <w:sz w:val="20"/>
          <w:szCs w:val="20"/>
        </w:rPr>
        <w:t>Debida Diligencia Intensificada</w:t>
      </w:r>
      <w:r w:rsidRPr="00683805">
        <w:rPr>
          <w:rFonts w:ascii="Verdana" w:eastAsia="Calibri" w:hAnsi="Verdana" w:cs="Arial"/>
          <w:sz w:val="20"/>
          <w:szCs w:val="20"/>
        </w:rPr>
        <w:t>. El proceso de debida diligencia intensificada debe permitir a los sujetos obligados un conocimiento avanzando de la contraparte y del origen de los fondos que reciben, o la necesidad del servicio que se requiere, que incluye actividades adicionales a las llevadas a cabo en la debida diligencia. Estos procedimientos deben cumplir como mínimo lo siguiente: </w:t>
      </w:r>
    </w:p>
    <w:p w14:paraId="4C6442F7" w14:textId="77777777" w:rsidR="00E34DF0" w:rsidRPr="00683805" w:rsidRDefault="00E34DF0" w:rsidP="00E34DF0">
      <w:pPr>
        <w:spacing w:after="0" w:line="276" w:lineRule="auto"/>
        <w:ind w:left="709" w:right="709"/>
        <w:jc w:val="both"/>
        <w:rPr>
          <w:rFonts w:ascii="Verdana" w:eastAsia="Calibri" w:hAnsi="Verdana" w:cs="Arial"/>
          <w:sz w:val="20"/>
          <w:szCs w:val="20"/>
        </w:rPr>
      </w:pPr>
      <w:r w:rsidRPr="00683805">
        <w:rPr>
          <w:rFonts w:ascii="Verdana" w:eastAsia="Calibri" w:hAnsi="Verdana" w:cs="Arial"/>
          <w:sz w:val="20"/>
          <w:szCs w:val="20"/>
        </w:rPr>
        <w:t>a. Aplicar a aquellas contrapartes que los sujetos obligados consideren que representan un mayor riesgo, a los PEP, y aquellas contrapartes ubicadas en países no cooperantes y jurisdicciones consideradas de alto riesgo. </w:t>
      </w:r>
    </w:p>
    <w:p w14:paraId="3D69CC8E" w14:textId="77777777" w:rsidR="00E34DF0" w:rsidRPr="00683805" w:rsidRDefault="00E34DF0" w:rsidP="00E34DF0">
      <w:pPr>
        <w:spacing w:after="0" w:line="276" w:lineRule="auto"/>
        <w:ind w:left="709" w:right="709"/>
        <w:jc w:val="both"/>
        <w:rPr>
          <w:rFonts w:ascii="Verdana" w:eastAsia="Calibri" w:hAnsi="Verdana" w:cs="Arial"/>
          <w:sz w:val="20"/>
          <w:szCs w:val="20"/>
        </w:rPr>
      </w:pPr>
      <w:r w:rsidRPr="00683805">
        <w:rPr>
          <w:rFonts w:ascii="Verdana" w:eastAsia="Calibri" w:hAnsi="Verdana" w:cs="Arial"/>
          <w:sz w:val="20"/>
          <w:szCs w:val="20"/>
        </w:rPr>
        <w:t>b. Aplicar con las contrapartes que se identifique que desarrollan transacciones con activos virtuales. </w:t>
      </w:r>
    </w:p>
    <w:p w14:paraId="1ED940B9" w14:textId="77777777" w:rsidR="00E34DF0" w:rsidRPr="00683805" w:rsidRDefault="00E34DF0" w:rsidP="00E34DF0">
      <w:pPr>
        <w:spacing w:after="0" w:line="276" w:lineRule="auto"/>
        <w:ind w:left="709" w:right="709"/>
        <w:jc w:val="both"/>
        <w:rPr>
          <w:rFonts w:ascii="Verdana" w:eastAsia="Calibri" w:hAnsi="Verdana" w:cs="Arial"/>
          <w:sz w:val="20"/>
          <w:szCs w:val="20"/>
        </w:rPr>
      </w:pPr>
      <w:r w:rsidRPr="00683805">
        <w:rPr>
          <w:rFonts w:ascii="Verdana" w:eastAsia="Calibri" w:hAnsi="Verdana" w:cs="Arial"/>
          <w:sz w:val="20"/>
          <w:szCs w:val="20"/>
        </w:rPr>
        <w:t>c. Aplicar a las contrapartes con las que se adelanten transacciones con activos virtua</w:t>
      </w:r>
      <w:r>
        <w:rPr>
          <w:rFonts w:ascii="Verdana" w:eastAsia="Calibri" w:hAnsi="Verdana" w:cs="Arial"/>
          <w:sz w:val="20"/>
          <w:szCs w:val="20"/>
        </w:rPr>
        <w:t>l</w:t>
      </w:r>
      <w:r w:rsidRPr="00683805">
        <w:rPr>
          <w:rFonts w:ascii="Verdana" w:eastAsia="Calibri" w:hAnsi="Verdana" w:cs="Arial"/>
          <w:sz w:val="20"/>
          <w:szCs w:val="20"/>
        </w:rPr>
        <w:t>es. </w:t>
      </w:r>
    </w:p>
    <w:p w14:paraId="0F94CA95" w14:textId="77777777" w:rsidR="00E34DF0" w:rsidRPr="00683805" w:rsidRDefault="00E34DF0" w:rsidP="00E34DF0">
      <w:pPr>
        <w:spacing w:after="0" w:line="276" w:lineRule="auto"/>
        <w:ind w:left="709" w:right="709"/>
        <w:jc w:val="both"/>
        <w:rPr>
          <w:rFonts w:ascii="Verdana" w:eastAsia="Calibri" w:hAnsi="Verdana" w:cs="Arial"/>
          <w:sz w:val="20"/>
          <w:szCs w:val="20"/>
        </w:rPr>
      </w:pPr>
      <w:r w:rsidRPr="00683805">
        <w:rPr>
          <w:rFonts w:ascii="Verdana" w:eastAsia="Calibri" w:hAnsi="Verdana" w:cs="Arial"/>
          <w:sz w:val="20"/>
          <w:szCs w:val="20"/>
        </w:rPr>
        <w:t>d. Implementar procedimiento para obtener la aprobación por parte de la instancia o empleado de mayor jerarquía, para la vinculación, rechazar o para continuar con la relación contractual, luego de la aplicación de la debida diligencia intensificada a una contraparte. </w:t>
      </w:r>
    </w:p>
    <w:p w14:paraId="5A2C73A5" w14:textId="77777777" w:rsidR="00E34DF0" w:rsidRDefault="00E34DF0" w:rsidP="00E34DF0">
      <w:pPr>
        <w:spacing w:after="120" w:line="276" w:lineRule="auto"/>
        <w:ind w:firstLine="709"/>
        <w:jc w:val="both"/>
        <w:rPr>
          <w:rFonts w:ascii="Verdana" w:eastAsia="Calibri" w:hAnsi="Verdana" w:cs="Arial"/>
        </w:rPr>
      </w:pPr>
    </w:p>
    <w:p w14:paraId="765D5FA6" w14:textId="77777777" w:rsidR="00E34DF0" w:rsidRDefault="00E34DF0" w:rsidP="00E34DF0">
      <w:pPr>
        <w:spacing w:after="120" w:line="276" w:lineRule="auto"/>
        <w:ind w:firstLine="709"/>
        <w:jc w:val="both"/>
        <w:rPr>
          <w:rFonts w:ascii="Verdana" w:eastAsia="Calibri" w:hAnsi="Verdana" w:cs="Arial"/>
        </w:rPr>
      </w:pPr>
      <w:r>
        <w:rPr>
          <w:rFonts w:ascii="Verdana" w:eastAsia="Calibri" w:hAnsi="Verdana" w:cs="Arial"/>
        </w:rPr>
        <w:t xml:space="preserve">De acuerdo con lo precitado, este proceso de debida diligencia intensificada </w:t>
      </w:r>
      <w:r w:rsidRPr="009F3A9C">
        <w:rPr>
          <w:rFonts w:ascii="Verdana" w:eastAsia="Calibri" w:hAnsi="Verdana" w:cs="Arial"/>
        </w:rPr>
        <w:t xml:space="preserve">se activa frente a contrapartes catalogadas como de mayor riesgo, incluyendo las Personas Expuestas Políticamente (PEP) y aquellas ubicadas en países no cooperantes o jurisdicciones de alto riesgo, así como frente a contrapartes que desarrollan o realizan transacciones con activos virtuales, dada la naturaleza altamente vulnerable de estos instrumentos. En estos casos, la entidad debe profundizar en el conocimiento de la contraparte, su actividad económica, la estructura de titularidad y control, la trazabilidad de las operaciones y el origen de los fondos, aplicando verificaciones adicionales y más rigurosas que las previstas en la debida diligencia ordinaria. Además, el proceso exige la implementación de un mecanismo de aprobación por parte de la instancia o funcionario de mayor jerarquía, quien debe decidir si se vincula, </w:t>
      </w:r>
      <w:r w:rsidRPr="009F3A9C">
        <w:rPr>
          <w:rFonts w:ascii="Verdana" w:eastAsia="Calibri" w:hAnsi="Verdana" w:cs="Arial"/>
        </w:rPr>
        <w:lastRenderedPageBreak/>
        <w:t xml:space="preserve">rechaza o continúa la relación contractual una vez evaluados los resultados de la debida diligencia intensificada. </w:t>
      </w:r>
    </w:p>
    <w:p w14:paraId="772B53EB" w14:textId="77777777" w:rsidR="00E34DF0" w:rsidRPr="00795D9D" w:rsidRDefault="00E34DF0" w:rsidP="00E34DF0">
      <w:pPr>
        <w:spacing w:after="120" w:line="276" w:lineRule="auto"/>
        <w:ind w:firstLine="709"/>
        <w:jc w:val="both"/>
        <w:rPr>
          <w:rFonts w:ascii="Verdana" w:eastAsia="Calibri" w:hAnsi="Verdana" w:cs="Arial"/>
        </w:rPr>
      </w:pPr>
      <w:r w:rsidRPr="00FF7EE4">
        <w:rPr>
          <w:rFonts w:ascii="Verdana" w:eastAsia="Calibri" w:hAnsi="Verdana" w:cs="Arial"/>
        </w:rPr>
        <w:t>La posibilidad de rechazar la vinculación contractual prevista en el literal d) del artículo 5.6.11 debe entenderse de manera armónica con el régimen de contratación estatal y con los límites que este impone. En el contexto del SARLAFT, dicha facultad</w:t>
      </w:r>
      <w:r>
        <w:rPr>
          <w:rFonts w:ascii="Verdana" w:eastAsia="Calibri" w:hAnsi="Verdana" w:cs="Arial"/>
        </w:rPr>
        <w:t xml:space="preserve"> de rechazar el vínculo contractual</w:t>
      </w:r>
      <w:r w:rsidRPr="00FF7EE4">
        <w:rPr>
          <w:rFonts w:ascii="Verdana" w:eastAsia="Calibri" w:hAnsi="Verdana" w:cs="Arial"/>
        </w:rPr>
        <w:t xml:space="preserve"> no opera como una causal autónoma de exclusión, sino como una medida interna de gestión del riesgo que orienta la toma de decisiones dentro del proceso de debida diligencia intensificada. Por ello, su aplicación debe respetar las reglas de legalidad, taxatividad y competencia propias del sistema de compras públicas, evitando que se convierta en un mecanismo para introducir causales de rechazo, inhabilidad o incompatibilidad no previstas en la Constitución o en la ley.</w:t>
      </w:r>
      <w:r>
        <w:rPr>
          <w:rFonts w:ascii="Verdana" w:eastAsia="Calibri" w:hAnsi="Verdana" w:cs="Arial"/>
        </w:rPr>
        <w:t xml:space="preserve"> Es decir, para </w:t>
      </w:r>
      <w:r w:rsidRPr="00795D9D">
        <w:rPr>
          <w:rFonts w:ascii="Verdana" w:eastAsia="Calibri" w:hAnsi="Verdana" w:cs="Arial"/>
        </w:rPr>
        <w:t xml:space="preserve">las entidades </w:t>
      </w:r>
      <w:r>
        <w:rPr>
          <w:rFonts w:ascii="Verdana" w:eastAsia="Calibri" w:hAnsi="Verdana" w:cs="Arial"/>
        </w:rPr>
        <w:t xml:space="preserve">estatales que están </w:t>
      </w:r>
      <w:r w:rsidRPr="00795D9D">
        <w:rPr>
          <w:rFonts w:ascii="Verdana" w:eastAsia="Calibri" w:hAnsi="Verdana" w:cs="Arial"/>
        </w:rPr>
        <w:t xml:space="preserve">sujetas a la Resolución 2328 de 2025 —es decir, aquellas bajo la supervisión de la Superintendencia de Transporte— las medidas de gestión del riesgo no pueden </w:t>
      </w:r>
      <w:r>
        <w:rPr>
          <w:rFonts w:ascii="Verdana" w:eastAsia="Calibri" w:hAnsi="Verdana" w:cs="Arial"/>
        </w:rPr>
        <w:t xml:space="preserve">implicar la configuración de </w:t>
      </w:r>
      <w:r w:rsidRPr="00795D9D">
        <w:rPr>
          <w:rFonts w:ascii="Verdana" w:eastAsia="Calibri" w:hAnsi="Verdana" w:cs="Arial"/>
        </w:rPr>
        <w:t>causales autónomas de inhabilidad, incompatibilidad o rechazo de ofertas</w:t>
      </w:r>
      <w:r>
        <w:rPr>
          <w:rFonts w:ascii="Verdana" w:eastAsia="Calibri" w:hAnsi="Verdana" w:cs="Arial"/>
        </w:rPr>
        <w:t xml:space="preserve"> con tintes de inhabilidad</w:t>
      </w:r>
      <w:r w:rsidRPr="00795D9D">
        <w:rPr>
          <w:rFonts w:ascii="Verdana" w:eastAsia="Calibri" w:hAnsi="Verdana" w:cs="Arial"/>
        </w:rPr>
        <w:t>,</w:t>
      </w:r>
      <w:r>
        <w:rPr>
          <w:rFonts w:ascii="Verdana" w:eastAsia="Calibri" w:hAnsi="Verdana" w:cs="Arial"/>
        </w:rPr>
        <w:t xml:space="preserve"> pues tiene reserva legal o constitucional</w:t>
      </w:r>
      <w:r w:rsidRPr="00795D9D">
        <w:rPr>
          <w:rFonts w:ascii="Verdana" w:eastAsia="Calibri" w:hAnsi="Verdana" w:cs="Arial"/>
        </w:rPr>
        <w:t>. En consecuencia, las entidades no pueden incorporar en los pliegos de condiciones causales derivadas del SARLAFT como motivos para excluir oferentes, ni pueden disfrazarlas como criterios de rechazo, dado que ello vulneraría el principio de legalidad y excedería su competencia normativa.</w:t>
      </w:r>
    </w:p>
    <w:p w14:paraId="543F5EDF" w14:textId="77777777" w:rsidR="00E34DF0" w:rsidRPr="00795D9D" w:rsidRDefault="00E34DF0" w:rsidP="00E34DF0">
      <w:pPr>
        <w:spacing w:after="120" w:line="276" w:lineRule="auto"/>
        <w:ind w:firstLine="709"/>
        <w:jc w:val="both"/>
        <w:rPr>
          <w:rFonts w:ascii="Verdana" w:eastAsia="Calibri" w:hAnsi="Verdana" w:cs="Arial"/>
        </w:rPr>
      </w:pPr>
      <w:r w:rsidRPr="00795D9D">
        <w:rPr>
          <w:rFonts w:ascii="Verdana" w:eastAsia="Calibri" w:hAnsi="Verdana" w:cs="Arial"/>
        </w:rPr>
        <w:t>De igual forma, la terminación unilateral del contrato tiene una regulación especial y taxativa en los artículos 17 y 45 del EGCAP, por lo que sus causales son de interpretación estricta. Ninguna de las causales previstas en la Ley 80 de 1993 se relaciona con el incumplimiento de medidas SARLAFT, la inclusión en listas restrictivas internacionales o la existencia de señales de alerta derivadas del sistema. Por ello, la autonomía de la voluntad no habilita a las entidades para crear nuevas causales de terminación unilateral basadas en estos supuestos. En síntesis, las medidas del SARLAFT son instrumentos de gestión del riesgo y no pueden operar como sanciones automáticas ni como causales contractuales adicionales, debiendo integrarse al proceso contractual sin desbordar el marco legal que regula la selección de contratistas y la ejecución de los contratos estatales.</w:t>
      </w:r>
    </w:p>
    <w:p w14:paraId="1E277EA2" w14:textId="77777777" w:rsidR="00E34DF0" w:rsidRPr="00DF1680" w:rsidRDefault="00E34DF0" w:rsidP="00E34DF0">
      <w:pPr>
        <w:spacing w:after="120" w:line="276" w:lineRule="auto"/>
        <w:ind w:firstLine="709"/>
        <w:jc w:val="both"/>
        <w:rPr>
          <w:rFonts w:ascii="Verdana" w:eastAsia="Calibri" w:hAnsi="Verdana" w:cs="Arial"/>
          <w:lang w:val="es-ES"/>
        </w:rPr>
      </w:pPr>
      <w:r w:rsidRPr="00DF1680">
        <w:rPr>
          <w:rFonts w:ascii="Verdana" w:eastAsia="Calibri" w:hAnsi="Verdana" w:cs="Arial"/>
          <w:lang w:val="es-ES"/>
        </w:rPr>
        <w:t xml:space="preserve">Sin embargo, el alcance, oportunidad y metodología para el análisis del riesgo de lavado de activos y de la financiación del terrorismo en el marco de los </w:t>
      </w:r>
      <w:r w:rsidRPr="00DF1680">
        <w:rPr>
          <w:rFonts w:ascii="Verdana" w:eastAsia="Calibri" w:hAnsi="Verdana" w:cs="Arial"/>
          <w:lang w:val="es-ES"/>
        </w:rPr>
        <w:lastRenderedPageBreak/>
        <w:t>procesos regidos por el EGCAP debe seguir</w:t>
      </w:r>
      <w:r w:rsidRPr="00DF1680">
        <w:rPr>
          <w:rFonts w:ascii="Verdana" w:eastAsia="Calibri" w:hAnsi="Verdana" w:cs="Arial"/>
          <w:i/>
          <w:iCs/>
          <w:lang w:val="es-ES"/>
        </w:rPr>
        <w:t xml:space="preserve"> las condiciones referidas por la Sala de Consulta y Servicio Civil en el Concepto del 27 de agosto de 2015</w:t>
      </w:r>
      <w:r w:rsidRPr="00DF1680">
        <w:rPr>
          <w:rFonts w:ascii="Verdana" w:eastAsia="Calibri" w:hAnsi="Verdana" w:cs="Arial"/>
          <w:lang w:val="es-ES"/>
        </w:rPr>
        <w:t xml:space="preserve">. Respecto al riesgo de corrupción, sumado a las medidas previstas en el artículo 9 del EGCAP y de la Ley 1150 de 2007, siempre que se configure el supuesto de la inhabilidad del literal j) del artículo 8.1 de la Ley 80 de 1993, podrá aplicarse la causal de terminación unilateral del artículo 44.1 </w:t>
      </w:r>
      <w:r w:rsidRPr="00DF1680">
        <w:rPr>
          <w:rFonts w:ascii="Verdana" w:eastAsia="Calibri" w:hAnsi="Verdana" w:cs="Arial"/>
          <w:i/>
          <w:iCs/>
          <w:lang w:val="es-ES"/>
        </w:rPr>
        <w:t>ibidem</w:t>
      </w:r>
      <w:r w:rsidRPr="00DF1680">
        <w:rPr>
          <w:rFonts w:ascii="Verdana" w:eastAsia="Calibri" w:hAnsi="Verdana" w:cs="Arial"/>
          <w:lang w:val="es-ES"/>
        </w:rPr>
        <w:t>.</w:t>
      </w:r>
    </w:p>
    <w:p w14:paraId="6C31DCB9" w14:textId="77777777" w:rsidR="00E34DF0" w:rsidRPr="00DF1680" w:rsidRDefault="00E34DF0" w:rsidP="00E34DF0">
      <w:pPr>
        <w:spacing w:after="120" w:line="276" w:lineRule="auto"/>
        <w:ind w:firstLine="709"/>
        <w:jc w:val="both"/>
        <w:rPr>
          <w:rFonts w:ascii="Verdana" w:eastAsia="Calibri" w:hAnsi="Verdana" w:cs="Arial"/>
          <w:lang w:val="es-ES"/>
        </w:rPr>
      </w:pPr>
      <w:r w:rsidRPr="00DF1680">
        <w:rPr>
          <w:rFonts w:ascii="Verdana" w:eastAsia="Calibri" w:hAnsi="Verdana" w:cs="Arial"/>
          <w:lang w:val="es-ES"/>
        </w:rPr>
        <w:t>Las entidades pueden, dentro del marco definido por el Consejo de Estado, incorporar en los estudios previos la tipificación de los riesgos de corrupción y LA/FT como categorías explícitas en la matriz de riesgos del proceso, definiendo el nivel de diligencia que ejercerán sobre los proponentes; con base en este análisis, podrán luego exigir las garantías correspondientes. Durante la fase precontractual será necesario que la entidad realice la revisión sistemática y oportuna de listas nacionales con el fin de verificar la presencia de inhabilidades, así como la implementación de mecanismos para la verificación de situaciones de control, conforme con lo dispuesto en el Decreto 1600 de 2024, y la identificación del beneficiario final, según lo establecido en la Ley 2195 de 2022. La entidad deberá verificar el estado de las inhabilidades durante la suscripción y ejecución del contrato, con el fin de descartar la configuración de causales sobrevinientes, y adoptar las medidas de renuncia o cesión que la ley establece según el caso. Las entidades también pueden incluir obligaciones contractuales sobre el reporte periódico de información que resulte relevante para identificar potenciales inhabilidades o la materialización de dichos riesgos, así como mecanismos de respuesta, como es el caso de multas o condiciones resolutorias.</w:t>
      </w:r>
    </w:p>
    <w:p w14:paraId="4FED972C" w14:textId="77777777" w:rsidR="00E34DF0" w:rsidRPr="00DF1680" w:rsidRDefault="00E34DF0" w:rsidP="00E34DF0">
      <w:pPr>
        <w:spacing w:after="120" w:line="276" w:lineRule="auto"/>
        <w:ind w:firstLine="709"/>
        <w:jc w:val="both"/>
        <w:rPr>
          <w:rFonts w:ascii="Verdana" w:eastAsia="Calibri" w:hAnsi="Verdana" w:cs="Arial"/>
          <w:lang w:val="es-ES"/>
        </w:rPr>
      </w:pPr>
      <w:r w:rsidRPr="00DF1680">
        <w:rPr>
          <w:rFonts w:ascii="Verdana" w:eastAsia="Calibri" w:hAnsi="Verdana" w:cs="Arial"/>
          <w:lang w:val="es-ES"/>
        </w:rPr>
        <w:t>Con lo anterior, la entidad puede determinar acciones y metodologías oportunas y apropiadas que resultan acordes con el principio de legalidad y de selección objetiva, pues las medidas establecidas por el Consejo de Estado incluyen la tipificación previa de los riesgos de corrupción y LA/FT; la consagración expresa de mecanismos de verificación en los documentos del proceso, como es el caso de exigir declaraciones de origen lícito de fondos, de beneficiario final o la suscripción de pactos de integridad; y la incorporación en el contrato de cláusulas para la gestión de dichos riesgos, como las condiciones resolutorias de carácter convencional que pueden pactar las partes con sustento en el principio de buena fe y el artículo 3 de la Ley 80 de 1993.</w:t>
      </w:r>
    </w:p>
    <w:p w14:paraId="68CD5776" w14:textId="77777777" w:rsidR="00E34DF0" w:rsidRPr="00691C40" w:rsidRDefault="00E34DF0" w:rsidP="00E34DF0">
      <w:pPr>
        <w:spacing w:after="0" w:line="276" w:lineRule="auto"/>
        <w:ind w:firstLine="709"/>
        <w:jc w:val="both"/>
        <w:rPr>
          <w:rFonts w:ascii="Verdana" w:eastAsia="Calibri" w:hAnsi="Verdana" w:cs="Arial"/>
          <w:lang w:val="es-ES"/>
        </w:rPr>
      </w:pPr>
      <w:r w:rsidRPr="00691C40">
        <w:rPr>
          <w:rFonts w:ascii="Verdana" w:eastAsia="Calibri" w:hAnsi="Verdana" w:cs="Arial"/>
          <w:lang w:val="es-ES"/>
        </w:rPr>
        <w:t xml:space="preserve">Lo anterior no obsta para que las entidades ejerzan la potestad que les asiste de incluir causales de rechazo en el pliego de condiciones o documento </w:t>
      </w:r>
      <w:r w:rsidRPr="00691C40">
        <w:rPr>
          <w:rFonts w:ascii="Verdana" w:eastAsia="Calibri" w:hAnsi="Verdana" w:cs="Arial"/>
          <w:lang w:val="es-ES"/>
        </w:rPr>
        <w:lastRenderedPageBreak/>
        <w:t>equivalente, siempre que éstas se encuentren debidamente justificadas en relación con el objeto contractual y respondan a defectos, omisiones o circunstancias que permitan deducir que la oferta no resulta favorable para los intereses de la entidad, la protección del interés general y los fines de la contratación y sus principios, conforme con lo señalado por el Consejo de Estado en la jurisprudencia. Así, por ejemplo, frente a determinados procesos en los cuales el reporte de un oferente en listas vinculantes aplicables en Colombia en materia de Financiación del Terrorismo pueda evidenciar un alto riesgo de que la propuesta resulte contraria a los intereses de la entidad o al interés general, este hecho podría sustentar la inclusión de una causal de rechazo en el pliego de condiciones. En cualquier caso, la entidad deberá asegurar que dichas causales no encubran ni equivalgan, en la práctica, a la creación de causales de inhabilidad o incompatibilidad no previstas en la Constitución o en la ley, ni se fundamenten en consideraciones subjetivas o ajenas al cumplimiento de los requisitos técnicos y económicos de la oferta, so pena de comprometer los principios de transparencia, igualdad y selección objetiva que rigen la contratación estatal.</w:t>
      </w:r>
    </w:p>
    <w:p w14:paraId="28A139F6" w14:textId="77777777" w:rsidR="00E34DF0" w:rsidRPr="00753106" w:rsidRDefault="00E34DF0" w:rsidP="00E34DF0">
      <w:pPr>
        <w:spacing w:after="0" w:line="276" w:lineRule="auto"/>
        <w:jc w:val="both"/>
        <w:rPr>
          <w:rFonts w:ascii="Verdana" w:eastAsia="Calibri" w:hAnsi="Verdana" w:cs="Arial"/>
          <w:i/>
          <w:iCs/>
          <w:color w:val="000000" w:themeColor="text1"/>
          <w:lang w:val="es-ES"/>
        </w:rPr>
      </w:pPr>
    </w:p>
    <w:p w14:paraId="4C396204" w14:textId="77777777" w:rsidR="00E34DF0" w:rsidRPr="00753106" w:rsidRDefault="00E34DF0" w:rsidP="00E34DF0">
      <w:pPr>
        <w:spacing w:after="120" w:line="276" w:lineRule="auto"/>
        <w:jc w:val="both"/>
        <w:rPr>
          <w:rStyle w:val="normaltextrun"/>
          <w:rFonts w:ascii="Verdana" w:hAnsi="Verdana" w:cs="Arial"/>
          <w:shd w:val="clear" w:color="auto" w:fill="FFFFFF"/>
          <w:lang w:val="es-ES"/>
        </w:rPr>
      </w:pPr>
      <w:proofErr w:type="spellStart"/>
      <w:r w:rsidRPr="00753106">
        <w:rPr>
          <w:rFonts w:ascii="Verdana" w:eastAsia="Calibri" w:hAnsi="Verdana" w:cs="Arial"/>
          <w:lang w:val="es-ES"/>
        </w:rPr>
        <w:t>i</w:t>
      </w:r>
      <w:r>
        <w:rPr>
          <w:rFonts w:ascii="Verdana" w:eastAsia="Calibri" w:hAnsi="Verdana" w:cs="Arial"/>
          <w:lang w:val="es-ES"/>
        </w:rPr>
        <w:t>v</w:t>
      </w:r>
      <w:proofErr w:type="spellEnd"/>
      <w:r w:rsidRPr="00753106">
        <w:rPr>
          <w:rFonts w:ascii="Verdana" w:eastAsia="Calibri" w:hAnsi="Verdana" w:cs="Arial"/>
          <w:lang w:val="es-ES"/>
        </w:rPr>
        <w:t xml:space="preserve">. Finalmente, con respecto a los lineamientos y conceptos expedidos por esta Agencia, se aclara que </w:t>
      </w:r>
      <w:r w:rsidRPr="00753106">
        <w:rPr>
          <w:rStyle w:val="normaltextrun"/>
          <w:rFonts w:ascii="Verdana" w:hAnsi="Verdana" w:cs="Arial"/>
          <w:color w:val="000000" w:themeColor="text1"/>
          <w:shd w:val="clear" w:color="auto" w:fill="FFFFFF"/>
          <w:lang w:val="es-ES"/>
        </w:rPr>
        <w:t>Colombia Compra Eficiente señaló e</w:t>
      </w:r>
      <w:r w:rsidRPr="00753106">
        <w:rPr>
          <w:rStyle w:val="normaltextrun"/>
          <w:rFonts w:ascii="Verdana" w:hAnsi="Verdana" w:cs="Arial"/>
          <w:shd w:val="clear" w:color="auto" w:fill="FFFFFF"/>
          <w:lang w:val="es-ES"/>
        </w:rPr>
        <w:t xml:space="preserve">n los conceptos con radicados 415140001639 del 17 de junio de 2019, C-001 del 15 de enero de 2020, C-230 del 16 de abril de 2020, C-684 del 24 de noviembre de 2020, C-958 del 13 de febrero de 2023, </w:t>
      </w:r>
      <w:r w:rsidRPr="00753106">
        <w:rPr>
          <w:rFonts w:ascii="Verdana" w:eastAsia="Calibri" w:hAnsi="Verdana" w:cs="Arial"/>
          <w:lang w:val="es-ES" w:eastAsia="es-ES"/>
        </w:rPr>
        <w:t>C–279 del 27 de marzo de 2025, C-1080 del 16 de septiembre de 2025 y C-1449 del 19 de noviembre de 2025</w:t>
      </w:r>
      <w:r w:rsidRPr="00753106">
        <w:rPr>
          <w:rStyle w:val="normaltextrun"/>
          <w:rFonts w:ascii="Verdana" w:hAnsi="Verdana" w:cs="Arial"/>
          <w:shd w:val="clear" w:color="auto" w:fill="FFFFFF"/>
          <w:lang w:val="es-ES"/>
        </w:rPr>
        <w:t xml:space="preserve"> que la inclusión en la Lista Clinton o los controles del SARLAFT no derivan inhabilidades o incompatibilidades, y que estás no pueden camuflarse como causales de rechazo en los pliegos de condiciones o documentos equivalentes. Asimismo, </w:t>
      </w:r>
      <w:r w:rsidRPr="00753106">
        <w:rPr>
          <w:rFonts w:ascii="Verdana" w:hAnsi="Verdana" w:cs="Arial"/>
          <w:shd w:val="clear" w:color="auto" w:fill="FFFFFF"/>
          <w:lang w:val="es-ES"/>
        </w:rPr>
        <w:t>se ha pronunciado sobre las causales de rechazo y la terminación unilateral frente al riesgo de lavado de activos en los conceptos C-419 del 27 de octubre de 2023 y C-494 del 12 de noviembre de 2024</w:t>
      </w:r>
      <w:r w:rsidRPr="00753106">
        <w:rPr>
          <w:rStyle w:val="normaltextrun"/>
          <w:rFonts w:ascii="Verdana" w:hAnsi="Verdana" w:cs="Arial"/>
          <w:shd w:val="clear" w:color="auto" w:fill="FFFFFF"/>
          <w:lang w:val="es-ES"/>
        </w:rPr>
        <w:t>.</w:t>
      </w:r>
    </w:p>
    <w:p w14:paraId="50721083" w14:textId="77777777" w:rsidR="00E34DF0" w:rsidRPr="00753106" w:rsidRDefault="00E34DF0" w:rsidP="00E34DF0">
      <w:pPr>
        <w:spacing w:after="120" w:line="276" w:lineRule="auto"/>
        <w:ind w:firstLine="709"/>
        <w:jc w:val="both"/>
        <w:rPr>
          <w:rFonts w:ascii="Verdana" w:eastAsia="Calibri" w:hAnsi="Verdana" w:cs="Arial"/>
          <w:lang w:val="es-ES"/>
        </w:rPr>
      </w:pPr>
      <w:r w:rsidRPr="00753106">
        <w:rPr>
          <w:rStyle w:val="normaltextrun"/>
          <w:rFonts w:ascii="Verdana" w:hAnsi="Verdana" w:cs="Arial"/>
          <w:shd w:val="clear" w:color="auto" w:fill="FFFFFF"/>
          <w:lang w:val="es-ES"/>
        </w:rPr>
        <w:t xml:space="preserve">Esta Agencia no ha emitido circulares, guías o manuales específicos que determinen lineamientos sobre la consulta de listas restrictivas en el marco de procedimientos de </w:t>
      </w:r>
      <w:proofErr w:type="spellStart"/>
      <w:r w:rsidRPr="00753106">
        <w:rPr>
          <w:rStyle w:val="normaltextrun"/>
          <w:rFonts w:ascii="Verdana" w:hAnsi="Verdana" w:cs="Arial"/>
          <w:shd w:val="clear" w:color="auto" w:fill="FFFFFF"/>
          <w:lang w:val="es-ES"/>
        </w:rPr>
        <w:t>compliance</w:t>
      </w:r>
      <w:proofErr w:type="spellEnd"/>
      <w:r w:rsidRPr="00753106">
        <w:rPr>
          <w:rStyle w:val="normaltextrun"/>
          <w:rFonts w:ascii="Verdana" w:hAnsi="Verdana" w:cs="Arial"/>
          <w:shd w:val="clear" w:color="auto" w:fill="FFFFFF"/>
          <w:lang w:val="es-ES"/>
        </w:rPr>
        <w:t xml:space="preserve"> o debida diligencia en materia de contratación estatal. Si embargo, de los conceptos emitidos por la entidad, se resalta que </w:t>
      </w:r>
      <w:r w:rsidRPr="00753106">
        <w:rPr>
          <w:rFonts w:ascii="Verdana" w:hAnsi="Verdana" w:cs="Arial"/>
          <w:shd w:val="clear" w:color="auto" w:fill="FFFFFF"/>
          <w:lang w:val="es-ES"/>
        </w:rPr>
        <w:t xml:space="preserve">la consulta de dichas listas constituye una buena práctica de gestión del riesgo, frente a lo cual las entidades pueden adoptar las acciones fijadas por el Consejo </w:t>
      </w:r>
      <w:r w:rsidRPr="00753106">
        <w:rPr>
          <w:rFonts w:ascii="Verdana" w:hAnsi="Verdana" w:cs="Arial"/>
          <w:shd w:val="clear" w:color="auto" w:fill="FFFFFF"/>
          <w:lang w:val="es-ES"/>
        </w:rPr>
        <w:lastRenderedPageBreak/>
        <w:t xml:space="preserve">de Estado que fueron antes referidas, sin que ello implique la facultad de incorporar </w:t>
      </w:r>
      <w:r w:rsidRPr="00753106">
        <w:rPr>
          <w:rFonts w:ascii="Verdana" w:eastAsia="Calibri" w:hAnsi="Verdana" w:cs="Arial"/>
          <w:lang w:val="es-ES"/>
        </w:rPr>
        <w:t xml:space="preserve">causales de rechazo con tintes habilitantes o la posibilidad de terminar unilateralmente los contratos. </w:t>
      </w:r>
    </w:p>
    <w:p w14:paraId="42F0625B" w14:textId="77777777" w:rsidR="00E34DF0" w:rsidRPr="00753106" w:rsidRDefault="00E34DF0" w:rsidP="00E34DF0">
      <w:pPr>
        <w:spacing w:after="120" w:line="276" w:lineRule="auto"/>
        <w:ind w:firstLine="709"/>
        <w:jc w:val="both"/>
        <w:rPr>
          <w:rFonts w:ascii="Verdana" w:eastAsia="Calibri" w:hAnsi="Verdana" w:cs="Arial"/>
          <w:lang w:val="es-ES"/>
        </w:rPr>
      </w:pPr>
      <w:r w:rsidRPr="00753106">
        <w:rPr>
          <w:rFonts w:ascii="Verdana" w:eastAsia="Calibri" w:hAnsi="Verdana" w:cs="Arial"/>
          <w:bCs/>
          <w:color w:val="000000" w:themeColor="text1"/>
          <w:lang w:val="es-ES"/>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en adoptar la decisión correspondiente y, en caso de conflicto, a las autoridades judiciales, fiscales y disciplinarias.</w:t>
      </w:r>
    </w:p>
    <w:p w14:paraId="1AFA2510" w14:textId="77777777" w:rsidR="00E34DF0" w:rsidRPr="00753106" w:rsidRDefault="00E34DF0" w:rsidP="00E34DF0">
      <w:pPr>
        <w:spacing w:after="0" w:line="276" w:lineRule="auto"/>
        <w:ind w:firstLine="708"/>
        <w:jc w:val="both"/>
        <w:rPr>
          <w:rFonts w:ascii="Verdana" w:eastAsia="Calibri" w:hAnsi="Verdana" w:cs="Arial"/>
          <w:bCs/>
          <w:color w:val="000000" w:themeColor="text1"/>
          <w:lang w:val="es-ES"/>
        </w:rPr>
      </w:pPr>
      <w:r w:rsidRPr="00753106">
        <w:rPr>
          <w:rFonts w:ascii="Verdana" w:eastAsia="Calibri" w:hAnsi="Verdana" w:cs="Arial"/>
          <w:bCs/>
          <w:color w:val="000000" w:themeColor="text1"/>
          <w:lang w:val="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096C8ECA" w14:textId="77777777" w:rsidR="00E34DF0" w:rsidRPr="00753106" w:rsidRDefault="00E34DF0" w:rsidP="00E34DF0">
      <w:pPr>
        <w:spacing w:after="0" w:line="276" w:lineRule="auto"/>
        <w:ind w:firstLine="708"/>
        <w:jc w:val="both"/>
        <w:rPr>
          <w:rFonts w:ascii="Verdana" w:hAnsi="Verdana" w:cs="Arial"/>
          <w:lang w:val="es-ES"/>
        </w:rPr>
      </w:pPr>
    </w:p>
    <w:p w14:paraId="24AE82CC" w14:textId="77777777" w:rsidR="00E34DF0" w:rsidRPr="00753106" w:rsidRDefault="00E34DF0" w:rsidP="00E34DF0">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753106">
        <w:rPr>
          <w:rFonts w:ascii="Verdana" w:eastAsia="Century Gothic" w:hAnsi="Verdana" w:cs="Century Gothic"/>
          <w:b/>
          <w:bCs/>
          <w:color w:val="000000" w:themeColor="text1"/>
        </w:rPr>
        <w:t>Referencias normativas, jurisprudenciales y otras fuentes:</w:t>
      </w:r>
    </w:p>
    <w:p w14:paraId="55DC946A" w14:textId="77777777" w:rsidR="00E34DF0" w:rsidRPr="00753106" w:rsidRDefault="00E34DF0" w:rsidP="00E34DF0">
      <w:pPr>
        <w:pStyle w:val="Prrafodelista"/>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E34DF0" w:rsidRPr="00753106" w14:paraId="73651D8E" w14:textId="77777777" w:rsidTr="00B275C9">
        <w:trPr>
          <w:trHeight w:val="870"/>
        </w:trPr>
        <w:tc>
          <w:tcPr>
            <w:tcW w:w="8647" w:type="dxa"/>
          </w:tcPr>
          <w:p w14:paraId="0A368B37" w14:textId="77777777" w:rsidR="00E34DF0" w:rsidRPr="00753106" w:rsidRDefault="00E34DF0" w:rsidP="00B275C9">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Ley 80 de 1993, artículos 8, 13, 17, 44 y 45.</w:t>
            </w:r>
          </w:p>
          <w:p w14:paraId="69877540" w14:textId="77777777" w:rsidR="00E34DF0" w:rsidRPr="00753106" w:rsidRDefault="00E34DF0" w:rsidP="00B275C9">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Decreto Ley 663 de 1993, Estatuto Orgánico del Sistema Financiero, artículos 102 y subsiguientes.</w:t>
            </w:r>
          </w:p>
          <w:p w14:paraId="0CAA01E7" w14:textId="77777777" w:rsidR="00E34DF0" w:rsidRPr="00753106" w:rsidRDefault="00E34DF0" w:rsidP="00B275C9">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Ley 964 de 2005, artículo 22.</w:t>
            </w:r>
          </w:p>
          <w:p w14:paraId="7117B2BD" w14:textId="77777777" w:rsidR="00E34DF0" w:rsidRPr="00753106" w:rsidRDefault="00E34DF0" w:rsidP="00B275C9">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Ley 526 de 1999, modificada por las Leyes 1121 de 2006, 1621 de 2012 y 1762 de 2015.</w:t>
            </w:r>
          </w:p>
          <w:p w14:paraId="3530E2DD" w14:textId="77777777" w:rsidR="00E34DF0" w:rsidRPr="00753106" w:rsidRDefault="00E34DF0" w:rsidP="00B275C9">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753106">
              <w:rPr>
                <w:rFonts w:ascii="Verdana" w:eastAsia="Calibri" w:hAnsi="Verdana" w:cs="Arial"/>
                <w:color w:val="000000" w:themeColor="text1"/>
                <w:lang w:val="es-ES"/>
              </w:rPr>
              <w:t xml:space="preserve">Decreto 1497 de 2002, actualmente compilado en el Decreto Único Reglamentario 1068 de 2015 del sector Hacienda y Crédito Público, </w:t>
            </w:r>
            <w:r w:rsidRPr="00753106">
              <w:rPr>
                <w:rFonts w:ascii="Verdana" w:eastAsia="Calibri" w:hAnsi="Verdana" w:cs="Arial"/>
                <w:color w:val="000000" w:themeColor="text1"/>
                <w:lang w:val="es-ES"/>
              </w:rPr>
              <w:lastRenderedPageBreak/>
              <w:t>artículo 2.</w:t>
            </w:r>
          </w:p>
          <w:p w14:paraId="2F7C08D6" w14:textId="77777777" w:rsidR="00E34DF0" w:rsidRPr="00DF1534" w:rsidRDefault="00E34DF0" w:rsidP="00B275C9">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753106">
              <w:rPr>
                <w:rFonts w:ascii="Verdana" w:hAnsi="Verdana"/>
                <w:lang w:val="es-ES"/>
              </w:rPr>
              <w:t xml:space="preserve">Superintendencia Financiera, </w:t>
            </w:r>
            <w:r w:rsidRPr="00753106">
              <w:rPr>
                <w:rFonts w:ascii="Verdana" w:hAnsi="Verdana" w:cs="Arial"/>
                <w:lang w:val="es-ES" w:eastAsia="es-CO"/>
              </w:rPr>
              <w:t>Capítulo IV, Titulo IV, Parte I de la Circular Básica Jurídica, Instrucciones relativas a la Administración del Riesgo de Lavado de Activos y de la Financiación del Terrorismo.</w:t>
            </w:r>
          </w:p>
          <w:p w14:paraId="446BB755" w14:textId="77777777" w:rsidR="00E34DF0" w:rsidRPr="00753106" w:rsidRDefault="00E34DF0" w:rsidP="00B275C9">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Pr>
                <w:rFonts w:ascii="Verdana" w:hAnsi="Verdana"/>
                <w:lang w:val="es-ES"/>
              </w:rPr>
              <w:t xml:space="preserve">Resolución 2328 de 2025, </w:t>
            </w:r>
            <w:r w:rsidRPr="006844A2">
              <w:rPr>
                <w:rFonts w:ascii="Verdana" w:hAnsi="Verdana"/>
                <w:lang w:val="es-ES"/>
              </w:rPr>
              <w:t>p</w:t>
            </w:r>
            <w:proofErr w:type="spellStart"/>
            <w:r w:rsidRPr="006844A2">
              <w:rPr>
                <w:rFonts w:ascii="Verdana" w:hAnsi="Verdana"/>
              </w:rPr>
              <w:t>or</w:t>
            </w:r>
            <w:proofErr w:type="spellEnd"/>
            <w:r w:rsidRPr="006844A2">
              <w:rPr>
                <w:rFonts w:ascii="Verdana" w:hAnsi="Verdana"/>
              </w:rPr>
              <w:t xml:space="preserve"> la cual se modifica el capítulo 6 del Título V de la Circular Única de Infraestructura y Transporte.</w:t>
            </w:r>
          </w:p>
        </w:tc>
      </w:tr>
    </w:tbl>
    <w:p w14:paraId="092BBD16" w14:textId="77777777" w:rsidR="00E34DF0" w:rsidRPr="00753106" w:rsidRDefault="00E34DF0" w:rsidP="00E34DF0">
      <w:pPr>
        <w:widowControl w:val="0"/>
        <w:autoSpaceDE w:val="0"/>
        <w:autoSpaceDN w:val="0"/>
        <w:spacing w:after="0" w:line="276" w:lineRule="auto"/>
        <w:jc w:val="both"/>
        <w:rPr>
          <w:rFonts w:ascii="Verdana" w:hAnsi="Verdana" w:cs="Arial"/>
          <w:color w:val="000000" w:themeColor="text1"/>
          <w:lang w:val="es-ES"/>
        </w:rPr>
      </w:pPr>
    </w:p>
    <w:p w14:paraId="6E01A911" w14:textId="77777777" w:rsidR="00E34DF0" w:rsidRPr="00753106" w:rsidRDefault="00E34DF0" w:rsidP="00E34DF0">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753106">
        <w:rPr>
          <w:rFonts w:ascii="Verdana" w:eastAsia="Century Gothic" w:hAnsi="Verdana" w:cs="Century Gothic"/>
          <w:b/>
          <w:bCs/>
          <w:color w:val="000000" w:themeColor="text1"/>
        </w:rPr>
        <w:t>Doctrina de la Agencia Nacional de Contratación Pública:</w:t>
      </w:r>
    </w:p>
    <w:p w14:paraId="50BFD43B" w14:textId="77777777" w:rsidR="00E34DF0" w:rsidRPr="00753106" w:rsidRDefault="00E34DF0" w:rsidP="00E34DF0">
      <w:pPr>
        <w:widowControl w:val="0"/>
        <w:autoSpaceDE w:val="0"/>
        <w:autoSpaceDN w:val="0"/>
        <w:spacing w:after="0" w:line="276" w:lineRule="auto"/>
        <w:jc w:val="both"/>
        <w:rPr>
          <w:rFonts w:ascii="Verdana" w:hAnsi="Verdana" w:cs="Arial"/>
          <w:color w:val="000000" w:themeColor="text1"/>
          <w:lang w:val="es-ES"/>
        </w:rPr>
      </w:pPr>
    </w:p>
    <w:p w14:paraId="6A3DBA5E" w14:textId="77777777" w:rsidR="00E34DF0" w:rsidRPr="00530A1F" w:rsidRDefault="00E34DF0" w:rsidP="00E34DF0">
      <w:pPr>
        <w:widowControl w:val="0"/>
        <w:autoSpaceDE w:val="0"/>
        <w:autoSpaceDN w:val="0"/>
        <w:spacing w:after="0" w:line="276" w:lineRule="auto"/>
        <w:jc w:val="both"/>
        <w:rPr>
          <w:rFonts w:ascii="Verdana" w:hAnsi="Verdana" w:cs="Arial"/>
          <w:bCs/>
          <w:shd w:val="clear" w:color="auto" w:fill="FFFFFF"/>
        </w:rPr>
      </w:pPr>
      <w:r w:rsidRPr="00753106">
        <w:rPr>
          <w:rStyle w:val="normaltextrun"/>
          <w:rFonts w:ascii="Verdana" w:hAnsi="Verdana" w:cs="Arial"/>
          <w:color w:val="000000" w:themeColor="text1"/>
          <w:shd w:val="clear" w:color="auto" w:fill="FFFFFF"/>
          <w:lang w:val="es-ES"/>
        </w:rPr>
        <w:t>La Agencia Nacional de Contratación Pública – Colombia Compra Eficiente señaló e</w:t>
      </w:r>
      <w:r w:rsidRPr="00753106">
        <w:rPr>
          <w:rStyle w:val="normaltextrun"/>
          <w:rFonts w:ascii="Verdana" w:hAnsi="Verdana" w:cs="Arial"/>
          <w:shd w:val="clear" w:color="auto" w:fill="FFFFFF"/>
          <w:lang w:val="es-ES"/>
        </w:rPr>
        <w:t xml:space="preserve">n los Conceptos 415140001639 del 17 de junio de 2019, C-001 del 15 de enero de 2020, C-230 del 16 de abril de 2020, C-684 del 24 de noviembre de 2020, C-958 del 13 de febrero de 2023, </w:t>
      </w:r>
      <w:r w:rsidRPr="00753106">
        <w:rPr>
          <w:rFonts w:ascii="Verdana" w:eastAsia="Calibri" w:hAnsi="Verdana" w:cs="Arial"/>
          <w:lang w:val="es-ES" w:eastAsia="es-ES"/>
        </w:rPr>
        <w:t xml:space="preserve">C–279 del 27 de marzo de 2025, </w:t>
      </w:r>
      <w:r w:rsidRPr="00753106">
        <w:rPr>
          <w:rFonts w:ascii="Verdana" w:eastAsia="Calibri" w:hAnsi="Verdana" w:cs="Arial"/>
          <w:color w:val="000000" w:themeColor="text1"/>
          <w:lang w:val="es-ES" w:eastAsia="es-ES"/>
        </w:rPr>
        <w:t xml:space="preserve">C-1449 del 19 de noviembre de </w:t>
      </w:r>
      <w:r w:rsidRPr="00753106">
        <w:rPr>
          <w:rStyle w:val="normaltextrun"/>
          <w:rFonts w:ascii="Verdana" w:hAnsi="Verdana"/>
          <w:shd w:val="clear" w:color="auto" w:fill="FFFFFF"/>
          <w:lang w:val="es-ES"/>
        </w:rPr>
        <w:t>2025, C-718 del 29 de mayo de 2026</w:t>
      </w:r>
      <w:r>
        <w:rPr>
          <w:rStyle w:val="normaltextrun"/>
          <w:rFonts w:ascii="Verdana" w:hAnsi="Verdana"/>
          <w:shd w:val="clear" w:color="auto" w:fill="FFFFFF"/>
          <w:lang w:val="es-ES"/>
        </w:rPr>
        <w:t>, 766 del 22 de junio de 2026,</w:t>
      </w:r>
      <w:r>
        <w:rPr>
          <w:rStyle w:val="normaltextrun"/>
          <w:rFonts w:ascii="Verdana" w:hAnsi="Verdana" w:cs="Arial"/>
          <w:shd w:val="clear" w:color="auto" w:fill="FFFFFF"/>
          <w:lang w:val="es-ES"/>
        </w:rPr>
        <w:t xml:space="preserve"> entre otros</w:t>
      </w:r>
      <w:r w:rsidRPr="00753106">
        <w:rPr>
          <w:rStyle w:val="normaltextrun"/>
          <w:rFonts w:ascii="Verdana" w:hAnsi="Verdana" w:cs="Arial"/>
          <w:shd w:val="clear" w:color="auto" w:fill="FFFFFF"/>
          <w:lang w:val="es-ES"/>
        </w:rPr>
        <w:t xml:space="preserve">. Asimismo, </w:t>
      </w:r>
      <w:r w:rsidRPr="00753106">
        <w:rPr>
          <w:rFonts w:ascii="Verdana" w:hAnsi="Verdana" w:cs="Arial"/>
          <w:shd w:val="clear" w:color="auto" w:fill="FFFFFF"/>
          <w:lang w:val="es-ES"/>
        </w:rPr>
        <w:t>se ha pronunciado sobre las causales de rechazo y la terminación unilateral frente al riesgo de lavado de activos en los Conceptos C-419 del 27 de octubre de 2023</w:t>
      </w:r>
      <w:r>
        <w:rPr>
          <w:rFonts w:ascii="Verdana" w:hAnsi="Verdana" w:cs="Arial"/>
          <w:shd w:val="clear" w:color="auto" w:fill="FFFFFF"/>
          <w:lang w:val="es-ES"/>
        </w:rPr>
        <w:t xml:space="preserve">, </w:t>
      </w:r>
      <w:r w:rsidRPr="00753106">
        <w:rPr>
          <w:rFonts w:ascii="Verdana" w:hAnsi="Verdana" w:cs="Arial"/>
          <w:shd w:val="clear" w:color="auto" w:fill="FFFFFF"/>
          <w:lang w:val="es-ES"/>
        </w:rPr>
        <w:t>C-494 del 12 de noviembre de 2024</w:t>
      </w:r>
      <w:r>
        <w:rPr>
          <w:rFonts w:ascii="Verdana" w:hAnsi="Verdana" w:cs="Arial"/>
          <w:shd w:val="clear" w:color="auto" w:fill="FFFFFF"/>
          <w:lang w:val="es-ES"/>
        </w:rPr>
        <w:t>, 707 del 9 de junio y 766 del 22 de junio de 2026</w:t>
      </w:r>
      <w:r w:rsidRPr="00753106">
        <w:rPr>
          <w:rStyle w:val="normaltextrun"/>
          <w:rFonts w:ascii="Verdana" w:hAnsi="Verdana" w:cs="Arial"/>
          <w:shd w:val="clear" w:color="auto" w:fill="FFFFFF"/>
          <w:lang w:val="es-ES"/>
        </w:rPr>
        <w:t xml:space="preserve">. </w:t>
      </w:r>
      <w:r w:rsidRPr="005842C6">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5D23874E" w14:textId="77777777" w:rsidR="00E34DF0" w:rsidRPr="00185EE9" w:rsidRDefault="00E34DF0" w:rsidP="00E34DF0">
      <w:pPr>
        <w:spacing w:after="0" w:line="256" w:lineRule="auto"/>
        <w:jc w:val="both"/>
        <w:rPr>
          <w:rFonts w:ascii="Verdana" w:eastAsia="Calibri" w:hAnsi="Verdana" w:cs="Times New Roman"/>
        </w:rPr>
      </w:pPr>
      <w:hyperlink r:id="rId13" w:history="1">
        <w:r w:rsidRPr="00F14AAD">
          <w:rPr>
            <w:rStyle w:val="Hipervnculo"/>
            <w:rFonts w:ascii="Verdana" w:eastAsia="Calibri" w:hAnsi="Verdana" w:cs="Times New Roman"/>
            <w:lang w:val="es-ES"/>
          </w:rPr>
          <w:t>https://relatoria.colombiacompra.gov.co/busqueda/conceptos</w:t>
        </w:r>
      </w:hyperlink>
      <w:r w:rsidRPr="00185EE9">
        <w:rPr>
          <w:rFonts w:ascii="Verdana" w:eastAsia="Calibri" w:hAnsi="Verdana" w:cs="Times New Roman"/>
        </w:rPr>
        <w:t xml:space="preserve">. </w:t>
      </w:r>
    </w:p>
    <w:p w14:paraId="370AAF67" w14:textId="77777777" w:rsidR="00E34DF0" w:rsidRPr="00096788" w:rsidRDefault="00E34DF0" w:rsidP="00E34DF0">
      <w:pPr>
        <w:widowControl w:val="0"/>
        <w:autoSpaceDE w:val="0"/>
        <w:autoSpaceDN w:val="0"/>
        <w:spacing w:after="0" w:line="276" w:lineRule="auto"/>
        <w:jc w:val="both"/>
        <w:rPr>
          <w:rFonts w:ascii="Verdana" w:hAnsi="Verdana" w:cs="Arial"/>
          <w:color w:val="000000" w:themeColor="text1"/>
          <w:shd w:val="clear" w:color="auto" w:fill="FFFFFF"/>
        </w:rPr>
      </w:pPr>
    </w:p>
    <w:p w14:paraId="2FF7C3C2" w14:textId="77777777" w:rsidR="00E34DF0" w:rsidRDefault="00E34DF0" w:rsidP="00E34DF0">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4" w:tgtFrame="_new" w:history="1">
        <w:r w:rsidRPr="009A385A">
          <w:rPr>
            <w:rStyle w:val="Hipervnculo"/>
            <w:rFonts w:ascii="Verdana" w:hAnsi="Verdana"/>
          </w:rPr>
          <w:t>https://formacionvirtual.colombiacompra.gov.co/mod/page/view.php?id=3718</w:t>
        </w:r>
      </w:hyperlink>
    </w:p>
    <w:p w14:paraId="4F1DABF0" w14:textId="77777777" w:rsidR="00E34DF0" w:rsidRPr="009A385A" w:rsidRDefault="00E34DF0" w:rsidP="00E34DF0">
      <w:pPr>
        <w:spacing w:after="0"/>
        <w:jc w:val="both"/>
        <w:rPr>
          <w:rFonts w:ascii="Verdana" w:hAnsi="Verdana"/>
        </w:rPr>
      </w:pPr>
    </w:p>
    <w:p w14:paraId="4059F473" w14:textId="77777777" w:rsidR="00E34DF0" w:rsidRDefault="00E34DF0" w:rsidP="00E34DF0">
      <w:pPr>
        <w:spacing w:after="0"/>
        <w:jc w:val="both"/>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 xml:space="preserve">mediante las cuales </w:t>
      </w:r>
      <w:r w:rsidRPr="009A385A">
        <w:rPr>
          <w:rFonts w:ascii="Verdana" w:hAnsi="Verdana"/>
          <w:b/>
          <w:bCs/>
        </w:rPr>
        <w:lastRenderedPageBreak/>
        <w:t>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5" w:tgtFrame="_new" w:history="1">
        <w:r w:rsidRPr="00635F16">
          <w:rPr>
            <w:rStyle w:val="Hipervnculo"/>
            <w:rFonts w:ascii="Verdana" w:hAnsi="Verdana"/>
          </w:rPr>
          <w:t>https://www.colombiacompra.gov.co/normativa-y-relatoria/documentos-tipo</w:t>
        </w:r>
      </w:hyperlink>
    </w:p>
    <w:p w14:paraId="5603A695" w14:textId="77777777" w:rsidR="00E34DF0" w:rsidRDefault="00E34DF0" w:rsidP="00E34DF0">
      <w:pPr>
        <w:spacing w:after="0"/>
        <w:jc w:val="both"/>
        <w:rPr>
          <w:rFonts w:ascii="Verdana" w:hAnsi="Verdana"/>
        </w:rPr>
      </w:pPr>
    </w:p>
    <w:p w14:paraId="651A94EB" w14:textId="77777777" w:rsidR="00E34DF0" w:rsidRPr="008E1CD7" w:rsidRDefault="00E34DF0" w:rsidP="00E34DF0">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6"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47CFDFB3" w14:textId="77777777" w:rsidR="00E34DF0" w:rsidRDefault="00E34DF0" w:rsidP="00E34DF0">
      <w:pPr>
        <w:shd w:val="clear" w:color="auto" w:fill="FFFFFF"/>
        <w:spacing w:after="0" w:line="276" w:lineRule="auto"/>
        <w:jc w:val="both"/>
        <w:rPr>
          <w:rFonts w:ascii="Verdana" w:hAnsi="Verdana"/>
          <w:color w:val="000000"/>
          <w:u w:val="single"/>
        </w:rPr>
      </w:pPr>
    </w:p>
    <w:p w14:paraId="0CC5B830" w14:textId="77777777" w:rsidR="00E34DF0" w:rsidRPr="00116940" w:rsidRDefault="00E34DF0" w:rsidP="00E34DF0">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1837BAF8" w14:textId="77777777" w:rsidR="00E34DF0" w:rsidRPr="00116940" w:rsidRDefault="00E34DF0" w:rsidP="00E34DF0">
      <w:pPr>
        <w:spacing w:after="0"/>
        <w:jc w:val="both"/>
        <w:rPr>
          <w:rFonts w:ascii="Verdana" w:hAnsi="Verdana"/>
        </w:rPr>
      </w:pPr>
    </w:p>
    <w:p w14:paraId="2D0C720B" w14:textId="77777777" w:rsidR="00E34DF0" w:rsidRPr="00116940" w:rsidRDefault="00E34DF0" w:rsidP="00E34DF0">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517FE171" w14:textId="77777777" w:rsidR="00E34DF0" w:rsidRPr="00116940" w:rsidRDefault="00E34DF0" w:rsidP="00E34DF0">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31F896E6" w14:textId="77777777" w:rsidR="00E34DF0" w:rsidRPr="00116940" w:rsidRDefault="00E34DF0" w:rsidP="00E34DF0">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7">
        <w:r w:rsidRPr="00116940">
          <w:rPr>
            <w:rStyle w:val="Hipervnculo"/>
            <w:rFonts w:ascii="Verdana" w:eastAsia="Verdana" w:hAnsi="Verdana" w:cs="Verdana"/>
            <w:lang w:val="es-MX"/>
          </w:rPr>
          <w:t>ventanilladeradicacion@colombiacompra.gov.co</w:t>
        </w:r>
      </w:hyperlink>
    </w:p>
    <w:p w14:paraId="28C1D025" w14:textId="77777777" w:rsidR="00E34DF0" w:rsidRPr="00116940" w:rsidRDefault="00E34DF0" w:rsidP="00E34DF0">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8">
        <w:r w:rsidRPr="00116940">
          <w:rPr>
            <w:rStyle w:val="Hipervnculo"/>
            <w:rFonts w:ascii="Verdana" w:eastAsia="Verdana" w:hAnsi="Verdana" w:cs="Verdana"/>
            <w:lang w:val="es-MX"/>
          </w:rPr>
          <w:t>https://www.colombiacompra.gov.co/pqrsd/informacion-importante-antes-de-formular-una-pqrsd</w:t>
        </w:r>
      </w:hyperlink>
    </w:p>
    <w:p w14:paraId="2E5AE612" w14:textId="77777777" w:rsidR="00E34DF0" w:rsidRPr="00116940" w:rsidRDefault="00E34DF0" w:rsidP="00E34DF0">
      <w:pPr>
        <w:spacing w:after="0" w:line="240" w:lineRule="auto"/>
        <w:ind w:left="720"/>
        <w:jc w:val="both"/>
        <w:rPr>
          <w:rFonts w:ascii="Verdana" w:hAnsi="Verdana"/>
        </w:rPr>
      </w:pPr>
    </w:p>
    <w:p w14:paraId="70391714" w14:textId="77777777" w:rsidR="00E34DF0" w:rsidRPr="00116940" w:rsidRDefault="00E34DF0" w:rsidP="00E34DF0">
      <w:pPr>
        <w:spacing w:after="0" w:line="240" w:lineRule="auto"/>
        <w:rPr>
          <w:rFonts w:ascii="Verdana" w:hAnsi="Verdana"/>
        </w:rPr>
      </w:pPr>
      <w:r w:rsidRPr="00116940">
        <w:rPr>
          <w:rFonts w:ascii="Verdana" w:hAnsi="Verdana"/>
        </w:rPr>
        <w:lastRenderedPageBreak/>
        <w:t xml:space="preserve">Evalúa el servicio que ofrece la Agencia por el canal de atención de PQRSD en el siguiente </w:t>
      </w:r>
      <w:proofErr w:type="gramStart"/>
      <w:r w:rsidRPr="00116940">
        <w:rPr>
          <w:rFonts w:ascii="Verdana" w:hAnsi="Verdana"/>
        </w:rPr>
        <w:t>enlace :</w:t>
      </w:r>
      <w:proofErr w:type="gramEnd"/>
      <w:hyperlink r:id="rId19"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59375299" w14:textId="77777777" w:rsidR="00E34DF0" w:rsidRPr="00116940" w:rsidRDefault="00E34DF0" w:rsidP="00E34DF0">
      <w:pPr>
        <w:spacing w:after="0" w:line="240" w:lineRule="auto"/>
        <w:rPr>
          <w:rFonts w:ascii="Verdana" w:hAnsi="Verdana"/>
        </w:rPr>
      </w:pPr>
    </w:p>
    <w:p w14:paraId="3A68ACFF" w14:textId="77777777" w:rsidR="00E34DF0" w:rsidRPr="00116940" w:rsidRDefault="00E34DF0" w:rsidP="00E34DF0">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5CC17E50" w14:textId="77777777" w:rsidR="00E34DF0" w:rsidRPr="00116940" w:rsidRDefault="00E34DF0" w:rsidP="00E34DF0">
      <w:pPr>
        <w:spacing w:after="0" w:line="240" w:lineRule="auto"/>
        <w:jc w:val="both"/>
        <w:rPr>
          <w:rFonts w:ascii="Verdana" w:hAnsi="Verdana"/>
        </w:rPr>
      </w:pPr>
    </w:p>
    <w:p w14:paraId="0617AE70" w14:textId="77777777" w:rsidR="00E34DF0" w:rsidRPr="00116940" w:rsidRDefault="00E34DF0" w:rsidP="00E34DF0">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558BBD54" w14:textId="77777777" w:rsidR="00E34DF0" w:rsidRPr="00116940" w:rsidRDefault="00E34DF0" w:rsidP="00E34DF0">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6CEB13A8" w14:textId="77777777" w:rsidR="00E34DF0" w:rsidRPr="00116940" w:rsidRDefault="00E34DF0" w:rsidP="00E34DF0">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115E1390" w14:textId="77777777" w:rsidR="00E34DF0" w:rsidRPr="009C4035" w:rsidRDefault="00E34DF0" w:rsidP="00E34DF0">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612134C8" w14:textId="77777777" w:rsidR="00E34DF0" w:rsidRPr="00593A5F" w:rsidRDefault="00E34DF0" w:rsidP="00E34DF0">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51F2C2B5" w14:textId="77777777" w:rsidR="00E34DF0" w:rsidRPr="00B57A1B" w:rsidRDefault="00E34DF0" w:rsidP="00E34DF0">
      <w:pPr>
        <w:spacing w:after="0" w:line="256" w:lineRule="auto"/>
        <w:jc w:val="both"/>
        <w:rPr>
          <w:rFonts w:ascii="Verdana" w:eastAsia="Calibri" w:hAnsi="Verdana" w:cs="Times New Roman"/>
        </w:rPr>
      </w:pPr>
    </w:p>
    <w:p w14:paraId="692482BA" w14:textId="77777777" w:rsidR="00E34DF0" w:rsidRDefault="00E34DF0" w:rsidP="00E34DF0">
      <w:pPr>
        <w:spacing w:after="0" w:line="256" w:lineRule="auto"/>
        <w:jc w:val="both"/>
        <w:rPr>
          <w:rFonts w:ascii="Verdana" w:eastAsia="Calibri" w:hAnsi="Verdana" w:cs="Times New Roman"/>
        </w:rPr>
      </w:pPr>
      <w:r w:rsidRPr="00B57A1B">
        <w:rPr>
          <w:rFonts w:ascii="Verdana" w:eastAsia="Calibri" w:hAnsi="Verdana" w:cs="Times New Roman"/>
        </w:rPr>
        <w:t>Atentamente,</w:t>
      </w:r>
    </w:p>
    <w:p w14:paraId="38B805C4" w14:textId="77777777" w:rsidR="00E34DF0" w:rsidRPr="00B57A1B" w:rsidRDefault="00E34DF0" w:rsidP="00E34DF0">
      <w:pPr>
        <w:spacing w:after="0" w:line="256" w:lineRule="auto"/>
        <w:jc w:val="both"/>
        <w:rPr>
          <w:rFonts w:ascii="Verdana" w:eastAsia="Calibri" w:hAnsi="Verdana" w:cs="Times New Roman"/>
        </w:rPr>
      </w:pPr>
    </w:p>
    <w:p w14:paraId="06C21523" w14:textId="6A62CCD5" w:rsidR="00E34DF0" w:rsidRDefault="008561F9" w:rsidP="00E34DF0">
      <w:pPr>
        <w:spacing w:after="0" w:line="256" w:lineRule="auto"/>
        <w:jc w:val="center"/>
        <w:rPr>
          <w:noProof/>
          <w:lang w:val="en-US"/>
        </w:rPr>
      </w:pPr>
      <w:r w:rsidRPr="002C3AD6">
        <w:rPr>
          <w:rFonts w:ascii="Century Gothic" w:hAnsi="Century Gothic"/>
          <w:noProof/>
          <w:lang w:val="en-US"/>
        </w:rPr>
        <w:drawing>
          <wp:inline distT="0" distB="0" distL="0" distR="0" wp14:anchorId="6B58F838" wp14:editId="4F376B50">
            <wp:extent cx="3279697" cy="1217463"/>
            <wp:effectExtent l="0" t="0" r="0" b="1905"/>
            <wp:docPr id="4"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0"/>
                    <a:stretch>
                      <a:fillRect/>
                    </a:stretch>
                  </pic:blipFill>
                  <pic:spPr>
                    <a:xfrm>
                      <a:off x="0" y="0"/>
                      <a:ext cx="3312722" cy="1229722"/>
                    </a:xfrm>
                    <a:prstGeom prst="rect">
                      <a:avLst/>
                    </a:prstGeom>
                  </pic:spPr>
                </pic:pic>
              </a:graphicData>
            </a:graphic>
          </wp:inline>
        </w:drawing>
      </w:r>
    </w:p>
    <w:p w14:paraId="5EB18687" w14:textId="77777777" w:rsidR="00E34DF0" w:rsidRPr="008B7171" w:rsidRDefault="00E34DF0" w:rsidP="00E34DF0">
      <w:pPr>
        <w:spacing w:after="0" w:line="256" w:lineRule="auto"/>
        <w:jc w:val="center"/>
        <w:rPr>
          <w:noProof/>
          <w:lang w:val="en-US"/>
        </w:rPr>
      </w:pP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E34DF0" w:rsidRPr="00B57A1B" w14:paraId="17F80358" w14:textId="77777777" w:rsidTr="00B275C9">
        <w:trPr>
          <w:trHeight w:val="409"/>
        </w:trPr>
        <w:tc>
          <w:tcPr>
            <w:tcW w:w="817" w:type="dxa"/>
            <w:tcBorders>
              <w:top w:val="nil"/>
              <w:left w:val="nil"/>
              <w:bottom w:val="nil"/>
              <w:right w:val="nil"/>
            </w:tcBorders>
            <w:vAlign w:val="center"/>
            <w:hideMark/>
          </w:tcPr>
          <w:p w14:paraId="5B82C654" w14:textId="77777777" w:rsidR="00E34DF0" w:rsidRPr="00B57A1B" w:rsidRDefault="00E34DF0" w:rsidP="00B275C9">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42FF63D3" w14:textId="77777777" w:rsidR="00E34DF0" w:rsidRPr="00B57A1B" w:rsidRDefault="00E34DF0" w:rsidP="00B275C9">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José Luis Sánchez Cardona</w:t>
            </w:r>
          </w:p>
          <w:p w14:paraId="5AA5714A" w14:textId="77777777" w:rsidR="00E34DF0" w:rsidRPr="00B57A1B" w:rsidRDefault="00E34DF0" w:rsidP="00B275C9">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Contratista de la Subdirección de Gestión Contractual</w:t>
            </w:r>
          </w:p>
        </w:tc>
      </w:tr>
      <w:tr w:rsidR="00E34DF0" w:rsidRPr="00B57A1B" w14:paraId="559EFA7B" w14:textId="77777777" w:rsidTr="00B275C9">
        <w:trPr>
          <w:trHeight w:val="409"/>
        </w:trPr>
        <w:tc>
          <w:tcPr>
            <w:tcW w:w="817" w:type="dxa"/>
            <w:tcBorders>
              <w:top w:val="nil"/>
              <w:left w:val="nil"/>
              <w:bottom w:val="nil"/>
              <w:right w:val="nil"/>
            </w:tcBorders>
            <w:vAlign w:val="center"/>
            <w:hideMark/>
          </w:tcPr>
          <w:p w14:paraId="20A50A2F" w14:textId="77777777" w:rsidR="00E34DF0" w:rsidRPr="00B57A1B" w:rsidRDefault="00E34DF0" w:rsidP="00B275C9">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76845DED" w14:textId="77777777" w:rsidR="00E34DF0" w:rsidRPr="00B57A1B" w:rsidRDefault="00E34DF0" w:rsidP="00B275C9">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Alejandro Sarmiento Cantillo</w:t>
            </w:r>
          </w:p>
          <w:p w14:paraId="4F14376C" w14:textId="77777777" w:rsidR="00E34DF0" w:rsidRPr="00B57A1B" w:rsidRDefault="00E34DF0" w:rsidP="00B275C9">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Gestor T1-15 de la Subdirección de Gestión Contractual </w:t>
            </w:r>
          </w:p>
        </w:tc>
      </w:tr>
      <w:tr w:rsidR="00E34DF0" w:rsidRPr="00B57A1B" w14:paraId="053E97FB" w14:textId="77777777" w:rsidTr="00B275C9">
        <w:trPr>
          <w:trHeight w:val="389"/>
        </w:trPr>
        <w:tc>
          <w:tcPr>
            <w:tcW w:w="817" w:type="dxa"/>
            <w:tcBorders>
              <w:top w:val="nil"/>
              <w:left w:val="nil"/>
              <w:bottom w:val="nil"/>
              <w:right w:val="nil"/>
            </w:tcBorders>
            <w:vAlign w:val="center"/>
            <w:hideMark/>
          </w:tcPr>
          <w:p w14:paraId="4EFC2F21" w14:textId="77777777" w:rsidR="00E34DF0" w:rsidRPr="00B57A1B" w:rsidRDefault="00E34DF0" w:rsidP="00B275C9">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3BA8D4CA" w14:textId="77777777" w:rsidR="00E34DF0" w:rsidRPr="00B57A1B" w:rsidRDefault="00E34DF0" w:rsidP="00B275C9">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Carolina Quintero Gacharná</w:t>
            </w:r>
          </w:p>
          <w:p w14:paraId="56F80E04" w14:textId="77777777" w:rsidR="00E34DF0" w:rsidRPr="00B57A1B" w:rsidRDefault="00E34DF0" w:rsidP="00B275C9">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Subdirectora de Gestión Contractual ANCP – CCE</w:t>
            </w:r>
          </w:p>
        </w:tc>
      </w:tr>
    </w:tbl>
    <w:p w14:paraId="4D593A92" w14:textId="77777777" w:rsidR="00E34DF0" w:rsidRPr="000E2B93" w:rsidRDefault="00E34DF0" w:rsidP="00E34DF0">
      <w:pPr>
        <w:spacing w:after="0" w:line="240" w:lineRule="auto"/>
        <w:jc w:val="both"/>
        <w:textAlignment w:val="baseline"/>
        <w:rPr>
          <w:rFonts w:ascii="Verdana" w:eastAsia="Verdana" w:hAnsi="Verdana" w:cs="Verdana"/>
          <w:lang w:eastAsia="es-CO"/>
        </w:rPr>
      </w:pPr>
    </w:p>
    <w:p w14:paraId="7328CA54" w14:textId="19263511" w:rsidR="00E34DF0" w:rsidRPr="000E2B93" w:rsidRDefault="00E34DF0" w:rsidP="00E34DF0">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0F293BF4" w14:textId="569BF02A" w:rsidR="00127233" w:rsidRPr="00E34DF0" w:rsidRDefault="00127233" w:rsidP="00E34DF0"/>
    <w:sectPr w:rsidR="00127233" w:rsidRPr="00E34DF0"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ACD00" w14:textId="77777777" w:rsidR="00EB7D52" w:rsidRDefault="00EB7D52" w:rsidP="004A1847">
      <w:pPr>
        <w:spacing w:after="0" w:line="240" w:lineRule="auto"/>
      </w:pPr>
      <w:r>
        <w:separator/>
      </w:r>
    </w:p>
  </w:endnote>
  <w:endnote w:type="continuationSeparator" w:id="0">
    <w:p w14:paraId="02F95361" w14:textId="77777777" w:rsidR="00EB7D52" w:rsidRDefault="00EB7D52" w:rsidP="004A1847">
      <w:pPr>
        <w:spacing w:after="0" w:line="240" w:lineRule="auto"/>
      </w:pPr>
      <w:r>
        <w:continuationSeparator/>
      </w:r>
    </w:p>
  </w:endnote>
  <w:endnote w:type="continuationNotice" w:id="1">
    <w:p w14:paraId="5112D6C7" w14:textId="77777777" w:rsidR="00EB7D52" w:rsidRDefault="00EB7D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orbel"/>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F4CAD" w14:textId="77777777" w:rsidR="00EB7D52" w:rsidRDefault="00EB7D52" w:rsidP="004A1847">
      <w:pPr>
        <w:spacing w:after="0" w:line="240" w:lineRule="auto"/>
      </w:pPr>
      <w:r>
        <w:separator/>
      </w:r>
    </w:p>
  </w:footnote>
  <w:footnote w:type="continuationSeparator" w:id="0">
    <w:p w14:paraId="4025768C" w14:textId="77777777" w:rsidR="00EB7D52" w:rsidRDefault="00EB7D52" w:rsidP="004A1847">
      <w:pPr>
        <w:spacing w:after="0" w:line="240" w:lineRule="auto"/>
      </w:pPr>
      <w:r>
        <w:continuationSeparator/>
      </w:r>
    </w:p>
  </w:footnote>
  <w:footnote w:type="continuationNotice" w:id="1">
    <w:p w14:paraId="0971A5B9" w14:textId="77777777" w:rsidR="00EB7D52" w:rsidRDefault="00EB7D52">
      <w:pPr>
        <w:spacing w:after="0" w:line="240" w:lineRule="auto"/>
      </w:pPr>
    </w:p>
  </w:footnote>
  <w:footnote w:id="2">
    <w:p w14:paraId="23394453" w14:textId="77777777" w:rsidR="00E34DF0" w:rsidRPr="005916FD" w:rsidRDefault="00E34DF0" w:rsidP="00E34DF0">
      <w:pPr>
        <w:pStyle w:val="Textonotapie"/>
        <w:snapToGrid w:val="0"/>
        <w:ind w:firstLine="708"/>
        <w:contextualSpacing/>
        <w:jc w:val="both"/>
        <w:rPr>
          <w:rFonts w:ascii="Verdana" w:hAnsi="Verdana"/>
          <w:sz w:val="15"/>
          <w:szCs w:val="15"/>
          <w:lang w:val="es-ES"/>
        </w:rPr>
      </w:pPr>
      <w:r w:rsidRPr="005916FD">
        <w:rPr>
          <w:rStyle w:val="Refdenotaalpie"/>
          <w:rFonts w:ascii="Verdana" w:hAnsi="Verdana"/>
          <w:sz w:val="15"/>
          <w:szCs w:val="15"/>
        </w:rPr>
        <w:footnoteRef/>
      </w:r>
      <w:r w:rsidRPr="005916FD">
        <w:rPr>
          <w:rFonts w:ascii="Verdana" w:hAnsi="Verdana"/>
          <w:sz w:val="15"/>
          <w:szCs w:val="15"/>
        </w:rPr>
        <w:t xml:space="preserve"> Superintendencia Financiera, </w:t>
      </w:r>
      <w:r w:rsidRPr="005916FD">
        <w:rPr>
          <w:rFonts w:ascii="Verdana" w:hAnsi="Verdana" w:cs="Arial"/>
          <w:sz w:val="15"/>
          <w:szCs w:val="15"/>
          <w:lang w:eastAsia="es-CO"/>
        </w:rPr>
        <w:t>Capítulo IV, Titulo IV, Parte I de la Circular Básica Jurídica, Instrucciones relativas a la Administración del Riesgo de Lavado de Activos y de la Financiación del Terrorismo.</w:t>
      </w:r>
    </w:p>
  </w:footnote>
  <w:footnote w:id="3">
    <w:p w14:paraId="66FEEEEE" w14:textId="77777777" w:rsidR="00E34DF0" w:rsidRPr="005916FD" w:rsidRDefault="00E34DF0" w:rsidP="00E34DF0">
      <w:pPr>
        <w:pStyle w:val="Textonotapie"/>
        <w:snapToGrid w:val="0"/>
        <w:ind w:firstLine="708"/>
        <w:contextualSpacing/>
        <w:jc w:val="both"/>
        <w:rPr>
          <w:rFonts w:ascii="Verdana" w:hAnsi="Verdana" w:cs="Arial"/>
          <w:sz w:val="15"/>
          <w:szCs w:val="15"/>
        </w:rPr>
      </w:pPr>
      <w:r w:rsidRPr="005916FD">
        <w:rPr>
          <w:rStyle w:val="Refdenotaalpie"/>
          <w:rFonts w:ascii="Verdana" w:hAnsi="Verdana" w:cs="Arial"/>
          <w:sz w:val="15"/>
          <w:szCs w:val="15"/>
        </w:rPr>
        <w:footnoteRef/>
      </w:r>
      <w:r w:rsidRPr="005916FD">
        <w:rPr>
          <w:rFonts w:ascii="Verdana" w:hAnsi="Verdana" w:cs="Arial"/>
          <w:sz w:val="15"/>
          <w:szCs w:val="15"/>
        </w:rPr>
        <w:t xml:space="preserve"> CONSEJO DE ESTADO. Sala de Consulta y Servicio Civil. Concepto del 27 de agosto de 2015. Rad. 2.264. C.P. Álvaro Namén Vargas.</w:t>
      </w:r>
    </w:p>
  </w:footnote>
  <w:footnote w:id="4">
    <w:p w14:paraId="5D2104F0" w14:textId="77777777" w:rsidR="00E34DF0" w:rsidRPr="005916FD" w:rsidRDefault="00E34DF0" w:rsidP="00E34DF0">
      <w:pPr>
        <w:pStyle w:val="Textonotapie"/>
        <w:snapToGrid w:val="0"/>
        <w:ind w:firstLine="708"/>
        <w:contextualSpacing/>
        <w:jc w:val="both"/>
        <w:rPr>
          <w:rFonts w:ascii="Verdana" w:hAnsi="Verdana"/>
          <w:sz w:val="15"/>
          <w:szCs w:val="15"/>
          <w:lang w:val="es-CO"/>
        </w:rPr>
      </w:pPr>
      <w:r w:rsidRPr="005916FD">
        <w:rPr>
          <w:rStyle w:val="Refdenotaalpie"/>
          <w:rFonts w:ascii="Verdana" w:hAnsi="Verdana"/>
          <w:sz w:val="15"/>
          <w:szCs w:val="15"/>
        </w:rPr>
        <w:footnoteRef/>
      </w:r>
      <w:r w:rsidRPr="005916FD">
        <w:rPr>
          <w:rFonts w:ascii="Verdana" w:hAnsi="Verdana"/>
          <w:sz w:val="15"/>
          <w:szCs w:val="15"/>
        </w:rPr>
        <w:t xml:space="preserve"> El artículo 17 de la Ley 80 de 1993 establece las siguientes causales: i) cuando las exigencias del servicio público lo requieran o la situación de orden público lo imponga; ii) por muerte o incapacidad física permanente del contratista, si es persona natural, o por disolución de la persona jurídica del contratista; iii) por interdicción judicial o declaración de quiebra del contratista; y iv) por cesación de pagos, concurso de acreedores o embargos judiciales del contratista que afecten de manera grave el cumplimiento del contrato. Adicionalmente, conforme a los numerales 1, 2, y 4 del artículo 44 y el inciso segundo de artículo 45 del EGCAP, el jefe o representante legal de la entidad debe dar por terminado el contrato mediante acto administrativo debidamente motivado y ordenar su liquidación en el estado en que se encuentre cuando: i) se celebre con personas incursas en causales de inhabilidad o incompatibilidad previstas en la Constitución y la ley, ii) se celebren contra expresa prohibición constitucional o legal y iii) se declaren nulos los actos administrativos en que se fundamenten.</w:t>
      </w:r>
    </w:p>
  </w:footnote>
  <w:footnote w:id="5">
    <w:p w14:paraId="56C75B47" w14:textId="77777777" w:rsidR="00E34DF0" w:rsidRPr="00C879B0" w:rsidRDefault="00E34DF0" w:rsidP="00E34DF0">
      <w:pPr>
        <w:spacing w:after="0"/>
        <w:ind w:firstLine="708"/>
        <w:jc w:val="both"/>
        <w:rPr>
          <w:rFonts w:ascii="Verdana" w:hAnsi="Verdana" w:cs="Arial"/>
          <w:color w:val="000000" w:themeColor="text1"/>
          <w:sz w:val="15"/>
          <w:szCs w:val="15"/>
        </w:rPr>
      </w:pPr>
      <w:r w:rsidRPr="00C879B0">
        <w:rPr>
          <w:rStyle w:val="Refdenotaalpie"/>
          <w:rFonts w:ascii="Verdana" w:hAnsi="Verdana" w:cs="Arial"/>
          <w:color w:val="000000" w:themeColor="text1"/>
          <w:sz w:val="15"/>
          <w:szCs w:val="15"/>
        </w:rPr>
        <w:footnoteRef/>
      </w:r>
      <w:r w:rsidRPr="00C879B0">
        <w:rPr>
          <w:rFonts w:ascii="Verdana" w:hAnsi="Verdana" w:cs="Arial"/>
          <w:color w:val="000000" w:themeColor="text1"/>
          <w:sz w:val="15"/>
          <w:szCs w:val="15"/>
        </w:rPr>
        <w:t xml:space="preserve"> Diario Oficial No. 41.094 de 28 de octubre de 1993.</w:t>
      </w:r>
    </w:p>
  </w:footnote>
  <w:footnote w:id="6">
    <w:p w14:paraId="3905A8CE" w14:textId="77777777" w:rsidR="00E34DF0" w:rsidRPr="005916FD" w:rsidRDefault="00E34DF0" w:rsidP="00E34DF0">
      <w:pPr>
        <w:snapToGrid w:val="0"/>
        <w:spacing w:after="0" w:line="240" w:lineRule="auto"/>
        <w:ind w:firstLine="708"/>
        <w:contextualSpacing/>
        <w:jc w:val="both"/>
        <w:rPr>
          <w:rFonts w:ascii="Verdana" w:hAnsi="Verdana" w:cs="Arial"/>
          <w:color w:val="000000" w:themeColor="text1"/>
          <w:sz w:val="15"/>
          <w:szCs w:val="15"/>
          <w:lang w:val="es-ES"/>
        </w:rPr>
      </w:pPr>
      <w:r w:rsidRPr="005916FD">
        <w:rPr>
          <w:rStyle w:val="Refdenotaalpie"/>
          <w:rFonts w:ascii="Verdana" w:hAnsi="Verdana"/>
          <w:sz w:val="15"/>
          <w:szCs w:val="15"/>
        </w:rPr>
        <w:footnoteRef/>
      </w:r>
      <w:r w:rsidRPr="005916FD">
        <w:rPr>
          <w:rFonts w:ascii="Verdana" w:hAnsi="Verdana"/>
          <w:sz w:val="15"/>
          <w:szCs w:val="15"/>
        </w:rPr>
        <w:t xml:space="preserve"> </w:t>
      </w:r>
      <w:r w:rsidRPr="005916FD">
        <w:rPr>
          <w:rFonts w:ascii="Verdana" w:hAnsi="Verdana" w:cs="Arial"/>
          <w:color w:val="000000" w:themeColor="text1"/>
          <w:sz w:val="15"/>
          <w:szCs w:val="15"/>
          <w:lang w:val="es-ES"/>
        </w:rPr>
        <w:t>El artículo 17 de la Ley 80 de 1993 establece expresamente en que eventos procede la terminación unilateral del contrato. Al efecto, la norma establece las siguientes causales: i) cuando las exigencias del servicio público lo requieran o la situación de orden público lo imponga; ii) por muerte o incapacidad física permanente del contratista, si es persona natural, o por disolución de la persona jurídica del contratista; iii) por interdicción judicial o declaración de quiebra del contratista; y iv) por cesación de pagos, concurso de acreedores o embargos judiciales del contratista que afecten de manera grave el cumplimiento del contrato. Adicionalmente, conforme a los numerales 1, 2, y 4 del artículo 44 y el inciso segundo de artículo 45 del EGCAP, el jefe o representante legal de la entidad debe dar por terminado el contrato mediante acto administrativo debidamente motivado y ordenar su liquidación en el estado en que se encuentre cuando: i) se celebre con personas incursas en causales de inhabilidad o incompatibilidad previstas en la Constitución y la ley, ii) se celebren contra expresa prohibición constitucional o legal y iii) se declaren nulos los actos administrativos en que se fundamenten.</w:t>
      </w:r>
    </w:p>
    <w:p w14:paraId="2929C3E6" w14:textId="77777777" w:rsidR="00E34DF0" w:rsidRPr="005916FD" w:rsidRDefault="00E34DF0" w:rsidP="00E34DF0">
      <w:pPr>
        <w:snapToGrid w:val="0"/>
        <w:spacing w:after="0" w:line="240" w:lineRule="auto"/>
        <w:ind w:firstLine="708"/>
        <w:contextualSpacing/>
        <w:jc w:val="both"/>
        <w:rPr>
          <w:rFonts w:ascii="Verdana" w:hAnsi="Verdana" w:cs="Arial"/>
          <w:color w:val="000000" w:themeColor="text1"/>
          <w:sz w:val="15"/>
          <w:szCs w:val="15"/>
          <w:lang w:val="es-ES"/>
        </w:rPr>
      </w:pPr>
      <w:r w:rsidRPr="005916FD">
        <w:rPr>
          <w:rFonts w:ascii="Verdana" w:hAnsi="Verdana" w:cs="Arial"/>
          <w:color w:val="000000" w:themeColor="text1"/>
          <w:sz w:val="15"/>
          <w:szCs w:val="15"/>
          <w:lang w:val="es-ES"/>
        </w:rPr>
        <w:t>Ninguna de las causales de terminación unilateral mencionadas en el párrafo precedente se relaciona con los controles derivados d</w:t>
      </w:r>
      <w:r w:rsidRPr="005916FD">
        <w:rPr>
          <w:rFonts w:ascii="Verdana" w:eastAsia="Calibri" w:hAnsi="Verdana" w:cs="Arial"/>
          <w:color w:val="000000" w:themeColor="text1"/>
          <w:sz w:val="15"/>
          <w:szCs w:val="15"/>
          <w:lang w:val="es-ES"/>
        </w:rPr>
        <w:t>el SARLAFT. Dado que las potestades exorbitantes de las entidades públicas se rigen por el principio de legalidad, el ejercicio de la autonomía de la voluntad no permite adicionar los supuestos planteados con el supuesto objeto de consulta. Lo anterior teniendo en cuenta que el artículo 13, inciso primero, de la Ley 80 de 1993 dispone que “Los contratos que celebren las entidades a que se refiere el artículo 2o. del presente estatuto se regirán por las disposiciones comerciales y civiles pertinentes, salvo en las materias particularmente reguladas en esta ley”.</w:t>
      </w:r>
      <w:r w:rsidRPr="005916FD">
        <w:rPr>
          <w:rFonts w:ascii="Verdana" w:hAnsi="Verdana" w:cs="Arial"/>
          <w:color w:val="000000" w:themeColor="text1"/>
          <w:sz w:val="15"/>
          <w:szCs w:val="15"/>
          <w:lang w:val="es-ES"/>
        </w:rPr>
        <w:t xml:space="preserve"> En consecuencia, dado que la terminación unilateral tiene regulación especial en los artículos 17 y 45 del EGCAP, las causales aplicables son de interpretación restrictiva.</w:t>
      </w:r>
    </w:p>
  </w:footnote>
  <w:footnote w:id="7">
    <w:p w14:paraId="424D18F5" w14:textId="77777777" w:rsidR="00E34DF0" w:rsidRPr="005916FD" w:rsidRDefault="00E34DF0" w:rsidP="00E34DF0">
      <w:pPr>
        <w:snapToGrid w:val="0"/>
        <w:spacing w:after="0" w:line="240" w:lineRule="auto"/>
        <w:ind w:firstLine="708"/>
        <w:contextualSpacing/>
        <w:jc w:val="both"/>
        <w:rPr>
          <w:rFonts w:ascii="Verdana" w:eastAsia="Calibri" w:hAnsi="Verdana" w:cs="Arial"/>
          <w:i/>
          <w:iCs/>
          <w:color w:val="000000" w:themeColor="text1"/>
          <w:sz w:val="15"/>
          <w:szCs w:val="15"/>
          <w:lang w:val="es-ES"/>
        </w:rPr>
      </w:pPr>
      <w:r w:rsidRPr="005916FD">
        <w:rPr>
          <w:rStyle w:val="Refdenotaalpie"/>
          <w:rFonts w:ascii="Verdana" w:hAnsi="Verdana"/>
          <w:sz w:val="15"/>
          <w:szCs w:val="15"/>
        </w:rPr>
        <w:footnoteRef/>
      </w:r>
      <w:r w:rsidRPr="005916FD">
        <w:rPr>
          <w:rFonts w:ascii="Verdana" w:hAnsi="Verdana"/>
          <w:sz w:val="15"/>
          <w:szCs w:val="15"/>
        </w:rPr>
        <w:t xml:space="preserve"> </w:t>
      </w:r>
      <w:r w:rsidRPr="005916FD">
        <w:rPr>
          <w:rFonts w:ascii="Verdana" w:eastAsia="Calibri" w:hAnsi="Verdana" w:cs="Arial"/>
          <w:color w:val="000000" w:themeColor="text1"/>
          <w:sz w:val="15"/>
          <w:szCs w:val="15"/>
          <w:lang w:val="es-ES"/>
        </w:rPr>
        <w:t xml:space="preserve">Al respecto, conforme al anexo de la Circular Conjunta 034 de 2011 de la Procuraduría General de la Nación, la Auditoría General de la Nación y la Contraloría General de Santander, cabe destacar que la Orden Ejecutiva 12.798 del Gobierno de Estados Unidos no rige en Colombia. Dado que carece de fuerza vinculante en nuestro ordenamiento jurídico, esta Agencia ha sostenido que la inclusión en dicha lista </w:t>
      </w:r>
      <w:r w:rsidRPr="005916FD">
        <w:rPr>
          <w:rFonts w:ascii="Verdana" w:eastAsia="Calibri" w:hAnsi="Verdana" w:cs="Arial"/>
          <w:i/>
          <w:iCs/>
          <w:color w:val="000000" w:themeColor="text1"/>
          <w:sz w:val="15"/>
          <w:szCs w:val="15"/>
          <w:lang w:val="es-ES"/>
        </w:rPr>
        <w:t xml:space="preserve">no genera inhabilidad o incompatibilidad para contratar con el Estado ni puede ser considerada como una causal de terminación unilateral. </w:t>
      </w:r>
    </w:p>
    <w:p w14:paraId="22C35702" w14:textId="77777777" w:rsidR="00E34DF0" w:rsidRPr="005916FD" w:rsidRDefault="00E34DF0" w:rsidP="00E34DF0">
      <w:pPr>
        <w:pStyle w:val="Textonotapie"/>
        <w:snapToGrid w:val="0"/>
        <w:contextualSpacing/>
        <w:rPr>
          <w:rFonts w:ascii="Verdana" w:hAnsi="Verdana"/>
          <w:sz w:val="15"/>
          <w:szCs w:val="15"/>
          <w:lang w:val="es-ES"/>
        </w:rPr>
      </w:pPr>
    </w:p>
  </w:footnote>
  <w:footnote w:id="8">
    <w:p w14:paraId="3AED9FB3" w14:textId="77777777" w:rsidR="00E34DF0" w:rsidRPr="00C812A8" w:rsidRDefault="00E34DF0" w:rsidP="00E34DF0">
      <w:pPr>
        <w:pStyle w:val="Textonotapie"/>
        <w:ind w:firstLine="708"/>
        <w:jc w:val="both"/>
        <w:rPr>
          <w:rFonts w:ascii="Verdana" w:hAnsi="Verdana"/>
          <w:sz w:val="16"/>
          <w:szCs w:val="16"/>
          <w:lang w:val="es-CO"/>
        </w:rPr>
      </w:pPr>
      <w:r w:rsidRPr="00C812A8">
        <w:rPr>
          <w:rStyle w:val="Refdenotaalpie"/>
          <w:rFonts w:ascii="Verdana" w:hAnsi="Verdana"/>
          <w:sz w:val="16"/>
          <w:szCs w:val="16"/>
        </w:rPr>
        <w:footnoteRef/>
      </w:r>
      <w:r w:rsidRPr="00C812A8">
        <w:rPr>
          <w:rFonts w:ascii="Verdana" w:hAnsi="Verdana"/>
          <w:sz w:val="16"/>
          <w:szCs w:val="16"/>
        </w:rPr>
        <w:t xml:space="preserve"> </w:t>
      </w:r>
      <w:r w:rsidRPr="009B08D9">
        <w:rPr>
          <w:rFonts w:ascii="Verdana" w:hAnsi="Verdana"/>
          <w:sz w:val="16"/>
          <w:szCs w:val="16"/>
          <w:lang w:val="es-CO"/>
        </w:rPr>
        <w:t>Artículo 5.6.11.2. </w:t>
      </w:r>
      <w:r w:rsidRPr="009B08D9">
        <w:rPr>
          <w:rFonts w:ascii="Verdana" w:hAnsi="Verdana"/>
          <w:i/>
          <w:iCs/>
          <w:sz w:val="16"/>
          <w:szCs w:val="16"/>
          <w:lang w:val="es-CO"/>
        </w:rPr>
        <w:t>Procedimientos de Debida Diligencia</w:t>
      </w:r>
      <w:r w:rsidRPr="009B08D9">
        <w:rPr>
          <w:rFonts w:ascii="Verdana" w:hAnsi="Verdana"/>
          <w:sz w:val="16"/>
          <w:szCs w:val="16"/>
          <w:lang w:val="es-CO"/>
        </w:rPr>
        <w:t>.</w:t>
      </w:r>
      <w:r w:rsidRPr="00C812A8">
        <w:rPr>
          <w:rFonts w:ascii="Verdana" w:hAnsi="Verdana"/>
          <w:sz w:val="16"/>
          <w:szCs w:val="16"/>
          <w:lang w:val="es-CO"/>
        </w:rPr>
        <w:t xml:space="preserve"> Debe permitir prevenir y controlar los riesgos LA/FT/FP a los que se encuentra expuesto el sujeto obligado. Debe aplicar las medidas de debida diligencia mínima que le correspondan conforme a lo establecido en este artículo. </w:t>
      </w:r>
    </w:p>
    <w:p w14:paraId="491463CD" w14:textId="77777777" w:rsidR="00E34DF0" w:rsidRPr="00C812A8" w:rsidRDefault="00E34DF0" w:rsidP="00E34DF0">
      <w:pPr>
        <w:pStyle w:val="Textonotapie"/>
        <w:ind w:firstLine="708"/>
        <w:jc w:val="both"/>
        <w:rPr>
          <w:rFonts w:ascii="Verdana" w:hAnsi="Verdana"/>
          <w:sz w:val="16"/>
          <w:szCs w:val="16"/>
          <w:lang w:val="es-CO"/>
        </w:rPr>
      </w:pPr>
      <w:r w:rsidRPr="00C812A8">
        <w:rPr>
          <w:rFonts w:ascii="Verdana" w:hAnsi="Verdana"/>
          <w:sz w:val="16"/>
          <w:szCs w:val="16"/>
          <w:lang w:val="es-CO"/>
        </w:rPr>
        <w:t>La debida diligencia, se debe ejecutar con un enfoque basado en el riesgo, teniendo en cuenta las operaciones, productos y contratos que lleve a cabo o pretenda desarrollar, así como sus contrapartes, países o áreas geográficas de operación y canales de distribución y demás características particulares. </w:t>
      </w:r>
    </w:p>
    <w:p w14:paraId="2E459E25" w14:textId="77777777" w:rsidR="00E34DF0" w:rsidRPr="00C812A8" w:rsidRDefault="00E34DF0" w:rsidP="00E34DF0">
      <w:pPr>
        <w:pStyle w:val="Textonotapie"/>
        <w:ind w:firstLine="708"/>
        <w:jc w:val="both"/>
        <w:rPr>
          <w:rFonts w:ascii="Verdana" w:hAnsi="Verdana"/>
          <w:sz w:val="16"/>
          <w:szCs w:val="16"/>
          <w:lang w:val="es-CO"/>
        </w:rPr>
      </w:pPr>
      <w:r w:rsidRPr="00C812A8">
        <w:rPr>
          <w:rFonts w:ascii="Verdana" w:hAnsi="Verdana"/>
          <w:sz w:val="16"/>
          <w:szCs w:val="16"/>
          <w:lang w:val="es-CO"/>
        </w:rPr>
        <w:t>Así las cosas, los sujetos obligados deben adoptar medidas razonables de debida diligencia de la contraparte, con un enfoque basado en riesgo adoptando las siguientes medidas mínimas, entre otras: </w:t>
      </w:r>
    </w:p>
    <w:p w14:paraId="3FD0AFC8" w14:textId="77777777" w:rsidR="00E34DF0" w:rsidRPr="00C812A8" w:rsidRDefault="00E34DF0" w:rsidP="00E34DF0">
      <w:pPr>
        <w:pStyle w:val="Textonotapie"/>
        <w:ind w:firstLine="708"/>
        <w:jc w:val="both"/>
        <w:rPr>
          <w:rFonts w:ascii="Verdana" w:hAnsi="Verdana"/>
          <w:sz w:val="16"/>
          <w:szCs w:val="16"/>
          <w:lang w:val="es-CO"/>
        </w:rPr>
      </w:pPr>
      <w:r w:rsidRPr="00C812A8">
        <w:rPr>
          <w:rFonts w:ascii="Verdana" w:hAnsi="Verdana"/>
          <w:sz w:val="16"/>
          <w:szCs w:val="16"/>
          <w:lang w:val="es-CO"/>
        </w:rPr>
        <w:t>a. Identificar a la Contraparte y verificar su identidad utilizando documentos, datos o información confiable, de fuentes independientes. </w:t>
      </w:r>
    </w:p>
    <w:p w14:paraId="43F46A4A" w14:textId="77777777" w:rsidR="00E34DF0" w:rsidRPr="00C812A8" w:rsidRDefault="00E34DF0" w:rsidP="00E34DF0">
      <w:pPr>
        <w:pStyle w:val="Textonotapie"/>
        <w:ind w:firstLine="708"/>
        <w:jc w:val="both"/>
        <w:rPr>
          <w:rFonts w:ascii="Verdana" w:hAnsi="Verdana"/>
          <w:sz w:val="16"/>
          <w:szCs w:val="16"/>
          <w:lang w:val="es-CO"/>
        </w:rPr>
      </w:pPr>
      <w:r w:rsidRPr="00C812A8">
        <w:rPr>
          <w:rFonts w:ascii="Verdana" w:hAnsi="Verdana"/>
          <w:sz w:val="16"/>
          <w:szCs w:val="16"/>
          <w:lang w:val="es-CO"/>
        </w:rPr>
        <w:t>b. Tomar medidas razonables para identificar al beneficiario final de la Contraparte y tomar medidas razonables para verificar su identidad. </w:t>
      </w:r>
    </w:p>
    <w:p w14:paraId="129E8289" w14:textId="77777777" w:rsidR="00E34DF0" w:rsidRPr="00C812A8" w:rsidRDefault="00E34DF0" w:rsidP="00E34DF0">
      <w:pPr>
        <w:pStyle w:val="Textonotapie"/>
        <w:ind w:firstLine="708"/>
        <w:jc w:val="both"/>
        <w:rPr>
          <w:rFonts w:ascii="Verdana" w:hAnsi="Verdana"/>
          <w:sz w:val="16"/>
          <w:szCs w:val="16"/>
          <w:lang w:val="es-CO"/>
        </w:rPr>
      </w:pPr>
      <w:r w:rsidRPr="00C812A8">
        <w:rPr>
          <w:rFonts w:ascii="Verdana" w:hAnsi="Verdana"/>
          <w:sz w:val="16"/>
          <w:szCs w:val="16"/>
          <w:lang w:val="es-CO"/>
        </w:rPr>
        <w:t>c. Identificar a las contrapartes que desarrollan transacciones con activos virtuales, con el fin de determinar la necesidad de adelantar debida diligencia intensificada. </w:t>
      </w:r>
    </w:p>
    <w:p w14:paraId="66027997" w14:textId="77777777" w:rsidR="00E34DF0" w:rsidRPr="00C812A8" w:rsidRDefault="00E34DF0" w:rsidP="00E34DF0">
      <w:pPr>
        <w:pStyle w:val="Textonotapie"/>
        <w:ind w:firstLine="708"/>
        <w:jc w:val="both"/>
        <w:rPr>
          <w:rFonts w:ascii="Verdana" w:hAnsi="Verdana"/>
          <w:sz w:val="16"/>
          <w:szCs w:val="16"/>
          <w:lang w:val="es-CO"/>
        </w:rPr>
      </w:pPr>
      <w:r w:rsidRPr="00C812A8">
        <w:rPr>
          <w:rFonts w:ascii="Verdana" w:hAnsi="Verdana"/>
          <w:sz w:val="16"/>
          <w:szCs w:val="16"/>
          <w:lang w:val="es-CO"/>
        </w:rPr>
        <w:t>d. Adoptar medidas razonables con personas jurídicas, para conocer la estructura de titularidad y control de la contraparte con el fin de obtener el nombre y el número de identificación de los beneficiarios finales. </w:t>
      </w:r>
    </w:p>
    <w:p w14:paraId="07FF7C10" w14:textId="77777777" w:rsidR="00E34DF0" w:rsidRDefault="00E34DF0" w:rsidP="00E34DF0">
      <w:pPr>
        <w:pStyle w:val="Textonotapie"/>
        <w:ind w:firstLine="708"/>
        <w:jc w:val="both"/>
        <w:rPr>
          <w:rFonts w:ascii="Verdana" w:hAnsi="Verdana"/>
          <w:sz w:val="16"/>
          <w:szCs w:val="16"/>
          <w:lang w:val="es-CO"/>
        </w:rPr>
      </w:pPr>
      <w:r w:rsidRPr="00C812A8">
        <w:rPr>
          <w:rFonts w:ascii="Verdana" w:hAnsi="Verdana"/>
          <w:sz w:val="16"/>
          <w:szCs w:val="16"/>
          <w:lang w:val="es-CO"/>
        </w:rPr>
        <w:t>e. Realizar una debida diligencia continua de la relación comercial y examinar las transacciones llevadas a cabo a lo largo de esa relación para asegurar que las tran</w:t>
      </w:r>
      <w:r w:rsidRPr="00C812A8">
        <w:rPr>
          <w:rFonts w:ascii="Verdana" w:hAnsi="Verdana"/>
          <w:sz w:val="16"/>
          <w:szCs w:val="16"/>
          <w:lang w:val="es-CO"/>
        </w:rPr>
        <w:softHyphen/>
        <w:t>sacciones que se realicen sean consistentes con el conocimiento que tienen las em</w:t>
      </w:r>
      <w:r w:rsidRPr="00C812A8">
        <w:rPr>
          <w:rFonts w:ascii="Verdana" w:hAnsi="Verdana"/>
          <w:sz w:val="16"/>
          <w:szCs w:val="16"/>
          <w:lang w:val="es-CO"/>
        </w:rPr>
        <w:softHyphen/>
        <w:t>presas obligadas sobre la contraparte, su actividad comercial y el perfil de riesgo, incluyendo, cuando sea necesario, el origen de los fondos. </w:t>
      </w:r>
    </w:p>
    <w:p w14:paraId="6F471BFF" w14:textId="77777777" w:rsidR="00E34DF0" w:rsidRPr="00C812A8" w:rsidRDefault="00E34DF0" w:rsidP="00E34DF0">
      <w:pPr>
        <w:pStyle w:val="Textonotapie"/>
        <w:ind w:firstLine="708"/>
        <w:jc w:val="both"/>
        <w:rPr>
          <w:rFonts w:ascii="Verdana" w:hAnsi="Verdana"/>
          <w:sz w:val="16"/>
          <w:szCs w:val="16"/>
          <w:lang w:val="es-CO"/>
        </w:rPr>
      </w:pPr>
      <w:r w:rsidRPr="00C812A8">
        <w:rPr>
          <w:rFonts w:ascii="Verdana" w:hAnsi="Verdana"/>
          <w:sz w:val="16"/>
          <w:szCs w:val="16"/>
          <w:lang w:val="es-CO"/>
        </w:rPr>
        <w:t> f. Consultar permanentemente las listas internacionales vinculantes para Colombia de conformidad con el derecho internacional, en consonancia con el artículo 20 de la Ley 1121 de 2006 y las Recomendaciones 6 Y 7 del GAFI. En caso de identificar que alguno de sus clientes actuales o clientes potenciales se encuentra en uno de los listados mencionados, de manera inmediata, deberá reportarlo a la Unidad de Información y Análisis Financiero (UIAF) a través del correo cumplimientoga</w:t>
      </w:r>
      <w:r w:rsidRPr="00C812A8">
        <w:rPr>
          <w:rFonts w:ascii="Verdana" w:hAnsi="Verdana"/>
          <w:sz w:val="16"/>
          <w:szCs w:val="16"/>
          <w:lang w:val="es-CO"/>
        </w:rPr>
        <w:softHyphen/>
        <w:t>fi67@uiaf.gov.co y a la Fiscalía General de la Nación (FGN) a través del correo cumplimientogafi67@fiscalia.gov.co </w:t>
      </w:r>
    </w:p>
    <w:p w14:paraId="1609E998" w14:textId="77777777" w:rsidR="00E34DF0" w:rsidRPr="006118F1" w:rsidRDefault="00E34DF0" w:rsidP="00E34DF0">
      <w:pPr>
        <w:pStyle w:val="Textonotapie"/>
        <w:rPr>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1916AB3"/>
    <w:multiLevelType w:val="hybridMultilevel"/>
    <w:tmpl w:val="D61EC1E6"/>
    <w:lvl w:ilvl="0" w:tplc="73DEAA1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C87966"/>
    <w:multiLevelType w:val="multilevel"/>
    <w:tmpl w:val="185AA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6"/>
  </w:num>
  <w:num w:numId="8" w16cid:durableId="152644682">
    <w:abstractNumId w:val="13"/>
  </w:num>
  <w:num w:numId="9" w16cid:durableId="1317221377">
    <w:abstractNumId w:val="8"/>
  </w:num>
  <w:num w:numId="10" w16cid:durableId="1471245386">
    <w:abstractNumId w:val="12"/>
  </w:num>
  <w:num w:numId="11" w16cid:durableId="289172385">
    <w:abstractNumId w:val="9"/>
  </w:num>
  <w:num w:numId="12" w16cid:durableId="1470781324">
    <w:abstractNumId w:val="1"/>
  </w:num>
  <w:num w:numId="13" w16cid:durableId="1512908409">
    <w:abstractNumId w:val="4"/>
  </w:num>
  <w:num w:numId="14" w16cid:durableId="895897244">
    <w:abstractNumId w:val="15"/>
  </w:num>
  <w:num w:numId="15" w16cid:durableId="390349800">
    <w:abstractNumId w:val="11"/>
  </w:num>
  <w:num w:numId="16" w16cid:durableId="341274352">
    <w:abstractNumId w:val="0"/>
  </w:num>
  <w:num w:numId="17" w16cid:durableId="571424827">
    <w:abstractNumId w:val="3"/>
  </w:num>
  <w:num w:numId="18" w16cid:durableId="4593476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13E7"/>
    <w:rsid w:val="00011607"/>
    <w:rsid w:val="00016F78"/>
    <w:rsid w:val="00023C14"/>
    <w:rsid w:val="00031188"/>
    <w:rsid w:val="00046945"/>
    <w:rsid w:val="000615E7"/>
    <w:rsid w:val="00061B2A"/>
    <w:rsid w:val="00070A0E"/>
    <w:rsid w:val="0008164D"/>
    <w:rsid w:val="000822F5"/>
    <w:rsid w:val="00082362"/>
    <w:rsid w:val="0008698B"/>
    <w:rsid w:val="0009143A"/>
    <w:rsid w:val="000A5413"/>
    <w:rsid w:val="000A683E"/>
    <w:rsid w:val="000B19B9"/>
    <w:rsid w:val="000B1F3D"/>
    <w:rsid w:val="000C6FFD"/>
    <w:rsid w:val="000D0334"/>
    <w:rsid w:val="000D5DA7"/>
    <w:rsid w:val="000E7ED9"/>
    <w:rsid w:val="000F6486"/>
    <w:rsid w:val="00102A10"/>
    <w:rsid w:val="00116940"/>
    <w:rsid w:val="00122DC6"/>
    <w:rsid w:val="00125105"/>
    <w:rsid w:val="00127233"/>
    <w:rsid w:val="00130AFA"/>
    <w:rsid w:val="001323C2"/>
    <w:rsid w:val="0015699B"/>
    <w:rsid w:val="0016793C"/>
    <w:rsid w:val="001727DE"/>
    <w:rsid w:val="001801C8"/>
    <w:rsid w:val="00182B7C"/>
    <w:rsid w:val="00187720"/>
    <w:rsid w:val="00187EBB"/>
    <w:rsid w:val="00191376"/>
    <w:rsid w:val="001A33BF"/>
    <w:rsid w:val="001B28FF"/>
    <w:rsid w:val="001D0908"/>
    <w:rsid w:val="001D532A"/>
    <w:rsid w:val="001E4177"/>
    <w:rsid w:val="001F0B24"/>
    <w:rsid w:val="001F7052"/>
    <w:rsid w:val="001F7DC6"/>
    <w:rsid w:val="0022400B"/>
    <w:rsid w:val="002421BB"/>
    <w:rsid w:val="0025796E"/>
    <w:rsid w:val="00262714"/>
    <w:rsid w:val="002707A2"/>
    <w:rsid w:val="00272960"/>
    <w:rsid w:val="002951A0"/>
    <w:rsid w:val="002962BC"/>
    <w:rsid w:val="00297986"/>
    <w:rsid w:val="002A093D"/>
    <w:rsid w:val="002A0DD0"/>
    <w:rsid w:val="002A2E76"/>
    <w:rsid w:val="002A3752"/>
    <w:rsid w:val="002A4278"/>
    <w:rsid w:val="002A49AC"/>
    <w:rsid w:val="002A64FD"/>
    <w:rsid w:val="002C7A84"/>
    <w:rsid w:val="002E2BF8"/>
    <w:rsid w:val="002E4FD9"/>
    <w:rsid w:val="002E6D6E"/>
    <w:rsid w:val="00300162"/>
    <w:rsid w:val="0030657A"/>
    <w:rsid w:val="00322A85"/>
    <w:rsid w:val="00324168"/>
    <w:rsid w:val="00330834"/>
    <w:rsid w:val="00340925"/>
    <w:rsid w:val="003448F4"/>
    <w:rsid w:val="00373BA3"/>
    <w:rsid w:val="00374F5E"/>
    <w:rsid w:val="00377E3E"/>
    <w:rsid w:val="003976E7"/>
    <w:rsid w:val="003A779E"/>
    <w:rsid w:val="003B0CF2"/>
    <w:rsid w:val="003C129A"/>
    <w:rsid w:val="003D0F4D"/>
    <w:rsid w:val="003D5B0D"/>
    <w:rsid w:val="003E0499"/>
    <w:rsid w:val="003E4F80"/>
    <w:rsid w:val="003E6439"/>
    <w:rsid w:val="003F3941"/>
    <w:rsid w:val="004008C4"/>
    <w:rsid w:val="00404225"/>
    <w:rsid w:val="00406575"/>
    <w:rsid w:val="00414C74"/>
    <w:rsid w:val="0042722E"/>
    <w:rsid w:val="00430CC0"/>
    <w:rsid w:val="004364EA"/>
    <w:rsid w:val="0044528D"/>
    <w:rsid w:val="00447557"/>
    <w:rsid w:val="004619B4"/>
    <w:rsid w:val="00466E39"/>
    <w:rsid w:val="00476074"/>
    <w:rsid w:val="00477C28"/>
    <w:rsid w:val="004A1847"/>
    <w:rsid w:val="004A305D"/>
    <w:rsid w:val="004A6CB2"/>
    <w:rsid w:val="004B3E1B"/>
    <w:rsid w:val="004D6512"/>
    <w:rsid w:val="004F21C4"/>
    <w:rsid w:val="004F4A16"/>
    <w:rsid w:val="004F685F"/>
    <w:rsid w:val="005048C4"/>
    <w:rsid w:val="00526139"/>
    <w:rsid w:val="00532467"/>
    <w:rsid w:val="00547FC2"/>
    <w:rsid w:val="005566E8"/>
    <w:rsid w:val="00565A83"/>
    <w:rsid w:val="005708EC"/>
    <w:rsid w:val="00574867"/>
    <w:rsid w:val="005822F5"/>
    <w:rsid w:val="00591460"/>
    <w:rsid w:val="00591A10"/>
    <w:rsid w:val="00593339"/>
    <w:rsid w:val="005A65E0"/>
    <w:rsid w:val="005C3777"/>
    <w:rsid w:val="005C5CDC"/>
    <w:rsid w:val="005D476C"/>
    <w:rsid w:val="005F5ACF"/>
    <w:rsid w:val="00606492"/>
    <w:rsid w:val="006118F1"/>
    <w:rsid w:val="00613899"/>
    <w:rsid w:val="006200BF"/>
    <w:rsid w:val="006219F8"/>
    <w:rsid w:val="006302F7"/>
    <w:rsid w:val="00646B9F"/>
    <w:rsid w:val="00665D70"/>
    <w:rsid w:val="006660BF"/>
    <w:rsid w:val="00682E19"/>
    <w:rsid w:val="00683805"/>
    <w:rsid w:val="006844A2"/>
    <w:rsid w:val="006900D9"/>
    <w:rsid w:val="00691C40"/>
    <w:rsid w:val="006B2502"/>
    <w:rsid w:val="006D28AF"/>
    <w:rsid w:val="006E0D2D"/>
    <w:rsid w:val="006F351D"/>
    <w:rsid w:val="00706C16"/>
    <w:rsid w:val="007247E0"/>
    <w:rsid w:val="007340C3"/>
    <w:rsid w:val="0075235A"/>
    <w:rsid w:val="00753106"/>
    <w:rsid w:val="007562A0"/>
    <w:rsid w:val="00756841"/>
    <w:rsid w:val="007649AB"/>
    <w:rsid w:val="00771D0C"/>
    <w:rsid w:val="007833AC"/>
    <w:rsid w:val="00790B5C"/>
    <w:rsid w:val="007911E9"/>
    <w:rsid w:val="00795D9D"/>
    <w:rsid w:val="007B268C"/>
    <w:rsid w:val="007B7171"/>
    <w:rsid w:val="007C0C0F"/>
    <w:rsid w:val="007C1869"/>
    <w:rsid w:val="007C3DC2"/>
    <w:rsid w:val="007E4214"/>
    <w:rsid w:val="007E4FED"/>
    <w:rsid w:val="007E5497"/>
    <w:rsid w:val="00802767"/>
    <w:rsid w:val="00804319"/>
    <w:rsid w:val="00806F5F"/>
    <w:rsid w:val="00820278"/>
    <w:rsid w:val="00823FE3"/>
    <w:rsid w:val="008258C9"/>
    <w:rsid w:val="00844AE9"/>
    <w:rsid w:val="008561F9"/>
    <w:rsid w:val="00861F1A"/>
    <w:rsid w:val="00865489"/>
    <w:rsid w:val="00867F95"/>
    <w:rsid w:val="008843B6"/>
    <w:rsid w:val="008864CA"/>
    <w:rsid w:val="00891928"/>
    <w:rsid w:val="008A446D"/>
    <w:rsid w:val="008A53F6"/>
    <w:rsid w:val="008B25F1"/>
    <w:rsid w:val="008B2C73"/>
    <w:rsid w:val="008B6006"/>
    <w:rsid w:val="008D180B"/>
    <w:rsid w:val="008E0F9D"/>
    <w:rsid w:val="008F0EA7"/>
    <w:rsid w:val="00904014"/>
    <w:rsid w:val="009128D8"/>
    <w:rsid w:val="00923EEF"/>
    <w:rsid w:val="00940348"/>
    <w:rsid w:val="009419F9"/>
    <w:rsid w:val="00942EBE"/>
    <w:rsid w:val="009566EC"/>
    <w:rsid w:val="0095685E"/>
    <w:rsid w:val="00957C0F"/>
    <w:rsid w:val="00961B09"/>
    <w:rsid w:val="00965334"/>
    <w:rsid w:val="0097093E"/>
    <w:rsid w:val="009A0DFA"/>
    <w:rsid w:val="009A1C6F"/>
    <w:rsid w:val="009A44DC"/>
    <w:rsid w:val="009A5C76"/>
    <w:rsid w:val="009B08D9"/>
    <w:rsid w:val="009B2D26"/>
    <w:rsid w:val="009B5891"/>
    <w:rsid w:val="009B7A42"/>
    <w:rsid w:val="009C71FA"/>
    <w:rsid w:val="009C72E7"/>
    <w:rsid w:val="009C7F7E"/>
    <w:rsid w:val="009D1665"/>
    <w:rsid w:val="009D3058"/>
    <w:rsid w:val="009D6144"/>
    <w:rsid w:val="009E2874"/>
    <w:rsid w:val="009F3A13"/>
    <w:rsid w:val="009F3A9C"/>
    <w:rsid w:val="00A0208F"/>
    <w:rsid w:val="00A122D3"/>
    <w:rsid w:val="00A13FAF"/>
    <w:rsid w:val="00A14468"/>
    <w:rsid w:val="00A17920"/>
    <w:rsid w:val="00A17F13"/>
    <w:rsid w:val="00A20739"/>
    <w:rsid w:val="00A23AF9"/>
    <w:rsid w:val="00A3331F"/>
    <w:rsid w:val="00A33C78"/>
    <w:rsid w:val="00A47F65"/>
    <w:rsid w:val="00A650AB"/>
    <w:rsid w:val="00A831C1"/>
    <w:rsid w:val="00A94DA3"/>
    <w:rsid w:val="00AA134B"/>
    <w:rsid w:val="00AA76ED"/>
    <w:rsid w:val="00AB0ADB"/>
    <w:rsid w:val="00AB1FEF"/>
    <w:rsid w:val="00AC1B39"/>
    <w:rsid w:val="00AC2F5C"/>
    <w:rsid w:val="00AC5B40"/>
    <w:rsid w:val="00AE5E07"/>
    <w:rsid w:val="00B00C0E"/>
    <w:rsid w:val="00B01B1A"/>
    <w:rsid w:val="00B0381D"/>
    <w:rsid w:val="00B10AA1"/>
    <w:rsid w:val="00B11057"/>
    <w:rsid w:val="00B44A47"/>
    <w:rsid w:val="00B466BF"/>
    <w:rsid w:val="00B55206"/>
    <w:rsid w:val="00B72393"/>
    <w:rsid w:val="00B72CD3"/>
    <w:rsid w:val="00B72FFF"/>
    <w:rsid w:val="00BC3147"/>
    <w:rsid w:val="00BC3D36"/>
    <w:rsid w:val="00BD3029"/>
    <w:rsid w:val="00BD54A6"/>
    <w:rsid w:val="00BD58F6"/>
    <w:rsid w:val="00BD7F72"/>
    <w:rsid w:val="00BE3E00"/>
    <w:rsid w:val="00BF01FA"/>
    <w:rsid w:val="00BF7425"/>
    <w:rsid w:val="00C04FB3"/>
    <w:rsid w:val="00C11D8B"/>
    <w:rsid w:val="00C15139"/>
    <w:rsid w:val="00C158B5"/>
    <w:rsid w:val="00C330EB"/>
    <w:rsid w:val="00C44403"/>
    <w:rsid w:val="00C50D69"/>
    <w:rsid w:val="00C5365C"/>
    <w:rsid w:val="00C60465"/>
    <w:rsid w:val="00C64C7B"/>
    <w:rsid w:val="00C73FB7"/>
    <w:rsid w:val="00C74D2B"/>
    <w:rsid w:val="00C754BE"/>
    <w:rsid w:val="00C75658"/>
    <w:rsid w:val="00C76B1C"/>
    <w:rsid w:val="00C812A8"/>
    <w:rsid w:val="00C925AC"/>
    <w:rsid w:val="00CA5A97"/>
    <w:rsid w:val="00CB6357"/>
    <w:rsid w:val="00CC0FEE"/>
    <w:rsid w:val="00CC1B26"/>
    <w:rsid w:val="00D10120"/>
    <w:rsid w:val="00D12D15"/>
    <w:rsid w:val="00D13D3B"/>
    <w:rsid w:val="00D176CE"/>
    <w:rsid w:val="00D361FD"/>
    <w:rsid w:val="00D423A2"/>
    <w:rsid w:val="00D44E26"/>
    <w:rsid w:val="00D46FAC"/>
    <w:rsid w:val="00D472C6"/>
    <w:rsid w:val="00D51D93"/>
    <w:rsid w:val="00D520D8"/>
    <w:rsid w:val="00D5516E"/>
    <w:rsid w:val="00D63AC2"/>
    <w:rsid w:val="00D704FA"/>
    <w:rsid w:val="00D7383B"/>
    <w:rsid w:val="00D7788A"/>
    <w:rsid w:val="00D839BD"/>
    <w:rsid w:val="00DA231B"/>
    <w:rsid w:val="00DB3459"/>
    <w:rsid w:val="00DC1B37"/>
    <w:rsid w:val="00DC39FC"/>
    <w:rsid w:val="00DF1534"/>
    <w:rsid w:val="00DF1680"/>
    <w:rsid w:val="00DF5168"/>
    <w:rsid w:val="00DF5254"/>
    <w:rsid w:val="00DF682D"/>
    <w:rsid w:val="00E02524"/>
    <w:rsid w:val="00E16408"/>
    <w:rsid w:val="00E172F1"/>
    <w:rsid w:val="00E20894"/>
    <w:rsid w:val="00E245AB"/>
    <w:rsid w:val="00E249B6"/>
    <w:rsid w:val="00E2764C"/>
    <w:rsid w:val="00E27F2E"/>
    <w:rsid w:val="00E34DF0"/>
    <w:rsid w:val="00E4295E"/>
    <w:rsid w:val="00E45CBF"/>
    <w:rsid w:val="00E50AFE"/>
    <w:rsid w:val="00E5570A"/>
    <w:rsid w:val="00E6063F"/>
    <w:rsid w:val="00E62DCB"/>
    <w:rsid w:val="00E75C92"/>
    <w:rsid w:val="00E771DC"/>
    <w:rsid w:val="00E8087A"/>
    <w:rsid w:val="00E8772A"/>
    <w:rsid w:val="00E90F6B"/>
    <w:rsid w:val="00E92C27"/>
    <w:rsid w:val="00EA0E3D"/>
    <w:rsid w:val="00EB7D52"/>
    <w:rsid w:val="00EC38A7"/>
    <w:rsid w:val="00EC3997"/>
    <w:rsid w:val="00EE1AA8"/>
    <w:rsid w:val="00F04F01"/>
    <w:rsid w:val="00F22561"/>
    <w:rsid w:val="00F23FEA"/>
    <w:rsid w:val="00F31EDC"/>
    <w:rsid w:val="00F40E5A"/>
    <w:rsid w:val="00F4529B"/>
    <w:rsid w:val="00F462B3"/>
    <w:rsid w:val="00F50160"/>
    <w:rsid w:val="00F523C9"/>
    <w:rsid w:val="00F5664F"/>
    <w:rsid w:val="00F648E1"/>
    <w:rsid w:val="00F666C4"/>
    <w:rsid w:val="00F76AFC"/>
    <w:rsid w:val="00F9669E"/>
    <w:rsid w:val="00FA47C0"/>
    <w:rsid w:val="00FB5DD1"/>
    <w:rsid w:val="00FB6C87"/>
    <w:rsid w:val="00FC2B5D"/>
    <w:rsid w:val="00FC5F9E"/>
    <w:rsid w:val="00FD389C"/>
    <w:rsid w:val="00FD7AC4"/>
    <w:rsid w:val="00FE23A2"/>
    <w:rsid w:val="00FF1449"/>
    <w:rsid w:val="00FF7963"/>
    <w:rsid w:val="00FF7EE4"/>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BE3E0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BE3E00"/>
    <w:rPr>
      <w:rFonts w:ascii="Geomanist Light" w:hAnsi="Geomanist Light"/>
      <w:lang w:val="es-ES"/>
    </w:rPr>
  </w:style>
  <w:style w:type="character" w:customStyle="1" w:styleId="s15">
    <w:name w:val="s15"/>
    <w:basedOn w:val="Fuentedeprrafopredeter"/>
    <w:rsid w:val="00BE3E00"/>
  </w:style>
  <w:style w:type="character" w:customStyle="1" w:styleId="apple-converted-space">
    <w:name w:val="apple-converted-space"/>
    <w:basedOn w:val="Fuentedeprrafopredeter"/>
    <w:rsid w:val="00BE3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asesorajuridica2@cableaereomanizales.gov.co"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forms.office.com/r/pPHyWVs2S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049F5126-3C03-4474-9768-E8FB02822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B4A1F746-A61D-4ABC-84AE-EE091AF8322C}">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9</TotalTime>
  <Pages>25</Pages>
  <Words>8923</Words>
  <Characters>49078</Characters>
  <Application>Microsoft Office Word</Application>
  <DocSecurity>0</DocSecurity>
  <Lines>408</Lines>
  <Paragraphs>115</Paragraphs>
  <ScaleCrop>false</ScaleCrop>
  <Company/>
  <LinksUpToDate>false</LinksUpToDate>
  <CharactersWithSpaces>57886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5</cp:revision>
  <cp:lastPrinted>2023-01-10T21:18:00Z</cp:lastPrinted>
  <dcterms:created xsi:type="dcterms:W3CDTF">2026-07-15T11:41:00Z</dcterms:created>
  <dcterms:modified xsi:type="dcterms:W3CDTF">2026-07-16T00:00:00Z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