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4ACF2" w14:textId="1B1561B3" w:rsidR="00FE48DD" w:rsidRPr="00FE48DD" w:rsidRDefault="00FE48DD" w:rsidP="00FE48DD">
      <w:pPr>
        <w:spacing w:after="0" w:line="240" w:lineRule="auto"/>
        <w:jc w:val="both"/>
        <w:rPr>
          <w:rFonts w:ascii="Verdana" w:hAnsi="Verdana" w:cs="Arial"/>
          <w:b/>
          <w:bCs/>
          <w:color w:val="000000" w:themeColor="text1"/>
          <w:lang w:val="es-ES_tradnl"/>
        </w:rPr>
      </w:pPr>
      <w:bookmarkStart w:id="0" w:name="_Hlk143780582"/>
      <w:r w:rsidRPr="00FE48DD">
        <w:rPr>
          <w:rFonts w:ascii="Verdana" w:eastAsia="Calibri" w:hAnsi="Verdana" w:cs="Arial"/>
          <w:b/>
          <w:bCs/>
        </w:rPr>
        <w:t xml:space="preserve">CONTRATO DE PRESTACIÓN DE SERVICIOS – Concepto – Características </w:t>
      </w:r>
      <w:r w:rsidR="00F2033A" w:rsidRPr="00F2033A">
        <w:rPr>
          <w:rFonts w:ascii="Verdana" w:eastAsia="Calibri" w:hAnsi="Verdana" w:cs="Arial"/>
          <w:b/>
          <w:bCs/>
          <w:lang w:val="es-ES"/>
        </w:rPr>
        <w:t>–</w:t>
      </w:r>
      <w:r w:rsidRPr="00FE48DD">
        <w:rPr>
          <w:rFonts w:ascii="Verdana" w:eastAsia="Calibri" w:hAnsi="Verdana" w:cs="Arial"/>
          <w:b/>
          <w:bCs/>
        </w:rPr>
        <w:t xml:space="preserve"> </w:t>
      </w:r>
      <w:r w:rsidRPr="00FE48DD">
        <w:rPr>
          <w:rFonts w:ascii="Verdana" w:hAnsi="Verdana" w:cs="Arial"/>
          <w:b/>
          <w:bCs/>
          <w:color w:val="000000" w:themeColor="text1"/>
          <w:lang w:val="es-ES_tradnl"/>
        </w:rPr>
        <w:t>CONTRATO DE PRESTACIÓN DE SERVICIOS PROFESIONALES – Obligaciones – Cláusulas – Interpretación</w:t>
      </w:r>
    </w:p>
    <w:p w14:paraId="5D8212AC" w14:textId="77777777" w:rsidR="00FE48DD" w:rsidRDefault="00FE48DD" w:rsidP="00FE48DD">
      <w:pPr>
        <w:spacing w:after="0" w:line="240" w:lineRule="auto"/>
        <w:jc w:val="both"/>
        <w:rPr>
          <w:rFonts w:ascii="Verdana" w:hAnsi="Verdana" w:cs="Arial"/>
          <w:color w:val="000000" w:themeColor="text1"/>
          <w:lang w:val="es-ES_tradnl"/>
        </w:rPr>
      </w:pPr>
    </w:p>
    <w:p w14:paraId="70617429" w14:textId="77777777" w:rsidR="00FE48DD" w:rsidRPr="003F6E33" w:rsidRDefault="00FE48DD" w:rsidP="00FE48DD">
      <w:pPr>
        <w:spacing w:after="0" w:line="240" w:lineRule="auto"/>
        <w:jc w:val="both"/>
        <w:rPr>
          <w:rFonts w:ascii="Verdana" w:eastAsia="Calibri" w:hAnsi="Verdana" w:cs="Arial"/>
          <w:color w:val="000000"/>
          <w:sz w:val="20"/>
          <w:szCs w:val="20"/>
        </w:rPr>
      </w:pPr>
      <w:r w:rsidRPr="003F6E33">
        <w:rPr>
          <w:rFonts w:ascii="Verdana" w:eastAsia="Calibri" w:hAnsi="Verdana" w:cs="Arial"/>
          <w:sz w:val="20"/>
          <w:szCs w:val="20"/>
        </w:rPr>
        <w:t xml:space="preserve">El </w:t>
      </w:r>
      <w:r w:rsidRPr="003F6E33">
        <w:rPr>
          <w:rFonts w:ascii="Verdana" w:eastAsia="Calibri" w:hAnsi="Verdana" w:cs="Arial"/>
          <w:color w:val="000000"/>
          <w:sz w:val="20"/>
          <w:szCs w:val="20"/>
        </w:rPr>
        <w:t>contrato de prestación de servicios es uno de los tipos contractuales consagrados en el Estatuto General de Contratación de la Administración Pública – en adelante EGCAP –, que pueden celebrar las entidades estatales. Se trata de un contrato típico, ya que se encuentra definido en la ley. Concretamente, el artículo 32, numeral 3º, de la Ley 80 de 1993, establece:</w:t>
      </w:r>
    </w:p>
    <w:p w14:paraId="65B249D8" w14:textId="77777777" w:rsidR="00FE48DD" w:rsidRPr="009C2CE9" w:rsidRDefault="00FE48DD" w:rsidP="00FE48DD">
      <w:pPr>
        <w:spacing w:after="0" w:line="276" w:lineRule="auto"/>
        <w:jc w:val="both"/>
        <w:rPr>
          <w:rFonts w:ascii="Verdana" w:eastAsia="Calibri" w:hAnsi="Verdana" w:cs="Arial"/>
          <w:color w:val="000000"/>
        </w:rPr>
      </w:pPr>
    </w:p>
    <w:p w14:paraId="03C7D48A" w14:textId="77777777" w:rsidR="00FE48DD" w:rsidRPr="009C2CE9" w:rsidRDefault="00FE48DD" w:rsidP="00FE48DD">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9C2CE9">
        <w:rPr>
          <w:rFonts w:ascii="Verdana" w:eastAsia="Calibri" w:hAnsi="Verdana" w:cs="Arial"/>
          <w:color w:val="000000"/>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24316948" w14:textId="77777777" w:rsidR="00FE48DD" w:rsidRPr="009C2CE9" w:rsidRDefault="00FE48DD" w:rsidP="00FE48DD">
      <w:pPr>
        <w:spacing w:after="0" w:line="240" w:lineRule="auto"/>
        <w:ind w:left="709" w:right="709"/>
        <w:jc w:val="both"/>
        <w:rPr>
          <w:rFonts w:ascii="Verdana" w:eastAsia="Calibri" w:hAnsi="Verdana" w:cs="Arial"/>
          <w:color w:val="000000"/>
          <w:sz w:val="20"/>
          <w:szCs w:val="20"/>
        </w:rPr>
      </w:pPr>
    </w:p>
    <w:p w14:paraId="16A0BD02" w14:textId="77777777" w:rsidR="00FE48DD" w:rsidRDefault="00FE48DD" w:rsidP="00FE48DD">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En ningún caso estos contratos generan relación laboral ni prestaciones sociales y se celebrarán por el término estrictamente indispensable.</w:t>
      </w:r>
      <w:r>
        <w:rPr>
          <w:rFonts w:ascii="Verdana" w:eastAsia="Calibri" w:hAnsi="Verdana" w:cs="Arial"/>
          <w:color w:val="000000"/>
          <w:sz w:val="20"/>
          <w:szCs w:val="20"/>
        </w:rPr>
        <w:t>”</w:t>
      </w:r>
    </w:p>
    <w:p w14:paraId="74796696" w14:textId="77777777" w:rsidR="00FE48DD" w:rsidRPr="00FE48DD" w:rsidRDefault="00FE48DD" w:rsidP="00FE48DD">
      <w:pPr>
        <w:spacing w:after="0" w:line="240" w:lineRule="auto"/>
        <w:jc w:val="both"/>
        <w:rPr>
          <w:rFonts w:ascii="Verdana" w:hAnsi="Verdana" w:cs="Arial"/>
          <w:color w:val="000000" w:themeColor="text1"/>
        </w:rPr>
      </w:pPr>
    </w:p>
    <w:p w14:paraId="4E8E342E" w14:textId="45F72DDF" w:rsidR="00FE48DD" w:rsidRDefault="00FE48DD" w:rsidP="00FE48DD">
      <w:pPr>
        <w:spacing w:after="0" w:line="240" w:lineRule="auto"/>
        <w:jc w:val="both"/>
        <w:rPr>
          <w:rFonts w:ascii="Verdana" w:eastAsia="Geomanist Light" w:hAnsi="Verdana" w:cs="Arial"/>
          <w:color w:val="000000" w:themeColor="text1"/>
          <w:lang w:val="es-MX"/>
        </w:rPr>
      </w:pPr>
      <w:r>
        <w:rPr>
          <w:rFonts w:ascii="Verdana" w:eastAsia="Geomanist Light" w:hAnsi="Verdana" w:cs="Arial"/>
          <w:color w:val="000000" w:themeColor="text1"/>
          <w:lang w:val="es-MX"/>
        </w:rPr>
        <w:t xml:space="preserve">[…] </w:t>
      </w:r>
    </w:p>
    <w:p w14:paraId="558AFAF2" w14:textId="77777777" w:rsidR="00FE48DD" w:rsidRDefault="00FE48DD" w:rsidP="00FE48DD">
      <w:pPr>
        <w:spacing w:after="0" w:line="240" w:lineRule="auto"/>
        <w:jc w:val="both"/>
        <w:rPr>
          <w:rFonts w:ascii="Verdana" w:eastAsia="Geomanist Light" w:hAnsi="Verdana" w:cs="Arial"/>
          <w:color w:val="000000" w:themeColor="text1"/>
          <w:lang w:val="es-MX"/>
        </w:rPr>
      </w:pPr>
    </w:p>
    <w:p w14:paraId="13DC8FCF" w14:textId="0A8DB986" w:rsidR="00FE48DD" w:rsidRDefault="00FE48DD" w:rsidP="00FE48DD">
      <w:pPr>
        <w:spacing w:after="0" w:line="240" w:lineRule="auto"/>
        <w:jc w:val="both"/>
        <w:rPr>
          <w:rFonts w:ascii="Verdana" w:hAnsi="Verdana" w:cs="Arial"/>
          <w:b/>
          <w:bCs/>
          <w:color w:val="000000" w:themeColor="text1"/>
          <w:lang w:val="es-ES_tradnl"/>
        </w:rPr>
      </w:pPr>
      <w:r w:rsidRPr="00FE48DD">
        <w:rPr>
          <w:rFonts w:ascii="Verdana" w:hAnsi="Verdana" w:cs="Arial"/>
          <w:b/>
          <w:bCs/>
          <w:color w:val="000000" w:themeColor="text1"/>
          <w:lang w:val="es-ES_tradnl"/>
        </w:rPr>
        <w:t xml:space="preserve">EMPLEO PÚBLICO – </w:t>
      </w:r>
      <w:r w:rsidR="00A305A8">
        <w:rPr>
          <w:rFonts w:ascii="Verdana" w:hAnsi="Verdana" w:cs="Arial"/>
          <w:b/>
          <w:bCs/>
          <w:color w:val="000000" w:themeColor="text1"/>
          <w:lang w:val="es-ES_tradnl"/>
        </w:rPr>
        <w:t>D</w:t>
      </w:r>
      <w:r w:rsidRPr="00FE48DD">
        <w:rPr>
          <w:rFonts w:ascii="Verdana" w:hAnsi="Verdana" w:cs="Arial"/>
          <w:b/>
          <w:bCs/>
          <w:color w:val="000000" w:themeColor="text1"/>
          <w:lang w:val="es-ES_tradnl"/>
        </w:rPr>
        <w:t>istinción – Ascensos</w:t>
      </w:r>
    </w:p>
    <w:p w14:paraId="562CED2E" w14:textId="77777777" w:rsidR="00FE48DD" w:rsidRDefault="00FE48DD" w:rsidP="00FE48DD">
      <w:pPr>
        <w:spacing w:after="0" w:line="240" w:lineRule="auto"/>
        <w:jc w:val="both"/>
        <w:rPr>
          <w:rFonts w:ascii="Verdana" w:hAnsi="Verdana" w:cs="Arial"/>
          <w:b/>
          <w:bCs/>
          <w:color w:val="000000" w:themeColor="text1"/>
          <w:lang w:val="es-ES_tradnl"/>
        </w:rPr>
      </w:pPr>
    </w:p>
    <w:p w14:paraId="2FB42CBD" w14:textId="77777777" w:rsidR="00FE48DD" w:rsidRPr="003F6E33" w:rsidRDefault="00FE48DD" w:rsidP="00FE48DD">
      <w:pPr>
        <w:spacing w:after="120" w:line="276" w:lineRule="auto"/>
        <w:jc w:val="both"/>
        <w:rPr>
          <w:rFonts w:ascii="Verdana" w:eastAsia="Arial" w:hAnsi="Verdana" w:cs="Arial"/>
          <w:sz w:val="20"/>
          <w:szCs w:val="20"/>
        </w:rPr>
      </w:pPr>
      <w:r w:rsidRPr="003F6E33">
        <w:rPr>
          <w:rFonts w:ascii="Verdana" w:eastAsia="Arial" w:hAnsi="Verdana" w:cs="Arial"/>
          <w:sz w:val="20"/>
          <w:szCs w:val="20"/>
        </w:rPr>
        <w:t>De conformidad con el numeral 3 del artículo 32 de la Ley 80 de 1993, el contrato de prestación de servicios constituye una modalidad de contratación estatal destinada a desarrollar actividades relacionadas con la administración o funcionamiento de las entidades cuando estas no puedan realizarse con personal de planta o requieran conocimientos especializados. Su finalidad es satisfacer una necesidad específica de la entidad mediante un vínculo de naturaleza contractual, sin que ello implique la creación de una relación laboral ni el ingreso del contratista a la estructura administrativa de la entidad.</w:t>
      </w:r>
    </w:p>
    <w:p w14:paraId="2E252534" w14:textId="77777777" w:rsidR="00FE48DD" w:rsidRPr="003F6E33" w:rsidRDefault="00FE48DD" w:rsidP="00FE48DD">
      <w:pPr>
        <w:spacing w:after="120" w:line="276" w:lineRule="auto"/>
        <w:jc w:val="both"/>
        <w:rPr>
          <w:rFonts w:ascii="Verdana" w:eastAsia="Arial" w:hAnsi="Verdana" w:cs="Arial"/>
          <w:sz w:val="20"/>
          <w:szCs w:val="20"/>
        </w:rPr>
      </w:pPr>
      <w:r w:rsidRPr="003F6E33">
        <w:rPr>
          <w:rFonts w:ascii="Verdana" w:eastAsia="Arial" w:hAnsi="Verdana" w:cs="Arial"/>
          <w:sz w:val="20"/>
          <w:szCs w:val="20"/>
        </w:rPr>
        <w:t>En ese sentido, los contratistas que celebran contratos de prestación de servicios no adquieren la calidad de servidores públicos, no ocupan empleos públicos ni hacen parte de la planta de personal de la entidad. Por consiguiente, no les resulta aplicable el régimen de administración de personal previsto para los empleados públicos, incluyendo las figuras de nombramiento, carrera administrativa, promoción o ascenso, las cuales son propias de la existencia de un empleo público y de un vínculo legal y reglamentario.</w:t>
      </w:r>
    </w:p>
    <w:p w14:paraId="0750C76F" w14:textId="62110DDC" w:rsidR="00FE48DD" w:rsidRPr="003F6E33" w:rsidRDefault="00FE48DD" w:rsidP="00FE48DD">
      <w:pPr>
        <w:spacing w:after="0" w:line="240" w:lineRule="auto"/>
        <w:jc w:val="both"/>
        <w:rPr>
          <w:rFonts w:ascii="Verdana" w:eastAsia="Arial" w:hAnsi="Verdana" w:cs="Arial"/>
          <w:sz w:val="20"/>
          <w:szCs w:val="20"/>
        </w:rPr>
      </w:pPr>
      <w:r w:rsidRPr="003F6E33">
        <w:rPr>
          <w:rFonts w:ascii="Verdana" w:eastAsia="Arial" w:hAnsi="Verdana" w:cs="Arial"/>
          <w:sz w:val="20"/>
          <w:szCs w:val="20"/>
        </w:rPr>
        <w:t xml:space="preserve">Asimismo, las actividades encomendadas al contratista deben guardar relación directa con el objeto contractual y con las necesidades definidas en los estudios previos, sin que sea posible asignarle funciones o responsabilidades propias de los servidores públicos, trasladarle competencias que la ley reserva a estos o utilizar la contratación por prestación de servicios para suplir de manera permanente empleos de la planta de </w:t>
      </w:r>
      <w:r w:rsidRPr="003F6E33">
        <w:rPr>
          <w:rFonts w:ascii="Verdana" w:eastAsia="Arial" w:hAnsi="Verdana" w:cs="Arial"/>
          <w:sz w:val="20"/>
          <w:szCs w:val="20"/>
        </w:rPr>
        <w:lastRenderedPageBreak/>
        <w:t>personal. De igual forma, las instrucciones impartidas durante la ejecución contractual no pueden modificar ni ampliar el objeto del contrato hasta el punto de desnaturalizar la relación contractual.</w:t>
      </w:r>
    </w:p>
    <w:p w14:paraId="14ED3D2E" w14:textId="77777777" w:rsidR="00FE48DD" w:rsidRDefault="00FE48DD" w:rsidP="00FE48DD">
      <w:pPr>
        <w:spacing w:after="0" w:line="240" w:lineRule="auto"/>
        <w:jc w:val="both"/>
        <w:rPr>
          <w:rFonts w:ascii="Verdana" w:eastAsia="Arial" w:hAnsi="Verdana" w:cs="Arial"/>
        </w:rPr>
      </w:pPr>
    </w:p>
    <w:p w14:paraId="74ECF39E" w14:textId="77777777" w:rsidR="00FE48DD" w:rsidRPr="00FE48DD" w:rsidRDefault="00FE48DD" w:rsidP="00FE48DD">
      <w:pPr>
        <w:spacing w:after="0" w:line="240" w:lineRule="auto"/>
        <w:jc w:val="both"/>
        <w:rPr>
          <w:rFonts w:ascii="Verdana" w:eastAsia="Geomanist Light" w:hAnsi="Verdana" w:cs="Arial"/>
          <w:b/>
          <w:bCs/>
          <w:color w:val="000000" w:themeColor="text1"/>
          <w:lang w:val="es-MX"/>
        </w:rPr>
      </w:pPr>
    </w:p>
    <w:p w14:paraId="73D0071A" w14:textId="77777777" w:rsidR="00FE48DD" w:rsidRDefault="00FE48DD" w:rsidP="00593FB6">
      <w:pPr>
        <w:spacing w:after="0" w:line="240" w:lineRule="auto"/>
        <w:rPr>
          <w:rFonts w:ascii="Verdana" w:eastAsia="Geomanist Light" w:hAnsi="Verdana" w:cs="Arial"/>
          <w:color w:val="000000" w:themeColor="text1"/>
          <w:lang w:val="es-MX"/>
        </w:rPr>
      </w:pPr>
    </w:p>
    <w:p w14:paraId="2EE700B5" w14:textId="77777777" w:rsidR="00FE48DD" w:rsidRDefault="00FE48DD" w:rsidP="00593FB6">
      <w:pPr>
        <w:spacing w:after="0" w:line="240" w:lineRule="auto"/>
        <w:rPr>
          <w:rFonts w:ascii="Verdana" w:eastAsia="Geomanist Light" w:hAnsi="Verdana" w:cs="Arial"/>
          <w:color w:val="000000" w:themeColor="text1"/>
          <w:lang w:val="es-MX"/>
        </w:rPr>
      </w:pPr>
    </w:p>
    <w:p w14:paraId="413864DB" w14:textId="77777777" w:rsidR="00FE48DD" w:rsidRDefault="00FE48DD" w:rsidP="00593FB6">
      <w:pPr>
        <w:spacing w:after="0" w:line="240" w:lineRule="auto"/>
        <w:rPr>
          <w:rFonts w:ascii="Verdana" w:eastAsia="Geomanist Light" w:hAnsi="Verdana" w:cs="Arial"/>
          <w:color w:val="000000" w:themeColor="text1"/>
          <w:lang w:val="es-MX"/>
        </w:rPr>
      </w:pPr>
    </w:p>
    <w:p w14:paraId="33249544" w14:textId="77777777" w:rsidR="00FE48DD" w:rsidRDefault="00FE48DD" w:rsidP="00593FB6">
      <w:pPr>
        <w:spacing w:after="0" w:line="240" w:lineRule="auto"/>
        <w:rPr>
          <w:rFonts w:ascii="Verdana" w:eastAsia="Geomanist Light" w:hAnsi="Verdana" w:cs="Arial"/>
          <w:color w:val="000000" w:themeColor="text1"/>
          <w:lang w:val="es-MX"/>
        </w:rPr>
      </w:pPr>
    </w:p>
    <w:p w14:paraId="300FE3B1" w14:textId="77777777" w:rsidR="00FE48DD" w:rsidRDefault="00FE48DD" w:rsidP="00593FB6">
      <w:pPr>
        <w:spacing w:after="0" w:line="240" w:lineRule="auto"/>
        <w:rPr>
          <w:rFonts w:ascii="Verdana" w:eastAsia="Geomanist Light" w:hAnsi="Verdana" w:cs="Arial"/>
          <w:color w:val="000000" w:themeColor="text1"/>
          <w:lang w:val="es-MX"/>
        </w:rPr>
      </w:pPr>
    </w:p>
    <w:p w14:paraId="20E4BD77" w14:textId="77777777" w:rsidR="00FE48DD" w:rsidRDefault="00FE48DD" w:rsidP="00593FB6">
      <w:pPr>
        <w:spacing w:after="0" w:line="240" w:lineRule="auto"/>
        <w:rPr>
          <w:rFonts w:ascii="Verdana" w:eastAsia="Geomanist Light" w:hAnsi="Verdana" w:cs="Arial"/>
          <w:color w:val="000000" w:themeColor="text1"/>
          <w:lang w:val="es-MX"/>
        </w:rPr>
      </w:pPr>
    </w:p>
    <w:p w14:paraId="3545AAC5" w14:textId="77777777" w:rsidR="00FE48DD" w:rsidRDefault="00FE48DD" w:rsidP="00593FB6">
      <w:pPr>
        <w:spacing w:after="0" w:line="240" w:lineRule="auto"/>
        <w:rPr>
          <w:rFonts w:ascii="Verdana" w:eastAsia="Geomanist Light" w:hAnsi="Verdana" w:cs="Arial"/>
          <w:color w:val="000000" w:themeColor="text1"/>
          <w:lang w:val="es-MX"/>
        </w:rPr>
      </w:pPr>
    </w:p>
    <w:p w14:paraId="59DB51F5" w14:textId="77777777" w:rsidR="00FE48DD" w:rsidRDefault="00FE48DD" w:rsidP="00593FB6">
      <w:pPr>
        <w:spacing w:after="0" w:line="240" w:lineRule="auto"/>
        <w:rPr>
          <w:rFonts w:ascii="Verdana" w:eastAsia="Geomanist Light" w:hAnsi="Verdana" w:cs="Arial"/>
          <w:color w:val="000000" w:themeColor="text1"/>
          <w:lang w:val="es-MX"/>
        </w:rPr>
      </w:pPr>
    </w:p>
    <w:p w14:paraId="411A9BC9" w14:textId="77777777" w:rsidR="00FE48DD" w:rsidRDefault="00FE48DD" w:rsidP="00593FB6">
      <w:pPr>
        <w:spacing w:after="0" w:line="240" w:lineRule="auto"/>
        <w:rPr>
          <w:rFonts w:ascii="Verdana" w:eastAsia="Geomanist Light" w:hAnsi="Verdana" w:cs="Arial"/>
          <w:color w:val="000000" w:themeColor="text1"/>
          <w:lang w:val="es-MX"/>
        </w:rPr>
      </w:pPr>
    </w:p>
    <w:p w14:paraId="3FA50ED9" w14:textId="77777777" w:rsidR="00FE48DD" w:rsidRDefault="00FE48DD" w:rsidP="00593FB6">
      <w:pPr>
        <w:spacing w:after="0" w:line="240" w:lineRule="auto"/>
        <w:rPr>
          <w:rFonts w:ascii="Verdana" w:eastAsia="Geomanist Light" w:hAnsi="Verdana" w:cs="Arial"/>
          <w:color w:val="000000" w:themeColor="text1"/>
          <w:lang w:val="es-MX"/>
        </w:rPr>
      </w:pPr>
    </w:p>
    <w:p w14:paraId="7B55E9BB" w14:textId="77777777" w:rsidR="00FE48DD" w:rsidRDefault="00FE48DD" w:rsidP="00593FB6">
      <w:pPr>
        <w:spacing w:after="0" w:line="240" w:lineRule="auto"/>
        <w:rPr>
          <w:rFonts w:ascii="Verdana" w:eastAsia="Geomanist Light" w:hAnsi="Verdana" w:cs="Arial"/>
          <w:color w:val="000000" w:themeColor="text1"/>
          <w:lang w:val="es-MX"/>
        </w:rPr>
      </w:pPr>
    </w:p>
    <w:p w14:paraId="2BDFFDAC" w14:textId="77777777" w:rsidR="00FE48DD" w:rsidRDefault="00FE48DD" w:rsidP="00593FB6">
      <w:pPr>
        <w:spacing w:after="0" w:line="240" w:lineRule="auto"/>
        <w:rPr>
          <w:rFonts w:ascii="Verdana" w:eastAsia="Geomanist Light" w:hAnsi="Verdana" w:cs="Arial"/>
          <w:color w:val="000000" w:themeColor="text1"/>
          <w:lang w:val="es-MX"/>
        </w:rPr>
      </w:pPr>
    </w:p>
    <w:p w14:paraId="4357D710" w14:textId="77777777" w:rsidR="00FE48DD" w:rsidRDefault="00FE48DD" w:rsidP="00593FB6">
      <w:pPr>
        <w:spacing w:after="0" w:line="240" w:lineRule="auto"/>
        <w:rPr>
          <w:rFonts w:ascii="Verdana" w:eastAsia="Geomanist Light" w:hAnsi="Verdana" w:cs="Arial"/>
          <w:color w:val="000000" w:themeColor="text1"/>
          <w:lang w:val="es-MX"/>
        </w:rPr>
      </w:pPr>
    </w:p>
    <w:p w14:paraId="560FE697" w14:textId="77777777" w:rsidR="00FE48DD" w:rsidRDefault="00FE48DD" w:rsidP="00593FB6">
      <w:pPr>
        <w:spacing w:after="0" w:line="240" w:lineRule="auto"/>
        <w:rPr>
          <w:rFonts w:ascii="Verdana" w:eastAsia="Geomanist Light" w:hAnsi="Verdana" w:cs="Arial"/>
          <w:color w:val="000000" w:themeColor="text1"/>
          <w:lang w:val="es-MX"/>
        </w:rPr>
      </w:pPr>
    </w:p>
    <w:p w14:paraId="23B58EBE" w14:textId="77777777" w:rsidR="00FE48DD" w:rsidRDefault="00FE48DD" w:rsidP="00593FB6">
      <w:pPr>
        <w:spacing w:after="0" w:line="240" w:lineRule="auto"/>
        <w:rPr>
          <w:rFonts w:ascii="Verdana" w:eastAsia="Geomanist Light" w:hAnsi="Verdana" w:cs="Arial"/>
          <w:color w:val="000000" w:themeColor="text1"/>
          <w:lang w:val="es-MX"/>
        </w:rPr>
      </w:pPr>
    </w:p>
    <w:p w14:paraId="209419E6" w14:textId="77777777" w:rsidR="00FE48DD" w:rsidRDefault="00FE48DD" w:rsidP="00593FB6">
      <w:pPr>
        <w:spacing w:after="0" w:line="240" w:lineRule="auto"/>
        <w:rPr>
          <w:rFonts w:ascii="Verdana" w:eastAsia="Geomanist Light" w:hAnsi="Verdana" w:cs="Arial"/>
          <w:color w:val="000000" w:themeColor="text1"/>
          <w:lang w:val="es-MX"/>
        </w:rPr>
      </w:pPr>
    </w:p>
    <w:p w14:paraId="10C1BCE1" w14:textId="77777777" w:rsidR="00FE48DD" w:rsidRDefault="00FE48DD" w:rsidP="00593FB6">
      <w:pPr>
        <w:spacing w:after="0" w:line="240" w:lineRule="auto"/>
        <w:rPr>
          <w:rFonts w:ascii="Verdana" w:eastAsia="Geomanist Light" w:hAnsi="Verdana" w:cs="Arial"/>
          <w:color w:val="000000" w:themeColor="text1"/>
          <w:lang w:val="es-MX"/>
        </w:rPr>
      </w:pPr>
    </w:p>
    <w:p w14:paraId="52CDC9E0" w14:textId="77777777" w:rsidR="00FE48DD" w:rsidRDefault="00FE48DD" w:rsidP="00593FB6">
      <w:pPr>
        <w:spacing w:after="0" w:line="240" w:lineRule="auto"/>
        <w:rPr>
          <w:rFonts w:ascii="Verdana" w:eastAsia="Geomanist Light" w:hAnsi="Verdana" w:cs="Arial"/>
          <w:color w:val="000000" w:themeColor="text1"/>
          <w:lang w:val="es-MX"/>
        </w:rPr>
      </w:pPr>
    </w:p>
    <w:p w14:paraId="48C5A8E4" w14:textId="77777777" w:rsidR="00FE48DD" w:rsidRDefault="00FE48DD" w:rsidP="00593FB6">
      <w:pPr>
        <w:spacing w:after="0" w:line="240" w:lineRule="auto"/>
        <w:rPr>
          <w:rFonts w:ascii="Verdana" w:eastAsia="Geomanist Light" w:hAnsi="Verdana" w:cs="Arial"/>
          <w:color w:val="000000" w:themeColor="text1"/>
          <w:lang w:val="es-MX"/>
        </w:rPr>
      </w:pPr>
    </w:p>
    <w:p w14:paraId="5E84885C" w14:textId="77777777" w:rsidR="00FE48DD" w:rsidRDefault="00FE48DD" w:rsidP="00593FB6">
      <w:pPr>
        <w:spacing w:after="0" w:line="240" w:lineRule="auto"/>
        <w:rPr>
          <w:rFonts w:ascii="Verdana" w:eastAsia="Geomanist Light" w:hAnsi="Verdana" w:cs="Arial"/>
          <w:color w:val="000000" w:themeColor="text1"/>
          <w:lang w:val="es-MX"/>
        </w:rPr>
      </w:pPr>
    </w:p>
    <w:p w14:paraId="712A3B74" w14:textId="77777777" w:rsidR="00FE48DD" w:rsidRDefault="00FE48DD" w:rsidP="00593FB6">
      <w:pPr>
        <w:spacing w:after="0" w:line="240" w:lineRule="auto"/>
        <w:rPr>
          <w:rFonts w:ascii="Verdana" w:eastAsia="Geomanist Light" w:hAnsi="Verdana" w:cs="Arial"/>
          <w:color w:val="000000" w:themeColor="text1"/>
          <w:lang w:val="es-MX"/>
        </w:rPr>
      </w:pPr>
    </w:p>
    <w:p w14:paraId="031F3D76" w14:textId="77777777" w:rsidR="00FE48DD" w:rsidRDefault="00FE48DD" w:rsidP="00593FB6">
      <w:pPr>
        <w:spacing w:after="0" w:line="240" w:lineRule="auto"/>
        <w:rPr>
          <w:rFonts w:ascii="Verdana" w:eastAsia="Geomanist Light" w:hAnsi="Verdana" w:cs="Arial"/>
          <w:color w:val="000000" w:themeColor="text1"/>
          <w:lang w:val="es-MX"/>
        </w:rPr>
      </w:pPr>
    </w:p>
    <w:p w14:paraId="00A6A4F9" w14:textId="77777777" w:rsidR="00FE48DD" w:rsidRDefault="00FE48DD" w:rsidP="00593FB6">
      <w:pPr>
        <w:spacing w:after="0" w:line="240" w:lineRule="auto"/>
        <w:rPr>
          <w:rFonts w:ascii="Verdana" w:eastAsia="Geomanist Light" w:hAnsi="Verdana" w:cs="Arial"/>
          <w:color w:val="000000" w:themeColor="text1"/>
          <w:lang w:val="es-MX"/>
        </w:rPr>
      </w:pPr>
    </w:p>
    <w:p w14:paraId="4C6B3802" w14:textId="77777777" w:rsidR="00FE48DD" w:rsidRDefault="00FE48DD" w:rsidP="00593FB6">
      <w:pPr>
        <w:spacing w:after="0" w:line="240" w:lineRule="auto"/>
        <w:rPr>
          <w:rFonts w:ascii="Verdana" w:eastAsia="Geomanist Light" w:hAnsi="Verdana" w:cs="Arial"/>
          <w:color w:val="000000" w:themeColor="text1"/>
          <w:lang w:val="es-MX"/>
        </w:rPr>
      </w:pPr>
    </w:p>
    <w:p w14:paraId="54DBEDD0" w14:textId="77777777" w:rsidR="00FE48DD" w:rsidRDefault="00FE48DD" w:rsidP="00593FB6">
      <w:pPr>
        <w:spacing w:after="0" w:line="240" w:lineRule="auto"/>
        <w:rPr>
          <w:rFonts w:ascii="Verdana" w:eastAsia="Geomanist Light" w:hAnsi="Verdana" w:cs="Arial"/>
          <w:color w:val="000000" w:themeColor="text1"/>
          <w:lang w:val="es-MX"/>
        </w:rPr>
      </w:pPr>
    </w:p>
    <w:p w14:paraId="53C06FA0" w14:textId="77777777" w:rsidR="00FE48DD" w:rsidRDefault="00FE48DD" w:rsidP="00593FB6">
      <w:pPr>
        <w:spacing w:after="0" w:line="240" w:lineRule="auto"/>
        <w:rPr>
          <w:rFonts w:ascii="Verdana" w:eastAsia="Geomanist Light" w:hAnsi="Verdana" w:cs="Arial"/>
          <w:color w:val="000000" w:themeColor="text1"/>
          <w:lang w:val="es-MX"/>
        </w:rPr>
      </w:pPr>
    </w:p>
    <w:p w14:paraId="14619E3B" w14:textId="77777777" w:rsidR="00FE48DD" w:rsidRDefault="00FE48DD" w:rsidP="00593FB6">
      <w:pPr>
        <w:spacing w:after="0" w:line="240" w:lineRule="auto"/>
        <w:rPr>
          <w:rFonts w:ascii="Verdana" w:eastAsia="Geomanist Light" w:hAnsi="Verdana" w:cs="Arial"/>
          <w:color w:val="000000" w:themeColor="text1"/>
          <w:lang w:val="es-MX"/>
        </w:rPr>
      </w:pPr>
    </w:p>
    <w:p w14:paraId="1CC37E8A" w14:textId="77777777" w:rsidR="00FE48DD" w:rsidRDefault="00FE48DD" w:rsidP="00593FB6">
      <w:pPr>
        <w:spacing w:after="0" w:line="240" w:lineRule="auto"/>
        <w:rPr>
          <w:rFonts w:ascii="Verdana" w:eastAsia="Geomanist Light" w:hAnsi="Verdana" w:cs="Arial"/>
          <w:color w:val="000000" w:themeColor="text1"/>
          <w:lang w:val="es-MX"/>
        </w:rPr>
      </w:pPr>
    </w:p>
    <w:p w14:paraId="55F4EDB7" w14:textId="77777777" w:rsidR="00FE48DD" w:rsidRDefault="00FE48DD" w:rsidP="00593FB6">
      <w:pPr>
        <w:spacing w:after="0" w:line="240" w:lineRule="auto"/>
        <w:rPr>
          <w:rFonts w:ascii="Verdana" w:eastAsia="Geomanist Light" w:hAnsi="Verdana" w:cs="Arial"/>
          <w:color w:val="000000" w:themeColor="text1"/>
          <w:lang w:val="es-MX"/>
        </w:rPr>
      </w:pPr>
    </w:p>
    <w:p w14:paraId="199BB97A" w14:textId="77777777" w:rsidR="00FE48DD" w:rsidRDefault="00FE48DD" w:rsidP="00593FB6">
      <w:pPr>
        <w:spacing w:after="0" w:line="240" w:lineRule="auto"/>
        <w:rPr>
          <w:rFonts w:ascii="Verdana" w:eastAsia="Geomanist Light" w:hAnsi="Verdana" w:cs="Arial"/>
          <w:color w:val="000000" w:themeColor="text1"/>
          <w:lang w:val="es-MX"/>
        </w:rPr>
      </w:pPr>
    </w:p>
    <w:p w14:paraId="2A0EC232" w14:textId="77777777" w:rsidR="00FE48DD" w:rsidRDefault="00FE48DD" w:rsidP="00593FB6">
      <w:pPr>
        <w:spacing w:after="0" w:line="240" w:lineRule="auto"/>
        <w:rPr>
          <w:rFonts w:ascii="Verdana" w:eastAsia="Geomanist Light" w:hAnsi="Verdana" w:cs="Arial"/>
          <w:color w:val="000000" w:themeColor="text1"/>
          <w:lang w:val="es-MX"/>
        </w:rPr>
      </w:pPr>
    </w:p>
    <w:p w14:paraId="1BBF2B2A" w14:textId="77777777" w:rsidR="00FE48DD" w:rsidRDefault="00FE48DD" w:rsidP="00593FB6">
      <w:pPr>
        <w:spacing w:after="0" w:line="240" w:lineRule="auto"/>
        <w:rPr>
          <w:rFonts w:ascii="Verdana" w:eastAsia="Geomanist Light" w:hAnsi="Verdana" w:cs="Arial"/>
          <w:color w:val="000000" w:themeColor="text1"/>
          <w:lang w:val="es-MX"/>
        </w:rPr>
      </w:pPr>
    </w:p>
    <w:p w14:paraId="0FC67137" w14:textId="77777777" w:rsidR="003F6E33" w:rsidRDefault="003F6E33" w:rsidP="00593FB6">
      <w:pPr>
        <w:spacing w:after="0" w:line="240" w:lineRule="auto"/>
        <w:rPr>
          <w:rFonts w:ascii="Verdana" w:eastAsia="Geomanist Light" w:hAnsi="Verdana" w:cs="Arial"/>
          <w:color w:val="000000" w:themeColor="text1"/>
          <w:lang w:val="es-MX"/>
        </w:rPr>
      </w:pPr>
    </w:p>
    <w:p w14:paraId="3FA1ECDA" w14:textId="77777777" w:rsidR="003F6E33" w:rsidRDefault="003F6E33" w:rsidP="00593FB6">
      <w:pPr>
        <w:spacing w:after="0" w:line="240" w:lineRule="auto"/>
        <w:rPr>
          <w:rFonts w:ascii="Verdana" w:eastAsia="Geomanist Light" w:hAnsi="Verdana" w:cs="Arial"/>
          <w:color w:val="000000" w:themeColor="text1"/>
          <w:lang w:val="es-MX"/>
        </w:rPr>
      </w:pPr>
    </w:p>
    <w:p w14:paraId="4EEAE803" w14:textId="77777777" w:rsidR="003F6E33" w:rsidRDefault="003F6E33" w:rsidP="00593FB6">
      <w:pPr>
        <w:spacing w:after="0" w:line="240" w:lineRule="auto"/>
        <w:rPr>
          <w:rFonts w:ascii="Verdana" w:eastAsia="Geomanist Light" w:hAnsi="Verdana" w:cs="Arial"/>
          <w:color w:val="000000" w:themeColor="text1"/>
          <w:lang w:val="es-MX"/>
        </w:rPr>
      </w:pPr>
    </w:p>
    <w:p w14:paraId="67A2D67D" w14:textId="77777777" w:rsidR="003F6E33" w:rsidRDefault="003F6E33" w:rsidP="00593FB6">
      <w:pPr>
        <w:spacing w:after="0" w:line="240" w:lineRule="auto"/>
        <w:rPr>
          <w:rFonts w:ascii="Verdana" w:eastAsia="Geomanist Light" w:hAnsi="Verdana" w:cs="Arial"/>
          <w:color w:val="000000" w:themeColor="text1"/>
          <w:lang w:val="es-MX"/>
        </w:rPr>
      </w:pPr>
    </w:p>
    <w:p w14:paraId="3724BFD6" w14:textId="77777777" w:rsidR="00FD59C2" w:rsidRDefault="00FD59C2" w:rsidP="00593FB6">
      <w:pPr>
        <w:spacing w:after="0" w:line="240" w:lineRule="auto"/>
        <w:rPr>
          <w:rFonts w:ascii="Verdana" w:eastAsia="Geomanist Light" w:hAnsi="Verdana" w:cs="Arial"/>
          <w:color w:val="000000" w:themeColor="text1"/>
          <w:lang w:val="es-MX"/>
        </w:rPr>
      </w:pPr>
    </w:p>
    <w:p w14:paraId="33094C1A" w14:textId="241AE736" w:rsidR="00593FB6" w:rsidRPr="0050687B" w:rsidRDefault="00593FB6" w:rsidP="00593FB6">
      <w:pPr>
        <w:spacing w:after="0" w:line="240" w:lineRule="auto"/>
        <w:rPr>
          <w:rFonts w:ascii="Verdana" w:eastAsia="Times New Roman" w:hAnsi="Verdana" w:cs="Arial"/>
          <w:lang w:eastAsia="es-ES_tradnl"/>
        </w:rPr>
      </w:pPr>
      <w:r w:rsidRPr="00CF64C0">
        <w:rPr>
          <w:rFonts w:ascii="Verdana" w:eastAsia="Geomanist Light" w:hAnsi="Verdana" w:cs="Arial"/>
          <w:color w:val="000000" w:themeColor="text1"/>
          <w:lang w:val="es-MX"/>
        </w:rPr>
        <w:lastRenderedPageBreak/>
        <w:t>Bogotá D.C., </w:t>
      </w:r>
      <w:r w:rsidR="00FE48DD">
        <w:rPr>
          <w:rFonts w:ascii="Verdana" w:eastAsia="Geomanist Light" w:hAnsi="Verdana" w:cs="Arial"/>
          <w:color w:val="201F1E"/>
          <w:lang w:val="es-MX"/>
        </w:rPr>
        <w:t>07</w:t>
      </w:r>
      <w:r w:rsidRPr="00CF64C0">
        <w:rPr>
          <w:rFonts w:ascii="Verdana" w:eastAsia="Geomanist Light" w:hAnsi="Verdana" w:cs="Arial"/>
          <w:color w:val="201F1E"/>
          <w:lang w:val="es-MX"/>
        </w:rPr>
        <w:t xml:space="preserve"> de</w:t>
      </w:r>
      <w:r w:rsidR="00FE48DD">
        <w:rPr>
          <w:rFonts w:ascii="Verdana" w:eastAsia="Geomanist Light" w:hAnsi="Verdana" w:cs="Arial"/>
          <w:color w:val="201F1E"/>
          <w:lang w:val="es-MX"/>
        </w:rPr>
        <w:t xml:space="preserve"> julio</w:t>
      </w:r>
      <w:r w:rsidRPr="00CF64C0">
        <w:rPr>
          <w:rFonts w:ascii="Verdana" w:eastAsia="Geomanist Light" w:hAnsi="Verdana" w:cs="Arial"/>
          <w:color w:val="201F1E"/>
          <w:lang w:val="es-MX"/>
        </w:rPr>
        <w:t xml:space="preserve"> de </w:t>
      </w:r>
      <w:r w:rsidR="00FE48DD">
        <w:rPr>
          <w:rFonts w:ascii="Verdana" w:eastAsia="Geomanist Light" w:hAnsi="Verdana" w:cs="Arial"/>
          <w:color w:val="201F1E"/>
          <w:lang w:val="es-MX"/>
        </w:rPr>
        <w:t>2026</w:t>
      </w:r>
    </w:p>
    <w:p w14:paraId="06B947F5" w14:textId="155719D2" w:rsidR="00593FB6" w:rsidRPr="00E5551A" w:rsidRDefault="00593FB6" w:rsidP="00593FB6">
      <w:pPr>
        <w:spacing w:after="0" w:line="240" w:lineRule="auto"/>
        <w:jc w:val="both"/>
        <w:rPr>
          <w:rFonts w:ascii="Verdana" w:eastAsia="Calibri" w:hAnsi="Verdana" w:cs="Arial"/>
          <w:color w:val="000000" w:themeColor="text1"/>
        </w:rPr>
      </w:pPr>
    </w:p>
    <w:p w14:paraId="0D0A3290" w14:textId="49863F91" w:rsidR="00593FB6" w:rsidRDefault="003F6E33" w:rsidP="00FE48DD">
      <w:pPr>
        <w:spacing w:after="0" w:line="240" w:lineRule="auto"/>
        <w:ind w:left="4956"/>
        <w:jc w:val="both"/>
        <w:rPr>
          <w:rFonts w:ascii="Verdana" w:eastAsia="Calibri" w:hAnsi="Verdana" w:cs="Arial"/>
          <w:color w:val="000000" w:themeColor="text1"/>
          <w:lang w:val="es-ES" w:eastAsia="es-ES"/>
        </w:rPr>
      </w:pPr>
      <w:r w:rsidRPr="00FE48DD">
        <w:rPr>
          <w:rFonts w:ascii="Verdana" w:eastAsia="Calibri" w:hAnsi="Verdana" w:cs="Arial"/>
          <w:noProof/>
          <w:color w:val="000000" w:themeColor="text1"/>
          <w:lang w:val="es-ES" w:eastAsia="es-ES"/>
        </w:rPr>
        <w:drawing>
          <wp:anchor distT="0" distB="0" distL="114300" distR="114300" simplePos="0" relativeHeight="251658240" behindDoc="0" locked="0" layoutInCell="1" allowOverlap="1" wp14:anchorId="797C8C26" wp14:editId="3E140207">
            <wp:simplePos x="0" y="0"/>
            <wp:positionH relativeFrom="margin">
              <wp:align>right</wp:align>
            </wp:positionH>
            <wp:positionV relativeFrom="paragraph">
              <wp:posOffset>10325</wp:posOffset>
            </wp:positionV>
            <wp:extent cx="2283460" cy="772160"/>
            <wp:effectExtent l="0" t="0" r="2540" b="8890"/>
            <wp:wrapSquare wrapText="bothSides"/>
            <wp:docPr id="16634431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43116" name=""/>
                    <pic:cNvPicPr/>
                  </pic:nvPicPr>
                  <pic:blipFill>
                    <a:blip r:embed="rId11">
                      <a:extLst>
                        <a:ext uri="{28A0092B-C50C-407E-A947-70E740481C1C}">
                          <a14:useLocalDpi xmlns:a14="http://schemas.microsoft.com/office/drawing/2010/main" val="0"/>
                        </a:ext>
                      </a:extLst>
                    </a:blip>
                    <a:stretch>
                      <a:fillRect/>
                    </a:stretch>
                  </pic:blipFill>
                  <pic:spPr>
                    <a:xfrm>
                      <a:off x="0" y="0"/>
                      <a:ext cx="2283460" cy="772160"/>
                    </a:xfrm>
                    <a:prstGeom prst="rect">
                      <a:avLst/>
                    </a:prstGeom>
                  </pic:spPr>
                </pic:pic>
              </a:graphicData>
            </a:graphic>
            <wp14:sizeRelH relativeFrom="margin">
              <wp14:pctWidth>0</wp14:pctWidth>
            </wp14:sizeRelH>
            <wp14:sizeRelV relativeFrom="margin">
              <wp14:pctHeight>0</wp14:pctHeight>
            </wp14:sizeRelV>
          </wp:anchor>
        </w:drawing>
      </w:r>
    </w:p>
    <w:p w14:paraId="5B426666" w14:textId="77777777" w:rsidR="00593FB6" w:rsidRPr="0046108F" w:rsidRDefault="00593FB6" w:rsidP="00593FB6">
      <w:pPr>
        <w:spacing w:after="0" w:line="240" w:lineRule="auto"/>
        <w:jc w:val="both"/>
        <w:rPr>
          <w:rFonts w:ascii="Verdana" w:eastAsia="Calibri" w:hAnsi="Verdana" w:cs="Arial"/>
          <w:color w:val="000000" w:themeColor="text1"/>
          <w:lang w:val="es-ES" w:eastAsia="es-ES"/>
        </w:rPr>
      </w:pPr>
      <w:r w:rsidRPr="0046108F">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a</w:t>
      </w:r>
    </w:p>
    <w:p w14:paraId="1D5F37B7" w14:textId="77777777" w:rsidR="00593FB6" w:rsidRPr="00853D78" w:rsidRDefault="00593FB6" w:rsidP="00593FB6">
      <w:pPr>
        <w:spacing w:after="0" w:line="240" w:lineRule="auto"/>
        <w:rPr>
          <w:rFonts w:ascii="Verdana" w:eastAsia="Calibri" w:hAnsi="Verdana" w:cs="Arial"/>
          <w:b/>
          <w:bCs/>
          <w:lang w:eastAsia="es-ES"/>
        </w:rPr>
      </w:pPr>
      <w:r w:rsidRPr="00853D78">
        <w:rPr>
          <w:rFonts w:ascii="Verdana" w:eastAsia="Calibri" w:hAnsi="Verdana" w:cs="Arial"/>
          <w:b/>
          <w:bCs/>
          <w:lang w:eastAsia="es-ES"/>
        </w:rPr>
        <w:t>Andrea Stephania Duran Reinoso</w:t>
      </w:r>
    </w:p>
    <w:p w14:paraId="68E92718" w14:textId="77777777" w:rsidR="00593FB6" w:rsidRPr="003E4E19" w:rsidRDefault="00593FB6" w:rsidP="00593FB6">
      <w:pPr>
        <w:spacing w:after="0" w:line="240" w:lineRule="auto"/>
        <w:rPr>
          <w:rFonts w:ascii="Verdana" w:eastAsia="Calibri" w:hAnsi="Verdana" w:cs="Arial"/>
          <w:lang w:eastAsia="es-ES"/>
        </w:rPr>
      </w:pPr>
      <w:hyperlink r:id="rId12" w:history="1">
        <w:r w:rsidRPr="008D5A14">
          <w:rPr>
            <w:rStyle w:val="Hipervnculo"/>
            <w:rFonts w:ascii="Verdana" w:hAnsi="Verdana"/>
          </w:rPr>
          <w:t>Argenis313@hotmail.com</w:t>
        </w:r>
      </w:hyperlink>
      <w:r w:rsidRPr="008D5A14">
        <w:rPr>
          <w:rFonts w:ascii="Verdana" w:hAnsi="Verdana"/>
        </w:rPr>
        <w:t xml:space="preserve">; </w:t>
      </w:r>
    </w:p>
    <w:p w14:paraId="538DA5B9" w14:textId="77777777" w:rsidR="00593FB6" w:rsidRPr="006B17A7" w:rsidRDefault="00593FB6" w:rsidP="00593FB6">
      <w:pPr>
        <w:spacing w:after="0" w:line="240" w:lineRule="auto"/>
        <w:rPr>
          <w:rFonts w:ascii="Verdana" w:eastAsia="Calibri" w:hAnsi="Verdana" w:cs="Arial"/>
          <w:b/>
          <w:bCs/>
          <w:lang w:val="es-ES" w:eastAsia="es-ES"/>
        </w:rPr>
      </w:pPr>
      <w:r>
        <w:rPr>
          <w:rFonts w:ascii="Verdana" w:eastAsia="Calibri" w:hAnsi="Verdana" w:cs="Arial"/>
          <w:lang w:val="es-ES" w:eastAsia="es-ES"/>
        </w:rPr>
        <w:t>Bogotá D.C.</w:t>
      </w:r>
    </w:p>
    <w:p w14:paraId="7C1B9A85" w14:textId="77777777" w:rsidR="00593FB6" w:rsidRPr="00CB7ABE" w:rsidRDefault="00593FB6" w:rsidP="00593FB6">
      <w:pPr>
        <w:spacing w:after="0" w:line="240" w:lineRule="auto"/>
        <w:rPr>
          <w:rFonts w:ascii="Verdana" w:eastAsia="Calibri" w:hAnsi="Verdana" w:cs="Arial"/>
          <w:b/>
          <w:bCs/>
          <w:color w:val="000000" w:themeColor="text1"/>
          <w:lang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6547"/>
      </w:tblGrid>
      <w:tr w:rsidR="00593FB6" w:rsidRPr="00115E3D" w14:paraId="0537EC69" w14:textId="77777777" w:rsidTr="00220A85">
        <w:trPr>
          <w:trHeight w:val="615"/>
        </w:trPr>
        <w:tc>
          <w:tcPr>
            <w:tcW w:w="2270" w:type="dxa"/>
          </w:tcPr>
          <w:p w14:paraId="4A03EB3C" w14:textId="77777777" w:rsidR="00593FB6" w:rsidRPr="00CB7ABE" w:rsidRDefault="00593FB6" w:rsidP="00220A85">
            <w:pPr>
              <w:jc w:val="both"/>
              <w:rPr>
                <w:rFonts w:ascii="Verdana" w:eastAsia="Calibri" w:hAnsi="Verdana" w:cs="Arial"/>
                <w:b/>
                <w:bCs/>
                <w:color w:val="000000" w:themeColor="text1"/>
                <w:lang w:eastAsia="es-ES_tradnl"/>
              </w:rPr>
            </w:pPr>
          </w:p>
        </w:tc>
        <w:tc>
          <w:tcPr>
            <w:tcW w:w="6547" w:type="dxa"/>
          </w:tcPr>
          <w:p w14:paraId="13642DA6" w14:textId="31668081" w:rsidR="00593FB6" w:rsidRPr="008A209A" w:rsidRDefault="00593FB6" w:rsidP="00220A85">
            <w:pPr>
              <w:jc w:val="both"/>
              <w:rPr>
                <w:rFonts w:ascii="Verdana" w:eastAsia="Calibri" w:hAnsi="Verdana" w:cs="Arial"/>
                <w:b/>
                <w:bCs/>
                <w:color w:val="000000" w:themeColor="text1"/>
                <w:lang w:val="es-ES" w:eastAsia="es-ES"/>
              </w:rPr>
            </w:pPr>
            <w:r w:rsidRPr="008A209A">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 xml:space="preserve">905 </w:t>
            </w:r>
            <w:r w:rsidRPr="008A209A">
              <w:rPr>
                <w:rFonts w:ascii="Verdana" w:eastAsia="Calibri" w:hAnsi="Verdana" w:cs="Arial"/>
                <w:b/>
                <w:bCs/>
                <w:color w:val="000000" w:themeColor="text1"/>
                <w:lang w:val="es-ES" w:eastAsia="es-ES"/>
              </w:rPr>
              <w:t>de 2026</w:t>
            </w:r>
          </w:p>
        </w:tc>
      </w:tr>
      <w:tr w:rsidR="00593FB6" w:rsidRPr="00915F5D" w14:paraId="7F1CE121" w14:textId="77777777" w:rsidTr="00220A85">
        <w:trPr>
          <w:trHeight w:val="1071"/>
        </w:trPr>
        <w:tc>
          <w:tcPr>
            <w:tcW w:w="2270" w:type="dxa"/>
          </w:tcPr>
          <w:p w14:paraId="4D7526F9" w14:textId="77777777" w:rsidR="00593FB6" w:rsidRPr="001B36DA" w:rsidRDefault="00593FB6" w:rsidP="00220A85">
            <w:pPr>
              <w:jc w:val="both"/>
              <w:rPr>
                <w:rFonts w:ascii="Verdana" w:eastAsia="Calibri" w:hAnsi="Verdana" w:cs="Arial"/>
                <w:color w:val="000000" w:themeColor="text1"/>
                <w:lang w:val="es-ES_tradnl" w:eastAsia="es-ES_tradnl"/>
              </w:rPr>
            </w:pPr>
            <w:r w:rsidRPr="001B36DA">
              <w:rPr>
                <w:rFonts w:ascii="Verdana" w:eastAsia="Calibri" w:hAnsi="Verdana" w:cs="Arial"/>
                <w:b/>
                <w:color w:val="000000" w:themeColor="text1"/>
                <w:lang w:val="es-ES_tradnl" w:eastAsia="es-ES_tradnl"/>
              </w:rPr>
              <w:t>Temas:</w:t>
            </w:r>
            <w:r w:rsidRPr="001B36DA">
              <w:rPr>
                <w:rFonts w:ascii="Verdana" w:eastAsia="Calibri" w:hAnsi="Verdana" w:cs="Arial"/>
                <w:color w:val="000000" w:themeColor="text1"/>
                <w:lang w:val="es-ES_tradnl" w:eastAsia="es-ES_tradnl"/>
              </w:rPr>
              <w:t xml:space="preserve">                   </w:t>
            </w:r>
          </w:p>
        </w:tc>
        <w:tc>
          <w:tcPr>
            <w:tcW w:w="6547" w:type="dxa"/>
          </w:tcPr>
          <w:p w14:paraId="22650C74" w14:textId="77777777" w:rsidR="00593FB6" w:rsidRPr="00915F5D" w:rsidRDefault="00593FB6" w:rsidP="00220A85">
            <w:pPr>
              <w:jc w:val="both"/>
              <w:rPr>
                <w:rFonts w:ascii="Verdana" w:eastAsia="Calibri" w:hAnsi="Verdana" w:cs="Arial"/>
                <w:b/>
                <w:bCs/>
                <w:lang w:val="es-ES_tradnl"/>
              </w:rPr>
            </w:pPr>
            <w:r w:rsidRPr="00915F5D">
              <w:rPr>
                <w:rFonts w:ascii="Verdana" w:eastAsia="Calibri" w:hAnsi="Verdana" w:cs="Arial"/>
              </w:rPr>
              <w:t>CONTRATO DE PRESTACIÓN DE SERVICIOS – Concepto</w:t>
            </w:r>
            <w:r w:rsidRPr="00915F5D">
              <w:rPr>
                <w:rFonts w:ascii="Verdana" w:eastAsia="Calibri" w:hAnsi="Verdana" w:cs="Arial"/>
                <w:b/>
                <w:bCs/>
              </w:rPr>
              <w:t xml:space="preserve"> </w:t>
            </w:r>
            <w:r w:rsidRPr="00915F5D">
              <w:rPr>
                <w:rFonts w:ascii="Verdana" w:eastAsia="Calibri" w:hAnsi="Verdana" w:cs="Arial"/>
              </w:rPr>
              <w:t xml:space="preserve">/ CONTRATO DE PRESTACIÓN DE SERVICIOS – Características / </w:t>
            </w:r>
            <w:r w:rsidRPr="00915F5D">
              <w:rPr>
                <w:rFonts w:ascii="Verdana" w:hAnsi="Verdana" w:cs="Arial"/>
                <w:color w:val="000000" w:themeColor="text1"/>
                <w:lang w:val="es-ES_tradnl"/>
              </w:rPr>
              <w:t xml:space="preserve">CONTRATO DE PRESTACIÓN DE SERVICIOS PROFESIONALES – Obligaciones – Cláusulas – Interpretación – EMPLEO PÚBLICO – distinción – Ascensos </w:t>
            </w:r>
          </w:p>
          <w:p w14:paraId="199B8A7F" w14:textId="77777777" w:rsidR="00593FB6" w:rsidRPr="00915F5D" w:rsidRDefault="00593FB6" w:rsidP="003E4E19">
            <w:pPr>
              <w:jc w:val="both"/>
              <w:rPr>
                <w:rFonts w:ascii="Verdana" w:eastAsia="Calibri" w:hAnsi="Verdana" w:cs="Arial"/>
                <w:color w:val="000000" w:themeColor="text1"/>
                <w:lang w:val="es-ES" w:eastAsia="es-ES"/>
              </w:rPr>
            </w:pPr>
            <w:r w:rsidRPr="00915F5D">
              <w:rPr>
                <w:rFonts w:ascii="Verdana" w:eastAsia="Calibri" w:hAnsi="Verdana" w:cs="Arial"/>
                <w:lang w:val="es-ES" w:eastAsia="es-ES"/>
              </w:rPr>
              <w:t xml:space="preserve"> </w:t>
            </w:r>
          </w:p>
        </w:tc>
      </w:tr>
      <w:tr w:rsidR="00593FB6" w:rsidRPr="00115E3D" w14:paraId="7E4CD110" w14:textId="77777777" w:rsidTr="00220A85">
        <w:trPr>
          <w:trHeight w:val="653"/>
        </w:trPr>
        <w:tc>
          <w:tcPr>
            <w:tcW w:w="2270" w:type="dxa"/>
          </w:tcPr>
          <w:p w14:paraId="11F5BBA2" w14:textId="77777777" w:rsidR="00593FB6" w:rsidRPr="00CB7ABE" w:rsidRDefault="00593FB6" w:rsidP="00220A85">
            <w:pPr>
              <w:jc w:val="both"/>
              <w:rPr>
                <w:rFonts w:ascii="Verdana" w:eastAsia="Calibri" w:hAnsi="Verdana" w:cs="Arial"/>
                <w:b/>
                <w:color w:val="000000" w:themeColor="text1"/>
                <w:lang w:val="es-ES_tradnl" w:eastAsia="es-ES_tradnl"/>
              </w:rPr>
            </w:pPr>
            <w:r w:rsidRPr="00CB7ABE">
              <w:rPr>
                <w:rFonts w:ascii="Verdana" w:eastAsia="Calibri" w:hAnsi="Verdana" w:cs="Arial"/>
                <w:b/>
                <w:color w:val="000000" w:themeColor="text1"/>
                <w:lang w:val="es-ES_tradnl" w:eastAsia="es-ES_tradnl"/>
              </w:rPr>
              <w:t>Radicación:</w:t>
            </w:r>
            <w:r w:rsidRPr="00CB7ABE">
              <w:rPr>
                <w:rFonts w:ascii="Verdana" w:eastAsia="Calibri" w:hAnsi="Verdana" w:cs="Arial"/>
                <w:color w:val="000000" w:themeColor="text1"/>
                <w:lang w:val="es-ES_tradnl" w:eastAsia="es-ES_tradnl"/>
              </w:rPr>
              <w:t xml:space="preserve">           </w:t>
            </w:r>
          </w:p>
        </w:tc>
        <w:tc>
          <w:tcPr>
            <w:tcW w:w="6547" w:type="dxa"/>
          </w:tcPr>
          <w:p w14:paraId="1B2BE715" w14:textId="77777777" w:rsidR="00593FB6" w:rsidRPr="00CB7ABE" w:rsidRDefault="00593FB6" w:rsidP="00220A85">
            <w:pPr>
              <w:ind w:right="1"/>
              <w:jc w:val="both"/>
              <w:rPr>
                <w:rFonts w:ascii="Verdana" w:hAnsi="Verdana"/>
                <w:color w:val="000000"/>
              </w:rPr>
            </w:pPr>
            <w:r w:rsidRPr="00CB7ABE">
              <w:rPr>
                <w:rFonts w:ascii="Verdana" w:eastAsia="Calibri" w:hAnsi="Verdana" w:cs="Arial"/>
                <w:color w:val="000000" w:themeColor="text1"/>
                <w:lang w:val="es-ES_tradnl" w:eastAsia="es-ES_tradnl"/>
              </w:rPr>
              <w:t>Respuesta a consulta con radicado</w:t>
            </w:r>
            <w:r>
              <w:rPr>
                <w:rFonts w:ascii="Verdana" w:eastAsia="Calibri" w:hAnsi="Verdana" w:cs="Arial"/>
                <w:color w:val="000000" w:themeColor="text1"/>
                <w:lang w:val="es-ES_tradnl" w:eastAsia="es-ES_tradnl"/>
              </w:rPr>
              <w:t xml:space="preserve"> N.º </w:t>
            </w:r>
            <w:r w:rsidRPr="00E5551A">
              <w:rPr>
                <w:rFonts w:ascii="Verdana" w:eastAsia="Calibri" w:hAnsi="Verdana" w:cs="Arial"/>
                <w:color w:val="000000" w:themeColor="text1"/>
                <w:lang w:val="es-ES_tradnl" w:eastAsia="es-ES_tradnl"/>
              </w:rPr>
              <w:t>1_2026_06_01_007335</w:t>
            </w:r>
          </w:p>
        </w:tc>
      </w:tr>
      <w:tr w:rsidR="00593FB6" w:rsidRPr="00115E3D" w14:paraId="67B83B13" w14:textId="77777777" w:rsidTr="00220A85">
        <w:trPr>
          <w:trHeight w:val="278"/>
        </w:trPr>
        <w:tc>
          <w:tcPr>
            <w:tcW w:w="2270" w:type="dxa"/>
          </w:tcPr>
          <w:p w14:paraId="00289B11" w14:textId="77777777" w:rsidR="00593FB6" w:rsidRDefault="00593FB6" w:rsidP="008D5A14">
            <w:pPr>
              <w:jc w:val="both"/>
              <w:rPr>
                <w:rFonts w:ascii="Verdana" w:eastAsia="Calibri" w:hAnsi="Verdana" w:cs="Arial"/>
                <w:b/>
                <w:color w:val="000000" w:themeColor="text1"/>
                <w:lang w:val="es-ES_tradnl" w:eastAsia="es-ES_tradnl"/>
              </w:rPr>
            </w:pPr>
          </w:p>
          <w:p w14:paraId="63FD5B1B" w14:textId="72213CDB" w:rsidR="00593FB6" w:rsidRPr="00CB7ABE" w:rsidRDefault="00593FB6" w:rsidP="00220A85">
            <w:pPr>
              <w:jc w:val="both"/>
              <w:rPr>
                <w:rFonts w:ascii="Verdana" w:eastAsia="Calibri" w:hAnsi="Verdana" w:cs="Arial"/>
                <w:b/>
                <w:color w:val="000000" w:themeColor="text1"/>
                <w:lang w:val="es-ES_tradnl" w:eastAsia="es-ES_tradnl"/>
              </w:rPr>
            </w:pPr>
          </w:p>
        </w:tc>
        <w:tc>
          <w:tcPr>
            <w:tcW w:w="6547" w:type="dxa"/>
          </w:tcPr>
          <w:p w14:paraId="099D043D" w14:textId="77777777" w:rsidR="00593FB6" w:rsidRPr="00CB7ABE" w:rsidRDefault="00593FB6" w:rsidP="00220A85">
            <w:pPr>
              <w:ind w:right="1"/>
              <w:jc w:val="both"/>
              <w:rPr>
                <w:rFonts w:ascii="Verdana" w:eastAsia="Calibri" w:hAnsi="Verdana" w:cs="Arial"/>
                <w:color w:val="000000" w:themeColor="text1"/>
                <w:lang w:val="es-ES_tradnl" w:eastAsia="es-ES_tradnl"/>
              </w:rPr>
            </w:pPr>
          </w:p>
        </w:tc>
      </w:tr>
    </w:tbl>
    <w:p w14:paraId="21BF3A78" w14:textId="77777777" w:rsidR="00593FB6" w:rsidRPr="00115E3D" w:rsidRDefault="00593FB6" w:rsidP="00593FB6">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w:t>
      </w:r>
      <w:r w:rsidRPr="00115E3D">
        <w:rPr>
          <w:rFonts w:ascii="Verdana" w:eastAsia="Calibri" w:hAnsi="Verdana" w:cs="Arial"/>
          <w:color w:val="000000" w:themeColor="text1"/>
          <w:lang w:val="es-ES" w:eastAsia="es-ES"/>
        </w:rPr>
        <w:t>stimad</w:t>
      </w:r>
      <w:r>
        <w:rPr>
          <w:rFonts w:ascii="Verdana" w:eastAsia="Calibri" w:hAnsi="Verdana" w:cs="Arial"/>
          <w:color w:val="000000" w:themeColor="text1"/>
          <w:lang w:val="es-ES" w:eastAsia="es-ES"/>
        </w:rPr>
        <w:t xml:space="preserve">a </w:t>
      </w:r>
      <w:r w:rsidRPr="00115E3D">
        <w:rPr>
          <w:rFonts w:ascii="Verdana" w:eastAsia="Calibri" w:hAnsi="Verdana" w:cs="Arial"/>
          <w:color w:val="000000" w:themeColor="text1"/>
          <w:lang w:val="es-ES" w:eastAsia="es-ES"/>
        </w:rPr>
        <w:t>seño</w:t>
      </w:r>
      <w:r>
        <w:rPr>
          <w:rFonts w:ascii="Verdana" w:eastAsia="Calibri" w:hAnsi="Verdana" w:cs="Arial"/>
          <w:color w:val="000000" w:themeColor="text1"/>
          <w:lang w:val="es-ES" w:eastAsia="es-ES"/>
        </w:rPr>
        <w:t>ra Duran Reinoso, Cordial saludo:</w:t>
      </w:r>
    </w:p>
    <w:p w14:paraId="4032DD05" w14:textId="77777777" w:rsidR="00593FB6" w:rsidRPr="00115E3D" w:rsidRDefault="00593FB6" w:rsidP="00593FB6">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7A55D0F8" w14:textId="77777777" w:rsidR="00593FB6" w:rsidRPr="00440DFE" w:rsidRDefault="00593FB6" w:rsidP="00593FB6">
      <w:pPr>
        <w:tabs>
          <w:tab w:val="left" w:pos="3768"/>
        </w:tabs>
        <w:spacing w:after="0" w:line="276" w:lineRule="auto"/>
        <w:jc w:val="both"/>
        <w:rPr>
          <w:rFonts w:ascii="Verdana" w:eastAsia="Calibri" w:hAnsi="Verdana" w:cs="Arial"/>
          <w:lang w:eastAsia="es-ES"/>
        </w:rPr>
      </w:pPr>
      <w:bookmarkStart w:id="1" w:name="_Hlk95313578"/>
      <w:r w:rsidRPr="00440DFE">
        <w:rPr>
          <w:rFonts w:ascii="Verdana" w:eastAsia="Calibri" w:hAnsi="Verdana" w:cs="Arial"/>
          <w:lang w:eastAsia="es-ES"/>
        </w:rPr>
        <w:t>En ejercicio de la competencia otorgada por los artículos 3, numeral 5º, y 11, numeral 8º, del Decreto Ley 4170 de 2011,</w:t>
      </w:r>
      <w:r w:rsidRPr="00440DFE">
        <w:rPr>
          <w:rFonts w:ascii="Verdana" w:eastAsia="Arial MT" w:hAnsi="Verdana" w:cs="Arial MT"/>
          <w:lang w:eastAsia="es-ES"/>
        </w:rPr>
        <w:t xml:space="preserve"> </w:t>
      </w:r>
      <w:r w:rsidRPr="00440DFE">
        <w:rPr>
          <w:rFonts w:ascii="Verdana" w:hAnsi="Verdana" w:cs="Arial"/>
        </w:rPr>
        <w:t xml:space="preserve">así como lo establecido en la Resolución 469 de 2025 expedida por esta Entidad, </w:t>
      </w:r>
      <w:r w:rsidRPr="00440DFE">
        <w:rPr>
          <w:rFonts w:ascii="Verdana" w:eastAsia="Calibri" w:hAnsi="Verdana" w:cs="Arial"/>
          <w:lang w:eastAsia="es-ES"/>
        </w:rPr>
        <w:t xml:space="preserve">la Agencia Nacional de Contratación Pública – Colombia Compra Eficiente– responde su solicitud de consulta </w:t>
      </w:r>
      <w:r>
        <w:rPr>
          <w:rFonts w:ascii="Verdana" w:eastAsia="Calibri" w:hAnsi="Verdana" w:cs="Arial"/>
          <w:lang w:eastAsia="es-ES"/>
        </w:rPr>
        <w:t>remitida por la Comisión Nacional Del Servicio Civil el día</w:t>
      </w:r>
      <w:r w:rsidRPr="00440DFE">
        <w:rPr>
          <w:rFonts w:ascii="Verdana" w:eastAsia="Calibri" w:hAnsi="Verdana" w:cs="Arial"/>
          <w:lang w:eastAsia="es-ES"/>
        </w:rPr>
        <w:t xml:space="preserve"> </w:t>
      </w:r>
      <w:r>
        <w:rPr>
          <w:rFonts w:ascii="Verdana" w:eastAsia="Calibri" w:hAnsi="Verdana" w:cs="Arial"/>
          <w:lang w:eastAsia="es-ES"/>
        </w:rPr>
        <w:t>01</w:t>
      </w:r>
      <w:r w:rsidRPr="00440DFE">
        <w:rPr>
          <w:rFonts w:ascii="Verdana" w:eastAsia="Calibri" w:hAnsi="Verdana" w:cs="Arial"/>
          <w:lang w:eastAsia="es-ES"/>
        </w:rPr>
        <w:t xml:space="preserve"> de </w:t>
      </w:r>
      <w:r>
        <w:rPr>
          <w:rFonts w:ascii="Verdana" w:eastAsia="Calibri" w:hAnsi="Verdana" w:cs="Arial"/>
          <w:lang w:eastAsia="es-ES"/>
        </w:rPr>
        <w:t>junio</w:t>
      </w:r>
      <w:r w:rsidRPr="00440DFE">
        <w:rPr>
          <w:rFonts w:ascii="Verdana" w:eastAsia="Calibri" w:hAnsi="Verdana" w:cs="Arial"/>
          <w:lang w:eastAsia="es-ES"/>
        </w:rPr>
        <w:t xml:space="preserve"> de 202</w:t>
      </w:r>
      <w:r>
        <w:rPr>
          <w:rFonts w:ascii="Verdana" w:eastAsia="Calibri" w:hAnsi="Verdana" w:cs="Arial"/>
          <w:lang w:eastAsia="es-ES"/>
        </w:rPr>
        <w:t>6</w:t>
      </w:r>
      <w:r w:rsidRPr="00440DFE">
        <w:rPr>
          <w:rFonts w:ascii="Verdana" w:eastAsia="Calibri" w:hAnsi="Verdana" w:cs="Arial"/>
          <w:lang w:eastAsia="es-ES"/>
        </w:rPr>
        <w:t xml:space="preserve">, en la cual manifiesta lo siguiente: </w:t>
      </w:r>
    </w:p>
    <w:p w14:paraId="493EB739" w14:textId="77777777" w:rsidR="00593FB6" w:rsidRPr="00E5551A" w:rsidRDefault="00593FB6" w:rsidP="003E4E19">
      <w:pPr>
        <w:spacing w:after="0" w:line="276" w:lineRule="auto"/>
        <w:ind w:left="709" w:right="709"/>
        <w:jc w:val="both"/>
        <w:rPr>
          <w:rFonts w:ascii="Verdana" w:eastAsia="Century Gothic" w:hAnsi="Verdana" w:cs="Century Gothic"/>
          <w:i/>
          <w:iCs/>
          <w:color w:val="000000" w:themeColor="text1"/>
          <w:sz w:val="20"/>
          <w:szCs w:val="20"/>
        </w:rPr>
      </w:pPr>
    </w:p>
    <w:bookmarkEnd w:id="1"/>
    <w:p w14:paraId="0607ECBD" w14:textId="2322669E" w:rsidR="00593FB6" w:rsidRPr="00E5551A" w:rsidRDefault="00593FB6" w:rsidP="00593FB6">
      <w:pPr>
        <w:spacing w:after="0" w:line="240" w:lineRule="auto"/>
        <w:ind w:left="709" w:right="709"/>
        <w:jc w:val="both"/>
        <w:rPr>
          <w:rFonts w:ascii="Verdana" w:eastAsia="Century Gothic" w:hAnsi="Verdana" w:cs="Century Gothic"/>
          <w:i/>
          <w:iCs/>
          <w:color w:val="000000" w:themeColor="text1"/>
          <w:sz w:val="20"/>
          <w:szCs w:val="20"/>
        </w:rPr>
      </w:pPr>
      <w:r w:rsidRPr="00104557">
        <w:rPr>
          <w:rFonts w:ascii="Verdana" w:eastAsia="Century Gothic" w:hAnsi="Verdana" w:cs="Century Gothic"/>
          <w:i/>
          <w:iCs/>
          <w:color w:val="000000" w:themeColor="text1"/>
          <w:sz w:val="20"/>
          <w:szCs w:val="20"/>
          <w:lang w:val="es-ES"/>
        </w:rPr>
        <w:t>“</w:t>
      </w:r>
      <w:r w:rsidRPr="00E5551A">
        <w:rPr>
          <w:rFonts w:ascii="Verdana" w:eastAsia="Century Gothic" w:hAnsi="Verdana" w:cs="Century Gothic"/>
          <w:i/>
          <w:iCs/>
          <w:color w:val="000000" w:themeColor="text1"/>
          <w:sz w:val="20"/>
          <w:szCs w:val="20"/>
        </w:rPr>
        <w:t>Emita concepto y/o aporte los pronunciamientos ya realizados: "sobre la legalidad de</w:t>
      </w:r>
      <w:r>
        <w:rPr>
          <w:rFonts w:ascii="Verdana" w:eastAsia="Century Gothic" w:hAnsi="Verdana" w:cs="Century Gothic"/>
          <w:i/>
          <w:iCs/>
          <w:color w:val="000000" w:themeColor="text1"/>
          <w:sz w:val="20"/>
          <w:szCs w:val="20"/>
        </w:rPr>
        <w:t xml:space="preserve"> </w:t>
      </w:r>
      <w:r w:rsidRPr="00E5551A">
        <w:rPr>
          <w:rFonts w:ascii="Verdana" w:eastAsia="Century Gothic" w:hAnsi="Verdana" w:cs="Century Gothic"/>
          <w:i/>
          <w:iCs/>
          <w:color w:val="000000" w:themeColor="text1"/>
          <w:sz w:val="20"/>
          <w:szCs w:val="20"/>
        </w:rPr>
        <w:t>procesos de "ascenso" en contratos de prestación de servicios, considerando que el ascenso,</w:t>
      </w:r>
      <w:r>
        <w:rPr>
          <w:rFonts w:ascii="Verdana" w:eastAsia="Century Gothic" w:hAnsi="Verdana" w:cs="Century Gothic"/>
          <w:i/>
          <w:iCs/>
          <w:color w:val="000000" w:themeColor="text1"/>
          <w:sz w:val="20"/>
          <w:szCs w:val="20"/>
        </w:rPr>
        <w:t xml:space="preserve"> </w:t>
      </w:r>
      <w:r w:rsidRPr="00E5551A">
        <w:rPr>
          <w:rFonts w:ascii="Verdana" w:eastAsia="Century Gothic" w:hAnsi="Verdana" w:cs="Century Gothic"/>
          <w:i/>
          <w:iCs/>
          <w:color w:val="000000" w:themeColor="text1"/>
          <w:sz w:val="20"/>
          <w:szCs w:val="20"/>
        </w:rPr>
        <w:t>es una figura propia de la carrera administrativa y no de la contratación estatal"; en cuanto a</w:t>
      </w:r>
      <w:r>
        <w:rPr>
          <w:rFonts w:ascii="Verdana" w:eastAsia="Century Gothic" w:hAnsi="Verdana" w:cs="Century Gothic"/>
          <w:i/>
          <w:iCs/>
          <w:color w:val="000000" w:themeColor="text1"/>
          <w:sz w:val="20"/>
          <w:szCs w:val="20"/>
        </w:rPr>
        <w:t xml:space="preserve"> </w:t>
      </w:r>
      <w:r w:rsidRPr="00E5551A">
        <w:rPr>
          <w:rFonts w:ascii="Verdana" w:eastAsia="Century Gothic" w:hAnsi="Verdana" w:cs="Century Gothic"/>
          <w:i/>
          <w:iCs/>
          <w:color w:val="000000" w:themeColor="text1"/>
          <w:sz w:val="20"/>
          <w:szCs w:val="20"/>
        </w:rPr>
        <w:t>los cargos, vacantes o empleos públicos en dicha modalidad de contratación, que puedan ser</w:t>
      </w:r>
      <w:r>
        <w:rPr>
          <w:rFonts w:ascii="Verdana" w:eastAsia="Century Gothic" w:hAnsi="Verdana" w:cs="Century Gothic"/>
          <w:i/>
          <w:iCs/>
          <w:color w:val="000000" w:themeColor="text1"/>
          <w:sz w:val="20"/>
          <w:szCs w:val="20"/>
        </w:rPr>
        <w:t xml:space="preserve"> </w:t>
      </w:r>
      <w:r w:rsidRPr="00E5551A">
        <w:rPr>
          <w:rFonts w:ascii="Verdana" w:eastAsia="Century Gothic" w:hAnsi="Verdana" w:cs="Century Gothic"/>
          <w:i/>
          <w:iCs/>
          <w:color w:val="000000" w:themeColor="text1"/>
          <w:sz w:val="20"/>
          <w:szCs w:val="20"/>
        </w:rPr>
        <w:t>ofertados por la administración</w:t>
      </w:r>
      <w:r w:rsidR="008D5A14">
        <w:rPr>
          <w:rFonts w:ascii="Verdana" w:eastAsia="Century Gothic" w:hAnsi="Verdana" w:cs="Century Gothic"/>
          <w:i/>
          <w:iCs/>
          <w:color w:val="000000" w:themeColor="text1"/>
          <w:sz w:val="20"/>
          <w:szCs w:val="20"/>
        </w:rPr>
        <w:t>”</w:t>
      </w:r>
      <w:r w:rsidRPr="00E5551A">
        <w:rPr>
          <w:rFonts w:ascii="Verdana" w:eastAsia="Century Gothic" w:hAnsi="Verdana" w:cs="Century Gothic"/>
          <w:i/>
          <w:iCs/>
          <w:color w:val="000000" w:themeColor="text1"/>
          <w:sz w:val="20"/>
          <w:szCs w:val="20"/>
        </w:rPr>
        <w:t>.</w:t>
      </w:r>
      <w:r w:rsidRPr="00E5551A">
        <w:rPr>
          <w:rFonts w:ascii="Verdana" w:eastAsia="Century Gothic" w:hAnsi="Verdana" w:cs="Century Gothic"/>
          <w:i/>
          <w:iCs/>
          <w:color w:val="000000" w:themeColor="text1"/>
          <w:sz w:val="20"/>
          <w:szCs w:val="20"/>
          <w:lang w:val="es-MX"/>
        </w:rPr>
        <w:t xml:space="preserve"> </w:t>
      </w:r>
    </w:p>
    <w:p w14:paraId="7911B8C4" w14:textId="77777777" w:rsidR="00593FB6" w:rsidRPr="003E4E19" w:rsidRDefault="00593FB6" w:rsidP="00853D78">
      <w:pPr>
        <w:spacing w:after="0" w:line="276" w:lineRule="auto"/>
        <w:ind w:left="709" w:right="709"/>
        <w:jc w:val="both"/>
        <w:rPr>
          <w:rFonts w:ascii="Verdana" w:eastAsia="Century Gothic" w:hAnsi="Verdana" w:cs="Century Gothic"/>
          <w:i/>
          <w:color w:val="000000" w:themeColor="text1"/>
        </w:rPr>
      </w:pPr>
    </w:p>
    <w:p w14:paraId="2FD51D19" w14:textId="1457C8BD" w:rsidR="00593FB6" w:rsidRPr="00115E3D" w:rsidRDefault="00593FB6" w:rsidP="00853D78">
      <w:pPr>
        <w:spacing w:after="120" w:line="276" w:lineRule="auto"/>
        <w:ind w:right="51" w:firstLine="709"/>
        <w:jc w:val="both"/>
        <w:rPr>
          <w:rFonts w:ascii="Verdana" w:eastAsia="Calibri" w:hAnsi="Verdana" w:cs="Arial"/>
          <w:color w:val="000000" w:themeColor="text1"/>
          <w:szCs w:val="24"/>
          <w:lang w:val="es-ES_tradnl" w:eastAsia="es-ES_tradnl"/>
        </w:rPr>
      </w:pPr>
      <w:r w:rsidRPr="00115E3D">
        <w:rPr>
          <w:rFonts w:ascii="Verdana" w:eastAsia="Calibri" w:hAnsi="Verdana" w:cs="Arial"/>
          <w:color w:val="000000" w:themeColor="text1"/>
          <w:lang w:val="es-ES" w:eastAsia="es-ES"/>
        </w:rPr>
        <w:t>De manera preliminar, resulta necesario acotar que esta entidad solo tiene competencia para responder consultas sobre la aplicación de normas de carác</w:t>
      </w:r>
      <w:r>
        <w:rPr>
          <w:rFonts w:ascii="Verdana" w:eastAsia="Calibri" w:hAnsi="Verdana" w:cs="Arial"/>
          <w:color w:val="000000" w:themeColor="text1"/>
          <w:lang w:val="es-ES" w:eastAsia="es-ES"/>
        </w:rPr>
        <w:t>t</w:t>
      </w:r>
      <w:r w:rsidRPr="00115E3D">
        <w:rPr>
          <w:rFonts w:ascii="Verdana" w:eastAsia="Calibri" w:hAnsi="Verdana" w:cs="Arial"/>
          <w:color w:val="000000" w:themeColor="text1"/>
          <w:lang w:val="es-ES" w:eastAsia="es-ES"/>
        </w:rPr>
        <w:t xml:space="preserve">er general en materia de compras y contratación pública. En ese sentido, resolver casos particulares desborda las atribuciones asignadas por el legislador </w:t>
      </w:r>
      <w:r w:rsidRPr="00115E3D">
        <w:rPr>
          <w:rFonts w:ascii="Verdana" w:eastAsia="Calibri" w:hAnsi="Verdana" w:cs="Arial"/>
          <w:color w:val="000000" w:themeColor="text1"/>
          <w:lang w:val="es-ES" w:eastAsia="es-ES"/>
        </w:rPr>
        <w:lastRenderedPageBreak/>
        <w:t xml:space="preserve">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15E3D">
        <w:rPr>
          <w:rFonts w:ascii="Verdana" w:eastAsia="Calibri" w:hAnsi="Verdana" w:cs="Arial"/>
          <w:color w:val="000000" w:themeColor="text1"/>
          <w:szCs w:val="24"/>
          <w:lang w:val="es-ES_tradnl" w:eastAsia="es-ES_tradnl"/>
        </w:rPr>
        <w:tab/>
      </w:r>
    </w:p>
    <w:p w14:paraId="1DCA14D0" w14:textId="77777777" w:rsidR="00593FB6" w:rsidRPr="00115E3D" w:rsidRDefault="00593FB6" w:rsidP="00593FB6">
      <w:pPr>
        <w:spacing w:after="0" w:line="276" w:lineRule="auto"/>
        <w:ind w:firstLine="709"/>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Pr>
          <w:rFonts w:ascii="Verdana" w:eastAsia="Calibri" w:hAnsi="Verdana" w:cs="Arial"/>
          <w:color w:val="000000" w:themeColor="text1"/>
          <w:lang w:val="es-ES" w:eastAsia="es-ES"/>
        </w:rPr>
        <w:t xml:space="preserve"> </w:t>
      </w:r>
      <w:r w:rsidRPr="00115E3D">
        <w:rPr>
          <w:rFonts w:ascii="Verdana" w:eastAsia="Calibri" w:hAnsi="Verdana" w:cs="Arial"/>
          <w:color w:val="000000" w:themeColor="text1"/>
          <w:lang w:val="es-ES" w:eastAsia="es-ES"/>
        </w:rPr>
        <w:t xml:space="preserve">jurídico de su consulta. </w:t>
      </w:r>
    </w:p>
    <w:p w14:paraId="6C8D2309" w14:textId="77777777" w:rsidR="00593FB6" w:rsidRPr="00115E3D" w:rsidRDefault="00593FB6" w:rsidP="00593FB6">
      <w:pPr>
        <w:spacing w:after="0" w:line="276" w:lineRule="auto"/>
        <w:ind w:firstLine="709"/>
        <w:jc w:val="both"/>
        <w:rPr>
          <w:rFonts w:ascii="Verdana" w:eastAsia="Calibri" w:hAnsi="Verdana" w:cs="Arial"/>
          <w:color w:val="000000" w:themeColor="text1"/>
          <w:lang w:val="es-ES" w:eastAsia="es-ES"/>
        </w:rPr>
      </w:pPr>
    </w:p>
    <w:p w14:paraId="7D86084D" w14:textId="77777777" w:rsidR="00593FB6" w:rsidRPr="00115E3D" w:rsidRDefault="00593FB6" w:rsidP="00593FB6">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 planteado:</w:t>
      </w:r>
    </w:p>
    <w:p w14:paraId="19F971E1" w14:textId="77777777" w:rsidR="00593FB6" w:rsidRPr="00115E3D" w:rsidRDefault="00593FB6" w:rsidP="00593FB6">
      <w:pPr>
        <w:tabs>
          <w:tab w:val="left" w:pos="426"/>
        </w:tabs>
        <w:spacing w:after="0" w:line="276" w:lineRule="auto"/>
        <w:jc w:val="both"/>
        <w:rPr>
          <w:rFonts w:ascii="Verdana" w:eastAsia="Century Gothic" w:hAnsi="Verdana" w:cs="Century Gothic"/>
          <w:color w:val="000000" w:themeColor="text1"/>
          <w:lang w:val="es-ES"/>
        </w:rPr>
      </w:pPr>
    </w:p>
    <w:p w14:paraId="11927A9D" w14:textId="164CEE7B" w:rsidR="00593FB6" w:rsidRDefault="00593FB6" w:rsidP="00593FB6">
      <w:pPr>
        <w:spacing w:after="0" w:line="276" w:lineRule="auto"/>
        <w:jc w:val="both"/>
        <w:rPr>
          <w:rFonts w:ascii="Verdana" w:hAnsi="Verdana"/>
        </w:rPr>
      </w:pPr>
      <w:r w:rsidRPr="00115E3D">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el</w:t>
      </w:r>
      <w:r w:rsidRPr="00115E3D">
        <w:rPr>
          <w:rFonts w:ascii="Verdana" w:eastAsia="Century Gothic" w:hAnsi="Verdana" w:cs="Century Gothic"/>
          <w:color w:val="000000" w:themeColor="text1"/>
        </w:rPr>
        <w:t xml:space="preserve"> siguiente problema jurídico:</w:t>
      </w:r>
      <w:r>
        <w:rPr>
          <w:rFonts w:ascii="Verdana" w:eastAsia="Century Gothic" w:hAnsi="Verdana" w:cs="Century Gothic"/>
          <w:color w:val="000000" w:themeColor="text1"/>
        </w:rPr>
        <w:t xml:space="preserve"> </w:t>
      </w:r>
      <w:r w:rsidRPr="000D374A">
        <w:rPr>
          <w:rFonts w:ascii="Verdana" w:hAnsi="Verdana"/>
        </w:rPr>
        <w:t>¿Cuál es el alcance de los contratos de prestación de servicios frente a la</w:t>
      </w:r>
      <w:r>
        <w:rPr>
          <w:rFonts w:ascii="Verdana" w:hAnsi="Verdana"/>
        </w:rPr>
        <w:t>s</w:t>
      </w:r>
      <w:r w:rsidRPr="000D374A">
        <w:rPr>
          <w:rFonts w:ascii="Verdana" w:hAnsi="Verdana"/>
        </w:rPr>
        <w:t xml:space="preserve"> </w:t>
      </w:r>
      <w:r>
        <w:rPr>
          <w:rFonts w:ascii="Verdana" w:hAnsi="Verdana"/>
        </w:rPr>
        <w:t>figuras relacionadas con el empleo público</w:t>
      </w:r>
      <w:r w:rsidR="00CE09B0">
        <w:rPr>
          <w:rFonts w:ascii="Verdana" w:hAnsi="Verdana"/>
        </w:rPr>
        <w:t>, como los ascensos</w:t>
      </w:r>
      <w:r w:rsidR="00F05CAA">
        <w:rPr>
          <w:rFonts w:ascii="Verdana" w:hAnsi="Verdana"/>
        </w:rPr>
        <w:t>,</w:t>
      </w:r>
      <w:r>
        <w:rPr>
          <w:rFonts w:ascii="Verdana" w:hAnsi="Verdana"/>
        </w:rPr>
        <w:t xml:space="preserve"> </w:t>
      </w:r>
      <w:r w:rsidRPr="000D374A">
        <w:rPr>
          <w:rFonts w:ascii="Verdana" w:hAnsi="Verdana"/>
        </w:rPr>
        <w:t>al desarrollo de funciones permanentes de la entidad?</w:t>
      </w:r>
    </w:p>
    <w:p w14:paraId="3B76A384" w14:textId="77777777" w:rsidR="00593FB6" w:rsidRPr="00B511C1" w:rsidRDefault="00593FB6" w:rsidP="00593FB6">
      <w:pPr>
        <w:spacing w:after="0" w:line="276" w:lineRule="auto"/>
        <w:jc w:val="both"/>
        <w:rPr>
          <w:rFonts w:ascii="Verdana" w:eastAsia="Century Gothic" w:hAnsi="Verdana" w:cs="Century Gothic"/>
          <w:color w:val="000000" w:themeColor="text1"/>
        </w:rPr>
      </w:pPr>
    </w:p>
    <w:p w14:paraId="516BC78F" w14:textId="77777777" w:rsidR="00593FB6" w:rsidRPr="00115E3D" w:rsidRDefault="00593FB6" w:rsidP="00593FB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Respuesta:</w:t>
      </w:r>
    </w:p>
    <w:p w14:paraId="2ED3932A" w14:textId="77777777" w:rsidR="00593FB6" w:rsidRPr="00115E3D" w:rsidRDefault="00593FB6" w:rsidP="00593FB6">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93FB6" w:rsidRPr="00115E3D" w14:paraId="3660A8A3" w14:textId="77777777" w:rsidTr="00220A85">
        <w:trPr>
          <w:trHeight w:val="774"/>
        </w:trPr>
        <w:tc>
          <w:tcPr>
            <w:tcW w:w="8828" w:type="dxa"/>
          </w:tcPr>
          <w:p w14:paraId="05C18069" w14:textId="32468557" w:rsidR="00593FB6" w:rsidRPr="00915F5D" w:rsidRDefault="00593FB6" w:rsidP="00220A85">
            <w:pPr>
              <w:spacing w:after="120" w:line="276" w:lineRule="auto"/>
              <w:jc w:val="both"/>
              <w:rPr>
                <w:rFonts w:ascii="Verdana" w:eastAsia="Arial" w:hAnsi="Verdana" w:cs="Arial"/>
              </w:rPr>
            </w:pPr>
            <w:r w:rsidRPr="00915F5D">
              <w:rPr>
                <w:rFonts w:ascii="Verdana" w:eastAsia="Arial" w:hAnsi="Verdana" w:cs="Arial"/>
              </w:rPr>
              <w:t>De conformidad con el numeral 3 del artículo 32 de la Ley 80 de 1993, el contrato de prestación de servicios constituye una modalidad de contratación estatal destinada a desarrollar actividades relacionadas con la administración o funcionamiento de las entidades cuando estas no puedan realizarse con personal de planta o requieran conocimientos especializados. Su finalidad es satisfacer una necesidad específica de la entidad mediante un vínculo de naturaleza contractual, sin que ello implique la creación de una relación laboral ni el ingreso del contratista a la estructura administrativa de la entidad.</w:t>
            </w:r>
          </w:p>
          <w:p w14:paraId="6B6800ED" w14:textId="77777777" w:rsidR="00593FB6" w:rsidRDefault="00593FB6" w:rsidP="00853D78">
            <w:pPr>
              <w:spacing w:after="120" w:line="276" w:lineRule="auto"/>
              <w:ind w:firstLine="709"/>
              <w:jc w:val="both"/>
              <w:rPr>
                <w:rFonts w:ascii="Verdana" w:eastAsia="Arial" w:hAnsi="Verdana" w:cs="Arial"/>
              </w:rPr>
            </w:pPr>
            <w:r w:rsidRPr="00915F5D">
              <w:rPr>
                <w:rFonts w:ascii="Verdana" w:eastAsia="Arial" w:hAnsi="Verdana" w:cs="Arial"/>
              </w:rPr>
              <w:t xml:space="preserve">En ese sentido, los contratistas que celebran contratos de prestación de servicios no adquieren la calidad de servidores públicos, no ocupan empleos públicos ni hacen parte de la planta de personal de la entidad. Por </w:t>
            </w:r>
            <w:r w:rsidRPr="00915F5D">
              <w:rPr>
                <w:rFonts w:ascii="Verdana" w:eastAsia="Arial" w:hAnsi="Verdana" w:cs="Arial"/>
              </w:rPr>
              <w:lastRenderedPageBreak/>
              <w:t>consiguiente, no les resulta aplicable el régimen de administración de personal previsto para los empleados públicos, incluyendo las figuras de nombramiento, carrera administrativa, promoción o ascenso, las cuales son propias de la existencia de un empleo público y de un vínculo legal y reglamentario.</w:t>
            </w:r>
          </w:p>
          <w:p w14:paraId="0FF87A90" w14:textId="77777777" w:rsidR="00593FB6" w:rsidRPr="00915F5D" w:rsidRDefault="00593FB6" w:rsidP="00853D78">
            <w:pPr>
              <w:spacing w:after="120" w:line="276" w:lineRule="auto"/>
              <w:ind w:firstLine="709"/>
              <w:jc w:val="both"/>
              <w:rPr>
                <w:rFonts w:ascii="Verdana" w:eastAsia="Arial" w:hAnsi="Verdana" w:cs="Arial"/>
              </w:rPr>
            </w:pPr>
            <w:r w:rsidRPr="00915F5D">
              <w:rPr>
                <w:rFonts w:ascii="Verdana" w:eastAsia="Arial" w:hAnsi="Verdana" w:cs="Arial"/>
              </w:rPr>
              <w:t>Asimismo, las actividades encomendadas al contratista deben guardar relación directa con el objeto contractual y con las necesidades definidas en los estudios previos, sin que sea posible asignarle funciones o responsabilidades propias de los servidores públicos, trasladarle competencias que la ley reserva a estos o utilizar la contratación por prestación de servicios para suplir de manera permanente empleos de la planta de personal. De igual forma, las instrucciones impartidas durante la ejecución contractual no pueden modificar ni ampliar el objeto del contrato hasta el punto de desnaturalizar la relación contractual.</w:t>
            </w:r>
          </w:p>
          <w:p w14:paraId="4A82A088" w14:textId="57FB2346" w:rsidR="00593FB6" w:rsidRPr="00B643B2" w:rsidRDefault="00593FB6" w:rsidP="00853D78">
            <w:pPr>
              <w:spacing w:after="120" w:line="276" w:lineRule="auto"/>
              <w:ind w:firstLine="709"/>
              <w:jc w:val="both"/>
              <w:rPr>
                <w:rFonts w:ascii="Verdana" w:eastAsia="Calibri" w:hAnsi="Verdana"/>
              </w:rPr>
            </w:pPr>
            <w:r w:rsidRPr="00B643B2">
              <w:rPr>
                <w:rFonts w:ascii="Verdana" w:eastAsia="Calibri" w:hAnsi="Verdana"/>
              </w:rPr>
              <w:t>Finalmente,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1055606B" w14:textId="3A914A1B" w:rsidR="00593FB6" w:rsidRPr="0029110A" w:rsidRDefault="00593FB6" w:rsidP="00853D78">
            <w:pPr>
              <w:spacing w:before="120" w:after="120" w:line="276" w:lineRule="auto"/>
              <w:ind w:firstLine="709"/>
              <w:jc w:val="both"/>
              <w:rPr>
                <w:rFonts w:ascii="Verdana" w:eastAsia="Calibri" w:hAnsi="Verdana" w:cs="Times New Roman"/>
                <w:lang w:val="es-ES"/>
              </w:rPr>
            </w:pPr>
            <w:r w:rsidRPr="00B643B2">
              <w:rPr>
                <w:rFonts w:ascii="Verdana" w:eastAsia="Calibri" w:hAnsi="Verdana"/>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06743299" w14:textId="77777777" w:rsidR="00593FB6" w:rsidRDefault="00593FB6" w:rsidP="00593FB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32C5BAE0" w14:textId="77777777" w:rsidR="00593FB6" w:rsidRDefault="00593FB6" w:rsidP="005D2B6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Razones de la respuesta:</w:t>
      </w:r>
    </w:p>
    <w:p w14:paraId="669EEC0E" w14:textId="77777777" w:rsidR="00593FB6" w:rsidRDefault="00593FB6" w:rsidP="00853D78">
      <w:pPr>
        <w:spacing w:after="0" w:line="276" w:lineRule="auto"/>
        <w:ind w:firstLine="708"/>
        <w:jc w:val="both"/>
        <w:rPr>
          <w:rFonts w:ascii="Verdana" w:eastAsia="Aptos" w:hAnsi="Verdana" w:cs="Arial"/>
        </w:rPr>
      </w:pPr>
    </w:p>
    <w:p w14:paraId="79D2B644" w14:textId="441B80EB" w:rsidR="00593FB6" w:rsidRPr="009C2CE9" w:rsidRDefault="00593FB6" w:rsidP="00853D78">
      <w:pPr>
        <w:spacing w:after="0" w:line="276" w:lineRule="auto"/>
        <w:jc w:val="both"/>
        <w:rPr>
          <w:rFonts w:ascii="Verdana" w:eastAsia="Calibri" w:hAnsi="Verdana" w:cs="Arial"/>
          <w:color w:val="000000"/>
        </w:rPr>
      </w:pPr>
      <w:bookmarkStart w:id="2" w:name="_Hlk218602419"/>
      <w:r w:rsidRPr="00890A2D">
        <w:rPr>
          <w:rFonts w:ascii="Verdana" w:eastAsia="Calibri" w:hAnsi="Verdana" w:cs="Arial"/>
        </w:rPr>
        <w:t>El</w:t>
      </w:r>
      <w:r w:rsidRPr="00053937">
        <w:rPr>
          <w:rFonts w:ascii="Verdana" w:eastAsia="Calibri" w:hAnsi="Verdana" w:cs="Arial"/>
        </w:rPr>
        <w:t xml:space="preserve"> </w:t>
      </w:r>
      <w:r w:rsidRPr="009C2CE9">
        <w:rPr>
          <w:rFonts w:ascii="Verdana" w:eastAsia="Calibri" w:hAnsi="Verdana" w:cs="Arial"/>
          <w:color w:val="000000"/>
        </w:rPr>
        <w:t>contrato de prestación de servicios es uno de los tipos contractuales consagrados en el Estatuto General de Contratación de la Administración Pública</w:t>
      </w:r>
      <w:r w:rsidR="00F23420">
        <w:rPr>
          <w:rFonts w:ascii="Verdana" w:eastAsia="Calibri" w:hAnsi="Verdana" w:cs="Arial"/>
          <w:color w:val="000000"/>
        </w:rPr>
        <w:t xml:space="preserve"> – en adelante EGCAP –</w:t>
      </w:r>
      <w:r w:rsidRPr="009C2CE9">
        <w:rPr>
          <w:rFonts w:ascii="Verdana" w:eastAsia="Calibri" w:hAnsi="Verdana" w:cs="Arial"/>
          <w:color w:val="000000"/>
        </w:rPr>
        <w:t xml:space="preserve">, que pueden celebrar las entidades estatales. Se trata </w:t>
      </w:r>
      <w:r w:rsidRPr="009C2CE9">
        <w:rPr>
          <w:rFonts w:ascii="Verdana" w:eastAsia="Calibri" w:hAnsi="Verdana" w:cs="Arial"/>
          <w:color w:val="000000"/>
        </w:rPr>
        <w:lastRenderedPageBreak/>
        <w:t>de un contrato típico, ya que se encuentra definido en la ley. Concretamente, el artículo 32, numeral 3º, de la Ley 80 de 1993, establece:</w:t>
      </w:r>
    </w:p>
    <w:p w14:paraId="23A73F19" w14:textId="77777777" w:rsidR="00593FB6" w:rsidRPr="009C2CE9" w:rsidRDefault="00593FB6" w:rsidP="00593FB6">
      <w:pPr>
        <w:spacing w:after="0" w:line="276" w:lineRule="auto"/>
        <w:jc w:val="both"/>
        <w:rPr>
          <w:rFonts w:ascii="Verdana" w:eastAsia="Calibri" w:hAnsi="Verdana" w:cs="Arial"/>
          <w:color w:val="000000"/>
        </w:rPr>
      </w:pPr>
    </w:p>
    <w:p w14:paraId="622C673D"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9C2CE9">
        <w:rPr>
          <w:rFonts w:ascii="Verdana" w:eastAsia="Calibri" w:hAnsi="Verdana" w:cs="Arial"/>
          <w:color w:val="000000"/>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5C818219"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p>
    <w:p w14:paraId="6F68EB58" w14:textId="77777777" w:rsidR="00593FB6" w:rsidRDefault="00593FB6" w:rsidP="00593FB6">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En ningún caso estos contratos generan relación laboral ni prestaciones sociales y se celebrarán por el término estrictamente indispensable.</w:t>
      </w:r>
      <w:r>
        <w:rPr>
          <w:rFonts w:ascii="Verdana" w:eastAsia="Calibri" w:hAnsi="Verdana" w:cs="Arial"/>
          <w:color w:val="000000"/>
          <w:sz w:val="20"/>
          <w:szCs w:val="20"/>
        </w:rPr>
        <w:t>”</w:t>
      </w:r>
    </w:p>
    <w:p w14:paraId="27198F3F" w14:textId="77777777" w:rsidR="00593FB6" w:rsidRDefault="00593FB6" w:rsidP="00593FB6">
      <w:pPr>
        <w:spacing w:after="0" w:line="276" w:lineRule="auto"/>
        <w:ind w:left="709" w:right="709"/>
        <w:jc w:val="both"/>
        <w:rPr>
          <w:rFonts w:ascii="Verdana" w:eastAsia="Calibri" w:hAnsi="Verdana" w:cs="Arial"/>
          <w:color w:val="000000"/>
          <w:sz w:val="20"/>
          <w:szCs w:val="20"/>
        </w:rPr>
      </w:pPr>
    </w:p>
    <w:p w14:paraId="1A993C88" w14:textId="77777777" w:rsidR="00593FB6" w:rsidRDefault="00593FB6" w:rsidP="00593FB6">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t>De otro lado, la celebración de dicho contrato debe efectuarse mediante la modalidad de la contratación directa. Así lo prevé el artículo 2, numeral 4º, literal h) de la Ley 1150 de 2007, que dispone:</w:t>
      </w:r>
    </w:p>
    <w:p w14:paraId="03B3DC51" w14:textId="77777777" w:rsidR="00593FB6" w:rsidRPr="009C2CE9" w:rsidRDefault="00593FB6" w:rsidP="00593FB6">
      <w:pPr>
        <w:spacing w:after="0" w:line="276" w:lineRule="auto"/>
        <w:ind w:firstLine="709"/>
        <w:jc w:val="both"/>
        <w:rPr>
          <w:rFonts w:ascii="Verdana" w:eastAsia="Calibri" w:hAnsi="Verdana" w:cs="Arial"/>
          <w:color w:val="000000"/>
        </w:rPr>
      </w:pPr>
    </w:p>
    <w:p w14:paraId="2617B7AA"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9C2CE9">
        <w:rPr>
          <w:rFonts w:ascii="Verdana" w:eastAsia="Calibri" w:hAnsi="Verdana" w:cs="Arial"/>
          <w:color w:val="000000"/>
          <w:sz w:val="20"/>
          <w:szCs w:val="20"/>
        </w:rPr>
        <w:t>[…]</w:t>
      </w:r>
    </w:p>
    <w:p w14:paraId="76EDBCFC"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Contratación directa. La modalidad de selección de contratación directa solamente procederá en los siguientes casos:</w:t>
      </w:r>
    </w:p>
    <w:p w14:paraId="197813A6"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w:t>
      </w:r>
    </w:p>
    <w:p w14:paraId="2E9683C6"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h) Para la prestación de servicios profesionales y de apoyo a la gestión, o para la ejecución de trabajos artísticos que sólo puedan encomendarse a determinadas personas naturales;</w:t>
      </w:r>
      <w:r>
        <w:rPr>
          <w:rFonts w:ascii="Verdana" w:eastAsia="Calibri" w:hAnsi="Verdana" w:cs="Arial"/>
          <w:color w:val="000000"/>
          <w:sz w:val="20"/>
          <w:szCs w:val="20"/>
        </w:rPr>
        <w:t>”</w:t>
      </w:r>
    </w:p>
    <w:p w14:paraId="5F4A0CCF" w14:textId="77777777" w:rsidR="00593FB6" w:rsidRPr="00072FBB" w:rsidRDefault="00593FB6" w:rsidP="00593FB6">
      <w:pPr>
        <w:spacing w:after="0" w:line="276" w:lineRule="auto"/>
        <w:ind w:right="709"/>
        <w:jc w:val="both"/>
        <w:rPr>
          <w:rFonts w:ascii="Verdana" w:eastAsia="Calibri" w:hAnsi="Verdana" w:cs="Arial"/>
          <w:color w:val="000000"/>
        </w:rPr>
      </w:pPr>
    </w:p>
    <w:p w14:paraId="36DA3EC9" w14:textId="77777777" w:rsidR="00593FB6" w:rsidRPr="00F9262C"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w:t>
      </w:r>
    </w:p>
    <w:p w14:paraId="6DA779D6" w14:textId="77777777" w:rsidR="00593FB6" w:rsidRPr="009C2CE9"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a) Solo puede celebrarse para realizar “actividades relacionadas con la administración o funcionamiento de la entidad”, es decir, que hagan parte de su giro ordinario o quehacer cotidiano.</w:t>
      </w:r>
    </w:p>
    <w:p w14:paraId="4CF9F842" w14:textId="77777777" w:rsidR="00593FB6" w:rsidRPr="009C2CE9"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 xml:space="preserve">b)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está sobrecargado de trabajo, requiriéndose, por tanto, un apoyo externo; o que </w:t>
      </w:r>
      <w:r w:rsidRPr="009C2CE9">
        <w:rPr>
          <w:rFonts w:ascii="Verdana" w:eastAsia="Calibri" w:hAnsi="Verdana" w:cs="Arial"/>
          <w:color w:val="000000"/>
        </w:rPr>
        <w:lastRenderedPageBreak/>
        <w:t>haya personal de planta, pero no tenga la experticia o conocimiento especializado en la materia, y que, por esta razón, sea necesario contratar los servicios de una persona natural que posea conocimiento y experiencia en el tema.</w:t>
      </w:r>
    </w:p>
    <w:p w14:paraId="2CB5DD03" w14:textId="77777777" w:rsidR="00593FB6"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c) Si bien se celebran para obtener la prestación personal de un servicio, se diferencian del contrato de trabajo</w:t>
      </w:r>
      <w:r w:rsidRPr="009C2CE9">
        <w:rPr>
          <w:rFonts w:ascii="Verdana" w:eastAsia="Calibri" w:hAnsi="Verdana" w:cs="Arial"/>
          <w:color w:val="000000"/>
          <w:vertAlign w:val="superscript"/>
        </w:rPr>
        <w:footnoteReference w:id="1"/>
      </w:r>
      <w:r w:rsidRPr="009C2CE9">
        <w:rPr>
          <w:rFonts w:ascii="Verdana" w:eastAsia="Calibri" w:hAnsi="Verdana" w:cs="Arial"/>
          <w:color w:val="000000"/>
        </w:rPr>
        <w:t xml:space="preserve"> en que quien celebra el contrato de prestación de servicios profesionales debe mantener autonomía e independencia en la ejecución de la labor, lo que significa que no puede existir la </w:t>
      </w:r>
      <w:r w:rsidRPr="009C2CE9">
        <w:rPr>
          <w:rFonts w:ascii="Verdana" w:eastAsia="Calibri" w:hAnsi="Verdana" w:cs="Arial"/>
          <w:i/>
          <w:color w:val="000000"/>
        </w:rPr>
        <w:t>subordinación y dependencia</w:t>
      </w:r>
      <w:r w:rsidRPr="009C2CE9">
        <w:rPr>
          <w:rFonts w:ascii="Verdana" w:eastAsia="Calibri" w:hAnsi="Verdana" w:cs="Arial"/>
          <w:iCs/>
          <w:color w:val="000000"/>
        </w:rPr>
        <w:t>,</w:t>
      </w:r>
      <w:r w:rsidRPr="009C2CE9">
        <w:rPr>
          <w:rFonts w:ascii="Verdana" w:eastAsia="Calibri" w:hAnsi="Verdana" w:cs="Arial"/>
          <w:color w:val="000000"/>
        </w:rPr>
        <w:t xml:space="preserve"> que es uno de los elementos constitutivos del vínculo laboral. Por ello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w:t>
      </w:r>
      <w:r w:rsidRPr="009C2CE9">
        <w:rPr>
          <w:rFonts w:ascii="Verdana" w:eastAsia="Calibri" w:hAnsi="Verdana" w:cs="Arial"/>
          <w:i/>
          <w:color w:val="000000"/>
        </w:rPr>
        <w:t>no pueden</w:t>
      </w:r>
      <w:r w:rsidRPr="009C2CE9">
        <w:rPr>
          <w:rFonts w:ascii="Verdana" w:eastAsia="Calibri" w:hAnsi="Verdana" w:cs="Arial"/>
          <w:color w:val="000000"/>
        </w:rPr>
        <w:t xml:space="preserve"> generar relación laboral, ni dar lugar a que las entidades estatales paguen por su cuenta los aportes al Sistema de Seguridad Social Integral del contratista. </w:t>
      </w:r>
    </w:p>
    <w:p w14:paraId="57EC782E" w14:textId="77777777" w:rsidR="00593FB6" w:rsidRDefault="00593FB6" w:rsidP="00593FB6">
      <w:pPr>
        <w:spacing w:after="120" w:line="276" w:lineRule="auto"/>
        <w:ind w:firstLine="709"/>
        <w:jc w:val="both"/>
        <w:rPr>
          <w:rFonts w:ascii="Verdana" w:eastAsia="Calibri" w:hAnsi="Verdana" w:cs="Arial"/>
          <w:color w:val="000000"/>
        </w:rPr>
      </w:pPr>
      <w:r>
        <w:rPr>
          <w:rFonts w:ascii="Verdana" w:eastAsia="Calibri" w:hAnsi="Verdana" w:cs="Arial"/>
          <w:color w:val="000000"/>
        </w:rPr>
        <w:t>Lo anterior</w:t>
      </w:r>
      <w:r w:rsidRPr="009C2CE9">
        <w:rPr>
          <w:rFonts w:ascii="Verdana" w:eastAsia="Calibri" w:hAnsi="Verdana" w:cs="Arial"/>
          <w:color w:val="000000"/>
        </w:rPr>
        <w:t xml:space="preserve">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w:t>
      </w:r>
      <w:r w:rsidRPr="009C2CE9">
        <w:rPr>
          <w:rFonts w:ascii="Verdana" w:eastAsia="Calibri" w:hAnsi="Verdana" w:cs="Arial"/>
          <w:color w:val="000000"/>
          <w:vertAlign w:val="superscript"/>
        </w:rPr>
        <w:footnoteReference w:id="2"/>
      </w:r>
      <w:r w:rsidRPr="009C2CE9">
        <w:rPr>
          <w:rFonts w:ascii="Verdana" w:eastAsia="Calibri" w:hAnsi="Verdana" w:cs="Arial"/>
          <w:color w:val="000000"/>
        </w:rPr>
        <w:t xml:space="preserve">. </w:t>
      </w:r>
    </w:p>
    <w:p w14:paraId="25CB707A" w14:textId="77777777" w:rsidR="00593FB6"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lastRenderedPageBreak/>
        <w:t xml:space="preserve">Pero es posible que, a pesar de este mandato deontológico, en la práctica surja la relación laboral, pues, como se sabe, el contrato de trabajo es un </w:t>
      </w:r>
      <w:r w:rsidRPr="009C2CE9">
        <w:rPr>
          <w:rFonts w:ascii="Verdana" w:eastAsia="Calibri" w:hAnsi="Verdana" w:cs="Arial"/>
          <w:i/>
          <w:color w:val="000000"/>
        </w:rPr>
        <w:t>contrato realidad</w:t>
      </w:r>
      <w:r w:rsidRPr="009C2CE9">
        <w:rPr>
          <w:rFonts w:ascii="Verdana" w:eastAsia="Calibri" w:hAnsi="Verdana" w:cs="Arial"/>
          <w:color w:val="000000"/>
        </w:rPr>
        <w:t xml:space="preserve">, ya que para su perfeccionamiento rige el principio de la prevalencia de la realidad sobre las formalidades. </w:t>
      </w:r>
    </w:p>
    <w:p w14:paraId="08A6C427" w14:textId="77777777" w:rsidR="00593FB6" w:rsidRPr="009C2CE9" w:rsidRDefault="00593FB6" w:rsidP="00593FB6">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t>d) Deben ser temporales. Así lo señaló la Corte Constitucional en la misma providencia a la que se aludió previamente, expresando que:</w:t>
      </w:r>
    </w:p>
    <w:p w14:paraId="00BFB8C1" w14:textId="77777777" w:rsidR="00593FB6" w:rsidRPr="009C2CE9" w:rsidRDefault="00593FB6" w:rsidP="00593FB6">
      <w:pPr>
        <w:spacing w:after="0" w:line="276" w:lineRule="auto"/>
        <w:ind w:firstLine="709"/>
        <w:jc w:val="both"/>
        <w:rPr>
          <w:rFonts w:ascii="Verdana" w:eastAsia="Calibri" w:hAnsi="Verdana" w:cs="Arial"/>
          <w:color w:val="000000"/>
        </w:rPr>
      </w:pPr>
    </w:p>
    <w:p w14:paraId="561F7A83" w14:textId="77777777" w:rsidR="00593FB6" w:rsidRPr="009C2CE9" w:rsidRDefault="00593FB6" w:rsidP="00593FB6">
      <w:pPr>
        <w:spacing w:after="0" w:line="240" w:lineRule="auto"/>
        <w:ind w:left="709" w:right="709"/>
        <w:jc w:val="both"/>
        <w:rPr>
          <w:rFonts w:ascii="Verdana" w:eastAsia="Calibri" w:hAnsi="Verdana" w:cs="Arial"/>
          <w:color w:val="000000"/>
          <w:sz w:val="21"/>
          <w:szCs w:val="21"/>
        </w:rPr>
      </w:pPr>
      <w:r>
        <w:rPr>
          <w:rFonts w:ascii="Verdana" w:eastAsia="Calibri" w:hAnsi="Verdana" w:cs="Arial"/>
          <w:color w:val="000000"/>
          <w:sz w:val="20"/>
          <w:szCs w:val="20"/>
        </w:rPr>
        <w:t>“</w:t>
      </w:r>
      <w:r w:rsidRPr="009C2CE9">
        <w:rPr>
          <w:rFonts w:ascii="Verdana" w:eastAsia="Calibri" w:hAnsi="Verdana" w:cs="Arial"/>
          <w:color w:val="000000"/>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Pr>
          <w:rFonts w:ascii="Verdana" w:eastAsia="Calibri" w:hAnsi="Verdana" w:cs="Arial"/>
          <w:color w:val="000000"/>
          <w:sz w:val="20"/>
          <w:szCs w:val="20"/>
        </w:rPr>
        <w:t>”</w:t>
      </w:r>
      <w:r w:rsidRPr="009C2CE9">
        <w:rPr>
          <w:rFonts w:ascii="Verdana" w:eastAsia="Calibri" w:hAnsi="Verdana" w:cs="Arial"/>
          <w:color w:val="000000"/>
          <w:sz w:val="21"/>
          <w:szCs w:val="21"/>
          <w:vertAlign w:val="superscript"/>
        </w:rPr>
        <w:footnoteReference w:id="3"/>
      </w:r>
      <w:r w:rsidRPr="009C2CE9">
        <w:rPr>
          <w:rFonts w:ascii="Verdana" w:eastAsia="Calibri" w:hAnsi="Verdana" w:cs="Arial"/>
          <w:color w:val="000000"/>
          <w:sz w:val="21"/>
          <w:szCs w:val="21"/>
        </w:rPr>
        <w:t>.</w:t>
      </w:r>
    </w:p>
    <w:p w14:paraId="10ABC87D" w14:textId="77777777" w:rsidR="00593FB6" w:rsidRPr="009C2CE9" w:rsidRDefault="00593FB6" w:rsidP="00593FB6">
      <w:pPr>
        <w:spacing w:after="0" w:line="276" w:lineRule="auto"/>
        <w:ind w:firstLine="709"/>
        <w:jc w:val="both"/>
        <w:rPr>
          <w:rFonts w:ascii="Verdana" w:eastAsia="Calibri" w:hAnsi="Verdana" w:cs="Arial"/>
          <w:color w:val="000000"/>
        </w:rPr>
      </w:pPr>
    </w:p>
    <w:p w14:paraId="29371AA2" w14:textId="77777777" w:rsidR="00593FB6" w:rsidRPr="009C2CE9" w:rsidRDefault="00593FB6" w:rsidP="00593FB6">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t xml:space="preserve">e) Los contratos de prestación </w:t>
      </w:r>
      <w:r>
        <w:rPr>
          <w:rFonts w:ascii="Verdana" w:eastAsia="Calibri" w:hAnsi="Verdana" w:cs="Arial"/>
          <w:color w:val="000000"/>
        </w:rPr>
        <w:t xml:space="preserve">es el </w:t>
      </w:r>
      <w:proofErr w:type="spellStart"/>
      <w:r>
        <w:rPr>
          <w:rFonts w:ascii="Verdana" w:eastAsia="Calibri" w:hAnsi="Verdana" w:cs="Arial"/>
          <w:color w:val="000000"/>
        </w:rPr>
        <w:t>genero</w:t>
      </w:r>
      <w:proofErr w:type="spellEnd"/>
      <w:r>
        <w:rPr>
          <w:rFonts w:ascii="Verdana" w:eastAsia="Calibri" w:hAnsi="Verdana" w:cs="Arial"/>
          <w:color w:val="000000"/>
        </w:rPr>
        <w:t>, y dentro de él se encuentran diferentes especies o clases, tales como el contrato de prestación de</w:t>
      </w:r>
      <w:r w:rsidRPr="009C2CE9">
        <w:rPr>
          <w:rFonts w:ascii="Verdana" w:eastAsia="Calibri" w:hAnsi="Verdana" w:cs="Arial"/>
          <w:color w:val="000000"/>
        </w:rPr>
        <w:t xml:space="preserve"> servicios profesionales</w:t>
      </w:r>
      <w:r>
        <w:rPr>
          <w:rFonts w:ascii="Verdana" w:eastAsia="Calibri" w:hAnsi="Verdana" w:cs="Arial"/>
          <w:color w:val="000000"/>
        </w:rPr>
        <w:t xml:space="preserve">, </w:t>
      </w:r>
      <w:r w:rsidRPr="009C2CE9">
        <w:rPr>
          <w:rFonts w:ascii="Verdana" w:eastAsia="Calibri" w:hAnsi="Verdana" w:cs="Arial"/>
          <w:color w:val="000000"/>
        </w:rPr>
        <w:t>los contratos de prestación de servicios de apoyo a la gestión y los contratos de prestación de servicios artísticos que solo pueden encomendarse a determinadas personas naturales, de acuerdo con lo reglamentado en el artículo 2.2.1.2.4.9. del Decreto 1082 de 2015</w:t>
      </w:r>
      <w:r w:rsidRPr="009C2CE9">
        <w:rPr>
          <w:rFonts w:ascii="Verdana" w:eastAsia="Calibri" w:hAnsi="Verdana" w:cs="Arial"/>
          <w:color w:val="000000"/>
          <w:vertAlign w:val="superscript"/>
        </w:rPr>
        <w:footnoteReference w:id="4"/>
      </w:r>
      <w:r w:rsidRPr="009C2CE9">
        <w:rPr>
          <w:rFonts w:ascii="Verdana" w:eastAsia="Calibri" w:hAnsi="Verdana" w:cs="Arial"/>
          <w:color w:val="000000"/>
        </w:rPr>
        <w:t xml:space="preserve">. La diferencia entre el contrato de prestación de servicios </w:t>
      </w:r>
      <w:r w:rsidRPr="009C2CE9">
        <w:rPr>
          <w:rFonts w:ascii="Verdana" w:eastAsia="Calibri" w:hAnsi="Verdana" w:cs="Arial"/>
          <w:i/>
          <w:color w:val="000000"/>
        </w:rPr>
        <w:t>profesionales</w:t>
      </w:r>
      <w:r w:rsidRPr="009C2CE9">
        <w:rPr>
          <w:rFonts w:ascii="Verdana" w:eastAsia="Calibri" w:hAnsi="Verdana" w:cs="Arial"/>
          <w:color w:val="000000"/>
        </w:rPr>
        <w:t xml:space="preserve"> con las otras dos especies del género en el cual se ubican radica en su contenido intelectual intangible y, al mismo tiempo, en la formación profesional que se exige para desempeñar la labor. Así lo consideró el Consejo de Estado</w:t>
      </w:r>
      <w:r>
        <w:rPr>
          <w:rFonts w:ascii="Verdana" w:eastAsia="Calibri" w:hAnsi="Verdana" w:cs="Arial"/>
          <w:color w:val="000000"/>
        </w:rPr>
        <w:t>,</w:t>
      </w:r>
      <w:r w:rsidRPr="009C2CE9">
        <w:rPr>
          <w:rFonts w:ascii="Verdana" w:eastAsia="Calibri" w:hAnsi="Verdana" w:cs="Arial"/>
          <w:color w:val="000000"/>
        </w:rPr>
        <w:t xml:space="preserve"> en sentencia de unificación jurisprudencial del </w:t>
      </w:r>
      <w:r w:rsidRPr="009C2CE9">
        <w:rPr>
          <w:rFonts w:ascii="Verdana" w:eastAsia="Calibri" w:hAnsi="Verdana" w:cs="Arial"/>
          <w:color w:val="000000"/>
        </w:rPr>
        <w:lastRenderedPageBreak/>
        <w:t>2 de diciembre de 2013, al indicar, respecto del contrato de prestación de servicios profesionales, que:</w:t>
      </w:r>
    </w:p>
    <w:p w14:paraId="42058DAC" w14:textId="77777777" w:rsidR="00593FB6" w:rsidRPr="009C2CE9" w:rsidRDefault="00593FB6" w:rsidP="00593FB6">
      <w:pPr>
        <w:spacing w:after="0" w:line="276" w:lineRule="auto"/>
        <w:ind w:firstLine="709"/>
        <w:jc w:val="both"/>
        <w:rPr>
          <w:rFonts w:ascii="Verdana" w:eastAsia="Calibri" w:hAnsi="Verdana" w:cs="Arial"/>
          <w:color w:val="000000"/>
        </w:rPr>
      </w:pPr>
    </w:p>
    <w:p w14:paraId="6A18CAA3" w14:textId="77777777" w:rsidR="00593FB6" w:rsidRPr="00072FBB" w:rsidRDefault="00593FB6" w:rsidP="00593FB6">
      <w:pPr>
        <w:spacing w:after="0" w:line="240" w:lineRule="auto"/>
        <w:ind w:left="709" w:right="709"/>
        <w:jc w:val="both"/>
        <w:rPr>
          <w:rFonts w:ascii="Verdana" w:eastAsia="Calibri" w:hAnsi="Verdana" w:cs="Arial"/>
          <w:color w:val="000000"/>
          <w:sz w:val="20"/>
          <w:szCs w:val="20"/>
        </w:rPr>
      </w:pPr>
      <w:r w:rsidRPr="0070352A">
        <w:rPr>
          <w:rFonts w:ascii="Verdana" w:eastAsia="Calibri" w:hAnsi="Verdana" w:cs="Arial"/>
          <w:color w:val="000000"/>
          <w:sz w:val="20"/>
          <w:szCs w:val="20"/>
        </w:rPr>
        <w:t>“</w:t>
      </w:r>
      <w:r w:rsidRPr="009C2CE9">
        <w:rPr>
          <w:rFonts w:ascii="Verdana" w:eastAsia="Calibri" w:hAnsi="Verdana" w:cs="Arial"/>
          <w:color w:val="000000"/>
          <w:sz w:val="20"/>
          <w:szCs w:val="20"/>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3925DB">
        <w:rPr>
          <w:rFonts w:ascii="Verdana" w:eastAsia="Calibri" w:hAnsi="Verdana" w:cs="Arial"/>
          <w:color w:val="000000"/>
          <w:sz w:val="20"/>
          <w:szCs w:val="20"/>
        </w:rPr>
        <w:t>”</w:t>
      </w:r>
      <w:r w:rsidRPr="00072FBB">
        <w:rPr>
          <w:rFonts w:ascii="Verdana" w:eastAsia="Calibri" w:hAnsi="Verdana" w:cs="Arial"/>
          <w:color w:val="000000"/>
          <w:sz w:val="20"/>
          <w:szCs w:val="20"/>
          <w:vertAlign w:val="superscript"/>
        </w:rPr>
        <w:footnoteReference w:id="5"/>
      </w:r>
      <w:r w:rsidRPr="00072FBB">
        <w:rPr>
          <w:rFonts w:ascii="Verdana" w:eastAsia="Calibri" w:hAnsi="Verdana" w:cs="Arial"/>
          <w:color w:val="000000"/>
          <w:sz w:val="20"/>
          <w:szCs w:val="20"/>
        </w:rPr>
        <w:t>.</w:t>
      </w:r>
    </w:p>
    <w:p w14:paraId="5422B02C" w14:textId="77777777" w:rsidR="00593FB6" w:rsidRPr="009C2CE9" w:rsidRDefault="00593FB6" w:rsidP="00593FB6">
      <w:pPr>
        <w:spacing w:after="0" w:line="276" w:lineRule="auto"/>
        <w:ind w:firstLine="709"/>
        <w:jc w:val="both"/>
        <w:rPr>
          <w:rFonts w:ascii="Verdana" w:eastAsia="Calibri" w:hAnsi="Verdana" w:cs="Arial"/>
          <w:color w:val="000000"/>
        </w:rPr>
      </w:pPr>
    </w:p>
    <w:p w14:paraId="51CD6379" w14:textId="77777777" w:rsidR="00593FB6" w:rsidRPr="009C2CE9" w:rsidRDefault="00593FB6" w:rsidP="00593FB6">
      <w:pPr>
        <w:spacing w:after="0" w:line="276" w:lineRule="auto"/>
        <w:ind w:firstLine="709"/>
        <w:jc w:val="both"/>
        <w:rPr>
          <w:rFonts w:ascii="Verdana" w:eastAsia="Calibri" w:hAnsi="Verdana" w:cs="Arial"/>
          <w:color w:val="000000"/>
        </w:rPr>
      </w:pPr>
      <w:r w:rsidRPr="009C2CE9">
        <w:rPr>
          <w:rFonts w:ascii="Verdana" w:eastAsia="Calibri" w:hAnsi="Verdana" w:cs="Arial"/>
          <w:color w:val="000000"/>
        </w:rPr>
        <w:t>Objeto que, según la sentencia que se cita, se diferencia del objeto del contrato de prestación de servicios de apoyo a la gestión, porque en este:</w:t>
      </w:r>
    </w:p>
    <w:p w14:paraId="4F6DEA7A" w14:textId="77777777" w:rsidR="00593FB6" w:rsidRPr="009C2CE9" w:rsidRDefault="00593FB6" w:rsidP="00593FB6">
      <w:pPr>
        <w:spacing w:after="0" w:line="276" w:lineRule="auto"/>
        <w:ind w:firstLine="709"/>
        <w:jc w:val="both"/>
        <w:rPr>
          <w:rFonts w:ascii="Verdana" w:eastAsia="Calibri" w:hAnsi="Verdana" w:cs="Arial"/>
          <w:color w:val="000000"/>
        </w:rPr>
      </w:pPr>
    </w:p>
    <w:p w14:paraId="46C93C23" w14:textId="3A764416" w:rsidR="00593FB6" w:rsidRPr="009C2CE9" w:rsidRDefault="009C6622" w:rsidP="00593FB6">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00593FB6" w:rsidRPr="009C2CE9">
        <w:rPr>
          <w:rFonts w:ascii="Verdana" w:eastAsia="Calibri" w:hAnsi="Verdana" w:cs="Arial"/>
          <w:color w:val="000000"/>
          <w:sz w:val="20"/>
          <w:szCs w:val="20"/>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3114E12F"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p>
    <w:p w14:paraId="090F9315"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 xml:space="preserve">Aunque también se caracteriza por el desempeño de actividad intelectiva, ésta </w:t>
      </w:r>
      <w:proofErr w:type="gramStart"/>
      <w:r w:rsidRPr="009C2CE9">
        <w:rPr>
          <w:rFonts w:ascii="Verdana" w:eastAsia="Calibri" w:hAnsi="Verdana" w:cs="Arial"/>
          <w:color w:val="000000"/>
          <w:sz w:val="20"/>
          <w:szCs w:val="20"/>
        </w:rPr>
        <w:t>se enmarca dentro de</w:t>
      </w:r>
      <w:proofErr w:type="gramEnd"/>
      <w:r w:rsidRPr="009C2CE9">
        <w:rPr>
          <w:rFonts w:ascii="Verdana" w:eastAsia="Calibri" w:hAnsi="Verdana" w:cs="Arial"/>
          <w:color w:val="000000"/>
          <w:sz w:val="20"/>
          <w:szCs w:val="20"/>
        </w:rPr>
        <w:t xml:space="preserve"> un saber propiamente técnico; igualmente involucra actividades en donde prima el esfuerzo físico o mecánico, en donde no se requiere de personal profesional.</w:t>
      </w:r>
    </w:p>
    <w:p w14:paraId="358A394A"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p>
    <w:p w14:paraId="12C48941"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Dentro de su objeto contractual pueden tener lugar actividades operativas, logísticas o asistenciales, siempre que satisfaga los requisitos antes mencionados y sea acorde con las necesidades de la Administración y el principio de planeación.</w:t>
      </w:r>
    </w:p>
    <w:p w14:paraId="18D22D07" w14:textId="77777777" w:rsidR="00593FB6" w:rsidRPr="009C2CE9" w:rsidRDefault="00593FB6" w:rsidP="00593FB6">
      <w:pPr>
        <w:spacing w:after="0" w:line="240" w:lineRule="auto"/>
        <w:ind w:left="709" w:right="709"/>
        <w:jc w:val="both"/>
        <w:rPr>
          <w:rFonts w:ascii="Verdana" w:eastAsia="Calibri" w:hAnsi="Verdana" w:cs="Arial"/>
          <w:color w:val="000000"/>
          <w:sz w:val="20"/>
          <w:szCs w:val="20"/>
        </w:rPr>
      </w:pPr>
    </w:p>
    <w:p w14:paraId="521611AD" w14:textId="7C2E2E9A" w:rsidR="00593FB6" w:rsidRPr="00072FBB" w:rsidRDefault="00593FB6" w:rsidP="00593FB6">
      <w:pPr>
        <w:spacing w:after="0" w:line="240" w:lineRule="auto"/>
        <w:ind w:left="709" w:right="709"/>
        <w:jc w:val="both"/>
        <w:rPr>
          <w:rFonts w:ascii="Verdana" w:eastAsia="Calibri" w:hAnsi="Verdana" w:cs="Arial"/>
          <w:color w:val="000000"/>
          <w:sz w:val="20"/>
          <w:szCs w:val="20"/>
        </w:rPr>
      </w:pPr>
      <w:r w:rsidRPr="009C2CE9">
        <w:rPr>
          <w:rFonts w:ascii="Verdana" w:eastAsia="Calibri" w:hAnsi="Verdana" w:cs="Arial"/>
          <w:color w:val="000000"/>
          <w:sz w:val="20"/>
          <w:szCs w:val="20"/>
        </w:rPr>
        <w:t>Dentro de su objeto contractual pueden tener lugar actividades operativas, logísticas o asistenciales, siempre que satisfaga los requisitos antes mencionados y sea acorde con las necesidades de la Administración y el principio de planeación</w:t>
      </w:r>
      <w:r w:rsidR="009C6622">
        <w:rPr>
          <w:rFonts w:ascii="Verdana" w:eastAsia="Calibri" w:hAnsi="Verdana" w:cs="Arial"/>
          <w:color w:val="000000"/>
          <w:sz w:val="20"/>
          <w:szCs w:val="20"/>
        </w:rPr>
        <w:t>”</w:t>
      </w:r>
      <w:r w:rsidRPr="00072FBB">
        <w:rPr>
          <w:rFonts w:ascii="Verdana" w:eastAsia="Calibri" w:hAnsi="Verdana" w:cs="Arial"/>
          <w:color w:val="000000"/>
          <w:sz w:val="20"/>
          <w:szCs w:val="20"/>
          <w:vertAlign w:val="superscript"/>
        </w:rPr>
        <w:footnoteReference w:id="6"/>
      </w:r>
      <w:r w:rsidRPr="00072FBB">
        <w:rPr>
          <w:rFonts w:ascii="Verdana" w:eastAsia="Calibri" w:hAnsi="Verdana" w:cs="Arial"/>
          <w:color w:val="000000"/>
          <w:sz w:val="20"/>
          <w:szCs w:val="20"/>
        </w:rPr>
        <w:t>.</w:t>
      </w:r>
    </w:p>
    <w:p w14:paraId="33B0F32A" w14:textId="77777777" w:rsidR="00593FB6" w:rsidRPr="009C2CE9" w:rsidRDefault="00593FB6" w:rsidP="00593FB6">
      <w:pPr>
        <w:spacing w:after="0" w:line="276" w:lineRule="auto"/>
        <w:ind w:firstLine="709"/>
        <w:jc w:val="both"/>
        <w:rPr>
          <w:rFonts w:ascii="Verdana" w:eastAsia="Calibri" w:hAnsi="Verdana" w:cs="Arial"/>
          <w:color w:val="000000"/>
        </w:rPr>
      </w:pPr>
    </w:p>
    <w:p w14:paraId="266D5984" w14:textId="77777777" w:rsidR="00593FB6" w:rsidRPr="009C2CE9"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 xml:space="preserve">f) Su celebración debe realizarse a través de la modalidad de contratación directa, independientemente de la cuantía y del tipo de servicio profesional, </w:t>
      </w:r>
      <w:r w:rsidRPr="009C2CE9">
        <w:rPr>
          <w:rFonts w:ascii="Verdana" w:eastAsia="Calibri" w:hAnsi="Verdana" w:cs="Arial"/>
          <w:color w:val="000000"/>
        </w:rPr>
        <w:lastRenderedPageBreak/>
        <w:t>siempre que este no ingrese dentro del objeto del contrato de consultoría</w:t>
      </w:r>
      <w:r>
        <w:rPr>
          <w:rFonts w:ascii="Verdana" w:eastAsia="Calibri" w:hAnsi="Verdana" w:cs="Arial"/>
          <w:color w:val="000000"/>
        </w:rPr>
        <w:t>. C</w:t>
      </w:r>
      <w:r w:rsidRPr="009C2CE9">
        <w:rPr>
          <w:rFonts w:ascii="Verdana" w:eastAsia="Calibri" w:hAnsi="Verdana" w:cs="Arial"/>
          <w:color w:val="000000"/>
        </w:rPr>
        <w:t>omo lo indicó el Consejo de Estado</w:t>
      </w:r>
      <w:r>
        <w:rPr>
          <w:rFonts w:ascii="Verdana" w:eastAsia="Calibri" w:hAnsi="Verdana" w:cs="Arial"/>
          <w:color w:val="000000"/>
        </w:rPr>
        <w:t>,</w:t>
      </w:r>
      <w:r w:rsidRPr="009C2CE9">
        <w:rPr>
          <w:rFonts w:ascii="Verdana" w:eastAsia="Calibri" w:hAnsi="Verdana" w:cs="Arial"/>
          <w:color w:val="000000"/>
        </w:rPr>
        <w:t xml:space="preserve"> en la sentencia de unificación jurisprudencial a la que se hizo referencia, si bien en ambos existe un componente intelectual, profesional e intangible, el objeto del contrato de consultoría es especial y debe celebrarse, por regla general, precedido de un concurso de méritos</w:t>
      </w:r>
      <w:r w:rsidRPr="009C2CE9">
        <w:rPr>
          <w:rFonts w:ascii="Verdana" w:eastAsia="Calibri" w:hAnsi="Verdana" w:cs="Arial"/>
          <w:color w:val="000000"/>
          <w:vertAlign w:val="superscript"/>
        </w:rPr>
        <w:footnoteReference w:id="7"/>
      </w:r>
      <w:r w:rsidRPr="009C2CE9">
        <w:rPr>
          <w:rFonts w:ascii="Verdana" w:eastAsia="Calibri" w:hAnsi="Verdana" w:cs="Arial"/>
          <w:color w:val="000000"/>
        </w:rPr>
        <w:t xml:space="preserve">. Pero, tampoco puede suscribirse un contrato de prestación de servicios profesionales para que el contratista ejecute labores que </w:t>
      </w:r>
      <w:proofErr w:type="gramStart"/>
      <w:r w:rsidRPr="009C2CE9">
        <w:rPr>
          <w:rFonts w:ascii="Verdana" w:eastAsia="Calibri" w:hAnsi="Verdana" w:cs="Arial"/>
          <w:color w:val="000000"/>
        </w:rPr>
        <w:t>se enmarcan dentro de</w:t>
      </w:r>
      <w:proofErr w:type="gramEnd"/>
      <w:r w:rsidRPr="009C2CE9">
        <w:rPr>
          <w:rFonts w:ascii="Verdana" w:eastAsia="Calibri" w:hAnsi="Verdana" w:cs="Arial"/>
          <w:color w:val="000000"/>
        </w:rPr>
        <w:t xml:space="preserve"> los otros contratos tipificados en el artículo 32 de la Ley 80 de 1993, como, por ejemplo, para que el contratista de prestación de servicios construya una obra.</w:t>
      </w:r>
    </w:p>
    <w:p w14:paraId="4C0FECD4" w14:textId="77777777" w:rsidR="00593FB6" w:rsidRPr="009C2CE9"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g) Para su celebración no se requiere la expedición del acto administrativo de justificación de la contratación directa</w:t>
      </w:r>
      <w:r w:rsidRPr="009C2CE9">
        <w:rPr>
          <w:rFonts w:ascii="Verdana" w:eastAsia="Calibri" w:hAnsi="Verdana" w:cs="Arial"/>
          <w:color w:val="000000"/>
          <w:vertAlign w:val="superscript"/>
        </w:rPr>
        <w:footnoteReference w:id="8"/>
      </w:r>
      <w:r w:rsidRPr="009C2CE9">
        <w:rPr>
          <w:rFonts w:ascii="Verdana" w:eastAsia="Calibri" w:hAnsi="Verdana" w:cs="Arial"/>
          <w:color w:val="000000"/>
        </w:rPr>
        <w:t xml:space="preserve">. </w:t>
      </w:r>
    </w:p>
    <w:p w14:paraId="19FD4C9F" w14:textId="77777777" w:rsidR="00593FB6" w:rsidRPr="009C2CE9"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h) Admiten el pacto de cláusulas excepcionales. Es decir, en los contratos de prestación de servicios puede estipularse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9C2CE9">
        <w:rPr>
          <w:rFonts w:ascii="Verdana" w:eastAsia="Calibri" w:hAnsi="Verdana" w:cs="Arial"/>
          <w:color w:val="000000"/>
          <w:vertAlign w:val="superscript"/>
        </w:rPr>
        <w:footnoteReference w:id="9"/>
      </w:r>
      <w:r w:rsidRPr="009C2CE9">
        <w:rPr>
          <w:rFonts w:ascii="Verdana" w:eastAsia="Calibri" w:hAnsi="Verdana" w:cs="Arial"/>
          <w:color w:val="000000"/>
        </w:rPr>
        <w:t>.</w:t>
      </w:r>
    </w:p>
    <w:p w14:paraId="25712DCE" w14:textId="77777777" w:rsidR="00593FB6" w:rsidRPr="009C2CE9"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lastRenderedPageBreak/>
        <w:t>i) En ellos no es obligatoria la liquidación, pues así lo estableció el artículo 217 del Decreto 019 de 2012, que modificó el artículo 60 de la Ley 80 de 1993</w:t>
      </w:r>
      <w:r w:rsidRPr="009C2CE9">
        <w:rPr>
          <w:rFonts w:ascii="Verdana" w:eastAsia="Calibri" w:hAnsi="Verdana" w:cs="Arial"/>
          <w:color w:val="000000"/>
          <w:vertAlign w:val="superscript"/>
        </w:rPr>
        <w:footnoteReference w:id="10"/>
      </w:r>
      <w:r w:rsidRPr="009C2CE9">
        <w:rPr>
          <w:rFonts w:ascii="Verdana" w:eastAsia="Calibri" w:hAnsi="Verdana" w:cs="Arial"/>
          <w:color w:val="000000"/>
        </w:rPr>
        <w:t xml:space="preserve">, </w:t>
      </w:r>
      <w:r w:rsidRPr="009C2CE9">
        <w:rPr>
          <w:rFonts w:ascii="Verdana" w:eastAsia="Calibri" w:hAnsi="Verdana" w:cs="Arial"/>
          <w:color w:val="000000"/>
          <w:lang w:val="es-ES" w:eastAsia="es-ES"/>
        </w:rPr>
        <w:t>refiriéndose expresamente a los contratos de prestación de servicios profesionales y de apoyo a la gestión.</w:t>
      </w:r>
    </w:p>
    <w:p w14:paraId="01F6FA9A" w14:textId="77777777" w:rsidR="00593FB6" w:rsidRPr="009C2CE9"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j) Para su celebración no se requiere inscripción en el Registro Único de Proponentes (RUP), según lo prevé el artículo 6 de la Ley 1150 de 2007</w:t>
      </w:r>
      <w:r w:rsidRPr="009C2CE9">
        <w:rPr>
          <w:rFonts w:ascii="Verdana" w:eastAsia="Calibri" w:hAnsi="Verdana" w:cs="Arial"/>
          <w:color w:val="000000"/>
          <w:vertAlign w:val="superscript"/>
        </w:rPr>
        <w:footnoteReference w:id="11"/>
      </w:r>
      <w:r w:rsidRPr="009C2CE9">
        <w:rPr>
          <w:rFonts w:ascii="Verdana" w:eastAsia="Calibri" w:hAnsi="Verdana" w:cs="Arial"/>
          <w:color w:val="000000"/>
        </w:rPr>
        <w:t>.</w:t>
      </w:r>
    </w:p>
    <w:p w14:paraId="7AF89359" w14:textId="77777777" w:rsidR="00593FB6" w:rsidRPr="009C2CE9" w:rsidRDefault="00593FB6" w:rsidP="00593FB6">
      <w:pPr>
        <w:spacing w:after="120" w:line="276" w:lineRule="auto"/>
        <w:ind w:firstLine="709"/>
        <w:jc w:val="both"/>
        <w:rPr>
          <w:rFonts w:ascii="Verdana" w:eastAsia="Calibri" w:hAnsi="Verdana" w:cs="Arial"/>
          <w:color w:val="000000"/>
        </w:rPr>
      </w:pPr>
      <w:r w:rsidRPr="009C2CE9">
        <w:rPr>
          <w:rFonts w:ascii="Verdana" w:eastAsia="Calibri" w:hAnsi="Verdana" w:cs="Arial"/>
          <w:color w:val="000000"/>
        </w:rPr>
        <w:t>k) En ellos no son necesarias las garantías</w:t>
      </w:r>
      <w:r w:rsidRPr="009C2CE9">
        <w:rPr>
          <w:rFonts w:ascii="Verdana" w:eastAsia="Calibri" w:hAnsi="Verdana" w:cs="Arial"/>
          <w:color w:val="000000"/>
          <w:vertAlign w:val="superscript"/>
        </w:rPr>
        <w:footnoteReference w:id="12"/>
      </w:r>
      <w:r w:rsidRPr="009C2CE9">
        <w:rPr>
          <w:rFonts w:ascii="Verdana" w:eastAsia="Calibri" w:hAnsi="Verdana" w:cs="Arial"/>
          <w:color w:val="000000"/>
        </w:rPr>
        <w:t>.</w:t>
      </w:r>
    </w:p>
    <w:p w14:paraId="1B965488" w14:textId="4EFE9981" w:rsidR="00593FB6" w:rsidRDefault="00593FB6" w:rsidP="00853D78">
      <w:pPr>
        <w:spacing w:after="120" w:line="276" w:lineRule="auto"/>
        <w:ind w:firstLine="709"/>
        <w:jc w:val="both"/>
        <w:rPr>
          <w:rFonts w:ascii="Verdana" w:eastAsia="Calibri" w:hAnsi="Verdana" w:cs="Arial"/>
          <w:color w:val="000000"/>
          <w:lang w:val="es-ES_tradnl" w:eastAsia="es-ES_tradnl"/>
        </w:rPr>
      </w:pPr>
      <w:r w:rsidRPr="009C2CE9">
        <w:rPr>
          <w:rFonts w:ascii="Verdana" w:hAnsi="Verdana"/>
        </w:rPr>
        <w:t>Lo expuesto constituye</w:t>
      </w:r>
      <w:r w:rsidRPr="009C2CE9">
        <w:rPr>
          <w:rFonts w:ascii="Verdana" w:eastAsia="Calibri" w:hAnsi="Verdana" w:cs="Arial"/>
          <w:color w:val="000000"/>
        </w:rPr>
        <w:t xml:space="preserve"> el marco jurídico de los contratos de prestación de servicios y su aplicación es obligatoria para las entidades sometidas al </w:t>
      </w:r>
      <w:r w:rsidR="009C6622">
        <w:rPr>
          <w:rFonts w:ascii="Verdana" w:eastAsia="Calibri" w:hAnsi="Verdana" w:cs="Arial"/>
          <w:color w:val="000000"/>
        </w:rPr>
        <w:t>EGCAP</w:t>
      </w:r>
      <w:r w:rsidRPr="009C2CE9">
        <w:rPr>
          <w:rFonts w:ascii="Verdana" w:eastAsia="Calibri" w:hAnsi="Verdana" w:cs="Arial"/>
          <w:color w:val="000000"/>
        </w:rPr>
        <w:t xml:space="preserve"> establecidas en el artículo 1 de la Ley 80 de 1993, como son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w:t>
      </w:r>
      <w:r w:rsidRPr="009C2CE9">
        <w:rPr>
          <w:rFonts w:ascii="Verdana" w:eastAsia="Calibri" w:hAnsi="Verdana" w:cs="Arial"/>
          <w:color w:val="000000"/>
        </w:rPr>
        <w:lastRenderedPageBreak/>
        <w:t>jurídicas en las que exista dicha participación pública mayoritaria, cualquiera sea la denominación que ellas adopten, en todos los órdenes y niveles, así como las entidades señaladas en el numeral b</w:t>
      </w:r>
      <w:r>
        <w:rPr>
          <w:rFonts w:ascii="Verdana" w:eastAsia="Calibri" w:hAnsi="Verdana" w:cs="Arial"/>
          <w:color w:val="000000"/>
        </w:rPr>
        <w:t>)</w:t>
      </w:r>
      <w:r w:rsidRPr="009C2CE9">
        <w:rPr>
          <w:rFonts w:ascii="Verdana" w:eastAsia="Calibri" w:hAnsi="Verdana" w:cs="Arial"/>
          <w:color w:val="000000"/>
        </w:rPr>
        <w:t xml:space="preserve"> </w:t>
      </w:r>
      <w:r w:rsidRPr="009C2CE9">
        <w:rPr>
          <w:rFonts w:ascii="Verdana" w:eastAsia="Calibri" w:hAnsi="Verdana" w:cs="Arial"/>
          <w:i/>
          <w:iCs/>
          <w:color w:val="000000"/>
        </w:rPr>
        <w:t>ibidem.</w:t>
      </w:r>
    </w:p>
    <w:p w14:paraId="05BE50E5" w14:textId="389CACF3" w:rsidR="00593FB6" w:rsidRPr="00915F5D" w:rsidRDefault="00E70470" w:rsidP="00593FB6">
      <w:pPr>
        <w:spacing w:after="120" w:line="276" w:lineRule="auto"/>
        <w:ind w:firstLine="709"/>
        <w:jc w:val="both"/>
        <w:rPr>
          <w:rFonts w:ascii="Verdana" w:eastAsia="Calibri" w:hAnsi="Verdana" w:cs="Arial"/>
          <w:color w:val="000000"/>
        </w:rPr>
      </w:pPr>
      <w:r>
        <w:rPr>
          <w:rFonts w:ascii="Verdana" w:hAnsi="Verdana" w:cs="Arial"/>
        </w:rPr>
        <w:t>Conforme al marco normativo expuesto</w:t>
      </w:r>
      <w:r w:rsidR="00593FB6" w:rsidRPr="00915F5D">
        <w:rPr>
          <w:rFonts w:ascii="Verdana" w:eastAsia="Calibri" w:hAnsi="Verdana" w:cs="Arial"/>
          <w:color w:val="000000"/>
        </w:rPr>
        <w:t>, los contratistas que celebran contratos de prestación de servicios no adquieren la calidad de servidores públicos, no ocupan empleos públicos ni hacen parte de la planta de personal de la entidad. Por consiguiente, no les resulta aplicable el régimen de administración de personal previsto para los empleados públicos, incluyendo las figuras de nombramiento, carrera administrativa, promoción o ascenso, las cuales son propias de la existencia de un empleo público y de un vínculo legal y reglamentario.</w:t>
      </w:r>
    </w:p>
    <w:p w14:paraId="71321D6E" w14:textId="77777777" w:rsidR="00593FB6" w:rsidRPr="00915F5D" w:rsidRDefault="00593FB6" w:rsidP="00593FB6">
      <w:pPr>
        <w:spacing w:after="120" w:line="276" w:lineRule="auto"/>
        <w:ind w:firstLine="709"/>
        <w:jc w:val="both"/>
        <w:rPr>
          <w:rFonts w:ascii="Verdana" w:eastAsia="Calibri" w:hAnsi="Verdana" w:cs="Arial"/>
          <w:color w:val="000000"/>
        </w:rPr>
      </w:pPr>
      <w:r w:rsidRPr="00915F5D">
        <w:rPr>
          <w:rFonts w:ascii="Verdana" w:eastAsia="Calibri" w:hAnsi="Verdana" w:cs="Arial"/>
          <w:color w:val="000000"/>
        </w:rPr>
        <w:t>Bajo estas consideraciones, desde el punto de vista jurídico no resulta procedente hablar de procesos de "ascenso" respecto de contratistas vinculados mediante contratos de prestación de servicios, ni de la provisión de cargos, empleos o vacantes públicas a través de dicha modalidad contractual. La celebración de un nuevo contrato de prestación de servicios, la modificación de sus condiciones o la contratación para desarrollar actividades de mayor complejidad no constituye un ascenso, sino el ejercicio de la facultad de la entidad de celebrar un contrato independiente para atender una necesidad previamente identificada, de conformidad con los principios y reglas de la contratación estatal.</w:t>
      </w:r>
    </w:p>
    <w:p w14:paraId="2AA006AA" w14:textId="77777777" w:rsidR="00593FB6" w:rsidRPr="00915F5D" w:rsidRDefault="00593FB6" w:rsidP="00593FB6">
      <w:pPr>
        <w:spacing w:after="120" w:line="276" w:lineRule="auto"/>
        <w:ind w:firstLine="709"/>
        <w:jc w:val="both"/>
        <w:rPr>
          <w:rFonts w:ascii="Verdana" w:eastAsia="Calibri" w:hAnsi="Verdana" w:cs="Arial"/>
          <w:color w:val="000000"/>
        </w:rPr>
      </w:pPr>
      <w:r w:rsidRPr="00915F5D">
        <w:rPr>
          <w:rFonts w:ascii="Verdana" w:eastAsia="Calibri" w:hAnsi="Verdana" w:cs="Arial"/>
          <w:color w:val="000000"/>
        </w:rPr>
        <w:t>Asimismo, las actividades encomendadas al contratista deben guardar relación directa con el objeto contractual y con las necesidades definidas en los estudios previos, sin que sea posible asignarle funciones o responsabilidades propias de los servidores públicos, trasladarle competencias que la ley reserva a estos o utilizar la contratación por prestación de servicios para suplir de manera permanente empleos de la planta de personal. De igual forma, las instrucciones impartidas durante la ejecución contractual no pueden modificar ni ampliar el objeto del contrato hasta el punto de desnaturalizar la relación contractual.</w:t>
      </w:r>
    </w:p>
    <w:p w14:paraId="582C6B6B" w14:textId="77777777" w:rsidR="00593FB6" w:rsidRDefault="00593FB6" w:rsidP="00593FB6">
      <w:pPr>
        <w:spacing w:after="120" w:line="276" w:lineRule="auto"/>
        <w:ind w:firstLine="709"/>
        <w:jc w:val="both"/>
        <w:rPr>
          <w:rFonts w:ascii="Verdana" w:eastAsia="Calibri" w:hAnsi="Verdana" w:cs="Arial"/>
          <w:color w:val="000000"/>
        </w:rPr>
      </w:pPr>
      <w:r w:rsidRPr="00915F5D">
        <w:rPr>
          <w:rFonts w:ascii="Verdana" w:eastAsia="Calibri" w:hAnsi="Verdana" w:cs="Arial"/>
          <w:color w:val="000000"/>
        </w:rPr>
        <w:t xml:space="preserve">En consecuencia, cualquier esquema que pretenda establecer "ascensos" o una progresión dentro de la contratación por prestación de servicios, vinculada al desempeño de cargos o empleos públicos, resulta incompatible con la naturaleza de esta modalidad contractual y podría desdibujar sus elementos esenciales, aproximándola indebidamente a una relación propia del empleo </w:t>
      </w:r>
      <w:r w:rsidRPr="00915F5D">
        <w:rPr>
          <w:rFonts w:ascii="Verdana" w:eastAsia="Calibri" w:hAnsi="Verdana" w:cs="Arial"/>
          <w:color w:val="000000"/>
        </w:rPr>
        <w:lastRenderedPageBreak/>
        <w:t>público, en contravía del régimen jurídico que gobierna los contratos de prestación de servicios y de la distinción que el ordenamiento jurídico establece entre los contratistas del Estado y los servidores públicos.</w:t>
      </w:r>
    </w:p>
    <w:bookmarkEnd w:id="2"/>
    <w:p w14:paraId="3B21C289" w14:textId="77777777" w:rsidR="00593FB6" w:rsidRPr="00920927" w:rsidRDefault="00593FB6" w:rsidP="00593FB6">
      <w:pPr>
        <w:spacing w:line="276" w:lineRule="auto"/>
        <w:ind w:firstLine="360"/>
        <w:jc w:val="both"/>
        <w:rPr>
          <w:rFonts w:ascii="Verdana" w:eastAsia="Times New Roman" w:hAnsi="Verdana" w:cs="Arial"/>
          <w:lang w:eastAsia="es-MX"/>
        </w:rPr>
      </w:pPr>
      <w:r>
        <w:rPr>
          <w:rFonts w:ascii="Verdana" w:eastAsia="Calibri" w:hAnsi="Verdana" w:cs="Arial"/>
        </w:rPr>
        <w:t xml:space="preserve">    F</w:t>
      </w:r>
      <w:r w:rsidRPr="006B17A7">
        <w:rPr>
          <w:rFonts w:ascii="Verdana" w:eastAsia="Calibri" w:hAnsi="Verdana" w:cs="Arial"/>
        </w:rPr>
        <w:t xml:space="preserve">inalmente debe advertirse que el análisis requerido para resolver problemas específicos </w:t>
      </w:r>
      <w:r>
        <w:rPr>
          <w:rFonts w:ascii="Verdana" w:eastAsia="Calibri" w:hAnsi="Verdana" w:cs="Arial"/>
        </w:rPr>
        <w:t xml:space="preserve">frente a los requisitos habilitantes en procesos de contratación con sociedad extranjeras </w:t>
      </w:r>
      <w:r w:rsidRPr="006B17A7">
        <w:rPr>
          <w:rFonts w:ascii="Verdana" w:eastAsia="Calibri" w:hAnsi="Verdana" w:cs="Arial"/>
        </w:rPr>
        <w:t xml:space="preserve">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1930D35E" w14:textId="77777777" w:rsidR="00593FB6" w:rsidRDefault="00593FB6" w:rsidP="00593FB6">
      <w:pPr>
        <w:spacing w:before="120" w:after="0" w:line="276" w:lineRule="auto"/>
        <w:ind w:firstLine="360"/>
        <w:jc w:val="both"/>
        <w:rPr>
          <w:rFonts w:ascii="Verdana" w:eastAsia="Calibri" w:hAnsi="Verdana" w:cs="Arial"/>
        </w:rPr>
      </w:pPr>
      <w:r>
        <w:rPr>
          <w:rFonts w:ascii="Verdana" w:eastAsia="Calibri" w:hAnsi="Verdana" w:cs="Arial"/>
        </w:rPr>
        <w:t xml:space="preserve">    </w:t>
      </w:r>
      <w:r w:rsidRPr="006B17A7">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01298F93" w14:textId="77777777" w:rsidR="00593FB6" w:rsidRPr="006B17A7" w:rsidRDefault="00593FB6" w:rsidP="00593FB6">
      <w:pPr>
        <w:spacing w:after="0" w:line="276" w:lineRule="auto"/>
        <w:ind w:firstLine="708"/>
        <w:jc w:val="both"/>
        <w:rPr>
          <w:rFonts w:ascii="Verdana" w:eastAsia="Calibri" w:hAnsi="Verdana" w:cs="Arial"/>
        </w:rPr>
      </w:pPr>
    </w:p>
    <w:p w14:paraId="3275A663" w14:textId="77777777" w:rsidR="00593FB6" w:rsidRPr="00853D78" w:rsidRDefault="00593FB6" w:rsidP="00853D78">
      <w:pPr>
        <w:widowControl w:val="0"/>
        <w:autoSpaceDE w:val="0"/>
        <w:autoSpaceDN w:val="0"/>
        <w:spacing w:after="0" w:line="276" w:lineRule="auto"/>
        <w:outlineLvl w:val="0"/>
        <w:rPr>
          <w:rFonts w:ascii="Verdana" w:eastAsia="Arial" w:hAnsi="Verdana" w:cs="Arial"/>
          <w:b/>
          <w:lang w:val="es-ES"/>
        </w:rPr>
      </w:pPr>
      <w:r w:rsidRPr="00853D78">
        <w:rPr>
          <w:rFonts w:ascii="Verdana" w:eastAsia="Arial" w:hAnsi="Verdana" w:cs="Arial"/>
          <w:b/>
          <w:lang w:val="es-ES"/>
        </w:rPr>
        <w:t xml:space="preserve">4. </w:t>
      </w:r>
      <w:r w:rsidRPr="006B17A7">
        <w:rPr>
          <w:rFonts w:ascii="Verdana" w:eastAsia="Arial" w:hAnsi="Verdana" w:cs="Arial"/>
          <w:b/>
          <w:bCs/>
          <w:lang w:val="es-ES"/>
        </w:rPr>
        <w:t>Referencias normativas, jurisprudenciales y otras fuentes:</w:t>
      </w:r>
    </w:p>
    <w:p w14:paraId="667CEF58" w14:textId="77777777" w:rsidR="00593FB6" w:rsidRPr="006B17A7" w:rsidRDefault="00593FB6" w:rsidP="00593FB6">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93FB6" w:rsidRPr="006B17A7" w14:paraId="078D73EC" w14:textId="77777777" w:rsidTr="00220A85">
        <w:trPr>
          <w:trHeight w:val="870"/>
        </w:trPr>
        <w:tc>
          <w:tcPr>
            <w:tcW w:w="8647" w:type="dxa"/>
          </w:tcPr>
          <w:p w14:paraId="61F6DDF8" w14:textId="77777777" w:rsidR="00593FB6" w:rsidRPr="00BB054D" w:rsidRDefault="00593FB6" w:rsidP="00853D78">
            <w:pPr>
              <w:pStyle w:val="Prrafodelista"/>
              <w:widowControl w:val="0"/>
              <w:numPr>
                <w:ilvl w:val="0"/>
                <w:numId w:val="17"/>
              </w:numPr>
              <w:autoSpaceDE w:val="0"/>
              <w:autoSpaceDN w:val="0"/>
              <w:spacing w:line="276" w:lineRule="auto"/>
              <w:contextualSpacing w:val="0"/>
              <w:jc w:val="both"/>
              <w:rPr>
                <w:rFonts w:ascii="Verdana" w:eastAsia="Aptos" w:hAnsi="Verdana" w:cs="Arial"/>
              </w:rPr>
            </w:pPr>
            <w:r w:rsidRPr="00BB054D">
              <w:rPr>
                <w:rFonts w:ascii="Verdana" w:eastAsia="Aptos" w:hAnsi="Verdana" w:cs="Arial"/>
              </w:rPr>
              <w:t>Ley 80 de 1993. Artículo 32 y 40.</w:t>
            </w:r>
          </w:p>
          <w:p w14:paraId="56AE50E7" w14:textId="77777777" w:rsidR="00593FB6" w:rsidRPr="00BB054D" w:rsidRDefault="00593FB6" w:rsidP="00853D78">
            <w:pPr>
              <w:pStyle w:val="Prrafodelista"/>
              <w:widowControl w:val="0"/>
              <w:numPr>
                <w:ilvl w:val="0"/>
                <w:numId w:val="17"/>
              </w:numPr>
              <w:autoSpaceDE w:val="0"/>
              <w:autoSpaceDN w:val="0"/>
              <w:spacing w:line="276" w:lineRule="auto"/>
              <w:contextualSpacing w:val="0"/>
              <w:jc w:val="both"/>
              <w:rPr>
                <w:rFonts w:ascii="Verdana" w:eastAsia="Aptos" w:hAnsi="Verdana" w:cs="Arial"/>
              </w:rPr>
            </w:pPr>
            <w:r w:rsidRPr="00BB054D">
              <w:rPr>
                <w:rFonts w:ascii="Verdana" w:eastAsia="Aptos" w:hAnsi="Verdana" w:cs="Arial"/>
              </w:rPr>
              <w:t>Ley 1150 de 2007. Artículo 2.</w:t>
            </w:r>
          </w:p>
          <w:p w14:paraId="786297A3" w14:textId="77777777" w:rsidR="00593FB6" w:rsidRPr="00BB054D" w:rsidRDefault="00593FB6" w:rsidP="00853D78">
            <w:pPr>
              <w:pStyle w:val="Prrafodelista"/>
              <w:widowControl w:val="0"/>
              <w:numPr>
                <w:ilvl w:val="0"/>
                <w:numId w:val="17"/>
              </w:numPr>
              <w:autoSpaceDE w:val="0"/>
              <w:autoSpaceDN w:val="0"/>
              <w:spacing w:line="276" w:lineRule="auto"/>
              <w:contextualSpacing w:val="0"/>
              <w:jc w:val="both"/>
              <w:rPr>
                <w:rFonts w:ascii="Verdana" w:eastAsia="Aptos" w:hAnsi="Verdana" w:cs="Arial"/>
              </w:rPr>
            </w:pPr>
            <w:r w:rsidRPr="00BB054D">
              <w:rPr>
                <w:rFonts w:ascii="Verdana" w:eastAsia="Aptos" w:hAnsi="Verdana" w:cs="Arial"/>
              </w:rPr>
              <w:t>Ley 1437 de 2011. Artículo 91.</w:t>
            </w:r>
          </w:p>
          <w:p w14:paraId="796053BA" w14:textId="77777777" w:rsidR="00593FB6" w:rsidRPr="00BB054D" w:rsidRDefault="00593FB6" w:rsidP="00853D78">
            <w:pPr>
              <w:pStyle w:val="Prrafodelista"/>
              <w:widowControl w:val="0"/>
              <w:numPr>
                <w:ilvl w:val="0"/>
                <w:numId w:val="17"/>
              </w:numPr>
              <w:autoSpaceDE w:val="0"/>
              <w:autoSpaceDN w:val="0"/>
              <w:spacing w:line="276" w:lineRule="auto"/>
              <w:contextualSpacing w:val="0"/>
              <w:jc w:val="both"/>
              <w:rPr>
                <w:rFonts w:ascii="Verdana" w:eastAsia="Aptos" w:hAnsi="Verdana" w:cs="Arial"/>
              </w:rPr>
            </w:pPr>
            <w:r w:rsidRPr="00BB054D">
              <w:rPr>
                <w:rFonts w:ascii="Verdana" w:eastAsia="Aptos" w:hAnsi="Verdana" w:cs="Arial"/>
              </w:rPr>
              <w:t>Ley 1955 de 2015. Artículo 244.</w:t>
            </w:r>
          </w:p>
          <w:p w14:paraId="7F790F29" w14:textId="77777777" w:rsidR="00593FB6" w:rsidRPr="00BB054D" w:rsidRDefault="00593FB6" w:rsidP="00853D78">
            <w:pPr>
              <w:pStyle w:val="Prrafodelista"/>
              <w:widowControl w:val="0"/>
              <w:numPr>
                <w:ilvl w:val="0"/>
                <w:numId w:val="17"/>
              </w:numPr>
              <w:autoSpaceDE w:val="0"/>
              <w:autoSpaceDN w:val="0"/>
              <w:spacing w:line="276" w:lineRule="auto"/>
              <w:contextualSpacing w:val="0"/>
              <w:jc w:val="both"/>
              <w:rPr>
                <w:rFonts w:ascii="Verdana" w:eastAsia="Aptos" w:hAnsi="Verdana" w:cs="Arial"/>
              </w:rPr>
            </w:pPr>
            <w:r w:rsidRPr="00BB054D">
              <w:rPr>
                <w:rFonts w:ascii="Verdana" w:eastAsia="Aptos" w:hAnsi="Verdana" w:cs="Arial"/>
              </w:rPr>
              <w:t>Decreto 1082 de 2015. Artículo 2.2.1.2.1.4.1, 2.2.1.2.1.4.5, 2.2.1.2.1.4.9.</w:t>
            </w:r>
          </w:p>
          <w:p w14:paraId="62479D31" w14:textId="77777777" w:rsidR="00593FB6" w:rsidRPr="00BB054D" w:rsidRDefault="00593FB6" w:rsidP="00853D78">
            <w:pPr>
              <w:pStyle w:val="Prrafodelista"/>
              <w:widowControl w:val="0"/>
              <w:numPr>
                <w:ilvl w:val="0"/>
                <w:numId w:val="17"/>
              </w:numPr>
              <w:autoSpaceDE w:val="0"/>
              <w:autoSpaceDN w:val="0"/>
              <w:spacing w:line="276" w:lineRule="auto"/>
              <w:contextualSpacing w:val="0"/>
              <w:jc w:val="both"/>
              <w:rPr>
                <w:rFonts w:ascii="Verdana" w:eastAsia="Aptos" w:hAnsi="Verdana" w:cs="Arial"/>
              </w:rPr>
            </w:pPr>
            <w:r w:rsidRPr="00E5551A">
              <w:rPr>
                <w:rFonts w:ascii="Verdana" w:eastAsia="Aptos" w:hAnsi="Verdana" w:cs="Arial"/>
                <w:lang w:val="pt-PT"/>
              </w:rPr>
              <w:t xml:space="preserve">Corte Constitucional. Sentencia C-154 de 1997. </w:t>
            </w:r>
            <w:r w:rsidRPr="00BB054D">
              <w:rPr>
                <w:rFonts w:ascii="Verdana" w:eastAsia="Aptos" w:hAnsi="Verdana" w:cs="Arial"/>
              </w:rPr>
              <w:t>Magistrado Ponente: Hernando Herrera Vergara.</w:t>
            </w:r>
          </w:p>
          <w:p w14:paraId="70664008" w14:textId="77777777" w:rsidR="00593FB6" w:rsidRPr="00BB054D" w:rsidRDefault="00593FB6" w:rsidP="00853D78">
            <w:pPr>
              <w:pStyle w:val="Prrafodelista"/>
              <w:widowControl w:val="0"/>
              <w:numPr>
                <w:ilvl w:val="0"/>
                <w:numId w:val="17"/>
              </w:numPr>
              <w:autoSpaceDE w:val="0"/>
              <w:autoSpaceDN w:val="0"/>
              <w:spacing w:line="276" w:lineRule="auto"/>
              <w:contextualSpacing w:val="0"/>
              <w:jc w:val="both"/>
              <w:rPr>
                <w:rFonts w:ascii="Verdana" w:eastAsia="Aptos" w:hAnsi="Verdana" w:cs="Arial"/>
              </w:rPr>
            </w:pPr>
            <w:r w:rsidRPr="00BB054D">
              <w:rPr>
                <w:rFonts w:ascii="Verdana" w:eastAsia="Aptos" w:hAnsi="Verdana" w:cs="Arial"/>
              </w:rPr>
              <w:t xml:space="preserve">Consejo de Estado. Sección Tercera. Subsección C. Sentencia del 2 de diciembre de 2013. </w:t>
            </w:r>
            <w:proofErr w:type="spellStart"/>
            <w:r w:rsidRPr="00BB054D">
              <w:rPr>
                <w:rFonts w:ascii="Verdana" w:eastAsia="Aptos" w:hAnsi="Verdana" w:cs="Arial"/>
              </w:rPr>
              <w:t>Exp</w:t>
            </w:r>
            <w:proofErr w:type="spellEnd"/>
            <w:r w:rsidRPr="00BB054D">
              <w:rPr>
                <w:rFonts w:ascii="Verdana" w:eastAsia="Aptos" w:hAnsi="Verdana" w:cs="Arial"/>
              </w:rPr>
              <w:t>. 41719. Consejero Ponente: Jaime Orlando Santofimio Gamboa.</w:t>
            </w:r>
          </w:p>
          <w:p w14:paraId="1DB36DF1" w14:textId="77777777" w:rsidR="00593FB6" w:rsidRPr="006B17A7" w:rsidRDefault="00593FB6" w:rsidP="00853D78">
            <w:pPr>
              <w:pStyle w:val="Prrafodelista"/>
              <w:widowControl w:val="0"/>
              <w:numPr>
                <w:ilvl w:val="0"/>
                <w:numId w:val="17"/>
              </w:numPr>
              <w:autoSpaceDE w:val="0"/>
              <w:autoSpaceDN w:val="0"/>
              <w:spacing w:line="276" w:lineRule="auto"/>
              <w:contextualSpacing w:val="0"/>
              <w:jc w:val="both"/>
              <w:rPr>
                <w:rFonts w:ascii="Verdana" w:eastAsia="Aptos" w:hAnsi="Verdana" w:cs="Arial"/>
              </w:rPr>
            </w:pPr>
            <w:r w:rsidRPr="00BB054D">
              <w:rPr>
                <w:rFonts w:ascii="Verdana" w:eastAsia="Aptos" w:hAnsi="Verdana" w:cs="Arial"/>
              </w:rPr>
              <w:lastRenderedPageBreak/>
              <w:t>Consejo de Estado. Sección Segunda. Sentencia de Unificación Jurisprudencial SUJ-025-CE-S2-2021. Radicado (1317-2016).</w:t>
            </w:r>
          </w:p>
        </w:tc>
      </w:tr>
    </w:tbl>
    <w:p w14:paraId="58A4CF25" w14:textId="77777777" w:rsidR="00593FB6" w:rsidRPr="006B17A7" w:rsidRDefault="00593FB6" w:rsidP="00593FB6">
      <w:pPr>
        <w:widowControl w:val="0"/>
        <w:autoSpaceDE w:val="0"/>
        <w:autoSpaceDN w:val="0"/>
        <w:spacing w:after="0" w:line="276" w:lineRule="auto"/>
        <w:jc w:val="both"/>
        <w:rPr>
          <w:rFonts w:ascii="Verdana" w:eastAsia="Aptos" w:hAnsi="Verdana" w:cs="Arial"/>
        </w:rPr>
      </w:pPr>
    </w:p>
    <w:p w14:paraId="45AB90F0" w14:textId="77777777" w:rsidR="00593FB6" w:rsidRPr="006B17A7" w:rsidRDefault="00593FB6" w:rsidP="00853D78">
      <w:pPr>
        <w:widowControl w:val="0"/>
        <w:autoSpaceDE w:val="0"/>
        <w:autoSpaceDN w:val="0"/>
        <w:spacing w:after="0" w:line="276" w:lineRule="auto"/>
        <w:outlineLvl w:val="0"/>
        <w:rPr>
          <w:rFonts w:ascii="Verdana" w:eastAsia="Arial" w:hAnsi="Verdana" w:cs="Arial"/>
          <w:b/>
          <w:bCs/>
          <w:lang w:val="es-ES"/>
        </w:rPr>
      </w:pPr>
      <w:r w:rsidRPr="006B17A7">
        <w:rPr>
          <w:rFonts w:ascii="Verdana" w:eastAsia="Arial" w:hAnsi="Verdana" w:cs="Arial"/>
          <w:b/>
          <w:bCs/>
          <w:lang w:val="es-ES"/>
        </w:rPr>
        <w:t>5. Doctrina de la Agencia Nacional de Contratación Pública:</w:t>
      </w:r>
    </w:p>
    <w:p w14:paraId="61E42080" w14:textId="77777777" w:rsidR="00593FB6" w:rsidRPr="006B17A7" w:rsidRDefault="00593FB6" w:rsidP="00593FB6">
      <w:pPr>
        <w:widowControl w:val="0"/>
        <w:autoSpaceDE w:val="0"/>
        <w:autoSpaceDN w:val="0"/>
        <w:spacing w:after="0" w:line="276" w:lineRule="auto"/>
        <w:jc w:val="both"/>
        <w:rPr>
          <w:rFonts w:ascii="Verdana" w:eastAsia="Aptos" w:hAnsi="Verdana" w:cs="Arial"/>
        </w:rPr>
      </w:pPr>
    </w:p>
    <w:p w14:paraId="07BFBC20" w14:textId="77777777" w:rsidR="00593FB6" w:rsidRPr="00ED0098" w:rsidRDefault="00593FB6" w:rsidP="00593FB6">
      <w:pPr>
        <w:widowControl w:val="0"/>
        <w:autoSpaceDE w:val="0"/>
        <w:autoSpaceDN w:val="0"/>
        <w:spacing w:after="0" w:line="276" w:lineRule="auto"/>
        <w:jc w:val="both"/>
        <w:rPr>
          <w:rStyle w:val="normaltextrun"/>
          <w:rFonts w:ascii="Verdana" w:hAnsi="Verdana" w:cs="Arial"/>
          <w:shd w:val="clear" w:color="auto" w:fill="FFFFFF"/>
        </w:rPr>
      </w:pPr>
      <w:r w:rsidRPr="006903C3">
        <w:rPr>
          <w:rFonts w:ascii="Verdana" w:eastAsia="Calibri" w:hAnsi="Verdana" w:cs="Arial"/>
          <w:lang w:val="es-ES"/>
        </w:rPr>
        <w:t xml:space="preserve">La Agencia Nacional de Contratación Pública – Colombia Compra Eficiente se ha referido </w:t>
      </w:r>
      <w:r w:rsidRPr="006903C3">
        <w:rPr>
          <w:rFonts w:ascii="Verdana" w:hAnsi="Verdana" w:cs="Arial"/>
          <w:shd w:val="clear" w:color="auto" w:fill="FFFFFF"/>
          <w:lang w:val="es-ES"/>
        </w:rPr>
        <w:t xml:space="preserve">sobre </w:t>
      </w:r>
      <w:r w:rsidRPr="009C2CE9">
        <w:rPr>
          <w:rFonts w:ascii="Verdana" w:hAnsi="Verdana" w:cs="Arial"/>
          <w:shd w:val="clear" w:color="auto" w:fill="FFFFFF"/>
          <w:lang w:val="es-ES"/>
        </w:rPr>
        <w:t xml:space="preserve">los contratos de prestación de servicios, así como los requisitos para su </w:t>
      </w:r>
      <w:r w:rsidRPr="004E5317">
        <w:rPr>
          <w:rFonts w:ascii="Verdana" w:hAnsi="Verdana" w:cs="Arial"/>
          <w:shd w:val="clear" w:color="auto" w:fill="FFFFFF"/>
          <w:lang w:val="es-ES"/>
        </w:rPr>
        <w:t xml:space="preserve">celebración en los conceptos con radicado C-414 </w:t>
      </w:r>
      <w:r w:rsidRPr="009C2CE9">
        <w:rPr>
          <w:rFonts w:ascii="Verdana" w:hAnsi="Verdana" w:cs="Arial"/>
          <w:shd w:val="clear" w:color="auto" w:fill="FFFFFF"/>
          <w:lang w:val="es-ES"/>
        </w:rPr>
        <w:t>del 30 de junio de 2020,C-661 del 17 de noviembre de 2020 C−685 del 18 de diciembre de 2020, C-004 del 12 de febrero de 2021, C</w:t>
      </w:r>
      <w:r>
        <w:rPr>
          <w:rFonts w:ascii="Verdana" w:hAnsi="Verdana" w:cs="Arial"/>
          <w:shd w:val="clear" w:color="auto" w:fill="FFFFFF"/>
          <w:lang w:val="es-ES"/>
        </w:rPr>
        <w:t>-</w:t>
      </w:r>
      <w:r w:rsidRPr="009C2CE9">
        <w:rPr>
          <w:rFonts w:ascii="Verdana" w:hAnsi="Verdana" w:cs="Arial"/>
          <w:shd w:val="clear" w:color="auto" w:fill="FFFFFF"/>
          <w:lang w:val="es-ES"/>
        </w:rPr>
        <w:t>106 del 7 de abril de 2021, C-181 del 07 de abril de 2022, C-214 del 22 de abril de 2022</w:t>
      </w:r>
      <w:r>
        <w:rPr>
          <w:rFonts w:ascii="Verdana" w:hAnsi="Verdana" w:cs="Arial"/>
          <w:shd w:val="clear" w:color="auto" w:fill="FFFFFF"/>
          <w:lang w:val="es-ES"/>
        </w:rPr>
        <w:t xml:space="preserve">, </w:t>
      </w:r>
      <w:r w:rsidRPr="009C2CE9">
        <w:rPr>
          <w:rFonts w:ascii="Verdana" w:hAnsi="Verdana" w:cs="Arial"/>
          <w:shd w:val="clear" w:color="auto" w:fill="FFFFFF"/>
          <w:lang w:val="es-ES"/>
        </w:rPr>
        <w:t>C-491 de 01 de agosto de 2022, C-008 del 20 de febrero de 2023, C-009 del 20 de febrero de 2023, C-286 del 2023, C-351 del 30 de agosto de 2024</w:t>
      </w:r>
      <w:r>
        <w:rPr>
          <w:rFonts w:ascii="Verdana" w:hAnsi="Verdana" w:cs="Arial"/>
          <w:shd w:val="clear" w:color="auto" w:fill="FFFFFF"/>
          <w:lang w:val="es-ES"/>
        </w:rPr>
        <w:t xml:space="preserve">, </w:t>
      </w:r>
      <w:r w:rsidRPr="009C2CE9">
        <w:rPr>
          <w:rFonts w:ascii="Verdana" w:hAnsi="Verdana" w:cs="Arial"/>
          <w:shd w:val="clear" w:color="auto" w:fill="FFFFFF"/>
          <w:lang w:val="es-ES"/>
        </w:rPr>
        <w:t xml:space="preserve">C-372 del 26 de Agosto 2024, C-904 del 9 de diciembre de 2024 </w:t>
      </w:r>
      <w:r>
        <w:rPr>
          <w:rFonts w:ascii="Verdana" w:hAnsi="Verdana" w:cs="Arial"/>
          <w:shd w:val="clear" w:color="auto" w:fill="FFFFFF"/>
          <w:lang w:val="es-ES"/>
        </w:rPr>
        <w:t xml:space="preserve">, </w:t>
      </w:r>
      <w:r w:rsidRPr="009C2CE9">
        <w:rPr>
          <w:rFonts w:ascii="Verdana" w:hAnsi="Verdana" w:cs="Arial"/>
          <w:shd w:val="clear" w:color="auto" w:fill="FFFFFF"/>
          <w:lang w:val="es-ES"/>
        </w:rPr>
        <w:t>C-363 del 15 de abril de 2025</w:t>
      </w:r>
      <w:r>
        <w:rPr>
          <w:rFonts w:ascii="Verdana" w:hAnsi="Verdana" w:cs="Arial"/>
          <w:shd w:val="clear" w:color="auto" w:fill="FFFFFF"/>
          <w:lang w:val="es-ES"/>
        </w:rPr>
        <w:t xml:space="preserve">, C-652 del 04 de julio de 2025 y C-706 del 15 de julio de 2025, </w:t>
      </w:r>
      <w:r w:rsidRPr="00ED7C2F">
        <w:rPr>
          <w:rFonts w:ascii="Verdana" w:hAnsi="Verdana" w:cs="Arial"/>
          <w:shd w:val="clear" w:color="auto" w:fill="FFFFFF"/>
          <w:lang w:val="es-ES"/>
        </w:rPr>
        <w:t>C-1838 de</w:t>
      </w:r>
      <w:r>
        <w:rPr>
          <w:rFonts w:ascii="Verdana" w:hAnsi="Verdana" w:cs="Arial"/>
          <w:shd w:val="clear" w:color="auto" w:fill="FFFFFF"/>
          <w:lang w:val="es-ES"/>
        </w:rPr>
        <w:t>l 23 de enero de</w:t>
      </w:r>
      <w:r w:rsidRPr="00ED7C2F">
        <w:rPr>
          <w:rFonts w:ascii="Verdana" w:hAnsi="Verdana" w:cs="Arial"/>
          <w:shd w:val="clear" w:color="auto" w:fill="FFFFFF"/>
          <w:lang w:val="es-ES"/>
        </w:rPr>
        <w:t xml:space="preserve"> 2026</w:t>
      </w:r>
      <w:r>
        <w:rPr>
          <w:rFonts w:ascii="Verdana" w:hAnsi="Verdana" w:cs="Arial"/>
          <w:shd w:val="clear" w:color="auto" w:fill="FFFFFF"/>
          <w:lang w:val="es-ES"/>
        </w:rPr>
        <w:t xml:space="preserve"> y C-188 del 20 de febrero de 2026, </w:t>
      </w:r>
      <w:r w:rsidRPr="009C2CE9">
        <w:rPr>
          <w:rFonts w:ascii="Verdana" w:hAnsi="Verdana" w:cs="Arial"/>
          <w:shd w:val="clear" w:color="auto" w:fill="FFFFFF"/>
          <w:lang w:val="es-ES"/>
        </w:rPr>
        <w:t>entre otros</w:t>
      </w:r>
      <w:r w:rsidRPr="009C2CE9">
        <w:rPr>
          <w:rFonts w:ascii="Verdana" w:eastAsia="Aptos" w:hAnsi="Verdana" w:cs="Segoe UI"/>
          <w:kern w:val="2"/>
          <w14:ligatures w14:val="standardContextual"/>
        </w:rPr>
        <w:t>.</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3" w:history="1">
        <w:r w:rsidRPr="00B836ED">
          <w:rPr>
            <w:rStyle w:val="Hipervnculo"/>
            <w:rFonts w:ascii="Verdana" w:hAnsi="Verdana" w:cs="Arial"/>
            <w:shd w:val="clear" w:color="auto" w:fill="FFFFFF"/>
          </w:rPr>
          <w:t>https://relatoria.colombiacompra.gov.co/busqueda/conceptos</w:t>
        </w:r>
      </w:hyperlink>
      <w:r w:rsidRPr="00B836ED">
        <w:rPr>
          <w:rStyle w:val="normaltextrun"/>
          <w:rFonts w:ascii="Verdana" w:hAnsi="Verdana" w:cs="Arial"/>
          <w:shd w:val="clear" w:color="auto" w:fill="FFFFFF"/>
        </w:rPr>
        <w:t xml:space="preserve">. </w:t>
      </w:r>
      <w:r w:rsidRPr="00B836ED">
        <w:rPr>
          <w:rStyle w:val="normaltextrun"/>
          <w:rFonts w:ascii="Verdana" w:hAnsi="Verdana" w:cs="Arial"/>
          <w:color w:val="FF0000"/>
          <w:shd w:val="clear" w:color="auto" w:fill="FFFFFF"/>
          <w:lang w:val="es-ES"/>
        </w:rPr>
        <w:t xml:space="preserve"> </w:t>
      </w:r>
    </w:p>
    <w:p w14:paraId="61A0C122" w14:textId="77777777" w:rsidR="00593FB6" w:rsidRPr="00115E3D" w:rsidRDefault="00593FB6" w:rsidP="00593FB6">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14:paraId="6F1E2751" w14:textId="1C0FAD65" w:rsidR="00593FB6" w:rsidRDefault="00593FB6" w:rsidP="00B836ED">
      <w:pPr>
        <w:spacing w:after="0" w:line="276" w:lineRule="auto"/>
        <w:jc w:val="both"/>
        <w:rPr>
          <w:rStyle w:val="Hipervnculo"/>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B836ED">
          <w:rPr>
            <w:rStyle w:val="Hipervnculo"/>
            <w:rFonts w:ascii="Verdana" w:hAnsi="Verdana"/>
          </w:rPr>
          <w:t>https://formacionvirtual.colombiacompra.gov.co/mod/page/view.php?id=3718</w:t>
        </w:r>
      </w:hyperlink>
    </w:p>
    <w:p w14:paraId="207BAA99" w14:textId="77777777" w:rsidR="00B836ED" w:rsidRPr="00B836ED" w:rsidRDefault="00B836ED" w:rsidP="00853D78">
      <w:pPr>
        <w:spacing w:after="0" w:line="276" w:lineRule="auto"/>
        <w:jc w:val="both"/>
        <w:rPr>
          <w:rFonts w:ascii="Verdana" w:hAnsi="Verdana"/>
        </w:rPr>
      </w:pPr>
    </w:p>
    <w:p w14:paraId="72D732D4" w14:textId="434C7E2F" w:rsidR="00593FB6" w:rsidRDefault="00593FB6" w:rsidP="00B836ED">
      <w:pPr>
        <w:spacing w:after="0" w:line="276" w:lineRule="auto"/>
        <w:jc w:val="both"/>
        <w:rPr>
          <w:rStyle w:val="Hipervnculo"/>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xml:space="preserve">, promoviendo procesos más </w:t>
      </w:r>
      <w:r w:rsidRPr="00635F16">
        <w:rPr>
          <w:rFonts w:ascii="Verdana" w:hAnsi="Verdana"/>
        </w:rPr>
        <w:lastRenderedPageBreak/>
        <w:t>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w:t>
      </w:r>
      <w:r w:rsidRPr="00B836ED">
        <w:rPr>
          <w:rFonts w:ascii="Verdana" w:hAnsi="Verdana"/>
        </w:rPr>
        <w:t xml:space="preserve">Consulta y descarga los documentos aquí: </w:t>
      </w:r>
      <w:hyperlink r:id="rId15" w:tgtFrame="_new" w:history="1">
        <w:r w:rsidRPr="00B836ED">
          <w:rPr>
            <w:rStyle w:val="Hipervnculo"/>
            <w:rFonts w:ascii="Verdana" w:hAnsi="Verdana"/>
          </w:rPr>
          <w:t>https://www.colombiacompra.gov.co/normativa-y-relatoria/documentos-tipo</w:t>
        </w:r>
      </w:hyperlink>
    </w:p>
    <w:p w14:paraId="6891994E" w14:textId="77777777" w:rsidR="00B836ED" w:rsidRPr="00B836ED" w:rsidRDefault="00B836ED" w:rsidP="00853D78">
      <w:pPr>
        <w:spacing w:after="0" w:line="276" w:lineRule="auto"/>
        <w:jc w:val="both"/>
        <w:rPr>
          <w:rFonts w:ascii="Verdana" w:hAnsi="Verdana"/>
        </w:rPr>
      </w:pPr>
    </w:p>
    <w:p w14:paraId="44C5D824" w14:textId="34B32312" w:rsidR="00593FB6" w:rsidRDefault="00593FB6" w:rsidP="00B836ED">
      <w:pPr>
        <w:spacing w:after="0" w:line="276" w:lineRule="auto"/>
        <w:jc w:val="both"/>
        <w:rPr>
          <w:rStyle w:val="Hipervnculo"/>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B836ED">
        <w:rPr>
          <w:rFonts w:ascii="Verdana" w:hAnsi="Verdana"/>
        </w:rPr>
        <w:t>Además se incluyeron lineamientos que orientan la implementación de los criterios ambientales y sociales incluidos en los documentos tipo: Consulta la guía aquí:</w:t>
      </w:r>
      <w:r w:rsidRPr="00B836ED">
        <w:rPr>
          <w:rFonts w:ascii="Verdana" w:hAnsi="Verdana"/>
        </w:rPr>
        <w:br/>
      </w:r>
      <w:hyperlink r:id="rId16" w:tgtFrame="_new" w:history="1">
        <w:r w:rsidRPr="00B836E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57554C4B" w14:textId="77777777" w:rsidR="00B836ED" w:rsidRPr="00B836ED" w:rsidRDefault="00B836ED" w:rsidP="00853D78">
      <w:pPr>
        <w:spacing w:after="0" w:line="276" w:lineRule="auto"/>
        <w:jc w:val="both"/>
        <w:rPr>
          <w:rFonts w:ascii="Verdana" w:hAnsi="Verdana"/>
        </w:rPr>
      </w:pPr>
    </w:p>
    <w:p w14:paraId="7501B0EC" w14:textId="77777777" w:rsidR="00593FB6" w:rsidRPr="00115E3D" w:rsidRDefault="00593FB6" w:rsidP="00853D78">
      <w:pPr>
        <w:spacing w:after="0" w:line="276" w:lineRule="auto"/>
        <w:jc w:val="both"/>
        <w:rPr>
          <w:rFonts w:ascii="Verdana" w:hAnsi="Verdana"/>
          <w:color w:val="000000" w:themeColor="text1"/>
        </w:rPr>
      </w:pPr>
      <w:r>
        <w:rPr>
          <w:rFonts w:ascii="Verdana" w:hAnsi="Verdana"/>
          <w:color w:val="000000" w:themeColor="text1"/>
        </w:rPr>
        <w:t>L</w:t>
      </w:r>
      <w:r w:rsidRPr="00115E3D">
        <w:rPr>
          <w:rFonts w:ascii="Verdana" w:hAnsi="Verdana"/>
          <w:color w:val="000000" w:themeColor="text1"/>
        </w:rPr>
        <w:t xml:space="preserve">o invitamos a seguirnos en las redes sociales en las cuales se difunde información institucional: </w:t>
      </w:r>
    </w:p>
    <w:p w14:paraId="5CED3163" w14:textId="77777777" w:rsidR="00593FB6" w:rsidRPr="00115E3D" w:rsidRDefault="00593FB6" w:rsidP="00853D78">
      <w:pPr>
        <w:spacing w:after="0" w:line="276" w:lineRule="auto"/>
        <w:jc w:val="both"/>
        <w:rPr>
          <w:rFonts w:ascii="Verdana" w:hAnsi="Verdana"/>
          <w:color w:val="000000" w:themeColor="text1"/>
        </w:rPr>
      </w:pPr>
    </w:p>
    <w:p w14:paraId="128C9349" w14:textId="77777777" w:rsidR="00593FB6" w:rsidRPr="00115E3D" w:rsidRDefault="00593FB6" w:rsidP="00853D78">
      <w:pPr>
        <w:spacing w:after="0" w:line="276"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14:paraId="35FB15B6" w14:textId="77777777" w:rsidR="00593FB6" w:rsidRPr="00115E3D" w:rsidRDefault="00593FB6" w:rsidP="00853D78">
      <w:pPr>
        <w:spacing w:after="0" w:line="276" w:lineRule="auto"/>
        <w:jc w:val="both"/>
        <w:rPr>
          <w:rFonts w:ascii="Verdana" w:hAnsi="Verdana"/>
          <w:color w:val="000000" w:themeColor="text1"/>
        </w:rPr>
      </w:pPr>
      <w:r w:rsidRPr="00115E3D">
        <w:rPr>
          <w:rFonts w:ascii="Verdana" w:hAnsi="Verdana"/>
          <w:color w:val="000000" w:themeColor="text1"/>
        </w:rPr>
        <w:t xml:space="preserve">Facebook: </w:t>
      </w:r>
      <w:proofErr w:type="spellStart"/>
      <w:r w:rsidRPr="00115E3D">
        <w:rPr>
          <w:rStyle w:val="Hipervnculo"/>
          <w:rFonts w:ascii="Verdana" w:hAnsi="Verdana"/>
          <w:color w:val="000000" w:themeColor="text1"/>
        </w:rPr>
        <w:t>ColombiaCompraEficiente</w:t>
      </w:r>
      <w:proofErr w:type="spellEnd"/>
    </w:p>
    <w:p w14:paraId="7C7CB7D0" w14:textId="77777777" w:rsidR="00593FB6" w:rsidRPr="00115E3D" w:rsidRDefault="00593FB6" w:rsidP="00853D78">
      <w:pPr>
        <w:spacing w:after="0" w:line="276" w:lineRule="auto"/>
        <w:jc w:val="both"/>
        <w:rPr>
          <w:rFonts w:ascii="Verdana" w:hAnsi="Verdana"/>
          <w:color w:val="000000" w:themeColor="text1"/>
        </w:rPr>
      </w:pPr>
      <w:r w:rsidRPr="00115E3D">
        <w:rPr>
          <w:rFonts w:ascii="Verdana" w:hAnsi="Verdana"/>
          <w:color w:val="000000" w:themeColor="text1"/>
        </w:rPr>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14:paraId="57A49874" w14:textId="77777777" w:rsidR="00593FB6" w:rsidRPr="00115E3D" w:rsidRDefault="00593FB6" w:rsidP="00593FB6">
      <w:pPr>
        <w:widowControl w:val="0"/>
        <w:autoSpaceDE w:val="0"/>
        <w:autoSpaceDN w:val="0"/>
        <w:spacing w:after="0" w:line="276" w:lineRule="auto"/>
        <w:jc w:val="both"/>
        <w:rPr>
          <w:rFonts w:ascii="Verdana" w:hAnsi="Verdana" w:cs="Arial"/>
          <w:color w:val="000000" w:themeColor="text1"/>
        </w:rPr>
      </w:pPr>
    </w:p>
    <w:p w14:paraId="60797793" w14:textId="77777777" w:rsidR="00593FB6" w:rsidRPr="00115E3D" w:rsidRDefault="00593FB6" w:rsidP="00593FB6">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5C49C6B3" w14:textId="77777777" w:rsidR="00593FB6" w:rsidRDefault="00593FB6" w:rsidP="00853D78">
      <w:pPr>
        <w:spacing w:after="0" w:line="276" w:lineRule="auto"/>
        <w:rPr>
          <w:rFonts w:ascii="Verdana" w:eastAsia="Times New Roman" w:hAnsi="Verdana" w:cs="Arial"/>
          <w:color w:val="000000" w:themeColor="text1"/>
          <w:lang w:eastAsia="es-CO"/>
        </w:rPr>
      </w:pPr>
    </w:p>
    <w:p w14:paraId="042E5D55" w14:textId="20D85E3B" w:rsidR="00593FB6" w:rsidRDefault="00593FB6" w:rsidP="00853D78">
      <w:pPr>
        <w:spacing w:after="0" w:line="276" w:lineRule="auto"/>
        <w:rPr>
          <w:noProof/>
        </w:rPr>
      </w:pPr>
      <w:r w:rsidRPr="00115E3D">
        <w:rPr>
          <w:rFonts w:ascii="Verdana" w:eastAsia="Times New Roman" w:hAnsi="Verdana" w:cs="Arial"/>
          <w:color w:val="000000" w:themeColor="text1"/>
          <w:lang w:eastAsia="es-CO"/>
        </w:rPr>
        <w:t>Atentamente,</w:t>
      </w:r>
      <w:r w:rsidRPr="00115E3D">
        <w:rPr>
          <w:rFonts w:ascii="Verdana" w:hAnsi="Verdana" w:cs="Arial"/>
          <w:color w:val="000000" w:themeColor="text1"/>
          <w:lang w:eastAsia="es-CO"/>
        </w:rPr>
        <w:t xml:space="preserve"> </w:t>
      </w:r>
    </w:p>
    <w:p w14:paraId="01BF33E4" w14:textId="7CF9E8D4" w:rsidR="00593FB6" w:rsidRDefault="00FE48DD" w:rsidP="00593FB6">
      <w:pPr>
        <w:spacing w:line="276" w:lineRule="auto"/>
        <w:jc w:val="center"/>
        <w:rPr>
          <w:noProof/>
        </w:rPr>
      </w:pPr>
      <w:r w:rsidRPr="002C3AD6">
        <w:rPr>
          <w:rFonts w:ascii="Century Gothic" w:hAnsi="Century Gothic"/>
          <w:noProof/>
        </w:rPr>
        <w:lastRenderedPageBreak/>
        <w:drawing>
          <wp:inline distT="0" distB="0" distL="0" distR="0" wp14:anchorId="1A660534" wp14:editId="56E25CDA">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772426" cy="140037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93FB6" w:rsidRPr="00115E3D" w14:paraId="7DFACD5A" w14:textId="77777777" w:rsidTr="00220A85">
        <w:trPr>
          <w:trHeight w:val="315"/>
        </w:trPr>
        <w:tc>
          <w:tcPr>
            <w:tcW w:w="893" w:type="dxa"/>
            <w:vAlign w:val="center"/>
            <w:hideMark/>
          </w:tcPr>
          <w:p w14:paraId="1F36532C" w14:textId="77777777" w:rsidR="00593FB6" w:rsidRPr="00115E3D" w:rsidRDefault="00593FB6" w:rsidP="00220A85">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2219250" w14:textId="77777777" w:rsidR="00593FB6" w:rsidRPr="00115E3D" w:rsidRDefault="00593FB6" w:rsidP="00220A85">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Richard Andrés Monenegro Siefken</w:t>
            </w:r>
          </w:p>
          <w:p w14:paraId="5CF6AA94" w14:textId="77777777" w:rsidR="00593FB6" w:rsidRPr="00115E3D" w:rsidRDefault="00593FB6" w:rsidP="00220A85">
            <w:pPr>
              <w:contextualSpacing/>
              <w:rPr>
                <w:rFonts w:ascii="Verdana" w:eastAsia="Arial" w:hAnsi="Verdana" w:cs="Arial"/>
                <w:color w:val="000000" w:themeColor="text1"/>
                <w:sz w:val="16"/>
                <w:szCs w:val="16"/>
              </w:rPr>
            </w:pPr>
            <w:r w:rsidRPr="00AB5151">
              <w:rPr>
                <w:rStyle w:val="normaltextrun"/>
                <w:rFonts w:ascii="Verdana" w:eastAsia="Arial" w:hAnsi="Verdana" w:cs="Times New Roman"/>
                <w:color w:val="000000" w:themeColor="text1"/>
                <w:sz w:val="16"/>
                <w:szCs w:val="16"/>
              </w:rPr>
              <w:t>C</w:t>
            </w:r>
            <w:r w:rsidRPr="00AB5151">
              <w:rPr>
                <w:rStyle w:val="normaltextrun"/>
                <w:rFonts w:ascii="Verdana" w:eastAsia="Arial" w:hAnsi="Verdana" w:cs="Times New Roman"/>
                <w:sz w:val="16"/>
                <w:szCs w:val="16"/>
              </w:rPr>
              <w:t xml:space="preserve">ontratista </w:t>
            </w:r>
            <w:r w:rsidRPr="00115E3D">
              <w:rPr>
                <w:rStyle w:val="normaltextrun"/>
                <w:rFonts w:ascii="Verdana" w:eastAsia="Arial" w:hAnsi="Verdana" w:cs="Arial"/>
                <w:color w:val="000000" w:themeColor="text1"/>
                <w:sz w:val="16"/>
                <w:szCs w:val="16"/>
              </w:rPr>
              <w:t>de la Subdirección de Gestión Contractual</w:t>
            </w:r>
          </w:p>
        </w:tc>
      </w:tr>
      <w:tr w:rsidR="00593FB6" w:rsidRPr="00115E3D" w14:paraId="1844EBD5" w14:textId="77777777" w:rsidTr="00220A85">
        <w:trPr>
          <w:trHeight w:val="330"/>
        </w:trPr>
        <w:tc>
          <w:tcPr>
            <w:tcW w:w="893" w:type="dxa"/>
            <w:vAlign w:val="center"/>
            <w:hideMark/>
          </w:tcPr>
          <w:p w14:paraId="19A4E185" w14:textId="77777777" w:rsidR="00593FB6" w:rsidRPr="00115E3D" w:rsidRDefault="00593FB6" w:rsidP="00220A85">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56C6D7A" w14:textId="77777777" w:rsidR="00593FB6" w:rsidRDefault="00593FB6" w:rsidP="00220A85">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Diana Lucia Saavedra Castañeda</w:t>
            </w:r>
          </w:p>
          <w:p w14:paraId="0BB0CA13" w14:textId="77777777" w:rsidR="00593FB6" w:rsidRPr="00115E3D" w:rsidRDefault="00593FB6" w:rsidP="00220A85">
            <w:pPr>
              <w:pStyle w:val="paragraph"/>
              <w:spacing w:before="0" w:beforeAutospacing="0" w:after="0" w:afterAutospacing="0"/>
              <w:contextualSpacing/>
              <w:textAlignment w:val="baseline"/>
              <w:rPr>
                <w:rFonts w:ascii="Verdana" w:hAnsi="Verdana" w:cs="Segoe UI"/>
                <w:color w:val="000000" w:themeColor="text1"/>
                <w:sz w:val="16"/>
                <w:szCs w:val="16"/>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593FB6" w:rsidRPr="00115E3D" w14:paraId="5FC75857" w14:textId="77777777" w:rsidTr="00220A85">
        <w:trPr>
          <w:trHeight w:val="300"/>
        </w:trPr>
        <w:tc>
          <w:tcPr>
            <w:tcW w:w="893" w:type="dxa"/>
            <w:vAlign w:val="center"/>
          </w:tcPr>
          <w:p w14:paraId="2718154F" w14:textId="77777777" w:rsidR="00593FB6" w:rsidRPr="00115E3D" w:rsidRDefault="00593FB6" w:rsidP="00220A85">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1F643C0" w14:textId="77777777" w:rsidR="00593FB6" w:rsidRPr="00115E3D" w:rsidRDefault="00593FB6" w:rsidP="00220A85">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val="pt-BR" w:eastAsia="es-ES"/>
              </w:rPr>
              <w:t xml:space="preserve">Carolina Quintero </w:t>
            </w:r>
            <w:proofErr w:type="spellStart"/>
            <w:r w:rsidRPr="00115E3D">
              <w:rPr>
                <w:rFonts w:ascii="Verdana" w:eastAsia="Calibri" w:hAnsi="Verdana" w:cs="Arial"/>
                <w:color w:val="000000" w:themeColor="text1"/>
                <w:sz w:val="16"/>
                <w:szCs w:val="16"/>
                <w:lang w:val="pt-BR" w:eastAsia="es-ES"/>
              </w:rPr>
              <w:t>Gacharná</w:t>
            </w:r>
            <w:proofErr w:type="spellEnd"/>
          </w:p>
          <w:p w14:paraId="3F92049A" w14:textId="77777777" w:rsidR="00593FB6" w:rsidRPr="00115E3D" w:rsidRDefault="00593FB6" w:rsidP="00220A85">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eastAsia="es-ES"/>
              </w:rPr>
              <w:t>Subdirectora</w:t>
            </w:r>
            <w:r w:rsidRPr="00115E3D">
              <w:rPr>
                <w:rFonts w:ascii="Verdana" w:eastAsia="Calibri" w:hAnsi="Verdana" w:cs="Arial"/>
                <w:color w:val="000000" w:themeColor="text1"/>
                <w:sz w:val="16"/>
                <w:szCs w:val="16"/>
                <w:lang w:val="pt-BR" w:eastAsia="es-ES"/>
              </w:rPr>
              <w:t xml:space="preserve"> de Gestión </w:t>
            </w:r>
            <w:proofErr w:type="spellStart"/>
            <w:r w:rsidRPr="00115E3D">
              <w:rPr>
                <w:rFonts w:ascii="Verdana" w:eastAsia="Calibri" w:hAnsi="Verdana" w:cs="Arial"/>
                <w:color w:val="000000" w:themeColor="text1"/>
                <w:sz w:val="16"/>
                <w:szCs w:val="16"/>
                <w:lang w:val="pt-BR" w:eastAsia="es-ES"/>
              </w:rPr>
              <w:t>Contractual</w:t>
            </w:r>
            <w:proofErr w:type="spellEnd"/>
            <w:r w:rsidRPr="00115E3D">
              <w:rPr>
                <w:rFonts w:ascii="Verdana" w:eastAsia="Calibri" w:hAnsi="Verdana" w:cs="Arial"/>
                <w:color w:val="000000" w:themeColor="text1"/>
                <w:sz w:val="16"/>
                <w:szCs w:val="16"/>
                <w:lang w:val="pt-BR" w:eastAsia="es-ES"/>
              </w:rPr>
              <w:t xml:space="preserve"> ANCP – CCE</w:t>
            </w:r>
          </w:p>
        </w:tc>
      </w:tr>
    </w:tbl>
    <w:p w14:paraId="7D94FDFC" w14:textId="77777777" w:rsidR="00593FB6" w:rsidRDefault="00593FB6" w:rsidP="00593FB6"/>
    <w:p w14:paraId="57E09A77" w14:textId="77777777" w:rsidR="00593FB6" w:rsidRPr="001055A9" w:rsidRDefault="00593FB6" w:rsidP="00593FB6">
      <w:pPr>
        <w:spacing w:after="0" w:line="240" w:lineRule="auto"/>
        <w:jc w:val="both"/>
        <w:rPr>
          <w:rFonts w:ascii="Verdana" w:eastAsia="Verdana" w:hAnsi="Verdana" w:cs="Verdana"/>
          <w:b/>
          <w:bCs/>
        </w:rPr>
      </w:pPr>
    </w:p>
    <w:p w14:paraId="5E92B30D" w14:textId="77777777" w:rsidR="00593FB6" w:rsidRPr="000E2B93" w:rsidRDefault="00593FB6" w:rsidP="00593FB6">
      <w:pPr>
        <w:spacing w:after="0" w:line="240" w:lineRule="auto"/>
        <w:jc w:val="both"/>
        <w:textAlignment w:val="baseline"/>
        <w:rPr>
          <w:rFonts w:ascii="Verdana" w:eastAsia="Verdana" w:hAnsi="Verdana" w:cs="Verdana"/>
          <w:lang w:eastAsia="es-CO"/>
        </w:rPr>
      </w:pPr>
    </w:p>
    <w:p w14:paraId="3CEBE22C" w14:textId="77777777" w:rsidR="00593FB6" w:rsidRPr="000E2B93" w:rsidRDefault="00593FB6" w:rsidP="00593FB6">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F293BF4" w14:textId="40C010AC" w:rsidR="00127233" w:rsidRPr="00C63980" w:rsidRDefault="00127233" w:rsidP="00C63980"/>
    <w:sectPr w:rsidR="00127233" w:rsidRPr="00C63980"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1025E" w14:textId="77777777" w:rsidR="004B4D33" w:rsidRDefault="004B4D33" w:rsidP="004A1847">
      <w:pPr>
        <w:spacing w:after="0" w:line="240" w:lineRule="auto"/>
      </w:pPr>
      <w:r>
        <w:separator/>
      </w:r>
    </w:p>
  </w:endnote>
  <w:endnote w:type="continuationSeparator" w:id="0">
    <w:p w14:paraId="40F45670" w14:textId="77777777" w:rsidR="004B4D33" w:rsidRDefault="004B4D3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C63980"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C63980">
      <w:rPr>
        <w:rFonts w:ascii="Verdana" w:eastAsia="Verdana" w:hAnsi="Verdana" w:cs="Verdana"/>
        <w:b/>
        <w:bCs/>
        <w:color w:val="000000" w:themeColor="text1"/>
        <w:sz w:val="18"/>
        <w:szCs w:val="18"/>
        <w:lang w:val="pt-PT" w:eastAsia="es-CO"/>
      </w:rPr>
      <w:t xml:space="preserve">Código: </w:t>
    </w:r>
    <w:r w:rsidRPr="00C63980">
      <w:rPr>
        <w:rFonts w:ascii="Verdana" w:eastAsia="Verdana" w:hAnsi="Verdana" w:cs="Verdana"/>
        <w:color w:val="000000" w:themeColor="text1"/>
        <w:sz w:val="18"/>
        <w:szCs w:val="18"/>
        <w:lang w:val="pt-PT" w:eastAsia="es-CO"/>
      </w:rPr>
      <w:t xml:space="preserve">CCE-REC-FM-17 </w:t>
    </w:r>
    <w:r w:rsidRPr="00C63980">
      <w:rPr>
        <w:rFonts w:ascii="Verdana" w:eastAsia="Verdana" w:hAnsi="Verdana" w:cs="Verdana"/>
        <w:b/>
        <w:bCs/>
        <w:color w:val="000000" w:themeColor="text1"/>
        <w:sz w:val="18"/>
        <w:szCs w:val="18"/>
        <w:lang w:val="pt-PT" w:eastAsia="es-CO"/>
      </w:rPr>
      <w:t xml:space="preserve">V: </w:t>
    </w:r>
    <w:r w:rsidRPr="00C63980">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09944" w14:textId="77777777" w:rsidR="004B4D33" w:rsidRDefault="004B4D33" w:rsidP="004A1847">
      <w:pPr>
        <w:spacing w:after="0" w:line="240" w:lineRule="auto"/>
      </w:pPr>
      <w:r>
        <w:separator/>
      </w:r>
    </w:p>
  </w:footnote>
  <w:footnote w:type="continuationSeparator" w:id="0">
    <w:p w14:paraId="0ECDF417" w14:textId="77777777" w:rsidR="004B4D33" w:rsidRDefault="004B4D33" w:rsidP="004A1847">
      <w:pPr>
        <w:spacing w:after="0" w:line="240" w:lineRule="auto"/>
      </w:pPr>
      <w:r>
        <w:continuationSeparator/>
      </w:r>
    </w:p>
  </w:footnote>
  <w:footnote w:id="1">
    <w:p w14:paraId="66E1F4F3" w14:textId="77777777" w:rsidR="00593FB6" w:rsidRDefault="00593FB6" w:rsidP="00593FB6">
      <w:pPr>
        <w:pStyle w:val="Textonotapie"/>
        <w:ind w:firstLine="709"/>
        <w:jc w:val="both"/>
        <w:rPr>
          <w:rFonts w:ascii="Verdana" w:hAnsi="Verdana" w:cs="Arial"/>
          <w:color w:val="000000"/>
          <w:sz w:val="16"/>
          <w:szCs w:val="16"/>
          <w:lang w:val="es-ES"/>
        </w:rPr>
      </w:pPr>
      <w:r w:rsidRPr="00373AD7">
        <w:rPr>
          <w:rStyle w:val="Refdenotaalpie"/>
          <w:rFonts w:ascii="Verdana" w:hAnsi="Verdana"/>
          <w:sz w:val="16"/>
          <w:szCs w:val="16"/>
        </w:rPr>
        <w:footnoteRef/>
      </w:r>
      <w:r w:rsidRPr="00373AD7">
        <w:rPr>
          <w:rFonts w:ascii="Verdana" w:hAnsi="Verdana"/>
          <w:sz w:val="16"/>
          <w:szCs w:val="16"/>
        </w:rPr>
        <w:t xml:space="preserve"> </w:t>
      </w:r>
      <w:r w:rsidRPr="00373AD7">
        <w:rPr>
          <w:rFonts w:ascii="Verdana" w:hAnsi="Verdana" w:cs="Arial"/>
          <w:color w:val="000000"/>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Quien presta el servicio se denomina trabajador, quien lo recibe y remunera, empleador, y la remuneración, cualquiera que sea su forma, salario”.</w:t>
      </w:r>
    </w:p>
    <w:p w14:paraId="057F044B" w14:textId="77777777" w:rsidR="00593FB6" w:rsidRPr="00373AD7" w:rsidRDefault="00593FB6" w:rsidP="00593FB6">
      <w:pPr>
        <w:pStyle w:val="Textonotapie"/>
        <w:ind w:firstLine="709"/>
        <w:jc w:val="both"/>
        <w:rPr>
          <w:rFonts w:ascii="Verdana" w:hAnsi="Verdana" w:cs="Arial"/>
          <w:color w:val="000000"/>
          <w:sz w:val="16"/>
          <w:szCs w:val="16"/>
          <w:lang w:val="es-ES"/>
        </w:rPr>
      </w:pPr>
    </w:p>
  </w:footnote>
  <w:footnote w:id="2">
    <w:p w14:paraId="74D467F1" w14:textId="77777777" w:rsidR="00593FB6" w:rsidRPr="00373AD7" w:rsidRDefault="00593FB6" w:rsidP="00593FB6">
      <w:pPr>
        <w:pStyle w:val="Textonotapie"/>
        <w:ind w:firstLine="709"/>
        <w:jc w:val="both"/>
        <w:rPr>
          <w:rFonts w:ascii="Verdana" w:hAnsi="Verdana" w:cs="Arial"/>
          <w:color w:val="000000"/>
          <w:sz w:val="16"/>
          <w:szCs w:val="16"/>
          <w:lang w:val="es-ES"/>
        </w:rPr>
      </w:pPr>
      <w:r w:rsidRPr="00373AD7">
        <w:rPr>
          <w:rStyle w:val="Refdenotaalpie"/>
          <w:rFonts w:ascii="Verdana" w:hAnsi="Verdana"/>
          <w:sz w:val="16"/>
          <w:szCs w:val="16"/>
        </w:rPr>
        <w:footnoteRef/>
      </w:r>
      <w:r w:rsidRPr="00373AD7">
        <w:rPr>
          <w:rFonts w:ascii="Verdana" w:hAnsi="Verdana"/>
          <w:sz w:val="16"/>
          <w:szCs w:val="16"/>
        </w:rPr>
        <w:t xml:space="preserve"> </w:t>
      </w:r>
      <w:r w:rsidRPr="00373AD7">
        <w:rPr>
          <w:rFonts w:ascii="Verdana" w:hAnsi="Verdana" w:cs="Arial"/>
          <w:color w:val="000000"/>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13A47952"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373AD7">
        <w:rPr>
          <w:rFonts w:ascii="Verdana" w:hAnsi="Verdana" w:cs="Arial"/>
          <w:color w:val="000000"/>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w:t>
      </w:r>
      <w:r w:rsidRPr="00AD7D22">
        <w:rPr>
          <w:rFonts w:ascii="Verdana" w:hAnsi="Verdana" w:cs="Arial"/>
          <w:color w:val="000000"/>
          <w:sz w:val="16"/>
          <w:szCs w:val="16"/>
          <w:lang w:val="es-ES"/>
        </w:rPr>
        <w:t xml:space="preserve">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27CF0081"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El Gobierno nacional reglamentará el mecanismo para realizar la mensualización de que trata el presente artículo.</w:t>
      </w:r>
    </w:p>
    <w:p w14:paraId="4B5313CD" w14:textId="77777777" w:rsidR="00593FB6" w:rsidRPr="00E5551A" w:rsidRDefault="00593FB6" w:rsidP="00593FB6">
      <w:pPr>
        <w:pStyle w:val="Textonotapie"/>
        <w:ind w:firstLine="709"/>
        <w:jc w:val="both"/>
        <w:rPr>
          <w:rFonts w:ascii="Verdana" w:hAnsi="Verdana" w:cs="Arial"/>
          <w:color w:val="000000"/>
          <w:sz w:val="16"/>
          <w:szCs w:val="16"/>
          <w:lang w:val="pt-PT"/>
        </w:rPr>
      </w:pPr>
      <w:r w:rsidRPr="00E5551A">
        <w:rPr>
          <w:rFonts w:ascii="Verdana" w:hAnsi="Verdana" w:cs="Arial"/>
          <w:color w:val="000000"/>
          <w:sz w:val="16"/>
          <w:szCs w:val="16"/>
          <w:lang w:val="pt-PT"/>
        </w:rPr>
        <w:t>[…]”.</w:t>
      </w:r>
    </w:p>
    <w:p w14:paraId="4D2B8F7D" w14:textId="77777777" w:rsidR="00593FB6" w:rsidRPr="00E5551A" w:rsidRDefault="00593FB6" w:rsidP="00593FB6">
      <w:pPr>
        <w:pStyle w:val="Textonotapie"/>
        <w:ind w:firstLine="709"/>
        <w:jc w:val="both"/>
        <w:rPr>
          <w:rFonts w:ascii="Verdana" w:hAnsi="Verdana" w:cs="Arial"/>
          <w:color w:val="000000"/>
          <w:sz w:val="16"/>
          <w:szCs w:val="16"/>
          <w:lang w:val="pt-PT"/>
        </w:rPr>
      </w:pPr>
    </w:p>
  </w:footnote>
  <w:footnote w:id="3">
    <w:p w14:paraId="1B2C9D75" w14:textId="77777777" w:rsidR="00593FB6" w:rsidRDefault="00593FB6" w:rsidP="00593FB6">
      <w:pPr>
        <w:pStyle w:val="Textonotapie"/>
        <w:ind w:firstLine="709"/>
        <w:rPr>
          <w:rFonts w:ascii="Verdana" w:hAnsi="Verdana" w:cs="Arial"/>
          <w:color w:val="000000"/>
          <w:sz w:val="16"/>
          <w:szCs w:val="16"/>
          <w:lang w:val="es-ES"/>
        </w:rPr>
      </w:pPr>
      <w:r w:rsidRPr="00AD7D22">
        <w:rPr>
          <w:rStyle w:val="Refdenotaalpie"/>
          <w:rFonts w:ascii="Verdana" w:hAnsi="Verdana"/>
          <w:sz w:val="16"/>
          <w:szCs w:val="16"/>
        </w:rPr>
        <w:footnoteRef/>
      </w:r>
      <w:r w:rsidRPr="00E5551A">
        <w:rPr>
          <w:rFonts w:ascii="Verdana" w:hAnsi="Verdana"/>
          <w:sz w:val="16"/>
          <w:szCs w:val="16"/>
          <w:lang w:val="pt-PT"/>
        </w:rPr>
        <w:t xml:space="preserve"> </w:t>
      </w:r>
      <w:r w:rsidRPr="00E5551A">
        <w:rPr>
          <w:rFonts w:ascii="Verdana" w:hAnsi="Verdana" w:cs="Arial"/>
          <w:color w:val="000000"/>
          <w:sz w:val="16"/>
          <w:szCs w:val="16"/>
          <w:lang w:val="pt-PT"/>
        </w:rPr>
        <w:t xml:space="preserve">Corte Constitucional. Sentencia C-154 de 1997. </w:t>
      </w:r>
      <w:r w:rsidRPr="00AD7D22">
        <w:rPr>
          <w:rFonts w:ascii="Verdana" w:hAnsi="Verdana" w:cs="Arial"/>
          <w:color w:val="000000"/>
          <w:sz w:val="16"/>
          <w:szCs w:val="16"/>
          <w:lang w:val="es-ES"/>
        </w:rPr>
        <w:t>Magistrado Ponente: Hernando Herrera Vergara.</w:t>
      </w:r>
    </w:p>
    <w:p w14:paraId="19A14C53" w14:textId="77777777" w:rsidR="00593FB6" w:rsidRPr="004D29E2" w:rsidRDefault="00593FB6" w:rsidP="00593FB6">
      <w:pPr>
        <w:pStyle w:val="Textonotapie"/>
        <w:ind w:firstLine="709"/>
        <w:rPr>
          <w:rFonts w:ascii="Verdana" w:hAnsi="Verdana" w:cs="Arial"/>
          <w:color w:val="000000"/>
          <w:sz w:val="16"/>
          <w:szCs w:val="16"/>
          <w:lang w:val="es-ES"/>
        </w:rPr>
      </w:pPr>
    </w:p>
  </w:footnote>
  <w:footnote w:id="4">
    <w:p w14:paraId="5BF9D62E" w14:textId="77777777" w:rsidR="00593FB6" w:rsidRDefault="00593FB6" w:rsidP="00593FB6">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1A9A8E3C" w14:textId="77777777" w:rsidR="00593FB6" w:rsidRPr="003917D2" w:rsidRDefault="00593FB6" w:rsidP="00593FB6">
      <w:pPr>
        <w:pStyle w:val="Textonotapie"/>
        <w:ind w:firstLine="709"/>
        <w:jc w:val="both"/>
        <w:rPr>
          <w:rFonts w:ascii="Verdana" w:hAnsi="Verdana" w:cs="Arial"/>
          <w:color w:val="000000"/>
          <w:sz w:val="16"/>
          <w:szCs w:val="16"/>
          <w:lang w:val="es-ES"/>
        </w:rPr>
      </w:pPr>
    </w:p>
  </w:footnote>
  <w:footnote w:id="5">
    <w:p w14:paraId="364F6060" w14:textId="77777777" w:rsidR="00593FB6" w:rsidRDefault="00593FB6" w:rsidP="00593FB6">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Consejo de Estado. Sección Tercera. Subsección C. Sentencia del 2 de diciembre de 2013. Exp. 41719. Consejero Ponente: Jaime Orlando Santofimio Gamboa.</w:t>
      </w:r>
    </w:p>
    <w:p w14:paraId="1E310EC8" w14:textId="77777777" w:rsidR="00593FB6" w:rsidRPr="00515310" w:rsidRDefault="00593FB6" w:rsidP="00593FB6">
      <w:pPr>
        <w:pStyle w:val="Textonotapie"/>
        <w:ind w:firstLine="709"/>
        <w:jc w:val="both"/>
        <w:rPr>
          <w:rFonts w:ascii="Verdana" w:hAnsi="Verdana" w:cs="Arial"/>
          <w:color w:val="000000"/>
          <w:sz w:val="16"/>
          <w:szCs w:val="16"/>
          <w:lang w:val="es-ES"/>
        </w:rPr>
      </w:pPr>
    </w:p>
  </w:footnote>
  <w:footnote w:id="6">
    <w:p w14:paraId="5B10C235" w14:textId="77777777" w:rsidR="00593FB6" w:rsidRDefault="00593FB6" w:rsidP="00593FB6">
      <w:pPr>
        <w:pStyle w:val="Textonotapie"/>
        <w:ind w:firstLine="709"/>
        <w:rPr>
          <w:rFonts w:ascii="Verdana" w:hAnsi="Verdana"/>
          <w:sz w:val="16"/>
          <w:szCs w:val="16"/>
        </w:rPr>
      </w:pPr>
      <w:r w:rsidRPr="00AD7D22">
        <w:rPr>
          <w:rStyle w:val="Refdenotaalpie"/>
          <w:rFonts w:ascii="Verdana" w:hAnsi="Verdana"/>
          <w:sz w:val="16"/>
          <w:szCs w:val="16"/>
        </w:rPr>
        <w:footnoteRef/>
      </w:r>
      <w:r w:rsidRPr="00AD7D22">
        <w:rPr>
          <w:rFonts w:ascii="Verdana" w:hAnsi="Verdana"/>
          <w:sz w:val="16"/>
          <w:szCs w:val="16"/>
        </w:rPr>
        <w:t xml:space="preserve"> Ibid. </w:t>
      </w:r>
    </w:p>
    <w:p w14:paraId="2CF743E5" w14:textId="77777777" w:rsidR="00593FB6" w:rsidRPr="00AD7D22" w:rsidRDefault="00593FB6" w:rsidP="00593FB6">
      <w:pPr>
        <w:pStyle w:val="Textonotapie"/>
        <w:ind w:firstLine="709"/>
        <w:rPr>
          <w:rFonts w:ascii="Verdana" w:hAnsi="Verdana"/>
          <w:sz w:val="16"/>
          <w:szCs w:val="16"/>
          <w:lang w:val="es-ES"/>
        </w:rPr>
      </w:pPr>
    </w:p>
  </w:footnote>
  <w:footnote w:id="7">
    <w:p w14:paraId="24F47D76"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Ibid.</w:t>
      </w:r>
      <w:r>
        <w:rPr>
          <w:rFonts w:ascii="Verdana" w:hAnsi="Verdana" w:cs="Arial"/>
          <w:color w:val="000000"/>
          <w:sz w:val="16"/>
          <w:szCs w:val="16"/>
          <w:lang w:val="es-ES"/>
        </w:rPr>
        <w:t>-</w:t>
      </w:r>
      <w:r w:rsidRPr="00AD7D22">
        <w:rPr>
          <w:rFonts w:ascii="Verdana" w:hAnsi="Verdana" w:cs="Arial"/>
          <w:color w:val="000000"/>
          <w:sz w:val="16"/>
          <w:szCs w:val="16"/>
          <w:lang w:val="es-ES"/>
        </w:rPr>
        <w:t xml:space="preserve">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527DE677"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Son también contratos de consultoría los que tienen por objeto la interventoría, asesoría, gerencia de obra o de proyectos, dirección, programación y la ejecución de diseños, planos, anteproyectos y proyectos.</w:t>
      </w:r>
    </w:p>
    <w:p w14:paraId="42FF51D3" w14:textId="77777777" w:rsidR="00593FB6"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 xml:space="preserve">Ninguna orden del interventor de una obra podrá darse verbalmente. Es obligatorio para el interventor entregar por escrito sus órdenes o sugerencias y ellas deben enmarcarse dentro de los términos del respectivo contrato”. </w:t>
      </w:r>
    </w:p>
    <w:p w14:paraId="57F2E963" w14:textId="77777777" w:rsidR="00593FB6" w:rsidRPr="00B356F2" w:rsidRDefault="00593FB6" w:rsidP="00593FB6">
      <w:pPr>
        <w:pStyle w:val="Textonotapie"/>
        <w:ind w:firstLine="709"/>
        <w:jc w:val="both"/>
        <w:rPr>
          <w:rFonts w:ascii="Verdana" w:hAnsi="Verdana" w:cs="Arial"/>
          <w:color w:val="000000"/>
          <w:sz w:val="16"/>
          <w:szCs w:val="16"/>
          <w:lang w:val="es-ES"/>
        </w:rPr>
      </w:pPr>
    </w:p>
  </w:footnote>
  <w:footnote w:id="8">
    <w:p w14:paraId="1CF05DB9"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Así lo prevé el artículo 2.2.1.2.1.4.1. del Decreto 1082 de 2015: “La Entidad Estatal debe señalar en un acto administrativo la justificación para contratar bajo la modalidad de contratación directa, el cual debe contener:</w:t>
      </w:r>
    </w:p>
    <w:p w14:paraId="4C48451E"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1. La causal que invoca para contratar directamente.</w:t>
      </w:r>
    </w:p>
    <w:p w14:paraId="0B90719C"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2. El objeto del contrato.</w:t>
      </w:r>
    </w:p>
    <w:p w14:paraId="3F631BC1"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3. El presupuesto para la contratación y las condiciones que exigirá al contratista.</w:t>
      </w:r>
    </w:p>
    <w:p w14:paraId="582C89C9"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4. El lugar en el cual los interesados pueden consultar los estudios y documentos previos.</w:t>
      </w:r>
    </w:p>
    <w:p w14:paraId="3FAED995" w14:textId="77777777" w:rsidR="00593FB6"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p w14:paraId="31DE02BF" w14:textId="77777777" w:rsidR="00593FB6" w:rsidRPr="00B31452" w:rsidRDefault="00593FB6" w:rsidP="00593FB6">
      <w:pPr>
        <w:pStyle w:val="Textonotapie"/>
        <w:ind w:firstLine="709"/>
        <w:jc w:val="both"/>
        <w:rPr>
          <w:rFonts w:ascii="Verdana" w:hAnsi="Verdana" w:cs="Arial"/>
          <w:color w:val="000000"/>
          <w:sz w:val="16"/>
          <w:szCs w:val="16"/>
          <w:lang w:val="es-ES"/>
        </w:rPr>
      </w:pPr>
    </w:p>
  </w:footnote>
  <w:footnote w:id="9">
    <w:p w14:paraId="2D1C1628"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Esta norma expresa: “</w:t>
      </w:r>
      <w:r w:rsidRPr="00AD7D22">
        <w:rPr>
          <w:rFonts w:ascii="Verdana" w:hAnsi="Verdana" w:cs="Arial"/>
          <w:color w:val="000000"/>
          <w:sz w:val="16"/>
          <w:szCs w:val="16"/>
        </w:rPr>
        <w:t>P</w:t>
      </w:r>
      <w:r w:rsidRPr="00AD7D22">
        <w:rPr>
          <w:rFonts w:ascii="Verdana" w:hAnsi="Verdana" w:cs="Arial"/>
          <w:color w:val="000000"/>
          <w:sz w:val="16"/>
          <w:szCs w:val="16"/>
          <w:lang w:val="es-ES"/>
        </w:rPr>
        <w:t>ara el cumplimiento de los fines de la contratación, las entidades estatales al celebrar un contrato:</w:t>
      </w:r>
    </w:p>
    <w:p w14:paraId="298ABBEC"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4A5819D6"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30E3FD10"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Las entidades estatales podrán pactar estas cláusulas en los contratos de suministro y de prestación de servicios.</w:t>
      </w:r>
    </w:p>
    <w:p w14:paraId="35700BE1" w14:textId="77777777" w:rsidR="00593FB6" w:rsidRDefault="00593FB6" w:rsidP="00593FB6">
      <w:pPr>
        <w:pStyle w:val="Textonotapie"/>
        <w:ind w:firstLine="709"/>
        <w:jc w:val="both"/>
        <w:rPr>
          <w:rFonts w:ascii="Verdana" w:hAnsi="Verdana" w:cs="Arial"/>
          <w:color w:val="000000"/>
          <w:sz w:val="16"/>
          <w:szCs w:val="16"/>
          <w:lang w:val="es-ES"/>
        </w:rPr>
      </w:pPr>
      <w:r w:rsidRPr="00AD7D22">
        <w:rPr>
          <w:rFonts w:ascii="Verdana" w:hAnsi="Verdana" w:cs="Arial"/>
          <w:color w:val="000000"/>
          <w:sz w:val="16"/>
          <w:szCs w:val="16"/>
          <w:lang w:val="es-ES"/>
        </w:rPr>
        <w:t>[…]”.</w:t>
      </w:r>
    </w:p>
    <w:p w14:paraId="26849201" w14:textId="77777777" w:rsidR="00593FB6" w:rsidRPr="00B356F2" w:rsidRDefault="00593FB6" w:rsidP="00593FB6">
      <w:pPr>
        <w:pStyle w:val="Textonotapie"/>
        <w:ind w:firstLine="709"/>
        <w:jc w:val="both"/>
        <w:rPr>
          <w:rFonts w:ascii="Verdana" w:hAnsi="Verdana" w:cs="Arial"/>
          <w:color w:val="000000"/>
          <w:sz w:val="16"/>
          <w:szCs w:val="16"/>
          <w:lang w:val="es-ES"/>
        </w:rPr>
      </w:pPr>
    </w:p>
  </w:footnote>
  <w:footnote w:id="10">
    <w:p w14:paraId="46E1ECFB" w14:textId="77777777" w:rsidR="00593FB6" w:rsidRDefault="00593FB6" w:rsidP="00593FB6">
      <w:pPr>
        <w:pStyle w:val="Textonotapie"/>
        <w:ind w:firstLine="709"/>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La norma dispone: “La liquidación a que se refiere el presente artículo no será obligatoria en los contratos de prestación de servicios profesionales y de apoyo a la gestión”.</w:t>
      </w:r>
    </w:p>
    <w:p w14:paraId="644D30FF" w14:textId="77777777" w:rsidR="00593FB6" w:rsidRPr="00B356F2" w:rsidRDefault="00593FB6" w:rsidP="00593FB6">
      <w:pPr>
        <w:pStyle w:val="Textonotapie"/>
        <w:ind w:firstLine="709"/>
        <w:rPr>
          <w:rFonts w:ascii="Verdana" w:hAnsi="Verdana" w:cs="Arial"/>
          <w:color w:val="000000"/>
          <w:sz w:val="16"/>
          <w:szCs w:val="16"/>
          <w:lang w:val="es-ES"/>
        </w:rPr>
      </w:pPr>
    </w:p>
  </w:footnote>
  <w:footnote w:id="11">
    <w:p w14:paraId="005DA259" w14:textId="77777777" w:rsidR="00593FB6" w:rsidRPr="00AD7D22" w:rsidRDefault="00593FB6" w:rsidP="00593FB6">
      <w:pPr>
        <w:pStyle w:val="Textonotapie"/>
        <w:ind w:firstLine="709"/>
        <w:jc w:val="both"/>
        <w:rPr>
          <w:rFonts w:ascii="Verdana" w:hAnsi="Verdana" w:cs="Arial"/>
          <w:color w:val="000000"/>
          <w:sz w:val="16"/>
          <w:szCs w:val="16"/>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2329DF8A" w14:textId="77777777" w:rsidR="00593FB6" w:rsidRPr="00AD7D22" w:rsidRDefault="00593FB6" w:rsidP="00593FB6">
      <w:pPr>
        <w:pStyle w:val="Textonotapie"/>
        <w:ind w:firstLine="709"/>
        <w:jc w:val="both"/>
        <w:rPr>
          <w:rFonts w:ascii="Verdana" w:hAnsi="Verdana" w:cs="Arial"/>
          <w:color w:val="000000"/>
          <w:sz w:val="16"/>
          <w:szCs w:val="16"/>
        </w:rPr>
      </w:pPr>
      <w:r w:rsidRPr="00AD7D22">
        <w:rPr>
          <w:rFonts w:ascii="Verdana" w:hAnsi="Verdana" w:cs="Arial"/>
          <w:color w:val="000000"/>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1871753F" w14:textId="77777777" w:rsidR="00593FB6" w:rsidRDefault="00593FB6" w:rsidP="00593FB6">
      <w:pPr>
        <w:pStyle w:val="Textonotapie"/>
        <w:ind w:firstLine="709"/>
        <w:jc w:val="both"/>
        <w:rPr>
          <w:rFonts w:ascii="Verdana" w:hAnsi="Verdana" w:cs="Arial"/>
          <w:color w:val="000000"/>
          <w:sz w:val="16"/>
          <w:szCs w:val="16"/>
        </w:rPr>
      </w:pPr>
      <w:r w:rsidRPr="00AD7D22">
        <w:rPr>
          <w:rFonts w:ascii="Verdana" w:hAnsi="Verdana" w:cs="Arial"/>
          <w:color w:val="000000"/>
          <w:sz w:val="16"/>
          <w:szCs w:val="16"/>
        </w:rPr>
        <w:t>[…]”.</w:t>
      </w:r>
    </w:p>
    <w:p w14:paraId="53ABB805" w14:textId="77777777" w:rsidR="00593FB6" w:rsidRPr="00B356F2" w:rsidRDefault="00593FB6" w:rsidP="00593FB6">
      <w:pPr>
        <w:pStyle w:val="Textonotapie"/>
        <w:ind w:firstLine="709"/>
        <w:jc w:val="both"/>
        <w:rPr>
          <w:rFonts w:ascii="Verdana" w:hAnsi="Verdana" w:cs="Arial"/>
          <w:color w:val="000000"/>
          <w:sz w:val="16"/>
          <w:szCs w:val="16"/>
        </w:rPr>
      </w:pPr>
    </w:p>
  </w:footnote>
  <w:footnote w:id="12">
    <w:p w14:paraId="7DBF7240" w14:textId="77777777" w:rsidR="00593FB6" w:rsidRPr="00AD7D22" w:rsidRDefault="00593FB6" w:rsidP="00593FB6">
      <w:pPr>
        <w:pStyle w:val="Textonotapie"/>
        <w:ind w:firstLine="709"/>
        <w:jc w:val="both"/>
        <w:rPr>
          <w:rFonts w:ascii="Verdana" w:hAnsi="Verdana" w:cs="Arial"/>
          <w:color w:val="000000"/>
          <w:sz w:val="16"/>
          <w:szCs w:val="16"/>
          <w:lang w:val="es-ES"/>
        </w:rPr>
      </w:pPr>
      <w:r w:rsidRPr="00AD7D22">
        <w:rPr>
          <w:rStyle w:val="Refdenotaalpie"/>
          <w:rFonts w:ascii="Verdana" w:hAnsi="Verdana"/>
          <w:sz w:val="16"/>
          <w:szCs w:val="16"/>
        </w:rPr>
        <w:footnoteRef/>
      </w:r>
      <w:r w:rsidRPr="00AD7D22">
        <w:rPr>
          <w:rFonts w:ascii="Verdana" w:hAnsi="Verdana"/>
          <w:sz w:val="16"/>
          <w:szCs w:val="16"/>
        </w:rPr>
        <w:t xml:space="preserve"> </w:t>
      </w:r>
      <w:r w:rsidRPr="00AD7D22">
        <w:rPr>
          <w:rFonts w:ascii="Verdana" w:hAnsi="Verdana" w:cs="Arial"/>
          <w:color w:val="000000"/>
          <w:sz w:val="16"/>
          <w:szCs w:val="16"/>
          <w:lang w:val="es-ES"/>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348F0AAB" w14:textId="77777777" w:rsidR="00593FB6" w:rsidRPr="00AD7D22" w:rsidRDefault="00593FB6" w:rsidP="00593FB6">
      <w:pPr>
        <w:pStyle w:val="Textonotapie"/>
        <w:ind w:firstLine="709"/>
        <w:rPr>
          <w:rFonts w:ascii="Verdana" w:hAnsi="Verdana"/>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980105726">
    <w:abstractNumId w:val="0"/>
  </w:num>
  <w:num w:numId="17" w16cid:durableId="1587569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043"/>
    <w:rsid w:val="002E4FD9"/>
    <w:rsid w:val="0030657A"/>
    <w:rsid w:val="00312A6F"/>
    <w:rsid w:val="00322A85"/>
    <w:rsid w:val="00324168"/>
    <w:rsid w:val="00330834"/>
    <w:rsid w:val="00336E0B"/>
    <w:rsid w:val="003448F4"/>
    <w:rsid w:val="00374F5E"/>
    <w:rsid w:val="00377E3E"/>
    <w:rsid w:val="003A779E"/>
    <w:rsid w:val="003D0F4D"/>
    <w:rsid w:val="003D5B0D"/>
    <w:rsid w:val="003E0499"/>
    <w:rsid w:val="003E4E19"/>
    <w:rsid w:val="003E4F80"/>
    <w:rsid w:val="003E6439"/>
    <w:rsid w:val="003F3941"/>
    <w:rsid w:val="003F6E33"/>
    <w:rsid w:val="00406575"/>
    <w:rsid w:val="00414C74"/>
    <w:rsid w:val="0042722E"/>
    <w:rsid w:val="0044528D"/>
    <w:rsid w:val="00466E39"/>
    <w:rsid w:val="00487D2B"/>
    <w:rsid w:val="004957C1"/>
    <w:rsid w:val="004A1847"/>
    <w:rsid w:val="004A305D"/>
    <w:rsid w:val="004B4D33"/>
    <w:rsid w:val="004F21C4"/>
    <w:rsid w:val="004F685F"/>
    <w:rsid w:val="005566E8"/>
    <w:rsid w:val="00574867"/>
    <w:rsid w:val="00591460"/>
    <w:rsid w:val="00593FB6"/>
    <w:rsid w:val="005A65E0"/>
    <w:rsid w:val="005C3777"/>
    <w:rsid w:val="005C5CDC"/>
    <w:rsid w:val="005D2B6A"/>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53D78"/>
    <w:rsid w:val="00867F95"/>
    <w:rsid w:val="008843B6"/>
    <w:rsid w:val="00891928"/>
    <w:rsid w:val="008A2B16"/>
    <w:rsid w:val="008A446D"/>
    <w:rsid w:val="008B25F1"/>
    <w:rsid w:val="008D180B"/>
    <w:rsid w:val="008D5A14"/>
    <w:rsid w:val="008F0EA7"/>
    <w:rsid w:val="008F25CA"/>
    <w:rsid w:val="00923EEF"/>
    <w:rsid w:val="009419F9"/>
    <w:rsid w:val="0095685E"/>
    <w:rsid w:val="00961B09"/>
    <w:rsid w:val="00965334"/>
    <w:rsid w:val="0097093E"/>
    <w:rsid w:val="009A0DFA"/>
    <w:rsid w:val="009A1C6F"/>
    <w:rsid w:val="009B2D26"/>
    <w:rsid w:val="009C6622"/>
    <w:rsid w:val="009C71FA"/>
    <w:rsid w:val="009C72E7"/>
    <w:rsid w:val="009C7F7E"/>
    <w:rsid w:val="009D3058"/>
    <w:rsid w:val="009F3A13"/>
    <w:rsid w:val="00A122D3"/>
    <w:rsid w:val="00A14468"/>
    <w:rsid w:val="00A17F13"/>
    <w:rsid w:val="00A20739"/>
    <w:rsid w:val="00A23AF9"/>
    <w:rsid w:val="00A305A8"/>
    <w:rsid w:val="00A33C78"/>
    <w:rsid w:val="00AB0ADB"/>
    <w:rsid w:val="00B00C0E"/>
    <w:rsid w:val="00B01B1A"/>
    <w:rsid w:val="00B0381D"/>
    <w:rsid w:val="00B44A47"/>
    <w:rsid w:val="00B72CD3"/>
    <w:rsid w:val="00B72FFF"/>
    <w:rsid w:val="00B836ED"/>
    <w:rsid w:val="00BC3D36"/>
    <w:rsid w:val="00BD54A6"/>
    <w:rsid w:val="00BD7F72"/>
    <w:rsid w:val="00BF7425"/>
    <w:rsid w:val="00C04FB3"/>
    <w:rsid w:val="00C11D8B"/>
    <w:rsid w:val="00C15139"/>
    <w:rsid w:val="00C330EB"/>
    <w:rsid w:val="00C50D69"/>
    <w:rsid w:val="00C5365C"/>
    <w:rsid w:val="00C63980"/>
    <w:rsid w:val="00C754BE"/>
    <w:rsid w:val="00C76B1C"/>
    <w:rsid w:val="00C925AC"/>
    <w:rsid w:val="00CB6357"/>
    <w:rsid w:val="00CC1B26"/>
    <w:rsid w:val="00CE09B0"/>
    <w:rsid w:val="00D361FD"/>
    <w:rsid w:val="00D423A2"/>
    <w:rsid w:val="00D44E26"/>
    <w:rsid w:val="00D520D8"/>
    <w:rsid w:val="00D63AC2"/>
    <w:rsid w:val="00D7383B"/>
    <w:rsid w:val="00D7788A"/>
    <w:rsid w:val="00DA231B"/>
    <w:rsid w:val="00DB0D47"/>
    <w:rsid w:val="00DC39FC"/>
    <w:rsid w:val="00DF5254"/>
    <w:rsid w:val="00E02524"/>
    <w:rsid w:val="00E16408"/>
    <w:rsid w:val="00E20894"/>
    <w:rsid w:val="00E245AB"/>
    <w:rsid w:val="00E2764C"/>
    <w:rsid w:val="00E27F2E"/>
    <w:rsid w:val="00E50AFE"/>
    <w:rsid w:val="00E70470"/>
    <w:rsid w:val="00E75C92"/>
    <w:rsid w:val="00E771DC"/>
    <w:rsid w:val="00E8772A"/>
    <w:rsid w:val="00E90F6B"/>
    <w:rsid w:val="00E92C27"/>
    <w:rsid w:val="00E93A20"/>
    <w:rsid w:val="00EA0E3D"/>
    <w:rsid w:val="00EC1688"/>
    <w:rsid w:val="00EC38A7"/>
    <w:rsid w:val="00EE1AA8"/>
    <w:rsid w:val="00F05CAA"/>
    <w:rsid w:val="00F2033A"/>
    <w:rsid w:val="00F23420"/>
    <w:rsid w:val="00F23FEA"/>
    <w:rsid w:val="00F31EDC"/>
    <w:rsid w:val="00F462B3"/>
    <w:rsid w:val="00F5664F"/>
    <w:rsid w:val="00F666C4"/>
    <w:rsid w:val="00F76AFC"/>
    <w:rsid w:val="00FA47C0"/>
    <w:rsid w:val="00FB5DD1"/>
    <w:rsid w:val="00FC2B5D"/>
    <w:rsid w:val="00FC73C6"/>
    <w:rsid w:val="00FD59C2"/>
    <w:rsid w:val="00FE48D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593FB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93FB6"/>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rgenis313@hotmail.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BFEFB0-601F-4598-AF5C-B1979C7E04E8}">
  <ds:schemaRefs>
    <ds:schemaRef ds:uri="http://schemas.openxmlformats.org/officeDocument/2006/bibliography"/>
  </ds:schemaRefs>
</ds:datastoreItem>
</file>

<file path=customXml/itemProps2.xml><?xml version="1.0" encoding="utf-8"?>
<ds:datastoreItem xmlns:ds="http://schemas.openxmlformats.org/officeDocument/2006/customXml" ds:itemID="{199B6E71-7192-42F0-8375-C1D9FFE27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16</Pages>
  <Words>4371</Words>
  <Characters>24041</Characters>
  <Application>Microsoft Office Word</Application>
  <DocSecurity>0</DocSecurity>
  <Lines>200</Lines>
  <Paragraphs>56</Paragraphs>
  <ScaleCrop>false</ScaleCrop>
  <Company/>
  <LinksUpToDate>false</LinksUpToDate>
  <CharactersWithSpaces>28356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2026-07-09T15:56:00Z</dcterms:created>
  <dcterms:modified xsi:type="dcterms:W3CDTF">2026-07-10T14:13:00Z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