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532A9" w14:textId="77777777" w:rsidR="00145A03" w:rsidRPr="001D1B48" w:rsidRDefault="00145A03" w:rsidP="00145A03">
      <w:pPr>
        <w:spacing w:after="0" w:line="240" w:lineRule="auto"/>
        <w:jc w:val="both"/>
        <w:rPr>
          <w:rFonts w:ascii="Verdana" w:eastAsia="Calibri" w:hAnsi="Verdana" w:cs="Arial"/>
          <w:b/>
          <w:bCs/>
          <w:lang w:val="es-ES"/>
        </w:rPr>
      </w:pPr>
      <w:r w:rsidRPr="001D1B48">
        <w:rPr>
          <w:rFonts w:ascii="Verdana" w:eastAsia="Calibri" w:hAnsi="Verdana" w:cs="Arial"/>
          <w:b/>
          <w:bCs/>
          <w:lang w:val="es-ES"/>
        </w:rPr>
        <w:t xml:space="preserve">INHABILIDADES E INCOMPATIBILIDADES – Límites a la capacidad – Régimen </w:t>
      </w:r>
    </w:p>
    <w:p w14:paraId="3D752B1A" w14:textId="77777777" w:rsidR="00145A03" w:rsidRPr="001D1B48" w:rsidRDefault="00145A03" w:rsidP="00145A03">
      <w:pPr>
        <w:spacing w:after="0" w:line="240" w:lineRule="auto"/>
        <w:jc w:val="both"/>
        <w:rPr>
          <w:rFonts w:ascii="Verdana" w:eastAsia="Calibri" w:hAnsi="Verdana" w:cs="Arial"/>
          <w:sz w:val="20"/>
          <w:szCs w:val="20"/>
          <w:lang w:val="es-ES"/>
        </w:rPr>
      </w:pPr>
    </w:p>
    <w:p w14:paraId="530356A4" w14:textId="77777777" w:rsidR="00145A03" w:rsidRPr="001D1B48" w:rsidRDefault="00145A03" w:rsidP="00145A03">
      <w:pPr>
        <w:spacing w:after="0" w:line="240" w:lineRule="auto"/>
        <w:jc w:val="both"/>
        <w:rPr>
          <w:rFonts w:ascii="Verdana" w:eastAsia="Aptos" w:hAnsi="Verdana" w:cs="Arial"/>
          <w:sz w:val="20"/>
          <w:szCs w:val="20"/>
        </w:rPr>
      </w:pPr>
      <w:r w:rsidRPr="001D1B48">
        <w:rPr>
          <w:rFonts w:ascii="Verdana" w:eastAsia="Calibri" w:hAnsi="Verdana" w:cs="Arial"/>
          <w:sz w:val="20"/>
          <w:szCs w:val="20"/>
          <w:lang w:val="es-ES"/>
        </w:rPr>
        <w:t xml:space="preserve">[…] </w:t>
      </w:r>
      <w:r w:rsidRPr="001D1B48">
        <w:rPr>
          <w:rFonts w:ascii="Verdana" w:eastAsia="Calibri" w:hAnsi="Verdana" w:cs="Arial"/>
          <w:sz w:val="20"/>
          <w:szCs w:val="20"/>
          <w:lang w:val="es-ES_tradnl" w:eastAsia="es-ES_tradnl"/>
        </w:rPr>
        <w:t>e</w:t>
      </w:r>
      <w:r w:rsidRPr="001D1B48">
        <w:rPr>
          <w:rFonts w:ascii="Verdana" w:eastAsia="Aptos" w:hAnsi="Verdana" w:cs="Arial"/>
          <w:sz w:val="20"/>
          <w:szCs w:val="20"/>
          <w:lang w:val="es-MX"/>
        </w:rPr>
        <w:t xml:space="preserve">l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w:t>
      </w:r>
      <w:r w:rsidRPr="001D1B48">
        <w:rPr>
          <w:rFonts w:ascii="Verdana" w:eastAsia="Aptos" w:hAnsi="Verdana" w:cs="Arial"/>
          <w:sz w:val="20"/>
          <w:szCs w:val="20"/>
        </w:rPr>
        <w:t>consagradas</w:t>
      </w:r>
      <w:r w:rsidRPr="001D1B48">
        <w:rPr>
          <w:rFonts w:ascii="Verdana" w:eastAsia="Aptos" w:hAnsi="Verdana" w:cs="Arial"/>
          <w:sz w:val="20"/>
          <w:szCs w:val="20"/>
          <w:lang w:val="es-MX"/>
        </w:rPr>
        <w:t xml:space="preserve"> por el ordenamiento jurídico</w:t>
      </w:r>
      <w:r w:rsidRPr="001D1B48">
        <w:rPr>
          <w:rFonts w:ascii="Verdana" w:eastAsia="Aptos" w:hAnsi="Verdana" w:cs="Arial"/>
          <w:sz w:val="20"/>
          <w:szCs w:val="20"/>
        </w:rPr>
        <w:t xml:space="preserve">. </w:t>
      </w:r>
    </w:p>
    <w:p w14:paraId="421FB562" w14:textId="77777777" w:rsidR="00145A03" w:rsidRPr="001D1B48" w:rsidRDefault="00145A03" w:rsidP="00145A03">
      <w:pPr>
        <w:spacing w:after="0" w:line="240" w:lineRule="auto"/>
        <w:jc w:val="both"/>
        <w:rPr>
          <w:rFonts w:ascii="Verdana" w:eastAsia="Calibri" w:hAnsi="Verdana" w:cs="Arial"/>
          <w:sz w:val="20"/>
          <w:szCs w:val="20"/>
        </w:rPr>
      </w:pPr>
    </w:p>
    <w:p w14:paraId="557E4857" w14:textId="77777777" w:rsidR="00145A03" w:rsidRPr="001D1B48" w:rsidRDefault="00145A03" w:rsidP="00145A03">
      <w:pPr>
        <w:spacing w:after="0" w:line="240" w:lineRule="auto"/>
        <w:jc w:val="both"/>
        <w:rPr>
          <w:rFonts w:ascii="Verdana" w:eastAsia="Calibri" w:hAnsi="Verdana" w:cs="Arial"/>
          <w:b/>
          <w:bCs/>
          <w:lang w:val="es-ES"/>
        </w:rPr>
      </w:pPr>
      <w:r w:rsidRPr="001D1B48">
        <w:rPr>
          <w:rFonts w:ascii="Verdana" w:eastAsia="Calibri" w:hAnsi="Verdana" w:cs="Arial"/>
          <w:b/>
          <w:bCs/>
          <w:lang w:val="es-ES"/>
        </w:rPr>
        <w:t xml:space="preserve">INHABILIDADES E INCOMPATIBILIDADES – Concepto </w:t>
      </w:r>
    </w:p>
    <w:p w14:paraId="68AA2657" w14:textId="77777777" w:rsidR="00145A03" w:rsidRPr="001D1B48" w:rsidRDefault="00145A03" w:rsidP="00145A03">
      <w:pPr>
        <w:spacing w:after="0" w:line="240" w:lineRule="auto"/>
        <w:jc w:val="both"/>
        <w:rPr>
          <w:rFonts w:ascii="Verdana" w:eastAsia="Calibri" w:hAnsi="Verdana" w:cs="Arial"/>
          <w:b/>
          <w:bCs/>
          <w:sz w:val="20"/>
          <w:szCs w:val="20"/>
          <w:lang w:val="es-ES"/>
        </w:rPr>
      </w:pPr>
    </w:p>
    <w:p w14:paraId="628DD7A8" w14:textId="77777777" w:rsidR="00145A03" w:rsidRPr="001D1B48" w:rsidRDefault="00145A03" w:rsidP="00145A03">
      <w:pPr>
        <w:spacing w:after="0" w:line="240" w:lineRule="auto"/>
        <w:jc w:val="both"/>
        <w:rPr>
          <w:rFonts w:ascii="Verdana" w:eastAsia="Aptos" w:hAnsi="Verdana" w:cs="Arial"/>
          <w:sz w:val="20"/>
          <w:szCs w:val="20"/>
          <w:lang w:val="es-MX"/>
        </w:rPr>
      </w:pPr>
      <w:r w:rsidRPr="001D1B48">
        <w:rPr>
          <w:rFonts w:ascii="Verdana" w:eastAsia="Aptos" w:hAnsi="Verdana" w:cs="Arial"/>
          <w:sz w:val="20"/>
          <w:szCs w:val="20"/>
        </w:rPr>
        <w:t>La</w:t>
      </w:r>
      <w:r w:rsidRPr="001D1B48">
        <w:rPr>
          <w:rFonts w:ascii="Verdana" w:eastAsia="Aptos" w:hAnsi="Verdana" w:cs="Arial"/>
          <w:sz w:val="20"/>
          <w:szCs w:val="20"/>
          <w:lang w:val="es-MX"/>
        </w:rPr>
        <w:t xml:space="preserve">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r w:rsidRPr="001D1B48">
        <w:rPr>
          <w:rFonts w:ascii="Verdana" w:hAnsi="Verdana"/>
          <w:sz w:val="20"/>
          <w:szCs w:val="20"/>
          <w:vertAlign w:val="superscript"/>
          <w:lang w:val="es-MX"/>
        </w:rPr>
        <w:t>.</w:t>
      </w:r>
    </w:p>
    <w:p w14:paraId="76973220" w14:textId="77777777" w:rsidR="00145A03" w:rsidRPr="001D1B48" w:rsidRDefault="00145A03" w:rsidP="00145A03">
      <w:pPr>
        <w:pStyle w:val="Prrafodelista"/>
        <w:spacing w:after="0" w:line="240" w:lineRule="auto"/>
        <w:ind w:left="360"/>
        <w:contextualSpacing w:val="0"/>
        <w:jc w:val="both"/>
        <w:rPr>
          <w:rFonts w:ascii="Verdana" w:eastAsia="Aptos" w:hAnsi="Verdana" w:cs="Arial"/>
          <w:sz w:val="20"/>
          <w:szCs w:val="20"/>
          <w:lang w:val="es-MX"/>
        </w:rPr>
      </w:pPr>
    </w:p>
    <w:p w14:paraId="216AFD9F" w14:textId="77777777" w:rsidR="00145A03" w:rsidRPr="001D1B48" w:rsidRDefault="00145A03" w:rsidP="00145A03">
      <w:pPr>
        <w:spacing w:after="0" w:line="240" w:lineRule="auto"/>
        <w:jc w:val="both"/>
        <w:rPr>
          <w:rFonts w:ascii="Verdana" w:eastAsia="Aptos" w:hAnsi="Verdana" w:cs="Arial"/>
          <w:sz w:val="20"/>
          <w:szCs w:val="20"/>
          <w:lang w:val="es-MX"/>
        </w:rPr>
      </w:pPr>
      <w:r w:rsidRPr="33F06424">
        <w:rPr>
          <w:rFonts w:ascii="Verdana" w:eastAsia="Aptos" w:hAnsi="Verdana" w:cs="Arial"/>
          <w:sz w:val="20"/>
          <w:szCs w:val="20"/>
          <w:lang w:val="es-MX"/>
        </w:rPr>
        <w:t>La consagración de limitaciones que afectan la capacidad jurídica para contratar desarrolla los principios de la función administrativa consagrados en el artículo 209 de la Constitución Política, con especial énfasis el de moralidad.</w:t>
      </w:r>
    </w:p>
    <w:p w14:paraId="20908A51" w14:textId="77777777" w:rsidR="00145A03" w:rsidRPr="001D1B48" w:rsidRDefault="00145A03" w:rsidP="00145A03">
      <w:pPr>
        <w:spacing w:after="0" w:line="240" w:lineRule="auto"/>
        <w:jc w:val="both"/>
        <w:rPr>
          <w:rFonts w:ascii="Verdana" w:eastAsia="Calibri" w:hAnsi="Verdana" w:cs="Arial"/>
          <w:sz w:val="20"/>
          <w:szCs w:val="20"/>
          <w:lang w:val="es-ES"/>
        </w:rPr>
      </w:pPr>
    </w:p>
    <w:p w14:paraId="6416F8D3" w14:textId="77777777" w:rsidR="00145A03" w:rsidRPr="001D1B48" w:rsidRDefault="00145A03" w:rsidP="00145A03">
      <w:pPr>
        <w:spacing w:after="0" w:line="240" w:lineRule="auto"/>
        <w:jc w:val="both"/>
        <w:rPr>
          <w:rFonts w:ascii="Verdana" w:eastAsia="Aptos" w:hAnsi="Verdana" w:cs="Times New Roman"/>
          <w:b/>
          <w:bCs/>
          <w:shd w:val="clear" w:color="auto" w:fill="FFFFFF"/>
          <w:lang w:val="es-ES"/>
        </w:rPr>
      </w:pPr>
      <w:r w:rsidRPr="001D1B48">
        <w:rPr>
          <w:rFonts w:ascii="Verdana" w:eastAsia="Calibri" w:hAnsi="Verdana" w:cs="Arial"/>
          <w:b/>
          <w:bCs/>
          <w:lang w:val="es-ES"/>
        </w:rPr>
        <w:t xml:space="preserve">INHABILIDADES E INCOMPATIBILIDADES – Interpretación restrictiva – Principio </w:t>
      </w:r>
      <w:r w:rsidRPr="001D1B48">
        <w:rPr>
          <w:rFonts w:ascii="Verdana" w:eastAsia="Calibri" w:hAnsi="Verdana" w:cs="Arial"/>
          <w:b/>
          <w:bCs/>
          <w:i/>
          <w:lang w:val="es-ES"/>
        </w:rPr>
        <w:t xml:space="preserve">pro </w:t>
      </w:r>
      <w:proofErr w:type="spellStart"/>
      <w:r w:rsidRPr="001D1B48">
        <w:rPr>
          <w:rFonts w:ascii="Verdana" w:eastAsia="Calibri" w:hAnsi="Verdana" w:cs="Arial"/>
          <w:b/>
          <w:bCs/>
          <w:i/>
          <w:lang w:val="es-ES"/>
        </w:rPr>
        <w:t>libertate</w:t>
      </w:r>
      <w:proofErr w:type="spellEnd"/>
      <w:r w:rsidRPr="001D1B48">
        <w:rPr>
          <w:rFonts w:ascii="Verdana" w:eastAsia="Aptos" w:hAnsi="Verdana" w:cs="Times New Roman"/>
          <w:b/>
          <w:bCs/>
          <w:shd w:val="clear" w:color="auto" w:fill="FFFFFF"/>
          <w:lang w:val="es-ES"/>
        </w:rPr>
        <w:t xml:space="preserve"> </w:t>
      </w:r>
    </w:p>
    <w:p w14:paraId="6054A7B8" w14:textId="77777777" w:rsidR="00145A03" w:rsidRPr="001D1B48" w:rsidRDefault="00145A03" w:rsidP="00145A03">
      <w:pPr>
        <w:spacing w:after="0" w:line="240" w:lineRule="auto"/>
        <w:jc w:val="both"/>
        <w:rPr>
          <w:rFonts w:ascii="Verdana" w:eastAsia="Aptos" w:hAnsi="Verdana" w:cs="Times New Roman"/>
          <w:b/>
          <w:bCs/>
          <w:sz w:val="20"/>
          <w:szCs w:val="20"/>
          <w:shd w:val="clear" w:color="auto" w:fill="FFFFFF"/>
          <w:lang w:val="es-ES"/>
        </w:rPr>
      </w:pPr>
    </w:p>
    <w:p w14:paraId="2AB31B5B" w14:textId="77777777" w:rsidR="00145A03" w:rsidRPr="001D1B48" w:rsidRDefault="00145A03" w:rsidP="00145A03">
      <w:pPr>
        <w:spacing w:after="0" w:line="240" w:lineRule="auto"/>
        <w:jc w:val="both"/>
        <w:rPr>
          <w:rFonts w:ascii="Verdana" w:eastAsia="Calibri" w:hAnsi="Verdana" w:cs="Arial"/>
          <w:color w:val="000000"/>
          <w:kern w:val="2"/>
          <w:sz w:val="20"/>
          <w:szCs w:val="20"/>
          <w:lang w:eastAsia="es-ES"/>
        </w:rPr>
      </w:pPr>
      <w:r w:rsidRPr="001D1B48">
        <w:rPr>
          <w:rFonts w:ascii="Verdana" w:eastAsia="Aptos" w:hAnsi="Verdana" w:cs="Times New Roman"/>
          <w:sz w:val="20"/>
          <w:szCs w:val="20"/>
          <w:shd w:val="clear" w:color="auto" w:fill="FFFFFF"/>
          <w:lang w:val="es-ES"/>
        </w:rPr>
        <w:t xml:space="preserve">[…] </w:t>
      </w:r>
      <w:r w:rsidRPr="001D1B48">
        <w:rPr>
          <w:rFonts w:ascii="Verdana" w:eastAsia="Calibri" w:hAnsi="Verdana" w:cs="Arial"/>
          <w:color w:val="000000"/>
          <w:kern w:val="2"/>
          <w:sz w:val="20"/>
          <w:szCs w:val="20"/>
          <w:lang w:eastAsia="es-ES"/>
        </w:rPr>
        <w:t xml:space="preserve">el principio pro </w:t>
      </w:r>
      <w:proofErr w:type="spellStart"/>
      <w:r w:rsidRPr="001D1B48">
        <w:rPr>
          <w:rFonts w:ascii="Verdana" w:eastAsia="Calibri" w:hAnsi="Verdana" w:cs="Arial"/>
          <w:color w:val="000000"/>
          <w:kern w:val="2"/>
          <w:sz w:val="20"/>
          <w:szCs w:val="20"/>
          <w:lang w:eastAsia="es-ES"/>
        </w:rPr>
        <w:t>libertate</w:t>
      </w:r>
      <w:proofErr w:type="spellEnd"/>
      <w:r w:rsidRPr="001D1B48">
        <w:rPr>
          <w:rFonts w:ascii="Verdana" w:eastAsia="Calibri" w:hAnsi="Verdana" w:cs="Arial"/>
          <w:color w:val="000000"/>
          <w:kern w:val="2"/>
          <w:sz w:val="20"/>
          <w:szCs w:val="20"/>
          <w:lang w:eastAsia="es-ES"/>
        </w:rPr>
        <w:t xml:space="preserve"> es el que debe dirigir la interpretación de las disposiciones normativas que consagran restricciones de derechos, como sucede con las causales de inhabilidad e incompatibilidad en la contratación estatal. Por lo tanto, no es posible llevar a cabo la interpretación extensiva de estas, debiendo preferirse aquella que menos limita el derecho de las personas, salvaguardando el interés general en la contratación pública de manera que implique el menor sacrificio posible al derecho de igualdad.</w:t>
      </w:r>
    </w:p>
    <w:p w14:paraId="342D3FE9" w14:textId="77777777" w:rsidR="00145A03" w:rsidRPr="00B77E42" w:rsidRDefault="00145A03" w:rsidP="00145A03">
      <w:pPr>
        <w:spacing w:after="0" w:line="240" w:lineRule="auto"/>
        <w:jc w:val="both"/>
        <w:rPr>
          <w:rFonts w:ascii="Verdana" w:eastAsia="Aptos" w:hAnsi="Verdana" w:cs="Times New Roman"/>
          <w:sz w:val="20"/>
          <w:szCs w:val="20"/>
          <w:shd w:val="clear" w:color="auto" w:fill="FFFFFF"/>
        </w:rPr>
      </w:pPr>
    </w:p>
    <w:p w14:paraId="46F99CEB" w14:textId="77777777" w:rsidR="00145A03" w:rsidRPr="001D1B48" w:rsidRDefault="00145A03" w:rsidP="00145A03">
      <w:pPr>
        <w:spacing w:after="0" w:line="240" w:lineRule="auto"/>
        <w:jc w:val="both"/>
        <w:rPr>
          <w:rFonts w:ascii="Verdana" w:eastAsia="Aptos" w:hAnsi="Verdana" w:cs="Times New Roman"/>
          <w:b/>
          <w:bCs/>
          <w:shd w:val="clear" w:color="auto" w:fill="FFFFFF"/>
          <w:lang w:val="es-ES"/>
        </w:rPr>
      </w:pPr>
      <w:r w:rsidRPr="001D1B48">
        <w:rPr>
          <w:rFonts w:ascii="Verdana" w:eastAsia="Aptos" w:hAnsi="Verdana" w:cs="Times New Roman"/>
          <w:b/>
          <w:bCs/>
          <w:shd w:val="clear" w:color="auto" w:fill="FFFFFF"/>
          <w:lang w:val="es-ES"/>
        </w:rPr>
        <w:t>INHABILIDADES E INCOMPATIBILIDADES – Ley 80 de 1993 – Artículo 8 – Numeral 2 – Literal B</w:t>
      </w:r>
    </w:p>
    <w:p w14:paraId="7105C3F3" w14:textId="77777777" w:rsidR="00145A03" w:rsidRPr="00AE6F8C" w:rsidRDefault="00145A03" w:rsidP="00145A03">
      <w:pPr>
        <w:spacing w:after="0" w:line="240" w:lineRule="auto"/>
        <w:jc w:val="both"/>
        <w:rPr>
          <w:rFonts w:ascii="Verdana" w:eastAsia="Aptos" w:hAnsi="Verdana" w:cs="Times New Roman"/>
          <w:b/>
          <w:bCs/>
          <w:sz w:val="20"/>
          <w:szCs w:val="20"/>
          <w:highlight w:val="yellow"/>
          <w:shd w:val="clear" w:color="auto" w:fill="FFFFFF"/>
          <w:lang w:val="es-ES"/>
        </w:rPr>
      </w:pPr>
    </w:p>
    <w:p w14:paraId="59336A8F" w14:textId="77777777" w:rsidR="00E137FE" w:rsidRDefault="00145A03" w:rsidP="00E137FE">
      <w:pPr>
        <w:spacing w:after="0" w:line="240" w:lineRule="auto"/>
        <w:jc w:val="both"/>
      </w:pPr>
      <w:r w:rsidRPr="00BE015B">
        <w:rPr>
          <w:rFonts w:ascii="Verdana" w:eastAsia="Calibri" w:hAnsi="Verdana" w:cs="Arial"/>
          <w:color w:val="000000"/>
          <w:kern w:val="2"/>
          <w:sz w:val="20"/>
          <w:szCs w:val="20"/>
          <w:lang w:eastAsia="es-ES"/>
        </w:rPr>
        <w:t>Así lo establece el literal b) del numeral 2 del artículo 8 de la Ley 80 de 1993, que dispone que no pueden contratar con el Estado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w:t>
      </w:r>
      <w:r w:rsidR="00E137FE" w:rsidRPr="00E137FE">
        <w:t xml:space="preserve"> </w:t>
      </w:r>
    </w:p>
    <w:p w14:paraId="22C050EF" w14:textId="77777777" w:rsidR="00E137FE" w:rsidRDefault="00E137FE" w:rsidP="00E137FE">
      <w:pPr>
        <w:spacing w:after="0" w:line="240" w:lineRule="auto"/>
        <w:jc w:val="both"/>
        <w:rPr>
          <w:rFonts w:ascii="Verdana" w:eastAsia="Calibri" w:hAnsi="Verdana" w:cs="Arial"/>
          <w:color w:val="000000"/>
          <w:kern w:val="2"/>
          <w:sz w:val="20"/>
          <w:szCs w:val="20"/>
          <w:lang w:eastAsia="es-ES"/>
        </w:rPr>
      </w:pPr>
    </w:p>
    <w:p w14:paraId="06223296" w14:textId="248BD03C" w:rsidR="00E137FE" w:rsidRPr="00E137FE" w:rsidRDefault="00E137FE" w:rsidP="00E137FE">
      <w:pPr>
        <w:spacing w:after="0" w:line="240" w:lineRule="auto"/>
        <w:jc w:val="both"/>
        <w:rPr>
          <w:rFonts w:ascii="Verdana" w:eastAsia="Calibri" w:hAnsi="Verdana" w:cs="Arial"/>
          <w:color w:val="000000"/>
          <w:kern w:val="2"/>
          <w:sz w:val="20"/>
          <w:szCs w:val="20"/>
          <w:lang w:eastAsia="es-ES"/>
        </w:rPr>
      </w:pPr>
      <w:r w:rsidRPr="00E137FE">
        <w:rPr>
          <w:rFonts w:ascii="Verdana" w:eastAsia="Calibri" w:hAnsi="Verdana" w:cs="Arial"/>
          <w:color w:val="000000"/>
          <w:kern w:val="2"/>
          <w:sz w:val="20"/>
          <w:szCs w:val="20"/>
          <w:lang w:eastAsia="es-ES"/>
        </w:rPr>
        <w:t>Es decir, la inhabilidad antes descrita aplica, de acuerdo con lo señalado en su consulta, cuando quienes tienen vínculos de parentesco hasta el segundo grado de consanguinidad trabajan para la misma entidad contratante, uno como servidor público que ejerce un cargo de nivel directivo en la entidad contratante, según la norma, y el otro como contratista.</w:t>
      </w:r>
    </w:p>
    <w:p w14:paraId="27AEEDFC" w14:textId="77777777" w:rsidR="00E137FE" w:rsidRDefault="00E137FE" w:rsidP="00E137FE">
      <w:pPr>
        <w:spacing w:after="0" w:line="240" w:lineRule="auto"/>
        <w:jc w:val="both"/>
        <w:rPr>
          <w:rFonts w:ascii="Verdana" w:eastAsia="Calibri" w:hAnsi="Verdana" w:cs="Arial"/>
          <w:color w:val="000000"/>
          <w:kern w:val="2"/>
          <w:sz w:val="20"/>
          <w:szCs w:val="20"/>
          <w:lang w:eastAsia="es-ES"/>
        </w:rPr>
      </w:pPr>
    </w:p>
    <w:p w14:paraId="053B46A7" w14:textId="46EDB113" w:rsidR="00145A03" w:rsidRPr="00BE015B" w:rsidRDefault="00E137FE" w:rsidP="00E137FE">
      <w:pPr>
        <w:spacing w:after="0" w:line="240" w:lineRule="auto"/>
        <w:jc w:val="both"/>
        <w:rPr>
          <w:rFonts w:ascii="Verdana" w:eastAsia="Calibri" w:hAnsi="Verdana" w:cs="Arial"/>
          <w:color w:val="000000"/>
          <w:kern w:val="2"/>
          <w:sz w:val="20"/>
          <w:szCs w:val="20"/>
          <w:lang w:eastAsia="es-ES"/>
        </w:rPr>
      </w:pPr>
      <w:r w:rsidRPr="00E137FE">
        <w:rPr>
          <w:rFonts w:ascii="Verdana" w:eastAsia="Calibri" w:hAnsi="Verdana" w:cs="Arial"/>
          <w:color w:val="000000"/>
          <w:kern w:val="2"/>
          <w:sz w:val="20"/>
          <w:szCs w:val="20"/>
          <w:lang w:eastAsia="es-ES"/>
        </w:rPr>
        <w:lastRenderedPageBreak/>
        <w:t>En ese sentido, según la normativa aplicable, el contratista estatal persona natural que vaya a celebrar un contrato con una entidad estatal y su primo pertenezca al nivel directivo de la entidad, no estará incurso en una inhabilidad, debido a que ese vínculo de consanguinidad no corresponde a los comprendidos hasta el segundo grado.</w:t>
      </w:r>
    </w:p>
    <w:p w14:paraId="4E12346E" w14:textId="77777777" w:rsidR="00145A03" w:rsidRPr="00BE015B" w:rsidRDefault="00145A03" w:rsidP="00145A03">
      <w:pPr>
        <w:spacing w:after="0" w:line="240" w:lineRule="auto"/>
        <w:jc w:val="both"/>
        <w:rPr>
          <w:rFonts w:ascii="Verdana" w:eastAsia="Calibri" w:hAnsi="Verdana" w:cs="Arial"/>
          <w:color w:val="000000"/>
          <w:kern w:val="2"/>
          <w:sz w:val="20"/>
          <w:szCs w:val="20"/>
          <w:lang w:eastAsia="es-ES"/>
        </w:rPr>
      </w:pPr>
    </w:p>
    <w:p w14:paraId="3E66C851" w14:textId="77777777" w:rsidR="00F17EFB" w:rsidRDefault="00F17EFB" w:rsidP="00145A03">
      <w:pPr>
        <w:spacing w:after="0" w:line="240" w:lineRule="auto"/>
        <w:jc w:val="both"/>
        <w:rPr>
          <w:rFonts w:ascii="Verdana" w:eastAsia="Aptos" w:hAnsi="Verdana" w:cs="Times New Roman"/>
          <w:sz w:val="20"/>
          <w:szCs w:val="20"/>
          <w:shd w:val="clear" w:color="auto" w:fill="FFFFFF"/>
          <w:lang w:val="es-ES"/>
        </w:rPr>
      </w:pPr>
    </w:p>
    <w:p w14:paraId="421C677A" w14:textId="77777777" w:rsidR="00F17EFB" w:rsidRDefault="00F17EFB" w:rsidP="00145A03">
      <w:pPr>
        <w:spacing w:after="0" w:line="240" w:lineRule="auto"/>
        <w:jc w:val="both"/>
        <w:rPr>
          <w:rFonts w:ascii="Verdana" w:eastAsia="Aptos" w:hAnsi="Verdana" w:cs="Times New Roman"/>
          <w:sz w:val="20"/>
          <w:szCs w:val="20"/>
          <w:shd w:val="clear" w:color="auto" w:fill="FFFFFF"/>
          <w:lang w:val="es-ES"/>
        </w:rPr>
      </w:pPr>
    </w:p>
    <w:p w14:paraId="5F5BEDDD"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5D33B060"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25B0D7B2"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65A60706"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1A2EB5A6"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219426F5"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6E27FF10"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7B0137D3"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1C355A95"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5A45B515"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32BFC648"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1DCFA8E5"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08C8780E"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0D647589"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5D6AF739"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3A27233F"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6A92DC77"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458A1DEE"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619D667D"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1D3C6A20"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2FB77FF2"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72B870BD"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64E8D78D"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11DB1470"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03B5BFE8"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226B97C2"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4EDA90E9"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4837ADD3"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7308FD27"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73E9B61E"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62405376"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105674F7"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14120C8E"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0A5D763D"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5E165908"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4CFEBA88"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2CE6AAF3"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2D5C2DB4"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1CEB2277"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2A4C12BA" w14:textId="77777777" w:rsidR="000A1D17" w:rsidRDefault="000A1D17" w:rsidP="00145A03">
      <w:pPr>
        <w:spacing w:after="0" w:line="240" w:lineRule="auto"/>
        <w:jc w:val="both"/>
        <w:rPr>
          <w:rFonts w:ascii="Verdana" w:eastAsia="Aptos" w:hAnsi="Verdana" w:cs="Times New Roman"/>
          <w:sz w:val="20"/>
          <w:szCs w:val="20"/>
          <w:shd w:val="clear" w:color="auto" w:fill="FFFFFF"/>
          <w:lang w:val="es-ES"/>
        </w:rPr>
      </w:pPr>
    </w:p>
    <w:p w14:paraId="0B36CC3D" w14:textId="036E8CC7" w:rsidR="00DF5811" w:rsidRDefault="00077AA3" w:rsidP="00145A03">
      <w:pPr>
        <w:spacing w:after="0" w:line="240" w:lineRule="auto"/>
        <w:rPr>
          <w:rFonts w:ascii="Verdana" w:eastAsia="Geomanist Light" w:hAnsi="Verdana" w:cs="Arial"/>
          <w:lang w:val="es-MX"/>
        </w:rPr>
      </w:pPr>
      <w:r w:rsidRPr="00077AA3">
        <w:rPr>
          <w:rFonts w:ascii="Verdana" w:eastAsia="Geomanist Light" w:hAnsi="Verdana" w:cs="Arial"/>
          <w:lang w:val="es-MX"/>
        </w:rPr>
        <w:lastRenderedPageBreak/>
        <w:t xml:space="preserve">Bogotá D.C., </w:t>
      </w:r>
      <w:r w:rsidR="00123CC4">
        <w:rPr>
          <w:rFonts w:ascii="Verdana" w:eastAsia="Geomanist Light" w:hAnsi="Verdana" w:cs="Arial"/>
          <w:lang w:val="es-MX"/>
        </w:rPr>
        <w:t>14 de julio de 2026</w:t>
      </w:r>
      <w:r w:rsidRPr="00077AA3">
        <w:rPr>
          <w:rFonts w:ascii="Verdana" w:eastAsia="Geomanist Light" w:hAnsi="Verdana" w:cs="Arial"/>
          <w:lang w:val="es-MX"/>
        </w:rPr>
        <w:tab/>
      </w:r>
    </w:p>
    <w:p w14:paraId="694F48D3" w14:textId="77777777" w:rsidR="00123CC4" w:rsidRDefault="00123CC4" w:rsidP="00145A03">
      <w:pPr>
        <w:spacing w:after="0" w:line="240" w:lineRule="auto"/>
        <w:rPr>
          <w:rFonts w:ascii="Verdana" w:eastAsia="Geomanist Light" w:hAnsi="Verdana" w:cs="Arial"/>
          <w:lang w:val="es-MX"/>
        </w:rPr>
      </w:pPr>
    </w:p>
    <w:p w14:paraId="07A383BA" w14:textId="7AA76DAB" w:rsidR="00123CC4" w:rsidRDefault="00123CC4" w:rsidP="00123CC4">
      <w:pPr>
        <w:spacing w:after="0" w:line="240" w:lineRule="auto"/>
        <w:jc w:val="right"/>
        <w:rPr>
          <w:rFonts w:ascii="Verdana" w:eastAsia="Geomanist Light" w:hAnsi="Verdana" w:cs="Arial"/>
          <w:lang w:val="es-MX"/>
        </w:rPr>
      </w:pPr>
      <w:r w:rsidRPr="00123CC4">
        <w:rPr>
          <w:rFonts w:ascii="Verdana" w:eastAsia="Geomanist Light" w:hAnsi="Verdana" w:cs="Arial"/>
          <w:lang w:val="es-MX"/>
        </w:rPr>
        <w:drawing>
          <wp:inline distT="0" distB="0" distL="0" distR="0" wp14:anchorId="042745D7" wp14:editId="71AF0160">
            <wp:extent cx="3667637" cy="1019317"/>
            <wp:effectExtent l="0" t="0" r="9525" b="9525"/>
            <wp:docPr id="8890132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013280" name=""/>
                    <pic:cNvPicPr/>
                  </pic:nvPicPr>
                  <pic:blipFill>
                    <a:blip r:embed="rId10"/>
                    <a:stretch>
                      <a:fillRect/>
                    </a:stretch>
                  </pic:blipFill>
                  <pic:spPr>
                    <a:xfrm>
                      <a:off x="0" y="0"/>
                      <a:ext cx="3667637" cy="1019317"/>
                    </a:xfrm>
                    <a:prstGeom prst="rect">
                      <a:avLst/>
                    </a:prstGeom>
                  </pic:spPr>
                </pic:pic>
              </a:graphicData>
            </a:graphic>
          </wp:inline>
        </w:drawing>
      </w:r>
    </w:p>
    <w:p w14:paraId="269DA605" w14:textId="2A652D8D" w:rsidR="00DF5811" w:rsidRDefault="00DF5811" w:rsidP="00DF5811">
      <w:pPr>
        <w:spacing w:after="0" w:line="240" w:lineRule="auto"/>
        <w:jc w:val="right"/>
        <w:rPr>
          <w:rFonts w:ascii="Verdana" w:eastAsia="Geomanist Light" w:hAnsi="Verdana" w:cs="Arial"/>
          <w:lang w:val="es-MX"/>
        </w:rPr>
      </w:pPr>
    </w:p>
    <w:p w14:paraId="62B1CA07" w14:textId="77777777" w:rsidR="00145A03" w:rsidRPr="007C1C94" w:rsidRDefault="00145A03" w:rsidP="00145A03">
      <w:pPr>
        <w:spacing w:after="0" w:line="240" w:lineRule="auto"/>
        <w:jc w:val="both"/>
        <w:rPr>
          <w:rFonts w:ascii="Verdana" w:eastAsia="Calibri" w:hAnsi="Verdana" w:cs="Arial"/>
          <w:lang w:val="es-ES"/>
        </w:rPr>
      </w:pPr>
    </w:p>
    <w:p w14:paraId="59A04EF9" w14:textId="713E8519" w:rsidR="00145A03" w:rsidRPr="00D20089" w:rsidRDefault="00145A03" w:rsidP="00145A03">
      <w:pPr>
        <w:spacing w:after="0" w:line="240" w:lineRule="auto"/>
        <w:jc w:val="both"/>
        <w:rPr>
          <w:rFonts w:ascii="Verdana" w:eastAsia="Calibri" w:hAnsi="Verdana" w:cs="Arial"/>
          <w:lang w:val="es-ES" w:eastAsia="es-ES"/>
        </w:rPr>
      </w:pPr>
      <w:r w:rsidRPr="00D20089">
        <w:rPr>
          <w:rFonts w:ascii="Verdana" w:eastAsia="Calibri" w:hAnsi="Verdana" w:cs="Arial"/>
          <w:lang w:val="es-ES" w:eastAsia="es-ES"/>
        </w:rPr>
        <w:t>Señor</w:t>
      </w:r>
      <w:r w:rsidR="00F012DC">
        <w:rPr>
          <w:rFonts w:ascii="Verdana" w:eastAsia="Calibri" w:hAnsi="Verdana" w:cs="Arial"/>
          <w:lang w:val="es-ES" w:eastAsia="es-ES"/>
        </w:rPr>
        <w:t>a</w:t>
      </w:r>
    </w:p>
    <w:p w14:paraId="08787169" w14:textId="0378AF5B" w:rsidR="00010D0A" w:rsidRDefault="00F012DC" w:rsidP="00145A03">
      <w:pPr>
        <w:spacing w:after="0" w:line="240" w:lineRule="auto"/>
        <w:rPr>
          <w:rFonts w:ascii="Verdana" w:eastAsia="Calibri" w:hAnsi="Verdana" w:cs="Arial"/>
          <w:b/>
          <w:lang w:val="es-ES_tradnl" w:eastAsia="es-ES_tradnl"/>
        </w:rPr>
      </w:pPr>
      <w:r>
        <w:rPr>
          <w:rFonts w:ascii="Verdana" w:eastAsia="Calibri" w:hAnsi="Verdana" w:cs="Arial"/>
          <w:b/>
          <w:lang w:val="es-ES_tradnl" w:eastAsia="es-ES_tradnl"/>
        </w:rPr>
        <w:t>Diana Marcela Gutierrez Burgos</w:t>
      </w:r>
    </w:p>
    <w:p w14:paraId="31DCC76F" w14:textId="77777777" w:rsidR="00145A03" w:rsidRPr="00D20089" w:rsidRDefault="00145A03" w:rsidP="00145A03">
      <w:pPr>
        <w:spacing w:after="0" w:line="240" w:lineRule="auto"/>
        <w:rPr>
          <w:rFonts w:ascii="Verdana" w:eastAsia="Calibri" w:hAnsi="Verdana" w:cs="Arial"/>
          <w:b/>
          <w:bCs/>
          <w:lang w:val="es-ES" w:eastAsia="es-ES"/>
        </w:rPr>
      </w:pPr>
      <w:r w:rsidRPr="00D20089">
        <w:rPr>
          <w:rFonts w:ascii="Verdana" w:eastAsia="Calibri" w:hAnsi="Verdana" w:cs="Arial"/>
          <w:lang w:val="es-ES" w:eastAsia="es-ES"/>
        </w:rPr>
        <w:t>Ciudad</w:t>
      </w:r>
    </w:p>
    <w:p w14:paraId="7DDBBD0B" w14:textId="77777777" w:rsidR="00145A03" w:rsidRPr="007C1C94" w:rsidRDefault="00145A03" w:rsidP="00145A03">
      <w:pPr>
        <w:spacing w:after="0" w:line="240" w:lineRule="auto"/>
        <w:rPr>
          <w:rFonts w:ascii="Verdana" w:eastAsia="Calibri" w:hAnsi="Verdana" w:cs="Arial"/>
          <w:b/>
          <w:bCs/>
          <w:lang w:val="es-ES_tradnl" w:eastAsia="es-ES_tradnl"/>
        </w:rPr>
      </w:pPr>
    </w:p>
    <w:p w14:paraId="71F05963" w14:textId="77777777" w:rsidR="00145A03" w:rsidRPr="007C1C94" w:rsidRDefault="00145A03" w:rsidP="00145A03">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145A03" w:rsidRPr="007C1C94" w14:paraId="279B84F0" w14:textId="77777777" w:rsidTr="00697118">
        <w:trPr>
          <w:trHeight w:val="884"/>
        </w:trPr>
        <w:tc>
          <w:tcPr>
            <w:tcW w:w="2689" w:type="dxa"/>
          </w:tcPr>
          <w:p w14:paraId="2CA217B0" w14:textId="77777777" w:rsidR="00145A03" w:rsidRPr="007C1C94" w:rsidRDefault="00145A03" w:rsidP="00697118">
            <w:pPr>
              <w:jc w:val="both"/>
              <w:rPr>
                <w:rFonts w:ascii="Verdana" w:eastAsia="Calibri" w:hAnsi="Verdana" w:cs="Arial"/>
                <w:b/>
                <w:bCs/>
                <w:lang w:val="es-ES_tradnl" w:eastAsia="es-ES_tradnl"/>
              </w:rPr>
            </w:pPr>
          </w:p>
        </w:tc>
        <w:tc>
          <w:tcPr>
            <w:tcW w:w="6100" w:type="dxa"/>
          </w:tcPr>
          <w:p w14:paraId="617383FE" w14:textId="26748B83" w:rsidR="00145A03" w:rsidRPr="007C1C94" w:rsidRDefault="00145A03" w:rsidP="00697118">
            <w:pPr>
              <w:jc w:val="both"/>
              <w:rPr>
                <w:rFonts w:ascii="Verdana" w:eastAsia="Calibri" w:hAnsi="Verdana" w:cs="Arial"/>
                <w:b/>
                <w:bCs/>
                <w:lang w:val="es-ES" w:eastAsia="es-ES"/>
              </w:rPr>
            </w:pPr>
            <w:r w:rsidRPr="007C1C94">
              <w:rPr>
                <w:rFonts w:ascii="Verdana" w:eastAsia="Calibri" w:hAnsi="Verdana" w:cs="Arial"/>
                <w:b/>
                <w:bCs/>
                <w:lang w:val="es-ES" w:eastAsia="es-ES"/>
              </w:rPr>
              <w:t xml:space="preserve">Concepto C- </w:t>
            </w:r>
            <w:r w:rsidR="00F012DC">
              <w:rPr>
                <w:rFonts w:ascii="Verdana" w:eastAsia="Calibri" w:hAnsi="Verdana" w:cs="Arial"/>
                <w:b/>
                <w:bCs/>
                <w:lang w:val="es-ES" w:eastAsia="es-ES"/>
              </w:rPr>
              <w:t>906</w:t>
            </w:r>
            <w:r w:rsidRPr="007C1C94">
              <w:rPr>
                <w:rFonts w:ascii="Verdana" w:eastAsia="Calibri" w:hAnsi="Verdana" w:cs="Arial"/>
                <w:b/>
                <w:bCs/>
                <w:lang w:val="es-ES" w:eastAsia="es-ES"/>
              </w:rPr>
              <w:t xml:space="preserve"> de 202</w:t>
            </w:r>
            <w:r w:rsidR="00F012DC">
              <w:rPr>
                <w:rFonts w:ascii="Verdana" w:eastAsia="Calibri" w:hAnsi="Verdana" w:cs="Arial"/>
                <w:b/>
                <w:bCs/>
                <w:lang w:val="es-ES" w:eastAsia="es-ES"/>
              </w:rPr>
              <w:t>6</w:t>
            </w:r>
          </w:p>
        </w:tc>
      </w:tr>
      <w:tr w:rsidR="00145A03" w:rsidRPr="007C1C94" w14:paraId="08306383" w14:textId="77777777" w:rsidTr="00697118">
        <w:trPr>
          <w:trHeight w:val="884"/>
        </w:trPr>
        <w:tc>
          <w:tcPr>
            <w:tcW w:w="2689" w:type="dxa"/>
          </w:tcPr>
          <w:p w14:paraId="1447A09D" w14:textId="77777777" w:rsidR="00145A03" w:rsidRPr="00D37CA7" w:rsidRDefault="00145A03" w:rsidP="00697118">
            <w:pPr>
              <w:jc w:val="both"/>
              <w:rPr>
                <w:rFonts w:ascii="Verdana" w:eastAsia="Calibri" w:hAnsi="Verdana" w:cs="Arial"/>
                <w:lang w:val="es-ES_tradnl" w:eastAsia="es-ES_tradnl"/>
              </w:rPr>
            </w:pPr>
            <w:r w:rsidRPr="00D37CA7">
              <w:rPr>
                <w:rFonts w:ascii="Verdana" w:eastAsia="Calibri" w:hAnsi="Verdana" w:cs="Arial"/>
                <w:b/>
                <w:lang w:val="es-ES_tradnl" w:eastAsia="es-ES_tradnl"/>
              </w:rPr>
              <w:t>Temas:</w:t>
            </w:r>
            <w:r w:rsidRPr="00D37CA7">
              <w:rPr>
                <w:rFonts w:ascii="Verdana" w:eastAsia="Calibri" w:hAnsi="Verdana" w:cs="Arial"/>
                <w:lang w:val="es-ES_tradnl" w:eastAsia="es-ES_tradnl"/>
              </w:rPr>
              <w:t xml:space="preserve">                   </w:t>
            </w:r>
          </w:p>
        </w:tc>
        <w:tc>
          <w:tcPr>
            <w:tcW w:w="6100" w:type="dxa"/>
          </w:tcPr>
          <w:p w14:paraId="1AE96E12" w14:textId="0DC8628A" w:rsidR="00145A03" w:rsidRPr="00D37CA7" w:rsidRDefault="00145A03" w:rsidP="00697118">
            <w:pPr>
              <w:jc w:val="both"/>
              <w:rPr>
                <w:rFonts w:ascii="Verdana" w:eastAsia="Calibri" w:hAnsi="Verdana" w:cs="Arial"/>
                <w:lang w:val="es-ES" w:eastAsia="es-ES"/>
              </w:rPr>
            </w:pPr>
            <w:r w:rsidRPr="001D1B48">
              <w:rPr>
                <w:rFonts w:ascii="Verdana" w:eastAsia="Calibri" w:hAnsi="Verdana" w:cs="Arial"/>
                <w:lang w:val="es-ES" w:eastAsia="es-ES"/>
              </w:rPr>
              <w:t xml:space="preserve">INHABILIDADES E INCOMPATIBILIDADES – Límites a la capacidad – Régimen / INHABILIDADES E INCOMPATIBILIDADES – Concepto / INHABILIDADES E INCOMPATIBILIDADES – Interpretación restrictiva – Principio pro </w:t>
            </w:r>
            <w:proofErr w:type="spellStart"/>
            <w:r w:rsidRPr="001D1B48">
              <w:rPr>
                <w:rFonts w:ascii="Verdana" w:eastAsia="Calibri" w:hAnsi="Verdana" w:cs="Arial"/>
                <w:lang w:val="es-ES" w:eastAsia="es-ES"/>
              </w:rPr>
              <w:t>libertate</w:t>
            </w:r>
            <w:proofErr w:type="spellEnd"/>
            <w:r w:rsidRPr="001D1B48">
              <w:rPr>
                <w:rFonts w:ascii="Verdana" w:eastAsia="Calibri" w:hAnsi="Verdana" w:cs="Arial"/>
                <w:lang w:val="es-ES" w:eastAsia="es-ES"/>
              </w:rPr>
              <w:t xml:space="preserve"> / INHABILIDADES E INCOMPATIBILIDADES – Ley 80 de 1993 – Artículo 8 – Numeral 2 – Literal B</w:t>
            </w:r>
          </w:p>
        </w:tc>
      </w:tr>
      <w:tr w:rsidR="00145A03" w:rsidRPr="007C1C94" w14:paraId="181D7BF5" w14:textId="77777777" w:rsidTr="00697118">
        <w:tc>
          <w:tcPr>
            <w:tcW w:w="2689" w:type="dxa"/>
          </w:tcPr>
          <w:p w14:paraId="43664A31" w14:textId="77777777" w:rsidR="00145A03" w:rsidRPr="007C1C94" w:rsidRDefault="00145A03" w:rsidP="00697118">
            <w:pPr>
              <w:jc w:val="both"/>
              <w:rPr>
                <w:rFonts w:ascii="Verdana" w:eastAsia="Calibri" w:hAnsi="Verdana" w:cs="Arial"/>
                <w:b/>
                <w:lang w:val="es-ES_tradnl" w:eastAsia="es-ES_tradnl"/>
              </w:rPr>
            </w:pPr>
            <w:r w:rsidRPr="007C1C94">
              <w:rPr>
                <w:rFonts w:ascii="Verdana" w:eastAsia="Calibri" w:hAnsi="Verdana" w:cs="Arial"/>
                <w:b/>
                <w:lang w:val="es-ES_tradnl" w:eastAsia="es-ES_tradnl"/>
              </w:rPr>
              <w:t>Radicación:</w:t>
            </w:r>
            <w:r w:rsidRPr="007C1C94">
              <w:rPr>
                <w:rFonts w:ascii="Verdana" w:eastAsia="Calibri" w:hAnsi="Verdana" w:cs="Arial"/>
                <w:lang w:val="es-ES_tradnl" w:eastAsia="es-ES_tradnl"/>
              </w:rPr>
              <w:t xml:space="preserve">               </w:t>
            </w:r>
          </w:p>
        </w:tc>
        <w:tc>
          <w:tcPr>
            <w:tcW w:w="6100" w:type="dxa"/>
          </w:tcPr>
          <w:p w14:paraId="46391D15" w14:textId="754722DE" w:rsidR="00145A03" w:rsidRPr="007C1C94" w:rsidRDefault="00145A03" w:rsidP="00697118">
            <w:pPr>
              <w:jc w:val="both"/>
              <w:rPr>
                <w:rFonts w:ascii="Verdana" w:eastAsia="Calibri" w:hAnsi="Verdana" w:cs="Arial"/>
                <w:lang w:val="es-ES_tradnl" w:eastAsia="es-ES_tradnl"/>
              </w:rPr>
            </w:pPr>
            <w:r w:rsidRPr="007C1C94">
              <w:rPr>
                <w:rFonts w:ascii="Verdana" w:eastAsia="Calibri" w:hAnsi="Verdana" w:cs="Arial"/>
                <w:lang w:val="es-ES_tradnl" w:eastAsia="es-ES_tradnl"/>
              </w:rPr>
              <w:t xml:space="preserve">Respuesta a consulta con radicado No. </w:t>
            </w:r>
            <w:r w:rsidR="005815DC" w:rsidRPr="005815DC">
              <w:rPr>
                <w:rFonts w:ascii="Verdana" w:eastAsia="Calibri" w:hAnsi="Verdana" w:cs="Arial"/>
                <w:lang w:val="es-ES_tradnl" w:eastAsia="es-ES_tradnl"/>
              </w:rPr>
              <w:t>1_2026_06_01_007336</w:t>
            </w:r>
          </w:p>
        </w:tc>
      </w:tr>
    </w:tbl>
    <w:p w14:paraId="3E292ADD" w14:textId="77777777" w:rsidR="00145A03" w:rsidRPr="007C1C94" w:rsidRDefault="00145A03" w:rsidP="00145A03">
      <w:pPr>
        <w:spacing w:after="0" w:line="240" w:lineRule="auto"/>
        <w:jc w:val="both"/>
        <w:rPr>
          <w:rFonts w:ascii="Verdana" w:eastAsia="Calibri" w:hAnsi="Verdana" w:cs="Arial"/>
          <w:lang w:val="es-ES_tradnl" w:eastAsia="es-ES_tradnl"/>
        </w:rPr>
      </w:pPr>
    </w:p>
    <w:p w14:paraId="4C5E375A" w14:textId="77777777" w:rsidR="00145A03" w:rsidRPr="007C1C94" w:rsidRDefault="00145A03" w:rsidP="00145A03">
      <w:pPr>
        <w:spacing w:after="0" w:line="240" w:lineRule="auto"/>
        <w:jc w:val="both"/>
        <w:rPr>
          <w:rFonts w:ascii="Verdana" w:eastAsia="Calibri" w:hAnsi="Verdana" w:cs="Arial"/>
          <w:lang w:val="es-ES_tradnl" w:eastAsia="es-ES_tradnl"/>
        </w:rPr>
      </w:pPr>
    </w:p>
    <w:p w14:paraId="557E5415" w14:textId="0F89A9A2" w:rsidR="00145A03" w:rsidRPr="007C1C94" w:rsidRDefault="00145A03" w:rsidP="00145A03">
      <w:pPr>
        <w:spacing w:after="0" w:line="276" w:lineRule="auto"/>
        <w:jc w:val="both"/>
        <w:rPr>
          <w:rFonts w:ascii="Verdana" w:eastAsia="Calibri" w:hAnsi="Verdana" w:cs="Arial"/>
          <w:lang w:val="es-ES" w:eastAsia="es-ES"/>
        </w:rPr>
      </w:pPr>
      <w:r w:rsidRPr="007C1C94">
        <w:rPr>
          <w:rFonts w:ascii="Verdana" w:eastAsia="Calibri" w:hAnsi="Verdana" w:cs="Arial"/>
          <w:lang w:val="es-ES" w:eastAsia="es-ES"/>
        </w:rPr>
        <w:t>Estimad</w:t>
      </w:r>
      <w:r w:rsidR="00077AA3">
        <w:rPr>
          <w:rFonts w:ascii="Verdana" w:eastAsia="Calibri" w:hAnsi="Verdana" w:cs="Arial"/>
          <w:lang w:val="es-ES" w:eastAsia="es-ES"/>
        </w:rPr>
        <w:t>a</w:t>
      </w:r>
      <w:r w:rsidRPr="007C1C94">
        <w:rPr>
          <w:rFonts w:ascii="Verdana" w:eastAsia="Calibri" w:hAnsi="Verdana" w:cs="Arial"/>
          <w:lang w:val="es-ES" w:eastAsia="es-ES"/>
        </w:rPr>
        <w:t xml:space="preserve"> señor</w:t>
      </w:r>
      <w:r w:rsidR="00077AA3">
        <w:rPr>
          <w:rFonts w:ascii="Verdana" w:eastAsia="Calibri" w:hAnsi="Verdana" w:cs="Arial"/>
          <w:lang w:val="es-ES" w:eastAsia="es-ES"/>
        </w:rPr>
        <w:t>a Gutierrez</w:t>
      </w:r>
      <w:r w:rsidRPr="007C1C94">
        <w:rPr>
          <w:rFonts w:ascii="Verdana" w:eastAsia="Calibri" w:hAnsi="Verdana" w:cs="Arial"/>
          <w:lang w:val="es-ES" w:eastAsia="es-ES"/>
        </w:rPr>
        <w:t xml:space="preserve">: </w:t>
      </w:r>
    </w:p>
    <w:p w14:paraId="6A6C820B" w14:textId="77777777" w:rsidR="00145A03" w:rsidRPr="007C1C94" w:rsidRDefault="00145A03" w:rsidP="00145A03">
      <w:pPr>
        <w:tabs>
          <w:tab w:val="left" w:pos="3768"/>
        </w:tabs>
        <w:spacing w:after="0" w:line="276" w:lineRule="auto"/>
        <w:jc w:val="both"/>
        <w:rPr>
          <w:rFonts w:ascii="Verdana" w:eastAsia="Calibri" w:hAnsi="Verdana" w:cs="Arial"/>
          <w:lang w:val="es-ES" w:eastAsia="es-ES"/>
        </w:rPr>
      </w:pPr>
      <w:r w:rsidRPr="007C1C94">
        <w:rPr>
          <w:rFonts w:ascii="Verdana" w:eastAsia="Calibri" w:hAnsi="Verdana" w:cs="Arial"/>
          <w:lang w:val="es-ES" w:eastAsia="es-ES"/>
        </w:rPr>
        <w:tab/>
      </w:r>
    </w:p>
    <w:p w14:paraId="5FC5C6B9" w14:textId="46F7C244" w:rsidR="00145A03" w:rsidRPr="007C1C94" w:rsidRDefault="00145A03" w:rsidP="00145A03">
      <w:pPr>
        <w:spacing w:after="0" w:line="276" w:lineRule="auto"/>
        <w:jc w:val="both"/>
        <w:rPr>
          <w:rFonts w:ascii="Verdana" w:eastAsia="Calibri" w:hAnsi="Verdana" w:cs="Arial"/>
          <w:lang w:val="es-ES" w:eastAsia="es-ES"/>
        </w:rPr>
      </w:pPr>
      <w:r w:rsidRPr="007C1C94">
        <w:rPr>
          <w:rFonts w:ascii="Verdana" w:eastAsia="Calibri" w:hAnsi="Verdana" w:cs="Arial"/>
          <w:lang w:val="es-ES" w:eastAsia="es-ES"/>
        </w:rPr>
        <w:t>En ejercicio de la competencia otorgada por los artículos 3, numeral 5º, y 11, numeral 8º, del Decreto Ley 4170 de 2011,</w:t>
      </w:r>
      <w:r w:rsidRPr="007C1C94">
        <w:rPr>
          <w:rFonts w:ascii="Verdana" w:eastAsia="Arial MT" w:hAnsi="Verdana" w:cs="Arial MT"/>
          <w:lang w:val="es-ES" w:eastAsia="es-ES"/>
        </w:rPr>
        <w:t xml:space="preserve"> </w:t>
      </w:r>
      <w:r w:rsidRPr="007C1C94">
        <w:rPr>
          <w:rFonts w:ascii="Verdana" w:hAnsi="Verdana" w:cs="Arial"/>
        </w:rPr>
        <w:t xml:space="preserve">así como lo establecido en el artículo 4 de la Resolución 1707 de 2018 expedida por esta Entidad, </w:t>
      </w:r>
      <w:r w:rsidRPr="007C1C94">
        <w:rPr>
          <w:rFonts w:ascii="Verdana" w:eastAsia="Calibri" w:hAnsi="Verdana" w:cs="Arial"/>
          <w:lang w:val="es-ES" w:eastAsia="es-ES"/>
        </w:rPr>
        <w:t>la Agencia Nacional de Contratación Pública – Colombia Compra Eficiente– responde su solicitud de consulta de fecha</w:t>
      </w:r>
      <w:r w:rsidR="005815DC">
        <w:rPr>
          <w:rFonts w:ascii="Verdana" w:eastAsia="Calibri" w:hAnsi="Verdana" w:cs="Arial"/>
          <w:lang w:val="es-ES" w:eastAsia="es-ES"/>
        </w:rPr>
        <w:t xml:space="preserve"> 1</w:t>
      </w:r>
      <w:r w:rsidRPr="007C1C94">
        <w:rPr>
          <w:rFonts w:ascii="Verdana" w:eastAsia="Calibri" w:hAnsi="Verdana" w:cs="Arial"/>
          <w:lang w:val="es-ES" w:eastAsia="es-ES"/>
        </w:rPr>
        <w:t xml:space="preserve"> de </w:t>
      </w:r>
      <w:r w:rsidR="005815DC">
        <w:rPr>
          <w:rFonts w:ascii="Verdana" w:eastAsia="Calibri" w:hAnsi="Verdana" w:cs="Arial"/>
          <w:lang w:val="es-ES" w:eastAsia="es-ES"/>
        </w:rPr>
        <w:t>junio</w:t>
      </w:r>
      <w:r w:rsidRPr="007C1C94">
        <w:rPr>
          <w:rFonts w:ascii="Verdana" w:eastAsia="Calibri" w:hAnsi="Verdana" w:cs="Arial"/>
          <w:lang w:val="es-ES" w:eastAsia="es-ES"/>
        </w:rPr>
        <w:t xml:space="preserve"> de 20</w:t>
      </w:r>
      <w:r>
        <w:rPr>
          <w:rFonts w:ascii="Verdana" w:eastAsia="Calibri" w:hAnsi="Verdana" w:cs="Arial"/>
          <w:lang w:val="es-ES" w:eastAsia="es-ES"/>
        </w:rPr>
        <w:t>2</w:t>
      </w:r>
      <w:r w:rsidR="005815DC">
        <w:rPr>
          <w:rFonts w:ascii="Verdana" w:eastAsia="Calibri" w:hAnsi="Verdana" w:cs="Arial"/>
          <w:lang w:val="es-ES" w:eastAsia="es-ES"/>
        </w:rPr>
        <w:t>6</w:t>
      </w:r>
      <w:r w:rsidR="000F1E76">
        <w:rPr>
          <w:rFonts w:ascii="Verdana" w:eastAsia="Calibri" w:hAnsi="Verdana" w:cs="Arial"/>
          <w:lang w:val="es-ES" w:eastAsia="es-ES"/>
        </w:rPr>
        <w:t>,</w:t>
      </w:r>
      <w:r w:rsidRPr="007C1C94">
        <w:rPr>
          <w:rFonts w:ascii="Verdana" w:eastAsia="Calibri" w:hAnsi="Verdana" w:cs="Arial"/>
          <w:lang w:val="es-ES" w:eastAsia="es-ES"/>
        </w:rPr>
        <w:t xml:space="preserve"> en la cual manifiesta lo siguiente: </w:t>
      </w:r>
    </w:p>
    <w:p w14:paraId="4165822C" w14:textId="77777777" w:rsidR="00145A03" w:rsidRPr="007C1C94" w:rsidRDefault="00145A03" w:rsidP="00145A03">
      <w:pPr>
        <w:pStyle w:val="Prrafodelista"/>
        <w:tabs>
          <w:tab w:val="left" w:pos="142"/>
          <w:tab w:val="left" w:pos="284"/>
        </w:tabs>
        <w:spacing w:line="276" w:lineRule="auto"/>
        <w:ind w:left="0"/>
        <w:jc w:val="both"/>
        <w:rPr>
          <w:rFonts w:ascii="Verdana" w:eastAsia="Century Gothic" w:hAnsi="Verdana" w:cs="Century Gothic"/>
          <w:b/>
          <w:bCs/>
        </w:rPr>
      </w:pPr>
    </w:p>
    <w:p w14:paraId="7E0DD981" w14:textId="53DFED6F" w:rsidR="00E36531" w:rsidRDefault="00E36531" w:rsidP="00444D02">
      <w:pPr>
        <w:spacing w:after="0" w:line="240" w:lineRule="auto"/>
        <w:ind w:left="709" w:right="709"/>
        <w:jc w:val="both"/>
        <w:rPr>
          <w:rFonts w:ascii="Verdana" w:eastAsia="Century Gothic" w:hAnsi="Verdana" w:cs="Century Gothic"/>
          <w:sz w:val="20"/>
          <w:szCs w:val="20"/>
          <w:lang w:val="es-ES"/>
        </w:rPr>
      </w:pPr>
      <w:bookmarkStart w:id="0" w:name="_Hlk95313578"/>
      <w:r>
        <w:rPr>
          <w:rFonts w:ascii="Verdana" w:eastAsia="Century Gothic" w:hAnsi="Verdana" w:cs="Century Gothic"/>
          <w:sz w:val="20"/>
          <w:szCs w:val="20"/>
          <w:lang w:val="es-ES"/>
        </w:rPr>
        <w:t>“</w:t>
      </w:r>
      <w:r w:rsidRPr="00E36531">
        <w:rPr>
          <w:rFonts w:ascii="Verdana" w:eastAsia="Century Gothic" w:hAnsi="Verdana" w:cs="Century Gothic"/>
          <w:sz w:val="20"/>
          <w:szCs w:val="20"/>
          <w:lang w:val="es-ES"/>
        </w:rPr>
        <w:t>En una Personería Municipal existe una servidora pública que desempeña el cargo de Directora Administrativa y Financiera, perteneciente al nivel directivo de la entidad. La mencionada funcionaria no ejerce funciones de control interno, control disciplinario ni control fiscal.</w:t>
      </w:r>
      <w:r>
        <w:rPr>
          <w:rFonts w:ascii="Verdana" w:eastAsia="Century Gothic" w:hAnsi="Verdana" w:cs="Century Gothic"/>
          <w:sz w:val="20"/>
          <w:szCs w:val="20"/>
          <w:lang w:val="es-ES"/>
        </w:rPr>
        <w:t xml:space="preserve"> </w:t>
      </w:r>
      <w:r w:rsidRPr="00E36531">
        <w:rPr>
          <w:rFonts w:ascii="Verdana" w:eastAsia="Century Gothic" w:hAnsi="Verdana" w:cs="Century Gothic"/>
          <w:sz w:val="20"/>
          <w:szCs w:val="20"/>
          <w:lang w:val="es-ES"/>
        </w:rPr>
        <w:t xml:space="preserve">Se plantea la </w:t>
      </w:r>
      <w:r w:rsidRPr="00E36531">
        <w:rPr>
          <w:rFonts w:ascii="Verdana" w:eastAsia="Century Gothic" w:hAnsi="Verdana" w:cs="Century Gothic"/>
          <w:sz w:val="20"/>
          <w:szCs w:val="20"/>
          <w:lang w:val="es-ES"/>
        </w:rPr>
        <w:lastRenderedPageBreak/>
        <w:t>posibilidad de celebrar un contrato de prestación de servicios profesionales o de apoyo a la gestión con una prima de dicha servidora pública, parentesco que corresponde al cuarto grado de consanguinidad.</w:t>
      </w:r>
      <w:r>
        <w:rPr>
          <w:rFonts w:ascii="Verdana" w:eastAsia="Century Gothic" w:hAnsi="Verdana" w:cs="Century Gothic"/>
          <w:sz w:val="20"/>
          <w:szCs w:val="20"/>
          <w:lang w:val="es-ES"/>
        </w:rPr>
        <w:t xml:space="preserve"> </w:t>
      </w:r>
      <w:r w:rsidRPr="00E36531">
        <w:rPr>
          <w:rFonts w:ascii="Verdana" w:eastAsia="Century Gothic" w:hAnsi="Verdana" w:cs="Century Gothic"/>
          <w:sz w:val="20"/>
          <w:szCs w:val="20"/>
          <w:lang w:val="es-ES"/>
        </w:rPr>
        <w:t>Adicionalmente, la eventual contratista sería asignada funcionalmente a otra dependencia de la Personería Municipal, concretamente a una Personería Delegada distinta del área administrativa y financiera, sin dependencia funcional ni supervisión directa de la mencionada directiva.</w:t>
      </w:r>
    </w:p>
    <w:p w14:paraId="57FB34B5" w14:textId="77777777" w:rsidR="00E36531" w:rsidRDefault="00E36531" w:rsidP="00444D02">
      <w:pPr>
        <w:spacing w:after="0" w:line="240" w:lineRule="auto"/>
        <w:ind w:left="709" w:right="709"/>
        <w:jc w:val="both"/>
        <w:rPr>
          <w:rFonts w:ascii="Verdana" w:eastAsia="Century Gothic" w:hAnsi="Verdana" w:cs="Century Gothic"/>
          <w:sz w:val="20"/>
          <w:szCs w:val="20"/>
          <w:lang w:val="es-ES"/>
        </w:rPr>
      </w:pPr>
      <w:r w:rsidRPr="00E36531">
        <w:rPr>
          <w:rFonts w:ascii="Verdana" w:eastAsia="Century Gothic" w:hAnsi="Verdana" w:cs="Century Gothic"/>
          <w:sz w:val="20"/>
          <w:szCs w:val="20"/>
          <w:lang w:val="es-ES"/>
        </w:rPr>
        <w:t>CONSULTA</w:t>
      </w:r>
    </w:p>
    <w:p w14:paraId="5909A4BC" w14:textId="1E345059" w:rsidR="00145A03" w:rsidRPr="00517373" w:rsidRDefault="00E36531" w:rsidP="00444D02">
      <w:pPr>
        <w:spacing w:after="0" w:line="240" w:lineRule="auto"/>
        <w:ind w:left="709" w:right="709"/>
        <w:jc w:val="both"/>
        <w:rPr>
          <w:rFonts w:ascii="Verdana" w:hAnsi="Verdana" w:cs="Arial"/>
          <w:sz w:val="20"/>
          <w:szCs w:val="20"/>
          <w:shd w:val="clear" w:color="auto" w:fill="FFFFFF"/>
          <w:lang w:val="es-MX"/>
        </w:rPr>
      </w:pPr>
      <w:r w:rsidRPr="00E36531">
        <w:rPr>
          <w:rFonts w:ascii="Verdana" w:eastAsia="Century Gothic" w:hAnsi="Verdana" w:cs="Century Gothic"/>
          <w:sz w:val="20"/>
          <w:szCs w:val="20"/>
          <w:lang w:val="es-ES"/>
        </w:rPr>
        <w:t>Teniendo en cuenta lo anterior, y atendiendo se solicita concepto respecto a si en el caso descrito se configura alguna inhabilidad o incompatibilidad para contratar con la entidad, conforme a la Constitución Política, la Ley 80 de 1993 y demás normas aplicables en materia de contratación estatal.</w:t>
      </w:r>
      <w:r w:rsidR="00145A03" w:rsidRPr="006C632C">
        <w:rPr>
          <w:rFonts w:ascii="Verdana" w:eastAsia="Century Gothic" w:hAnsi="Verdana" w:cs="Century Gothic"/>
          <w:sz w:val="20"/>
          <w:szCs w:val="20"/>
          <w:lang w:val="es-ES"/>
        </w:rPr>
        <w:t>”</w:t>
      </w:r>
      <w:bookmarkEnd w:id="0"/>
      <w:r w:rsidR="00145A03" w:rsidRPr="006C632C">
        <w:rPr>
          <w:rFonts w:ascii="Verdana" w:eastAsia="Century Gothic" w:hAnsi="Verdana" w:cs="Century Gothic"/>
          <w:sz w:val="20"/>
          <w:szCs w:val="20"/>
          <w:lang w:val="es-ES"/>
        </w:rPr>
        <w:t>.</w:t>
      </w:r>
    </w:p>
    <w:p w14:paraId="6201993C" w14:textId="77777777" w:rsidR="00145A03" w:rsidRPr="007C1C94" w:rsidRDefault="00145A03" w:rsidP="00145A03">
      <w:pPr>
        <w:pStyle w:val="Prrafodelista"/>
        <w:tabs>
          <w:tab w:val="left" w:pos="142"/>
          <w:tab w:val="left" w:pos="284"/>
        </w:tabs>
        <w:spacing w:line="276" w:lineRule="auto"/>
        <w:ind w:left="0"/>
        <w:jc w:val="both"/>
        <w:rPr>
          <w:rFonts w:ascii="Verdana" w:eastAsia="Century Gothic" w:hAnsi="Verdana" w:cs="Century Gothic"/>
          <w:b/>
          <w:bCs/>
        </w:rPr>
      </w:pPr>
    </w:p>
    <w:p w14:paraId="726083F0" w14:textId="77777777" w:rsidR="00145A03" w:rsidRPr="007C1C94" w:rsidRDefault="00145A03" w:rsidP="00145A03">
      <w:pPr>
        <w:spacing w:after="120" w:line="276" w:lineRule="auto"/>
        <w:ind w:firstLine="709"/>
        <w:jc w:val="both"/>
        <w:rPr>
          <w:rFonts w:ascii="Verdana" w:eastAsia="Calibri" w:hAnsi="Verdana" w:cs="Arial"/>
          <w:szCs w:val="24"/>
          <w:lang w:val="es-ES_tradnl" w:eastAsia="es-ES_tradnl"/>
        </w:rPr>
      </w:pPr>
      <w:r w:rsidRPr="007C1C94">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7C1C94">
        <w:rPr>
          <w:rFonts w:ascii="Verdana" w:eastAsia="Calibri" w:hAnsi="Verdana" w:cs="Arial"/>
          <w:szCs w:val="24"/>
          <w:lang w:val="es-ES_tradnl" w:eastAsia="es-ES_tradnl"/>
        </w:rPr>
        <w:tab/>
      </w:r>
    </w:p>
    <w:p w14:paraId="7BB272AA" w14:textId="77777777" w:rsidR="00145A03" w:rsidRPr="007C1C94" w:rsidRDefault="00145A03" w:rsidP="00145A03">
      <w:pPr>
        <w:spacing w:after="0" w:line="276" w:lineRule="auto"/>
        <w:ind w:firstLine="709"/>
        <w:jc w:val="both"/>
        <w:rPr>
          <w:rFonts w:ascii="Verdana" w:eastAsia="Calibri" w:hAnsi="Verdana" w:cs="Arial"/>
          <w:lang w:val="es-ES" w:eastAsia="es-ES"/>
        </w:rPr>
      </w:pPr>
      <w:r w:rsidRPr="007C1C94">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(los) problema(s) jurídico(s) de su consulta. </w:t>
      </w:r>
    </w:p>
    <w:p w14:paraId="07E5D3EE" w14:textId="77777777" w:rsidR="00145A03" w:rsidRPr="007C1C94" w:rsidRDefault="00145A03" w:rsidP="00145A03">
      <w:pPr>
        <w:spacing w:after="0" w:line="276" w:lineRule="auto"/>
        <w:ind w:firstLine="709"/>
        <w:jc w:val="both"/>
        <w:rPr>
          <w:rFonts w:ascii="Verdana" w:eastAsia="Calibri" w:hAnsi="Verdana" w:cs="Arial"/>
          <w:lang w:val="es-ES" w:eastAsia="es-ES"/>
        </w:rPr>
      </w:pPr>
    </w:p>
    <w:p w14:paraId="170001CB" w14:textId="77777777" w:rsidR="00145A03" w:rsidRPr="007C1C94" w:rsidRDefault="00145A03" w:rsidP="00145A03">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7C1C94">
        <w:rPr>
          <w:rFonts w:ascii="Verdana" w:eastAsia="Century Gothic" w:hAnsi="Verdana" w:cs="Century Gothic"/>
          <w:b/>
          <w:bCs/>
        </w:rPr>
        <w:t>Problema planteado:</w:t>
      </w:r>
    </w:p>
    <w:p w14:paraId="7651824A" w14:textId="77777777" w:rsidR="00145A03" w:rsidRPr="007C1C94" w:rsidRDefault="00145A03" w:rsidP="00145A03">
      <w:pPr>
        <w:tabs>
          <w:tab w:val="left" w:pos="426"/>
        </w:tabs>
        <w:spacing w:after="0" w:line="276" w:lineRule="auto"/>
        <w:jc w:val="both"/>
        <w:rPr>
          <w:rFonts w:ascii="Verdana" w:eastAsia="Century Gothic" w:hAnsi="Verdana" w:cs="Century Gothic"/>
          <w:lang w:val="es-ES"/>
        </w:rPr>
      </w:pPr>
    </w:p>
    <w:p w14:paraId="30003DE8" w14:textId="09D78D99" w:rsidR="00145A03" w:rsidRPr="007C1C94" w:rsidRDefault="00145A03" w:rsidP="00145A03">
      <w:pPr>
        <w:spacing w:after="0" w:line="276" w:lineRule="auto"/>
        <w:jc w:val="both"/>
        <w:rPr>
          <w:rFonts w:ascii="Verdana" w:eastAsia="Century Gothic" w:hAnsi="Verdana" w:cs="Century Gothic"/>
        </w:rPr>
      </w:pPr>
      <w:r w:rsidRPr="33F06424">
        <w:rPr>
          <w:rFonts w:ascii="Verdana" w:eastAsia="Century Gothic" w:hAnsi="Verdana" w:cs="Century Gothic"/>
        </w:rPr>
        <w:t xml:space="preserve">De acuerdo con el contenido de su solicitud, esta Agencia resolverá el siguiente problema jurídico: ¿Existe inhabilidad para </w:t>
      </w:r>
      <w:r w:rsidR="00F53BC5">
        <w:rPr>
          <w:rFonts w:ascii="Verdana" w:eastAsia="Century Gothic" w:hAnsi="Verdana" w:cs="Century Gothic"/>
        </w:rPr>
        <w:t>un contratista</w:t>
      </w:r>
      <w:r w:rsidRPr="33F06424">
        <w:rPr>
          <w:rFonts w:ascii="Verdana" w:eastAsia="Century Gothic" w:hAnsi="Verdana" w:cs="Century Gothic"/>
        </w:rPr>
        <w:t xml:space="preserve"> de prestación de servicios</w:t>
      </w:r>
      <w:r w:rsidR="00625EEE">
        <w:rPr>
          <w:rFonts w:ascii="Verdana" w:eastAsia="Century Gothic" w:hAnsi="Verdana" w:cs="Century Gothic"/>
        </w:rPr>
        <w:t xml:space="preserve"> </w:t>
      </w:r>
      <w:r w:rsidR="0094171F">
        <w:rPr>
          <w:rFonts w:ascii="Verdana" w:eastAsia="Century Gothic" w:hAnsi="Verdana" w:cs="Century Gothic"/>
        </w:rPr>
        <w:t>que tiene</w:t>
      </w:r>
      <w:r w:rsidR="00625EEE">
        <w:rPr>
          <w:rFonts w:ascii="Verdana" w:eastAsia="Century Gothic" w:hAnsi="Verdana" w:cs="Century Gothic"/>
        </w:rPr>
        <w:t xml:space="preserve"> vínculos de consanguinidad</w:t>
      </w:r>
      <w:r w:rsidR="00F53BC5">
        <w:rPr>
          <w:rFonts w:ascii="Verdana" w:eastAsia="Century Gothic" w:hAnsi="Verdana" w:cs="Century Gothic"/>
        </w:rPr>
        <w:t xml:space="preserve"> (</w:t>
      </w:r>
      <w:r w:rsidR="00CA0DB0">
        <w:rPr>
          <w:rFonts w:ascii="Verdana" w:eastAsia="Century Gothic" w:hAnsi="Verdana" w:cs="Century Gothic"/>
        </w:rPr>
        <w:t>prima</w:t>
      </w:r>
      <w:r w:rsidR="00F53BC5">
        <w:rPr>
          <w:rFonts w:ascii="Verdana" w:eastAsia="Century Gothic" w:hAnsi="Verdana" w:cs="Century Gothic"/>
        </w:rPr>
        <w:t xml:space="preserve">) </w:t>
      </w:r>
      <w:r w:rsidR="003B3BD7">
        <w:rPr>
          <w:rFonts w:ascii="Verdana" w:eastAsia="Century Gothic" w:hAnsi="Verdana" w:cs="Century Gothic"/>
        </w:rPr>
        <w:t xml:space="preserve">en la misma </w:t>
      </w:r>
      <w:r w:rsidR="00A27A11">
        <w:rPr>
          <w:rFonts w:ascii="Verdana" w:eastAsia="Century Gothic" w:hAnsi="Verdana" w:cs="Century Gothic"/>
        </w:rPr>
        <w:t>entidad</w:t>
      </w:r>
      <w:r w:rsidR="003B3BD7">
        <w:rPr>
          <w:rFonts w:ascii="Verdana" w:eastAsia="Century Gothic" w:hAnsi="Verdana" w:cs="Century Gothic"/>
        </w:rPr>
        <w:t xml:space="preserve"> donde</w:t>
      </w:r>
      <w:r w:rsidR="00625EEE">
        <w:rPr>
          <w:rFonts w:ascii="Verdana" w:eastAsia="Century Gothic" w:hAnsi="Verdana" w:cs="Century Gothic"/>
        </w:rPr>
        <w:t xml:space="preserve"> su familiar</w:t>
      </w:r>
      <w:r w:rsidR="00A27A11">
        <w:rPr>
          <w:rFonts w:ascii="Verdana" w:eastAsia="Century Gothic" w:hAnsi="Verdana" w:cs="Century Gothic"/>
        </w:rPr>
        <w:t xml:space="preserve"> pertenece al nivel directivo</w:t>
      </w:r>
      <w:r w:rsidRPr="33F06424">
        <w:rPr>
          <w:rFonts w:ascii="Verdana" w:eastAsia="Century Gothic" w:hAnsi="Verdana" w:cs="Century Gothic"/>
        </w:rPr>
        <w:t>?</w:t>
      </w:r>
    </w:p>
    <w:p w14:paraId="1453ABD9" w14:textId="77777777" w:rsidR="00145A03" w:rsidRPr="00B77E42" w:rsidRDefault="00145A03" w:rsidP="00145A03">
      <w:pPr>
        <w:spacing w:after="0" w:line="276" w:lineRule="auto"/>
        <w:jc w:val="both"/>
        <w:rPr>
          <w:rFonts w:ascii="Verdana" w:eastAsia="Calibri" w:hAnsi="Verdana" w:cs="Arial"/>
        </w:rPr>
      </w:pPr>
    </w:p>
    <w:p w14:paraId="68F47102" w14:textId="77777777" w:rsidR="00145A03" w:rsidRPr="007C1C94" w:rsidRDefault="00145A03" w:rsidP="00145A0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7C1C94">
        <w:rPr>
          <w:rFonts w:ascii="Verdana" w:eastAsia="Century Gothic" w:hAnsi="Verdana" w:cs="Century Gothic"/>
          <w:b/>
          <w:bCs/>
        </w:rPr>
        <w:t>Respuesta:</w:t>
      </w:r>
    </w:p>
    <w:p w14:paraId="04A03704" w14:textId="77777777" w:rsidR="00145A03" w:rsidRPr="007C1C94" w:rsidRDefault="00145A03" w:rsidP="00145A03">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45A03" w:rsidRPr="00567EFD" w14:paraId="62B42584" w14:textId="77777777" w:rsidTr="33F06424">
        <w:tc>
          <w:tcPr>
            <w:tcW w:w="8828" w:type="dxa"/>
          </w:tcPr>
          <w:p w14:paraId="116B4D67" w14:textId="77777777" w:rsidR="00145A03" w:rsidRDefault="00145A03" w:rsidP="00275235">
            <w:pPr>
              <w:spacing w:after="120" w:line="276" w:lineRule="auto"/>
              <w:jc w:val="both"/>
              <w:rPr>
                <w:rFonts w:ascii="Verdana" w:eastAsia="Calibri" w:hAnsi="Verdana" w:cs="Arial"/>
                <w:lang w:val="es-ES"/>
              </w:rPr>
            </w:pPr>
            <w:r>
              <w:rPr>
                <w:rFonts w:ascii="Verdana" w:eastAsia="Calibri" w:hAnsi="Verdana" w:cs="Arial"/>
                <w:lang w:val="es-ES"/>
              </w:rPr>
              <w:t xml:space="preserve">De acuerdo con el régimen de inhabilidades e incompatibilidades de la contratación estatal, el parentesco es causal de inhabilidad para celebrar contratos respecto de la persona que quiere ser contratista y su vínculo con servidores públicos que ejercen los cargos que señala la Ley 80 de 1993, dentro de la misma entidad contratante. </w:t>
            </w:r>
          </w:p>
          <w:p w14:paraId="79D0EEC2" w14:textId="77777777" w:rsidR="00145A03" w:rsidRDefault="00145A03" w:rsidP="00275235">
            <w:pPr>
              <w:spacing w:after="120" w:line="276" w:lineRule="auto"/>
              <w:ind w:firstLine="709"/>
              <w:jc w:val="both"/>
              <w:rPr>
                <w:rFonts w:ascii="Verdana" w:eastAsia="Calibri" w:hAnsi="Verdana" w:cs="Arial"/>
                <w:lang w:val="es-ES"/>
              </w:rPr>
            </w:pPr>
            <w:r w:rsidRPr="00275235">
              <w:rPr>
                <w:rFonts w:ascii="Verdana" w:eastAsia="Calibri" w:hAnsi="Verdana" w:cs="Arial"/>
                <w:lang w:val="es-ES"/>
              </w:rPr>
              <w:t>Así</w:t>
            </w:r>
            <w:r>
              <w:rPr>
                <w:rFonts w:ascii="Verdana" w:eastAsia="Century Gothic" w:hAnsi="Verdana" w:cs="Century Gothic"/>
              </w:rPr>
              <w:t xml:space="preserve"> lo establece el literal b) del numeral 2 del artículo 8 de la Ley 80 de 1993</w:t>
            </w:r>
            <w:r w:rsidRPr="00671CEA">
              <w:rPr>
                <w:rFonts w:ascii="Verdana" w:eastAsia="Calibri" w:hAnsi="Verdana" w:cs="Arial"/>
                <w:lang w:val="es-ES"/>
              </w:rPr>
              <w:t>,</w:t>
            </w:r>
            <w:r>
              <w:rPr>
                <w:rFonts w:ascii="Verdana" w:eastAsia="Calibri" w:hAnsi="Verdana" w:cs="Arial"/>
                <w:lang w:val="es-ES"/>
              </w:rPr>
              <w:t xml:space="preserve"> que dispone que no pueden contratar con el Estado “l</w:t>
            </w:r>
            <w:r w:rsidRPr="006617EE">
              <w:rPr>
                <w:rFonts w:ascii="Verdana" w:eastAsia="Calibri" w:hAnsi="Verdana" w:cs="Arial"/>
              </w:rPr>
              <w:t xml:space="preserve">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w:t>
            </w:r>
            <w:r w:rsidRPr="00275235">
              <w:rPr>
                <w:rFonts w:ascii="Verdana" w:eastAsia="Calibri" w:hAnsi="Verdana" w:cs="Arial"/>
                <w:lang w:val="es-ES"/>
              </w:rPr>
              <w:t>contratante</w:t>
            </w:r>
            <w:r>
              <w:rPr>
                <w:rFonts w:ascii="Verdana" w:eastAsia="Calibri" w:hAnsi="Verdana" w:cs="Arial"/>
              </w:rPr>
              <w:t>”</w:t>
            </w:r>
            <w:r>
              <w:rPr>
                <w:rFonts w:ascii="Verdana" w:eastAsia="Calibri" w:hAnsi="Verdana" w:cs="Arial"/>
                <w:lang w:val="es-ES"/>
              </w:rPr>
              <w:t>.</w:t>
            </w:r>
          </w:p>
          <w:p w14:paraId="2B783404" w14:textId="6E8F81CD" w:rsidR="00145A03" w:rsidRDefault="00145A03" w:rsidP="00275235">
            <w:pPr>
              <w:spacing w:after="120" w:line="276" w:lineRule="auto"/>
              <w:ind w:firstLine="709"/>
              <w:jc w:val="both"/>
              <w:rPr>
                <w:rFonts w:ascii="Verdana" w:eastAsia="Calibri" w:hAnsi="Verdana" w:cs="Arial"/>
                <w:lang w:val="es-ES"/>
              </w:rPr>
            </w:pPr>
            <w:r w:rsidRPr="33F06424">
              <w:rPr>
                <w:rFonts w:ascii="Verdana" w:eastAsia="Calibri" w:hAnsi="Verdana" w:cs="Arial"/>
                <w:lang w:val="es-ES"/>
              </w:rPr>
              <w:t xml:space="preserve">Es </w:t>
            </w:r>
            <w:r w:rsidRPr="00275235">
              <w:rPr>
                <w:rFonts w:ascii="Verdana" w:eastAsia="Century Gothic" w:hAnsi="Verdana" w:cs="Century Gothic"/>
              </w:rPr>
              <w:t>decir</w:t>
            </w:r>
            <w:r w:rsidRPr="33F06424">
              <w:rPr>
                <w:rFonts w:ascii="Verdana" w:eastAsia="Calibri" w:hAnsi="Verdana" w:cs="Arial"/>
                <w:lang w:val="es-ES"/>
              </w:rPr>
              <w:t>, la inhabilidad antes descrita aplica</w:t>
            </w:r>
            <w:r w:rsidR="1C08B981" w:rsidRPr="33F06424">
              <w:rPr>
                <w:rFonts w:ascii="Verdana" w:eastAsia="Calibri" w:hAnsi="Verdana" w:cs="Arial"/>
                <w:lang w:val="es-ES"/>
              </w:rPr>
              <w:t>,</w:t>
            </w:r>
            <w:r w:rsidR="001A50A3">
              <w:rPr>
                <w:rFonts w:ascii="Verdana" w:eastAsia="Calibri" w:hAnsi="Verdana" w:cs="Arial"/>
                <w:lang w:val="es-ES"/>
              </w:rPr>
              <w:t xml:space="preserve"> de acuerdo con lo señalado en su consulta,</w:t>
            </w:r>
            <w:r w:rsidRPr="33F06424">
              <w:rPr>
                <w:rFonts w:ascii="Verdana" w:eastAsia="Calibri" w:hAnsi="Verdana" w:cs="Arial"/>
                <w:lang w:val="es-ES"/>
              </w:rPr>
              <w:t xml:space="preserve"> cuando quienes </w:t>
            </w:r>
            <w:r w:rsidR="008E3729">
              <w:rPr>
                <w:rFonts w:ascii="Verdana" w:eastAsia="Calibri" w:hAnsi="Verdana" w:cs="Arial"/>
                <w:lang w:val="es-ES"/>
              </w:rPr>
              <w:t>tienen vínculos de parentesco hasta el segundo grado de consanguinidad</w:t>
            </w:r>
            <w:r w:rsidRPr="33F06424">
              <w:rPr>
                <w:rFonts w:ascii="Verdana" w:eastAsia="Calibri" w:hAnsi="Verdana" w:cs="Arial"/>
                <w:lang w:val="es-ES"/>
              </w:rPr>
              <w:t xml:space="preserve"> trabajan para la misma entidad contratante, uno como servidor público </w:t>
            </w:r>
            <w:r w:rsidR="001A50A3">
              <w:rPr>
                <w:rFonts w:ascii="Verdana" w:eastAsia="Calibri" w:hAnsi="Verdana" w:cs="Arial"/>
                <w:lang w:val="es-ES"/>
              </w:rPr>
              <w:t xml:space="preserve">que ejerce </w:t>
            </w:r>
            <w:r w:rsidR="008E3729">
              <w:rPr>
                <w:rFonts w:ascii="Verdana" w:eastAsia="Calibri" w:hAnsi="Verdana" w:cs="Arial"/>
                <w:lang w:val="es-ES"/>
              </w:rPr>
              <w:t>un cargo de nivel directivo en</w:t>
            </w:r>
            <w:r w:rsidR="001A50A3">
              <w:rPr>
                <w:rFonts w:ascii="Verdana" w:eastAsia="Calibri" w:hAnsi="Verdana" w:cs="Arial"/>
                <w:lang w:val="es-ES"/>
              </w:rPr>
              <w:t xml:space="preserve"> la entidad contratante</w:t>
            </w:r>
            <w:r w:rsidR="00447113">
              <w:rPr>
                <w:rFonts w:ascii="Verdana" w:eastAsia="Calibri" w:hAnsi="Verdana" w:cs="Arial"/>
                <w:lang w:val="es-ES"/>
              </w:rPr>
              <w:t xml:space="preserve">, según </w:t>
            </w:r>
            <w:r w:rsidRPr="33F06424">
              <w:rPr>
                <w:rFonts w:ascii="Verdana" w:eastAsia="Calibri" w:hAnsi="Verdana" w:cs="Arial"/>
                <w:lang w:val="es-ES"/>
              </w:rPr>
              <w:t>la norma, y el otro como contratista</w:t>
            </w:r>
            <w:r w:rsidR="00C82051">
              <w:rPr>
                <w:rFonts w:ascii="Verdana" w:eastAsia="Calibri" w:hAnsi="Verdana" w:cs="Arial"/>
                <w:lang w:val="es-ES"/>
              </w:rPr>
              <w:t>.</w:t>
            </w:r>
          </w:p>
          <w:p w14:paraId="2D4F0506" w14:textId="58BE3C5D" w:rsidR="00524BBA" w:rsidRPr="00B71F3D" w:rsidRDefault="00275235" w:rsidP="00524BBA">
            <w:pPr>
              <w:spacing w:after="120" w:line="276" w:lineRule="auto"/>
              <w:ind w:right="49" w:firstLine="709"/>
              <w:jc w:val="both"/>
              <w:rPr>
                <w:rFonts w:ascii="Verdana" w:eastAsia="Times New Roman" w:hAnsi="Verdana" w:cs="Arial"/>
                <w:lang w:val="es-ES" w:eastAsia="es-MX"/>
              </w:rPr>
            </w:pPr>
            <w:r w:rsidRPr="00275235">
              <w:rPr>
                <w:rFonts w:ascii="Verdana" w:eastAsia="Century Gothic" w:hAnsi="Verdana" w:cs="Century Gothic"/>
              </w:rPr>
              <w:t>En</w:t>
            </w:r>
            <w:r>
              <w:rPr>
                <w:rFonts w:ascii="Verdana" w:eastAsia="Calibri" w:hAnsi="Verdana" w:cs="Arial"/>
                <w:lang w:val="es-ES"/>
              </w:rPr>
              <w:t xml:space="preserve"> ese sentido,</w:t>
            </w:r>
            <w:r w:rsidR="00524BBA" w:rsidRPr="00B71F3D">
              <w:rPr>
                <w:rFonts w:ascii="Verdana" w:eastAsia="Times New Roman" w:hAnsi="Verdana" w:cs="Arial"/>
                <w:lang w:val="es-ES" w:eastAsia="es-MX"/>
              </w:rPr>
              <w:t xml:space="preserve"> </w:t>
            </w:r>
            <w:r w:rsidR="00524BBA">
              <w:rPr>
                <w:rFonts w:ascii="Verdana" w:eastAsia="Times New Roman" w:hAnsi="Verdana" w:cs="Arial"/>
                <w:lang w:val="es-ES" w:eastAsia="es-MX"/>
              </w:rPr>
              <w:t xml:space="preserve">según </w:t>
            </w:r>
            <w:r w:rsidR="00524BBA" w:rsidRPr="00B71F3D">
              <w:rPr>
                <w:rFonts w:ascii="Verdana" w:eastAsia="Times New Roman" w:hAnsi="Verdana" w:cs="Arial"/>
                <w:lang w:val="es-ES" w:eastAsia="es-MX"/>
              </w:rPr>
              <w:t>la normativa aplicable</w:t>
            </w:r>
            <w:r w:rsidR="00524BBA">
              <w:rPr>
                <w:rFonts w:ascii="Verdana" w:eastAsia="Times New Roman" w:hAnsi="Verdana" w:cs="Arial"/>
                <w:lang w:val="es-ES" w:eastAsia="es-MX"/>
              </w:rPr>
              <w:t xml:space="preserve">, </w:t>
            </w:r>
            <w:r w:rsidR="00524BBA" w:rsidRPr="00B71F3D">
              <w:rPr>
                <w:rFonts w:ascii="Verdana" w:eastAsia="Times New Roman" w:hAnsi="Verdana" w:cs="Arial"/>
                <w:lang w:val="es-ES" w:eastAsia="es-MX"/>
              </w:rPr>
              <w:t xml:space="preserve">el contratista estatal persona natural que </w:t>
            </w:r>
            <w:r w:rsidR="00FB117F">
              <w:rPr>
                <w:rFonts w:ascii="Verdana" w:eastAsia="Times New Roman" w:hAnsi="Verdana" w:cs="Arial"/>
                <w:lang w:val="es-ES" w:eastAsia="es-MX"/>
              </w:rPr>
              <w:t>vaya a celebrar</w:t>
            </w:r>
            <w:r w:rsidR="00524BBA" w:rsidRPr="00B71F3D">
              <w:rPr>
                <w:rFonts w:ascii="Verdana" w:eastAsia="Times New Roman" w:hAnsi="Verdana" w:cs="Arial"/>
                <w:lang w:val="es-ES" w:eastAsia="es-MX"/>
              </w:rPr>
              <w:t xml:space="preserve"> un contrato con una entidad estatal y </w:t>
            </w:r>
            <w:r w:rsidR="003B38FB">
              <w:rPr>
                <w:rFonts w:ascii="Verdana" w:eastAsia="Times New Roman" w:hAnsi="Verdana" w:cs="Arial"/>
                <w:lang w:val="es-ES" w:eastAsia="es-MX"/>
              </w:rPr>
              <w:t xml:space="preserve">su </w:t>
            </w:r>
            <w:r w:rsidR="00FB117F">
              <w:rPr>
                <w:rFonts w:ascii="Verdana" w:eastAsia="Times New Roman" w:hAnsi="Verdana" w:cs="Arial"/>
                <w:lang w:val="es-ES" w:eastAsia="es-MX"/>
              </w:rPr>
              <w:t>primo</w:t>
            </w:r>
            <w:r w:rsidR="003B38FB">
              <w:rPr>
                <w:rFonts w:ascii="Verdana" w:eastAsia="Times New Roman" w:hAnsi="Verdana" w:cs="Arial"/>
                <w:lang w:val="es-ES" w:eastAsia="es-MX"/>
              </w:rPr>
              <w:t xml:space="preserve"> </w:t>
            </w:r>
            <w:r w:rsidR="00FB117F">
              <w:rPr>
                <w:rFonts w:ascii="Verdana" w:eastAsia="Times New Roman" w:hAnsi="Verdana" w:cs="Arial"/>
                <w:lang w:val="es-ES" w:eastAsia="es-MX"/>
              </w:rPr>
              <w:t>pertenezca al nivel directivo de la entidad</w:t>
            </w:r>
            <w:r w:rsidR="003B38FB">
              <w:rPr>
                <w:rFonts w:ascii="Verdana" w:eastAsia="Times New Roman" w:hAnsi="Verdana" w:cs="Arial"/>
                <w:lang w:val="es-ES" w:eastAsia="es-MX"/>
              </w:rPr>
              <w:t>,</w:t>
            </w:r>
            <w:r w:rsidR="00FB117F">
              <w:rPr>
                <w:rFonts w:ascii="Verdana" w:eastAsia="Times New Roman" w:hAnsi="Verdana" w:cs="Arial"/>
                <w:lang w:val="es-ES" w:eastAsia="es-MX"/>
              </w:rPr>
              <w:t xml:space="preserve"> no</w:t>
            </w:r>
            <w:r w:rsidR="00524BBA" w:rsidRPr="00B71F3D">
              <w:rPr>
                <w:rFonts w:ascii="Verdana" w:eastAsia="Times New Roman" w:hAnsi="Verdana" w:cs="Arial"/>
                <w:lang w:val="es-ES" w:eastAsia="es-MX"/>
              </w:rPr>
              <w:t xml:space="preserve"> estará incurso en </w:t>
            </w:r>
            <w:r w:rsidR="00BF3066" w:rsidRPr="00B71F3D">
              <w:rPr>
                <w:rFonts w:ascii="Verdana" w:eastAsia="Times New Roman" w:hAnsi="Verdana" w:cs="Arial"/>
                <w:lang w:val="es-ES" w:eastAsia="es-MX"/>
              </w:rPr>
              <w:t>una inhabilidad</w:t>
            </w:r>
            <w:r w:rsidR="00203A90">
              <w:rPr>
                <w:rFonts w:ascii="Verdana" w:eastAsia="Times New Roman" w:hAnsi="Verdana" w:cs="Arial"/>
                <w:lang w:val="es-ES" w:eastAsia="es-MX"/>
              </w:rPr>
              <w:t>, debido a que ese vínculo de consanguinidad no corresponde a los comprendidos hasta el segundo grado</w:t>
            </w:r>
            <w:r w:rsidR="00524BBA" w:rsidRPr="00B71F3D">
              <w:rPr>
                <w:rFonts w:ascii="Verdana" w:eastAsia="Times New Roman" w:hAnsi="Verdana" w:cs="Arial"/>
                <w:lang w:val="es-ES" w:eastAsia="es-MX"/>
              </w:rPr>
              <w:t>.</w:t>
            </w:r>
          </w:p>
          <w:p w14:paraId="1795A3A8" w14:textId="3FF7B082" w:rsidR="00145A03" w:rsidRPr="007C1C94" w:rsidRDefault="00145A03" w:rsidP="00275235">
            <w:pPr>
              <w:spacing w:line="276" w:lineRule="auto"/>
              <w:ind w:firstLine="709"/>
              <w:jc w:val="both"/>
              <w:rPr>
                <w:rFonts w:ascii="Verdana" w:eastAsia="Calibri" w:hAnsi="Verdana" w:cs="Arial"/>
                <w:lang w:val="es-ES"/>
              </w:rPr>
            </w:pPr>
            <w:r w:rsidRPr="33F06424">
              <w:rPr>
                <w:rFonts w:ascii="Verdana" w:eastAsia="Calibri" w:hAnsi="Verdana" w:cs="Arial"/>
                <w:lang w:val="es-ES"/>
              </w:rPr>
              <w:t xml:space="preserve">En </w:t>
            </w:r>
            <w:r w:rsidRPr="00275235">
              <w:rPr>
                <w:rFonts w:ascii="Verdana" w:eastAsia="Century Gothic" w:hAnsi="Verdana" w:cs="Century Gothic"/>
              </w:rPr>
              <w:t>todo</w:t>
            </w:r>
            <w:r w:rsidRPr="33F06424">
              <w:rPr>
                <w:rFonts w:ascii="Verdana" w:eastAsia="Calibri" w:hAnsi="Verdana" w:cs="Arial"/>
                <w:lang w:val="es-ES"/>
              </w:rPr>
              <w:t xml:space="preserve"> caso, a</w:t>
            </w:r>
            <w:r w:rsidRPr="33F06424">
              <w:rPr>
                <w:rFonts w:ascii="Verdana" w:eastAsia="Calibri" w:hAnsi="Verdana" w:cs="Arial"/>
              </w:rPr>
              <w:t xml:space="preserve">l margen de la explicación precedente debe advertirse que el análisis requerido para resolver problemas específicos en torno a normas diferentes a la contratación estatal debe ser realizado por quienes tengan interés en ello, de acuerdo con lo explicado en el presente </w:t>
            </w:r>
            <w:r w:rsidR="002916B0">
              <w:rPr>
                <w:rFonts w:ascii="Verdana" w:eastAsia="Calibri" w:hAnsi="Verdana" w:cs="Arial"/>
              </w:rPr>
              <w:t>concepto</w:t>
            </w:r>
            <w:r w:rsidRPr="33F06424">
              <w:rPr>
                <w:rFonts w:ascii="Verdana" w:eastAsia="Calibri" w:hAnsi="Verdana" w:cs="Arial"/>
              </w:rPr>
              <w:t>. Por lo anterior, previo concepto de sus asesores, la solución de situaciones particulares corresponde a los interesados en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34102FB7" w14:textId="77777777" w:rsidR="00145A03" w:rsidRPr="00567EFD" w:rsidRDefault="00145A03" w:rsidP="00145A03">
      <w:pPr>
        <w:tabs>
          <w:tab w:val="left" w:pos="142"/>
          <w:tab w:val="left" w:pos="284"/>
        </w:tabs>
        <w:spacing w:after="0" w:line="276" w:lineRule="auto"/>
        <w:jc w:val="both"/>
        <w:rPr>
          <w:rFonts w:ascii="Verdana" w:eastAsia="Century Gothic" w:hAnsi="Verdana" w:cs="Century Gothic"/>
          <w:b/>
          <w:bCs/>
        </w:rPr>
      </w:pPr>
    </w:p>
    <w:p w14:paraId="6C03557F" w14:textId="77777777" w:rsidR="00145A03" w:rsidRPr="007C1C94" w:rsidRDefault="00145A03" w:rsidP="00145A0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7C1C94">
        <w:rPr>
          <w:rFonts w:ascii="Verdana" w:eastAsia="Century Gothic" w:hAnsi="Verdana" w:cs="Century Gothic"/>
          <w:b/>
          <w:bCs/>
        </w:rPr>
        <w:lastRenderedPageBreak/>
        <w:t>Razones de la</w:t>
      </w:r>
      <w:r>
        <w:rPr>
          <w:rFonts w:ascii="Verdana" w:eastAsia="Century Gothic" w:hAnsi="Verdana" w:cs="Century Gothic"/>
          <w:b/>
          <w:bCs/>
        </w:rPr>
        <w:t>s</w:t>
      </w:r>
      <w:r w:rsidRPr="007C1C94">
        <w:rPr>
          <w:rFonts w:ascii="Verdana" w:eastAsia="Century Gothic" w:hAnsi="Verdana" w:cs="Century Gothic"/>
          <w:b/>
          <w:bCs/>
        </w:rPr>
        <w:t xml:space="preserve"> respuesta</w:t>
      </w:r>
      <w:r>
        <w:rPr>
          <w:rFonts w:ascii="Verdana" w:eastAsia="Century Gothic" w:hAnsi="Verdana" w:cs="Century Gothic"/>
          <w:b/>
          <w:bCs/>
        </w:rPr>
        <w:t>s</w:t>
      </w:r>
      <w:r w:rsidRPr="007C1C94">
        <w:rPr>
          <w:rFonts w:ascii="Verdana" w:eastAsia="Century Gothic" w:hAnsi="Verdana" w:cs="Century Gothic"/>
          <w:b/>
          <w:bCs/>
        </w:rPr>
        <w:t>:</w:t>
      </w:r>
    </w:p>
    <w:p w14:paraId="56F3D70E" w14:textId="77777777" w:rsidR="00145A03" w:rsidRPr="007C1C94" w:rsidRDefault="00145A03" w:rsidP="00145A03">
      <w:pPr>
        <w:spacing w:after="0" w:line="276" w:lineRule="auto"/>
        <w:jc w:val="both"/>
        <w:rPr>
          <w:rFonts w:ascii="Verdana" w:eastAsia="Calibri" w:hAnsi="Verdana" w:cs="Arial"/>
          <w:lang w:val="es-ES"/>
        </w:rPr>
      </w:pPr>
    </w:p>
    <w:p w14:paraId="638E1FE8" w14:textId="77777777" w:rsidR="00145A03" w:rsidRPr="007C1C94" w:rsidRDefault="00145A03" w:rsidP="00145A03">
      <w:pPr>
        <w:spacing w:after="0" w:line="276" w:lineRule="auto"/>
        <w:jc w:val="both"/>
        <w:rPr>
          <w:rFonts w:ascii="Verdana" w:eastAsia="Calibri" w:hAnsi="Verdana" w:cs="Arial"/>
          <w:lang w:val="es-ES"/>
        </w:rPr>
      </w:pPr>
      <w:r w:rsidRPr="007C1C94">
        <w:rPr>
          <w:rFonts w:ascii="Verdana" w:eastAsia="Calibri" w:hAnsi="Verdana" w:cs="Arial"/>
          <w:lang w:val="es-ES"/>
        </w:rPr>
        <w:t xml:space="preserve">Lo anterior se sustenta en las siguientes consideraciones: </w:t>
      </w:r>
    </w:p>
    <w:p w14:paraId="5E6AEFBB" w14:textId="77777777" w:rsidR="00145A03" w:rsidRDefault="00145A03" w:rsidP="00145A03">
      <w:pPr>
        <w:widowControl w:val="0"/>
        <w:autoSpaceDE w:val="0"/>
        <w:autoSpaceDN w:val="0"/>
        <w:spacing w:after="0" w:line="276" w:lineRule="auto"/>
        <w:jc w:val="both"/>
        <w:rPr>
          <w:rFonts w:ascii="Verdana" w:eastAsia="Calibri" w:hAnsi="Verdana" w:cs="Arial"/>
          <w:lang w:val="es-ES"/>
        </w:rPr>
      </w:pPr>
    </w:p>
    <w:p w14:paraId="477BBAB7" w14:textId="77777777" w:rsidR="00145A03" w:rsidRPr="005E3465" w:rsidRDefault="00145A03" w:rsidP="00145A03">
      <w:pPr>
        <w:spacing w:after="120" w:line="276" w:lineRule="auto"/>
        <w:jc w:val="both"/>
        <w:rPr>
          <w:rFonts w:ascii="Verdana" w:eastAsia="Aptos" w:hAnsi="Verdana" w:cs="Arial"/>
          <w:lang w:val="es-MX"/>
        </w:rPr>
      </w:pPr>
      <w:r w:rsidRPr="005E3465">
        <w:rPr>
          <w:rFonts w:ascii="Verdana" w:eastAsia="Calibri" w:hAnsi="Verdana" w:cs="Arial"/>
          <w:lang w:val="es-ES"/>
        </w:rPr>
        <w:t xml:space="preserve">En </w:t>
      </w:r>
      <w:r w:rsidRPr="005E3465">
        <w:rPr>
          <w:rFonts w:ascii="Verdana" w:eastAsia="Calibri" w:hAnsi="Verdana" w:cs="Arial"/>
          <w:i/>
          <w:iCs/>
          <w:lang w:val="es-ES"/>
        </w:rPr>
        <w:t>primer lugar</w:t>
      </w:r>
      <w:r w:rsidRPr="005E3465">
        <w:rPr>
          <w:rFonts w:ascii="Verdana" w:eastAsia="Calibri" w:hAnsi="Verdana" w:cs="Arial"/>
          <w:lang w:val="es-ES"/>
        </w:rPr>
        <w:t>, respecto del objeto de su consulta, debe advertirse que,</w:t>
      </w:r>
      <w:r w:rsidRPr="005E3465">
        <w:rPr>
          <w:rFonts w:ascii="Verdana" w:eastAsia="Calibri" w:hAnsi="Verdana" w:cs="Arial"/>
          <w:lang w:val="es-ES_tradnl" w:eastAsia="es-ES_tradnl"/>
        </w:rPr>
        <w:t xml:space="preserve"> l</w:t>
      </w:r>
      <w:r w:rsidRPr="005E3465">
        <w:rPr>
          <w:rFonts w:ascii="Verdana" w:eastAsia="Aptos" w:hAnsi="Verdana" w:cs="Arial"/>
          <w:lang w:val="es-MX"/>
        </w:rPr>
        <w:t>as inhabilidades son circunstancias establecidas por la Constitución o en la ley que impiden que personas naturales o jurídicas sean elegidas o designadas en un cargo público o celebren contratos con el Estado, con el objetivo de garantizar la idoneidad, imparcialidad, probidad, transparencia y moralidad de la función pública, garantizando el interés general.</w:t>
      </w:r>
    </w:p>
    <w:p w14:paraId="70B6D9E4" w14:textId="77777777" w:rsidR="00145A03" w:rsidRPr="005E3465" w:rsidRDefault="00145A03" w:rsidP="00145A03">
      <w:pPr>
        <w:spacing w:after="120" w:line="276" w:lineRule="auto"/>
        <w:ind w:firstLine="708"/>
        <w:jc w:val="both"/>
        <w:rPr>
          <w:rFonts w:ascii="Verdana" w:eastAsia="Aptos" w:hAnsi="Verdana" w:cs="Arial"/>
          <w:lang w:val="es-MX"/>
        </w:rPr>
      </w:pPr>
      <w:r w:rsidRPr="005E3465">
        <w:rPr>
          <w:rFonts w:ascii="Verdana" w:eastAsia="Aptos" w:hAnsi="Verdana" w:cs="Arial"/>
          <w:lang w:val="es-MX"/>
        </w:rPr>
        <w:t xml:space="preserve">El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w:t>
      </w:r>
    </w:p>
    <w:p w14:paraId="31D1F0BF" w14:textId="77777777" w:rsidR="00145A03" w:rsidRPr="005E3465" w:rsidRDefault="00145A03" w:rsidP="00145A03">
      <w:pPr>
        <w:spacing w:before="120" w:after="0" w:line="276" w:lineRule="auto"/>
        <w:ind w:firstLine="709"/>
        <w:jc w:val="both"/>
        <w:rPr>
          <w:rFonts w:ascii="Verdana" w:eastAsia="Aptos" w:hAnsi="Verdana" w:cs="Arial"/>
          <w:lang w:val="es-MX"/>
        </w:rPr>
      </w:pPr>
      <w:r w:rsidRPr="33F06424">
        <w:rPr>
          <w:rFonts w:ascii="Verdana" w:eastAsia="Aptos" w:hAnsi="Verdana" w:cs="Arial"/>
          <w:lang w:val="es-MX"/>
        </w:rPr>
        <w:t xml:space="preserve">La consagración de limitaciones que afectan la capacidad jurídica para contratar desarrolla los principios de la función administrativa consagrados en el artículo 209 de la Constitución Política, con especial énfasis el de moralidad. Así lo entiende el Consejo de Estado: </w:t>
      </w:r>
    </w:p>
    <w:p w14:paraId="5E0D9F09" w14:textId="77777777" w:rsidR="00145A03" w:rsidRPr="005E3465" w:rsidRDefault="00145A03" w:rsidP="00145A03">
      <w:pPr>
        <w:spacing w:after="0" w:line="276" w:lineRule="auto"/>
        <w:ind w:firstLine="709"/>
        <w:jc w:val="both"/>
        <w:rPr>
          <w:rFonts w:ascii="Verdana" w:eastAsia="Aptos" w:hAnsi="Verdana" w:cs="Arial"/>
          <w:lang w:val="es-MX"/>
        </w:rPr>
      </w:pPr>
    </w:p>
    <w:p w14:paraId="4B9AF955" w14:textId="77777777" w:rsidR="00145A03" w:rsidRPr="00160B30" w:rsidRDefault="00145A03" w:rsidP="00145A03">
      <w:pPr>
        <w:shd w:val="clear" w:color="auto" w:fill="FFFFFF"/>
        <w:spacing w:after="0" w:line="240" w:lineRule="auto"/>
        <w:ind w:left="709" w:right="709"/>
        <w:contextualSpacing/>
        <w:jc w:val="both"/>
        <w:rPr>
          <w:rFonts w:ascii="Verdana" w:eastAsia="Aptos" w:hAnsi="Verdana" w:cs="Arial"/>
          <w:sz w:val="20"/>
          <w:szCs w:val="20"/>
          <w:lang w:val="es-ES"/>
        </w:rPr>
      </w:pPr>
      <w:r w:rsidRPr="00160B30">
        <w:rPr>
          <w:rFonts w:ascii="Verdana" w:eastAsia="Aptos" w:hAnsi="Verdana" w:cs="Arial"/>
          <w:sz w:val="20"/>
          <w:szCs w:val="20"/>
          <w:lang w:val="es-ES"/>
        </w:rPr>
        <w:t>De manera primordial en esta reflexión debe advertirse que la consagración legal de las incompatibilidades e inhabilidades en materia contractual, no es sino desarrollo del Principio de Moralidad que la Constitución Política consagra como uno de los rectores de la Función Administrativa, instituido en el artículo 209 de la Carta, toda vez que este 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135BFC49" w14:textId="77777777" w:rsidR="00145A03" w:rsidRPr="00160B30" w:rsidRDefault="00145A03" w:rsidP="00145A03">
      <w:pPr>
        <w:shd w:val="clear" w:color="auto" w:fill="FFFFFF"/>
        <w:spacing w:after="0" w:line="240" w:lineRule="auto"/>
        <w:ind w:left="709" w:right="709"/>
        <w:contextualSpacing/>
        <w:jc w:val="both"/>
        <w:rPr>
          <w:rFonts w:ascii="Verdana" w:eastAsia="Aptos" w:hAnsi="Verdana" w:cs="Arial"/>
          <w:sz w:val="20"/>
          <w:szCs w:val="20"/>
          <w:lang w:val="es-ES"/>
        </w:rPr>
      </w:pPr>
    </w:p>
    <w:p w14:paraId="4AEA3E28" w14:textId="77777777" w:rsidR="00145A03" w:rsidRPr="00160B30" w:rsidRDefault="00145A03" w:rsidP="00145A03">
      <w:pPr>
        <w:shd w:val="clear" w:color="auto" w:fill="FFFFFF"/>
        <w:spacing w:after="0" w:line="240" w:lineRule="auto"/>
        <w:ind w:left="709" w:right="709"/>
        <w:contextualSpacing/>
        <w:jc w:val="both"/>
        <w:rPr>
          <w:rFonts w:ascii="Verdana" w:eastAsia="Aptos" w:hAnsi="Verdana" w:cs="Arial"/>
          <w:sz w:val="20"/>
          <w:szCs w:val="20"/>
          <w:lang w:val="es-ES"/>
        </w:rPr>
      </w:pPr>
      <w:r w:rsidRPr="00160B30">
        <w:rPr>
          <w:rFonts w:ascii="Verdana" w:eastAsia="Aptos" w:hAnsi="Verdana" w:cs="Arial"/>
          <w:sz w:val="20"/>
          <w:szCs w:val="20"/>
          <w:lang w:val="es-ES"/>
        </w:rPr>
        <w:t xml:space="preserve">Adicionalmente, toda vez que la Jurisprudencia Constitucional se ha referido a la protección del Interés General como causa que legitima la estructuración legal de las incompatibilidades e inhabilidades, se puede precisar que la regulación de sus causales para contratar con el Estado 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determinados potenciales contratistas, la cual se impone entonces por </w:t>
      </w:r>
      <w:r w:rsidRPr="00160B30">
        <w:rPr>
          <w:rFonts w:ascii="Verdana" w:eastAsia="Aptos" w:hAnsi="Verdana" w:cs="Arial"/>
          <w:sz w:val="20"/>
          <w:szCs w:val="20"/>
          <w:lang w:val="es-ES"/>
        </w:rPr>
        <w:lastRenderedPageBreak/>
        <w:t>razón de ese fin de interés general como regla legal prevalente, esto es que puede ser impuesta sobre el derecho individual a contratar con el Estado</w:t>
      </w:r>
      <w:r w:rsidRPr="00160B30">
        <w:rPr>
          <w:rFonts w:ascii="Verdana" w:eastAsia="Aptos" w:hAnsi="Verdana" w:cs="Arial"/>
          <w:sz w:val="20"/>
          <w:szCs w:val="20"/>
          <w:vertAlign w:val="superscript"/>
          <w:lang w:val="es-ES"/>
        </w:rPr>
        <w:footnoteReference w:id="1"/>
      </w:r>
      <w:r w:rsidRPr="00160B30">
        <w:rPr>
          <w:rFonts w:ascii="Verdana" w:eastAsia="Aptos" w:hAnsi="Verdana" w:cs="Arial"/>
          <w:sz w:val="20"/>
          <w:szCs w:val="20"/>
          <w:lang w:val="es-ES"/>
        </w:rPr>
        <w:t xml:space="preserve">. </w:t>
      </w:r>
    </w:p>
    <w:p w14:paraId="175F62DE" w14:textId="77777777" w:rsidR="00145A03" w:rsidRPr="005E3465" w:rsidRDefault="00145A03" w:rsidP="00145A03">
      <w:pPr>
        <w:spacing w:after="0" w:line="276" w:lineRule="auto"/>
        <w:jc w:val="both"/>
        <w:rPr>
          <w:rFonts w:ascii="Verdana" w:eastAsia="Aptos" w:hAnsi="Verdana" w:cs="Arial"/>
          <w:lang w:val="es-MX"/>
        </w:rPr>
      </w:pPr>
    </w:p>
    <w:p w14:paraId="4160AC6D" w14:textId="77777777" w:rsidR="00145A03" w:rsidRPr="005E3465" w:rsidRDefault="00145A03" w:rsidP="00145A03">
      <w:pPr>
        <w:spacing w:after="120" w:line="276" w:lineRule="auto"/>
        <w:ind w:firstLine="709"/>
        <w:jc w:val="both"/>
        <w:rPr>
          <w:rFonts w:ascii="Verdana" w:eastAsia="Times New Roman" w:hAnsi="Verdana" w:cs="Arial"/>
          <w:lang w:eastAsia="es-MX"/>
        </w:rPr>
      </w:pPr>
      <w:r w:rsidRPr="005E3465">
        <w:rPr>
          <w:rFonts w:ascii="Verdana" w:eastAsia="Aptos" w:hAnsi="Verdana" w:cs="Arial"/>
          <w:lang w:val="es-MX"/>
        </w:rPr>
        <w:t xml:space="preserve">Conforme lo anterior, se puede afirmar que las inhabilidades son medios que garantizan la transparencia y eficiencia en la actividad contractual del Estado, imponiendo restricciones en la personalidad jurídica, la igualdad, la libre empresa y, particularmente, en el derecho a participar en procesos de selección y celebrar contratos con el Estado. </w:t>
      </w:r>
    </w:p>
    <w:p w14:paraId="34C399E8" w14:textId="77777777" w:rsidR="00145A03" w:rsidRPr="005E3465" w:rsidRDefault="00145A03" w:rsidP="00145A03">
      <w:pPr>
        <w:spacing w:after="120" w:line="276" w:lineRule="auto"/>
        <w:ind w:firstLine="709"/>
        <w:jc w:val="both"/>
        <w:rPr>
          <w:rFonts w:ascii="Verdana" w:eastAsia="Times New Roman" w:hAnsi="Verdana" w:cs="Arial"/>
          <w:lang w:eastAsia="es-MX"/>
        </w:rPr>
      </w:pPr>
      <w:r w:rsidRPr="005E3465">
        <w:rPr>
          <w:rFonts w:ascii="Verdana" w:eastAsia="Times New Roman" w:hAnsi="Verdana" w:cs="Arial"/>
          <w:lang w:eastAsia="es-MX"/>
        </w:rPr>
        <w:t xml:space="preserve">Conviene también distinguir las fuentes de las inhabilidades, las cuales han sido clasificadas en dos (2) grupos: i) inhabilidades-sanción y </w:t>
      </w:r>
      <w:proofErr w:type="spellStart"/>
      <w:r w:rsidRPr="005E3465">
        <w:rPr>
          <w:rFonts w:ascii="Verdana" w:eastAsia="Times New Roman" w:hAnsi="Verdana" w:cs="Arial"/>
          <w:lang w:eastAsia="es-MX"/>
        </w:rPr>
        <w:t>ii</w:t>
      </w:r>
      <w:proofErr w:type="spellEnd"/>
      <w:r w:rsidRPr="005E3465">
        <w:rPr>
          <w:rFonts w:ascii="Verdana" w:eastAsia="Times New Roman" w:hAnsi="Verdana" w:cs="Arial"/>
          <w:lang w:eastAsia="es-MX"/>
        </w:rPr>
        <w:t xml:space="preserve">) inhabilidades-requisito. En el </w:t>
      </w:r>
      <w:r w:rsidRPr="005E3465">
        <w:rPr>
          <w:rFonts w:ascii="Verdana" w:eastAsia="Times New Roman" w:hAnsi="Verdana" w:cs="Arial"/>
          <w:i/>
          <w:iCs/>
          <w:lang w:eastAsia="es-MX"/>
        </w:rPr>
        <w:t>primer</w:t>
      </w:r>
      <w:r w:rsidRPr="005E3465">
        <w:rPr>
          <w:rFonts w:ascii="Verdana" w:eastAsia="Times New Roman" w:hAnsi="Verdana" w:cs="Arial"/>
          <w:lang w:eastAsia="es-MX"/>
        </w:rPr>
        <w:t xml:space="preserve"> grupo se encuentran las inhabilidades que surgen como consecuencia de un proceso sancionatorio, en los ámbitos penal, disciplinario, contravencional o de pérdida de investidura. En el </w:t>
      </w:r>
      <w:r w:rsidRPr="005E3465">
        <w:rPr>
          <w:rFonts w:ascii="Verdana" w:eastAsia="Times New Roman" w:hAnsi="Verdana" w:cs="Arial"/>
          <w:i/>
          <w:iCs/>
          <w:lang w:eastAsia="es-MX"/>
        </w:rPr>
        <w:t>segundo</w:t>
      </w:r>
      <w:r w:rsidRPr="005E3465">
        <w:rPr>
          <w:rFonts w:ascii="Verdana" w:eastAsia="Times New Roman" w:hAnsi="Verdana" w:cs="Arial"/>
          <w:lang w:eastAsia="es-MX"/>
        </w:rPr>
        <w:t xml:space="preserve"> grupo están aquellas que no devienen de un proceso sancionatorio, sino de condiciones propias de la persona y garantizan la moralidad, la imparcialidad, la eficacia y la transparencia</w:t>
      </w:r>
      <w:r w:rsidRPr="005E3465">
        <w:rPr>
          <w:rFonts w:ascii="Verdana" w:eastAsia="Times New Roman" w:hAnsi="Verdana" w:cs="Arial"/>
          <w:vertAlign w:val="superscript"/>
          <w:lang w:eastAsia="es-MX"/>
        </w:rPr>
        <w:footnoteReference w:id="2"/>
      </w:r>
      <w:r w:rsidRPr="005E3465">
        <w:rPr>
          <w:rFonts w:ascii="Verdana" w:eastAsia="Times New Roman" w:hAnsi="Verdana" w:cs="Arial"/>
          <w:lang w:eastAsia="es-MX"/>
        </w:rPr>
        <w:t xml:space="preserve">. </w:t>
      </w:r>
    </w:p>
    <w:p w14:paraId="4EF4179F" w14:textId="77777777" w:rsidR="00145A03" w:rsidRPr="005E3465" w:rsidRDefault="00145A03" w:rsidP="00145A03">
      <w:pPr>
        <w:spacing w:after="120" w:line="276" w:lineRule="auto"/>
        <w:ind w:firstLine="708"/>
        <w:jc w:val="both"/>
        <w:rPr>
          <w:rFonts w:ascii="Verdana" w:eastAsia="Times New Roman" w:hAnsi="Verdana" w:cs="Arial"/>
          <w:lang w:eastAsia="es-MX"/>
        </w:rPr>
      </w:pPr>
      <w:r w:rsidRPr="005E3465">
        <w:rPr>
          <w:rFonts w:ascii="Verdana" w:eastAsia="Times New Roman" w:hAnsi="Verdana" w:cs="Arial"/>
          <w:lang w:eastAsia="es-MX"/>
        </w:rPr>
        <w:t xml:space="preserve">A manera de ejemplo, en materia contractual, los literales c), d) y j) del numeral 1° del artículo 8 de la Ley 80 de 1993 establecen inhabilidades-sanción, porque la prohibición para contratar con el Estado en esos eventos es una consecuencia de una declaratoria de responsabilidad que surge luego de un proceso sancionatorio –administrativo, disciplinario o penal–. Las inhabilidades de los literales f), g) y h) del numeral 1° de la norma citada establecen inhabilidades–requisito, pues no se configuran por la comisión previa de una falta o un delito que dio lugar a una declaratoria por parte de la Administración o el juez, sino de aspectos propios de la persona, derivados, por ejemplo, del parentesco o la afinidad o de la condición de servidor público. </w:t>
      </w:r>
    </w:p>
    <w:p w14:paraId="053B0D66" w14:textId="77777777" w:rsidR="00145A03" w:rsidRPr="005E3465" w:rsidRDefault="00145A03" w:rsidP="00145A03">
      <w:pPr>
        <w:spacing w:after="120" w:line="276" w:lineRule="auto"/>
        <w:ind w:firstLine="709"/>
        <w:jc w:val="both"/>
        <w:rPr>
          <w:rFonts w:ascii="Verdana" w:eastAsia="Times New Roman" w:hAnsi="Verdana" w:cs="Arial"/>
          <w:lang w:eastAsia="es-MX"/>
        </w:rPr>
      </w:pPr>
      <w:r w:rsidRPr="005E3465">
        <w:rPr>
          <w:rFonts w:ascii="Verdana" w:eastAsia="Times New Roman" w:hAnsi="Verdana" w:cs="Arial"/>
          <w:lang w:eastAsia="es-MX"/>
        </w:rPr>
        <w:t xml:space="preserve">En ambos eventos, la inhabilidad tiene como fuente una situación o un hecho propio del proponente –una conducta o una condición– ajena a la oferta. La inhabilidad surge, entre otros, por su grado de parentesco o afinidad, por su condición de servidor público o por una declaratoria de responsabilidad penal, disciplinaria o sancionatoria contractual sobre él. </w:t>
      </w:r>
    </w:p>
    <w:p w14:paraId="457DC557" w14:textId="77777777" w:rsidR="00145A03" w:rsidRPr="005E3465" w:rsidRDefault="00145A03" w:rsidP="00145A03">
      <w:pPr>
        <w:spacing w:after="120" w:line="276" w:lineRule="auto"/>
        <w:ind w:firstLine="709"/>
        <w:jc w:val="both"/>
        <w:rPr>
          <w:rFonts w:ascii="Verdana" w:eastAsia="Calibri" w:hAnsi="Verdana" w:cs="Arial"/>
          <w:color w:val="000000"/>
          <w:lang w:val="es-ES_tradnl" w:eastAsia="es-ES_tradnl"/>
        </w:rPr>
      </w:pPr>
      <w:r w:rsidRPr="005E3465">
        <w:rPr>
          <w:rFonts w:ascii="Verdana" w:eastAsia="Calibri" w:hAnsi="Verdana" w:cs="Arial"/>
          <w:color w:val="000000"/>
          <w:lang w:val="es-ES_tradnl" w:eastAsia="es-ES_tradnl"/>
        </w:rPr>
        <w:lastRenderedPageBreak/>
        <w:t xml:space="preserve">Ahora bien, las inhabilidades e incompatibilidades al ser restricciones o límites especiales a la capacidad para presentar ofertas y celebrar contratos estatales, solo pueden tipificarse en la ley –o sea, deben satisfacer el principio de legalidad– y su interpretación debe ser </w:t>
      </w:r>
      <w:r w:rsidRPr="005E3465">
        <w:rPr>
          <w:rFonts w:ascii="Verdana" w:eastAsia="Calibri" w:hAnsi="Verdana" w:cs="Arial"/>
          <w:i/>
          <w:iCs/>
          <w:color w:val="000000"/>
          <w:lang w:val="es-ES_tradnl" w:eastAsia="es-ES_tradnl"/>
        </w:rPr>
        <w:t>restrictiva</w:t>
      </w:r>
      <w:r w:rsidRPr="005E3465">
        <w:rPr>
          <w:rFonts w:ascii="Verdana" w:eastAsia="Aptos" w:hAnsi="Verdana" w:cs="Times New Roman"/>
          <w:vertAlign w:val="superscript"/>
        </w:rPr>
        <w:footnoteReference w:id="3"/>
      </w:r>
      <w:r w:rsidRPr="005E3465">
        <w:rPr>
          <w:rFonts w:ascii="Verdana" w:eastAsia="Calibri" w:hAnsi="Verdana" w:cs="Arial"/>
          <w:color w:val="000000"/>
          <w:lang w:eastAsia="es-ES_tradnl"/>
        </w:rPr>
        <w:t>. S</w:t>
      </w:r>
      <w:r w:rsidRPr="005E3465">
        <w:rPr>
          <w:rFonts w:ascii="Verdana" w:eastAsia="Calibri" w:hAnsi="Verdana" w:cs="Arial"/>
          <w:color w:val="000000"/>
          <w:lang w:val="es-ES_tradnl" w:eastAsia="es-ES_tradnl"/>
        </w:rPr>
        <w:t xml:space="preserve">i se admitiera una interpretación amplia, extensiva o finalista de las mismas, tales enunciados normativos podrían contemplar múltiples supuestos indeterminados, según el parecer o el sentido común de los operadores jurídicos, poniendo en riesgo principios como la igualdad, el debido proceso, la libre concurrencia y el ejercicio de la profesión u oficio. </w:t>
      </w:r>
    </w:p>
    <w:p w14:paraId="050878CB" w14:textId="77777777" w:rsidR="00145A03" w:rsidRPr="005E3465" w:rsidRDefault="00145A03" w:rsidP="00145A03">
      <w:pPr>
        <w:spacing w:after="120" w:line="276" w:lineRule="auto"/>
        <w:ind w:firstLine="709"/>
        <w:jc w:val="both"/>
        <w:rPr>
          <w:rFonts w:ascii="Verdana" w:eastAsia="Calibri" w:hAnsi="Verdana" w:cs="Arial"/>
          <w:color w:val="000000"/>
          <w:lang w:val="es-ES_tradnl" w:eastAsia="es-ES_tradnl"/>
        </w:rPr>
      </w:pPr>
      <w:r w:rsidRPr="005E3465">
        <w:rPr>
          <w:rFonts w:ascii="Verdana" w:eastAsia="Calibri" w:hAnsi="Verdana" w:cs="Arial"/>
          <w:color w:val="000000"/>
          <w:lang w:val="es-ES_tradnl" w:eastAsia="es-ES_tradnl"/>
        </w:rPr>
        <w:t xml:space="preserve">Tal ha sido la postura al interior de la jurisprudencia, tanto de la Corte Constitucional como de la Sección Tercera del Consejo de Estado. En efecto, el máximo tribunal constitucional ha indicado que, al precisar el sentido de este tipo de normas, </w:t>
      </w:r>
      <w:r w:rsidRPr="00160B30">
        <w:rPr>
          <w:rFonts w:ascii="Verdana" w:eastAsia="Calibri" w:hAnsi="Verdana" w:cs="Arial"/>
          <w:i/>
          <w:iCs/>
          <w:color w:val="000000"/>
          <w:lang w:val="es-ES_tradnl" w:eastAsia="es-ES_tradnl"/>
        </w:rPr>
        <w:t>“[…]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r w:rsidRPr="005E3465">
        <w:rPr>
          <w:rFonts w:ascii="Verdana" w:eastAsia="Aptos" w:hAnsi="Verdana" w:cs="Times New Roman"/>
          <w:vertAlign w:val="superscript"/>
        </w:rPr>
        <w:footnoteReference w:id="4"/>
      </w:r>
      <w:r w:rsidRPr="005E3465">
        <w:rPr>
          <w:rFonts w:ascii="Verdana" w:eastAsia="Calibri" w:hAnsi="Verdana" w:cs="Arial"/>
          <w:color w:val="000000"/>
          <w:lang w:val="es-ES_tradnl" w:eastAsia="es-ES_tradnl"/>
        </w:rPr>
        <w:t xml:space="preserve">. </w:t>
      </w:r>
    </w:p>
    <w:p w14:paraId="310EC396" w14:textId="77777777" w:rsidR="00145A03" w:rsidRPr="005E3465" w:rsidRDefault="00145A03" w:rsidP="00145A03">
      <w:pPr>
        <w:spacing w:after="0" w:line="276" w:lineRule="auto"/>
        <w:ind w:firstLine="709"/>
        <w:jc w:val="both"/>
        <w:rPr>
          <w:rFonts w:ascii="Verdana" w:eastAsia="Calibri" w:hAnsi="Verdana" w:cs="Arial"/>
          <w:color w:val="000000"/>
          <w:lang w:val="es-ES_tradnl" w:eastAsia="es-ES_tradnl"/>
        </w:rPr>
      </w:pPr>
      <w:r w:rsidRPr="005E3465">
        <w:rPr>
          <w:rFonts w:ascii="Verdana" w:eastAsia="Calibri" w:hAnsi="Verdana" w:cs="Arial"/>
          <w:color w:val="000000"/>
          <w:lang w:val="es-ES_tradnl" w:eastAsia="es-ES_tradnl"/>
        </w:rPr>
        <w:t xml:space="preserve">Por su parte, el Consejo de Estado ha acogido también este criterio, considerando –como expresa la Sala de Consulta y Servicio Civil– que </w:t>
      </w:r>
      <w:r w:rsidRPr="00E45F63">
        <w:rPr>
          <w:rFonts w:ascii="Verdana" w:eastAsia="Calibri" w:hAnsi="Verdana" w:cs="Arial"/>
          <w:i/>
          <w:iCs/>
          <w:color w:val="000000"/>
          <w:lang w:val="es-ES_tradnl" w:eastAsia="es-ES_tradnl"/>
        </w:rPr>
        <w:t>“La interpretación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r w:rsidRPr="005E3465">
        <w:rPr>
          <w:rFonts w:ascii="Verdana" w:eastAsia="Aptos" w:hAnsi="Verdana" w:cs="Times New Roman"/>
          <w:vertAlign w:val="superscript"/>
        </w:rPr>
        <w:footnoteReference w:id="5"/>
      </w:r>
      <w:r w:rsidRPr="005E3465">
        <w:rPr>
          <w:rFonts w:ascii="Verdana" w:eastAsia="Calibri" w:hAnsi="Verdana" w:cs="Arial"/>
          <w:color w:val="000000"/>
          <w:lang w:val="es-ES_tradnl" w:eastAsia="es-ES_tradnl"/>
        </w:rPr>
        <w:t>. En tal sentido, la Sección Tercera ha señalado que:</w:t>
      </w:r>
    </w:p>
    <w:p w14:paraId="1E72220B" w14:textId="77777777" w:rsidR="00145A03" w:rsidRPr="005E3465" w:rsidRDefault="00145A03" w:rsidP="00145A03">
      <w:pPr>
        <w:spacing w:after="0" w:line="276" w:lineRule="auto"/>
        <w:ind w:firstLine="709"/>
        <w:jc w:val="both"/>
        <w:rPr>
          <w:rFonts w:ascii="Verdana" w:eastAsia="Calibri" w:hAnsi="Verdana" w:cs="Arial"/>
          <w:color w:val="000000"/>
          <w:lang w:val="es-ES_tradnl" w:eastAsia="es-ES_tradnl"/>
        </w:rPr>
      </w:pPr>
    </w:p>
    <w:p w14:paraId="1B90BD97" w14:textId="77777777" w:rsidR="00145A03" w:rsidRPr="00160B30" w:rsidRDefault="00145A03" w:rsidP="00145A03">
      <w:pPr>
        <w:spacing w:after="0" w:line="240" w:lineRule="auto"/>
        <w:ind w:left="709" w:right="709"/>
        <w:jc w:val="both"/>
        <w:rPr>
          <w:rFonts w:ascii="Verdana" w:eastAsia="Times New Roman" w:hAnsi="Verdana" w:cs="Arial"/>
          <w:bCs/>
          <w:color w:val="000000"/>
          <w:sz w:val="20"/>
          <w:szCs w:val="20"/>
          <w:lang w:val="es-ES_tradnl" w:eastAsia="es-ES_tradnl"/>
        </w:rPr>
      </w:pPr>
      <w:r w:rsidRPr="00160B30">
        <w:rPr>
          <w:rFonts w:ascii="Verdana" w:eastAsia="Times New Roman" w:hAnsi="Verdana" w:cs="Arial"/>
          <w:color w:val="000000"/>
          <w:sz w:val="20"/>
          <w:szCs w:val="20"/>
          <w:lang w:val="es-ES_tradnl" w:eastAsia="es-ES_tradnl"/>
        </w:rPr>
        <w:t xml:space="preserve">[…] de conformidad con la jurisprudencia uniforme y reiterada de esta Corporación, la aplicación de las normas que contemplan inhabilidades e incompatibilidades, como en general de todas aquellas que comportan prohibiciones o limitaciones, deben responder a una interpretación </w:t>
      </w:r>
      <w:r w:rsidRPr="00160B30">
        <w:rPr>
          <w:rFonts w:ascii="Verdana" w:eastAsia="Times New Roman" w:hAnsi="Verdana" w:cs="Arial"/>
          <w:color w:val="000000"/>
          <w:sz w:val="20"/>
          <w:szCs w:val="20"/>
          <w:lang w:val="es-ES_tradnl" w:eastAsia="es-ES_tradnl"/>
        </w:rPr>
        <w:lastRenderedPageBreak/>
        <w:t>restrictiva que no permite su extensión, por vía de la figura de la analogía, a supuestos no contemplados por el ordenamiento</w:t>
      </w:r>
      <w:r w:rsidRPr="00160B30">
        <w:rPr>
          <w:rFonts w:ascii="Verdana" w:eastAsia="Aptos" w:hAnsi="Verdana" w:cs="Times New Roman"/>
          <w:sz w:val="20"/>
          <w:szCs w:val="20"/>
          <w:vertAlign w:val="superscript"/>
        </w:rPr>
        <w:footnoteReference w:id="6"/>
      </w:r>
      <w:r w:rsidRPr="00160B30">
        <w:rPr>
          <w:rFonts w:ascii="Verdana" w:eastAsia="Times New Roman" w:hAnsi="Verdana" w:cs="Arial"/>
          <w:color w:val="000000"/>
          <w:sz w:val="20"/>
          <w:szCs w:val="20"/>
          <w:lang w:val="es-ES_tradnl" w:eastAsia="es-ES_tradnl"/>
        </w:rPr>
        <w:t>.</w:t>
      </w:r>
    </w:p>
    <w:p w14:paraId="1AC6092C" w14:textId="77777777" w:rsidR="00145A03" w:rsidRPr="00160B30" w:rsidRDefault="00145A03" w:rsidP="00145A03">
      <w:pPr>
        <w:spacing w:after="0" w:line="240" w:lineRule="auto"/>
        <w:ind w:left="709" w:right="709"/>
        <w:jc w:val="both"/>
        <w:rPr>
          <w:rFonts w:ascii="Verdana" w:eastAsia="Times New Roman" w:hAnsi="Verdana" w:cs="Arial"/>
          <w:bCs/>
          <w:color w:val="000000"/>
          <w:sz w:val="20"/>
          <w:szCs w:val="20"/>
          <w:lang w:val="es-ES_tradnl" w:eastAsia="es-ES_tradnl"/>
        </w:rPr>
      </w:pPr>
    </w:p>
    <w:p w14:paraId="3A5AA31E" w14:textId="77777777" w:rsidR="00145A03" w:rsidRPr="00160B30" w:rsidRDefault="00145A03" w:rsidP="00145A03">
      <w:pPr>
        <w:spacing w:after="0" w:line="240" w:lineRule="auto"/>
        <w:ind w:left="709" w:right="709"/>
        <w:jc w:val="both"/>
        <w:rPr>
          <w:rFonts w:ascii="Verdana" w:eastAsia="Times New Roman" w:hAnsi="Verdana" w:cs="Arial"/>
          <w:bCs/>
          <w:color w:val="000000"/>
          <w:sz w:val="20"/>
          <w:szCs w:val="20"/>
          <w:lang w:val="es-ES_tradnl" w:eastAsia="es-ES_tradnl"/>
        </w:rPr>
      </w:pPr>
      <w:r w:rsidRPr="00160B30">
        <w:rPr>
          <w:rFonts w:ascii="Verdana" w:eastAsia="Calibri" w:hAnsi="Verdana" w:cs="Arial"/>
          <w:color w:val="000000"/>
          <w:sz w:val="20"/>
          <w:szCs w:val="20"/>
          <w:lang w:val="es-ES_tradnl" w:eastAsia="es-ES_tradnl"/>
        </w:rPr>
        <w:t>También ha dicho que:</w:t>
      </w:r>
    </w:p>
    <w:p w14:paraId="42309056" w14:textId="77777777" w:rsidR="00145A03" w:rsidRPr="00160B30" w:rsidRDefault="00145A03" w:rsidP="00145A03">
      <w:pPr>
        <w:spacing w:after="0" w:line="240" w:lineRule="auto"/>
        <w:ind w:left="709" w:right="709" w:firstLine="709"/>
        <w:jc w:val="both"/>
        <w:rPr>
          <w:rFonts w:ascii="Verdana" w:eastAsia="Calibri" w:hAnsi="Verdana" w:cs="Arial"/>
          <w:color w:val="000000"/>
          <w:sz w:val="20"/>
          <w:szCs w:val="20"/>
          <w:lang w:val="es-ES_tradnl" w:eastAsia="es-ES_tradnl"/>
        </w:rPr>
      </w:pPr>
    </w:p>
    <w:p w14:paraId="5C1E164C" w14:textId="77777777" w:rsidR="00145A03" w:rsidRPr="00160B30" w:rsidRDefault="00145A03" w:rsidP="00145A03">
      <w:pPr>
        <w:spacing w:after="0" w:line="240" w:lineRule="auto"/>
        <w:ind w:left="709" w:right="709"/>
        <w:jc w:val="both"/>
        <w:rPr>
          <w:rFonts w:ascii="Verdana" w:eastAsia="Times New Roman" w:hAnsi="Verdana" w:cs="Arial"/>
          <w:color w:val="000000"/>
          <w:sz w:val="20"/>
          <w:szCs w:val="20"/>
          <w:lang w:val="es-ES_tradnl" w:eastAsia="es-ES_tradnl"/>
        </w:rPr>
      </w:pPr>
      <w:r w:rsidRPr="00160B30">
        <w:rPr>
          <w:rFonts w:ascii="Verdana" w:eastAsia="Times New Roman" w:hAnsi="Verdana" w:cs="Arial"/>
          <w:color w:val="000000"/>
          <w:sz w:val="20"/>
          <w:szCs w:val="20"/>
          <w:lang w:val="es-ES_tradnl" w:eastAsia="es-ES_tradnl"/>
        </w:rPr>
        <w:t xml:space="preserve">[…] la aplicación de estos preceptos exige una interpretación restrictiva, dado que según el principio hermenéutico </w:t>
      </w:r>
      <w:r w:rsidRPr="00160B30">
        <w:rPr>
          <w:rFonts w:ascii="Verdana" w:eastAsia="Times New Roman" w:hAnsi="Verdana" w:cs="Arial"/>
          <w:i/>
          <w:iCs/>
          <w:color w:val="000000"/>
          <w:sz w:val="20"/>
          <w:szCs w:val="20"/>
          <w:lang w:val="es-ES_tradnl" w:eastAsia="es-ES_tradnl"/>
        </w:rPr>
        <w:t xml:space="preserve">pro </w:t>
      </w:r>
      <w:proofErr w:type="spellStart"/>
      <w:r w:rsidRPr="00160B30">
        <w:rPr>
          <w:rFonts w:ascii="Verdana" w:eastAsia="Times New Roman" w:hAnsi="Verdana" w:cs="Arial"/>
          <w:i/>
          <w:iCs/>
          <w:color w:val="000000"/>
          <w:sz w:val="20"/>
          <w:szCs w:val="20"/>
          <w:lang w:val="es-ES_tradnl" w:eastAsia="es-ES_tradnl"/>
        </w:rPr>
        <w:t>libertate</w:t>
      </w:r>
      <w:proofErr w:type="spellEnd"/>
      <w:r w:rsidRPr="00160B30">
        <w:rPr>
          <w:rFonts w:ascii="Verdana" w:eastAsia="Times New Roman" w:hAnsi="Verdana" w:cs="Arial"/>
          <w:color w:val="000000"/>
          <w:sz w:val="20"/>
          <w:szCs w:val="20"/>
          <w:lang w:val="es-ES_tradnl" w:eastAsia="es-ES_tradnl"/>
        </w:rPr>
        <w:t>, entre varias interpretaciones posibles de una norma que regula una inhabilidad, debe preferirse aquella que menos limita el derecho de las personas; en otros términos, se encuentra prohibida constitucionalmente la interpretación extensiva de las causales de inhabilidad, toda vez que las palabras de la ley son la frontera que no se puede traspasar en el ejercicio hermenéutico de las mismas, pues de hacerlo se vulnerarían los derechos fundamentales al debido proceso (art. 29 CN) y a la igualdad (art. 13 Ibid.); […]</w:t>
      </w:r>
      <w:r w:rsidRPr="00160B30">
        <w:rPr>
          <w:rFonts w:ascii="Verdana" w:eastAsia="Aptos" w:hAnsi="Verdana" w:cs="Times New Roman"/>
          <w:sz w:val="20"/>
          <w:szCs w:val="20"/>
          <w:vertAlign w:val="superscript"/>
        </w:rPr>
        <w:footnoteReference w:id="7"/>
      </w:r>
      <w:r w:rsidRPr="00160B30">
        <w:rPr>
          <w:rFonts w:ascii="Verdana" w:eastAsia="Times New Roman" w:hAnsi="Verdana" w:cs="Arial"/>
          <w:color w:val="000000"/>
          <w:sz w:val="20"/>
          <w:szCs w:val="20"/>
          <w:lang w:val="es-ES_tradnl" w:eastAsia="es-ES_tradnl"/>
        </w:rPr>
        <w:t>.</w:t>
      </w:r>
    </w:p>
    <w:p w14:paraId="094A4066" w14:textId="77777777" w:rsidR="00145A03" w:rsidRPr="005E3465" w:rsidRDefault="00145A03" w:rsidP="00145A03">
      <w:pPr>
        <w:spacing w:after="0" w:line="276" w:lineRule="auto"/>
        <w:jc w:val="both"/>
        <w:rPr>
          <w:rFonts w:ascii="Verdana" w:eastAsia="Calibri" w:hAnsi="Verdana" w:cs="Arial"/>
          <w:color w:val="000000"/>
          <w:lang w:val="es-ES_tradnl" w:eastAsia="es-ES_tradnl"/>
        </w:rPr>
      </w:pPr>
    </w:p>
    <w:p w14:paraId="009533EB" w14:textId="77777777" w:rsidR="00145A03" w:rsidRPr="005E3465" w:rsidRDefault="00145A03" w:rsidP="33F06424">
      <w:pPr>
        <w:spacing w:after="120" w:line="276" w:lineRule="auto"/>
        <w:ind w:firstLine="709"/>
        <w:jc w:val="both"/>
        <w:rPr>
          <w:rFonts w:ascii="Verdana" w:eastAsia="Times New Roman" w:hAnsi="Verdana" w:cs="Arial"/>
          <w:color w:val="000000"/>
          <w:shd w:val="clear" w:color="auto" w:fill="FFFFFF"/>
          <w:lang w:val="es-ES" w:eastAsia="es-ES"/>
        </w:rPr>
      </w:pPr>
      <w:r w:rsidRPr="33F06424">
        <w:rPr>
          <w:rFonts w:ascii="Verdana" w:eastAsia="Calibri" w:hAnsi="Verdana" w:cs="Arial"/>
          <w:color w:val="000000"/>
          <w:lang w:val="es-ES" w:eastAsia="es-ES"/>
        </w:rPr>
        <w:t xml:space="preserve">Como se aprecia, el principio </w:t>
      </w:r>
      <w:r w:rsidRPr="33F06424">
        <w:rPr>
          <w:rFonts w:ascii="Verdana" w:eastAsia="Calibri" w:hAnsi="Verdana" w:cs="Arial"/>
          <w:i/>
          <w:iCs/>
          <w:color w:val="000000"/>
          <w:lang w:val="es-ES" w:eastAsia="es-ES"/>
        </w:rPr>
        <w:t xml:space="preserve">pro </w:t>
      </w:r>
      <w:proofErr w:type="spellStart"/>
      <w:r w:rsidRPr="33F06424">
        <w:rPr>
          <w:rFonts w:ascii="Verdana" w:eastAsia="Calibri" w:hAnsi="Verdana" w:cs="Arial"/>
          <w:i/>
          <w:iCs/>
          <w:color w:val="000000"/>
          <w:lang w:val="es-ES" w:eastAsia="es-ES"/>
        </w:rPr>
        <w:t>libertate</w:t>
      </w:r>
      <w:proofErr w:type="spellEnd"/>
      <w:r w:rsidRPr="33F06424">
        <w:rPr>
          <w:rFonts w:ascii="Verdana" w:eastAsia="Calibri" w:hAnsi="Verdana" w:cs="Arial"/>
          <w:color w:val="000000"/>
          <w:lang w:val="es-ES" w:eastAsia="es-ES"/>
        </w:rPr>
        <w:t xml:space="preserve"> es el que debe dirigir la interpretación de las disposiciones normativas que consagran restricciones de derechos, como sucede con las causales de inhabilidad e incompatibilidad en la contratación estatal. </w:t>
      </w:r>
      <w:r w:rsidRPr="33F06424">
        <w:rPr>
          <w:rFonts w:ascii="Verdana" w:eastAsia="Times New Roman" w:hAnsi="Verdana" w:cs="Arial"/>
          <w:color w:val="000000"/>
          <w:shd w:val="clear" w:color="auto" w:fill="FFFFFF"/>
          <w:lang w:val="es-ES" w:eastAsia="es-ES"/>
        </w:rPr>
        <w:t>Por lo tanto, no es posible llevar a cabo la interpretación extensiva de estas, debiendo preferirse aquella que menos limita el derecho de las personas, salvaguardando el interés general en la contratación pública de manera que implique el menor sacrificio posible al derecho de igualdad.</w:t>
      </w:r>
    </w:p>
    <w:p w14:paraId="76F56DF3" w14:textId="77777777" w:rsidR="00145A03" w:rsidRPr="005E3465" w:rsidRDefault="00145A03" w:rsidP="00145A03">
      <w:pPr>
        <w:spacing w:after="0" w:line="276" w:lineRule="auto"/>
        <w:ind w:firstLine="709"/>
        <w:jc w:val="both"/>
        <w:rPr>
          <w:rFonts w:ascii="Verdana" w:eastAsia="Aptos" w:hAnsi="Verdana" w:cs="Arial"/>
        </w:rPr>
      </w:pPr>
      <w:r w:rsidRPr="005E3465">
        <w:rPr>
          <w:rFonts w:ascii="Verdana" w:eastAsia="Aptos" w:hAnsi="Verdana" w:cs="Arial"/>
        </w:rPr>
        <w:t xml:space="preserve">En </w:t>
      </w:r>
      <w:r w:rsidRPr="005E3465">
        <w:rPr>
          <w:rFonts w:ascii="Verdana" w:eastAsia="Aptos" w:hAnsi="Verdana" w:cs="Arial"/>
          <w:i/>
          <w:iCs/>
        </w:rPr>
        <w:t>segundo lugar,</w:t>
      </w:r>
      <w:r w:rsidRPr="005E3465">
        <w:rPr>
          <w:rFonts w:ascii="Verdana" w:eastAsia="Aptos" w:hAnsi="Verdana" w:cs="Arial"/>
        </w:rPr>
        <w:t xml:space="preserve"> </w:t>
      </w:r>
      <w:r w:rsidRPr="005E3465">
        <w:rPr>
          <w:rFonts w:ascii="Verdana" w:eastAsia="Calibri" w:hAnsi="Verdana" w:cs="Arial"/>
          <w:lang w:val="es-ES_tradnl"/>
        </w:rPr>
        <w:t xml:space="preserve">con la finalidad de resolver la duda planteada en su consulta, </w:t>
      </w:r>
      <w:r>
        <w:rPr>
          <w:rFonts w:ascii="Verdana" w:eastAsia="Calibri" w:hAnsi="Verdana" w:cs="Arial"/>
          <w:lang w:val="es-ES_tradnl"/>
        </w:rPr>
        <w:t>debe tenerse en cuenta las causales de inhabilidad e incompatibilidad</w:t>
      </w:r>
      <w:r w:rsidRPr="005E3465">
        <w:rPr>
          <w:rFonts w:ascii="Verdana" w:eastAsia="Calibri" w:hAnsi="Verdana" w:cs="Arial"/>
          <w:lang w:val="es-ES_tradnl"/>
        </w:rPr>
        <w:t xml:space="preserve"> </w:t>
      </w:r>
      <w:r>
        <w:rPr>
          <w:rFonts w:ascii="Verdana" w:eastAsia="Calibri" w:hAnsi="Verdana" w:cs="Arial"/>
          <w:lang w:val="es-ES_tradnl"/>
        </w:rPr>
        <w:t xml:space="preserve">consagradas en </w:t>
      </w:r>
      <w:r w:rsidRPr="005E3465">
        <w:rPr>
          <w:rFonts w:ascii="Verdana" w:eastAsia="Calibri" w:hAnsi="Verdana" w:cs="Arial"/>
          <w:lang w:val="es-ES_tradnl"/>
        </w:rPr>
        <w:t xml:space="preserve">el artículo 8 de la Ley 80 de 1993, el cual reza de la siguiente forma: </w:t>
      </w:r>
    </w:p>
    <w:p w14:paraId="4087EA3B" w14:textId="77777777" w:rsidR="00145A03" w:rsidRDefault="00145A03" w:rsidP="00145A03">
      <w:pPr>
        <w:widowControl w:val="0"/>
        <w:autoSpaceDE w:val="0"/>
        <w:autoSpaceDN w:val="0"/>
        <w:spacing w:after="0" w:line="276" w:lineRule="auto"/>
        <w:jc w:val="both"/>
        <w:rPr>
          <w:rFonts w:ascii="Verdana" w:hAnsi="Verdana" w:cs="Arial"/>
        </w:rPr>
      </w:pPr>
    </w:p>
    <w:p w14:paraId="3931AE7A"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“ARTICULO 8°. DE LAS INHABILIDADES E INCOMPATIBILIDADES PARA CONTRATAR.</w:t>
      </w:r>
    </w:p>
    <w:p w14:paraId="41FF5E61"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7CD483D4"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1°. Son inhábiles para participar en licitaciones o concursos y para celebrar contratos con las entidades estatales:</w:t>
      </w:r>
    </w:p>
    <w:p w14:paraId="7FD25EFD"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4492FD3B"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a) Las personas que se hallen inhabilitadas para contratar por la Constitución y las leyes.</w:t>
      </w:r>
    </w:p>
    <w:p w14:paraId="56099ADF"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49874011"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lastRenderedPageBreak/>
        <w:t>b) Quienes participaron en las licitaciones o concursos o celebraron los contratos de que trata el literal anterior estando inhabilitados.</w:t>
      </w:r>
    </w:p>
    <w:p w14:paraId="64B1AAF5"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0EF87098"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c) Quienes dieron lugar a la declaratoria de caducidad.</w:t>
      </w:r>
    </w:p>
    <w:p w14:paraId="6C0426CC"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7651470F"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 xml:space="preserve">d) Quienes en sentencia judicial hayan sido condenados a la pena accesoria de interdicción de derechos y funciones públicas y quienes hayan sido sancionados disciplinariamente con destitución. </w:t>
      </w:r>
    </w:p>
    <w:p w14:paraId="271FFA78"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10D8965A"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e) Quienes sin justa causa se abstengan de suscribir el contrato estatal adjudicado.</w:t>
      </w:r>
    </w:p>
    <w:p w14:paraId="600CBC7B"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63A7A6F4"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f) Los servidores públicos.</w:t>
      </w:r>
    </w:p>
    <w:p w14:paraId="31BCCA8A"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32B2D930"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g) Quienes sean cónyuges o compañeros permanentes y quienes se encuentren dentro del segundo grado de consanguinidad o segundo de afinidad con cualquier otra persona que formalmente haya presentado propuesta para una misma licitación.</w:t>
      </w:r>
    </w:p>
    <w:p w14:paraId="1242E41A"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2B356EDF"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h)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w:t>
      </w:r>
    </w:p>
    <w:p w14:paraId="3BEB280B"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476C0F54"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i) Los socios de sociedades de personas a las cuales se haya declarado la caducidad, así como las sociedades de personas de las que aquellos formen parte con posterioridad a dicha declaratoria.</w:t>
      </w:r>
    </w:p>
    <w:p w14:paraId="1794E17C"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459B0EF7"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Las inhabilidades a que se refieren los literales c), d) e i) se extenderán por un término de cinco (5) años contado a partir de la fecha de ejecutoria del acto que declaró la caducidad, o de la sentencia que impuso la pena, o del acto que dispuso la destitución; las previstas en los literales b) y e), se extenderán por un término de cinco (5) años contado a partir de la fecha de ocurrencia del hecho de la participación en la licitación, o de la de celebración del contrato, o de la de expiración del plazo para su firma.</w:t>
      </w:r>
    </w:p>
    <w:p w14:paraId="6899E70E"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7341EF4E"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j) Literal reglamentado por el Decreto 1358 de 2020. Literal modificado por la Ley 2014 de 2019, artículo 2º. Las personas naturales que hayan sido declaradas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w:t>
      </w:r>
    </w:p>
    <w:p w14:paraId="438680C4"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1A06BBBE"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 xml:space="preserve">Esta inhabilidad procederá preventivamente aún en los casos en los que esté pendiente la decisión sobre la impugnación de la sentencia condenatoria.  </w:t>
      </w:r>
    </w:p>
    <w:p w14:paraId="0F5D2804"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03D4D994"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Asimismo, la inhabilidad se extenderá a las sociedades de las que hagan parte dichas personas en calidad de administradores, representantes legales, miembros de junta directiva o de socios controlantes, a sus matrices y a sus subordinadas, a los grupos empresariales a los que estas pertenezcan cuando la conducta delictiva haya sido parte de una política del grupo y a las sucursales de sociedades extranjeras, con excepción de las sociedades anónimas abiertas.</w:t>
      </w:r>
    </w:p>
    <w:p w14:paraId="17ABB81E"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31C316F7"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También se considerarán inhabilitadas para contratar, las personas jurídicas sobre las cuales se haya ordenado la suspensión de la personería jurídica en los términos de ley, o cuyos representantes legales, administradores de hecho o de derecho, miembros de junta directiva o sus socios controlantes, sus matrices, subordinadas y/o las sucursales de sociedades extranjeras, hayan sido beneficiados con la aplicación de un principio de oportunidad por cualquier delito contra la Administración pública o el patrimonio del Estado.</w:t>
      </w:r>
    </w:p>
    <w:p w14:paraId="2454C0D2"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62760FE1"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La inhabilidad prevista en este literal se extenderá de forma permanente a las sociedades de las que hagan parte dichas personas en las calidades presentadas en los incisos anteriores, y se aplicará de igual forma a las personas naturales que hayan sido declaradas responsables judicialmente por la comisión de delitos mencionados en este literal.</w:t>
      </w:r>
    </w:p>
    <w:p w14:paraId="664C118A"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0F49BD11" w14:textId="77777777" w:rsidR="00145A03" w:rsidRPr="00557894"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557894">
        <w:rPr>
          <w:rFonts w:ascii="Verdana" w:eastAsia="Aptos" w:hAnsi="Verdana" w:cs="Arial"/>
          <w:sz w:val="20"/>
          <w:szCs w:val="20"/>
          <w:lang w:val="es-MX" w:eastAsia="es-MX"/>
        </w:rPr>
        <w:t>k) Literal adicionado por la Ley 1474 de 2011, artículo 2º. Éste modificado por la Ley 1778 de 2016, artículo 33. Inhabilidad para contratar de quienes financien campañas políticas. Las personas naturales o jurídicas que hayan financiado campañas políticas a la Presidencia de la República, a las gobernaciones, a las alcaldías o al Congreso de la República, con aportes superiores al dos por ciento (2.0%) de las sumas máximas a invertir por los candidatos en las campañas electorales en cada circunscripción electoral, quienes no podrán celebrar contratos con las entidades públicas, incluso descentralizadas, del respectivo nivel administrativo para el cual fue elegido el candidato.</w:t>
      </w:r>
    </w:p>
    <w:p w14:paraId="1AE6F82A" w14:textId="77777777" w:rsidR="00145A03" w:rsidRPr="00557894"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29CB2592" w14:textId="77777777" w:rsidR="00145A03" w:rsidRPr="00557894"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557894">
        <w:rPr>
          <w:rFonts w:ascii="Verdana" w:eastAsia="Aptos" w:hAnsi="Verdana" w:cs="Arial"/>
          <w:sz w:val="20"/>
          <w:szCs w:val="20"/>
          <w:lang w:val="es-MX" w:eastAsia="es-MX"/>
        </w:rPr>
        <w:t>La inhabilidad se extenderá por todo el período para el cual el candidato fue elegido. Esta causal también operará para las personas que se encuentren dentro del segundo grado de consanguinidad, segundo de afinidad, o primero civil de la persona que ha financiado la campaña política.</w:t>
      </w:r>
    </w:p>
    <w:p w14:paraId="716D225C" w14:textId="77777777" w:rsidR="00145A03" w:rsidRPr="00557894"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02CC18D7" w14:textId="77777777" w:rsidR="00145A03" w:rsidRPr="00557894"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557894">
        <w:rPr>
          <w:rFonts w:ascii="Verdana" w:eastAsia="Aptos" w:hAnsi="Verdana" w:cs="Arial"/>
          <w:sz w:val="20"/>
          <w:szCs w:val="20"/>
          <w:lang w:val="es-MX" w:eastAsia="es-MX"/>
        </w:rPr>
        <w:t xml:space="preserve">Esta inhabilidad comprenderá también a las personas jurídicas en las cuales el representante legal, los miembros de junta directiva o cualquiera </w:t>
      </w:r>
      <w:r w:rsidRPr="00557894">
        <w:rPr>
          <w:rFonts w:ascii="Verdana" w:eastAsia="Aptos" w:hAnsi="Verdana" w:cs="Arial"/>
          <w:sz w:val="20"/>
          <w:szCs w:val="20"/>
          <w:lang w:val="es-MX" w:eastAsia="es-MX"/>
        </w:rPr>
        <w:lastRenderedPageBreak/>
        <w:t>de sus socios controlantes hayan financiado directamente o por interpuesta persona campañas políticas a la Presidencia de la República, a las gobernaciones, las alcaldías o al Congreso de la República.</w:t>
      </w:r>
    </w:p>
    <w:p w14:paraId="6AE1957E" w14:textId="77777777" w:rsidR="00145A03" w:rsidRPr="00557894"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6B30F51D" w14:textId="77777777" w:rsidR="00145A03" w:rsidRPr="00557894"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557894">
        <w:rPr>
          <w:rFonts w:ascii="Verdana" w:eastAsia="Aptos" w:hAnsi="Verdana" w:cs="Arial"/>
          <w:sz w:val="20"/>
          <w:szCs w:val="20"/>
          <w:lang w:val="es-MX" w:eastAsia="es-MX"/>
        </w:rPr>
        <w:t>La inhabilidad contemplada en esta norma no se aplicará respecto de los contratos de prestación de servicios profesionales.</w:t>
      </w:r>
    </w:p>
    <w:p w14:paraId="5038517F"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1B9B47A3" w14:textId="77777777" w:rsidR="00145A03" w:rsidRPr="005514B7" w:rsidRDefault="00145A03" w:rsidP="00145A03">
      <w:pPr>
        <w:spacing w:after="0" w:line="240" w:lineRule="auto"/>
        <w:ind w:left="709" w:right="709"/>
        <w:contextualSpacing/>
        <w:jc w:val="both"/>
        <w:rPr>
          <w:rFonts w:ascii="Verdana" w:eastAsia="Aptos" w:hAnsi="Verdana" w:cs="Arial"/>
          <w:sz w:val="20"/>
          <w:szCs w:val="20"/>
          <w:lang w:val="es-MX" w:eastAsia="es-MX"/>
        </w:rPr>
      </w:pPr>
      <w:r w:rsidRPr="33F06424">
        <w:rPr>
          <w:rFonts w:ascii="Verdana" w:eastAsia="Aptos" w:hAnsi="Verdana" w:cs="Arial"/>
          <w:sz w:val="20"/>
          <w:szCs w:val="20"/>
          <w:lang w:val="es-MX" w:eastAsia="es-MX"/>
        </w:rPr>
        <w:t>k) Literal adicionado por la Ley 1474 de 2011, artículo 84, parágrafo 2º. (éste declarado exequible condicionalmente por los cargos analizados por la Corte Constitucional en la Sentencia C-434 de 2013.). El interventor que incumpla el deber de entregar información a la entidad contratante relacionada con el incumplimiento del contrato, con hechos o circunstancias que puedan constituir actos de corrupción tipificados como conductas punibles, o que puedan poner o pongan en riesgo el cumplimiento del contrato.</w:t>
      </w:r>
    </w:p>
    <w:p w14:paraId="2F17EB2B" w14:textId="77777777" w:rsidR="00145A03" w:rsidRPr="005514B7"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43A597E1" w14:textId="77777777" w:rsidR="00145A03" w:rsidRPr="005514B7"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5514B7">
        <w:rPr>
          <w:rFonts w:ascii="Verdana" w:eastAsia="Aptos" w:hAnsi="Verdana" w:cs="Arial"/>
          <w:sz w:val="20"/>
          <w:szCs w:val="20"/>
          <w:lang w:val="es-MX" w:eastAsia="es-MX"/>
        </w:rPr>
        <w:t>Esta inhabilidad se extenderá por un término de cinco (5) años, contados a partir de la ejecutoria del acto administrativo que así lo declare, previa la actuación administrativa correspondiente.</w:t>
      </w:r>
    </w:p>
    <w:p w14:paraId="42C0629D"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6993ECA3"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2°. Tampoco podrán participar en licitaciones o concursos ni celebrar contratos estatales con la entidad respectiva:</w:t>
      </w:r>
    </w:p>
    <w:p w14:paraId="6AEA0D9E"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30194F86"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a) Quienes fueron miembros de la junta o consejo directivo o servidores públicos de la entidad contratante. Esta incompatibilidad solo comprende a quienes desempeñaron funciones en los niveles directivo, asesor o ejecutivo y se extiende por el término de un (1) año, contado a partir de la fecha del retiro.</w:t>
      </w:r>
    </w:p>
    <w:p w14:paraId="560C9B86"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3CB74756" w14:textId="77777777" w:rsidR="00145A03" w:rsidRPr="00557894" w:rsidRDefault="00145A03" w:rsidP="00145A03">
      <w:pPr>
        <w:spacing w:after="0" w:line="240" w:lineRule="auto"/>
        <w:ind w:left="709" w:right="709"/>
        <w:contextualSpacing/>
        <w:jc w:val="both"/>
        <w:rPr>
          <w:rFonts w:ascii="Verdana" w:eastAsia="Aptos" w:hAnsi="Verdana" w:cs="Arial"/>
          <w:i/>
          <w:iCs/>
          <w:sz w:val="20"/>
          <w:szCs w:val="20"/>
          <w:lang w:val="es-MX" w:eastAsia="es-MX"/>
        </w:rPr>
      </w:pPr>
      <w:r w:rsidRPr="00557894">
        <w:rPr>
          <w:rFonts w:ascii="Verdana" w:eastAsia="Aptos" w:hAnsi="Verdana" w:cs="Arial"/>
          <w:i/>
          <w:iCs/>
          <w:sz w:val="20"/>
          <w:szCs w:val="20"/>
          <w:lang w:val="es-MX" w:eastAsia="es-MX"/>
        </w:rPr>
        <w:t xml:space="preserve">b) Las personas que tengan vínculos de parentesco, hasta el segundo grado de consanguinidad, segundo de afinidad o primero civil con los servidores públicos de los niveles directivo, asesor, ejecutivo o con los miembros de la junta o consejo directivo, o con las personas que ejerzan </w:t>
      </w:r>
      <w:proofErr w:type="spellStart"/>
      <w:r w:rsidRPr="00557894">
        <w:rPr>
          <w:rFonts w:ascii="Verdana" w:eastAsia="Aptos" w:hAnsi="Verdana" w:cs="Arial"/>
          <w:i/>
          <w:iCs/>
          <w:sz w:val="20"/>
          <w:szCs w:val="20"/>
          <w:lang w:val="es-MX" w:eastAsia="es-MX"/>
        </w:rPr>
        <w:t>ejerzan</w:t>
      </w:r>
      <w:proofErr w:type="spellEnd"/>
      <w:r w:rsidRPr="00557894">
        <w:rPr>
          <w:rFonts w:ascii="Verdana" w:eastAsia="Aptos" w:hAnsi="Verdana" w:cs="Arial"/>
          <w:i/>
          <w:iCs/>
          <w:sz w:val="20"/>
          <w:szCs w:val="20"/>
          <w:lang w:val="es-MX" w:eastAsia="es-MX"/>
        </w:rPr>
        <w:t xml:space="preserve"> el control interno o fiscal de la entidad contratante.</w:t>
      </w:r>
    </w:p>
    <w:p w14:paraId="5E38780C"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37623AFA"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 xml:space="preserve">c) El cónyuge, compañero o compañera permanente del servidor público en los niveles directivo, asesor, ejecutivo, o de un miembro de la junta o consejo directivo, o de quien ejerza funciones de control interno o de control fiscal.  </w:t>
      </w:r>
    </w:p>
    <w:p w14:paraId="4E7D61C2"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3B1C409E"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 xml:space="preserve">d)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w:t>
      </w:r>
      <w:r w:rsidRPr="00A63A08">
        <w:rPr>
          <w:rFonts w:ascii="Verdana" w:eastAsia="Aptos" w:hAnsi="Verdana" w:cs="Arial"/>
          <w:sz w:val="20"/>
          <w:szCs w:val="20"/>
          <w:lang w:val="es-MX" w:eastAsia="es-MX"/>
        </w:rPr>
        <w:lastRenderedPageBreak/>
        <w:t>consanguinidad, afinidad o civil de cualquiera de ellos, tenga participación o desempeñe cargos de dirección o manejo.</w:t>
      </w:r>
    </w:p>
    <w:p w14:paraId="45E7D1E1"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696B6E77"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e) Los miembros de las juntas o consejos directivos. Esta incompatibilidad sólo se predica respecto de la entidad a la cual prestan sus servicios y de las del sector administrativo al que la misma esté adscrita o vinculada.</w:t>
      </w:r>
    </w:p>
    <w:p w14:paraId="5979C13E"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2EF74496"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f) Literal adicionado por la Ley 1474 de 2011, artículo 4º.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w:t>
      </w:r>
    </w:p>
    <w:p w14:paraId="5F0EF8E5"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5C6F5131"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 xml:space="preserve">Esta incompatibilidad también operará para las personas que se encuentren dentro del primer grado de consanguinidad, primero de afinidad, o primero civil del </w:t>
      </w:r>
      <w:proofErr w:type="gramStart"/>
      <w:r w:rsidRPr="00A63A08">
        <w:rPr>
          <w:rFonts w:ascii="Verdana" w:eastAsia="Aptos" w:hAnsi="Verdana" w:cs="Arial"/>
          <w:sz w:val="20"/>
          <w:szCs w:val="20"/>
          <w:lang w:val="es-MX" w:eastAsia="es-MX"/>
        </w:rPr>
        <w:t>ex empleado</w:t>
      </w:r>
      <w:proofErr w:type="gramEnd"/>
      <w:r w:rsidRPr="00A63A08">
        <w:rPr>
          <w:rFonts w:ascii="Verdana" w:eastAsia="Aptos" w:hAnsi="Verdana" w:cs="Arial"/>
          <w:sz w:val="20"/>
          <w:szCs w:val="20"/>
          <w:lang w:val="es-MX" w:eastAsia="es-MX"/>
        </w:rPr>
        <w:t xml:space="preserve"> público.</w:t>
      </w:r>
    </w:p>
    <w:p w14:paraId="358AA323"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22A1437E"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PARAGRAFO 1°. La inhabilidad prevista en el literal d) del ordinal 2°. de este artículo no se aplicará en relación con las corporaciones, asociaciones, fundaciones y sociedades allí mencionadas, cuando por disposición legal o estatutaria el servidor público en los niveles referidos debe desempeñar en ellas cargos de dirección o manejo.</w:t>
      </w:r>
    </w:p>
    <w:p w14:paraId="1FA70115"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64E140F8"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Inciso adicionado por la Ley 1150 de 2007, artículo 18. En las causales de inhabilidad por parentesco o por matrimonio, los vínculos desaparecen por muerte o por disolución del matrimonio.</w:t>
      </w:r>
    </w:p>
    <w:p w14:paraId="308648BB"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2AA0F139"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PARAGRAFO 2°. Para los efectos previstos en este artículo, el Gobierno Nacional determinará que debe entenderse por sociedades anónimas abiertas.</w:t>
      </w:r>
    </w:p>
    <w:p w14:paraId="7B52CF86"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p>
    <w:p w14:paraId="32F0543F" w14:textId="77777777" w:rsidR="00145A03" w:rsidRPr="00A63A08" w:rsidRDefault="00145A03" w:rsidP="00145A03">
      <w:pPr>
        <w:spacing w:after="0" w:line="240" w:lineRule="auto"/>
        <w:ind w:left="709" w:right="709"/>
        <w:contextualSpacing/>
        <w:jc w:val="both"/>
        <w:rPr>
          <w:rFonts w:ascii="Verdana" w:eastAsia="Aptos" w:hAnsi="Verdana" w:cs="Arial"/>
          <w:sz w:val="20"/>
          <w:szCs w:val="20"/>
          <w:lang w:val="es-MX" w:eastAsia="es-MX"/>
        </w:rPr>
      </w:pPr>
      <w:r w:rsidRPr="00A63A08">
        <w:rPr>
          <w:rFonts w:ascii="Verdana" w:eastAsia="Aptos" w:hAnsi="Verdana" w:cs="Arial"/>
          <w:sz w:val="20"/>
          <w:szCs w:val="20"/>
          <w:lang w:val="es-MX" w:eastAsia="es-MX"/>
        </w:rPr>
        <w:t>PARÁGRAFO 3º. Adicionado por la Ley 2014 de 2019, artículo 3o. Las inhabilidades e incompatibilidades contempladas en este artículo se aplicarán a cualquier proceso de contratación privada en el que se comprometan recursos públicos”. [Énfasis fuera del texto original]</w:t>
      </w:r>
    </w:p>
    <w:p w14:paraId="48DCC56F" w14:textId="77777777" w:rsidR="00145A03" w:rsidRDefault="00145A03" w:rsidP="00145A03">
      <w:pPr>
        <w:spacing w:after="0" w:line="276" w:lineRule="auto"/>
        <w:ind w:firstLine="709"/>
        <w:jc w:val="both"/>
        <w:rPr>
          <w:rFonts w:ascii="Verdana" w:eastAsia="Aptos" w:hAnsi="Verdana" w:cs="Arial"/>
        </w:rPr>
      </w:pPr>
    </w:p>
    <w:p w14:paraId="588F1747" w14:textId="47A895FD" w:rsidR="00145A03" w:rsidRPr="005E3465" w:rsidRDefault="00145A03" w:rsidP="00145A03">
      <w:pPr>
        <w:spacing w:after="120" w:line="276" w:lineRule="auto"/>
        <w:ind w:firstLine="709"/>
        <w:jc w:val="both"/>
        <w:rPr>
          <w:rFonts w:ascii="Verdana" w:eastAsia="Calibri" w:hAnsi="Verdana" w:cs="Arial"/>
          <w:color w:val="000000" w:themeColor="text1"/>
          <w:szCs w:val="24"/>
          <w:lang w:val="es-ES_tradnl" w:eastAsia="es-ES_tradnl"/>
        </w:rPr>
      </w:pPr>
      <w:r w:rsidRPr="005E3465">
        <w:rPr>
          <w:rFonts w:ascii="Verdana" w:eastAsia="Calibri" w:hAnsi="Verdana" w:cs="Arial"/>
          <w:color w:val="000000" w:themeColor="text1"/>
          <w:szCs w:val="24"/>
          <w:lang w:val="es-ES_tradnl" w:eastAsia="es-ES_tradnl"/>
        </w:rPr>
        <w:t xml:space="preserve">Conforme lo expuesto, en cada caso deberá analizarse si un proponente está incurso en alguna de las causales establecidas en la precitada disposición. </w:t>
      </w:r>
      <w:r>
        <w:rPr>
          <w:rFonts w:ascii="Verdana" w:eastAsia="Calibri" w:hAnsi="Verdana" w:cs="Arial"/>
          <w:color w:val="000000" w:themeColor="text1"/>
          <w:szCs w:val="24"/>
          <w:lang w:val="es-ES_tradnl" w:eastAsia="es-ES_tradnl"/>
        </w:rPr>
        <w:t xml:space="preserve">Para la Agencia </w:t>
      </w:r>
      <w:r w:rsidRPr="00A63A08">
        <w:rPr>
          <w:rFonts w:ascii="Verdana" w:eastAsia="Calibri" w:hAnsi="Verdana" w:cs="Arial"/>
          <w:color w:val="000000" w:themeColor="text1"/>
          <w:szCs w:val="24"/>
          <w:lang w:val="es-ES" w:eastAsia="es-ES_tradnl"/>
        </w:rPr>
        <w:t>Nacional de Contratación Pública – Colombia Compra Eficiente,</w:t>
      </w:r>
      <w:r>
        <w:rPr>
          <w:rFonts w:ascii="Verdana" w:eastAsia="Calibri" w:hAnsi="Verdana" w:cs="Arial"/>
          <w:color w:val="000000" w:themeColor="text1"/>
          <w:szCs w:val="24"/>
          <w:lang w:val="es-ES" w:eastAsia="es-ES_tradnl"/>
        </w:rPr>
        <w:t xml:space="preserve"> </w:t>
      </w:r>
      <w:r w:rsidRPr="00A63A08">
        <w:rPr>
          <w:rFonts w:ascii="Verdana" w:eastAsia="Calibri" w:hAnsi="Verdana" w:cs="Arial"/>
          <w:color w:val="000000" w:themeColor="text1"/>
          <w:szCs w:val="24"/>
          <w:lang w:val="es-ES" w:eastAsia="es-ES_tradnl"/>
        </w:rPr>
        <w:t xml:space="preserve">en sede consultiva, </w:t>
      </w:r>
      <w:r>
        <w:rPr>
          <w:rFonts w:ascii="Verdana" w:eastAsia="Calibri" w:hAnsi="Verdana" w:cs="Arial"/>
          <w:color w:val="000000" w:themeColor="text1"/>
          <w:szCs w:val="24"/>
          <w:lang w:val="es-ES" w:eastAsia="es-ES_tradnl"/>
        </w:rPr>
        <w:t xml:space="preserve">no le es posible </w:t>
      </w:r>
      <w:r w:rsidRPr="00A63A08">
        <w:rPr>
          <w:rFonts w:ascii="Verdana" w:eastAsia="Calibri" w:hAnsi="Verdana" w:cs="Arial"/>
          <w:color w:val="000000" w:themeColor="text1"/>
          <w:szCs w:val="24"/>
          <w:lang w:val="es-ES" w:eastAsia="es-ES_tradnl"/>
        </w:rPr>
        <w:t>determinar</w:t>
      </w:r>
      <w:r>
        <w:rPr>
          <w:rFonts w:ascii="Verdana" w:eastAsia="Calibri" w:hAnsi="Verdana" w:cs="Arial"/>
          <w:color w:val="000000" w:themeColor="text1"/>
          <w:szCs w:val="24"/>
          <w:lang w:val="es-ES" w:eastAsia="es-ES_tradnl"/>
        </w:rPr>
        <w:t xml:space="preserve"> si en un determinado caso un proponente estaría inhabilitado para participar en un Proceso de Contratación. </w:t>
      </w:r>
      <w:r w:rsidRPr="00A63A08">
        <w:rPr>
          <w:rFonts w:ascii="Verdana" w:eastAsia="Calibri" w:hAnsi="Verdana" w:cs="Arial"/>
          <w:color w:val="000000" w:themeColor="text1"/>
          <w:szCs w:val="24"/>
          <w:lang w:eastAsia="es-ES_tradnl"/>
        </w:rPr>
        <w:t xml:space="preserve">Lo anterior, en la medida en que, para resolver una consulta de carácter particular, además de conocer un sinnúmero de detalles de la actuación </w:t>
      </w:r>
      <w:r w:rsidRPr="00A63A08">
        <w:rPr>
          <w:rFonts w:ascii="Verdana" w:eastAsia="Calibri" w:hAnsi="Verdana" w:cs="Arial"/>
          <w:color w:val="000000" w:themeColor="text1"/>
          <w:szCs w:val="24"/>
          <w:lang w:eastAsia="es-ES_tradnl"/>
        </w:rPr>
        <w:lastRenderedPageBreak/>
        <w:t xml:space="preserve">administrativa, es necesario acceder al expediente y a los documentos del procedimiento contractual donde surge la inquietud. </w:t>
      </w:r>
      <w:r w:rsidRPr="005E3465">
        <w:rPr>
          <w:rFonts w:ascii="Verdana" w:eastAsia="Calibri" w:hAnsi="Verdana" w:cs="Arial"/>
          <w:color w:val="000000" w:themeColor="text1"/>
          <w:szCs w:val="24"/>
          <w:lang w:val="es-ES_tradnl" w:eastAsia="es-ES_tradnl"/>
        </w:rPr>
        <w:t xml:space="preserve"> </w:t>
      </w:r>
    </w:p>
    <w:p w14:paraId="047CE47A" w14:textId="77777777" w:rsidR="00145A03" w:rsidRPr="00735F20" w:rsidRDefault="00145A03" w:rsidP="00145A03">
      <w:pPr>
        <w:widowControl w:val="0"/>
        <w:autoSpaceDE w:val="0"/>
        <w:autoSpaceDN w:val="0"/>
        <w:spacing w:after="0" w:line="276" w:lineRule="auto"/>
        <w:jc w:val="both"/>
        <w:rPr>
          <w:rFonts w:ascii="Verdana" w:hAnsi="Verdana" w:cs="Arial"/>
          <w:lang w:val="es-ES_tradnl"/>
        </w:rPr>
      </w:pPr>
    </w:p>
    <w:p w14:paraId="4655BC17" w14:textId="77777777" w:rsidR="00145A03" w:rsidRPr="007C1C94" w:rsidRDefault="00145A03" w:rsidP="00145A0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7C1C94">
        <w:rPr>
          <w:rFonts w:ascii="Verdana" w:eastAsia="Century Gothic" w:hAnsi="Verdana" w:cs="Century Gothic"/>
          <w:b/>
          <w:bCs/>
        </w:rPr>
        <w:t>Referencias normativas, jurisprudenciales y otras fuentes:</w:t>
      </w:r>
    </w:p>
    <w:p w14:paraId="621D98CB" w14:textId="77777777" w:rsidR="00145A03" w:rsidRPr="007C1C94" w:rsidRDefault="00145A03" w:rsidP="00145A03">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45A03" w:rsidRPr="007C1C94" w14:paraId="1E75260E" w14:textId="77777777" w:rsidTr="00697118">
        <w:trPr>
          <w:trHeight w:val="650"/>
        </w:trPr>
        <w:tc>
          <w:tcPr>
            <w:tcW w:w="8647" w:type="dxa"/>
          </w:tcPr>
          <w:p w14:paraId="247B86CE" w14:textId="5A262B3B" w:rsidR="00145A03" w:rsidRDefault="00145A03" w:rsidP="00145A03">
            <w:pPr>
              <w:pStyle w:val="Prrafodelista"/>
              <w:widowControl w:val="0"/>
              <w:numPr>
                <w:ilvl w:val="0"/>
                <w:numId w:val="17"/>
              </w:numPr>
              <w:autoSpaceDE w:val="0"/>
              <w:autoSpaceDN w:val="0"/>
              <w:spacing w:line="276" w:lineRule="auto"/>
              <w:ind w:left="357" w:hanging="357"/>
              <w:contextualSpacing w:val="0"/>
              <w:jc w:val="both"/>
              <w:rPr>
                <w:rFonts w:ascii="Verdana" w:hAnsi="Verdana" w:cs="Arial"/>
              </w:rPr>
            </w:pPr>
            <w:r w:rsidRPr="007F4658">
              <w:rPr>
                <w:rFonts w:ascii="Verdana" w:hAnsi="Verdana" w:cs="Arial"/>
              </w:rPr>
              <w:t xml:space="preserve">Ley </w:t>
            </w:r>
            <w:r w:rsidRPr="007F4658">
              <w:rPr>
                <w:rFonts w:ascii="Verdana" w:hAnsi="Verdana" w:cs="Arial"/>
                <w:lang w:val="pt-BR"/>
              </w:rPr>
              <w:t>80</w:t>
            </w:r>
            <w:r w:rsidRPr="007F4658">
              <w:rPr>
                <w:rFonts w:ascii="Verdana" w:hAnsi="Verdana" w:cs="Arial"/>
              </w:rPr>
              <w:t xml:space="preserve"> de 1993: Literal </w:t>
            </w:r>
            <w:r>
              <w:rPr>
                <w:rFonts w:ascii="Verdana" w:hAnsi="Verdana" w:cs="Arial"/>
              </w:rPr>
              <w:t>b</w:t>
            </w:r>
            <w:r w:rsidRPr="007F4658">
              <w:rPr>
                <w:rFonts w:ascii="Verdana" w:hAnsi="Verdana" w:cs="Arial"/>
              </w:rPr>
              <w:t xml:space="preserve">) del numeral </w:t>
            </w:r>
            <w:r>
              <w:rPr>
                <w:rFonts w:ascii="Verdana" w:hAnsi="Verdana" w:cs="Arial"/>
              </w:rPr>
              <w:t>2</w:t>
            </w:r>
            <w:r w:rsidRPr="007F4658">
              <w:rPr>
                <w:rFonts w:ascii="Verdana" w:hAnsi="Verdana" w:cs="Arial"/>
              </w:rPr>
              <w:t xml:space="preserve"> del artículo 8</w:t>
            </w:r>
            <w:r w:rsidR="001879FD">
              <w:rPr>
                <w:rFonts w:ascii="Verdana" w:hAnsi="Verdana" w:cs="Arial"/>
              </w:rPr>
              <w:t>.</w:t>
            </w:r>
          </w:p>
          <w:p w14:paraId="31EF4542" w14:textId="77777777" w:rsidR="00145A03" w:rsidRPr="007F4658" w:rsidRDefault="00145A03" w:rsidP="00697118">
            <w:pPr>
              <w:pStyle w:val="Prrafodelista"/>
              <w:widowControl w:val="0"/>
              <w:autoSpaceDE w:val="0"/>
              <w:autoSpaceDN w:val="0"/>
              <w:spacing w:line="276" w:lineRule="auto"/>
              <w:ind w:left="357"/>
              <w:contextualSpacing w:val="0"/>
              <w:jc w:val="both"/>
              <w:rPr>
                <w:rFonts w:ascii="Verdana" w:hAnsi="Verdana" w:cs="Arial"/>
              </w:rPr>
            </w:pPr>
          </w:p>
          <w:p w14:paraId="4340C633" w14:textId="77777777" w:rsidR="00145A03" w:rsidRDefault="00145A03" w:rsidP="00145A03">
            <w:pPr>
              <w:pStyle w:val="Prrafodelista"/>
              <w:widowControl w:val="0"/>
              <w:numPr>
                <w:ilvl w:val="0"/>
                <w:numId w:val="17"/>
              </w:numPr>
              <w:autoSpaceDE w:val="0"/>
              <w:autoSpaceDN w:val="0"/>
              <w:spacing w:line="276" w:lineRule="auto"/>
              <w:ind w:left="357" w:hanging="357"/>
              <w:contextualSpacing w:val="0"/>
              <w:jc w:val="both"/>
              <w:rPr>
                <w:rFonts w:ascii="Verdana" w:hAnsi="Verdana" w:cs="Arial"/>
              </w:rPr>
            </w:pPr>
            <w:r w:rsidRPr="00D66E6D">
              <w:rPr>
                <w:rFonts w:ascii="Verdana" w:hAnsi="Verdana" w:cs="Arial"/>
                <w:lang w:val="pt-BR"/>
              </w:rPr>
              <w:t xml:space="preserve">Corte Constitucional. </w:t>
            </w:r>
            <w:r w:rsidRPr="00D66E6D">
              <w:rPr>
                <w:rFonts w:ascii="Verdana" w:hAnsi="Verdana" w:cs="Arial"/>
              </w:rPr>
              <w:t xml:space="preserve">Sentencia C-780 de 2001. Magistrado Ponente: Jaime Córdoba Triviño. </w:t>
            </w:r>
          </w:p>
          <w:p w14:paraId="50487065" w14:textId="77777777" w:rsidR="00E86A98" w:rsidRPr="00E86A98" w:rsidRDefault="00E86A98" w:rsidP="00E86A98">
            <w:pPr>
              <w:pStyle w:val="Prrafodelista"/>
              <w:rPr>
                <w:rFonts w:ascii="Verdana" w:hAnsi="Verdana" w:cs="Arial"/>
              </w:rPr>
            </w:pPr>
          </w:p>
          <w:p w14:paraId="5210242B" w14:textId="0E57F998" w:rsidR="00E86A98" w:rsidRDefault="00E86A98" w:rsidP="00145A03">
            <w:pPr>
              <w:pStyle w:val="Prrafodelista"/>
              <w:widowControl w:val="0"/>
              <w:numPr>
                <w:ilvl w:val="0"/>
                <w:numId w:val="17"/>
              </w:numPr>
              <w:autoSpaceDE w:val="0"/>
              <w:autoSpaceDN w:val="0"/>
              <w:spacing w:line="276" w:lineRule="auto"/>
              <w:ind w:left="357" w:hanging="357"/>
              <w:contextualSpacing w:val="0"/>
              <w:jc w:val="both"/>
              <w:rPr>
                <w:rFonts w:ascii="Verdana" w:hAnsi="Verdana" w:cs="Arial"/>
              </w:rPr>
            </w:pPr>
            <w:r w:rsidRPr="00E86A98">
              <w:rPr>
                <w:rFonts w:ascii="Verdana" w:hAnsi="Verdana" w:cs="Arial"/>
              </w:rPr>
              <w:t>Corte Constitucional. C-221 de 1996. Magistrado Ponente: José Gregorio Hernández Galindo.</w:t>
            </w:r>
          </w:p>
          <w:p w14:paraId="27006879" w14:textId="77777777" w:rsidR="00145A03" w:rsidRPr="00D66E6D" w:rsidRDefault="00145A03" w:rsidP="00697118">
            <w:pPr>
              <w:widowControl w:val="0"/>
              <w:autoSpaceDE w:val="0"/>
              <w:autoSpaceDN w:val="0"/>
              <w:spacing w:line="276" w:lineRule="auto"/>
              <w:jc w:val="both"/>
              <w:rPr>
                <w:rFonts w:ascii="Verdana" w:hAnsi="Verdana" w:cs="Arial"/>
              </w:rPr>
            </w:pPr>
          </w:p>
          <w:p w14:paraId="55B4AA8B" w14:textId="77777777" w:rsidR="00145A03" w:rsidRPr="00D66E6D" w:rsidRDefault="00145A03" w:rsidP="00145A03">
            <w:pPr>
              <w:pStyle w:val="Prrafodelista"/>
              <w:widowControl w:val="0"/>
              <w:numPr>
                <w:ilvl w:val="0"/>
                <w:numId w:val="17"/>
              </w:numPr>
              <w:autoSpaceDE w:val="0"/>
              <w:autoSpaceDN w:val="0"/>
              <w:spacing w:line="276" w:lineRule="auto"/>
              <w:ind w:left="357" w:hanging="357"/>
              <w:contextualSpacing w:val="0"/>
              <w:jc w:val="both"/>
              <w:rPr>
                <w:rFonts w:ascii="Verdana" w:hAnsi="Verdana" w:cs="Arial"/>
                <w:lang w:val="es-MX"/>
              </w:rPr>
            </w:pPr>
            <w:r w:rsidRPr="00D66E6D">
              <w:rPr>
                <w:rFonts w:ascii="Verdana" w:hAnsi="Verdana" w:cs="Arial"/>
                <w:color w:val="000000"/>
              </w:rPr>
              <w:t xml:space="preserve">Corte Constitucional. Sentencia T-1039 de 2006. </w:t>
            </w:r>
            <w:r w:rsidRPr="00D71D00">
              <w:rPr>
                <w:rFonts w:ascii="Verdana" w:hAnsi="Verdana" w:cs="Arial"/>
                <w:color w:val="000000"/>
                <w:lang w:val="it-IT"/>
              </w:rPr>
              <w:t xml:space="preserve">Magistrado Ponente: Humberto Sierra Porto. </w:t>
            </w:r>
            <w:r w:rsidRPr="00D66E6D">
              <w:rPr>
                <w:rFonts w:ascii="Verdana" w:hAnsi="Verdana" w:cs="Arial"/>
                <w:color w:val="000000"/>
              </w:rPr>
              <w:t xml:space="preserve">La Corte ha mantenido este criterio en las sentencias: C-903 de 2008. Magistrado Ponente: Jaime Araujo Rentería; C-101 de 2018. Magistrada Ponente Gloria Stella Ortiz Delgado; entre otras. </w:t>
            </w:r>
          </w:p>
          <w:p w14:paraId="0EFF865E" w14:textId="77777777" w:rsidR="00145A03" w:rsidRPr="00D66E6D" w:rsidRDefault="00145A03" w:rsidP="00697118">
            <w:pPr>
              <w:widowControl w:val="0"/>
              <w:autoSpaceDE w:val="0"/>
              <w:autoSpaceDN w:val="0"/>
              <w:spacing w:line="276" w:lineRule="auto"/>
              <w:jc w:val="both"/>
              <w:rPr>
                <w:rFonts w:ascii="Verdana" w:hAnsi="Verdana" w:cs="Arial"/>
              </w:rPr>
            </w:pPr>
          </w:p>
          <w:p w14:paraId="7BD27EE4" w14:textId="77777777" w:rsidR="00145A03" w:rsidRPr="00D66E6D" w:rsidRDefault="00145A03" w:rsidP="00145A03">
            <w:pPr>
              <w:pStyle w:val="Prrafodelista"/>
              <w:widowControl w:val="0"/>
              <w:numPr>
                <w:ilvl w:val="0"/>
                <w:numId w:val="17"/>
              </w:numPr>
              <w:autoSpaceDE w:val="0"/>
              <w:autoSpaceDN w:val="0"/>
              <w:spacing w:line="276" w:lineRule="auto"/>
              <w:ind w:left="357" w:hanging="357"/>
              <w:contextualSpacing w:val="0"/>
              <w:jc w:val="both"/>
              <w:rPr>
                <w:rFonts w:ascii="Verdana" w:hAnsi="Verdana" w:cs="Arial"/>
              </w:rPr>
            </w:pPr>
            <w:r w:rsidRPr="00D66E6D">
              <w:rPr>
                <w:rFonts w:ascii="Verdana" w:hAnsi="Verdana" w:cs="Arial"/>
                <w:color w:val="000000"/>
              </w:rPr>
              <w:t xml:space="preserve">Consejo de Estado. Sección Tercera. Subsección C. Sentencia del 22 de mayo de 2013. </w:t>
            </w:r>
            <w:proofErr w:type="spellStart"/>
            <w:r w:rsidRPr="00D66E6D">
              <w:rPr>
                <w:rFonts w:ascii="Verdana" w:hAnsi="Verdana" w:cs="Arial"/>
                <w:color w:val="000000"/>
              </w:rPr>
              <w:t>Exp</w:t>
            </w:r>
            <w:proofErr w:type="spellEnd"/>
            <w:r w:rsidRPr="00D66E6D">
              <w:rPr>
                <w:rFonts w:ascii="Verdana" w:hAnsi="Verdana" w:cs="Arial"/>
                <w:color w:val="000000"/>
              </w:rPr>
              <w:t xml:space="preserve">. 24.057. Consejera Ponente: Olga Melida Valle De </w:t>
            </w:r>
            <w:proofErr w:type="spellStart"/>
            <w:r w:rsidRPr="00D66E6D">
              <w:rPr>
                <w:rFonts w:ascii="Verdana" w:hAnsi="Verdana" w:cs="Arial"/>
                <w:color w:val="000000"/>
              </w:rPr>
              <w:t>De</w:t>
            </w:r>
            <w:proofErr w:type="spellEnd"/>
            <w:r w:rsidRPr="00D66E6D">
              <w:rPr>
                <w:rFonts w:ascii="Verdana" w:hAnsi="Verdana" w:cs="Arial"/>
                <w:color w:val="000000"/>
              </w:rPr>
              <w:t xml:space="preserve"> La Hoz.</w:t>
            </w:r>
          </w:p>
          <w:p w14:paraId="555ADA40" w14:textId="77777777" w:rsidR="00145A03" w:rsidRPr="00D66E6D" w:rsidRDefault="00145A03" w:rsidP="00697118">
            <w:pPr>
              <w:widowControl w:val="0"/>
              <w:autoSpaceDE w:val="0"/>
              <w:autoSpaceDN w:val="0"/>
              <w:spacing w:line="276" w:lineRule="auto"/>
              <w:jc w:val="both"/>
              <w:rPr>
                <w:rFonts w:ascii="Verdana" w:hAnsi="Verdana" w:cs="Arial"/>
              </w:rPr>
            </w:pPr>
          </w:p>
          <w:p w14:paraId="1973B8F9" w14:textId="77777777" w:rsidR="00145A03" w:rsidRPr="00D66E6D" w:rsidRDefault="00145A03" w:rsidP="00145A03">
            <w:pPr>
              <w:pStyle w:val="Prrafodelista"/>
              <w:widowControl w:val="0"/>
              <w:numPr>
                <w:ilvl w:val="0"/>
                <w:numId w:val="17"/>
              </w:numPr>
              <w:autoSpaceDE w:val="0"/>
              <w:autoSpaceDN w:val="0"/>
              <w:spacing w:line="276" w:lineRule="auto"/>
              <w:ind w:left="357" w:hanging="357"/>
              <w:contextualSpacing w:val="0"/>
              <w:jc w:val="both"/>
              <w:rPr>
                <w:rFonts w:ascii="Verdana" w:hAnsi="Verdana" w:cs="Arial"/>
                <w:lang w:val="es-MX"/>
              </w:rPr>
            </w:pPr>
            <w:r w:rsidRPr="00D66E6D">
              <w:rPr>
                <w:rFonts w:ascii="Verdana" w:hAnsi="Verdana" w:cs="Arial"/>
              </w:rPr>
              <w:t xml:space="preserve">Consejo De Estado. Sección Tercera. Subsección A. Sentencia del 13 de noviembre de 2013. </w:t>
            </w:r>
            <w:r w:rsidRPr="00D66E6D">
              <w:rPr>
                <w:rFonts w:ascii="Verdana" w:hAnsi="Verdana" w:cs="Arial"/>
                <w:lang w:val="pt-BR"/>
              </w:rPr>
              <w:t xml:space="preserve">Rad. 25.646. </w:t>
            </w:r>
            <w:proofErr w:type="spellStart"/>
            <w:r w:rsidRPr="00D66E6D">
              <w:rPr>
                <w:rFonts w:ascii="Verdana" w:hAnsi="Verdana" w:cs="Arial"/>
                <w:lang w:val="pt-BR"/>
              </w:rPr>
              <w:t>Consejero</w:t>
            </w:r>
            <w:proofErr w:type="spellEnd"/>
            <w:r w:rsidRPr="00D66E6D">
              <w:rPr>
                <w:rFonts w:ascii="Verdana" w:hAnsi="Verdana" w:cs="Arial"/>
                <w:lang w:val="pt-BR"/>
              </w:rPr>
              <w:t xml:space="preserve"> </w:t>
            </w:r>
            <w:proofErr w:type="spellStart"/>
            <w:r w:rsidRPr="00D66E6D">
              <w:rPr>
                <w:rFonts w:ascii="Verdana" w:hAnsi="Verdana" w:cs="Arial"/>
                <w:lang w:val="pt-BR"/>
              </w:rPr>
              <w:t>Ponente</w:t>
            </w:r>
            <w:proofErr w:type="spellEnd"/>
            <w:r w:rsidRPr="00D66E6D">
              <w:rPr>
                <w:rFonts w:ascii="Verdana" w:hAnsi="Verdana" w:cs="Arial"/>
                <w:lang w:val="pt-BR"/>
              </w:rPr>
              <w:t xml:space="preserve">: Mauricio Fajardo Gómez.  </w:t>
            </w:r>
          </w:p>
          <w:p w14:paraId="078BD545" w14:textId="77777777" w:rsidR="00145A03" w:rsidRPr="00D66E6D" w:rsidRDefault="00145A03" w:rsidP="00697118">
            <w:pPr>
              <w:widowControl w:val="0"/>
              <w:autoSpaceDE w:val="0"/>
              <w:autoSpaceDN w:val="0"/>
              <w:spacing w:line="276" w:lineRule="auto"/>
              <w:jc w:val="both"/>
              <w:rPr>
                <w:rFonts w:ascii="Verdana" w:hAnsi="Verdana" w:cs="Arial"/>
              </w:rPr>
            </w:pPr>
          </w:p>
          <w:p w14:paraId="1A815D02" w14:textId="77777777" w:rsidR="00145A03" w:rsidRPr="007F4658" w:rsidRDefault="00145A03" w:rsidP="00145A03">
            <w:pPr>
              <w:pStyle w:val="Prrafodelista"/>
              <w:widowControl w:val="0"/>
              <w:numPr>
                <w:ilvl w:val="0"/>
                <w:numId w:val="17"/>
              </w:numPr>
              <w:autoSpaceDE w:val="0"/>
              <w:autoSpaceDN w:val="0"/>
              <w:spacing w:line="276" w:lineRule="auto"/>
              <w:ind w:left="357" w:hanging="357"/>
              <w:contextualSpacing w:val="0"/>
              <w:jc w:val="both"/>
              <w:rPr>
                <w:rFonts w:ascii="Verdana" w:hAnsi="Verdana" w:cs="Arial"/>
                <w:lang w:val="es-MX"/>
              </w:rPr>
            </w:pPr>
            <w:r w:rsidRPr="00D66E6D">
              <w:rPr>
                <w:rFonts w:ascii="Verdana" w:hAnsi="Verdana" w:cs="Arial"/>
                <w:color w:val="000000"/>
              </w:rPr>
              <w:t>Consejo de Estado. Sala de Consulta y Servicio Civil. Concepto del 30 de abril de 2015. Expediente: 2.251. Consejero Ponente: Álvaro Namén Vargas.</w:t>
            </w:r>
          </w:p>
          <w:p w14:paraId="6FD9DE41" w14:textId="77777777" w:rsidR="00145A03" w:rsidRPr="007F4658" w:rsidRDefault="00145A03" w:rsidP="00697118">
            <w:pPr>
              <w:pStyle w:val="Prrafodelista"/>
              <w:rPr>
                <w:rFonts w:ascii="Verdana" w:hAnsi="Verdana" w:cs="Arial"/>
                <w:color w:val="000000"/>
              </w:rPr>
            </w:pPr>
          </w:p>
          <w:p w14:paraId="14305D3A" w14:textId="77777777" w:rsidR="00145A03" w:rsidRPr="007F4658" w:rsidRDefault="00145A03" w:rsidP="00145A03">
            <w:pPr>
              <w:pStyle w:val="Prrafodelista"/>
              <w:widowControl w:val="0"/>
              <w:numPr>
                <w:ilvl w:val="0"/>
                <w:numId w:val="17"/>
              </w:numPr>
              <w:autoSpaceDE w:val="0"/>
              <w:autoSpaceDN w:val="0"/>
              <w:spacing w:line="276" w:lineRule="auto"/>
              <w:ind w:left="357" w:hanging="357"/>
              <w:contextualSpacing w:val="0"/>
              <w:jc w:val="both"/>
              <w:rPr>
                <w:rFonts w:ascii="Verdana" w:hAnsi="Verdana" w:cs="Arial"/>
                <w:lang w:val="es-MX"/>
              </w:rPr>
            </w:pPr>
            <w:r w:rsidRPr="007F4658">
              <w:rPr>
                <w:rFonts w:ascii="Verdana" w:hAnsi="Verdana" w:cs="Arial"/>
                <w:color w:val="000000"/>
              </w:rPr>
              <w:t xml:space="preserve">Consejo de Estado. Sección Tercera. Subsección A. Sentencia del 24 de junio de 2015. </w:t>
            </w:r>
            <w:proofErr w:type="spellStart"/>
            <w:r w:rsidRPr="007F4658">
              <w:rPr>
                <w:rFonts w:ascii="Verdana" w:hAnsi="Verdana" w:cs="Arial"/>
                <w:color w:val="000000"/>
              </w:rPr>
              <w:t>Exp</w:t>
            </w:r>
            <w:proofErr w:type="spellEnd"/>
            <w:r w:rsidRPr="007F4658">
              <w:rPr>
                <w:rFonts w:ascii="Verdana" w:hAnsi="Verdana" w:cs="Arial"/>
                <w:color w:val="000000"/>
              </w:rPr>
              <w:t>. 40.635. Consejero Ponente: Hernán Andrade Rincón (E).</w:t>
            </w:r>
          </w:p>
        </w:tc>
      </w:tr>
    </w:tbl>
    <w:p w14:paraId="0F41B278" w14:textId="77777777" w:rsidR="00145A03" w:rsidRPr="007C1C94" w:rsidRDefault="00145A03" w:rsidP="00145A03">
      <w:pPr>
        <w:widowControl w:val="0"/>
        <w:autoSpaceDE w:val="0"/>
        <w:autoSpaceDN w:val="0"/>
        <w:spacing w:after="0" w:line="276" w:lineRule="auto"/>
        <w:jc w:val="both"/>
        <w:rPr>
          <w:rFonts w:ascii="Verdana" w:hAnsi="Verdana" w:cs="Arial"/>
        </w:rPr>
      </w:pPr>
    </w:p>
    <w:p w14:paraId="66684EBA" w14:textId="77777777" w:rsidR="00145A03" w:rsidRPr="007C1C94" w:rsidRDefault="00145A03" w:rsidP="00145A0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7C1C94">
        <w:rPr>
          <w:rFonts w:ascii="Verdana" w:eastAsia="Century Gothic" w:hAnsi="Verdana" w:cs="Century Gothic"/>
          <w:b/>
          <w:bCs/>
        </w:rPr>
        <w:t>Doctrina de la Agencia Nacional de Contratación Pública:</w:t>
      </w:r>
    </w:p>
    <w:p w14:paraId="4AA12B0F" w14:textId="77777777" w:rsidR="00145A03" w:rsidRPr="007C1C94" w:rsidRDefault="00145A03" w:rsidP="00145A03">
      <w:pPr>
        <w:widowControl w:val="0"/>
        <w:autoSpaceDE w:val="0"/>
        <w:autoSpaceDN w:val="0"/>
        <w:spacing w:after="0" w:line="276" w:lineRule="auto"/>
        <w:jc w:val="both"/>
        <w:rPr>
          <w:rFonts w:ascii="Verdana" w:hAnsi="Verdana" w:cs="Arial"/>
        </w:rPr>
      </w:pPr>
    </w:p>
    <w:p w14:paraId="23FDB119" w14:textId="00D583A4" w:rsidR="00145A03" w:rsidRPr="007C1C94" w:rsidRDefault="00145A03" w:rsidP="00145A03">
      <w:pPr>
        <w:widowControl w:val="0"/>
        <w:autoSpaceDE w:val="0"/>
        <w:autoSpaceDN w:val="0"/>
        <w:spacing w:after="0" w:line="276" w:lineRule="auto"/>
        <w:jc w:val="both"/>
        <w:rPr>
          <w:rStyle w:val="normaltextrun"/>
          <w:rFonts w:ascii="Verdana" w:hAnsi="Verdana" w:cs="Arial"/>
          <w:shd w:val="clear" w:color="auto" w:fill="FFFFFF"/>
          <w:lang w:val="es-ES"/>
        </w:rPr>
      </w:pPr>
      <w:r w:rsidRPr="006E66BF">
        <w:rPr>
          <w:rFonts w:ascii="Verdana" w:eastAsia="Calibri" w:hAnsi="Verdana" w:cs="Arial"/>
          <w:lang w:val="es-ES_tradnl" w:eastAsia="es-ES_tradnl"/>
        </w:rPr>
        <w:lastRenderedPageBreak/>
        <w:t>L</w:t>
      </w:r>
      <w:r w:rsidRPr="006E66BF">
        <w:rPr>
          <w:rFonts w:ascii="Verdana" w:eastAsia="Times New Roman" w:hAnsi="Verdana" w:cs="Arial"/>
          <w:lang w:val="es-ES_tradnl" w:eastAsia="es-ES_tradnl"/>
        </w:rPr>
        <w:t xml:space="preserve">a Agencia Nacional de Contratación Pública ― Colombia Compra Eficiente analizó el régimen de inhabilidades e incompatibilidades en la contratación pública, sus criterios de interpretación –restrictivo y </w:t>
      </w:r>
      <w:r w:rsidRPr="006E66BF">
        <w:rPr>
          <w:rFonts w:ascii="Verdana" w:eastAsia="Times New Roman" w:hAnsi="Verdana" w:cs="Arial"/>
          <w:i/>
          <w:iCs/>
          <w:lang w:val="es-ES_tradnl" w:eastAsia="es-ES_tradnl"/>
        </w:rPr>
        <w:t xml:space="preserve">pro </w:t>
      </w:r>
      <w:proofErr w:type="spellStart"/>
      <w:r w:rsidRPr="006E66BF">
        <w:rPr>
          <w:rFonts w:ascii="Verdana" w:eastAsia="Times New Roman" w:hAnsi="Verdana" w:cs="Arial"/>
          <w:i/>
          <w:iCs/>
          <w:lang w:val="es-ES_tradnl" w:eastAsia="es-ES_tradnl"/>
        </w:rPr>
        <w:t>libertate</w:t>
      </w:r>
      <w:proofErr w:type="spellEnd"/>
      <w:r w:rsidRPr="006E66BF">
        <w:rPr>
          <w:rFonts w:ascii="Verdana" w:eastAsia="Times New Roman" w:hAnsi="Verdana" w:cs="Arial"/>
          <w:lang w:val="es-ES_tradnl" w:eastAsia="es-ES_tradnl"/>
        </w:rPr>
        <w:t>– y sus efectos en la capacidad contractual, entre otros, en los conceptos: C-090 del 24 de febrero de 2020, C-125 del 3 de marzo de 2020, C-157 del 17 de marzo de 2020, C-273 del 21 de mayo de 2020, C-402 del 26 de junio de 2020, C-386 del 24 de julio de 2020, C-701 del 6 de enero de 2021, C-004 del 12 de febrero de 2021, C-210 del 12 de mayo de 2021, C-275 del 11 de junio de 2021, C-449 del 31 de agosto de 2021, C-028 del 28 de febrero de 2022, C-318 del 18 de mayo de 2022, C-252 del 30 de mayo de 2022,</w:t>
      </w:r>
      <w:r>
        <w:rPr>
          <w:rFonts w:ascii="Verdana" w:eastAsia="Times New Roman" w:hAnsi="Verdana" w:cs="Arial"/>
          <w:lang w:val="es-ES_tradnl" w:eastAsia="es-ES_tradnl"/>
        </w:rPr>
        <w:t xml:space="preserve"> </w:t>
      </w:r>
      <w:r w:rsidRPr="006E66BF">
        <w:rPr>
          <w:rFonts w:ascii="Verdana" w:eastAsia="Times New Roman" w:hAnsi="Verdana" w:cs="Arial"/>
          <w:lang w:val="es-ES_tradnl" w:eastAsia="es-ES_tradnl"/>
        </w:rPr>
        <w:t>C-619 del 27 de septiembre de 2022,</w:t>
      </w:r>
      <w:r>
        <w:rPr>
          <w:rFonts w:ascii="Verdana" w:eastAsia="Times New Roman" w:hAnsi="Verdana" w:cs="Arial"/>
          <w:lang w:val="es-ES_tradnl" w:eastAsia="es-ES_tradnl"/>
        </w:rPr>
        <w:t xml:space="preserve"> C-205 del 12 de septiembre de 2024</w:t>
      </w:r>
      <w:r w:rsidR="00090594">
        <w:rPr>
          <w:rFonts w:ascii="Verdana" w:eastAsia="Times New Roman" w:hAnsi="Verdana" w:cs="Arial"/>
          <w:lang w:val="es-ES_tradnl" w:eastAsia="es-ES_tradnl"/>
        </w:rPr>
        <w:t>,</w:t>
      </w:r>
      <w:r>
        <w:rPr>
          <w:rFonts w:ascii="Verdana" w:eastAsia="Times New Roman" w:hAnsi="Verdana" w:cs="Arial"/>
          <w:lang w:val="es-ES_tradnl" w:eastAsia="es-ES_tradnl"/>
        </w:rPr>
        <w:t xml:space="preserve"> C-344 del 28 de abril de 2025</w:t>
      </w:r>
      <w:r w:rsidR="00362234">
        <w:rPr>
          <w:rFonts w:ascii="Verdana" w:eastAsia="Times New Roman" w:hAnsi="Verdana" w:cs="Arial"/>
          <w:lang w:val="es-ES_tradnl" w:eastAsia="es-ES_tradnl"/>
        </w:rPr>
        <w:t xml:space="preserve">, </w:t>
      </w:r>
      <w:r w:rsidR="00090594">
        <w:rPr>
          <w:rFonts w:ascii="Verdana" w:eastAsia="Times New Roman" w:hAnsi="Verdana" w:cs="Arial"/>
          <w:lang w:val="es-ES_tradnl" w:eastAsia="es-ES_tradnl"/>
        </w:rPr>
        <w:t>C-7</w:t>
      </w:r>
      <w:r w:rsidR="00C91B63">
        <w:rPr>
          <w:rFonts w:ascii="Verdana" w:eastAsia="Times New Roman" w:hAnsi="Verdana" w:cs="Arial"/>
          <w:lang w:val="es-ES_tradnl" w:eastAsia="es-ES_tradnl"/>
        </w:rPr>
        <w:t>92 del 25 de julio de 2025</w:t>
      </w:r>
      <w:r w:rsidR="005815DC">
        <w:rPr>
          <w:rFonts w:ascii="Verdana" w:eastAsia="Times New Roman" w:hAnsi="Verdana" w:cs="Arial"/>
          <w:lang w:val="es-ES_tradnl" w:eastAsia="es-ES_tradnl"/>
        </w:rPr>
        <w:t>,</w:t>
      </w:r>
      <w:r w:rsidR="00362234">
        <w:rPr>
          <w:rFonts w:ascii="Verdana" w:eastAsia="Times New Roman" w:hAnsi="Verdana" w:cs="Arial"/>
          <w:lang w:val="es-ES_tradnl" w:eastAsia="es-ES_tradnl"/>
        </w:rPr>
        <w:t xml:space="preserve"> C-827 del 5 de agosto de 2025</w:t>
      </w:r>
      <w:r>
        <w:rPr>
          <w:rFonts w:ascii="Verdana" w:eastAsia="Times New Roman" w:hAnsi="Verdana" w:cs="Arial"/>
          <w:lang w:val="es-ES_tradnl" w:eastAsia="es-ES_tradnl"/>
        </w:rPr>
        <w:t>,</w:t>
      </w:r>
      <w:r w:rsidR="005815DC" w:rsidRPr="005815DC">
        <w:t xml:space="preserve"> </w:t>
      </w:r>
      <w:r w:rsidR="005815DC" w:rsidRPr="005815DC">
        <w:rPr>
          <w:rFonts w:ascii="Verdana" w:eastAsia="Times New Roman" w:hAnsi="Verdana" w:cs="Arial"/>
          <w:lang w:val="es-ES_tradnl" w:eastAsia="es-ES_tradnl"/>
        </w:rPr>
        <w:t>C- 1873</w:t>
      </w:r>
      <w:r w:rsidR="005815DC">
        <w:rPr>
          <w:rFonts w:ascii="Verdana" w:eastAsia="Times New Roman" w:hAnsi="Verdana" w:cs="Arial"/>
          <w:lang w:val="es-ES_tradnl" w:eastAsia="es-ES_tradnl"/>
        </w:rPr>
        <w:t xml:space="preserve"> del 17 de enero de 2026,</w:t>
      </w:r>
      <w:r w:rsidRPr="006E66BF">
        <w:rPr>
          <w:rFonts w:ascii="Verdana" w:eastAsia="Times New Roman" w:hAnsi="Verdana" w:cs="Arial"/>
          <w:lang w:val="es-ES_tradnl" w:eastAsia="es-ES_tradnl"/>
        </w:rPr>
        <w:t xml:space="preserve"> entre otros</w:t>
      </w:r>
      <w:r w:rsidRPr="007C1C94">
        <w:rPr>
          <w:rStyle w:val="normaltextrun"/>
          <w:rFonts w:ascii="Verdana" w:hAnsi="Verdana" w:cs="Arial"/>
          <w:shd w:val="clear" w:color="auto" w:fill="FFFFFF"/>
          <w:lang w:val="es-ES"/>
        </w:rPr>
        <w:t>. Es</w:t>
      </w:r>
      <w:r w:rsidRPr="007C1C94">
        <w:rPr>
          <w:rFonts w:ascii="Verdana" w:hAnsi="Verdana"/>
        </w:rPr>
        <w:t>tos y otros conceptos se encuentran disponibles para consulta en el Sistema de relatoría de la Agencia, al cual se puede acceder a través del siguiente enlace:</w:t>
      </w:r>
      <w:r w:rsidRPr="007C1C94">
        <w:rPr>
          <w:rStyle w:val="normaltextrun"/>
          <w:rFonts w:ascii="Verdana" w:hAnsi="Verdana" w:cs="Arial"/>
          <w:shd w:val="clear" w:color="auto" w:fill="FFFFFF"/>
          <w:lang w:val="es-ES"/>
        </w:rPr>
        <w:t xml:space="preserve"> </w:t>
      </w:r>
      <w:hyperlink r:id="rId11" w:history="1">
        <w:r w:rsidRPr="007C1C94">
          <w:rPr>
            <w:rStyle w:val="Hipervnculo"/>
            <w:rFonts w:ascii="Verdana" w:hAnsi="Verdana" w:cs="Arial"/>
            <w:shd w:val="clear" w:color="auto" w:fill="FFFFFF"/>
            <w:lang w:val="es-ES"/>
          </w:rPr>
          <w:t>https://relatoria.colombiacompra.gov.co/busqueda/conceptos</w:t>
        </w:r>
      </w:hyperlink>
    </w:p>
    <w:p w14:paraId="567FCCF8" w14:textId="77777777" w:rsidR="00145A03" w:rsidRDefault="00145A03" w:rsidP="00145A03">
      <w:pPr>
        <w:widowControl w:val="0"/>
        <w:autoSpaceDE w:val="0"/>
        <w:autoSpaceDN w:val="0"/>
        <w:spacing w:after="0" w:line="276" w:lineRule="auto"/>
        <w:jc w:val="both"/>
        <w:rPr>
          <w:rStyle w:val="normaltextrun"/>
          <w:rFonts w:ascii="Verdana" w:hAnsi="Verdana" w:cs="Arial"/>
          <w:shd w:val="clear" w:color="auto" w:fill="FFFFFF"/>
          <w:lang w:val="es-ES"/>
        </w:rPr>
      </w:pPr>
    </w:p>
    <w:p w14:paraId="0BAE4DE7" w14:textId="77777777" w:rsidR="00B850D2" w:rsidRPr="00B850D2" w:rsidRDefault="00B850D2" w:rsidP="00B850D2">
      <w:pPr>
        <w:spacing w:after="0" w:line="276" w:lineRule="auto"/>
        <w:jc w:val="both"/>
        <w:rPr>
          <w:rFonts w:ascii="Verdana" w:eastAsia="Calibri" w:hAnsi="Verdana" w:cs="Arial"/>
          <w:shd w:val="clear" w:color="auto" w:fill="FFFFFF"/>
        </w:rPr>
      </w:pPr>
      <w:r w:rsidRPr="00B850D2">
        <w:rPr>
          <w:rFonts w:ascii="Verdana" w:eastAsia="Calibri"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2" w:history="1">
        <w:r w:rsidRPr="00B850D2">
          <w:rPr>
            <w:rFonts w:ascii="Verdana" w:eastAsia="Calibri" w:hAnsi="Verdana" w:cs="Arial"/>
            <w:color w:val="0000FF"/>
            <w:u w:val="single"/>
            <w:shd w:val="clear" w:color="auto" w:fill="FFFFFF"/>
          </w:rPr>
          <w:t>https://formacionvirtual.colombiacompra.gov.co/mod/page/view.php?id=3718</w:t>
        </w:r>
      </w:hyperlink>
      <w:r w:rsidRPr="00B850D2">
        <w:rPr>
          <w:rFonts w:ascii="Verdana" w:eastAsia="Calibri" w:hAnsi="Verdana" w:cs="Arial"/>
          <w:shd w:val="clear" w:color="auto" w:fill="FFFFFF"/>
        </w:rPr>
        <w:t xml:space="preserve"> </w:t>
      </w:r>
    </w:p>
    <w:p w14:paraId="38EF5F00" w14:textId="77777777" w:rsidR="00B850D2" w:rsidRPr="00B850D2" w:rsidRDefault="00B850D2" w:rsidP="00B850D2">
      <w:pPr>
        <w:spacing w:after="0" w:line="276" w:lineRule="auto"/>
        <w:jc w:val="both"/>
        <w:rPr>
          <w:rFonts w:ascii="Verdana" w:eastAsia="Calibri" w:hAnsi="Verdana" w:cs="Arial"/>
          <w:shd w:val="clear" w:color="auto" w:fill="FFFFFF"/>
        </w:rPr>
      </w:pPr>
    </w:p>
    <w:p w14:paraId="521C52CC" w14:textId="77777777" w:rsidR="00B850D2" w:rsidRPr="00B850D2" w:rsidRDefault="00B850D2" w:rsidP="00B850D2">
      <w:pPr>
        <w:spacing w:after="0" w:line="276" w:lineRule="auto"/>
        <w:jc w:val="both"/>
        <w:rPr>
          <w:rFonts w:ascii="Verdana" w:eastAsia="Calibri" w:hAnsi="Verdana" w:cs="Arial"/>
          <w:shd w:val="clear" w:color="auto" w:fill="FFFFFF"/>
        </w:rPr>
      </w:pPr>
      <w:r w:rsidRPr="00B850D2">
        <w:rPr>
          <w:rFonts w:ascii="Verdana" w:eastAsia="Calibri"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3" w:history="1">
        <w:r w:rsidRPr="00B850D2">
          <w:rPr>
            <w:rFonts w:ascii="Verdana" w:eastAsia="Calibri" w:hAnsi="Verdana" w:cs="Arial"/>
            <w:color w:val="0000FF"/>
            <w:u w:val="single"/>
            <w:shd w:val="clear" w:color="auto" w:fill="FFFFFF"/>
          </w:rPr>
          <w:t>https://www.colombiacompra.gov.co/normativa-y-relatoria/documentos-tipo</w:t>
        </w:r>
      </w:hyperlink>
    </w:p>
    <w:p w14:paraId="23A1471C" w14:textId="77777777" w:rsidR="00B850D2" w:rsidRPr="00B850D2" w:rsidRDefault="00B850D2" w:rsidP="00B850D2">
      <w:pPr>
        <w:spacing w:after="0" w:line="276" w:lineRule="auto"/>
        <w:jc w:val="both"/>
        <w:rPr>
          <w:rFonts w:ascii="Verdana" w:eastAsia="Calibri" w:hAnsi="Verdana" w:cs="Arial"/>
          <w:shd w:val="clear" w:color="auto" w:fill="FFFFFF"/>
        </w:rPr>
      </w:pPr>
    </w:p>
    <w:p w14:paraId="7D31BF55" w14:textId="77777777" w:rsidR="00B850D2" w:rsidRPr="00B850D2" w:rsidRDefault="00B850D2" w:rsidP="00B850D2">
      <w:pPr>
        <w:spacing w:after="0" w:line="276" w:lineRule="auto"/>
        <w:jc w:val="both"/>
        <w:rPr>
          <w:rFonts w:ascii="Verdana" w:eastAsia="Calibri" w:hAnsi="Verdana" w:cs="Arial"/>
          <w:shd w:val="clear" w:color="auto" w:fill="FFFFFF"/>
        </w:rPr>
      </w:pPr>
      <w:r w:rsidRPr="00B850D2">
        <w:rPr>
          <w:rFonts w:ascii="Verdana" w:eastAsia="Calibri" w:hAnsi="Verdana" w:cs="Arial"/>
          <w:shd w:val="clear" w:color="auto" w:fill="FFFFFF"/>
        </w:rPr>
        <w:lastRenderedPageBreak/>
        <w:t>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788608A0" w14:textId="77777777" w:rsidR="00B850D2" w:rsidRPr="00B850D2" w:rsidRDefault="00B850D2" w:rsidP="00B850D2">
      <w:pPr>
        <w:spacing w:after="0" w:line="276" w:lineRule="auto"/>
        <w:jc w:val="both"/>
        <w:rPr>
          <w:rFonts w:ascii="Verdana" w:eastAsia="Calibri" w:hAnsi="Verdana" w:cs="Arial"/>
          <w:color w:val="ED7D31" w:themeColor="accent2"/>
          <w:shd w:val="clear" w:color="auto" w:fill="FFFFFF"/>
        </w:rPr>
      </w:pPr>
    </w:p>
    <w:p w14:paraId="4905DFEE" w14:textId="77777777" w:rsidR="00B850D2" w:rsidRPr="00B850D2" w:rsidRDefault="00B850D2" w:rsidP="00B850D2">
      <w:pPr>
        <w:spacing w:after="0" w:line="256" w:lineRule="auto"/>
        <w:jc w:val="both"/>
        <w:rPr>
          <w:rFonts w:ascii="Verdana" w:eastAsia="Calibri" w:hAnsi="Verdana" w:cs="Arial"/>
          <w:shd w:val="clear" w:color="auto" w:fill="FFFFFF"/>
        </w:rPr>
      </w:pPr>
      <w:r w:rsidRPr="00B850D2">
        <w:rPr>
          <w:rFonts w:ascii="Verdana" w:eastAsia="Calibri" w:hAnsi="Verdana" w:cs="Arial"/>
          <w:shd w:val="clear" w:color="auto" w:fill="FFFFFF"/>
        </w:rPr>
        <w:t xml:space="preserve">Por último, lo invitamos a seguirnos en las redes sociales en las cuales se difunde información institucional: </w:t>
      </w:r>
    </w:p>
    <w:p w14:paraId="016C8668" w14:textId="77777777" w:rsidR="00B850D2" w:rsidRPr="00B850D2" w:rsidRDefault="00B850D2" w:rsidP="00B850D2">
      <w:pPr>
        <w:spacing w:after="0" w:line="256" w:lineRule="auto"/>
        <w:jc w:val="both"/>
        <w:rPr>
          <w:rFonts w:ascii="Verdana" w:eastAsia="Calibri" w:hAnsi="Verdana" w:cs="Arial"/>
          <w:shd w:val="clear" w:color="auto" w:fill="FFFFFF"/>
        </w:rPr>
      </w:pPr>
    </w:p>
    <w:p w14:paraId="3B6CE832" w14:textId="77777777" w:rsidR="00B850D2" w:rsidRPr="00B850D2" w:rsidRDefault="00B850D2" w:rsidP="00B850D2">
      <w:pPr>
        <w:spacing w:after="0" w:line="256" w:lineRule="auto"/>
        <w:jc w:val="both"/>
        <w:rPr>
          <w:rFonts w:ascii="Verdana" w:eastAsia="Calibri" w:hAnsi="Verdana" w:cs="Arial"/>
          <w:shd w:val="clear" w:color="auto" w:fill="FFFFFF"/>
        </w:rPr>
      </w:pPr>
      <w:r w:rsidRPr="00B850D2">
        <w:rPr>
          <w:rFonts w:ascii="Verdana" w:eastAsia="Calibri" w:hAnsi="Verdana" w:cs="Arial"/>
          <w:shd w:val="clear" w:color="auto" w:fill="FFFFFF"/>
        </w:rPr>
        <w:t xml:space="preserve">Twitter: </w:t>
      </w:r>
      <w:r w:rsidRPr="00B850D2">
        <w:rPr>
          <w:rFonts w:ascii="Verdana" w:eastAsia="Calibri" w:hAnsi="Verdana" w:cs="Times New Roman"/>
          <w:color w:val="0000FF"/>
          <w:u w:val="single"/>
          <w:lang w:val="es-ES"/>
        </w:rPr>
        <w:t>@colombiacompra</w:t>
      </w:r>
      <w:r w:rsidRPr="00B850D2">
        <w:rPr>
          <w:rFonts w:ascii="Verdana" w:eastAsia="Calibri" w:hAnsi="Verdana" w:cs="Times New Roman"/>
          <w:u w:val="single"/>
          <w:lang w:val="es-ES"/>
        </w:rPr>
        <w:t xml:space="preserve"> </w:t>
      </w:r>
    </w:p>
    <w:p w14:paraId="5C14AAA5" w14:textId="77777777" w:rsidR="00B850D2" w:rsidRPr="00B850D2" w:rsidRDefault="00B850D2" w:rsidP="00B850D2">
      <w:pPr>
        <w:spacing w:after="0" w:line="256" w:lineRule="auto"/>
        <w:jc w:val="both"/>
        <w:rPr>
          <w:rFonts w:ascii="Verdana" w:eastAsia="Calibri" w:hAnsi="Verdana" w:cs="Arial"/>
          <w:shd w:val="clear" w:color="auto" w:fill="FFFFFF"/>
        </w:rPr>
      </w:pPr>
      <w:r w:rsidRPr="00B850D2">
        <w:rPr>
          <w:rFonts w:ascii="Verdana" w:eastAsia="Calibri" w:hAnsi="Verdana" w:cs="Arial"/>
          <w:shd w:val="clear" w:color="auto" w:fill="FFFFFF"/>
        </w:rPr>
        <w:t>Facebook:</w:t>
      </w:r>
      <w:r w:rsidRPr="00B850D2">
        <w:rPr>
          <w:rFonts w:ascii="Verdana" w:eastAsia="Calibri" w:hAnsi="Verdana" w:cs="Times New Roman"/>
          <w:color w:val="0000FF"/>
          <w:u w:val="single"/>
          <w:lang w:val="es-ES"/>
        </w:rPr>
        <w:t xml:space="preserve"> </w:t>
      </w:r>
      <w:proofErr w:type="spellStart"/>
      <w:r w:rsidRPr="00B850D2">
        <w:rPr>
          <w:rFonts w:ascii="Verdana" w:eastAsia="Calibri" w:hAnsi="Verdana" w:cs="Times New Roman"/>
          <w:color w:val="0000FF"/>
          <w:u w:val="single"/>
          <w:lang w:val="es-ES"/>
        </w:rPr>
        <w:t>ColombiaCompraEficiente</w:t>
      </w:r>
      <w:proofErr w:type="spellEnd"/>
    </w:p>
    <w:p w14:paraId="1FE35123" w14:textId="77777777" w:rsidR="00B850D2" w:rsidRPr="00B850D2" w:rsidRDefault="00B850D2" w:rsidP="00B850D2">
      <w:pPr>
        <w:spacing w:after="0" w:line="256" w:lineRule="auto"/>
        <w:jc w:val="both"/>
        <w:rPr>
          <w:rFonts w:ascii="Verdana" w:eastAsia="Calibri" w:hAnsi="Verdana" w:cs="Arial"/>
          <w:shd w:val="clear" w:color="auto" w:fill="FFFFFF"/>
        </w:rPr>
      </w:pPr>
      <w:r w:rsidRPr="00B850D2">
        <w:rPr>
          <w:rFonts w:ascii="Verdana" w:eastAsia="Calibri" w:hAnsi="Verdana" w:cs="Arial"/>
          <w:shd w:val="clear" w:color="auto" w:fill="FFFFFF"/>
        </w:rPr>
        <w:t xml:space="preserve">LinkedIn: </w:t>
      </w:r>
      <w:r w:rsidRPr="00B850D2">
        <w:rPr>
          <w:rFonts w:ascii="Verdana" w:eastAsia="Calibri" w:hAnsi="Verdana" w:cs="Times New Roman"/>
          <w:color w:val="0000FF"/>
          <w:u w:val="single"/>
          <w:lang w:val="es-ES"/>
        </w:rPr>
        <w:t>Agencia Nacional de Contratación Pública - Colombia Compra Eficiente</w:t>
      </w:r>
      <w:r w:rsidRPr="00B850D2">
        <w:rPr>
          <w:rFonts w:ascii="Verdana" w:eastAsia="Calibri" w:hAnsi="Verdana" w:cs="Arial"/>
          <w:color w:val="0000FF"/>
          <w:shd w:val="clear" w:color="auto" w:fill="FFFFFF"/>
          <w:lang w:val="es-ES"/>
        </w:rPr>
        <w:t xml:space="preserve"> </w:t>
      </w:r>
    </w:p>
    <w:p w14:paraId="6EAC7358" w14:textId="77777777" w:rsidR="00B850D2" w:rsidRPr="00B850D2" w:rsidRDefault="00B850D2" w:rsidP="00B850D2">
      <w:pPr>
        <w:spacing w:after="0" w:line="256" w:lineRule="auto"/>
        <w:jc w:val="both"/>
        <w:rPr>
          <w:rFonts w:ascii="Verdana" w:eastAsia="Calibri" w:hAnsi="Verdana" w:cs="Arial"/>
          <w:shd w:val="clear" w:color="auto" w:fill="FFFFFF"/>
        </w:rPr>
      </w:pPr>
      <w:r w:rsidRPr="00B850D2">
        <w:rPr>
          <w:rFonts w:ascii="Verdana" w:eastAsia="Calibri" w:hAnsi="Verdana" w:cs="Arial"/>
          <w:shd w:val="clear" w:color="auto" w:fill="FFFFFF"/>
        </w:rPr>
        <w:t xml:space="preserve">Instagram: </w:t>
      </w:r>
      <w:r w:rsidRPr="00B850D2">
        <w:rPr>
          <w:rFonts w:ascii="Verdana" w:eastAsia="Calibri" w:hAnsi="Verdana" w:cs="Times New Roman"/>
          <w:color w:val="0000FF"/>
          <w:u w:val="single"/>
          <w:lang w:val="es-ES"/>
        </w:rPr>
        <w:t>@colombiacompraeficiente_cce</w:t>
      </w:r>
    </w:p>
    <w:p w14:paraId="68D1E9AF" w14:textId="77777777" w:rsidR="00B850D2" w:rsidRPr="00B850D2" w:rsidRDefault="00B850D2" w:rsidP="00B850D2">
      <w:pPr>
        <w:widowControl w:val="0"/>
        <w:autoSpaceDE w:val="0"/>
        <w:autoSpaceDN w:val="0"/>
        <w:spacing w:after="0" w:line="276" w:lineRule="auto"/>
        <w:jc w:val="both"/>
        <w:rPr>
          <w:rFonts w:ascii="Verdana" w:eastAsia="Calibri" w:hAnsi="Verdana" w:cs="Arial"/>
          <w:color w:val="ED7D31" w:themeColor="accent2"/>
          <w:lang w:val="es-ES"/>
        </w:rPr>
      </w:pPr>
    </w:p>
    <w:p w14:paraId="57FEBC02" w14:textId="77777777" w:rsidR="00B850D2" w:rsidRPr="00B850D2" w:rsidRDefault="00B850D2" w:rsidP="00B850D2">
      <w:pPr>
        <w:widowControl w:val="0"/>
        <w:autoSpaceDE w:val="0"/>
        <w:autoSpaceDN w:val="0"/>
        <w:spacing w:after="0" w:line="276" w:lineRule="auto"/>
        <w:jc w:val="both"/>
        <w:rPr>
          <w:rFonts w:ascii="Verdana" w:eastAsia="Calibri" w:hAnsi="Verdana" w:cs="Arial"/>
          <w:lang w:val="es-ES"/>
        </w:rPr>
      </w:pPr>
      <w:r w:rsidRPr="00B850D2">
        <w:rPr>
          <w:rFonts w:ascii="Verdana" w:eastAsia="Calibri"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627F85F8" w14:textId="77777777" w:rsidR="00B850D2" w:rsidRPr="00B850D2" w:rsidRDefault="00B850D2" w:rsidP="00B850D2">
      <w:pPr>
        <w:widowControl w:val="0"/>
        <w:autoSpaceDE w:val="0"/>
        <w:autoSpaceDN w:val="0"/>
        <w:spacing w:after="0" w:line="276" w:lineRule="auto"/>
        <w:jc w:val="both"/>
        <w:rPr>
          <w:rFonts w:ascii="Verdana" w:eastAsia="Calibri" w:hAnsi="Verdana" w:cs="Arial"/>
          <w:lang w:val="es-ES"/>
        </w:rPr>
      </w:pPr>
    </w:p>
    <w:p w14:paraId="514374DA" w14:textId="77777777" w:rsidR="00B850D2" w:rsidRPr="00B850D2" w:rsidRDefault="00B850D2" w:rsidP="00B850D2">
      <w:pPr>
        <w:spacing w:after="0" w:line="276" w:lineRule="auto"/>
        <w:rPr>
          <w:rFonts w:ascii="Verdana" w:eastAsia="Calibri" w:hAnsi="Verdana" w:cs="Arial"/>
          <w:lang w:val="es-ES" w:eastAsia="es-CO"/>
        </w:rPr>
      </w:pPr>
      <w:r w:rsidRPr="00B850D2">
        <w:rPr>
          <w:rFonts w:ascii="Verdana" w:eastAsia="Times New Roman" w:hAnsi="Verdana" w:cs="Arial"/>
          <w:lang w:val="es-ES" w:eastAsia="es-CO"/>
        </w:rPr>
        <w:t>Atentamente,</w:t>
      </w:r>
      <w:r w:rsidRPr="00B850D2">
        <w:rPr>
          <w:rFonts w:ascii="Verdana" w:eastAsia="Calibri" w:hAnsi="Verdana" w:cs="Arial"/>
          <w:lang w:val="es-ES" w:eastAsia="es-CO"/>
        </w:rPr>
        <w:t xml:space="preserve"> </w:t>
      </w:r>
    </w:p>
    <w:p w14:paraId="23E6AF68" w14:textId="77777777" w:rsidR="00B850D2" w:rsidRPr="00B850D2" w:rsidRDefault="00B850D2" w:rsidP="00B850D2">
      <w:pPr>
        <w:autoSpaceDE w:val="0"/>
        <w:autoSpaceDN w:val="0"/>
        <w:adjustRightInd w:val="0"/>
        <w:spacing w:after="0" w:line="276" w:lineRule="auto"/>
        <w:rPr>
          <w:rFonts w:ascii="Verdana" w:eastAsia="Calibri" w:hAnsi="Verdana" w:cs="Arial"/>
          <w:noProof/>
          <w:sz w:val="20"/>
          <w:szCs w:val="20"/>
        </w:rPr>
      </w:pPr>
    </w:p>
    <w:p w14:paraId="63E3E4F2" w14:textId="1C1F302E" w:rsidR="00B850D2" w:rsidRPr="00B850D2" w:rsidRDefault="00FC68F7" w:rsidP="00B850D2">
      <w:pPr>
        <w:spacing w:after="0" w:line="254" w:lineRule="auto"/>
        <w:jc w:val="center"/>
        <w:rPr>
          <w:rFonts w:ascii="Verdana" w:eastAsia="Times New Roman" w:hAnsi="Verdana" w:cs="Arial"/>
          <w:lang w:eastAsia="es-ES"/>
        </w:rPr>
      </w:pPr>
      <w:r w:rsidRPr="002C3AD6">
        <w:rPr>
          <w:rFonts w:ascii="Century Gothic" w:hAnsi="Century Gothic"/>
          <w:noProof/>
        </w:rPr>
        <w:drawing>
          <wp:inline distT="0" distB="0" distL="0" distR="0" wp14:anchorId="7388154C" wp14:editId="46A5F47A">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4"/>
                    <a:stretch>
                      <a:fillRect/>
                    </a:stretch>
                  </pic:blipFill>
                  <pic:spPr>
                    <a:xfrm>
                      <a:off x="0" y="0"/>
                      <a:ext cx="3772426" cy="1400370"/>
                    </a:xfrm>
                    <a:prstGeom prst="rect">
                      <a:avLst/>
                    </a:prstGeom>
                  </pic:spPr>
                </pic:pic>
              </a:graphicData>
            </a:graphic>
          </wp:inline>
        </w:drawing>
      </w:r>
    </w:p>
    <w:p w14:paraId="38D312A6" w14:textId="77777777" w:rsidR="00B850D2" w:rsidRPr="00B850D2" w:rsidRDefault="00B850D2" w:rsidP="00B850D2">
      <w:pPr>
        <w:spacing w:after="0" w:line="240" w:lineRule="auto"/>
        <w:jc w:val="center"/>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B850D2" w:rsidRPr="00B850D2" w14:paraId="7241A753" w14:textId="77777777">
        <w:trPr>
          <w:trHeight w:val="322"/>
        </w:trPr>
        <w:tc>
          <w:tcPr>
            <w:tcW w:w="733" w:type="dxa"/>
            <w:tcBorders>
              <w:top w:val="nil"/>
              <w:left w:val="nil"/>
              <w:bottom w:val="nil"/>
              <w:right w:val="nil"/>
            </w:tcBorders>
            <w:vAlign w:val="center"/>
            <w:hideMark/>
          </w:tcPr>
          <w:p w14:paraId="147F3204" w14:textId="77777777" w:rsidR="00B850D2" w:rsidRPr="00B850D2" w:rsidRDefault="00B850D2" w:rsidP="00B850D2">
            <w:pPr>
              <w:spacing w:after="0" w:line="240" w:lineRule="auto"/>
              <w:textAlignment w:val="baseline"/>
              <w:rPr>
                <w:rFonts w:ascii="Verdana" w:eastAsia="Times New Roman" w:hAnsi="Verdana" w:cs="Times New Roman"/>
                <w:sz w:val="16"/>
                <w:szCs w:val="16"/>
                <w:lang w:eastAsia="es-CO"/>
              </w:rPr>
            </w:pPr>
            <w:r w:rsidRPr="00B850D2">
              <w:rPr>
                <w:rFonts w:ascii="Verdana" w:eastAsia="Times New Roman" w:hAnsi="Verdana" w:cs="Times New Roman"/>
                <w:sz w:val="16"/>
                <w:szCs w:val="16"/>
                <w:lang w:val="es-MX" w:eastAsia="es-CO"/>
              </w:rPr>
              <w:lastRenderedPageBreak/>
              <w:t>Elaboró:         </w:t>
            </w:r>
            <w:r w:rsidRPr="00B850D2">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6EAE7068" w14:textId="77777777" w:rsidR="00B850D2" w:rsidRPr="00B850D2" w:rsidRDefault="00B850D2" w:rsidP="00B850D2">
            <w:pPr>
              <w:spacing w:after="0" w:line="254" w:lineRule="auto"/>
              <w:rPr>
                <w:rFonts w:ascii="Verdana" w:eastAsia="Times New Roman" w:hAnsi="Verdana" w:cs="Arial"/>
                <w:sz w:val="16"/>
                <w:szCs w:val="16"/>
                <w:lang w:val="es-ES_tradnl" w:eastAsia="es-ES"/>
              </w:rPr>
            </w:pPr>
            <w:r w:rsidRPr="00B850D2">
              <w:rPr>
                <w:rFonts w:ascii="Verdana" w:eastAsia="Times New Roman" w:hAnsi="Verdana" w:cs="Arial"/>
                <w:sz w:val="16"/>
                <w:szCs w:val="16"/>
                <w:lang w:val="es-ES_tradnl" w:eastAsia="es-ES"/>
              </w:rPr>
              <w:t>Ximena Ríos López</w:t>
            </w:r>
          </w:p>
          <w:p w14:paraId="351B4563" w14:textId="77777777" w:rsidR="00B850D2" w:rsidRPr="00B850D2" w:rsidRDefault="00B850D2" w:rsidP="00B850D2">
            <w:pPr>
              <w:autoSpaceDE w:val="0"/>
              <w:autoSpaceDN w:val="0"/>
              <w:adjustRightInd w:val="0"/>
              <w:spacing w:after="0" w:line="276" w:lineRule="auto"/>
              <w:rPr>
                <w:rFonts w:ascii="Verdana" w:eastAsia="Calibri" w:hAnsi="Verdana" w:cs="Arial"/>
              </w:rPr>
            </w:pPr>
            <w:r w:rsidRPr="00B850D2">
              <w:rPr>
                <w:rFonts w:ascii="Verdana" w:eastAsia="Times New Roman" w:hAnsi="Verdana" w:cs="Arial"/>
                <w:sz w:val="16"/>
                <w:szCs w:val="16"/>
                <w:lang w:eastAsia="es-ES"/>
              </w:rPr>
              <w:t>Gestor T1-11 de la Subdirección de Gestión Contractual</w:t>
            </w:r>
          </w:p>
        </w:tc>
      </w:tr>
      <w:tr w:rsidR="00B850D2" w:rsidRPr="00B850D2" w14:paraId="3C446334" w14:textId="77777777">
        <w:trPr>
          <w:trHeight w:val="322"/>
        </w:trPr>
        <w:tc>
          <w:tcPr>
            <w:tcW w:w="733" w:type="dxa"/>
            <w:tcBorders>
              <w:top w:val="nil"/>
              <w:left w:val="nil"/>
              <w:bottom w:val="nil"/>
              <w:right w:val="nil"/>
            </w:tcBorders>
            <w:vAlign w:val="center"/>
            <w:hideMark/>
          </w:tcPr>
          <w:p w14:paraId="5BBD1C7A" w14:textId="77777777" w:rsidR="00B850D2" w:rsidRPr="00B850D2" w:rsidRDefault="00B850D2" w:rsidP="00B850D2">
            <w:pPr>
              <w:spacing w:after="0" w:line="240" w:lineRule="auto"/>
              <w:textAlignment w:val="baseline"/>
              <w:rPr>
                <w:rFonts w:ascii="Verdana" w:eastAsia="Times New Roman" w:hAnsi="Verdana" w:cs="Times New Roman"/>
                <w:sz w:val="16"/>
                <w:szCs w:val="16"/>
                <w:lang w:eastAsia="es-CO"/>
              </w:rPr>
            </w:pPr>
            <w:r w:rsidRPr="00B850D2">
              <w:rPr>
                <w:rFonts w:ascii="Verdana" w:eastAsia="Times New Roman" w:hAnsi="Verdana" w:cs="Times New Roman"/>
                <w:sz w:val="16"/>
                <w:szCs w:val="16"/>
                <w:lang w:val="es-MX" w:eastAsia="es-CO"/>
              </w:rPr>
              <w:t>Revisó:</w:t>
            </w:r>
            <w:r w:rsidRPr="00B850D2">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00FA61F2" w14:textId="77777777" w:rsidR="00B850D2" w:rsidRPr="00B850D2" w:rsidRDefault="00B850D2" w:rsidP="00B850D2">
            <w:pPr>
              <w:spacing w:after="0" w:line="254" w:lineRule="auto"/>
              <w:rPr>
                <w:rFonts w:ascii="Verdana" w:eastAsia="Times New Roman" w:hAnsi="Verdana" w:cs="Arial"/>
                <w:sz w:val="16"/>
                <w:szCs w:val="16"/>
                <w:lang w:val="es-ES_tradnl" w:eastAsia="es-ES"/>
              </w:rPr>
            </w:pPr>
            <w:r w:rsidRPr="00B850D2">
              <w:rPr>
                <w:rFonts w:ascii="Verdana" w:eastAsia="Times New Roman" w:hAnsi="Verdana" w:cs="Arial"/>
                <w:sz w:val="16"/>
                <w:szCs w:val="16"/>
                <w:lang w:val="es-ES_tradnl" w:eastAsia="es-ES"/>
              </w:rPr>
              <w:t>Juan David Cárdenas</w:t>
            </w:r>
          </w:p>
          <w:p w14:paraId="208C2A6D" w14:textId="77777777" w:rsidR="00B850D2" w:rsidRPr="00B850D2" w:rsidRDefault="00B850D2" w:rsidP="00B850D2">
            <w:pPr>
              <w:autoSpaceDE w:val="0"/>
              <w:autoSpaceDN w:val="0"/>
              <w:adjustRightInd w:val="0"/>
              <w:spacing w:after="0" w:line="276" w:lineRule="auto"/>
              <w:rPr>
                <w:rFonts w:ascii="Verdana" w:eastAsia="Calibri" w:hAnsi="Verdana" w:cs="Arial"/>
              </w:rPr>
            </w:pPr>
            <w:r w:rsidRPr="00B850D2">
              <w:rPr>
                <w:rFonts w:ascii="Verdana" w:eastAsia="Times New Roman" w:hAnsi="Verdana" w:cs="Arial"/>
                <w:sz w:val="16"/>
                <w:szCs w:val="16"/>
                <w:lang w:eastAsia="es-ES"/>
              </w:rPr>
              <w:t>Contratista de la Subdirección de Gestión Contractual</w:t>
            </w:r>
          </w:p>
        </w:tc>
      </w:tr>
      <w:tr w:rsidR="00B850D2" w:rsidRPr="00B850D2" w14:paraId="5B980534" w14:textId="77777777">
        <w:trPr>
          <w:trHeight w:val="307"/>
        </w:trPr>
        <w:tc>
          <w:tcPr>
            <w:tcW w:w="733" w:type="dxa"/>
            <w:tcBorders>
              <w:top w:val="nil"/>
              <w:left w:val="nil"/>
              <w:bottom w:val="nil"/>
              <w:right w:val="nil"/>
            </w:tcBorders>
            <w:vAlign w:val="center"/>
            <w:hideMark/>
          </w:tcPr>
          <w:p w14:paraId="269E8B6F" w14:textId="77777777" w:rsidR="00B850D2" w:rsidRPr="00B850D2" w:rsidRDefault="00B850D2" w:rsidP="00B850D2">
            <w:pPr>
              <w:spacing w:after="0" w:line="240" w:lineRule="auto"/>
              <w:textAlignment w:val="baseline"/>
              <w:rPr>
                <w:rFonts w:ascii="Verdana" w:eastAsia="Times New Roman" w:hAnsi="Verdana" w:cs="Times New Roman"/>
                <w:sz w:val="16"/>
                <w:szCs w:val="16"/>
                <w:lang w:eastAsia="es-CO"/>
              </w:rPr>
            </w:pPr>
            <w:r w:rsidRPr="00B850D2">
              <w:rPr>
                <w:rFonts w:ascii="Verdana" w:eastAsia="Times New Roman" w:hAnsi="Verdana" w:cs="Times New Roman"/>
                <w:sz w:val="16"/>
                <w:szCs w:val="16"/>
                <w:lang w:val="es-MX" w:eastAsia="es-CO"/>
              </w:rPr>
              <w:t>Aprobó:</w:t>
            </w:r>
            <w:r w:rsidRPr="00B850D2">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2B57F2B3" w14:textId="77777777" w:rsidR="00B850D2" w:rsidRPr="00B850D2" w:rsidRDefault="00B850D2" w:rsidP="00B850D2">
            <w:pPr>
              <w:spacing w:after="0" w:line="254" w:lineRule="auto"/>
              <w:rPr>
                <w:rFonts w:ascii="Verdana" w:eastAsia="Times New Roman" w:hAnsi="Verdana" w:cs="Arial"/>
                <w:sz w:val="16"/>
                <w:szCs w:val="16"/>
                <w:lang w:eastAsia="es-ES"/>
              </w:rPr>
            </w:pPr>
            <w:r w:rsidRPr="00B850D2">
              <w:rPr>
                <w:rFonts w:ascii="Verdana" w:eastAsia="Times New Roman" w:hAnsi="Verdana" w:cs="Arial"/>
                <w:sz w:val="16"/>
                <w:szCs w:val="16"/>
                <w:lang w:eastAsia="es-ES"/>
              </w:rPr>
              <w:t>Carolina Quintero Gacharná</w:t>
            </w:r>
          </w:p>
          <w:p w14:paraId="68067A8B" w14:textId="77777777" w:rsidR="00B850D2" w:rsidRPr="00B850D2" w:rsidRDefault="00B850D2" w:rsidP="00B850D2">
            <w:pPr>
              <w:spacing w:after="0" w:line="254" w:lineRule="auto"/>
              <w:rPr>
                <w:rFonts w:ascii="Verdana" w:eastAsia="Times New Roman" w:hAnsi="Verdana" w:cs="Arial"/>
                <w:sz w:val="16"/>
                <w:szCs w:val="16"/>
                <w:lang w:eastAsia="es-ES"/>
              </w:rPr>
            </w:pPr>
            <w:r w:rsidRPr="00B850D2">
              <w:rPr>
                <w:rFonts w:ascii="Verdana" w:eastAsia="Times New Roman" w:hAnsi="Verdana" w:cs="Arial"/>
                <w:sz w:val="16"/>
                <w:szCs w:val="16"/>
                <w:lang w:eastAsia="es-ES"/>
              </w:rPr>
              <w:t>Subdirectora de Gestión Contractual ANCP – CCE</w:t>
            </w:r>
          </w:p>
        </w:tc>
      </w:tr>
    </w:tbl>
    <w:p w14:paraId="720C8C81" w14:textId="431B6A63" w:rsidR="00B850D2" w:rsidRPr="00B850D2" w:rsidRDefault="00B850D2" w:rsidP="00B850D2">
      <w:pPr>
        <w:autoSpaceDE w:val="0"/>
        <w:autoSpaceDN w:val="0"/>
        <w:adjustRightInd w:val="0"/>
        <w:spacing w:after="0" w:line="276" w:lineRule="auto"/>
        <w:jc w:val="center"/>
        <w:rPr>
          <w:rFonts w:ascii="Verdana" w:eastAsia="Calibri" w:hAnsi="Verdana" w:cs="Arial"/>
        </w:rPr>
      </w:pPr>
    </w:p>
    <w:p w14:paraId="6677314A" w14:textId="77777777" w:rsidR="00B850D2" w:rsidRPr="00B850D2" w:rsidRDefault="00B850D2" w:rsidP="00B850D2">
      <w:pPr>
        <w:spacing w:line="256" w:lineRule="auto"/>
        <w:rPr>
          <w:rFonts w:ascii="Calibri" w:eastAsia="Calibri" w:hAnsi="Calibri" w:cs="Times New Roman"/>
        </w:rPr>
      </w:pPr>
    </w:p>
    <w:p w14:paraId="32DAD65A" w14:textId="77777777" w:rsidR="00B850D2" w:rsidRPr="007C1C94" w:rsidRDefault="00B850D2" w:rsidP="00145A03">
      <w:pPr>
        <w:widowControl w:val="0"/>
        <w:autoSpaceDE w:val="0"/>
        <w:autoSpaceDN w:val="0"/>
        <w:spacing w:after="0" w:line="276" w:lineRule="auto"/>
        <w:jc w:val="both"/>
        <w:rPr>
          <w:rStyle w:val="normaltextrun"/>
          <w:rFonts w:ascii="Verdana" w:hAnsi="Verdana" w:cs="Arial"/>
          <w:shd w:val="clear" w:color="auto" w:fill="FFFFFF"/>
          <w:lang w:val="es-ES"/>
        </w:rPr>
      </w:pPr>
    </w:p>
    <w:sectPr w:rsidR="00B850D2" w:rsidRPr="007C1C94"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68279" w14:textId="77777777" w:rsidR="007C0105" w:rsidRDefault="007C0105" w:rsidP="004A1847">
      <w:pPr>
        <w:spacing w:after="0" w:line="240" w:lineRule="auto"/>
      </w:pPr>
      <w:r>
        <w:separator/>
      </w:r>
    </w:p>
  </w:endnote>
  <w:endnote w:type="continuationSeparator" w:id="0">
    <w:p w14:paraId="111B6DD6" w14:textId="77777777" w:rsidR="007C0105" w:rsidRDefault="007C0105"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Arial"/>
    <w:charset w:val="00"/>
    <w:family w:val="modern"/>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593AA28F" w:rsidR="006219F8" w:rsidRDefault="00D520D8"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00FA47C0" w:rsidRPr="004A305D">
      <w:rPr>
        <w:rFonts w:ascii="Century Gothic" w:eastAsia="Geo" w:hAnsi="Century Gothic" w:cs="Geo"/>
        <w:b/>
        <w:color w:val="000000"/>
        <w:sz w:val="16"/>
        <w:szCs w:val="16"/>
        <w:lang w:eastAsia="es-CO"/>
      </w:rPr>
      <w:t xml:space="preserve">Código: </w:t>
    </w:r>
    <w:r w:rsidR="00FA47C0" w:rsidRPr="004A305D">
      <w:rPr>
        <w:rFonts w:ascii="Century Gothic" w:eastAsia="Geo" w:hAnsi="Century Gothic" w:cs="Geo"/>
        <w:bCs/>
        <w:color w:val="000000"/>
        <w:sz w:val="16"/>
        <w:szCs w:val="16"/>
        <w:lang w:eastAsia="es-CO"/>
      </w:rPr>
      <w:t>CCE-</w:t>
    </w:r>
    <w:r w:rsidR="00FA47C0">
      <w:rPr>
        <w:rFonts w:ascii="Century Gothic" w:eastAsia="Geo" w:hAnsi="Century Gothic" w:cs="Geo"/>
        <w:bCs/>
        <w:color w:val="000000"/>
        <w:sz w:val="16"/>
        <w:szCs w:val="16"/>
        <w:lang w:eastAsia="es-CO"/>
      </w:rPr>
      <w:t>REC</w:t>
    </w:r>
    <w:r w:rsidR="00FA47C0" w:rsidRPr="004A305D">
      <w:rPr>
        <w:rFonts w:ascii="Century Gothic" w:eastAsia="Geo" w:hAnsi="Century Gothic" w:cs="Geo"/>
        <w:bCs/>
        <w:color w:val="000000"/>
        <w:sz w:val="16"/>
        <w:szCs w:val="16"/>
        <w:lang w:eastAsia="es-CO"/>
      </w:rPr>
      <w:t>-FM-</w:t>
    </w:r>
    <w:r w:rsidR="00FA47C0">
      <w:rPr>
        <w:rFonts w:ascii="Century Gothic" w:eastAsia="Geo" w:hAnsi="Century Gothic" w:cs="Geo"/>
        <w:bCs/>
        <w:color w:val="000000"/>
        <w:sz w:val="16"/>
        <w:szCs w:val="16"/>
        <w:lang w:eastAsia="es-CO"/>
      </w:rPr>
      <w:t>17</w:t>
    </w:r>
    <w:r w:rsidR="0025796E">
      <w:rPr>
        <w:rFonts w:ascii="Century Gothic" w:eastAsia="Geo" w:hAnsi="Century Gothic" w:cs="Geo"/>
        <w:bCs/>
        <w:color w:val="000000"/>
        <w:sz w:val="16"/>
        <w:szCs w:val="16"/>
        <w:lang w:eastAsia="es-CO"/>
      </w:rPr>
      <w:t xml:space="preserve"> </w:t>
    </w:r>
    <w:r w:rsidR="00FA47C0" w:rsidRPr="004A305D">
      <w:rPr>
        <w:rFonts w:ascii="Century Gothic" w:eastAsia="Geo" w:hAnsi="Century Gothic" w:cs="Geo"/>
        <w:b/>
        <w:color w:val="000000"/>
        <w:sz w:val="16"/>
        <w:szCs w:val="16"/>
        <w:lang w:eastAsia="es-CO"/>
      </w:rPr>
      <w:t>Versión</w:t>
    </w:r>
    <w:r w:rsidR="00FA47C0" w:rsidRPr="004A305D">
      <w:rPr>
        <w:rFonts w:ascii="Century Gothic" w:eastAsia="Arial Nova" w:hAnsi="Century Gothic" w:cs="Arial Nova"/>
        <w:b/>
        <w:color w:val="000000"/>
        <w:sz w:val="16"/>
        <w:szCs w:val="16"/>
        <w:lang w:eastAsia="es-CO"/>
      </w:rPr>
      <w:t xml:space="preserve">: </w:t>
    </w:r>
    <w:r w:rsidR="00FA47C0" w:rsidRPr="004A305D">
      <w:rPr>
        <w:rFonts w:ascii="Century Gothic" w:eastAsia="Geo" w:hAnsi="Century Gothic" w:cs="Geo"/>
        <w:sz w:val="16"/>
        <w:szCs w:val="16"/>
        <w:lang w:eastAsia="es-CO"/>
      </w:rPr>
      <w:t>0</w:t>
    </w:r>
    <w:r w:rsidR="00FA47C0">
      <w:rPr>
        <w:rFonts w:ascii="Century Gothic" w:eastAsia="Geo" w:hAnsi="Century Gothic" w:cs="Geo"/>
        <w:sz w:val="16"/>
        <w:szCs w:val="16"/>
        <w:lang w:eastAsia="es-CO"/>
      </w:rPr>
      <w:t>2</w:t>
    </w:r>
    <w:r w:rsidR="00FA47C0" w:rsidRPr="004A305D">
      <w:rPr>
        <w:rFonts w:ascii="Century Gothic" w:eastAsia="Geo" w:hAnsi="Century Gothic" w:cs="Geo"/>
        <w:sz w:val="16"/>
        <w:szCs w:val="16"/>
        <w:lang w:eastAsia="es-CO"/>
      </w:rPr>
      <w:t xml:space="preserve"> </w:t>
    </w:r>
    <w:r w:rsidR="0025796E">
      <w:rPr>
        <w:rFonts w:ascii="Century Gothic" w:eastAsia="Geo" w:hAnsi="Century Gothic" w:cs="Geo"/>
        <w:sz w:val="16"/>
        <w:szCs w:val="16"/>
        <w:lang w:eastAsia="es-CO"/>
      </w:rPr>
      <w:t>Fecha: 31-08-2023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8CECE" w14:textId="77777777" w:rsidR="007C0105" w:rsidRDefault="007C0105" w:rsidP="004A1847">
      <w:pPr>
        <w:spacing w:after="0" w:line="240" w:lineRule="auto"/>
      </w:pPr>
      <w:r>
        <w:separator/>
      </w:r>
    </w:p>
  </w:footnote>
  <w:footnote w:type="continuationSeparator" w:id="0">
    <w:p w14:paraId="31BE1993" w14:textId="77777777" w:rsidR="007C0105" w:rsidRDefault="007C0105" w:rsidP="004A1847">
      <w:pPr>
        <w:spacing w:after="0" w:line="240" w:lineRule="auto"/>
      </w:pPr>
      <w:r>
        <w:continuationSeparator/>
      </w:r>
    </w:p>
  </w:footnote>
  <w:footnote w:id="1">
    <w:p w14:paraId="44F2EC5E" w14:textId="77777777" w:rsidR="00145A03" w:rsidRPr="00435107" w:rsidRDefault="00145A03" w:rsidP="001879FD">
      <w:pPr>
        <w:pStyle w:val="Textonotapie"/>
        <w:ind w:firstLine="708"/>
        <w:contextualSpacing/>
        <w:jc w:val="both"/>
        <w:rPr>
          <w:rFonts w:ascii="Verdana" w:hAnsi="Verdana" w:cs="Arial"/>
          <w:sz w:val="16"/>
          <w:szCs w:val="16"/>
          <w:lang w:val="pt-BR"/>
        </w:rPr>
      </w:pPr>
      <w:r w:rsidRPr="00435107">
        <w:rPr>
          <w:rStyle w:val="Refdenotaalpie"/>
          <w:rFonts w:ascii="Verdana" w:hAnsi="Verdana" w:cs="Arial"/>
          <w:sz w:val="16"/>
          <w:szCs w:val="16"/>
        </w:rPr>
        <w:footnoteRef/>
      </w:r>
      <w:r w:rsidRPr="00435107">
        <w:rPr>
          <w:rFonts w:ascii="Verdana" w:hAnsi="Verdana" w:cs="Arial"/>
          <w:sz w:val="16"/>
          <w:szCs w:val="16"/>
        </w:rPr>
        <w:t xml:space="preserve"> Consejo De Estado. Sección Tercera. Subsección A. Sentencia del 13 de noviembre de 2013. </w:t>
      </w:r>
      <w:r w:rsidRPr="00435107">
        <w:rPr>
          <w:rFonts w:ascii="Verdana" w:hAnsi="Verdana" w:cs="Arial"/>
          <w:sz w:val="16"/>
          <w:szCs w:val="16"/>
          <w:lang w:val="pt-BR"/>
        </w:rPr>
        <w:t xml:space="preserve">Rad. 25.646. C.P. Mauricio Fajardo Gómez.  </w:t>
      </w:r>
    </w:p>
    <w:p w14:paraId="3662A82B" w14:textId="77777777" w:rsidR="00145A03" w:rsidRPr="00435107" w:rsidRDefault="00145A03" w:rsidP="001879FD">
      <w:pPr>
        <w:pStyle w:val="Textonotapie"/>
        <w:ind w:firstLine="708"/>
        <w:contextualSpacing/>
        <w:jc w:val="both"/>
        <w:rPr>
          <w:rFonts w:ascii="Verdana" w:hAnsi="Verdana" w:cs="Arial"/>
          <w:sz w:val="16"/>
          <w:szCs w:val="16"/>
          <w:lang w:val="pt-BR"/>
        </w:rPr>
      </w:pPr>
    </w:p>
  </w:footnote>
  <w:footnote w:id="2">
    <w:p w14:paraId="01DA412F" w14:textId="77777777" w:rsidR="00145A03" w:rsidRPr="00435107" w:rsidRDefault="00145A03" w:rsidP="001879FD">
      <w:pPr>
        <w:pStyle w:val="Textonotapie"/>
        <w:ind w:firstLine="708"/>
        <w:contextualSpacing/>
        <w:jc w:val="both"/>
        <w:rPr>
          <w:rFonts w:ascii="Verdana" w:hAnsi="Verdana" w:cs="Arial"/>
          <w:sz w:val="16"/>
          <w:szCs w:val="16"/>
        </w:rPr>
      </w:pPr>
      <w:r w:rsidRPr="00435107">
        <w:rPr>
          <w:rStyle w:val="Refdenotaalpie"/>
          <w:rFonts w:ascii="Verdana" w:hAnsi="Verdana" w:cs="Arial"/>
          <w:sz w:val="16"/>
          <w:szCs w:val="16"/>
        </w:rPr>
        <w:footnoteRef/>
      </w:r>
      <w:r w:rsidRPr="00435107">
        <w:rPr>
          <w:rFonts w:ascii="Verdana" w:hAnsi="Verdana" w:cs="Arial"/>
          <w:sz w:val="16"/>
          <w:szCs w:val="16"/>
          <w:lang w:val="pt-BR"/>
        </w:rPr>
        <w:t xml:space="preserve"> Corte Constitucional. </w:t>
      </w:r>
      <w:r w:rsidRPr="00435107">
        <w:rPr>
          <w:rFonts w:ascii="Verdana" w:hAnsi="Verdana" w:cs="Arial"/>
          <w:sz w:val="16"/>
          <w:szCs w:val="16"/>
        </w:rPr>
        <w:t xml:space="preserve">Sentencia C-780 de 2001. M.P. Jaime Córdoba Triviño. </w:t>
      </w:r>
    </w:p>
    <w:p w14:paraId="2D034719" w14:textId="77777777" w:rsidR="00145A03" w:rsidRPr="00435107" w:rsidRDefault="00145A03" w:rsidP="001879FD">
      <w:pPr>
        <w:pStyle w:val="Textonotapie"/>
        <w:ind w:firstLine="708"/>
        <w:contextualSpacing/>
        <w:jc w:val="both"/>
        <w:rPr>
          <w:rFonts w:ascii="Verdana" w:hAnsi="Verdana" w:cs="Arial"/>
          <w:sz w:val="16"/>
          <w:szCs w:val="16"/>
        </w:rPr>
      </w:pPr>
    </w:p>
  </w:footnote>
  <w:footnote w:id="3">
    <w:p w14:paraId="71CB4533" w14:textId="77777777" w:rsidR="00145A03" w:rsidRPr="00435107" w:rsidRDefault="00145A03" w:rsidP="001879FD">
      <w:pPr>
        <w:pStyle w:val="Textonotapie"/>
        <w:ind w:firstLine="709"/>
        <w:contextualSpacing/>
        <w:jc w:val="both"/>
        <w:rPr>
          <w:rFonts w:ascii="Verdana" w:hAnsi="Verdana" w:cs="Arial"/>
          <w:color w:val="000000"/>
          <w:sz w:val="16"/>
          <w:szCs w:val="16"/>
          <w:lang w:val="es-ES"/>
        </w:rPr>
      </w:pPr>
      <w:r w:rsidRPr="00435107">
        <w:rPr>
          <w:rStyle w:val="Refdenotaalpie"/>
          <w:rFonts w:ascii="Verdana" w:hAnsi="Verdana" w:cs="Arial"/>
          <w:sz w:val="16"/>
          <w:szCs w:val="16"/>
        </w:rPr>
        <w:footnoteRef/>
      </w:r>
      <w:r w:rsidRPr="00435107">
        <w:rPr>
          <w:rFonts w:ascii="Verdana" w:hAnsi="Verdana" w:cs="Arial"/>
          <w:color w:val="000000"/>
          <w:sz w:val="16"/>
          <w:szCs w:val="16"/>
        </w:rPr>
        <w:t xml:space="preserve"> </w:t>
      </w:r>
      <w:r w:rsidRPr="00435107">
        <w:rPr>
          <w:rFonts w:ascii="Verdana" w:hAnsi="Verdana" w:cs="Arial"/>
          <w:sz w:val="16"/>
          <w:szCs w:val="16"/>
          <w:lang w:val="pt-BR"/>
        </w:rPr>
        <w:t>Ibidem</w:t>
      </w:r>
      <w:r w:rsidRPr="00435107">
        <w:rPr>
          <w:rFonts w:ascii="Verdana" w:hAnsi="Verdana" w:cs="Arial"/>
          <w:color w:val="000000"/>
          <w:sz w:val="16"/>
          <w:szCs w:val="16"/>
          <w:lang w:val="es-ES"/>
        </w:rPr>
        <w:t>. Página 69.</w:t>
      </w:r>
    </w:p>
    <w:p w14:paraId="1E2AB26F" w14:textId="77777777" w:rsidR="00145A03" w:rsidRPr="00435107" w:rsidRDefault="00145A03" w:rsidP="001879FD">
      <w:pPr>
        <w:pStyle w:val="Textonotapie"/>
        <w:ind w:firstLine="709"/>
        <w:contextualSpacing/>
        <w:jc w:val="both"/>
        <w:rPr>
          <w:rFonts w:ascii="Verdana" w:hAnsi="Verdana" w:cs="Arial"/>
          <w:color w:val="000000"/>
          <w:sz w:val="16"/>
          <w:szCs w:val="16"/>
          <w:lang w:val="es-ES"/>
        </w:rPr>
      </w:pPr>
    </w:p>
  </w:footnote>
  <w:footnote w:id="4">
    <w:p w14:paraId="670C1E5E" w14:textId="77777777" w:rsidR="00145A03" w:rsidRPr="00435107" w:rsidRDefault="00145A03" w:rsidP="001879FD">
      <w:pPr>
        <w:pStyle w:val="Textonotapie"/>
        <w:ind w:firstLine="709"/>
        <w:contextualSpacing/>
        <w:jc w:val="both"/>
        <w:rPr>
          <w:rFonts w:ascii="Verdana" w:hAnsi="Verdana" w:cs="Arial"/>
          <w:color w:val="000000"/>
          <w:sz w:val="16"/>
          <w:szCs w:val="16"/>
          <w:lang w:val="es-ES"/>
        </w:rPr>
      </w:pPr>
      <w:r w:rsidRPr="00435107">
        <w:rPr>
          <w:rStyle w:val="Refdenotaalpie"/>
          <w:rFonts w:ascii="Verdana" w:hAnsi="Verdana" w:cs="Arial"/>
          <w:sz w:val="16"/>
          <w:szCs w:val="16"/>
        </w:rPr>
        <w:footnoteRef/>
      </w:r>
      <w:r w:rsidRPr="00435107">
        <w:rPr>
          <w:rFonts w:ascii="Verdana" w:hAnsi="Verdana" w:cs="Arial"/>
          <w:color w:val="000000"/>
          <w:sz w:val="16"/>
          <w:szCs w:val="16"/>
        </w:rPr>
        <w:t xml:space="preserve"> </w:t>
      </w:r>
      <w:bookmarkStart w:id="1" w:name="_Hlk177050025"/>
      <w:r w:rsidRPr="00435107">
        <w:rPr>
          <w:rFonts w:ascii="Verdana" w:hAnsi="Verdana" w:cs="Arial"/>
          <w:color w:val="000000"/>
          <w:sz w:val="16"/>
          <w:szCs w:val="16"/>
          <w:lang w:val="es-ES"/>
        </w:rPr>
        <w:t xml:space="preserve">Corte Constitucional. Sentencia T-1039 de 2006. </w:t>
      </w:r>
      <w:r w:rsidRPr="00435107">
        <w:rPr>
          <w:rFonts w:ascii="Verdana" w:hAnsi="Verdana" w:cs="Arial"/>
          <w:color w:val="000000"/>
          <w:sz w:val="16"/>
          <w:szCs w:val="16"/>
          <w:lang w:val="it-IT"/>
        </w:rPr>
        <w:t xml:space="preserve">Magistrado Ponente: Humberto Sierra Porto. </w:t>
      </w:r>
      <w:r w:rsidRPr="00435107">
        <w:rPr>
          <w:rFonts w:ascii="Verdana" w:hAnsi="Verdana" w:cs="Arial"/>
          <w:color w:val="000000"/>
          <w:sz w:val="16"/>
          <w:szCs w:val="16"/>
          <w:lang w:val="es-ES"/>
        </w:rPr>
        <w:t xml:space="preserve">La Corte ha mantenido este criterio en las sentencias: C-903 de 2008. Magistrado Ponente: Jaime Araujo Rentería; C-101 de 2018. Magistrada Ponente Gloria Stella Ortiz Delgado; entre otras. </w:t>
      </w:r>
    </w:p>
    <w:bookmarkEnd w:id="1"/>
    <w:p w14:paraId="56F5F861" w14:textId="77777777" w:rsidR="00145A03" w:rsidRPr="00435107" w:rsidRDefault="00145A03" w:rsidP="001879FD">
      <w:pPr>
        <w:pStyle w:val="Textonotapie"/>
        <w:ind w:firstLine="709"/>
        <w:contextualSpacing/>
        <w:jc w:val="both"/>
        <w:rPr>
          <w:rFonts w:ascii="Verdana" w:hAnsi="Verdana" w:cs="Arial"/>
          <w:color w:val="000000"/>
          <w:sz w:val="16"/>
          <w:szCs w:val="16"/>
          <w:lang w:val="es-ES"/>
        </w:rPr>
      </w:pPr>
    </w:p>
  </w:footnote>
  <w:footnote w:id="5">
    <w:p w14:paraId="35468139" w14:textId="77777777" w:rsidR="00145A03" w:rsidRPr="00435107" w:rsidRDefault="00145A03" w:rsidP="001879FD">
      <w:pPr>
        <w:pStyle w:val="Textonotapie"/>
        <w:ind w:firstLine="709"/>
        <w:contextualSpacing/>
        <w:jc w:val="both"/>
        <w:rPr>
          <w:rFonts w:ascii="Verdana" w:hAnsi="Verdana" w:cs="Arial"/>
          <w:color w:val="000000"/>
          <w:sz w:val="16"/>
          <w:szCs w:val="16"/>
          <w:lang w:val="es-ES"/>
        </w:rPr>
      </w:pPr>
      <w:r w:rsidRPr="00435107">
        <w:rPr>
          <w:rStyle w:val="Refdenotaalpie"/>
          <w:rFonts w:ascii="Verdana" w:hAnsi="Verdana" w:cs="Arial"/>
          <w:sz w:val="16"/>
          <w:szCs w:val="16"/>
        </w:rPr>
        <w:footnoteRef/>
      </w:r>
      <w:r w:rsidRPr="00435107">
        <w:rPr>
          <w:rFonts w:ascii="Verdana" w:hAnsi="Verdana" w:cs="Arial"/>
          <w:color w:val="000000"/>
          <w:sz w:val="16"/>
          <w:szCs w:val="16"/>
        </w:rPr>
        <w:t xml:space="preserve"> </w:t>
      </w:r>
      <w:r w:rsidRPr="00435107">
        <w:rPr>
          <w:rFonts w:ascii="Verdana" w:hAnsi="Verdana" w:cs="Arial"/>
          <w:color w:val="000000"/>
          <w:sz w:val="16"/>
          <w:szCs w:val="16"/>
          <w:lang w:val="es-ES"/>
        </w:rPr>
        <w:t>Consejo de Estado. Sala de Consulta y Servicio Civil. Concepto del 30 de abril de 2015. Expediente: 2.251. Consejero Ponente: Álvaro Namén Vargas.</w:t>
      </w:r>
    </w:p>
    <w:p w14:paraId="6CD83555" w14:textId="77777777" w:rsidR="00145A03" w:rsidRPr="00435107" w:rsidRDefault="00145A03" w:rsidP="001879FD">
      <w:pPr>
        <w:pStyle w:val="Textonotapie"/>
        <w:ind w:firstLine="709"/>
        <w:contextualSpacing/>
        <w:jc w:val="both"/>
        <w:rPr>
          <w:rFonts w:ascii="Verdana" w:hAnsi="Verdana" w:cs="Arial"/>
          <w:color w:val="000000"/>
          <w:sz w:val="16"/>
          <w:szCs w:val="16"/>
          <w:lang w:val="es-ES"/>
        </w:rPr>
      </w:pPr>
    </w:p>
  </w:footnote>
  <w:footnote w:id="6">
    <w:p w14:paraId="3D82DE9D" w14:textId="77777777" w:rsidR="00145A03" w:rsidRPr="00435107" w:rsidRDefault="00145A03" w:rsidP="001879FD">
      <w:pPr>
        <w:pStyle w:val="Textonotapie"/>
        <w:ind w:firstLine="709"/>
        <w:contextualSpacing/>
        <w:jc w:val="both"/>
        <w:rPr>
          <w:rFonts w:ascii="Verdana" w:hAnsi="Verdana" w:cs="Arial"/>
          <w:color w:val="000000"/>
          <w:sz w:val="16"/>
          <w:szCs w:val="16"/>
        </w:rPr>
      </w:pPr>
      <w:r w:rsidRPr="00435107">
        <w:rPr>
          <w:rStyle w:val="Refdenotaalpie"/>
          <w:rFonts w:ascii="Verdana" w:hAnsi="Verdana" w:cs="Arial"/>
          <w:sz w:val="16"/>
          <w:szCs w:val="16"/>
        </w:rPr>
        <w:footnoteRef/>
      </w:r>
      <w:r w:rsidRPr="00435107">
        <w:rPr>
          <w:rFonts w:ascii="Verdana" w:hAnsi="Verdana" w:cs="Arial"/>
          <w:color w:val="000000"/>
          <w:sz w:val="16"/>
          <w:szCs w:val="16"/>
        </w:rPr>
        <w:t xml:space="preserve"> Consejo de Estado. Sección Tercera. Subsección A. Sentencia del 24 de junio de 2015. </w:t>
      </w:r>
      <w:r w:rsidRPr="00435107">
        <w:rPr>
          <w:rFonts w:ascii="Verdana" w:hAnsi="Verdana" w:cs="Arial"/>
          <w:color w:val="000000"/>
          <w:sz w:val="16"/>
          <w:szCs w:val="16"/>
        </w:rPr>
        <w:t>Exp. 40.635. Consejero Ponente: Hernán Andrade Rincón (E).</w:t>
      </w:r>
    </w:p>
    <w:p w14:paraId="60A2F3B1" w14:textId="77777777" w:rsidR="00145A03" w:rsidRPr="00435107" w:rsidRDefault="00145A03" w:rsidP="001879FD">
      <w:pPr>
        <w:pStyle w:val="Textonotapie"/>
        <w:ind w:firstLine="709"/>
        <w:contextualSpacing/>
        <w:jc w:val="both"/>
        <w:rPr>
          <w:rFonts w:ascii="Verdana" w:hAnsi="Verdana" w:cs="Arial"/>
          <w:color w:val="000000"/>
          <w:sz w:val="16"/>
          <w:szCs w:val="16"/>
          <w:lang w:val="es-ES"/>
        </w:rPr>
      </w:pPr>
    </w:p>
  </w:footnote>
  <w:footnote w:id="7">
    <w:p w14:paraId="666BB227" w14:textId="77777777" w:rsidR="00145A03" w:rsidRPr="00435107" w:rsidRDefault="00145A03" w:rsidP="001879FD">
      <w:pPr>
        <w:pStyle w:val="Textonotapie"/>
        <w:ind w:firstLine="709"/>
        <w:contextualSpacing/>
        <w:jc w:val="both"/>
        <w:rPr>
          <w:rFonts w:ascii="Verdana" w:hAnsi="Verdana" w:cs="Arial"/>
          <w:color w:val="000000"/>
          <w:sz w:val="16"/>
          <w:szCs w:val="16"/>
        </w:rPr>
      </w:pPr>
      <w:r w:rsidRPr="00435107">
        <w:rPr>
          <w:rStyle w:val="Refdenotaalpie"/>
          <w:rFonts w:ascii="Verdana" w:hAnsi="Verdana" w:cs="Arial"/>
          <w:sz w:val="16"/>
          <w:szCs w:val="16"/>
        </w:rPr>
        <w:footnoteRef/>
      </w:r>
      <w:r w:rsidRPr="00435107">
        <w:rPr>
          <w:rFonts w:ascii="Verdana" w:hAnsi="Verdana" w:cs="Arial"/>
          <w:color w:val="000000"/>
          <w:sz w:val="16"/>
          <w:szCs w:val="16"/>
        </w:rPr>
        <w:t xml:space="preserve"> Consejo de Estado. Sección Tercera. Subsección C. Sentencia del 22 de mayo de 2013. </w:t>
      </w:r>
      <w:r w:rsidRPr="00435107">
        <w:rPr>
          <w:rFonts w:ascii="Verdana" w:hAnsi="Verdana" w:cs="Arial"/>
          <w:color w:val="000000"/>
          <w:sz w:val="16"/>
          <w:szCs w:val="16"/>
        </w:rPr>
        <w:t>Exp. 24.057. Consejera Ponente: Olga Melida Valle De De La Hoz.</w:t>
      </w:r>
    </w:p>
    <w:p w14:paraId="4C9E6EBD" w14:textId="77777777" w:rsidR="00145A03" w:rsidRPr="00435107" w:rsidRDefault="00145A03" w:rsidP="001879FD">
      <w:pPr>
        <w:pStyle w:val="Textonotapie"/>
        <w:ind w:firstLine="709"/>
        <w:contextualSpacing/>
        <w:jc w:val="both"/>
        <w:rPr>
          <w:rFonts w:ascii="Verdana" w:hAnsi="Verdana" w:cs="Arial"/>
          <w:color w:val="000000"/>
          <w:sz w:val="16"/>
          <w:szCs w:val="16"/>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pPr>
      <w:pStyle w:val="Encabezad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12DD542F">
          <wp:simplePos x="0" y="0"/>
          <wp:positionH relativeFrom="margin">
            <wp:align>center</wp:align>
          </wp:positionH>
          <wp:positionV relativeFrom="paragraph">
            <wp:posOffset>-345440</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3079FC11" w14:textId="77777777" w:rsidR="00DC39FC" w:rsidRDefault="00DC39FC" w:rsidP="004A305D">
    <w:pPr>
      <w:spacing w:after="0"/>
      <w:rPr>
        <w:rFonts w:ascii="Verdana" w:hAnsi="Verdana"/>
        <w:b/>
        <w:bCs/>
      </w:rPr>
    </w:pPr>
  </w:p>
  <w:p w14:paraId="7FE1230C" w14:textId="77E53D9F" w:rsidR="004A305D" w:rsidRPr="00DC39FC" w:rsidRDefault="004A305D" w:rsidP="004A305D">
    <w:pPr>
      <w:spacing w:after="0"/>
      <w:rPr>
        <w:rFonts w:ascii="Verdana" w:hAnsi="Verdana"/>
        <w:b/>
        <w:bCs/>
      </w:rPr>
    </w:pPr>
    <w:r w:rsidRPr="00DC39FC">
      <w:rPr>
        <w:rFonts w:ascii="Verdana" w:hAnsi="Verdana"/>
        <w:b/>
        <w:bCs/>
      </w:rPr>
      <w:t>FORMATO PQRSD</w:t>
    </w: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6D74A3CF" w:rsidR="008A446D" w:rsidRDefault="008A446D" w:rsidP="00061B2A">
    <w:pPr>
      <w:pStyle w:val="Encabezado"/>
      <w:spacing w:line="12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439"/>
    <w:rsid w:val="00010D0A"/>
    <w:rsid w:val="00016F78"/>
    <w:rsid w:val="00023905"/>
    <w:rsid w:val="00046945"/>
    <w:rsid w:val="000536D2"/>
    <w:rsid w:val="00054F18"/>
    <w:rsid w:val="00061B2A"/>
    <w:rsid w:val="00077AA3"/>
    <w:rsid w:val="0008012C"/>
    <w:rsid w:val="00082362"/>
    <w:rsid w:val="00090594"/>
    <w:rsid w:val="000A1D17"/>
    <w:rsid w:val="000A40A2"/>
    <w:rsid w:val="000A683E"/>
    <w:rsid w:val="000B19B9"/>
    <w:rsid w:val="000D0334"/>
    <w:rsid w:val="000D4917"/>
    <w:rsid w:val="000F1E76"/>
    <w:rsid w:val="000F6486"/>
    <w:rsid w:val="00123CC4"/>
    <w:rsid w:val="00125105"/>
    <w:rsid w:val="00127233"/>
    <w:rsid w:val="00145A03"/>
    <w:rsid w:val="001511A0"/>
    <w:rsid w:val="0016462A"/>
    <w:rsid w:val="001879FD"/>
    <w:rsid w:val="001A50A3"/>
    <w:rsid w:val="001E4177"/>
    <w:rsid w:val="001F7DC6"/>
    <w:rsid w:val="00203A90"/>
    <w:rsid w:val="002421BB"/>
    <w:rsid w:val="00253C67"/>
    <w:rsid w:val="0025796E"/>
    <w:rsid w:val="002707A2"/>
    <w:rsid w:val="00275235"/>
    <w:rsid w:val="002916B0"/>
    <w:rsid w:val="002951A0"/>
    <w:rsid w:val="002962BC"/>
    <w:rsid w:val="002A093D"/>
    <w:rsid w:val="002A0DD0"/>
    <w:rsid w:val="002A47EB"/>
    <w:rsid w:val="002A49AC"/>
    <w:rsid w:val="002A64FD"/>
    <w:rsid w:val="002C397F"/>
    <w:rsid w:val="002C7A84"/>
    <w:rsid w:val="002E4FD9"/>
    <w:rsid w:val="00311391"/>
    <w:rsid w:val="00314690"/>
    <w:rsid w:val="00322A85"/>
    <w:rsid w:val="00324168"/>
    <w:rsid w:val="003448F4"/>
    <w:rsid w:val="003455DF"/>
    <w:rsid w:val="00362234"/>
    <w:rsid w:val="00374F5E"/>
    <w:rsid w:val="00375F1A"/>
    <w:rsid w:val="00377E3E"/>
    <w:rsid w:val="003A779E"/>
    <w:rsid w:val="003B38FB"/>
    <w:rsid w:val="003B3BD7"/>
    <w:rsid w:val="003D0F4D"/>
    <w:rsid w:val="003D5B0D"/>
    <w:rsid w:val="003E01F0"/>
    <w:rsid w:val="003E0499"/>
    <w:rsid w:val="003F3941"/>
    <w:rsid w:val="00406575"/>
    <w:rsid w:val="00414C74"/>
    <w:rsid w:val="00421E85"/>
    <w:rsid w:val="0042722E"/>
    <w:rsid w:val="00433DEC"/>
    <w:rsid w:val="00435107"/>
    <w:rsid w:val="00444D02"/>
    <w:rsid w:val="0044528D"/>
    <w:rsid w:val="00447113"/>
    <w:rsid w:val="004A1847"/>
    <w:rsid w:val="004A305D"/>
    <w:rsid w:val="004F21C4"/>
    <w:rsid w:val="004F685F"/>
    <w:rsid w:val="00524BBA"/>
    <w:rsid w:val="00543915"/>
    <w:rsid w:val="005471BA"/>
    <w:rsid w:val="00552EE9"/>
    <w:rsid w:val="005534B6"/>
    <w:rsid w:val="005566E8"/>
    <w:rsid w:val="00574867"/>
    <w:rsid w:val="005815DC"/>
    <w:rsid w:val="00591460"/>
    <w:rsid w:val="005B3816"/>
    <w:rsid w:val="005C3777"/>
    <w:rsid w:val="005C5CDC"/>
    <w:rsid w:val="005D476C"/>
    <w:rsid w:val="00615A5A"/>
    <w:rsid w:val="006219F8"/>
    <w:rsid w:val="00625EEE"/>
    <w:rsid w:val="006432F3"/>
    <w:rsid w:val="00665D70"/>
    <w:rsid w:val="006900D9"/>
    <w:rsid w:val="006D5A71"/>
    <w:rsid w:val="00706C16"/>
    <w:rsid w:val="00756841"/>
    <w:rsid w:val="007649AB"/>
    <w:rsid w:val="00771D0C"/>
    <w:rsid w:val="007833AC"/>
    <w:rsid w:val="007B268C"/>
    <w:rsid w:val="007B7171"/>
    <w:rsid w:val="007C0105"/>
    <w:rsid w:val="007C0C0F"/>
    <w:rsid w:val="007C296E"/>
    <w:rsid w:val="007C3DC2"/>
    <w:rsid w:val="007D52CD"/>
    <w:rsid w:val="007E5497"/>
    <w:rsid w:val="00806F5F"/>
    <w:rsid w:val="0081233B"/>
    <w:rsid w:val="008164F8"/>
    <w:rsid w:val="00820278"/>
    <w:rsid w:val="00830AC7"/>
    <w:rsid w:val="00850013"/>
    <w:rsid w:val="00865F31"/>
    <w:rsid w:val="00867F95"/>
    <w:rsid w:val="008843B6"/>
    <w:rsid w:val="00891928"/>
    <w:rsid w:val="008A103A"/>
    <w:rsid w:val="008A446D"/>
    <w:rsid w:val="008C0EF5"/>
    <w:rsid w:val="008D180B"/>
    <w:rsid w:val="008D4596"/>
    <w:rsid w:val="008E3729"/>
    <w:rsid w:val="008F0EA7"/>
    <w:rsid w:val="008F3282"/>
    <w:rsid w:val="00910C53"/>
    <w:rsid w:val="00923EEF"/>
    <w:rsid w:val="00927EE1"/>
    <w:rsid w:val="0094171F"/>
    <w:rsid w:val="009419F9"/>
    <w:rsid w:val="0095685E"/>
    <w:rsid w:val="00961B09"/>
    <w:rsid w:val="00965334"/>
    <w:rsid w:val="0097093E"/>
    <w:rsid w:val="00986AC5"/>
    <w:rsid w:val="009A0DFA"/>
    <w:rsid w:val="009B2D26"/>
    <w:rsid w:val="009C69A0"/>
    <w:rsid w:val="009C71FA"/>
    <w:rsid w:val="009C72E7"/>
    <w:rsid w:val="009D3058"/>
    <w:rsid w:val="009F3A13"/>
    <w:rsid w:val="00A122D3"/>
    <w:rsid w:val="00A17F13"/>
    <w:rsid w:val="00A20739"/>
    <w:rsid w:val="00A24E30"/>
    <w:rsid w:val="00A27A11"/>
    <w:rsid w:val="00A33C78"/>
    <w:rsid w:val="00A8244C"/>
    <w:rsid w:val="00A87E79"/>
    <w:rsid w:val="00A970CC"/>
    <w:rsid w:val="00AB0ADB"/>
    <w:rsid w:val="00AC0A62"/>
    <w:rsid w:val="00AD484E"/>
    <w:rsid w:val="00B01B1A"/>
    <w:rsid w:val="00B424D7"/>
    <w:rsid w:val="00B6292F"/>
    <w:rsid w:val="00B66319"/>
    <w:rsid w:val="00B72CD3"/>
    <w:rsid w:val="00B72FFF"/>
    <w:rsid w:val="00B77E42"/>
    <w:rsid w:val="00B850D2"/>
    <w:rsid w:val="00BC3D36"/>
    <w:rsid w:val="00BD7F72"/>
    <w:rsid w:val="00BF3066"/>
    <w:rsid w:val="00BF4C9F"/>
    <w:rsid w:val="00C03CD7"/>
    <w:rsid w:val="00C04FB3"/>
    <w:rsid w:val="00C314C8"/>
    <w:rsid w:val="00C330EB"/>
    <w:rsid w:val="00C34DBF"/>
    <w:rsid w:val="00C41061"/>
    <w:rsid w:val="00C754BE"/>
    <w:rsid w:val="00C76B1C"/>
    <w:rsid w:val="00C82051"/>
    <w:rsid w:val="00C91B63"/>
    <w:rsid w:val="00CA0DB0"/>
    <w:rsid w:val="00CB6357"/>
    <w:rsid w:val="00CC1B26"/>
    <w:rsid w:val="00CC6693"/>
    <w:rsid w:val="00D423A2"/>
    <w:rsid w:val="00D520D8"/>
    <w:rsid w:val="00D63AC2"/>
    <w:rsid w:val="00D7383B"/>
    <w:rsid w:val="00D767C1"/>
    <w:rsid w:val="00DA231B"/>
    <w:rsid w:val="00DC39FC"/>
    <w:rsid w:val="00DD766B"/>
    <w:rsid w:val="00DF5254"/>
    <w:rsid w:val="00DF5811"/>
    <w:rsid w:val="00E137FE"/>
    <w:rsid w:val="00E16408"/>
    <w:rsid w:val="00E20894"/>
    <w:rsid w:val="00E245AB"/>
    <w:rsid w:val="00E2764C"/>
    <w:rsid w:val="00E27ECA"/>
    <w:rsid w:val="00E27F2E"/>
    <w:rsid w:val="00E36531"/>
    <w:rsid w:val="00E50063"/>
    <w:rsid w:val="00E50AFE"/>
    <w:rsid w:val="00E75C92"/>
    <w:rsid w:val="00E771DC"/>
    <w:rsid w:val="00E86A98"/>
    <w:rsid w:val="00E8772A"/>
    <w:rsid w:val="00E90F6B"/>
    <w:rsid w:val="00E92C27"/>
    <w:rsid w:val="00EA0E3D"/>
    <w:rsid w:val="00EC38A7"/>
    <w:rsid w:val="00ED7384"/>
    <w:rsid w:val="00EE1AA8"/>
    <w:rsid w:val="00F012DC"/>
    <w:rsid w:val="00F17EFB"/>
    <w:rsid w:val="00F31EDC"/>
    <w:rsid w:val="00F41FFD"/>
    <w:rsid w:val="00F462B3"/>
    <w:rsid w:val="00F53BC5"/>
    <w:rsid w:val="00F5664F"/>
    <w:rsid w:val="00F666C4"/>
    <w:rsid w:val="00F76AFC"/>
    <w:rsid w:val="00FA47C0"/>
    <w:rsid w:val="00FB117F"/>
    <w:rsid w:val="00FB5DD1"/>
    <w:rsid w:val="00FC2B5D"/>
    <w:rsid w:val="00FC68F7"/>
    <w:rsid w:val="00FF1449"/>
    <w:rsid w:val="00FF7583"/>
    <w:rsid w:val="06A53C2E"/>
    <w:rsid w:val="08563608"/>
    <w:rsid w:val="0BA2B688"/>
    <w:rsid w:val="165E9519"/>
    <w:rsid w:val="16900766"/>
    <w:rsid w:val="1C08B981"/>
    <w:rsid w:val="33F06424"/>
    <w:rsid w:val="36D3A4DD"/>
    <w:rsid w:val="382536D9"/>
    <w:rsid w:val="38DAF911"/>
    <w:rsid w:val="3ADF333B"/>
    <w:rsid w:val="49B0D12A"/>
    <w:rsid w:val="5E28D450"/>
    <w:rsid w:val="6EFDAB80"/>
    <w:rsid w:val="76AA60DA"/>
    <w:rsid w:val="7B6AA7A6"/>
    <w:rsid w:val="7C1839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145A03"/>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45A03"/>
    <w:rPr>
      <w:rFonts w:ascii="Geomanist Light" w:hAnsi="Geomanist Light"/>
      <w:lang w:val="es-ES"/>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AC0A62"/>
    <w:rPr>
      <w:b/>
      <w:bCs/>
    </w:rPr>
  </w:style>
  <w:style w:type="character" w:customStyle="1" w:styleId="AsuntodelcomentarioCar">
    <w:name w:val="Asunto del comentario Car"/>
    <w:basedOn w:val="TextocomentarioCar"/>
    <w:link w:val="Asuntodelcomentario"/>
    <w:uiPriority w:val="99"/>
    <w:semiHidden/>
    <w:rsid w:val="00AC0A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normativa-y-relatoria/documentos-tip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acionvirtual.colombiacompra.gov.co/mod/page/view.php?id=371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85dbaf-23eb-4e57-a637-93dcacc8b1a1">
      <Terms xmlns="http://schemas.microsoft.com/office/infopath/2007/PartnerControls"/>
    </lcf76f155ced4ddcb4097134ff3c332f>
    <TaxCatchAll xmlns="a6cb9e4b-f1d1-4245-83ec-6cad768d538a" xsi:nil="true"/>
    <No xmlns="9d85dbaf-23eb-4e57-a637-93dcacc8b1a1" xsi:nil="true"/>
    <_Flow_SignoffStatus xmlns="9d85dbaf-23eb-4e57-a637-93dcacc8b1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592fe157-d5c2-474d-aeb4-2e8e8fcba8d3"/>
    <ds:schemaRef ds:uri="8ae15d26-076e-464e-81a7-6f76a0fb3917"/>
  </ds:schemaRefs>
</ds:datastoreItem>
</file>

<file path=customXml/itemProps2.xml><?xml version="1.0" encoding="utf-8"?>
<ds:datastoreItem xmlns:ds="http://schemas.openxmlformats.org/officeDocument/2006/customXml" ds:itemID="{B57D02E3-D6D3-46D5-AB79-4C3D9F9A4E53}"/>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35</TotalTime>
  <Pages>17</Pages>
  <Words>5122</Words>
  <Characters>28176</Characters>
  <Application>Microsoft Office Word</Application>
  <DocSecurity>0</DocSecurity>
  <Lines>234</Lines>
  <Paragraphs>66</Paragraphs>
  <ScaleCrop>false</ScaleCrop>
  <Company/>
  <LinksUpToDate>false</LinksUpToDate>
  <CharactersWithSpaces>33232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Ximena Ríos López</cp:lastModifiedBy>
  <cp:revision>31</cp:revision>
  <cp:lastPrinted>2023-01-10T21:18:00Z</cp:lastPrinted>
  <dcterms:created xsi:type="dcterms:W3CDTF">2026-06-22T21:55:00Z</dcterms:created>
  <dcterms:modified xsi:type="dcterms:W3CDTF">2026-07-15T14:55:00Z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