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1E21B" w14:textId="77777777" w:rsidR="00C254CF" w:rsidRPr="005A0C24" w:rsidRDefault="00C254CF" w:rsidP="005A0C24">
      <w:pPr>
        <w:snapToGrid w:val="0"/>
        <w:spacing w:after="0" w:line="240" w:lineRule="auto"/>
        <w:contextualSpacing/>
        <w:jc w:val="both"/>
        <w:rPr>
          <w:rFonts w:ascii="Verdana" w:eastAsia="Calibri" w:hAnsi="Verdana" w:cs="Arial"/>
          <w:b/>
          <w:lang w:val="es-ES" w:eastAsia="es-ES"/>
        </w:rPr>
      </w:pPr>
      <w:bookmarkStart w:id="0" w:name="_Hlk143780582"/>
      <w:r w:rsidRPr="005A0C24">
        <w:rPr>
          <w:rFonts w:ascii="Verdana" w:eastAsia="Calibri" w:hAnsi="Verdana" w:cs="Arial"/>
          <w:b/>
          <w:lang w:val="es-ES" w:eastAsia="es-ES"/>
        </w:rPr>
        <w:t>PROPONENTE PLURAL – Consorcios y Uniones Temporales – Capacidad jurídica – Concepto</w:t>
      </w:r>
    </w:p>
    <w:p w14:paraId="61C13AC7" w14:textId="77777777" w:rsidR="005A0C24" w:rsidRDefault="005A0C24" w:rsidP="005A0C24">
      <w:pPr>
        <w:snapToGrid w:val="0"/>
        <w:spacing w:after="0" w:line="240" w:lineRule="auto"/>
        <w:contextualSpacing/>
        <w:jc w:val="both"/>
        <w:rPr>
          <w:rFonts w:ascii="Verdana" w:eastAsia="Calibri" w:hAnsi="Verdana" w:cs="Arial"/>
          <w:color w:val="000000"/>
          <w:sz w:val="20"/>
          <w:szCs w:val="20"/>
          <w:lang w:val="es-ES"/>
        </w:rPr>
      </w:pPr>
    </w:p>
    <w:p w14:paraId="02DBEE62" w14:textId="6FE93C75" w:rsidR="00C254CF" w:rsidRPr="005A0C24" w:rsidRDefault="00C254CF" w:rsidP="005A0C24">
      <w:pPr>
        <w:snapToGrid w:val="0"/>
        <w:spacing w:after="0" w:line="240" w:lineRule="auto"/>
        <w:contextualSpacing/>
        <w:jc w:val="both"/>
        <w:rPr>
          <w:rFonts w:ascii="Verdana" w:eastAsia="Calibri" w:hAnsi="Verdana" w:cs="Arial"/>
          <w:color w:val="000000"/>
          <w:sz w:val="20"/>
          <w:szCs w:val="20"/>
          <w:lang w:val="es-ES"/>
        </w:rPr>
      </w:pPr>
      <w:r w:rsidRPr="005A0C24">
        <w:rPr>
          <w:rFonts w:ascii="Verdana" w:eastAsia="Calibri" w:hAnsi="Verdana" w:cs="Arial"/>
          <w:color w:val="000000"/>
          <w:sz w:val="20"/>
          <w:szCs w:val="20"/>
          <w:lang w:val="es-ES"/>
        </w:rPr>
        <w:t>Con respecto a la estructuras plurales es preciso resaltar que los consorcios y uniones temporales no son personas jurídicas, sino entes creados por el acuerdo de voluntades de sus miembros, facultados por la ley y el contrato consorcial para celebrar y ejecutar contratos con Entidades Estatales y para ser parte en procesos administrativos derivados de aquellos.</w:t>
      </w:r>
      <w:r w:rsidRPr="005A0C24">
        <w:rPr>
          <w:sz w:val="20"/>
          <w:szCs w:val="20"/>
          <w:lang w:val="es-ES"/>
        </w:rPr>
        <w:t xml:space="preserve"> </w:t>
      </w:r>
      <w:r w:rsidRPr="005A0C24">
        <w:rPr>
          <w:rFonts w:ascii="Verdana" w:eastAsia="Calibri" w:hAnsi="Verdana" w:cs="Arial"/>
          <w:color w:val="000000"/>
          <w:sz w:val="20"/>
          <w:szCs w:val="20"/>
          <w:lang w:val="es-ES"/>
        </w:rPr>
        <w:t>Al no ser personas jurídicas, su creación convencional se logra mediante un acuerdo privado en el que concurre la voluntad de sus integrantes para regular su objeto, la participación de los miembros, las obligaciones frente al proyecto, la responsabilidad y la forma en que rigen sus relaciones internas.</w:t>
      </w:r>
    </w:p>
    <w:p w14:paraId="30034A7E" w14:textId="77777777" w:rsidR="005A0C24" w:rsidRDefault="005A0C24" w:rsidP="005A0C24">
      <w:pPr>
        <w:snapToGrid w:val="0"/>
        <w:spacing w:after="0" w:line="240" w:lineRule="auto"/>
        <w:contextualSpacing/>
        <w:jc w:val="both"/>
        <w:rPr>
          <w:rFonts w:ascii="Verdana" w:eastAsia="Calibri" w:hAnsi="Verdana" w:cs="Arial"/>
          <w:color w:val="000000"/>
          <w:sz w:val="20"/>
          <w:szCs w:val="20"/>
          <w:lang w:val="es-ES"/>
        </w:rPr>
      </w:pPr>
    </w:p>
    <w:p w14:paraId="3D8A6F48" w14:textId="2C4D6408" w:rsidR="00C254CF" w:rsidRDefault="00C254CF" w:rsidP="005A0C24">
      <w:pPr>
        <w:snapToGrid w:val="0"/>
        <w:spacing w:after="0" w:line="240" w:lineRule="auto"/>
        <w:contextualSpacing/>
        <w:jc w:val="both"/>
        <w:rPr>
          <w:rFonts w:ascii="Verdana" w:eastAsia="Calibri" w:hAnsi="Verdana" w:cs="Arial"/>
          <w:color w:val="000000"/>
          <w:sz w:val="20"/>
          <w:szCs w:val="20"/>
          <w:lang w:val="es-ES"/>
        </w:rPr>
      </w:pPr>
      <w:r w:rsidRPr="005A0C24">
        <w:rPr>
          <w:rFonts w:ascii="Verdana" w:eastAsia="Calibri" w:hAnsi="Verdana" w:cs="Arial"/>
          <w:color w:val="000000"/>
          <w:sz w:val="20"/>
          <w:szCs w:val="20"/>
          <w:lang w:val="es-ES"/>
        </w:rPr>
        <w:t>En línea con lo anterior, la capacidad para participar en la adjudicación, celebración y ejecución de contratos estatales del proponente plural depende de que los integrantes adopten la decisión conjunta de presentar una misma propuesta y de que el objeto del consorcio o unión temporal esté alineado con el contrato a ejecutar. Es decir, la capacidad del proponente plural para participar en los procesos de contratación estatal y para ejecutar este tipo de negocios jurídicos se deriva de la de sus integrantes, pues no tiene una propia.</w:t>
      </w:r>
    </w:p>
    <w:p w14:paraId="008C4A75" w14:textId="77777777" w:rsidR="005A0C24" w:rsidRPr="005A0C24" w:rsidRDefault="005A0C24" w:rsidP="005A0C24">
      <w:pPr>
        <w:snapToGrid w:val="0"/>
        <w:spacing w:after="0" w:line="240" w:lineRule="auto"/>
        <w:contextualSpacing/>
        <w:jc w:val="both"/>
        <w:rPr>
          <w:rFonts w:ascii="Verdana" w:eastAsia="Calibri" w:hAnsi="Verdana" w:cs="Arial"/>
          <w:color w:val="000000"/>
          <w:sz w:val="20"/>
          <w:szCs w:val="20"/>
          <w:lang w:val="es-ES"/>
        </w:rPr>
      </w:pPr>
    </w:p>
    <w:p w14:paraId="3A8A9942" w14:textId="386EFA37" w:rsidR="00C254CF" w:rsidRPr="005A0C24" w:rsidRDefault="00C254CF" w:rsidP="005A0C24">
      <w:pPr>
        <w:snapToGrid w:val="0"/>
        <w:spacing w:after="0" w:line="240" w:lineRule="auto"/>
        <w:contextualSpacing/>
        <w:jc w:val="both"/>
        <w:rPr>
          <w:rFonts w:ascii="Verdana" w:eastAsia="Calibri" w:hAnsi="Verdana" w:cs="Arial"/>
          <w:b/>
          <w:bCs/>
          <w:lang w:val="es-ES" w:eastAsia="es-ES"/>
        </w:rPr>
      </w:pPr>
      <w:r w:rsidRPr="005A0C24">
        <w:rPr>
          <w:rFonts w:ascii="Verdana" w:eastAsia="Calibri" w:hAnsi="Verdana" w:cs="Arial"/>
          <w:b/>
          <w:bCs/>
          <w:lang w:val="es-ES" w:eastAsia="es-ES"/>
        </w:rPr>
        <w:t>CONSORCIOS Y UNIONES TEMPORALES – Capacidad para contratar – Inhabilidades de sus miembros</w:t>
      </w:r>
    </w:p>
    <w:p w14:paraId="29A0CD62" w14:textId="77777777" w:rsidR="005A0C24" w:rsidRDefault="005A0C24" w:rsidP="005A0C24">
      <w:pPr>
        <w:snapToGrid w:val="0"/>
        <w:contextualSpacing/>
        <w:jc w:val="both"/>
        <w:rPr>
          <w:rFonts w:ascii="Verdana" w:eastAsia="Arial" w:hAnsi="Verdana" w:cs="Arial"/>
          <w:sz w:val="20"/>
          <w:szCs w:val="20"/>
          <w:lang w:val="es-ES"/>
        </w:rPr>
      </w:pPr>
    </w:p>
    <w:p w14:paraId="2CC887AD" w14:textId="2111240D" w:rsidR="00C254CF" w:rsidRPr="005A0C24" w:rsidRDefault="00C254CF" w:rsidP="005A0C24">
      <w:pPr>
        <w:snapToGrid w:val="0"/>
        <w:spacing w:after="0" w:line="240" w:lineRule="auto"/>
        <w:contextualSpacing/>
        <w:jc w:val="both"/>
        <w:rPr>
          <w:rFonts w:ascii="Verdana" w:eastAsia="Arial" w:hAnsi="Verdana" w:cs="Arial"/>
          <w:sz w:val="20"/>
          <w:szCs w:val="20"/>
          <w:lang w:val="es-ES"/>
        </w:rPr>
      </w:pPr>
      <w:r w:rsidRPr="005A0C24">
        <w:rPr>
          <w:rFonts w:ascii="Verdana" w:eastAsia="Arial" w:hAnsi="Verdana" w:cs="Arial"/>
          <w:sz w:val="20"/>
          <w:szCs w:val="20"/>
          <w:lang w:val="es-ES"/>
        </w:rPr>
        <w:t xml:space="preserve">Un proponente plural no puede participar en un proceso de selección ni ejecutar un contrato estatal cuando uno de sus miembros se encuentra inhabilitado. Las inhabilidades e incompatibilidades son restricciones o límites especiales a la capacidad para presentar ofertas y celebrar contratos estatales que solo pueden tipificarse en la Constitución o en la ley y cuya interpretación debe ser restrictiva, conforme al principio </w:t>
      </w:r>
      <w:r w:rsidRPr="005A0C24">
        <w:rPr>
          <w:rFonts w:ascii="Verdana" w:eastAsia="Arial" w:hAnsi="Verdana" w:cs="Arial"/>
          <w:i/>
          <w:iCs/>
          <w:sz w:val="20"/>
          <w:szCs w:val="20"/>
          <w:lang w:val="es-ES"/>
        </w:rPr>
        <w:t>pro libertate</w:t>
      </w:r>
      <w:r w:rsidRPr="005A0C24">
        <w:rPr>
          <w:rFonts w:ascii="Verdana" w:eastAsia="Arial" w:hAnsi="Verdana" w:cs="Arial"/>
          <w:sz w:val="20"/>
          <w:szCs w:val="20"/>
          <w:lang w:val="es-ES"/>
        </w:rPr>
        <w:t>. Ese carácter restrictivo opera respecto de la tipificación de las causales; de modo que, contrario a lo sugerido en la consulta, la interpretación restrictiva no habilita a una persona inhabilitada para contratar con el Estado a través de un consorcio o una unión temporal.</w:t>
      </w:r>
    </w:p>
    <w:p w14:paraId="52539F15" w14:textId="77777777" w:rsidR="005A0C24" w:rsidRDefault="005A0C24" w:rsidP="005A0C24">
      <w:pPr>
        <w:snapToGrid w:val="0"/>
        <w:contextualSpacing/>
        <w:jc w:val="both"/>
        <w:rPr>
          <w:rFonts w:ascii="Verdana" w:eastAsia="Arial" w:hAnsi="Verdana" w:cs="Arial"/>
          <w:sz w:val="20"/>
          <w:szCs w:val="20"/>
          <w:lang w:val="es-ES"/>
        </w:rPr>
      </w:pPr>
    </w:p>
    <w:p w14:paraId="2409C866" w14:textId="419A2A40" w:rsidR="00C254CF" w:rsidRPr="005A0C24" w:rsidRDefault="00C254CF" w:rsidP="005A0C24">
      <w:pPr>
        <w:snapToGrid w:val="0"/>
        <w:spacing w:after="0" w:line="240" w:lineRule="auto"/>
        <w:contextualSpacing/>
        <w:jc w:val="both"/>
        <w:rPr>
          <w:rFonts w:ascii="Verdana" w:eastAsia="Arial" w:hAnsi="Verdana" w:cs="Arial"/>
          <w:sz w:val="20"/>
          <w:szCs w:val="20"/>
          <w:lang w:val="es-ES"/>
        </w:rPr>
      </w:pPr>
      <w:r w:rsidRPr="005A0C24">
        <w:rPr>
          <w:rFonts w:ascii="Verdana" w:eastAsia="Arial" w:hAnsi="Verdana" w:cs="Arial"/>
          <w:sz w:val="20"/>
          <w:szCs w:val="20"/>
          <w:lang w:val="es-ES"/>
        </w:rPr>
        <w:t xml:space="preserve">Lo anterior se explica porque los consorcios y las uniones temporales no son personas jurídicas distintas a sus miembros, sino entes creados por su acuerdo de voluntades, cuya capacidad para participar en la adjudicación, celebración y ejecución de contratos estatales se deriva de la de sus integrantes. Como el proponente plural no es una persona distinta de la de sus integrantes, cada uno de ellos debe contar con capacidad jurídica para participar en el proceso de contratación. </w:t>
      </w:r>
    </w:p>
    <w:p w14:paraId="060B6C88" w14:textId="77777777" w:rsidR="005A0C24" w:rsidRDefault="005A0C24" w:rsidP="005A0C24">
      <w:pPr>
        <w:snapToGrid w:val="0"/>
        <w:contextualSpacing/>
        <w:jc w:val="both"/>
        <w:rPr>
          <w:rFonts w:ascii="Verdana" w:eastAsia="Arial" w:hAnsi="Verdana" w:cs="Arial"/>
          <w:sz w:val="20"/>
          <w:szCs w:val="20"/>
          <w:lang w:val="es-ES"/>
        </w:rPr>
      </w:pPr>
    </w:p>
    <w:p w14:paraId="2659AEA6" w14:textId="1EF5A890" w:rsidR="00C254CF" w:rsidRPr="005A0C24" w:rsidRDefault="00C254CF" w:rsidP="005A0C24">
      <w:pPr>
        <w:snapToGrid w:val="0"/>
        <w:spacing w:after="0" w:line="240" w:lineRule="auto"/>
        <w:contextualSpacing/>
        <w:jc w:val="both"/>
        <w:rPr>
          <w:rFonts w:ascii="Verdana" w:eastAsia="Arial" w:hAnsi="Verdana" w:cs="Arial"/>
          <w:sz w:val="20"/>
          <w:szCs w:val="20"/>
          <w:lang w:val="es-ES"/>
        </w:rPr>
      </w:pPr>
      <w:r w:rsidRPr="005A0C24">
        <w:rPr>
          <w:rFonts w:ascii="Verdana" w:eastAsia="Arial" w:hAnsi="Verdana" w:cs="Arial"/>
          <w:sz w:val="20"/>
          <w:szCs w:val="20"/>
          <w:lang w:val="es-ES"/>
        </w:rPr>
        <w:t xml:space="preserve">En consecuencia, si una persona natural o jurídica se encuentra inhabilitada para contratar, la limitación a su capacidad no desaparece por integrar un proponente plural, pues se trata de un conjunto de personas naturales o jurídicas que comparten un objetivo común y que mantienen su personalidad individual. Así lo ha sostenido la Sección Tercera del Consejo de Estado, la cual ha afirmado que en tanto alguno de los </w:t>
      </w:r>
      <w:r w:rsidRPr="005A0C24">
        <w:rPr>
          <w:rFonts w:ascii="Verdana" w:eastAsia="Arial" w:hAnsi="Verdana" w:cs="Arial"/>
          <w:sz w:val="20"/>
          <w:szCs w:val="20"/>
          <w:lang w:val="es-ES"/>
        </w:rPr>
        <w:lastRenderedPageBreak/>
        <w:t>miembros de un consorcio o de una unión temporal se encuentre en situación de inhabilidad o incompatibilidad, el consorcio o la unión temporal no puede ser proponente o contratista del Estado, toda vez que, según el artículo 7 de la Ley 80 de 1993, las actuaciones, hechos y omisiones que se presenten en desarrollo de la propuesta y del contrato afectan a todos los miembros que lo conforman.</w:t>
      </w:r>
    </w:p>
    <w:p w14:paraId="194FFDCE" w14:textId="77777777" w:rsidR="00C254CF" w:rsidRPr="001242F3" w:rsidRDefault="00C254CF" w:rsidP="00C254CF">
      <w:pPr>
        <w:spacing w:line="276" w:lineRule="auto"/>
        <w:jc w:val="both"/>
        <w:rPr>
          <w:rFonts w:ascii="Verdana" w:eastAsia="Calibri" w:hAnsi="Verdana" w:cs="Arial"/>
          <w:bCs/>
          <w:lang w:val="es-ES" w:eastAsia="es-ES"/>
        </w:rPr>
      </w:pPr>
    </w:p>
    <w:p w14:paraId="3E75715C" w14:textId="77777777" w:rsidR="00C254CF" w:rsidRDefault="00C254CF" w:rsidP="0042219C">
      <w:pPr>
        <w:spacing w:after="0"/>
        <w:rPr>
          <w:rFonts w:ascii="Verdana" w:hAnsi="Verdana"/>
          <w:lang w:val="es-ES"/>
        </w:rPr>
      </w:pPr>
    </w:p>
    <w:p w14:paraId="33D22965" w14:textId="77777777" w:rsidR="005A0C24" w:rsidRDefault="005A0C24" w:rsidP="0042219C">
      <w:pPr>
        <w:spacing w:after="0"/>
        <w:rPr>
          <w:rFonts w:ascii="Verdana" w:hAnsi="Verdana"/>
          <w:lang w:val="es-ES"/>
        </w:rPr>
      </w:pPr>
    </w:p>
    <w:p w14:paraId="0BBB876B" w14:textId="77777777" w:rsidR="005A0C24" w:rsidRDefault="005A0C24" w:rsidP="0042219C">
      <w:pPr>
        <w:spacing w:after="0"/>
        <w:rPr>
          <w:rFonts w:ascii="Verdana" w:hAnsi="Verdana"/>
          <w:lang w:val="es-ES"/>
        </w:rPr>
      </w:pPr>
    </w:p>
    <w:p w14:paraId="1926E0D8" w14:textId="77777777" w:rsidR="005A0C24" w:rsidRDefault="005A0C24" w:rsidP="0042219C">
      <w:pPr>
        <w:spacing w:after="0"/>
        <w:rPr>
          <w:rFonts w:ascii="Verdana" w:hAnsi="Verdana"/>
          <w:lang w:val="es-ES"/>
        </w:rPr>
      </w:pPr>
    </w:p>
    <w:p w14:paraId="40C222A5" w14:textId="77777777" w:rsidR="005A0C24" w:rsidRDefault="005A0C24" w:rsidP="0042219C">
      <w:pPr>
        <w:spacing w:after="0"/>
        <w:rPr>
          <w:rFonts w:ascii="Verdana" w:hAnsi="Verdana"/>
          <w:lang w:val="es-ES"/>
        </w:rPr>
      </w:pPr>
    </w:p>
    <w:p w14:paraId="1207E76A" w14:textId="77777777" w:rsidR="005A0C24" w:rsidRDefault="005A0C24" w:rsidP="0042219C">
      <w:pPr>
        <w:spacing w:after="0"/>
        <w:rPr>
          <w:rFonts w:ascii="Verdana" w:hAnsi="Verdana"/>
          <w:lang w:val="es-ES"/>
        </w:rPr>
      </w:pPr>
    </w:p>
    <w:p w14:paraId="093897CF" w14:textId="77777777" w:rsidR="005A0C24" w:rsidRDefault="005A0C24" w:rsidP="0042219C">
      <w:pPr>
        <w:spacing w:after="0"/>
        <w:rPr>
          <w:rFonts w:ascii="Verdana" w:hAnsi="Verdana"/>
          <w:lang w:val="es-ES"/>
        </w:rPr>
      </w:pPr>
    </w:p>
    <w:p w14:paraId="260B5C78" w14:textId="77777777" w:rsidR="005A0C24" w:rsidRDefault="005A0C24" w:rsidP="0042219C">
      <w:pPr>
        <w:spacing w:after="0"/>
        <w:rPr>
          <w:rFonts w:ascii="Verdana" w:hAnsi="Verdana"/>
          <w:lang w:val="es-ES"/>
        </w:rPr>
      </w:pPr>
    </w:p>
    <w:p w14:paraId="6BB8342C" w14:textId="77777777" w:rsidR="005A0C24" w:rsidRDefault="005A0C24" w:rsidP="0042219C">
      <w:pPr>
        <w:spacing w:after="0"/>
        <w:rPr>
          <w:rFonts w:ascii="Verdana" w:hAnsi="Verdana"/>
          <w:lang w:val="es-ES"/>
        </w:rPr>
      </w:pPr>
    </w:p>
    <w:p w14:paraId="333803B1" w14:textId="77777777" w:rsidR="005A0C24" w:rsidRDefault="005A0C24" w:rsidP="0042219C">
      <w:pPr>
        <w:spacing w:after="0"/>
        <w:rPr>
          <w:rFonts w:ascii="Verdana" w:hAnsi="Verdana"/>
          <w:lang w:val="es-ES"/>
        </w:rPr>
      </w:pPr>
    </w:p>
    <w:p w14:paraId="1D92601C" w14:textId="77777777" w:rsidR="005A0C24" w:rsidRDefault="005A0C24" w:rsidP="0042219C">
      <w:pPr>
        <w:spacing w:after="0"/>
        <w:rPr>
          <w:rFonts w:ascii="Verdana" w:hAnsi="Verdana"/>
          <w:lang w:val="es-ES"/>
        </w:rPr>
      </w:pPr>
    </w:p>
    <w:p w14:paraId="5A92E8CB" w14:textId="77777777" w:rsidR="005A0C24" w:rsidRDefault="005A0C24" w:rsidP="0042219C">
      <w:pPr>
        <w:spacing w:after="0"/>
        <w:rPr>
          <w:rFonts w:ascii="Verdana" w:hAnsi="Verdana"/>
          <w:lang w:val="es-ES"/>
        </w:rPr>
      </w:pPr>
    </w:p>
    <w:p w14:paraId="1573AEB9" w14:textId="77777777" w:rsidR="005A0C24" w:rsidRDefault="005A0C24" w:rsidP="0042219C">
      <w:pPr>
        <w:spacing w:after="0"/>
        <w:rPr>
          <w:rFonts w:ascii="Verdana" w:hAnsi="Verdana"/>
          <w:lang w:val="es-ES"/>
        </w:rPr>
      </w:pPr>
    </w:p>
    <w:p w14:paraId="08CC14E6" w14:textId="77777777" w:rsidR="005A0C24" w:rsidRDefault="005A0C24" w:rsidP="0042219C">
      <w:pPr>
        <w:spacing w:after="0"/>
        <w:rPr>
          <w:rFonts w:ascii="Verdana" w:hAnsi="Verdana"/>
          <w:lang w:val="es-ES"/>
        </w:rPr>
      </w:pPr>
    </w:p>
    <w:p w14:paraId="7A7E387B" w14:textId="77777777" w:rsidR="005A0C24" w:rsidRDefault="005A0C24" w:rsidP="0042219C">
      <w:pPr>
        <w:spacing w:after="0"/>
        <w:rPr>
          <w:rFonts w:ascii="Verdana" w:hAnsi="Verdana"/>
          <w:lang w:val="es-ES"/>
        </w:rPr>
      </w:pPr>
    </w:p>
    <w:p w14:paraId="42E1757D" w14:textId="77777777" w:rsidR="005A0C24" w:rsidRDefault="005A0C24" w:rsidP="0042219C">
      <w:pPr>
        <w:spacing w:after="0"/>
        <w:rPr>
          <w:rFonts w:ascii="Verdana" w:hAnsi="Verdana"/>
          <w:lang w:val="es-ES"/>
        </w:rPr>
      </w:pPr>
    </w:p>
    <w:p w14:paraId="64FF9ED8" w14:textId="77777777" w:rsidR="005A0C24" w:rsidRDefault="005A0C24" w:rsidP="0042219C">
      <w:pPr>
        <w:spacing w:after="0"/>
        <w:rPr>
          <w:rFonts w:ascii="Verdana" w:hAnsi="Verdana"/>
          <w:lang w:val="es-ES"/>
        </w:rPr>
      </w:pPr>
    </w:p>
    <w:p w14:paraId="1C22B557" w14:textId="77777777" w:rsidR="005A0C24" w:rsidRDefault="005A0C24" w:rsidP="0042219C">
      <w:pPr>
        <w:spacing w:after="0"/>
        <w:rPr>
          <w:rFonts w:ascii="Verdana" w:hAnsi="Verdana"/>
          <w:lang w:val="es-ES"/>
        </w:rPr>
      </w:pPr>
    </w:p>
    <w:p w14:paraId="0AE23491" w14:textId="77777777" w:rsidR="005A0C24" w:rsidRDefault="005A0C24" w:rsidP="0042219C">
      <w:pPr>
        <w:spacing w:after="0"/>
        <w:rPr>
          <w:rFonts w:ascii="Verdana" w:hAnsi="Verdana"/>
          <w:lang w:val="es-ES"/>
        </w:rPr>
      </w:pPr>
    </w:p>
    <w:p w14:paraId="6BC7A9C0" w14:textId="77777777" w:rsidR="005A0C24" w:rsidRDefault="005A0C24" w:rsidP="0042219C">
      <w:pPr>
        <w:spacing w:after="0"/>
        <w:rPr>
          <w:rFonts w:ascii="Verdana" w:hAnsi="Verdana"/>
          <w:lang w:val="es-ES"/>
        </w:rPr>
      </w:pPr>
    </w:p>
    <w:p w14:paraId="48E5BE41" w14:textId="77777777" w:rsidR="005A0C24" w:rsidRDefault="005A0C24" w:rsidP="0042219C">
      <w:pPr>
        <w:spacing w:after="0"/>
        <w:rPr>
          <w:rFonts w:ascii="Verdana" w:hAnsi="Verdana"/>
          <w:lang w:val="es-ES"/>
        </w:rPr>
      </w:pPr>
    </w:p>
    <w:p w14:paraId="666873B3" w14:textId="77777777" w:rsidR="005A0C24" w:rsidRDefault="005A0C24" w:rsidP="0042219C">
      <w:pPr>
        <w:spacing w:after="0"/>
        <w:rPr>
          <w:rFonts w:ascii="Verdana" w:hAnsi="Verdana"/>
          <w:lang w:val="es-ES"/>
        </w:rPr>
      </w:pPr>
    </w:p>
    <w:p w14:paraId="33CB7AFA" w14:textId="77777777" w:rsidR="005A0C24" w:rsidRDefault="005A0C24" w:rsidP="0042219C">
      <w:pPr>
        <w:spacing w:after="0"/>
        <w:rPr>
          <w:rFonts w:ascii="Verdana" w:hAnsi="Verdana"/>
          <w:lang w:val="es-ES"/>
        </w:rPr>
      </w:pPr>
    </w:p>
    <w:p w14:paraId="5D72A6F4" w14:textId="77777777" w:rsidR="005A0C24" w:rsidRDefault="005A0C24" w:rsidP="0042219C">
      <w:pPr>
        <w:spacing w:after="0"/>
        <w:rPr>
          <w:rFonts w:ascii="Verdana" w:hAnsi="Verdana"/>
          <w:lang w:val="es-ES"/>
        </w:rPr>
      </w:pPr>
    </w:p>
    <w:p w14:paraId="327D5489" w14:textId="77777777" w:rsidR="005A0C24" w:rsidRDefault="005A0C24" w:rsidP="0042219C">
      <w:pPr>
        <w:spacing w:after="0"/>
        <w:rPr>
          <w:rFonts w:ascii="Verdana" w:hAnsi="Verdana"/>
          <w:lang w:val="es-ES"/>
        </w:rPr>
      </w:pPr>
    </w:p>
    <w:p w14:paraId="3DABB62B" w14:textId="77777777" w:rsidR="005A0C24" w:rsidRDefault="005A0C24" w:rsidP="0042219C">
      <w:pPr>
        <w:spacing w:after="0"/>
        <w:rPr>
          <w:rFonts w:ascii="Verdana" w:hAnsi="Verdana"/>
          <w:lang w:val="es-ES"/>
        </w:rPr>
      </w:pPr>
    </w:p>
    <w:p w14:paraId="4AA077F6" w14:textId="77777777" w:rsidR="005A0C24" w:rsidRDefault="005A0C24" w:rsidP="0042219C">
      <w:pPr>
        <w:spacing w:after="0"/>
        <w:rPr>
          <w:rFonts w:ascii="Verdana" w:hAnsi="Verdana"/>
          <w:lang w:val="es-ES"/>
        </w:rPr>
      </w:pPr>
    </w:p>
    <w:p w14:paraId="347D4011" w14:textId="77777777" w:rsidR="005A0C24" w:rsidRDefault="005A0C24" w:rsidP="0042219C">
      <w:pPr>
        <w:spacing w:after="0"/>
        <w:rPr>
          <w:rFonts w:ascii="Verdana" w:hAnsi="Verdana"/>
          <w:lang w:val="es-ES"/>
        </w:rPr>
      </w:pPr>
    </w:p>
    <w:p w14:paraId="26BA00A1" w14:textId="77777777" w:rsidR="005A0C24" w:rsidRDefault="005A0C24" w:rsidP="0042219C">
      <w:pPr>
        <w:spacing w:after="0"/>
        <w:rPr>
          <w:rFonts w:ascii="Verdana" w:hAnsi="Verdana"/>
          <w:lang w:val="es-ES"/>
        </w:rPr>
      </w:pPr>
    </w:p>
    <w:p w14:paraId="2A306DEB" w14:textId="77777777" w:rsidR="005A0C24" w:rsidRDefault="005A0C24" w:rsidP="0042219C">
      <w:pPr>
        <w:spacing w:after="0"/>
        <w:rPr>
          <w:rFonts w:ascii="Verdana" w:hAnsi="Verdana"/>
          <w:lang w:val="es-ES"/>
        </w:rPr>
      </w:pPr>
    </w:p>
    <w:p w14:paraId="159DF5AE" w14:textId="77777777" w:rsidR="005A0C24" w:rsidRDefault="005A0C24" w:rsidP="0042219C">
      <w:pPr>
        <w:spacing w:after="0"/>
        <w:rPr>
          <w:rFonts w:ascii="Verdana" w:hAnsi="Verdana"/>
          <w:lang w:val="es-ES"/>
        </w:rPr>
      </w:pPr>
    </w:p>
    <w:p w14:paraId="1E4D7CAB" w14:textId="77777777" w:rsidR="005A0C24" w:rsidRDefault="005A0C24" w:rsidP="0042219C">
      <w:pPr>
        <w:spacing w:after="0"/>
        <w:rPr>
          <w:rFonts w:ascii="Verdana" w:hAnsi="Verdana"/>
          <w:lang w:val="es-ES"/>
        </w:rPr>
      </w:pPr>
    </w:p>
    <w:p w14:paraId="2E62041F" w14:textId="77777777" w:rsidR="005A0C24" w:rsidRDefault="005A0C24" w:rsidP="0042219C">
      <w:pPr>
        <w:spacing w:after="0"/>
        <w:rPr>
          <w:rFonts w:ascii="Verdana" w:hAnsi="Verdana"/>
          <w:lang w:val="es-ES"/>
        </w:rPr>
      </w:pPr>
    </w:p>
    <w:p w14:paraId="2BD5ABFA" w14:textId="5138A416" w:rsidR="0042219C" w:rsidRPr="001242F3" w:rsidRDefault="0042219C" w:rsidP="0042219C">
      <w:pPr>
        <w:spacing w:after="0"/>
        <w:rPr>
          <w:rFonts w:ascii="Verdana" w:hAnsi="Verdana"/>
          <w:lang w:val="es-ES"/>
        </w:rPr>
      </w:pPr>
      <w:r w:rsidRPr="001242F3">
        <w:rPr>
          <w:rFonts w:ascii="Verdana" w:hAnsi="Verdana"/>
          <w:lang w:val="es-ES"/>
        </w:rPr>
        <w:lastRenderedPageBreak/>
        <w:t xml:space="preserve">Bogotá D.C., </w:t>
      </w:r>
      <w:r w:rsidR="005A0C24">
        <w:rPr>
          <w:rFonts w:ascii="Verdana" w:hAnsi="Verdana"/>
          <w:lang w:val="es-ES"/>
        </w:rPr>
        <w:t>14 de julio de 2026</w:t>
      </w:r>
      <w:r w:rsidRPr="001242F3">
        <w:rPr>
          <w:rFonts w:ascii="Verdana" w:hAnsi="Verdana"/>
          <w:lang w:val="es-ES"/>
        </w:rPr>
        <w:tab/>
      </w:r>
    </w:p>
    <w:p w14:paraId="3F335895" w14:textId="3297798F" w:rsidR="0042219C" w:rsidRPr="001242F3" w:rsidRDefault="005A0C24" w:rsidP="0042219C">
      <w:pPr>
        <w:spacing w:after="0"/>
        <w:rPr>
          <w:rFonts w:ascii="Verdana" w:hAnsi="Verdana"/>
          <w:lang w:val="es-ES"/>
        </w:rPr>
      </w:pPr>
      <w:r>
        <w:rPr>
          <w:rFonts w:ascii="Verdana" w:eastAsia="Calibri" w:hAnsi="Verdana" w:cs="Arial"/>
          <w:noProof/>
          <w:color w:val="000000" w:themeColor="text1"/>
          <w:lang w:val="es-ES" w:eastAsia="es-ES_tradnl"/>
        </w:rPr>
        <w:drawing>
          <wp:anchor distT="0" distB="0" distL="114300" distR="114300" simplePos="0" relativeHeight="251660288" behindDoc="0" locked="0" layoutInCell="1" allowOverlap="1" wp14:anchorId="6011DD78" wp14:editId="0A936A03">
            <wp:simplePos x="0" y="0"/>
            <wp:positionH relativeFrom="column">
              <wp:posOffset>3545578</wp:posOffset>
            </wp:positionH>
            <wp:positionV relativeFrom="paragraph">
              <wp:posOffset>111984</wp:posOffset>
            </wp:positionV>
            <wp:extent cx="2214245" cy="647700"/>
            <wp:effectExtent l="0" t="0" r="0" b="0"/>
            <wp:wrapSquare wrapText="bothSides"/>
            <wp:docPr id="64499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96967" name="Picture 644996967"/>
                    <pic:cNvPicPr/>
                  </pic:nvPicPr>
                  <pic:blipFill>
                    <a:blip r:embed="rId10">
                      <a:extLst>
                        <a:ext uri="{28A0092B-C50C-407E-A947-70E740481C1C}">
                          <a14:useLocalDpi xmlns:a14="http://schemas.microsoft.com/office/drawing/2010/main" val="0"/>
                        </a:ext>
                      </a:extLst>
                    </a:blip>
                    <a:stretch>
                      <a:fillRect/>
                    </a:stretch>
                  </pic:blipFill>
                  <pic:spPr>
                    <a:xfrm>
                      <a:off x="0" y="0"/>
                      <a:ext cx="2214245" cy="647700"/>
                    </a:xfrm>
                    <a:prstGeom prst="rect">
                      <a:avLst/>
                    </a:prstGeom>
                  </pic:spPr>
                </pic:pic>
              </a:graphicData>
            </a:graphic>
            <wp14:sizeRelH relativeFrom="page">
              <wp14:pctWidth>0</wp14:pctWidth>
            </wp14:sizeRelH>
            <wp14:sizeRelV relativeFrom="page">
              <wp14:pctHeight>0</wp14:pctHeight>
            </wp14:sizeRelV>
          </wp:anchor>
        </w:drawing>
      </w:r>
    </w:p>
    <w:p w14:paraId="2FDA1FE6" w14:textId="2A66AEEA" w:rsidR="0042219C" w:rsidRPr="001242F3" w:rsidRDefault="0042219C" w:rsidP="0042219C">
      <w:pPr>
        <w:spacing w:after="0" w:line="240" w:lineRule="auto"/>
        <w:jc w:val="both"/>
        <w:rPr>
          <w:rFonts w:ascii="Verdana" w:eastAsia="Calibri" w:hAnsi="Verdana" w:cs="Arial"/>
          <w:color w:val="000000" w:themeColor="text1"/>
          <w:lang w:val="es-ES" w:eastAsia="es-ES"/>
        </w:rPr>
      </w:pPr>
      <w:r w:rsidRPr="001242F3">
        <w:rPr>
          <w:rFonts w:ascii="Verdana" w:eastAsia="Calibri" w:hAnsi="Verdana" w:cs="Arial"/>
          <w:color w:val="000000" w:themeColor="text1"/>
          <w:lang w:val="es-ES" w:eastAsia="es-ES"/>
        </w:rPr>
        <w:t>Señor</w:t>
      </w:r>
    </w:p>
    <w:p w14:paraId="5E06973D" w14:textId="2FAD6DD9" w:rsidR="0042219C" w:rsidRPr="001242F3" w:rsidRDefault="0042219C" w:rsidP="0042219C">
      <w:pPr>
        <w:spacing w:after="0" w:line="240" w:lineRule="auto"/>
        <w:rPr>
          <w:rFonts w:ascii="Verdana" w:eastAsia="Calibri" w:hAnsi="Verdana" w:cs="Arial"/>
          <w:b/>
          <w:bCs/>
          <w:color w:val="000000" w:themeColor="text1"/>
          <w:lang w:val="es-ES" w:eastAsia="es-ES"/>
        </w:rPr>
      </w:pPr>
      <w:r w:rsidRPr="001242F3">
        <w:rPr>
          <w:rFonts w:ascii="Verdana" w:eastAsia="Calibri" w:hAnsi="Verdana" w:cs="Arial"/>
          <w:b/>
          <w:bCs/>
          <w:color w:val="000000" w:themeColor="text1"/>
          <w:lang w:val="es-ES" w:eastAsia="es-ES"/>
        </w:rPr>
        <w:t>Ciudadano anónimo</w:t>
      </w:r>
    </w:p>
    <w:p w14:paraId="3DE4F373" w14:textId="057D4A49" w:rsidR="0042219C" w:rsidRPr="001242F3" w:rsidRDefault="0042219C" w:rsidP="0042219C">
      <w:pPr>
        <w:spacing w:after="0" w:line="240" w:lineRule="auto"/>
        <w:rPr>
          <w:rFonts w:ascii="Verdana" w:eastAsia="Calibri" w:hAnsi="Verdana" w:cs="Arial"/>
          <w:color w:val="000000" w:themeColor="text1"/>
          <w:lang w:val="es-ES" w:eastAsia="es-ES_tradnl"/>
        </w:rPr>
      </w:pPr>
      <w:r w:rsidRPr="001242F3">
        <w:rPr>
          <w:rFonts w:ascii="Verdana" w:eastAsia="Calibri" w:hAnsi="Verdana" w:cs="Arial"/>
          <w:color w:val="000000" w:themeColor="text1"/>
          <w:lang w:val="es-ES" w:eastAsia="es-ES_tradnl"/>
        </w:rPr>
        <w:t>Bogotá D.C.</w:t>
      </w:r>
    </w:p>
    <w:p w14:paraId="135C5906" w14:textId="77777777" w:rsidR="0042219C" w:rsidRPr="001242F3" w:rsidRDefault="0042219C" w:rsidP="0042219C">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42219C" w:rsidRPr="001242F3" w14:paraId="0C971BFB" w14:textId="77777777" w:rsidTr="00367A99">
        <w:trPr>
          <w:gridAfter w:val="1"/>
          <w:wAfter w:w="4179" w:type="dxa"/>
          <w:trHeight w:val="304"/>
        </w:trPr>
        <w:tc>
          <w:tcPr>
            <w:tcW w:w="2689" w:type="dxa"/>
          </w:tcPr>
          <w:p w14:paraId="58CFF147" w14:textId="77777777" w:rsidR="0042219C" w:rsidRPr="001242F3" w:rsidRDefault="0042219C" w:rsidP="00367A99">
            <w:pPr>
              <w:jc w:val="both"/>
              <w:rPr>
                <w:rFonts w:ascii="Verdana" w:eastAsia="Calibri" w:hAnsi="Verdana" w:cs="Arial"/>
                <w:b/>
                <w:bCs/>
                <w:color w:val="000000" w:themeColor="text1"/>
                <w:lang w:val="es-ES" w:eastAsia="es-ES_tradnl"/>
              </w:rPr>
            </w:pPr>
          </w:p>
        </w:tc>
        <w:tc>
          <w:tcPr>
            <w:tcW w:w="6100" w:type="dxa"/>
          </w:tcPr>
          <w:p w14:paraId="3C68102D" w14:textId="23AE1248" w:rsidR="0042219C" w:rsidRPr="001242F3" w:rsidRDefault="0042219C" w:rsidP="00367A99">
            <w:pPr>
              <w:jc w:val="both"/>
              <w:rPr>
                <w:rFonts w:ascii="Verdana" w:eastAsia="Calibri" w:hAnsi="Verdana" w:cs="Arial"/>
                <w:b/>
                <w:bCs/>
                <w:color w:val="000000" w:themeColor="text1"/>
                <w:lang w:val="es-ES" w:eastAsia="es-ES"/>
              </w:rPr>
            </w:pPr>
            <w:r w:rsidRPr="001242F3">
              <w:rPr>
                <w:rFonts w:ascii="Verdana" w:eastAsia="Calibri" w:hAnsi="Verdana" w:cs="Arial"/>
                <w:b/>
                <w:bCs/>
                <w:color w:val="000000" w:themeColor="text1"/>
                <w:lang w:val="es-ES" w:eastAsia="es-ES"/>
              </w:rPr>
              <w:t>Concepto C-</w:t>
            </w:r>
            <w:r w:rsidR="00A06D21">
              <w:rPr>
                <w:rFonts w:ascii="Verdana" w:eastAsia="Calibri" w:hAnsi="Verdana" w:cs="Arial"/>
                <w:b/>
                <w:bCs/>
                <w:color w:val="000000" w:themeColor="text1"/>
                <w:lang w:val="es-ES" w:eastAsia="es-ES"/>
              </w:rPr>
              <w:t>908</w:t>
            </w:r>
            <w:r w:rsidRPr="001242F3">
              <w:rPr>
                <w:rFonts w:ascii="Verdana" w:eastAsia="Calibri" w:hAnsi="Verdana" w:cs="Arial"/>
                <w:b/>
                <w:bCs/>
                <w:color w:val="000000" w:themeColor="text1"/>
                <w:lang w:val="es-ES" w:eastAsia="es-ES"/>
              </w:rPr>
              <w:t xml:space="preserve"> de 2026</w:t>
            </w:r>
          </w:p>
          <w:p w14:paraId="7F4170F3" w14:textId="77777777" w:rsidR="0042219C" w:rsidRPr="001242F3" w:rsidRDefault="0042219C" w:rsidP="00367A99">
            <w:pPr>
              <w:jc w:val="both"/>
              <w:rPr>
                <w:rFonts w:ascii="Verdana" w:eastAsia="Calibri" w:hAnsi="Verdana" w:cs="Arial"/>
                <w:b/>
                <w:bCs/>
                <w:color w:val="000000" w:themeColor="text1"/>
                <w:lang w:val="es-ES" w:eastAsia="es-ES"/>
              </w:rPr>
            </w:pPr>
          </w:p>
        </w:tc>
      </w:tr>
      <w:tr w:rsidR="0042219C" w:rsidRPr="001242F3" w14:paraId="5804D440" w14:textId="77777777" w:rsidTr="00367A99">
        <w:trPr>
          <w:trHeight w:val="884"/>
        </w:trPr>
        <w:tc>
          <w:tcPr>
            <w:tcW w:w="2689" w:type="dxa"/>
          </w:tcPr>
          <w:p w14:paraId="1C192FD9" w14:textId="77777777" w:rsidR="0042219C" w:rsidRPr="001242F3" w:rsidRDefault="0042219C" w:rsidP="00367A99">
            <w:pPr>
              <w:jc w:val="both"/>
              <w:rPr>
                <w:rFonts w:ascii="Verdana" w:eastAsia="Calibri" w:hAnsi="Verdana" w:cs="Arial"/>
                <w:color w:val="000000" w:themeColor="text1"/>
                <w:lang w:val="es-ES" w:eastAsia="es-ES_tradnl"/>
              </w:rPr>
            </w:pPr>
            <w:r w:rsidRPr="001242F3">
              <w:rPr>
                <w:rFonts w:ascii="Verdana" w:eastAsia="Calibri" w:hAnsi="Verdana" w:cs="Arial"/>
                <w:b/>
                <w:color w:val="000000" w:themeColor="text1"/>
                <w:lang w:val="es-ES" w:eastAsia="es-ES_tradnl"/>
              </w:rPr>
              <w:t>Temas:</w:t>
            </w:r>
            <w:r w:rsidRPr="001242F3">
              <w:rPr>
                <w:rFonts w:ascii="Verdana" w:eastAsia="Calibri" w:hAnsi="Verdana" w:cs="Arial"/>
                <w:color w:val="000000" w:themeColor="text1"/>
                <w:lang w:val="es-ES" w:eastAsia="es-ES_tradnl"/>
              </w:rPr>
              <w:t xml:space="preserve">                   </w:t>
            </w:r>
          </w:p>
        </w:tc>
        <w:tc>
          <w:tcPr>
            <w:tcW w:w="6100" w:type="dxa"/>
          </w:tcPr>
          <w:p w14:paraId="0D4D4C23" w14:textId="77777777" w:rsidR="0042219C" w:rsidRPr="001242F3" w:rsidRDefault="0042219C" w:rsidP="00367A99">
            <w:pPr>
              <w:spacing w:line="276" w:lineRule="auto"/>
              <w:jc w:val="both"/>
              <w:rPr>
                <w:rFonts w:ascii="Verdana" w:eastAsia="Calibri" w:hAnsi="Verdana" w:cs="Arial"/>
                <w:bCs/>
                <w:lang w:val="es-ES" w:eastAsia="es-ES"/>
              </w:rPr>
            </w:pPr>
            <w:r w:rsidRPr="001242F3">
              <w:rPr>
                <w:rFonts w:ascii="Verdana" w:eastAsia="Calibri" w:hAnsi="Verdana" w:cs="Arial"/>
                <w:bCs/>
                <w:lang w:val="es-ES" w:eastAsia="es-ES"/>
              </w:rPr>
              <w:t xml:space="preserve">PROPONENTE PLURAL – Consorcios y Uniones Temporales – Capacidad jurídica – Concepto / </w:t>
            </w:r>
            <w:r w:rsidRPr="001242F3">
              <w:rPr>
                <w:rFonts w:ascii="Verdana" w:eastAsia="Calibri" w:hAnsi="Verdana" w:cs="Arial"/>
                <w:lang w:val="es-ES" w:eastAsia="es-ES"/>
              </w:rPr>
              <w:t>CONSORCIOS Y UNIONES TEMPORALES – Capacidad para contratar – Inhabilidades de sus miembros</w:t>
            </w:r>
          </w:p>
          <w:p w14:paraId="696E85F2" w14:textId="77777777" w:rsidR="0042219C" w:rsidRPr="001242F3" w:rsidRDefault="0042219C" w:rsidP="00367A99">
            <w:pPr>
              <w:jc w:val="both"/>
              <w:rPr>
                <w:rFonts w:ascii="Verdana" w:eastAsia="Calibri" w:hAnsi="Verdana" w:cs="Arial"/>
                <w:color w:val="000000" w:themeColor="text1"/>
                <w:lang w:val="es-ES" w:eastAsia="es-ES"/>
              </w:rPr>
            </w:pPr>
          </w:p>
        </w:tc>
        <w:tc>
          <w:tcPr>
            <w:tcW w:w="4179" w:type="dxa"/>
          </w:tcPr>
          <w:p w14:paraId="50158DB3" w14:textId="77777777" w:rsidR="0042219C" w:rsidRPr="001242F3" w:rsidRDefault="0042219C" w:rsidP="00367A99">
            <w:pPr>
              <w:spacing w:line="276" w:lineRule="auto"/>
              <w:jc w:val="both"/>
              <w:rPr>
                <w:rFonts w:ascii="Verdana" w:eastAsia="Calibri" w:hAnsi="Verdana" w:cs="Arial"/>
                <w:b/>
                <w:bCs/>
                <w:color w:val="000000" w:themeColor="text1"/>
                <w:lang w:val="es-ES" w:eastAsia="es-ES"/>
              </w:rPr>
            </w:pPr>
          </w:p>
          <w:p w14:paraId="65E9DE5F" w14:textId="77777777" w:rsidR="0042219C" w:rsidRPr="001242F3" w:rsidRDefault="0042219C" w:rsidP="00367A99">
            <w:pPr>
              <w:rPr>
                <w:rFonts w:ascii="Verdana" w:hAnsi="Verdana"/>
                <w:lang w:val="es-ES"/>
              </w:rPr>
            </w:pPr>
          </w:p>
        </w:tc>
      </w:tr>
      <w:tr w:rsidR="0042219C" w:rsidRPr="001242F3" w14:paraId="53B12A0A" w14:textId="77777777" w:rsidTr="00367A99">
        <w:trPr>
          <w:gridAfter w:val="1"/>
          <w:wAfter w:w="4179" w:type="dxa"/>
        </w:trPr>
        <w:tc>
          <w:tcPr>
            <w:tcW w:w="2689" w:type="dxa"/>
          </w:tcPr>
          <w:p w14:paraId="4C4F911D" w14:textId="77777777" w:rsidR="0042219C" w:rsidRPr="001242F3" w:rsidRDefault="0042219C" w:rsidP="00367A99">
            <w:pPr>
              <w:jc w:val="both"/>
              <w:rPr>
                <w:rFonts w:ascii="Verdana" w:eastAsia="Calibri" w:hAnsi="Verdana" w:cs="Arial"/>
                <w:b/>
                <w:color w:val="000000" w:themeColor="text1"/>
                <w:lang w:val="es-ES" w:eastAsia="es-ES_tradnl"/>
              </w:rPr>
            </w:pPr>
            <w:r w:rsidRPr="001242F3">
              <w:rPr>
                <w:rFonts w:ascii="Verdana" w:eastAsia="Calibri" w:hAnsi="Verdana" w:cs="Arial"/>
                <w:b/>
                <w:color w:val="000000" w:themeColor="text1"/>
                <w:lang w:val="es-ES" w:eastAsia="es-ES_tradnl"/>
              </w:rPr>
              <w:t>Radicación:</w:t>
            </w:r>
            <w:r w:rsidRPr="001242F3">
              <w:rPr>
                <w:rFonts w:ascii="Verdana" w:eastAsia="Calibri" w:hAnsi="Verdana" w:cs="Arial"/>
                <w:color w:val="000000" w:themeColor="text1"/>
                <w:lang w:val="es-ES" w:eastAsia="es-ES_tradnl"/>
              </w:rPr>
              <w:t xml:space="preserve">               </w:t>
            </w:r>
          </w:p>
        </w:tc>
        <w:tc>
          <w:tcPr>
            <w:tcW w:w="6100" w:type="dxa"/>
          </w:tcPr>
          <w:p w14:paraId="237ED4A9" w14:textId="77777777" w:rsidR="0042219C" w:rsidRPr="001242F3" w:rsidRDefault="0042219C" w:rsidP="00367A99">
            <w:pPr>
              <w:jc w:val="both"/>
              <w:rPr>
                <w:rFonts w:ascii="Verdana" w:eastAsia="Calibri" w:hAnsi="Verdana" w:cs="Arial"/>
                <w:color w:val="000000" w:themeColor="text1"/>
                <w:lang w:val="es-ES" w:eastAsia="es-ES_tradnl"/>
              </w:rPr>
            </w:pPr>
            <w:r w:rsidRPr="001242F3">
              <w:rPr>
                <w:rFonts w:ascii="Verdana" w:eastAsia="Calibri" w:hAnsi="Verdana" w:cs="Arial"/>
                <w:color w:val="000000" w:themeColor="text1"/>
                <w:lang w:val="es-ES" w:eastAsia="es-ES_tradnl"/>
              </w:rPr>
              <w:t>Respuesta a la consulta con radicado No. 1_2026_06_01_007348</w:t>
            </w:r>
          </w:p>
        </w:tc>
      </w:tr>
    </w:tbl>
    <w:p w14:paraId="4EA6A8E2" w14:textId="77777777" w:rsidR="0042219C" w:rsidRPr="001242F3" w:rsidRDefault="0042219C" w:rsidP="0042219C">
      <w:pPr>
        <w:spacing w:after="0" w:line="276" w:lineRule="auto"/>
        <w:jc w:val="both"/>
        <w:rPr>
          <w:rFonts w:ascii="Verdana" w:eastAsia="Calibri" w:hAnsi="Verdana" w:cs="Arial"/>
          <w:color w:val="000000" w:themeColor="text1"/>
          <w:lang w:val="es-ES" w:eastAsia="es-ES_tradnl"/>
        </w:rPr>
      </w:pPr>
    </w:p>
    <w:p w14:paraId="6AA9CB7A" w14:textId="77777777" w:rsidR="0042219C" w:rsidRPr="001242F3" w:rsidRDefault="0042219C" w:rsidP="0042219C">
      <w:pPr>
        <w:spacing w:after="0" w:line="240" w:lineRule="auto"/>
        <w:jc w:val="both"/>
        <w:rPr>
          <w:rFonts w:ascii="Verdana" w:eastAsia="Calibri" w:hAnsi="Verdana" w:cs="Arial"/>
          <w:color w:val="000000" w:themeColor="text1"/>
          <w:lang w:val="es-ES" w:eastAsia="es-ES"/>
        </w:rPr>
      </w:pPr>
      <w:r w:rsidRPr="001242F3">
        <w:rPr>
          <w:rFonts w:ascii="Verdana" w:eastAsia="Calibri" w:hAnsi="Verdana" w:cs="Arial"/>
          <w:color w:val="000000" w:themeColor="text1"/>
          <w:lang w:val="es-ES" w:eastAsia="es-ES"/>
        </w:rPr>
        <w:t>Señor Ciudadano Anónimo:</w:t>
      </w:r>
    </w:p>
    <w:p w14:paraId="0EEFFE4F" w14:textId="77777777" w:rsidR="0042219C" w:rsidRPr="001242F3" w:rsidRDefault="0042219C" w:rsidP="0042219C">
      <w:pPr>
        <w:tabs>
          <w:tab w:val="left" w:pos="3768"/>
        </w:tabs>
        <w:spacing w:after="0" w:line="276" w:lineRule="auto"/>
        <w:jc w:val="both"/>
        <w:rPr>
          <w:rFonts w:ascii="Verdana" w:eastAsia="Calibri" w:hAnsi="Verdana" w:cs="Arial"/>
          <w:color w:val="000000" w:themeColor="text1"/>
          <w:lang w:val="es-ES" w:eastAsia="es-ES"/>
        </w:rPr>
      </w:pPr>
      <w:r w:rsidRPr="001242F3">
        <w:rPr>
          <w:rFonts w:ascii="Verdana" w:eastAsia="Calibri" w:hAnsi="Verdana" w:cs="Arial"/>
          <w:color w:val="000000" w:themeColor="text1"/>
          <w:lang w:val="es-ES" w:eastAsia="es-ES"/>
        </w:rPr>
        <w:tab/>
      </w:r>
    </w:p>
    <w:p w14:paraId="27FBE143" w14:textId="0BAC3E3D" w:rsidR="0042219C" w:rsidRPr="001242F3" w:rsidRDefault="0042219C" w:rsidP="0042219C">
      <w:pPr>
        <w:spacing w:after="0" w:line="276" w:lineRule="auto"/>
        <w:jc w:val="both"/>
        <w:rPr>
          <w:rFonts w:ascii="Verdana" w:eastAsia="Calibri" w:hAnsi="Verdana" w:cs="Arial"/>
          <w:color w:val="000000" w:themeColor="text1"/>
          <w:lang w:val="es-ES" w:eastAsia="es-ES"/>
        </w:rPr>
      </w:pPr>
      <w:r w:rsidRPr="001242F3">
        <w:rPr>
          <w:rFonts w:ascii="Verdana" w:eastAsia="Calibri" w:hAnsi="Verdana" w:cs="Arial"/>
          <w:color w:val="000000" w:themeColor="text1"/>
          <w:lang w:val="es-ES" w:eastAsia="es-ES"/>
        </w:rPr>
        <w:t>En ejercicio de la competencia otorgada por los artículos 3, numeral 5º, y 11, numeral 8º, del Decreto Ley 4170 de 2011,</w:t>
      </w:r>
      <w:r w:rsidRPr="001242F3">
        <w:rPr>
          <w:rFonts w:ascii="Verdana" w:eastAsia="Arial MT" w:hAnsi="Verdana" w:cs="Arial MT"/>
          <w:color w:val="000000" w:themeColor="text1"/>
          <w:lang w:val="es-ES" w:eastAsia="es-ES"/>
        </w:rPr>
        <w:t xml:space="preserve"> </w:t>
      </w:r>
      <w:r w:rsidRPr="001242F3">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sus solicitudes de concepto del 1 de junio de 2026, en las cuales manifiesta lo siguiente:</w:t>
      </w:r>
      <w:r w:rsidRPr="001242F3">
        <w:rPr>
          <w:rFonts w:ascii="Verdana" w:eastAsia="Calibri" w:hAnsi="Verdana" w:cs="Arial"/>
          <w:color w:val="000000" w:themeColor="text1"/>
          <w:lang w:val="es-ES" w:eastAsia="es-ES"/>
        </w:rPr>
        <w:t xml:space="preserve"> </w:t>
      </w:r>
    </w:p>
    <w:p w14:paraId="04FD828A" w14:textId="77777777" w:rsidR="0042219C" w:rsidRPr="001242F3" w:rsidRDefault="0042219C" w:rsidP="0042219C">
      <w:pPr>
        <w:spacing w:after="0" w:line="276" w:lineRule="auto"/>
        <w:jc w:val="both"/>
        <w:rPr>
          <w:rFonts w:ascii="Verdana" w:eastAsia="Calibri" w:hAnsi="Verdana" w:cs="Arial"/>
          <w:color w:val="000000" w:themeColor="text1"/>
          <w:lang w:val="es-ES" w:eastAsia="es-ES"/>
        </w:rPr>
      </w:pPr>
    </w:p>
    <w:p w14:paraId="0C858848" w14:textId="77777777" w:rsidR="0042219C" w:rsidRPr="001242F3" w:rsidRDefault="0042219C" w:rsidP="0042219C">
      <w:pPr>
        <w:spacing w:after="0"/>
        <w:ind w:left="709" w:right="709"/>
        <w:contextualSpacing/>
        <w:jc w:val="both"/>
        <w:rPr>
          <w:rFonts w:ascii="Verdana" w:eastAsia="Century Gothic" w:hAnsi="Verdana" w:cs="Century Gothic"/>
          <w:i/>
          <w:iCs/>
          <w:color w:val="000000" w:themeColor="text1"/>
          <w:sz w:val="20"/>
          <w:szCs w:val="20"/>
          <w:lang w:val="es-ES"/>
        </w:rPr>
      </w:pPr>
      <w:r w:rsidRPr="001242F3">
        <w:rPr>
          <w:rFonts w:ascii="Verdana" w:eastAsia="Century Gothic" w:hAnsi="Verdana" w:cs="Century Gothic"/>
          <w:i/>
          <w:iCs/>
          <w:color w:val="000000" w:themeColor="text1"/>
          <w:sz w:val="20"/>
          <w:szCs w:val="20"/>
          <w:lang w:val="es-ES"/>
        </w:rPr>
        <w:t>“Con fundamento en su concepto del Concepto C-677 de 2026, y en función a su rol de director de la contratación estatal, esta indicando que un socio inhabilitado de una empresa puede unirse en un consorcio con otras empresas y no existiría la inhabilidad para contratar teniendo en cuenta que la interpretación de la inhabilidad debe ser restrictiva, por favor no se excuse en que son consultas de caracter general, porque esta consulta nace de su propio concepto mencionado y es su deber aclarar su doctrina contractual en terminos generales”</w:t>
      </w:r>
    </w:p>
    <w:p w14:paraId="79C9E2B5" w14:textId="77777777" w:rsidR="0042219C" w:rsidRPr="001242F3" w:rsidRDefault="0042219C" w:rsidP="0042219C">
      <w:pPr>
        <w:spacing w:after="0"/>
        <w:ind w:left="709" w:right="709"/>
        <w:contextualSpacing/>
        <w:jc w:val="both"/>
        <w:rPr>
          <w:rFonts w:ascii="Verdana" w:eastAsia="Century Gothic" w:hAnsi="Verdana" w:cs="Century Gothic"/>
          <w:i/>
          <w:color w:val="000000" w:themeColor="text1"/>
          <w:sz w:val="20"/>
          <w:szCs w:val="20"/>
          <w:lang w:val="es-ES"/>
        </w:rPr>
      </w:pPr>
    </w:p>
    <w:p w14:paraId="510B2E91" w14:textId="77777777" w:rsidR="0042219C" w:rsidRPr="001242F3" w:rsidRDefault="0042219C" w:rsidP="0042219C">
      <w:pPr>
        <w:spacing w:after="0" w:line="276" w:lineRule="auto"/>
        <w:contextualSpacing/>
        <w:jc w:val="both"/>
        <w:rPr>
          <w:rFonts w:ascii="Verdana" w:eastAsia="Calibri" w:hAnsi="Verdana" w:cs="Arial"/>
          <w:color w:val="000000" w:themeColor="text1"/>
          <w:szCs w:val="24"/>
          <w:lang w:val="es-ES" w:eastAsia="es-ES_tradnl"/>
        </w:rPr>
      </w:pPr>
      <w:r w:rsidRPr="001242F3">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w:t>
      </w:r>
      <w:r w:rsidRPr="001242F3">
        <w:rPr>
          <w:rFonts w:ascii="Verdana" w:eastAsia="Calibri" w:hAnsi="Verdana" w:cs="Arial"/>
          <w:color w:val="000000" w:themeColor="text1"/>
          <w:lang w:val="es-ES" w:eastAsia="es-ES"/>
        </w:rPr>
        <w:lastRenderedPageBreak/>
        <w:t xml:space="preserve">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242F3">
        <w:rPr>
          <w:rFonts w:ascii="Verdana" w:eastAsia="Calibri" w:hAnsi="Verdana" w:cs="Arial"/>
          <w:color w:val="000000" w:themeColor="text1"/>
          <w:szCs w:val="24"/>
          <w:lang w:val="es-ES" w:eastAsia="es-ES_tradnl"/>
        </w:rPr>
        <w:tab/>
      </w:r>
    </w:p>
    <w:p w14:paraId="35065169" w14:textId="77777777" w:rsidR="0042219C" w:rsidRPr="001242F3" w:rsidRDefault="0042219C" w:rsidP="0042219C">
      <w:pPr>
        <w:spacing w:before="120" w:after="120" w:line="276" w:lineRule="auto"/>
        <w:ind w:firstLine="709"/>
        <w:jc w:val="both"/>
        <w:rPr>
          <w:rFonts w:ascii="Verdana" w:eastAsia="Calibri" w:hAnsi="Verdana" w:cs="Arial"/>
          <w:color w:val="000000" w:themeColor="text1"/>
          <w:lang w:val="es-ES" w:eastAsia="es-ES"/>
        </w:rPr>
      </w:pPr>
      <w:r w:rsidRPr="001242F3">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4E6DEFBA" w14:textId="77777777" w:rsidR="0042219C" w:rsidRPr="001242F3" w:rsidRDefault="0042219C" w:rsidP="0042219C">
      <w:pPr>
        <w:spacing w:after="0" w:line="276" w:lineRule="auto"/>
        <w:jc w:val="both"/>
        <w:rPr>
          <w:rFonts w:ascii="Verdana" w:eastAsia="Calibri" w:hAnsi="Verdana" w:cs="Arial"/>
          <w:color w:val="000000" w:themeColor="text1"/>
          <w:lang w:val="es-ES" w:eastAsia="es-ES"/>
        </w:rPr>
      </w:pPr>
    </w:p>
    <w:p w14:paraId="6A929074" w14:textId="77777777" w:rsidR="0042219C" w:rsidRPr="001242F3" w:rsidRDefault="0042219C" w:rsidP="0042219C">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242F3">
        <w:rPr>
          <w:rFonts w:ascii="Verdana" w:eastAsia="Century Gothic" w:hAnsi="Verdana" w:cs="Century Gothic"/>
          <w:b/>
          <w:bCs/>
          <w:color w:val="000000" w:themeColor="text1"/>
        </w:rPr>
        <w:t>Problema planteado:</w:t>
      </w:r>
    </w:p>
    <w:p w14:paraId="13BCA2D6" w14:textId="77777777" w:rsidR="0042219C" w:rsidRPr="001242F3" w:rsidRDefault="0042219C" w:rsidP="0042219C">
      <w:pPr>
        <w:tabs>
          <w:tab w:val="left" w:pos="426"/>
        </w:tabs>
        <w:spacing w:after="0" w:line="276" w:lineRule="auto"/>
        <w:jc w:val="both"/>
        <w:rPr>
          <w:rFonts w:ascii="Verdana" w:eastAsia="Century Gothic" w:hAnsi="Verdana" w:cs="Century Gothic"/>
          <w:color w:val="000000" w:themeColor="text1"/>
          <w:lang w:val="es-ES"/>
        </w:rPr>
      </w:pPr>
    </w:p>
    <w:p w14:paraId="46BFA669" w14:textId="77777777" w:rsidR="0042219C" w:rsidRPr="001242F3" w:rsidRDefault="0042219C" w:rsidP="0042219C">
      <w:pPr>
        <w:spacing w:after="0" w:line="276" w:lineRule="auto"/>
        <w:jc w:val="both"/>
        <w:rPr>
          <w:rFonts w:ascii="Verdana" w:eastAsia="Century Gothic" w:hAnsi="Verdana" w:cs="Century Gothic"/>
          <w:iCs/>
          <w:color w:val="000000" w:themeColor="text1"/>
          <w:lang w:val="es-ES"/>
        </w:rPr>
      </w:pPr>
      <w:r w:rsidRPr="001242F3">
        <w:rPr>
          <w:rFonts w:ascii="Verdana" w:eastAsia="Century Gothic" w:hAnsi="Verdana" w:cs="Century Gothic"/>
          <w:color w:val="000000" w:themeColor="text1"/>
          <w:lang w:val="es-ES"/>
        </w:rPr>
        <w:t>De acuerdo con el contenido de su solicitud, esta Agencia resolverá el siguiente problema jurídico: ¿puede un proponente inhabilitado participar en un proceso o ejecutar un contrato estatal si uno de sus miembros se encuentra inhabilitado?</w:t>
      </w:r>
    </w:p>
    <w:p w14:paraId="415FEC9A" w14:textId="77777777" w:rsidR="0042219C" w:rsidRPr="001242F3" w:rsidRDefault="0042219C" w:rsidP="0042219C">
      <w:pPr>
        <w:spacing w:after="0" w:line="276" w:lineRule="auto"/>
        <w:jc w:val="both"/>
        <w:rPr>
          <w:rFonts w:ascii="Verdana" w:eastAsia="Calibri" w:hAnsi="Verdana" w:cs="Arial"/>
          <w:color w:val="000000" w:themeColor="text1"/>
          <w:lang w:val="es-ES"/>
        </w:rPr>
      </w:pPr>
    </w:p>
    <w:p w14:paraId="18049D59" w14:textId="77777777" w:rsidR="0042219C" w:rsidRPr="001242F3" w:rsidRDefault="0042219C" w:rsidP="0042219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242F3">
        <w:rPr>
          <w:rFonts w:ascii="Verdana" w:eastAsia="Century Gothic" w:hAnsi="Verdana" w:cs="Century Gothic"/>
          <w:b/>
          <w:bCs/>
          <w:color w:val="000000" w:themeColor="text1"/>
        </w:rPr>
        <w:t>Respuesta:</w:t>
      </w:r>
    </w:p>
    <w:p w14:paraId="04152B2A" w14:textId="77777777" w:rsidR="0042219C" w:rsidRPr="001242F3" w:rsidRDefault="0042219C" w:rsidP="0042219C">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2219C" w:rsidRPr="001242F3" w14:paraId="2C0D00A9" w14:textId="77777777" w:rsidTr="00367A99">
        <w:tc>
          <w:tcPr>
            <w:tcW w:w="8828" w:type="dxa"/>
          </w:tcPr>
          <w:p w14:paraId="3B2596D7" w14:textId="77777777" w:rsidR="0042219C" w:rsidRPr="001242F3" w:rsidRDefault="0042219C" w:rsidP="00367A99">
            <w:pPr>
              <w:spacing w:before="120" w:after="120" w:line="276" w:lineRule="auto"/>
              <w:jc w:val="both"/>
              <w:rPr>
                <w:rFonts w:ascii="Verdana" w:eastAsia="Arial" w:hAnsi="Verdana" w:cs="Arial"/>
                <w:lang w:val="es-ES"/>
              </w:rPr>
            </w:pPr>
            <w:r w:rsidRPr="00E01BA9">
              <w:rPr>
                <w:rFonts w:ascii="Verdana" w:eastAsia="Arial" w:hAnsi="Verdana" w:cs="Arial"/>
                <w:lang w:val="es-ES"/>
              </w:rPr>
              <w:t xml:space="preserve">Un proponente plural no puede participar en un proceso de selección ni ejecutar un contrato estatal cuando uno de sus miembros se encuentra inhabilitado. Las inhabilidades e incompatibilidades son restricciones o límites especiales a la capacidad para presentar ofertas y celebrar contratos estatales que solo pueden tipificarse en la Constitución o en la ley y cuya interpretación debe ser restrictiva, conforme al principio </w:t>
            </w:r>
            <w:r w:rsidRPr="00E01BA9">
              <w:rPr>
                <w:rFonts w:ascii="Verdana" w:eastAsia="Arial" w:hAnsi="Verdana" w:cs="Arial"/>
                <w:i/>
                <w:iCs/>
                <w:lang w:val="es-ES"/>
              </w:rPr>
              <w:t>pro libertate</w:t>
            </w:r>
            <w:r w:rsidRPr="00E01BA9">
              <w:rPr>
                <w:rFonts w:ascii="Verdana" w:eastAsia="Arial" w:hAnsi="Verdana" w:cs="Arial"/>
                <w:lang w:val="es-ES"/>
              </w:rPr>
              <w:t xml:space="preserve">. </w:t>
            </w:r>
            <w:r w:rsidRPr="001242F3">
              <w:rPr>
                <w:rFonts w:ascii="Verdana" w:eastAsia="Arial" w:hAnsi="Verdana" w:cs="Arial"/>
                <w:lang w:val="es-ES"/>
              </w:rPr>
              <w:t>E</w:t>
            </w:r>
            <w:r w:rsidRPr="00E01BA9">
              <w:rPr>
                <w:rFonts w:ascii="Verdana" w:eastAsia="Arial" w:hAnsi="Verdana" w:cs="Arial"/>
                <w:lang w:val="es-ES"/>
              </w:rPr>
              <w:t>se carácter restrictivo opera respecto de la tipificación de las causales; de modo que, contrario a lo sugerido en la consulta, la interpretación restrictiva no habilita a una persona inhabilitada para contratar con el Estado a través de un consorcio o una unión temporal.</w:t>
            </w:r>
          </w:p>
          <w:p w14:paraId="2C1892DE" w14:textId="77777777" w:rsidR="0042219C" w:rsidRPr="001242F3" w:rsidRDefault="0042219C" w:rsidP="00367A99">
            <w:pPr>
              <w:spacing w:after="120" w:line="276" w:lineRule="auto"/>
              <w:ind w:firstLine="738"/>
              <w:jc w:val="both"/>
              <w:rPr>
                <w:rFonts w:ascii="Verdana" w:eastAsia="Arial" w:hAnsi="Verdana" w:cs="Arial"/>
                <w:lang w:val="es-ES"/>
              </w:rPr>
            </w:pPr>
            <w:r w:rsidRPr="00E01BA9">
              <w:rPr>
                <w:rFonts w:ascii="Verdana" w:eastAsia="Arial" w:hAnsi="Verdana" w:cs="Arial"/>
                <w:lang w:val="es-ES"/>
              </w:rPr>
              <w:t>Lo anterior se explica porque los consorcios y las uniones temporales no son personas jurídicas</w:t>
            </w:r>
            <w:r w:rsidRPr="001242F3">
              <w:rPr>
                <w:rFonts w:ascii="Verdana" w:eastAsia="Arial" w:hAnsi="Verdana" w:cs="Arial"/>
                <w:lang w:val="es-ES"/>
              </w:rPr>
              <w:t xml:space="preserve"> distintas a sus miembros</w:t>
            </w:r>
            <w:r w:rsidRPr="00E01BA9">
              <w:rPr>
                <w:rFonts w:ascii="Verdana" w:eastAsia="Arial" w:hAnsi="Verdana" w:cs="Arial"/>
                <w:lang w:val="es-ES"/>
              </w:rPr>
              <w:t xml:space="preserve">, sino entes creados por </w:t>
            </w:r>
            <w:r w:rsidRPr="001242F3">
              <w:rPr>
                <w:rFonts w:ascii="Verdana" w:eastAsia="Arial" w:hAnsi="Verdana" w:cs="Arial"/>
                <w:lang w:val="es-ES"/>
              </w:rPr>
              <w:t>su</w:t>
            </w:r>
            <w:r w:rsidRPr="00E01BA9">
              <w:rPr>
                <w:rFonts w:ascii="Verdana" w:eastAsia="Arial" w:hAnsi="Verdana" w:cs="Arial"/>
                <w:lang w:val="es-ES"/>
              </w:rPr>
              <w:t xml:space="preserve"> acuerdo de voluntades, cuya capacidad para participar en la adjudicación, celebración y ejecución de contratos estatales se deriva de la de sus integrantes. Como el proponente plural no es una persona distinta de la de </w:t>
            </w:r>
            <w:r w:rsidRPr="00E01BA9">
              <w:rPr>
                <w:rFonts w:ascii="Verdana" w:eastAsia="Arial" w:hAnsi="Verdana" w:cs="Arial"/>
                <w:lang w:val="es-ES"/>
              </w:rPr>
              <w:lastRenderedPageBreak/>
              <w:t xml:space="preserve">sus </w:t>
            </w:r>
            <w:r w:rsidRPr="001242F3">
              <w:rPr>
                <w:rFonts w:ascii="Verdana" w:eastAsia="Arial" w:hAnsi="Verdana" w:cs="Arial"/>
                <w:lang w:val="es-ES"/>
              </w:rPr>
              <w:t>integrantes</w:t>
            </w:r>
            <w:r w:rsidRPr="00E01BA9">
              <w:rPr>
                <w:rFonts w:ascii="Verdana" w:eastAsia="Arial" w:hAnsi="Verdana" w:cs="Arial"/>
                <w:lang w:val="es-ES"/>
              </w:rPr>
              <w:t xml:space="preserve">, cada uno de ellos debe contar con capacidad jurídica para participar en el proceso de contratación. </w:t>
            </w:r>
          </w:p>
          <w:p w14:paraId="45C7238B" w14:textId="77777777" w:rsidR="0042219C" w:rsidRPr="00E01BA9" w:rsidRDefault="0042219C" w:rsidP="00367A99">
            <w:pPr>
              <w:spacing w:after="120" w:line="276" w:lineRule="auto"/>
              <w:ind w:firstLine="738"/>
              <w:jc w:val="both"/>
              <w:rPr>
                <w:rFonts w:ascii="Verdana" w:eastAsia="Arial" w:hAnsi="Verdana" w:cs="Arial"/>
                <w:lang w:val="es-ES"/>
              </w:rPr>
            </w:pPr>
            <w:r w:rsidRPr="001242F3">
              <w:rPr>
                <w:rFonts w:ascii="Verdana" w:eastAsia="Arial" w:hAnsi="Verdana" w:cs="Arial"/>
                <w:lang w:val="es-ES"/>
              </w:rPr>
              <w:t>En consecuencia</w:t>
            </w:r>
            <w:r w:rsidRPr="00E01BA9">
              <w:rPr>
                <w:rFonts w:ascii="Verdana" w:eastAsia="Arial" w:hAnsi="Verdana" w:cs="Arial"/>
                <w:lang w:val="es-ES"/>
              </w:rPr>
              <w:t xml:space="preserve">, si una persona natural o jurídica se encuentra inhabilitada para contratar, la limitación a su capacidad no desaparece por integrar un proponente plural, pues se trata de un conjunto de personas naturales o jurídicas que comparten un objetivo común y que mantienen su personalidad individual. </w:t>
            </w:r>
            <w:r w:rsidRPr="001242F3">
              <w:rPr>
                <w:rFonts w:ascii="Verdana" w:eastAsia="Arial" w:hAnsi="Verdana" w:cs="Arial"/>
                <w:lang w:val="es-ES"/>
              </w:rPr>
              <w:t xml:space="preserve">Así lo ha sostenido </w:t>
            </w:r>
            <w:r w:rsidRPr="00E01BA9">
              <w:rPr>
                <w:rFonts w:ascii="Verdana" w:eastAsia="Arial" w:hAnsi="Verdana" w:cs="Arial"/>
                <w:lang w:val="es-ES"/>
              </w:rPr>
              <w:t>la Sección Tercera del Consejo de Estado</w:t>
            </w:r>
            <w:r>
              <w:rPr>
                <w:rStyle w:val="Refdenotaalpie"/>
                <w:rFonts w:ascii="Verdana" w:eastAsia="Arial" w:hAnsi="Verdana" w:cs="Arial"/>
                <w:lang w:val="es-ES"/>
              </w:rPr>
              <w:footnoteReference w:id="2"/>
            </w:r>
            <w:r w:rsidRPr="00E01BA9">
              <w:rPr>
                <w:rFonts w:ascii="Verdana" w:eastAsia="Arial" w:hAnsi="Verdana" w:cs="Arial"/>
                <w:lang w:val="es-ES"/>
              </w:rPr>
              <w:t xml:space="preserve">, </w:t>
            </w:r>
            <w:r w:rsidRPr="001242F3">
              <w:rPr>
                <w:rFonts w:ascii="Verdana" w:eastAsia="Arial" w:hAnsi="Verdana" w:cs="Arial"/>
                <w:lang w:val="es-ES"/>
              </w:rPr>
              <w:t xml:space="preserve">la cual ha afirmado que </w:t>
            </w:r>
            <w:r w:rsidRPr="00E01BA9">
              <w:rPr>
                <w:rFonts w:ascii="Verdana" w:eastAsia="Arial" w:hAnsi="Verdana" w:cs="Arial"/>
                <w:lang w:val="es-ES"/>
              </w:rPr>
              <w:t>en tanto alguno de los miembros de un consorcio o de una unión temporal se encuentre en situación de inhabilidad o incompatibilidad, el consorcio o la unión temporal no puede ser proponente o contratista del Estado, toda vez que, según el artículo 7 de la Ley 80 de 1993, las actuaciones, hechos y omisiones que se presenten en desarrollo de la propuesta y del contrato afectan a todos los miembros que lo conforman.</w:t>
            </w:r>
          </w:p>
          <w:p w14:paraId="03AB5D9F" w14:textId="77777777" w:rsidR="0042219C" w:rsidRPr="001242F3" w:rsidRDefault="0042219C" w:rsidP="00367A99">
            <w:pPr>
              <w:spacing w:after="120" w:line="276" w:lineRule="auto"/>
              <w:ind w:firstLine="738"/>
              <w:jc w:val="both"/>
              <w:rPr>
                <w:rFonts w:ascii="Verdana" w:eastAsia="Arial" w:hAnsi="Verdana" w:cs="Arial"/>
                <w:lang w:val="es-ES"/>
              </w:rPr>
            </w:pPr>
            <w:r w:rsidRPr="00E01BA9">
              <w:rPr>
                <w:rFonts w:ascii="Verdana" w:eastAsia="Arial" w:hAnsi="Verdana" w:cs="Arial"/>
                <w:lang w:val="es-ES"/>
              </w:rPr>
              <w:t>En consecuencia, la Entidad Estatal debe verificar la capacidad jurídica del proponente plural a partir de la de cada uno de sus miembros, de manera que la existencia de condiciones que afecten la capacidad jurídica de uno de ellos, como ocurre con las inhabilidades e incompatibilidades, necesariamente afecta la del proponente plural. Ello se predica tanto de la posibilidad de participar en el proceso como de la inhabilidad sobreviniente durante la ejecución del contrato, evento en el cual</w:t>
            </w:r>
            <w:r>
              <w:rPr>
                <w:rFonts w:ascii="Verdana" w:eastAsia="Arial" w:hAnsi="Verdana" w:cs="Arial"/>
                <w:lang w:val="es-ES"/>
              </w:rPr>
              <w:t>, por disposición expresa del artículo 9 de la Ley 80 de 1993,</w:t>
            </w:r>
            <w:r w:rsidRPr="00E01BA9">
              <w:rPr>
                <w:rFonts w:ascii="Verdana" w:eastAsia="Arial" w:hAnsi="Verdana" w:cs="Arial"/>
                <w:lang w:val="es-ES"/>
              </w:rPr>
              <w:t xml:space="preserve"> el miembro incurso en la causal debe salir de la estructura plural cediendo su participación a un tercero, previa autorización escrita de la entidad contratante, sin que en ningún caso pueda cederse entre quienes integran el consorcio o la unión temporal. Lo aquí expuesto es concordante con lo ya establecido por esta Agencia en el concepto C-677 de 2026 citado por el consultante.</w:t>
            </w:r>
          </w:p>
          <w:p w14:paraId="6033533C" w14:textId="342293C6" w:rsidR="0042219C" w:rsidRPr="001242F3" w:rsidRDefault="0042219C" w:rsidP="00367A99">
            <w:pPr>
              <w:spacing w:after="120" w:line="276" w:lineRule="auto"/>
              <w:ind w:firstLine="738"/>
              <w:jc w:val="both"/>
              <w:rPr>
                <w:rFonts w:ascii="Verdana" w:eastAsia="Arial" w:hAnsi="Verdana" w:cs="Arial"/>
                <w:lang w:val="es-ES"/>
              </w:rPr>
            </w:pPr>
            <w:r w:rsidRPr="001242F3">
              <w:rPr>
                <w:rFonts w:ascii="Verdana" w:eastAsia="Arial" w:hAnsi="Verdana" w:cs="Arial"/>
                <w:lang w:val="es-ES"/>
              </w:rPr>
              <w:t xml:space="preserve">Al margen de lo expuesto,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w:t>
            </w:r>
            <w:r w:rsidRPr="001242F3">
              <w:rPr>
                <w:rFonts w:ascii="Verdana" w:eastAsia="Arial" w:hAnsi="Verdana" w:cs="Arial"/>
                <w:lang w:val="es-ES"/>
              </w:rPr>
              <w:lastRenderedPageBreak/>
              <w:t xml:space="preserve">conflicto, a las autoridades judiciales, fiscales y disciplinarias. Además es </w:t>
            </w:r>
            <w:r w:rsidRPr="001242F3">
              <w:rPr>
                <w:rFonts w:ascii="Verdana" w:eastAsia="Calibri" w:hAnsi="Verdana" w:cs="Arial"/>
                <w:color w:val="000000"/>
                <w:lang w:val="es-ES"/>
              </w:rPr>
              <w:t>importante resaltar que</w:t>
            </w:r>
            <w:r w:rsidR="00A3361C" w:rsidRPr="001242F3">
              <w:rPr>
                <w:rFonts w:ascii="Verdana" w:eastAsia="Calibri" w:hAnsi="Verdana" w:cs="Arial"/>
                <w:color w:val="000000"/>
                <w:lang w:val="es-ES"/>
              </w:rPr>
              <w:t>,</w:t>
            </w:r>
            <w:r w:rsidRPr="001242F3">
              <w:rPr>
                <w:rFonts w:ascii="Verdana" w:eastAsia="Calibri" w:hAnsi="Verdana" w:cs="Arial"/>
                <w:color w:val="000000"/>
                <w:lang w:val="es-ES"/>
              </w:rPr>
              <w:t xml:space="preserve"> si se considera que el acto jurídico está viciado de nulidad por incompetencia, la declaratoria de esa nulidad corresponde al juez del contrato.</w:t>
            </w:r>
          </w:p>
        </w:tc>
      </w:tr>
    </w:tbl>
    <w:p w14:paraId="09DF2166" w14:textId="77777777" w:rsidR="0042219C" w:rsidRPr="001242F3" w:rsidRDefault="0042219C" w:rsidP="0042219C">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010FCE7" w14:textId="77777777" w:rsidR="0042219C" w:rsidRPr="001242F3" w:rsidRDefault="0042219C" w:rsidP="0042219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242F3">
        <w:rPr>
          <w:rFonts w:ascii="Verdana" w:eastAsia="Century Gothic" w:hAnsi="Verdana" w:cs="Century Gothic"/>
          <w:b/>
          <w:bCs/>
          <w:color w:val="000000" w:themeColor="text1"/>
        </w:rPr>
        <w:t>Razones de la respuesta:</w:t>
      </w:r>
    </w:p>
    <w:p w14:paraId="36C30242" w14:textId="77777777" w:rsidR="0042219C" w:rsidRPr="001242F3" w:rsidRDefault="0042219C" w:rsidP="0042219C">
      <w:pPr>
        <w:spacing w:after="0" w:line="276" w:lineRule="auto"/>
        <w:jc w:val="both"/>
        <w:rPr>
          <w:rFonts w:ascii="Verdana" w:eastAsia="Calibri" w:hAnsi="Verdana" w:cs="Arial"/>
          <w:color w:val="000000" w:themeColor="text1"/>
          <w:lang w:val="es-ES"/>
        </w:rPr>
      </w:pPr>
    </w:p>
    <w:p w14:paraId="723A7DBB" w14:textId="77777777" w:rsidR="0042219C" w:rsidRPr="001242F3" w:rsidRDefault="0042219C" w:rsidP="0042219C">
      <w:pPr>
        <w:spacing w:after="0" w:line="276" w:lineRule="auto"/>
        <w:jc w:val="both"/>
        <w:rPr>
          <w:rFonts w:ascii="Verdana" w:eastAsia="Calibri" w:hAnsi="Verdana" w:cs="Arial"/>
          <w:color w:val="000000" w:themeColor="text1"/>
          <w:lang w:val="es-ES"/>
        </w:rPr>
      </w:pPr>
      <w:r w:rsidRPr="001242F3">
        <w:rPr>
          <w:rFonts w:ascii="Verdana" w:eastAsia="Calibri" w:hAnsi="Verdana" w:cs="Arial"/>
          <w:color w:val="000000" w:themeColor="text1"/>
          <w:lang w:val="es-ES"/>
        </w:rPr>
        <w:t xml:space="preserve">Lo anterior se sustenta en las siguientes consideraciones: </w:t>
      </w:r>
    </w:p>
    <w:p w14:paraId="48F67461" w14:textId="77777777" w:rsidR="0042219C" w:rsidRPr="001242F3" w:rsidRDefault="0042219C" w:rsidP="0042219C">
      <w:pPr>
        <w:spacing w:after="0" w:line="276" w:lineRule="auto"/>
        <w:jc w:val="both"/>
        <w:rPr>
          <w:rFonts w:ascii="Verdana" w:eastAsia="Calibri" w:hAnsi="Verdana" w:cs="Arial"/>
          <w:lang w:val="es-ES"/>
        </w:rPr>
      </w:pPr>
    </w:p>
    <w:p w14:paraId="31DB9A69" w14:textId="77777777" w:rsidR="0042219C" w:rsidRPr="001242F3" w:rsidRDefault="0042219C" w:rsidP="0042219C">
      <w:pPr>
        <w:spacing w:after="0" w:line="276" w:lineRule="auto"/>
        <w:jc w:val="both"/>
        <w:rPr>
          <w:rFonts w:ascii="Verdana" w:eastAsia="Calibri" w:hAnsi="Verdana" w:cs="Arial"/>
          <w:lang w:val="es-ES"/>
        </w:rPr>
      </w:pPr>
      <w:r w:rsidRPr="001242F3">
        <w:rPr>
          <w:rFonts w:ascii="Verdana" w:eastAsia="Calibri" w:hAnsi="Verdana" w:cs="Arial"/>
          <w:bCs/>
          <w:lang w:val="es-ES"/>
        </w:rPr>
        <w:t>i.</w:t>
      </w:r>
      <w:r w:rsidRPr="001242F3">
        <w:rPr>
          <w:rFonts w:ascii="Verdana" w:eastAsia="Calibri" w:hAnsi="Verdana" w:cs="Arial"/>
          <w:color w:val="000000"/>
          <w:lang w:val="es-ES"/>
        </w:rPr>
        <w:t xml:space="preserve"> </w:t>
      </w:r>
      <w:r w:rsidRPr="001242F3">
        <w:rPr>
          <w:rFonts w:ascii="Verdana" w:eastAsia="Calibri" w:hAnsi="Verdana" w:cs="Arial"/>
          <w:lang w:val="es-ES"/>
        </w:rPr>
        <w:t xml:space="preserve">Las inhabilidades son circunstancias establecidas por la Constitución o la ley que impiden que personas naturales o jurídicas sean elegidas o designadas en un cargo público, celebren contratos con el Estado, o no puedan ejercer una profesión, con el objetivo de garantizar la idoneidad, imparcialidad, probidad, transparencia y moralidad de la función pública, garantizando el interés general. De igual modo, en torno a la incompatibilidad, la Corte Constitucional ha señalado: </w:t>
      </w:r>
    </w:p>
    <w:p w14:paraId="50BF7A92" w14:textId="77777777" w:rsidR="0042219C" w:rsidRPr="001242F3" w:rsidRDefault="0042219C" w:rsidP="0042219C">
      <w:pPr>
        <w:spacing w:after="0" w:line="276" w:lineRule="auto"/>
        <w:jc w:val="both"/>
        <w:rPr>
          <w:rFonts w:ascii="Verdana" w:eastAsia="Calibri" w:hAnsi="Verdana" w:cs="Arial"/>
          <w:sz w:val="20"/>
          <w:szCs w:val="20"/>
          <w:lang w:val="es-ES"/>
        </w:rPr>
      </w:pPr>
    </w:p>
    <w:p w14:paraId="5CCE175E" w14:textId="77777777" w:rsidR="0042219C" w:rsidRPr="001242F3" w:rsidRDefault="0042219C" w:rsidP="0042219C">
      <w:pPr>
        <w:spacing w:after="0" w:line="240" w:lineRule="auto"/>
        <w:ind w:left="709" w:right="709"/>
        <w:jc w:val="both"/>
        <w:rPr>
          <w:rFonts w:ascii="Verdana" w:eastAsia="Calibri" w:hAnsi="Verdana" w:cs="Arial"/>
          <w:bCs/>
          <w:iCs/>
          <w:sz w:val="20"/>
          <w:szCs w:val="20"/>
          <w:lang w:val="es-ES"/>
        </w:rPr>
      </w:pPr>
      <w:r w:rsidRPr="001242F3">
        <w:rPr>
          <w:rFonts w:ascii="Verdana" w:eastAsia="Calibri" w:hAnsi="Verdana" w:cs="Arial"/>
          <w:sz w:val="20"/>
          <w:szCs w:val="20"/>
          <w:lang w:val="es-ES"/>
        </w:rPr>
        <w:t xml:space="preserve"> </w:t>
      </w:r>
      <w:r w:rsidRPr="001242F3">
        <w:rPr>
          <w:rFonts w:ascii="Verdana" w:eastAsia="Calibri" w:hAnsi="Verdana" w:cs="Arial"/>
          <w:bCs/>
          <w:iCs/>
          <w:sz w:val="20"/>
          <w:szCs w:val="20"/>
          <w:lang w:val="es-ES"/>
        </w:rPr>
        <w:t>“[…]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1242F3">
        <w:rPr>
          <w:rFonts w:ascii="Verdana" w:eastAsia="Calibri" w:hAnsi="Verdana" w:cs="Arial"/>
          <w:bCs/>
          <w:iCs/>
          <w:sz w:val="20"/>
          <w:szCs w:val="20"/>
          <w:vertAlign w:val="superscript"/>
          <w:lang w:val="es-ES"/>
        </w:rPr>
        <w:footnoteReference w:id="3"/>
      </w:r>
      <w:r w:rsidRPr="001242F3">
        <w:rPr>
          <w:rFonts w:ascii="Verdana" w:eastAsia="Calibri" w:hAnsi="Verdana" w:cs="Arial"/>
          <w:bCs/>
          <w:iCs/>
          <w:sz w:val="20"/>
          <w:szCs w:val="20"/>
          <w:lang w:val="es-ES"/>
        </w:rPr>
        <w:t>.</w:t>
      </w:r>
    </w:p>
    <w:p w14:paraId="6963534D" w14:textId="77777777" w:rsidR="0042219C" w:rsidRPr="001242F3" w:rsidRDefault="0042219C" w:rsidP="0042219C">
      <w:pPr>
        <w:spacing w:after="0" w:line="240" w:lineRule="auto"/>
        <w:ind w:left="709" w:right="709"/>
        <w:jc w:val="both"/>
        <w:rPr>
          <w:rFonts w:ascii="Verdana" w:eastAsia="Calibri" w:hAnsi="Verdana" w:cs="Arial"/>
          <w:bCs/>
          <w:iCs/>
          <w:sz w:val="21"/>
          <w:szCs w:val="21"/>
          <w:lang w:val="es-ES"/>
        </w:rPr>
      </w:pPr>
    </w:p>
    <w:p w14:paraId="227FAF3B" w14:textId="77777777" w:rsidR="0042219C" w:rsidRPr="001242F3" w:rsidRDefault="0042219C" w:rsidP="0042219C">
      <w:pPr>
        <w:spacing w:after="120" w:line="276" w:lineRule="auto"/>
        <w:ind w:firstLine="709"/>
        <w:jc w:val="both"/>
        <w:rPr>
          <w:rFonts w:ascii="Verdana" w:eastAsia="Calibri" w:hAnsi="Verdana" w:cs="Arial"/>
          <w:lang w:val="es-ES"/>
        </w:rPr>
      </w:pPr>
      <w:r w:rsidRPr="001242F3">
        <w:rPr>
          <w:rFonts w:ascii="Verdana" w:eastAsia="Calibri" w:hAnsi="Verdana" w:cs="Arial"/>
          <w:lang w:val="es-ES"/>
        </w:rPr>
        <w:t xml:space="preserve">Las inhabilidades e incompatibilidades pueden enfocarse en varios asuntos: en primer lugar, se encuentran las inhabilidades e incompatibilidades que impiden que una persona sea elegida, designada para un cargo público, o que la persona que se encuentre vinculada a la función pública continúe en ella; en segundo lugar, existen inhabilidades e incompatibilidades que impiden el ejercicio de una profesión y encuentran sustento en el artículo 26 de la Constitución Política; en tercer lugar, se encuentra el régimen de inhabilidades e incompatibilidades en la contratación estatal, que busca limitar la celebración de contratos, así como evitar que la persona siga ejecutando un contrato por una inhabilidad o incompatibilidad sobreviniente. La Agencia Nacional de </w:t>
      </w:r>
      <w:r w:rsidRPr="001242F3">
        <w:rPr>
          <w:rFonts w:ascii="Verdana" w:eastAsia="Calibri" w:hAnsi="Verdana" w:cs="Arial"/>
          <w:lang w:val="es-ES"/>
        </w:rPr>
        <w:lastRenderedPageBreak/>
        <w:t xml:space="preserve">Contratación Pública es competente para resolver consultas sobre normas del sistema de compras y contratación públicas que establezcan inhabilidades e incompatibilidades para contratar con el Estado. </w:t>
      </w:r>
    </w:p>
    <w:p w14:paraId="17722063" w14:textId="77777777" w:rsidR="0042219C" w:rsidRPr="001242F3" w:rsidRDefault="0042219C" w:rsidP="0042219C">
      <w:pPr>
        <w:spacing w:after="120" w:line="276" w:lineRule="auto"/>
        <w:ind w:firstLine="709"/>
        <w:jc w:val="both"/>
        <w:rPr>
          <w:rFonts w:ascii="Verdana" w:eastAsia="Calibri" w:hAnsi="Verdana" w:cs="Arial"/>
          <w:lang w:val="es-ES"/>
        </w:rPr>
      </w:pPr>
      <w:r w:rsidRPr="001242F3">
        <w:rPr>
          <w:rFonts w:ascii="Verdana" w:eastAsia="Calibri" w:hAnsi="Verdana" w:cs="Arial"/>
          <w:lang w:val="es-ES"/>
        </w:rPr>
        <w:t>En este sentido,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1242F3">
        <w:rPr>
          <w:rFonts w:ascii="Verdana" w:eastAsia="Calibri" w:hAnsi="Verdana" w:cs="Arial"/>
          <w:vertAlign w:val="superscript"/>
          <w:lang w:val="es-ES"/>
        </w:rPr>
        <w:footnoteReference w:id="4"/>
      </w:r>
    </w:p>
    <w:p w14:paraId="1051210D" w14:textId="77777777" w:rsidR="0042219C" w:rsidRPr="001242F3" w:rsidRDefault="0042219C" w:rsidP="0042219C">
      <w:pPr>
        <w:spacing w:before="120" w:after="0" w:line="276" w:lineRule="auto"/>
        <w:ind w:firstLine="709"/>
        <w:jc w:val="both"/>
        <w:rPr>
          <w:rFonts w:ascii="Verdana" w:eastAsia="Calibri" w:hAnsi="Verdana" w:cs="Arial"/>
          <w:lang w:val="es-ES"/>
        </w:rPr>
      </w:pPr>
      <w:r w:rsidRPr="001242F3">
        <w:rPr>
          <w:rFonts w:ascii="Verdana" w:eastAsia="Calibri" w:hAnsi="Verdana" w:cs="Arial"/>
          <w:lang w:val="es-ES"/>
        </w:rPr>
        <w:t xml:space="preserve">La regulación de las inhabilidades implica limitaciones a la capacidad jurídica para contratar, en desarrollo de los principios de la función administrativa consagrados en el artículo 209 de la Constitución Política, con especial énfasis en el de moralidad. Así lo entiende el Consejo de Estado: </w:t>
      </w:r>
    </w:p>
    <w:p w14:paraId="136DB436" w14:textId="77777777" w:rsidR="0042219C" w:rsidRPr="001242F3" w:rsidRDefault="0042219C" w:rsidP="0042219C">
      <w:pPr>
        <w:spacing w:after="0" w:line="276" w:lineRule="auto"/>
        <w:jc w:val="both"/>
        <w:rPr>
          <w:rFonts w:ascii="Verdana" w:eastAsia="Calibri" w:hAnsi="Verdana" w:cs="Arial"/>
          <w:lang w:val="es-ES"/>
        </w:rPr>
      </w:pPr>
    </w:p>
    <w:p w14:paraId="72A72FD7" w14:textId="77777777" w:rsidR="0042219C" w:rsidRPr="001242F3" w:rsidRDefault="0042219C" w:rsidP="0042219C">
      <w:pPr>
        <w:shd w:val="clear" w:color="auto" w:fill="FFFFFF"/>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12E33C1A" w14:textId="77777777" w:rsidR="0042219C" w:rsidRPr="001242F3" w:rsidRDefault="0042219C" w:rsidP="0042219C">
      <w:pPr>
        <w:shd w:val="clear" w:color="auto" w:fill="FFFFFF"/>
        <w:spacing w:after="0" w:line="240" w:lineRule="auto"/>
        <w:ind w:left="709" w:right="709"/>
        <w:jc w:val="both"/>
        <w:rPr>
          <w:rFonts w:ascii="Verdana" w:eastAsia="Calibri" w:hAnsi="Verdana" w:cs="Arial"/>
          <w:sz w:val="20"/>
          <w:szCs w:val="20"/>
          <w:lang w:val="es-ES"/>
        </w:rPr>
      </w:pPr>
    </w:p>
    <w:p w14:paraId="328561A0" w14:textId="77777777" w:rsidR="0042219C" w:rsidRPr="001242F3" w:rsidRDefault="0042219C" w:rsidP="0042219C">
      <w:pPr>
        <w:shd w:val="clear" w:color="auto" w:fill="FFFFFF"/>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 xml:space="preserve">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w:t>
      </w:r>
      <w:r w:rsidRPr="001242F3">
        <w:rPr>
          <w:rFonts w:ascii="Verdana" w:eastAsia="Calibri" w:hAnsi="Verdana" w:cs="Arial"/>
          <w:sz w:val="20"/>
          <w:szCs w:val="20"/>
          <w:lang w:val="es-ES"/>
        </w:rPr>
        <w:lastRenderedPageBreak/>
        <w:t>determinados potenciales contratistas, la cual se impone entonces por razón de ese fin de interés general como regla legal prevalente, esto es que puede ser impuesta sobre el derecho individual a contratar con el Estado”</w:t>
      </w:r>
      <w:r w:rsidRPr="001242F3">
        <w:rPr>
          <w:rFonts w:ascii="Verdana" w:eastAsia="Calibri" w:hAnsi="Verdana" w:cs="Arial"/>
          <w:sz w:val="20"/>
          <w:szCs w:val="20"/>
          <w:vertAlign w:val="superscript"/>
          <w:lang w:val="es-ES"/>
        </w:rPr>
        <w:footnoteReference w:id="5"/>
      </w:r>
    </w:p>
    <w:p w14:paraId="41FF0919" w14:textId="77777777" w:rsidR="0042219C" w:rsidRPr="001242F3" w:rsidRDefault="0042219C" w:rsidP="0042219C">
      <w:pPr>
        <w:shd w:val="clear" w:color="auto" w:fill="FFFFFF"/>
        <w:spacing w:after="0" w:line="240" w:lineRule="auto"/>
        <w:ind w:left="709" w:right="709"/>
        <w:jc w:val="both"/>
        <w:rPr>
          <w:rFonts w:ascii="Verdana" w:eastAsia="Calibri" w:hAnsi="Verdana" w:cs="Arial"/>
          <w:sz w:val="20"/>
          <w:szCs w:val="20"/>
          <w:lang w:val="es-ES"/>
        </w:rPr>
      </w:pPr>
    </w:p>
    <w:p w14:paraId="700CD2FB" w14:textId="77777777" w:rsidR="0042219C" w:rsidRPr="001242F3" w:rsidRDefault="0042219C" w:rsidP="0042219C">
      <w:pPr>
        <w:spacing w:after="0" w:line="276" w:lineRule="auto"/>
        <w:ind w:firstLine="709"/>
        <w:jc w:val="both"/>
        <w:rPr>
          <w:rFonts w:ascii="Verdana" w:eastAsia="Calibri" w:hAnsi="Verdana" w:cs="Arial"/>
          <w:lang w:val="es-ES"/>
        </w:rPr>
      </w:pPr>
      <w:r w:rsidRPr="001242F3">
        <w:rPr>
          <w:rFonts w:ascii="Verdana" w:eastAsia="Calibri" w:hAnsi="Verdana" w:cs="Arial"/>
          <w:lang w:val="es-ES"/>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3706CB4A" w14:textId="77777777" w:rsidR="0042219C" w:rsidRPr="001242F3" w:rsidRDefault="0042219C" w:rsidP="0042219C">
      <w:pPr>
        <w:spacing w:after="0" w:line="240" w:lineRule="auto"/>
        <w:rPr>
          <w:rFonts w:ascii="Verdana" w:eastAsia="Times New Roman" w:hAnsi="Verdana" w:cs="Arial"/>
          <w:sz w:val="21"/>
          <w:szCs w:val="21"/>
          <w:shd w:val="clear" w:color="auto" w:fill="FFFFFF"/>
          <w:lang w:val="es-ES" w:eastAsia="es-ES_tradnl"/>
        </w:rPr>
      </w:pPr>
    </w:p>
    <w:p w14:paraId="1AB1A323"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2BCC339B"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p>
    <w:p w14:paraId="53E49C7F"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1242F3">
        <w:rPr>
          <w:rFonts w:ascii="Verdana" w:eastAsia="Calibri" w:hAnsi="Verdana" w:cs="Arial"/>
          <w:sz w:val="20"/>
          <w:szCs w:val="20"/>
          <w:vertAlign w:val="superscript"/>
          <w:lang w:val="es-ES"/>
        </w:rPr>
        <w:footnoteReference w:id="6"/>
      </w:r>
      <w:r w:rsidRPr="001242F3">
        <w:rPr>
          <w:rFonts w:ascii="Verdana" w:eastAsia="Calibri" w:hAnsi="Verdana" w:cs="Arial"/>
          <w:sz w:val="20"/>
          <w:szCs w:val="20"/>
          <w:lang w:val="es-ES"/>
        </w:rPr>
        <w:t xml:space="preserve">. </w:t>
      </w:r>
    </w:p>
    <w:p w14:paraId="04549027" w14:textId="77777777" w:rsidR="0042219C" w:rsidRPr="001242F3" w:rsidRDefault="0042219C" w:rsidP="0042219C">
      <w:pPr>
        <w:spacing w:after="0" w:line="276" w:lineRule="auto"/>
        <w:ind w:right="709"/>
        <w:jc w:val="both"/>
        <w:rPr>
          <w:rFonts w:ascii="Verdana" w:eastAsia="Calibri" w:hAnsi="Verdana" w:cs="Arial"/>
          <w:sz w:val="20"/>
          <w:szCs w:val="20"/>
          <w:lang w:val="es-ES"/>
        </w:rPr>
      </w:pPr>
    </w:p>
    <w:p w14:paraId="3B2ADDBE" w14:textId="77777777" w:rsidR="0042219C" w:rsidRPr="001242F3" w:rsidRDefault="0042219C" w:rsidP="0042219C">
      <w:pPr>
        <w:spacing w:after="0" w:line="276" w:lineRule="auto"/>
        <w:ind w:firstLine="709"/>
        <w:jc w:val="both"/>
        <w:rPr>
          <w:rFonts w:ascii="Verdana" w:eastAsia="Calibri" w:hAnsi="Verdana" w:cs="Arial"/>
          <w:lang w:val="es-ES"/>
        </w:rPr>
      </w:pPr>
      <w:r w:rsidRPr="001242F3">
        <w:rPr>
          <w:rFonts w:ascii="Verdana" w:eastAsia="Calibri" w:hAnsi="Verdana" w:cs="Arial"/>
          <w:lang w:val="es-ES"/>
        </w:rPr>
        <w:t xml:space="preserve">Además, la Corte Constitucional explica que el legislador tiene la competencia para determinar qué hechos o situaciones generan inhabilidad para contratar, pues este régimen es un aspecto propio del Estatuto General de Contratación de la Administración Pública –en adelante EGCAP–, cuya expedición </w:t>
      </w:r>
      <w:r w:rsidRPr="001242F3">
        <w:rPr>
          <w:rFonts w:ascii="Verdana" w:eastAsia="Calibri" w:hAnsi="Verdana" w:cs="Arial"/>
          <w:lang w:val="es-ES"/>
        </w:rPr>
        <w:lastRenderedPageBreak/>
        <w:t>compete al Congreso de la República a la luz del artículo 150 de la Constitución Política, de modo que en esta materia rige el principio de legalidad:</w:t>
      </w:r>
    </w:p>
    <w:p w14:paraId="768996FD" w14:textId="77777777" w:rsidR="0042219C" w:rsidRPr="001242F3" w:rsidRDefault="0042219C" w:rsidP="0042219C">
      <w:pPr>
        <w:tabs>
          <w:tab w:val="left" w:pos="1532"/>
        </w:tabs>
        <w:spacing w:after="0" w:line="276" w:lineRule="auto"/>
        <w:jc w:val="both"/>
        <w:rPr>
          <w:rFonts w:ascii="Verdana" w:eastAsia="Calibri" w:hAnsi="Verdana" w:cs="Arial"/>
          <w:lang w:val="es-ES"/>
        </w:rPr>
      </w:pPr>
    </w:p>
    <w:p w14:paraId="1772675E"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libertate, sino el de legalidad, el que ordena que la función pública debe someterse estrictamente a lo que disponga la Constitución y la ley (CP art. 6). </w:t>
      </w:r>
    </w:p>
    <w:p w14:paraId="1AF43394"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 xml:space="preserve">[…] </w:t>
      </w:r>
    </w:p>
    <w:p w14:paraId="256B719C"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1242F3">
        <w:rPr>
          <w:rFonts w:ascii="Verdana" w:eastAsia="Calibri" w:hAnsi="Verdana" w:cs="Arial"/>
          <w:sz w:val="20"/>
          <w:szCs w:val="20"/>
          <w:vertAlign w:val="superscript"/>
          <w:lang w:val="es-ES"/>
        </w:rPr>
        <w:footnoteReference w:id="7"/>
      </w:r>
      <w:r w:rsidRPr="001242F3">
        <w:rPr>
          <w:rFonts w:ascii="Verdana" w:eastAsia="Calibri" w:hAnsi="Verdana" w:cs="Arial"/>
          <w:sz w:val="20"/>
          <w:szCs w:val="20"/>
          <w:lang w:val="es-ES"/>
        </w:rPr>
        <w:t>.</w:t>
      </w:r>
    </w:p>
    <w:p w14:paraId="25F23408" w14:textId="77777777" w:rsidR="0042219C" w:rsidRPr="001242F3" w:rsidRDefault="0042219C" w:rsidP="0042219C">
      <w:pPr>
        <w:spacing w:after="0" w:line="276" w:lineRule="auto"/>
        <w:ind w:left="709" w:right="709"/>
        <w:jc w:val="both"/>
        <w:rPr>
          <w:rFonts w:ascii="Verdana" w:eastAsia="Calibri" w:hAnsi="Verdana" w:cs="Arial"/>
          <w:sz w:val="20"/>
          <w:szCs w:val="20"/>
          <w:lang w:val="es-ES"/>
        </w:rPr>
      </w:pPr>
    </w:p>
    <w:p w14:paraId="57C2DFE3" w14:textId="77777777" w:rsidR="0042219C" w:rsidRPr="001242F3" w:rsidRDefault="0042219C" w:rsidP="0042219C">
      <w:pPr>
        <w:spacing w:after="120" w:line="276" w:lineRule="auto"/>
        <w:ind w:firstLine="709"/>
        <w:jc w:val="both"/>
        <w:rPr>
          <w:rFonts w:ascii="Verdana" w:eastAsia="Calibri" w:hAnsi="Verdana" w:cs="Arial"/>
          <w:lang w:val="es-ES"/>
        </w:rPr>
      </w:pPr>
      <w:r w:rsidRPr="001242F3">
        <w:rPr>
          <w:rFonts w:ascii="Verdana" w:eastAsia="Calibri" w:hAnsi="Verdana" w:cs="Arial"/>
          <w:lang w:val="es-ES"/>
        </w:rPr>
        <w:t>Conviene también distinguir las fuentes de las inhabilidades, las cuales han sido clasificadas en dos (2) grupos: i) inhabilidades-sanción y ii)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1242F3">
        <w:rPr>
          <w:rFonts w:ascii="Verdana" w:eastAsia="Calibri" w:hAnsi="Verdana" w:cs="Arial"/>
          <w:vertAlign w:val="superscript"/>
          <w:lang w:val="es-ES"/>
        </w:rPr>
        <w:footnoteReference w:id="8"/>
      </w:r>
      <w:r w:rsidRPr="001242F3">
        <w:rPr>
          <w:rFonts w:ascii="Verdana" w:eastAsia="Calibri" w:hAnsi="Verdana" w:cs="Arial"/>
          <w:lang w:val="es-ES"/>
        </w:rPr>
        <w:t>.</w:t>
      </w:r>
    </w:p>
    <w:p w14:paraId="6A13DE28" w14:textId="77777777" w:rsidR="0042219C" w:rsidRPr="001242F3" w:rsidRDefault="0042219C" w:rsidP="0042219C">
      <w:pPr>
        <w:spacing w:before="120" w:after="120" w:line="276" w:lineRule="auto"/>
        <w:ind w:firstLine="709"/>
        <w:jc w:val="both"/>
        <w:rPr>
          <w:rFonts w:ascii="Verdana" w:eastAsia="Calibri" w:hAnsi="Verdana" w:cs="Arial"/>
          <w:lang w:val="es-ES"/>
        </w:rPr>
      </w:pPr>
      <w:r w:rsidRPr="001242F3">
        <w:rPr>
          <w:rFonts w:ascii="Verdana" w:eastAsia="Calibri" w:hAnsi="Verdana" w:cs="Arial"/>
          <w:lang w:val="es-ES"/>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1242F3">
        <w:rPr>
          <w:rFonts w:ascii="Verdana" w:eastAsia="Calibri" w:hAnsi="Verdana" w:cs="Arial"/>
          <w:i/>
          <w:iCs/>
          <w:lang w:val="es-ES"/>
        </w:rPr>
        <w:t>restrictiva</w:t>
      </w:r>
      <w:r w:rsidRPr="001242F3">
        <w:rPr>
          <w:rFonts w:ascii="Verdana" w:eastAsia="Calibri" w:hAnsi="Verdana" w:cs="Arial"/>
          <w:i/>
          <w:iCs/>
          <w:vertAlign w:val="superscript"/>
          <w:lang w:val="es-ES"/>
        </w:rPr>
        <w:footnoteReference w:id="9"/>
      </w:r>
      <w:r w:rsidRPr="001242F3">
        <w:rPr>
          <w:rFonts w:ascii="Verdana" w:eastAsia="Calibri" w:hAnsi="Verdana" w:cs="Arial"/>
          <w:i/>
          <w:iCs/>
          <w:lang w:val="es-ES"/>
        </w:rPr>
        <w:t xml:space="preserve">, </w:t>
      </w:r>
      <w:r w:rsidRPr="001242F3">
        <w:rPr>
          <w:rFonts w:ascii="Verdana" w:eastAsia="Calibri" w:hAnsi="Verdana" w:cs="Arial"/>
          <w:lang w:val="es-ES"/>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w:t>
      </w:r>
      <w:r w:rsidRPr="001242F3">
        <w:rPr>
          <w:rFonts w:ascii="Verdana" w:eastAsia="Calibri" w:hAnsi="Verdana" w:cs="Arial"/>
          <w:lang w:val="es-ES"/>
        </w:rPr>
        <w:lastRenderedPageBreak/>
        <w:t xml:space="preserve">libre concurrencia y el ejercicio de la profesión u oficio. Tal ha sido la postura al interior de la jurisprudencia, tanto de la Corte Constitucional como de la Sección Tercera del Consejo de Estado. </w:t>
      </w:r>
    </w:p>
    <w:p w14:paraId="173E8471" w14:textId="77777777" w:rsidR="0042219C" w:rsidRPr="001242F3" w:rsidRDefault="0042219C" w:rsidP="0042219C">
      <w:pPr>
        <w:spacing w:after="120" w:line="276" w:lineRule="auto"/>
        <w:ind w:firstLine="709"/>
        <w:jc w:val="both"/>
        <w:rPr>
          <w:rFonts w:ascii="Verdana" w:eastAsia="Calibri" w:hAnsi="Verdana" w:cs="Arial"/>
          <w:lang w:val="es-ES"/>
        </w:rPr>
      </w:pPr>
      <w:r w:rsidRPr="001242F3">
        <w:rPr>
          <w:rFonts w:ascii="Verdana" w:eastAsia="Calibri" w:hAnsi="Verdana" w:cs="Arial"/>
          <w:lang w:val="es-ES"/>
        </w:rPr>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1242F3">
        <w:rPr>
          <w:rFonts w:ascii="Verdana" w:eastAsia="Calibri" w:hAnsi="Verdana" w:cs="Arial"/>
          <w:vertAlign w:val="superscript"/>
          <w:lang w:val="es-ES"/>
        </w:rPr>
        <w:footnoteReference w:id="10"/>
      </w:r>
      <w:r w:rsidRPr="001242F3">
        <w:rPr>
          <w:rFonts w:ascii="Verdana" w:eastAsia="Calibri" w:hAnsi="Verdana" w:cs="Arial"/>
          <w:lang w:val="es-ES"/>
        </w:rPr>
        <w:t xml:space="preserve">. </w:t>
      </w:r>
    </w:p>
    <w:p w14:paraId="546BA9B5" w14:textId="77777777" w:rsidR="0042219C" w:rsidRPr="001242F3" w:rsidRDefault="0042219C" w:rsidP="0042219C">
      <w:pPr>
        <w:spacing w:after="0" w:line="276" w:lineRule="auto"/>
        <w:ind w:firstLine="709"/>
        <w:jc w:val="both"/>
        <w:rPr>
          <w:rFonts w:ascii="Verdana" w:eastAsia="Calibri" w:hAnsi="Verdana" w:cs="Arial"/>
          <w:lang w:val="es-ES"/>
        </w:rPr>
      </w:pPr>
      <w:r w:rsidRPr="001242F3">
        <w:rPr>
          <w:rFonts w:ascii="Verdana" w:eastAsia="Calibri" w:hAnsi="Verdana" w:cs="Arial"/>
          <w:lang w:val="es-ES"/>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1242F3">
        <w:rPr>
          <w:rFonts w:ascii="Verdana" w:eastAsia="Calibri" w:hAnsi="Verdana" w:cs="Arial"/>
          <w:vertAlign w:val="superscript"/>
          <w:lang w:val="es-ES"/>
        </w:rPr>
        <w:footnoteReference w:id="11"/>
      </w:r>
      <w:r w:rsidRPr="001242F3">
        <w:rPr>
          <w:rFonts w:ascii="Verdana" w:eastAsia="Calibri" w:hAnsi="Verdana" w:cs="Arial"/>
          <w:lang w:val="es-ES"/>
        </w:rPr>
        <w:t>. En tal sentido, la Sección Tercera ha señalado que:</w:t>
      </w:r>
    </w:p>
    <w:p w14:paraId="415A699C" w14:textId="77777777" w:rsidR="0042219C" w:rsidRPr="001242F3" w:rsidRDefault="0042219C" w:rsidP="0042219C">
      <w:pPr>
        <w:spacing w:after="0" w:line="276" w:lineRule="auto"/>
        <w:ind w:firstLine="709"/>
        <w:jc w:val="both"/>
        <w:rPr>
          <w:rFonts w:ascii="Verdana" w:eastAsia="Calibri" w:hAnsi="Verdana" w:cs="Arial"/>
          <w:lang w:val="es-ES"/>
        </w:rPr>
      </w:pPr>
    </w:p>
    <w:p w14:paraId="44924BE1"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1242F3">
        <w:rPr>
          <w:rFonts w:ascii="Verdana" w:eastAsia="Calibri" w:hAnsi="Verdana" w:cs="Arial"/>
          <w:sz w:val="20"/>
          <w:szCs w:val="20"/>
          <w:vertAlign w:val="superscript"/>
          <w:lang w:val="es-ES"/>
        </w:rPr>
        <w:footnoteReference w:id="12"/>
      </w:r>
      <w:r w:rsidRPr="001242F3">
        <w:rPr>
          <w:rFonts w:ascii="Verdana" w:eastAsia="Calibri" w:hAnsi="Verdana" w:cs="Arial"/>
          <w:sz w:val="20"/>
          <w:szCs w:val="20"/>
          <w:lang w:val="es-ES"/>
        </w:rPr>
        <w:t>.</w:t>
      </w:r>
    </w:p>
    <w:p w14:paraId="3B75D825" w14:textId="77777777" w:rsidR="0042219C" w:rsidRPr="001242F3" w:rsidRDefault="0042219C" w:rsidP="0042219C">
      <w:pPr>
        <w:spacing w:after="0" w:line="240" w:lineRule="auto"/>
        <w:ind w:firstLine="709"/>
        <w:jc w:val="both"/>
        <w:rPr>
          <w:rFonts w:ascii="Verdana" w:eastAsia="Calibri" w:hAnsi="Verdana" w:cs="Arial"/>
          <w:sz w:val="20"/>
          <w:szCs w:val="20"/>
          <w:lang w:val="es-ES"/>
        </w:rPr>
      </w:pPr>
    </w:p>
    <w:p w14:paraId="32F1E260" w14:textId="77777777" w:rsidR="0042219C" w:rsidRPr="001242F3" w:rsidRDefault="0042219C" w:rsidP="0042219C">
      <w:pPr>
        <w:spacing w:after="0" w:line="240" w:lineRule="auto"/>
        <w:ind w:firstLine="709"/>
        <w:jc w:val="both"/>
        <w:rPr>
          <w:rFonts w:ascii="Verdana" w:eastAsia="Calibri" w:hAnsi="Verdana" w:cs="Arial"/>
          <w:sz w:val="20"/>
          <w:szCs w:val="20"/>
          <w:lang w:val="es-ES"/>
        </w:rPr>
      </w:pPr>
      <w:r w:rsidRPr="001242F3">
        <w:rPr>
          <w:rFonts w:ascii="Verdana" w:eastAsia="Calibri" w:hAnsi="Verdana" w:cs="Arial"/>
          <w:sz w:val="20"/>
          <w:szCs w:val="20"/>
          <w:lang w:val="es-ES"/>
        </w:rPr>
        <w:t>También ha dicho que:</w:t>
      </w:r>
    </w:p>
    <w:p w14:paraId="04865C0A" w14:textId="77777777" w:rsidR="0042219C" w:rsidRPr="001242F3" w:rsidRDefault="0042219C" w:rsidP="0042219C">
      <w:pPr>
        <w:spacing w:after="0" w:line="240" w:lineRule="auto"/>
        <w:ind w:left="709" w:right="616"/>
        <w:jc w:val="both"/>
        <w:rPr>
          <w:rFonts w:ascii="Verdana" w:eastAsia="Calibri" w:hAnsi="Verdana" w:cs="Arial"/>
          <w:sz w:val="20"/>
          <w:szCs w:val="20"/>
          <w:lang w:val="es-ES"/>
        </w:rPr>
      </w:pPr>
      <w:r w:rsidRPr="001242F3">
        <w:rPr>
          <w:rFonts w:ascii="Verdana" w:eastAsia="Calibri" w:hAnsi="Verdana" w:cs="Arial"/>
          <w:sz w:val="20"/>
          <w:szCs w:val="20"/>
          <w:lang w:val="es-ES"/>
        </w:rPr>
        <w:t xml:space="preserve">[…] la aplicación de estos preceptos exige una interpretación restrictiva, dado que según el principio hermenéutico </w:t>
      </w:r>
      <w:r w:rsidRPr="001242F3">
        <w:rPr>
          <w:rFonts w:ascii="Verdana" w:eastAsia="Calibri" w:hAnsi="Verdana" w:cs="Arial"/>
          <w:i/>
          <w:iCs/>
          <w:sz w:val="20"/>
          <w:szCs w:val="20"/>
          <w:lang w:val="es-ES"/>
        </w:rPr>
        <w:t>pro libertate</w:t>
      </w:r>
      <w:r w:rsidRPr="001242F3">
        <w:rPr>
          <w:rFonts w:ascii="Verdana" w:eastAsia="Calibri" w:hAnsi="Verdana" w:cs="Arial"/>
          <w:sz w:val="20"/>
          <w:szCs w:val="20"/>
          <w:lang w:val="es-ES"/>
        </w:rPr>
        <w:t xml:space="preserve">,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w:t>
      </w:r>
      <w:r w:rsidRPr="001242F3">
        <w:rPr>
          <w:rFonts w:ascii="Verdana" w:eastAsia="Calibri" w:hAnsi="Verdana" w:cs="Arial"/>
          <w:sz w:val="20"/>
          <w:szCs w:val="20"/>
          <w:lang w:val="es-ES"/>
        </w:rPr>
        <w:lastRenderedPageBreak/>
        <w:t>de las mismas, pues de hacerlo se vulnerarían los derechos fundamentales al debido proceso (art. 29 CN) y a la igualdad (art. 13 Ibid.); […]”</w:t>
      </w:r>
      <w:r w:rsidRPr="001242F3">
        <w:rPr>
          <w:rFonts w:ascii="Verdana" w:eastAsia="Calibri" w:hAnsi="Verdana" w:cs="Arial"/>
          <w:sz w:val="20"/>
          <w:szCs w:val="20"/>
          <w:vertAlign w:val="superscript"/>
          <w:lang w:val="es-ES"/>
        </w:rPr>
        <w:footnoteReference w:id="13"/>
      </w:r>
      <w:r w:rsidRPr="001242F3">
        <w:rPr>
          <w:rFonts w:ascii="Verdana" w:eastAsia="Calibri" w:hAnsi="Verdana" w:cs="Arial"/>
          <w:sz w:val="20"/>
          <w:szCs w:val="20"/>
          <w:lang w:val="es-ES"/>
        </w:rPr>
        <w:t>.</w:t>
      </w:r>
    </w:p>
    <w:p w14:paraId="318592F9" w14:textId="77777777" w:rsidR="0042219C" w:rsidRPr="001242F3" w:rsidRDefault="0042219C" w:rsidP="0042219C">
      <w:pPr>
        <w:spacing w:after="0" w:line="276" w:lineRule="auto"/>
        <w:jc w:val="both"/>
        <w:rPr>
          <w:rFonts w:ascii="Verdana" w:eastAsia="Arial" w:hAnsi="Verdana" w:cs="Arial"/>
          <w:color w:val="000000"/>
          <w:sz w:val="20"/>
          <w:szCs w:val="20"/>
          <w:lang w:val="es-ES"/>
        </w:rPr>
      </w:pPr>
    </w:p>
    <w:p w14:paraId="6C641BCB" w14:textId="77777777" w:rsidR="0042219C" w:rsidRPr="001242F3" w:rsidRDefault="0042219C" w:rsidP="0042219C">
      <w:pPr>
        <w:spacing w:after="120" w:line="276" w:lineRule="auto"/>
        <w:ind w:firstLine="708"/>
        <w:jc w:val="both"/>
        <w:rPr>
          <w:rFonts w:ascii="Verdana" w:eastAsia="Calibri" w:hAnsi="Verdana" w:cs="Arial"/>
          <w:color w:val="000000"/>
          <w:lang w:val="es-ES"/>
        </w:rPr>
      </w:pPr>
      <w:r w:rsidRPr="001242F3">
        <w:rPr>
          <w:rFonts w:ascii="Verdana" w:eastAsia="Arial" w:hAnsi="Verdana" w:cs="Arial"/>
          <w:color w:val="000000"/>
          <w:lang w:val="es-ES"/>
        </w:rPr>
        <w:t xml:space="preserve">Como se aprecia, el principio </w:t>
      </w:r>
      <w:r w:rsidRPr="001242F3">
        <w:rPr>
          <w:rFonts w:ascii="Verdana" w:eastAsia="Arial" w:hAnsi="Verdana" w:cs="Arial"/>
          <w:i/>
          <w:iCs/>
          <w:color w:val="000000"/>
          <w:lang w:val="es-ES"/>
        </w:rPr>
        <w:t>pro libertate</w:t>
      </w:r>
      <w:r w:rsidRPr="001242F3">
        <w:rPr>
          <w:rFonts w:ascii="Verdana" w:eastAsia="Arial" w:hAnsi="Verdana" w:cs="Arial"/>
          <w:color w:val="000000"/>
          <w:lang w:val="es-ES"/>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w:t>
      </w:r>
      <w:r w:rsidRPr="001242F3">
        <w:rPr>
          <w:rFonts w:ascii="Verdana" w:eastAsia="Calibri" w:hAnsi="Verdana" w:cs="Arial"/>
          <w:color w:val="000000"/>
          <w:lang w:val="es-ES"/>
        </w:rPr>
        <w:t xml:space="preserve">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1242F3">
        <w:rPr>
          <w:rFonts w:ascii="Verdana" w:eastAsia="Calibri" w:hAnsi="Verdana" w:cs="Arial"/>
          <w:color w:val="000000"/>
          <w:vertAlign w:val="superscript"/>
          <w:lang w:val="es-ES"/>
        </w:rPr>
        <w:footnoteReference w:id="14"/>
      </w:r>
    </w:p>
    <w:p w14:paraId="578B2392" w14:textId="77777777" w:rsidR="0042219C" w:rsidRPr="001242F3" w:rsidRDefault="0042219C" w:rsidP="0042219C">
      <w:pPr>
        <w:spacing w:after="0" w:line="276" w:lineRule="auto"/>
        <w:ind w:firstLine="709"/>
        <w:jc w:val="both"/>
        <w:rPr>
          <w:rFonts w:ascii="Verdana" w:eastAsia="Calibri" w:hAnsi="Verdana" w:cs="Arial"/>
          <w:color w:val="000000"/>
          <w:shd w:val="clear" w:color="auto" w:fill="FFFFFF"/>
          <w:lang w:val="es-ES"/>
        </w:rPr>
      </w:pPr>
      <w:r w:rsidRPr="001242F3">
        <w:rPr>
          <w:rFonts w:ascii="Verdana" w:eastAsia="Calibri" w:hAnsi="Verdana" w:cs="Arial"/>
          <w:shd w:val="clear" w:color="auto" w:fill="FFFFFF"/>
          <w:lang w:val="es-ES"/>
        </w:rPr>
        <w:t>En este sentido, retomando una idea esbozada con anterioridad,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w:t>
      </w:r>
      <w:r w:rsidRPr="001242F3">
        <w:rPr>
          <w:rFonts w:ascii="Verdana" w:eastAsia="Calibri" w:hAnsi="Verdana" w:cs="Arial"/>
          <w:shd w:val="clear" w:color="auto" w:fill="FFFFFF"/>
          <w:vertAlign w:val="superscript"/>
          <w:lang w:val="es-ES"/>
        </w:rPr>
        <w:footnoteReference w:id="15"/>
      </w:r>
      <w:r w:rsidRPr="001242F3">
        <w:rPr>
          <w:rFonts w:ascii="Verdana" w:eastAsia="Calibri" w:hAnsi="Verdana" w:cs="Arial"/>
          <w:shd w:val="clear" w:color="auto" w:fill="FFFFFF"/>
          <w:lang w:val="es-ES"/>
        </w:rPr>
        <w:t xml:space="preserve"> En similar sentido, la Sala de Consulta y Servicio Civil del Consejo de Estado expresó </w:t>
      </w:r>
      <w:r w:rsidRPr="001242F3">
        <w:rPr>
          <w:rFonts w:ascii="Verdana" w:eastAsia="Calibri" w:hAnsi="Verdana" w:cs="Arial"/>
          <w:color w:val="000000"/>
          <w:shd w:val="clear" w:color="auto" w:fill="FFFFFF"/>
          <w:lang w:val="es-ES"/>
        </w:rPr>
        <w:t>que “[…] las causales de inhabilidad e incompatibilidad deben estar expresa y taxativamente establecidas en la Constitución o en la ley y son de aplicación e interpretación restrictivas […]”</w:t>
      </w:r>
      <w:r w:rsidRPr="001242F3">
        <w:rPr>
          <w:rFonts w:ascii="Verdana" w:eastAsia="Calibri" w:hAnsi="Verdana" w:cs="Arial"/>
          <w:color w:val="000000"/>
          <w:shd w:val="clear" w:color="auto" w:fill="FFFFFF"/>
          <w:vertAlign w:val="superscript"/>
          <w:lang w:val="es-ES"/>
        </w:rPr>
        <w:footnoteReference w:id="16"/>
      </w:r>
      <w:r w:rsidRPr="001242F3">
        <w:rPr>
          <w:rFonts w:ascii="Verdana" w:eastAsia="Calibri" w:hAnsi="Verdana" w:cs="Arial"/>
          <w:color w:val="000000"/>
          <w:shd w:val="clear" w:color="auto" w:fill="FFFFFF"/>
          <w:lang w:val="es-ES"/>
        </w:rPr>
        <w:t xml:space="preserve">. </w:t>
      </w:r>
      <w:r w:rsidRPr="001242F3">
        <w:rPr>
          <w:rFonts w:ascii="Verdana" w:eastAsia="MS Mincho" w:hAnsi="Verdana" w:cs="Arial"/>
          <w:color w:val="000000"/>
          <w:shd w:val="clear" w:color="auto" w:fill="FFFFFF"/>
          <w:lang w:val="es-ES"/>
        </w:rPr>
        <w:t>Como se observa, existe consenso, incluso como lo ha expresado esta Agencia en ocasiones anteriores, que la creación de inhabilidades o incompatibilidades está reservada al constituyente o al legislador.</w:t>
      </w:r>
    </w:p>
    <w:p w14:paraId="0FE07661" w14:textId="77777777" w:rsidR="0042219C" w:rsidRPr="001242F3" w:rsidRDefault="0042219C" w:rsidP="0042219C">
      <w:pPr>
        <w:spacing w:after="0" w:line="276" w:lineRule="auto"/>
        <w:jc w:val="both"/>
        <w:rPr>
          <w:rFonts w:ascii="Verdana" w:eastAsia="Calibri" w:hAnsi="Verdana" w:cs="Arial"/>
          <w:color w:val="000000"/>
          <w:lang w:val="es-ES"/>
        </w:rPr>
      </w:pPr>
    </w:p>
    <w:p w14:paraId="312A0EA7" w14:textId="77777777" w:rsidR="0042219C" w:rsidRPr="001242F3" w:rsidRDefault="0042219C" w:rsidP="0042219C">
      <w:pPr>
        <w:spacing w:after="120" w:line="276" w:lineRule="auto"/>
        <w:jc w:val="both"/>
        <w:rPr>
          <w:rFonts w:ascii="Verdana" w:eastAsia="Calibri" w:hAnsi="Verdana" w:cs="Arial"/>
          <w:color w:val="000000"/>
          <w:lang w:val="es-ES"/>
        </w:rPr>
      </w:pPr>
      <w:r w:rsidRPr="001242F3">
        <w:rPr>
          <w:rFonts w:ascii="Verdana" w:eastAsia="Calibri" w:hAnsi="Verdana" w:cs="Arial"/>
          <w:color w:val="000000"/>
          <w:lang w:val="es-ES"/>
        </w:rPr>
        <w:lastRenderedPageBreak/>
        <w:t xml:space="preserve">ii. Con respecto a la consulta planteada, es necesario resaltar que en el concepto C-677 del 2026, esta Agencia señaló sobre las inhabilidades sobrevinientes que el ordenamiento jurídico trata de manera distinta al oferente, al adjudicatario y al contratista. </w:t>
      </w:r>
      <w:r w:rsidRPr="001242F3">
        <w:rPr>
          <w:rFonts w:ascii="Verdana" w:eastAsia="Calibri" w:hAnsi="Verdana" w:cs="Arial"/>
          <w:i/>
          <w:iCs/>
          <w:color w:val="000000"/>
          <w:lang w:val="es-ES"/>
        </w:rPr>
        <w:t>Respecto al oferente</w:t>
      </w:r>
      <w:r w:rsidRPr="001242F3">
        <w:rPr>
          <w:rFonts w:ascii="Verdana" w:eastAsia="Calibri" w:hAnsi="Verdana" w:cs="Arial"/>
          <w:color w:val="000000"/>
          <w:lang w:val="es-ES"/>
        </w:rPr>
        <w:t xml:space="preserve">,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 </w:t>
      </w:r>
      <w:r w:rsidRPr="001242F3">
        <w:rPr>
          <w:rFonts w:ascii="Verdana" w:eastAsia="Calibri" w:hAnsi="Verdana" w:cs="Arial"/>
          <w:i/>
          <w:iCs/>
          <w:color w:val="000000"/>
          <w:lang w:val="es-ES"/>
        </w:rPr>
        <w:t>Respecto al adjudicatario</w:t>
      </w:r>
      <w:r w:rsidRPr="001242F3">
        <w:rPr>
          <w:rFonts w:ascii="Verdana" w:eastAsia="Calibri" w:hAnsi="Verdana" w:cs="Arial"/>
          <w:color w:val="000000"/>
          <w:lang w:val="es-ES"/>
        </w:rPr>
        <w:t>, el inciso 3 del artículo 9 de la Ley 1150 de 2007 prescribe lo siguiente: “[…] si dentro del plazo comprendido entre la adjudicación del contrato y la suscripción del mismo, sobreviene una inhabilidad o incompatibilidad […] este podrá ser revocado […]”.</w:t>
      </w:r>
    </w:p>
    <w:p w14:paraId="3580E4FA" w14:textId="77777777" w:rsidR="0042219C" w:rsidRPr="001242F3" w:rsidRDefault="0042219C" w:rsidP="0042219C">
      <w:pPr>
        <w:spacing w:after="120" w:line="276" w:lineRule="auto"/>
        <w:ind w:firstLine="708"/>
        <w:jc w:val="both"/>
        <w:rPr>
          <w:rFonts w:ascii="Verdana" w:eastAsia="Calibri" w:hAnsi="Verdana" w:cs="Arial"/>
          <w:color w:val="000000"/>
          <w:lang w:val="es-ES"/>
        </w:rPr>
      </w:pPr>
      <w:r w:rsidRPr="001242F3">
        <w:rPr>
          <w:rFonts w:ascii="Verdana" w:eastAsia="Calibri" w:hAnsi="Verdana" w:cs="Arial"/>
          <w:i/>
          <w:iCs/>
          <w:color w:val="000000"/>
          <w:lang w:val="es-ES"/>
        </w:rPr>
        <w:t>Respecto al contratista</w:t>
      </w:r>
      <w:r w:rsidRPr="001242F3">
        <w:rPr>
          <w:rFonts w:ascii="Verdana" w:eastAsia="Calibri" w:hAnsi="Verdana" w:cs="Arial"/>
          <w:color w:val="000000"/>
          <w:lang w:val="es-ES"/>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1242F3">
        <w:rPr>
          <w:rFonts w:ascii="Verdana" w:eastAsia="Calibri" w:hAnsi="Verdana" w:cs="Arial"/>
          <w:i/>
          <w:iCs/>
          <w:color w:val="000000"/>
          <w:lang w:val="es-ES"/>
        </w:rPr>
        <w:t>ibidem</w:t>
      </w:r>
      <w:r w:rsidRPr="001242F3">
        <w:rPr>
          <w:rFonts w:ascii="Verdana" w:eastAsia="Calibri" w:hAnsi="Verdana" w:cs="Arial"/>
          <w:color w:val="000000"/>
          <w:lang w:val="es-ES"/>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   </w:t>
      </w:r>
    </w:p>
    <w:p w14:paraId="2CDD092A" w14:textId="77777777" w:rsidR="0042219C" w:rsidRPr="001242F3" w:rsidRDefault="0042219C" w:rsidP="0042219C">
      <w:pPr>
        <w:spacing w:after="0" w:line="276" w:lineRule="auto"/>
        <w:ind w:firstLine="708"/>
        <w:jc w:val="both"/>
        <w:rPr>
          <w:rFonts w:ascii="Verdana" w:eastAsia="Calibri" w:hAnsi="Verdana" w:cs="Arial"/>
          <w:color w:val="000000"/>
          <w:lang w:val="es-ES"/>
        </w:rPr>
      </w:pPr>
      <w:r w:rsidRPr="001242F3">
        <w:rPr>
          <w:rFonts w:ascii="Verdana" w:eastAsia="Calibri" w:hAnsi="Verdana" w:cs="Arial"/>
          <w:color w:val="000000"/>
          <w:lang w:val="es-ES"/>
        </w:rPr>
        <w:t xml:space="preserve">En este contexto, durante la fase de selección, los </w:t>
      </w:r>
      <w:r w:rsidRPr="001242F3">
        <w:rPr>
          <w:rFonts w:ascii="Verdana" w:eastAsia="Calibri" w:hAnsi="Verdana" w:cs="Arial"/>
          <w:i/>
          <w:iCs/>
          <w:color w:val="000000"/>
          <w:lang w:val="es-ES"/>
        </w:rPr>
        <w:t>oferentes</w:t>
      </w:r>
      <w:r w:rsidRPr="001242F3">
        <w:rPr>
          <w:rFonts w:ascii="Verdana" w:eastAsia="Calibri" w:hAnsi="Verdana" w:cs="Arial"/>
          <w:color w:val="000000"/>
          <w:lang w:val="es-ES"/>
        </w:rPr>
        <w:t xml:space="preserve"> y </w:t>
      </w:r>
      <w:r w:rsidRPr="001242F3">
        <w:rPr>
          <w:rFonts w:ascii="Verdana" w:eastAsia="Calibri" w:hAnsi="Verdana" w:cs="Arial"/>
          <w:i/>
          <w:iCs/>
          <w:color w:val="000000"/>
          <w:lang w:val="es-ES"/>
        </w:rPr>
        <w:t>adjudicatarios</w:t>
      </w:r>
      <w:r w:rsidRPr="001242F3">
        <w:rPr>
          <w:rFonts w:ascii="Verdana" w:eastAsia="Calibri" w:hAnsi="Verdana" w:cs="Arial"/>
          <w:color w:val="000000"/>
          <w:lang w:val="es-ES"/>
        </w:rPr>
        <w:t xml:space="preserve"> carecen de la posibilidad de ceder contratos por sustracción de materia, siendo los efectos de la inhabilidad sobreviniente las consecuencias descritas </w:t>
      </w:r>
      <w:r w:rsidRPr="001242F3">
        <w:rPr>
          <w:rFonts w:ascii="Verdana" w:eastAsia="Calibri" w:hAnsi="Verdana" w:cs="Arial"/>
          <w:i/>
          <w:iCs/>
          <w:color w:val="000000"/>
          <w:lang w:val="es-ES"/>
        </w:rPr>
        <w:t>ut supra</w:t>
      </w:r>
      <w:r w:rsidRPr="001242F3">
        <w:rPr>
          <w:rFonts w:ascii="Verdana" w:eastAsia="Calibri" w:hAnsi="Verdana" w:cs="Arial"/>
          <w:color w:val="000000"/>
          <w:lang w:val="es-ES"/>
        </w:rPr>
        <w:t>. La cesión es una institución jurídica propia de la etapa contractual, por lo que sólo pueden cederse los contratos estatales que se encuentren perfeccionados y no estén liquidados, para los que la requieran, o no se hayan extinguido las obligaciones entre las partes, para aquellos negocios que no la requieran</w:t>
      </w:r>
      <w:r w:rsidRPr="001242F3">
        <w:rPr>
          <w:rFonts w:ascii="Verdana" w:eastAsia="Calibri" w:hAnsi="Verdana" w:cs="Arial"/>
          <w:color w:val="000000"/>
          <w:vertAlign w:val="superscript"/>
          <w:lang w:val="es-ES"/>
        </w:rPr>
        <w:footnoteReference w:id="17"/>
      </w:r>
      <w:r w:rsidRPr="001242F3">
        <w:rPr>
          <w:rFonts w:ascii="Verdana" w:eastAsia="Calibri" w:hAnsi="Verdana" w:cs="Arial"/>
          <w:color w:val="000000"/>
          <w:lang w:val="es-ES"/>
        </w:rPr>
        <w:t xml:space="preserve">. </w:t>
      </w:r>
    </w:p>
    <w:p w14:paraId="36B54888" w14:textId="77777777" w:rsidR="0042219C" w:rsidRPr="001242F3" w:rsidRDefault="0042219C" w:rsidP="0042219C">
      <w:pPr>
        <w:spacing w:before="120" w:after="120" w:line="276" w:lineRule="auto"/>
        <w:jc w:val="both"/>
        <w:rPr>
          <w:rFonts w:ascii="Verdana" w:eastAsia="Calibri" w:hAnsi="Verdana" w:cs="Arial"/>
          <w:color w:val="000000"/>
          <w:lang w:val="es-ES"/>
        </w:rPr>
      </w:pPr>
      <w:r w:rsidRPr="001242F3">
        <w:rPr>
          <w:rFonts w:ascii="Verdana" w:eastAsia="Calibri" w:hAnsi="Verdana" w:cs="Arial"/>
          <w:color w:val="000000"/>
          <w:lang w:val="es-ES"/>
        </w:rPr>
        <w:tab/>
      </w:r>
      <w:r>
        <w:rPr>
          <w:rFonts w:ascii="Verdana" w:eastAsia="Calibri" w:hAnsi="Verdana" w:cs="Arial"/>
          <w:color w:val="000000"/>
          <w:lang w:val="es-ES"/>
        </w:rPr>
        <w:t>C</w:t>
      </w:r>
      <w:r w:rsidRPr="001242F3">
        <w:rPr>
          <w:rFonts w:ascii="Verdana" w:eastAsia="Calibri" w:hAnsi="Verdana" w:cs="Arial"/>
          <w:color w:val="000000"/>
          <w:lang w:val="es-ES"/>
        </w:rPr>
        <w:t xml:space="preserve">ontrario a lo sugerido en su consulta, esta </w:t>
      </w:r>
      <w:r>
        <w:rPr>
          <w:rFonts w:ascii="Verdana" w:eastAsia="Calibri" w:hAnsi="Verdana" w:cs="Arial"/>
          <w:color w:val="000000"/>
          <w:lang w:val="es-ES"/>
        </w:rPr>
        <w:t xml:space="preserve">Agencia </w:t>
      </w:r>
      <w:r w:rsidRPr="001242F3">
        <w:rPr>
          <w:rFonts w:ascii="Verdana" w:eastAsia="Calibri" w:hAnsi="Verdana" w:cs="Arial"/>
          <w:color w:val="000000"/>
          <w:lang w:val="es-ES"/>
        </w:rPr>
        <w:t xml:space="preserve">sostiene que cuando uno de </w:t>
      </w:r>
      <w:r>
        <w:rPr>
          <w:rFonts w:ascii="Verdana" w:eastAsia="Calibri" w:hAnsi="Verdana" w:cs="Arial"/>
          <w:color w:val="000000"/>
          <w:lang w:val="es-ES"/>
        </w:rPr>
        <w:t>los</w:t>
      </w:r>
      <w:r w:rsidRPr="001242F3">
        <w:rPr>
          <w:rFonts w:ascii="Verdana" w:eastAsia="Calibri" w:hAnsi="Verdana" w:cs="Arial"/>
          <w:color w:val="000000"/>
          <w:lang w:val="es-ES"/>
        </w:rPr>
        <w:t xml:space="preserve"> miembros</w:t>
      </w:r>
      <w:r>
        <w:rPr>
          <w:rFonts w:ascii="Verdana" w:eastAsia="Calibri" w:hAnsi="Verdana" w:cs="Arial"/>
          <w:color w:val="000000"/>
          <w:lang w:val="es-ES"/>
        </w:rPr>
        <w:t xml:space="preserve"> del proponente plural</w:t>
      </w:r>
      <w:r w:rsidRPr="001242F3">
        <w:rPr>
          <w:rFonts w:ascii="Verdana" w:eastAsia="Calibri" w:hAnsi="Verdana" w:cs="Arial"/>
          <w:color w:val="000000"/>
          <w:lang w:val="es-ES"/>
        </w:rPr>
        <w:t xml:space="preserve"> incurre en causal de inhabilidad, no podrá continuar ejecutando el contrato, sino que </w:t>
      </w:r>
      <w:r>
        <w:rPr>
          <w:rFonts w:ascii="Verdana" w:eastAsia="Calibri" w:hAnsi="Verdana" w:cs="Arial"/>
          <w:color w:val="000000"/>
          <w:lang w:val="es-ES"/>
        </w:rPr>
        <w:t xml:space="preserve">deberá </w:t>
      </w:r>
      <w:r w:rsidRPr="001242F3">
        <w:rPr>
          <w:rFonts w:ascii="Verdana" w:eastAsia="Calibri" w:hAnsi="Verdana" w:cs="Arial"/>
          <w:color w:val="000000"/>
          <w:lang w:val="es-ES"/>
        </w:rPr>
        <w:t xml:space="preserve">ceder su participación a un tercero con la autorización escrita de la </w:t>
      </w:r>
      <w:r>
        <w:rPr>
          <w:rFonts w:ascii="Verdana" w:eastAsia="Calibri" w:hAnsi="Verdana" w:cs="Arial"/>
          <w:color w:val="000000"/>
          <w:lang w:val="es-ES"/>
        </w:rPr>
        <w:t>E</w:t>
      </w:r>
      <w:r w:rsidRPr="001242F3">
        <w:rPr>
          <w:rFonts w:ascii="Verdana" w:eastAsia="Calibri" w:hAnsi="Verdana" w:cs="Arial"/>
          <w:color w:val="000000"/>
          <w:lang w:val="es-ES"/>
        </w:rPr>
        <w:t>ntidad</w:t>
      </w:r>
      <w:r>
        <w:rPr>
          <w:rFonts w:ascii="Verdana" w:eastAsia="Calibri" w:hAnsi="Verdana" w:cs="Arial"/>
          <w:color w:val="000000"/>
          <w:lang w:val="es-ES"/>
        </w:rPr>
        <w:t xml:space="preserve"> Estatal</w:t>
      </w:r>
      <w:r w:rsidRPr="001242F3">
        <w:rPr>
          <w:rFonts w:ascii="Verdana" w:eastAsia="Calibri" w:hAnsi="Verdana" w:cs="Arial"/>
          <w:color w:val="000000"/>
          <w:lang w:val="es-ES"/>
        </w:rPr>
        <w:t>. En este sentido</w:t>
      </w:r>
      <w:r>
        <w:rPr>
          <w:rFonts w:ascii="Verdana" w:eastAsia="Calibri" w:hAnsi="Verdana" w:cs="Arial"/>
          <w:color w:val="000000"/>
          <w:lang w:val="es-ES"/>
        </w:rPr>
        <w:t>,</w:t>
      </w:r>
      <w:r w:rsidRPr="001242F3">
        <w:rPr>
          <w:rFonts w:ascii="Verdana" w:eastAsia="Calibri" w:hAnsi="Verdana" w:cs="Arial"/>
          <w:color w:val="000000"/>
          <w:lang w:val="es-ES"/>
        </w:rPr>
        <w:t xml:space="preserve"> no es correcto afirmar que la persona a quien sobreviene la inhabilidad puede </w:t>
      </w:r>
      <w:r w:rsidRPr="001242F3">
        <w:rPr>
          <w:rFonts w:ascii="Verdana" w:eastAsia="Calibri" w:hAnsi="Verdana" w:cs="Arial"/>
          <w:color w:val="000000"/>
          <w:lang w:val="es-ES"/>
        </w:rPr>
        <w:lastRenderedPageBreak/>
        <w:t xml:space="preserve">continuar con la ejecución </w:t>
      </w:r>
      <w:r>
        <w:rPr>
          <w:rFonts w:ascii="Verdana" w:eastAsia="Calibri" w:hAnsi="Verdana" w:cs="Arial"/>
          <w:color w:val="000000"/>
          <w:lang w:val="es-ES"/>
        </w:rPr>
        <w:t xml:space="preserve">a través del </w:t>
      </w:r>
      <w:r w:rsidRPr="001242F3">
        <w:rPr>
          <w:rFonts w:ascii="Verdana" w:eastAsia="Calibri" w:hAnsi="Verdana" w:cs="Arial"/>
          <w:color w:val="000000"/>
          <w:lang w:val="es-ES"/>
        </w:rPr>
        <w:t xml:space="preserve">proponente plural, pues la norma expresamente señala </w:t>
      </w:r>
      <w:r>
        <w:rPr>
          <w:rFonts w:ascii="Verdana" w:eastAsia="Calibri" w:hAnsi="Verdana" w:cs="Arial"/>
          <w:color w:val="000000"/>
          <w:lang w:val="es-ES"/>
        </w:rPr>
        <w:t xml:space="preserve">lo opuesto, </w:t>
      </w:r>
      <w:r w:rsidRPr="001242F3">
        <w:rPr>
          <w:rFonts w:ascii="Verdana" w:eastAsia="Calibri" w:hAnsi="Verdana" w:cs="Arial"/>
          <w:color w:val="000000"/>
          <w:lang w:val="es-ES"/>
        </w:rPr>
        <w:t xml:space="preserve">que si la inhabilidad sobreviene en uno de los </w:t>
      </w:r>
      <w:r>
        <w:rPr>
          <w:rFonts w:ascii="Verdana" w:eastAsia="Calibri" w:hAnsi="Verdana" w:cs="Arial"/>
          <w:color w:val="000000"/>
          <w:lang w:val="es-ES"/>
        </w:rPr>
        <w:t xml:space="preserve">integrantes </w:t>
      </w:r>
      <w:r w:rsidRPr="001242F3">
        <w:rPr>
          <w:rFonts w:ascii="Verdana" w:eastAsia="Calibri" w:hAnsi="Verdana" w:cs="Arial"/>
          <w:color w:val="000000"/>
          <w:lang w:val="es-ES"/>
        </w:rPr>
        <w:t>d</w:t>
      </w:r>
      <w:r>
        <w:rPr>
          <w:rFonts w:ascii="Verdana" w:eastAsia="Calibri" w:hAnsi="Verdana" w:cs="Arial"/>
          <w:color w:val="000000"/>
          <w:lang w:val="es-ES"/>
        </w:rPr>
        <w:t>el</w:t>
      </w:r>
      <w:r w:rsidRPr="001242F3">
        <w:rPr>
          <w:rFonts w:ascii="Verdana" w:eastAsia="Calibri" w:hAnsi="Verdana" w:cs="Arial"/>
          <w:color w:val="000000"/>
          <w:lang w:val="es-ES"/>
        </w:rPr>
        <w:t xml:space="preserve"> consorcio o unión temporal, debe ceder su participación a un tercero.</w:t>
      </w:r>
      <w:r w:rsidRPr="001242F3">
        <w:rPr>
          <w:lang w:val="es-ES"/>
        </w:rPr>
        <w:t xml:space="preserve"> </w:t>
      </w:r>
      <w:r w:rsidRPr="001242F3">
        <w:rPr>
          <w:rFonts w:ascii="Verdana" w:eastAsia="Calibri" w:hAnsi="Verdana" w:cs="Arial"/>
          <w:color w:val="000000"/>
          <w:lang w:val="es-ES"/>
        </w:rPr>
        <w:t>Es decir, el concepto que usted invoca constata que el integrante inhabilitado tiene que salir del proponente plural, de modo que esta Agencia nunca afirma que este sea un mecanismo que neutralice la inhabilidad.</w:t>
      </w:r>
    </w:p>
    <w:p w14:paraId="63AC4CB1" w14:textId="77777777" w:rsidR="0042219C" w:rsidRPr="001242F3" w:rsidRDefault="0042219C" w:rsidP="0042219C">
      <w:pPr>
        <w:spacing w:before="120" w:after="120" w:line="276" w:lineRule="auto"/>
        <w:jc w:val="both"/>
        <w:rPr>
          <w:rFonts w:ascii="Verdana" w:eastAsia="Calibri" w:hAnsi="Verdana" w:cs="Arial"/>
          <w:color w:val="000000"/>
          <w:lang w:val="es-ES"/>
        </w:rPr>
      </w:pPr>
      <w:r w:rsidRPr="001242F3">
        <w:rPr>
          <w:rFonts w:ascii="Verdana" w:eastAsia="Calibri" w:hAnsi="Verdana" w:cs="Arial"/>
          <w:color w:val="000000"/>
          <w:lang w:val="es-ES"/>
        </w:rPr>
        <w:tab/>
        <w:t xml:space="preserve">Con respecto a la estructuras plurales es preciso resaltar que los consorcios y uniones temporales no son personas jurídicas, sino entes creados por el acuerdo de voluntades de sus miembros, facultados por la ley y el contrato consorcial para celebrar y ejecutar contratos con </w:t>
      </w:r>
      <w:r>
        <w:rPr>
          <w:rFonts w:ascii="Verdana" w:eastAsia="Calibri" w:hAnsi="Verdana" w:cs="Arial"/>
          <w:color w:val="000000"/>
          <w:lang w:val="es-ES"/>
        </w:rPr>
        <w:t>E</w:t>
      </w:r>
      <w:r w:rsidRPr="001242F3">
        <w:rPr>
          <w:rFonts w:ascii="Verdana" w:eastAsia="Calibri" w:hAnsi="Verdana" w:cs="Arial"/>
          <w:color w:val="000000"/>
          <w:lang w:val="es-ES"/>
        </w:rPr>
        <w:t xml:space="preserve">ntidades </w:t>
      </w:r>
      <w:r>
        <w:rPr>
          <w:rFonts w:ascii="Verdana" w:eastAsia="Calibri" w:hAnsi="Verdana" w:cs="Arial"/>
          <w:color w:val="000000"/>
          <w:lang w:val="es-ES"/>
        </w:rPr>
        <w:t>E</w:t>
      </w:r>
      <w:r w:rsidRPr="001242F3">
        <w:rPr>
          <w:rFonts w:ascii="Verdana" w:eastAsia="Calibri" w:hAnsi="Verdana" w:cs="Arial"/>
          <w:color w:val="000000"/>
          <w:lang w:val="es-ES"/>
        </w:rPr>
        <w:t>statales y para ser parte en procesos administrativos derivados de aquellos.</w:t>
      </w:r>
      <w:r w:rsidRPr="001242F3">
        <w:rPr>
          <w:lang w:val="es-ES"/>
        </w:rPr>
        <w:t xml:space="preserve"> </w:t>
      </w:r>
      <w:r w:rsidRPr="001242F3">
        <w:rPr>
          <w:rFonts w:ascii="Verdana" w:eastAsia="Calibri" w:hAnsi="Verdana" w:cs="Arial"/>
          <w:color w:val="000000"/>
          <w:lang w:val="es-ES"/>
        </w:rPr>
        <w:t>Al no ser personas jurídicas, su creación convencional se logra mediante un acuerdo privado en el que concurre la voluntad de sus integrantes para regular su objeto, la participación de los miembros, las obligaciones frente al proyecto, la responsabilidad y la forma en que rigen sus relaciones internas.</w:t>
      </w:r>
    </w:p>
    <w:p w14:paraId="6407007C" w14:textId="77777777" w:rsidR="0042219C" w:rsidRPr="001242F3" w:rsidRDefault="0042219C" w:rsidP="0042219C">
      <w:pPr>
        <w:spacing w:before="120" w:after="120" w:line="276" w:lineRule="auto"/>
        <w:ind w:firstLine="709"/>
        <w:jc w:val="both"/>
        <w:rPr>
          <w:rFonts w:ascii="Verdana" w:eastAsia="Calibri" w:hAnsi="Verdana" w:cs="Arial"/>
          <w:color w:val="000000"/>
          <w:lang w:val="es-ES"/>
        </w:rPr>
      </w:pPr>
      <w:r w:rsidRPr="001242F3">
        <w:rPr>
          <w:rFonts w:ascii="Verdana" w:eastAsia="Calibri" w:hAnsi="Verdana" w:cs="Arial"/>
          <w:color w:val="000000"/>
          <w:lang w:val="es-ES"/>
        </w:rPr>
        <w:t>En línea con lo anterior, la capacidad para participar en la adjudicación, celebración y ejecución de contratos estatales del proponente plural depende de que los integrantes adopten la decisión conjunta de presentar una misma propuesta y de que el objeto del consorcio o unión temporal esté alineado con el contrato a ejecutar. Es decir, la capacidad del proponente plural para participar en los procesos de contratación estatal y para ejecutar este tipo de negocios jurídicos se deriva de la de sus integrantes</w:t>
      </w:r>
      <w:r>
        <w:rPr>
          <w:rFonts w:ascii="Verdana" w:eastAsia="Calibri" w:hAnsi="Verdana" w:cs="Arial"/>
          <w:color w:val="000000"/>
          <w:lang w:val="es-ES"/>
        </w:rPr>
        <w:t>, pues no tiene una propia</w:t>
      </w:r>
      <w:r w:rsidRPr="001242F3">
        <w:rPr>
          <w:rFonts w:ascii="Verdana" w:eastAsia="Calibri" w:hAnsi="Verdana" w:cs="Arial"/>
          <w:color w:val="000000"/>
          <w:lang w:val="es-ES"/>
        </w:rPr>
        <w:t>.</w:t>
      </w:r>
    </w:p>
    <w:p w14:paraId="7BAA7B3F" w14:textId="77777777" w:rsidR="0042219C" w:rsidRDefault="0042219C" w:rsidP="0042219C">
      <w:pPr>
        <w:spacing w:before="120" w:after="120" w:line="276" w:lineRule="auto"/>
        <w:ind w:firstLine="709"/>
        <w:jc w:val="both"/>
        <w:rPr>
          <w:rFonts w:ascii="Verdana" w:eastAsia="Calibri" w:hAnsi="Verdana" w:cs="Arial"/>
          <w:lang w:val="es-ES"/>
        </w:rPr>
      </w:pPr>
      <w:r w:rsidRPr="001242F3">
        <w:rPr>
          <w:rFonts w:ascii="Verdana" w:eastAsia="Calibri" w:hAnsi="Verdana" w:cs="Arial"/>
          <w:lang w:val="es-ES"/>
        </w:rPr>
        <w:t xml:space="preserve">En lo relacionado con la capacidad para contratar, es claro que las personas pueden presentarse individualmente a los procesos de selección, no obstante, también pueden hacerlo en forma plural a través de consorcios o uniones temporales. En efecto, 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w:t>
      </w:r>
      <w:r w:rsidRPr="001242F3">
        <w:rPr>
          <w:rFonts w:ascii="Verdana" w:eastAsia="Calibri" w:hAnsi="Verdana" w:cs="Arial"/>
          <w:lang w:val="es-ES"/>
        </w:rPr>
        <w:lastRenderedPageBreak/>
        <w:t>celebrar contratos con las Entidades Estatales […] los consorcios y uniones temporales”.</w:t>
      </w:r>
    </w:p>
    <w:p w14:paraId="564716CC" w14:textId="77777777" w:rsidR="0042219C" w:rsidRPr="001242F3" w:rsidRDefault="0042219C" w:rsidP="0042219C">
      <w:pPr>
        <w:spacing w:before="120" w:after="120" w:line="276" w:lineRule="auto"/>
        <w:ind w:firstLine="709"/>
        <w:jc w:val="both"/>
        <w:rPr>
          <w:rFonts w:ascii="Verdana" w:eastAsia="Calibri" w:hAnsi="Verdana" w:cs="Arial"/>
          <w:lang w:val="es-ES"/>
        </w:rPr>
      </w:pPr>
      <w:r w:rsidRPr="009D4391">
        <w:rPr>
          <w:rFonts w:ascii="Verdana" w:eastAsia="Calibri" w:hAnsi="Verdana" w:cs="Arial"/>
        </w:rPr>
        <w:t>La capacidad para contratar, e incluso la de realizar actos jurídicamente vinculantes como la presentación de una oferta en un procedimiento de selección 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00427425"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Preámbulo, artículos 1 y 2 de la Carta Política.</w:t>
      </w:r>
    </w:p>
    <w:p w14:paraId="106E4F5D"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p>
    <w:p w14:paraId="72E764CC"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w:t>
      </w:r>
    </w:p>
    <w:p w14:paraId="3212CF4B"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p>
    <w:p w14:paraId="16A72C91"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r w:rsidRPr="001242F3">
        <w:rPr>
          <w:rFonts w:ascii="Verdana" w:eastAsia="Calibri" w:hAnsi="Verdana" w:cs="Arial"/>
          <w:sz w:val="20"/>
          <w:szCs w:val="20"/>
          <w:lang w:val="es-ES"/>
        </w:rPr>
        <w:t xml:space="preserve">En torno a la capacidad contractual de los consorcios y uniones temporales la jurisprudencia constitucional ha expresado que el Estatuto de contratación les reconoce este atributo </w:t>
      </w:r>
      <w:r w:rsidRPr="001242F3">
        <w:rPr>
          <w:rFonts w:ascii="Verdana" w:eastAsia="Calibri" w:hAnsi="Verdana" w:cs="Arial"/>
          <w:i/>
          <w:iCs/>
          <w:sz w:val="20"/>
          <w:szCs w:val="20"/>
          <w:lang w:val="es-ES"/>
        </w:rPr>
        <w:t>sin exigirles como condición de su ejercicio la de ser personas morales</w:t>
      </w:r>
      <w:r w:rsidRPr="001242F3">
        <w:rPr>
          <w:rFonts w:ascii="Verdana" w:eastAsia="Calibri" w:hAnsi="Verdana" w:cs="Arial"/>
          <w:sz w:val="20"/>
          <w:szCs w:val="20"/>
          <w:lang w:val="es-ES"/>
        </w:rPr>
        <w:t xml:space="preserve">. También ha dicho que el consorcio es un convenio de asociación, o mejor, un sistema de mediación que permite a sus miembros organizarse mancomunadamente para la celebración y ejecución de un contrato con el Estado, </w:t>
      </w:r>
      <w:r w:rsidRPr="001242F3">
        <w:rPr>
          <w:rFonts w:ascii="Verdana" w:eastAsia="Calibri" w:hAnsi="Verdana" w:cs="Arial"/>
          <w:i/>
          <w:iCs/>
          <w:sz w:val="20"/>
          <w:szCs w:val="20"/>
          <w:u w:val="single"/>
          <w:lang w:val="es-ES"/>
        </w:rPr>
        <w:t>sin que por ello pierdan su individualidad jurídica</w:t>
      </w:r>
      <w:r w:rsidRPr="001242F3">
        <w:rPr>
          <w:rFonts w:ascii="Verdana" w:eastAsia="Calibri" w:hAnsi="Verdana" w:cs="Arial"/>
          <w:sz w:val="20"/>
          <w:szCs w:val="20"/>
          <w:lang w:val="es-ES"/>
        </w:rPr>
        <w:t>, pero asumiendo un grado de responsabilidad solidaria en el cumplimiento de las obligaciones contractuales”</w:t>
      </w:r>
      <w:r w:rsidRPr="001242F3">
        <w:rPr>
          <w:rStyle w:val="Refdenotaalpie"/>
          <w:rFonts w:ascii="Verdana" w:eastAsia="Calibri" w:hAnsi="Verdana" w:cs="Arial"/>
          <w:sz w:val="20"/>
          <w:szCs w:val="20"/>
          <w:lang w:val="es-ES"/>
        </w:rPr>
        <w:footnoteReference w:id="18"/>
      </w:r>
      <w:r w:rsidRPr="001242F3">
        <w:rPr>
          <w:rFonts w:ascii="Verdana" w:eastAsia="Calibri" w:hAnsi="Verdana" w:cs="Arial"/>
          <w:sz w:val="20"/>
          <w:szCs w:val="20"/>
          <w:lang w:val="es-ES"/>
        </w:rPr>
        <w:t>. [Énfasis propio]</w:t>
      </w:r>
    </w:p>
    <w:p w14:paraId="2665729F" w14:textId="77777777" w:rsidR="0042219C" w:rsidRPr="001242F3" w:rsidRDefault="0042219C" w:rsidP="0042219C">
      <w:pPr>
        <w:spacing w:after="0" w:line="240" w:lineRule="auto"/>
        <w:ind w:left="709" w:right="709"/>
        <w:jc w:val="both"/>
        <w:rPr>
          <w:rFonts w:ascii="Verdana" w:eastAsia="Calibri" w:hAnsi="Verdana" w:cs="Arial"/>
          <w:sz w:val="20"/>
          <w:szCs w:val="20"/>
          <w:lang w:val="es-ES"/>
        </w:rPr>
      </w:pPr>
    </w:p>
    <w:p w14:paraId="1CEAFD3A" w14:textId="77777777" w:rsidR="0042219C" w:rsidRPr="001242F3" w:rsidRDefault="0042219C" w:rsidP="0042219C">
      <w:pPr>
        <w:spacing w:after="0" w:line="276" w:lineRule="auto"/>
        <w:ind w:firstLine="708"/>
        <w:jc w:val="both"/>
        <w:rPr>
          <w:rStyle w:val="Hipervnculo"/>
          <w:rFonts w:ascii="Verdana" w:eastAsia="Calibri" w:hAnsi="Verdana" w:cs="Arial"/>
          <w:color w:val="auto"/>
          <w:sz w:val="20"/>
          <w:szCs w:val="20"/>
          <w:u w:val="none"/>
          <w:lang w:val="es-ES"/>
        </w:rPr>
      </w:pPr>
      <w:r w:rsidRPr="001242F3">
        <w:rPr>
          <w:rStyle w:val="Hipervnculo"/>
          <w:rFonts w:ascii="Verdana" w:hAnsi="Verdana" w:cs="Arial"/>
          <w:color w:val="auto"/>
          <w:u w:val="none"/>
          <w:lang w:val="es-ES"/>
        </w:rPr>
        <w:t xml:space="preserve">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w:t>
      </w:r>
      <w:r w:rsidRPr="001242F3">
        <w:rPr>
          <w:rStyle w:val="Hipervnculo"/>
          <w:rFonts w:ascii="Verdana" w:hAnsi="Verdana" w:cs="Arial"/>
          <w:color w:val="auto"/>
          <w:u w:val="none"/>
          <w:lang w:val="es-ES"/>
        </w:rPr>
        <w:lastRenderedPageBreak/>
        <w:t>de los contratos. Adicionalmente, puntualiza que la capacidad contractual de los consorcios y uniones temporales se reconoce sin necesidad de exigirles como condición de su ejercicio que sean personas morales o jurídicas, lo que, hasta cierto punto, podría considerarse una evolución en la teoría de la personalidad jurídica.</w:t>
      </w:r>
    </w:p>
    <w:p w14:paraId="7E016E23" w14:textId="77777777" w:rsidR="0042219C" w:rsidRPr="001242F3" w:rsidRDefault="0042219C" w:rsidP="0042219C">
      <w:pPr>
        <w:spacing w:before="120" w:after="0" w:line="276" w:lineRule="auto"/>
        <w:ind w:firstLine="708"/>
        <w:jc w:val="both"/>
        <w:rPr>
          <w:rStyle w:val="Hipervnculo"/>
          <w:rFonts w:ascii="Verdana" w:eastAsia="Calibri" w:hAnsi="Verdana" w:cs="Arial"/>
          <w:color w:val="auto"/>
          <w:sz w:val="20"/>
          <w:szCs w:val="20"/>
          <w:u w:val="none"/>
          <w:lang w:val="es-ES"/>
        </w:rPr>
      </w:pPr>
      <w:r w:rsidRPr="001242F3">
        <w:rPr>
          <w:rStyle w:val="Hipervnculo"/>
          <w:rFonts w:ascii="Verdana" w:hAnsi="Verdana" w:cs="Arial"/>
          <w:color w:val="auto"/>
          <w:u w:val="none"/>
          <w:lang w:val="es-ES"/>
        </w:rPr>
        <w:t xml:space="preserve">Debido a que los consorcios y las uniones temporales </w:t>
      </w:r>
      <w:r w:rsidRPr="001242F3">
        <w:rPr>
          <w:rStyle w:val="Hipervnculo"/>
          <w:rFonts w:ascii="Verdana" w:hAnsi="Verdana" w:cs="Arial"/>
          <w:i/>
          <w:iCs/>
          <w:color w:val="auto"/>
          <w:u w:val="none"/>
          <w:lang w:val="es-ES"/>
        </w:rPr>
        <w:t>no son personas jurídicas,</w:t>
      </w:r>
      <w:r w:rsidRPr="001242F3">
        <w:rPr>
          <w:rStyle w:val="Hipervnculo"/>
          <w:rFonts w:ascii="Verdana" w:hAnsi="Verdana" w:cs="Arial"/>
          <w:color w:val="auto"/>
          <w:u w:val="none"/>
          <w:lang w:val="es-ES"/>
        </w:rPr>
        <w:t xml:space="preserve"> su creación depende de un acuerdo en el que concurre </w:t>
      </w:r>
      <w:r w:rsidRPr="001242F3">
        <w:rPr>
          <w:rStyle w:val="Hipervnculo"/>
          <w:rFonts w:ascii="Verdana" w:hAnsi="Verdana" w:cs="Arial"/>
          <w:i/>
          <w:iCs/>
          <w:color w:val="auto"/>
          <w:u w:val="none"/>
          <w:lang w:val="es-ES"/>
        </w:rPr>
        <w:t xml:space="preserve">la voluntad de sus integrantes </w:t>
      </w:r>
      <w:r w:rsidRPr="001242F3">
        <w:rPr>
          <w:rStyle w:val="Hipervnculo"/>
          <w:rFonts w:ascii="Verdana" w:hAnsi="Verdana" w:cs="Arial"/>
          <w:color w:val="auto"/>
          <w:u w:val="none"/>
          <w:lang w:val="es-ES"/>
        </w:rPr>
        <w:t>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En lo pertinente, la norma precitada dispone que:</w:t>
      </w:r>
    </w:p>
    <w:p w14:paraId="17EB2D47" w14:textId="77777777" w:rsidR="0042219C" w:rsidRPr="001242F3" w:rsidRDefault="0042219C" w:rsidP="0042219C">
      <w:pPr>
        <w:spacing w:after="0" w:line="276" w:lineRule="auto"/>
        <w:jc w:val="both"/>
        <w:rPr>
          <w:rStyle w:val="Hipervnculo"/>
          <w:rFonts w:ascii="Verdana" w:eastAsia="Calibri" w:hAnsi="Verdana" w:cs="Arial"/>
          <w:color w:val="auto"/>
          <w:sz w:val="20"/>
          <w:szCs w:val="20"/>
          <w:u w:val="none"/>
          <w:lang w:val="es-ES"/>
        </w:rPr>
      </w:pPr>
    </w:p>
    <w:p w14:paraId="3434BA4F" w14:textId="77777777" w:rsidR="0042219C" w:rsidRPr="001242F3" w:rsidRDefault="0042219C" w:rsidP="0042219C">
      <w:pPr>
        <w:spacing w:after="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“Artículo 7º.- ENTIDADES A CONTRATAR. Artículo modificado por el artículo 3 de la Ley 2160 de 2021. Para los efectos de esta Ley se entiende por:</w:t>
      </w:r>
    </w:p>
    <w:p w14:paraId="65DC4768" w14:textId="77777777" w:rsidR="0042219C" w:rsidRPr="001242F3" w:rsidRDefault="0042219C" w:rsidP="0042219C">
      <w:pPr>
        <w:spacing w:after="12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w:t>
      </w:r>
    </w:p>
    <w:p w14:paraId="4EAC5166" w14:textId="77777777" w:rsidR="0042219C" w:rsidRPr="001242F3" w:rsidRDefault="0042219C" w:rsidP="0042219C">
      <w:pPr>
        <w:spacing w:after="12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 xml:space="preserve">6. Consorcio: Cuando dos o más personas </w:t>
      </w:r>
      <w:bookmarkStart w:id="1" w:name="_Hlk180410264"/>
      <w:r w:rsidRPr="001242F3">
        <w:rPr>
          <w:rFonts w:ascii="Verdana" w:eastAsia="Calibri" w:hAnsi="Verdana" w:cs="Arial"/>
          <w:bCs/>
          <w:color w:val="000000" w:themeColor="text1"/>
          <w:sz w:val="20"/>
          <w:szCs w:val="20"/>
          <w:lang w:val="es-ES"/>
        </w:rPr>
        <w:t>en forma conjunta presentan una misma propuesta para la adjudicación, celebración y ejecución de un contrato</w:t>
      </w:r>
      <w:bookmarkEnd w:id="1"/>
      <w:r w:rsidRPr="001242F3">
        <w:rPr>
          <w:rFonts w:ascii="Verdana" w:eastAsia="Calibri" w:hAnsi="Verdana" w:cs="Arial"/>
          <w:bCs/>
          <w:color w:val="000000" w:themeColor="text1"/>
          <w:sz w:val="20"/>
          <w:szCs w:val="20"/>
          <w:lang w:val="es-ES"/>
        </w:rPr>
        <w:t>, respondiendo solidariamente de todas y cada una de las obligaciones derivadas de la propuesta y del contrato. En consecuencia, las actuaciones, hechos y omisiones que se presenten en desarrollo de la propuesta y del contrato, afectarán a todos los miembros que lo conforman.</w:t>
      </w:r>
    </w:p>
    <w:p w14:paraId="43BB901E" w14:textId="77777777" w:rsidR="0042219C" w:rsidRPr="001242F3" w:rsidRDefault="0042219C" w:rsidP="0042219C">
      <w:pPr>
        <w:spacing w:after="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7. Unión Temporal: Cuando dos o más personas en forma conjunta presentan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impondrán de acuerdo con la participación en la ejecución de cada uno de los miembros de la unión temporal. </w:t>
      </w:r>
    </w:p>
    <w:p w14:paraId="0D94B57B" w14:textId="77777777" w:rsidR="0042219C" w:rsidRPr="001242F3" w:rsidRDefault="0042219C" w:rsidP="0042219C">
      <w:pPr>
        <w:spacing w:after="12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w:t>
      </w:r>
    </w:p>
    <w:p w14:paraId="1D02D659" w14:textId="77777777" w:rsidR="0042219C" w:rsidRPr="001242F3" w:rsidRDefault="0042219C" w:rsidP="0042219C">
      <w:pPr>
        <w:spacing w:after="12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Parágrafo 1º.- Los proponentes indicarán si su participación es a título de consorcio o unión temporal y, en este último caso, señalarán los términos y extensión de la participación en la propuesta y en su ejecución, los cuales no podrán ser modificados sin el consentimiento previo de la entidad estatal contratante.</w:t>
      </w:r>
    </w:p>
    <w:p w14:paraId="10E5E3AF" w14:textId="77777777" w:rsidR="0042219C" w:rsidRPr="001242F3" w:rsidRDefault="0042219C" w:rsidP="0042219C">
      <w:pPr>
        <w:spacing w:after="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 xml:space="preserve">Los miembros del consorcio y de la unión temporal deberán designar la persona que, para todos los efectos, representará al consorcio o unión </w:t>
      </w:r>
      <w:r w:rsidRPr="001242F3">
        <w:rPr>
          <w:rFonts w:ascii="Verdana" w:eastAsia="Calibri" w:hAnsi="Verdana" w:cs="Arial"/>
          <w:bCs/>
          <w:color w:val="000000" w:themeColor="text1"/>
          <w:sz w:val="20"/>
          <w:szCs w:val="20"/>
          <w:lang w:val="es-ES"/>
        </w:rPr>
        <w:lastRenderedPageBreak/>
        <w:t>temporal y señalarán las reglas básicas que regulen las relaciones entre ellos y su responsabilidad.</w:t>
      </w:r>
    </w:p>
    <w:p w14:paraId="5E5C71C3" w14:textId="77777777" w:rsidR="0042219C" w:rsidRPr="001242F3" w:rsidRDefault="0042219C" w:rsidP="0042219C">
      <w:pPr>
        <w:spacing w:after="0" w:line="240" w:lineRule="auto"/>
        <w:ind w:left="709" w:right="709"/>
        <w:jc w:val="both"/>
        <w:rPr>
          <w:rFonts w:ascii="Verdana" w:eastAsia="Calibri" w:hAnsi="Verdana" w:cs="Arial"/>
          <w:bCs/>
          <w:color w:val="000000" w:themeColor="text1"/>
          <w:sz w:val="20"/>
          <w:szCs w:val="20"/>
          <w:lang w:val="es-ES"/>
        </w:rPr>
      </w:pPr>
      <w:r w:rsidRPr="001242F3">
        <w:rPr>
          <w:rFonts w:ascii="Verdana" w:eastAsia="Calibri" w:hAnsi="Verdana" w:cs="Arial"/>
          <w:bCs/>
          <w:color w:val="000000" w:themeColor="text1"/>
          <w:sz w:val="20"/>
          <w:szCs w:val="20"/>
          <w:lang w:val="es-ES"/>
        </w:rPr>
        <w:t>[…]”.</w:t>
      </w:r>
    </w:p>
    <w:p w14:paraId="1B8520BB" w14:textId="77777777" w:rsidR="0042219C" w:rsidRPr="001242F3" w:rsidRDefault="0042219C" w:rsidP="0042219C">
      <w:pPr>
        <w:spacing w:after="0" w:line="276" w:lineRule="auto"/>
        <w:jc w:val="both"/>
        <w:rPr>
          <w:rStyle w:val="Hipervnculo"/>
          <w:rFonts w:ascii="Verdana" w:eastAsia="Calibri" w:hAnsi="Verdana" w:cs="Arial"/>
          <w:color w:val="auto"/>
          <w:sz w:val="20"/>
          <w:szCs w:val="20"/>
          <w:u w:val="none"/>
          <w:lang w:val="es-ES"/>
        </w:rPr>
      </w:pPr>
    </w:p>
    <w:p w14:paraId="5D456612" w14:textId="77777777" w:rsidR="0042219C" w:rsidRPr="001242F3" w:rsidRDefault="0042219C" w:rsidP="0042219C">
      <w:pPr>
        <w:spacing w:after="120" w:line="276" w:lineRule="auto"/>
        <w:ind w:firstLine="708"/>
        <w:jc w:val="both"/>
        <w:rPr>
          <w:rFonts w:ascii="Verdana" w:hAnsi="Verdana" w:cs="Arial"/>
          <w:color w:val="000000" w:themeColor="text1"/>
          <w:lang w:val="es-ES"/>
        </w:rPr>
      </w:pPr>
      <w:r w:rsidRPr="001242F3">
        <w:rPr>
          <w:rFonts w:ascii="Verdana" w:eastAsia="Calibri" w:hAnsi="Verdana" w:cs="Arial"/>
          <w:bCs/>
          <w:color w:val="000000" w:themeColor="text1"/>
          <w:lang w:val="es-ES"/>
        </w:rPr>
        <w:t>Como se observa, el artículo citado señala que el consorcio o la unión temporal se da “Cuando dos o más personas en forma conjunta presentan una misma propuesta para la adjudicación, celebración y ejecución de un contrato […]”.</w:t>
      </w:r>
      <w:r w:rsidRPr="001242F3">
        <w:rPr>
          <w:rFonts w:ascii="Verdana" w:hAnsi="Verdana" w:cs="Arial"/>
          <w:color w:val="000000" w:themeColor="text1"/>
          <w:lang w:val="es-ES"/>
        </w:rPr>
        <w:t xml:space="preserve">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medio–fin, </w:t>
      </w:r>
      <w:r>
        <w:rPr>
          <w:rFonts w:ascii="Verdana" w:hAnsi="Verdana" w:cs="Arial"/>
          <w:color w:val="000000" w:themeColor="text1"/>
          <w:lang w:val="es-ES"/>
        </w:rPr>
        <w:t>la ausencia de capacidad de alguno de los miembros afecta la del proponente plural</w:t>
      </w:r>
      <w:r w:rsidRPr="001242F3">
        <w:rPr>
          <w:rFonts w:ascii="Verdana" w:hAnsi="Verdana" w:cs="Arial"/>
          <w:color w:val="000000" w:themeColor="text1"/>
          <w:lang w:val="es-ES"/>
        </w:rPr>
        <w:t xml:space="preserve">. </w:t>
      </w:r>
    </w:p>
    <w:p w14:paraId="4A69ACF6" w14:textId="77777777" w:rsidR="0042219C" w:rsidRPr="001242F3" w:rsidRDefault="0042219C" w:rsidP="0042219C">
      <w:pPr>
        <w:spacing w:before="120" w:after="120" w:line="276" w:lineRule="auto"/>
        <w:ind w:firstLine="709"/>
        <w:jc w:val="both"/>
        <w:rPr>
          <w:rFonts w:ascii="Verdana" w:hAnsi="Verdana" w:cs="Arial"/>
          <w:color w:val="000000" w:themeColor="text1"/>
          <w:lang w:val="es-ES"/>
        </w:rPr>
      </w:pPr>
      <w:r w:rsidRPr="001242F3">
        <w:rPr>
          <w:rFonts w:ascii="Verdana" w:hAnsi="Verdana" w:cs="Arial"/>
          <w:color w:val="000000" w:themeColor="text1"/>
          <w:lang w:val="es-ES"/>
        </w:rPr>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531D2CD6" w14:textId="77777777" w:rsidR="0042219C" w:rsidRPr="001242F3" w:rsidRDefault="0042219C" w:rsidP="0042219C">
      <w:pPr>
        <w:spacing w:before="120" w:after="120" w:line="276" w:lineRule="auto"/>
        <w:ind w:firstLine="709"/>
        <w:jc w:val="both"/>
        <w:rPr>
          <w:rFonts w:ascii="Verdana" w:eastAsia="Calibri" w:hAnsi="Verdana" w:cs="Arial"/>
          <w:lang w:val="es-ES"/>
        </w:rPr>
      </w:pPr>
      <w:r w:rsidRPr="001242F3">
        <w:rPr>
          <w:rFonts w:ascii="Verdana" w:hAnsi="Verdana" w:cs="Arial"/>
          <w:color w:val="000000" w:themeColor="text1"/>
          <w:lang w:val="es-ES"/>
        </w:rPr>
        <w:t>De</w:t>
      </w:r>
      <w:r w:rsidRPr="001242F3">
        <w:rPr>
          <w:rFonts w:ascii="Verdana" w:eastAsia="Calibri" w:hAnsi="Verdana" w:cs="Arial"/>
          <w:lang w:val="es-ES"/>
        </w:rPr>
        <w:t xml:space="preserve"> acuerdo con lo señalado en los numerales 6 y 7 del artículo 7 de la Ley 80 de 1993, un consorcio o una unión temporal se da “[c]uando dos o más personas en forma conjunta presentan una misma propuesta para la adjudicación, celebración y ejecución de un contrato […]”. Desde esta perspectiva, su capacidad para participar en la adjudicación, celebración y ejecución de uno o varios contratos estatales dependerá de dos aspectos: i) que los integrantes de la estructura plural adopten la decisión conjunta de presentar una misma propuesta al proceso de selección; y ii) que el objeto del consorcio o unión temporal se encuentre alineado con las actividades a desarrollar en un determinado proceso. </w:t>
      </w:r>
    </w:p>
    <w:p w14:paraId="214DF4EC" w14:textId="77777777" w:rsidR="0042219C" w:rsidRPr="001242F3" w:rsidRDefault="0042219C" w:rsidP="0042219C">
      <w:pPr>
        <w:spacing w:before="120" w:after="120" w:line="276" w:lineRule="auto"/>
        <w:ind w:firstLine="709"/>
        <w:jc w:val="both"/>
        <w:rPr>
          <w:rFonts w:ascii="Verdana" w:eastAsia="Calibri" w:hAnsi="Verdana" w:cs="Arial"/>
          <w:lang w:val="es-ES"/>
        </w:rPr>
      </w:pPr>
      <w:r w:rsidRPr="001242F3">
        <w:rPr>
          <w:rFonts w:ascii="Verdana" w:eastAsia="Calibri" w:hAnsi="Verdana" w:cs="Arial"/>
          <w:lang w:val="es-ES"/>
        </w:rPr>
        <w:t xml:space="preserve">De esta forma, es claro que los consorcios y uniones temporales no son personas jurídicas y que su representación conjunta lo es para efectos de la </w:t>
      </w:r>
      <w:r w:rsidRPr="001242F3">
        <w:rPr>
          <w:rFonts w:ascii="Verdana" w:eastAsia="Calibri" w:hAnsi="Verdana" w:cs="Arial"/>
          <w:lang w:val="es-ES"/>
        </w:rPr>
        <w:lastRenderedPageBreak/>
        <w:t xml:space="preserve">adjudicación, celebración y ejecución del contrato. En este sentido, dado que el proponente plural no constituye una persona distinta a la de sus miembros, cada uno de ellos debe contar con </w:t>
      </w:r>
      <w:r>
        <w:rPr>
          <w:rFonts w:ascii="Verdana" w:eastAsia="Calibri" w:hAnsi="Verdana" w:cs="Arial"/>
          <w:lang w:val="es-ES"/>
        </w:rPr>
        <w:t xml:space="preserve">la </w:t>
      </w:r>
      <w:r w:rsidRPr="001242F3">
        <w:rPr>
          <w:rFonts w:ascii="Verdana" w:eastAsia="Calibri" w:hAnsi="Verdana" w:cs="Arial"/>
          <w:lang w:val="es-ES"/>
        </w:rPr>
        <w:t xml:space="preserve">capacidad jurídica para participar en el proceso de contratación. De esta forma, si una persona natural o jurídica se encuentra inhabilitada para participar en un proceso, la limitación a su capacidad no desaparece por ser miembro de un proponente plural. </w:t>
      </w:r>
      <w:r>
        <w:rPr>
          <w:rFonts w:ascii="Verdana" w:eastAsia="Calibri" w:hAnsi="Verdana" w:cs="Arial"/>
          <w:lang w:val="es-ES"/>
        </w:rPr>
        <w:t>L</w:t>
      </w:r>
      <w:r w:rsidRPr="001242F3">
        <w:rPr>
          <w:rFonts w:ascii="Verdana" w:eastAsia="Calibri" w:hAnsi="Verdana" w:cs="Arial"/>
          <w:lang w:val="es-ES"/>
        </w:rPr>
        <w:t xml:space="preserve">a persona inhabilitada para contratar, también lo estará como miembro de un consorcio o unión temporal, pues se trata de un conjunto de personas naturales o jurídicas que comparten un objetivo común y que mantienen su personalidad individual. </w:t>
      </w:r>
      <w:r>
        <w:rPr>
          <w:rFonts w:ascii="Verdana" w:eastAsia="Calibri" w:hAnsi="Verdana" w:cs="Arial"/>
          <w:lang w:val="es-ES"/>
        </w:rPr>
        <w:t>En el mismo sentido, la capacidad jurídica del proponente plural debe verificarse respecto de la de cada uno de sus miembros.</w:t>
      </w:r>
    </w:p>
    <w:p w14:paraId="46B9B9C8" w14:textId="77777777" w:rsidR="0042219C" w:rsidRPr="001242F3" w:rsidRDefault="0042219C" w:rsidP="0042219C">
      <w:pPr>
        <w:spacing w:before="120" w:after="0" w:line="276" w:lineRule="auto"/>
        <w:ind w:firstLine="709"/>
        <w:jc w:val="both"/>
        <w:rPr>
          <w:rFonts w:ascii="Verdana" w:eastAsia="Calibri" w:hAnsi="Verdana" w:cs="Arial"/>
          <w:lang w:val="es-ES"/>
        </w:rPr>
      </w:pPr>
      <w:r w:rsidRPr="001242F3">
        <w:rPr>
          <w:rFonts w:ascii="Verdana" w:eastAsia="Calibri" w:hAnsi="Verdana" w:cs="Arial"/>
          <w:lang w:val="es-ES"/>
        </w:rPr>
        <w:t>El Consejo de Estado se ha pronunciado en este sentido al afirmar que la inhabilidad de una persona afecta la capacidad para contratar del proponente plural del cual es parte. En este sentido la Sección Tercera</w:t>
      </w:r>
      <w:r w:rsidRPr="001242F3">
        <w:rPr>
          <w:rStyle w:val="Refdenotaalpie"/>
          <w:rFonts w:ascii="Verdana" w:eastAsia="Calibri" w:hAnsi="Verdana" w:cs="Arial"/>
          <w:lang w:val="es-ES"/>
        </w:rPr>
        <w:footnoteReference w:id="19"/>
      </w:r>
      <w:r w:rsidRPr="001242F3">
        <w:rPr>
          <w:rFonts w:ascii="Verdana" w:eastAsia="Calibri" w:hAnsi="Verdana" w:cs="Arial"/>
          <w:lang w:val="es-ES"/>
        </w:rPr>
        <w:t xml:space="preserve"> ha señalado que:</w:t>
      </w:r>
    </w:p>
    <w:p w14:paraId="5E190266" w14:textId="77777777" w:rsidR="0042219C" w:rsidRPr="001242F3" w:rsidRDefault="0042219C" w:rsidP="0042219C">
      <w:pPr>
        <w:spacing w:after="0" w:line="276" w:lineRule="auto"/>
        <w:ind w:firstLine="709"/>
        <w:jc w:val="both"/>
        <w:rPr>
          <w:rFonts w:ascii="Verdana" w:eastAsia="Calibri" w:hAnsi="Verdana" w:cs="Arial"/>
          <w:lang w:val="es-ES"/>
        </w:rPr>
      </w:pPr>
    </w:p>
    <w:p w14:paraId="007DED9B" w14:textId="77777777" w:rsidR="0042219C" w:rsidRPr="001242F3" w:rsidRDefault="0042219C" w:rsidP="0042219C">
      <w:pPr>
        <w:spacing w:after="0" w:line="240" w:lineRule="auto"/>
        <w:ind w:left="709" w:right="709"/>
        <w:jc w:val="both"/>
        <w:rPr>
          <w:rFonts w:ascii="Verdana" w:eastAsia="Calibri" w:hAnsi="Verdana" w:cs="Arial"/>
          <w:color w:val="000000"/>
          <w:sz w:val="20"/>
          <w:szCs w:val="20"/>
          <w:lang w:val="es-ES"/>
        </w:rPr>
      </w:pPr>
      <w:r w:rsidRPr="001242F3">
        <w:rPr>
          <w:rFonts w:ascii="Verdana" w:eastAsia="Calibri" w:hAnsi="Verdana" w:cs="Arial"/>
          <w:color w:val="000000"/>
          <w:sz w:val="20"/>
          <w:szCs w:val="20"/>
          <w:lang w:val="es-ES"/>
        </w:rPr>
        <w:t>“Toda vez que el consorcio o la unión temporal no constituye una persona diferente de los miembros que lo conforman, no puede afirmarse, como lo hace la entidad pública demandada, que la inhabilidad que recaía sobre el señor Héctor Tangarife no afectaba al consorcio, toda vez que la capacidad legal para presentar propuestas y para celebrar contratos se predica de todos y cada uno de sus miembros, por cuanto la participación en la licitación mediante la figura del consorcio no puede servir de pretexto para esconder irregularidades. Cabe advertir que en tanto alguno de los miembros de un consorcio o de una unión temporal se encuentre en situación de inhabilidad o de incompatibilidad, el consorcio o la unión temporal no puede ser proponente o contratista del Estado, toda vez que como bien lo advierte el artículo 7º de la Ley 80 de 1993, “las actuaciones, hechos y omisiones que se presenten en desarrollo de la propuesta y del contrato, afectarán a todos los miembros que lo conforman”.</w:t>
      </w:r>
    </w:p>
    <w:p w14:paraId="7A111205" w14:textId="77777777" w:rsidR="0042219C" w:rsidRPr="001242F3" w:rsidRDefault="0042219C" w:rsidP="0042219C">
      <w:pPr>
        <w:spacing w:after="0" w:line="240" w:lineRule="auto"/>
        <w:ind w:left="709" w:right="709"/>
        <w:jc w:val="both"/>
        <w:rPr>
          <w:rFonts w:ascii="Verdana" w:eastAsia="Calibri" w:hAnsi="Verdana" w:cs="Arial"/>
          <w:color w:val="000000"/>
          <w:sz w:val="20"/>
          <w:szCs w:val="20"/>
          <w:lang w:val="es-ES"/>
        </w:rPr>
      </w:pPr>
    </w:p>
    <w:p w14:paraId="7BED4B4A" w14:textId="77777777" w:rsidR="0042219C" w:rsidRPr="001242F3" w:rsidRDefault="0042219C" w:rsidP="0042219C">
      <w:pPr>
        <w:spacing w:after="0" w:line="240" w:lineRule="auto"/>
        <w:ind w:left="709" w:right="709"/>
        <w:jc w:val="both"/>
        <w:rPr>
          <w:rFonts w:ascii="Verdana" w:eastAsia="Calibri" w:hAnsi="Verdana" w:cs="Arial"/>
          <w:color w:val="000000"/>
          <w:sz w:val="20"/>
          <w:szCs w:val="20"/>
          <w:lang w:val="es-ES"/>
        </w:rPr>
      </w:pPr>
      <w:r w:rsidRPr="001242F3">
        <w:rPr>
          <w:rFonts w:ascii="Verdana" w:eastAsia="Calibri" w:hAnsi="Verdana" w:cs="Arial"/>
          <w:color w:val="000000"/>
          <w:sz w:val="20"/>
          <w:szCs w:val="20"/>
          <w:lang w:val="es-ES"/>
        </w:rPr>
        <w:t>Es más, tal como dispone el artículo 9 de la Ley 80, “cuando la inhabilidad o incompatibilidad sobrevenga en un proponente dentro de una licitación, se entenderá que renuncia a la participación en el proceso de selección y a los derechos surgidos de la misma”, respecto de lo cual puede inferirse que si en el evento de que se presente una inhabilidad o una incompatibilidad sobreviviente, el proponente –en este caso el consorcio- debe renunciar, no puede pensarse que en el evento de que la inhabilidad existiese desde antes de la apertura del procedimiento administrativo de selección sí pudiese participar”.</w:t>
      </w:r>
    </w:p>
    <w:p w14:paraId="596E5CD4" w14:textId="77777777" w:rsidR="0042219C" w:rsidRPr="001242F3" w:rsidRDefault="0042219C" w:rsidP="0042219C">
      <w:pPr>
        <w:spacing w:after="0" w:line="240" w:lineRule="auto"/>
        <w:ind w:left="709" w:right="709"/>
        <w:jc w:val="both"/>
        <w:rPr>
          <w:rFonts w:ascii="Verdana" w:eastAsia="Calibri" w:hAnsi="Verdana" w:cs="Arial"/>
          <w:color w:val="000000"/>
          <w:sz w:val="20"/>
          <w:szCs w:val="20"/>
          <w:lang w:val="es-ES"/>
        </w:rPr>
      </w:pPr>
    </w:p>
    <w:p w14:paraId="79EC1019" w14:textId="77777777" w:rsidR="0042219C" w:rsidRPr="001242F3" w:rsidRDefault="0042219C" w:rsidP="0042219C">
      <w:pPr>
        <w:spacing w:after="0" w:line="276" w:lineRule="auto"/>
        <w:ind w:firstLine="708"/>
        <w:jc w:val="both"/>
        <w:rPr>
          <w:rFonts w:ascii="Verdana" w:eastAsia="Calibri" w:hAnsi="Verdana" w:cs="Arial"/>
          <w:color w:val="000000"/>
          <w:lang w:val="es-ES"/>
        </w:rPr>
      </w:pPr>
      <w:r w:rsidRPr="001242F3">
        <w:rPr>
          <w:rFonts w:ascii="Verdana" w:eastAsia="Calibri" w:hAnsi="Verdana" w:cs="Arial"/>
          <w:color w:val="000000"/>
          <w:lang w:val="es-ES"/>
        </w:rPr>
        <w:t xml:space="preserve">En efecto, dado que los consorcios no son personas jurídicas y que su representación conjunta es para efectos de la adjudicación, celebración y ejecución de los contrato, la Entidad Estatal debe verificar la capacidad jurídica del proponente plural con respecto a la de cada uno de sus miembros. De este modo, la existencia de condiciones que afecten la capacidad jurídica de </w:t>
      </w:r>
      <w:r>
        <w:rPr>
          <w:rFonts w:ascii="Verdana" w:eastAsia="Calibri" w:hAnsi="Verdana" w:cs="Arial"/>
          <w:color w:val="000000"/>
          <w:lang w:val="es-ES"/>
        </w:rPr>
        <w:t xml:space="preserve">un integrante, </w:t>
      </w:r>
      <w:r w:rsidRPr="001242F3">
        <w:rPr>
          <w:rFonts w:ascii="Verdana" w:eastAsia="Calibri" w:hAnsi="Verdana" w:cs="Arial"/>
          <w:color w:val="000000"/>
          <w:lang w:val="es-ES"/>
        </w:rPr>
        <w:t>como es el caso de las inhabilidades e incompatibilidades, necesariamente afectan la del proponente plural. Esto se predica tanto de la posibilidad de participar en el proceso</w:t>
      </w:r>
      <w:r>
        <w:rPr>
          <w:rFonts w:ascii="Verdana" w:eastAsia="Calibri" w:hAnsi="Verdana" w:cs="Arial"/>
          <w:color w:val="000000"/>
          <w:lang w:val="es-ES"/>
        </w:rPr>
        <w:t>,</w:t>
      </w:r>
      <w:r w:rsidRPr="001242F3">
        <w:rPr>
          <w:rFonts w:ascii="Verdana" w:eastAsia="Calibri" w:hAnsi="Verdana" w:cs="Arial"/>
          <w:color w:val="000000"/>
          <w:lang w:val="es-ES"/>
        </w:rPr>
        <w:t xml:space="preserve"> como de la inhabilidad sobreviniente durante la ejecución del contrato, caso en el cual la misma norma reconoce la necesidad de que el miembro incurso en la causal salga de la estructura plural, cediendo su participación a un tercero. </w:t>
      </w:r>
    </w:p>
    <w:p w14:paraId="70327C2D" w14:textId="77777777" w:rsidR="0042219C" w:rsidRPr="001242F3" w:rsidRDefault="0042219C" w:rsidP="0042219C">
      <w:pPr>
        <w:spacing w:before="120" w:after="0" w:line="276" w:lineRule="auto"/>
        <w:ind w:firstLine="708"/>
        <w:jc w:val="both"/>
        <w:rPr>
          <w:rFonts w:ascii="Verdana" w:eastAsia="Calibri" w:hAnsi="Verdana" w:cs="Arial"/>
          <w:color w:val="000000"/>
          <w:lang w:val="es-ES"/>
        </w:rPr>
      </w:pPr>
      <w:r w:rsidRPr="001242F3">
        <w:rPr>
          <w:rFonts w:ascii="Verdana" w:eastAsia="Calibri" w:hAnsi="Verdana" w:cs="Arial"/>
          <w:color w:val="000000"/>
          <w:lang w:val="es-ES"/>
        </w:rPr>
        <w:t xml:space="preserve">Como se observa, lo aquí expuesto es concordante con lo ya establecido por esta Agencia en el concepto por usted citado. </w:t>
      </w:r>
      <w:r w:rsidRPr="001242F3">
        <w:rPr>
          <w:rFonts w:ascii="Verdana" w:hAnsi="Verdana" w:cs="Arial"/>
          <w:lang w:val="es-ES" w:eastAsia="es-ES"/>
        </w:rPr>
        <w:t>Al margen de la explicación precedente debe advertirse que el análisis requerido para resolver problemas específicos en torno a la gestión contractual debe ser realizado por quienes tengan interés en ello, de acuerdo con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y, en caso de conflicto, a las autoridades judiciales, fiscales y disciplinarias.</w:t>
      </w:r>
      <w:r w:rsidRPr="001242F3">
        <w:rPr>
          <w:rFonts w:ascii="Verdana" w:eastAsia="Arial" w:hAnsi="Verdana" w:cs="Arial"/>
          <w:lang w:val="es-ES"/>
        </w:rPr>
        <w:t xml:space="preserve"> Además es </w:t>
      </w:r>
      <w:r w:rsidRPr="001242F3">
        <w:rPr>
          <w:rFonts w:ascii="Verdana" w:eastAsia="Calibri" w:hAnsi="Verdana" w:cs="Arial"/>
          <w:color w:val="000000"/>
          <w:lang w:val="es-ES"/>
        </w:rPr>
        <w:t>importante resaltar que si se considera que el acto jurídico está viciado de nulidad por incompetencia, la declaratoria de esa nulidad corresponde al juez del contrato.</w:t>
      </w:r>
    </w:p>
    <w:p w14:paraId="5BD2B62B" w14:textId="77777777" w:rsidR="0042219C" w:rsidRPr="001242F3" w:rsidRDefault="0042219C" w:rsidP="0042219C">
      <w:pPr>
        <w:spacing w:before="120" w:after="0" w:line="276" w:lineRule="auto"/>
        <w:ind w:firstLine="709"/>
        <w:jc w:val="both"/>
        <w:rPr>
          <w:rFonts w:ascii="Verdana" w:hAnsi="Verdana" w:cs="Arial"/>
          <w:lang w:val="es-ES" w:eastAsia="es-ES"/>
        </w:rPr>
      </w:pPr>
      <w:r w:rsidRPr="001242F3">
        <w:rPr>
          <w:rFonts w:ascii="Verdana" w:hAnsi="Verdana" w:cs="Arial"/>
          <w:lang w:val="es-ES"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3DA37826" w14:textId="77777777" w:rsidR="0042219C" w:rsidRPr="001242F3" w:rsidRDefault="0042219C" w:rsidP="0042219C">
      <w:pPr>
        <w:spacing w:after="0" w:line="276" w:lineRule="auto"/>
        <w:ind w:firstLine="708"/>
        <w:jc w:val="both"/>
        <w:rPr>
          <w:rFonts w:ascii="Verdana" w:hAnsi="Verdana" w:cs="Arial"/>
          <w:lang w:val="es-ES"/>
        </w:rPr>
      </w:pPr>
    </w:p>
    <w:p w14:paraId="43450C31" w14:textId="77777777" w:rsidR="0042219C" w:rsidRPr="001242F3" w:rsidRDefault="0042219C" w:rsidP="0042219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242F3">
        <w:rPr>
          <w:rFonts w:ascii="Verdana" w:eastAsia="Century Gothic" w:hAnsi="Verdana" w:cs="Century Gothic"/>
          <w:b/>
          <w:bCs/>
          <w:color w:val="000000" w:themeColor="text1"/>
        </w:rPr>
        <w:t>Referencias normativas, jurisprudenciales y otras fuentes:</w:t>
      </w:r>
    </w:p>
    <w:p w14:paraId="4AF18B18" w14:textId="77777777" w:rsidR="0042219C" w:rsidRPr="001242F3" w:rsidRDefault="0042219C" w:rsidP="0042219C">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2219C" w:rsidRPr="001242F3" w14:paraId="42A59B52" w14:textId="77777777" w:rsidTr="00367A99">
        <w:trPr>
          <w:trHeight w:val="870"/>
        </w:trPr>
        <w:tc>
          <w:tcPr>
            <w:tcW w:w="8647" w:type="dxa"/>
          </w:tcPr>
          <w:p w14:paraId="2F71E2A6"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Constitución Política, artículos 6, 13, 26, 29, 150 y 209.</w:t>
            </w:r>
          </w:p>
          <w:p w14:paraId="3F10C65B"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Código Civil, artículos 1502, 1503 y 1504.</w:t>
            </w:r>
          </w:p>
          <w:p w14:paraId="019678EA"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Código de Comercio, artículo 99.</w:t>
            </w:r>
          </w:p>
          <w:p w14:paraId="04A9530C"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Ley 80 de 1993, artículos 6 (modificado por el artículo 1 de la Ley 2160 de 2021), 7 (modificado por el artículo 3 de la Ley 2160 de 2021), 9 y 44.</w:t>
            </w:r>
          </w:p>
          <w:p w14:paraId="6EE3A303"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Ley 1150 de 2007, artículo 9.</w:t>
            </w:r>
          </w:p>
          <w:p w14:paraId="2DF1A382"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Corte Constitucional. Sentencia C-415 de 1994. M.P. Eduardo Cifuentes Muñoz.</w:t>
            </w:r>
          </w:p>
          <w:p w14:paraId="2A1A7EBB"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Corte Constitucional. Sentencia C-181 de 1997. M.P. Fabio Morón Díaz. Ver también las Sentencias C-540 de 2001, C-893 de 2003 y C-908 de 2008, entre otras.</w:t>
            </w:r>
          </w:p>
          <w:p w14:paraId="557C90DE"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Corte Constitucional. Sentencia C-780 de 2001. M.P. Jaime Córdoba Triviño.</w:t>
            </w:r>
          </w:p>
          <w:p w14:paraId="26CE72AF"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Corte Constitucional. Sentencia C-949 del 5 de septiembre de 2001. M.P. Clara Inés Vargas Hernández.</w:t>
            </w:r>
          </w:p>
          <w:p w14:paraId="59127BD7"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Corte Constitucional. Sentencia T-1039 de 2006. M.P. Humberto Sierra Porto</w:t>
            </w:r>
          </w:p>
          <w:p w14:paraId="3525BFE5"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Corte Constitucional. Sentencia C-1016 de 2012. M.P. Jorge Iván Palacio.</w:t>
            </w:r>
          </w:p>
          <w:p w14:paraId="043F9767"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Consejo de Estado. Sala de Consulta y Servicio Civil. Concepto del 29 de abril de 1998. Rad. 1097. C.P. Augusto Trejos Jaramillo.</w:t>
            </w:r>
          </w:p>
          <w:p w14:paraId="169FEA6A"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Consejo de Estado. Sala de Consulta y Servicio Civil. Concepto del 30 de abril de 2015. Exp. 2251. C.P. Álvaro Namén Vargas.</w:t>
            </w:r>
          </w:p>
          <w:p w14:paraId="0FF0AD7E"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Consejo de Estado. Sección Tercera. Subsección C. Sentencia del 22 de mayo de 2013. Rad. 24.057. C.P. Olga Mélida Valle de De La Hoz.</w:t>
            </w:r>
          </w:p>
          <w:p w14:paraId="1F3C6B1B"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Consejo de Estado. Sección Tercera. Subsección A. Sentencia del 13 de noviembre de 2013. Rad. 25.646. C.P. Mauricio Fajardo Gómez.</w:t>
            </w:r>
          </w:p>
          <w:p w14:paraId="6BE5A45A"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Consejo de Estado. Sección Tercera. Subsección B. Sentencia del 12 de diciembre de 2014. Exp. 26496. C.P. Ramiro Pazos Guerrero.</w:t>
            </w:r>
          </w:p>
          <w:p w14:paraId="63DEFDB7" w14:textId="77777777" w:rsidR="0042219C" w:rsidRPr="00E01BA9"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t>Consejo de Estado. Sección Tercera. Subsección A. Sentencia del 24 de junio de 2015. Exp. 40.635. C.P. Hernán Andrade Rincón (E).</w:t>
            </w:r>
          </w:p>
          <w:p w14:paraId="7CB83A68" w14:textId="77777777" w:rsidR="0042219C" w:rsidRPr="001242F3" w:rsidRDefault="0042219C" w:rsidP="00367A9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E01BA9">
              <w:rPr>
                <w:rFonts w:ascii="Verdana" w:eastAsia="Calibri" w:hAnsi="Verdana" w:cs="Arial"/>
                <w:color w:val="000000" w:themeColor="text1"/>
                <w:lang w:val="es-ES"/>
              </w:rPr>
              <w:lastRenderedPageBreak/>
              <w:t xml:space="preserve">Consejo de Estado, Sala de lo Contencioso Administrativo, Sección Tercera, sentencia del 10 de febrero de 2011, Exp. 63001-23-31-000-1997-04685-01 (16306), C.P. Hernán </w:t>
            </w:r>
            <w:r w:rsidRPr="001242F3">
              <w:rPr>
                <w:rFonts w:ascii="Verdana" w:eastAsia="Calibri" w:hAnsi="Verdana" w:cs="Arial"/>
                <w:color w:val="000000" w:themeColor="text1"/>
                <w:lang w:val="es-ES"/>
              </w:rPr>
              <w:t>A</w:t>
            </w:r>
            <w:r w:rsidRPr="00E01BA9">
              <w:rPr>
                <w:rFonts w:ascii="Verdana" w:eastAsia="Calibri" w:hAnsi="Verdana" w:cs="Arial"/>
                <w:color w:val="000000" w:themeColor="text1"/>
                <w:lang w:val="es-ES"/>
              </w:rPr>
              <w:t>ndrade Rincón.</w:t>
            </w:r>
          </w:p>
        </w:tc>
      </w:tr>
    </w:tbl>
    <w:p w14:paraId="66447639" w14:textId="77777777" w:rsidR="0042219C" w:rsidRPr="001242F3" w:rsidRDefault="0042219C" w:rsidP="0042219C">
      <w:pPr>
        <w:widowControl w:val="0"/>
        <w:autoSpaceDE w:val="0"/>
        <w:autoSpaceDN w:val="0"/>
        <w:spacing w:after="0" w:line="276" w:lineRule="auto"/>
        <w:jc w:val="both"/>
        <w:rPr>
          <w:rFonts w:ascii="Verdana" w:hAnsi="Verdana" w:cs="Arial"/>
          <w:color w:val="000000" w:themeColor="text1"/>
          <w:lang w:val="es-ES"/>
        </w:rPr>
      </w:pPr>
    </w:p>
    <w:p w14:paraId="6B7855F3" w14:textId="77777777" w:rsidR="0042219C" w:rsidRPr="001242F3" w:rsidRDefault="0042219C" w:rsidP="0042219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242F3">
        <w:rPr>
          <w:rFonts w:ascii="Verdana" w:eastAsia="Century Gothic" w:hAnsi="Verdana" w:cs="Century Gothic"/>
          <w:b/>
          <w:bCs/>
          <w:color w:val="000000" w:themeColor="text1"/>
        </w:rPr>
        <w:t>Doctrina de la Agencia Nacional de Contratación Pública:</w:t>
      </w:r>
    </w:p>
    <w:p w14:paraId="0286450A" w14:textId="77777777" w:rsidR="0042219C" w:rsidRPr="001242F3" w:rsidRDefault="0042219C" w:rsidP="0042219C">
      <w:pPr>
        <w:widowControl w:val="0"/>
        <w:autoSpaceDE w:val="0"/>
        <w:autoSpaceDN w:val="0"/>
        <w:spacing w:after="0" w:line="276" w:lineRule="auto"/>
        <w:jc w:val="both"/>
        <w:rPr>
          <w:rFonts w:ascii="Verdana" w:hAnsi="Verdana" w:cs="Arial"/>
          <w:color w:val="000000" w:themeColor="text1"/>
          <w:lang w:val="es-ES"/>
        </w:rPr>
      </w:pPr>
    </w:p>
    <w:p w14:paraId="74134A8D" w14:textId="77777777" w:rsidR="0042219C" w:rsidRPr="001242F3" w:rsidRDefault="0042219C" w:rsidP="0042219C">
      <w:pPr>
        <w:spacing w:after="0" w:line="276" w:lineRule="auto"/>
        <w:jc w:val="both"/>
        <w:rPr>
          <w:rStyle w:val="normaltextrun"/>
          <w:rFonts w:ascii="Verdana" w:eastAsia="Calibri" w:hAnsi="Verdana" w:cs="Times New Roman"/>
          <w:b/>
          <w:bCs/>
          <w:lang w:val="es-ES"/>
        </w:rPr>
      </w:pPr>
      <w:r w:rsidRPr="001242F3">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1242F3">
        <w:rPr>
          <w:rStyle w:val="normaltextrun"/>
          <w:rFonts w:ascii="Verdana" w:hAnsi="Verdana"/>
          <w:color w:val="000000" w:themeColor="text1"/>
          <w:shd w:val="clear" w:color="auto" w:fill="FFFFFF"/>
          <w:lang w:val="es-ES"/>
        </w:rPr>
        <w:t xml:space="preserve">sobre el régimen de inhabilidades e incompatibilidades en los conceptos C−491 del 14 de septiembre de 2021, C−522 del 1 de octubre de 2021, C−128 del 25 de marzo de 2022, 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C-039 del 23 de abril de 2024, C-046 del 30 de enero de 2025,C-1027 del 29 de enero de 2025, C-1009 del 03 de agosto de 2025, C-1463 del 20 de noviembre de 2025, </w:t>
      </w:r>
      <w:r w:rsidRPr="001242F3">
        <w:rPr>
          <w:rStyle w:val="normaltextrun"/>
          <w:rFonts w:ascii="Verdana" w:hAnsi="Verdana" w:cs="Arial"/>
          <w:color w:val="000000" w:themeColor="text1"/>
          <w:shd w:val="clear" w:color="auto" w:fill="FFFFFF"/>
          <w:lang w:val="es-ES"/>
        </w:rPr>
        <w:t xml:space="preserve">C– 792 del 24 de junio de 2026, </w:t>
      </w:r>
      <w:r w:rsidRPr="001242F3">
        <w:rPr>
          <w:rStyle w:val="normaltextrun"/>
          <w:rFonts w:ascii="Verdana" w:hAnsi="Verdana"/>
          <w:color w:val="000000" w:themeColor="text1"/>
          <w:shd w:val="clear" w:color="auto" w:fill="FFFFFF"/>
          <w:lang w:val="es-ES"/>
        </w:rPr>
        <w:t>entre otros</w:t>
      </w:r>
      <w:r w:rsidRPr="001242F3">
        <w:rPr>
          <w:rStyle w:val="normaltextrun"/>
          <w:rFonts w:ascii="Verdana" w:hAnsi="Verdana" w:cs="Arial"/>
          <w:color w:val="000000" w:themeColor="text1"/>
          <w:shd w:val="clear" w:color="auto" w:fill="FFFFFF"/>
          <w:lang w:val="es-ES"/>
        </w:rPr>
        <w:t xml:space="preserve">. Estos y otros conceptos se encuentran disponibles para consulta en el Sistema de relatoría de la Agencia, al cual puede accederse a través del siguiente enlace: </w:t>
      </w:r>
      <w:hyperlink r:id="rId11" w:history="1">
        <w:r w:rsidRPr="001242F3">
          <w:rPr>
            <w:rStyle w:val="Hipervnculo"/>
            <w:rFonts w:ascii="Verdana" w:hAnsi="Verdana" w:cs="Arial"/>
            <w:shd w:val="clear" w:color="auto" w:fill="FFFFFF"/>
            <w:lang w:val="es-ES"/>
          </w:rPr>
          <w:t>https://relatoria.colombiacompra.gov.co/busqueda/conceptos</w:t>
        </w:r>
      </w:hyperlink>
      <w:r w:rsidRPr="001242F3">
        <w:rPr>
          <w:rStyle w:val="normaltextrun"/>
          <w:rFonts w:ascii="Verdana" w:hAnsi="Verdana" w:cs="Arial"/>
          <w:shd w:val="clear" w:color="auto" w:fill="FFFFFF"/>
          <w:lang w:val="es-ES"/>
        </w:rPr>
        <w:t>.</w:t>
      </w:r>
      <w:r w:rsidRPr="001242F3">
        <w:rPr>
          <w:rStyle w:val="normaltextrun"/>
          <w:rFonts w:ascii="Verdana" w:hAnsi="Verdana" w:cs="Arial"/>
          <w:color w:val="FF0000"/>
          <w:shd w:val="clear" w:color="auto" w:fill="FFFFFF"/>
          <w:lang w:val="es-ES"/>
        </w:rPr>
        <w:t xml:space="preserve"> </w:t>
      </w:r>
    </w:p>
    <w:p w14:paraId="231FECBA" w14:textId="77777777" w:rsidR="0042219C" w:rsidRPr="001242F3" w:rsidRDefault="0042219C" w:rsidP="0042219C">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1AC95C89" w14:textId="77777777" w:rsidR="0042219C" w:rsidRPr="001242F3" w:rsidRDefault="0042219C" w:rsidP="0042219C">
      <w:pPr>
        <w:spacing w:after="0" w:line="276" w:lineRule="auto"/>
        <w:jc w:val="both"/>
        <w:rPr>
          <w:rFonts w:ascii="Verdana" w:hAnsi="Verdana"/>
          <w:lang w:val="es-ES"/>
        </w:rPr>
      </w:pPr>
      <w:r w:rsidRPr="001242F3">
        <w:rPr>
          <w:rFonts w:ascii="Verdana" w:hAnsi="Verdana"/>
          <w:lang w:val="es-ES"/>
        </w:rPr>
        <w:t xml:space="preserve">Por último, lo invitamos a seguirnos en las redes sociales en las cuales se difunde información institucional: </w:t>
      </w:r>
    </w:p>
    <w:p w14:paraId="39EFB9C1" w14:textId="77777777" w:rsidR="0042219C" w:rsidRPr="001242F3" w:rsidRDefault="0042219C" w:rsidP="0042219C">
      <w:pPr>
        <w:spacing w:after="0" w:line="276" w:lineRule="auto"/>
        <w:jc w:val="both"/>
        <w:rPr>
          <w:rFonts w:ascii="Verdana" w:hAnsi="Verdana"/>
          <w:lang w:val="es-ES"/>
        </w:rPr>
      </w:pPr>
    </w:p>
    <w:p w14:paraId="3CB5ED9E" w14:textId="77777777" w:rsidR="0042219C" w:rsidRPr="001242F3" w:rsidRDefault="0042219C" w:rsidP="0042219C">
      <w:pPr>
        <w:spacing w:after="0" w:line="276" w:lineRule="auto"/>
        <w:jc w:val="both"/>
        <w:rPr>
          <w:rFonts w:ascii="Verdana" w:hAnsi="Verdana"/>
          <w:lang w:val="es-ES"/>
        </w:rPr>
      </w:pPr>
      <w:r w:rsidRPr="001242F3">
        <w:rPr>
          <w:rFonts w:ascii="Verdana" w:hAnsi="Verdana"/>
          <w:lang w:val="es-ES"/>
        </w:rPr>
        <w:t xml:space="preserve">Twitter: </w:t>
      </w:r>
      <w:r w:rsidRPr="001242F3">
        <w:rPr>
          <w:rStyle w:val="Hipervnculo"/>
          <w:rFonts w:ascii="Verdana" w:hAnsi="Verdana" w:cs="Arial"/>
          <w:shd w:val="clear" w:color="auto" w:fill="FFFFFF"/>
          <w:lang w:val="es-ES"/>
        </w:rPr>
        <w:t>@colombiacompra</w:t>
      </w:r>
      <w:r w:rsidRPr="001242F3">
        <w:rPr>
          <w:rFonts w:ascii="Verdana" w:hAnsi="Verdana"/>
          <w:color w:val="4472C4" w:themeColor="accent1"/>
          <w:lang w:val="es-ES"/>
        </w:rPr>
        <w:t xml:space="preserve"> </w:t>
      </w:r>
    </w:p>
    <w:p w14:paraId="2A698B56" w14:textId="77777777" w:rsidR="0042219C" w:rsidRPr="001242F3" w:rsidRDefault="0042219C" w:rsidP="0042219C">
      <w:pPr>
        <w:spacing w:after="0" w:line="276" w:lineRule="auto"/>
        <w:jc w:val="both"/>
        <w:rPr>
          <w:rFonts w:ascii="Verdana" w:hAnsi="Verdana"/>
          <w:lang w:val="es-ES"/>
        </w:rPr>
      </w:pPr>
      <w:r w:rsidRPr="001242F3">
        <w:rPr>
          <w:rFonts w:ascii="Verdana" w:hAnsi="Verdana"/>
          <w:lang w:val="es-ES"/>
        </w:rPr>
        <w:t xml:space="preserve">Facebook: </w:t>
      </w:r>
      <w:r w:rsidRPr="001242F3">
        <w:rPr>
          <w:rStyle w:val="Hipervnculo"/>
          <w:rFonts w:ascii="Verdana" w:hAnsi="Verdana" w:cs="Arial"/>
          <w:shd w:val="clear" w:color="auto" w:fill="FFFFFF"/>
          <w:lang w:val="es-ES"/>
        </w:rPr>
        <w:t>ColombiaCompraEficiente</w:t>
      </w:r>
    </w:p>
    <w:p w14:paraId="2E1319EA" w14:textId="77777777" w:rsidR="0042219C" w:rsidRPr="001242F3" w:rsidRDefault="0042219C" w:rsidP="0042219C">
      <w:pPr>
        <w:spacing w:after="0" w:line="276" w:lineRule="auto"/>
        <w:jc w:val="both"/>
        <w:rPr>
          <w:rFonts w:ascii="Verdana" w:hAnsi="Verdana"/>
          <w:lang w:val="es-ES"/>
        </w:rPr>
      </w:pPr>
      <w:r w:rsidRPr="001242F3">
        <w:rPr>
          <w:rFonts w:ascii="Verdana" w:hAnsi="Verdana"/>
          <w:lang w:val="es-ES"/>
        </w:rPr>
        <w:t xml:space="preserve">LinkedIn: </w:t>
      </w:r>
      <w:r w:rsidRPr="001242F3">
        <w:rPr>
          <w:rStyle w:val="Hipervnculo"/>
          <w:rFonts w:ascii="Verdana" w:hAnsi="Verdana" w:cs="Arial"/>
          <w:shd w:val="clear" w:color="auto" w:fill="FFFFFF"/>
          <w:lang w:val="es-ES"/>
        </w:rPr>
        <w:t xml:space="preserve">Agencia Nacional de Contratación Pública - Colombia Compra Eficiente </w:t>
      </w:r>
      <w:r w:rsidRPr="001242F3">
        <w:rPr>
          <w:rFonts w:ascii="Verdana" w:hAnsi="Verdana"/>
          <w:lang w:val="es-ES"/>
        </w:rPr>
        <w:t xml:space="preserve">Instagram: </w:t>
      </w:r>
      <w:r w:rsidRPr="001242F3">
        <w:rPr>
          <w:rStyle w:val="Hipervnculo"/>
          <w:rFonts w:ascii="Verdana" w:hAnsi="Verdana" w:cs="Arial"/>
          <w:shd w:val="clear" w:color="auto" w:fill="FFFFFF"/>
          <w:lang w:val="es-ES"/>
        </w:rPr>
        <w:t>@colombiacompraeficiente_cce</w:t>
      </w:r>
    </w:p>
    <w:p w14:paraId="2DD5FE46" w14:textId="77777777" w:rsidR="0042219C" w:rsidRPr="001242F3" w:rsidRDefault="0042219C" w:rsidP="0042219C">
      <w:pPr>
        <w:widowControl w:val="0"/>
        <w:autoSpaceDE w:val="0"/>
        <w:autoSpaceDN w:val="0"/>
        <w:spacing w:after="0" w:line="276" w:lineRule="auto"/>
        <w:jc w:val="both"/>
        <w:rPr>
          <w:rFonts w:ascii="Verdana" w:hAnsi="Verdana" w:cs="Arial"/>
          <w:color w:val="000000" w:themeColor="text1"/>
          <w:lang w:val="es-ES"/>
        </w:rPr>
      </w:pPr>
    </w:p>
    <w:p w14:paraId="05889C39" w14:textId="77777777" w:rsidR="0042219C" w:rsidRPr="001242F3" w:rsidRDefault="0042219C" w:rsidP="0042219C">
      <w:pPr>
        <w:widowControl w:val="0"/>
        <w:autoSpaceDE w:val="0"/>
        <w:autoSpaceDN w:val="0"/>
        <w:spacing w:after="0" w:line="276" w:lineRule="auto"/>
        <w:jc w:val="both"/>
        <w:rPr>
          <w:rFonts w:ascii="Verdana" w:hAnsi="Verdana" w:cs="Arial"/>
          <w:color w:val="000000" w:themeColor="text1"/>
          <w:lang w:val="es-ES"/>
        </w:rPr>
      </w:pPr>
      <w:r w:rsidRPr="001242F3">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4DDF38C" w14:textId="77777777" w:rsidR="0042219C" w:rsidRPr="001242F3" w:rsidRDefault="0042219C" w:rsidP="0042219C">
      <w:pPr>
        <w:widowControl w:val="0"/>
        <w:autoSpaceDE w:val="0"/>
        <w:autoSpaceDN w:val="0"/>
        <w:spacing w:after="0" w:line="276" w:lineRule="auto"/>
        <w:jc w:val="both"/>
        <w:rPr>
          <w:rFonts w:ascii="Verdana" w:hAnsi="Verdana" w:cs="Arial"/>
          <w:color w:val="000000" w:themeColor="text1"/>
          <w:lang w:val="es-ES"/>
        </w:rPr>
      </w:pPr>
    </w:p>
    <w:p w14:paraId="31D52E95" w14:textId="00346947" w:rsidR="0042219C" w:rsidRDefault="0042219C" w:rsidP="0042219C">
      <w:pPr>
        <w:spacing w:after="0" w:line="276" w:lineRule="auto"/>
        <w:rPr>
          <w:rFonts w:ascii="Verdana" w:hAnsi="Verdana" w:cs="Arial"/>
          <w:color w:val="000000" w:themeColor="text1"/>
          <w:lang w:val="es-ES" w:eastAsia="es-CO"/>
        </w:rPr>
      </w:pPr>
      <w:r w:rsidRPr="001242F3">
        <w:rPr>
          <w:rFonts w:ascii="Verdana" w:eastAsia="Times New Roman" w:hAnsi="Verdana" w:cs="Arial"/>
          <w:color w:val="000000" w:themeColor="text1"/>
          <w:lang w:val="es-ES" w:eastAsia="es-CO"/>
        </w:rPr>
        <w:t>Atentamente,</w:t>
      </w:r>
      <w:r w:rsidRPr="001242F3">
        <w:rPr>
          <w:rFonts w:ascii="Verdana" w:hAnsi="Verdana" w:cs="Arial"/>
          <w:color w:val="000000" w:themeColor="text1"/>
          <w:lang w:val="es-ES" w:eastAsia="es-CO"/>
        </w:rPr>
        <w:t xml:space="preserve"> </w:t>
      </w:r>
    </w:p>
    <w:p w14:paraId="285C56B2" w14:textId="200214EC" w:rsidR="00C254CF" w:rsidRPr="001242F3" w:rsidRDefault="00C254CF" w:rsidP="0042219C">
      <w:pPr>
        <w:spacing w:after="0" w:line="276" w:lineRule="auto"/>
        <w:rPr>
          <w:rFonts w:ascii="Verdana" w:hAnsi="Verdana" w:cs="Arial"/>
          <w:color w:val="000000" w:themeColor="text1"/>
          <w:lang w:val="es-ES" w:eastAsia="es-CO"/>
        </w:rPr>
      </w:pPr>
      <w:r w:rsidRPr="004D5C25">
        <w:rPr>
          <w:rFonts w:ascii="Century Gothic" w:hAnsi="Century Gothic"/>
          <w:noProof/>
        </w:rPr>
        <w:lastRenderedPageBreak/>
        <w:drawing>
          <wp:anchor distT="0" distB="0" distL="114300" distR="114300" simplePos="0" relativeHeight="251659264" behindDoc="0" locked="0" layoutInCell="1" allowOverlap="1" wp14:anchorId="0AE96D57" wp14:editId="1C0C5101">
            <wp:simplePos x="0" y="0"/>
            <wp:positionH relativeFrom="column">
              <wp:posOffset>1264024</wp:posOffset>
            </wp:positionH>
            <wp:positionV relativeFrom="paragraph">
              <wp:posOffset>35486</wp:posOffset>
            </wp:positionV>
            <wp:extent cx="3465830" cy="1487805"/>
            <wp:effectExtent l="0" t="0" r="1270" b="0"/>
            <wp:wrapSquare wrapText="bothSides"/>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465830" cy="1487805"/>
                    </a:xfrm>
                    <a:prstGeom prst="rect">
                      <a:avLst/>
                    </a:prstGeom>
                  </pic:spPr>
                </pic:pic>
              </a:graphicData>
            </a:graphic>
            <wp14:sizeRelH relativeFrom="page">
              <wp14:pctWidth>0</wp14:pctWidth>
            </wp14:sizeRelH>
            <wp14:sizeRelV relativeFrom="page">
              <wp14:pctHeight>0</wp14:pctHeight>
            </wp14:sizeRelV>
          </wp:anchor>
        </w:drawing>
      </w:r>
    </w:p>
    <w:p w14:paraId="5A68D31C" w14:textId="77777777" w:rsidR="0042219C" w:rsidRPr="001242F3" w:rsidRDefault="0042219C" w:rsidP="0042219C">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2219C" w:rsidRPr="001242F3" w14:paraId="0B520126" w14:textId="77777777" w:rsidTr="00367A99">
        <w:trPr>
          <w:trHeight w:val="315"/>
        </w:trPr>
        <w:tc>
          <w:tcPr>
            <w:tcW w:w="893" w:type="dxa"/>
            <w:vAlign w:val="center"/>
            <w:hideMark/>
          </w:tcPr>
          <w:p w14:paraId="0277AFDE" w14:textId="77777777" w:rsidR="0042219C" w:rsidRPr="001242F3" w:rsidRDefault="0042219C" w:rsidP="00367A99">
            <w:pPr>
              <w:contextualSpacing/>
              <w:rPr>
                <w:rFonts w:ascii="Verdana" w:hAnsi="Verdana" w:cs="Arial"/>
                <w:sz w:val="15"/>
                <w:szCs w:val="15"/>
                <w:lang w:val="es-ES" w:eastAsia="es-ES"/>
              </w:rPr>
            </w:pPr>
            <w:r w:rsidRPr="001242F3">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44A29132" w14:textId="77777777" w:rsidR="0042219C" w:rsidRPr="001242F3" w:rsidRDefault="0042219C" w:rsidP="00367A99">
            <w:pPr>
              <w:contextualSpacing/>
              <w:rPr>
                <w:rFonts w:ascii="Verdana" w:eastAsia="Arial" w:hAnsi="Verdana" w:cs="Arial"/>
                <w:color w:val="000000" w:themeColor="text1"/>
                <w:sz w:val="15"/>
                <w:szCs w:val="15"/>
                <w:lang w:val="es-ES"/>
              </w:rPr>
            </w:pPr>
            <w:r w:rsidRPr="001242F3">
              <w:rPr>
                <w:rFonts w:ascii="Verdana" w:eastAsia="Arial" w:hAnsi="Verdana" w:cs="Arial"/>
                <w:color w:val="000000" w:themeColor="text1"/>
                <w:sz w:val="15"/>
                <w:szCs w:val="15"/>
                <w:lang w:val="es-ES"/>
              </w:rPr>
              <w:t>Anamaría Bonilla Prieto</w:t>
            </w:r>
          </w:p>
          <w:p w14:paraId="2BA8F1D3" w14:textId="77777777" w:rsidR="0042219C" w:rsidRPr="001242F3" w:rsidRDefault="0042219C" w:rsidP="00367A99">
            <w:pPr>
              <w:contextualSpacing/>
              <w:rPr>
                <w:rFonts w:ascii="Verdana" w:eastAsia="Arial" w:hAnsi="Verdana" w:cs="Arial"/>
                <w:sz w:val="15"/>
                <w:szCs w:val="15"/>
                <w:lang w:val="es-ES"/>
              </w:rPr>
            </w:pPr>
            <w:r w:rsidRPr="001242F3">
              <w:rPr>
                <w:rStyle w:val="normaltextrun"/>
                <w:rFonts w:ascii="Verdana" w:eastAsia="Arial" w:hAnsi="Verdana" w:cs="Arial"/>
                <w:color w:val="000000" w:themeColor="text1"/>
                <w:sz w:val="15"/>
                <w:szCs w:val="15"/>
                <w:lang w:val="es-ES"/>
              </w:rPr>
              <w:t xml:space="preserve">Contratista de la Subdirección </w:t>
            </w:r>
            <w:r w:rsidRPr="001242F3">
              <w:rPr>
                <w:rStyle w:val="normaltextrun"/>
                <w:rFonts w:ascii="Verdana" w:eastAsia="Arial" w:hAnsi="Verdana" w:cs="Arial"/>
                <w:sz w:val="15"/>
                <w:szCs w:val="15"/>
                <w:lang w:val="es-ES"/>
              </w:rPr>
              <w:t>de Gestión Contractual</w:t>
            </w:r>
          </w:p>
        </w:tc>
      </w:tr>
      <w:tr w:rsidR="0042219C" w:rsidRPr="001242F3" w14:paraId="66CC6A14" w14:textId="77777777" w:rsidTr="00367A99">
        <w:trPr>
          <w:trHeight w:val="330"/>
        </w:trPr>
        <w:tc>
          <w:tcPr>
            <w:tcW w:w="893" w:type="dxa"/>
            <w:vAlign w:val="center"/>
            <w:hideMark/>
          </w:tcPr>
          <w:p w14:paraId="6402CBF2" w14:textId="77777777" w:rsidR="0042219C" w:rsidRPr="001242F3" w:rsidRDefault="0042219C" w:rsidP="00367A99">
            <w:pPr>
              <w:contextualSpacing/>
              <w:rPr>
                <w:rFonts w:ascii="Verdana" w:hAnsi="Verdana" w:cs="Arial"/>
                <w:sz w:val="15"/>
                <w:szCs w:val="15"/>
                <w:lang w:val="es-ES" w:eastAsia="es-ES"/>
              </w:rPr>
            </w:pPr>
            <w:r w:rsidRPr="001242F3">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A56E525" w14:textId="77777777" w:rsidR="0042219C" w:rsidRPr="001242F3" w:rsidRDefault="0042219C" w:rsidP="00367A99">
            <w:pPr>
              <w:contextualSpacing/>
              <w:rPr>
                <w:rFonts w:ascii="Verdana" w:eastAsia="Arial" w:hAnsi="Verdana" w:cs="Arial"/>
                <w:color w:val="000000" w:themeColor="text1"/>
                <w:sz w:val="15"/>
                <w:szCs w:val="15"/>
                <w:lang w:val="es-ES"/>
              </w:rPr>
            </w:pPr>
            <w:r w:rsidRPr="001242F3">
              <w:rPr>
                <w:rFonts w:ascii="Verdana" w:eastAsia="Arial" w:hAnsi="Verdana" w:cs="Arial"/>
                <w:color w:val="000000" w:themeColor="text1"/>
                <w:sz w:val="15"/>
                <w:szCs w:val="15"/>
                <w:lang w:val="es-ES"/>
              </w:rPr>
              <w:t>Alejandro Sarmiento Cantillo</w:t>
            </w:r>
          </w:p>
          <w:p w14:paraId="52A19B4D" w14:textId="77777777" w:rsidR="0042219C" w:rsidRPr="001242F3" w:rsidRDefault="0042219C" w:rsidP="00367A99">
            <w:pPr>
              <w:pStyle w:val="paragraph"/>
              <w:spacing w:before="0" w:beforeAutospacing="0" w:after="0" w:afterAutospacing="0"/>
              <w:contextualSpacing/>
              <w:textAlignment w:val="baseline"/>
              <w:rPr>
                <w:rFonts w:ascii="Verdana" w:hAnsi="Verdana" w:cs="Segoe UI"/>
                <w:sz w:val="15"/>
                <w:szCs w:val="15"/>
                <w:lang w:val="es-ES"/>
              </w:rPr>
            </w:pPr>
            <w:r w:rsidRPr="001242F3">
              <w:rPr>
                <w:rFonts w:ascii="Verdana" w:eastAsia="Arial" w:hAnsi="Verdana" w:cs="Arial"/>
                <w:color w:val="000000" w:themeColor="text1"/>
                <w:sz w:val="15"/>
                <w:szCs w:val="15"/>
                <w:lang w:val="es-ES"/>
              </w:rPr>
              <w:t>Gestor T1 – 15 de la Subdirección de Gestión Contractual</w:t>
            </w:r>
            <w:r w:rsidRPr="001242F3">
              <w:rPr>
                <w:rFonts w:ascii="Verdana" w:hAnsi="Verdana" w:cs="Segoe UI"/>
                <w:sz w:val="15"/>
                <w:szCs w:val="15"/>
                <w:lang w:val="es-ES"/>
              </w:rPr>
              <w:t> </w:t>
            </w:r>
          </w:p>
          <w:p w14:paraId="1CCFB12A" w14:textId="77777777" w:rsidR="0042219C" w:rsidRPr="001242F3" w:rsidRDefault="0042219C" w:rsidP="00367A99">
            <w:pPr>
              <w:pStyle w:val="paragraph"/>
              <w:spacing w:before="0" w:beforeAutospacing="0" w:after="0" w:afterAutospacing="0"/>
              <w:contextualSpacing/>
              <w:textAlignment w:val="baseline"/>
              <w:rPr>
                <w:rFonts w:ascii="Verdana" w:hAnsi="Verdana" w:cs="Segoe UI"/>
                <w:sz w:val="15"/>
                <w:szCs w:val="15"/>
                <w:lang w:val="es-ES"/>
              </w:rPr>
            </w:pPr>
          </w:p>
        </w:tc>
      </w:tr>
      <w:tr w:rsidR="0042219C" w:rsidRPr="001242F3" w14:paraId="318B7FA1" w14:textId="77777777" w:rsidTr="00367A99">
        <w:trPr>
          <w:trHeight w:val="300"/>
        </w:trPr>
        <w:tc>
          <w:tcPr>
            <w:tcW w:w="893" w:type="dxa"/>
            <w:vAlign w:val="center"/>
          </w:tcPr>
          <w:p w14:paraId="4B0E6897" w14:textId="77777777" w:rsidR="0042219C" w:rsidRPr="001242F3" w:rsidRDefault="0042219C" w:rsidP="00367A99">
            <w:pPr>
              <w:contextualSpacing/>
              <w:rPr>
                <w:rFonts w:ascii="Verdana" w:hAnsi="Verdana" w:cs="Arial"/>
                <w:sz w:val="15"/>
                <w:szCs w:val="15"/>
                <w:lang w:val="es-ES" w:eastAsia="es-ES"/>
              </w:rPr>
            </w:pPr>
            <w:r w:rsidRPr="001242F3">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2CF5535" w14:textId="77777777" w:rsidR="0042219C" w:rsidRPr="001242F3" w:rsidRDefault="0042219C" w:rsidP="00367A99">
            <w:pPr>
              <w:contextualSpacing/>
              <w:rPr>
                <w:rFonts w:ascii="Verdana" w:eastAsia="Calibri" w:hAnsi="Verdana" w:cs="Arial"/>
                <w:sz w:val="16"/>
                <w:szCs w:val="16"/>
                <w:lang w:val="es-ES" w:eastAsia="es-ES"/>
              </w:rPr>
            </w:pPr>
            <w:r w:rsidRPr="001242F3">
              <w:rPr>
                <w:rFonts w:ascii="Verdana" w:eastAsia="Calibri" w:hAnsi="Verdana" w:cs="Arial"/>
                <w:sz w:val="16"/>
                <w:szCs w:val="16"/>
                <w:lang w:val="es-ES" w:eastAsia="es-ES"/>
              </w:rPr>
              <w:t>Carolina Quintero Gacharná</w:t>
            </w:r>
          </w:p>
          <w:p w14:paraId="67047864" w14:textId="77777777" w:rsidR="0042219C" w:rsidRPr="001242F3" w:rsidRDefault="0042219C" w:rsidP="00367A99">
            <w:pPr>
              <w:contextualSpacing/>
              <w:rPr>
                <w:rFonts w:ascii="Verdana" w:eastAsia="Calibri" w:hAnsi="Verdana" w:cs="Arial"/>
                <w:sz w:val="15"/>
                <w:szCs w:val="15"/>
                <w:lang w:val="es-ES" w:eastAsia="es-ES"/>
              </w:rPr>
            </w:pPr>
            <w:r w:rsidRPr="001242F3">
              <w:rPr>
                <w:rFonts w:ascii="Verdana" w:eastAsia="Calibri" w:hAnsi="Verdana" w:cs="Arial"/>
                <w:sz w:val="16"/>
                <w:szCs w:val="16"/>
                <w:lang w:val="es-ES" w:eastAsia="es-ES"/>
              </w:rPr>
              <w:t>Subdirectora de Gestión Contractual ANCP – CCE</w:t>
            </w:r>
          </w:p>
        </w:tc>
      </w:tr>
      <w:bookmarkEnd w:id="0"/>
    </w:tbl>
    <w:p w14:paraId="4FAC122A" w14:textId="75B78C3A" w:rsidR="0042219C" w:rsidRPr="001242F3" w:rsidRDefault="0042219C" w:rsidP="0042219C">
      <w:pPr>
        <w:rPr>
          <w:lang w:val="es-ES"/>
        </w:rPr>
      </w:pPr>
    </w:p>
    <w:p w14:paraId="1741A476" w14:textId="77777777" w:rsidR="0042219C" w:rsidRPr="001242F3" w:rsidRDefault="0042219C" w:rsidP="0042219C">
      <w:pPr>
        <w:rPr>
          <w:lang w:val="es-ES"/>
        </w:rPr>
      </w:pPr>
    </w:p>
    <w:p w14:paraId="4C4EF61E" w14:textId="77777777" w:rsidR="0042219C" w:rsidRPr="001242F3" w:rsidRDefault="0042219C" w:rsidP="0042219C">
      <w:pPr>
        <w:rPr>
          <w:lang w:val="es-ES"/>
        </w:rPr>
      </w:pPr>
    </w:p>
    <w:p w14:paraId="0C44C008" w14:textId="77777777" w:rsidR="0042219C" w:rsidRPr="001242F3" w:rsidRDefault="0042219C" w:rsidP="0042219C">
      <w:pPr>
        <w:rPr>
          <w:lang w:val="es-ES"/>
        </w:rPr>
      </w:pPr>
    </w:p>
    <w:p w14:paraId="4487B24C" w14:textId="77777777" w:rsidR="0042219C" w:rsidRPr="001242F3" w:rsidRDefault="0042219C" w:rsidP="0042219C">
      <w:pPr>
        <w:rPr>
          <w:lang w:val="es-ES"/>
        </w:rPr>
      </w:pPr>
    </w:p>
    <w:p w14:paraId="0F293BF4" w14:textId="43978055" w:rsidR="00127233" w:rsidRPr="004E7512" w:rsidRDefault="00127233" w:rsidP="004E7512"/>
    <w:sectPr w:rsidR="00127233" w:rsidRPr="004E7512" w:rsidSect="007C0C0F">
      <w:headerReference w:type="default" r:id="rId13"/>
      <w:footerReference w:type="default" r:id="rId1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A941" w14:textId="77777777" w:rsidR="00EF08BA" w:rsidRDefault="00EF08BA" w:rsidP="004A1847">
      <w:pPr>
        <w:spacing w:after="0" w:line="240" w:lineRule="auto"/>
      </w:pPr>
      <w:r>
        <w:separator/>
      </w:r>
    </w:p>
  </w:endnote>
  <w:endnote w:type="continuationSeparator" w:id="0">
    <w:p w14:paraId="5E2DC2EA" w14:textId="77777777" w:rsidR="00EF08BA" w:rsidRDefault="00EF08BA" w:rsidP="004A1847">
      <w:pPr>
        <w:spacing w:after="0" w:line="240" w:lineRule="auto"/>
      </w:pPr>
      <w:r>
        <w:continuationSeparator/>
      </w:r>
    </w:p>
  </w:endnote>
  <w:endnote w:type="continuationNotice" w:id="1">
    <w:p w14:paraId="13C004BE" w14:textId="77777777" w:rsidR="00EF08BA" w:rsidRDefault="00EF0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19C31" w14:textId="77777777" w:rsidR="00EF08BA" w:rsidRDefault="00EF08BA" w:rsidP="004A1847">
      <w:pPr>
        <w:spacing w:after="0" w:line="240" w:lineRule="auto"/>
      </w:pPr>
      <w:r>
        <w:separator/>
      </w:r>
    </w:p>
  </w:footnote>
  <w:footnote w:type="continuationSeparator" w:id="0">
    <w:p w14:paraId="596BCE35" w14:textId="77777777" w:rsidR="00EF08BA" w:rsidRDefault="00EF08BA" w:rsidP="004A1847">
      <w:pPr>
        <w:spacing w:after="0" w:line="240" w:lineRule="auto"/>
      </w:pPr>
      <w:r>
        <w:continuationSeparator/>
      </w:r>
    </w:p>
  </w:footnote>
  <w:footnote w:type="continuationNotice" w:id="1">
    <w:p w14:paraId="0A7A395B" w14:textId="77777777" w:rsidR="00EF08BA" w:rsidRDefault="00EF08BA">
      <w:pPr>
        <w:spacing w:after="0" w:line="240" w:lineRule="auto"/>
      </w:pPr>
    </w:p>
  </w:footnote>
  <w:footnote w:id="2">
    <w:p w14:paraId="5D408401" w14:textId="77777777" w:rsidR="0042219C" w:rsidRPr="001242F3" w:rsidRDefault="0042219C" w:rsidP="0042219C">
      <w:pPr>
        <w:pStyle w:val="Textonotapie"/>
        <w:ind w:firstLine="708"/>
        <w:jc w:val="both"/>
        <w:rPr>
          <w:rFonts w:ascii="Verdana" w:hAnsi="Verdana"/>
          <w:sz w:val="16"/>
          <w:szCs w:val="16"/>
          <w:lang w:val="es-ES"/>
        </w:rPr>
      </w:pPr>
      <w:r w:rsidRPr="001242F3">
        <w:rPr>
          <w:rStyle w:val="Refdenotaalpie"/>
          <w:rFonts w:ascii="Verdana" w:hAnsi="Verdana"/>
          <w:sz w:val="16"/>
          <w:szCs w:val="16"/>
        </w:rPr>
        <w:footnoteRef/>
      </w:r>
      <w:r w:rsidRPr="001242F3">
        <w:rPr>
          <w:rFonts w:ascii="Verdana" w:hAnsi="Verdana"/>
          <w:sz w:val="16"/>
          <w:szCs w:val="16"/>
        </w:rPr>
        <w:t xml:space="preserve"> </w:t>
      </w:r>
      <w:r w:rsidRPr="001242F3">
        <w:rPr>
          <w:rFonts w:ascii="Verdana" w:hAnsi="Verdana"/>
          <w:sz w:val="16"/>
          <w:szCs w:val="16"/>
          <w:lang w:val="es-CO"/>
        </w:rPr>
        <w:t>Consejo de Estado, Sala de lo Contencioso Administrativo, Sección Tercera, sentencia del 10 de febrero de 2011, Exp. 63001-23-31-000-1997-04685-01 (16306), C.P. Hernán Andrade Rincón.</w:t>
      </w:r>
    </w:p>
  </w:footnote>
  <w:footnote w:id="3">
    <w:p w14:paraId="0F150032" w14:textId="77777777" w:rsidR="0042219C" w:rsidRPr="002F7348" w:rsidRDefault="0042219C" w:rsidP="0042219C">
      <w:pPr>
        <w:pStyle w:val="Textonotapie"/>
        <w:ind w:firstLine="708"/>
        <w:jc w:val="both"/>
        <w:rPr>
          <w:rFonts w:ascii="Verdana" w:hAnsi="Verdana"/>
          <w:sz w:val="16"/>
          <w:szCs w:val="16"/>
        </w:rPr>
      </w:pPr>
      <w:r w:rsidRPr="002F7348">
        <w:rPr>
          <w:rFonts w:ascii="Verdana" w:hAnsi="Verdana"/>
          <w:sz w:val="16"/>
          <w:szCs w:val="16"/>
          <w:vertAlign w:val="superscript"/>
        </w:rPr>
        <w:footnoteRef/>
      </w:r>
      <w:r w:rsidRPr="002F7348">
        <w:rPr>
          <w:rFonts w:ascii="Verdana" w:hAnsi="Verdana"/>
          <w:sz w:val="16"/>
          <w:szCs w:val="16"/>
        </w:rPr>
        <w:t xml:space="preserve"> Corte Constitucional. Sentencia C-181 de 1997. M.P. Fabio Morón Díaz. Ver también las Sentencias C-540 de 2001, C-893 de 2003 y C-903 de 2008, entre otras.</w:t>
      </w:r>
    </w:p>
  </w:footnote>
  <w:footnote w:id="4">
    <w:p w14:paraId="33B52BDF" w14:textId="77777777" w:rsidR="0042219C" w:rsidRPr="002F7348" w:rsidRDefault="0042219C" w:rsidP="0042219C">
      <w:pPr>
        <w:pStyle w:val="Textonotapie"/>
        <w:ind w:firstLine="708"/>
        <w:jc w:val="both"/>
        <w:rPr>
          <w:rFonts w:ascii="Verdana" w:hAnsi="Verdana"/>
          <w:sz w:val="16"/>
          <w:szCs w:val="16"/>
          <w:lang w:val="pt-BR"/>
        </w:rPr>
      </w:pPr>
      <w:r w:rsidRPr="002F7348">
        <w:rPr>
          <w:rStyle w:val="Refdenotaalpie"/>
          <w:rFonts w:ascii="Verdana" w:hAnsi="Verdana"/>
          <w:sz w:val="16"/>
          <w:szCs w:val="16"/>
        </w:rPr>
        <w:footnoteRef/>
      </w:r>
      <w:r w:rsidRPr="002F7348">
        <w:rPr>
          <w:rFonts w:ascii="Verdana" w:hAnsi="Verdana"/>
          <w:sz w:val="16"/>
          <w:szCs w:val="16"/>
          <w:lang w:val="pt-BR"/>
        </w:rPr>
        <w:t xml:space="preserve"> Corte Constitucional. Sentencia C-1016 de 2012. M.P. Jorge Iván Palacio.</w:t>
      </w:r>
    </w:p>
  </w:footnote>
  <w:footnote w:id="5">
    <w:p w14:paraId="4860DC35" w14:textId="77777777" w:rsidR="0042219C" w:rsidRPr="002F7348" w:rsidRDefault="0042219C" w:rsidP="0042219C">
      <w:pPr>
        <w:pStyle w:val="Textonotapie"/>
        <w:ind w:firstLine="708"/>
        <w:jc w:val="both"/>
        <w:rPr>
          <w:rFonts w:ascii="Verdana" w:hAnsi="Verdana"/>
          <w:sz w:val="16"/>
          <w:szCs w:val="16"/>
          <w:lang w:val="pt-BR"/>
        </w:rPr>
      </w:pPr>
      <w:r w:rsidRPr="002F7348">
        <w:rPr>
          <w:rStyle w:val="Refdenotaalpie"/>
          <w:rFonts w:ascii="Verdana" w:hAnsi="Verdana"/>
          <w:sz w:val="16"/>
          <w:szCs w:val="16"/>
        </w:rPr>
        <w:footnoteRef/>
      </w:r>
      <w:r w:rsidRPr="002F7348">
        <w:rPr>
          <w:rFonts w:ascii="Verdana" w:hAnsi="Verdana"/>
          <w:sz w:val="16"/>
          <w:szCs w:val="16"/>
        </w:rPr>
        <w:t xml:space="preserve"> Consejo de Estado. Sección Tercera. Subsección A. Sentencia del 13 de noviembre de 2013. </w:t>
      </w:r>
      <w:r w:rsidRPr="002F7348">
        <w:rPr>
          <w:rFonts w:ascii="Verdana" w:hAnsi="Verdana"/>
          <w:sz w:val="16"/>
          <w:szCs w:val="16"/>
          <w:lang w:val="pt-BR"/>
        </w:rPr>
        <w:t xml:space="preserve">Rad. 25.646. C.P. Mauricio Fajardo Gómez. </w:t>
      </w:r>
    </w:p>
  </w:footnote>
  <w:footnote w:id="6">
    <w:p w14:paraId="46ECC10F" w14:textId="77777777" w:rsidR="0042219C" w:rsidRPr="002F7348" w:rsidRDefault="0042219C" w:rsidP="0042219C">
      <w:pPr>
        <w:pStyle w:val="Textonotapie"/>
        <w:ind w:firstLine="708"/>
        <w:jc w:val="both"/>
        <w:rPr>
          <w:rFonts w:ascii="Verdana" w:hAnsi="Verdana"/>
          <w:sz w:val="16"/>
          <w:szCs w:val="16"/>
          <w:lang w:val="pt-BR"/>
        </w:rPr>
      </w:pPr>
      <w:r w:rsidRPr="002F7348">
        <w:rPr>
          <w:rStyle w:val="Refdenotaalpie"/>
          <w:rFonts w:ascii="Verdana" w:hAnsi="Verdana"/>
          <w:sz w:val="16"/>
          <w:szCs w:val="16"/>
        </w:rPr>
        <w:footnoteRef/>
      </w:r>
      <w:r w:rsidRPr="002F7348">
        <w:rPr>
          <w:rFonts w:ascii="Verdana" w:hAnsi="Verdana"/>
          <w:sz w:val="16"/>
          <w:szCs w:val="16"/>
          <w:lang w:val="pt-BR"/>
        </w:rPr>
        <w:t xml:space="preserve"> Corte Constitucional. Sentencia C-415 de 1994. M.P. Eduardo Cifuentes Muñoz.</w:t>
      </w:r>
    </w:p>
  </w:footnote>
  <w:footnote w:id="7">
    <w:p w14:paraId="03B73432" w14:textId="77777777" w:rsidR="0042219C" w:rsidRPr="002F7348" w:rsidRDefault="0042219C" w:rsidP="0042219C">
      <w:pPr>
        <w:pStyle w:val="Textonotapie"/>
        <w:ind w:firstLine="708"/>
        <w:jc w:val="both"/>
        <w:rPr>
          <w:rFonts w:ascii="Verdana" w:hAnsi="Verdana"/>
          <w:sz w:val="16"/>
          <w:szCs w:val="16"/>
          <w:lang w:val="pt-BR"/>
        </w:rPr>
      </w:pPr>
      <w:r w:rsidRPr="002F7348">
        <w:rPr>
          <w:rStyle w:val="Refdenotaalpie"/>
          <w:rFonts w:ascii="Verdana" w:hAnsi="Verdana"/>
          <w:sz w:val="16"/>
          <w:szCs w:val="16"/>
        </w:rPr>
        <w:footnoteRef/>
      </w:r>
      <w:r w:rsidRPr="002F7348">
        <w:rPr>
          <w:rFonts w:ascii="Verdana" w:hAnsi="Verdana"/>
          <w:sz w:val="16"/>
          <w:szCs w:val="16"/>
          <w:lang w:val="pt-BR"/>
        </w:rPr>
        <w:t xml:space="preserve"> Ibídem.</w:t>
      </w:r>
    </w:p>
  </w:footnote>
  <w:footnote w:id="8">
    <w:p w14:paraId="265A0A2D" w14:textId="77777777" w:rsidR="0042219C" w:rsidRPr="002F7348" w:rsidRDefault="0042219C" w:rsidP="0042219C">
      <w:pPr>
        <w:pStyle w:val="Textonotapie"/>
        <w:ind w:firstLine="708"/>
        <w:jc w:val="both"/>
        <w:rPr>
          <w:rFonts w:ascii="Verdana" w:hAnsi="Verdana"/>
          <w:sz w:val="16"/>
          <w:szCs w:val="16"/>
          <w:lang w:val="es-CO"/>
        </w:rPr>
      </w:pPr>
      <w:r w:rsidRPr="002F7348">
        <w:rPr>
          <w:rStyle w:val="Refdenotaalpie"/>
          <w:rFonts w:ascii="Verdana" w:hAnsi="Verdana"/>
          <w:sz w:val="16"/>
          <w:szCs w:val="16"/>
        </w:rPr>
        <w:footnoteRef/>
      </w:r>
      <w:r w:rsidRPr="002F7348">
        <w:rPr>
          <w:rFonts w:ascii="Verdana" w:hAnsi="Verdana"/>
          <w:sz w:val="16"/>
          <w:szCs w:val="16"/>
          <w:lang w:val="pt-BR"/>
        </w:rPr>
        <w:t xml:space="preserve"> Corte Constitucional. </w:t>
      </w:r>
      <w:r w:rsidRPr="002F7348">
        <w:rPr>
          <w:rFonts w:ascii="Verdana" w:hAnsi="Verdana"/>
          <w:sz w:val="16"/>
          <w:szCs w:val="16"/>
        </w:rPr>
        <w:t xml:space="preserve">Sentencia C-780 de 2001. </w:t>
      </w:r>
      <w:r w:rsidRPr="002F7348">
        <w:rPr>
          <w:rFonts w:ascii="Verdana" w:hAnsi="Verdana"/>
          <w:sz w:val="16"/>
          <w:szCs w:val="16"/>
          <w:lang w:val="es-CO"/>
        </w:rPr>
        <w:t>M.P. Jaime Córdoba Triviño.</w:t>
      </w:r>
    </w:p>
  </w:footnote>
  <w:footnote w:id="9">
    <w:p w14:paraId="67453A09" w14:textId="77777777" w:rsidR="0042219C" w:rsidRPr="002F7348" w:rsidRDefault="0042219C" w:rsidP="0042219C">
      <w:pPr>
        <w:pStyle w:val="Textonotapie"/>
        <w:ind w:firstLine="708"/>
        <w:jc w:val="both"/>
        <w:rPr>
          <w:rFonts w:ascii="Verdana" w:hAnsi="Verdana"/>
          <w:sz w:val="16"/>
          <w:szCs w:val="16"/>
          <w:lang w:val="pt-BR"/>
        </w:rPr>
      </w:pPr>
      <w:r w:rsidRPr="002F7348">
        <w:rPr>
          <w:rStyle w:val="Refdenotaalpie"/>
          <w:rFonts w:ascii="Verdana" w:hAnsi="Verdana"/>
          <w:sz w:val="16"/>
          <w:szCs w:val="16"/>
        </w:rPr>
        <w:footnoteRef/>
      </w:r>
      <w:r w:rsidRPr="002F7348">
        <w:rPr>
          <w:rFonts w:ascii="Verdana" w:hAnsi="Verdana"/>
          <w:sz w:val="16"/>
          <w:szCs w:val="16"/>
          <w:lang w:val="pt-BR"/>
        </w:rPr>
        <w:t xml:space="preserve"> </w:t>
      </w:r>
      <w:r w:rsidRPr="002F7348">
        <w:rPr>
          <w:rFonts w:ascii="Verdana" w:hAnsi="Verdana" w:cs="Arial"/>
          <w:sz w:val="16"/>
          <w:szCs w:val="16"/>
          <w:lang w:val="pt-BR"/>
        </w:rPr>
        <w:t>Ibídem. p. 69.</w:t>
      </w:r>
    </w:p>
  </w:footnote>
  <w:footnote w:id="10">
    <w:p w14:paraId="65D0555E" w14:textId="77777777" w:rsidR="0042219C" w:rsidRPr="002F7348" w:rsidRDefault="0042219C" w:rsidP="0042219C">
      <w:pPr>
        <w:pStyle w:val="Textonotapie"/>
        <w:ind w:firstLine="708"/>
        <w:jc w:val="both"/>
        <w:rPr>
          <w:rFonts w:ascii="Verdana" w:hAnsi="Verdana" w:cs="Arial"/>
          <w:sz w:val="16"/>
          <w:szCs w:val="16"/>
          <w:lang w:val="es-ES"/>
        </w:rPr>
      </w:pPr>
      <w:r w:rsidRPr="002F7348">
        <w:rPr>
          <w:rStyle w:val="Refdenotaalpie"/>
          <w:rFonts w:ascii="Verdana" w:hAnsi="Verdana"/>
          <w:sz w:val="16"/>
          <w:szCs w:val="16"/>
        </w:rPr>
        <w:footnoteRef/>
      </w:r>
      <w:r w:rsidRPr="002F7348">
        <w:rPr>
          <w:rFonts w:ascii="Verdana" w:hAnsi="Verdana"/>
          <w:sz w:val="16"/>
          <w:szCs w:val="16"/>
          <w:lang w:val="pt-BR"/>
        </w:rPr>
        <w:t xml:space="preserve"> </w:t>
      </w:r>
      <w:r w:rsidRPr="002F7348">
        <w:rPr>
          <w:rFonts w:ascii="Verdana" w:hAnsi="Verdana" w:cs="Arial"/>
          <w:sz w:val="16"/>
          <w:szCs w:val="16"/>
          <w:lang w:val="pt-BR"/>
        </w:rPr>
        <w:t xml:space="preserve">Corte Constitucional. Sentencia T-1039 de 2006. M.P. Humberto Sierra Porto. </w:t>
      </w:r>
      <w:r w:rsidRPr="002F7348">
        <w:rPr>
          <w:rFonts w:ascii="Verdana" w:hAnsi="Verdana" w:cs="Arial"/>
          <w:sz w:val="16"/>
          <w:szCs w:val="16"/>
          <w:lang w:val="es-ES"/>
        </w:rPr>
        <w:t xml:space="preserve">La Corte Constitucional ha mantenido este criterio en las sentencias: C-903 de 2008. M.P. Jaime Araujo Rentería; C-101 de 2018. M.P. Gloria Stella Ortiz Delgado; entre otras. </w:t>
      </w:r>
    </w:p>
    <w:p w14:paraId="0467D8C9" w14:textId="77777777" w:rsidR="0042219C" w:rsidRPr="002F7348" w:rsidRDefault="0042219C" w:rsidP="0042219C">
      <w:pPr>
        <w:pStyle w:val="Textonotapie"/>
        <w:ind w:firstLine="708"/>
        <w:jc w:val="both"/>
        <w:rPr>
          <w:rFonts w:ascii="Verdana" w:hAnsi="Verdana" w:cs="Arial"/>
          <w:sz w:val="16"/>
          <w:szCs w:val="16"/>
          <w:lang w:val="es-ES"/>
        </w:rPr>
      </w:pPr>
    </w:p>
  </w:footnote>
  <w:footnote w:id="11">
    <w:p w14:paraId="1EF43E22" w14:textId="77777777" w:rsidR="0042219C" w:rsidRPr="002F7348" w:rsidRDefault="0042219C" w:rsidP="0042219C">
      <w:pPr>
        <w:pStyle w:val="Textonotapie"/>
        <w:ind w:firstLine="708"/>
        <w:jc w:val="both"/>
        <w:rPr>
          <w:rFonts w:ascii="Verdana" w:hAnsi="Verdana" w:cs="Arial"/>
          <w:sz w:val="16"/>
          <w:szCs w:val="16"/>
          <w:lang w:val="es-ES"/>
        </w:rPr>
      </w:pPr>
      <w:r w:rsidRPr="002F7348">
        <w:rPr>
          <w:rStyle w:val="Refdenotaalpie"/>
          <w:rFonts w:ascii="Verdana" w:hAnsi="Verdana"/>
          <w:sz w:val="16"/>
          <w:szCs w:val="16"/>
        </w:rPr>
        <w:footnoteRef/>
      </w:r>
      <w:r w:rsidRPr="002F7348">
        <w:rPr>
          <w:rFonts w:ascii="Verdana" w:hAnsi="Verdana"/>
          <w:sz w:val="16"/>
          <w:szCs w:val="16"/>
        </w:rPr>
        <w:t xml:space="preserve"> </w:t>
      </w:r>
      <w:r w:rsidRPr="002F7348">
        <w:rPr>
          <w:rFonts w:ascii="Verdana" w:hAnsi="Verdana" w:cs="Arial"/>
          <w:sz w:val="16"/>
          <w:szCs w:val="16"/>
          <w:lang w:val="es-ES"/>
        </w:rPr>
        <w:t>Consejo de Estado. Sala de Consulta y Servicio Civil. Concepto del 30 de abril de 2015. Exp. 2251. C.P. Álvaro Namén Vargas.</w:t>
      </w:r>
    </w:p>
  </w:footnote>
  <w:footnote w:id="12">
    <w:p w14:paraId="1B007126" w14:textId="77777777" w:rsidR="0042219C" w:rsidRPr="002F7348" w:rsidRDefault="0042219C" w:rsidP="0042219C">
      <w:pPr>
        <w:pStyle w:val="Textonotapie"/>
        <w:ind w:firstLine="708"/>
        <w:jc w:val="both"/>
        <w:rPr>
          <w:rFonts w:ascii="Verdana" w:hAnsi="Verdana" w:cs="Arial"/>
          <w:sz w:val="16"/>
          <w:szCs w:val="16"/>
        </w:rPr>
      </w:pPr>
      <w:r w:rsidRPr="002F7348">
        <w:rPr>
          <w:rStyle w:val="Refdenotaalpie"/>
          <w:rFonts w:ascii="Verdana" w:hAnsi="Verdana"/>
          <w:sz w:val="16"/>
          <w:szCs w:val="16"/>
        </w:rPr>
        <w:footnoteRef/>
      </w:r>
      <w:r w:rsidRPr="002F7348">
        <w:rPr>
          <w:rFonts w:ascii="Verdana" w:hAnsi="Verdana"/>
          <w:sz w:val="16"/>
          <w:szCs w:val="16"/>
        </w:rPr>
        <w:t xml:space="preserve"> </w:t>
      </w:r>
      <w:r w:rsidRPr="002F7348">
        <w:rPr>
          <w:rFonts w:ascii="Verdana" w:hAnsi="Verdana" w:cs="Arial"/>
          <w:sz w:val="16"/>
          <w:szCs w:val="16"/>
        </w:rPr>
        <w:t>Consejo de Estado. Sección Tercera. Subsección A. Sentencia del 24 de junio de 2015. Exp. 40.635. C.P. Hernán Andrade Rincón (E).</w:t>
      </w:r>
    </w:p>
  </w:footnote>
  <w:footnote w:id="13">
    <w:p w14:paraId="7B018DA0" w14:textId="77777777" w:rsidR="0042219C" w:rsidRPr="002F7348" w:rsidRDefault="0042219C" w:rsidP="0042219C">
      <w:pPr>
        <w:pStyle w:val="Textonotapie"/>
        <w:ind w:firstLine="708"/>
        <w:jc w:val="both"/>
        <w:rPr>
          <w:rFonts w:ascii="Verdana" w:hAnsi="Verdana"/>
          <w:sz w:val="16"/>
          <w:szCs w:val="16"/>
          <w:lang w:val="es-ES_tradnl"/>
        </w:rPr>
      </w:pPr>
      <w:r w:rsidRPr="002F7348">
        <w:rPr>
          <w:rStyle w:val="Refdenotaalpie"/>
          <w:rFonts w:ascii="Verdana" w:hAnsi="Verdana"/>
          <w:sz w:val="16"/>
          <w:szCs w:val="16"/>
        </w:rPr>
        <w:footnoteRef/>
      </w:r>
      <w:r w:rsidRPr="002F7348">
        <w:rPr>
          <w:rFonts w:ascii="Verdana" w:hAnsi="Verdana"/>
          <w:sz w:val="16"/>
          <w:szCs w:val="16"/>
        </w:rPr>
        <w:t xml:space="preserve"> </w:t>
      </w:r>
      <w:r w:rsidRPr="002F7348">
        <w:rPr>
          <w:rFonts w:ascii="Verdana" w:hAnsi="Verdana" w:cs="Arial"/>
          <w:sz w:val="16"/>
          <w:szCs w:val="16"/>
        </w:rPr>
        <w:t>Consejo de Estado. Sección Tercera. Subsección C. Sentencia del 22 de mayo de 2013. Rad. 24.057. C.P. Olga Mélida Valle De De La Hoz.</w:t>
      </w:r>
    </w:p>
  </w:footnote>
  <w:footnote w:id="14">
    <w:p w14:paraId="05A336A1" w14:textId="77777777" w:rsidR="0042219C" w:rsidRPr="002F7348" w:rsidRDefault="0042219C" w:rsidP="0042219C">
      <w:pPr>
        <w:pStyle w:val="Textonotapie"/>
        <w:ind w:firstLine="708"/>
        <w:jc w:val="both"/>
        <w:rPr>
          <w:rFonts w:ascii="Verdana" w:hAnsi="Verdana" w:cs="Arial"/>
          <w:sz w:val="16"/>
          <w:szCs w:val="16"/>
          <w:lang w:val="pt-BR"/>
        </w:rPr>
      </w:pPr>
      <w:r w:rsidRPr="002F7348">
        <w:rPr>
          <w:rStyle w:val="Refdenotaalpie"/>
          <w:rFonts w:ascii="Verdana" w:hAnsi="Verdana"/>
          <w:sz w:val="16"/>
          <w:szCs w:val="16"/>
        </w:rPr>
        <w:footnoteRef/>
      </w:r>
      <w:r w:rsidRPr="002F7348">
        <w:rPr>
          <w:rFonts w:ascii="Verdana" w:hAnsi="Verdana"/>
          <w:sz w:val="16"/>
          <w:szCs w:val="16"/>
          <w:lang w:val="pt-BR"/>
        </w:rPr>
        <w:t xml:space="preserve"> </w:t>
      </w:r>
      <w:r w:rsidRPr="002F7348">
        <w:rPr>
          <w:rFonts w:ascii="Verdana" w:hAnsi="Verdana" w:cs="Arial"/>
          <w:sz w:val="16"/>
          <w:szCs w:val="16"/>
          <w:lang w:val="pt-BR"/>
        </w:rPr>
        <w:t>Corte Constitucional. Sentencia C-415 de 1994. M.P. Eduardo Cifuentes Muñoz.</w:t>
      </w:r>
    </w:p>
  </w:footnote>
  <w:footnote w:id="15">
    <w:p w14:paraId="61736992" w14:textId="77777777" w:rsidR="0042219C" w:rsidRPr="002F7348" w:rsidRDefault="0042219C" w:rsidP="0042219C">
      <w:pPr>
        <w:pStyle w:val="Textonotapie"/>
        <w:ind w:firstLine="708"/>
        <w:jc w:val="both"/>
        <w:rPr>
          <w:rFonts w:ascii="Verdana" w:hAnsi="Verdana" w:cs="Arial"/>
          <w:color w:val="000000"/>
          <w:sz w:val="16"/>
          <w:szCs w:val="16"/>
        </w:rPr>
      </w:pPr>
      <w:r w:rsidRPr="002F7348">
        <w:rPr>
          <w:rStyle w:val="Refdenotaalpie"/>
          <w:rFonts w:ascii="Verdana" w:hAnsi="Verdana"/>
          <w:sz w:val="16"/>
          <w:szCs w:val="16"/>
        </w:rPr>
        <w:footnoteRef/>
      </w:r>
      <w:r w:rsidRPr="002F7348">
        <w:rPr>
          <w:rFonts w:ascii="Verdana" w:hAnsi="Verdana"/>
          <w:sz w:val="16"/>
          <w:szCs w:val="16"/>
          <w:lang w:val="pt-BR"/>
        </w:rPr>
        <w:t xml:space="preserve"> </w:t>
      </w:r>
      <w:r w:rsidRPr="002F7348">
        <w:rPr>
          <w:rFonts w:ascii="Verdana" w:hAnsi="Verdana" w:cs="Arial"/>
          <w:color w:val="000000"/>
          <w:sz w:val="16"/>
          <w:szCs w:val="16"/>
          <w:lang w:val="pt-BR"/>
        </w:rPr>
        <w:t xml:space="preserve">Consejo de Estado. Sección Tercera. Subsección B. Sentencia del 12 de diciembre de 2014. Exp. 26496. C.P. Ramiro Pazos Guerrero. </w:t>
      </w:r>
      <w:r w:rsidRPr="002F7348">
        <w:rPr>
          <w:rFonts w:ascii="Verdana" w:hAnsi="Verdana" w:cs="Arial"/>
          <w:color w:val="000000"/>
          <w:sz w:val="16"/>
          <w:szCs w:val="16"/>
        </w:rPr>
        <w:t>En similar sentido, la doctrina expresa que: “[…] las causales de inhabilidad e incompatibilidad resultan ser las que la ley de manera expresa señala, no siendo factible para las entidades estatales, crearlas en los pliegos de condiciones que elaboran (DAVILA VINUEZA, Luis Guillermo Régimen jurídico de la contratación estatal: aproximación crítica a Ley 80 de 1993. 3ª ed. Bogotá: Legis, 2016. p. 149.</w:t>
      </w:r>
    </w:p>
  </w:footnote>
  <w:footnote w:id="16">
    <w:p w14:paraId="23A5F0E4" w14:textId="77777777" w:rsidR="0042219C" w:rsidRPr="002F7348" w:rsidRDefault="0042219C" w:rsidP="0042219C">
      <w:pPr>
        <w:pStyle w:val="Textonotapie"/>
        <w:ind w:firstLine="708"/>
        <w:jc w:val="both"/>
        <w:rPr>
          <w:rFonts w:ascii="Verdana" w:hAnsi="Verdana"/>
          <w:sz w:val="16"/>
          <w:szCs w:val="16"/>
          <w:lang w:val="es-ES_tradnl"/>
        </w:rPr>
      </w:pPr>
      <w:r w:rsidRPr="002F7348">
        <w:rPr>
          <w:rStyle w:val="Refdenotaalpie"/>
          <w:rFonts w:ascii="Verdana" w:hAnsi="Verdana"/>
          <w:sz w:val="16"/>
          <w:szCs w:val="16"/>
        </w:rPr>
        <w:footnoteRef/>
      </w:r>
      <w:r w:rsidRPr="002F7348">
        <w:rPr>
          <w:rFonts w:ascii="Verdana" w:hAnsi="Verdana"/>
          <w:sz w:val="16"/>
          <w:szCs w:val="16"/>
        </w:rPr>
        <w:t xml:space="preserve"> </w:t>
      </w:r>
      <w:r w:rsidRPr="002F7348">
        <w:rPr>
          <w:rFonts w:ascii="Verdana" w:hAnsi="Verdana" w:cs="Arial"/>
          <w:color w:val="000000"/>
          <w:sz w:val="16"/>
          <w:szCs w:val="16"/>
        </w:rPr>
        <w:t>Consejo de Estado. Sala de Consulta y Servicio Civil. Concepto del 29 de abril de 1998. Rad. 1097. C.P. Augusto Trejos Jaramillo.</w:t>
      </w:r>
    </w:p>
  </w:footnote>
  <w:footnote w:id="17">
    <w:p w14:paraId="30170F0E" w14:textId="77777777" w:rsidR="0042219C" w:rsidRPr="002F7348" w:rsidRDefault="0042219C" w:rsidP="0042219C">
      <w:pPr>
        <w:pStyle w:val="Textonotapie"/>
        <w:ind w:firstLine="708"/>
        <w:jc w:val="both"/>
        <w:rPr>
          <w:rFonts w:ascii="Verdana" w:hAnsi="Verdana"/>
          <w:sz w:val="16"/>
          <w:szCs w:val="16"/>
          <w:lang w:val="es-ES_tradnl"/>
        </w:rPr>
      </w:pPr>
      <w:r w:rsidRPr="002F7348">
        <w:rPr>
          <w:rStyle w:val="Refdenotaalpie"/>
          <w:rFonts w:ascii="Verdana" w:hAnsi="Verdana"/>
          <w:sz w:val="16"/>
          <w:szCs w:val="16"/>
        </w:rPr>
        <w:footnoteRef/>
      </w:r>
      <w:r w:rsidRPr="002F7348">
        <w:rPr>
          <w:rFonts w:ascii="Verdana" w:hAnsi="Verdana"/>
          <w:sz w:val="16"/>
          <w:szCs w:val="16"/>
          <w:lang w:val="es-CO"/>
        </w:rPr>
        <w:t xml:space="preserve"> RAMÍREZ </w:t>
      </w:r>
      <w:r w:rsidRPr="002F7348">
        <w:rPr>
          <w:rFonts w:ascii="Verdana" w:hAnsi="Verdana"/>
          <w:sz w:val="16"/>
          <w:szCs w:val="16"/>
          <w:lang w:val="es-ES_tradnl"/>
        </w:rPr>
        <w:t>GRISALES, Richard Steve. La cesión. Medellín: Librería Jurídica Sánchez R LTDA – Centro de Estudios de Derecho Administrativo, 2014. p. 36.</w:t>
      </w:r>
    </w:p>
  </w:footnote>
  <w:footnote w:id="18">
    <w:p w14:paraId="7FA956B6" w14:textId="77777777" w:rsidR="0042219C" w:rsidRPr="002F7348" w:rsidRDefault="0042219C" w:rsidP="0042219C">
      <w:pPr>
        <w:pStyle w:val="Textonotapie"/>
        <w:ind w:firstLine="708"/>
        <w:jc w:val="both"/>
        <w:rPr>
          <w:rFonts w:ascii="Verdana" w:hAnsi="Verdana"/>
          <w:sz w:val="16"/>
          <w:szCs w:val="16"/>
          <w:lang w:val="es-ES"/>
        </w:rPr>
      </w:pPr>
      <w:r w:rsidRPr="002F7348">
        <w:rPr>
          <w:rStyle w:val="Refdenotaalpie"/>
          <w:rFonts w:ascii="Verdana" w:hAnsi="Verdana"/>
          <w:sz w:val="16"/>
          <w:szCs w:val="16"/>
        </w:rPr>
        <w:footnoteRef/>
      </w:r>
      <w:r w:rsidRPr="002F7348">
        <w:rPr>
          <w:rFonts w:ascii="Verdana" w:hAnsi="Verdana"/>
          <w:sz w:val="16"/>
          <w:szCs w:val="16"/>
        </w:rPr>
        <w:t xml:space="preserve"> CORTE CONSTITUCIONAL. Sentencia C-949 del 5 de septiembre de 2001. M.P. Clara Inés Vargas Hernández.  </w:t>
      </w:r>
    </w:p>
  </w:footnote>
  <w:footnote w:id="19">
    <w:p w14:paraId="1E708106" w14:textId="77777777" w:rsidR="0042219C" w:rsidRPr="002F7348" w:rsidRDefault="0042219C" w:rsidP="0042219C">
      <w:pPr>
        <w:pStyle w:val="Textonotapie"/>
        <w:ind w:firstLine="708"/>
        <w:jc w:val="both"/>
        <w:rPr>
          <w:rFonts w:ascii="Verdana" w:hAnsi="Verdana"/>
          <w:sz w:val="16"/>
          <w:szCs w:val="16"/>
          <w:lang w:val="es-ES"/>
        </w:rPr>
      </w:pPr>
      <w:r w:rsidRPr="002F7348">
        <w:rPr>
          <w:rStyle w:val="Refdenotaalpie"/>
          <w:rFonts w:ascii="Verdana" w:hAnsi="Verdana"/>
          <w:sz w:val="16"/>
          <w:szCs w:val="16"/>
        </w:rPr>
        <w:footnoteRef/>
      </w:r>
      <w:r w:rsidRPr="002F7348">
        <w:rPr>
          <w:rFonts w:ascii="Verdana" w:hAnsi="Verdana"/>
          <w:sz w:val="16"/>
          <w:szCs w:val="16"/>
        </w:rPr>
        <w:t xml:space="preserve"> </w:t>
      </w:r>
      <w:r w:rsidRPr="002F7348">
        <w:rPr>
          <w:rFonts w:ascii="Verdana" w:hAnsi="Verdana"/>
          <w:sz w:val="16"/>
          <w:szCs w:val="16"/>
          <w:lang w:val="es-CO"/>
        </w:rPr>
        <w:t>Consejo de Estado, Sala de lo Contencioso Administrativo, Sección Tercera, sentencia del 10 de febrero de 2011, Exp. 63001-23-31-000-1997-04685-01 (16306), C.P. Hernán Andrade Rincón.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75AB5"/>
    <w:rsid w:val="001A33BF"/>
    <w:rsid w:val="001C3A18"/>
    <w:rsid w:val="001E4177"/>
    <w:rsid w:val="001F0B24"/>
    <w:rsid w:val="001F7DC6"/>
    <w:rsid w:val="002021F3"/>
    <w:rsid w:val="0022400B"/>
    <w:rsid w:val="0023722A"/>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4DB2"/>
    <w:rsid w:val="003D0D25"/>
    <w:rsid w:val="003D0F4D"/>
    <w:rsid w:val="003D5B0D"/>
    <w:rsid w:val="003E0499"/>
    <w:rsid w:val="003E4F80"/>
    <w:rsid w:val="003E6439"/>
    <w:rsid w:val="003F3941"/>
    <w:rsid w:val="00406575"/>
    <w:rsid w:val="00414C74"/>
    <w:rsid w:val="0042219C"/>
    <w:rsid w:val="0042722E"/>
    <w:rsid w:val="0044528D"/>
    <w:rsid w:val="00466E39"/>
    <w:rsid w:val="004A1847"/>
    <w:rsid w:val="004A305D"/>
    <w:rsid w:val="004E7512"/>
    <w:rsid w:val="004F21C4"/>
    <w:rsid w:val="004F685F"/>
    <w:rsid w:val="005566E8"/>
    <w:rsid w:val="00574867"/>
    <w:rsid w:val="00591460"/>
    <w:rsid w:val="005A0C24"/>
    <w:rsid w:val="005A65E0"/>
    <w:rsid w:val="005C3777"/>
    <w:rsid w:val="005C5CDC"/>
    <w:rsid w:val="005D476C"/>
    <w:rsid w:val="006200BF"/>
    <w:rsid w:val="006219F8"/>
    <w:rsid w:val="006302F7"/>
    <w:rsid w:val="00646B9F"/>
    <w:rsid w:val="00665D70"/>
    <w:rsid w:val="006900D9"/>
    <w:rsid w:val="006C3E83"/>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08BA"/>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6D21"/>
    <w:rsid w:val="00A122D3"/>
    <w:rsid w:val="00A14468"/>
    <w:rsid w:val="00A17F13"/>
    <w:rsid w:val="00A20739"/>
    <w:rsid w:val="00A23AF9"/>
    <w:rsid w:val="00A3361C"/>
    <w:rsid w:val="00A33C78"/>
    <w:rsid w:val="00A612A7"/>
    <w:rsid w:val="00AB0ADB"/>
    <w:rsid w:val="00AE6CF3"/>
    <w:rsid w:val="00B00C0E"/>
    <w:rsid w:val="00B01B1A"/>
    <w:rsid w:val="00B0381D"/>
    <w:rsid w:val="00B37FE8"/>
    <w:rsid w:val="00B44A47"/>
    <w:rsid w:val="00B72CD3"/>
    <w:rsid w:val="00B72FFF"/>
    <w:rsid w:val="00BC3D36"/>
    <w:rsid w:val="00BD54A6"/>
    <w:rsid w:val="00BD7F72"/>
    <w:rsid w:val="00BF7425"/>
    <w:rsid w:val="00C04FB3"/>
    <w:rsid w:val="00C11D8B"/>
    <w:rsid w:val="00C15139"/>
    <w:rsid w:val="00C254CF"/>
    <w:rsid w:val="00C330EB"/>
    <w:rsid w:val="00C50D69"/>
    <w:rsid w:val="00C5365C"/>
    <w:rsid w:val="00C754BE"/>
    <w:rsid w:val="00C76B1C"/>
    <w:rsid w:val="00C925AC"/>
    <w:rsid w:val="00CA71D3"/>
    <w:rsid w:val="00CB0907"/>
    <w:rsid w:val="00CB6357"/>
    <w:rsid w:val="00CC1B26"/>
    <w:rsid w:val="00D361FD"/>
    <w:rsid w:val="00D423A2"/>
    <w:rsid w:val="00D44E26"/>
    <w:rsid w:val="00D520D8"/>
    <w:rsid w:val="00D61545"/>
    <w:rsid w:val="00D63AC2"/>
    <w:rsid w:val="00D7383B"/>
    <w:rsid w:val="00D7788A"/>
    <w:rsid w:val="00D93C87"/>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A7CF8"/>
    <w:rsid w:val="00EC38A7"/>
    <w:rsid w:val="00EE1AA8"/>
    <w:rsid w:val="00EF08BA"/>
    <w:rsid w:val="00F11217"/>
    <w:rsid w:val="00F23FEA"/>
    <w:rsid w:val="00F31EDC"/>
    <w:rsid w:val="00F462B3"/>
    <w:rsid w:val="00F52524"/>
    <w:rsid w:val="00F5664F"/>
    <w:rsid w:val="00F666C4"/>
    <w:rsid w:val="00F76AFC"/>
    <w:rsid w:val="00F9138E"/>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2219C"/>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2219C"/>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40B5C55E-72B0-4EA4-97EC-F03BE63E1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6866</Words>
  <Characters>37767</Characters>
  <Application>Microsoft Office Word</Application>
  <DocSecurity>0</DocSecurity>
  <Lines>314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44544</CharactersWithSpaces>
  <SharedDoc>false</SharedDoc>
  <HLinks>
    <vt:vector size="6" baseType="variant">
      <vt:variant>
        <vt:i4>7471218</vt:i4>
      </vt:variant>
      <vt:variant>
        <vt:i4>0</vt:i4>
      </vt:variant>
      <vt:variant>
        <vt:i4>0</vt:i4>
      </vt:variant>
      <vt:variant>
        <vt:i4>5</vt:i4>
      </vt:variant>
      <vt:variant>
        <vt:lpwstr>https://relatoria.colombiacompra.gov.co/busqueda/conceptos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2026-07-23T13:46:00Z</dcterms:created>
  <dcterms:modified xsi:type="dcterms:W3CDTF">2026-07-23T18:58:00Z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