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F4A99" w14:textId="77777777" w:rsidR="00E84516" w:rsidRPr="005F17C1" w:rsidRDefault="00E84516" w:rsidP="00E84516">
      <w:pPr>
        <w:spacing w:after="0" w:line="240" w:lineRule="auto"/>
        <w:jc w:val="both"/>
        <w:rPr>
          <w:rFonts w:ascii="Verdana" w:hAnsi="Verdana"/>
          <w:b/>
          <w:bCs/>
        </w:rPr>
      </w:pPr>
      <w:bookmarkStart w:id="0" w:name="_Hlk143780582"/>
      <w:r w:rsidRPr="005F17C1">
        <w:rPr>
          <w:rFonts w:ascii="Verdana" w:hAnsi="Verdana" w:cs="Arial"/>
          <w:b/>
          <w:bCs/>
          <w:lang w:val="es-ES_tradnl"/>
        </w:rPr>
        <w:t xml:space="preserve">INHABILIDADES – Taxatividad – Principio de legalidad – Interpretación restrictiva </w:t>
      </w:r>
    </w:p>
    <w:p w14:paraId="294DC54C" w14:textId="77777777" w:rsidR="00E84516" w:rsidRDefault="00E84516" w:rsidP="00E84516">
      <w:pPr>
        <w:spacing w:after="0" w:line="240" w:lineRule="auto"/>
        <w:jc w:val="both"/>
        <w:rPr>
          <w:rFonts w:ascii="Verdana" w:hAnsi="Verdana"/>
        </w:rPr>
      </w:pPr>
    </w:p>
    <w:p w14:paraId="2796B5CC" w14:textId="77777777" w:rsidR="00E84516" w:rsidRPr="00C92D08" w:rsidRDefault="00E84516" w:rsidP="00E84516">
      <w:pPr>
        <w:spacing w:after="0" w:line="240" w:lineRule="auto"/>
        <w:jc w:val="both"/>
        <w:rPr>
          <w:rFonts w:ascii="Verdana" w:hAnsi="Verdana"/>
          <w:sz w:val="20"/>
          <w:szCs w:val="20"/>
        </w:rPr>
      </w:pPr>
      <w:r w:rsidRPr="00C92D08">
        <w:rPr>
          <w:rFonts w:ascii="Verdana" w:hAnsi="Verdana"/>
          <w:sz w:val="20"/>
          <w:szCs w:val="20"/>
        </w:rPr>
        <w:t>Las inhabilidades e incompatibilidades son medios que buscan garantizar la transparencia y eficiencia en la actividad contractual del Estado y para ello imponen restricciones en la personalidad jurídica, la igualdad, la libre empresa y, particularmente, el derecho a participar en procesos de selección y celebrar contratos con la Administración. Asimismo, el carácter reconocidamente taxativo del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Por ello, la competencia para determinar qué hechos o situaciones generan inhabilidad para contratar con el Estado la tiene el legislador, pues este régimen es un aspecto propio del Estatuto General de la Contratación Pública, cuya expedición corresponde al Congreso de la República, conforme al artículo 150 de la Constitución Política, por lo que en esta materia rige el principio de legalidad.</w:t>
      </w:r>
    </w:p>
    <w:p w14:paraId="5BC92DFF" w14:textId="77777777" w:rsidR="00E84516" w:rsidRPr="00C92D08" w:rsidRDefault="00E84516" w:rsidP="00E84516">
      <w:pPr>
        <w:spacing w:after="0" w:line="240" w:lineRule="auto"/>
        <w:jc w:val="both"/>
        <w:rPr>
          <w:rFonts w:ascii="Verdana" w:hAnsi="Verdana"/>
          <w:sz w:val="20"/>
          <w:szCs w:val="20"/>
        </w:rPr>
      </w:pPr>
    </w:p>
    <w:p w14:paraId="4FF67623" w14:textId="77777777" w:rsidR="00E84516" w:rsidRDefault="00E84516" w:rsidP="00E84516">
      <w:pPr>
        <w:spacing w:after="0" w:line="240" w:lineRule="auto"/>
        <w:jc w:val="both"/>
        <w:rPr>
          <w:rFonts w:ascii="Verdana" w:hAnsi="Verdana"/>
          <w:sz w:val="20"/>
          <w:szCs w:val="20"/>
        </w:rPr>
      </w:pPr>
      <w:r w:rsidRPr="00C92D08">
        <w:rPr>
          <w:rFonts w:ascii="Verdana" w:hAnsi="Verdana"/>
          <w:sz w:val="20"/>
          <w:szCs w:val="20"/>
        </w:rPr>
        <w:t>De esta manera, las inhabilidades e incompatibilidades al ser límites especiales a la capacidad para presentar ofertas y celebrar contratos estatales, solo pueden tipificarse en la ley o la Constitución –o sea, deben satisfacer el principio de legalidad– y su interpretación debe ser restrictiva. En contraste, si se admitiera una interpretación amplia, extensiva, analógica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w:t>
      </w:r>
    </w:p>
    <w:p w14:paraId="3D1F0923" w14:textId="77777777" w:rsidR="00E84516" w:rsidRDefault="00E84516" w:rsidP="00E84516">
      <w:pPr>
        <w:spacing w:after="0" w:line="240" w:lineRule="auto"/>
        <w:jc w:val="both"/>
        <w:rPr>
          <w:rFonts w:ascii="Verdana" w:hAnsi="Verdana"/>
          <w:sz w:val="20"/>
          <w:szCs w:val="20"/>
        </w:rPr>
      </w:pPr>
    </w:p>
    <w:p w14:paraId="6AAE572F" w14:textId="77777777" w:rsidR="00E84516" w:rsidRDefault="00E84516" w:rsidP="00E84516">
      <w:pPr>
        <w:spacing w:after="0" w:line="240" w:lineRule="auto"/>
        <w:jc w:val="both"/>
        <w:rPr>
          <w:rFonts w:ascii="Verdana" w:hAnsi="Verdana"/>
          <w:sz w:val="20"/>
          <w:szCs w:val="20"/>
        </w:rPr>
      </w:pPr>
    </w:p>
    <w:p w14:paraId="3D538D40" w14:textId="77777777" w:rsidR="00E84516" w:rsidRDefault="00E84516" w:rsidP="00E84516">
      <w:pPr>
        <w:spacing w:after="0" w:line="240" w:lineRule="auto"/>
        <w:jc w:val="both"/>
        <w:rPr>
          <w:rFonts w:ascii="Verdana" w:hAnsi="Verdana" w:cs="Arial"/>
          <w:b/>
          <w:bCs/>
          <w:lang w:val="es-ES_tradnl"/>
        </w:rPr>
      </w:pPr>
      <w:r w:rsidRPr="00DB25DB">
        <w:rPr>
          <w:rFonts w:ascii="Verdana" w:hAnsi="Verdana" w:cs="Arial"/>
          <w:b/>
          <w:bCs/>
          <w:lang w:val="es-ES_tradnl"/>
        </w:rPr>
        <w:t xml:space="preserve">INHABILIDADES E INCOMPATIBILIDADES – Ley 80 de 1993 – Artículo 8 – Numeral 1 – Literal g) y h) </w:t>
      </w:r>
    </w:p>
    <w:p w14:paraId="495EAEA9" w14:textId="77777777" w:rsidR="00E84516" w:rsidRDefault="00E84516" w:rsidP="00E84516">
      <w:pPr>
        <w:spacing w:after="0" w:line="240" w:lineRule="auto"/>
        <w:jc w:val="both"/>
        <w:rPr>
          <w:rFonts w:ascii="Verdana" w:hAnsi="Verdana" w:cs="Arial"/>
          <w:b/>
          <w:bCs/>
          <w:lang w:val="es-ES_tradnl"/>
        </w:rPr>
      </w:pPr>
    </w:p>
    <w:p w14:paraId="505F5E23" w14:textId="77777777" w:rsidR="00E84516" w:rsidRPr="00802846" w:rsidRDefault="00E84516" w:rsidP="00E84516">
      <w:pPr>
        <w:spacing w:after="120" w:line="276" w:lineRule="auto"/>
        <w:jc w:val="both"/>
        <w:rPr>
          <w:rFonts w:ascii="Verdana" w:eastAsia="Calibri" w:hAnsi="Verdana" w:cs="Arial"/>
          <w:sz w:val="20"/>
          <w:szCs w:val="20"/>
        </w:rPr>
      </w:pPr>
      <w:r w:rsidRPr="00802846">
        <w:rPr>
          <w:rFonts w:ascii="Verdana" w:eastAsia="Calibri" w:hAnsi="Verdana" w:cs="Arial"/>
          <w:sz w:val="20"/>
          <w:szCs w:val="20"/>
        </w:rPr>
        <w:t>En particular, el artículo 2.2.1.1.2.2.5 del Decreto 1082 de 2015 reglamenta el procedimiento que debe seguir la entidad estatal cuando, en un mismo proceso de contratación, se presenta la situación descrita en los literales (g) y (h) del numeral 1 del artículo 8 de la Ley 80 de 1993. Esta disposición establece que, para determinar cuál de los oferentes resulta inhabilitado, la entidad debe dejar constancia expresa de la fecha y hora de recibo de cada oferta, indicando el nombre o razón social del proponente y de su representante legal, con el fin de establecer cuál fue presentada primero en el tiempo, pues la consecuencia jurídica recae sobre la oferta posterior.</w:t>
      </w:r>
    </w:p>
    <w:p w14:paraId="75AB4F43" w14:textId="77777777" w:rsidR="00E84516" w:rsidRPr="00B61904" w:rsidRDefault="00E84516" w:rsidP="00E84516">
      <w:pPr>
        <w:spacing w:after="120" w:line="276" w:lineRule="auto"/>
        <w:jc w:val="both"/>
        <w:rPr>
          <w:rFonts w:ascii="Verdana" w:eastAsia="Calibri" w:hAnsi="Verdana" w:cs="Arial"/>
          <w:sz w:val="20"/>
          <w:szCs w:val="20"/>
        </w:rPr>
      </w:pPr>
      <w:r w:rsidRPr="00802846">
        <w:rPr>
          <w:rFonts w:ascii="Verdana" w:eastAsia="Calibri" w:hAnsi="Verdana" w:cs="Arial"/>
          <w:sz w:val="20"/>
          <w:szCs w:val="20"/>
        </w:rPr>
        <w:t xml:space="preserve">El fundamento legal de esta regla se encuentra en los literales g) y h) del numeral 1 del artículo 8 de la Ley 80 de 1993, los cuales consagran como causal de inhabilidad la participación simultánea, en un mismo proceso de selección, de personas naturales que </w:t>
      </w:r>
      <w:r w:rsidRPr="00802846">
        <w:rPr>
          <w:rFonts w:ascii="Verdana" w:eastAsia="Calibri" w:hAnsi="Verdana" w:cs="Arial"/>
          <w:sz w:val="20"/>
          <w:szCs w:val="20"/>
        </w:rPr>
        <w:lastRenderedPageBreak/>
        <w:t>tengan entre sí determinados grados de parentesco, así como la concurrencia de personas jurídicas cuyos socios o representantes legales se encuentren igualmente vinculados por esos lazos. Se trata de una prohibición orientada a preservar los principios de transparencia, moralidad, igualdad y selección objetiva, evitando que relaciones familiares o vínculos directos entre proponentes puedan afectar la libre concurrencia o generar ventajas indebidas.</w:t>
      </w:r>
    </w:p>
    <w:p w14:paraId="480CA26B" w14:textId="77777777" w:rsidR="00E84516" w:rsidRPr="00B61904" w:rsidRDefault="00E84516" w:rsidP="00E84516">
      <w:pPr>
        <w:widowControl w:val="0"/>
        <w:spacing w:before="120" w:after="0" w:line="276" w:lineRule="auto"/>
        <w:jc w:val="both"/>
        <w:rPr>
          <w:rFonts w:ascii="Verdana" w:eastAsia="Arial" w:hAnsi="Verdana" w:cs="Arial"/>
          <w:b/>
          <w:bCs/>
          <w:sz w:val="20"/>
          <w:szCs w:val="20"/>
        </w:rPr>
      </w:pPr>
      <w:r w:rsidRPr="00B61904">
        <w:rPr>
          <w:rFonts w:ascii="Verdana" w:eastAsia="Calibri" w:hAnsi="Verdana" w:cs="Calibri"/>
          <w:b/>
          <w:bCs/>
          <w:lang w:val="es-ES"/>
        </w:rPr>
        <w:t>CAUSALES DE RECHAZO – Pliegos de Condiciones – Configuración</w:t>
      </w:r>
    </w:p>
    <w:p w14:paraId="27BFBE10" w14:textId="77777777" w:rsidR="00E84516" w:rsidRPr="00B61904" w:rsidRDefault="00E84516" w:rsidP="00E84516">
      <w:pPr>
        <w:widowControl w:val="0"/>
        <w:spacing w:before="120" w:after="0" w:line="276" w:lineRule="auto"/>
        <w:jc w:val="both"/>
        <w:rPr>
          <w:rFonts w:ascii="Verdana" w:eastAsia="Arial" w:hAnsi="Verdana" w:cs="Arial"/>
          <w:sz w:val="20"/>
          <w:szCs w:val="20"/>
        </w:rPr>
      </w:pPr>
      <w:r w:rsidRPr="00B61904">
        <w:rPr>
          <w:rFonts w:ascii="Verdana" w:eastAsia="Arial" w:hAnsi="Verdana" w:cs="Arial"/>
          <w:sz w:val="20"/>
          <w:szCs w:val="20"/>
        </w:rPr>
        <w:t xml:space="preserve">[…] existen dos eventos en los cuales procede el rechazo de la oferta: i) cuando se configure alguna de las causales de rechazo originadas en la ley o el reglamento y </w:t>
      </w:r>
      <w:proofErr w:type="spellStart"/>
      <w:r w:rsidRPr="00B61904">
        <w:rPr>
          <w:rFonts w:ascii="Verdana" w:eastAsia="Arial" w:hAnsi="Verdana" w:cs="Arial"/>
          <w:sz w:val="20"/>
          <w:szCs w:val="20"/>
        </w:rPr>
        <w:t>ii</w:t>
      </w:r>
      <w:proofErr w:type="spellEnd"/>
      <w:r w:rsidRPr="00B61904">
        <w:rPr>
          <w:rFonts w:ascii="Verdana" w:eastAsia="Arial" w:hAnsi="Verdana" w:cs="Arial"/>
          <w:sz w:val="20"/>
          <w:szCs w:val="20"/>
        </w:rPr>
        <w:t xml:space="preserve">) cuando se materialicen las establecidas en el pliego de condiciones. En tal sentido, las causales de rechazo de la oferta serán las consagradas en la ley o el reglamento producto de su aplicación, así como las definidas por las entidades en el respectivo pliego de condiciones. </w:t>
      </w:r>
    </w:p>
    <w:p w14:paraId="01EB2177" w14:textId="77777777" w:rsidR="00E84516" w:rsidRPr="00B61904" w:rsidRDefault="00E84516" w:rsidP="00E84516">
      <w:pPr>
        <w:widowControl w:val="0"/>
        <w:spacing w:before="120" w:after="0" w:line="276" w:lineRule="auto"/>
        <w:jc w:val="both"/>
        <w:rPr>
          <w:rFonts w:ascii="Verdana" w:eastAsia="Arial" w:hAnsi="Verdana" w:cs="Arial"/>
          <w:sz w:val="20"/>
          <w:szCs w:val="20"/>
        </w:rPr>
      </w:pPr>
      <w:r w:rsidRPr="00B61904">
        <w:rPr>
          <w:rFonts w:ascii="Verdana" w:eastAsia="Arial" w:hAnsi="Verdana" w:cs="Arial"/>
          <w:sz w:val="20"/>
          <w:szCs w:val="20"/>
        </w:rPr>
        <w:t xml:space="preserve">En tales términos, la facultad de las entidades estatales para incluir en los pliegos de condiciones causales de rechazo de las ofertas, no es una facultad absoluta, en la medida que se encuentra limitada por lo dispuesto en ley, al igual que por los principios de razonabilidad y proporcionalidad, los cuales exigen que las causales de rechazo que sean establecidas por la entidad, además de no contrariar el ordenamiento jurídico, no versen sobre aspectos meramente formales sin relevancia para el transcurso del proceso de selección o el perfeccionamiento del contrato. </w:t>
      </w:r>
    </w:p>
    <w:p w14:paraId="346F87CE" w14:textId="77777777" w:rsidR="00E84516" w:rsidRPr="00B61904" w:rsidRDefault="00E84516" w:rsidP="00E84516">
      <w:pPr>
        <w:spacing w:after="0" w:line="240" w:lineRule="auto"/>
        <w:jc w:val="both"/>
        <w:rPr>
          <w:rFonts w:ascii="Verdana" w:hAnsi="Verdana"/>
          <w:b/>
        </w:rPr>
      </w:pPr>
    </w:p>
    <w:p w14:paraId="35B9BECF" w14:textId="77777777" w:rsidR="00E84516" w:rsidRPr="00B61904" w:rsidRDefault="00E84516" w:rsidP="00E84516">
      <w:pPr>
        <w:spacing w:after="0" w:line="240" w:lineRule="auto"/>
        <w:jc w:val="both"/>
        <w:rPr>
          <w:rFonts w:ascii="Verdana" w:hAnsi="Verdana"/>
          <w:b/>
        </w:rPr>
      </w:pPr>
      <w:r w:rsidRPr="00B61904">
        <w:rPr>
          <w:rFonts w:ascii="Verdana" w:eastAsia="Calibri" w:hAnsi="Verdana" w:cs="Arial"/>
          <w:b/>
          <w:lang w:val="es-ES_tradnl" w:eastAsia="es-ES_tradnl"/>
        </w:rPr>
        <w:t>SOCIEDADES NUEVAS ‒ Experiencia ‒ Inferior a tres a</w:t>
      </w:r>
      <w:r w:rsidRPr="00B61904">
        <w:rPr>
          <w:rFonts w:ascii="Verdana" w:eastAsia="Calibri" w:hAnsi="Verdana" w:cs="Century Gothic"/>
          <w:b/>
          <w:lang w:val="es-ES_tradnl" w:eastAsia="es-ES_tradnl"/>
        </w:rPr>
        <w:t>ñ</w:t>
      </w:r>
      <w:r w:rsidRPr="00B61904">
        <w:rPr>
          <w:rFonts w:ascii="Verdana" w:eastAsia="Calibri" w:hAnsi="Verdana" w:cs="Arial"/>
          <w:b/>
          <w:lang w:val="es-ES_tradnl" w:eastAsia="es-ES_tradnl"/>
        </w:rPr>
        <w:t xml:space="preserve">os ‒ Requisitos habilitantes </w:t>
      </w:r>
    </w:p>
    <w:p w14:paraId="31D9D4EE" w14:textId="77777777" w:rsidR="00E84516" w:rsidRDefault="00E84516" w:rsidP="00E84516">
      <w:pPr>
        <w:spacing w:after="0" w:line="240" w:lineRule="auto"/>
        <w:jc w:val="both"/>
        <w:rPr>
          <w:rFonts w:ascii="Verdana" w:hAnsi="Verdana"/>
        </w:rPr>
      </w:pPr>
    </w:p>
    <w:p w14:paraId="0CCA7E1D" w14:textId="77777777" w:rsidR="00E84516" w:rsidRDefault="00E84516" w:rsidP="00E84516">
      <w:pPr>
        <w:spacing w:after="0" w:line="240" w:lineRule="auto"/>
        <w:jc w:val="both"/>
        <w:rPr>
          <w:rFonts w:ascii="Verdana" w:hAnsi="Verdana"/>
          <w:sz w:val="20"/>
          <w:szCs w:val="20"/>
        </w:rPr>
      </w:pPr>
      <w:r w:rsidRPr="005417DC">
        <w:rPr>
          <w:rFonts w:ascii="Verdana" w:hAnsi="Verdana"/>
          <w:sz w:val="20"/>
          <w:szCs w:val="20"/>
        </w:rPr>
        <w:t>La Ley 1150 de 2007, en el artículo 5, establece los requisitos habilitantes para participar en un procedimiento contractual, dentro de los cuales se destaca la </w:t>
      </w:r>
      <w:r w:rsidRPr="005417DC">
        <w:rPr>
          <w:rFonts w:ascii="Verdana" w:hAnsi="Verdana"/>
          <w:i/>
          <w:iCs/>
          <w:sz w:val="20"/>
          <w:szCs w:val="20"/>
        </w:rPr>
        <w:t>experiencia</w:t>
      </w:r>
      <w:r w:rsidRPr="005417DC">
        <w:rPr>
          <w:rFonts w:ascii="Verdana" w:hAnsi="Verdana"/>
          <w:sz w:val="20"/>
          <w:szCs w:val="20"/>
        </w:rPr>
        <w:t>. Su propósito es que las entidades fijen unos requisitos mínimos que debe tener y acreditar el proponente, para que la entidad pueda verificar su aptitud para participar en el procedimiento de contratación y, si se le adjudica, ejecutar el contrato estatal. En ese sentido, la entidad, como responsable de la estructuración de su procedimiento de contratación, es autónoma para requerir la experiencia necesaria para ejecutar el objeto contractual que se pretende satisfacer con el procedimiento. Para establecer la experiencia que se requiere en cada proceso, de acuerdo con el artículo 2.2.1.1.1.6.2. del Decreto 1082 de 2015, debe tener en cuenta el estudio del sector y sus componentes, como la identificación de riesgos, así como el mercado y precio del bien, obra o servicio a contratar.</w:t>
      </w:r>
    </w:p>
    <w:p w14:paraId="4F54D53B" w14:textId="77777777" w:rsidR="00E84516" w:rsidRPr="005417DC" w:rsidRDefault="00E84516" w:rsidP="00E84516">
      <w:pPr>
        <w:spacing w:after="0" w:line="240" w:lineRule="auto"/>
        <w:jc w:val="both"/>
        <w:rPr>
          <w:rFonts w:ascii="Verdana" w:hAnsi="Verdana"/>
          <w:sz w:val="20"/>
          <w:szCs w:val="20"/>
        </w:rPr>
      </w:pPr>
    </w:p>
    <w:p w14:paraId="04852934" w14:textId="77777777" w:rsidR="00E84516" w:rsidRDefault="00E84516" w:rsidP="00E84516">
      <w:pPr>
        <w:spacing w:after="0" w:line="240" w:lineRule="auto"/>
        <w:jc w:val="both"/>
        <w:rPr>
          <w:rFonts w:ascii="Verdana" w:hAnsi="Verdana"/>
          <w:sz w:val="20"/>
          <w:szCs w:val="20"/>
        </w:rPr>
      </w:pPr>
      <w:r w:rsidRPr="005417DC">
        <w:rPr>
          <w:rFonts w:ascii="Verdana" w:hAnsi="Verdana"/>
          <w:sz w:val="20"/>
          <w:szCs w:val="20"/>
        </w:rPr>
        <w:t xml:space="preserve">Ahora bien, la experiencia que se deriva de los contratos que el proponente ha celebrado y ejecutado con diferentes contratantes, sin importar la naturaleza de estos, se verifica con el RUP, cuando este certificado sea exigible de acuerdo con la ley. Sobre el particular </w:t>
      </w:r>
      <w:r w:rsidRPr="005417DC">
        <w:rPr>
          <w:rFonts w:ascii="Verdana" w:hAnsi="Verdana"/>
          <w:sz w:val="20"/>
          <w:szCs w:val="20"/>
        </w:rPr>
        <w:lastRenderedPageBreak/>
        <w:t xml:space="preserve">debe indicarse </w:t>
      </w:r>
      <w:proofErr w:type="gramStart"/>
      <w:r w:rsidRPr="005417DC">
        <w:rPr>
          <w:rFonts w:ascii="Verdana" w:hAnsi="Verdana"/>
          <w:sz w:val="20"/>
          <w:szCs w:val="20"/>
        </w:rPr>
        <w:t>que  el</w:t>
      </w:r>
      <w:proofErr w:type="gramEnd"/>
      <w:r w:rsidRPr="005417DC">
        <w:rPr>
          <w:rFonts w:ascii="Verdana" w:hAnsi="Verdana"/>
          <w:sz w:val="20"/>
          <w:szCs w:val="20"/>
        </w:rPr>
        <w:t xml:space="preserve"> RUP es plena prueba de los requisitos habilitantes que constan en él, sin que la entidad o el proponente puedan solicitar o aportar otra documentación.</w:t>
      </w:r>
    </w:p>
    <w:p w14:paraId="038A7188" w14:textId="77777777" w:rsidR="00E84516" w:rsidRDefault="00E84516" w:rsidP="00E84516">
      <w:pPr>
        <w:spacing w:after="0" w:line="240" w:lineRule="auto"/>
        <w:jc w:val="both"/>
        <w:rPr>
          <w:rFonts w:ascii="Verdana" w:hAnsi="Verdana"/>
          <w:sz w:val="20"/>
          <w:szCs w:val="20"/>
        </w:rPr>
      </w:pPr>
    </w:p>
    <w:p w14:paraId="71322660" w14:textId="77777777" w:rsidR="00E84516" w:rsidRPr="005417DC" w:rsidRDefault="00E84516" w:rsidP="00E84516">
      <w:pPr>
        <w:spacing w:after="0" w:line="240" w:lineRule="auto"/>
        <w:jc w:val="both"/>
        <w:rPr>
          <w:rFonts w:ascii="Verdana" w:hAnsi="Verdana"/>
          <w:b/>
          <w:sz w:val="20"/>
          <w:szCs w:val="20"/>
        </w:rPr>
      </w:pPr>
      <w:r w:rsidRPr="005417DC">
        <w:rPr>
          <w:rFonts w:ascii="Verdana" w:eastAsia="Calibri" w:hAnsi="Verdana" w:cs="Arial"/>
          <w:b/>
          <w:lang w:val="es-ES_tradnl" w:eastAsia="es-ES_tradnl"/>
        </w:rPr>
        <w:t>EXPERIENCIA ‒ Conservaci</w:t>
      </w:r>
      <w:r w:rsidRPr="005417DC">
        <w:rPr>
          <w:rFonts w:ascii="Verdana" w:eastAsia="Calibri" w:hAnsi="Verdana" w:cs="Century Gothic"/>
          <w:b/>
          <w:lang w:val="es-ES_tradnl" w:eastAsia="es-ES_tradnl"/>
        </w:rPr>
        <w:t>ó</w:t>
      </w:r>
      <w:r w:rsidRPr="005417DC">
        <w:rPr>
          <w:rFonts w:ascii="Verdana" w:eastAsia="Calibri" w:hAnsi="Verdana" w:cs="Arial"/>
          <w:b/>
          <w:lang w:val="es-ES_tradnl" w:eastAsia="es-ES_tradnl"/>
        </w:rPr>
        <w:t>n ‒ Renovación RUP</w:t>
      </w:r>
    </w:p>
    <w:p w14:paraId="2BF72504" w14:textId="77777777" w:rsidR="00E84516" w:rsidRDefault="00E84516" w:rsidP="00E84516">
      <w:pPr>
        <w:spacing w:after="0" w:line="240" w:lineRule="auto"/>
        <w:jc w:val="both"/>
        <w:rPr>
          <w:rFonts w:ascii="Verdana" w:hAnsi="Verdana"/>
        </w:rPr>
      </w:pPr>
    </w:p>
    <w:p w14:paraId="4353D2E9" w14:textId="77777777" w:rsidR="00E84516" w:rsidRPr="003E4EA4" w:rsidRDefault="00E84516" w:rsidP="00E84516">
      <w:pPr>
        <w:spacing w:after="0" w:line="240" w:lineRule="auto"/>
        <w:jc w:val="both"/>
        <w:rPr>
          <w:rFonts w:ascii="Verdana" w:hAnsi="Verdana"/>
          <w:sz w:val="20"/>
          <w:szCs w:val="20"/>
        </w:rPr>
      </w:pPr>
      <w:r w:rsidRPr="003E4EA4">
        <w:rPr>
          <w:rFonts w:ascii="Verdana" w:hAnsi="Verdana"/>
          <w:sz w:val="20"/>
          <w:szCs w:val="20"/>
        </w:rPr>
        <w:t>Respecto de la experiencia, esta debe inscribirse, renovarse o actualizarse en el RUP con copia de los contratos o con certificados de los contratos celebrados por el proponente con diferentes contratantes, quienes son terceros que los expiden cuando el contrato fue ejecutado y recibieron los bienes, obras o servicios de parte del proponente. De esta manera, con el RUP se verifica que el proponente tenga experiencia en la ejecución del objeto que pretende contratar la entidad, esto es, que haya celebrado y ejecutado contratos que se asimilen a la necesidad que la entidad requiere satisfacer con el procedimiento contractual, sin que sea necesario que su objeto sea idéntico, lo que dependerá de la forma como la entidad solicite la experiencia en el pliego de condiciones o documento equivalente.</w:t>
      </w:r>
    </w:p>
    <w:p w14:paraId="1B890E04" w14:textId="77777777" w:rsidR="00905B2E" w:rsidRDefault="00905B2E" w:rsidP="00EC5693">
      <w:pPr>
        <w:spacing w:after="0" w:line="240" w:lineRule="auto"/>
        <w:rPr>
          <w:rFonts w:ascii="Verdana" w:eastAsia="Aptos" w:hAnsi="Verdana" w:cs="Times New Roman"/>
          <w:sz w:val="20"/>
          <w:szCs w:val="20"/>
        </w:rPr>
      </w:pPr>
    </w:p>
    <w:p w14:paraId="1508728B" w14:textId="77777777" w:rsidR="00E84516" w:rsidRDefault="00E84516" w:rsidP="00EC5693">
      <w:pPr>
        <w:spacing w:after="0" w:line="240" w:lineRule="auto"/>
        <w:rPr>
          <w:rFonts w:ascii="Verdana" w:eastAsia="Aptos" w:hAnsi="Verdana" w:cs="Times New Roman"/>
          <w:sz w:val="20"/>
          <w:szCs w:val="20"/>
        </w:rPr>
      </w:pPr>
    </w:p>
    <w:p w14:paraId="3FCAFCE5" w14:textId="77777777" w:rsidR="00E84516" w:rsidRDefault="00E84516" w:rsidP="00EC5693">
      <w:pPr>
        <w:spacing w:after="0" w:line="240" w:lineRule="auto"/>
        <w:rPr>
          <w:rFonts w:ascii="Verdana" w:eastAsia="Aptos" w:hAnsi="Verdana" w:cs="Times New Roman"/>
          <w:sz w:val="20"/>
          <w:szCs w:val="20"/>
        </w:rPr>
      </w:pPr>
    </w:p>
    <w:p w14:paraId="7115B870" w14:textId="77777777" w:rsidR="00E84516" w:rsidRDefault="00E84516" w:rsidP="00EC5693">
      <w:pPr>
        <w:spacing w:after="0" w:line="240" w:lineRule="auto"/>
        <w:rPr>
          <w:rFonts w:ascii="Verdana" w:eastAsia="Aptos" w:hAnsi="Verdana" w:cs="Times New Roman"/>
          <w:sz w:val="20"/>
          <w:szCs w:val="20"/>
        </w:rPr>
      </w:pPr>
    </w:p>
    <w:p w14:paraId="79151956" w14:textId="77777777" w:rsidR="00E84516" w:rsidRDefault="00E84516" w:rsidP="00EC5693">
      <w:pPr>
        <w:spacing w:after="0" w:line="240" w:lineRule="auto"/>
        <w:rPr>
          <w:rFonts w:ascii="Verdana" w:eastAsia="Aptos" w:hAnsi="Verdana" w:cs="Times New Roman"/>
          <w:sz w:val="20"/>
          <w:szCs w:val="20"/>
        </w:rPr>
      </w:pPr>
    </w:p>
    <w:p w14:paraId="16E9A2FD" w14:textId="77777777" w:rsidR="00E84516" w:rsidRDefault="00E84516" w:rsidP="00EC5693">
      <w:pPr>
        <w:spacing w:after="0" w:line="240" w:lineRule="auto"/>
        <w:rPr>
          <w:rFonts w:ascii="Verdana" w:eastAsia="Aptos" w:hAnsi="Verdana" w:cs="Times New Roman"/>
          <w:sz w:val="20"/>
          <w:szCs w:val="20"/>
        </w:rPr>
      </w:pPr>
    </w:p>
    <w:p w14:paraId="5A85E3BA" w14:textId="77777777" w:rsidR="00E84516" w:rsidRDefault="00E84516" w:rsidP="00EC5693">
      <w:pPr>
        <w:spacing w:after="0" w:line="240" w:lineRule="auto"/>
        <w:rPr>
          <w:rFonts w:ascii="Verdana" w:eastAsia="Aptos" w:hAnsi="Verdana" w:cs="Times New Roman"/>
          <w:sz w:val="20"/>
          <w:szCs w:val="20"/>
        </w:rPr>
      </w:pPr>
    </w:p>
    <w:p w14:paraId="4EE2C8FF" w14:textId="77777777" w:rsidR="00E84516" w:rsidRDefault="00E84516" w:rsidP="00EC5693">
      <w:pPr>
        <w:spacing w:after="0" w:line="240" w:lineRule="auto"/>
        <w:rPr>
          <w:rFonts w:ascii="Verdana" w:eastAsia="Aptos" w:hAnsi="Verdana" w:cs="Times New Roman"/>
          <w:sz w:val="20"/>
          <w:szCs w:val="20"/>
        </w:rPr>
      </w:pPr>
    </w:p>
    <w:p w14:paraId="24FFA64C" w14:textId="77777777" w:rsidR="00E84516" w:rsidRDefault="00E84516" w:rsidP="00EC5693">
      <w:pPr>
        <w:spacing w:after="0" w:line="240" w:lineRule="auto"/>
        <w:rPr>
          <w:rFonts w:ascii="Verdana" w:eastAsia="Aptos" w:hAnsi="Verdana" w:cs="Times New Roman"/>
          <w:sz w:val="20"/>
          <w:szCs w:val="20"/>
        </w:rPr>
      </w:pPr>
    </w:p>
    <w:p w14:paraId="2F6CD605" w14:textId="77777777" w:rsidR="00E84516" w:rsidRDefault="00E84516" w:rsidP="00EC5693">
      <w:pPr>
        <w:spacing w:after="0" w:line="240" w:lineRule="auto"/>
        <w:rPr>
          <w:rFonts w:ascii="Verdana" w:eastAsia="Aptos" w:hAnsi="Verdana" w:cs="Times New Roman"/>
          <w:sz w:val="20"/>
          <w:szCs w:val="20"/>
        </w:rPr>
      </w:pPr>
    </w:p>
    <w:p w14:paraId="33E29DD8" w14:textId="77777777" w:rsidR="00E84516" w:rsidRDefault="00E84516" w:rsidP="00EC5693">
      <w:pPr>
        <w:spacing w:after="0" w:line="240" w:lineRule="auto"/>
        <w:rPr>
          <w:rFonts w:ascii="Verdana" w:eastAsia="Aptos" w:hAnsi="Verdana" w:cs="Times New Roman"/>
          <w:sz w:val="20"/>
          <w:szCs w:val="20"/>
        </w:rPr>
      </w:pPr>
    </w:p>
    <w:p w14:paraId="5B64EB22" w14:textId="77777777" w:rsidR="00E84516" w:rsidRDefault="00E84516" w:rsidP="00EC5693">
      <w:pPr>
        <w:spacing w:after="0" w:line="240" w:lineRule="auto"/>
        <w:rPr>
          <w:rFonts w:ascii="Verdana" w:eastAsia="Aptos" w:hAnsi="Verdana" w:cs="Times New Roman"/>
          <w:sz w:val="20"/>
          <w:szCs w:val="20"/>
        </w:rPr>
      </w:pPr>
    </w:p>
    <w:p w14:paraId="354BBEF0" w14:textId="77777777" w:rsidR="00E84516" w:rsidRDefault="00E84516" w:rsidP="00EC5693">
      <w:pPr>
        <w:spacing w:after="0" w:line="240" w:lineRule="auto"/>
        <w:rPr>
          <w:rFonts w:ascii="Verdana" w:eastAsia="Aptos" w:hAnsi="Verdana" w:cs="Times New Roman"/>
          <w:sz w:val="20"/>
          <w:szCs w:val="20"/>
        </w:rPr>
      </w:pPr>
    </w:p>
    <w:p w14:paraId="3D521E76" w14:textId="77777777" w:rsidR="00E84516" w:rsidRDefault="00E84516" w:rsidP="00EC5693">
      <w:pPr>
        <w:spacing w:after="0" w:line="240" w:lineRule="auto"/>
        <w:rPr>
          <w:rFonts w:ascii="Verdana" w:eastAsia="Aptos" w:hAnsi="Verdana" w:cs="Times New Roman"/>
          <w:sz w:val="20"/>
          <w:szCs w:val="20"/>
        </w:rPr>
      </w:pPr>
    </w:p>
    <w:p w14:paraId="24A1AC58" w14:textId="77777777" w:rsidR="00E84516" w:rsidRDefault="00E84516" w:rsidP="00EC5693">
      <w:pPr>
        <w:spacing w:after="0" w:line="240" w:lineRule="auto"/>
        <w:rPr>
          <w:rFonts w:ascii="Verdana" w:eastAsia="Aptos" w:hAnsi="Verdana" w:cs="Times New Roman"/>
          <w:sz w:val="20"/>
          <w:szCs w:val="20"/>
        </w:rPr>
      </w:pPr>
    </w:p>
    <w:p w14:paraId="3E8AE56E" w14:textId="77777777" w:rsidR="00E84516" w:rsidRDefault="00E84516" w:rsidP="00EC5693">
      <w:pPr>
        <w:spacing w:after="0" w:line="240" w:lineRule="auto"/>
        <w:rPr>
          <w:rFonts w:ascii="Verdana" w:eastAsia="Aptos" w:hAnsi="Verdana" w:cs="Times New Roman"/>
          <w:sz w:val="20"/>
          <w:szCs w:val="20"/>
        </w:rPr>
      </w:pPr>
    </w:p>
    <w:p w14:paraId="51427020" w14:textId="77777777" w:rsidR="00E84516" w:rsidRDefault="00E84516" w:rsidP="00EC5693">
      <w:pPr>
        <w:spacing w:after="0" w:line="240" w:lineRule="auto"/>
        <w:rPr>
          <w:rFonts w:ascii="Verdana" w:eastAsia="Aptos" w:hAnsi="Verdana" w:cs="Times New Roman"/>
          <w:sz w:val="20"/>
          <w:szCs w:val="20"/>
        </w:rPr>
      </w:pPr>
    </w:p>
    <w:p w14:paraId="7AC2722C" w14:textId="77777777" w:rsidR="00E84516" w:rsidRDefault="00E84516" w:rsidP="00EC5693">
      <w:pPr>
        <w:spacing w:after="0" w:line="240" w:lineRule="auto"/>
        <w:rPr>
          <w:rFonts w:ascii="Verdana" w:eastAsia="Aptos" w:hAnsi="Verdana" w:cs="Times New Roman"/>
          <w:sz w:val="20"/>
          <w:szCs w:val="20"/>
        </w:rPr>
      </w:pPr>
    </w:p>
    <w:p w14:paraId="584740CE" w14:textId="77777777" w:rsidR="00E84516" w:rsidRDefault="00E84516" w:rsidP="00EC5693">
      <w:pPr>
        <w:spacing w:after="0" w:line="240" w:lineRule="auto"/>
        <w:rPr>
          <w:rFonts w:ascii="Verdana" w:eastAsia="Aptos" w:hAnsi="Verdana" w:cs="Times New Roman"/>
          <w:sz w:val="20"/>
          <w:szCs w:val="20"/>
        </w:rPr>
      </w:pPr>
    </w:p>
    <w:p w14:paraId="228F6AC1" w14:textId="77777777" w:rsidR="00E84516" w:rsidRDefault="00E84516" w:rsidP="00EC5693">
      <w:pPr>
        <w:spacing w:after="0" w:line="240" w:lineRule="auto"/>
        <w:rPr>
          <w:rFonts w:ascii="Verdana" w:eastAsia="Aptos" w:hAnsi="Verdana" w:cs="Times New Roman"/>
          <w:sz w:val="20"/>
          <w:szCs w:val="20"/>
        </w:rPr>
      </w:pPr>
    </w:p>
    <w:p w14:paraId="41F1C16E" w14:textId="77777777" w:rsidR="00E84516" w:rsidRDefault="00E84516" w:rsidP="00EC5693">
      <w:pPr>
        <w:spacing w:after="0" w:line="240" w:lineRule="auto"/>
        <w:rPr>
          <w:rFonts w:ascii="Verdana" w:eastAsia="Aptos" w:hAnsi="Verdana" w:cs="Times New Roman"/>
          <w:sz w:val="20"/>
          <w:szCs w:val="20"/>
        </w:rPr>
      </w:pPr>
    </w:p>
    <w:p w14:paraId="125CE186" w14:textId="77777777" w:rsidR="00E84516" w:rsidRDefault="00E84516" w:rsidP="00EC5693">
      <w:pPr>
        <w:spacing w:after="0" w:line="240" w:lineRule="auto"/>
        <w:rPr>
          <w:rFonts w:ascii="Verdana" w:eastAsia="Aptos" w:hAnsi="Verdana" w:cs="Times New Roman"/>
          <w:sz w:val="20"/>
          <w:szCs w:val="20"/>
        </w:rPr>
      </w:pPr>
    </w:p>
    <w:p w14:paraId="32B77E8B" w14:textId="77777777" w:rsidR="00E84516" w:rsidRDefault="00E84516" w:rsidP="00EC5693">
      <w:pPr>
        <w:spacing w:after="0" w:line="240" w:lineRule="auto"/>
        <w:rPr>
          <w:rFonts w:ascii="Verdana" w:eastAsia="Aptos" w:hAnsi="Verdana" w:cs="Times New Roman"/>
          <w:sz w:val="20"/>
          <w:szCs w:val="20"/>
        </w:rPr>
      </w:pPr>
    </w:p>
    <w:p w14:paraId="43670BB9" w14:textId="77777777" w:rsidR="00E84516" w:rsidRDefault="00E84516" w:rsidP="00EC5693">
      <w:pPr>
        <w:spacing w:after="0" w:line="240" w:lineRule="auto"/>
        <w:rPr>
          <w:rFonts w:ascii="Verdana" w:eastAsia="Aptos" w:hAnsi="Verdana" w:cs="Times New Roman"/>
          <w:sz w:val="20"/>
          <w:szCs w:val="20"/>
        </w:rPr>
      </w:pPr>
    </w:p>
    <w:p w14:paraId="32D2A5F7" w14:textId="77777777" w:rsidR="00E84516" w:rsidRDefault="00E84516" w:rsidP="00EC5693">
      <w:pPr>
        <w:spacing w:after="0" w:line="240" w:lineRule="auto"/>
        <w:rPr>
          <w:rFonts w:ascii="Verdana" w:eastAsia="Aptos" w:hAnsi="Verdana" w:cs="Times New Roman"/>
          <w:sz w:val="20"/>
          <w:szCs w:val="20"/>
        </w:rPr>
      </w:pPr>
    </w:p>
    <w:p w14:paraId="650F7914" w14:textId="77777777" w:rsidR="00E84516" w:rsidRDefault="00E84516" w:rsidP="00EC5693">
      <w:pPr>
        <w:spacing w:after="0" w:line="240" w:lineRule="auto"/>
        <w:rPr>
          <w:rFonts w:ascii="Verdana" w:eastAsia="Aptos" w:hAnsi="Verdana" w:cs="Times New Roman"/>
          <w:sz w:val="20"/>
          <w:szCs w:val="20"/>
        </w:rPr>
      </w:pPr>
    </w:p>
    <w:p w14:paraId="5775289E" w14:textId="77777777" w:rsidR="00E84516" w:rsidRDefault="00E84516" w:rsidP="00EC5693">
      <w:pPr>
        <w:spacing w:after="0" w:line="240" w:lineRule="auto"/>
        <w:rPr>
          <w:rFonts w:ascii="Verdana" w:eastAsia="Aptos" w:hAnsi="Verdana" w:cs="Times New Roman"/>
          <w:sz w:val="20"/>
          <w:szCs w:val="20"/>
        </w:rPr>
      </w:pPr>
    </w:p>
    <w:p w14:paraId="64B5AB28" w14:textId="77777777" w:rsidR="00E84516" w:rsidRDefault="00E84516" w:rsidP="00EC5693">
      <w:pPr>
        <w:spacing w:after="0" w:line="240" w:lineRule="auto"/>
        <w:rPr>
          <w:rFonts w:ascii="Verdana" w:eastAsia="Aptos" w:hAnsi="Verdana" w:cs="Times New Roman"/>
          <w:sz w:val="20"/>
          <w:szCs w:val="20"/>
        </w:rPr>
      </w:pPr>
    </w:p>
    <w:p w14:paraId="2AA63A75" w14:textId="77777777" w:rsidR="00905B2E" w:rsidRDefault="00905B2E" w:rsidP="00EC5693">
      <w:pPr>
        <w:spacing w:after="0" w:line="240" w:lineRule="auto"/>
        <w:rPr>
          <w:rFonts w:ascii="Verdana" w:eastAsia="Aptos" w:hAnsi="Verdana" w:cs="Times New Roman"/>
          <w:sz w:val="20"/>
          <w:szCs w:val="20"/>
        </w:rPr>
      </w:pPr>
    </w:p>
    <w:p w14:paraId="730525A3" w14:textId="77777777" w:rsidR="00905B2E" w:rsidRDefault="00905B2E" w:rsidP="00EC5693">
      <w:pPr>
        <w:spacing w:after="0" w:line="240" w:lineRule="auto"/>
        <w:rPr>
          <w:rFonts w:ascii="Verdana" w:eastAsia="Aptos" w:hAnsi="Verdana" w:cs="Times New Roman"/>
          <w:sz w:val="20"/>
          <w:szCs w:val="20"/>
        </w:rPr>
      </w:pPr>
    </w:p>
    <w:p w14:paraId="3C2D4165" w14:textId="77777777" w:rsidR="00905B2E" w:rsidRDefault="00905B2E" w:rsidP="00EC5693">
      <w:pPr>
        <w:spacing w:after="0" w:line="240" w:lineRule="auto"/>
        <w:rPr>
          <w:rFonts w:ascii="Verdana" w:eastAsia="Aptos" w:hAnsi="Verdana" w:cs="Times New Roman"/>
          <w:sz w:val="20"/>
          <w:szCs w:val="20"/>
        </w:rPr>
      </w:pPr>
    </w:p>
    <w:p w14:paraId="5C9124D5" w14:textId="03E7E8CB" w:rsidR="00DF09F4" w:rsidRPr="00323333" w:rsidRDefault="00DF09F4" w:rsidP="00DF09F4">
      <w:pPr>
        <w:spacing w:after="0" w:line="240" w:lineRule="auto"/>
        <w:jc w:val="both"/>
        <w:rPr>
          <w:rFonts w:ascii="Verdana" w:eastAsia="Calibri" w:hAnsi="Verdana" w:cs="Arial"/>
          <w:lang w:val="es-ES"/>
        </w:rPr>
      </w:pPr>
      <w:r w:rsidRPr="00323333">
        <w:rPr>
          <w:rFonts w:ascii="Verdana" w:eastAsia="Geomanist Light" w:hAnsi="Verdana" w:cs="Arial"/>
          <w:lang w:val="es-MX"/>
        </w:rPr>
        <w:lastRenderedPageBreak/>
        <w:t>Bogotá D.C., </w:t>
      </w:r>
      <w:r w:rsidR="00A06249">
        <w:rPr>
          <w:rFonts w:ascii="Verdana" w:eastAsia="Geomanist Light" w:hAnsi="Verdana" w:cs="Arial"/>
          <w:lang w:val="es-MX"/>
        </w:rPr>
        <w:t xml:space="preserve">09 </w:t>
      </w:r>
      <w:r w:rsidR="00B3704E">
        <w:rPr>
          <w:rFonts w:ascii="Verdana" w:eastAsia="Geomanist Light" w:hAnsi="Verdana" w:cs="Arial"/>
          <w:lang w:val="es-MX"/>
        </w:rPr>
        <w:t xml:space="preserve">de </w:t>
      </w:r>
      <w:r w:rsidR="00C15232">
        <w:rPr>
          <w:rFonts w:ascii="Verdana" w:eastAsia="Geomanist Light" w:hAnsi="Verdana" w:cs="Arial"/>
          <w:lang w:val="es-MX"/>
        </w:rPr>
        <w:t>julio de 2026</w:t>
      </w:r>
    </w:p>
    <w:p w14:paraId="25CCEB94" w14:textId="77777777" w:rsidR="00EC5693" w:rsidRPr="00323333" w:rsidRDefault="00EC5693" w:rsidP="00EC5693">
      <w:pPr>
        <w:spacing w:after="0" w:line="240" w:lineRule="auto"/>
        <w:jc w:val="both"/>
        <w:rPr>
          <w:rFonts w:ascii="Verdana" w:eastAsia="Calibri" w:hAnsi="Verdana" w:cs="Arial"/>
          <w:lang w:val="es-ES"/>
        </w:rPr>
      </w:pPr>
    </w:p>
    <w:p w14:paraId="417644AA" w14:textId="0A664536" w:rsidR="00EC5693" w:rsidRPr="00323333" w:rsidRDefault="00A06249" w:rsidP="00EC5693">
      <w:pPr>
        <w:spacing w:after="0" w:line="240" w:lineRule="auto"/>
        <w:jc w:val="right"/>
        <w:rPr>
          <w:rFonts w:ascii="Verdana" w:eastAsia="Calibri" w:hAnsi="Verdana" w:cs="Arial"/>
          <w:lang w:val="es-ES"/>
        </w:rPr>
      </w:pPr>
      <w:r w:rsidRPr="00A06249">
        <w:rPr>
          <w:rFonts w:ascii="Verdana" w:eastAsia="Calibri" w:hAnsi="Verdana" w:cs="Arial"/>
          <w:lang w:val="es-ES"/>
        </w:rPr>
        <w:drawing>
          <wp:inline distT="0" distB="0" distL="0" distR="0" wp14:anchorId="1079D6B4" wp14:editId="7446DB2C">
            <wp:extent cx="2114374" cy="619125"/>
            <wp:effectExtent l="0" t="0" r="635" b="0"/>
            <wp:docPr id="14709557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55727" name=""/>
                    <pic:cNvPicPr/>
                  </pic:nvPicPr>
                  <pic:blipFill>
                    <a:blip r:embed="rId11"/>
                    <a:stretch>
                      <a:fillRect/>
                    </a:stretch>
                  </pic:blipFill>
                  <pic:spPr>
                    <a:xfrm>
                      <a:off x="0" y="0"/>
                      <a:ext cx="2117622" cy="620076"/>
                    </a:xfrm>
                    <a:prstGeom prst="rect">
                      <a:avLst/>
                    </a:prstGeom>
                  </pic:spPr>
                </pic:pic>
              </a:graphicData>
            </a:graphic>
          </wp:inline>
        </w:drawing>
      </w:r>
    </w:p>
    <w:p w14:paraId="7134F490" w14:textId="236E7B64" w:rsidR="00EC5693" w:rsidRPr="00323333" w:rsidRDefault="00EC5693" w:rsidP="00EC5693">
      <w:pPr>
        <w:spacing w:after="0" w:line="240" w:lineRule="auto"/>
        <w:jc w:val="both"/>
        <w:rPr>
          <w:rFonts w:ascii="Verdana" w:eastAsia="Calibri" w:hAnsi="Verdana" w:cs="Arial"/>
          <w:lang w:val="es-ES" w:eastAsia="es-ES"/>
        </w:rPr>
      </w:pPr>
      <w:r w:rsidRPr="00323333">
        <w:rPr>
          <w:rFonts w:ascii="Verdana" w:eastAsia="Calibri" w:hAnsi="Verdana" w:cs="Arial"/>
          <w:lang w:val="es-ES" w:eastAsia="es-ES"/>
        </w:rPr>
        <w:t>Señor</w:t>
      </w:r>
    </w:p>
    <w:p w14:paraId="17972B1B" w14:textId="413A8092" w:rsidR="00EC5693" w:rsidRPr="00323333" w:rsidRDefault="00E14CC3" w:rsidP="00EC5693">
      <w:pPr>
        <w:spacing w:after="0" w:line="240" w:lineRule="auto"/>
        <w:rPr>
          <w:rFonts w:ascii="Verdana" w:eastAsia="Calibri" w:hAnsi="Verdana" w:cs="Arial"/>
          <w:b/>
          <w:lang w:val="es-ES" w:eastAsia="es-ES"/>
        </w:rPr>
      </w:pPr>
      <w:r>
        <w:rPr>
          <w:rFonts w:ascii="Verdana" w:eastAsia="Calibri" w:hAnsi="Verdana" w:cs="Arial"/>
          <w:b/>
          <w:lang w:val="es-ES" w:eastAsia="es-ES"/>
        </w:rPr>
        <w:t>John</w:t>
      </w:r>
      <w:r w:rsidR="00C77D9B">
        <w:rPr>
          <w:rFonts w:ascii="Verdana" w:eastAsia="Calibri" w:hAnsi="Verdana" w:cs="Arial"/>
          <w:b/>
          <w:lang w:val="es-ES" w:eastAsia="es-ES"/>
        </w:rPr>
        <w:t>ny Andrés Gaitán Naranjo</w:t>
      </w:r>
    </w:p>
    <w:p w14:paraId="09F7F517" w14:textId="7999BF8E" w:rsidR="00C77D9B" w:rsidRPr="00C77D9B" w:rsidRDefault="00C77D9B" w:rsidP="004E1C7B">
      <w:pPr>
        <w:spacing w:after="0" w:line="240" w:lineRule="auto"/>
        <w:rPr>
          <w:rFonts w:ascii="Verdana" w:hAnsi="Verdana"/>
        </w:rPr>
      </w:pPr>
      <w:hyperlink r:id="rId12" w:history="1">
        <w:r w:rsidRPr="00C77D9B">
          <w:rPr>
            <w:rStyle w:val="Hipervnculo"/>
            <w:rFonts w:ascii="Verdana" w:hAnsi="Verdana"/>
          </w:rPr>
          <w:t>jagaitan13@hotmail.com</w:t>
        </w:r>
      </w:hyperlink>
    </w:p>
    <w:p w14:paraId="23895616" w14:textId="4350B336" w:rsidR="00EC5693" w:rsidRPr="00323333" w:rsidRDefault="004E1C7B" w:rsidP="004E1C7B">
      <w:pPr>
        <w:spacing w:after="0" w:line="240" w:lineRule="auto"/>
        <w:rPr>
          <w:rFonts w:ascii="Verdana" w:eastAsia="Calibri" w:hAnsi="Verdana" w:cs="Arial"/>
          <w:b/>
          <w:bCs/>
          <w:lang w:val="es-ES" w:eastAsia="es-ES"/>
        </w:rPr>
      </w:pPr>
      <w:r w:rsidRPr="00323333">
        <w:rPr>
          <w:rFonts w:ascii="Verdana" w:eastAsia="Calibri" w:hAnsi="Verdana" w:cs="Arial"/>
          <w:lang w:val="es-ES" w:eastAsia="es-ES"/>
        </w:rPr>
        <w:t>Ciudad</w:t>
      </w:r>
    </w:p>
    <w:p w14:paraId="66B861E2" w14:textId="77777777" w:rsidR="00EC5693" w:rsidRPr="00323333" w:rsidRDefault="00EC5693" w:rsidP="00EC5693">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B1039B" w:rsidRPr="00323333" w14:paraId="5DD2A2FF" w14:textId="77777777" w:rsidTr="00EC5693">
        <w:trPr>
          <w:trHeight w:val="308"/>
        </w:trPr>
        <w:tc>
          <w:tcPr>
            <w:tcW w:w="2689" w:type="dxa"/>
          </w:tcPr>
          <w:p w14:paraId="4A8FF76A" w14:textId="77777777" w:rsidR="00EC5693" w:rsidRPr="00323333" w:rsidRDefault="00EC5693" w:rsidP="00DB4B0A">
            <w:pPr>
              <w:jc w:val="both"/>
              <w:rPr>
                <w:rFonts w:ascii="Verdana" w:eastAsia="Calibri" w:hAnsi="Verdana" w:cs="Arial"/>
                <w:b/>
                <w:bCs/>
                <w:lang w:val="es-ES_tradnl" w:eastAsia="es-ES_tradnl"/>
              </w:rPr>
            </w:pPr>
          </w:p>
        </w:tc>
        <w:tc>
          <w:tcPr>
            <w:tcW w:w="6100" w:type="dxa"/>
          </w:tcPr>
          <w:p w14:paraId="10136EF5" w14:textId="7CBE9618" w:rsidR="00EC5693" w:rsidRPr="00323333" w:rsidRDefault="00EC5693" w:rsidP="00DB4B0A">
            <w:pPr>
              <w:jc w:val="both"/>
              <w:rPr>
                <w:rFonts w:ascii="Verdana" w:eastAsia="Calibri" w:hAnsi="Verdana" w:cs="Arial"/>
                <w:b/>
                <w:bCs/>
                <w:lang w:val="es-ES" w:eastAsia="es-ES"/>
              </w:rPr>
            </w:pPr>
            <w:r w:rsidRPr="00323333">
              <w:rPr>
                <w:rFonts w:ascii="Verdana" w:eastAsia="Calibri" w:hAnsi="Verdana" w:cs="Arial"/>
                <w:b/>
                <w:bCs/>
                <w:lang w:val="es-ES" w:eastAsia="es-ES"/>
              </w:rPr>
              <w:t>Concepto C-</w:t>
            </w:r>
            <w:r w:rsidR="0090652E">
              <w:rPr>
                <w:rFonts w:ascii="Verdana" w:eastAsia="Calibri" w:hAnsi="Verdana" w:cs="Arial"/>
                <w:b/>
                <w:bCs/>
                <w:lang w:val="es-ES" w:eastAsia="es-ES"/>
              </w:rPr>
              <w:t>909</w:t>
            </w:r>
            <w:r w:rsidRPr="00323333">
              <w:rPr>
                <w:rFonts w:ascii="Verdana" w:eastAsia="Calibri" w:hAnsi="Verdana" w:cs="Arial"/>
                <w:b/>
                <w:bCs/>
                <w:lang w:val="es-ES" w:eastAsia="es-ES"/>
              </w:rPr>
              <w:t xml:space="preserve"> de 2026</w:t>
            </w:r>
          </w:p>
          <w:p w14:paraId="5494717D" w14:textId="77777777" w:rsidR="00EC5693" w:rsidRPr="00323333" w:rsidRDefault="00EC5693" w:rsidP="00DB4B0A">
            <w:pPr>
              <w:jc w:val="both"/>
              <w:rPr>
                <w:rFonts w:ascii="Verdana" w:eastAsia="Calibri" w:hAnsi="Verdana" w:cs="Arial"/>
                <w:b/>
                <w:bCs/>
                <w:lang w:val="es-ES" w:eastAsia="es-ES"/>
              </w:rPr>
            </w:pPr>
          </w:p>
        </w:tc>
      </w:tr>
      <w:tr w:rsidR="00EC5693" w:rsidRPr="0090652E" w14:paraId="15C788F5" w14:textId="77777777" w:rsidTr="00DB4B0A">
        <w:trPr>
          <w:trHeight w:val="884"/>
        </w:trPr>
        <w:tc>
          <w:tcPr>
            <w:tcW w:w="2689" w:type="dxa"/>
          </w:tcPr>
          <w:p w14:paraId="74C401A0" w14:textId="77777777" w:rsidR="00EC5693" w:rsidRPr="00323333" w:rsidRDefault="00EC5693" w:rsidP="00DB4B0A">
            <w:pPr>
              <w:jc w:val="both"/>
              <w:rPr>
                <w:rFonts w:ascii="Verdana" w:eastAsia="Calibri" w:hAnsi="Verdana" w:cs="Arial"/>
                <w:lang w:val="es-ES_tradnl" w:eastAsia="es-ES_tradnl"/>
              </w:rPr>
            </w:pPr>
            <w:r w:rsidRPr="00323333">
              <w:rPr>
                <w:rFonts w:ascii="Verdana" w:eastAsia="Calibri" w:hAnsi="Verdana" w:cs="Arial"/>
                <w:b/>
                <w:lang w:val="es-ES_tradnl" w:eastAsia="es-ES_tradnl"/>
              </w:rPr>
              <w:t>Temas:</w:t>
            </w:r>
            <w:r w:rsidRPr="00323333">
              <w:rPr>
                <w:rFonts w:ascii="Verdana" w:eastAsia="Calibri" w:hAnsi="Verdana" w:cs="Arial"/>
                <w:lang w:val="es-ES_tradnl" w:eastAsia="es-ES_tradnl"/>
              </w:rPr>
              <w:t xml:space="preserve">                   </w:t>
            </w:r>
          </w:p>
        </w:tc>
        <w:tc>
          <w:tcPr>
            <w:tcW w:w="6100" w:type="dxa"/>
          </w:tcPr>
          <w:p w14:paraId="15A1D550" w14:textId="77777777" w:rsidR="00360F49" w:rsidRPr="00D918F2" w:rsidRDefault="00360F49" w:rsidP="00360F49">
            <w:pPr>
              <w:jc w:val="both"/>
              <w:rPr>
                <w:rFonts w:ascii="Verdana" w:hAnsi="Verdana" w:cs="Arial"/>
                <w:lang w:val="es-ES_tradnl"/>
              </w:rPr>
            </w:pPr>
            <w:r w:rsidRPr="00D918F2">
              <w:rPr>
                <w:rFonts w:ascii="Verdana" w:hAnsi="Verdana" w:cs="Arial"/>
                <w:lang w:val="es-ES_tradnl"/>
              </w:rPr>
              <w:t>INHABILIDADES – Taxatividad – Principio de legalidad – Interpretación restrictiva</w:t>
            </w:r>
            <w:r w:rsidRPr="00D918F2" w:rsidDel="00A75E55">
              <w:rPr>
                <w:rFonts w:ascii="Verdana" w:hAnsi="Verdana" w:cs="Arial"/>
                <w:lang w:val="es-ES_tradnl"/>
              </w:rPr>
              <w:t xml:space="preserve"> </w:t>
            </w:r>
            <w:r w:rsidRPr="00D918F2">
              <w:rPr>
                <w:rFonts w:ascii="Verdana" w:hAnsi="Verdana" w:cs="Arial"/>
                <w:lang w:val="es-ES_tradnl"/>
              </w:rPr>
              <w:t>/ INHABILIDADES E INCOMPATIBILIDADES – Ley 80 de 1993 –</w:t>
            </w:r>
            <w:r>
              <w:rPr>
                <w:rFonts w:ascii="Verdana" w:hAnsi="Verdana" w:cs="Arial"/>
                <w:lang w:val="es-ES_tradnl"/>
              </w:rPr>
              <w:t xml:space="preserve"> Artículo 8 </w:t>
            </w:r>
            <w:r w:rsidRPr="00D918F2">
              <w:rPr>
                <w:rFonts w:ascii="Verdana" w:hAnsi="Verdana" w:cs="Arial"/>
                <w:lang w:val="es-ES_tradnl"/>
              </w:rPr>
              <w:t>–</w:t>
            </w:r>
            <w:r>
              <w:rPr>
                <w:rFonts w:ascii="Verdana" w:hAnsi="Verdana" w:cs="Arial"/>
                <w:lang w:val="es-ES_tradnl"/>
              </w:rPr>
              <w:t xml:space="preserve"> Numeral 1 – Literal g) y h) </w:t>
            </w:r>
            <w:r>
              <w:rPr>
                <w:rFonts w:ascii="Verdana" w:hAnsi="Verdana" w:cs="Arial"/>
              </w:rPr>
              <w:t xml:space="preserve">/ </w:t>
            </w:r>
            <w:r>
              <w:rPr>
                <w:rFonts w:ascii="Verdana" w:eastAsia="Calibri" w:hAnsi="Verdana" w:cs="Calibri"/>
                <w:lang w:val="es-ES"/>
              </w:rPr>
              <w:t xml:space="preserve">CAUSALES DE RECHAZO – Pliegos de Condiciones – Configuración / </w:t>
            </w:r>
            <w:r w:rsidRPr="00FE10F1">
              <w:rPr>
                <w:rFonts w:ascii="Verdana" w:eastAsia="Calibri" w:hAnsi="Verdana" w:cs="Arial"/>
                <w:bCs/>
                <w:lang w:val="es-ES_tradnl" w:eastAsia="es-ES_tradnl"/>
              </w:rPr>
              <w:t>SOCIEDADES NUEVAS ‒ Experiencia ‒ Inferior a tres a</w:t>
            </w:r>
            <w:r w:rsidRPr="00FE10F1">
              <w:rPr>
                <w:rFonts w:ascii="Verdana" w:eastAsia="Calibri" w:hAnsi="Verdana" w:cs="Century Gothic"/>
                <w:bCs/>
                <w:lang w:val="es-ES_tradnl" w:eastAsia="es-ES_tradnl"/>
              </w:rPr>
              <w:t>ñ</w:t>
            </w:r>
            <w:r w:rsidRPr="00FE10F1">
              <w:rPr>
                <w:rFonts w:ascii="Verdana" w:eastAsia="Calibri" w:hAnsi="Verdana" w:cs="Arial"/>
                <w:bCs/>
                <w:lang w:val="es-ES_tradnl" w:eastAsia="es-ES_tradnl"/>
              </w:rPr>
              <w:t>os ‒ Requisitos habilitantes / EXPERIENCIA ‒ Conservaci</w:t>
            </w:r>
            <w:r w:rsidRPr="00FE10F1">
              <w:rPr>
                <w:rFonts w:ascii="Verdana" w:eastAsia="Calibri" w:hAnsi="Verdana" w:cs="Century Gothic"/>
                <w:bCs/>
                <w:lang w:val="es-ES_tradnl" w:eastAsia="es-ES_tradnl"/>
              </w:rPr>
              <w:t>ó</w:t>
            </w:r>
            <w:r w:rsidRPr="00FE10F1">
              <w:rPr>
                <w:rFonts w:ascii="Verdana" w:eastAsia="Calibri" w:hAnsi="Verdana" w:cs="Arial"/>
                <w:bCs/>
                <w:lang w:val="es-ES_tradnl" w:eastAsia="es-ES_tradnl"/>
              </w:rPr>
              <w:t>n</w:t>
            </w:r>
            <w:r>
              <w:rPr>
                <w:rFonts w:ascii="Verdana" w:eastAsia="Calibri" w:hAnsi="Verdana" w:cs="Arial"/>
                <w:bCs/>
                <w:lang w:val="es-ES_tradnl" w:eastAsia="es-ES_tradnl"/>
              </w:rPr>
              <w:t xml:space="preserve"> </w:t>
            </w:r>
            <w:r w:rsidRPr="00FE10F1">
              <w:rPr>
                <w:rFonts w:ascii="Verdana" w:eastAsia="Calibri" w:hAnsi="Verdana" w:cs="Arial"/>
                <w:bCs/>
                <w:lang w:val="es-ES_tradnl" w:eastAsia="es-ES_tradnl"/>
              </w:rPr>
              <w:t>‒</w:t>
            </w:r>
            <w:r>
              <w:rPr>
                <w:rFonts w:ascii="Verdana" w:eastAsia="Calibri" w:hAnsi="Verdana" w:cs="Arial"/>
                <w:bCs/>
                <w:lang w:val="es-ES_tradnl" w:eastAsia="es-ES_tradnl"/>
              </w:rPr>
              <w:t xml:space="preserve"> Renovación RUP</w:t>
            </w:r>
          </w:p>
          <w:p w14:paraId="1E7F5408" w14:textId="286A6B44" w:rsidR="00EC5693" w:rsidRPr="0090652E" w:rsidRDefault="00EC5693" w:rsidP="00DB4B0A">
            <w:pPr>
              <w:spacing w:line="276" w:lineRule="auto"/>
              <w:jc w:val="both"/>
              <w:rPr>
                <w:rFonts w:ascii="Verdana" w:eastAsia="Calibri" w:hAnsi="Verdana" w:cs="Arial"/>
                <w:highlight w:val="yellow"/>
                <w:lang w:val="es-ES" w:eastAsia="es-ES"/>
              </w:rPr>
            </w:pPr>
          </w:p>
        </w:tc>
      </w:tr>
    </w:tbl>
    <w:p w14:paraId="22DDCE83" w14:textId="77777777" w:rsidR="00EC5693" w:rsidRPr="00323333" w:rsidRDefault="00EC5693" w:rsidP="00EC5693">
      <w:pPr>
        <w:spacing w:after="0" w:line="240" w:lineRule="auto"/>
        <w:rPr>
          <w:rFonts w:ascii="Verdana" w:eastAsia="Calibri" w:hAnsi="Verdana" w:cs="Arial"/>
          <w:b/>
          <w:bCs/>
          <w:lang w:val="es-ES_tradnl"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EC5693" w:rsidRPr="00323333" w14:paraId="6186D541" w14:textId="77777777" w:rsidTr="00DB4B0A">
        <w:tc>
          <w:tcPr>
            <w:tcW w:w="2689" w:type="dxa"/>
          </w:tcPr>
          <w:p w14:paraId="32483136" w14:textId="77777777" w:rsidR="00EC5693" w:rsidRPr="00323333" w:rsidRDefault="00EC5693" w:rsidP="00DB4B0A">
            <w:pPr>
              <w:jc w:val="both"/>
              <w:rPr>
                <w:rFonts w:ascii="Verdana" w:eastAsia="Calibri" w:hAnsi="Verdana" w:cs="Arial"/>
                <w:b/>
                <w:lang w:val="es-ES_tradnl" w:eastAsia="es-ES_tradnl"/>
              </w:rPr>
            </w:pPr>
            <w:r w:rsidRPr="00323333">
              <w:rPr>
                <w:rFonts w:ascii="Verdana" w:eastAsia="Calibri" w:hAnsi="Verdana" w:cs="Arial"/>
                <w:b/>
                <w:lang w:val="es-ES_tradnl" w:eastAsia="es-ES_tradnl"/>
              </w:rPr>
              <w:t>Radicación:</w:t>
            </w:r>
            <w:r w:rsidRPr="00323333">
              <w:rPr>
                <w:rFonts w:ascii="Verdana" w:eastAsia="Calibri" w:hAnsi="Verdana" w:cs="Arial"/>
                <w:lang w:val="es-ES_tradnl" w:eastAsia="es-ES_tradnl"/>
              </w:rPr>
              <w:t xml:space="preserve">               </w:t>
            </w:r>
          </w:p>
        </w:tc>
        <w:tc>
          <w:tcPr>
            <w:tcW w:w="6100" w:type="dxa"/>
          </w:tcPr>
          <w:p w14:paraId="1694B23F" w14:textId="79859743" w:rsidR="00EC5693" w:rsidRPr="00323333" w:rsidRDefault="00EC5693" w:rsidP="00DB4B0A">
            <w:pPr>
              <w:jc w:val="both"/>
              <w:rPr>
                <w:rFonts w:ascii="Verdana" w:eastAsia="Calibri" w:hAnsi="Verdana" w:cs="Arial"/>
                <w:lang w:val="es-ES_tradnl" w:eastAsia="es-ES_tradnl"/>
              </w:rPr>
            </w:pPr>
            <w:r w:rsidRPr="00323333">
              <w:rPr>
                <w:rFonts w:ascii="Verdana" w:eastAsia="Calibri" w:hAnsi="Verdana" w:cs="Arial"/>
                <w:lang w:val="es-ES_tradnl" w:eastAsia="es-ES_tradnl"/>
              </w:rPr>
              <w:t xml:space="preserve">Respuesta a consulta con radicado No. </w:t>
            </w:r>
            <w:r w:rsidR="0090652E" w:rsidRPr="0090652E">
              <w:rPr>
                <w:rFonts w:ascii="Verdana" w:eastAsia="Calibri" w:hAnsi="Verdana" w:cs="Arial"/>
                <w:lang w:val="es-ES_tradnl" w:eastAsia="es-ES_tradnl"/>
              </w:rPr>
              <w:t>1_2026_05_29_007303</w:t>
            </w:r>
          </w:p>
        </w:tc>
      </w:tr>
    </w:tbl>
    <w:p w14:paraId="0CB00B90" w14:textId="77777777" w:rsidR="00EC5693" w:rsidRPr="00323333" w:rsidRDefault="00EC5693" w:rsidP="00EC5693">
      <w:pPr>
        <w:spacing w:after="0" w:line="240" w:lineRule="auto"/>
        <w:jc w:val="both"/>
        <w:rPr>
          <w:rFonts w:ascii="Verdana" w:eastAsia="Calibri" w:hAnsi="Verdana" w:cs="Arial"/>
          <w:lang w:val="es-ES_tradnl" w:eastAsia="es-ES_tradnl"/>
        </w:rPr>
      </w:pPr>
    </w:p>
    <w:p w14:paraId="58B84AD5" w14:textId="77777777" w:rsidR="00EC5693" w:rsidRPr="00323333" w:rsidRDefault="00EC5693" w:rsidP="00EC5693">
      <w:pPr>
        <w:spacing w:after="0" w:line="240" w:lineRule="auto"/>
        <w:jc w:val="both"/>
        <w:rPr>
          <w:rFonts w:ascii="Verdana" w:eastAsia="Calibri" w:hAnsi="Verdana" w:cs="Arial"/>
          <w:lang w:val="es-ES_tradnl" w:eastAsia="es-ES_tradnl"/>
        </w:rPr>
      </w:pPr>
    </w:p>
    <w:p w14:paraId="311BBE13" w14:textId="6E74BD4E" w:rsidR="00EC5693" w:rsidRPr="00323333" w:rsidRDefault="00EC5693" w:rsidP="00EC5693">
      <w:pPr>
        <w:spacing w:after="0" w:line="276" w:lineRule="auto"/>
        <w:jc w:val="both"/>
        <w:rPr>
          <w:rFonts w:ascii="Verdana" w:eastAsia="Calibri" w:hAnsi="Verdana" w:cs="Arial"/>
          <w:lang w:val="es-ES" w:eastAsia="es-ES"/>
        </w:rPr>
      </w:pPr>
      <w:r w:rsidRPr="00323333">
        <w:rPr>
          <w:rFonts w:ascii="Verdana" w:eastAsia="Calibri" w:hAnsi="Verdana" w:cs="Arial"/>
          <w:lang w:val="es-ES" w:eastAsia="es-ES"/>
        </w:rPr>
        <w:t>Estima</w:t>
      </w:r>
      <w:r w:rsidR="0024395D" w:rsidRPr="00323333">
        <w:rPr>
          <w:rFonts w:ascii="Verdana" w:eastAsia="Calibri" w:hAnsi="Verdana" w:cs="Arial"/>
          <w:lang w:val="es-ES" w:eastAsia="es-ES"/>
        </w:rPr>
        <w:t>d</w:t>
      </w:r>
      <w:r w:rsidR="00F5646B">
        <w:rPr>
          <w:rFonts w:ascii="Verdana" w:eastAsia="Calibri" w:hAnsi="Verdana" w:cs="Arial"/>
          <w:lang w:val="es-ES" w:eastAsia="es-ES"/>
        </w:rPr>
        <w:t>o señor</w:t>
      </w:r>
      <w:r w:rsidR="009B06E9">
        <w:rPr>
          <w:rFonts w:ascii="Verdana" w:eastAsia="Calibri" w:hAnsi="Verdana" w:cs="Arial"/>
          <w:lang w:val="es-ES" w:eastAsia="es-ES"/>
        </w:rPr>
        <w:t xml:space="preserve"> Gaitán</w:t>
      </w:r>
      <w:r w:rsidRPr="00323333">
        <w:rPr>
          <w:rFonts w:ascii="Verdana" w:eastAsia="Calibri" w:hAnsi="Verdana" w:cs="Arial"/>
          <w:lang w:val="es-ES" w:eastAsia="es-ES"/>
        </w:rPr>
        <w:t xml:space="preserve">: </w:t>
      </w:r>
    </w:p>
    <w:p w14:paraId="10579993" w14:textId="77777777" w:rsidR="00EC5693" w:rsidRPr="00323333" w:rsidRDefault="00EC5693" w:rsidP="00EC5693">
      <w:pPr>
        <w:tabs>
          <w:tab w:val="left" w:pos="3768"/>
        </w:tabs>
        <w:spacing w:after="0" w:line="276" w:lineRule="auto"/>
        <w:jc w:val="both"/>
        <w:rPr>
          <w:rFonts w:ascii="Verdana" w:eastAsia="Calibri" w:hAnsi="Verdana" w:cs="Arial"/>
          <w:lang w:val="es-ES" w:eastAsia="es-ES"/>
        </w:rPr>
      </w:pPr>
    </w:p>
    <w:p w14:paraId="0BAB5880" w14:textId="17560FB4" w:rsidR="00EC5693" w:rsidRPr="00323333" w:rsidRDefault="00EC5693" w:rsidP="00EC5693">
      <w:pPr>
        <w:spacing w:after="0" w:line="276" w:lineRule="auto"/>
        <w:jc w:val="both"/>
        <w:rPr>
          <w:rFonts w:ascii="Verdana" w:eastAsia="Calibri" w:hAnsi="Verdana" w:cs="Arial"/>
          <w:lang w:val="es-ES" w:eastAsia="es-ES"/>
        </w:rPr>
      </w:pPr>
      <w:r w:rsidRPr="00323333">
        <w:rPr>
          <w:rFonts w:ascii="Verdana" w:eastAsia="Calibri" w:hAnsi="Verdana" w:cs="Arial"/>
          <w:lang w:val="es-ES" w:eastAsia="es-ES"/>
        </w:rPr>
        <w:t>En ejercicio de la competencia otorgada por los artículos 3, numeral 5º, y 11, numeral 8º, del Decreto Ley 4170 de 2011,</w:t>
      </w:r>
      <w:r w:rsidRPr="00323333">
        <w:rPr>
          <w:rFonts w:ascii="Verdana" w:eastAsia="Arial MT" w:hAnsi="Verdana" w:cs="Arial MT"/>
          <w:lang w:val="es-ES" w:eastAsia="es-ES"/>
        </w:rPr>
        <w:t xml:space="preserve"> </w:t>
      </w:r>
      <w:r w:rsidRPr="00323333">
        <w:rPr>
          <w:rFonts w:ascii="Verdana" w:eastAsia="Aptos" w:hAnsi="Verdana" w:cs="Arial"/>
        </w:rPr>
        <w:t xml:space="preserve">así como lo establecido en el artículo 4 de la Resolución 1707 de 2018 expedida por esta Entidad, </w:t>
      </w:r>
      <w:r w:rsidRPr="00323333">
        <w:rPr>
          <w:rFonts w:ascii="Verdana" w:eastAsia="Calibri" w:hAnsi="Verdana" w:cs="Arial"/>
          <w:lang w:val="es-ES" w:eastAsia="es-ES"/>
        </w:rPr>
        <w:t xml:space="preserve">la Agencia Nacional de Contratación Pública – Colombia Compra Eficiente– responde su petición del </w:t>
      </w:r>
      <w:r w:rsidR="009B06E9">
        <w:rPr>
          <w:rFonts w:ascii="Verdana" w:eastAsia="Calibri" w:hAnsi="Verdana" w:cs="Arial"/>
          <w:lang w:val="es-ES" w:eastAsia="es-ES"/>
        </w:rPr>
        <w:t>18 de junio</w:t>
      </w:r>
      <w:r w:rsidRPr="00323333">
        <w:rPr>
          <w:rFonts w:ascii="Verdana" w:eastAsia="Calibri" w:hAnsi="Verdana" w:cs="Arial"/>
          <w:lang w:val="es-ES" w:eastAsia="es-ES"/>
        </w:rPr>
        <w:t xml:space="preserve"> de 2026</w:t>
      </w:r>
      <w:r w:rsidR="0004153E" w:rsidRPr="00323333">
        <w:rPr>
          <w:rFonts w:ascii="Verdana" w:eastAsia="Calibri" w:hAnsi="Verdana" w:cs="Arial"/>
          <w:lang w:val="es-ES" w:eastAsia="es-ES"/>
        </w:rPr>
        <w:t xml:space="preserve">, en la que </w:t>
      </w:r>
      <w:r w:rsidRPr="00323333">
        <w:rPr>
          <w:rFonts w:ascii="Verdana" w:eastAsia="Calibri" w:hAnsi="Verdana" w:cs="Arial"/>
          <w:lang w:val="es-ES" w:eastAsia="es-ES"/>
        </w:rPr>
        <w:t xml:space="preserve">realiza la siguiente consulta: </w:t>
      </w:r>
    </w:p>
    <w:p w14:paraId="476ECD8A" w14:textId="77777777" w:rsidR="00EC5693" w:rsidRPr="00323333" w:rsidRDefault="00EC5693" w:rsidP="00EC5693">
      <w:pPr>
        <w:spacing w:after="0" w:line="276" w:lineRule="auto"/>
        <w:jc w:val="both"/>
        <w:rPr>
          <w:rFonts w:ascii="Verdana" w:eastAsia="Calibri" w:hAnsi="Verdana" w:cs="Arial"/>
          <w:lang w:val="es-ES" w:eastAsia="es-ES"/>
        </w:rPr>
      </w:pPr>
    </w:p>
    <w:p w14:paraId="78DD9AA2" w14:textId="4009F09A" w:rsidR="00843B96" w:rsidRPr="00323333" w:rsidRDefault="009B06E9" w:rsidP="009B06E9">
      <w:pPr>
        <w:pStyle w:val="Prrafodelista"/>
        <w:spacing w:after="0" w:line="240" w:lineRule="auto"/>
        <w:ind w:left="1069" w:right="709"/>
        <w:jc w:val="both"/>
        <w:rPr>
          <w:rFonts w:ascii="Verdana" w:eastAsia="Calibri" w:hAnsi="Verdana" w:cs="Arial"/>
          <w:sz w:val="20"/>
          <w:szCs w:val="20"/>
          <w:lang w:val="es-MX"/>
        </w:rPr>
      </w:pPr>
      <w:r>
        <w:rPr>
          <w:rFonts w:ascii="Verdana" w:eastAsia="Calibri" w:hAnsi="Verdana" w:cs="Arial"/>
          <w:sz w:val="20"/>
          <w:szCs w:val="20"/>
          <w:lang w:val="es-MX"/>
        </w:rPr>
        <w:t>“Por medio de la presente me permito solicitarles de manera resp</w:t>
      </w:r>
      <w:r w:rsidR="006C79CB">
        <w:rPr>
          <w:rFonts w:ascii="Verdana" w:eastAsia="Calibri" w:hAnsi="Verdana" w:cs="Arial"/>
          <w:sz w:val="20"/>
          <w:szCs w:val="20"/>
          <w:lang w:val="es-MX"/>
        </w:rPr>
        <w:t xml:space="preserve">etuosa un concepto por parte de ustedes, si don empresas SAS, que comparten un socio o accionista para poder utilizar la experiencia del accionista, se pueden presentar en un proceso licitatorio ambas empresas, desde el punto de vista que son dos personas jurídicas </w:t>
      </w:r>
      <w:r w:rsidR="006C79CB">
        <w:rPr>
          <w:rFonts w:ascii="Verdana" w:eastAsia="Calibri" w:hAnsi="Verdana" w:cs="Arial"/>
          <w:sz w:val="20"/>
          <w:szCs w:val="20"/>
          <w:lang w:val="es-MX"/>
        </w:rPr>
        <w:lastRenderedPageBreak/>
        <w:t>diferentes</w:t>
      </w:r>
      <w:r w:rsidR="00FF09A3">
        <w:rPr>
          <w:rFonts w:ascii="Verdana" w:eastAsia="Calibri" w:hAnsi="Verdana" w:cs="Arial"/>
          <w:sz w:val="20"/>
          <w:szCs w:val="20"/>
          <w:lang w:val="es-MX"/>
        </w:rPr>
        <w:t xml:space="preserve"> y con representantes legales diferentes, que tienen NIT diferentes</w:t>
      </w:r>
      <w:r w:rsidR="006723A8" w:rsidRPr="00323333">
        <w:rPr>
          <w:rFonts w:ascii="Verdana" w:eastAsia="Calibri" w:hAnsi="Verdana" w:cs="Arial"/>
          <w:sz w:val="20"/>
          <w:szCs w:val="20"/>
          <w:lang w:val="es-MX"/>
        </w:rPr>
        <w:t>”</w:t>
      </w:r>
      <w:r w:rsidR="00FF09A3">
        <w:rPr>
          <w:rFonts w:ascii="Verdana" w:eastAsia="Calibri" w:hAnsi="Verdana" w:cs="Arial"/>
          <w:sz w:val="20"/>
          <w:szCs w:val="20"/>
          <w:lang w:val="es-MX"/>
        </w:rPr>
        <w:t>.</w:t>
      </w:r>
      <w:r w:rsidR="006723A8" w:rsidRPr="00323333">
        <w:rPr>
          <w:rFonts w:ascii="Verdana" w:eastAsia="Calibri" w:hAnsi="Verdana" w:cs="Arial"/>
          <w:sz w:val="20"/>
          <w:szCs w:val="20"/>
          <w:lang w:val="es-MX"/>
        </w:rPr>
        <w:t xml:space="preserve"> [sic]</w:t>
      </w:r>
    </w:p>
    <w:p w14:paraId="6B7C3E02" w14:textId="77777777" w:rsidR="00EC5693" w:rsidRPr="00323333" w:rsidRDefault="00EC5693" w:rsidP="00EC5693">
      <w:pPr>
        <w:spacing w:after="0" w:line="276" w:lineRule="auto"/>
        <w:jc w:val="both"/>
        <w:rPr>
          <w:rFonts w:ascii="Verdana" w:eastAsia="Calibri" w:hAnsi="Verdana" w:cs="Arial"/>
          <w:lang w:val="es-ES" w:eastAsia="es-ES"/>
        </w:rPr>
      </w:pPr>
    </w:p>
    <w:p w14:paraId="1863C332" w14:textId="50764947" w:rsidR="00EC5693" w:rsidRPr="00323333" w:rsidRDefault="00EC5693" w:rsidP="00EC5693">
      <w:pPr>
        <w:spacing w:after="120" w:line="276" w:lineRule="auto"/>
        <w:jc w:val="both"/>
        <w:rPr>
          <w:rFonts w:ascii="Verdana" w:eastAsia="Calibri" w:hAnsi="Verdana" w:cs="Arial"/>
          <w:lang w:val="es-ES" w:eastAsia="es-ES"/>
        </w:rPr>
      </w:pPr>
      <w:r w:rsidRPr="00323333">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sidR="004C793F" w:rsidRPr="00323333">
        <w:rPr>
          <w:rFonts w:ascii="Verdana" w:eastAsia="Calibri" w:hAnsi="Verdana" w:cs="Arial"/>
          <w:lang w:val="es-ES" w:eastAsia="es-ES"/>
        </w:rPr>
        <w:t xml:space="preserve">la Agencia Nacional de Contratación Pública – </w:t>
      </w:r>
      <w:r w:rsidRPr="00323333">
        <w:rPr>
          <w:rFonts w:ascii="Verdana" w:eastAsia="Calibri" w:hAnsi="Verdana" w:cs="Arial"/>
          <w:lang w:val="es-ES" w:eastAsia="es-ES"/>
        </w:rPr>
        <w:t xml:space="preserve">Colombia Compra Eficiente como una autoridad para solucionar problemas jurídicos particulares de todos los partícipes del </w:t>
      </w:r>
      <w:r w:rsidR="00A66936" w:rsidRPr="00323333">
        <w:rPr>
          <w:rFonts w:ascii="Verdana" w:eastAsia="Calibri" w:hAnsi="Verdana" w:cs="Arial"/>
          <w:lang w:val="es-ES" w:eastAsia="es-ES"/>
        </w:rPr>
        <w:t>S</w:t>
      </w:r>
      <w:r w:rsidRPr="00323333">
        <w:rPr>
          <w:rFonts w:ascii="Verdana" w:eastAsia="Calibri" w:hAnsi="Verdana" w:cs="Arial"/>
          <w:lang w:val="es-ES" w:eastAsia="es-ES"/>
        </w:rPr>
        <w:t xml:space="preserve">istema de </w:t>
      </w:r>
      <w:r w:rsidR="00A66936" w:rsidRPr="00323333">
        <w:rPr>
          <w:rFonts w:ascii="Verdana" w:eastAsia="Calibri" w:hAnsi="Verdana" w:cs="Arial"/>
          <w:lang w:val="es-ES" w:eastAsia="es-ES"/>
        </w:rPr>
        <w:t>C</w:t>
      </w:r>
      <w:r w:rsidRPr="00323333">
        <w:rPr>
          <w:rFonts w:ascii="Verdana" w:eastAsia="Calibri" w:hAnsi="Verdana" w:cs="Arial"/>
          <w:lang w:val="es-ES" w:eastAsia="es-ES"/>
        </w:rPr>
        <w:t xml:space="preserve">ompra </w:t>
      </w:r>
      <w:r w:rsidR="00A66936" w:rsidRPr="00323333">
        <w:rPr>
          <w:rFonts w:ascii="Verdana" w:eastAsia="Calibri" w:hAnsi="Verdana" w:cs="Arial"/>
          <w:lang w:val="es-ES" w:eastAsia="es-ES"/>
        </w:rPr>
        <w:t>y Contratación P</w:t>
      </w:r>
      <w:r w:rsidRPr="00323333">
        <w:rPr>
          <w:rFonts w:ascii="Verdana" w:eastAsia="Calibri" w:hAnsi="Verdana" w:cs="Arial"/>
          <w:lang w:val="es-ES" w:eastAsia="es-ES"/>
        </w:rPr>
        <w:t xml:space="preserve">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4644215E" w14:textId="77777777" w:rsidR="00EC5693" w:rsidRPr="00323333" w:rsidRDefault="00EC5693" w:rsidP="00EC5693">
      <w:pPr>
        <w:spacing w:after="0" w:line="276" w:lineRule="auto"/>
        <w:ind w:firstLine="709"/>
        <w:jc w:val="both"/>
        <w:rPr>
          <w:rFonts w:ascii="Verdana" w:eastAsia="Calibri" w:hAnsi="Verdana" w:cs="Arial"/>
          <w:lang w:val="es-ES" w:eastAsia="es-ES"/>
        </w:rPr>
      </w:pPr>
      <w:r w:rsidRPr="00323333">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3EC0E293" w14:textId="77777777" w:rsidR="00EC5693" w:rsidRPr="00323333" w:rsidRDefault="00EC5693" w:rsidP="00EC5693">
      <w:pPr>
        <w:spacing w:after="0" w:line="276" w:lineRule="auto"/>
        <w:ind w:firstLine="709"/>
        <w:jc w:val="both"/>
        <w:rPr>
          <w:rFonts w:ascii="Verdana" w:eastAsia="Calibri" w:hAnsi="Verdana" w:cs="Arial"/>
          <w:lang w:val="es-ES" w:eastAsia="es-ES"/>
        </w:rPr>
      </w:pPr>
    </w:p>
    <w:p w14:paraId="08C0E990" w14:textId="77777777" w:rsidR="00EC5693" w:rsidRPr="00323333" w:rsidRDefault="00EC5693" w:rsidP="00EC5693">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323333">
        <w:rPr>
          <w:rFonts w:ascii="Verdana" w:eastAsia="Arial" w:hAnsi="Verdana" w:cs="Arial"/>
          <w:b/>
          <w:bCs/>
          <w:lang w:val="es-ES"/>
        </w:rPr>
        <w:t>1. Problema planteado:</w:t>
      </w:r>
    </w:p>
    <w:p w14:paraId="6BCCE9B7" w14:textId="77777777" w:rsidR="00EC5693" w:rsidRPr="00323333" w:rsidRDefault="00EC5693" w:rsidP="00EC5693">
      <w:pPr>
        <w:tabs>
          <w:tab w:val="left" w:pos="426"/>
        </w:tabs>
        <w:spacing w:after="0" w:line="276" w:lineRule="auto"/>
        <w:jc w:val="both"/>
        <w:rPr>
          <w:rFonts w:ascii="Verdana" w:eastAsia="Century Gothic" w:hAnsi="Verdana" w:cs="Century Gothic"/>
          <w:lang w:val="es-ES"/>
        </w:rPr>
      </w:pPr>
    </w:p>
    <w:p w14:paraId="1F329C07" w14:textId="664EC13F" w:rsidR="00E04496" w:rsidRPr="005A3B40" w:rsidRDefault="00EC5693" w:rsidP="00E04496">
      <w:pPr>
        <w:spacing w:after="0" w:line="276" w:lineRule="auto"/>
        <w:jc w:val="both"/>
        <w:rPr>
          <w:rFonts w:ascii="Verdana" w:eastAsia="Calibri" w:hAnsi="Verdana" w:cs="Arial"/>
          <w:color w:val="000000"/>
          <w:lang w:eastAsia="es-ES"/>
        </w:rPr>
      </w:pPr>
      <w:r w:rsidRPr="00323333">
        <w:rPr>
          <w:rFonts w:ascii="Verdana" w:eastAsia="Century Gothic" w:hAnsi="Verdana" w:cs="Century Gothic"/>
        </w:rPr>
        <w:t xml:space="preserve">De acuerdo con el contenido de su solicitud, le informamos que la misma se resolverá desde </w:t>
      </w:r>
      <w:r w:rsidR="005B0EE9">
        <w:rPr>
          <w:rFonts w:ascii="Verdana" w:eastAsia="Century Gothic" w:hAnsi="Verdana" w:cs="Century Gothic"/>
        </w:rPr>
        <w:t>el siguiente</w:t>
      </w:r>
      <w:r w:rsidRPr="00323333">
        <w:rPr>
          <w:rFonts w:ascii="Verdana" w:eastAsia="Century Gothic" w:hAnsi="Verdana" w:cs="Century Gothic"/>
        </w:rPr>
        <w:t xml:space="preserve"> </w:t>
      </w:r>
      <w:bookmarkStart w:id="1" w:name="_Hlk171070029"/>
      <w:r w:rsidRPr="00323333">
        <w:rPr>
          <w:rFonts w:ascii="Verdana" w:eastAsia="Century Gothic" w:hAnsi="Verdana" w:cs="Century Gothic"/>
        </w:rPr>
        <w:t>interrogante:</w:t>
      </w:r>
      <w:r w:rsidR="00C708BE" w:rsidRPr="00323333">
        <w:rPr>
          <w:rFonts w:ascii="Verdana" w:eastAsia="Century Gothic" w:hAnsi="Verdana" w:cs="Century Gothic"/>
        </w:rPr>
        <w:t xml:space="preserve"> </w:t>
      </w:r>
      <w:r w:rsidR="00D82D77">
        <w:rPr>
          <w:rFonts w:ascii="Verdana" w:eastAsia="Century Gothic" w:hAnsi="Verdana" w:cs="Century Gothic"/>
        </w:rPr>
        <w:t>¿</w:t>
      </w:r>
      <w:r w:rsidR="00E04496" w:rsidRPr="00E638C6">
        <w:rPr>
          <w:rFonts w:ascii="Verdana" w:hAnsi="Verdana" w:cs="ArialMT"/>
          <w14:ligatures w14:val="standardContextual"/>
        </w:rPr>
        <w:t>Es jurídicamente viable que dos personas jurídicas con un socio común participen simultáneamente en un mismo proceso de selección y acrediten la experiencia de dicho socio como requisito habilitante?</w:t>
      </w:r>
    </w:p>
    <w:p w14:paraId="37FAA409" w14:textId="77777777" w:rsidR="00EC5693" w:rsidRPr="00323333" w:rsidRDefault="00EC5693" w:rsidP="00D34501">
      <w:pPr>
        <w:spacing w:after="0"/>
        <w:jc w:val="both"/>
        <w:rPr>
          <w:rFonts w:ascii="Verdana" w:hAnsi="Verdana"/>
        </w:rPr>
      </w:pPr>
    </w:p>
    <w:bookmarkEnd w:id="1"/>
    <w:p w14:paraId="2573B31B" w14:textId="77777777" w:rsidR="00EC5693" w:rsidRPr="00323333" w:rsidRDefault="00EC5693" w:rsidP="00D34501">
      <w:pPr>
        <w:widowControl w:val="0"/>
        <w:autoSpaceDE w:val="0"/>
        <w:autoSpaceDN w:val="0"/>
        <w:spacing w:before="1" w:after="0" w:line="240" w:lineRule="auto"/>
        <w:jc w:val="both"/>
        <w:outlineLvl w:val="0"/>
        <w:rPr>
          <w:rFonts w:ascii="Verdana" w:eastAsia="Arial" w:hAnsi="Verdana" w:cs="Arial"/>
          <w:b/>
          <w:bCs/>
          <w:lang w:val="es-ES"/>
        </w:rPr>
      </w:pPr>
      <w:r w:rsidRPr="00323333">
        <w:rPr>
          <w:rFonts w:ascii="Verdana" w:eastAsia="Arial" w:hAnsi="Verdana" w:cs="Arial"/>
          <w:b/>
          <w:bCs/>
          <w:lang w:val="es-ES"/>
        </w:rPr>
        <w:t>2. Respuesta:</w:t>
      </w:r>
    </w:p>
    <w:p w14:paraId="62AAD15F" w14:textId="77777777" w:rsidR="00EC5693" w:rsidRPr="00323333" w:rsidRDefault="00EC5693" w:rsidP="00EC5693">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C5693" w:rsidRPr="00323333" w14:paraId="5C4FE3BB" w14:textId="77777777" w:rsidTr="00DB4B0A">
        <w:tc>
          <w:tcPr>
            <w:tcW w:w="8828" w:type="dxa"/>
          </w:tcPr>
          <w:p w14:paraId="67F05E5F" w14:textId="513F9267" w:rsidR="00BC00C4" w:rsidRDefault="00BC00C4" w:rsidP="00BC00C4">
            <w:pPr>
              <w:spacing w:after="120" w:line="276" w:lineRule="auto"/>
              <w:jc w:val="both"/>
              <w:rPr>
                <w:rFonts w:ascii="Verdana" w:hAnsi="Verdana"/>
              </w:rPr>
            </w:pPr>
            <w:bookmarkStart w:id="2" w:name="_Hlk171067516"/>
            <w:r w:rsidRPr="00D721E0">
              <w:rPr>
                <w:rFonts w:ascii="Verdana" w:eastAsia="Calibri" w:hAnsi="Verdana" w:cs="Times New Roman"/>
              </w:rPr>
              <w:t>Se descarta en este supuesto de inhabilidades como la contemplada en literal g) del numeral 1 del artículo 8 de la Ley 80 de 1993</w:t>
            </w:r>
            <w:r w:rsidRPr="00D721E0">
              <w:rPr>
                <w:rFonts w:ascii="Verdana" w:hAnsi="Verdana"/>
              </w:rPr>
              <w:t xml:space="preserve">, la cual </w:t>
            </w:r>
            <w:r>
              <w:rPr>
                <w:rFonts w:ascii="Verdana" w:hAnsi="Verdana"/>
              </w:rPr>
              <w:t>es aplicable</w:t>
            </w:r>
            <w:r w:rsidRPr="00D721E0">
              <w:rPr>
                <w:rFonts w:ascii="Verdana" w:hAnsi="Verdana"/>
              </w:rPr>
              <w:t xml:space="preserve"> </w:t>
            </w:r>
            <w:r>
              <w:rPr>
                <w:rFonts w:ascii="Verdana" w:hAnsi="Verdana"/>
              </w:rPr>
              <w:t xml:space="preserve">a personas naturales oferentes con </w:t>
            </w:r>
            <w:r w:rsidRPr="00D721E0">
              <w:rPr>
                <w:rFonts w:ascii="Verdana" w:hAnsi="Verdana"/>
              </w:rPr>
              <w:t xml:space="preserve">vínculos de parentesco —cónyuges o compañeros permanentes, o parientes hasta segundo grado de </w:t>
            </w:r>
            <w:r w:rsidRPr="00D721E0">
              <w:rPr>
                <w:rFonts w:ascii="Verdana" w:hAnsi="Verdana"/>
              </w:rPr>
              <w:lastRenderedPageBreak/>
              <w:t xml:space="preserve">consanguinidad o afinidad— </w:t>
            </w:r>
            <w:r>
              <w:rPr>
                <w:rFonts w:ascii="Verdana" w:hAnsi="Verdana"/>
              </w:rPr>
              <w:t>con otros oferentes que se presentan al mismo proceso. Esto en la medida en que, el supuesto de hecho de la inhabilidad descrita está dirigido a quienes tienen una relación de parentesco con otro oferente, en los grados indicados en la norma, lo que la hace inaplicable a personas jurídicas quienes no tienen relaciones de parentesco.</w:t>
            </w:r>
          </w:p>
          <w:p w14:paraId="0B614280" w14:textId="0940B27E" w:rsidR="00BC00C4" w:rsidRDefault="00BC00C4" w:rsidP="00BC00C4">
            <w:pPr>
              <w:spacing w:after="120" w:line="276" w:lineRule="auto"/>
              <w:ind w:firstLine="709"/>
              <w:jc w:val="both"/>
              <w:rPr>
                <w:rFonts w:ascii="Verdana" w:hAnsi="Verdana"/>
              </w:rPr>
            </w:pPr>
            <w:r>
              <w:rPr>
                <w:rFonts w:ascii="Verdana" w:hAnsi="Verdana"/>
              </w:rPr>
              <w:t xml:space="preserve">Tampoco es aplicable en este supuesto la inhabilidad prevista en el literal h) del numeral 1 del artículo 8 de la Ley de 1993, </w:t>
            </w:r>
            <w:r w:rsidRPr="00D721E0">
              <w:rPr>
                <w:rFonts w:ascii="Verdana" w:hAnsi="Verdana"/>
              </w:rPr>
              <w:t xml:space="preserve">la cual </w:t>
            </w:r>
            <w:r>
              <w:rPr>
                <w:rFonts w:ascii="Verdana" w:hAnsi="Verdana"/>
              </w:rPr>
              <w:t>restringe la capacidad</w:t>
            </w:r>
            <w:r w:rsidRPr="00D721E0">
              <w:rPr>
                <w:rFonts w:ascii="Verdana" w:hAnsi="Verdana"/>
              </w:rPr>
              <w:t xml:space="preserve"> </w:t>
            </w:r>
            <w:r>
              <w:rPr>
                <w:rFonts w:ascii="Verdana" w:hAnsi="Verdana"/>
              </w:rPr>
              <w:t xml:space="preserve">de </w:t>
            </w:r>
            <w:r w:rsidRPr="00D721E0">
              <w:rPr>
                <w:rFonts w:ascii="Verdana" w:hAnsi="Verdana"/>
              </w:rPr>
              <w:t>sociedades distintas de las anónimas abiertas</w:t>
            </w:r>
            <w:r>
              <w:rPr>
                <w:rFonts w:ascii="Verdana" w:hAnsi="Verdana"/>
              </w:rPr>
              <w:t>,</w:t>
            </w:r>
            <w:r w:rsidRPr="00D721E0">
              <w:rPr>
                <w:rFonts w:ascii="Verdana" w:hAnsi="Verdana"/>
              </w:rPr>
              <w:t xml:space="preserve"> en las </w:t>
            </w:r>
            <w:r>
              <w:rPr>
                <w:rFonts w:ascii="Verdana" w:hAnsi="Verdana"/>
              </w:rPr>
              <w:t>que</w:t>
            </w:r>
            <w:r w:rsidRPr="00D721E0">
              <w:rPr>
                <w:rFonts w:ascii="Verdana" w:hAnsi="Verdana"/>
              </w:rPr>
              <w:t xml:space="preserve"> el representante legal o cualquiera de sus socios tenga parentesco hasta segundo grado de consanguinidad o afinidad con el representante legal o con cualquiera de los socios de otra sociedad que haya presentado propuesta para la misma licitación o concurso. </w:t>
            </w:r>
            <w:r>
              <w:rPr>
                <w:rFonts w:ascii="Verdana" w:hAnsi="Verdana"/>
              </w:rPr>
              <w:t>Si bien esta inhabilidad es aplicable a personas jurídicas, no se configura en la hipótesis materia de consulta, ya que ello exige la existencia de una relación de parentesco entre alg</w:t>
            </w:r>
            <w:r w:rsidR="00DE4BF6">
              <w:rPr>
                <w:rFonts w:ascii="Verdana" w:hAnsi="Verdana"/>
              </w:rPr>
              <w:t>uno de los</w:t>
            </w:r>
            <w:r>
              <w:rPr>
                <w:rFonts w:ascii="Verdana" w:hAnsi="Verdana"/>
              </w:rPr>
              <w:t xml:space="preserve"> socios o representantes de dos personas jurídicas oferentes, lo cual es distinto a que una misma persona tenga participación en el capital de dos sociedades que compiten en un proceso de contratación. </w:t>
            </w:r>
          </w:p>
          <w:p w14:paraId="2D40CFC4" w14:textId="781B790E" w:rsidR="00BC00C4" w:rsidRDefault="00BC00C4" w:rsidP="00BC00C4">
            <w:pPr>
              <w:spacing w:after="120" w:line="276" w:lineRule="auto"/>
              <w:ind w:firstLine="709"/>
              <w:jc w:val="both"/>
              <w:rPr>
                <w:rFonts w:ascii="Verdana" w:hAnsi="Verdana"/>
              </w:rPr>
            </w:pPr>
            <w:r>
              <w:rPr>
                <w:rFonts w:ascii="Verdana" w:hAnsi="Verdana"/>
              </w:rPr>
              <w:t>Lo anterior sin perjuicio de que supuestos como el descrito</w:t>
            </w:r>
            <w:r w:rsidR="009570F7">
              <w:rPr>
                <w:rFonts w:ascii="Verdana" w:hAnsi="Verdana"/>
              </w:rPr>
              <w:t>,</w:t>
            </w:r>
            <w:r>
              <w:rPr>
                <w:rFonts w:ascii="Verdana" w:hAnsi="Verdana"/>
              </w:rPr>
              <w:t xml:space="preserve"> sean restringidos por la Entidades Estatales a través de causales de rechazo establecidas en el marco de la planeación del contrato y la configuración del pliego de condiciones, como un mecanismo para garantizar transparencia y selección objetiva. Es por esto por lo que, el análisis requerido para determinar si dos personas jurídicas que comparten un socio pueden participar de manera separada en un mismo proceso, necesariamente debe realizarse a luz de lo establecido por las reglas determinadas para el respectivo proceso de selección. </w:t>
            </w:r>
          </w:p>
          <w:p w14:paraId="2A6F4C93" w14:textId="77777777" w:rsidR="00BC00C4" w:rsidRDefault="00BC00C4" w:rsidP="00BC00C4">
            <w:pPr>
              <w:spacing w:after="120" w:line="276" w:lineRule="auto"/>
              <w:ind w:firstLine="709"/>
              <w:jc w:val="both"/>
              <w:rPr>
                <w:rFonts w:ascii="Verdana" w:eastAsia="Calibri" w:hAnsi="Verdana" w:cs="Times New Roman"/>
              </w:rPr>
            </w:pPr>
            <w:r w:rsidRPr="00D65676">
              <w:rPr>
                <w:rFonts w:ascii="Verdana" w:eastAsia="Calibri" w:hAnsi="Verdana" w:cs="Times New Roman"/>
              </w:rPr>
              <w:t>En lo relativo a la</w:t>
            </w:r>
            <w:r>
              <w:rPr>
                <w:rFonts w:ascii="Verdana" w:eastAsia="Calibri" w:hAnsi="Verdana" w:cs="Times New Roman"/>
              </w:rPr>
              <w:t xml:space="preserve"> posibilidad de que, en el mismo supuesto, las referidas dos sociedades </w:t>
            </w:r>
            <w:r w:rsidRPr="00D65676">
              <w:rPr>
                <w:rFonts w:ascii="Verdana" w:eastAsia="Calibri" w:hAnsi="Verdana" w:cs="Times New Roman"/>
              </w:rPr>
              <w:t>acredit</w:t>
            </w:r>
            <w:r>
              <w:rPr>
                <w:rFonts w:ascii="Verdana" w:eastAsia="Calibri" w:hAnsi="Verdana" w:cs="Times New Roman"/>
              </w:rPr>
              <w:t xml:space="preserve">en experiencia adquirida por el socio común, debe advertirse que, cuando las personas jurídicas de reciente constitución ejercen la prerrogativa contemplada en el numeral 2.5. del artículo </w:t>
            </w:r>
            <w:r w:rsidRPr="00EB3E03">
              <w:rPr>
                <w:rFonts w:ascii="Verdana" w:eastAsia="Calibri" w:hAnsi="Verdana" w:cs="Times New Roman"/>
              </w:rPr>
              <w:t>2.2.1.1.1.5.2</w:t>
            </w:r>
            <w:r>
              <w:rPr>
                <w:rFonts w:ascii="Verdana" w:eastAsia="Calibri" w:hAnsi="Verdana" w:cs="Times New Roman"/>
              </w:rPr>
              <w:t xml:space="preserve"> del Decreto 1082 de 2015 que permite inscribir como propia la experiencia adquirida por sus socios o constituyentes, dicha experiencia se incorpora en el RUP de la persona jurídica una vez este adquiere firmeza. Esto significa que, dichas sociedades pueden acreditar dicha experiencia en procesos de contratación, en tanto dicha información no pierda firmeza, no habiendo una </w:t>
            </w:r>
            <w:r>
              <w:rPr>
                <w:rFonts w:ascii="Verdana" w:eastAsia="Calibri" w:hAnsi="Verdana" w:cs="Times New Roman"/>
              </w:rPr>
              <w:lastRenderedPageBreak/>
              <w:t xml:space="preserve">restricción para que más de una persona jurídica inscriba en su RUP la experiencia adquirida por una misma persona, ni tampoco para que quienes la inscribieron la acrediten dentro en un mismo proceso de contratación.   </w:t>
            </w:r>
          </w:p>
          <w:p w14:paraId="2457EDF0" w14:textId="0AD969FD" w:rsidR="00685F19" w:rsidRPr="00323333" w:rsidRDefault="00BC00C4" w:rsidP="00BC00C4">
            <w:pPr>
              <w:snapToGrid w:val="0"/>
              <w:spacing w:line="276" w:lineRule="auto"/>
              <w:ind w:firstLine="709"/>
              <w:contextualSpacing/>
              <w:jc w:val="both"/>
              <w:rPr>
                <w:rFonts w:ascii="Verdana" w:eastAsia="Geomanist Light" w:hAnsi="Verdana" w:cs="Arial"/>
                <w:color w:val="000000"/>
                <w:lang w:val="es-MX"/>
              </w:rPr>
            </w:pPr>
            <w:r>
              <w:rPr>
                <w:rFonts w:ascii="Verdana" w:eastAsia="Calibri" w:hAnsi="Verdana" w:cs="Times New Roman"/>
                <w:lang w:val="es-ES"/>
              </w:rPr>
              <w:t>Finalmente</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r>
              <w:rPr>
                <w:rFonts w:ascii="Verdana" w:eastAsia="Calibri" w:hAnsi="Verdana" w:cs="Times New Roman"/>
                <w:lang w:val="es-ES"/>
              </w:rPr>
              <w:t>.</w:t>
            </w:r>
          </w:p>
        </w:tc>
      </w:tr>
      <w:bookmarkEnd w:id="2"/>
    </w:tbl>
    <w:p w14:paraId="7FE06B13" w14:textId="77777777" w:rsidR="00EC5693" w:rsidRPr="00323333" w:rsidRDefault="00EC5693" w:rsidP="00EC5693">
      <w:pPr>
        <w:widowControl w:val="0"/>
        <w:autoSpaceDE w:val="0"/>
        <w:autoSpaceDN w:val="0"/>
        <w:spacing w:before="1" w:after="0" w:line="240" w:lineRule="auto"/>
        <w:ind w:left="360" w:hanging="360"/>
        <w:outlineLvl w:val="0"/>
        <w:rPr>
          <w:rFonts w:ascii="Verdana" w:eastAsia="Arial" w:hAnsi="Verdana" w:cs="Arial"/>
          <w:b/>
        </w:rPr>
      </w:pPr>
    </w:p>
    <w:p w14:paraId="5F78B88D" w14:textId="77777777" w:rsidR="00EC5693" w:rsidRPr="00323333" w:rsidRDefault="00EC5693" w:rsidP="00EC5693">
      <w:pPr>
        <w:widowControl w:val="0"/>
        <w:autoSpaceDE w:val="0"/>
        <w:autoSpaceDN w:val="0"/>
        <w:spacing w:before="1" w:after="0" w:line="240" w:lineRule="auto"/>
        <w:ind w:left="360" w:hanging="360"/>
        <w:outlineLvl w:val="0"/>
        <w:rPr>
          <w:rFonts w:ascii="Verdana" w:eastAsia="Arial" w:hAnsi="Verdana" w:cs="Arial"/>
          <w:b/>
          <w:bCs/>
          <w:lang w:val="es-ES"/>
        </w:rPr>
      </w:pPr>
      <w:r w:rsidRPr="00323333">
        <w:rPr>
          <w:rFonts w:ascii="Verdana" w:eastAsia="Arial" w:hAnsi="Verdana" w:cs="Arial"/>
          <w:b/>
          <w:bCs/>
          <w:lang w:val="es-ES"/>
        </w:rPr>
        <w:t>3. Razones de la respuesta</w:t>
      </w:r>
    </w:p>
    <w:p w14:paraId="354CF4C8" w14:textId="77777777" w:rsidR="00EC5693" w:rsidRPr="00323333" w:rsidRDefault="00EC5693" w:rsidP="00EC5693">
      <w:pPr>
        <w:spacing w:after="0" w:line="276" w:lineRule="auto"/>
        <w:jc w:val="both"/>
        <w:rPr>
          <w:rFonts w:ascii="Verdana" w:eastAsia="Calibri" w:hAnsi="Verdana" w:cs="Arial"/>
          <w:lang w:val="es-ES"/>
        </w:rPr>
      </w:pPr>
    </w:p>
    <w:p w14:paraId="64576449" w14:textId="77777777" w:rsidR="00EC5693" w:rsidRPr="00323333" w:rsidRDefault="00EC5693" w:rsidP="00EC5693">
      <w:pPr>
        <w:spacing w:after="0" w:line="276" w:lineRule="auto"/>
        <w:jc w:val="both"/>
        <w:rPr>
          <w:rFonts w:ascii="Verdana" w:eastAsia="Calibri" w:hAnsi="Verdana" w:cs="Arial"/>
          <w:lang w:val="es-ES"/>
        </w:rPr>
      </w:pPr>
      <w:r w:rsidRPr="00323333">
        <w:rPr>
          <w:rFonts w:ascii="Verdana" w:eastAsia="Calibri" w:hAnsi="Verdana" w:cs="Arial"/>
          <w:lang w:val="es-ES"/>
        </w:rPr>
        <w:t xml:space="preserve">Las respuestas anteriores se sustentan en las siguientes consideraciones: </w:t>
      </w:r>
    </w:p>
    <w:p w14:paraId="07AF373D" w14:textId="77777777" w:rsidR="00EC5693" w:rsidRPr="00323333" w:rsidRDefault="00EC5693" w:rsidP="00EC5693">
      <w:pPr>
        <w:spacing w:after="0" w:line="276" w:lineRule="auto"/>
        <w:jc w:val="both"/>
        <w:rPr>
          <w:rFonts w:ascii="Verdana" w:eastAsia="Calibri" w:hAnsi="Verdana" w:cs="Arial"/>
          <w:lang w:val="es-ES"/>
        </w:rPr>
      </w:pPr>
    </w:p>
    <w:p w14:paraId="6996BFB1" w14:textId="77777777" w:rsidR="00CD6F29" w:rsidRPr="004F6FF1" w:rsidRDefault="00313C88" w:rsidP="00CD6F29">
      <w:pPr>
        <w:spacing w:line="276" w:lineRule="auto"/>
        <w:jc w:val="both"/>
        <w:rPr>
          <w:rFonts w:ascii="Verdana" w:eastAsia="Aptos" w:hAnsi="Verdana" w:cs="Arial"/>
        </w:rPr>
      </w:pPr>
      <w:r>
        <w:rPr>
          <w:rFonts w:ascii="Verdana" w:eastAsia="Calibri" w:hAnsi="Verdana" w:cs="Arial"/>
          <w:lang w:val="es-ES"/>
        </w:rPr>
        <w:t xml:space="preserve">i) </w:t>
      </w:r>
      <w:r w:rsidR="00CD6F29">
        <w:rPr>
          <w:rFonts w:ascii="Verdana" w:eastAsia="Calibri" w:hAnsi="Verdana" w:cs="Arial"/>
        </w:rPr>
        <w:t>E</w:t>
      </w:r>
      <w:r w:rsidR="00CD6F29" w:rsidRPr="004F6FF1">
        <w:rPr>
          <w:rFonts w:ascii="Verdana" w:eastAsia="Aptos" w:hAnsi="Verdana" w:cs="Arial"/>
          <w:lang w:val="es-MX"/>
        </w:rPr>
        <w:t xml:space="preserve">l régimen de </w:t>
      </w:r>
      <w:bookmarkStart w:id="3" w:name="_Hlk173850721"/>
      <w:r w:rsidR="00CD6F29" w:rsidRPr="004F6FF1">
        <w:rPr>
          <w:rFonts w:ascii="Verdana" w:eastAsia="Aptos" w:hAnsi="Verdana" w:cs="Arial"/>
          <w:lang w:val="es-MX"/>
        </w:rPr>
        <w:t>inhabilidades para contratar con el Estado es un conjunto de restricciones establecidas por el constituyente o por el legislador que afectan directamente la capacidad de las personas para establecer relaciones contractuales con el Estado</w:t>
      </w:r>
      <w:bookmarkEnd w:id="3"/>
      <w:r w:rsidR="00CD6F29" w:rsidRPr="004F6FF1">
        <w:rPr>
          <w:rFonts w:ascii="Verdana" w:eastAsia="Aptos" w:hAnsi="Verdana" w:cs="Arial"/>
          <w:lang w:val="es-MX"/>
        </w:rPr>
        <w:t xml:space="preserve">, que pueden resultar de condenas, sanciones o situaciones previamente </w:t>
      </w:r>
      <w:r w:rsidR="00CD6F29" w:rsidRPr="004F6FF1">
        <w:rPr>
          <w:rFonts w:ascii="Verdana" w:eastAsia="Aptos" w:hAnsi="Verdana" w:cs="Arial"/>
        </w:rPr>
        <w:t>consagradas</w:t>
      </w:r>
      <w:r w:rsidR="00CD6F29" w:rsidRPr="004F6FF1">
        <w:rPr>
          <w:rFonts w:ascii="Verdana" w:eastAsia="Aptos" w:hAnsi="Verdana" w:cs="Arial"/>
          <w:lang w:val="es-MX"/>
        </w:rPr>
        <w:t xml:space="preserve"> por el ordenamiento jurídico</w:t>
      </w:r>
      <w:r w:rsidR="00CD6F29" w:rsidRPr="004F6FF1">
        <w:rPr>
          <w:rFonts w:ascii="Verdana" w:eastAsia="Aptos" w:hAnsi="Verdana" w:cs="Arial"/>
        </w:rPr>
        <w:t>. Sobre el particular, la</w:t>
      </w:r>
      <w:r w:rsidR="00CD6F29" w:rsidRPr="004F6FF1">
        <w:rPr>
          <w:rFonts w:ascii="Verdana" w:eastAsia="Aptos" w:hAnsi="Verdana" w:cs="Arial"/>
          <w:lang w:val="es-MX"/>
        </w:rPr>
        <w:t xml:space="preserve">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00CD6F29" w:rsidRPr="00925BAB">
        <w:rPr>
          <w:vertAlign w:val="superscript"/>
        </w:rPr>
        <w:footnoteReference w:id="1"/>
      </w:r>
      <w:r w:rsidR="00CD6F29" w:rsidRPr="004F6FF1">
        <w:rPr>
          <w:rFonts w:ascii="Verdana" w:eastAsia="Aptos" w:hAnsi="Verdana" w:cs="Arial"/>
          <w:lang w:val="es-MX"/>
        </w:rPr>
        <w:t xml:space="preserve">. </w:t>
      </w:r>
    </w:p>
    <w:p w14:paraId="5744D559" w14:textId="77777777" w:rsidR="00CD6F29" w:rsidRPr="0060163E" w:rsidRDefault="00CD6F29" w:rsidP="00CD6F29">
      <w:pPr>
        <w:spacing w:before="120" w:after="0" w:line="276" w:lineRule="auto"/>
        <w:ind w:firstLine="709"/>
        <w:jc w:val="both"/>
        <w:rPr>
          <w:rFonts w:ascii="Verdana" w:eastAsia="Calibri" w:hAnsi="Verdana" w:cs="Arial"/>
          <w:lang w:val="es-MX"/>
        </w:rPr>
      </w:pPr>
      <w:r w:rsidRPr="0060163E">
        <w:rPr>
          <w:rFonts w:ascii="Verdana" w:eastAsia="Calibri" w:hAnsi="Verdana" w:cs="Arial"/>
          <w:lang w:val="es-MX"/>
        </w:rPr>
        <w:t xml:space="preserve">La regulación de las inhabilidades que implican limitaciones a la capacidad jurídica para contratar, que desarrolla los principios de la función administrativa consagrados en el artículo 209 de la Constitución Política, con especial énfasis el de moralidad. Así lo entiende el Consejo de Estado: </w:t>
      </w:r>
    </w:p>
    <w:p w14:paraId="06B98E54" w14:textId="77777777" w:rsidR="00CD6F29" w:rsidRPr="0060163E" w:rsidRDefault="00CD6F29" w:rsidP="00CD6F29">
      <w:pPr>
        <w:spacing w:after="0" w:line="240" w:lineRule="auto"/>
        <w:jc w:val="both"/>
        <w:rPr>
          <w:rFonts w:ascii="Verdana" w:eastAsia="Calibri" w:hAnsi="Verdana" w:cs="Arial"/>
          <w:lang w:val="es-MX"/>
        </w:rPr>
      </w:pPr>
    </w:p>
    <w:p w14:paraId="1795DB93" w14:textId="06C0BB39" w:rsidR="00CD6F29" w:rsidRPr="0060163E" w:rsidRDefault="00172D16" w:rsidP="00CD6F29">
      <w:pPr>
        <w:shd w:val="clear" w:color="auto" w:fill="FFFFFF"/>
        <w:spacing w:after="0" w:line="240" w:lineRule="auto"/>
        <w:ind w:left="709" w:right="709"/>
        <w:jc w:val="both"/>
        <w:rPr>
          <w:rFonts w:ascii="Verdana" w:eastAsia="Calibri" w:hAnsi="Verdana" w:cs="Arial"/>
          <w:sz w:val="20"/>
          <w:szCs w:val="20"/>
          <w:lang w:val="es-ES"/>
        </w:rPr>
      </w:pPr>
      <w:r>
        <w:rPr>
          <w:rFonts w:ascii="Verdana" w:eastAsia="Calibri" w:hAnsi="Verdana" w:cs="Arial"/>
          <w:sz w:val="20"/>
          <w:szCs w:val="20"/>
          <w:lang w:val="es-ES"/>
        </w:rPr>
        <w:t>“</w:t>
      </w:r>
      <w:r w:rsidR="00CD6F29" w:rsidRPr="0060163E">
        <w:rPr>
          <w:rFonts w:ascii="Verdana" w:eastAsia="Calibri" w:hAnsi="Verdana" w:cs="Arial"/>
          <w:sz w:val="20"/>
          <w:szCs w:val="20"/>
          <w:lang w:val="es-ES"/>
        </w:rPr>
        <w:t xml:space="preserve">De manera primordial en esta reflexión debe advertirse que la consagración legal de las incompatibilidades e inhabilidades en materia contractual, no es sino desarrollo del Principio de Moralidad que la Constitución Política consagra como uno de los rectores de la Función </w:t>
      </w:r>
      <w:r w:rsidR="00CD6F29" w:rsidRPr="0060163E">
        <w:rPr>
          <w:rFonts w:ascii="Verdana" w:eastAsia="Calibri" w:hAnsi="Verdana" w:cs="Arial"/>
          <w:sz w:val="20"/>
          <w:szCs w:val="20"/>
          <w:lang w:val="es-ES"/>
        </w:rPr>
        <w:lastRenderedPageBreak/>
        <w:t>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6B154C93" w14:textId="77777777" w:rsidR="00CD6F29" w:rsidRPr="0060163E" w:rsidRDefault="00CD6F29" w:rsidP="00CD6F29">
      <w:pPr>
        <w:shd w:val="clear" w:color="auto" w:fill="FFFFFF"/>
        <w:spacing w:after="0" w:line="240" w:lineRule="auto"/>
        <w:ind w:left="709" w:right="709"/>
        <w:jc w:val="both"/>
        <w:rPr>
          <w:rFonts w:ascii="Verdana" w:eastAsia="Calibri" w:hAnsi="Verdana" w:cs="Arial"/>
          <w:sz w:val="20"/>
          <w:szCs w:val="20"/>
          <w:lang w:val="es-ES"/>
        </w:rPr>
      </w:pPr>
    </w:p>
    <w:p w14:paraId="2B2789C2" w14:textId="3A11DB83" w:rsidR="00CD6F29" w:rsidRPr="0060163E" w:rsidRDefault="00CD6F29" w:rsidP="00CD6F29">
      <w:pPr>
        <w:shd w:val="clear" w:color="auto" w:fill="FFFFFF"/>
        <w:spacing w:after="0" w:line="240" w:lineRule="auto"/>
        <w:ind w:left="709" w:right="709"/>
        <w:jc w:val="both"/>
        <w:rPr>
          <w:rFonts w:ascii="Verdana" w:eastAsia="Calibri" w:hAnsi="Verdana" w:cs="Arial"/>
          <w:sz w:val="20"/>
          <w:szCs w:val="20"/>
          <w:lang w:val="es-ES"/>
        </w:rPr>
      </w:pPr>
      <w:r w:rsidRPr="0060163E">
        <w:rPr>
          <w:rFonts w:ascii="Verdana" w:eastAsia="Calibri" w:hAnsi="Verdana" w:cs="Arial"/>
          <w:sz w:val="20"/>
          <w:szCs w:val="20"/>
          <w:lang w:val="es-ES"/>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00172D16">
        <w:rPr>
          <w:rFonts w:ascii="Verdana" w:eastAsia="Calibri" w:hAnsi="Verdana" w:cs="Arial"/>
          <w:sz w:val="20"/>
          <w:szCs w:val="20"/>
          <w:lang w:val="es-ES"/>
        </w:rPr>
        <w:t>”</w:t>
      </w:r>
      <w:r w:rsidRPr="0060163E">
        <w:rPr>
          <w:rFonts w:ascii="Verdana" w:eastAsia="Calibri" w:hAnsi="Verdana" w:cs="Arial"/>
          <w:sz w:val="20"/>
          <w:szCs w:val="20"/>
          <w:vertAlign w:val="superscript"/>
          <w:lang w:val="es-ES"/>
        </w:rPr>
        <w:footnoteReference w:id="2"/>
      </w:r>
      <w:r>
        <w:rPr>
          <w:rFonts w:ascii="Verdana" w:eastAsia="Calibri" w:hAnsi="Verdana" w:cs="Arial"/>
          <w:sz w:val="20"/>
          <w:szCs w:val="20"/>
          <w:lang w:val="es-ES"/>
        </w:rPr>
        <w:t>.</w:t>
      </w:r>
    </w:p>
    <w:p w14:paraId="26DC8FC0" w14:textId="77777777" w:rsidR="00CD6F29" w:rsidRPr="0060163E" w:rsidRDefault="00CD6F29" w:rsidP="00CD6F29">
      <w:pPr>
        <w:shd w:val="clear" w:color="auto" w:fill="FFFFFF"/>
        <w:spacing w:after="0" w:line="240" w:lineRule="auto"/>
        <w:ind w:left="709" w:right="709"/>
        <w:jc w:val="both"/>
        <w:rPr>
          <w:rFonts w:ascii="Verdana" w:eastAsia="Calibri" w:hAnsi="Verdana" w:cs="Arial"/>
          <w:lang w:val="es-ES"/>
        </w:rPr>
      </w:pPr>
    </w:p>
    <w:p w14:paraId="76837C08" w14:textId="77777777" w:rsidR="00CD6F29" w:rsidRPr="0060163E" w:rsidRDefault="00CD6F29" w:rsidP="00CD6F29">
      <w:pPr>
        <w:spacing w:after="0" w:line="276" w:lineRule="auto"/>
        <w:ind w:firstLine="709"/>
        <w:jc w:val="both"/>
        <w:rPr>
          <w:rFonts w:ascii="Verdana" w:eastAsia="Calibri" w:hAnsi="Verdana" w:cs="Arial"/>
          <w:lang w:val="es-MX"/>
        </w:rPr>
      </w:pPr>
      <w:r w:rsidRPr="0060163E">
        <w:rPr>
          <w:rFonts w:ascii="Verdana" w:eastAsia="Calibri" w:hAnsi="Verdana" w:cs="Arial"/>
          <w:lang w:val="es-MX"/>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 </w:t>
      </w:r>
    </w:p>
    <w:p w14:paraId="2D3A4375" w14:textId="77777777" w:rsidR="00CD6F29" w:rsidRPr="0060163E" w:rsidRDefault="00CD6F29" w:rsidP="00CD6F29">
      <w:pPr>
        <w:spacing w:after="0" w:line="276" w:lineRule="auto"/>
        <w:rPr>
          <w:rFonts w:ascii="Verdana" w:eastAsia="Times New Roman" w:hAnsi="Verdana" w:cs="Arial"/>
          <w:shd w:val="clear" w:color="auto" w:fill="FFFFFF"/>
          <w:lang w:eastAsia="es-ES_tradnl"/>
        </w:rPr>
      </w:pPr>
    </w:p>
    <w:p w14:paraId="2F3A9F6B" w14:textId="17B79176" w:rsidR="00CD6F29" w:rsidRPr="0060163E" w:rsidRDefault="00CD6F29" w:rsidP="00CD6F29">
      <w:pPr>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w:t>
      </w:r>
      <w:r w:rsidRPr="0060163E">
        <w:rPr>
          <w:rFonts w:ascii="Verdana" w:eastAsia="Calibri" w:hAnsi="Verdana" w:cs="Arial"/>
          <w:sz w:val="20"/>
          <w:szCs w:val="20"/>
          <w:lang w:val="es-MX"/>
        </w:rPr>
        <w:t>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incompatibilidades, se erige en causal de nulidad del contrato celebrado en esas condiciones (ley 80 de 1993, art. 44).</w:t>
      </w:r>
    </w:p>
    <w:p w14:paraId="7702A362" w14:textId="77777777" w:rsidR="00CD6F29" w:rsidRPr="0060163E" w:rsidRDefault="00CD6F29" w:rsidP="00CD6F29">
      <w:pPr>
        <w:spacing w:after="0" w:line="240" w:lineRule="auto"/>
        <w:ind w:left="709" w:right="709"/>
        <w:jc w:val="both"/>
        <w:rPr>
          <w:rFonts w:ascii="Verdana" w:eastAsia="Calibri" w:hAnsi="Verdana" w:cs="Arial"/>
          <w:sz w:val="20"/>
          <w:szCs w:val="20"/>
          <w:lang w:val="es-MX"/>
        </w:rPr>
      </w:pPr>
    </w:p>
    <w:p w14:paraId="3B42ECCC" w14:textId="3F932C07" w:rsidR="00CD6F29" w:rsidRPr="0060163E" w:rsidRDefault="00CD6F29" w:rsidP="00CD6F29">
      <w:pPr>
        <w:spacing w:after="0" w:line="240" w:lineRule="auto"/>
        <w:ind w:left="709" w:right="709"/>
        <w:jc w:val="both"/>
        <w:rPr>
          <w:rFonts w:ascii="Verdana" w:eastAsia="Calibri" w:hAnsi="Verdana" w:cs="Arial"/>
          <w:sz w:val="20"/>
          <w:szCs w:val="20"/>
          <w:lang w:val="es-MX"/>
        </w:rPr>
      </w:pPr>
      <w:r w:rsidRPr="0060163E">
        <w:rPr>
          <w:rFonts w:ascii="Verdana" w:eastAsia="Calibri" w:hAnsi="Verdana" w:cs="Arial"/>
          <w:sz w:val="20"/>
          <w:szCs w:val="20"/>
          <w:lang w:val="es-MX"/>
        </w:rPr>
        <w:t xml:space="preserve">El carácter reconocidamente taxativo y restrictivo de este régimen y el de las correlativas nulidades, obedece a la necesidad de salvaguardar el </w:t>
      </w:r>
      <w:r w:rsidRPr="0060163E">
        <w:rPr>
          <w:rFonts w:ascii="Verdana" w:eastAsia="Calibri" w:hAnsi="Verdana" w:cs="Arial"/>
          <w:sz w:val="20"/>
          <w:szCs w:val="20"/>
          <w:lang w:val="es-MX"/>
        </w:rPr>
        <w:lastRenderedPageBreak/>
        <w:t>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Pr>
          <w:rFonts w:ascii="Verdana" w:eastAsia="Calibri" w:hAnsi="Verdana" w:cs="Arial"/>
          <w:sz w:val="20"/>
          <w:szCs w:val="20"/>
          <w:lang w:val="es-MX"/>
        </w:rPr>
        <w:t>”</w:t>
      </w:r>
      <w:r w:rsidRPr="0060163E">
        <w:rPr>
          <w:rFonts w:ascii="Verdana" w:eastAsia="Calibri" w:hAnsi="Verdana" w:cs="Arial"/>
          <w:sz w:val="20"/>
          <w:szCs w:val="20"/>
          <w:vertAlign w:val="superscript"/>
          <w:lang w:val="es-MX"/>
        </w:rPr>
        <w:footnoteReference w:id="3"/>
      </w:r>
      <w:r w:rsidRPr="0060163E">
        <w:rPr>
          <w:rFonts w:ascii="Verdana" w:eastAsia="Calibri" w:hAnsi="Verdana" w:cs="Arial"/>
          <w:sz w:val="20"/>
          <w:szCs w:val="20"/>
          <w:lang w:val="es-MX"/>
        </w:rPr>
        <w:t xml:space="preserve">. </w:t>
      </w:r>
    </w:p>
    <w:p w14:paraId="1183343D" w14:textId="77777777" w:rsidR="00CD6F29" w:rsidRPr="0060163E" w:rsidRDefault="00CD6F29" w:rsidP="00CD6F29">
      <w:pPr>
        <w:spacing w:after="0" w:line="276" w:lineRule="auto"/>
        <w:ind w:right="709"/>
        <w:jc w:val="both"/>
        <w:rPr>
          <w:rFonts w:ascii="Verdana" w:eastAsia="Calibri" w:hAnsi="Verdana" w:cs="Arial"/>
          <w:lang w:val="es-MX"/>
        </w:rPr>
      </w:pPr>
    </w:p>
    <w:p w14:paraId="7177D1BD" w14:textId="77777777" w:rsidR="00CD6F29" w:rsidRPr="0060163E" w:rsidRDefault="00CD6F29" w:rsidP="00CD6F29">
      <w:pPr>
        <w:spacing w:after="0" w:line="276" w:lineRule="auto"/>
        <w:ind w:firstLine="709"/>
        <w:jc w:val="both"/>
        <w:rPr>
          <w:rFonts w:ascii="Verdana" w:eastAsia="Calibri" w:hAnsi="Verdana" w:cs="Arial"/>
          <w:lang w:val="es-MX"/>
        </w:rPr>
      </w:pPr>
      <w:r w:rsidRPr="0060163E">
        <w:rPr>
          <w:rFonts w:ascii="Verdana" w:eastAsia="Calibri" w:hAnsi="Verdana" w:cs="Arial"/>
          <w:lang w:val="es-MX"/>
        </w:rPr>
        <w:t>Además, la Corte Constitucional explica que el legislador tiene la competencia para determinar qué hechos o situaciones generan inhabilidad para contratar, pues este régimen es un aspecto propio del Estatuto General de Contratación de la Administración Pública – en adelante EGCAP –, cuya expedición compete al Congreso de la República a la luz del artículo 150 de la Constitución Política, y que en esta materia rige el principio de legalidad:</w:t>
      </w:r>
    </w:p>
    <w:p w14:paraId="1CB627BD" w14:textId="77777777" w:rsidR="00CD6F29" w:rsidRDefault="00CD6F29" w:rsidP="00CD6F29">
      <w:pPr>
        <w:spacing w:after="0" w:line="240" w:lineRule="auto"/>
        <w:ind w:left="709" w:right="709"/>
        <w:jc w:val="both"/>
        <w:rPr>
          <w:rFonts w:ascii="Verdana" w:eastAsia="Calibri" w:hAnsi="Verdana" w:cs="Arial"/>
          <w:sz w:val="20"/>
          <w:szCs w:val="20"/>
          <w:lang w:val="es-MX"/>
        </w:rPr>
      </w:pPr>
    </w:p>
    <w:p w14:paraId="131F3CAE" w14:textId="06610B08" w:rsidR="00CD6F29" w:rsidRPr="0060163E" w:rsidRDefault="00CD6F29" w:rsidP="00CD6F29">
      <w:pPr>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w:t>
      </w:r>
      <w:r w:rsidRPr="0060163E">
        <w:rPr>
          <w:rFonts w:ascii="Verdana" w:eastAsia="Calibri" w:hAnsi="Verdana" w:cs="Arial"/>
          <w:sz w:val="20"/>
          <w:szCs w:val="20"/>
          <w:lang w:val="es-MX"/>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w:t>
      </w:r>
      <w:proofErr w:type="spellStart"/>
      <w:r w:rsidRPr="0060163E">
        <w:rPr>
          <w:rFonts w:ascii="Verdana" w:eastAsia="Calibri" w:hAnsi="Verdana" w:cs="Arial"/>
          <w:sz w:val="20"/>
          <w:szCs w:val="20"/>
          <w:lang w:val="es-MX"/>
        </w:rPr>
        <w:t>libertate</w:t>
      </w:r>
      <w:proofErr w:type="spellEnd"/>
      <w:r w:rsidRPr="0060163E">
        <w:rPr>
          <w:rFonts w:ascii="Verdana" w:eastAsia="Calibri" w:hAnsi="Verdana" w:cs="Arial"/>
          <w:sz w:val="20"/>
          <w:szCs w:val="20"/>
          <w:lang w:val="es-MX"/>
        </w:rPr>
        <w:t xml:space="preserve">, sino el de legalidad, el que ordena que la función pública debe someterse estrictamente a lo que disponga la Constitución y la ley (CP art. 6). </w:t>
      </w:r>
    </w:p>
    <w:p w14:paraId="0F11AB85" w14:textId="77777777" w:rsidR="00CD6F29" w:rsidRPr="0060163E" w:rsidRDefault="00CD6F29" w:rsidP="00CD6F29">
      <w:pPr>
        <w:spacing w:after="0" w:line="240" w:lineRule="auto"/>
        <w:ind w:left="709" w:right="709"/>
        <w:jc w:val="both"/>
        <w:rPr>
          <w:rFonts w:ascii="Verdana" w:eastAsia="Calibri" w:hAnsi="Verdana" w:cs="Arial"/>
          <w:sz w:val="20"/>
          <w:szCs w:val="20"/>
          <w:lang w:val="es-MX"/>
        </w:rPr>
      </w:pPr>
      <w:r w:rsidRPr="0060163E">
        <w:rPr>
          <w:rFonts w:ascii="Verdana" w:eastAsia="Calibri" w:hAnsi="Verdana" w:cs="Arial"/>
          <w:sz w:val="20"/>
          <w:szCs w:val="20"/>
          <w:lang w:val="es-MX"/>
        </w:rPr>
        <w:t xml:space="preserve">[…] </w:t>
      </w:r>
    </w:p>
    <w:p w14:paraId="44321019" w14:textId="52E215C9" w:rsidR="00CD6F29" w:rsidRPr="0060163E" w:rsidRDefault="00CD6F29" w:rsidP="00CD6F29">
      <w:pPr>
        <w:spacing w:after="0" w:line="240" w:lineRule="auto"/>
        <w:ind w:left="709" w:right="709"/>
        <w:jc w:val="both"/>
        <w:rPr>
          <w:rFonts w:ascii="Verdana" w:eastAsia="Calibri" w:hAnsi="Verdana" w:cs="Arial"/>
          <w:sz w:val="20"/>
          <w:szCs w:val="20"/>
          <w:lang w:val="es-MX"/>
        </w:rPr>
      </w:pPr>
      <w:r w:rsidRPr="0060163E">
        <w:rPr>
          <w:rFonts w:ascii="Verdana" w:eastAsia="Calibri" w:hAnsi="Verdana" w:cs="Arial"/>
          <w:sz w:val="20"/>
          <w:szCs w:val="20"/>
          <w:lang w:val="es-MX"/>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Pr>
          <w:rFonts w:ascii="Verdana" w:eastAsia="Calibri" w:hAnsi="Verdana" w:cs="Arial"/>
          <w:sz w:val="20"/>
          <w:szCs w:val="20"/>
          <w:lang w:val="es-MX"/>
        </w:rPr>
        <w:t>”</w:t>
      </w:r>
      <w:r w:rsidRPr="0060163E">
        <w:rPr>
          <w:rFonts w:ascii="Verdana" w:eastAsia="Calibri" w:hAnsi="Verdana" w:cs="Arial"/>
          <w:sz w:val="20"/>
          <w:szCs w:val="20"/>
          <w:vertAlign w:val="superscript"/>
          <w:lang w:val="es-MX"/>
        </w:rPr>
        <w:footnoteReference w:id="4"/>
      </w:r>
      <w:r w:rsidRPr="0060163E">
        <w:rPr>
          <w:rFonts w:ascii="Verdana" w:eastAsia="Calibri" w:hAnsi="Verdana" w:cs="Arial"/>
          <w:sz w:val="20"/>
          <w:szCs w:val="20"/>
          <w:lang w:val="es-MX"/>
        </w:rPr>
        <w:t>.</w:t>
      </w:r>
    </w:p>
    <w:p w14:paraId="4FA06600" w14:textId="77777777" w:rsidR="00CD6F29" w:rsidRPr="0060163E" w:rsidRDefault="00CD6F29" w:rsidP="00CD6F29">
      <w:pPr>
        <w:spacing w:after="0" w:line="276" w:lineRule="auto"/>
        <w:ind w:left="709" w:right="709"/>
        <w:jc w:val="both"/>
        <w:rPr>
          <w:rFonts w:ascii="Verdana" w:eastAsia="Calibri" w:hAnsi="Verdana" w:cs="Arial"/>
          <w:lang w:val="es-MX"/>
        </w:rPr>
      </w:pPr>
    </w:p>
    <w:p w14:paraId="5775DC73" w14:textId="77777777" w:rsidR="00CD6F29" w:rsidRPr="0060163E" w:rsidRDefault="00CD6F29" w:rsidP="00CD6F29">
      <w:pPr>
        <w:spacing w:after="120" w:line="276" w:lineRule="auto"/>
        <w:ind w:firstLine="709"/>
        <w:jc w:val="both"/>
        <w:rPr>
          <w:rFonts w:ascii="Verdana" w:eastAsia="Calibri" w:hAnsi="Verdana" w:cs="Arial"/>
          <w:lang w:val="es-MX"/>
        </w:rPr>
      </w:pPr>
      <w:r w:rsidRPr="0060163E">
        <w:rPr>
          <w:rFonts w:ascii="Verdana" w:eastAsia="Calibri" w:hAnsi="Verdana" w:cs="Arial"/>
          <w:lang w:val="es-MX"/>
        </w:rPr>
        <w:t xml:space="preserve">Conviene también distinguir las fuentes de las inhabilidades, las cuales han sido clasificadas en dos (2) grupos: i) inhabilidades-sanción y </w:t>
      </w:r>
      <w:proofErr w:type="spellStart"/>
      <w:r w:rsidRPr="0060163E">
        <w:rPr>
          <w:rFonts w:ascii="Verdana" w:eastAsia="Calibri" w:hAnsi="Verdana" w:cs="Arial"/>
          <w:lang w:val="es-MX"/>
        </w:rPr>
        <w:t>ii</w:t>
      </w:r>
      <w:proofErr w:type="spellEnd"/>
      <w:r w:rsidRPr="0060163E">
        <w:rPr>
          <w:rFonts w:ascii="Verdana" w:eastAsia="Calibri" w:hAnsi="Verdana" w:cs="Arial"/>
          <w:lang w:val="es-MX"/>
        </w:rPr>
        <w:t xml:space="preserve">) inhabilidades-requisito. En el primer grupo se encuentran las inhabilidades que surgen como consecuencia de un proceso sancionatorio, en los ámbitos penal, disciplinario, contravencional o de pérdida de investidura. En el segundo grupo </w:t>
      </w:r>
      <w:r w:rsidRPr="0060163E">
        <w:rPr>
          <w:rFonts w:ascii="Verdana" w:eastAsia="Calibri" w:hAnsi="Verdana" w:cs="Arial"/>
          <w:lang w:val="es-MX"/>
        </w:rPr>
        <w:lastRenderedPageBreak/>
        <w:t>están aquellas que no devienen de un proceso sancionatorio, sino de condiciones propias de la persona y garantizan la moralidad, la imparcialidad, la eficacia y la transparencia</w:t>
      </w:r>
      <w:r w:rsidRPr="0060163E">
        <w:rPr>
          <w:rFonts w:ascii="Verdana" w:eastAsia="Calibri" w:hAnsi="Verdana" w:cs="Arial"/>
          <w:vertAlign w:val="superscript"/>
          <w:lang w:val="es-MX"/>
        </w:rPr>
        <w:footnoteReference w:id="5"/>
      </w:r>
      <w:r w:rsidRPr="0060163E">
        <w:rPr>
          <w:rFonts w:ascii="Verdana" w:eastAsia="Calibri" w:hAnsi="Verdana" w:cs="Arial"/>
          <w:lang w:val="es-MX"/>
        </w:rPr>
        <w:t>.</w:t>
      </w:r>
    </w:p>
    <w:p w14:paraId="5F97086F" w14:textId="77777777" w:rsidR="00CD6F29" w:rsidRPr="0060163E" w:rsidRDefault="00CD6F29" w:rsidP="00CD6F29">
      <w:pPr>
        <w:spacing w:before="120" w:after="120" w:line="276" w:lineRule="auto"/>
        <w:ind w:firstLine="708"/>
        <w:jc w:val="both"/>
        <w:rPr>
          <w:rFonts w:ascii="Verdana" w:eastAsia="Calibri" w:hAnsi="Verdana" w:cs="Arial"/>
          <w:lang w:val="es-MX"/>
        </w:rPr>
      </w:pPr>
      <w:r w:rsidRPr="0060163E">
        <w:rPr>
          <w:rFonts w:ascii="Verdana" w:eastAsia="Calibri" w:hAnsi="Verdana" w:cs="Arial"/>
          <w:lang w:val="es-MX"/>
        </w:rPr>
        <w:t>A manera de ejemplo, en materia contractual, los literales c), d) y j) del numeral 1 del artículo 8 de la Ley 80 de 1993</w:t>
      </w:r>
      <w:r w:rsidRPr="0060163E">
        <w:rPr>
          <w:rFonts w:ascii="Verdana" w:eastAsia="Calibri" w:hAnsi="Verdana" w:cs="Arial"/>
          <w:vertAlign w:val="superscript"/>
          <w:lang w:val="es-MX"/>
        </w:rPr>
        <w:footnoteReference w:id="6"/>
      </w:r>
      <w:r w:rsidRPr="0060163E">
        <w:rPr>
          <w:rFonts w:ascii="Verdana" w:eastAsia="Calibri" w:hAnsi="Verdana" w:cs="Arial"/>
          <w:lang w:val="es-MX"/>
        </w:rPr>
        <w:t xml:space="preserve"> establecen inhabilidades-sanción, porque la prohibición para contratar con el Estado en esos eventos es una consecuencia de una declaratoria de responsabilidad que surge luego de un proceso sancionatorio –administrativo, disciplinario o penal–; mientras que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p>
    <w:p w14:paraId="402B704D" w14:textId="77777777" w:rsidR="00CD6F29" w:rsidRPr="0060163E" w:rsidRDefault="00CD6F29" w:rsidP="00CD6F29">
      <w:pPr>
        <w:spacing w:before="120" w:after="120" w:line="276" w:lineRule="auto"/>
        <w:ind w:firstLine="709"/>
        <w:jc w:val="both"/>
        <w:rPr>
          <w:rFonts w:ascii="Verdana" w:eastAsia="Calibri" w:hAnsi="Verdana" w:cs="Arial"/>
          <w:lang w:val="es-MX"/>
        </w:rPr>
      </w:pPr>
      <w:r w:rsidRPr="0060163E">
        <w:rPr>
          <w:rFonts w:ascii="Verdana" w:eastAsia="Calibri" w:hAnsi="Verdana" w:cs="Arial"/>
          <w:lang w:val="es-MX"/>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5D801BFA" w14:textId="77777777" w:rsidR="00CD6F29" w:rsidRPr="0060163E" w:rsidRDefault="00CD6F29" w:rsidP="00CD6F29">
      <w:pPr>
        <w:spacing w:before="120" w:after="120" w:line="276" w:lineRule="auto"/>
        <w:ind w:firstLine="709"/>
        <w:jc w:val="both"/>
        <w:rPr>
          <w:rFonts w:ascii="Verdana" w:eastAsia="Calibri" w:hAnsi="Verdana" w:cs="Arial"/>
          <w:lang w:val="es-ES_tradnl"/>
        </w:rPr>
      </w:pPr>
      <w:r w:rsidRPr="0060163E">
        <w:rPr>
          <w:rFonts w:ascii="Verdana" w:eastAsia="Calibri" w:hAnsi="Verdana" w:cs="Arial"/>
          <w:lang w:val="es-ES_tradnl"/>
        </w:rPr>
        <w:t xml:space="preserve">Ahora bien, las inhabilidades e incompatibilidades al ser restricciones o límites especiales a la capacidad para presentar ofertas y celebrar contratos </w:t>
      </w:r>
      <w:r w:rsidRPr="0060163E">
        <w:rPr>
          <w:rFonts w:ascii="Verdana" w:eastAsia="Calibri" w:hAnsi="Verdana" w:cs="Arial"/>
          <w:lang w:val="es-ES_tradnl"/>
        </w:rPr>
        <w:lastRenderedPageBreak/>
        <w:t xml:space="preserve">estatales, solo pueden tipificarse en la ley o la Constitución –o sea, deben satisfacer el principio de legalidad– y su interpretación debe ser </w:t>
      </w:r>
      <w:r w:rsidRPr="0060163E">
        <w:rPr>
          <w:rFonts w:ascii="Verdana" w:eastAsia="Calibri" w:hAnsi="Verdana" w:cs="Arial"/>
          <w:i/>
          <w:iCs/>
          <w:lang w:val="es-ES_tradnl"/>
        </w:rPr>
        <w:t>restrictiva</w:t>
      </w:r>
      <w:r w:rsidRPr="009D0DBE">
        <w:rPr>
          <w:rFonts w:ascii="Verdana" w:eastAsia="Calibri" w:hAnsi="Verdana" w:cs="Arial"/>
          <w:vertAlign w:val="superscript"/>
          <w:lang w:val="es-ES_tradnl"/>
        </w:rPr>
        <w:footnoteReference w:id="7"/>
      </w:r>
      <w:r w:rsidRPr="0060163E">
        <w:rPr>
          <w:rFonts w:ascii="Verdana" w:eastAsia="Calibri" w:hAnsi="Verdana" w:cs="Arial"/>
          <w:i/>
          <w:iCs/>
          <w:lang w:val="es-ES_tradnl"/>
        </w:rPr>
        <w:t xml:space="preserve">, </w:t>
      </w:r>
      <w:r w:rsidRPr="0060163E">
        <w:rPr>
          <w:rFonts w:ascii="Verdana" w:eastAsia="Calibri" w:hAnsi="Verdana" w:cs="Arial"/>
          <w:lang w:val="es-ES_tradnl"/>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16BE3624" w14:textId="179BA43F" w:rsidR="00CD6F29" w:rsidRPr="0060163E" w:rsidRDefault="00CD6F29" w:rsidP="00CD6F29">
      <w:pPr>
        <w:spacing w:after="120" w:line="276" w:lineRule="auto"/>
        <w:ind w:firstLine="709"/>
        <w:jc w:val="both"/>
        <w:rPr>
          <w:rFonts w:ascii="Verdana" w:eastAsia="Calibri" w:hAnsi="Verdana" w:cs="Arial"/>
          <w:lang w:val="es-ES_tradnl"/>
        </w:rPr>
      </w:pPr>
      <w:r w:rsidRPr="0060163E">
        <w:rPr>
          <w:rFonts w:ascii="Verdana" w:eastAsia="Calibri" w:hAnsi="Verdana" w:cs="Arial"/>
          <w:lang w:val="es-ES_tradnl"/>
        </w:rPr>
        <w:t xml:space="preserve">En efecto, el máximo tribunal constitucional ha indicado, al tratar de precisar el sentido de este tipo de normas, que </w:t>
      </w:r>
      <w:r>
        <w:rPr>
          <w:rFonts w:ascii="Verdana" w:eastAsia="Calibri" w:hAnsi="Verdana" w:cs="Arial"/>
          <w:lang w:val="es-ES_tradnl"/>
        </w:rPr>
        <w:t>“</w:t>
      </w:r>
      <w:r w:rsidR="00AB457E">
        <w:rPr>
          <w:rFonts w:ascii="Verdana" w:eastAsia="Calibri" w:hAnsi="Verdana" w:cs="Arial"/>
          <w:lang w:val="es-ES_tradnl"/>
        </w:rPr>
        <w:t>[</w:t>
      </w:r>
      <w:r>
        <w:rPr>
          <w:rFonts w:ascii="Verdana" w:eastAsia="Calibri" w:hAnsi="Verdana" w:cs="Arial"/>
          <w:lang w:val="es-ES_tradnl"/>
        </w:rPr>
        <w:t>…</w:t>
      </w:r>
      <w:r w:rsidR="00AB457E">
        <w:rPr>
          <w:rFonts w:ascii="Verdana" w:eastAsia="Calibri" w:hAnsi="Verdana" w:cs="Arial"/>
          <w:lang w:val="es-ES_tradnl"/>
        </w:rPr>
        <w:t>]</w:t>
      </w:r>
      <w:r w:rsidRPr="0060163E">
        <w:rPr>
          <w:rFonts w:ascii="Verdana" w:eastAsia="Calibri" w:hAnsi="Verdana" w:cs="Arial"/>
          <w:lang w:val="es-ES_tradnl"/>
        </w:rPr>
        <w:t xml:space="preserve">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60163E">
        <w:rPr>
          <w:rFonts w:ascii="Verdana" w:eastAsia="Calibri" w:hAnsi="Verdana" w:cs="Arial"/>
          <w:vertAlign w:val="superscript"/>
          <w:lang w:val="es-ES_tradnl"/>
        </w:rPr>
        <w:footnoteReference w:id="8"/>
      </w:r>
      <w:r w:rsidRPr="0060163E">
        <w:rPr>
          <w:rFonts w:ascii="Verdana" w:eastAsia="Calibri" w:hAnsi="Verdana" w:cs="Arial"/>
          <w:lang w:val="es-ES_tradnl"/>
        </w:rPr>
        <w:t xml:space="preserve">. </w:t>
      </w:r>
    </w:p>
    <w:p w14:paraId="1A2FC145" w14:textId="77777777" w:rsidR="00CD6F29" w:rsidRPr="0060163E" w:rsidRDefault="00CD6F29" w:rsidP="00CD6F29">
      <w:pPr>
        <w:spacing w:after="0" w:line="276" w:lineRule="auto"/>
        <w:ind w:firstLine="709"/>
        <w:jc w:val="both"/>
        <w:rPr>
          <w:rFonts w:ascii="Verdana" w:eastAsia="Calibri" w:hAnsi="Verdana" w:cs="Arial"/>
          <w:lang w:val="es-ES_tradnl"/>
        </w:rPr>
      </w:pPr>
      <w:r w:rsidRPr="0060163E">
        <w:rPr>
          <w:rFonts w:ascii="Verdana" w:eastAsia="Calibri" w:hAnsi="Verdana" w:cs="Arial"/>
          <w:lang w:val="es-ES_tradnl"/>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60163E">
        <w:rPr>
          <w:rFonts w:ascii="Verdana" w:eastAsia="Calibri" w:hAnsi="Verdana" w:cs="Arial"/>
          <w:vertAlign w:val="superscript"/>
          <w:lang w:val="es-ES_tradnl"/>
        </w:rPr>
        <w:footnoteReference w:id="9"/>
      </w:r>
      <w:r w:rsidRPr="0060163E">
        <w:rPr>
          <w:rFonts w:ascii="Verdana" w:eastAsia="Calibri" w:hAnsi="Verdana" w:cs="Arial"/>
          <w:lang w:val="es-ES_tradnl"/>
        </w:rPr>
        <w:t>. En tal sentido, la Sección Tercera ha señalado que:</w:t>
      </w:r>
    </w:p>
    <w:p w14:paraId="351644C4" w14:textId="77777777" w:rsidR="00CD6F29" w:rsidRPr="0060163E" w:rsidRDefault="00CD6F29" w:rsidP="00CD6F29">
      <w:pPr>
        <w:spacing w:after="0" w:line="276" w:lineRule="auto"/>
        <w:ind w:firstLine="709"/>
        <w:jc w:val="both"/>
        <w:rPr>
          <w:rFonts w:ascii="Verdana" w:eastAsia="Calibri" w:hAnsi="Verdana" w:cs="Arial"/>
          <w:lang w:val="es-ES_tradnl"/>
        </w:rPr>
      </w:pPr>
    </w:p>
    <w:p w14:paraId="3258DEBB" w14:textId="3488C399" w:rsidR="00CD6F29" w:rsidRPr="0060163E" w:rsidRDefault="00AB457E" w:rsidP="00CD6F29">
      <w:pPr>
        <w:spacing w:after="0" w:line="240" w:lineRule="auto"/>
        <w:ind w:left="709" w:right="709"/>
        <w:jc w:val="both"/>
        <w:rPr>
          <w:rFonts w:ascii="Verdana" w:eastAsia="Calibri" w:hAnsi="Verdana" w:cs="Arial"/>
          <w:sz w:val="20"/>
          <w:szCs w:val="20"/>
          <w:lang w:val="es-ES_tradnl"/>
        </w:rPr>
      </w:pPr>
      <w:r>
        <w:rPr>
          <w:rFonts w:ascii="Verdana" w:eastAsia="Calibri" w:hAnsi="Verdana" w:cs="Arial"/>
          <w:sz w:val="20"/>
          <w:szCs w:val="20"/>
          <w:lang w:val="es-ES_tradnl"/>
        </w:rPr>
        <w:t>“</w:t>
      </w:r>
      <w:r w:rsidR="00CD6F29" w:rsidRPr="0060163E">
        <w:rPr>
          <w:rFonts w:ascii="Verdana" w:eastAsia="Calibri" w:hAnsi="Verdana" w:cs="Arial"/>
          <w:sz w:val="20"/>
          <w:szCs w:val="20"/>
          <w:lang w:val="es-ES_tradnl"/>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00CD6F29" w:rsidRPr="0060163E">
        <w:rPr>
          <w:rFonts w:ascii="Verdana" w:eastAsia="Calibri" w:hAnsi="Verdana" w:cs="Arial"/>
          <w:sz w:val="20"/>
          <w:szCs w:val="20"/>
          <w:vertAlign w:val="superscript"/>
          <w:lang w:val="es-ES_tradnl"/>
        </w:rPr>
        <w:footnoteReference w:id="10"/>
      </w:r>
      <w:r w:rsidR="00CD6F29" w:rsidRPr="0060163E">
        <w:rPr>
          <w:rFonts w:ascii="Verdana" w:eastAsia="Calibri" w:hAnsi="Verdana" w:cs="Arial"/>
          <w:sz w:val="20"/>
          <w:szCs w:val="20"/>
          <w:lang w:val="es-ES_tradnl"/>
        </w:rPr>
        <w:t>.</w:t>
      </w:r>
    </w:p>
    <w:p w14:paraId="1665895F" w14:textId="77777777" w:rsidR="00CD6F29" w:rsidRPr="0060163E" w:rsidRDefault="00CD6F29" w:rsidP="00CD6F29">
      <w:pPr>
        <w:spacing w:after="0" w:line="240" w:lineRule="auto"/>
        <w:ind w:firstLine="709"/>
        <w:jc w:val="both"/>
        <w:rPr>
          <w:rFonts w:ascii="Verdana" w:eastAsia="Calibri" w:hAnsi="Verdana" w:cs="Arial"/>
          <w:sz w:val="20"/>
          <w:szCs w:val="20"/>
          <w:lang w:val="es-ES_tradnl"/>
        </w:rPr>
      </w:pPr>
    </w:p>
    <w:p w14:paraId="5053C865" w14:textId="77777777" w:rsidR="00CD6F29" w:rsidRPr="0060163E" w:rsidRDefault="00CD6F29" w:rsidP="00CD6F29">
      <w:pPr>
        <w:spacing w:after="0" w:line="240" w:lineRule="auto"/>
        <w:ind w:firstLine="709"/>
        <w:jc w:val="both"/>
        <w:rPr>
          <w:rFonts w:ascii="Verdana" w:eastAsia="Calibri" w:hAnsi="Verdana" w:cs="Arial"/>
          <w:sz w:val="20"/>
          <w:szCs w:val="20"/>
          <w:lang w:val="es-ES_tradnl"/>
        </w:rPr>
      </w:pPr>
      <w:r w:rsidRPr="0060163E">
        <w:rPr>
          <w:rFonts w:ascii="Verdana" w:eastAsia="Calibri" w:hAnsi="Verdana" w:cs="Arial"/>
          <w:sz w:val="20"/>
          <w:szCs w:val="20"/>
          <w:lang w:val="es-ES_tradnl"/>
        </w:rPr>
        <w:t>También ha dicho que:</w:t>
      </w:r>
    </w:p>
    <w:p w14:paraId="393B9E16" w14:textId="52E76160" w:rsidR="00CD6F29" w:rsidRPr="0060163E" w:rsidRDefault="00CD6F29" w:rsidP="00CD6F29">
      <w:pPr>
        <w:spacing w:after="0" w:line="240" w:lineRule="auto"/>
        <w:ind w:left="709" w:right="616"/>
        <w:jc w:val="both"/>
        <w:rPr>
          <w:rFonts w:ascii="Verdana" w:eastAsia="Calibri" w:hAnsi="Verdana" w:cs="Arial"/>
          <w:sz w:val="20"/>
          <w:szCs w:val="20"/>
          <w:lang w:val="es-ES"/>
        </w:rPr>
      </w:pPr>
      <w:r w:rsidRPr="0060163E">
        <w:rPr>
          <w:rFonts w:ascii="Verdana" w:eastAsia="Calibri" w:hAnsi="Verdana" w:cs="Arial"/>
          <w:sz w:val="20"/>
          <w:szCs w:val="20"/>
          <w:lang w:val="es-ES"/>
        </w:rPr>
        <w:lastRenderedPageBreak/>
        <w:t xml:space="preserve">[…] la aplicación de estos preceptos exige una interpretación restrictiva, dado que según el principio hermenéutico </w:t>
      </w:r>
      <w:r w:rsidRPr="0060163E">
        <w:rPr>
          <w:rFonts w:ascii="Verdana" w:eastAsia="Calibri" w:hAnsi="Verdana" w:cs="Arial"/>
          <w:i/>
          <w:iCs/>
          <w:sz w:val="20"/>
          <w:szCs w:val="20"/>
          <w:lang w:val="es-ES"/>
        </w:rPr>
        <w:t xml:space="preserve">pro </w:t>
      </w:r>
      <w:proofErr w:type="spellStart"/>
      <w:r w:rsidRPr="0060163E">
        <w:rPr>
          <w:rFonts w:ascii="Verdana" w:eastAsia="Calibri" w:hAnsi="Verdana" w:cs="Arial"/>
          <w:i/>
          <w:iCs/>
          <w:sz w:val="20"/>
          <w:szCs w:val="20"/>
          <w:lang w:val="es-ES"/>
        </w:rPr>
        <w:t>libertate</w:t>
      </w:r>
      <w:proofErr w:type="spellEnd"/>
      <w:r w:rsidRPr="0060163E">
        <w:rPr>
          <w:rFonts w:ascii="Verdana" w:eastAsia="Calibri" w:hAnsi="Verdana" w:cs="Arial"/>
          <w:sz w:val="20"/>
          <w:szCs w:val="20"/>
          <w:lang w:val="es-ES"/>
        </w:rPr>
        <w:t xml:space="preserve">,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00AB457E">
        <w:rPr>
          <w:rFonts w:ascii="Verdana" w:eastAsia="Calibri" w:hAnsi="Verdana" w:cs="Arial"/>
          <w:sz w:val="20"/>
          <w:szCs w:val="20"/>
          <w:lang w:val="es-ES"/>
        </w:rPr>
        <w:t>[…]</w:t>
      </w:r>
      <w:r>
        <w:rPr>
          <w:rFonts w:ascii="Verdana" w:eastAsia="Calibri" w:hAnsi="Verdana" w:cs="Arial"/>
          <w:sz w:val="20"/>
          <w:szCs w:val="20"/>
          <w:lang w:val="es-ES"/>
        </w:rPr>
        <w:t>”</w:t>
      </w:r>
      <w:r w:rsidRPr="0060163E">
        <w:rPr>
          <w:rFonts w:ascii="Verdana" w:eastAsia="Calibri" w:hAnsi="Verdana" w:cs="Arial"/>
          <w:sz w:val="20"/>
          <w:szCs w:val="20"/>
          <w:vertAlign w:val="superscript"/>
          <w:lang w:val="es-ES"/>
        </w:rPr>
        <w:footnoteReference w:id="11"/>
      </w:r>
      <w:r w:rsidRPr="0060163E">
        <w:rPr>
          <w:rFonts w:ascii="Verdana" w:eastAsia="Calibri" w:hAnsi="Verdana" w:cs="Arial"/>
          <w:sz w:val="20"/>
          <w:szCs w:val="20"/>
          <w:lang w:val="es-ES"/>
        </w:rPr>
        <w:t>.</w:t>
      </w:r>
    </w:p>
    <w:p w14:paraId="3F2C9233" w14:textId="77777777" w:rsidR="00CD6F29" w:rsidRPr="0060163E" w:rsidRDefault="00CD6F29" w:rsidP="00CD6F29">
      <w:pPr>
        <w:spacing w:after="0" w:line="276" w:lineRule="auto"/>
        <w:jc w:val="both"/>
        <w:rPr>
          <w:rFonts w:ascii="Verdana" w:eastAsia="Arial" w:hAnsi="Verdana" w:cs="Arial"/>
          <w:color w:val="000000"/>
          <w:lang w:val="es-ES_tradnl"/>
        </w:rPr>
      </w:pPr>
    </w:p>
    <w:p w14:paraId="2BF1910F" w14:textId="77777777" w:rsidR="00CD6F29" w:rsidRDefault="00CD6F29" w:rsidP="00445998">
      <w:pPr>
        <w:spacing w:after="0" w:line="276" w:lineRule="auto"/>
        <w:ind w:firstLine="708"/>
        <w:jc w:val="both"/>
        <w:rPr>
          <w:rFonts w:ascii="Verdana" w:eastAsia="Calibri" w:hAnsi="Verdana" w:cs="Arial"/>
          <w:color w:val="000000"/>
          <w:lang w:val="es-MX"/>
        </w:rPr>
      </w:pPr>
      <w:r w:rsidRPr="0060163E">
        <w:rPr>
          <w:rFonts w:ascii="Verdana" w:eastAsia="Arial" w:hAnsi="Verdana" w:cs="Arial"/>
          <w:color w:val="000000"/>
          <w:lang w:val="es-ES_tradnl"/>
        </w:rPr>
        <w:t xml:space="preserve">Como se aprecia, el principio </w:t>
      </w:r>
      <w:r w:rsidRPr="0060163E">
        <w:rPr>
          <w:rFonts w:ascii="Verdana" w:eastAsia="Arial" w:hAnsi="Verdana" w:cs="Arial"/>
          <w:i/>
          <w:iCs/>
          <w:color w:val="000000"/>
          <w:lang w:val="es-ES_tradnl"/>
        </w:rPr>
        <w:t xml:space="preserve">pro </w:t>
      </w:r>
      <w:proofErr w:type="spellStart"/>
      <w:r w:rsidRPr="0060163E">
        <w:rPr>
          <w:rFonts w:ascii="Verdana" w:eastAsia="Arial" w:hAnsi="Verdana" w:cs="Arial"/>
          <w:i/>
          <w:iCs/>
          <w:color w:val="000000"/>
          <w:lang w:val="es-ES_tradnl"/>
        </w:rPr>
        <w:t>libertate</w:t>
      </w:r>
      <w:proofErr w:type="spellEnd"/>
      <w:r w:rsidRPr="0060163E">
        <w:rPr>
          <w:rFonts w:ascii="Verdana" w:eastAsia="Arial" w:hAnsi="Verdana" w:cs="Arial"/>
          <w:color w:val="000000"/>
          <w:lang w:val="es-ES_tradnl"/>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w:t>
      </w:r>
      <w:r w:rsidRPr="0060163E">
        <w:rPr>
          <w:rFonts w:ascii="Verdana" w:eastAsia="Calibri" w:hAnsi="Verdana" w:cs="Arial"/>
          <w:color w:val="000000"/>
          <w:lang w:val="es-MX"/>
        </w:rPr>
        <w:t xml:space="preserve"> Corte Constitucional ha resaltado que la competencia para determinar qué hechos o situaciones generan inhabilidades o incompatibilidades para contratar con el Estado la tiene el legislador, pues este régimen es un aspecto propio del Estatuto General de la Contratación de la Administración Pública, cuya expedición compete al Congreso de la República, conforme al artículo 150 de la Constitución Política, y que en esta materia rige el principio de legalidad</w:t>
      </w:r>
      <w:r w:rsidRPr="0060163E">
        <w:rPr>
          <w:rFonts w:ascii="Verdana" w:eastAsia="Calibri" w:hAnsi="Verdana" w:cs="Arial"/>
          <w:color w:val="000000"/>
          <w:vertAlign w:val="superscript"/>
          <w:lang w:val="es-MX"/>
        </w:rPr>
        <w:footnoteReference w:id="12"/>
      </w:r>
      <w:r>
        <w:rPr>
          <w:rFonts w:ascii="Verdana" w:eastAsia="Calibri" w:hAnsi="Verdana" w:cs="Arial"/>
          <w:color w:val="000000"/>
          <w:lang w:val="es-MX"/>
        </w:rPr>
        <w:t>.</w:t>
      </w:r>
    </w:p>
    <w:p w14:paraId="3228B597" w14:textId="77777777" w:rsidR="00445998" w:rsidRDefault="00445998" w:rsidP="00445998">
      <w:pPr>
        <w:spacing w:after="0" w:line="276" w:lineRule="auto"/>
        <w:jc w:val="both"/>
        <w:rPr>
          <w:rFonts w:ascii="Verdana" w:eastAsia="Calibri" w:hAnsi="Verdana" w:cs="Arial"/>
          <w:color w:val="000000"/>
          <w:lang w:val="es-MX"/>
        </w:rPr>
      </w:pPr>
    </w:p>
    <w:p w14:paraId="2001A296" w14:textId="1AA03EF6" w:rsidR="00482A22" w:rsidRPr="00475338" w:rsidRDefault="00445998" w:rsidP="00482A22">
      <w:pPr>
        <w:spacing w:after="120" w:line="276" w:lineRule="auto"/>
        <w:jc w:val="both"/>
        <w:rPr>
          <w:rFonts w:ascii="Verdana" w:eastAsia="Calibri" w:hAnsi="Verdana" w:cs="Arial"/>
        </w:rPr>
      </w:pPr>
      <w:proofErr w:type="spellStart"/>
      <w:r>
        <w:rPr>
          <w:rFonts w:ascii="Verdana" w:eastAsia="Calibri" w:hAnsi="Verdana" w:cs="Arial"/>
          <w:color w:val="000000"/>
          <w:lang w:val="es-MX"/>
        </w:rPr>
        <w:t>ii</w:t>
      </w:r>
      <w:proofErr w:type="spellEnd"/>
      <w:r>
        <w:rPr>
          <w:rFonts w:ascii="Verdana" w:eastAsia="Calibri" w:hAnsi="Verdana" w:cs="Arial"/>
          <w:color w:val="000000"/>
          <w:lang w:val="es-MX"/>
        </w:rPr>
        <w:t xml:space="preserve">) </w:t>
      </w:r>
      <w:r w:rsidR="00482A22">
        <w:rPr>
          <w:rFonts w:ascii="Verdana" w:eastAsia="Calibri" w:hAnsi="Verdana" w:cs="Arial"/>
          <w:color w:val="000000"/>
          <w:lang w:val="es-MX"/>
        </w:rPr>
        <w:t>Particularmente</w:t>
      </w:r>
      <w:r>
        <w:rPr>
          <w:rFonts w:ascii="Verdana" w:eastAsia="Calibri" w:hAnsi="Verdana" w:cs="Arial"/>
          <w:color w:val="000000"/>
          <w:lang w:val="es-MX"/>
        </w:rPr>
        <w:t xml:space="preserve">, </w:t>
      </w:r>
      <w:r w:rsidR="00482A22" w:rsidRPr="00475338">
        <w:rPr>
          <w:rFonts w:ascii="Verdana" w:eastAsia="Calibri" w:hAnsi="Verdana" w:cs="Arial"/>
        </w:rPr>
        <w:t>el artículo 2.2.1.1.2.2.5 del Decreto 1082 de 2015 reglamenta el procedimiento que debe seguir la entidad estatal cuando, en un mismo proceso de contratación, se presenta la situación descrita en los literales (g) y (h) del numeral 1 del artículo 8 de la Ley 80 de 1993. Esta disposición establece que, para determinar cuál de los oferentes resulta inhabilitado, la entidad debe dejar constancia expresa de la fecha y hora de recibo de cada oferta, indicando el nombre o razón social del proponente y de su representante legal, con el fin de establecer cuál fue presentada primero en el tiempo, pues la consecuencia jurídica recae sobre la oferta posterior.</w:t>
      </w:r>
    </w:p>
    <w:p w14:paraId="79C70FC2" w14:textId="77777777" w:rsidR="00482A22" w:rsidRDefault="00482A22" w:rsidP="00482A22">
      <w:pPr>
        <w:spacing w:after="120" w:line="276" w:lineRule="auto"/>
        <w:ind w:firstLine="709"/>
        <w:jc w:val="both"/>
        <w:rPr>
          <w:rFonts w:ascii="Verdana" w:eastAsia="Calibri" w:hAnsi="Verdana" w:cs="Arial"/>
        </w:rPr>
      </w:pPr>
      <w:r w:rsidRPr="00475338">
        <w:rPr>
          <w:rFonts w:ascii="Verdana" w:eastAsia="Calibri" w:hAnsi="Verdana" w:cs="Arial"/>
        </w:rPr>
        <w:t>El fundamento legal de esta regla se encuentra en los literales g) y</w:t>
      </w:r>
      <w:r>
        <w:rPr>
          <w:rFonts w:ascii="Verdana" w:eastAsia="Calibri" w:hAnsi="Verdana" w:cs="Arial"/>
        </w:rPr>
        <w:t xml:space="preserve"> </w:t>
      </w:r>
      <w:r w:rsidRPr="00475338">
        <w:rPr>
          <w:rFonts w:ascii="Verdana" w:eastAsia="Calibri" w:hAnsi="Verdana" w:cs="Arial"/>
        </w:rPr>
        <w:t xml:space="preserve">h) del numeral 1 del artículo 8 de la Ley 80 de 1993, los cuales consagran como causal de inhabilidad la participación simultánea, en un mismo proceso de selección, de personas naturales que tengan entre sí determinados grados de parentesco, así </w:t>
      </w:r>
      <w:r w:rsidRPr="00475338">
        <w:rPr>
          <w:rFonts w:ascii="Verdana" w:eastAsia="Calibri" w:hAnsi="Verdana" w:cs="Arial"/>
        </w:rPr>
        <w:lastRenderedPageBreak/>
        <w:t>como la concurrencia de personas jurídicas cuyos socios o representantes legales se encuentren igualmente vinculados por esos lazos. Se trata de una prohibición orientada a preservar los principios de transparencia, moralidad, igualdad y selección objetiva, evitando que relaciones familiares o vínculos directos entre proponentes puedan afectar la libre concurrencia o generar ventajas indebidas.</w:t>
      </w:r>
    </w:p>
    <w:p w14:paraId="64B47950" w14:textId="77777777" w:rsidR="00482A22" w:rsidRDefault="00482A22" w:rsidP="00175102">
      <w:pPr>
        <w:spacing w:after="0" w:line="276" w:lineRule="auto"/>
        <w:ind w:firstLine="709"/>
        <w:jc w:val="both"/>
        <w:rPr>
          <w:rFonts w:ascii="Verdana" w:eastAsia="Calibri" w:hAnsi="Verdana" w:cs="Arial"/>
        </w:rPr>
      </w:pPr>
      <w:r w:rsidRPr="00475338">
        <w:rPr>
          <w:rFonts w:ascii="Verdana" w:eastAsia="Calibri" w:hAnsi="Verdana" w:cs="Arial"/>
        </w:rPr>
        <w:t>De esta manera, la línea jurídica que debe consignarse en las consideraciones es que el régimen de inhabilidades es de carácter taxativo y de interpretación restrictiva, por lo que solo procede su aplicación cuando se configuran estrictamente los supuestos previstos en la ley. En consecuencia, no basta la simple existencia de un socio común entre dos sociedades para predicar una inhabilidad automática; será necesario verificar si concurren las circunstancias específicas previstas en los literales (g) y (h) del artículo 8 de la Ley 80 de 1993 y, de ser así, aplicar el criterio temporal reglamentado por el Decreto 1082 de 2015, inhabilitando únicamente la oferta presentada con posterioridad.</w:t>
      </w:r>
    </w:p>
    <w:p w14:paraId="357CAD4F" w14:textId="7A9EEB5E" w:rsidR="00445998" w:rsidRDefault="00445998" w:rsidP="00175102">
      <w:pPr>
        <w:spacing w:after="0" w:line="276" w:lineRule="auto"/>
        <w:jc w:val="both"/>
        <w:rPr>
          <w:rFonts w:ascii="Verdana" w:eastAsia="Calibri" w:hAnsi="Verdana" w:cs="Arial"/>
          <w:color w:val="000000"/>
          <w:lang w:val="es-MX"/>
        </w:rPr>
      </w:pPr>
    </w:p>
    <w:p w14:paraId="6EB0F65B" w14:textId="77777777" w:rsidR="00B74827" w:rsidRDefault="00175102" w:rsidP="00B74827">
      <w:pPr>
        <w:spacing w:after="0" w:line="276" w:lineRule="auto"/>
        <w:jc w:val="both"/>
        <w:rPr>
          <w:rFonts w:ascii="Verdana" w:eastAsia="Arial" w:hAnsi="Verdana" w:cs="Arial"/>
          <w:color w:val="000000"/>
        </w:rPr>
      </w:pPr>
      <w:proofErr w:type="spellStart"/>
      <w:r>
        <w:rPr>
          <w:rFonts w:ascii="Verdana" w:eastAsia="Calibri" w:hAnsi="Verdana" w:cs="Arial"/>
          <w:color w:val="000000"/>
          <w:lang w:val="es-MX"/>
        </w:rPr>
        <w:t>iii</w:t>
      </w:r>
      <w:proofErr w:type="spellEnd"/>
      <w:r>
        <w:rPr>
          <w:rFonts w:ascii="Verdana" w:eastAsia="Calibri" w:hAnsi="Verdana" w:cs="Arial"/>
          <w:color w:val="000000"/>
          <w:lang w:val="es-MX"/>
        </w:rPr>
        <w:t xml:space="preserve">) </w:t>
      </w:r>
      <w:r w:rsidR="00B74827">
        <w:rPr>
          <w:rFonts w:ascii="Verdana" w:eastAsia="Calibri" w:hAnsi="Verdana" w:cs="Arial"/>
          <w:color w:val="000000"/>
          <w:lang w:val="es-MX"/>
        </w:rPr>
        <w:t>En ese contexto</w:t>
      </w:r>
      <w:r w:rsidR="007A0C2C">
        <w:rPr>
          <w:rFonts w:ascii="Verdana" w:eastAsia="Calibri" w:hAnsi="Verdana" w:cs="Arial"/>
          <w:color w:val="000000"/>
          <w:lang w:val="es-MX"/>
        </w:rPr>
        <w:t xml:space="preserve">, se </w:t>
      </w:r>
      <w:r w:rsidR="00B74827">
        <w:rPr>
          <w:rFonts w:ascii="Verdana" w:eastAsia="Calibri" w:hAnsi="Verdana" w:cs="Arial"/>
          <w:color w:val="000000"/>
          <w:lang w:val="es-MX"/>
        </w:rPr>
        <w:t>precisa</w:t>
      </w:r>
      <w:r w:rsidR="007A0C2C">
        <w:rPr>
          <w:rFonts w:ascii="Verdana" w:eastAsia="Calibri" w:hAnsi="Verdana" w:cs="Arial"/>
          <w:color w:val="000000"/>
          <w:lang w:val="es-MX"/>
        </w:rPr>
        <w:t xml:space="preserve"> que, el </w:t>
      </w:r>
      <w:r w:rsidR="00B74827" w:rsidRPr="00B36F85">
        <w:rPr>
          <w:rFonts w:ascii="Verdana" w:eastAsia="Arial" w:hAnsi="Verdana" w:cs="Arial"/>
        </w:rPr>
        <w:t xml:space="preserve">rechazo de las ofertas y los eventos en los que proceden han sido asuntos de los que se ha ocupado la legislación nacional en materia de contratación pública, por lo que </w:t>
      </w:r>
      <w:r w:rsidR="00B74827">
        <w:rPr>
          <w:rFonts w:ascii="Verdana" w:eastAsia="Arial" w:hAnsi="Verdana" w:cs="Arial"/>
        </w:rPr>
        <w:t>“</w:t>
      </w:r>
      <w:r w:rsidR="00B74827" w:rsidRPr="00B36F85">
        <w:rPr>
          <w:rFonts w:ascii="Verdana" w:eastAsia="Arial" w:hAnsi="Verdana" w:cs="Arial"/>
        </w:rPr>
        <w:t>la competencia de las entidades estales para establecer eventos de exclusión de propuestas es de carácter residual y restringido</w:t>
      </w:r>
      <w:r w:rsidR="00B74827">
        <w:rPr>
          <w:rFonts w:ascii="Verdana" w:eastAsia="Arial" w:hAnsi="Verdana" w:cs="Arial"/>
        </w:rPr>
        <w:t>”</w:t>
      </w:r>
      <w:r w:rsidR="00B74827" w:rsidRPr="00B36F85">
        <w:rPr>
          <w:rFonts w:ascii="Verdana" w:eastAsia="Arial" w:hAnsi="Verdana" w:cs="Arial"/>
          <w:vertAlign w:val="superscript"/>
        </w:rPr>
        <w:footnoteReference w:id="13"/>
      </w:r>
      <w:r w:rsidR="00B74827" w:rsidRPr="00B36F85">
        <w:rPr>
          <w:rFonts w:ascii="Verdana" w:eastAsia="Arial" w:hAnsi="Verdana" w:cs="Arial"/>
        </w:rPr>
        <w:t>. En ese sentido, si bien las entidades estatales, en ejercicio de la discrecionalidad que les corresponde en la configuración de los pliegos de condiciones, tienen competencia para determinar los requisitos que deben cumplir los proponentes para la presentación de ofertas</w:t>
      </w:r>
      <w:r w:rsidR="00B74827" w:rsidRPr="00B36F85">
        <w:rPr>
          <w:rFonts w:ascii="Verdana" w:eastAsia="Arial" w:hAnsi="Verdana" w:cs="Arial"/>
          <w:vertAlign w:val="superscript"/>
        </w:rPr>
        <w:footnoteReference w:id="14"/>
      </w:r>
      <w:r w:rsidR="00B74827" w:rsidRPr="00B36F85">
        <w:rPr>
          <w:rFonts w:ascii="Verdana" w:eastAsia="Arial" w:hAnsi="Verdana" w:cs="Arial"/>
        </w:rPr>
        <w:t xml:space="preserve"> y regular los eventos en los que procede su rechazo</w:t>
      </w:r>
      <w:r w:rsidR="00B74827" w:rsidRPr="00B36F85">
        <w:rPr>
          <w:rFonts w:ascii="Verdana" w:eastAsia="Arial" w:hAnsi="Verdana" w:cs="Arial"/>
          <w:vertAlign w:val="superscript"/>
        </w:rPr>
        <w:footnoteReference w:id="15"/>
      </w:r>
      <w:r w:rsidR="00B74827" w:rsidRPr="00B36F85">
        <w:rPr>
          <w:rFonts w:ascii="Verdana" w:eastAsia="Arial" w:hAnsi="Verdana" w:cs="Arial"/>
        </w:rPr>
        <w:t xml:space="preserve">, el ejercicio de tales facultades encuentra ciertos límites en la ley y el reglamento, así como en los principios de razonabilidad y proporcionalidad.  </w:t>
      </w:r>
    </w:p>
    <w:p w14:paraId="15E7E504" w14:textId="77777777" w:rsidR="00B74827" w:rsidRDefault="00B74827" w:rsidP="00B74827">
      <w:pPr>
        <w:spacing w:before="120" w:after="0" w:line="276" w:lineRule="auto"/>
        <w:ind w:firstLine="709"/>
        <w:jc w:val="both"/>
        <w:rPr>
          <w:rFonts w:ascii="Verdana" w:eastAsia="Arial" w:hAnsi="Verdana" w:cs="Arial"/>
          <w:color w:val="000000"/>
        </w:rPr>
      </w:pPr>
      <w:r w:rsidRPr="00B36F85">
        <w:rPr>
          <w:rFonts w:ascii="Verdana" w:eastAsia="Arial" w:hAnsi="Verdana" w:cs="Arial"/>
        </w:rPr>
        <w:t xml:space="preserve">En ese entendido, uno de los límites a la facultad para establecer causales de rechazo, se encuentra en la regla de </w:t>
      </w:r>
      <w:proofErr w:type="spellStart"/>
      <w:r w:rsidRPr="00B36F85">
        <w:rPr>
          <w:rFonts w:ascii="Verdana" w:eastAsia="Arial" w:hAnsi="Verdana" w:cs="Arial"/>
        </w:rPr>
        <w:t>subsanabilidad</w:t>
      </w:r>
      <w:proofErr w:type="spellEnd"/>
      <w:r w:rsidRPr="00B36F85">
        <w:rPr>
          <w:rFonts w:ascii="Verdana" w:eastAsia="Arial" w:hAnsi="Verdana" w:cs="Arial"/>
        </w:rPr>
        <w:t xml:space="preserve"> del parágrafo 1 del artículo 5 de la Ley 1150 de 2007, según la cual </w:t>
      </w:r>
      <w:r>
        <w:rPr>
          <w:rFonts w:ascii="Verdana" w:eastAsia="Arial" w:hAnsi="Verdana" w:cs="Arial"/>
        </w:rPr>
        <w:t>“</w:t>
      </w:r>
      <w:r w:rsidRPr="00B36F85">
        <w:rPr>
          <w:rFonts w:ascii="Verdana" w:eastAsia="Arial" w:hAnsi="Verdana" w:cs="Arial"/>
        </w:rPr>
        <w:t xml:space="preserve">La ausencia de requisitos o la falta de documentos referentes a la futura contratación o al proponente, no </w:t>
      </w:r>
      <w:r w:rsidRPr="00B36F85">
        <w:rPr>
          <w:rFonts w:ascii="Verdana" w:eastAsia="Arial" w:hAnsi="Verdana" w:cs="Arial"/>
        </w:rPr>
        <w:lastRenderedPageBreak/>
        <w:t>necesarios para la comparación de las propuestas no servirán de título suficiente para el rechazo de los ofrecimientos hechos</w:t>
      </w:r>
      <w:r>
        <w:rPr>
          <w:rFonts w:ascii="Verdana" w:eastAsia="Arial" w:hAnsi="Verdana" w:cs="Arial"/>
        </w:rPr>
        <w:t>”</w:t>
      </w:r>
      <w:r w:rsidRPr="00B36F85">
        <w:rPr>
          <w:rFonts w:ascii="Verdana" w:eastAsia="Arial" w:hAnsi="Verdana" w:cs="Arial"/>
        </w:rPr>
        <w:t xml:space="preserve">, por lo que las entidades no podrán establecer causales de rechazo referentes a meros requisitos formales o rechazar las ofertas por esa razón. </w:t>
      </w:r>
    </w:p>
    <w:p w14:paraId="7C4989EA" w14:textId="77777777" w:rsidR="00B74827" w:rsidRPr="00054793" w:rsidRDefault="00B74827" w:rsidP="00B74827">
      <w:pPr>
        <w:spacing w:before="120" w:after="0" w:line="276" w:lineRule="auto"/>
        <w:ind w:firstLine="709"/>
        <w:jc w:val="both"/>
        <w:rPr>
          <w:rFonts w:ascii="Verdana" w:eastAsia="Arial" w:hAnsi="Verdana" w:cs="Arial"/>
          <w:color w:val="000000"/>
        </w:rPr>
      </w:pPr>
      <w:r w:rsidRPr="00B36F85">
        <w:rPr>
          <w:rFonts w:ascii="Verdana" w:eastAsia="Arial" w:hAnsi="Verdana" w:cs="Arial"/>
        </w:rPr>
        <w:t>De esta manera, la jurisprudencia del Consejo de Estado ha determinado que las causales de rechazo pueden o no estar establecidas en el pliego de condiciones, sin perjuicio de que sean aplicables al proceso contractual las establecidas directamente en la ley. Así se estableció en la sentencia del 27 de abril de 2011, en los siguientes términos:</w:t>
      </w:r>
    </w:p>
    <w:p w14:paraId="08A5C5C3" w14:textId="77777777" w:rsidR="00B74827" w:rsidRDefault="00B74827" w:rsidP="00B74827">
      <w:pPr>
        <w:widowControl w:val="0"/>
        <w:spacing w:after="0" w:line="240" w:lineRule="auto"/>
        <w:ind w:left="709" w:right="709"/>
        <w:jc w:val="both"/>
        <w:rPr>
          <w:rFonts w:ascii="Verdana" w:eastAsia="Arial" w:hAnsi="Verdana" w:cs="Arial"/>
          <w:sz w:val="21"/>
          <w:szCs w:val="21"/>
        </w:rPr>
      </w:pPr>
    </w:p>
    <w:p w14:paraId="2C3CD071" w14:textId="63748882" w:rsidR="00B74827" w:rsidRDefault="00B74827" w:rsidP="00B74827">
      <w:pPr>
        <w:widowControl w:val="0"/>
        <w:spacing w:after="0" w:line="240" w:lineRule="auto"/>
        <w:ind w:left="709" w:right="709"/>
        <w:jc w:val="both"/>
        <w:rPr>
          <w:rFonts w:ascii="Verdana" w:eastAsia="Arial" w:hAnsi="Verdana" w:cs="Arial"/>
          <w:sz w:val="20"/>
          <w:szCs w:val="20"/>
        </w:rPr>
      </w:pPr>
      <w:r>
        <w:rPr>
          <w:rFonts w:ascii="Verdana" w:eastAsia="Arial" w:hAnsi="Verdana" w:cs="Arial"/>
          <w:sz w:val="21"/>
          <w:szCs w:val="21"/>
        </w:rPr>
        <w:t>“</w:t>
      </w:r>
      <w:r w:rsidRPr="004B49E2">
        <w:rPr>
          <w:rFonts w:ascii="Verdana" w:eastAsia="Arial" w:hAnsi="Verdana" w:cs="Arial"/>
          <w:sz w:val="20"/>
          <w:szCs w:val="20"/>
        </w:rPr>
        <w:t>En efecto, la Administración puede rechazar o descalificar los ofrecimientos hechos por causales previstas en la ley; hipótesis bajo la cual, la entidad pública licitante se limita a dar por comprobado el hecho que justifica la exclusión y así lo declarará apoyada en normas legales o reglamentarias de carácter general.</w:t>
      </w:r>
    </w:p>
    <w:p w14:paraId="309C2D1A" w14:textId="77777777" w:rsidR="00B74827" w:rsidRPr="004B49E2" w:rsidRDefault="00B74827" w:rsidP="00B74827">
      <w:pPr>
        <w:widowControl w:val="0"/>
        <w:spacing w:after="0" w:line="240" w:lineRule="auto"/>
        <w:ind w:left="709" w:right="709"/>
        <w:jc w:val="both"/>
        <w:rPr>
          <w:rFonts w:ascii="Verdana" w:eastAsia="Arial" w:hAnsi="Verdana" w:cs="Arial"/>
          <w:sz w:val="20"/>
          <w:szCs w:val="20"/>
        </w:rPr>
      </w:pPr>
    </w:p>
    <w:p w14:paraId="34155166" w14:textId="77777777" w:rsidR="00B74827" w:rsidRDefault="00B74827" w:rsidP="00B74827">
      <w:pPr>
        <w:widowControl w:val="0"/>
        <w:spacing w:after="0" w:line="240" w:lineRule="auto"/>
        <w:ind w:left="709" w:right="709"/>
        <w:jc w:val="both"/>
        <w:rPr>
          <w:rFonts w:ascii="Verdana" w:eastAsia="Arial" w:hAnsi="Verdana" w:cs="Arial"/>
          <w:sz w:val="20"/>
          <w:szCs w:val="20"/>
        </w:rPr>
      </w:pPr>
      <w:r w:rsidRPr="004B49E2">
        <w:rPr>
          <w:rFonts w:ascii="Verdana" w:eastAsia="Arial" w:hAnsi="Verdana" w:cs="Arial"/>
          <w:sz w:val="20"/>
          <w:szCs w:val="20"/>
        </w:rPr>
        <w:t>En esta línea de pensamiento, resulta claro que el rechazo o la descalificación de ofertas no puede depender de la libre discrecionalidad de la Administración, en la medida en que el oferente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o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p>
    <w:p w14:paraId="30E0816F" w14:textId="77777777" w:rsidR="00B74827" w:rsidRDefault="00B74827" w:rsidP="00B74827">
      <w:pPr>
        <w:widowControl w:val="0"/>
        <w:spacing w:after="0" w:line="240" w:lineRule="auto"/>
        <w:ind w:left="709" w:right="709"/>
        <w:jc w:val="both"/>
        <w:rPr>
          <w:rFonts w:ascii="Verdana" w:eastAsia="Arial" w:hAnsi="Verdana" w:cs="Arial"/>
          <w:sz w:val="20"/>
          <w:szCs w:val="20"/>
        </w:rPr>
      </w:pPr>
      <w:r w:rsidRPr="004B49E2">
        <w:rPr>
          <w:rFonts w:ascii="Verdana" w:eastAsia="Arial" w:hAnsi="Verdana" w:cs="Arial"/>
          <w:sz w:val="20"/>
          <w:szCs w:val="20"/>
        </w:rPr>
        <w:t>[…]</w:t>
      </w:r>
    </w:p>
    <w:p w14:paraId="2FD24ED3" w14:textId="77777777" w:rsidR="00B74827" w:rsidRPr="004B49E2" w:rsidRDefault="00B74827" w:rsidP="00B74827">
      <w:pPr>
        <w:widowControl w:val="0"/>
        <w:spacing w:after="0" w:line="240" w:lineRule="auto"/>
        <w:ind w:left="709" w:right="709"/>
        <w:jc w:val="both"/>
        <w:rPr>
          <w:rFonts w:ascii="Verdana" w:eastAsia="Arial" w:hAnsi="Verdana" w:cs="Arial"/>
          <w:sz w:val="20"/>
          <w:szCs w:val="20"/>
        </w:rPr>
      </w:pPr>
      <w:r w:rsidRPr="004B49E2">
        <w:rPr>
          <w:rFonts w:ascii="Verdana" w:eastAsia="Arial" w:hAnsi="Verdana" w:cs="Arial"/>
          <w:sz w:val="20"/>
          <w:szCs w:val="20"/>
        </w:rPr>
        <w:t xml:space="preserve">Quiere con esto destacar la Sala que las causales de rechazo de las propuestas pueden ser legales y por lo mismo generan el efecto del descarte o exclusión de la oferta </w:t>
      </w:r>
      <w:proofErr w:type="spellStart"/>
      <w:r w:rsidRPr="004B49E2">
        <w:rPr>
          <w:rFonts w:ascii="Verdana" w:eastAsia="Arial" w:hAnsi="Verdana" w:cs="Arial"/>
          <w:i/>
          <w:iCs/>
          <w:sz w:val="20"/>
          <w:szCs w:val="20"/>
        </w:rPr>
        <w:t>ope</w:t>
      </w:r>
      <w:proofErr w:type="spellEnd"/>
      <w:r w:rsidRPr="004B49E2">
        <w:rPr>
          <w:rFonts w:ascii="Verdana" w:eastAsia="Arial" w:hAnsi="Verdana" w:cs="Arial"/>
          <w:i/>
          <w:iCs/>
          <w:sz w:val="20"/>
          <w:szCs w:val="20"/>
        </w:rPr>
        <w:t xml:space="preserve"> </w:t>
      </w:r>
      <w:proofErr w:type="spellStart"/>
      <w:r w:rsidRPr="004B49E2">
        <w:rPr>
          <w:rFonts w:ascii="Verdana" w:eastAsia="Arial" w:hAnsi="Verdana" w:cs="Arial"/>
          <w:i/>
          <w:iCs/>
          <w:sz w:val="20"/>
          <w:szCs w:val="20"/>
        </w:rPr>
        <w:t>legis</w:t>
      </w:r>
      <w:proofErr w:type="spellEnd"/>
      <w:r w:rsidRPr="004B49E2">
        <w:rPr>
          <w:rFonts w:ascii="Verdana" w:eastAsia="Arial" w:hAnsi="Verdana" w:cs="Arial"/>
          <w:sz w:val="20"/>
          <w:szCs w:val="20"/>
        </w:rPr>
        <w:t xml:space="preserve">, sin necesidad de que se haga referencia a las mismas en el pliego de condiciones; o también pueden las causales de rechazo de las propuestas ser establecidas expresamente por la entidad en el respectivo pliego de condiciones. Lo cierto es que, sea que las causales de rechazo de la oferta emanen directamente de la ley o del pliego de condiciones, en uno y en otro caso se refieren a defectos, omisiones o circunstancias impeditivas que permiten deducir que la misma no resulta favorable para los intereses de la entidad y los fines de la contratación y que de soslayarse se comprometería el cumplimiento de los </w:t>
      </w:r>
      <w:r w:rsidRPr="004B49E2">
        <w:rPr>
          <w:rFonts w:ascii="Verdana" w:eastAsia="Arial" w:hAnsi="Verdana" w:cs="Arial"/>
          <w:sz w:val="20"/>
          <w:szCs w:val="20"/>
        </w:rPr>
        <w:lastRenderedPageBreak/>
        <w:t>principios de transparencia, economía y responsabilidad, así como  el deber de selección objetiva en la contratación</w:t>
      </w:r>
      <w:r w:rsidRPr="004B49E2">
        <w:rPr>
          <w:rFonts w:ascii="Verdana" w:eastAsia="Arial" w:hAnsi="Verdana" w:cs="Arial"/>
          <w:sz w:val="20"/>
          <w:szCs w:val="20"/>
          <w:vertAlign w:val="superscript"/>
        </w:rPr>
        <w:footnoteReference w:id="16"/>
      </w:r>
      <w:r w:rsidRPr="004B49E2">
        <w:rPr>
          <w:rFonts w:ascii="Verdana" w:eastAsia="Arial" w:hAnsi="Verdana" w:cs="Arial"/>
          <w:sz w:val="20"/>
          <w:szCs w:val="20"/>
        </w:rPr>
        <w:t>”.</w:t>
      </w:r>
    </w:p>
    <w:p w14:paraId="3226C3C7" w14:textId="77777777" w:rsidR="00B74827" w:rsidRPr="004B49E2" w:rsidRDefault="00B74827" w:rsidP="00B74827">
      <w:pPr>
        <w:widowControl w:val="0"/>
        <w:spacing w:after="0" w:line="240" w:lineRule="auto"/>
        <w:ind w:left="709" w:right="709"/>
        <w:jc w:val="both"/>
        <w:rPr>
          <w:rFonts w:ascii="Verdana" w:eastAsia="Arial" w:hAnsi="Verdana" w:cs="Arial"/>
          <w:sz w:val="20"/>
          <w:szCs w:val="20"/>
        </w:rPr>
      </w:pPr>
    </w:p>
    <w:p w14:paraId="14317BF1" w14:textId="77777777" w:rsidR="00B74827" w:rsidRDefault="00B74827" w:rsidP="00B74827">
      <w:pPr>
        <w:widowControl w:val="0"/>
        <w:spacing w:after="0" w:line="276" w:lineRule="auto"/>
        <w:ind w:firstLine="709"/>
        <w:jc w:val="both"/>
        <w:rPr>
          <w:rFonts w:ascii="Verdana" w:eastAsia="Arial" w:hAnsi="Verdana" w:cs="Arial"/>
        </w:rPr>
      </w:pPr>
      <w:r w:rsidRPr="00B36F85">
        <w:rPr>
          <w:rFonts w:ascii="Verdana" w:eastAsia="Arial" w:hAnsi="Verdana" w:cs="Arial"/>
        </w:rPr>
        <w:t xml:space="preserve">De acuerdo con la jurisprudencia citada, existen dos </w:t>
      </w:r>
      <w:r>
        <w:rPr>
          <w:rFonts w:ascii="Verdana" w:eastAsia="Arial" w:hAnsi="Verdana" w:cs="Arial"/>
        </w:rPr>
        <w:t>eventos</w:t>
      </w:r>
      <w:r w:rsidRPr="00B36F85">
        <w:rPr>
          <w:rFonts w:ascii="Verdana" w:eastAsia="Arial" w:hAnsi="Verdana" w:cs="Arial"/>
        </w:rPr>
        <w:t xml:space="preserve"> en los </w:t>
      </w:r>
      <w:r>
        <w:rPr>
          <w:rFonts w:ascii="Verdana" w:eastAsia="Arial" w:hAnsi="Verdana" w:cs="Arial"/>
        </w:rPr>
        <w:t xml:space="preserve">cuales </w:t>
      </w:r>
      <w:r w:rsidRPr="00B36F85">
        <w:rPr>
          <w:rFonts w:ascii="Verdana" w:eastAsia="Arial" w:hAnsi="Verdana" w:cs="Arial"/>
        </w:rPr>
        <w:t xml:space="preserve">procede el rechazo de la oferta: </w:t>
      </w:r>
      <w:r>
        <w:rPr>
          <w:rFonts w:ascii="Verdana" w:eastAsia="Arial" w:hAnsi="Verdana" w:cs="Arial"/>
        </w:rPr>
        <w:t xml:space="preserve">i) cuando </w:t>
      </w:r>
      <w:r w:rsidRPr="00B36F85">
        <w:rPr>
          <w:rFonts w:ascii="Verdana" w:eastAsia="Arial" w:hAnsi="Verdana" w:cs="Arial"/>
        </w:rPr>
        <w:t>se configure alguna de las causales de rechazo originadas en la ley o</w:t>
      </w:r>
      <w:r>
        <w:rPr>
          <w:rFonts w:ascii="Verdana" w:eastAsia="Arial" w:hAnsi="Verdana" w:cs="Arial"/>
        </w:rPr>
        <w:t xml:space="preserve"> el reglamento y</w:t>
      </w:r>
      <w:r w:rsidRPr="00B36F85">
        <w:rPr>
          <w:rFonts w:ascii="Verdana" w:eastAsia="Arial" w:hAnsi="Verdana" w:cs="Arial"/>
        </w:rPr>
        <w:t xml:space="preserve"> </w:t>
      </w:r>
      <w:proofErr w:type="spellStart"/>
      <w:r>
        <w:rPr>
          <w:rFonts w:ascii="Verdana" w:eastAsia="Arial" w:hAnsi="Verdana" w:cs="Arial"/>
        </w:rPr>
        <w:t>ii</w:t>
      </w:r>
      <w:proofErr w:type="spellEnd"/>
      <w:r>
        <w:rPr>
          <w:rFonts w:ascii="Verdana" w:eastAsia="Arial" w:hAnsi="Verdana" w:cs="Arial"/>
        </w:rPr>
        <w:t xml:space="preserve">) cuando se materialicen </w:t>
      </w:r>
      <w:r w:rsidRPr="00B36F85">
        <w:rPr>
          <w:rFonts w:ascii="Verdana" w:eastAsia="Arial" w:hAnsi="Verdana" w:cs="Arial"/>
        </w:rPr>
        <w:t>las establecidas en el pliego de condiciones. En tal sentido, las causales de rechazo de la oferta serán las consagradas en la ley o</w:t>
      </w:r>
      <w:r>
        <w:rPr>
          <w:rFonts w:ascii="Verdana" w:eastAsia="Arial" w:hAnsi="Verdana" w:cs="Arial"/>
        </w:rPr>
        <w:t xml:space="preserve"> el reglamento</w:t>
      </w:r>
      <w:r w:rsidRPr="00B36F85">
        <w:rPr>
          <w:rFonts w:ascii="Verdana" w:eastAsia="Arial" w:hAnsi="Verdana" w:cs="Arial"/>
        </w:rPr>
        <w:t xml:space="preserve"> producto de su aplicación, así como las definidas por las entidades en el respectivo pliego de condiciones. </w:t>
      </w:r>
    </w:p>
    <w:p w14:paraId="496C8D70" w14:textId="77777777" w:rsidR="00B74827" w:rsidRDefault="00B74827" w:rsidP="00B74827">
      <w:pPr>
        <w:widowControl w:val="0"/>
        <w:spacing w:before="120" w:after="0" w:line="276" w:lineRule="auto"/>
        <w:ind w:firstLine="709"/>
        <w:jc w:val="both"/>
        <w:rPr>
          <w:rFonts w:ascii="Verdana" w:eastAsia="Arial" w:hAnsi="Verdana" w:cs="Arial"/>
        </w:rPr>
      </w:pPr>
      <w:r w:rsidRPr="00B36F85">
        <w:rPr>
          <w:rFonts w:ascii="Verdana" w:eastAsia="Arial" w:hAnsi="Verdana" w:cs="Arial"/>
        </w:rPr>
        <w:t xml:space="preserve">En tales términos, la facultad de las entidades estatales para incluir en los pliegos de condiciones causales de rechazo de las ofertas, no es una facultad absoluta, en la medida que se encuentra limitada por lo dispuesto en ley, al igual que por los principios de razonabilidad y proporcionalidad, los cuales exigen que las causales de rechazo que sean establecidas por la entidad, además de no contrariar el ordenamiento jurídico, no versen sobre aspectos meramente formales sin relevancia para el transcurso del proceso de selección o el perfeccionamiento del contrato. </w:t>
      </w:r>
    </w:p>
    <w:p w14:paraId="647AE710" w14:textId="77777777" w:rsidR="00B74827" w:rsidRDefault="00B74827" w:rsidP="00B74827">
      <w:pPr>
        <w:widowControl w:val="0"/>
        <w:spacing w:before="120" w:after="0" w:line="276" w:lineRule="auto"/>
        <w:ind w:firstLine="709"/>
        <w:jc w:val="both"/>
        <w:rPr>
          <w:rFonts w:ascii="Verdana" w:eastAsia="Arial" w:hAnsi="Verdana" w:cs="Arial"/>
        </w:rPr>
      </w:pPr>
      <w:r w:rsidRPr="05E3EA9D">
        <w:rPr>
          <w:rFonts w:ascii="Verdana" w:eastAsia="Arial" w:hAnsi="Verdana" w:cs="Arial"/>
          <w:lang w:val="es-ES"/>
        </w:rPr>
        <w:t>De igual forma, esta Agencia ha reiterado la postura del Consejo de Estado, según la cual, por la naturaleza propia de las causales de rechazo, su aplicación es estricta y restrictiva, lo que significa que su interpretación gramatical prevalece sobre una interpretación extensiva o de otra índole, mediante la cual se pretenda ampliar su alcance. Al respecto, el Consejo de Estado</w:t>
      </w:r>
      <w:r w:rsidRPr="05E3EA9D">
        <w:rPr>
          <w:rFonts w:ascii="Verdana" w:eastAsia="Arial" w:hAnsi="Verdana" w:cs="Arial"/>
          <w:vertAlign w:val="superscript"/>
          <w:lang w:val="es-ES"/>
        </w:rPr>
        <w:footnoteReference w:id="17"/>
      </w:r>
      <w:r w:rsidRPr="05E3EA9D">
        <w:rPr>
          <w:rFonts w:ascii="Verdana" w:eastAsia="Arial" w:hAnsi="Verdana" w:cs="Arial"/>
          <w:lang w:val="es-ES"/>
        </w:rPr>
        <w:t xml:space="preserve"> sostuvo: </w:t>
      </w:r>
    </w:p>
    <w:p w14:paraId="59FF47CC" w14:textId="77777777" w:rsidR="00B74827" w:rsidRPr="008C505B" w:rsidRDefault="00B74827" w:rsidP="00B74827">
      <w:pPr>
        <w:spacing w:after="0" w:line="240" w:lineRule="auto"/>
        <w:ind w:firstLine="709"/>
        <w:jc w:val="both"/>
        <w:rPr>
          <w:rFonts w:ascii="Verdana" w:eastAsia="Arial" w:hAnsi="Verdana" w:cs="Arial"/>
        </w:rPr>
      </w:pPr>
    </w:p>
    <w:p w14:paraId="31724809" w14:textId="21A1D13B" w:rsidR="00B74827" w:rsidRDefault="00B74827" w:rsidP="00B74827">
      <w:pPr>
        <w:spacing w:after="0"/>
        <w:ind w:left="708" w:right="709"/>
        <w:jc w:val="both"/>
        <w:rPr>
          <w:rFonts w:ascii="Verdana" w:eastAsia="Arial" w:hAnsi="Verdana" w:cs="Arial"/>
          <w:sz w:val="20"/>
          <w:szCs w:val="20"/>
          <w:lang w:val="es-ES"/>
        </w:rPr>
      </w:pPr>
      <w:r w:rsidRPr="05E3EA9D">
        <w:rPr>
          <w:rFonts w:ascii="Verdana" w:eastAsia="Arial" w:hAnsi="Verdana" w:cs="Arial"/>
          <w:sz w:val="20"/>
          <w:szCs w:val="20"/>
          <w:lang w:val="es-ES"/>
        </w:rPr>
        <w:t xml:space="preserve">“En esta línea de pensamiento, resulta claro que el rechazo o la descalificación de ofertas no puede depender de la libre discrecionalidad de la administración, en la medida en que el oferente, por el hecho de participar en el proceso licitatorio,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deriven del incumplimiento de requisitos de la propuesta o de la omisión de documentos referentes a la futura contratación que sean necesarios para la comparación de las propuestas, de conformidad con lo </w:t>
      </w:r>
      <w:r w:rsidRPr="05E3EA9D">
        <w:rPr>
          <w:rFonts w:ascii="Verdana" w:eastAsia="Arial" w:hAnsi="Verdana" w:cs="Arial"/>
          <w:sz w:val="20"/>
          <w:szCs w:val="20"/>
          <w:lang w:val="es-ES"/>
        </w:rPr>
        <w:lastRenderedPageBreak/>
        <w:t>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r w:rsidR="00D43F52">
        <w:rPr>
          <w:rFonts w:ascii="Verdana" w:eastAsia="Arial" w:hAnsi="Verdana" w:cs="Arial"/>
          <w:sz w:val="20"/>
          <w:szCs w:val="20"/>
          <w:lang w:val="es-ES"/>
        </w:rPr>
        <w:t>.</w:t>
      </w:r>
    </w:p>
    <w:p w14:paraId="73A52520" w14:textId="77777777" w:rsidR="00B74827" w:rsidRPr="004B49E2" w:rsidRDefault="00B74827" w:rsidP="00B74827">
      <w:pPr>
        <w:spacing w:after="0"/>
        <w:ind w:left="708" w:right="709"/>
        <w:jc w:val="both"/>
        <w:rPr>
          <w:rFonts w:ascii="Verdana" w:eastAsia="Arial" w:hAnsi="Verdana" w:cs="Arial"/>
          <w:sz w:val="20"/>
          <w:szCs w:val="20"/>
          <w:lang w:val="es-ES"/>
        </w:rPr>
      </w:pPr>
    </w:p>
    <w:p w14:paraId="08423C77" w14:textId="77777777" w:rsidR="00B74827" w:rsidRDefault="00B74827" w:rsidP="00B74827">
      <w:pPr>
        <w:spacing w:after="120" w:line="276" w:lineRule="auto"/>
        <w:ind w:firstLine="709"/>
        <w:jc w:val="both"/>
        <w:rPr>
          <w:rFonts w:ascii="Verdana" w:eastAsia="Arial" w:hAnsi="Verdana" w:cs="Arial"/>
          <w:lang w:val="es-ES"/>
        </w:rPr>
      </w:pPr>
      <w:r w:rsidRPr="004B49E2">
        <w:rPr>
          <w:rFonts w:ascii="Verdana" w:eastAsia="Arial" w:hAnsi="Verdana" w:cs="Arial"/>
          <w:lang w:val="es-ES"/>
        </w:rPr>
        <w:t>Por lo expuesto, las causales de rechazo deben estar necesariamente nominadas en la Ley o en el pliego de condiciones, y no puede realizarse, frente a su redacción, ninguna interpretación extensiva. Por esta razón si el Estatuto General de Contratación de la Administración Pública o el pliego de condiciones no establecen de manera literal una causal de rechazo, en los términos expuestos, no podrán rechazarse las propuestas.</w:t>
      </w:r>
    </w:p>
    <w:p w14:paraId="701667BC" w14:textId="77777777" w:rsidR="00B74827" w:rsidRDefault="00B74827" w:rsidP="00E609E8">
      <w:pPr>
        <w:spacing w:after="0" w:line="276" w:lineRule="auto"/>
        <w:ind w:firstLine="709"/>
        <w:jc w:val="both"/>
        <w:rPr>
          <w:rFonts w:ascii="Verdana" w:eastAsia="Arial" w:hAnsi="Verdana" w:cs="Arial"/>
        </w:rPr>
      </w:pPr>
      <w:r>
        <w:rPr>
          <w:rFonts w:ascii="Verdana" w:eastAsia="Arial" w:hAnsi="Verdana" w:cs="Arial"/>
        </w:rPr>
        <w:t>De conformidad con lo anterior, p</w:t>
      </w:r>
      <w:r w:rsidRPr="004B49E2">
        <w:rPr>
          <w:rFonts w:ascii="Verdana" w:eastAsia="Arial" w:hAnsi="Verdana" w:cs="Arial"/>
        </w:rPr>
        <w:t xml:space="preserve">ara garantizar el principio de selección objetiva, es necesario, entre otras, que las entidades estatales se abstengan de rechazar las ofertas, por el incumplimiento de requisitos meramente formales, sacrificando la favorabilidad que podría representar la oferta que adolezca de estos defectos, si se permitiese su corrección. </w:t>
      </w:r>
    </w:p>
    <w:p w14:paraId="2A75B7F8" w14:textId="26969494" w:rsidR="00175102" w:rsidRDefault="00175102" w:rsidP="00E609E8">
      <w:pPr>
        <w:spacing w:after="0" w:line="276" w:lineRule="auto"/>
        <w:jc w:val="both"/>
        <w:rPr>
          <w:rFonts w:ascii="Verdana" w:eastAsia="Calibri" w:hAnsi="Verdana" w:cs="Arial"/>
          <w:color w:val="000000"/>
          <w:lang w:val="es-MX"/>
        </w:rPr>
      </w:pPr>
    </w:p>
    <w:p w14:paraId="55F16208" w14:textId="77777777" w:rsidR="000C62B8" w:rsidRPr="000C62B8" w:rsidRDefault="00E609E8" w:rsidP="000C62B8">
      <w:pPr>
        <w:spacing w:after="0" w:line="276" w:lineRule="auto"/>
        <w:jc w:val="both"/>
        <w:rPr>
          <w:rFonts w:ascii="Verdana" w:eastAsia="Calibri" w:hAnsi="Verdana" w:cs="Arial"/>
          <w:lang w:val="es-ES"/>
        </w:rPr>
      </w:pPr>
      <w:proofErr w:type="spellStart"/>
      <w:r>
        <w:rPr>
          <w:rFonts w:ascii="Verdana" w:eastAsia="Calibri" w:hAnsi="Verdana" w:cs="Arial"/>
          <w:color w:val="000000"/>
          <w:lang w:val="es-MX"/>
        </w:rPr>
        <w:t>iv</w:t>
      </w:r>
      <w:proofErr w:type="spellEnd"/>
      <w:r>
        <w:rPr>
          <w:rFonts w:ascii="Verdana" w:eastAsia="Calibri" w:hAnsi="Verdana" w:cs="Arial"/>
          <w:color w:val="000000"/>
          <w:lang w:val="es-MX"/>
        </w:rPr>
        <w:t xml:space="preserve">) De otra parte, </w:t>
      </w:r>
      <w:r w:rsidR="009D50F4">
        <w:rPr>
          <w:rFonts w:ascii="Verdana" w:eastAsia="Calibri" w:hAnsi="Verdana" w:cs="Arial"/>
          <w:color w:val="000000"/>
          <w:lang w:val="es-MX"/>
        </w:rPr>
        <w:t xml:space="preserve">se tiene que, </w:t>
      </w:r>
      <w:r w:rsidR="00AC0B3D">
        <w:rPr>
          <w:rFonts w:ascii="Verdana" w:eastAsia="Calibri" w:hAnsi="Verdana" w:cs="Arial"/>
          <w:color w:val="000000"/>
          <w:lang w:val="es-MX"/>
        </w:rPr>
        <w:t>el artículo 5 de la Ley 1150 de 2007 establece</w:t>
      </w:r>
      <w:r w:rsidR="006351DB">
        <w:rPr>
          <w:rFonts w:ascii="Verdana" w:eastAsia="Calibri" w:hAnsi="Verdana" w:cs="Arial"/>
          <w:color w:val="000000"/>
          <w:lang w:val="es-MX"/>
        </w:rPr>
        <w:t xml:space="preserve"> </w:t>
      </w:r>
      <w:r w:rsidR="000C62B8" w:rsidRPr="000C62B8">
        <w:rPr>
          <w:rFonts w:ascii="Verdana" w:eastAsia="Calibri" w:hAnsi="Verdana" w:cs="Arial"/>
          <w:kern w:val="2"/>
          <w:lang w:val="es-ES"/>
          <w14:ligatures w14:val="standardContextual"/>
        </w:rPr>
        <w:t xml:space="preserve">los requisitos habilitantes para participar en un procedimiento contractual, dentro de los cuales se destaca la </w:t>
      </w:r>
      <w:r w:rsidR="000C62B8" w:rsidRPr="000C62B8">
        <w:rPr>
          <w:rFonts w:ascii="Verdana" w:eastAsia="Calibri" w:hAnsi="Verdana" w:cs="Arial"/>
          <w:i/>
          <w:kern w:val="2"/>
          <w:lang w:val="es-ES"/>
          <w14:ligatures w14:val="standardContextual"/>
        </w:rPr>
        <w:t>experiencia</w:t>
      </w:r>
      <w:r w:rsidR="000C62B8" w:rsidRPr="000C62B8">
        <w:rPr>
          <w:rFonts w:ascii="Verdana" w:eastAsia="Calibri" w:hAnsi="Verdana" w:cs="Arial"/>
          <w:kern w:val="2"/>
          <w:lang w:val="es-ES"/>
          <w14:ligatures w14:val="standardContextual"/>
        </w:rPr>
        <w:t>. Su propósito es que las entidades fijen unos requisitos mínimos que debe tener y acreditar el proponente, para que la entidad pueda verificar su aptitud para participar en el procedimiento de contratación y, si se le adjudica, ejecutar el contrato estatal</w:t>
      </w:r>
      <w:r w:rsidR="000C62B8" w:rsidRPr="000C62B8">
        <w:rPr>
          <w:rFonts w:ascii="Aptos" w:eastAsia="Aptos" w:hAnsi="Aptos" w:cs="Times New Roman"/>
          <w:kern w:val="2"/>
          <w:sz w:val="24"/>
          <w:szCs w:val="24"/>
          <w:vertAlign w:val="superscript"/>
          <w:lang w:val="es-ES"/>
          <w14:ligatures w14:val="standardContextual"/>
        </w:rPr>
        <w:footnoteReference w:id="18"/>
      </w:r>
      <w:r w:rsidR="000C62B8" w:rsidRPr="000C62B8">
        <w:rPr>
          <w:rFonts w:ascii="Verdana" w:eastAsia="Calibri" w:hAnsi="Verdana" w:cs="Arial"/>
          <w:kern w:val="2"/>
          <w:lang w:val="es-ES"/>
          <w14:ligatures w14:val="standardContextual"/>
        </w:rPr>
        <w:t>. En ese sentido, la entidad, como responsable de la estructuración de su procedimiento de contratación, es autónoma para requerir la experiencia necesaria para ejecutar el objeto contractual que se pretende satisfacer con el procedimiento. Para establecer la experiencia que se requiere en cada proceso, de acuerdo con el artículo 2.2.1.1.1.6.2. del Decreto 1082 de 2015, debe tener en cuenta el estudio del sector y sus componentes, como la identificación de riesgos, así como el mercado y precio del bien, obra o servicio a contratar</w:t>
      </w:r>
      <w:r w:rsidR="000C62B8" w:rsidRPr="000C62B8">
        <w:rPr>
          <w:rFonts w:ascii="Aptos" w:eastAsia="Aptos" w:hAnsi="Aptos" w:cs="Times New Roman"/>
          <w:kern w:val="2"/>
          <w:sz w:val="24"/>
          <w:szCs w:val="24"/>
          <w:vertAlign w:val="superscript"/>
          <w:lang w:val="es-ES"/>
          <w14:ligatures w14:val="standardContextual"/>
        </w:rPr>
        <w:footnoteReference w:id="19"/>
      </w:r>
      <w:r w:rsidR="000C62B8" w:rsidRPr="000C62B8">
        <w:rPr>
          <w:rFonts w:ascii="Verdana" w:eastAsia="Calibri" w:hAnsi="Verdana" w:cs="Arial"/>
          <w:kern w:val="2"/>
          <w:lang w:val="es-ES"/>
          <w14:ligatures w14:val="standardContextual"/>
        </w:rPr>
        <w:t>.</w:t>
      </w:r>
    </w:p>
    <w:p w14:paraId="284ABD9A" w14:textId="57E48685" w:rsidR="000C62B8" w:rsidRPr="000C62B8" w:rsidRDefault="000C62B8" w:rsidP="000C62B8">
      <w:pPr>
        <w:snapToGrid w:val="0"/>
        <w:spacing w:before="120" w:after="120" w:line="276" w:lineRule="auto"/>
        <w:ind w:firstLine="709"/>
        <w:jc w:val="both"/>
        <w:rPr>
          <w:rFonts w:ascii="Verdana" w:eastAsia="Calibri" w:hAnsi="Verdana" w:cs="Arial"/>
          <w:lang w:val="es-ES"/>
        </w:rPr>
      </w:pPr>
      <w:r w:rsidRPr="000C62B8">
        <w:rPr>
          <w:rFonts w:ascii="Verdana" w:eastAsia="Calibri" w:hAnsi="Verdana" w:cs="Arial"/>
          <w:lang w:val="es-ES"/>
        </w:rPr>
        <w:lastRenderedPageBreak/>
        <w:t>Ahora bien, la experiencia que se deriva de los contratos que el proponente ha celebrado y ejecutado con diferentes contratantes, sin importar la naturaleza de estos, se verifica con el RUP</w:t>
      </w:r>
      <w:r w:rsidRPr="000C62B8">
        <w:rPr>
          <w:rFonts w:ascii="Verdana" w:eastAsia="Aptos" w:hAnsi="Verdana" w:cs="Times New Roman"/>
          <w:kern w:val="2"/>
          <w:vertAlign w:val="superscript"/>
          <w:lang w:val="es-ES_tradnl"/>
          <w14:ligatures w14:val="standardContextual"/>
        </w:rPr>
        <w:footnoteReference w:id="20"/>
      </w:r>
      <w:r w:rsidRPr="000C62B8">
        <w:rPr>
          <w:rFonts w:ascii="Verdana" w:eastAsia="Calibri" w:hAnsi="Verdana" w:cs="Arial"/>
          <w:lang w:val="es-ES"/>
        </w:rPr>
        <w:t>, cuando este certificado sea exigible de acuerdo con la ley. Sobre el particular debe indicarse que el RUP es plena prueba de los requisitos habilitantes que constan en él, sin que la entidad o el proponente puedan solicitar o aportar otra documentación</w:t>
      </w:r>
      <w:r w:rsidRPr="000C62B8">
        <w:rPr>
          <w:rFonts w:ascii="Verdana" w:eastAsia="Aptos" w:hAnsi="Verdana" w:cs="Times New Roman"/>
          <w:kern w:val="2"/>
          <w:vertAlign w:val="superscript"/>
          <w:lang w:val="es-ES_tradnl"/>
          <w14:ligatures w14:val="standardContextual"/>
        </w:rPr>
        <w:footnoteReference w:id="21"/>
      </w:r>
      <w:r w:rsidRPr="000C62B8">
        <w:rPr>
          <w:rFonts w:ascii="Verdana" w:eastAsia="Calibri" w:hAnsi="Verdana" w:cs="Arial"/>
          <w:lang w:val="es-ES"/>
        </w:rPr>
        <w:t>.</w:t>
      </w:r>
    </w:p>
    <w:p w14:paraId="5658779D" w14:textId="77777777" w:rsidR="000C62B8" w:rsidRPr="000C62B8" w:rsidRDefault="000C62B8" w:rsidP="000C62B8">
      <w:pPr>
        <w:spacing w:after="120" w:line="276" w:lineRule="auto"/>
        <w:ind w:firstLine="709"/>
        <w:jc w:val="both"/>
        <w:rPr>
          <w:rFonts w:ascii="Verdana" w:eastAsia="Calibri" w:hAnsi="Verdana" w:cs="Arial"/>
          <w:kern w:val="2"/>
          <w:lang w:val="es-ES_tradnl"/>
          <w14:ligatures w14:val="standardContextual"/>
        </w:rPr>
      </w:pPr>
      <w:r w:rsidRPr="000C62B8">
        <w:rPr>
          <w:rFonts w:ascii="Verdana" w:eastAsia="Calibri" w:hAnsi="Verdana" w:cs="Arial"/>
          <w:kern w:val="2"/>
          <w:lang w:val="es-ES_tradnl"/>
          <w14:ligatures w14:val="standardContextual"/>
        </w:rPr>
        <w:t>Respecto de la experiencia, esta debe inscribirse, renovarse o actualizarse en el RUP con copia de los contratos o con certificados de los contratos celebrados por el proponente con diferentes contratantes, quienes son terceros que los expiden cuando el contrato fue ejecutado y recibieron los bienes, obras o servicios de parte del proponente</w:t>
      </w:r>
      <w:r w:rsidRPr="000C62B8">
        <w:rPr>
          <w:rFonts w:ascii="Verdana" w:eastAsia="Aptos" w:hAnsi="Verdana" w:cs="Times New Roman"/>
          <w:kern w:val="2"/>
          <w:vertAlign w:val="superscript"/>
          <w:lang w:val="es-ES_tradnl"/>
          <w14:ligatures w14:val="standardContextual"/>
        </w:rPr>
        <w:footnoteReference w:id="22"/>
      </w:r>
      <w:r w:rsidRPr="000C62B8">
        <w:rPr>
          <w:rFonts w:ascii="Verdana" w:eastAsia="Calibri" w:hAnsi="Verdana" w:cs="Arial"/>
          <w:kern w:val="2"/>
          <w:lang w:val="es-ES_tradnl"/>
          <w14:ligatures w14:val="standardContextual"/>
        </w:rPr>
        <w:t xml:space="preserve">. De esta manera, con el RUP se verifica que el proponente tenga experiencia en la ejecución del objeto que pretende contratar la entidad, esto es, que haya celebrado y ejecutado contratos que se asimilen a la necesidad que la entidad requiere satisfacer con el procedimiento contractual, sin que sea necesario que su objeto sea idéntico, lo que dependerá de la forma como la entidad solicite la experiencia en el pliego de condiciones o documento equivalente. </w:t>
      </w:r>
    </w:p>
    <w:p w14:paraId="1AF1A47E" w14:textId="77777777" w:rsidR="000C62B8" w:rsidRPr="000C62B8" w:rsidRDefault="000C62B8" w:rsidP="000C62B8">
      <w:pPr>
        <w:spacing w:before="120" w:after="0" w:line="276" w:lineRule="auto"/>
        <w:ind w:firstLine="709"/>
        <w:jc w:val="both"/>
        <w:rPr>
          <w:rFonts w:ascii="Verdana" w:eastAsia="Calibri" w:hAnsi="Verdana" w:cs="Arial"/>
          <w:lang w:val="es-ES"/>
        </w:rPr>
      </w:pPr>
      <w:r w:rsidRPr="000C62B8">
        <w:rPr>
          <w:rFonts w:ascii="Verdana" w:eastAsia="Calibri" w:hAnsi="Verdana" w:cs="Arial"/>
          <w:lang w:val="es-ES"/>
        </w:rPr>
        <w:t>Esta Agencia puso a disposición de los interesados el “Manual para determinar y verificar los requisitos habilitantes en los Procesos de Contratación”</w:t>
      </w:r>
      <w:r w:rsidRPr="000C62B8">
        <w:rPr>
          <w:rFonts w:ascii="Verdana" w:eastAsia="Calibri" w:hAnsi="Verdana" w:cs="Arial"/>
          <w:vertAlign w:val="superscript"/>
          <w:lang w:val="es-ES"/>
        </w:rPr>
        <w:footnoteReference w:id="23"/>
      </w:r>
      <w:r w:rsidRPr="000C62B8">
        <w:rPr>
          <w:rFonts w:ascii="Verdana" w:eastAsia="Calibri" w:hAnsi="Verdana" w:cs="Arial"/>
          <w:lang w:val="es-ES"/>
        </w:rPr>
        <w:t xml:space="preserve">, en el que se establecen las definiciones de cada requisito habilitante y se dan lineamientos orientadores sobre lo que las entidades deben y pueden hacer para configurarlos adecuadamente. En particular, sobre el requisito habilitante de experiencia, el Manual se centra en una de sus cualidades: es </w:t>
      </w:r>
      <w:r w:rsidRPr="000C62B8">
        <w:rPr>
          <w:rFonts w:ascii="Verdana" w:eastAsia="Calibri" w:hAnsi="Verdana" w:cs="Arial"/>
          <w:i/>
          <w:iCs/>
          <w:lang w:val="es-ES"/>
        </w:rPr>
        <w:t xml:space="preserve">personal. </w:t>
      </w:r>
      <w:r w:rsidRPr="000C62B8">
        <w:rPr>
          <w:rFonts w:ascii="Verdana" w:eastAsia="Calibri" w:hAnsi="Verdana" w:cs="Arial"/>
          <w:lang w:val="es-ES"/>
        </w:rPr>
        <w:t>Esto significa que la experiencia le pertenece a quien haya participado, con anterioridad, en actividades que le permitieron conocer cómo ejecutar el objeto contractual que la entidad pretende satisfacer mediante el Proceso de Contratación.</w:t>
      </w:r>
    </w:p>
    <w:p w14:paraId="4340432D" w14:textId="77777777" w:rsidR="000C62B8" w:rsidRPr="000C62B8" w:rsidRDefault="000C62B8" w:rsidP="000C62B8">
      <w:pPr>
        <w:spacing w:before="120" w:after="120" w:line="276" w:lineRule="auto"/>
        <w:ind w:firstLine="708"/>
        <w:jc w:val="both"/>
        <w:rPr>
          <w:rFonts w:ascii="Verdana" w:eastAsia="Calibri" w:hAnsi="Verdana" w:cs="Arial"/>
          <w:lang w:val="es-ES_tradnl"/>
        </w:rPr>
      </w:pPr>
      <w:r w:rsidRPr="000C62B8">
        <w:rPr>
          <w:rFonts w:ascii="Verdana" w:eastAsia="Calibri" w:hAnsi="Verdana" w:cs="Arial"/>
          <w:lang w:val="es-ES_tradnl"/>
        </w:rPr>
        <w:lastRenderedPageBreak/>
        <w:t xml:space="preserve">Lo anterior es determinante, porque no es posible tener experiencia si en la práctica no se han ejecutado actividades similares previas. Precisamente, de la experiencia se deriva el conocimiento del proponente, y para la contratación pública es importante, ya que garantiza que no habrá improvisación ni mayores costos por errores o dificultades originadas en realizar una actividad por primera vez. </w:t>
      </w:r>
    </w:p>
    <w:p w14:paraId="135DE12E" w14:textId="77777777" w:rsidR="000C62B8" w:rsidRPr="000C62B8" w:rsidRDefault="000C62B8" w:rsidP="000C62B8">
      <w:pPr>
        <w:tabs>
          <w:tab w:val="left" w:pos="709"/>
        </w:tabs>
        <w:spacing w:after="120" w:line="276" w:lineRule="auto"/>
        <w:jc w:val="both"/>
        <w:rPr>
          <w:rFonts w:ascii="Verdana" w:eastAsia="Calibri" w:hAnsi="Verdana" w:cs="Arial"/>
          <w:color w:val="000000"/>
          <w:shd w:val="clear" w:color="auto" w:fill="FFFFFF"/>
          <w:lang w:val="es-ES"/>
        </w:rPr>
      </w:pPr>
      <w:r w:rsidRPr="000C62B8">
        <w:rPr>
          <w:rFonts w:ascii="Arial" w:eastAsia="Calibri" w:hAnsi="Arial" w:cs="Arial"/>
          <w:color w:val="000000"/>
          <w:shd w:val="clear" w:color="auto" w:fill="FFFFFF"/>
          <w:lang w:val="es-ES_tradnl"/>
        </w:rPr>
        <w:tab/>
      </w:r>
      <w:r w:rsidRPr="000C62B8">
        <w:rPr>
          <w:rFonts w:ascii="Verdana" w:eastAsia="Calibri" w:hAnsi="Verdana" w:cs="Arial"/>
          <w:color w:val="000000"/>
          <w:shd w:val="clear" w:color="auto" w:fill="FFFFFF"/>
          <w:lang w:val="es-ES"/>
        </w:rPr>
        <w:t>En ese orden, se tiene que el artículo 6 de la Ley 1150 de 2007 señala que todas las personas naturales o jurídicas, nacionales o extranjeras, domiciliadas o con sucursal en Colombia que aspiren a celebrar contratos con las entidades, como se indicó en líneas anteriores, deberán estar inscritas en el RUP. En este registro constará la información relacionada con la experiencia, capacidad jurídica, financiera y de organización del proponente y su clasificación.</w:t>
      </w:r>
    </w:p>
    <w:p w14:paraId="13944E4C" w14:textId="77777777" w:rsidR="000C62B8" w:rsidRPr="000C62B8" w:rsidRDefault="000C62B8" w:rsidP="000C62B8">
      <w:pPr>
        <w:tabs>
          <w:tab w:val="left" w:pos="709"/>
        </w:tabs>
        <w:spacing w:after="120" w:line="276" w:lineRule="auto"/>
        <w:jc w:val="both"/>
        <w:rPr>
          <w:rFonts w:ascii="Verdana" w:eastAsia="Times New Roman" w:hAnsi="Verdana" w:cs="Arial"/>
          <w:lang w:val="es-ES" w:eastAsia="es-ES"/>
        </w:rPr>
      </w:pPr>
      <w:r w:rsidRPr="000C62B8">
        <w:rPr>
          <w:rFonts w:ascii="Verdana" w:eastAsia="Calibri" w:hAnsi="Verdana" w:cs="Arial"/>
          <w:color w:val="000000"/>
          <w:shd w:val="clear" w:color="auto" w:fill="FFFFFF"/>
          <w:lang w:val="es-ES"/>
        </w:rPr>
        <w:tab/>
        <w:t xml:space="preserve">Particularmente, </w:t>
      </w:r>
      <w:r w:rsidRPr="000C62B8">
        <w:rPr>
          <w:rFonts w:ascii="Verdana" w:eastAsia="Times New Roman" w:hAnsi="Verdana" w:cs="Arial"/>
          <w:lang w:val="es-ES" w:eastAsia="es-ES"/>
        </w:rPr>
        <w:t>el numeral 2.5 del artículo 2.2.1.1.1.5.2 del Decreto 1082 de 2015, señala que la persona jurídica se registrará aportando los certificados de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w:t>
      </w:r>
      <w:r w:rsidRPr="000C62B8">
        <w:rPr>
          <w:rFonts w:ascii="Verdana" w:eastAsia="Calibri" w:hAnsi="Verdana" w:cs="Arial"/>
          <w:vertAlign w:val="superscript"/>
          <w:lang w:val="es-ES" w:eastAsia="es-ES"/>
        </w:rPr>
        <w:footnoteReference w:id="24"/>
      </w:r>
      <w:r w:rsidRPr="000C62B8">
        <w:rPr>
          <w:rFonts w:ascii="Verdana" w:eastAsia="Times New Roman" w:hAnsi="Verdana" w:cs="Arial"/>
          <w:lang w:val="es-ES" w:eastAsia="es-ES"/>
        </w:rPr>
        <w:t xml:space="preserve">. Por ello, el interesado debe indicar en cada certificado, o en cada copia de los contratos, los bienes, obras y servicios a los cuales corresponde la experiencia que pretende acreditar, identificándolos con el Clasificador de Bienes y Servicios, en el tercer nivel. </w:t>
      </w:r>
    </w:p>
    <w:p w14:paraId="3B8C7002" w14:textId="77777777" w:rsidR="000C62B8" w:rsidRPr="000C62B8" w:rsidRDefault="000C62B8" w:rsidP="000C62B8">
      <w:pPr>
        <w:spacing w:before="120" w:after="120" w:line="276" w:lineRule="auto"/>
        <w:ind w:firstLine="708"/>
        <w:jc w:val="both"/>
        <w:rPr>
          <w:rFonts w:ascii="Verdana" w:eastAsia="Calibri" w:hAnsi="Verdana" w:cs="Arial"/>
          <w:color w:val="000000"/>
          <w:shd w:val="clear" w:color="auto" w:fill="FFFFFF"/>
          <w:lang w:val="es-ES"/>
        </w:rPr>
      </w:pPr>
      <w:r w:rsidRPr="000C62B8">
        <w:rPr>
          <w:rFonts w:ascii="Verdana" w:eastAsia="Times New Roman" w:hAnsi="Verdana" w:cs="Arial"/>
          <w:lang w:val="es-ES" w:eastAsia="es-ES"/>
        </w:rPr>
        <w:t xml:space="preserve">Sin embargo, es menester destacar que la parte final del numeral 2.5 del referido artículo indica que </w:t>
      </w:r>
      <w:r w:rsidRPr="000C62B8">
        <w:rPr>
          <w:rFonts w:ascii="Verdana" w:eastAsia="Calibri" w:hAnsi="Verdana" w:cs="Arial"/>
          <w:lang w:val="es-ES" w:eastAsia="es-ES"/>
        </w:rPr>
        <w:t>“</w:t>
      </w:r>
      <w:r w:rsidRPr="000C62B8">
        <w:rPr>
          <w:rFonts w:ascii="Verdana" w:eastAsia="Times New Roman" w:hAnsi="Verdana" w:cs="Arial"/>
          <w:lang w:val="es-ES" w:eastAsia="es-ES"/>
        </w:rPr>
        <w:t>[s]i la constitución del interesado es menor a tres (3) años, puede acreditar la experiencia de sus accionistas, socios o constituyentes</w:t>
      </w:r>
      <w:r w:rsidRPr="000C62B8">
        <w:rPr>
          <w:rFonts w:ascii="Verdana" w:eastAsia="Calibri" w:hAnsi="Verdana" w:cs="Arial"/>
          <w:lang w:val="es-ES" w:eastAsia="es-ES"/>
        </w:rPr>
        <w:t>”</w:t>
      </w:r>
      <w:r w:rsidRPr="000C62B8">
        <w:rPr>
          <w:rFonts w:ascii="Verdana" w:eastAsia="Times New Roman" w:hAnsi="Verdana" w:cs="Arial"/>
          <w:lang w:val="es-ES" w:eastAsia="es-ES"/>
        </w:rPr>
        <w:t>.</w:t>
      </w:r>
      <w:r w:rsidRPr="000C62B8">
        <w:rPr>
          <w:rFonts w:ascii="Verdana" w:eastAsia="Calibri" w:hAnsi="Verdana" w:cs="Arial"/>
          <w:color w:val="000000"/>
          <w:shd w:val="clear" w:color="auto" w:fill="FFFFFF"/>
          <w:lang w:val="es-ES_tradnl"/>
        </w:rPr>
        <w:t xml:space="preserve"> </w:t>
      </w:r>
      <w:r w:rsidRPr="000C62B8">
        <w:rPr>
          <w:rFonts w:ascii="Verdana" w:eastAsia="Calibri" w:hAnsi="Verdana" w:cs="Arial"/>
          <w:color w:val="000000"/>
          <w:shd w:val="clear" w:color="auto" w:fill="FFFFFF"/>
          <w:lang w:val="es-ES"/>
        </w:rPr>
        <w:t xml:space="preserve">De este modo, se evidencia que la parte final del numeral 2.5 del artículo citado incluye una medida diferenciada para las personas jurídicas cuya constitución sea menor a tres (3) años al momento del registro. Esta prerrogativa, que puede entenderse como una medida de fomento a la participación de pequeños oferentes en la contratación estatal, permite que las sociedades relativamente nuevas –con menos de tres (3) años de constitución– puedan acreditar como experiencia en el RUP la de sus accionistas, socios o </w:t>
      </w:r>
      <w:r w:rsidRPr="000C62B8">
        <w:rPr>
          <w:rFonts w:ascii="Verdana" w:eastAsia="Calibri" w:hAnsi="Verdana" w:cs="Arial"/>
          <w:color w:val="000000"/>
          <w:shd w:val="clear" w:color="auto" w:fill="FFFFFF"/>
          <w:lang w:val="es-ES"/>
        </w:rPr>
        <w:lastRenderedPageBreak/>
        <w:t>constituyentes. Pese a que la experiencia es inherente a la persona que la ha obtenido, razón por la cual es, en principio, intransferible en virtud de su carácter personalísimo, por disposición legal o reglamentaria, en casos excepcionales, como el descrito en el artículo mencionado, se aplica de otra manera.</w:t>
      </w:r>
    </w:p>
    <w:p w14:paraId="15B1D1A0" w14:textId="77777777" w:rsidR="000C62B8" w:rsidRPr="000C62B8" w:rsidRDefault="000C62B8" w:rsidP="000C62B8">
      <w:pPr>
        <w:tabs>
          <w:tab w:val="left" w:pos="483"/>
        </w:tabs>
        <w:spacing w:after="120" w:line="276" w:lineRule="auto"/>
        <w:jc w:val="both"/>
        <w:rPr>
          <w:rFonts w:ascii="Verdana" w:eastAsia="Calibri" w:hAnsi="Verdana" w:cs="Arial"/>
          <w:color w:val="000000"/>
          <w:shd w:val="clear" w:color="auto" w:fill="FFFFFF"/>
          <w:lang w:val="es-ES"/>
        </w:rPr>
      </w:pPr>
      <w:r w:rsidRPr="000C62B8">
        <w:rPr>
          <w:rFonts w:ascii="Verdana" w:eastAsia="Calibri" w:hAnsi="Verdana" w:cs="Arial"/>
          <w:color w:val="000000"/>
          <w:shd w:val="clear" w:color="auto" w:fill="FFFFFF"/>
          <w:lang w:val="es-ES_tradnl"/>
        </w:rPr>
        <w:tab/>
      </w:r>
      <w:r w:rsidRPr="000C62B8">
        <w:rPr>
          <w:rFonts w:ascii="Verdana" w:eastAsia="Calibri" w:hAnsi="Verdana" w:cs="Arial"/>
          <w:color w:val="000000"/>
          <w:shd w:val="clear" w:color="auto" w:fill="FFFFFF"/>
          <w:lang w:val="es-ES_tradnl"/>
        </w:rPr>
        <w:tab/>
      </w:r>
      <w:r w:rsidRPr="000C62B8">
        <w:rPr>
          <w:rFonts w:ascii="Verdana" w:eastAsia="Calibri" w:hAnsi="Verdana" w:cs="Arial"/>
          <w:color w:val="000000"/>
          <w:shd w:val="clear" w:color="auto" w:fill="FFFFFF"/>
          <w:lang w:val="es-ES"/>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 Contratación, y de esta forma promover el desarrollo de la empresa y la pluralidad de oferentes en la contratación pública.</w:t>
      </w:r>
    </w:p>
    <w:p w14:paraId="61C392E2" w14:textId="77777777" w:rsidR="000C62B8" w:rsidRPr="000C62B8" w:rsidRDefault="000C62B8" w:rsidP="000C62B8">
      <w:pPr>
        <w:spacing w:before="120" w:after="120" w:line="276" w:lineRule="auto"/>
        <w:ind w:firstLine="708"/>
        <w:jc w:val="both"/>
        <w:rPr>
          <w:rFonts w:ascii="Verdana" w:eastAsia="Times New Roman" w:hAnsi="Verdana" w:cs="Arial"/>
          <w:lang w:val="es-ES_tradnl" w:eastAsia="es-ES_tradnl"/>
        </w:rPr>
      </w:pPr>
      <w:r w:rsidRPr="000C62B8">
        <w:rPr>
          <w:rFonts w:ascii="Verdana" w:eastAsia="Times New Roman" w:hAnsi="Verdana" w:cs="Arial"/>
          <w:lang w:val="es-ES_tradnl" w:eastAsia="es-ES_tradnl"/>
        </w:rPr>
        <w:t xml:space="preserve">Este aspecto ofrece meridiana claridad en cuanto a su aplicación, pero el interrogante que ha generado la norma, y que suscita la presente consulta, es el siguiente: ¿qué pasa después de que la sociedad a la que le ha sido permitido certificar la experiencia de sus socios, accionistas o constituyentes cumple tres (3) años de su constitución?, ¿puede seguir siendo beneficiaria de la prerrogativa del numeral 2.5 del artículo 2.2.1.1.1.5.2 del Decreto 1082 de 2015? Estos interrogantes han sido planteados a la Subdirección de Gestión Contractual de esta Agencia y se han desarrollado en torno a dos posiciones que se plantean a continuación: </w:t>
      </w:r>
    </w:p>
    <w:p w14:paraId="26E6C4F1" w14:textId="77777777" w:rsidR="000C62B8" w:rsidRPr="000C62B8" w:rsidRDefault="000C62B8" w:rsidP="000C62B8">
      <w:pPr>
        <w:spacing w:after="120" w:line="276" w:lineRule="auto"/>
        <w:ind w:firstLine="709"/>
        <w:jc w:val="both"/>
        <w:rPr>
          <w:rFonts w:ascii="Verdana" w:eastAsia="Times New Roman" w:hAnsi="Verdana" w:cs="Arial"/>
          <w:lang w:val="es-ES" w:eastAsia="es-ES"/>
        </w:rPr>
      </w:pPr>
      <w:r w:rsidRPr="000C62B8">
        <w:rPr>
          <w:rFonts w:ascii="Verdana" w:eastAsia="Times New Roman" w:hAnsi="Verdana" w:cs="Arial"/>
          <w:lang w:val="es-ES" w:eastAsia="es-ES"/>
        </w:rPr>
        <w:t xml:space="preserve">Para esta Agencia, </w:t>
      </w:r>
      <w:bookmarkStart w:id="4" w:name="_Hlk67498604"/>
      <w:r w:rsidRPr="000C62B8">
        <w:rPr>
          <w:rFonts w:ascii="Verdana" w:eastAsia="Times New Roman" w:hAnsi="Verdana" w:cs="Arial"/>
          <w:lang w:val="es-ES" w:eastAsia="es-ES"/>
        </w:rPr>
        <w:t xml:space="preserve">si la persona jurídica con menos de tres (3) años de constituida registra la experiencia de sus socios, accionistas o constituyentes en el RUP, y este es renovado, puede continuar utilizando la experiencia inscrita mientras no cesen los efectos del RUP. Por el contrario, si no se renueva y la persona jurídica supera los tres (3) años de constituida, la experiencia que registró de sus socios, accionistas o constituyentes no puede ser inscrita nuevamente, puesto que el RUP ha cesado sus efectos y la cámara de comercio tiene que hacer nuevamente la verificación documental de la información presentada al momento de inscribirse en el registro. </w:t>
      </w:r>
      <w:bookmarkEnd w:id="4"/>
    </w:p>
    <w:p w14:paraId="7E1E070C" w14:textId="77777777" w:rsidR="000C62B8" w:rsidRPr="000C62B8" w:rsidRDefault="000C62B8" w:rsidP="000C62B8">
      <w:pPr>
        <w:spacing w:after="0" w:line="276" w:lineRule="auto"/>
        <w:ind w:firstLine="708"/>
        <w:contextualSpacing/>
        <w:jc w:val="both"/>
        <w:rPr>
          <w:rFonts w:ascii="Verdana" w:eastAsia="Times New Roman" w:hAnsi="Verdana" w:cs="Arial"/>
          <w:lang w:val="es-ES" w:eastAsia="es-ES"/>
        </w:rPr>
      </w:pPr>
      <w:r w:rsidRPr="000C62B8">
        <w:rPr>
          <w:rFonts w:ascii="Verdana" w:eastAsia="Times New Roman" w:hAnsi="Verdana" w:cs="Arial"/>
          <w:lang w:val="es-ES" w:eastAsia="es-ES"/>
        </w:rPr>
        <w:t xml:space="preserve">Lo anterior, además tiene fundamento en la Circular Única de la Superintendencia de Industria y Comercio, cuyo numeral 4.2 del capítulo cuarto del título VIII, sobre el procedimiento para llevar el Registro Único de Proponentes, dispone lo siguiente:  </w:t>
      </w:r>
    </w:p>
    <w:p w14:paraId="61014BB9" w14:textId="77777777" w:rsidR="000C62B8" w:rsidRPr="000C62B8" w:rsidRDefault="000C62B8" w:rsidP="000C62B8">
      <w:pPr>
        <w:spacing w:after="0" w:line="276" w:lineRule="auto"/>
        <w:ind w:firstLine="708"/>
        <w:contextualSpacing/>
        <w:jc w:val="both"/>
        <w:rPr>
          <w:rFonts w:ascii="Verdana" w:eastAsia="Times New Roman" w:hAnsi="Verdana" w:cs="Arial"/>
          <w:lang w:val="es-ES_tradnl" w:eastAsia="es-ES_tradnl"/>
        </w:rPr>
      </w:pPr>
    </w:p>
    <w:p w14:paraId="09C2D57F" w14:textId="77777777" w:rsidR="000C62B8" w:rsidRPr="000C62B8" w:rsidRDefault="000C62B8" w:rsidP="000C62B8">
      <w:pPr>
        <w:spacing w:after="0" w:line="240" w:lineRule="auto"/>
        <w:ind w:left="709" w:right="709"/>
        <w:contextualSpacing/>
        <w:jc w:val="both"/>
        <w:rPr>
          <w:rFonts w:ascii="Verdana" w:eastAsia="Times New Roman" w:hAnsi="Verdana" w:cs="Arial"/>
          <w:sz w:val="20"/>
          <w:szCs w:val="20"/>
          <w:lang w:val="es-ES_tradnl" w:eastAsia="es-ES_tradnl"/>
        </w:rPr>
      </w:pPr>
      <w:r w:rsidRPr="000C62B8">
        <w:rPr>
          <w:rFonts w:ascii="Verdana" w:eastAsia="Times New Roman" w:hAnsi="Verdana" w:cs="Arial"/>
          <w:sz w:val="20"/>
          <w:szCs w:val="20"/>
          <w:lang w:val="es-ES_tradnl" w:eastAsia="es-ES_tradnl"/>
        </w:rPr>
        <w:t xml:space="preserve">“4.2.5. Vigencia de los documentos. Para efectos de renovación y actualización se considera que los documentos no pierden su vigencia salvo disposición legal en contrario. Por lo anterior, las Cámaras de Comercio no podrán abstenerse de realizar la inscripción argumentando el vencimiento de los documentos de soporte”. </w:t>
      </w:r>
    </w:p>
    <w:p w14:paraId="12852216" w14:textId="77777777" w:rsidR="000C62B8" w:rsidRPr="000C62B8" w:rsidRDefault="000C62B8" w:rsidP="000C62B8">
      <w:pPr>
        <w:spacing w:after="0" w:line="276" w:lineRule="auto"/>
        <w:ind w:left="709" w:right="709"/>
        <w:contextualSpacing/>
        <w:jc w:val="both"/>
        <w:rPr>
          <w:rFonts w:ascii="Verdana" w:eastAsia="Times New Roman" w:hAnsi="Verdana" w:cs="Arial"/>
          <w:lang w:val="es-ES_tradnl" w:eastAsia="es-ES_tradnl"/>
        </w:rPr>
      </w:pPr>
    </w:p>
    <w:p w14:paraId="18795B45" w14:textId="77777777" w:rsidR="000C62B8" w:rsidRPr="000C62B8" w:rsidRDefault="000C62B8" w:rsidP="000C62B8">
      <w:pPr>
        <w:spacing w:after="0" w:line="276" w:lineRule="auto"/>
        <w:ind w:firstLine="708"/>
        <w:jc w:val="both"/>
        <w:rPr>
          <w:rFonts w:ascii="Verdana" w:eastAsia="Times New Roman" w:hAnsi="Verdana" w:cs="Arial"/>
          <w:lang w:val="es-ES_tradnl" w:eastAsia="es-ES_tradnl"/>
        </w:rPr>
      </w:pPr>
      <w:r w:rsidRPr="000C62B8">
        <w:rPr>
          <w:rFonts w:ascii="Verdana" w:eastAsia="Times New Roman" w:hAnsi="Verdana" w:cs="Arial"/>
          <w:lang w:val="es-ES_tradnl" w:eastAsia="es-ES_tradnl"/>
        </w:rPr>
        <w:t xml:space="preserve">Así las cosas, con el fin de incentivar la participación continua y constante de los proponentes, las Entidades Estatales, en sus Procesos de Contratación, aceptarán como válida la experiencia de los socios, accionistas o constituyentes incluso después de cumplidos los tres (3) años de constitución de la sociedad, siempre y cuando se renueve constantemente el RUP, dentro de los tiempos establecidos en las normas que lo regulan. Esta interpretación permite incentivar la creación de empresa y generar una mayor participación de las empresas recién constituidas. En este sentido, si bien la norma no dispone qué sucede con la experiencia aportada por los socios, accionistas o constituyentes, después de los tres (3) años de constituida la persona jurídica, para esta Subdirección sigue siendo válida, por lo que la entidad la debe tener en cuenta. De esta forma se garantiza la pluralidad de oferentes en los Procesos de Contratación. </w:t>
      </w:r>
    </w:p>
    <w:p w14:paraId="02AF1F2A" w14:textId="77777777" w:rsidR="000C62B8" w:rsidRPr="000C62B8" w:rsidRDefault="000C62B8" w:rsidP="000C62B8">
      <w:pPr>
        <w:spacing w:before="120" w:after="120" w:line="276" w:lineRule="auto"/>
        <w:ind w:firstLine="708"/>
        <w:jc w:val="both"/>
        <w:rPr>
          <w:rFonts w:ascii="Verdana" w:eastAsia="Times New Roman" w:hAnsi="Verdana" w:cs="Arial"/>
          <w:lang w:val="es-ES_tradnl" w:eastAsia="es-ES_tradnl"/>
        </w:rPr>
      </w:pPr>
      <w:r w:rsidRPr="000C62B8">
        <w:rPr>
          <w:rFonts w:ascii="Verdana" w:eastAsia="Times New Roman" w:hAnsi="Verdana" w:cs="Arial"/>
          <w:lang w:val="es-ES_tradnl" w:eastAsia="es-ES_tradnl"/>
        </w:rPr>
        <w:t xml:space="preserve">En línea con lo anterior, el numeral 2.5. del artículo 2.2.1.1.1.5.2 del Decreto 1082 de 2015 consagra una prerrogativa para las sociedades nuevas, que busca fomentar su competencia en el campo de la contratación estatal, sin establecer limitantes en relación con las entidades o Procesos de Contratación en los que las personas jurídicas con menos de tres (3) años de constitución pueden acreditar la experiencia transferida por sus socios en virtud de la referida prerrogativa. </w:t>
      </w:r>
    </w:p>
    <w:p w14:paraId="134B5179" w14:textId="77777777" w:rsidR="000C62B8" w:rsidRPr="000C62B8" w:rsidRDefault="000C62B8" w:rsidP="000C62B8">
      <w:pPr>
        <w:spacing w:before="120" w:after="0" w:line="276" w:lineRule="auto"/>
        <w:ind w:firstLine="709"/>
        <w:jc w:val="both"/>
        <w:rPr>
          <w:rFonts w:ascii="Verdana" w:eastAsia="Times New Roman" w:hAnsi="Verdana" w:cs="Arial"/>
          <w:lang w:val="es-ES_tradnl" w:eastAsia="es-ES_tradnl"/>
        </w:rPr>
      </w:pPr>
      <w:r w:rsidRPr="000C62B8">
        <w:rPr>
          <w:rFonts w:ascii="Verdana" w:eastAsia="Times New Roman" w:hAnsi="Verdana" w:cs="Arial"/>
          <w:lang w:val="es-ES_tradnl" w:eastAsia="es-ES_tradnl"/>
        </w:rPr>
        <w:t>Por tanto, en atención al principio general de interpretación según el cual donde el legislador no distingue no le es dado hacerlo al intérprete, el hecho de que una sociedad con menos de tres (3) años de constitución haya hecho uso de la referida prerrogativa en determinado Proceso de Contratación o entidad, no excluye la posibilidad de que dicha sociedad siga haciendo uso del beneficio en otros procesos de contratación adelantados por otras entidades, incluso una vez vencidos los tres (3) años de constitución, siempre que no hayan cesado los efectos del RUP por el incumplimiento del deber de renovación.</w:t>
      </w:r>
    </w:p>
    <w:p w14:paraId="4B813FD0" w14:textId="77777777" w:rsidR="000C62B8" w:rsidRPr="000C62B8" w:rsidRDefault="000C62B8" w:rsidP="000C62B8">
      <w:pPr>
        <w:spacing w:before="120" w:after="120" w:line="276" w:lineRule="auto"/>
        <w:ind w:firstLine="709"/>
        <w:jc w:val="both"/>
        <w:rPr>
          <w:rFonts w:ascii="Verdana" w:eastAsia="Times New Roman" w:hAnsi="Verdana" w:cs="Arial"/>
          <w:lang w:val="es-ES" w:eastAsia="es-ES"/>
        </w:rPr>
      </w:pPr>
      <w:r w:rsidRPr="000C62B8">
        <w:rPr>
          <w:rFonts w:ascii="Verdana" w:eastAsia="Calibri" w:hAnsi="Verdana" w:cs="Arial"/>
          <w:color w:val="000000"/>
          <w:shd w:val="clear" w:color="auto" w:fill="FFFFFF"/>
          <w:lang w:val="es-ES"/>
        </w:rPr>
        <w:t xml:space="preserve">Ahora bien, debe aclararse que </w:t>
      </w:r>
      <w:r w:rsidRPr="000C62B8">
        <w:rPr>
          <w:rFonts w:ascii="Verdana" w:eastAsia="Times New Roman" w:hAnsi="Verdana" w:cs="Arial"/>
          <w:lang w:val="es-ES" w:eastAsia="es-ES"/>
        </w:rPr>
        <w:t xml:space="preserve">el Decreto 1082 de 2015 solo permite que una sociedad acredite la experiencia de quienes tienen la calidad de accionistas, </w:t>
      </w:r>
      <w:r w:rsidRPr="000C62B8">
        <w:rPr>
          <w:rFonts w:ascii="Verdana" w:eastAsia="Times New Roman" w:hAnsi="Verdana" w:cs="Arial"/>
          <w:lang w:val="es-ES" w:eastAsia="es-ES"/>
        </w:rPr>
        <w:lastRenderedPageBreak/>
        <w:t xml:space="preserve">socios o constituyentes </w:t>
      </w:r>
      <w:r w:rsidRPr="000C62B8">
        <w:rPr>
          <w:rFonts w:ascii="Verdana" w:eastAsia="Calibri" w:hAnsi="Verdana" w:cs="Arial"/>
          <w:lang w:val="es-ES"/>
        </w:rPr>
        <w:t>cuando tiene menos de tres (3) años de constitución</w:t>
      </w:r>
      <w:r w:rsidRPr="000C62B8">
        <w:rPr>
          <w:rFonts w:ascii="Verdana" w:eastAsia="Times New Roman" w:hAnsi="Verdana" w:cs="Arial"/>
          <w:lang w:val="es-ES" w:eastAsia="es-ES"/>
        </w:rPr>
        <w:t>. De esta forma, en caso de que la sociedad haya superado el referido término de haberse constituido, no podrá acreditar la experiencia obtenida por un nuevo socio o accionista, con el fin de beneficiarse de la prerrogativa señalada en el numeral 2.5 del artículo 2.2.1.1.1.5.2 del citado decreto.</w:t>
      </w:r>
    </w:p>
    <w:p w14:paraId="3879E987" w14:textId="77777777" w:rsidR="000C62B8" w:rsidRPr="000C62B8" w:rsidRDefault="000C62B8" w:rsidP="000C62B8">
      <w:pPr>
        <w:shd w:val="clear" w:color="auto" w:fill="FFFFFF" w:themeFill="background1"/>
        <w:snapToGrid w:val="0"/>
        <w:spacing w:after="120" w:line="276" w:lineRule="auto"/>
        <w:ind w:firstLine="709"/>
        <w:jc w:val="both"/>
        <w:rPr>
          <w:rFonts w:ascii="Verdana" w:eastAsia="Times New Roman" w:hAnsi="Verdana" w:cs="Arial"/>
          <w:lang w:val="es-ES" w:eastAsia="es-ES"/>
        </w:rPr>
      </w:pPr>
      <w:r w:rsidRPr="000C62B8">
        <w:rPr>
          <w:rFonts w:ascii="Verdana" w:eastAsia="Times New Roman" w:hAnsi="Verdana" w:cs="Arial"/>
          <w:lang w:val="es-ES" w:eastAsia="es-ES"/>
        </w:rPr>
        <w:t xml:space="preserve">En este sentido, la experiencia transferida de los accionistas, socios o constituyentes a la persona jurídica que tiene menos de tres (3) años de constitución solo puede verificarse con el registro, sin que sea posible para la entidad contratante solicitar documentos adicionales a los oferentes. Ahora bien, si la persona jurídica con menos de tres (3) años de constituida registra la experiencia de sus socios en el RUP, y este es renovado constantemente de forma oportuna, puede continuar utilizando la experiencia inscrita mientras no cesen los efectos del RUP, incluso después de transcurridos los tres (3) años. Por el contrario, si no se renueva y la persona jurídica supera los tres (3) años de constituida, la experiencia que registró de sus socios no puede ser inscrita nuevamente, puesto que el RUP ha cesado sus efectos y la Cámara de Comercio tiene que hacer nuevamente la verificación documental de la información presentada al momento de inscribirse en el registro.  </w:t>
      </w:r>
    </w:p>
    <w:p w14:paraId="3800A727" w14:textId="77777777" w:rsidR="000C62B8" w:rsidRPr="000C62B8" w:rsidRDefault="000C62B8" w:rsidP="000467F1">
      <w:pPr>
        <w:spacing w:after="0" w:line="276" w:lineRule="auto"/>
        <w:jc w:val="both"/>
        <w:rPr>
          <w:rFonts w:ascii="Verdana" w:eastAsia="Calibri" w:hAnsi="Verdana" w:cs="Times New Roman"/>
        </w:rPr>
      </w:pPr>
      <w:r w:rsidRPr="000C62B8">
        <w:tab/>
      </w:r>
      <w:r w:rsidRPr="000C62B8">
        <w:rPr>
          <w:rFonts w:ascii="Verdana" w:eastAsia="Calibri" w:hAnsi="Verdana" w:cs="Arial"/>
          <w:lang w:eastAsia="es-ES"/>
        </w:rPr>
        <w:t>Finalmente</w:t>
      </w:r>
      <w:r w:rsidRPr="000C62B8">
        <w:rPr>
          <w:rFonts w:ascii="Verdana" w:eastAsia="Calibri" w:hAnsi="Verdana" w:cs="Times New Roman"/>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49927B31" w14:textId="77777777" w:rsidR="008F7FDB" w:rsidRPr="00323333" w:rsidRDefault="008F7FDB" w:rsidP="000467F1">
      <w:pPr>
        <w:spacing w:after="0" w:line="276" w:lineRule="auto"/>
        <w:jc w:val="both"/>
        <w:rPr>
          <w:rFonts w:ascii="Verdana" w:eastAsia="Calibri" w:hAnsi="Verdana" w:cs="Arial"/>
          <w:lang w:val="es-ES" w:eastAsia="es-CO"/>
        </w:rPr>
      </w:pPr>
    </w:p>
    <w:p w14:paraId="346F8EE4" w14:textId="77777777" w:rsidR="00EC5693" w:rsidRPr="00323333" w:rsidRDefault="00EC5693" w:rsidP="00EC5693">
      <w:pPr>
        <w:widowControl w:val="0"/>
        <w:autoSpaceDE w:val="0"/>
        <w:autoSpaceDN w:val="0"/>
        <w:spacing w:before="1" w:after="0" w:line="240" w:lineRule="auto"/>
        <w:outlineLvl w:val="0"/>
        <w:rPr>
          <w:rFonts w:ascii="Verdana" w:eastAsia="Arial" w:hAnsi="Verdana" w:cs="Arial"/>
          <w:b/>
          <w:bCs/>
          <w:lang w:val="es-ES"/>
        </w:rPr>
      </w:pPr>
      <w:r w:rsidRPr="00323333">
        <w:rPr>
          <w:rFonts w:ascii="Verdana" w:eastAsia="Arial" w:hAnsi="Verdana" w:cs="Arial"/>
          <w:b/>
          <w:bCs/>
          <w:lang w:val="es-ES"/>
        </w:rPr>
        <w:t>4.Referencias normativas, jurisprudenciales y otras fuentes:</w:t>
      </w:r>
    </w:p>
    <w:p w14:paraId="36C989A9" w14:textId="77777777" w:rsidR="00EC5693" w:rsidRPr="00323333" w:rsidRDefault="00EC5693" w:rsidP="00EC5693">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1039B" w:rsidRPr="00323333" w14:paraId="2A0FFF51" w14:textId="77777777" w:rsidTr="00DB4B0A">
        <w:trPr>
          <w:trHeight w:val="870"/>
        </w:trPr>
        <w:tc>
          <w:tcPr>
            <w:tcW w:w="8647" w:type="dxa"/>
          </w:tcPr>
          <w:p w14:paraId="017D3C6D"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Constitución Política, artículo 6, artículo 29 y artículo 209.</w:t>
            </w:r>
          </w:p>
          <w:p w14:paraId="3C83C1DB"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Ley 80 de 1993: Artículo 8, numeral 1, literales g) y h).</w:t>
            </w:r>
          </w:p>
          <w:p w14:paraId="25B0BCC0"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Ley 1150 de 2007, artículo 2.</w:t>
            </w:r>
          </w:p>
          <w:p w14:paraId="0845D258"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Ley 1150 de 2007, artículos 5 y 6.</w:t>
            </w:r>
          </w:p>
          <w:p w14:paraId="79A31D1B"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Ley 1150 de 2007. Artículo 5.</w:t>
            </w:r>
          </w:p>
          <w:p w14:paraId="01A09C48"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lastRenderedPageBreak/>
              <w:t>• Ley 2022 de 2020, artículo 1.</w:t>
            </w:r>
          </w:p>
          <w:p w14:paraId="09983939"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Ley 222 de 1995.</w:t>
            </w:r>
          </w:p>
          <w:p w14:paraId="2FD7E2A0"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Código Civil. Artículo 222.</w:t>
            </w:r>
          </w:p>
          <w:p w14:paraId="081DEBD5"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Código de Comercio. Artículo 167 y 180.</w:t>
            </w:r>
          </w:p>
          <w:p w14:paraId="7EED0216"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Decreto 1082 de 2015, Artículos 2.2.1.1.1.5.2. y 2.2.1.1.2.2.5.</w:t>
            </w:r>
          </w:p>
          <w:p w14:paraId="6575F4EC"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Decreto 1082 de 2015. Numeral 2.5 del artículo 2.2.1.1.1.5.2; artículo 2.2.1.1.1.5.3; artículo 2.2.1.1.1.6.2.</w:t>
            </w:r>
          </w:p>
          <w:p w14:paraId="7941EBC1"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xml:space="preserve">• Consejo de Estado. Sala de lo Contencioso Administrativo. Sección Tercera. Sentencia del 27 de abril de 2011. </w:t>
            </w:r>
            <w:proofErr w:type="spellStart"/>
            <w:r w:rsidRPr="00D871FC">
              <w:rPr>
                <w:rFonts w:ascii="Verdana" w:hAnsi="Verdana" w:cs="Arial"/>
                <w:color w:val="000000" w:themeColor="text1"/>
                <w:sz w:val="22"/>
                <w:szCs w:val="22"/>
              </w:rPr>
              <w:t>Exp</w:t>
            </w:r>
            <w:proofErr w:type="spellEnd"/>
            <w:r w:rsidRPr="00D871FC">
              <w:rPr>
                <w:rFonts w:ascii="Verdana" w:hAnsi="Verdana" w:cs="Arial"/>
                <w:color w:val="000000" w:themeColor="text1"/>
                <w:sz w:val="22"/>
                <w:szCs w:val="22"/>
              </w:rPr>
              <w:t>. 18.293. C.P. Ruth Stella Correa Palacio.</w:t>
            </w:r>
          </w:p>
          <w:p w14:paraId="70FE4C23"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xml:space="preserve">• Consejo de Estado. Sala de lo Contencioso Administrativo. Sección Tercera. Subsección C. Sentencia del 22 de mayo de 2013. Radicado: 68001-23-15-000-1995-00152-01 (24.057). C.P: Olga Mélida Valle De </w:t>
            </w:r>
            <w:proofErr w:type="spellStart"/>
            <w:r w:rsidRPr="00D871FC">
              <w:rPr>
                <w:rFonts w:ascii="Verdana" w:hAnsi="Verdana" w:cs="Arial"/>
                <w:color w:val="000000" w:themeColor="text1"/>
                <w:sz w:val="22"/>
                <w:szCs w:val="22"/>
              </w:rPr>
              <w:t>De</w:t>
            </w:r>
            <w:proofErr w:type="spellEnd"/>
            <w:r w:rsidRPr="00D871FC">
              <w:rPr>
                <w:rFonts w:ascii="Verdana" w:hAnsi="Verdana" w:cs="Arial"/>
                <w:color w:val="000000" w:themeColor="text1"/>
                <w:sz w:val="22"/>
                <w:szCs w:val="22"/>
              </w:rPr>
              <w:t xml:space="preserve"> La Hoz.</w:t>
            </w:r>
          </w:p>
          <w:p w14:paraId="66BBD2D3"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Consejo de Estado. Sala de lo Contencioso Administrativo. Sección Tercera. Subsección A. Sentencia del 13 de noviembre de 2013. Radicado: 25000-23-26-000-1999-02197-01 (25646). C.P. Mauricio Fajardo Gómez.</w:t>
            </w:r>
          </w:p>
          <w:p w14:paraId="4E93C916"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xml:space="preserve">• Consejo de Estado. Sala de lo Contencioso Administrativo. Sección Tercera. Sentencia del 21 de noviembre de 2013 </w:t>
            </w:r>
            <w:proofErr w:type="spellStart"/>
            <w:r w:rsidRPr="00D871FC">
              <w:rPr>
                <w:rFonts w:ascii="Verdana" w:hAnsi="Verdana" w:cs="Arial"/>
                <w:color w:val="000000" w:themeColor="text1"/>
                <w:sz w:val="22"/>
                <w:szCs w:val="22"/>
              </w:rPr>
              <w:t>Exp</w:t>
            </w:r>
            <w:proofErr w:type="spellEnd"/>
            <w:r w:rsidRPr="00D871FC">
              <w:rPr>
                <w:rFonts w:ascii="Verdana" w:hAnsi="Verdana" w:cs="Arial"/>
                <w:color w:val="000000" w:themeColor="text1"/>
                <w:sz w:val="22"/>
                <w:szCs w:val="22"/>
              </w:rPr>
              <w:t>. 25397. C.P. Carlos Alberto Zambrano Barrera.</w:t>
            </w:r>
          </w:p>
          <w:p w14:paraId="16962211"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Consejo de Estado. Sala de lo Contencioso Administrativo. Sección Tercera. Subsección A. Sentencia del 24 de junio de 2015. Radicado: 05001-23-31-000-1997-02636-01 (40.635). C.P: Hernán Andrade Rincón (E).</w:t>
            </w:r>
          </w:p>
          <w:p w14:paraId="18A5AE2F"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Consejo de Estado. Sala de Consulta y Servicio Civil. Concepto del 30 de abril de 2015. Radicado: 11001-03-06-000-2015-00058-00 (2251). C.P: Álvaro Namén Vargas.</w:t>
            </w:r>
          </w:p>
          <w:p w14:paraId="271809E8"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Corte Constitucional. Sentencia C-415 de 1994. M.P. Eduardo Cifuentes Muñoz.</w:t>
            </w:r>
          </w:p>
          <w:p w14:paraId="6040D209" w14:textId="77777777" w:rsidR="000467F1" w:rsidRPr="00D871FC" w:rsidRDefault="000467F1" w:rsidP="000467F1">
            <w:pPr>
              <w:pStyle w:val="NormalWeb"/>
              <w:spacing w:before="120" w:beforeAutospacing="0" w:after="0" w:afterAutospacing="0"/>
              <w:jc w:val="both"/>
              <w:rPr>
                <w:rFonts w:ascii="Verdana" w:hAnsi="Verdana" w:cs="Arial"/>
                <w:color w:val="000000" w:themeColor="text1"/>
                <w:sz w:val="22"/>
                <w:szCs w:val="22"/>
              </w:rPr>
            </w:pPr>
            <w:r w:rsidRPr="00D871FC">
              <w:rPr>
                <w:rFonts w:ascii="Verdana" w:hAnsi="Verdana" w:cs="Arial"/>
                <w:color w:val="000000" w:themeColor="text1"/>
                <w:sz w:val="22"/>
                <w:szCs w:val="22"/>
              </w:rPr>
              <w:t>• Corte Constitucional. Sentencia T-1039 de 2006. M.P. Humberto Sierra Porto.</w:t>
            </w:r>
          </w:p>
          <w:p w14:paraId="1282414E" w14:textId="31C68B6C" w:rsidR="00EC5693" w:rsidRPr="001560B7" w:rsidRDefault="000467F1" w:rsidP="000467F1">
            <w:pPr>
              <w:ind w:left="360"/>
              <w:jc w:val="both"/>
              <w:rPr>
                <w:rFonts w:ascii="Verdana" w:eastAsia="Geomanist Light" w:hAnsi="Verdana" w:cs="Arial"/>
                <w:color w:val="000000" w:themeColor="text1"/>
                <w:lang w:val="es-MX"/>
              </w:rPr>
            </w:pPr>
            <w:r w:rsidRPr="00D871FC">
              <w:rPr>
                <w:rFonts w:ascii="Verdana" w:hAnsi="Verdana" w:cs="Arial"/>
                <w:color w:val="000000" w:themeColor="text1"/>
              </w:rPr>
              <w:t>• Corte Constitucional. Sentencia C-1016 de 2012. M.P. Jorge Iván Palacio.</w:t>
            </w:r>
          </w:p>
        </w:tc>
      </w:tr>
    </w:tbl>
    <w:p w14:paraId="42C27FD2" w14:textId="77777777" w:rsidR="00EC5693" w:rsidRPr="00323333" w:rsidRDefault="00EC5693" w:rsidP="00EC5693">
      <w:pPr>
        <w:widowControl w:val="0"/>
        <w:autoSpaceDE w:val="0"/>
        <w:autoSpaceDN w:val="0"/>
        <w:spacing w:after="0" w:line="276" w:lineRule="auto"/>
        <w:jc w:val="both"/>
        <w:rPr>
          <w:rFonts w:ascii="Verdana" w:eastAsia="Aptos" w:hAnsi="Verdana" w:cs="Arial"/>
        </w:rPr>
      </w:pPr>
    </w:p>
    <w:p w14:paraId="3AAE7A60" w14:textId="77777777" w:rsidR="00EC5693" w:rsidRPr="00323333" w:rsidRDefault="00EC5693" w:rsidP="00EC5693">
      <w:pPr>
        <w:widowControl w:val="0"/>
        <w:autoSpaceDE w:val="0"/>
        <w:autoSpaceDN w:val="0"/>
        <w:spacing w:before="1" w:after="0" w:line="276" w:lineRule="auto"/>
        <w:outlineLvl w:val="0"/>
        <w:rPr>
          <w:rFonts w:ascii="Verdana" w:eastAsia="Arial" w:hAnsi="Verdana" w:cs="Arial"/>
          <w:b/>
          <w:bCs/>
          <w:lang w:val="es-ES"/>
        </w:rPr>
      </w:pPr>
      <w:r w:rsidRPr="00323333">
        <w:rPr>
          <w:rFonts w:ascii="Verdana" w:eastAsia="Arial" w:hAnsi="Verdana" w:cs="Arial"/>
          <w:b/>
          <w:bCs/>
          <w:lang w:val="es-ES"/>
        </w:rPr>
        <w:t>5. Doctrina de la Agencia Nacional de Contratación Pública:</w:t>
      </w:r>
    </w:p>
    <w:p w14:paraId="52997B9B" w14:textId="77777777" w:rsidR="00EC5693" w:rsidRPr="00323333" w:rsidRDefault="00EC5693" w:rsidP="00EC5693">
      <w:pPr>
        <w:widowControl w:val="0"/>
        <w:autoSpaceDE w:val="0"/>
        <w:autoSpaceDN w:val="0"/>
        <w:spacing w:after="0" w:line="276" w:lineRule="auto"/>
        <w:jc w:val="both"/>
        <w:rPr>
          <w:rFonts w:ascii="Verdana" w:eastAsia="Aptos" w:hAnsi="Verdana" w:cs="Arial"/>
        </w:rPr>
      </w:pPr>
    </w:p>
    <w:p w14:paraId="6527D521" w14:textId="59406AB0" w:rsidR="00EC5693" w:rsidRPr="00323333" w:rsidRDefault="001C6D2B" w:rsidP="00710234">
      <w:pPr>
        <w:jc w:val="both"/>
        <w:rPr>
          <w:rFonts w:ascii="Verdana" w:hAnsi="Verdana" w:cs="Arial"/>
          <w:shd w:val="clear" w:color="auto" w:fill="FFFFFF"/>
          <w:lang w:val="es-ES"/>
        </w:rPr>
      </w:pPr>
      <w:r>
        <w:rPr>
          <w:rStyle w:val="normaltextrun"/>
          <w:rFonts w:ascii="Verdana" w:hAnsi="Verdana" w:cs="Arial"/>
          <w:color w:val="000000" w:themeColor="text1"/>
          <w:shd w:val="clear" w:color="auto" w:fill="FFFFFF"/>
          <w:lang w:val="es-ES"/>
        </w:rPr>
        <w:lastRenderedPageBreak/>
        <w:t xml:space="preserve">La </w:t>
      </w:r>
      <w:r w:rsidR="002E4E58">
        <w:rPr>
          <w:rStyle w:val="normaltextrun"/>
          <w:rFonts w:ascii="Verdana" w:hAnsi="Verdana" w:cs="Arial"/>
          <w:color w:val="000000" w:themeColor="text1"/>
          <w:shd w:val="clear" w:color="auto" w:fill="FFFFFF"/>
          <w:lang w:val="es-ES"/>
        </w:rPr>
        <w:t xml:space="preserve">Agencia Nacional de Contratación Pública </w:t>
      </w:r>
      <w:r w:rsidR="006A0117">
        <w:rPr>
          <w:rStyle w:val="normaltextrun"/>
          <w:rFonts w:ascii="Verdana" w:hAnsi="Verdana" w:cs="Arial"/>
          <w:color w:val="000000" w:themeColor="text1"/>
          <w:shd w:val="clear" w:color="auto" w:fill="FFFFFF"/>
          <w:lang w:val="es-ES"/>
        </w:rPr>
        <w:t>–</w:t>
      </w:r>
      <w:r w:rsidR="002E4E58">
        <w:rPr>
          <w:rStyle w:val="normaltextrun"/>
          <w:rFonts w:ascii="Verdana" w:hAnsi="Verdana" w:cs="Arial"/>
          <w:color w:val="000000" w:themeColor="text1"/>
          <w:shd w:val="clear" w:color="auto" w:fill="FFFFFF"/>
          <w:lang w:val="es-ES"/>
        </w:rPr>
        <w:t xml:space="preserve"> </w:t>
      </w:r>
      <w:r w:rsidR="006A0117">
        <w:rPr>
          <w:rStyle w:val="normaltextrun"/>
          <w:rFonts w:ascii="Verdana" w:hAnsi="Verdana" w:cs="Arial"/>
          <w:color w:val="000000" w:themeColor="text1"/>
          <w:shd w:val="clear" w:color="auto" w:fill="FFFFFF"/>
          <w:lang w:val="es-ES"/>
        </w:rPr>
        <w:t xml:space="preserve">Colombia Compra Eficiente </w:t>
      </w:r>
      <w:r w:rsidR="00177463">
        <w:rPr>
          <w:rStyle w:val="normaltextrun"/>
          <w:rFonts w:ascii="Verdana" w:hAnsi="Verdana" w:cs="Arial"/>
          <w:color w:val="000000" w:themeColor="text1"/>
          <w:shd w:val="clear" w:color="auto" w:fill="FFFFFF"/>
          <w:lang w:val="es-ES"/>
        </w:rPr>
        <w:t>p</w:t>
      </w:r>
      <w:r w:rsidR="00C556AB" w:rsidRPr="00C556AB">
        <w:rPr>
          <w:rStyle w:val="normaltextrun"/>
          <w:rFonts w:ascii="Verdana" w:hAnsi="Verdana" w:cs="Arial"/>
          <w:color w:val="000000" w:themeColor="text1"/>
          <w:shd w:val="clear" w:color="auto" w:fill="FFFFFF"/>
          <w:lang w:val="es-ES"/>
        </w:rPr>
        <w:t>ronunciado sobre el régimen de inhabilidades e incompatibilidades en los conceptos C−491 del 14 de septiembre de 2021, C−522 del 1 de octubre de 2021, C−128 del 25 de marzo de 2022, C−252 del 3 de mayo de 2022, C−376 del 14 de junio de 2022, C−413 del 24 de junio de 2022, C−691 del 20 de octubre de 2022, C−731 del 10 de noviembre de 2022, C−928 del 26 de enero de 2023, C−126 del 24 de abril de 2023, C−175 del 4 de mayo de 2023, C−234 del 5 de julio de 2023, C−010 del 31 de enero de 2024, C-039 del 23 de abril de 2024, C-1027 del 29 de enero de 2025, C-1009 del 03 de agosto de 2025, C-1463 del 20 de noviembre de 2025</w:t>
      </w:r>
      <w:r w:rsidR="00812E59">
        <w:rPr>
          <w:rStyle w:val="normaltextrun"/>
          <w:rFonts w:ascii="Verdana" w:hAnsi="Verdana" w:cs="Arial"/>
          <w:color w:val="000000" w:themeColor="text1"/>
          <w:shd w:val="clear" w:color="auto" w:fill="FFFFFF"/>
          <w:lang w:val="es-ES"/>
        </w:rPr>
        <w:t xml:space="preserve">, </w:t>
      </w:r>
      <w:r w:rsidR="00F776BF">
        <w:rPr>
          <w:rStyle w:val="normaltextrun"/>
          <w:rFonts w:ascii="Verdana" w:hAnsi="Verdana" w:cs="Arial"/>
          <w:color w:val="000000" w:themeColor="text1"/>
          <w:shd w:val="clear" w:color="auto" w:fill="FFFFFF"/>
          <w:lang w:val="es-ES"/>
        </w:rPr>
        <w:t xml:space="preserve">C-035 del 20 de febrero de 2026. </w:t>
      </w:r>
      <w:r w:rsidR="00EC5693" w:rsidRPr="00323333">
        <w:rPr>
          <w:rFonts w:ascii="Verdana" w:eastAsia="Aptos" w:hAnsi="Verdana" w:cs="Arial"/>
          <w:shd w:val="clear" w:color="auto" w:fill="FFFFFF"/>
          <w:lang w:val="es-ES"/>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00EC5693" w:rsidRPr="00323333">
          <w:rPr>
            <w:rFonts w:ascii="Verdana" w:eastAsia="Aptos" w:hAnsi="Verdana" w:cs="Arial"/>
            <w:u w:val="single"/>
            <w:shd w:val="clear" w:color="auto" w:fill="FFFFFF"/>
            <w:lang w:val="es-ES"/>
          </w:rPr>
          <w:t>https://relatoria.colombiacompra.gov.co/</w:t>
        </w:r>
      </w:hyperlink>
      <w:r w:rsidR="00EC5693" w:rsidRPr="00323333">
        <w:rPr>
          <w:rFonts w:ascii="Verdana" w:eastAsia="Aptos" w:hAnsi="Verdana" w:cs="Arial"/>
          <w:shd w:val="clear" w:color="auto" w:fill="FFFFFF"/>
          <w:lang w:val="es-ES"/>
        </w:rPr>
        <w:t xml:space="preserve">. </w:t>
      </w:r>
    </w:p>
    <w:p w14:paraId="44283B70" w14:textId="77777777" w:rsidR="00EC5693" w:rsidRPr="00323333" w:rsidRDefault="00EC5693" w:rsidP="00EC5693">
      <w:pPr>
        <w:spacing w:before="120" w:after="120" w:line="276" w:lineRule="auto"/>
        <w:ind w:firstLine="709"/>
        <w:jc w:val="both"/>
        <w:rPr>
          <w:rFonts w:ascii="Verdana" w:eastAsia="Aptos" w:hAnsi="Verdana" w:cs="Times New Roman"/>
        </w:rPr>
      </w:pPr>
      <w:r w:rsidRPr="00323333">
        <w:rPr>
          <w:rFonts w:ascii="Verdana" w:eastAsia="Aptos" w:hAnsi="Verdana" w:cs="Times New Roman"/>
        </w:rPr>
        <w:t xml:space="preserve">La sostenibilidad no es una opción, es una obligación. Por ello, la Agencia Nacional de Contratación Pública –Colombia Compra Eficiente– te invita a realizar el </w:t>
      </w:r>
      <w:r w:rsidRPr="00323333">
        <w:rPr>
          <w:rFonts w:ascii="Verdana" w:eastAsia="Aptos" w:hAnsi="Verdana" w:cs="Times New Roman"/>
          <w:b/>
          <w:bCs/>
        </w:rPr>
        <w:t>Curso de Contratación Pública Sostenible y Socialmente Responsable</w:t>
      </w:r>
      <w:r w:rsidRPr="00323333">
        <w:rPr>
          <w:rFonts w:ascii="Verdana" w:eastAsia="Aptos"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323333">
        <w:rPr>
          <w:rFonts w:ascii="Verdana" w:eastAsia="Aptos" w:hAnsi="Verdana" w:cs="Times New Roman"/>
        </w:rPr>
        <w:br/>
      </w:r>
      <w:hyperlink r:id="rId14" w:tgtFrame="_new" w:history="1">
        <w:r w:rsidRPr="00323333">
          <w:rPr>
            <w:rFonts w:ascii="Verdana" w:eastAsia="Aptos" w:hAnsi="Verdana" w:cs="Times New Roman"/>
            <w:u w:val="single"/>
          </w:rPr>
          <w:t>https://formacionvirtual.colombiacompra.gov.co/mod/page/view.php?id=3718</w:t>
        </w:r>
      </w:hyperlink>
    </w:p>
    <w:p w14:paraId="567D1978" w14:textId="77777777" w:rsidR="00EC5693" w:rsidRPr="00323333" w:rsidRDefault="00EC5693" w:rsidP="00EC5693">
      <w:pPr>
        <w:spacing w:line="276" w:lineRule="auto"/>
        <w:ind w:firstLine="708"/>
        <w:jc w:val="both"/>
        <w:rPr>
          <w:rFonts w:ascii="Verdana" w:eastAsia="Aptos" w:hAnsi="Verdana" w:cs="Times New Roman"/>
        </w:rPr>
      </w:pPr>
      <w:r w:rsidRPr="00323333">
        <w:rPr>
          <w:rFonts w:ascii="Verdana" w:eastAsia="Aptos" w:hAnsi="Verdana" w:cs="Times New Roman"/>
        </w:rPr>
        <w:t xml:space="preserve">De otro lado, te contamos que esta Agencia ha da un paso decisivo en la estandarización y modernización del </w:t>
      </w:r>
      <w:r w:rsidRPr="00323333">
        <w:rPr>
          <w:rFonts w:ascii="Verdana" w:eastAsia="Aptos" w:hAnsi="Verdana" w:cs="Times New Roman"/>
          <w:b/>
          <w:bCs/>
        </w:rPr>
        <w:t>sector  social</w:t>
      </w:r>
      <w:r w:rsidRPr="00323333">
        <w:rPr>
          <w:rFonts w:ascii="Verdana" w:eastAsia="Aptos" w:hAnsi="Verdana" w:cs="Times New Roman"/>
        </w:rPr>
        <w:t xml:space="preserve"> con la expedición de las </w:t>
      </w:r>
      <w:r w:rsidRPr="00323333">
        <w:rPr>
          <w:rFonts w:ascii="Verdana" w:eastAsia="Aptos" w:hAnsi="Verdana" w:cs="Times New Roman"/>
          <w:b/>
          <w:bCs/>
        </w:rPr>
        <w:t>Resoluciones 539, 540, 541, 952 y 953 de 2025</w:t>
      </w:r>
      <w:r w:rsidRPr="00323333">
        <w:rPr>
          <w:rFonts w:ascii="Verdana" w:eastAsia="Aptos" w:hAnsi="Verdana" w:cs="Times New Roman"/>
        </w:rPr>
        <w:t xml:space="preserve">, </w:t>
      </w:r>
      <w:r w:rsidRPr="00323333">
        <w:rPr>
          <w:rFonts w:ascii="Verdana" w:eastAsia="Aptos" w:hAnsi="Verdana" w:cs="Times New Roman"/>
          <w:b/>
          <w:bCs/>
        </w:rPr>
        <w:t>mediante las cuales adoptó Documentos Tipo</w:t>
      </w:r>
      <w:r w:rsidRPr="00323333">
        <w:rPr>
          <w:rFonts w:ascii="Verdana" w:eastAsia="Aptos" w:hAnsi="Verdana" w:cs="Times New Roman"/>
        </w:rPr>
        <w:t xml:space="preserve"> para las modalidades de selección de</w:t>
      </w:r>
      <w:r w:rsidRPr="00323333">
        <w:rPr>
          <w:rFonts w:ascii="Verdana" w:eastAsia="Aptos" w:hAnsi="Verdana" w:cs="Times New Roman"/>
          <w:b/>
          <w:bCs/>
        </w:rPr>
        <w:t xml:space="preserve"> licitación pública (versión 2), selección abreviada de menor cuantía, mínima cuantía, consultoría e interventoría</w:t>
      </w:r>
      <w:r w:rsidRPr="00323333">
        <w:rPr>
          <w:rFonts w:ascii="Verdana" w:eastAsia="Aptos"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323333">
          <w:rPr>
            <w:rFonts w:ascii="Verdana" w:eastAsia="Aptos" w:hAnsi="Verdana" w:cs="Times New Roman"/>
            <w:u w:val="single"/>
          </w:rPr>
          <w:t>https://www.colombiacompra.gov.co/normativa-y-relatoria/documentos-tipo</w:t>
        </w:r>
      </w:hyperlink>
    </w:p>
    <w:p w14:paraId="1846EC02" w14:textId="77777777" w:rsidR="00EC5693" w:rsidRPr="00323333" w:rsidRDefault="00EC5693" w:rsidP="00EC5693">
      <w:pPr>
        <w:spacing w:after="0" w:line="276" w:lineRule="auto"/>
        <w:ind w:firstLine="708"/>
        <w:jc w:val="both"/>
        <w:rPr>
          <w:rFonts w:ascii="Verdana" w:eastAsia="Aptos" w:hAnsi="Verdana" w:cs="Times New Roman"/>
        </w:rPr>
      </w:pPr>
      <w:r w:rsidRPr="00323333">
        <w:rPr>
          <w:rFonts w:ascii="Verdana" w:eastAsia="Aptos" w:hAnsi="Verdana" w:cs="Times New Roman"/>
        </w:rPr>
        <w:t xml:space="preserve">Si quieres conocer más sobre la aplicación de Documentos Tipo puedes consultar la última versión de la </w:t>
      </w:r>
      <w:r w:rsidRPr="00323333">
        <w:rPr>
          <w:rFonts w:ascii="Verdana" w:eastAsia="Aptos" w:hAnsi="Verdana" w:cs="Times New Roman"/>
          <w:b/>
          <w:bCs/>
        </w:rPr>
        <w:t xml:space="preserve">Guía para la comprensión e implementación de los Documentos Tipo de obra pública de </w:t>
      </w:r>
      <w:r w:rsidRPr="00323333">
        <w:rPr>
          <w:rFonts w:ascii="Verdana" w:eastAsia="Aptos" w:hAnsi="Verdana" w:cs="Times New Roman"/>
          <w:b/>
          <w:bCs/>
        </w:rPr>
        <w:lastRenderedPageBreak/>
        <w:t>infraestructura de transporte</w:t>
      </w:r>
      <w:r w:rsidRPr="00323333">
        <w:rPr>
          <w:rFonts w:ascii="Verdana" w:eastAsia="Aptos"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323333">
        <w:rPr>
          <w:rFonts w:ascii="Verdana" w:eastAsia="Aptos" w:hAnsi="Verdana" w:cs="Times New Roman"/>
        </w:rPr>
        <w:br/>
      </w:r>
      <w:hyperlink r:id="rId16" w:tgtFrame="_new" w:history="1">
        <w:r w:rsidRPr="00323333">
          <w:rPr>
            <w:rFonts w:ascii="Verdana" w:eastAsia="Aptos" w:hAnsi="Verdana" w:cs="Times New Roman"/>
            <w:u w:val="single"/>
          </w:rPr>
          <w:t>https://www.colombiacompra.gov.co/archivos/manual/guia-para-la-comprension-e-implementacion-de-los-documentos-tipo-de-obra-publica-de-infraestructura-de-transporte-bajo-las-diferentes-modalidades-de-contratacion-vigentes</w:t>
        </w:r>
      </w:hyperlink>
    </w:p>
    <w:p w14:paraId="73D8D347" w14:textId="77777777" w:rsidR="00EC5693" w:rsidRPr="00323333" w:rsidRDefault="00EC5693" w:rsidP="00EC5693">
      <w:pPr>
        <w:spacing w:before="120" w:after="0" w:line="276" w:lineRule="auto"/>
        <w:ind w:firstLine="708"/>
        <w:jc w:val="both"/>
        <w:rPr>
          <w:rFonts w:ascii="Verdana" w:eastAsia="Aptos" w:hAnsi="Verdana" w:cs="Times New Roman"/>
        </w:rPr>
      </w:pPr>
      <w:r w:rsidRPr="00323333">
        <w:rPr>
          <w:rFonts w:ascii="Verdana" w:eastAsia="Aptos" w:hAnsi="Verdana" w:cs="Times New Roman"/>
        </w:rPr>
        <w:t xml:space="preserve">Por último, lo invitamos a seguirnos en las redes sociales en las cuales se difunde información institucional: </w:t>
      </w:r>
    </w:p>
    <w:p w14:paraId="602E40BA" w14:textId="77777777" w:rsidR="00EC5693" w:rsidRPr="00323333" w:rsidRDefault="00EC5693" w:rsidP="00EC5693">
      <w:pPr>
        <w:spacing w:after="0" w:line="276" w:lineRule="auto"/>
        <w:jc w:val="both"/>
        <w:rPr>
          <w:rFonts w:ascii="Verdana" w:eastAsia="Aptos" w:hAnsi="Verdana" w:cs="Times New Roman"/>
        </w:rPr>
      </w:pPr>
    </w:p>
    <w:p w14:paraId="69761C2D" w14:textId="77777777" w:rsidR="00EC5693" w:rsidRPr="00323333" w:rsidRDefault="00EC5693" w:rsidP="00EC5693">
      <w:pPr>
        <w:spacing w:after="0" w:line="276" w:lineRule="auto"/>
        <w:jc w:val="both"/>
        <w:rPr>
          <w:rFonts w:ascii="Verdana" w:eastAsia="Aptos" w:hAnsi="Verdana" w:cs="Times New Roman"/>
        </w:rPr>
      </w:pPr>
      <w:r w:rsidRPr="00323333">
        <w:rPr>
          <w:rFonts w:ascii="Verdana" w:eastAsia="Aptos" w:hAnsi="Verdana" w:cs="Times New Roman"/>
        </w:rPr>
        <w:t xml:space="preserve">Twitter: </w:t>
      </w:r>
      <w:r w:rsidRPr="00323333">
        <w:rPr>
          <w:rFonts w:ascii="Verdana" w:eastAsia="Aptos" w:hAnsi="Verdana" w:cs="Arial"/>
          <w:u w:val="single"/>
          <w:shd w:val="clear" w:color="auto" w:fill="FFFFFF"/>
          <w:lang w:val="es-ES"/>
        </w:rPr>
        <w:t>@colombiacompra</w:t>
      </w:r>
      <w:r w:rsidRPr="00323333">
        <w:rPr>
          <w:rFonts w:ascii="Verdana" w:eastAsia="Aptos" w:hAnsi="Verdana" w:cs="Times New Roman"/>
        </w:rPr>
        <w:t xml:space="preserve"> </w:t>
      </w:r>
    </w:p>
    <w:p w14:paraId="7323C6CE" w14:textId="77777777" w:rsidR="00EC5693" w:rsidRPr="00323333" w:rsidRDefault="00EC5693" w:rsidP="00EC5693">
      <w:pPr>
        <w:spacing w:after="0" w:line="276" w:lineRule="auto"/>
        <w:jc w:val="both"/>
        <w:rPr>
          <w:rFonts w:ascii="Verdana" w:eastAsia="Aptos" w:hAnsi="Verdana" w:cs="Times New Roman"/>
        </w:rPr>
      </w:pPr>
      <w:r w:rsidRPr="00323333">
        <w:rPr>
          <w:rFonts w:ascii="Verdana" w:eastAsia="Aptos" w:hAnsi="Verdana" w:cs="Times New Roman"/>
        </w:rPr>
        <w:t xml:space="preserve">Facebook: </w:t>
      </w:r>
      <w:proofErr w:type="spellStart"/>
      <w:r w:rsidRPr="00323333">
        <w:rPr>
          <w:rFonts w:ascii="Verdana" w:eastAsia="Aptos" w:hAnsi="Verdana" w:cs="Arial"/>
          <w:u w:val="single"/>
          <w:shd w:val="clear" w:color="auto" w:fill="FFFFFF"/>
          <w:lang w:val="es-ES"/>
        </w:rPr>
        <w:t>ColombiaCompraEficiente</w:t>
      </w:r>
      <w:proofErr w:type="spellEnd"/>
    </w:p>
    <w:p w14:paraId="3E8ED295" w14:textId="77777777" w:rsidR="00EC5693" w:rsidRPr="00323333" w:rsidRDefault="00EC5693" w:rsidP="00EC5693">
      <w:pPr>
        <w:spacing w:after="0" w:line="276" w:lineRule="auto"/>
        <w:jc w:val="both"/>
        <w:rPr>
          <w:rFonts w:ascii="Verdana" w:eastAsia="Aptos" w:hAnsi="Verdana" w:cs="Times New Roman"/>
        </w:rPr>
      </w:pPr>
      <w:r w:rsidRPr="00323333">
        <w:rPr>
          <w:rFonts w:ascii="Verdana" w:eastAsia="Aptos" w:hAnsi="Verdana" w:cs="Times New Roman"/>
        </w:rPr>
        <w:t xml:space="preserve">LinkedIn: </w:t>
      </w:r>
      <w:r w:rsidRPr="00323333">
        <w:rPr>
          <w:rFonts w:ascii="Verdana" w:eastAsia="Aptos" w:hAnsi="Verdana" w:cs="Arial"/>
          <w:u w:val="single"/>
          <w:shd w:val="clear" w:color="auto" w:fill="FFFFFF"/>
          <w:lang w:val="es-ES"/>
        </w:rPr>
        <w:t>Agencia Nacional de Contratación Pública - Colombia Compra Eficiente</w:t>
      </w:r>
      <w:r w:rsidRPr="00323333">
        <w:rPr>
          <w:rFonts w:ascii="Verdana" w:eastAsia="Aptos" w:hAnsi="Verdana" w:cs="Times New Roman"/>
        </w:rPr>
        <w:t xml:space="preserve"> Instagram: </w:t>
      </w:r>
      <w:r w:rsidRPr="00323333">
        <w:rPr>
          <w:rFonts w:ascii="Verdana" w:eastAsia="Aptos" w:hAnsi="Verdana" w:cs="Arial"/>
          <w:u w:val="single"/>
          <w:shd w:val="clear" w:color="auto" w:fill="FFFFFF"/>
          <w:lang w:val="es-ES"/>
        </w:rPr>
        <w:t>@colombiacompraeficiente_cce</w:t>
      </w:r>
    </w:p>
    <w:p w14:paraId="083180D0" w14:textId="77777777" w:rsidR="00EC5693" w:rsidRPr="00323333" w:rsidRDefault="00EC5693" w:rsidP="00EC5693">
      <w:pPr>
        <w:widowControl w:val="0"/>
        <w:autoSpaceDE w:val="0"/>
        <w:autoSpaceDN w:val="0"/>
        <w:spacing w:after="0" w:line="276" w:lineRule="auto"/>
        <w:jc w:val="both"/>
        <w:rPr>
          <w:rFonts w:ascii="Verdana" w:eastAsia="Aptos" w:hAnsi="Verdana" w:cs="Arial"/>
        </w:rPr>
      </w:pPr>
    </w:p>
    <w:p w14:paraId="6E276781" w14:textId="77777777" w:rsidR="00EC5693" w:rsidRPr="00323333" w:rsidRDefault="00EC5693" w:rsidP="00EC5693">
      <w:pPr>
        <w:widowControl w:val="0"/>
        <w:autoSpaceDE w:val="0"/>
        <w:autoSpaceDN w:val="0"/>
        <w:spacing w:after="0" w:line="276" w:lineRule="auto"/>
        <w:jc w:val="both"/>
        <w:rPr>
          <w:rFonts w:ascii="Verdana" w:eastAsia="Aptos" w:hAnsi="Verdana" w:cs="Arial"/>
          <w:lang w:val="es-ES_tradnl"/>
        </w:rPr>
      </w:pPr>
      <w:r w:rsidRPr="00323333">
        <w:rPr>
          <w:rFonts w:ascii="Verdana" w:eastAsia="Aptos" w:hAnsi="Verdana" w:cs="Arial"/>
        </w:rPr>
        <w:t xml:space="preserve">Este concepto tiene el alcance previsto en el artículo 28 del Código de Procedimiento Administrativo y de lo Contencioso Administrativo </w:t>
      </w:r>
      <w:r w:rsidRPr="00323333">
        <w:rPr>
          <w:rFonts w:ascii="Verdana" w:eastAsia="Aptos" w:hAnsi="Verdana" w:cs="Arial"/>
          <w:lang w:val="es-ES_tradnl"/>
        </w:rPr>
        <w:t>y las expresiones aquí utilizadas con mayúscula inicial deben ser entendidas con el significado que les otorga el artículo 2.2.1.1.1.3.1. del Decreto 1082 de 2015.</w:t>
      </w:r>
    </w:p>
    <w:p w14:paraId="78BAA5B0" w14:textId="77777777" w:rsidR="00EC5693" w:rsidRPr="00323333" w:rsidRDefault="00EC5693" w:rsidP="00EC5693">
      <w:pPr>
        <w:widowControl w:val="0"/>
        <w:autoSpaceDE w:val="0"/>
        <w:autoSpaceDN w:val="0"/>
        <w:spacing w:after="0" w:line="276" w:lineRule="auto"/>
        <w:jc w:val="both"/>
        <w:rPr>
          <w:rFonts w:ascii="Verdana" w:eastAsia="Aptos" w:hAnsi="Verdana" w:cs="Arial"/>
        </w:rPr>
      </w:pPr>
    </w:p>
    <w:p w14:paraId="2B734B72" w14:textId="77777777" w:rsidR="00EC5693" w:rsidRPr="00323333" w:rsidRDefault="00EC5693" w:rsidP="00EC5693">
      <w:pPr>
        <w:spacing w:after="0" w:line="276" w:lineRule="auto"/>
        <w:rPr>
          <w:rFonts w:ascii="Verdana" w:eastAsia="Aptos" w:hAnsi="Verdana" w:cs="Arial"/>
          <w:lang w:eastAsia="es-CO"/>
        </w:rPr>
      </w:pPr>
      <w:r w:rsidRPr="00323333">
        <w:rPr>
          <w:rFonts w:ascii="Verdana" w:eastAsia="Times New Roman" w:hAnsi="Verdana" w:cs="Arial"/>
          <w:lang w:eastAsia="es-CO"/>
        </w:rPr>
        <w:t>Atentamente,</w:t>
      </w:r>
      <w:r w:rsidRPr="00323333">
        <w:rPr>
          <w:rFonts w:ascii="Verdana" w:eastAsia="Aptos" w:hAnsi="Verdana" w:cs="Arial"/>
          <w:lang w:eastAsia="es-CO"/>
        </w:rPr>
        <w:t xml:space="preserve"> </w:t>
      </w:r>
    </w:p>
    <w:p w14:paraId="01222DA8" w14:textId="77777777" w:rsidR="00EC5693" w:rsidRPr="00323333" w:rsidRDefault="00EC5693" w:rsidP="00EC5693">
      <w:pPr>
        <w:spacing w:after="0" w:line="276" w:lineRule="auto"/>
        <w:jc w:val="center"/>
        <w:rPr>
          <w:rFonts w:ascii="Verdana" w:eastAsia="Aptos" w:hAnsi="Verdana" w:cs="Arial"/>
          <w:lang w:val="es-ES_tradnl" w:eastAsia="es-CO"/>
        </w:rPr>
      </w:pPr>
    </w:p>
    <w:p w14:paraId="173E4653" w14:textId="4C93EA59" w:rsidR="00EC5693" w:rsidRPr="00323333" w:rsidRDefault="0084704E" w:rsidP="00EC5693">
      <w:pPr>
        <w:spacing w:after="0" w:line="276" w:lineRule="auto"/>
        <w:jc w:val="center"/>
        <w:rPr>
          <w:rFonts w:ascii="Verdana" w:eastAsia="Aptos" w:hAnsi="Verdana" w:cs="Arial"/>
          <w:lang w:val="es-ES_tradnl" w:eastAsia="es-CO"/>
        </w:rPr>
      </w:pPr>
      <w:r>
        <w:rPr>
          <w:noProof/>
        </w:rPr>
        <w:drawing>
          <wp:inline distT="0" distB="0" distL="0" distR="0" wp14:anchorId="61922907" wp14:editId="3F3CE36F">
            <wp:extent cx="3771900" cy="1409700"/>
            <wp:effectExtent l="0" t="0" r="0" b="0"/>
            <wp:docPr id="95529413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9700"/>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B1039B" w:rsidRPr="00323333" w14:paraId="512B7A36" w14:textId="77777777" w:rsidTr="00DB4B0A">
        <w:trPr>
          <w:trHeight w:val="286"/>
        </w:trPr>
        <w:tc>
          <w:tcPr>
            <w:tcW w:w="901" w:type="dxa"/>
            <w:vAlign w:val="center"/>
            <w:hideMark/>
          </w:tcPr>
          <w:p w14:paraId="4B1C8BC9" w14:textId="77777777" w:rsidR="00EC5693" w:rsidRPr="00323333" w:rsidRDefault="00EC5693" w:rsidP="00DB4B0A">
            <w:pPr>
              <w:rPr>
                <w:rFonts w:ascii="Verdana" w:eastAsia="Aptos" w:hAnsi="Verdana" w:cs="Arial"/>
                <w:sz w:val="14"/>
                <w:szCs w:val="14"/>
                <w:lang w:eastAsia="es-ES"/>
              </w:rPr>
            </w:pPr>
            <w:r w:rsidRPr="00323333">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212B74C0" w14:textId="77777777" w:rsidR="00EC5693" w:rsidRPr="00323333" w:rsidRDefault="00EC5693" w:rsidP="00DB4B0A">
            <w:pPr>
              <w:rPr>
                <w:rFonts w:ascii="Verdana" w:eastAsia="Aptos" w:hAnsi="Verdana" w:cs="Arial"/>
                <w:sz w:val="14"/>
                <w:szCs w:val="14"/>
                <w:lang w:eastAsia="es-ES"/>
              </w:rPr>
            </w:pPr>
            <w:r w:rsidRPr="00323333">
              <w:rPr>
                <w:rFonts w:ascii="Verdana" w:eastAsia="Aptos" w:hAnsi="Verdana" w:cs="Arial"/>
                <w:sz w:val="14"/>
                <w:szCs w:val="14"/>
                <w:lang w:eastAsia="es-ES"/>
              </w:rPr>
              <w:t>Nasly Yeana Mosquera Rivas</w:t>
            </w:r>
          </w:p>
          <w:p w14:paraId="1B2AB9ED" w14:textId="77777777" w:rsidR="00EC5693" w:rsidRPr="00323333" w:rsidRDefault="00EC5693" w:rsidP="00DB4B0A">
            <w:pPr>
              <w:rPr>
                <w:rFonts w:ascii="Verdana" w:eastAsia="Aptos" w:hAnsi="Verdana" w:cs="Arial"/>
                <w:sz w:val="14"/>
                <w:szCs w:val="14"/>
                <w:lang w:eastAsia="es-ES"/>
              </w:rPr>
            </w:pPr>
            <w:r w:rsidRPr="00323333">
              <w:rPr>
                <w:rFonts w:ascii="Verdana" w:eastAsia="Aptos" w:hAnsi="Verdana" w:cs="Arial"/>
                <w:sz w:val="14"/>
                <w:szCs w:val="14"/>
                <w:lang w:eastAsia="es-ES"/>
              </w:rPr>
              <w:t>Analista T2–06 de la Subdirección de Gestión Contractual</w:t>
            </w:r>
          </w:p>
        </w:tc>
      </w:tr>
      <w:tr w:rsidR="00B1039B" w:rsidRPr="00323333" w14:paraId="37B034DE" w14:textId="77777777" w:rsidTr="00DB4B0A">
        <w:trPr>
          <w:trHeight w:val="299"/>
        </w:trPr>
        <w:tc>
          <w:tcPr>
            <w:tcW w:w="901" w:type="dxa"/>
            <w:vAlign w:val="center"/>
          </w:tcPr>
          <w:p w14:paraId="0BFC3D8A" w14:textId="77777777" w:rsidR="00EC5693" w:rsidRPr="00323333" w:rsidRDefault="00EC5693" w:rsidP="00DB4B0A">
            <w:pPr>
              <w:rPr>
                <w:rFonts w:ascii="Verdana" w:eastAsia="Aptos" w:hAnsi="Verdana" w:cs="Arial"/>
                <w:sz w:val="14"/>
                <w:szCs w:val="14"/>
                <w:lang w:eastAsia="es-ES"/>
              </w:rPr>
            </w:pPr>
            <w:r w:rsidRPr="00323333">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66D19B64" w14:textId="6A97F09D" w:rsidR="00EC5693" w:rsidRPr="00323333" w:rsidRDefault="00A87C58" w:rsidP="00DB4B0A">
            <w:pPr>
              <w:rPr>
                <w:rFonts w:ascii="Verdana" w:eastAsia="Aptos" w:hAnsi="Verdana" w:cs="Arial"/>
                <w:sz w:val="14"/>
                <w:szCs w:val="14"/>
                <w:lang w:eastAsia="es-ES"/>
              </w:rPr>
            </w:pPr>
            <w:r>
              <w:rPr>
                <w:rFonts w:ascii="Verdana" w:eastAsia="Aptos" w:hAnsi="Verdana" w:cs="Arial"/>
                <w:sz w:val="14"/>
                <w:szCs w:val="14"/>
                <w:lang w:eastAsia="es-ES"/>
              </w:rPr>
              <w:t>Juan David Cárdenas Cabeza</w:t>
            </w:r>
          </w:p>
          <w:p w14:paraId="12433761" w14:textId="77777777" w:rsidR="00EC5693" w:rsidRPr="00323333" w:rsidRDefault="00EC5693" w:rsidP="00DB4B0A">
            <w:pPr>
              <w:rPr>
                <w:rFonts w:ascii="Verdana" w:eastAsia="Aptos" w:hAnsi="Verdana" w:cs="Arial"/>
                <w:sz w:val="14"/>
                <w:szCs w:val="14"/>
                <w:lang w:eastAsia="es-ES"/>
              </w:rPr>
            </w:pPr>
            <w:r w:rsidRPr="00323333">
              <w:rPr>
                <w:rFonts w:ascii="Verdana" w:eastAsia="Aptos" w:hAnsi="Verdana" w:cs="Arial"/>
                <w:sz w:val="14"/>
                <w:szCs w:val="14"/>
                <w:lang w:eastAsia="es-ES"/>
              </w:rPr>
              <w:t>Contratista de la Subdirección de Gestión Contractual</w:t>
            </w:r>
          </w:p>
        </w:tc>
      </w:tr>
      <w:tr w:rsidR="00B1039B" w:rsidRPr="00323333" w14:paraId="7C1F5405" w14:textId="77777777" w:rsidTr="00DB4B0A">
        <w:trPr>
          <w:trHeight w:val="272"/>
        </w:trPr>
        <w:tc>
          <w:tcPr>
            <w:tcW w:w="901" w:type="dxa"/>
            <w:vAlign w:val="center"/>
            <w:hideMark/>
          </w:tcPr>
          <w:p w14:paraId="7DE8FE10" w14:textId="77777777" w:rsidR="00EC5693" w:rsidRPr="00323333" w:rsidRDefault="00EC5693" w:rsidP="00DB4B0A">
            <w:pPr>
              <w:rPr>
                <w:rFonts w:ascii="Verdana" w:eastAsia="Aptos" w:hAnsi="Verdana" w:cs="Arial"/>
                <w:sz w:val="14"/>
                <w:szCs w:val="14"/>
                <w:lang w:eastAsia="es-ES"/>
              </w:rPr>
            </w:pPr>
            <w:r w:rsidRPr="00323333">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6E67AEB6" w14:textId="77777777" w:rsidR="00EC5693" w:rsidRPr="00323333" w:rsidRDefault="00EC5693" w:rsidP="00DB4B0A">
            <w:pPr>
              <w:rPr>
                <w:rFonts w:ascii="Verdana" w:eastAsia="Aptos" w:hAnsi="Verdana" w:cs="Arial"/>
                <w:sz w:val="14"/>
                <w:szCs w:val="14"/>
                <w:lang w:eastAsia="es-ES"/>
              </w:rPr>
            </w:pPr>
            <w:r w:rsidRPr="00323333">
              <w:rPr>
                <w:rFonts w:ascii="Verdana" w:eastAsia="Aptos" w:hAnsi="Verdana" w:cs="Arial"/>
                <w:sz w:val="14"/>
                <w:szCs w:val="14"/>
                <w:lang w:eastAsia="es-ES"/>
              </w:rPr>
              <w:t>Carolina Quintero Gacharná</w:t>
            </w:r>
          </w:p>
          <w:p w14:paraId="1AA6628C" w14:textId="77777777" w:rsidR="00EC5693" w:rsidRPr="00323333" w:rsidRDefault="00EC5693" w:rsidP="00DB4B0A">
            <w:pPr>
              <w:rPr>
                <w:rFonts w:ascii="Verdana" w:eastAsia="Aptos" w:hAnsi="Verdana" w:cs="Arial"/>
                <w:sz w:val="14"/>
                <w:szCs w:val="14"/>
                <w:lang w:eastAsia="es-ES"/>
              </w:rPr>
            </w:pPr>
            <w:r w:rsidRPr="00323333">
              <w:rPr>
                <w:rFonts w:ascii="Verdana" w:eastAsia="Aptos" w:hAnsi="Verdana" w:cs="Arial"/>
                <w:sz w:val="14"/>
                <w:szCs w:val="14"/>
                <w:lang w:eastAsia="es-ES"/>
              </w:rPr>
              <w:t>Subdirectora de Gestión Contractual ANCP – CCE</w:t>
            </w:r>
          </w:p>
        </w:tc>
      </w:tr>
    </w:tbl>
    <w:p w14:paraId="58E748BD" w14:textId="77777777" w:rsidR="00EC5693" w:rsidRPr="00323333" w:rsidRDefault="00EC5693" w:rsidP="00EC5693">
      <w:pPr>
        <w:spacing w:after="0" w:line="240" w:lineRule="auto"/>
        <w:rPr>
          <w:rFonts w:ascii="Verdana" w:eastAsia="Times New Roman" w:hAnsi="Verdana" w:cs="Arial"/>
          <w:sz w:val="24"/>
          <w:szCs w:val="24"/>
          <w:lang w:eastAsia="es-ES"/>
        </w:rPr>
      </w:pPr>
    </w:p>
    <w:p w14:paraId="3BDE5D7E" w14:textId="77777777" w:rsidR="00EC5693" w:rsidRPr="00323333" w:rsidRDefault="00EC5693" w:rsidP="00EC5693">
      <w:pPr>
        <w:rPr>
          <w:rFonts w:ascii="Verdana" w:eastAsia="Aptos" w:hAnsi="Verdana" w:cs="Times New Roman"/>
        </w:rPr>
      </w:pPr>
    </w:p>
    <w:bookmarkEnd w:id="0"/>
    <w:p w14:paraId="0BF7F7C3" w14:textId="732CE5D4" w:rsidR="008E5C2E" w:rsidRPr="00323333" w:rsidRDefault="008E5C2E" w:rsidP="00B1039B">
      <w:pPr>
        <w:spacing w:after="0" w:line="240" w:lineRule="auto"/>
        <w:textAlignment w:val="baseline"/>
        <w:rPr>
          <w:rFonts w:ascii="Verdana" w:hAnsi="Verdana"/>
        </w:rPr>
      </w:pPr>
    </w:p>
    <w:sectPr w:rsidR="008E5C2E" w:rsidRPr="00323333" w:rsidSect="00EC5693">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5CEE7" w14:textId="77777777" w:rsidR="00F44DF7" w:rsidRDefault="00F44DF7" w:rsidP="00EC5693">
      <w:pPr>
        <w:spacing w:after="0" w:line="240" w:lineRule="auto"/>
      </w:pPr>
      <w:r>
        <w:separator/>
      </w:r>
    </w:p>
  </w:endnote>
  <w:endnote w:type="continuationSeparator" w:id="0">
    <w:p w14:paraId="3C0EB5AA" w14:textId="77777777" w:rsidR="00F44DF7" w:rsidRDefault="00F44DF7" w:rsidP="00EC5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ArialMT">
    <w:altName w:val="Arial"/>
    <w:panose1 w:val="00000000000000000000"/>
    <w:charset w:val="00"/>
    <w:family w:val="auto"/>
    <w:notTrueType/>
    <w:pitch w:val="default"/>
    <w:sig w:usb0="00000003" w:usb1="00000000"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867C" w14:textId="77777777" w:rsidR="00EC5693" w:rsidRDefault="00EC5693">
    <w:pPr>
      <w:pStyle w:val="Piedepgina"/>
    </w:pPr>
  </w:p>
  <w:p w14:paraId="36A91984" w14:textId="77777777" w:rsidR="00EC5693" w:rsidRPr="00174B77" w:rsidRDefault="00EC5693"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1044A7F6" w14:textId="77777777" w:rsidR="00EC5693" w:rsidRDefault="00EC5693"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34EC3507" w14:textId="77777777" w:rsidR="00EC5693" w:rsidRPr="00E41027" w:rsidRDefault="00EC5693"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64BB0AE8" w14:textId="77777777" w:rsidR="00EC5693" w:rsidRDefault="00EC5693"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65BFE" w14:textId="77777777" w:rsidR="00F44DF7" w:rsidRDefault="00F44DF7" w:rsidP="00EC5693">
      <w:pPr>
        <w:spacing w:after="0" w:line="240" w:lineRule="auto"/>
      </w:pPr>
      <w:r>
        <w:separator/>
      </w:r>
    </w:p>
  </w:footnote>
  <w:footnote w:type="continuationSeparator" w:id="0">
    <w:p w14:paraId="0872D511" w14:textId="77777777" w:rsidR="00F44DF7" w:rsidRDefault="00F44DF7" w:rsidP="00EC5693">
      <w:pPr>
        <w:spacing w:after="0" w:line="240" w:lineRule="auto"/>
      </w:pPr>
      <w:r>
        <w:continuationSeparator/>
      </w:r>
    </w:p>
  </w:footnote>
  <w:footnote w:id="1">
    <w:p w14:paraId="342FFFFF" w14:textId="77777777" w:rsidR="00CD6F29" w:rsidRPr="00D43F52" w:rsidRDefault="00CD6F29" w:rsidP="00CD6F29">
      <w:pPr>
        <w:pStyle w:val="Textonotapie"/>
        <w:contextualSpacing/>
        <w:jc w:val="both"/>
        <w:rPr>
          <w:rFonts w:ascii="Verdana" w:hAnsi="Verdana" w:cs="Arial"/>
          <w:sz w:val="8"/>
          <w:szCs w:val="8"/>
          <w:lang w:val="pt-BR"/>
        </w:rPr>
      </w:pPr>
      <w:r w:rsidRPr="00D43F52">
        <w:rPr>
          <w:rStyle w:val="Refdenotaalpie"/>
          <w:rFonts w:ascii="Verdana" w:hAnsi="Verdana" w:cs="Arial"/>
          <w:sz w:val="8"/>
          <w:szCs w:val="8"/>
        </w:rPr>
        <w:footnoteRef/>
      </w:r>
      <w:r w:rsidRPr="00D43F52">
        <w:rPr>
          <w:rFonts w:ascii="Verdana" w:hAnsi="Verdana" w:cs="Arial"/>
          <w:sz w:val="8"/>
          <w:szCs w:val="8"/>
          <w:lang w:val="pt-BR"/>
        </w:rPr>
        <w:t xml:space="preserve"> Corte Constitucional. Sentencia C-1016 de 2012. M.P. Jorge Iván Palacio. </w:t>
      </w:r>
    </w:p>
    <w:p w14:paraId="307CAD08" w14:textId="77777777" w:rsidR="00CD6F29" w:rsidRPr="00D43F52" w:rsidRDefault="00CD6F29" w:rsidP="00CD6F29">
      <w:pPr>
        <w:pStyle w:val="Textonotapie"/>
        <w:ind w:firstLine="708"/>
        <w:contextualSpacing/>
        <w:jc w:val="both"/>
        <w:rPr>
          <w:rFonts w:ascii="Verdana" w:hAnsi="Verdana" w:cs="Arial"/>
          <w:sz w:val="8"/>
          <w:szCs w:val="8"/>
          <w:lang w:val="pt-BR"/>
        </w:rPr>
      </w:pPr>
    </w:p>
  </w:footnote>
  <w:footnote w:id="2">
    <w:p w14:paraId="3A06EC1D" w14:textId="77777777" w:rsidR="00CD6F29" w:rsidRPr="00D43F52" w:rsidRDefault="00CD6F29" w:rsidP="00CD6F29">
      <w:pPr>
        <w:pStyle w:val="Textonotapie"/>
        <w:ind w:firstLine="708"/>
        <w:jc w:val="both"/>
        <w:rPr>
          <w:rFonts w:ascii="Verdana" w:hAnsi="Verdana"/>
          <w:sz w:val="8"/>
          <w:szCs w:val="8"/>
          <w:lang w:val="pt-BR"/>
        </w:rPr>
      </w:pPr>
      <w:r w:rsidRPr="00D43F52">
        <w:rPr>
          <w:rStyle w:val="Refdenotaalpie"/>
          <w:rFonts w:ascii="Verdana" w:hAnsi="Verdana"/>
          <w:sz w:val="8"/>
          <w:szCs w:val="8"/>
        </w:rPr>
        <w:footnoteRef/>
      </w:r>
      <w:r w:rsidRPr="00D43F52">
        <w:rPr>
          <w:rFonts w:ascii="Verdana" w:hAnsi="Verdana"/>
          <w:sz w:val="8"/>
          <w:szCs w:val="8"/>
        </w:rPr>
        <w:t xml:space="preserve"> Consejo de Estado. Sala de lo Contencioso Administrativo. Sección Tercera. Subsección A. Sentencia del 13 de noviembre de 2013. </w:t>
      </w:r>
      <w:r w:rsidRPr="00D43F52">
        <w:rPr>
          <w:rFonts w:ascii="Verdana" w:hAnsi="Verdana"/>
          <w:sz w:val="8"/>
          <w:szCs w:val="8"/>
          <w:lang w:val="pt-BR"/>
        </w:rPr>
        <w:t xml:space="preserve">Radicado: </w:t>
      </w:r>
      <w:r w:rsidRPr="00D43F52">
        <w:rPr>
          <w:rFonts w:ascii="Verdana" w:hAnsi="Verdana"/>
          <w:sz w:val="8"/>
          <w:szCs w:val="8"/>
          <w:lang w:val="es-CO"/>
        </w:rPr>
        <w:t>25000-23-26-000-1999-02197-01</w:t>
      </w:r>
      <w:r w:rsidRPr="00D43F52">
        <w:rPr>
          <w:rFonts w:ascii="Verdana" w:hAnsi="Verdana"/>
          <w:sz w:val="8"/>
          <w:szCs w:val="8"/>
          <w:lang w:val="pt-BR"/>
        </w:rPr>
        <w:t xml:space="preserve"> (25646). C.P. Mauricio Fajardo Gómez.  </w:t>
      </w:r>
    </w:p>
    <w:p w14:paraId="369CF711" w14:textId="77777777" w:rsidR="00CD6F29" w:rsidRPr="00D43F52" w:rsidRDefault="00CD6F29" w:rsidP="00CD6F29">
      <w:pPr>
        <w:pStyle w:val="Textonotapie"/>
        <w:jc w:val="both"/>
        <w:rPr>
          <w:rFonts w:ascii="Verdana" w:hAnsi="Verdana"/>
          <w:sz w:val="8"/>
          <w:szCs w:val="8"/>
          <w:lang w:val="pt-BR"/>
        </w:rPr>
      </w:pPr>
    </w:p>
  </w:footnote>
  <w:footnote w:id="3">
    <w:p w14:paraId="3EBF1B8C" w14:textId="77777777" w:rsidR="00CD6F29" w:rsidRPr="00D43F52" w:rsidRDefault="00CD6F29" w:rsidP="00CD6F29">
      <w:pPr>
        <w:pStyle w:val="Textonotapie"/>
        <w:ind w:firstLine="708"/>
        <w:jc w:val="both"/>
        <w:rPr>
          <w:rFonts w:ascii="Verdana" w:hAnsi="Verdana"/>
          <w:sz w:val="8"/>
          <w:szCs w:val="8"/>
          <w:lang w:val="pt-BR"/>
        </w:rPr>
      </w:pPr>
      <w:r w:rsidRPr="00D43F52">
        <w:rPr>
          <w:rStyle w:val="Refdenotaalpie"/>
          <w:rFonts w:ascii="Verdana" w:hAnsi="Verdana"/>
          <w:sz w:val="8"/>
          <w:szCs w:val="8"/>
        </w:rPr>
        <w:footnoteRef/>
      </w:r>
      <w:r w:rsidRPr="00D43F52">
        <w:rPr>
          <w:rFonts w:ascii="Verdana" w:hAnsi="Verdana"/>
          <w:sz w:val="8"/>
          <w:szCs w:val="8"/>
          <w:lang w:val="pt-BR"/>
        </w:rPr>
        <w:t xml:space="preserve"> Corte Constitucional. Sentencia C-415 de 1994. M.P. Eduardo </w:t>
      </w:r>
      <w:proofErr w:type="spellStart"/>
      <w:r w:rsidRPr="00D43F52">
        <w:rPr>
          <w:rFonts w:ascii="Verdana" w:hAnsi="Verdana"/>
          <w:sz w:val="8"/>
          <w:szCs w:val="8"/>
          <w:lang w:val="pt-BR"/>
        </w:rPr>
        <w:t>Cifuentes</w:t>
      </w:r>
      <w:proofErr w:type="spellEnd"/>
      <w:r w:rsidRPr="00D43F52">
        <w:rPr>
          <w:rFonts w:ascii="Verdana" w:hAnsi="Verdana"/>
          <w:sz w:val="8"/>
          <w:szCs w:val="8"/>
          <w:lang w:val="pt-BR"/>
        </w:rPr>
        <w:t xml:space="preserve"> Muñoz.</w:t>
      </w:r>
    </w:p>
  </w:footnote>
  <w:footnote w:id="4">
    <w:p w14:paraId="44909191" w14:textId="77777777" w:rsidR="00CD6F29" w:rsidRPr="00D43F52" w:rsidRDefault="00CD6F29" w:rsidP="00CD6F29">
      <w:pPr>
        <w:pStyle w:val="Textonotapie"/>
        <w:ind w:firstLine="708"/>
        <w:jc w:val="both"/>
        <w:rPr>
          <w:rFonts w:ascii="Verdana" w:hAnsi="Verdana"/>
          <w:sz w:val="8"/>
          <w:szCs w:val="8"/>
          <w:lang w:val="pt-BR"/>
        </w:rPr>
      </w:pPr>
      <w:r w:rsidRPr="00D43F52">
        <w:rPr>
          <w:rStyle w:val="Refdenotaalpie"/>
          <w:rFonts w:ascii="Verdana" w:hAnsi="Verdana"/>
          <w:sz w:val="8"/>
          <w:szCs w:val="8"/>
        </w:rPr>
        <w:footnoteRef/>
      </w:r>
      <w:r w:rsidRPr="00D43F52">
        <w:rPr>
          <w:rFonts w:ascii="Verdana" w:hAnsi="Verdana"/>
          <w:sz w:val="8"/>
          <w:szCs w:val="8"/>
          <w:lang w:val="pt-BR"/>
        </w:rPr>
        <w:t xml:space="preserve"> Ibidem.</w:t>
      </w:r>
    </w:p>
    <w:p w14:paraId="792D3AFE" w14:textId="77777777" w:rsidR="00CD6F29" w:rsidRPr="00D43F52" w:rsidRDefault="00CD6F29" w:rsidP="00CD6F29">
      <w:pPr>
        <w:pStyle w:val="Textonotapie"/>
        <w:jc w:val="both"/>
        <w:rPr>
          <w:rFonts w:ascii="Verdana" w:hAnsi="Verdana"/>
          <w:sz w:val="8"/>
          <w:szCs w:val="8"/>
          <w:lang w:val="pt-BR"/>
        </w:rPr>
      </w:pPr>
    </w:p>
  </w:footnote>
  <w:footnote w:id="5">
    <w:p w14:paraId="573D21E0" w14:textId="77777777" w:rsidR="00CD6F29" w:rsidRPr="00D43F52" w:rsidRDefault="00CD6F29" w:rsidP="00CD6F29">
      <w:pPr>
        <w:pStyle w:val="Textonotapie"/>
        <w:ind w:firstLine="708"/>
        <w:jc w:val="both"/>
        <w:rPr>
          <w:rFonts w:ascii="Verdana" w:hAnsi="Verdana"/>
          <w:sz w:val="8"/>
          <w:szCs w:val="8"/>
          <w:lang w:val="es-CO"/>
        </w:rPr>
      </w:pPr>
      <w:r w:rsidRPr="00D43F52">
        <w:rPr>
          <w:rStyle w:val="Refdenotaalpie"/>
          <w:rFonts w:ascii="Verdana" w:hAnsi="Verdana"/>
          <w:sz w:val="8"/>
          <w:szCs w:val="8"/>
        </w:rPr>
        <w:footnoteRef/>
      </w:r>
      <w:r w:rsidRPr="00D43F52">
        <w:rPr>
          <w:rFonts w:ascii="Verdana" w:hAnsi="Verdana"/>
          <w:sz w:val="8"/>
          <w:szCs w:val="8"/>
          <w:lang w:val="pt-BR"/>
        </w:rPr>
        <w:t xml:space="preserve"> Corte Constitucional. </w:t>
      </w:r>
      <w:r w:rsidRPr="00D43F52">
        <w:rPr>
          <w:rFonts w:ascii="Verdana" w:hAnsi="Verdana"/>
          <w:sz w:val="8"/>
          <w:szCs w:val="8"/>
        </w:rPr>
        <w:t xml:space="preserve">Sentencia C-780 de 2001. </w:t>
      </w:r>
      <w:r w:rsidRPr="00D43F52">
        <w:rPr>
          <w:rFonts w:ascii="Verdana" w:hAnsi="Verdana"/>
          <w:sz w:val="8"/>
          <w:szCs w:val="8"/>
          <w:lang w:val="es-CO"/>
        </w:rPr>
        <w:t xml:space="preserve">M.P. Jaime Córdoba Triviño. </w:t>
      </w:r>
    </w:p>
    <w:p w14:paraId="5F49751A" w14:textId="77777777" w:rsidR="00CD6F29" w:rsidRPr="00D43F52" w:rsidRDefault="00CD6F29" w:rsidP="00CD6F29">
      <w:pPr>
        <w:pStyle w:val="Textonotapie"/>
        <w:jc w:val="both"/>
        <w:rPr>
          <w:rFonts w:ascii="Verdana" w:hAnsi="Verdana"/>
          <w:sz w:val="8"/>
          <w:szCs w:val="8"/>
          <w:lang w:val="es-CO"/>
        </w:rPr>
      </w:pPr>
    </w:p>
  </w:footnote>
  <w:footnote w:id="6">
    <w:p w14:paraId="201E4169" w14:textId="77777777" w:rsidR="00CD6F29" w:rsidRPr="00D43F52" w:rsidRDefault="00CD6F29" w:rsidP="00CD6F29">
      <w:pPr>
        <w:pStyle w:val="NormalWeb"/>
        <w:spacing w:before="0" w:beforeAutospacing="0" w:after="0" w:afterAutospacing="0"/>
        <w:ind w:firstLine="708"/>
        <w:jc w:val="both"/>
        <w:rPr>
          <w:rFonts w:ascii="Verdana" w:eastAsia="Calibri" w:hAnsi="Verdana" w:cs="Arial"/>
          <w:sz w:val="8"/>
          <w:szCs w:val="8"/>
          <w:lang w:val="es-ES" w:eastAsia="en-US"/>
        </w:rPr>
      </w:pPr>
      <w:r w:rsidRPr="00D43F52">
        <w:rPr>
          <w:rStyle w:val="Refdenotaalpie"/>
          <w:rFonts w:ascii="Verdana" w:eastAsiaTheme="majorEastAsia" w:hAnsi="Verdana"/>
          <w:sz w:val="8"/>
          <w:szCs w:val="8"/>
        </w:rPr>
        <w:footnoteRef/>
      </w:r>
      <w:r w:rsidRPr="00D43F52">
        <w:rPr>
          <w:rFonts w:ascii="Verdana" w:hAnsi="Verdana"/>
          <w:sz w:val="8"/>
          <w:szCs w:val="8"/>
        </w:rPr>
        <w:t xml:space="preserve"> </w:t>
      </w:r>
      <w:r w:rsidRPr="00D43F52">
        <w:rPr>
          <w:rFonts w:ascii="Verdana" w:eastAsia="Calibri" w:hAnsi="Verdana" w:cs="Arial"/>
          <w:sz w:val="8"/>
          <w:szCs w:val="8"/>
          <w:lang w:val="es-ES" w:eastAsia="en-US"/>
        </w:rPr>
        <w:t>Ley 80 de 1993: «Artículo 8: 1o. Son inhábiles para participar en licitaciones o concursos y para celebrar contratos con las entidades estatales: </w:t>
      </w:r>
    </w:p>
    <w:p w14:paraId="43C02040"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a) Las personas que se hallen inhabilitadas para contratar por la Constitución y las leyes. </w:t>
      </w:r>
    </w:p>
    <w:p w14:paraId="3CA21F8D"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b) Quienes participaron en las licitaciones o concursos o celebraron los contratos de que trata el literal anterior estando inhabilitados. </w:t>
      </w:r>
    </w:p>
    <w:p w14:paraId="32A13812"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c) Quienes dieron lugar a la declaratoria de caducidad. </w:t>
      </w:r>
    </w:p>
    <w:p w14:paraId="6DF0C7D4"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d) Quienes en sentencia judicial hayan sido condenados a la pena accesoria de interdicción de derechos y funciones públicas y quienes hayan sido sancionados disciplinariamente con destitución. </w:t>
      </w:r>
    </w:p>
    <w:p w14:paraId="492F002F"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e) Quienes sin justa causa se abstengan de suscribir el contrato estatal adjudicado. </w:t>
      </w:r>
    </w:p>
    <w:p w14:paraId="2B26E1C5"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f) Los servidores públicos. </w:t>
      </w:r>
    </w:p>
    <w:p w14:paraId="0DAFFC1D"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g) Quienes sean cónyuges o compañeros permanentes y quienes se encuentren dentro del segundo grado de consanguinidad o segundo de afinidad con cualquier otra persona que formalmente haya presentado propuesta para una misma licitación o concurso. </w:t>
      </w:r>
    </w:p>
    <w:p w14:paraId="3367AB32" w14:textId="77777777" w:rsidR="00CD6F29" w:rsidRPr="00D43F52" w:rsidRDefault="00CD6F29" w:rsidP="00CD6F29">
      <w:pPr>
        <w:pStyle w:val="NormalWeb"/>
        <w:spacing w:before="0" w:beforeAutospacing="0" w:after="0" w:afterAutospacing="0"/>
        <w:ind w:firstLine="708"/>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2B1F5BA8"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i) Los socios de sociedades de personas a las cuales se haya declarado la caducidad, así como las sociedades de personas de las que aquellos formen parte con posterioridad a dicha declaratoria. </w:t>
      </w:r>
    </w:p>
    <w:p w14:paraId="6D0C023D"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00BEBF92"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30C7FC9C"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w:t>
      </w:r>
      <w:r w:rsidRPr="00D43F52">
        <w:rPr>
          <w:rFonts w:ascii="Verdana" w:eastAsia="Calibri" w:hAnsi="Verdana" w:cs="Arial"/>
          <w:sz w:val="8"/>
          <w:szCs w:val="8"/>
          <w:lang w:val="es-ES" w:eastAsia="en-US"/>
        </w:rPr>
        <w:softHyphen/>
        <w:t>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w:t>
      </w:r>
      <w:r w:rsidRPr="00D43F52">
        <w:rPr>
          <w:rFonts w:ascii="Verdana" w:eastAsia="Calibri" w:hAnsi="Verdana" w:cs="Arial"/>
          <w:sz w:val="8"/>
          <w:szCs w:val="8"/>
          <w:lang w:val="es-ES" w:eastAsia="en-US"/>
        </w:rPr>
        <w:softHyphen/>
        <w:t>cepción de las sociedades anónimas abiertas. También se considerarán inhabilitadas para contratar, las personas jurídicas sobre las cuales se haya ordenado la suspensión de la perso</w:t>
      </w:r>
      <w:r w:rsidRPr="00D43F52">
        <w:rPr>
          <w:rFonts w:ascii="Verdana" w:eastAsia="Calibri" w:hAnsi="Verdana" w:cs="Arial"/>
          <w:sz w:val="8"/>
          <w:szCs w:val="8"/>
          <w:lang w:val="es-ES" w:eastAsia="en-US"/>
        </w:rPr>
        <w:softHyphen/>
        <w:t>nería jurídica en los términos de ley, o cuyos representantes legales, ad</w:t>
      </w:r>
      <w:r w:rsidRPr="00D43F52">
        <w:rPr>
          <w:rFonts w:ascii="Verdana" w:eastAsia="Calibri" w:hAnsi="Verdana" w:cs="Arial"/>
          <w:sz w:val="8"/>
          <w:szCs w:val="8"/>
          <w:lang w:val="es-ES" w:eastAsia="en-US"/>
        </w:rPr>
        <w:softHyphen/>
        <w:t>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w:t>
      </w:r>
      <w:r w:rsidRPr="00D43F52">
        <w:rPr>
          <w:rFonts w:ascii="Verdana" w:eastAsia="Calibri" w:hAnsi="Verdana" w:cs="Arial"/>
          <w:sz w:val="8"/>
          <w:szCs w:val="8"/>
          <w:lang w:val="es-ES" w:eastAsia="en-US"/>
        </w:rPr>
        <w:softHyphen/>
        <w:t>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0332CBD6"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w:t>
      </w:r>
    </w:p>
    <w:p w14:paraId="4EC28395" w14:textId="77777777" w:rsidR="00CD6F29" w:rsidRPr="00D43F52" w:rsidRDefault="00CD6F29" w:rsidP="00CD6F29">
      <w:pPr>
        <w:pStyle w:val="NormalWeb"/>
        <w:spacing w:before="0" w:beforeAutospacing="0" w:after="0" w:afterAutospacing="0"/>
        <w:ind w:firstLine="708"/>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2o. Tampoco podrán participar en licitaciones o concursos ni celebrar contratos estatales con la entidad respectiva: </w:t>
      </w:r>
    </w:p>
    <w:p w14:paraId="173EBB1F"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5C9D47BC"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18D5EF56"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c) El cónyuge, compañero o compañera permanente del servidor público en los niveles directivo, asesor, ejecutivo, o de un miembro de la junta o consejo directivo, o de quien ejerza funciones de control interno o de control fiscal. </w:t>
      </w:r>
    </w:p>
    <w:p w14:paraId="624B6944"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02124A4C" w14:textId="77777777" w:rsidR="00CD6F29" w:rsidRPr="00D43F52" w:rsidRDefault="00CD6F29" w:rsidP="00CD6F29">
      <w:pPr>
        <w:pStyle w:val="NormalWeb"/>
        <w:spacing w:before="0" w:beforeAutospacing="0" w:after="0" w:afterAutospacing="0"/>
        <w:jc w:val="both"/>
        <w:rPr>
          <w:rFonts w:ascii="Verdana" w:eastAsia="Calibri" w:hAnsi="Verdana" w:cs="Arial"/>
          <w:sz w:val="8"/>
          <w:szCs w:val="8"/>
          <w:lang w:val="es-ES" w:eastAsia="en-US"/>
        </w:rPr>
      </w:pPr>
      <w:r w:rsidRPr="00D43F52">
        <w:rPr>
          <w:rFonts w:ascii="Verdana" w:eastAsia="Calibri" w:hAnsi="Verdana" w:cs="Arial"/>
          <w:sz w:val="8"/>
          <w:szCs w:val="8"/>
          <w:lang w:val="es-ES" w:eastAsia="en-US"/>
        </w:rPr>
        <w:t>  </w:t>
      </w:r>
      <w:r w:rsidRPr="00D43F52">
        <w:rPr>
          <w:rFonts w:ascii="Verdana" w:eastAsia="Calibri" w:hAnsi="Verdana" w:cs="Arial"/>
          <w:sz w:val="8"/>
          <w:szCs w:val="8"/>
          <w:lang w:val="es-ES" w:eastAsia="en-US"/>
        </w:rPr>
        <w:tab/>
        <w:t>e) Los miembros de las juntas o consejos directivos. Esta incompatibilidad sólo se predica respecto de la entidad a la cual prestan sus servicios y de las del sector administrativo al que la misma esté adscrita o vinculada. </w:t>
      </w:r>
    </w:p>
    <w:p w14:paraId="12B8EB00" w14:textId="77777777" w:rsidR="00CD6F29" w:rsidRPr="00D43F52" w:rsidRDefault="00CD6F29" w:rsidP="00CD6F29">
      <w:pPr>
        <w:pStyle w:val="NormalWeb"/>
        <w:spacing w:before="0" w:beforeAutospacing="0" w:after="0" w:afterAutospacing="0"/>
        <w:ind w:firstLine="708"/>
        <w:jc w:val="both"/>
        <w:rPr>
          <w:rFonts w:ascii="Verdana" w:eastAsia="Calibri" w:hAnsi="Verdana" w:cs="Arial"/>
          <w:sz w:val="8"/>
          <w:szCs w:val="8"/>
          <w:lang w:val="pt-BR" w:eastAsia="en-US"/>
        </w:rPr>
      </w:pPr>
      <w:r w:rsidRPr="00D43F52">
        <w:rPr>
          <w:rFonts w:ascii="Verdana" w:eastAsia="Calibri" w:hAnsi="Verdana" w:cs="Arial"/>
          <w:sz w:val="8"/>
          <w:szCs w:val="8"/>
          <w:lang w:val="es-ES" w:eastAsia="en-US"/>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w:t>
      </w:r>
      <w:proofErr w:type="gramStart"/>
      <w:r w:rsidRPr="00D43F52">
        <w:rPr>
          <w:rFonts w:ascii="Verdana" w:eastAsia="Calibri" w:hAnsi="Verdana" w:cs="Arial"/>
          <w:sz w:val="8"/>
          <w:szCs w:val="8"/>
          <w:lang w:val="es-ES" w:eastAsia="en-US"/>
        </w:rPr>
        <w:t>ex empleado</w:t>
      </w:r>
      <w:proofErr w:type="gramEnd"/>
      <w:r w:rsidRPr="00D43F52">
        <w:rPr>
          <w:rFonts w:ascii="Verdana" w:eastAsia="Calibri" w:hAnsi="Verdana" w:cs="Arial"/>
          <w:sz w:val="8"/>
          <w:szCs w:val="8"/>
          <w:lang w:val="es-ES" w:eastAsia="en-US"/>
        </w:rPr>
        <w:t xml:space="preserve"> público. </w:t>
      </w:r>
      <w:r w:rsidRPr="00D43F52">
        <w:rPr>
          <w:rFonts w:ascii="Verdana" w:eastAsia="Calibri" w:hAnsi="Verdana" w:cs="Arial"/>
          <w:sz w:val="8"/>
          <w:szCs w:val="8"/>
          <w:lang w:val="pt-BR" w:eastAsia="en-US"/>
        </w:rPr>
        <w:t xml:space="preserve">(…). </w:t>
      </w:r>
    </w:p>
    <w:p w14:paraId="5B1C2AFA" w14:textId="77777777" w:rsidR="00CD6F29" w:rsidRPr="00D43F52" w:rsidRDefault="00CD6F29" w:rsidP="00CD6F29">
      <w:pPr>
        <w:pStyle w:val="Textonotapie"/>
        <w:jc w:val="both"/>
        <w:rPr>
          <w:rFonts w:ascii="Verdana" w:hAnsi="Verdana"/>
          <w:sz w:val="8"/>
          <w:szCs w:val="8"/>
          <w:lang w:val="pt-BR"/>
        </w:rPr>
      </w:pPr>
    </w:p>
  </w:footnote>
  <w:footnote w:id="7">
    <w:p w14:paraId="62A9B0B4" w14:textId="77777777" w:rsidR="00CD6F29" w:rsidRPr="00D43F52" w:rsidRDefault="00CD6F29" w:rsidP="00CD6F29">
      <w:pPr>
        <w:pStyle w:val="Textonotapie"/>
        <w:ind w:firstLine="708"/>
        <w:jc w:val="both"/>
        <w:rPr>
          <w:rFonts w:ascii="Verdana" w:hAnsi="Verdana" w:cs="Arial"/>
          <w:sz w:val="8"/>
          <w:szCs w:val="8"/>
          <w:lang w:val="pt-BR"/>
        </w:rPr>
      </w:pPr>
      <w:r w:rsidRPr="00D43F52">
        <w:rPr>
          <w:rStyle w:val="Refdenotaalpie"/>
          <w:rFonts w:ascii="Verdana" w:hAnsi="Verdana"/>
          <w:sz w:val="8"/>
          <w:szCs w:val="8"/>
        </w:rPr>
        <w:footnoteRef/>
      </w:r>
      <w:r w:rsidRPr="00D43F52">
        <w:rPr>
          <w:rFonts w:ascii="Verdana" w:hAnsi="Verdana"/>
          <w:sz w:val="8"/>
          <w:szCs w:val="8"/>
          <w:lang w:val="pt-BR"/>
        </w:rPr>
        <w:t xml:space="preserve"> </w:t>
      </w:r>
      <w:proofErr w:type="spellStart"/>
      <w:r w:rsidRPr="00D43F52">
        <w:rPr>
          <w:rFonts w:ascii="Verdana" w:hAnsi="Verdana" w:cs="Arial"/>
          <w:sz w:val="8"/>
          <w:szCs w:val="8"/>
          <w:lang w:val="pt-BR"/>
        </w:rPr>
        <w:t>Ibídem</w:t>
      </w:r>
      <w:proofErr w:type="spellEnd"/>
      <w:r w:rsidRPr="00D43F52">
        <w:rPr>
          <w:rFonts w:ascii="Verdana" w:hAnsi="Verdana" w:cs="Arial"/>
          <w:sz w:val="8"/>
          <w:szCs w:val="8"/>
          <w:lang w:val="pt-BR"/>
        </w:rPr>
        <w:t>. p. 69.</w:t>
      </w:r>
    </w:p>
    <w:p w14:paraId="22ECDB35" w14:textId="77777777" w:rsidR="00CD6F29" w:rsidRPr="00D43F52" w:rsidRDefault="00CD6F29" w:rsidP="00CD6F29">
      <w:pPr>
        <w:pStyle w:val="Textonotapie"/>
        <w:ind w:firstLine="708"/>
        <w:jc w:val="both"/>
        <w:rPr>
          <w:rFonts w:ascii="Verdana" w:hAnsi="Verdana"/>
          <w:sz w:val="8"/>
          <w:szCs w:val="8"/>
          <w:lang w:val="pt-BR"/>
        </w:rPr>
      </w:pPr>
    </w:p>
  </w:footnote>
  <w:footnote w:id="8">
    <w:p w14:paraId="73A256B8" w14:textId="77777777" w:rsidR="00CD6F29" w:rsidRPr="00D43F52" w:rsidRDefault="00CD6F29" w:rsidP="00CD6F29">
      <w:pPr>
        <w:pStyle w:val="Textonotapie"/>
        <w:ind w:firstLine="708"/>
        <w:jc w:val="both"/>
        <w:rPr>
          <w:rFonts w:ascii="Verdana" w:hAnsi="Verdana" w:cs="Arial"/>
          <w:sz w:val="8"/>
          <w:szCs w:val="8"/>
          <w:lang w:val="es-ES"/>
        </w:rPr>
      </w:pPr>
      <w:r w:rsidRPr="00D43F52">
        <w:rPr>
          <w:rStyle w:val="Refdenotaalpie"/>
          <w:rFonts w:ascii="Verdana" w:hAnsi="Verdana"/>
          <w:sz w:val="8"/>
          <w:szCs w:val="8"/>
        </w:rPr>
        <w:footnoteRef/>
      </w:r>
      <w:r w:rsidRPr="00D43F52">
        <w:rPr>
          <w:rFonts w:ascii="Verdana" w:hAnsi="Verdana"/>
          <w:sz w:val="8"/>
          <w:szCs w:val="8"/>
          <w:lang w:val="pt-BR"/>
        </w:rPr>
        <w:t xml:space="preserve"> </w:t>
      </w:r>
      <w:r w:rsidRPr="00D43F52">
        <w:rPr>
          <w:rFonts w:ascii="Verdana" w:hAnsi="Verdana" w:cs="Arial"/>
          <w:sz w:val="8"/>
          <w:szCs w:val="8"/>
          <w:lang w:val="pt-BR"/>
        </w:rPr>
        <w:t xml:space="preserve">Corte Constitucional. Sentencia T-1039 de 2006. M.P. Humberto </w:t>
      </w:r>
      <w:proofErr w:type="spellStart"/>
      <w:r w:rsidRPr="00D43F52">
        <w:rPr>
          <w:rFonts w:ascii="Verdana" w:hAnsi="Verdana" w:cs="Arial"/>
          <w:sz w:val="8"/>
          <w:szCs w:val="8"/>
          <w:lang w:val="pt-BR"/>
        </w:rPr>
        <w:t>Sierra</w:t>
      </w:r>
      <w:proofErr w:type="spellEnd"/>
      <w:r w:rsidRPr="00D43F52">
        <w:rPr>
          <w:rFonts w:ascii="Verdana" w:hAnsi="Verdana" w:cs="Arial"/>
          <w:sz w:val="8"/>
          <w:szCs w:val="8"/>
          <w:lang w:val="pt-BR"/>
        </w:rPr>
        <w:t xml:space="preserve"> Porto. </w:t>
      </w:r>
      <w:r w:rsidRPr="00D43F52">
        <w:rPr>
          <w:rFonts w:ascii="Verdana" w:hAnsi="Verdana" w:cs="Arial"/>
          <w:sz w:val="8"/>
          <w:szCs w:val="8"/>
          <w:lang w:val="es-ES"/>
        </w:rPr>
        <w:t xml:space="preserve">La Corte Constitucional ha mantenido este criterio en las sentencias: C-903 de 2008. M.P. Jaime Araujo Rentería; C-101 de 2018. M.P. Gloria Stella Ortiz Delgado; entre otras. </w:t>
      </w:r>
    </w:p>
    <w:p w14:paraId="35E5C236" w14:textId="77777777" w:rsidR="00CD6F29" w:rsidRPr="00D43F52" w:rsidRDefault="00CD6F29" w:rsidP="00CD6F29">
      <w:pPr>
        <w:pStyle w:val="Textonotapie"/>
        <w:jc w:val="both"/>
        <w:rPr>
          <w:rFonts w:ascii="Verdana" w:hAnsi="Verdana" w:cs="Arial"/>
          <w:sz w:val="8"/>
          <w:szCs w:val="8"/>
          <w:lang w:val="es-ES"/>
        </w:rPr>
      </w:pPr>
    </w:p>
  </w:footnote>
  <w:footnote w:id="9">
    <w:p w14:paraId="4A5864B6" w14:textId="77777777" w:rsidR="00CD6F29" w:rsidRPr="00D43F52" w:rsidRDefault="00CD6F29" w:rsidP="00CD6F29">
      <w:pPr>
        <w:pStyle w:val="Textonotapie"/>
        <w:ind w:firstLine="708"/>
        <w:jc w:val="both"/>
        <w:rPr>
          <w:rFonts w:ascii="Verdana" w:hAnsi="Verdana" w:cs="Arial"/>
          <w:sz w:val="8"/>
          <w:szCs w:val="8"/>
          <w:lang w:val="es-ES"/>
        </w:rPr>
      </w:pPr>
      <w:r w:rsidRPr="00D43F52">
        <w:rPr>
          <w:rStyle w:val="Refdenotaalpie"/>
          <w:rFonts w:ascii="Verdana" w:hAnsi="Verdana"/>
          <w:sz w:val="8"/>
          <w:szCs w:val="8"/>
        </w:rPr>
        <w:footnoteRef/>
      </w:r>
      <w:r w:rsidRPr="00D43F52">
        <w:rPr>
          <w:rFonts w:ascii="Verdana" w:hAnsi="Verdana"/>
          <w:sz w:val="8"/>
          <w:szCs w:val="8"/>
        </w:rPr>
        <w:t xml:space="preserve"> </w:t>
      </w:r>
      <w:r w:rsidRPr="00D43F52">
        <w:rPr>
          <w:rFonts w:ascii="Verdana" w:hAnsi="Verdana" w:cs="Arial"/>
          <w:sz w:val="8"/>
          <w:szCs w:val="8"/>
          <w:lang w:val="es-ES"/>
        </w:rPr>
        <w:t xml:space="preserve">Consejo de Estado. Sala de Consulta y Servicio Civil. Concepto del 30 de abril de 2015. Radicado: </w:t>
      </w:r>
      <w:r w:rsidRPr="00D43F52">
        <w:rPr>
          <w:rFonts w:ascii="Verdana" w:hAnsi="Verdana" w:cs="Arial"/>
          <w:sz w:val="8"/>
          <w:szCs w:val="8"/>
          <w:lang w:val="es-CO"/>
        </w:rPr>
        <w:t>11001-03-06-000-2015-00058-00 (</w:t>
      </w:r>
      <w:r w:rsidRPr="00D43F52">
        <w:rPr>
          <w:rFonts w:ascii="Verdana" w:hAnsi="Verdana" w:cs="Arial"/>
          <w:sz w:val="8"/>
          <w:szCs w:val="8"/>
          <w:lang w:val="es-ES"/>
        </w:rPr>
        <w:t>2251). C.P: Álvaro Namén Vargas.</w:t>
      </w:r>
    </w:p>
    <w:p w14:paraId="3C1C84D1" w14:textId="77777777" w:rsidR="00CD6F29" w:rsidRPr="00D43F52" w:rsidRDefault="00CD6F29" w:rsidP="00CD6F29">
      <w:pPr>
        <w:pStyle w:val="Textonotapie"/>
        <w:jc w:val="both"/>
        <w:rPr>
          <w:rFonts w:ascii="Verdana" w:hAnsi="Verdana"/>
          <w:sz w:val="8"/>
          <w:szCs w:val="8"/>
          <w:lang w:val="es-ES_tradnl"/>
        </w:rPr>
      </w:pPr>
    </w:p>
  </w:footnote>
  <w:footnote w:id="10">
    <w:p w14:paraId="2D201294" w14:textId="77777777" w:rsidR="00CD6F29" w:rsidRPr="00D43F52" w:rsidRDefault="00CD6F29" w:rsidP="00CD6F29">
      <w:pPr>
        <w:pStyle w:val="Textonotapie"/>
        <w:ind w:firstLine="708"/>
        <w:jc w:val="both"/>
        <w:rPr>
          <w:rFonts w:ascii="Verdana" w:hAnsi="Verdana" w:cs="Arial"/>
          <w:sz w:val="8"/>
          <w:szCs w:val="8"/>
        </w:rPr>
      </w:pPr>
      <w:r w:rsidRPr="00D43F52">
        <w:rPr>
          <w:rStyle w:val="Refdenotaalpie"/>
          <w:rFonts w:ascii="Verdana" w:hAnsi="Verdana"/>
          <w:sz w:val="8"/>
          <w:szCs w:val="8"/>
        </w:rPr>
        <w:footnoteRef/>
      </w:r>
      <w:r w:rsidRPr="00D43F52">
        <w:rPr>
          <w:rFonts w:ascii="Verdana" w:hAnsi="Verdana"/>
          <w:sz w:val="8"/>
          <w:szCs w:val="8"/>
        </w:rPr>
        <w:t xml:space="preserve"> </w:t>
      </w:r>
      <w:r w:rsidRPr="00D43F52">
        <w:rPr>
          <w:rFonts w:ascii="Verdana" w:hAnsi="Verdana" w:cs="Arial"/>
          <w:sz w:val="8"/>
          <w:szCs w:val="8"/>
        </w:rPr>
        <w:t xml:space="preserve">Consejo de Estado. Sala de lo Contencioso Administrativo. Sección Tercera. Subsección A. Sentencia del 24 de junio de 2015. Radicado: </w:t>
      </w:r>
      <w:r w:rsidRPr="00D43F52">
        <w:rPr>
          <w:rFonts w:ascii="Verdana" w:hAnsi="Verdana" w:cs="Arial"/>
          <w:sz w:val="8"/>
          <w:szCs w:val="8"/>
          <w:lang w:val="es-CO"/>
        </w:rPr>
        <w:t>05001-23-31-000-1997-02636-01</w:t>
      </w:r>
      <w:r w:rsidRPr="00D43F52">
        <w:rPr>
          <w:rFonts w:ascii="Verdana" w:hAnsi="Verdana" w:cs="Arial"/>
          <w:sz w:val="8"/>
          <w:szCs w:val="8"/>
        </w:rPr>
        <w:t xml:space="preserve"> (40.635). C.P: Hernán Andrade Rincón (E).</w:t>
      </w:r>
    </w:p>
    <w:p w14:paraId="42758AA3" w14:textId="77777777" w:rsidR="00CD6F29" w:rsidRPr="00D43F52" w:rsidRDefault="00CD6F29" w:rsidP="00CD6F29">
      <w:pPr>
        <w:pStyle w:val="Textonotapie"/>
        <w:jc w:val="both"/>
        <w:rPr>
          <w:rFonts w:ascii="Verdana" w:hAnsi="Verdana"/>
          <w:sz w:val="8"/>
          <w:szCs w:val="8"/>
          <w:lang w:val="es-ES_tradnl"/>
        </w:rPr>
      </w:pPr>
    </w:p>
  </w:footnote>
  <w:footnote w:id="11">
    <w:p w14:paraId="32546502" w14:textId="77777777" w:rsidR="00CD6F29" w:rsidRPr="00D43F52" w:rsidRDefault="00CD6F29" w:rsidP="00CD6F29">
      <w:pPr>
        <w:pStyle w:val="Textonotapie"/>
        <w:ind w:firstLine="708"/>
        <w:jc w:val="both"/>
        <w:rPr>
          <w:rFonts w:ascii="Verdana" w:hAnsi="Verdana" w:cs="Arial"/>
          <w:sz w:val="8"/>
          <w:szCs w:val="8"/>
        </w:rPr>
      </w:pPr>
      <w:r w:rsidRPr="00D43F52">
        <w:rPr>
          <w:rStyle w:val="Refdenotaalpie"/>
          <w:rFonts w:ascii="Verdana" w:hAnsi="Verdana"/>
          <w:sz w:val="8"/>
          <w:szCs w:val="8"/>
        </w:rPr>
        <w:footnoteRef/>
      </w:r>
      <w:r w:rsidRPr="00D43F52">
        <w:rPr>
          <w:rFonts w:ascii="Verdana" w:hAnsi="Verdana"/>
          <w:sz w:val="8"/>
          <w:szCs w:val="8"/>
        </w:rPr>
        <w:t xml:space="preserve"> </w:t>
      </w:r>
      <w:r w:rsidRPr="00D43F52">
        <w:rPr>
          <w:rFonts w:ascii="Verdana" w:hAnsi="Verdana" w:cs="Arial"/>
          <w:sz w:val="8"/>
          <w:szCs w:val="8"/>
        </w:rPr>
        <w:t xml:space="preserve">Consejo de Estado. Sala de lo Contencioso Administrativo. Sección Tercera. Subsección C. Sentencia del 22 de mayo de 2013. Radicado: </w:t>
      </w:r>
      <w:r w:rsidRPr="00D43F52">
        <w:rPr>
          <w:rFonts w:ascii="Verdana" w:hAnsi="Verdana" w:cs="Arial"/>
          <w:sz w:val="8"/>
          <w:szCs w:val="8"/>
          <w:lang w:val="es-CO"/>
        </w:rPr>
        <w:t>68001-23-15-000-1995-00152-01</w:t>
      </w:r>
      <w:r w:rsidRPr="00D43F52">
        <w:rPr>
          <w:rFonts w:ascii="Verdana" w:hAnsi="Verdana" w:cs="Arial"/>
          <w:sz w:val="8"/>
          <w:szCs w:val="8"/>
        </w:rPr>
        <w:t xml:space="preserve"> (24.057). C.P: Olga Mélida Valle De </w:t>
      </w:r>
      <w:proofErr w:type="spellStart"/>
      <w:r w:rsidRPr="00D43F52">
        <w:rPr>
          <w:rFonts w:ascii="Verdana" w:hAnsi="Verdana" w:cs="Arial"/>
          <w:sz w:val="8"/>
          <w:szCs w:val="8"/>
        </w:rPr>
        <w:t>De</w:t>
      </w:r>
      <w:proofErr w:type="spellEnd"/>
      <w:r w:rsidRPr="00D43F52">
        <w:rPr>
          <w:rFonts w:ascii="Verdana" w:hAnsi="Verdana" w:cs="Arial"/>
          <w:sz w:val="8"/>
          <w:szCs w:val="8"/>
        </w:rPr>
        <w:t xml:space="preserve"> La Hoz.</w:t>
      </w:r>
    </w:p>
    <w:p w14:paraId="6AB3D6BD" w14:textId="77777777" w:rsidR="00CD6F29" w:rsidRPr="00D43F52" w:rsidRDefault="00CD6F29" w:rsidP="00CD6F29">
      <w:pPr>
        <w:pStyle w:val="Textonotapie"/>
        <w:ind w:firstLine="708"/>
        <w:jc w:val="both"/>
        <w:rPr>
          <w:rFonts w:ascii="Verdana" w:hAnsi="Verdana"/>
          <w:sz w:val="8"/>
          <w:szCs w:val="8"/>
          <w:lang w:val="es-ES_tradnl"/>
        </w:rPr>
      </w:pPr>
    </w:p>
  </w:footnote>
  <w:footnote w:id="12">
    <w:p w14:paraId="104208C6" w14:textId="77777777" w:rsidR="00CD6F29" w:rsidRPr="00D43F52" w:rsidRDefault="00CD6F29" w:rsidP="00CD6F29">
      <w:pPr>
        <w:pStyle w:val="Textonotapie"/>
        <w:ind w:firstLine="708"/>
        <w:jc w:val="both"/>
        <w:rPr>
          <w:rFonts w:ascii="Verdana" w:hAnsi="Verdana" w:cs="Arial"/>
          <w:sz w:val="8"/>
          <w:szCs w:val="8"/>
          <w:lang w:val="pt-BR"/>
        </w:rPr>
      </w:pPr>
      <w:r w:rsidRPr="00D43F52">
        <w:rPr>
          <w:rStyle w:val="Refdenotaalpie"/>
          <w:rFonts w:ascii="Verdana" w:hAnsi="Verdana"/>
          <w:sz w:val="8"/>
          <w:szCs w:val="8"/>
        </w:rPr>
        <w:footnoteRef/>
      </w:r>
      <w:r w:rsidRPr="00D43F52">
        <w:rPr>
          <w:rFonts w:ascii="Verdana" w:hAnsi="Verdana"/>
          <w:sz w:val="8"/>
          <w:szCs w:val="8"/>
          <w:lang w:val="pt-BR"/>
        </w:rPr>
        <w:t xml:space="preserve"> </w:t>
      </w:r>
      <w:r w:rsidRPr="00D43F52">
        <w:rPr>
          <w:rFonts w:ascii="Verdana" w:hAnsi="Verdana" w:cs="Arial"/>
          <w:sz w:val="8"/>
          <w:szCs w:val="8"/>
          <w:lang w:val="pt-BR"/>
        </w:rPr>
        <w:t xml:space="preserve">Corte Constitucional. Sentencia C-415 de 1994. M.P. Eduardo </w:t>
      </w:r>
      <w:proofErr w:type="spellStart"/>
      <w:r w:rsidRPr="00D43F52">
        <w:rPr>
          <w:rFonts w:ascii="Verdana" w:hAnsi="Verdana" w:cs="Arial"/>
          <w:sz w:val="8"/>
          <w:szCs w:val="8"/>
          <w:lang w:val="pt-BR"/>
        </w:rPr>
        <w:t>Cifuentes</w:t>
      </w:r>
      <w:proofErr w:type="spellEnd"/>
      <w:r w:rsidRPr="00D43F52">
        <w:rPr>
          <w:rFonts w:ascii="Verdana" w:hAnsi="Verdana" w:cs="Arial"/>
          <w:sz w:val="8"/>
          <w:szCs w:val="8"/>
          <w:lang w:val="pt-BR"/>
        </w:rPr>
        <w:t xml:space="preserve"> Muñoz.</w:t>
      </w:r>
    </w:p>
    <w:p w14:paraId="50574DEC" w14:textId="77777777" w:rsidR="00CD6F29" w:rsidRPr="00D43F52" w:rsidRDefault="00CD6F29" w:rsidP="00CD6F29">
      <w:pPr>
        <w:pStyle w:val="Textonotapie"/>
        <w:jc w:val="both"/>
        <w:rPr>
          <w:rFonts w:ascii="Verdana" w:hAnsi="Verdana"/>
          <w:sz w:val="8"/>
          <w:szCs w:val="8"/>
          <w:lang w:val="pt-BR"/>
        </w:rPr>
      </w:pPr>
    </w:p>
  </w:footnote>
  <w:footnote w:id="13">
    <w:p w14:paraId="79CEC036"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r w:rsidRPr="00D43F52">
        <w:rPr>
          <w:rFonts w:ascii="Verdana" w:hAnsi="Verdana" w:cs="Arial"/>
          <w:color w:val="000000" w:themeColor="text1"/>
          <w:sz w:val="8"/>
          <w:szCs w:val="8"/>
          <w:vertAlign w:val="superscript"/>
        </w:rPr>
        <w:footnoteRef/>
      </w:r>
      <w:r w:rsidRPr="00D43F52">
        <w:rPr>
          <w:rFonts w:ascii="Verdana" w:eastAsia="Arial" w:hAnsi="Verdana" w:cs="Arial"/>
          <w:color w:val="000000" w:themeColor="text1"/>
          <w:sz w:val="8"/>
          <w:szCs w:val="8"/>
        </w:rPr>
        <w:t xml:space="preserve">  RODRÍGUEZ TAMAYO, Mauricio Fernando. Evaluación y rechazo de ofertas en la Ley 80 de 1993. Medellín: Librería Jurídica Sánchez, 2016. p. 190. </w:t>
      </w:r>
    </w:p>
    <w:p w14:paraId="0BB0DEA4"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p>
  </w:footnote>
  <w:footnote w:id="14">
    <w:p w14:paraId="1B59F958"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r w:rsidRPr="00D43F52">
        <w:rPr>
          <w:rFonts w:ascii="Verdana" w:hAnsi="Verdana" w:cs="Arial"/>
          <w:color w:val="000000" w:themeColor="text1"/>
          <w:sz w:val="8"/>
          <w:szCs w:val="8"/>
          <w:vertAlign w:val="superscript"/>
        </w:rPr>
        <w:footnoteRef/>
      </w:r>
      <w:r w:rsidRPr="00D43F52">
        <w:rPr>
          <w:rFonts w:ascii="Verdana" w:eastAsia="Arial" w:hAnsi="Verdana" w:cs="Arial"/>
          <w:color w:val="000000" w:themeColor="text1"/>
          <w:sz w:val="8"/>
          <w:szCs w:val="8"/>
        </w:rPr>
        <w:t xml:space="preserve">  Ley 80 de 1993 “</w:t>
      </w:r>
      <w:r w:rsidRPr="00D43F52">
        <w:rPr>
          <w:rFonts w:ascii="Verdana" w:eastAsia="Arial" w:hAnsi="Verdana" w:cs="Arial"/>
          <w:bCs/>
          <w:color w:val="000000" w:themeColor="text1"/>
          <w:sz w:val="8"/>
          <w:szCs w:val="8"/>
        </w:rPr>
        <w:t>Articulo 24. Del principio de transparencia. </w:t>
      </w:r>
      <w:r w:rsidRPr="00D43F52">
        <w:rPr>
          <w:rFonts w:ascii="Verdana" w:eastAsia="Arial" w:hAnsi="Verdana" w:cs="Arial"/>
          <w:color w:val="000000" w:themeColor="text1"/>
          <w:sz w:val="8"/>
          <w:szCs w:val="8"/>
        </w:rPr>
        <w:t xml:space="preserve">En virtud de este principio: </w:t>
      </w:r>
    </w:p>
    <w:p w14:paraId="65BF6E8C"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r w:rsidRPr="00D43F52">
        <w:rPr>
          <w:rFonts w:ascii="Verdana" w:eastAsia="Arial" w:hAnsi="Verdana" w:cs="Arial"/>
          <w:color w:val="000000" w:themeColor="text1"/>
          <w:sz w:val="8"/>
          <w:szCs w:val="8"/>
        </w:rPr>
        <w:t>[…]</w:t>
      </w:r>
    </w:p>
    <w:p w14:paraId="7C00D8EE" w14:textId="77777777" w:rsidR="00B74827" w:rsidRPr="00D43F52" w:rsidRDefault="00B74827" w:rsidP="00B74827">
      <w:pPr>
        <w:spacing w:after="0" w:line="240" w:lineRule="auto"/>
        <w:ind w:firstLine="709"/>
        <w:jc w:val="both"/>
        <w:rPr>
          <w:rFonts w:ascii="Verdana" w:eastAsia="Arial" w:hAnsi="Verdana" w:cs="Arial"/>
          <w:color w:val="000000" w:themeColor="text1"/>
          <w:sz w:val="8"/>
          <w:szCs w:val="8"/>
        </w:rPr>
      </w:pPr>
      <w:r w:rsidRPr="00D43F52">
        <w:rPr>
          <w:rFonts w:ascii="Verdana" w:eastAsia="Arial" w:hAnsi="Verdana" w:cs="Arial"/>
          <w:color w:val="000000" w:themeColor="text1"/>
          <w:sz w:val="8"/>
          <w:szCs w:val="8"/>
        </w:rPr>
        <w:t>5o. En los pliegos de condiciones:</w:t>
      </w:r>
    </w:p>
    <w:p w14:paraId="478F2E21" w14:textId="77777777" w:rsidR="00B74827" w:rsidRPr="00D43F52" w:rsidRDefault="00B74827" w:rsidP="00B74827">
      <w:pPr>
        <w:spacing w:after="0" w:line="240" w:lineRule="auto"/>
        <w:ind w:firstLine="709"/>
        <w:jc w:val="both"/>
        <w:rPr>
          <w:rFonts w:ascii="Verdana" w:eastAsia="Arial" w:hAnsi="Verdana" w:cs="Arial"/>
          <w:color w:val="000000" w:themeColor="text1"/>
          <w:sz w:val="8"/>
          <w:szCs w:val="8"/>
        </w:rPr>
      </w:pPr>
      <w:r w:rsidRPr="00D43F52">
        <w:rPr>
          <w:rFonts w:ascii="Verdana" w:eastAsia="Arial" w:hAnsi="Verdana" w:cs="Arial"/>
          <w:color w:val="000000" w:themeColor="text1"/>
          <w:sz w:val="8"/>
          <w:szCs w:val="8"/>
        </w:rPr>
        <w:t>[…]</w:t>
      </w:r>
    </w:p>
    <w:p w14:paraId="5AE971A4" w14:textId="77777777" w:rsidR="00B74827" w:rsidRPr="00D43F52" w:rsidRDefault="00B74827" w:rsidP="00B74827">
      <w:pPr>
        <w:spacing w:after="0" w:line="240" w:lineRule="auto"/>
        <w:ind w:firstLine="709"/>
        <w:jc w:val="both"/>
        <w:rPr>
          <w:rFonts w:ascii="Verdana" w:eastAsia="Arial" w:hAnsi="Verdana" w:cs="Arial"/>
          <w:color w:val="000000" w:themeColor="text1"/>
          <w:sz w:val="8"/>
          <w:szCs w:val="8"/>
        </w:rPr>
      </w:pPr>
      <w:r w:rsidRPr="00D43F52">
        <w:rPr>
          <w:rFonts w:ascii="Verdana" w:eastAsia="Arial" w:hAnsi="Verdana" w:cs="Arial"/>
          <w:color w:val="000000" w:themeColor="text1"/>
          <w:sz w:val="8"/>
          <w:szCs w:val="8"/>
        </w:rPr>
        <w:t>b) Se definirán reglas objetivas, justas, claras y completas que permitan la confección de ofrecimientos de la misma índole, aseguren una escogencia objetiva y eviten la declaratoria de desierta de la licitación […]”.</w:t>
      </w:r>
    </w:p>
    <w:p w14:paraId="48B98F9F" w14:textId="77777777" w:rsidR="00B74827" w:rsidRPr="00D43F52" w:rsidRDefault="00B74827" w:rsidP="00B74827">
      <w:pPr>
        <w:spacing w:after="0" w:line="240" w:lineRule="auto"/>
        <w:ind w:firstLine="709"/>
        <w:jc w:val="both"/>
        <w:rPr>
          <w:rFonts w:ascii="Verdana" w:eastAsia="Arial" w:hAnsi="Verdana" w:cs="Arial"/>
          <w:color w:val="000000" w:themeColor="text1"/>
          <w:sz w:val="8"/>
          <w:szCs w:val="8"/>
        </w:rPr>
      </w:pPr>
    </w:p>
  </w:footnote>
  <w:footnote w:id="15">
    <w:p w14:paraId="11C7A7F2"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r w:rsidRPr="00D43F52">
        <w:rPr>
          <w:rFonts w:ascii="Verdana" w:hAnsi="Verdana" w:cs="Arial"/>
          <w:color w:val="000000" w:themeColor="text1"/>
          <w:sz w:val="8"/>
          <w:szCs w:val="8"/>
          <w:vertAlign w:val="superscript"/>
        </w:rPr>
        <w:footnoteRef/>
      </w:r>
      <w:r w:rsidRPr="00D43F52">
        <w:rPr>
          <w:rFonts w:ascii="Verdana" w:eastAsia="Arial" w:hAnsi="Verdana" w:cs="Arial"/>
          <w:color w:val="000000" w:themeColor="text1"/>
          <w:sz w:val="8"/>
          <w:szCs w:val="8"/>
        </w:rPr>
        <w:t xml:space="preserve"> Decreto 1082 de 2015 “Artículo 2.2.1.1.2.1.3. Pliegos de condiciones. Los pliegos de condiciones deben contener por lo menos la siguiente información</w:t>
      </w:r>
    </w:p>
    <w:p w14:paraId="3382B8F2"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r w:rsidRPr="00D43F52">
        <w:rPr>
          <w:rFonts w:ascii="Verdana" w:eastAsia="Arial" w:hAnsi="Verdana" w:cs="Arial"/>
          <w:color w:val="000000" w:themeColor="text1"/>
          <w:sz w:val="8"/>
          <w:szCs w:val="8"/>
        </w:rPr>
        <w:t>[…]</w:t>
      </w:r>
    </w:p>
    <w:p w14:paraId="38FDE113"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r w:rsidRPr="00D43F52">
        <w:rPr>
          <w:rFonts w:ascii="Verdana" w:eastAsia="Arial" w:hAnsi="Verdana" w:cs="Arial"/>
          <w:color w:val="000000" w:themeColor="text1"/>
          <w:sz w:val="8"/>
          <w:szCs w:val="8"/>
        </w:rPr>
        <w:t>6. Las causas que dan lugar a rechazar una oferta […]”.</w:t>
      </w:r>
    </w:p>
  </w:footnote>
  <w:footnote w:id="16">
    <w:p w14:paraId="7EB0627A"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r w:rsidRPr="00D43F52">
        <w:rPr>
          <w:rFonts w:ascii="Verdana" w:hAnsi="Verdana" w:cs="Arial"/>
          <w:color w:val="000000" w:themeColor="text1"/>
          <w:sz w:val="8"/>
          <w:szCs w:val="8"/>
          <w:vertAlign w:val="superscript"/>
        </w:rPr>
        <w:footnoteRef/>
      </w:r>
      <w:r w:rsidRPr="00D43F52">
        <w:rPr>
          <w:rFonts w:ascii="Verdana" w:eastAsia="Arial" w:hAnsi="Verdana" w:cs="Arial"/>
          <w:color w:val="000000" w:themeColor="text1"/>
          <w:sz w:val="8"/>
          <w:szCs w:val="8"/>
        </w:rPr>
        <w:t xml:space="preserve"> Consejo de Estado. Sala de lo Contencioso Administrativo. Sección Tercera Subsección B. Sentencia del 27 de abril de 2011. Radicado: 25000-23-26-000-1997-03924-01 (18.293). C.P. Ponente: Ruth Stella Correa Palacio. </w:t>
      </w:r>
    </w:p>
    <w:p w14:paraId="4FBED496" w14:textId="77777777" w:rsidR="00B74827" w:rsidRPr="00D43F52" w:rsidRDefault="00B74827" w:rsidP="00B74827">
      <w:pPr>
        <w:pBdr>
          <w:top w:val="nil"/>
          <w:left w:val="nil"/>
          <w:bottom w:val="nil"/>
          <w:right w:val="nil"/>
          <w:between w:val="nil"/>
        </w:pBdr>
        <w:spacing w:after="0" w:line="240" w:lineRule="auto"/>
        <w:ind w:firstLine="709"/>
        <w:jc w:val="both"/>
        <w:rPr>
          <w:rFonts w:ascii="Verdana" w:eastAsia="Arial" w:hAnsi="Verdana" w:cs="Arial"/>
          <w:color w:val="000000" w:themeColor="text1"/>
          <w:sz w:val="8"/>
          <w:szCs w:val="8"/>
        </w:rPr>
      </w:pPr>
    </w:p>
  </w:footnote>
  <w:footnote w:id="17">
    <w:p w14:paraId="66EE587B" w14:textId="77777777" w:rsidR="00B74827" w:rsidRPr="00D43F52" w:rsidRDefault="00B74827" w:rsidP="00B74827">
      <w:pPr>
        <w:pStyle w:val="Textonotapie"/>
        <w:ind w:firstLine="709"/>
        <w:jc w:val="both"/>
        <w:rPr>
          <w:rFonts w:ascii="Verdana" w:eastAsia="Times New Roman" w:hAnsi="Verdana" w:cs="Arial"/>
          <w:sz w:val="8"/>
          <w:szCs w:val="8"/>
          <w:lang w:val="es-CO" w:eastAsia="es-CO"/>
        </w:rPr>
      </w:pPr>
      <w:r w:rsidRPr="00D43F52">
        <w:rPr>
          <w:rStyle w:val="Refdenotaalpie"/>
          <w:rFonts w:ascii="Verdana" w:hAnsi="Verdana" w:cs="Arial"/>
          <w:sz w:val="8"/>
          <w:szCs w:val="8"/>
        </w:rPr>
        <w:footnoteRef/>
      </w:r>
      <w:r w:rsidRPr="00D43F52">
        <w:rPr>
          <w:rFonts w:ascii="Verdana" w:hAnsi="Verdana" w:cs="Arial"/>
          <w:sz w:val="8"/>
          <w:szCs w:val="8"/>
        </w:rPr>
        <w:t xml:space="preserve"> </w:t>
      </w:r>
      <w:r w:rsidRPr="00D43F52">
        <w:rPr>
          <w:rFonts w:ascii="Verdana" w:eastAsia="Times New Roman" w:hAnsi="Verdana" w:cs="Arial"/>
          <w:sz w:val="8"/>
          <w:szCs w:val="8"/>
          <w:lang w:val="es-CO" w:eastAsia="es-CO"/>
        </w:rPr>
        <w:t>Consejo de Estado. Sección Tercera. Sentencia del 21 de noviembre de 2013. Radicado 25000-23-26-000-1999-01850-01 (25.397). C.P. Carlos Alberto Zambrano Barrera.</w:t>
      </w:r>
    </w:p>
  </w:footnote>
  <w:footnote w:id="18">
    <w:p w14:paraId="407CF0A7" w14:textId="77777777" w:rsidR="000C62B8" w:rsidRPr="00D43F52" w:rsidRDefault="000C62B8" w:rsidP="000C62B8">
      <w:pPr>
        <w:pStyle w:val="Textonotapie"/>
        <w:snapToGrid w:val="0"/>
        <w:ind w:firstLine="709"/>
        <w:jc w:val="both"/>
        <w:rPr>
          <w:rFonts w:ascii="Verdana" w:hAnsi="Verdana" w:cs="Arial"/>
          <w:sz w:val="8"/>
          <w:szCs w:val="8"/>
        </w:rPr>
      </w:pPr>
      <w:r w:rsidRPr="00D43F52">
        <w:rPr>
          <w:rStyle w:val="Refdenotaalpie"/>
          <w:rFonts w:ascii="Verdana" w:hAnsi="Verdana" w:cs="Arial"/>
          <w:sz w:val="8"/>
          <w:szCs w:val="8"/>
        </w:rPr>
        <w:footnoteRef/>
      </w:r>
      <w:r w:rsidRPr="00D43F52">
        <w:rPr>
          <w:rFonts w:ascii="Verdana" w:hAnsi="Verdana" w:cs="Arial"/>
          <w:sz w:val="8"/>
          <w:szCs w:val="8"/>
        </w:rPr>
        <w:t xml:space="preserve"> Ley 1150 de 2007: “Artículo 5.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14291A53"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07E3ABF6" w14:textId="77777777" w:rsidR="000C62B8" w:rsidRPr="00D43F52" w:rsidRDefault="000C62B8" w:rsidP="000C62B8">
      <w:pPr>
        <w:pStyle w:val="Textonotapie"/>
        <w:snapToGrid w:val="0"/>
        <w:ind w:firstLine="709"/>
        <w:jc w:val="both"/>
        <w:rPr>
          <w:rFonts w:ascii="Verdana" w:hAnsi="Verdana" w:cs="Arial"/>
          <w:sz w:val="8"/>
          <w:szCs w:val="8"/>
        </w:rPr>
      </w:pPr>
    </w:p>
  </w:footnote>
  <w:footnote w:id="19">
    <w:p w14:paraId="4448AC9F" w14:textId="77777777" w:rsidR="000C62B8" w:rsidRPr="00D43F52" w:rsidRDefault="000C62B8" w:rsidP="000C62B8">
      <w:pPr>
        <w:pStyle w:val="Textonotapie"/>
        <w:snapToGrid w:val="0"/>
        <w:ind w:firstLine="709"/>
        <w:jc w:val="both"/>
        <w:rPr>
          <w:rFonts w:ascii="Verdana" w:hAnsi="Verdana" w:cs="Arial"/>
          <w:sz w:val="8"/>
          <w:szCs w:val="8"/>
        </w:rPr>
      </w:pPr>
      <w:r w:rsidRPr="00D43F52">
        <w:rPr>
          <w:rStyle w:val="Refdenotaalpie"/>
          <w:rFonts w:ascii="Verdana" w:hAnsi="Verdana" w:cs="Arial"/>
          <w:sz w:val="8"/>
          <w:szCs w:val="8"/>
        </w:rPr>
        <w:footnoteRef/>
      </w:r>
      <w:r w:rsidRPr="00D43F52">
        <w:rPr>
          <w:rFonts w:ascii="Verdana" w:hAnsi="Verdana" w:cs="Arial"/>
          <w:sz w:val="8"/>
          <w:szCs w:val="8"/>
        </w:rPr>
        <w:t xml:space="preserve"> Decreto 1082 de 2015: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p w14:paraId="331328B4" w14:textId="77777777" w:rsidR="000C62B8" w:rsidRPr="00D43F52" w:rsidRDefault="000C62B8" w:rsidP="000C62B8">
      <w:pPr>
        <w:pStyle w:val="Textonotapie"/>
        <w:snapToGrid w:val="0"/>
        <w:ind w:firstLine="709"/>
        <w:jc w:val="both"/>
        <w:rPr>
          <w:rFonts w:ascii="Verdana" w:hAnsi="Verdana" w:cs="Arial"/>
          <w:sz w:val="8"/>
          <w:szCs w:val="8"/>
        </w:rPr>
      </w:pPr>
    </w:p>
  </w:footnote>
  <w:footnote w:id="20">
    <w:p w14:paraId="010D4C2C" w14:textId="77777777" w:rsidR="000C62B8" w:rsidRPr="00D43F52" w:rsidRDefault="000C62B8" w:rsidP="000C62B8">
      <w:pPr>
        <w:pStyle w:val="Textonotapie"/>
        <w:snapToGrid w:val="0"/>
        <w:ind w:firstLine="709"/>
        <w:jc w:val="both"/>
        <w:rPr>
          <w:rFonts w:ascii="Verdana" w:hAnsi="Verdana" w:cs="Arial"/>
          <w:sz w:val="8"/>
          <w:szCs w:val="8"/>
        </w:rPr>
      </w:pPr>
      <w:r w:rsidRPr="00D43F52">
        <w:rPr>
          <w:rStyle w:val="Refdenotaalpie"/>
          <w:rFonts w:ascii="Verdana" w:hAnsi="Verdana" w:cs="Arial"/>
          <w:sz w:val="8"/>
          <w:szCs w:val="8"/>
        </w:rPr>
        <w:footnoteRef/>
      </w:r>
      <w:r w:rsidRPr="00D43F52">
        <w:rPr>
          <w:rFonts w:ascii="Verdana" w:hAnsi="Verdana" w:cs="Arial"/>
          <w:sz w:val="8"/>
          <w:szCs w:val="8"/>
        </w:rPr>
        <w:t xml:space="preserve"> Decreto 1082 de 2015: “Artículo 2.2.1.1.1.5.3. Requisitos habilitantes contenidos en el RUP. Las cámaras de comercio, con base en la información a la que hace referencia el artículo anterior, deben verificar y certificar los siguientes requisitos habilitantes:</w:t>
      </w:r>
    </w:p>
    <w:p w14:paraId="762FF219"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1. Experiencia – Los contratos celebrados por el interesado para cada uno de los bienes, obras y servicios que ofrecerá a las Entidades Estatales, identificados con el Clasificador de Bienes y Servicios en el tercer nivel y su valor expresado en SMMLV.</w:t>
      </w:r>
    </w:p>
    <w:p w14:paraId="2867992D"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w:t>
      </w:r>
    </w:p>
    <w:p w14:paraId="296C2E89" w14:textId="77777777" w:rsidR="000C62B8" w:rsidRPr="00D43F52" w:rsidRDefault="000C62B8" w:rsidP="000C62B8">
      <w:pPr>
        <w:pStyle w:val="Textonotapie"/>
        <w:snapToGrid w:val="0"/>
        <w:ind w:firstLine="709"/>
        <w:jc w:val="both"/>
        <w:rPr>
          <w:rFonts w:ascii="Verdana" w:hAnsi="Verdana" w:cs="Arial"/>
          <w:sz w:val="8"/>
          <w:szCs w:val="8"/>
        </w:rPr>
      </w:pPr>
    </w:p>
  </w:footnote>
  <w:footnote w:id="21">
    <w:p w14:paraId="364219C8" w14:textId="77777777" w:rsidR="000C62B8" w:rsidRPr="00D43F52" w:rsidRDefault="000C62B8" w:rsidP="000C62B8">
      <w:pPr>
        <w:pStyle w:val="Textonotapie"/>
        <w:snapToGrid w:val="0"/>
        <w:ind w:firstLine="709"/>
        <w:jc w:val="both"/>
        <w:rPr>
          <w:rFonts w:ascii="Verdana" w:hAnsi="Verdana" w:cs="Arial"/>
          <w:sz w:val="8"/>
          <w:szCs w:val="8"/>
        </w:rPr>
      </w:pPr>
      <w:r w:rsidRPr="00D43F52">
        <w:rPr>
          <w:rStyle w:val="Refdenotaalpie"/>
          <w:rFonts w:ascii="Verdana" w:hAnsi="Verdana" w:cs="Arial"/>
          <w:sz w:val="8"/>
          <w:szCs w:val="8"/>
        </w:rPr>
        <w:footnoteRef/>
      </w:r>
      <w:r w:rsidRPr="00D43F52">
        <w:rPr>
          <w:rFonts w:ascii="Verdana" w:hAnsi="Verdana" w:cs="Arial"/>
          <w:sz w:val="8"/>
          <w:szCs w:val="8"/>
        </w:rPr>
        <w:t xml:space="preserve"> 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20E3E998"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w:t>
      </w:r>
    </w:p>
    <w:p w14:paraId="62854130"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2D22A787"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footnote>
  <w:footnote w:id="22">
    <w:p w14:paraId="2581BEC3" w14:textId="77777777" w:rsidR="000C62B8" w:rsidRPr="00D43F52" w:rsidRDefault="000C62B8" w:rsidP="000C62B8">
      <w:pPr>
        <w:pStyle w:val="Textonotapie"/>
        <w:snapToGrid w:val="0"/>
        <w:ind w:firstLine="709"/>
        <w:jc w:val="both"/>
        <w:rPr>
          <w:rFonts w:ascii="Verdana" w:hAnsi="Verdana" w:cs="Arial"/>
          <w:sz w:val="8"/>
          <w:szCs w:val="8"/>
        </w:rPr>
      </w:pPr>
    </w:p>
    <w:p w14:paraId="7D7FF4B6" w14:textId="77777777" w:rsidR="000C62B8" w:rsidRPr="00D43F52" w:rsidRDefault="000C62B8" w:rsidP="000C62B8">
      <w:pPr>
        <w:pStyle w:val="Textonotapie"/>
        <w:snapToGrid w:val="0"/>
        <w:ind w:firstLine="709"/>
        <w:jc w:val="both"/>
        <w:rPr>
          <w:rFonts w:ascii="Verdana" w:hAnsi="Verdana" w:cs="Arial"/>
          <w:sz w:val="8"/>
          <w:szCs w:val="8"/>
        </w:rPr>
      </w:pPr>
      <w:r w:rsidRPr="00D43F52">
        <w:rPr>
          <w:rStyle w:val="Refdenotaalpie"/>
          <w:rFonts w:ascii="Verdana" w:hAnsi="Verdana" w:cs="Arial"/>
          <w:sz w:val="8"/>
          <w:szCs w:val="8"/>
        </w:rPr>
        <w:footnoteRef/>
      </w:r>
      <w:r w:rsidRPr="00D43F52">
        <w:rPr>
          <w:rFonts w:ascii="Verdana" w:hAnsi="Verdana" w:cs="Arial"/>
          <w:sz w:val="8"/>
          <w:szCs w:val="8"/>
        </w:rPr>
        <w:t xml:space="preserve"> Decreto 1082 de 2015: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30DBDAF6"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1. Si es una persona natural:</w:t>
      </w:r>
    </w:p>
    <w:p w14:paraId="7D6BD81E"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1.1. Bienes, obras y servicios que ofrecerá a las Entidades Estatales, identificados con el Clasificador de Bienes y Servicios en el tercer nivel.</w:t>
      </w:r>
    </w:p>
    <w:p w14:paraId="2D4F056A" w14:textId="77777777" w:rsidR="000C62B8" w:rsidRPr="00D43F52" w:rsidRDefault="000C62B8" w:rsidP="000C62B8">
      <w:pPr>
        <w:pStyle w:val="Textonotapie"/>
        <w:snapToGrid w:val="0"/>
        <w:ind w:firstLine="709"/>
        <w:jc w:val="both"/>
        <w:rPr>
          <w:rFonts w:ascii="Verdana" w:hAnsi="Verdana" w:cs="Arial"/>
          <w:sz w:val="8"/>
          <w:szCs w:val="8"/>
        </w:rPr>
      </w:pPr>
      <w:r w:rsidRPr="00D43F52">
        <w:rPr>
          <w:rFonts w:ascii="Verdana" w:hAnsi="Verdana" w:cs="Arial"/>
          <w:sz w:val="8"/>
          <w:szCs w:val="8"/>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w:t>
      </w:r>
    </w:p>
    <w:p w14:paraId="4B8F7991" w14:textId="77777777" w:rsidR="000C62B8" w:rsidRPr="00D43F52" w:rsidRDefault="000C62B8" w:rsidP="000C62B8">
      <w:pPr>
        <w:pStyle w:val="Textonotapie"/>
        <w:snapToGrid w:val="0"/>
        <w:ind w:firstLine="709"/>
        <w:jc w:val="both"/>
        <w:rPr>
          <w:rFonts w:ascii="Verdana" w:hAnsi="Verdana" w:cs="Arial"/>
          <w:sz w:val="8"/>
          <w:szCs w:val="8"/>
          <w:lang w:val="es-ES"/>
        </w:rPr>
      </w:pPr>
    </w:p>
  </w:footnote>
  <w:footnote w:id="23">
    <w:p w14:paraId="5A378325" w14:textId="77777777" w:rsidR="000C62B8" w:rsidRPr="00D43F52" w:rsidRDefault="000C62B8" w:rsidP="000C62B8">
      <w:pPr>
        <w:pStyle w:val="Textonotapie"/>
        <w:snapToGrid w:val="0"/>
        <w:ind w:firstLine="709"/>
        <w:jc w:val="both"/>
        <w:rPr>
          <w:rFonts w:ascii="Verdana" w:hAnsi="Verdana"/>
          <w:sz w:val="8"/>
          <w:szCs w:val="8"/>
        </w:rPr>
      </w:pPr>
      <w:r w:rsidRPr="00D43F52">
        <w:rPr>
          <w:rStyle w:val="Refdenotaalpie"/>
          <w:rFonts w:ascii="Verdana" w:hAnsi="Verdana"/>
          <w:sz w:val="8"/>
          <w:szCs w:val="8"/>
        </w:rPr>
        <w:footnoteRef/>
      </w:r>
      <w:r w:rsidRPr="00D43F52">
        <w:rPr>
          <w:rFonts w:ascii="Verdana" w:hAnsi="Verdana"/>
          <w:sz w:val="8"/>
          <w:szCs w:val="8"/>
        </w:rPr>
        <w:t xml:space="preserve"> Disponible en el siguiente enlace: </w:t>
      </w:r>
      <w:hyperlink r:id="rId1" w:history="1">
        <w:r w:rsidRPr="00D43F52">
          <w:rPr>
            <w:rStyle w:val="Hipervnculo"/>
            <w:rFonts w:ascii="Verdana" w:hAnsi="Verdana"/>
            <w:sz w:val="8"/>
            <w:szCs w:val="8"/>
          </w:rPr>
          <w:t>https://colombiacompra.gov.co/manuales-guias-y-pliegos-tipo/manuales-y-guias/manual-para-determinar-y-verificar-los-requisitos</w:t>
        </w:r>
      </w:hyperlink>
      <w:r w:rsidRPr="00D43F52">
        <w:rPr>
          <w:rFonts w:ascii="Verdana" w:hAnsi="Verdana"/>
          <w:sz w:val="8"/>
          <w:szCs w:val="8"/>
        </w:rPr>
        <w:t xml:space="preserve">  </w:t>
      </w:r>
    </w:p>
    <w:p w14:paraId="1EAF099F" w14:textId="77777777" w:rsidR="000C62B8" w:rsidRPr="00D43F52" w:rsidRDefault="000C62B8" w:rsidP="000C62B8">
      <w:pPr>
        <w:pStyle w:val="Textonotapie"/>
        <w:snapToGrid w:val="0"/>
        <w:ind w:firstLine="709"/>
        <w:jc w:val="both"/>
        <w:rPr>
          <w:rFonts w:ascii="Verdana" w:hAnsi="Verdana"/>
          <w:sz w:val="8"/>
          <w:szCs w:val="8"/>
          <w:lang w:val="es-CO"/>
        </w:rPr>
      </w:pPr>
    </w:p>
  </w:footnote>
  <w:footnote w:id="24">
    <w:p w14:paraId="3C10D0CF" w14:textId="77777777" w:rsidR="000C62B8" w:rsidRPr="00D43F52" w:rsidRDefault="000C62B8" w:rsidP="000C62B8">
      <w:pPr>
        <w:pStyle w:val="Car1"/>
        <w:snapToGrid w:val="0"/>
        <w:ind w:firstLine="709"/>
        <w:jc w:val="both"/>
        <w:rPr>
          <w:rFonts w:ascii="Verdana" w:hAnsi="Verdana" w:cs="Arial"/>
          <w:sz w:val="8"/>
          <w:szCs w:val="8"/>
        </w:rPr>
      </w:pPr>
      <w:r w:rsidRPr="00D43F52">
        <w:rPr>
          <w:rStyle w:val="Refdenotaalpie"/>
          <w:rFonts w:ascii="Verdana" w:hAnsi="Verdana" w:cs="Arial"/>
          <w:sz w:val="8"/>
          <w:szCs w:val="8"/>
        </w:rPr>
        <w:footnoteRef/>
      </w:r>
      <w:r w:rsidRPr="00D43F52">
        <w:rPr>
          <w:rFonts w:ascii="Verdana" w:hAnsi="Verdana" w:cs="Arial"/>
          <w:sz w:val="8"/>
          <w:szCs w:val="8"/>
        </w:rPr>
        <w:t xml:space="preserve">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6C2769F1" w14:textId="77777777" w:rsidR="000C62B8" w:rsidRPr="00D43F52" w:rsidRDefault="000C62B8" w:rsidP="000C62B8">
      <w:pPr>
        <w:pStyle w:val="Car1"/>
        <w:snapToGrid w:val="0"/>
        <w:ind w:firstLine="709"/>
        <w:jc w:val="both"/>
        <w:rPr>
          <w:rFonts w:ascii="Verdana" w:hAnsi="Verdana" w:cs="Arial"/>
          <w:sz w:val="8"/>
          <w:szCs w:val="8"/>
        </w:rPr>
      </w:pPr>
      <w:r w:rsidRPr="00D43F52">
        <w:rPr>
          <w:rFonts w:ascii="Verdana" w:hAnsi="Verdana" w:cs="Arial"/>
          <w:sz w:val="8"/>
          <w:szCs w:val="8"/>
        </w:rPr>
        <w:t>[…]</w:t>
      </w:r>
    </w:p>
    <w:p w14:paraId="3F182D19" w14:textId="77777777" w:rsidR="000C62B8" w:rsidRPr="00D43F52" w:rsidRDefault="000C62B8" w:rsidP="000C62B8">
      <w:pPr>
        <w:pStyle w:val="Car1"/>
        <w:snapToGrid w:val="0"/>
        <w:ind w:firstLine="709"/>
        <w:jc w:val="both"/>
        <w:rPr>
          <w:rFonts w:ascii="Verdana" w:hAnsi="Verdana" w:cs="Arial"/>
          <w:sz w:val="8"/>
          <w:szCs w:val="8"/>
          <w:lang w:val="es-CO"/>
        </w:rPr>
      </w:pPr>
      <w:r w:rsidRPr="00D43F52">
        <w:rPr>
          <w:rFonts w:ascii="Verdana" w:hAnsi="Verdana" w:cs="Arial"/>
          <w:sz w:val="8"/>
          <w:szCs w:val="8"/>
          <w:shd w:val="clear" w:color="auto" w:fill="FFFFFF"/>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D43F52">
        <w:rPr>
          <w:rFonts w:ascii="Verdana" w:hAnsi="Verdana" w:cs="Arial"/>
          <w:sz w:val="8"/>
          <w:szCs w:val="8"/>
          <w:shd w:val="clear" w:color="auto" w:fill="FFFFFF"/>
        </w:rPr>
        <w:softHyphen/>
        <w:t>ficador de Bienes y Servicios en el tercer nivel. Si la constitución del interesado es menor a 3 años, puede acreditar la experiencia de sus accionistas, socios o constituyentes</w:t>
      </w:r>
      <w:r w:rsidRPr="00D43F52">
        <w:rPr>
          <w:rFonts w:ascii="Verdana" w:hAnsi="Verdana" w:cs="Arial"/>
          <w:sz w:val="8"/>
          <w:szCs w:val="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03F0" w14:textId="77777777" w:rsidR="00EC5693" w:rsidRDefault="00EC5693"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149C4017" wp14:editId="49535D71">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1E34938A" wp14:editId="620CE6A7">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4A070D" w14:textId="77777777" w:rsidR="00EC5693" w:rsidRDefault="00EC5693">
    <w:pPr>
      <w:pStyle w:val="Encabezado"/>
    </w:pPr>
  </w:p>
  <w:p w14:paraId="01FD30C1" w14:textId="77777777" w:rsidR="00EC5693" w:rsidRPr="004A305D" w:rsidRDefault="00EC5693" w:rsidP="00B01B1A">
    <w:pPr>
      <w:spacing w:after="0" w:line="120" w:lineRule="auto"/>
      <w:rPr>
        <w:rFonts w:ascii="Century Gothic" w:eastAsia="Geo" w:hAnsi="Century Gothic" w:cs="Geo"/>
        <w:sz w:val="16"/>
        <w:szCs w:val="16"/>
        <w:lang w:eastAsia="es-CO"/>
      </w:rPr>
    </w:pPr>
  </w:p>
  <w:p w14:paraId="694403F9" w14:textId="77777777" w:rsidR="00EC5693" w:rsidRDefault="00EC5693" w:rsidP="00844AE9">
    <w:pPr>
      <w:spacing w:after="0" w:line="240" w:lineRule="auto"/>
      <w:rPr>
        <w:rFonts w:ascii="Verdana" w:hAnsi="Verdana"/>
        <w:sz w:val="24"/>
        <w:szCs w:val="24"/>
      </w:rPr>
    </w:pPr>
  </w:p>
  <w:p w14:paraId="71595993" w14:textId="77777777" w:rsidR="00EC5693" w:rsidRPr="00C925AC" w:rsidRDefault="00EC5693" w:rsidP="00844AE9">
    <w:pPr>
      <w:spacing w:after="0" w:line="240" w:lineRule="auto"/>
      <w:rPr>
        <w:rFonts w:ascii="Verdana" w:hAnsi="Verdana"/>
        <w:sz w:val="24"/>
        <w:szCs w:val="24"/>
      </w:rPr>
    </w:pPr>
  </w:p>
  <w:p w14:paraId="0BCE3F63" w14:textId="77777777" w:rsidR="00EC5693" w:rsidRPr="00C925AC" w:rsidRDefault="00EC5693"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F0D55"/>
    <w:multiLevelType w:val="hybridMultilevel"/>
    <w:tmpl w:val="56A4604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E905490"/>
    <w:multiLevelType w:val="hybridMultilevel"/>
    <w:tmpl w:val="0FB29364"/>
    <w:lvl w:ilvl="0" w:tplc="50764EF8">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15:restartNumberingAfterBreak="0">
    <w:nsid w:val="464A4A6B"/>
    <w:multiLevelType w:val="hybridMultilevel"/>
    <w:tmpl w:val="29422DFA"/>
    <w:lvl w:ilvl="0" w:tplc="93AA4E6E">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4D4E6D39"/>
    <w:multiLevelType w:val="hybridMultilevel"/>
    <w:tmpl w:val="02E688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907721"/>
    <w:multiLevelType w:val="hybridMultilevel"/>
    <w:tmpl w:val="FCD877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5A5331"/>
    <w:multiLevelType w:val="hybridMultilevel"/>
    <w:tmpl w:val="B06ED8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79089576">
    <w:abstractNumId w:val="1"/>
  </w:num>
  <w:num w:numId="2" w16cid:durableId="946545607">
    <w:abstractNumId w:val="4"/>
  </w:num>
  <w:num w:numId="3" w16cid:durableId="1846749086">
    <w:abstractNumId w:val="0"/>
  </w:num>
  <w:num w:numId="4" w16cid:durableId="1099369581">
    <w:abstractNumId w:val="5"/>
  </w:num>
  <w:num w:numId="5" w16cid:durableId="1234583951">
    <w:abstractNumId w:val="3"/>
  </w:num>
  <w:num w:numId="6" w16cid:durableId="1808859530">
    <w:abstractNumId w:val="2"/>
  </w:num>
  <w:num w:numId="7" w16cid:durableId="898638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93"/>
    <w:rsid w:val="000075E0"/>
    <w:rsid w:val="000115ED"/>
    <w:rsid w:val="00012289"/>
    <w:rsid w:val="00013D6E"/>
    <w:rsid w:val="0001775E"/>
    <w:rsid w:val="00021704"/>
    <w:rsid w:val="00021A77"/>
    <w:rsid w:val="00022225"/>
    <w:rsid w:val="000222D3"/>
    <w:rsid w:val="00023BF3"/>
    <w:rsid w:val="00026DDB"/>
    <w:rsid w:val="0002768D"/>
    <w:rsid w:val="00032C37"/>
    <w:rsid w:val="0004153E"/>
    <w:rsid w:val="000415DD"/>
    <w:rsid w:val="0004336A"/>
    <w:rsid w:val="00043F04"/>
    <w:rsid w:val="00045F8E"/>
    <w:rsid w:val="000467F1"/>
    <w:rsid w:val="00046D0A"/>
    <w:rsid w:val="00050FC0"/>
    <w:rsid w:val="00053286"/>
    <w:rsid w:val="00056430"/>
    <w:rsid w:val="00056859"/>
    <w:rsid w:val="00061622"/>
    <w:rsid w:val="00063B77"/>
    <w:rsid w:val="00063FAC"/>
    <w:rsid w:val="000641E2"/>
    <w:rsid w:val="00064F89"/>
    <w:rsid w:val="00067D02"/>
    <w:rsid w:val="00072B28"/>
    <w:rsid w:val="0007458A"/>
    <w:rsid w:val="00075E51"/>
    <w:rsid w:val="000831D6"/>
    <w:rsid w:val="000836BF"/>
    <w:rsid w:val="00083A0E"/>
    <w:rsid w:val="000900CB"/>
    <w:rsid w:val="00094C52"/>
    <w:rsid w:val="00097938"/>
    <w:rsid w:val="000A08E7"/>
    <w:rsid w:val="000A1B73"/>
    <w:rsid w:val="000A20F5"/>
    <w:rsid w:val="000A506D"/>
    <w:rsid w:val="000A6492"/>
    <w:rsid w:val="000A686A"/>
    <w:rsid w:val="000B055A"/>
    <w:rsid w:val="000B1BF8"/>
    <w:rsid w:val="000B4C15"/>
    <w:rsid w:val="000B604E"/>
    <w:rsid w:val="000B67ED"/>
    <w:rsid w:val="000B754C"/>
    <w:rsid w:val="000C18E5"/>
    <w:rsid w:val="000C1C1B"/>
    <w:rsid w:val="000C62B8"/>
    <w:rsid w:val="000D13E9"/>
    <w:rsid w:val="000D184E"/>
    <w:rsid w:val="000D3821"/>
    <w:rsid w:val="000D40FD"/>
    <w:rsid w:val="000D442F"/>
    <w:rsid w:val="000D4A8E"/>
    <w:rsid w:val="000E1814"/>
    <w:rsid w:val="000E40FA"/>
    <w:rsid w:val="000F1969"/>
    <w:rsid w:val="000F2DDC"/>
    <w:rsid w:val="000F532D"/>
    <w:rsid w:val="00101C60"/>
    <w:rsid w:val="001026C0"/>
    <w:rsid w:val="00105947"/>
    <w:rsid w:val="00105CB7"/>
    <w:rsid w:val="0011064D"/>
    <w:rsid w:val="00112738"/>
    <w:rsid w:val="00120818"/>
    <w:rsid w:val="001250B5"/>
    <w:rsid w:val="001259C7"/>
    <w:rsid w:val="001260AA"/>
    <w:rsid w:val="00126852"/>
    <w:rsid w:val="00126D76"/>
    <w:rsid w:val="0012795C"/>
    <w:rsid w:val="001343AD"/>
    <w:rsid w:val="00153C23"/>
    <w:rsid w:val="001560B7"/>
    <w:rsid w:val="00156A85"/>
    <w:rsid w:val="00160253"/>
    <w:rsid w:val="00161741"/>
    <w:rsid w:val="001638C2"/>
    <w:rsid w:val="00167155"/>
    <w:rsid w:val="00170F27"/>
    <w:rsid w:val="0017138B"/>
    <w:rsid w:val="00172D16"/>
    <w:rsid w:val="00175102"/>
    <w:rsid w:val="001772EE"/>
    <w:rsid w:val="00177341"/>
    <w:rsid w:val="00177463"/>
    <w:rsid w:val="00180DB5"/>
    <w:rsid w:val="001822BA"/>
    <w:rsid w:val="001831B6"/>
    <w:rsid w:val="00183E14"/>
    <w:rsid w:val="0019499E"/>
    <w:rsid w:val="00197D08"/>
    <w:rsid w:val="001A3B3D"/>
    <w:rsid w:val="001A6C4A"/>
    <w:rsid w:val="001B0F52"/>
    <w:rsid w:val="001B105E"/>
    <w:rsid w:val="001B2166"/>
    <w:rsid w:val="001B44B1"/>
    <w:rsid w:val="001B64E6"/>
    <w:rsid w:val="001C3448"/>
    <w:rsid w:val="001C6D2B"/>
    <w:rsid w:val="001D029E"/>
    <w:rsid w:val="001D17F2"/>
    <w:rsid w:val="001D18D0"/>
    <w:rsid w:val="001D38B4"/>
    <w:rsid w:val="001D3BAD"/>
    <w:rsid w:val="001D5229"/>
    <w:rsid w:val="001D57D3"/>
    <w:rsid w:val="001D57FE"/>
    <w:rsid w:val="001D6C3E"/>
    <w:rsid w:val="001D7EF4"/>
    <w:rsid w:val="001E1C86"/>
    <w:rsid w:val="001E29DC"/>
    <w:rsid w:val="001E345D"/>
    <w:rsid w:val="001E360A"/>
    <w:rsid w:val="001E5A01"/>
    <w:rsid w:val="001F1E1D"/>
    <w:rsid w:val="001F5A94"/>
    <w:rsid w:val="00200032"/>
    <w:rsid w:val="00201C67"/>
    <w:rsid w:val="00203216"/>
    <w:rsid w:val="00206CBB"/>
    <w:rsid w:val="00210FEB"/>
    <w:rsid w:val="002114B0"/>
    <w:rsid w:val="002153B2"/>
    <w:rsid w:val="00216E62"/>
    <w:rsid w:val="0021789D"/>
    <w:rsid w:val="002221CD"/>
    <w:rsid w:val="0022391F"/>
    <w:rsid w:val="00224226"/>
    <w:rsid w:val="002247F5"/>
    <w:rsid w:val="002258B5"/>
    <w:rsid w:val="00225D81"/>
    <w:rsid w:val="00230A75"/>
    <w:rsid w:val="00232B98"/>
    <w:rsid w:val="002338F2"/>
    <w:rsid w:val="00234147"/>
    <w:rsid w:val="002368BE"/>
    <w:rsid w:val="00241258"/>
    <w:rsid w:val="0024229E"/>
    <w:rsid w:val="0024395D"/>
    <w:rsid w:val="002457DB"/>
    <w:rsid w:val="00247331"/>
    <w:rsid w:val="0024765E"/>
    <w:rsid w:val="002502C9"/>
    <w:rsid w:val="00253209"/>
    <w:rsid w:val="00255086"/>
    <w:rsid w:val="0025683B"/>
    <w:rsid w:val="00260D84"/>
    <w:rsid w:val="0026206C"/>
    <w:rsid w:val="002635E8"/>
    <w:rsid w:val="002674B3"/>
    <w:rsid w:val="0027129E"/>
    <w:rsid w:val="002741EE"/>
    <w:rsid w:val="00280F3A"/>
    <w:rsid w:val="002825D1"/>
    <w:rsid w:val="00282BDC"/>
    <w:rsid w:val="00283428"/>
    <w:rsid w:val="0028581D"/>
    <w:rsid w:val="00290984"/>
    <w:rsid w:val="00296A36"/>
    <w:rsid w:val="0029785F"/>
    <w:rsid w:val="002A1795"/>
    <w:rsid w:val="002A403C"/>
    <w:rsid w:val="002A4AF9"/>
    <w:rsid w:val="002A58B4"/>
    <w:rsid w:val="002B2DF8"/>
    <w:rsid w:val="002B7DAB"/>
    <w:rsid w:val="002C1188"/>
    <w:rsid w:val="002C77BA"/>
    <w:rsid w:val="002E1267"/>
    <w:rsid w:val="002E22E0"/>
    <w:rsid w:val="002E4E58"/>
    <w:rsid w:val="002F2001"/>
    <w:rsid w:val="002F2C9E"/>
    <w:rsid w:val="002F3DD2"/>
    <w:rsid w:val="002F4507"/>
    <w:rsid w:val="002F4910"/>
    <w:rsid w:val="002F7BBE"/>
    <w:rsid w:val="00303D45"/>
    <w:rsid w:val="003040D5"/>
    <w:rsid w:val="0030435E"/>
    <w:rsid w:val="00307C5E"/>
    <w:rsid w:val="00311C8A"/>
    <w:rsid w:val="00312D07"/>
    <w:rsid w:val="00313C88"/>
    <w:rsid w:val="0031606E"/>
    <w:rsid w:val="00317080"/>
    <w:rsid w:val="00320F31"/>
    <w:rsid w:val="00323333"/>
    <w:rsid w:val="003270DC"/>
    <w:rsid w:val="00332F47"/>
    <w:rsid w:val="00334EB5"/>
    <w:rsid w:val="00336752"/>
    <w:rsid w:val="003409BA"/>
    <w:rsid w:val="003421A7"/>
    <w:rsid w:val="0034410F"/>
    <w:rsid w:val="00360F49"/>
    <w:rsid w:val="00360F52"/>
    <w:rsid w:val="003638B3"/>
    <w:rsid w:val="003678B1"/>
    <w:rsid w:val="00372AAC"/>
    <w:rsid w:val="00375B55"/>
    <w:rsid w:val="00376FA7"/>
    <w:rsid w:val="00377502"/>
    <w:rsid w:val="00377ADF"/>
    <w:rsid w:val="00380978"/>
    <w:rsid w:val="00381AEA"/>
    <w:rsid w:val="003876CA"/>
    <w:rsid w:val="00390D1C"/>
    <w:rsid w:val="00393E6E"/>
    <w:rsid w:val="00394B01"/>
    <w:rsid w:val="003958A7"/>
    <w:rsid w:val="0039667F"/>
    <w:rsid w:val="003A19D8"/>
    <w:rsid w:val="003A2F5E"/>
    <w:rsid w:val="003A607A"/>
    <w:rsid w:val="003B0266"/>
    <w:rsid w:val="003B04FB"/>
    <w:rsid w:val="003B0A48"/>
    <w:rsid w:val="003B1581"/>
    <w:rsid w:val="003B22E4"/>
    <w:rsid w:val="003B2C80"/>
    <w:rsid w:val="003B3AD6"/>
    <w:rsid w:val="003B49F1"/>
    <w:rsid w:val="003B6272"/>
    <w:rsid w:val="003B7531"/>
    <w:rsid w:val="003B76C5"/>
    <w:rsid w:val="003C2EBA"/>
    <w:rsid w:val="003D0291"/>
    <w:rsid w:val="003D7D0B"/>
    <w:rsid w:val="003E03EF"/>
    <w:rsid w:val="003E044A"/>
    <w:rsid w:val="003E11A8"/>
    <w:rsid w:val="003E3858"/>
    <w:rsid w:val="003E60E7"/>
    <w:rsid w:val="003F2BDE"/>
    <w:rsid w:val="003F577C"/>
    <w:rsid w:val="003F6C98"/>
    <w:rsid w:val="0040235C"/>
    <w:rsid w:val="00403098"/>
    <w:rsid w:val="00404320"/>
    <w:rsid w:val="00404E14"/>
    <w:rsid w:val="0040547E"/>
    <w:rsid w:val="00406A90"/>
    <w:rsid w:val="004070EF"/>
    <w:rsid w:val="00407F5B"/>
    <w:rsid w:val="0041089B"/>
    <w:rsid w:val="00411DAA"/>
    <w:rsid w:val="0041213F"/>
    <w:rsid w:val="0041310B"/>
    <w:rsid w:val="00414A58"/>
    <w:rsid w:val="004154D1"/>
    <w:rsid w:val="004161EA"/>
    <w:rsid w:val="004171D3"/>
    <w:rsid w:val="00422DD6"/>
    <w:rsid w:val="0042529E"/>
    <w:rsid w:val="00427377"/>
    <w:rsid w:val="00427A3F"/>
    <w:rsid w:val="00430F15"/>
    <w:rsid w:val="0043341E"/>
    <w:rsid w:val="00434DAA"/>
    <w:rsid w:val="0043522F"/>
    <w:rsid w:val="0043538A"/>
    <w:rsid w:val="00436DCB"/>
    <w:rsid w:val="00440C05"/>
    <w:rsid w:val="00441350"/>
    <w:rsid w:val="00442B5C"/>
    <w:rsid w:val="00443E71"/>
    <w:rsid w:val="0044449A"/>
    <w:rsid w:val="00445998"/>
    <w:rsid w:val="00446874"/>
    <w:rsid w:val="00450011"/>
    <w:rsid w:val="0045193A"/>
    <w:rsid w:val="004563BE"/>
    <w:rsid w:val="00460BD8"/>
    <w:rsid w:val="004631F3"/>
    <w:rsid w:val="00464A5F"/>
    <w:rsid w:val="00464BB3"/>
    <w:rsid w:val="004726F8"/>
    <w:rsid w:val="004809A6"/>
    <w:rsid w:val="004813B2"/>
    <w:rsid w:val="00482A22"/>
    <w:rsid w:val="00483660"/>
    <w:rsid w:val="004850C2"/>
    <w:rsid w:val="00495A46"/>
    <w:rsid w:val="0049791D"/>
    <w:rsid w:val="004A1914"/>
    <w:rsid w:val="004A26A4"/>
    <w:rsid w:val="004A3265"/>
    <w:rsid w:val="004A4303"/>
    <w:rsid w:val="004A437E"/>
    <w:rsid w:val="004A6CD2"/>
    <w:rsid w:val="004B4A89"/>
    <w:rsid w:val="004B7944"/>
    <w:rsid w:val="004C5D93"/>
    <w:rsid w:val="004C6657"/>
    <w:rsid w:val="004C6C30"/>
    <w:rsid w:val="004C793F"/>
    <w:rsid w:val="004D5667"/>
    <w:rsid w:val="004D5E19"/>
    <w:rsid w:val="004E106C"/>
    <w:rsid w:val="004E1C7B"/>
    <w:rsid w:val="004F02B6"/>
    <w:rsid w:val="004F0390"/>
    <w:rsid w:val="004F4A9F"/>
    <w:rsid w:val="004F541E"/>
    <w:rsid w:val="004F6BD7"/>
    <w:rsid w:val="0050150E"/>
    <w:rsid w:val="00501DCF"/>
    <w:rsid w:val="005035A6"/>
    <w:rsid w:val="005115C4"/>
    <w:rsid w:val="00512438"/>
    <w:rsid w:val="00514487"/>
    <w:rsid w:val="005160C2"/>
    <w:rsid w:val="005162B8"/>
    <w:rsid w:val="0051741C"/>
    <w:rsid w:val="005211E2"/>
    <w:rsid w:val="00521593"/>
    <w:rsid w:val="00525368"/>
    <w:rsid w:val="00525BBF"/>
    <w:rsid w:val="0053037C"/>
    <w:rsid w:val="00531FFB"/>
    <w:rsid w:val="0053515E"/>
    <w:rsid w:val="00542A17"/>
    <w:rsid w:val="00545E03"/>
    <w:rsid w:val="00546037"/>
    <w:rsid w:val="00546422"/>
    <w:rsid w:val="00546AFB"/>
    <w:rsid w:val="00550130"/>
    <w:rsid w:val="005516E9"/>
    <w:rsid w:val="00553D72"/>
    <w:rsid w:val="005544CB"/>
    <w:rsid w:val="00554F99"/>
    <w:rsid w:val="005559AD"/>
    <w:rsid w:val="00563E1D"/>
    <w:rsid w:val="00571D00"/>
    <w:rsid w:val="005727E1"/>
    <w:rsid w:val="00572F0A"/>
    <w:rsid w:val="00573507"/>
    <w:rsid w:val="00574021"/>
    <w:rsid w:val="0057427C"/>
    <w:rsid w:val="005759EF"/>
    <w:rsid w:val="00575F87"/>
    <w:rsid w:val="00580BEE"/>
    <w:rsid w:val="00581749"/>
    <w:rsid w:val="005818E2"/>
    <w:rsid w:val="00586E6D"/>
    <w:rsid w:val="0058771E"/>
    <w:rsid w:val="00592F28"/>
    <w:rsid w:val="0059506E"/>
    <w:rsid w:val="005A02B7"/>
    <w:rsid w:val="005A50AD"/>
    <w:rsid w:val="005A5278"/>
    <w:rsid w:val="005A6BCB"/>
    <w:rsid w:val="005A7550"/>
    <w:rsid w:val="005A79A2"/>
    <w:rsid w:val="005A7EA5"/>
    <w:rsid w:val="005B0103"/>
    <w:rsid w:val="005B0EE9"/>
    <w:rsid w:val="005B396C"/>
    <w:rsid w:val="005B4FB1"/>
    <w:rsid w:val="005B6F08"/>
    <w:rsid w:val="005C3F12"/>
    <w:rsid w:val="005C5058"/>
    <w:rsid w:val="005D05E5"/>
    <w:rsid w:val="005D4273"/>
    <w:rsid w:val="005D4426"/>
    <w:rsid w:val="005E249C"/>
    <w:rsid w:val="005F0339"/>
    <w:rsid w:val="005F39AC"/>
    <w:rsid w:val="00600C8D"/>
    <w:rsid w:val="00601DDB"/>
    <w:rsid w:val="00603040"/>
    <w:rsid w:val="006030CA"/>
    <w:rsid w:val="00603855"/>
    <w:rsid w:val="00614DDC"/>
    <w:rsid w:val="00622A70"/>
    <w:rsid w:val="00625265"/>
    <w:rsid w:val="006268B6"/>
    <w:rsid w:val="00627F1A"/>
    <w:rsid w:val="006347E5"/>
    <w:rsid w:val="006351DB"/>
    <w:rsid w:val="00635201"/>
    <w:rsid w:val="0065128F"/>
    <w:rsid w:val="00654899"/>
    <w:rsid w:val="00660D13"/>
    <w:rsid w:val="00666804"/>
    <w:rsid w:val="00667A64"/>
    <w:rsid w:val="00671202"/>
    <w:rsid w:val="006723A8"/>
    <w:rsid w:val="006734EF"/>
    <w:rsid w:val="0067362F"/>
    <w:rsid w:val="0067459F"/>
    <w:rsid w:val="006825CD"/>
    <w:rsid w:val="00685F19"/>
    <w:rsid w:val="00686FA4"/>
    <w:rsid w:val="006A0117"/>
    <w:rsid w:val="006A08DD"/>
    <w:rsid w:val="006A0ADC"/>
    <w:rsid w:val="006A68B4"/>
    <w:rsid w:val="006B7982"/>
    <w:rsid w:val="006C777E"/>
    <w:rsid w:val="006C79CB"/>
    <w:rsid w:val="006D1124"/>
    <w:rsid w:val="006D1D65"/>
    <w:rsid w:val="006D31A9"/>
    <w:rsid w:val="006D41FD"/>
    <w:rsid w:val="006D688E"/>
    <w:rsid w:val="006D6A06"/>
    <w:rsid w:val="006D6FE5"/>
    <w:rsid w:val="006E60C3"/>
    <w:rsid w:val="006E649C"/>
    <w:rsid w:val="006F1519"/>
    <w:rsid w:val="006F3E65"/>
    <w:rsid w:val="006F7988"/>
    <w:rsid w:val="00704F59"/>
    <w:rsid w:val="00710234"/>
    <w:rsid w:val="0071065B"/>
    <w:rsid w:val="00712F83"/>
    <w:rsid w:val="007139F6"/>
    <w:rsid w:val="007159BD"/>
    <w:rsid w:val="0072615B"/>
    <w:rsid w:val="00726B1C"/>
    <w:rsid w:val="00731E8E"/>
    <w:rsid w:val="007379D1"/>
    <w:rsid w:val="0074151B"/>
    <w:rsid w:val="00745204"/>
    <w:rsid w:val="00745C52"/>
    <w:rsid w:val="00746B54"/>
    <w:rsid w:val="0075316C"/>
    <w:rsid w:val="00754823"/>
    <w:rsid w:val="00755DC9"/>
    <w:rsid w:val="00764EBB"/>
    <w:rsid w:val="0076572E"/>
    <w:rsid w:val="00770A4F"/>
    <w:rsid w:val="00776556"/>
    <w:rsid w:val="0078063A"/>
    <w:rsid w:val="0078115C"/>
    <w:rsid w:val="00781668"/>
    <w:rsid w:val="00787216"/>
    <w:rsid w:val="00790076"/>
    <w:rsid w:val="00791F8E"/>
    <w:rsid w:val="00794A0C"/>
    <w:rsid w:val="00797ED7"/>
    <w:rsid w:val="007A0C2C"/>
    <w:rsid w:val="007A4924"/>
    <w:rsid w:val="007B1E69"/>
    <w:rsid w:val="007B2580"/>
    <w:rsid w:val="007B4761"/>
    <w:rsid w:val="007C2A08"/>
    <w:rsid w:val="007C75C8"/>
    <w:rsid w:val="007D0BB9"/>
    <w:rsid w:val="007D3FE2"/>
    <w:rsid w:val="007D4E5D"/>
    <w:rsid w:val="007D4FDF"/>
    <w:rsid w:val="007D7DFE"/>
    <w:rsid w:val="007E0217"/>
    <w:rsid w:val="007E022C"/>
    <w:rsid w:val="007E0ACF"/>
    <w:rsid w:val="007E0BD2"/>
    <w:rsid w:val="007E0E24"/>
    <w:rsid w:val="007E5799"/>
    <w:rsid w:val="007E6FDA"/>
    <w:rsid w:val="007F26EA"/>
    <w:rsid w:val="007F289F"/>
    <w:rsid w:val="007F4103"/>
    <w:rsid w:val="007F5891"/>
    <w:rsid w:val="007F6D9A"/>
    <w:rsid w:val="007F7DDA"/>
    <w:rsid w:val="00800377"/>
    <w:rsid w:val="00802629"/>
    <w:rsid w:val="0080522C"/>
    <w:rsid w:val="00806A54"/>
    <w:rsid w:val="00807087"/>
    <w:rsid w:val="008115BD"/>
    <w:rsid w:val="00812E59"/>
    <w:rsid w:val="00812FAF"/>
    <w:rsid w:val="00813020"/>
    <w:rsid w:val="008149D1"/>
    <w:rsid w:val="00826C1E"/>
    <w:rsid w:val="00833D7C"/>
    <w:rsid w:val="0083532E"/>
    <w:rsid w:val="00836092"/>
    <w:rsid w:val="00836F5E"/>
    <w:rsid w:val="00843B96"/>
    <w:rsid w:val="0084514B"/>
    <w:rsid w:val="00845EE9"/>
    <w:rsid w:val="0084704E"/>
    <w:rsid w:val="00852D63"/>
    <w:rsid w:val="00853FA1"/>
    <w:rsid w:val="00856F00"/>
    <w:rsid w:val="00860FC4"/>
    <w:rsid w:val="00862749"/>
    <w:rsid w:val="00862DCB"/>
    <w:rsid w:val="008673BE"/>
    <w:rsid w:val="00871D32"/>
    <w:rsid w:val="00873239"/>
    <w:rsid w:val="008754C4"/>
    <w:rsid w:val="00875EE8"/>
    <w:rsid w:val="008806F0"/>
    <w:rsid w:val="00881173"/>
    <w:rsid w:val="00881A1C"/>
    <w:rsid w:val="00882589"/>
    <w:rsid w:val="0088502F"/>
    <w:rsid w:val="00886B12"/>
    <w:rsid w:val="008918EA"/>
    <w:rsid w:val="00892CC2"/>
    <w:rsid w:val="00894F00"/>
    <w:rsid w:val="008A0E63"/>
    <w:rsid w:val="008A13F8"/>
    <w:rsid w:val="008A6EB8"/>
    <w:rsid w:val="008A7263"/>
    <w:rsid w:val="008A773C"/>
    <w:rsid w:val="008B047A"/>
    <w:rsid w:val="008B06C3"/>
    <w:rsid w:val="008B199D"/>
    <w:rsid w:val="008B3AB5"/>
    <w:rsid w:val="008B552F"/>
    <w:rsid w:val="008B57FC"/>
    <w:rsid w:val="008B7C97"/>
    <w:rsid w:val="008C26CA"/>
    <w:rsid w:val="008C3CAB"/>
    <w:rsid w:val="008C6C50"/>
    <w:rsid w:val="008D166C"/>
    <w:rsid w:val="008D5815"/>
    <w:rsid w:val="008E2B9C"/>
    <w:rsid w:val="008E5C2E"/>
    <w:rsid w:val="008E5F38"/>
    <w:rsid w:val="008E624A"/>
    <w:rsid w:val="008F1735"/>
    <w:rsid w:val="008F7FDB"/>
    <w:rsid w:val="00902204"/>
    <w:rsid w:val="009042FA"/>
    <w:rsid w:val="0090596D"/>
    <w:rsid w:val="00905B2E"/>
    <w:rsid w:val="0090652E"/>
    <w:rsid w:val="0090702F"/>
    <w:rsid w:val="00907744"/>
    <w:rsid w:val="00911BCD"/>
    <w:rsid w:val="009157BA"/>
    <w:rsid w:val="00920FF3"/>
    <w:rsid w:val="00921348"/>
    <w:rsid w:val="009326BD"/>
    <w:rsid w:val="009370CE"/>
    <w:rsid w:val="00940C1E"/>
    <w:rsid w:val="00941932"/>
    <w:rsid w:val="00942FFB"/>
    <w:rsid w:val="00952CA2"/>
    <w:rsid w:val="009570F7"/>
    <w:rsid w:val="00960310"/>
    <w:rsid w:val="0096585C"/>
    <w:rsid w:val="00966247"/>
    <w:rsid w:val="00972B48"/>
    <w:rsid w:val="00973938"/>
    <w:rsid w:val="00976B9A"/>
    <w:rsid w:val="00981216"/>
    <w:rsid w:val="00981745"/>
    <w:rsid w:val="00985C87"/>
    <w:rsid w:val="00986CA4"/>
    <w:rsid w:val="009926C5"/>
    <w:rsid w:val="00995C22"/>
    <w:rsid w:val="009A043B"/>
    <w:rsid w:val="009A071D"/>
    <w:rsid w:val="009A25AE"/>
    <w:rsid w:val="009A3B71"/>
    <w:rsid w:val="009A7F5C"/>
    <w:rsid w:val="009B06E9"/>
    <w:rsid w:val="009B2E96"/>
    <w:rsid w:val="009B588A"/>
    <w:rsid w:val="009B7AD7"/>
    <w:rsid w:val="009C02EB"/>
    <w:rsid w:val="009C41F5"/>
    <w:rsid w:val="009C49F7"/>
    <w:rsid w:val="009C6991"/>
    <w:rsid w:val="009C6E8B"/>
    <w:rsid w:val="009D0336"/>
    <w:rsid w:val="009D1BF1"/>
    <w:rsid w:val="009D25E0"/>
    <w:rsid w:val="009D50F4"/>
    <w:rsid w:val="009D52D6"/>
    <w:rsid w:val="009D5938"/>
    <w:rsid w:val="009D631A"/>
    <w:rsid w:val="009E5C49"/>
    <w:rsid w:val="009F25D0"/>
    <w:rsid w:val="009F38A0"/>
    <w:rsid w:val="009F4FB3"/>
    <w:rsid w:val="009F53DF"/>
    <w:rsid w:val="009F5779"/>
    <w:rsid w:val="009F7CFB"/>
    <w:rsid w:val="00A004BB"/>
    <w:rsid w:val="00A004EE"/>
    <w:rsid w:val="00A06249"/>
    <w:rsid w:val="00A06C02"/>
    <w:rsid w:val="00A1055D"/>
    <w:rsid w:val="00A10DFC"/>
    <w:rsid w:val="00A1432E"/>
    <w:rsid w:val="00A20263"/>
    <w:rsid w:val="00A215FF"/>
    <w:rsid w:val="00A2565C"/>
    <w:rsid w:val="00A25D3A"/>
    <w:rsid w:val="00A27999"/>
    <w:rsid w:val="00A312DF"/>
    <w:rsid w:val="00A3303D"/>
    <w:rsid w:val="00A333A7"/>
    <w:rsid w:val="00A33D0E"/>
    <w:rsid w:val="00A3481A"/>
    <w:rsid w:val="00A366A5"/>
    <w:rsid w:val="00A43ED1"/>
    <w:rsid w:val="00A44908"/>
    <w:rsid w:val="00A517F3"/>
    <w:rsid w:val="00A527C1"/>
    <w:rsid w:val="00A52E6B"/>
    <w:rsid w:val="00A54E0C"/>
    <w:rsid w:val="00A55D9D"/>
    <w:rsid w:val="00A6573A"/>
    <w:rsid w:val="00A66936"/>
    <w:rsid w:val="00A671CC"/>
    <w:rsid w:val="00A72920"/>
    <w:rsid w:val="00A74C69"/>
    <w:rsid w:val="00A7559D"/>
    <w:rsid w:val="00A7598D"/>
    <w:rsid w:val="00A812D5"/>
    <w:rsid w:val="00A813FF"/>
    <w:rsid w:val="00A8144B"/>
    <w:rsid w:val="00A834DC"/>
    <w:rsid w:val="00A83D42"/>
    <w:rsid w:val="00A8734A"/>
    <w:rsid w:val="00A87C23"/>
    <w:rsid w:val="00A87C58"/>
    <w:rsid w:val="00A90C56"/>
    <w:rsid w:val="00A92F99"/>
    <w:rsid w:val="00A96706"/>
    <w:rsid w:val="00A96731"/>
    <w:rsid w:val="00AA3F46"/>
    <w:rsid w:val="00AA4403"/>
    <w:rsid w:val="00AA52CC"/>
    <w:rsid w:val="00AA7270"/>
    <w:rsid w:val="00AB2546"/>
    <w:rsid w:val="00AB3FC5"/>
    <w:rsid w:val="00AB457E"/>
    <w:rsid w:val="00AB5E8B"/>
    <w:rsid w:val="00AC0383"/>
    <w:rsid w:val="00AC0786"/>
    <w:rsid w:val="00AC0B3D"/>
    <w:rsid w:val="00AC26FB"/>
    <w:rsid w:val="00AC339A"/>
    <w:rsid w:val="00AC3BA8"/>
    <w:rsid w:val="00AC49BD"/>
    <w:rsid w:val="00AC7C66"/>
    <w:rsid w:val="00AD0E7E"/>
    <w:rsid w:val="00AD0FFA"/>
    <w:rsid w:val="00AD723B"/>
    <w:rsid w:val="00AE1C78"/>
    <w:rsid w:val="00AE4F45"/>
    <w:rsid w:val="00AE7D36"/>
    <w:rsid w:val="00AF1E55"/>
    <w:rsid w:val="00AF3105"/>
    <w:rsid w:val="00B01D5D"/>
    <w:rsid w:val="00B02022"/>
    <w:rsid w:val="00B04888"/>
    <w:rsid w:val="00B04A64"/>
    <w:rsid w:val="00B0583A"/>
    <w:rsid w:val="00B07FCA"/>
    <w:rsid w:val="00B1039B"/>
    <w:rsid w:val="00B10950"/>
    <w:rsid w:val="00B122C4"/>
    <w:rsid w:val="00B124B7"/>
    <w:rsid w:val="00B1561C"/>
    <w:rsid w:val="00B207D6"/>
    <w:rsid w:val="00B2289A"/>
    <w:rsid w:val="00B23BC3"/>
    <w:rsid w:val="00B242CC"/>
    <w:rsid w:val="00B251F7"/>
    <w:rsid w:val="00B30186"/>
    <w:rsid w:val="00B30FF6"/>
    <w:rsid w:val="00B35727"/>
    <w:rsid w:val="00B3704E"/>
    <w:rsid w:val="00B41D0A"/>
    <w:rsid w:val="00B50487"/>
    <w:rsid w:val="00B531FA"/>
    <w:rsid w:val="00B53846"/>
    <w:rsid w:val="00B6093E"/>
    <w:rsid w:val="00B61BBA"/>
    <w:rsid w:val="00B6255F"/>
    <w:rsid w:val="00B65C62"/>
    <w:rsid w:val="00B706B9"/>
    <w:rsid w:val="00B74827"/>
    <w:rsid w:val="00B807E7"/>
    <w:rsid w:val="00B81314"/>
    <w:rsid w:val="00B82494"/>
    <w:rsid w:val="00B901E4"/>
    <w:rsid w:val="00B91298"/>
    <w:rsid w:val="00B93BE3"/>
    <w:rsid w:val="00B95E4C"/>
    <w:rsid w:val="00BA18E2"/>
    <w:rsid w:val="00BA61E9"/>
    <w:rsid w:val="00BA71B7"/>
    <w:rsid w:val="00BB09D4"/>
    <w:rsid w:val="00BB115B"/>
    <w:rsid w:val="00BB1833"/>
    <w:rsid w:val="00BB2FE0"/>
    <w:rsid w:val="00BB30CC"/>
    <w:rsid w:val="00BB4FE1"/>
    <w:rsid w:val="00BB61F2"/>
    <w:rsid w:val="00BB6387"/>
    <w:rsid w:val="00BB75FC"/>
    <w:rsid w:val="00BC00C4"/>
    <w:rsid w:val="00BC0774"/>
    <w:rsid w:val="00BC0B76"/>
    <w:rsid w:val="00BC7738"/>
    <w:rsid w:val="00BD1CCB"/>
    <w:rsid w:val="00BD5824"/>
    <w:rsid w:val="00BD66E8"/>
    <w:rsid w:val="00BE0E2A"/>
    <w:rsid w:val="00BE1799"/>
    <w:rsid w:val="00BE2F0F"/>
    <w:rsid w:val="00BF1100"/>
    <w:rsid w:val="00BF3998"/>
    <w:rsid w:val="00BF42CD"/>
    <w:rsid w:val="00BF50FE"/>
    <w:rsid w:val="00BF5730"/>
    <w:rsid w:val="00C046E3"/>
    <w:rsid w:val="00C04B6B"/>
    <w:rsid w:val="00C07DEC"/>
    <w:rsid w:val="00C15232"/>
    <w:rsid w:val="00C1529E"/>
    <w:rsid w:val="00C15794"/>
    <w:rsid w:val="00C15905"/>
    <w:rsid w:val="00C15C2C"/>
    <w:rsid w:val="00C16CF5"/>
    <w:rsid w:val="00C204DE"/>
    <w:rsid w:val="00C22B7A"/>
    <w:rsid w:val="00C27069"/>
    <w:rsid w:val="00C30E71"/>
    <w:rsid w:val="00C32486"/>
    <w:rsid w:val="00C3320F"/>
    <w:rsid w:val="00C43EBF"/>
    <w:rsid w:val="00C47F74"/>
    <w:rsid w:val="00C516BC"/>
    <w:rsid w:val="00C555ED"/>
    <w:rsid w:val="00C55635"/>
    <w:rsid w:val="00C556AB"/>
    <w:rsid w:val="00C5613B"/>
    <w:rsid w:val="00C60FAF"/>
    <w:rsid w:val="00C63C93"/>
    <w:rsid w:val="00C65C93"/>
    <w:rsid w:val="00C70643"/>
    <w:rsid w:val="00C708BE"/>
    <w:rsid w:val="00C74F50"/>
    <w:rsid w:val="00C77D9B"/>
    <w:rsid w:val="00C851C3"/>
    <w:rsid w:val="00C85DAF"/>
    <w:rsid w:val="00C86A2B"/>
    <w:rsid w:val="00C9513A"/>
    <w:rsid w:val="00C95151"/>
    <w:rsid w:val="00C96E2B"/>
    <w:rsid w:val="00C9727F"/>
    <w:rsid w:val="00CA0B6B"/>
    <w:rsid w:val="00CA4500"/>
    <w:rsid w:val="00CA462C"/>
    <w:rsid w:val="00CA669B"/>
    <w:rsid w:val="00CB042A"/>
    <w:rsid w:val="00CB05D4"/>
    <w:rsid w:val="00CB0681"/>
    <w:rsid w:val="00CB14CD"/>
    <w:rsid w:val="00CB1FDD"/>
    <w:rsid w:val="00CB4A27"/>
    <w:rsid w:val="00CB5704"/>
    <w:rsid w:val="00CC0955"/>
    <w:rsid w:val="00CC1EAA"/>
    <w:rsid w:val="00CC276C"/>
    <w:rsid w:val="00CC2B1E"/>
    <w:rsid w:val="00CC5AE0"/>
    <w:rsid w:val="00CD02CC"/>
    <w:rsid w:val="00CD1EC8"/>
    <w:rsid w:val="00CD379D"/>
    <w:rsid w:val="00CD4F09"/>
    <w:rsid w:val="00CD6F29"/>
    <w:rsid w:val="00CE00B5"/>
    <w:rsid w:val="00CF231A"/>
    <w:rsid w:val="00CF6036"/>
    <w:rsid w:val="00CF78D1"/>
    <w:rsid w:val="00D01D2D"/>
    <w:rsid w:val="00D023CF"/>
    <w:rsid w:val="00D17CC8"/>
    <w:rsid w:val="00D2413F"/>
    <w:rsid w:val="00D264B7"/>
    <w:rsid w:val="00D26A3F"/>
    <w:rsid w:val="00D33AF8"/>
    <w:rsid w:val="00D34501"/>
    <w:rsid w:val="00D37736"/>
    <w:rsid w:val="00D41A02"/>
    <w:rsid w:val="00D43F52"/>
    <w:rsid w:val="00D45C44"/>
    <w:rsid w:val="00D46E48"/>
    <w:rsid w:val="00D50E9D"/>
    <w:rsid w:val="00D5133D"/>
    <w:rsid w:val="00D52D58"/>
    <w:rsid w:val="00D54D61"/>
    <w:rsid w:val="00D57F29"/>
    <w:rsid w:val="00D63674"/>
    <w:rsid w:val="00D64F1C"/>
    <w:rsid w:val="00D714E9"/>
    <w:rsid w:val="00D732F4"/>
    <w:rsid w:val="00D73E02"/>
    <w:rsid w:val="00D7624A"/>
    <w:rsid w:val="00D8142A"/>
    <w:rsid w:val="00D82637"/>
    <w:rsid w:val="00D82D77"/>
    <w:rsid w:val="00D84175"/>
    <w:rsid w:val="00D8513F"/>
    <w:rsid w:val="00D8630D"/>
    <w:rsid w:val="00D875FF"/>
    <w:rsid w:val="00D903D2"/>
    <w:rsid w:val="00D92054"/>
    <w:rsid w:val="00D936DA"/>
    <w:rsid w:val="00D96764"/>
    <w:rsid w:val="00DA47A7"/>
    <w:rsid w:val="00DA7A37"/>
    <w:rsid w:val="00DB0BAC"/>
    <w:rsid w:val="00DB1753"/>
    <w:rsid w:val="00DB1B46"/>
    <w:rsid w:val="00DB2A35"/>
    <w:rsid w:val="00DB42E2"/>
    <w:rsid w:val="00DB515C"/>
    <w:rsid w:val="00DB7A76"/>
    <w:rsid w:val="00DC4F12"/>
    <w:rsid w:val="00DC75C4"/>
    <w:rsid w:val="00DE2319"/>
    <w:rsid w:val="00DE3A83"/>
    <w:rsid w:val="00DE4BF6"/>
    <w:rsid w:val="00DE5423"/>
    <w:rsid w:val="00DE6651"/>
    <w:rsid w:val="00DE79DC"/>
    <w:rsid w:val="00DF09F4"/>
    <w:rsid w:val="00DF5169"/>
    <w:rsid w:val="00DF736F"/>
    <w:rsid w:val="00E029EB"/>
    <w:rsid w:val="00E02AE2"/>
    <w:rsid w:val="00E04496"/>
    <w:rsid w:val="00E04537"/>
    <w:rsid w:val="00E14CC3"/>
    <w:rsid w:val="00E25687"/>
    <w:rsid w:val="00E26B0C"/>
    <w:rsid w:val="00E273BE"/>
    <w:rsid w:val="00E34D56"/>
    <w:rsid w:val="00E36EAB"/>
    <w:rsid w:val="00E400B3"/>
    <w:rsid w:val="00E512D7"/>
    <w:rsid w:val="00E55FC4"/>
    <w:rsid w:val="00E609E8"/>
    <w:rsid w:val="00E64D71"/>
    <w:rsid w:val="00E675F2"/>
    <w:rsid w:val="00E7666D"/>
    <w:rsid w:val="00E769D6"/>
    <w:rsid w:val="00E84516"/>
    <w:rsid w:val="00E90B67"/>
    <w:rsid w:val="00E93143"/>
    <w:rsid w:val="00E9485D"/>
    <w:rsid w:val="00E95305"/>
    <w:rsid w:val="00EA00AB"/>
    <w:rsid w:val="00EA1870"/>
    <w:rsid w:val="00EA3D27"/>
    <w:rsid w:val="00EA40F2"/>
    <w:rsid w:val="00EA4E82"/>
    <w:rsid w:val="00EA5549"/>
    <w:rsid w:val="00EA7DC4"/>
    <w:rsid w:val="00EB244B"/>
    <w:rsid w:val="00EB4670"/>
    <w:rsid w:val="00EB5A80"/>
    <w:rsid w:val="00EB5C85"/>
    <w:rsid w:val="00EB6DA5"/>
    <w:rsid w:val="00EB72E7"/>
    <w:rsid w:val="00EC277B"/>
    <w:rsid w:val="00EC4B69"/>
    <w:rsid w:val="00EC5693"/>
    <w:rsid w:val="00EC6A94"/>
    <w:rsid w:val="00ED0E67"/>
    <w:rsid w:val="00ED15E0"/>
    <w:rsid w:val="00ED2DC0"/>
    <w:rsid w:val="00EE03B5"/>
    <w:rsid w:val="00EE55B1"/>
    <w:rsid w:val="00EF1AA2"/>
    <w:rsid w:val="00EF4B59"/>
    <w:rsid w:val="00EF5E9F"/>
    <w:rsid w:val="00EF7B4D"/>
    <w:rsid w:val="00F01CF9"/>
    <w:rsid w:val="00F01FD8"/>
    <w:rsid w:val="00F114E7"/>
    <w:rsid w:val="00F116B3"/>
    <w:rsid w:val="00F11E60"/>
    <w:rsid w:val="00F13576"/>
    <w:rsid w:val="00F179F3"/>
    <w:rsid w:val="00F312BB"/>
    <w:rsid w:val="00F32AF0"/>
    <w:rsid w:val="00F36FDA"/>
    <w:rsid w:val="00F44DF7"/>
    <w:rsid w:val="00F44ED6"/>
    <w:rsid w:val="00F469CA"/>
    <w:rsid w:val="00F46F2E"/>
    <w:rsid w:val="00F52F0D"/>
    <w:rsid w:val="00F5646B"/>
    <w:rsid w:val="00F57F51"/>
    <w:rsid w:val="00F60F8F"/>
    <w:rsid w:val="00F61A1D"/>
    <w:rsid w:val="00F644B3"/>
    <w:rsid w:val="00F67663"/>
    <w:rsid w:val="00F701DD"/>
    <w:rsid w:val="00F73C8A"/>
    <w:rsid w:val="00F75CF6"/>
    <w:rsid w:val="00F76C84"/>
    <w:rsid w:val="00F776BF"/>
    <w:rsid w:val="00F80B3F"/>
    <w:rsid w:val="00F82EEF"/>
    <w:rsid w:val="00F82F46"/>
    <w:rsid w:val="00F863D0"/>
    <w:rsid w:val="00F86B42"/>
    <w:rsid w:val="00F94FCD"/>
    <w:rsid w:val="00FA047C"/>
    <w:rsid w:val="00FA514A"/>
    <w:rsid w:val="00FA5E9A"/>
    <w:rsid w:val="00FA71FE"/>
    <w:rsid w:val="00FA7516"/>
    <w:rsid w:val="00FB17BD"/>
    <w:rsid w:val="00FB20F1"/>
    <w:rsid w:val="00FB5861"/>
    <w:rsid w:val="00FC3742"/>
    <w:rsid w:val="00FC4FE0"/>
    <w:rsid w:val="00FC67A6"/>
    <w:rsid w:val="00FD1239"/>
    <w:rsid w:val="00FD1F44"/>
    <w:rsid w:val="00FD278F"/>
    <w:rsid w:val="00FD4681"/>
    <w:rsid w:val="00FD7DED"/>
    <w:rsid w:val="00FE04D2"/>
    <w:rsid w:val="00FE14E7"/>
    <w:rsid w:val="00FE5A41"/>
    <w:rsid w:val="00FE6CC0"/>
    <w:rsid w:val="00FF09A3"/>
    <w:rsid w:val="00FF5382"/>
    <w:rsid w:val="00FF5767"/>
    <w:rsid w:val="00FF6199"/>
    <w:rsid w:val="671A9F12"/>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9B98"/>
  <w15:chartTrackingRefBased/>
  <w15:docId w15:val="{1BE37EF8-8CDA-4B4A-8F08-ADC589AD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693"/>
    <w:rPr>
      <w:kern w:val="0"/>
      <w14:ligatures w14:val="none"/>
    </w:rPr>
  </w:style>
  <w:style w:type="paragraph" w:styleId="Ttulo1">
    <w:name w:val="heading 1"/>
    <w:basedOn w:val="Normal"/>
    <w:next w:val="Normal"/>
    <w:link w:val="Ttulo1Car"/>
    <w:uiPriority w:val="9"/>
    <w:qFormat/>
    <w:rsid w:val="00EC56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56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569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569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569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569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569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569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569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569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569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569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569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569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569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569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569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5693"/>
    <w:rPr>
      <w:rFonts w:eastAsiaTheme="majorEastAsia" w:cstheme="majorBidi"/>
      <w:color w:val="272727" w:themeColor="text1" w:themeTint="D8"/>
    </w:rPr>
  </w:style>
  <w:style w:type="paragraph" w:styleId="Ttulo">
    <w:name w:val="Title"/>
    <w:basedOn w:val="Normal"/>
    <w:next w:val="Normal"/>
    <w:link w:val="TtuloCar"/>
    <w:uiPriority w:val="10"/>
    <w:qFormat/>
    <w:rsid w:val="00EC56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56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56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56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5693"/>
    <w:pPr>
      <w:spacing w:before="160"/>
      <w:jc w:val="center"/>
    </w:pPr>
    <w:rPr>
      <w:i/>
      <w:iCs/>
      <w:color w:val="404040" w:themeColor="text1" w:themeTint="BF"/>
    </w:rPr>
  </w:style>
  <w:style w:type="character" w:customStyle="1" w:styleId="CitaCar">
    <w:name w:val="Cita Car"/>
    <w:basedOn w:val="Fuentedeprrafopredeter"/>
    <w:link w:val="Cita"/>
    <w:uiPriority w:val="29"/>
    <w:rsid w:val="00EC5693"/>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EC5693"/>
    <w:pPr>
      <w:ind w:left="720"/>
      <w:contextualSpacing/>
    </w:pPr>
  </w:style>
  <w:style w:type="character" w:styleId="nfasisintenso">
    <w:name w:val="Intense Emphasis"/>
    <w:basedOn w:val="Fuentedeprrafopredeter"/>
    <w:uiPriority w:val="21"/>
    <w:qFormat/>
    <w:rsid w:val="00EC5693"/>
    <w:rPr>
      <w:i/>
      <w:iCs/>
      <w:color w:val="0F4761" w:themeColor="accent1" w:themeShade="BF"/>
    </w:rPr>
  </w:style>
  <w:style w:type="paragraph" w:styleId="Citadestacada">
    <w:name w:val="Intense Quote"/>
    <w:basedOn w:val="Normal"/>
    <w:next w:val="Normal"/>
    <w:link w:val="CitadestacadaCar"/>
    <w:uiPriority w:val="30"/>
    <w:qFormat/>
    <w:rsid w:val="00EC5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5693"/>
    <w:rPr>
      <w:i/>
      <w:iCs/>
      <w:color w:val="0F4761" w:themeColor="accent1" w:themeShade="BF"/>
    </w:rPr>
  </w:style>
  <w:style w:type="character" w:styleId="Referenciaintensa">
    <w:name w:val="Intense Reference"/>
    <w:basedOn w:val="Fuentedeprrafopredeter"/>
    <w:uiPriority w:val="32"/>
    <w:qFormat/>
    <w:rsid w:val="00EC5693"/>
    <w:rPr>
      <w:b/>
      <w:bCs/>
      <w:smallCaps/>
      <w:color w:val="0F4761" w:themeColor="accent1" w:themeShade="BF"/>
      <w:spacing w:val="5"/>
    </w:rPr>
  </w:style>
  <w:style w:type="paragraph" w:styleId="Encabezado">
    <w:name w:val="header"/>
    <w:basedOn w:val="Normal"/>
    <w:link w:val="EncabezadoCar"/>
    <w:uiPriority w:val="99"/>
    <w:unhideWhenUsed/>
    <w:rsid w:val="00EC56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5693"/>
    <w:rPr>
      <w:kern w:val="0"/>
      <w14:ligatures w14:val="none"/>
    </w:rPr>
  </w:style>
  <w:style w:type="paragraph" w:styleId="Piedepgina">
    <w:name w:val="footer"/>
    <w:basedOn w:val="Normal"/>
    <w:link w:val="PiedepginaCar"/>
    <w:uiPriority w:val="99"/>
    <w:unhideWhenUsed/>
    <w:rsid w:val="00EC56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5693"/>
    <w:rPr>
      <w:kern w:val="0"/>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EC5693"/>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EC5693"/>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EC5693"/>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EC5693"/>
    <w:rPr>
      <w:vertAlign w:val="superscript"/>
    </w:rPr>
  </w:style>
  <w:style w:type="table" w:styleId="Tablaconcuadrcula">
    <w:name w:val="Table Grid"/>
    <w:basedOn w:val="Tablanormal"/>
    <w:uiPriority w:val="39"/>
    <w:qFormat/>
    <w:rsid w:val="00EC56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C5693"/>
    <w:rPr>
      <w:color w:val="0000FF"/>
      <w:u w:val="single"/>
    </w:rPr>
  </w:style>
  <w:style w:type="paragraph" w:customStyle="1" w:styleId="paragraph">
    <w:name w:val="paragraph"/>
    <w:basedOn w:val="Normal"/>
    <w:rsid w:val="00EC569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EC5693"/>
    <w:pPr>
      <w:spacing w:line="240" w:lineRule="exact"/>
    </w:pPr>
    <w:rPr>
      <w:kern w:val="2"/>
      <w:vertAlign w:val="superscript"/>
      <w14:ligatures w14:val="standardContextual"/>
    </w:rPr>
  </w:style>
  <w:style w:type="table" w:customStyle="1" w:styleId="Tablaconcuadrcula11">
    <w:name w:val="Tabla con cuadrícula11"/>
    <w:basedOn w:val="Tablanormal"/>
    <w:next w:val="Tablaconcuadrcula"/>
    <w:uiPriority w:val="59"/>
    <w:qFormat/>
    <w:rsid w:val="00EC56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EC5693"/>
    <w:rPr>
      <w:b/>
      <w:bCs/>
    </w:rPr>
  </w:style>
  <w:style w:type="character" w:styleId="Mencinsinresolver">
    <w:name w:val="Unresolved Mention"/>
    <w:basedOn w:val="Fuentedeprrafopredeter"/>
    <w:uiPriority w:val="99"/>
    <w:semiHidden/>
    <w:unhideWhenUsed/>
    <w:rsid w:val="0024395D"/>
    <w:rPr>
      <w:color w:val="605E5C"/>
      <w:shd w:val="clear" w:color="auto" w:fill="E1DFDD"/>
    </w:rPr>
  </w:style>
  <w:style w:type="paragraph" w:styleId="Revisin">
    <w:name w:val="Revision"/>
    <w:hidden/>
    <w:uiPriority w:val="99"/>
    <w:semiHidden/>
    <w:rsid w:val="00AC339A"/>
    <w:pPr>
      <w:spacing w:after="0" w:line="240" w:lineRule="auto"/>
    </w:pPr>
    <w:rPr>
      <w:kern w:val="0"/>
      <w14:ligatures w14:val="none"/>
    </w:rPr>
  </w:style>
  <w:style w:type="character" w:customStyle="1" w:styleId="normaltextrun">
    <w:name w:val="normaltextrun"/>
    <w:basedOn w:val="Fuentedeprrafopredeter"/>
    <w:rsid w:val="00A72920"/>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27377"/>
    <w:rPr>
      <w:kern w:val="0"/>
      <w14:ligatures w14:val="none"/>
    </w:rPr>
  </w:style>
  <w:style w:type="paragraph" w:styleId="Sinespaciado">
    <w:name w:val="No Spacing"/>
    <w:uiPriority w:val="1"/>
    <w:qFormat/>
    <w:rsid w:val="006030CA"/>
    <w:pPr>
      <w:spacing w:after="0" w:line="240" w:lineRule="auto"/>
    </w:pPr>
    <w:rPr>
      <w:kern w:val="0"/>
      <w14:ligatures w14:val="none"/>
    </w:rPr>
  </w:style>
  <w:style w:type="paragraph" w:styleId="NormalWeb">
    <w:name w:val="Normal (Web)"/>
    <w:basedOn w:val="Normal"/>
    <w:link w:val="NormalWebCar"/>
    <w:uiPriority w:val="99"/>
    <w:unhideWhenUsed/>
    <w:rsid w:val="00CD6F2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WebCar">
    <w:name w:val="Normal (Web) Car"/>
    <w:link w:val="NormalWeb"/>
    <w:uiPriority w:val="99"/>
    <w:locked/>
    <w:rsid w:val="00CD6F29"/>
    <w:rPr>
      <w:rFonts w:ascii="Times New Roman" w:eastAsia="Times New Roman" w:hAnsi="Times New Roman" w:cs="Times New Roman"/>
      <w:kern w:val="0"/>
      <w:sz w:val="24"/>
      <w:szCs w:val="24"/>
      <w:lang w:eastAsia="es-CO"/>
      <w14:ligatures w14:val="none"/>
    </w:rPr>
  </w:style>
  <w:style w:type="paragraph" w:customStyle="1" w:styleId="Car1">
    <w:name w:val="Car1"/>
    <w:basedOn w:val="Normal"/>
    <w:next w:val="Textonotapie"/>
    <w:uiPriority w:val="99"/>
    <w:unhideWhenUsed/>
    <w:qFormat/>
    <w:rsid w:val="000C62B8"/>
    <w:pPr>
      <w:spacing w:after="0" w:line="240" w:lineRule="auto"/>
    </w:pPr>
    <w:rPr>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agaitan13@hotmail.com"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manuales-guias-y-pliegos-tipo/manuales-y-guias/manual-para-determinar-y-verificar-los-requisit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B8E58-8A6F-402B-90BE-12737655FEC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381A9A8F-DBD6-42FA-A0C3-1519FC8F9FB9}">
  <ds:schemaRefs>
    <ds:schemaRef ds:uri="http://schemas.microsoft.com/sharepoint/v3/contenttype/forms"/>
  </ds:schemaRefs>
</ds:datastoreItem>
</file>

<file path=customXml/itemProps3.xml><?xml version="1.0" encoding="utf-8"?>
<ds:datastoreItem xmlns:ds="http://schemas.openxmlformats.org/officeDocument/2006/customXml" ds:itemID="{11623205-EEFC-499A-BE8E-4D4F53D8A64F}">
  <ds:schemaRefs>
    <ds:schemaRef ds:uri="http://schemas.openxmlformats.org/officeDocument/2006/bibliography"/>
  </ds:schemaRefs>
</ds:datastoreItem>
</file>

<file path=customXml/itemProps4.xml><?xml version="1.0" encoding="utf-8"?>
<ds:datastoreItem xmlns:ds="http://schemas.openxmlformats.org/officeDocument/2006/customXml" ds:itemID="{A3974C1B-691F-41E6-8721-D2974E4A5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8260</Words>
  <Characters>45434</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2026-07-09T20:42:00Z</dcterms:created>
  <dcterms:modified xsi:type="dcterms:W3CDTF">2026-07-09T20:42:00Z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