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53580" w14:textId="77777777" w:rsidR="007160C6" w:rsidRDefault="007160C6" w:rsidP="007160C6">
      <w:pPr>
        <w:spacing w:after="0" w:line="240" w:lineRule="auto"/>
        <w:jc w:val="both"/>
        <w:rPr>
          <w:rFonts w:ascii="Verdana" w:eastAsia="Calibri" w:hAnsi="Verdana" w:cs="Arial"/>
          <w:b/>
          <w:bCs/>
          <w:lang w:val="es-ES" w:eastAsia="es-ES"/>
        </w:rPr>
      </w:pPr>
      <w:bookmarkStart w:id="0" w:name="_Hlk143780582"/>
      <w:r w:rsidRPr="007160C6">
        <w:rPr>
          <w:rFonts w:ascii="Verdana" w:eastAsia="Calibri" w:hAnsi="Verdana" w:cs="Arial"/>
          <w:b/>
          <w:bCs/>
          <w:lang w:val="es-ES" w:eastAsia="es-ES"/>
        </w:rPr>
        <w:t xml:space="preserve">LICITACIÓN PÚBLICA – Regla general </w:t>
      </w:r>
    </w:p>
    <w:p w14:paraId="06E440A5" w14:textId="77777777" w:rsidR="007160C6" w:rsidRDefault="007160C6" w:rsidP="007160C6">
      <w:pPr>
        <w:spacing w:after="0" w:line="240" w:lineRule="auto"/>
        <w:jc w:val="both"/>
        <w:rPr>
          <w:rFonts w:ascii="Verdana" w:eastAsia="Calibri" w:hAnsi="Verdana" w:cs="Arial"/>
          <w:b/>
          <w:bCs/>
          <w:lang w:val="es-ES" w:eastAsia="es-ES"/>
        </w:rPr>
      </w:pPr>
    </w:p>
    <w:p w14:paraId="3228D5BE" w14:textId="4024A9C9" w:rsidR="007160C6" w:rsidRDefault="007160C6" w:rsidP="007160C6">
      <w:pPr>
        <w:spacing w:after="0" w:line="240" w:lineRule="auto"/>
        <w:jc w:val="both"/>
        <w:rPr>
          <w:rFonts w:ascii="Verdana" w:eastAsia="Calibri" w:hAnsi="Verdana" w:cs="Arial"/>
          <w:bCs/>
          <w:sz w:val="20"/>
          <w:szCs w:val="20"/>
          <w:lang w:val="es-MX" w:eastAsia="es-ES_tradnl"/>
        </w:rPr>
      </w:pPr>
      <w:r w:rsidRPr="007160C6">
        <w:rPr>
          <w:rFonts w:ascii="Verdana" w:eastAsia="Calibri" w:hAnsi="Verdana" w:cs="Arial"/>
          <w:color w:val="000000"/>
          <w:sz w:val="20"/>
          <w:szCs w:val="20"/>
          <w:lang w:val="es-ES_tradnl" w:eastAsia="es-ES_tradnl"/>
        </w:rPr>
        <w:t xml:space="preserve">Los procesos de selección que rigen para </w:t>
      </w:r>
      <w:r w:rsidRPr="007160C6">
        <w:rPr>
          <w:rFonts w:ascii="Verdana" w:hAnsi="Verdana" w:cs="Arial"/>
          <w:sz w:val="20"/>
          <w:szCs w:val="20"/>
          <w:lang w:val="es-ES"/>
        </w:rPr>
        <w:t xml:space="preserve">las entidades sometidas al Estatuto General de Contratación de la Administración Pública – en adelante EGCAP –, se encuentran en </w:t>
      </w:r>
      <w:r w:rsidRPr="007160C6">
        <w:rPr>
          <w:rFonts w:ascii="Verdana" w:hAnsi="Verdana" w:cs="Arial"/>
          <w:bCs/>
          <w:sz w:val="20"/>
          <w:szCs w:val="20"/>
          <w:lang w:val="es-ES_tradnl"/>
        </w:rPr>
        <w:t>el artículo 2 de la Ley 1150 de 2007</w:t>
      </w:r>
      <w:r w:rsidRPr="007160C6">
        <w:rPr>
          <w:rFonts w:ascii="Verdana" w:hAnsi="Verdana" w:cs="Arial"/>
          <w:sz w:val="20"/>
          <w:szCs w:val="20"/>
          <w:lang w:val="es-ES"/>
        </w:rPr>
        <w:t xml:space="preserve">. El </w:t>
      </w:r>
      <w:r w:rsidRPr="007160C6">
        <w:rPr>
          <w:rFonts w:ascii="Verdana" w:eastAsia="Calibri" w:hAnsi="Verdana" w:cs="Arial"/>
          <w:bCs/>
          <w:sz w:val="20"/>
          <w:szCs w:val="20"/>
          <w:lang w:val="es-MX" w:eastAsia="es-ES_tradnl"/>
        </w:rPr>
        <w:t>numeral uno, inciso primero, de la norma citada</w:t>
      </w:r>
      <w:r w:rsidRPr="007160C6">
        <w:rPr>
          <w:rFonts w:ascii="Verdana" w:hAnsi="Verdana" w:cs="Arial"/>
          <w:bCs/>
          <w:sz w:val="20"/>
          <w:szCs w:val="20"/>
          <w:lang w:val="es-ES_tradnl"/>
        </w:rPr>
        <w:t xml:space="preserve"> </w:t>
      </w:r>
      <w:r w:rsidRPr="007160C6">
        <w:rPr>
          <w:rFonts w:ascii="Verdana" w:eastAsia="Calibri" w:hAnsi="Verdana" w:cs="Arial"/>
          <w:bCs/>
          <w:sz w:val="20"/>
          <w:szCs w:val="20"/>
          <w:lang w:val="es-MX" w:eastAsia="es-ES_tradnl"/>
        </w:rPr>
        <w:t xml:space="preserve">dispone que “La escogencia del contratista se efectuará por </w:t>
      </w:r>
      <w:r w:rsidRPr="007160C6">
        <w:rPr>
          <w:rFonts w:ascii="Verdana" w:eastAsia="Calibri" w:hAnsi="Verdana" w:cs="Arial"/>
          <w:bCs/>
          <w:i/>
          <w:iCs/>
          <w:sz w:val="20"/>
          <w:szCs w:val="20"/>
          <w:lang w:val="es-MX" w:eastAsia="es-ES_tradnl"/>
        </w:rPr>
        <w:t>regla general</w:t>
      </w:r>
      <w:r w:rsidRPr="007160C6">
        <w:rPr>
          <w:rFonts w:ascii="Verdana" w:eastAsia="Calibri" w:hAnsi="Verdana" w:cs="Arial"/>
          <w:bCs/>
          <w:sz w:val="20"/>
          <w:szCs w:val="20"/>
          <w:lang w:val="es-MX" w:eastAsia="es-ES_tradnl"/>
        </w:rPr>
        <w:t xml:space="preserve"> a través de licitación pública, con las </w:t>
      </w:r>
      <w:r w:rsidRPr="007160C6">
        <w:rPr>
          <w:rFonts w:ascii="Verdana" w:eastAsia="Calibri" w:hAnsi="Verdana" w:cs="Arial"/>
          <w:bCs/>
          <w:i/>
          <w:iCs/>
          <w:sz w:val="20"/>
          <w:szCs w:val="20"/>
          <w:lang w:val="es-MX" w:eastAsia="es-ES_tradnl"/>
        </w:rPr>
        <w:t>excepciones</w:t>
      </w:r>
      <w:r w:rsidRPr="007160C6">
        <w:rPr>
          <w:rFonts w:ascii="Verdana" w:eastAsia="Calibri" w:hAnsi="Verdana" w:cs="Arial"/>
          <w:bCs/>
          <w:sz w:val="20"/>
          <w:szCs w:val="20"/>
          <w:lang w:val="es-MX" w:eastAsia="es-ES_tradnl"/>
        </w:rPr>
        <w:t xml:space="preserve"> que se señalan en los numerales 2, 3 y 4 del presente artículo”, norma que sustituye el derogado numeral 1 del artículo 24 de la Ley 80 de 1993 sobre el principio de transparencia</w:t>
      </w:r>
      <w:r>
        <w:rPr>
          <w:rFonts w:ascii="Verdana" w:eastAsia="Calibri" w:hAnsi="Verdana" w:cs="Arial"/>
          <w:bCs/>
          <w:sz w:val="20"/>
          <w:szCs w:val="20"/>
          <w:lang w:val="es-MX" w:eastAsia="es-ES_tradnl"/>
        </w:rPr>
        <w:t>.</w:t>
      </w:r>
    </w:p>
    <w:p w14:paraId="5E447CCF" w14:textId="77777777" w:rsidR="007160C6" w:rsidRDefault="007160C6" w:rsidP="007160C6">
      <w:pPr>
        <w:spacing w:after="0" w:line="240" w:lineRule="auto"/>
        <w:jc w:val="both"/>
        <w:rPr>
          <w:rFonts w:ascii="Verdana" w:eastAsia="Calibri" w:hAnsi="Verdana" w:cs="Arial"/>
          <w:bCs/>
          <w:sz w:val="20"/>
          <w:szCs w:val="20"/>
          <w:lang w:val="es-MX" w:eastAsia="es-ES_tradnl"/>
        </w:rPr>
      </w:pPr>
    </w:p>
    <w:p w14:paraId="172430E2" w14:textId="4E4A4419" w:rsidR="007160C6" w:rsidRPr="007160C6" w:rsidRDefault="007160C6" w:rsidP="007160C6">
      <w:pPr>
        <w:spacing w:after="0" w:line="240" w:lineRule="auto"/>
        <w:jc w:val="both"/>
        <w:rPr>
          <w:rFonts w:ascii="Verdana" w:eastAsia="Calibri" w:hAnsi="Verdana" w:cs="Arial"/>
          <w:sz w:val="20"/>
          <w:szCs w:val="20"/>
          <w:lang w:val="es-ES" w:eastAsia="es-ES"/>
        </w:rPr>
      </w:pPr>
      <w:r w:rsidRPr="007160C6">
        <w:rPr>
          <w:rFonts w:ascii="Verdana" w:eastAsia="Calibri" w:hAnsi="Verdana" w:cs="Arial"/>
          <w:sz w:val="20"/>
          <w:szCs w:val="20"/>
          <w:lang w:val="es-ES" w:eastAsia="es-ES"/>
        </w:rPr>
        <w:t>Así, salvo norma especial que ordene la celebración del negocio jurídico por otra modalidad de selección, debe aplicarse la regla general de licitación pública</w:t>
      </w:r>
      <w:r>
        <w:rPr>
          <w:rFonts w:ascii="Verdana" w:eastAsia="Calibri" w:hAnsi="Verdana" w:cs="Arial"/>
          <w:sz w:val="20"/>
          <w:szCs w:val="20"/>
          <w:lang w:val="es-ES" w:eastAsia="es-ES"/>
        </w:rPr>
        <w:t>.</w:t>
      </w:r>
    </w:p>
    <w:p w14:paraId="079289B9" w14:textId="77777777" w:rsidR="007160C6" w:rsidRDefault="007160C6" w:rsidP="007160C6">
      <w:pPr>
        <w:spacing w:after="0" w:line="240" w:lineRule="auto"/>
        <w:jc w:val="both"/>
        <w:rPr>
          <w:rFonts w:ascii="Verdana" w:eastAsia="Calibri" w:hAnsi="Verdana" w:cs="Arial"/>
          <w:b/>
          <w:bCs/>
          <w:lang w:val="es-ES" w:eastAsia="es-ES"/>
        </w:rPr>
      </w:pPr>
    </w:p>
    <w:p w14:paraId="5FEEAA60" w14:textId="77777777" w:rsidR="007160C6" w:rsidRDefault="007160C6" w:rsidP="007160C6">
      <w:pPr>
        <w:spacing w:after="0" w:line="240" w:lineRule="auto"/>
        <w:jc w:val="both"/>
        <w:rPr>
          <w:rFonts w:ascii="Verdana" w:eastAsia="Calibri" w:hAnsi="Verdana" w:cs="Arial"/>
          <w:b/>
          <w:bCs/>
          <w:lang w:val="es-ES" w:eastAsia="es-ES"/>
        </w:rPr>
      </w:pPr>
      <w:r w:rsidRPr="007160C6">
        <w:rPr>
          <w:rFonts w:ascii="Verdana" w:eastAsia="Calibri" w:hAnsi="Verdana" w:cs="Arial"/>
          <w:b/>
          <w:bCs/>
          <w:lang w:val="es-ES" w:eastAsia="es-ES"/>
        </w:rPr>
        <w:t xml:space="preserve">SELECCIÓN ABREVIADA – Marco normativo </w:t>
      </w:r>
    </w:p>
    <w:p w14:paraId="0DAEB9C2" w14:textId="77777777" w:rsidR="007160C6" w:rsidRDefault="007160C6" w:rsidP="007160C6">
      <w:pPr>
        <w:spacing w:after="0" w:line="240" w:lineRule="auto"/>
        <w:jc w:val="both"/>
        <w:rPr>
          <w:rFonts w:ascii="Verdana" w:eastAsia="Calibri" w:hAnsi="Verdana" w:cs="Arial"/>
          <w:b/>
          <w:bCs/>
          <w:lang w:val="es-ES" w:eastAsia="es-ES"/>
        </w:rPr>
      </w:pPr>
    </w:p>
    <w:p w14:paraId="70351640" w14:textId="7D26A201" w:rsidR="007160C6" w:rsidRDefault="007160C6" w:rsidP="007160C6">
      <w:pPr>
        <w:spacing w:after="0" w:line="240" w:lineRule="auto"/>
        <w:jc w:val="both"/>
        <w:rPr>
          <w:rFonts w:ascii="Verdana" w:eastAsia="Calibri" w:hAnsi="Verdana" w:cs="Arial"/>
          <w:sz w:val="20"/>
          <w:szCs w:val="20"/>
        </w:rPr>
      </w:pPr>
      <w:r w:rsidRPr="007160C6">
        <w:rPr>
          <w:rFonts w:ascii="Verdana" w:eastAsia="Calibri" w:hAnsi="Verdana" w:cs="Arial"/>
          <w:bCs/>
          <w:sz w:val="20"/>
          <w:szCs w:val="20"/>
          <w:lang w:val="es-MX" w:eastAsia="es-ES_tradnl"/>
        </w:rPr>
        <w:t xml:space="preserve">Respecto a la modalidad selección abreviada, </w:t>
      </w:r>
      <w:r w:rsidRPr="007160C6">
        <w:rPr>
          <w:rFonts w:ascii="Verdana" w:eastAsia="Calibri" w:hAnsi="Verdana" w:cs="Arial"/>
          <w:sz w:val="20"/>
          <w:szCs w:val="20"/>
        </w:rPr>
        <w:t>el numeral 2 del artículo 2 de la Ley 1150 de 2007 dispone que “(…) corresponde a la modalidad de selección objetiva prevista para aquellos casos en que, por las características del objeto a contratar, las circunstancias de la contratación o la cuantía o destinación del bien, obra o servicio puedan adelantarse procesos simplificados para garantizar la eficiencia de la gestión contractual”, regulando cada una de las causales</w:t>
      </w:r>
      <w:r>
        <w:rPr>
          <w:rFonts w:ascii="Verdana" w:eastAsia="Calibri" w:hAnsi="Verdana" w:cs="Arial"/>
          <w:sz w:val="20"/>
          <w:szCs w:val="20"/>
        </w:rPr>
        <w:t>.</w:t>
      </w:r>
    </w:p>
    <w:p w14:paraId="4FC39E21" w14:textId="77777777" w:rsidR="007160C6" w:rsidRDefault="007160C6" w:rsidP="007160C6">
      <w:pPr>
        <w:spacing w:after="0" w:line="240" w:lineRule="auto"/>
        <w:jc w:val="both"/>
        <w:rPr>
          <w:rFonts w:ascii="Verdana" w:eastAsia="Calibri" w:hAnsi="Verdana" w:cs="Arial"/>
          <w:sz w:val="20"/>
          <w:szCs w:val="20"/>
        </w:rPr>
      </w:pPr>
    </w:p>
    <w:p w14:paraId="0341A0D9" w14:textId="65F5CF28" w:rsidR="007160C6" w:rsidRPr="007160C6" w:rsidRDefault="007160C6" w:rsidP="007160C6">
      <w:pPr>
        <w:spacing w:after="0" w:line="240" w:lineRule="auto"/>
        <w:jc w:val="both"/>
        <w:rPr>
          <w:rFonts w:ascii="Verdana" w:eastAsia="Calibri" w:hAnsi="Verdana" w:cs="Arial"/>
          <w:sz w:val="20"/>
          <w:szCs w:val="20"/>
          <w:lang w:val="es-ES" w:eastAsia="es-ES"/>
        </w:rPr>
      </w:pPr>
      <w:r w:rsidRPr="007160C6">
        <w:rPr>
          <w:rFonts w:ascii="Verdana" w:eastAsia="Calibri" w:hAnsi="Verdana" w:cs="Arial"/>
          <w:sz w:val="20"/>
          <w:szCs w:val="20"/>
          <w:lang w:val="es-ES" w:eastAsia="es-ES"/>
        </w:rPr>
        <w:t>Se trata de un procedimiento que, conforme a la reglamentación que expida el Gobierno Nacional, agiliza la contratación estatal en los eventos en que no se justifica adelantar una licitación pública, pero tampoco limitar la participación de los proponentes como en la contratación directa. De forma tal que es un mecanismo de selección objetiva que asegura una mayor concurrencia de participantes sin sacrificar los principios de eficacia y eficiencia en el proceso de selección.</w:t>
      </w:r>
    </w:p>
    <w:p w14:paraId="5E69BB28" w14:textId="77777777" w:rsidR="007160C6" w:rsidRDefault="007160C6" w:rsidP="007160C6">
      <w:pPr>
        <w:spacing w:after="0" w:line="240" w:lineRule="auto"/>
        <w:jc w:val="both"/>
        <w:rPr>
          <w:rFonts w:ascii="Verdana" w:eastAsia="Calibri" w:hAnsi="Verdana" w:cs="Arial"/>
          <w:b/>
          <w:bCs/>
          <w:lang w:val="es-ES" w:eastAsia="es-ES"/>
        </w:rPr>
      </w:pPr>
    </w:p>
    <w:p w14:paraId="729B01C3" w14:textId="77777777" w:rsidR="007160C6" w:rsidRDefault="007160C6" w:rsidP="007160C6">
      <w:pPr>
        <w:spacing w:after="0" w:line="240" w:lineRule="auto"/>
        <w:jc w:val="both"/>
        <w:rPr>
          <w:rFonts w:ascii="Verdana" w:eastAsia="Calibri" w:hAnsi="Verdana" w:cs="Arial"/>
          <w:b/>
          <w:bCs/>
          <w:lang w:val="es-ES" w:eastAsia="es-ES"/>
        </w:rPr>
      </w:pPr>
      <w:r w:rsidRPr="007160C6">
        <w:rPr>
          <w:rFonts w:ascii="Verdana" w:eastAsia="Calibri" w:hAnsi="Verdana" w:cs="Arial"/>
          <w:b/>
          <w:bCs/>
          <w:lang w:val="es-ES" w:eastAsia="es-ES"/>
        </w:rPr>
        <w:t xml:space="preserve">BIENES Y SERVICIOS DE CARACTERÍSTICAS TÉCNICAS UNIFORMES – Definición </w:t>
      </w:r>
    </w:p>
    <w:p w14:paraId="3129E05D" w14:textId="77777777" w:rsidR="007160C6" w:rsidRDefault="007160C6" w:rsidP="007160C6">
      <w:pPr>
        <w:spacing w:after="0" w:line="240" w:lineRule="auto"/>
        <w:jc w:val="both"/>
        <w:rPr>
          <w:rFonts w:ascii="Verdana" w:eastAsia="Calibri" w:hAnsi="Verdana" w:cs="Arial"/>
          <w:b/>
          <w:bCs/>
          <w:lang w:val="es-ES" w:eastAsia="es-ES"/>
        </w:rPr>
      </w:pPr>
    </w:p>
    <w:p w14:paraId="12BA2801" w14:textId="0A9D7C11" w:rsidR="007160C6" w:rsidRDefault="007160C6" w:rsidP="007160C6">
      <w:pPr>
        <w:spacing w:after="0" w:line="240" w:lineRule="auto"/>
        <w:jc w:val="both"/>
        <w:rPr>
          <w:rFonts w:ascii="Verdana" w:eastAsia="Calibri" w:hAnsi="Verdana" w:cs="Arial"/>
          <w:color w:val="000000"/>
          <w:sz w:val="20"/>
          <w:szCs w:val="20"/>
          <w:lang w:val="es-ES_tradnl" w:eastAsia="es-ES_tradnl"/>
        </w:rPr>
      </w:pPr>
      <w:r w:rsidRPr="007160C6">
        <w:rPr>
          <w:rFonts w:ascii="Verdana" w:eastAsia="Calibri" w:hAnsi="Verdana" w:cs="Arial"/>
          <w:color w:val="000000"/>
          <w:sz w:val="20"/>
          <w:szCs w:val="20"/>
          <w:lang w:val="es-ES_tradnl" w:eastAsia="es-ES_tradnl"/>
        </w:rPr>
        <w:t>Así, el literal a) del artículo 2.2 de la Ley 1150 de 2007 regula la adquisición o suministro de bienes y servicios de características técnicas uniformes y de común utilización como causal de selección abreviada.</w:t>
      </w:r>
    </w:p>
    <w:p w14:paraId="69A425A1" w14:textId="77777777" w:rsidR="007160C6" w:rsidRDefault="007160C6" w:rsidP="007160C6">
      <w:pPr>
        <w:spacing w:after="0" w:line="240" w:lineRule="auto"/>
        <w:jc w:val="both"/>
        <w:rPr>
          <w:rFonts w:ascii="Verdana" w:eastAsia="Calibri" w:hAnsi="Verdana" w:cs="Arial"/>
          <w:color w:val="000000"/>
          <w:sz w:val="20"/>
          <w:szCs w:val="20"/>
          <w:lang w:val="es-ES_tradnl" w:eastAsia="es-ES_tradnl"/>
        </w:rPr>
      </w:pPr>
    </w:p>
    <w:p w14:paraId="32E16FA7" w14:textId="3447E263" w:rsidR="007160C6" w:rsidRDefault="007160C6" w:rsidP="007160C6">
      <w:pPr>
        <w:spacing w:after="0" w:line="240" w:lineRule="auto"/>
        <w:jc w:val="both"/>
        <w:rPr>
          <w:rFonts w:ascii="Verdana" w:eastAsia="Calibri" w:hAnsi="Verdana" w:cs="Arial"/>
          <w:color w:val="000000"/>
          <w:sz w:val="20"/>
          <w:szCs w:val="20"/>
          <w:lang w:val="es-ES_tradnl" w:eastAsia="es-ES_tradnl"/>
        </w:rPr>
      </w:pPr>
      <w:r>
        <w:rPr>
          <w:rFonts w:ascii="Verdana" w:eastAsia="Calibri" w:hAnsi="Verdana" w:cs="Arial"/>
          <w:color w:val="000000"/>
          <w:sz w:val="20"/>
          <w:szCs w:val="20"/>
          <w:lang w:val="es-ES_tradnl" w:eastAsia="es-ES_tradnl"/>
        </w:rPr>
        <w:t xml:space="preserve">[…] </w:t>
      </w:r>
    </w:p>
    <w:p w14:paraId="4AC9C92A" w14:textId="77777777" w:rsidR="007160C6" w:rsidRDefault="007160C6" w:rsidP="007160C6">
      <w:pPr>
        <w:spacing w:after="0" w:line="240" w:lineRule="auto"/>
        <w:jc w:val="both"/>
        <w:rPr>
          <w:rFonts w:ascii="Verdana" w:eastAsia="Calibri" w:hAnsi="Verdana" w:cs="Arial"/>
          <w:color w:val="000000"/>
          <w:sz w:val="20"/>
          <w:szCs w:val="20"/>
          <w:lang w:val="es-ES_tradnl" w:eastAsia="es-ES_tradnl"/>
        </w:rPr>
      </w:pPr>
    </w:p>
    <w:p w14:paraId="736F11CA" w14:textId="77777777" w:rsidR="007160C6" w:rsidRPr="007160C6" w:rsidRDefault="007160C6" w:rsidP="007160C6">
      <w:pPr>
        <w:spacing w:after="0" w:line="240" w:lineRule="auto"/>
        <w:jc w:val="both"/>
        <w:rPr>
          <w:rFonts w:ascii="Verdana" w:eastAsia="Calibri" w:hAnsi="Verdana" w:cs="Arial"/>
          <w:bCs/>
          <w:color w:val="000000" w:themeColor="text1"/>
          <w:sz w:val="20"/>
          <w:szCs w:val="20"/>
        </w:rPr>
      </w:pPr>
      <w:r w:rsidRPr="007160C6">
        <w:rPr>
          <w:rFonts w:ascii="Verdana" w:eastAsia="Calibri" w:hAnsi="Verdana" w:cs="Arial"/>
          <w:bCs/>
          <w:color w:val="000000" w:themeColor="text1"/>
          <w:sz w:val="20"/>
          <w:szCs w:val="20"/>
        </w:rPr>
        <w:t xml:space="preserve">Por ello, según el literal a) del artículo 2, numeral 2 de la Ley 1150 de 2007, los bienes y servicios de características técnicas uniformes “(…) corresponden a aquellos que poseen las mismas especificaciones técnicas, con independencia de su diseño o de sus características descriptivas, y comparten patrones de desempeño y calidad objetivamente definidos”. Asimismo, el artículo 2.2.1.1.1.3.1 del Decreto 1082 de 2015 los define como aquellos “Bienes y servicios de común utilización con especificaciones técnicas y patrones de desempeño y calidad iguales o similares, que en consecuencia </w:t>
      </w:r>
      <w:r w:rsidRPr="007160C6">
        <w:rPr>
          <w:rFonts w:ascii="Verdana" w:eastAsia="Calibri" w:hAnsi="Verdana" w:cs="Arial"/>
          <w:bCs/>
          <w:color w:val="000000" w:themeColor="text1"/>
          <w:sz w:val="20"/>
          <w:szCs w:val="20"/>
        </w:rPr>
        <w:lastRenderedPageBreak/>
        <w:t xml:space="preserve">pueden ser agrupados como bienes y servicios homogéneos para su adquisición y a los que se refiere el literal (a) del numeral 2 del artículo 2 de la Ley 1150 de 2007”. De esta manera, conforme a las normas citadas en el párrafo precedente, prima la definición legal sobre el uso general o el significado técnico.  </w:t>
      </w:r>
    </w:p>
    <w:p w14:paraId="73287DCD" w14:textId="77777777" w:rsidR="007160C6" w:rsidRPr="007160C6" w:rsidRDefault="007160C6" w:rsidP="007160C6">
      <w:pPr>
        <w:spacing w:after="0" w:line="240" w:lineRule="auto"/>
        <w:jc w:val="both"/>
        <w:rPr>
          <w:rFonts w:ascii="Verdana" w:eastAsia="Calibri" w:hAnsi="Verdana" w:cs="Arial"/>
          <w:b/>
          <w:bCs/>
          <w:sz w:val="20"/>
          <w:szCs w:val="20"/>
          <w:lang w:eastAsia="es-ES"/>
        </w:rPr>
      </w:pPr>
    </w:p>
    <w:p w14:paraId="566685EB" w14:textId="77777777" w:rsidR="007160C6" w:rsidRDefault="007160C6" w:rsidP="007160C6">
      <w:pPr>
        <w:spacing w:after="0" w:line="240" w:lineRule="auto"/>
        <w:jc w:val="both"/>
        <w:rPr>
          <w:rFonts w:ascii="Verdana" w:eastAsia="Calibri" w:hAnsi="Verdana" w:cs="Arial"/>
          <w:b/>
          <w:bCs/>
          <w:lang w:val="es-ES" w:eastAsia="es-ES"/>
        </w:rPr>
      </w:pPr>
      <w:r w:rsidRPr="007160C6">
        <w:rPr>
          <w:rFonts w:ascii="Verdana" w:eastAsia="Calibri" w:hAnsi="Verdana" w:cs="Arial"/>
          <w:b/>
          <w:bCs/>
          <w:lang w:val="es-ES" w:eastAsia="es-ES"/>
        </w:rPr>
        <w:t xml:space="preserve">BIENES Y SERVICIOS DE CARACTERÍSTICAS TÉCNICAS UNIFORMES ‒ Características – Formas de adquisición </w:t>
      </w:r>
    </w:p>
    <w:p w14:paraId="777EBBF3" w14:textId="77777777" w:rsidR="007160C6" w:rsidRDefault="007160C6" w:rsidP="007160C6">
      <w:pPr>
        <w:spacing w:after="0" w:line="240" w:lineRule="auto"/>
        <w:jc w:val="both"/>
        <w:rPr>
          <w:rFonts w:ascii="Verdana" w:eastAsia="Calibri" w:hAnsi="Verdana" w:cs="Arial"/>
          <w:b/>
          <w:bCs/>
          <w:lang w:val="es-ES" w:eastAsia="es-ES"/>
        </w:rPr>
      </w:pPr>
    </w:p>
    <w:p w14:paraId="19F72B4F" w14:textId="5B1B0032" w:rsidR="007160C6" w:rsidRPr="007160C6" w:rsidRDefault="007160C6" w:rsidP="007160C6">
      <w:pPr>
        <w:spacing w:after="0" w:line="240" w:lineRule="auto"/>
        <w:jc w:val="both"/>
        <w:rPr>
          <w:rFonts w:ascii="Verdana" w:eastAsia="Calibri" w:hAnsi="Verdana" w:cs="Arial"/>
          <w:sz w:val="20"/>
          <w:szCs w:val="20"/>
          <w:lang w:val="es-ES" w:eastAsia="es-ES"/>
        </w:rPr>
      </w:pPr>
      <w:r w:rsidRPr="007160C6">
        <w:rPr>
          <w:rFonts w:ascii="Verdana" w:eastAsia="Calibri" w:hAnsi="Verdana" w:cs="Arial"/>
          <w:sz w:val="20"/>
          <w:szCs w:val="20"/>
          <w:lang w:val="es-ES" w:eastAsia="es-ES"/>
        </w:rPr>
        <w:t xml:space="preserve">Para identificar los bienes y servicios que corresponden a este tipo, se destacan dos (2) aspectos importantes: la común utilización y la homogeneidad. Para la doctrina, la común utilización “(…) busca que los bienes o servicios que se compren en esta categoría sean de los que se ofrecen en un mercado con un estándar para quienes los demandan, o lo que es igual, que la oferta de </w:t>
      </w:r>
      <w:proofErr w:type="gramStart"/>
      <w:r w:rsidRPr="007160C6">
        <w:rPr>
          <w:rFonts w:ascii="Verdana" w:eastAsia="Calibri" w:hAnsi="Verdana" w:cs="Arial"/>
          <w:sz w:val="20"/>
          <w:szCs w:val="20"/>
          <w:lang w:val="es-ES" w:eastAsia="es-ES"/>
        </w:rPr>
        <w:t>los mismos</w:t>
      </w:r>
      <w:proofErr w:type="gramEnd"/>
      <w:r w:rsidRPr="007160C6">
        <w:rPr>
          <w:rFonts w:ascii="Verdana" w:eastAsia="Calibri" w:hAnsi="Verdana" w:cs="Arial"/>
          <w:sz w:val="20"/>
          <w:szCs w:val="20"/>
          <w:lang w:val="es-ES" w:eastAsia="es-ES"/>
        </w:rPr>
        <w:t xml:space="preserve"> en el mercado ocurriese en condiciones equivalentes para todo interesado en adquirirlos”. Por su parte, la homogeneidad se refiere a que “(…) sean fácilmente describibles por características mínimas comunes a los de su tipo, excluyendo elementos no esenciales, tales como los de diseño o cualquier otro que no altere la funcionalidad del bien o servicio. Ello debe ser así, en la medida en la cual se busca que la administración logre que compitan bienes o servicios de igual calidad, ofrecidos por los proponentes capaces de satisfacer el requerimiento de la entidad contratante”.</w:t>
      </w:r>
    </w:p>
    <w:p w14:paraId="078AFF64" w14:textId="77777777" w:rsidR="007160C6" w:rsidRDefault="007160C6" w:rsidP="007160C6">
      <w:pPr>
        <w:spacing w:after="0" w:line="240" w:lineRule="auto"/>
        <w:jc w:val="both"/>
        <w:rPr>
          <w:rFonts w:ascii="Verdana" w:eastAsia="Calibri" w:hAnsi="Verdana" w:cs="Arial"/>
          <w:sz w:val="20"/>
          <w:szCs w:val="20"/>
          <w:lang w:val="es-ES" w:eastAsia="es-ES"/>
        </w:rPr>
      </w:pPr>
    </w:p>
    <w:p w14:paraId="37284EFC" w14:textId="0CD5F7AA" w:rsidR="007160C6" w:rsidRDefault="007160C6" w:rsidP="007160C6">
      <w:pPr>
        <w:spacing w:after="0" w:line="240" w:lineRule="auto"/>
        <w:jc w:val="both"/>
        <w:rPr>
          <w:rFonts w:ascii="Verdana" w:eastAsia="Calibri" w:hAnsi="Verdana" w:cs="Arial"/>
          <w:sz w:val="20"/>
          <w:szCs w:val="20"/>
          <w:lang w:val="es-ES" w:eastAsia="es-ES"/>
        </w:rPr>
      </w:pPr>
      <w:r w:rsidRPr="007160C6">
        <w:rPr>
          <w:rFonts w:ascii="Verdana" w:eastAsia="Calibri" w:hAnsi="Verdana" w:cs="Arial"/>
          <w:sz w:val="20"/>
          <w:szCs w:val="20"/>
          <w:lang w:val="es-ES" w:eastAsia="es-ES"/>
        </w:rPr>
        <w:t>Los elementos centrales para definir si un bien o servicio se considera de características técnicas uniformes consiste en que posea las mismas especificaciones técnicas y compartan patrones de desempeño y calidad objetivamente definidos. Por ello, es posible adquirirlos en el mercado en condiciones estandarizadas u homogéneas, con independencia de su diseño o de sus características descriptivas, pues éstas no afectan su funcionalidad. La forma cómo se adquieren en el mercado determina si un bien o servicio encaja en esta categoría, de ahí que el Decreto 1082 de 2015 disponga que “(…) pueden ser agrupados como bienes y servicios homogéneos para su adquisición (…)”, dado que cuentan con especificaciones técnicas y patrones de desempeño y calidad similares.</w:t>
      </w:r>
    </w:p>
    <w:p w14:paraId="52E50650" w14:textId="77777777" w:rsidR="007160C6" w:rsidRDefault="007160C6" w:rsidP="007160C6">
      <w:pPr>
        <w:spacing w:after="0" w:line="240" w:lineRule="auto"/>
        <w:jc w:val="both"/>
        <w:rPr>
          <w:rFonts w:ascii="Verdana" w:eastAsia="Calibri" w:hAnsi="Verdana" w:cs="Arial"/>
          <w:sz w:val="20"/>
          <w:szCs w:val="20"/>
          <w:lang w:val="es-ES" w:eastAsia="es-ES"/>
        </w:rPr>
      </w:pPr>
    </w:p>
    <w:p w14:paraId="4869C164" w14:textId="5AB1EDD9" w:rsidR="007160C6" w:rsidRDefault="007160C6" w:rsidP="007160C6">
      <w:pPr>
        <w:spacing w:after="0" w:line="240" w:lineRule="auto"/>
        <w:jc w:val="both"/>
        <w:rPr>
          <w:rFonts w:ascii="Verdana" w:eastAsia="Calibri" w:hAnsi="Verdana" w:cs="Arial"/>
          <w:sz w:val="20"/>
          <w:szCs w:val="20"/>
          <w:lang w:val="es-ES" w:eastAsia="es-ES"/>
        </w:rPr>
      </w:pPr>
      <w:r>
        <w:rPr>
          <w:rFonts w:ascii="Verdana" w:eastAsia="Calibri" w:hAnsi="Verdana" w:cs="Arial"/>
          <w:sz w:val="20"/>
          <w:szCs w:val="20"/>
          <w:lang w:val="es-ES" w:eastAsia="es-ES"/>
        </w:rPr>
        <w:t xml:space="preserve">[…] </w:t>
      </w:r>
    </w:p>
    <w:p w14:paraId="1B58D220" w14:textId="77777777" w:rsidR="007160C6" w:rsidRDefault="007160C6" w:rsidP="007160C6">
      <w:pPr>
        <w:spacing w:after="0" w:line="240" w:lineRule="auto"/>
        <w:jc w:val="both"/>
        <w:rPr>
          <w:rFonts w:ascii="Verdana" w:eastAsia="Calibri" w:hAnsi="Verdana" w:cs="Arial"/>
          <w:sz w:val="20"/>
          <w:szCs w:val="20"/>
          <w:lang w:val="es-ES" w:eastAsia="es-ES"/>
        </w:rPr>
      </w:pPr>
    </w:p>
    <w:p w14:paraId="43D03353" w14:textId="3CF0B7DF" w:rsidR="007160C6" w:rsidRPr="007160C6" w:rsidRDefault="007160C6" w:rsidP="007160C6">
      <w:pPr>
        <w:spacing w:after="0" w:line="240" w:lineRule="auto"/>
        <w:jc w:val="both"/>
        <w:rPr>
          <w:rFonts w:ascii="Verdana" w:eastAsia="Calibri" w:hAnsi="Verdana" w:cs="Arial"/>
          <w:sz w:val="20"/>
          <w:szCs w:val="20"/>
          <w:lang w:eastAsia="es-ES"/>
        </w:rPr>
      </w:pPr>
      <w:r w:rsidRPr="007160C6">
        <w:rPr>
          <w:rFonts w:ascii="Verdana" w:eastAsia="Calibri" w:hAnsi="Verdana" w:cs="Arial"/>
          <w:sz w:val="20"/>
          <w:szCs w:val="20"/>
          <w:lang w:eastAsia="es-ES"/>
        </w:rPr>
        <w:t>En definitiva, la nota común de este conjunto de bienes y servicios es que, con independencia de sus características descriptivas, comparten patrones de desempeño y calidad similares para la satisfacción de la necesidad a la que atienden. Igualmente, el inciso segundo del literal a) del artículo 2, numeral 2 de la Ley 1150 de 2007 dispone que “Para la adquisición de estos bienes y servicios las entidades deberán, siempre que el reglamento así lo señale, hacer uso de procedimientos de subasta inversa o de instrumentos de compra por catálogo derivados de la celebración de acuerdos marco de precios o de procedimientos de adquisición en bolsas de productos” (Énfasis fuera de texto). Estos mecanismos se aplicarán en la forma que disponga el Decreto 1082 de 2015 para para cada uno de ellos.</w:t>
      </w:r>
    </w:p>
    <w:p w14:paraId="630ABD65" w14:textId="77777777" w:rsidR="007160C6" w:rsidRDefault="007160C6" w:rsidP="007160C6">
      <w:pPr>
        <w:spacing w:after="0" w:line="240" w:lineRule="auto"/>
        <w:jc w:val="both"/>
        <w:rPr>
          <w:rFonts w:ascii="Verdana" w:eastAsia="Calibri" w:hAnsi="Verdana" w:cs="Arial"/>
          <w:b/>
          <w:bCs/>
          <w:lang w:val="es-ES" w:eastAsia="es-ES"/>
        </w:rPr>
      </w:pPr>
    </w:p>
    <w:p w14:paraId="70511C95" w14:textId="77777777" w:rsidR="007160C6" w:rsidRDefault="007160C6" w:rsidP="007160C6">
      <w:pPr>
        <w:spacing w:after="0" w:line="240" w:lineRule="auto"/>
        <w:jc w:val="both"/>
        <w:rPr>
          <w:rFonts w:ascii="Verdana" w:eastAsia="Calibri" w:hAnsi="Verdana" w:cs="Arial"/>
          <w:b/>
          <w:bCs/>
          <w:lang w:val="es-ES" w:eastAsia="es-ES"/>
        </w:rPr>
      </w:pPr>
      <w:r>
        <w:rPr>
          <w:rFonts w:ascii="Verdana" w:eastAsia="Calibri" w:hAnsi="Verdana" w:cs="Arial"/>
          <w:b/>
          <w:bCs/>
          <w:lang w:val="es-ES" w:eastAsia="es-ES"/>
        </w:rPr>
        <w:t>A</w:t>
      </w:r>
      <w:r w:rsidRPr="007160C6">
        <w:rPr>
          <w:rFonts w:ascii="Verdana" w:eastAsia="Calibri" w:hAnsi="Verdana" w:cs="Arial"/>
          <w:b/>
          <w:bCs/>
          <w:lang w:val="es-ES" w:eastAsia="es-ES"/>
        </w:rPr>
        <w:t xml:space="preserve">DQUISICIÓN DE SOAT – Normatividad </w:t>
      </w:r>
    </w:p>
    <w:p w14:paraId="731A9542" w14:textId="77777777" w:rsidR="007160C6" w:rsidRDefault="007160C6" w:rsidP="007160C6">
      <w:pPr>
        <w:spacing w:after="0" w:line="240" w:lineRule="auto"/>
        <w:jc w:val="both"/>
        <w:rPr>
          <w:rFonts w:ascii="Verdana" w:eastAsia="Calibri" w:hAnsi="Verdana" w:cs="Arial"/>
          <w:b/>
          <w:bCs/>
          <w:lang w:val="es-ES" w:eastAsia="es-ES"/>
        </w:rPr>
      </w:pPr>
    </w:p>
    <w:p w14:paraId="0424FB90" w14:textId="3F1C473D" w:rsidR="007160C6" w:rsidRDefault="00A829C7" w:rsidP="007160C6">
      <w:pPr>
        <w:spacing w:after="0" w:line="240" w:lineRule="auto"/>
        <w:jc w:val="both"/>
        <w:rPr>
          <w:rFonts w:ascii="Verdana" w:eastAsia="Calibri" w:hAnsi="Verdana" w:cs="Arial"/>
          <w:sz w:val="20"/>
          <w:szCs w:val="20"/>
          <w:lang w:eastAsia="es-ES"/>
        </w:rPr>
      </w:pPr>
      <w:r w:rsidRPr="00A829C7">
        <w:rPr>
          <w:rFonts w:ascii="Verdana" w:eastAsia="Calibri" w:hAnsi="Verdana" w:cs="Arial"/>
          <w:sz w:val="20"/>
          <w:szCs w:val="20"/>
          <w:lang w:eastAsia="es-ES"/>
        </w:rPr>
        <w:t>Respecto de los servicios para la adquisición de SOAT, el Decreto 663 de 1993 (Estatuto Orgánico del Sistema Financiero – EOSF-) en su artículo 192 determina que los vehículos automotores que transiten en el territorio nacional deberán estar amparados por un seguro obligatorio vigente. La misma obligatoriedad está contemplada en el artículo 42 de la Ley 2161 de 2021. Por su parte, el artículo 193 del EOSF indica que el gobierno reglamentará las características y condiciones generales y técnicas de la póliza, cuantías y amparos, así como los demás aspectos necesarios para el funcionamiento de dicho seguro. Así mismo, la Superintendencia Financiera de Colombia revisará periódicamente las condiciones técnicas y financieras de la operación de este seguro, propósito para el cual solicitará a las entidades aseguradoras la información que estime conveniente. En todo caso, en la determinación de las tarifas se observarán los principios de equidad, suficiencia y moderación y se podrán establecer rangos diferenciales según la naturaleza de los riesgos.</w:t>
      </w:r>
    </w:p>
    <w:p w14:paraId="746815D4" w14:textId="77777777" w:rsidR="00A829C7" w:rsidRDefault="00A829C7" w:rsidP="00A829C7">
      <w:pPr>
        <w:spacing w:after="0" w:line="240" w:lineRule="auto"/>
        <w:jc w:val="both"/>
        <w:rPr>
          <w:rFonts w:ascii="Verdana" w:eastAsia="Calibri" w:hAnsi="Verdana" w:cs="Arial"/>
          <w:sz w:val="20"/>
          <w:szCs w:val="20"/>
          <w:lang w:eastAsia="es-ES"/>
        </w:rPr>
      </w:pPr>
    </w:p>
    <w:p w14:paraId="1F4912B7" w14:textId="73DADA8C" w:rsidR="00A829C7" w:rsidRPr="00A829C7" w:rsidRDefault="00A829C7" w:rsidP="00A829C7">
      <w:pPr>
        <w:spacing w:after="0" w:line="240" w:lineRule="auto"/>
        <w:jc w:val="both"/>
        <w:rPr>
          <w:rFonts w:ascii="Verdana" w:eastAsia="Calibri" w:hAnsi="Verdana" w:cs="Arial"/>
          <w:sz w:val="20"/>
          <w:szCs w:val="20"/>
          <w:lang w:eastAsia="es-ES"/>
        </w:rPr>
      </w:pPr>
      <w:r w:rsidRPr="00A829C7">
        <w:rPr>
          <w:rFonts w:ascii="Verdana" w:eastAsia="Calibri" w:hAnsi="Verdana" w:cs="Arial"/>
          <w:sz w:val="20"/>
          <w:szCs w:val="20"/>
          <w:lang w:eastAsia="es-ES"/>
        </w:rPr>
        <w:t xml:space="preserve">Con base en lo anterior, la Superintendencia Financiera en atención a las facultades consagradas en el artículo 1 del Decreto 2497 de 2022, modificado por el Decreto 2312 e 2023, profirió actualmente la Circular 022 de 2025 la cual definió la actualización de las tarifas máximas del SOAT que pueden cobrar las compañías de seguros por la expedición del SOAT para cada una de las 37 categorías de los vehículos automotores, expresadas en pesos colombianos. </w:t>
      </w:r>
    </w:p>
    <w:p w14:paraId="055DA04A" w14:textId="77777777" w:rsidR="00A829C7" w:rsidRDefault="00A829C7" w:rsidP="00A829C7">
      <w:pPr>
        <w:spacing w:after="0" w:line="240" w:lineRule="auto"/>
        <w:jc w:val="both"/>
        <w:rPr>
          <w:rFonts w:ascii="Verdana" w:eastAsia="Calibri" w:hAnsi="Verdana" w:cs="Arial"/>
          <w:sz w:val="20"/>
          <w:szCs w:val="20"/>
          <w:lang w:eastAsia="es-ES"/>
        </w:rPr>
      </w:pPr>
    </w:p>
    <w:p w14:paraId="2AC4CB14" w14:textId="2E573441" w:rsidR="00A829C7" w:rsidRPr="00A829C7" w:rsidRDefault="00A829C7" w:rsidP="00A829C7">
      <w:pPr>
        <w:spacing w:after="0" w:line="240" w:lineRule="auto"/>
        <w:jc w:val="both"/>
        <w:rPr>
          <w:rFonts w:ascii="Verdana" w:eastAsia="Calibri" w:hAnsi="Verdana" w:cs="Arial"/>
          <w:sz w:val="20"/>
          <w:szCs w:val="20"/>
          <w:lang w:eastAsia="es-ES"/>
        </w:rPr>
      </w:pPr>
      <w:r w:rsidRPr="00A829C7">
        <w:rPr>
          <w:rFonts w:ascii="Verdana" w:eastAsia="Calibri" w:hAnsi="Verdana" w:cs="Arial"/>
          <w:sz w:val="20"/>
          <w:szCs w:val="20"/>
          <w:lang w:eastAsia="es-ES"/>
        </w:rPr>
        <w:t>Ahora bien, es importante indicar que la Ley 2161 de 2021 “por la cual se establecen medidas para promover la adquisición, renovación y no evasión del Seguro Obligatorio de Accidentes de Tránsito (SOAT), se modifica la Ley 769 de 2002 y se dictan otras disposiciones”, en el artículo 2, que modificó la Ley 769 de 2002, en el parágrafo 3 determinó que “A partir del 2022, las compañías aseguradoras reconocerán un máximo del 5%, de las primas mensuales emitidas por cargos de intermediación por venta del SOAT. Sin embargo, este parágrafo fue declarado inexequible por la Corte Constitucional mediante sentencia C-395 de 2022</w:t>
      </w:r>
      <w:r>
        <w:rPr>
          <w:rFonts w:ascii="Verdana" w:eastAsia="Calibri" w:hAnsi="Verdana" w:cs="Arial"/>
          <w:sz w:val="20"/>
          <w:szCs w:val="20"/>
          <w:lang w:eastAsia="es-ES"/>
        </w:rPr>
        <w:t xml:space="preserve">. </w:t>
      </w:r>
    </w:p>
    <w:p w14:paraId="27D3D075" w14:textId="77777777" w:rsidR="007160C6" w:rsidRDefault="007160C6" w:rsidP="007160C6">
      <w:pPr>
        <w:spacing w:after="0" w:line="240" w:lineRule="auto"/>
        <w:jc w:val="both"/>
        <w:rPr>
          <w:rFonts w:ascii="Verdana" w:eastAsia="Calibri" w:hAnsi="Verdana" w:cs="Arial"/>
          <w:b/>
          <w:bCs/>
          <w:lang w:val="es-ES" w:eastAsia="es-ES"/>
        </w:rPr>
      </w:pPr>
    </w:p>
    <w:p w14:paraId="42C91002" w14:textId="77777777" w:rsidR="007160C6" w:rsidRDefault="007160C6" w:rsidP="007160C6">
      <w:pPr>
        <w:spacing w:after="0" w:line="240" w:lineRule="auto"/>
        <w:jc w:val="both"/>
        <w:rPr>
          <w:rFonts w:ascii="Verdana" w:eastAsia="Calibri" w:hAnsi="Verdana" w:cs="Arial"/>
          <w:b/>
          <w:bCs/>
          <w:lang w:val="es-ES" w:eastAsia="es-ES"/>
        </w:rPr>
      </w:pPr>
      <w:r w:rsidRPr="007160C6">
        <w:rPr>
          <w:rFonts w:ascii="Verdana" w:eastAsia="Calibri" w:hAnsi="Verdana" w:cs="Arial"/>
          <w:b/>
          <w:bCs/>
          <w:lang w:val="es-ES" w:eastAsia="es-ES"/>
        </w:rPr>
        <w:t xml:space="preserve">PLANEACIÓN CONTRACTUAL – Noción – Obligación de las entidades – Ley 80 de 1993 </w:t>
      </w:r>
    </w:p>
    <w:p w14:paraId="6F42AC87" w14:textId="77777777" w:rsidR="00BB3D16" w:rsidRDefault="00BB3D16" w:rsidP="007160C6">
      <w:pPr>
        <w:spacing w:after="0" w:line="240" w:lineRule="auto"/>
        <w:jc w:val="both"/>
        <w:rPr>
          <w:rFonts w:ascii="Verdana" w:eastAsia="Calibri" w:hAnsi="Verdana" w:cs="Arial"/>
          <w:b/>
          <w:bCs/>
          <w:lang w:val="es-ES" w:eastAsia="es-ES"/>
        </w:rPr>
      </w:pPr>
    </w:p>
    <w:p w14:paraId="5C196367" w14:textId="77777777" w:rsidR="003C7D71" w:rsidRDefault="00BB3D16" w:rsidP="007160C6">
      <w:pPr>
        <w:spacing w:after="0" w:line="240" w:lineRule="auto"/>
        <w:jc w:val="both"/>
        <w:rPr>
          <w:rFonts w:ascii="Verdana" w:eastAsia="Calibri" w:hAnsi="Verdana" w:cs="Arial"/>
          <w:sz w:val="20"/>
          <w:szCs w:val="20"/>
          <w:lang w:eastAsia="es-ES"/>
        </w:rPr>
      </w:pPr>
      <w:r w:rsidRPr="00BB3D16">
        <w:rPr>
          <w:rFonts w:ascii="Verdana" w:eastAsia="Calibri" w:hAnsi="Verdana" w:cs="Arial"/>
          <w:sz w:val="20"/>
          <w:szCs w:val="20"/>
          <w:lang w:eastAsia="es-ES"/>
        </w:rPr>
        <w:t>Ahora bien, la planeación contractual es una herramienta de gerencia pública, que 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precios, costos, riesgos, garantías, disponibilidad, oferentes, etc. Lo anterior con la finalidad de realizar la escogencia diligente de la mejor oferta, para beneficiar los intereses y fines públicos inmersos en la contratación de las entidades estatales.</w:t>
      </w:r>
    </w:p>
    <w:p w14:paraId="6F589147" w14:textId="550750BE" w:rsidR="003C7D71" w:rsidRPr="00BB3D16" w:rsidRDefault="003C7D71" w:rsidP="007160C6">
      <w:pPr>
        <w:spacing w:after="0" w:line="240" w:lineRule="auto"/>
        <w:jc w:val="both"/>
        <w:rPr>
          <w:rFonts w:ascii="Verdana" w:eastAsia="Calibri" w:hAnsi="Verdana" w:cs="Arial"/>
          <w:sz w:val="20"/>
          <w:szCs w:val="20"/>
          <w:lang w:eastAsia="es-ES"/>
        </w:rPr>
      </w:pPr>
      <w:r w:rsidRPr="003C7D71">
        <w:rPr>
          <w:rFonts w:ascii="Verdana" w:eastAsia="Calibri" w:hAnsi="Verdana" w:cs="Arial"/>
          <w:sz w:val="20"/>
          <w:szCs w:val="20"/>
          <w:lang w:eastAsia="es-ES"/>
        </w:rPr>
        <w:t>En congruencia con el artículo 25 de la Ley 80 de 1993, el Decreto Único Reglamentario del Sector Administrativo de Planeación Nacional –Decreto 1082 de 2015–, dispone en el artículo 2.2.1.1.2.1.1 el contenido mínimo de los estudios y documentos previos</w:t>
      </w:r>
      <w:r>
        <w:rPr>
          <w:rFonts w:ascii="Verdana" w:eastAsia="Calibri" w:hAnsi="Verdana" w:cs="Arial"/>
          <w:sz w:val="20"/>
          <w:szCs w:val="20"/>
          <w:lang w:eastAsia="es-ES"/>
        </w:rPr>
        <w:t>.</w:t>
      </w:r>
    </w:p>
    <w:p w14:paraId="32ED4DD7" w14:textId="77777777" w:rsidR="007160C6" w:rsidRDefault="007160C6" w:rsidP="007160C6">
      <w:pPr>
        <w:spacing w:after="0" w:line="240" w:lineRule="auto"/>
        <w:jc w:val="both"/>
        <w:rPr>
          <w:rFonts w:ascii="Verdana" w:eastAsia="Calibri" w:hAnsi="Verdana" w:cs="Arial"/>
          <w:b/>
          <w:bCs/>
          <w:lang w:val="es-ES" w:eastAsia="es-ES"/>
        </w:rPr>
      </w:pPr>
    </w:p>
    <w:p w14:paraId="2842A6C5" w14:textId="77777777" w:rsidR="007160C6" w:rsidRDefault="007160C6" w:rsidP="007160C6">
      <w:pPr>
        <w:spacing w:after="0" w:line="240" w:lineRule="auto"/>
        <w:jc w:val="both"/>
        <w:rPr>
          <w:rFonts w:ascii="Verdana" w:eastAsia="Calibri" w:hAnsi="Verdana" w:cs="Arial"/>
          <w:b/>
          <w:bCs/>
          <w:lang w:val="es-ES" w:eastAsia="es-ES"/>
        </w:rPr>
      </w:pPr>
      <w:r>
        <w:rPr>
          <w:rFonts w:ascii="Verdana" w:eastAsia="Calibri" w:hAnsi="Verdana" w:cs="Arial"/>
          <w:b/>
          <w:bCs/>
          <w:lang w:val="es-ES" w:eastAsia="es-ES"/>
        </w:rPr>
        <w:t>E</w:t>
      </w:r>
      <w:r w:rsidRPr="007160C6">
        <w:rPr>
          <w:rFonts w:ascii="Verdana" w:eastAsia="Calibri" w:hAnsi="Verdana" w:cs="Arial"/>
          <w:b/>
          <w:bCs/>
          <w:lang w:val="es-ES" w:eastAsia="es-ES"/>
        </w:rPr>
        <w:t xml:space="preserve">STUDIOS PREVIOS – Finalidad </w:t>
      </w:r>
    </w:p>
    <w:p w14:paraId="095D9538" w14:textId="77777777" w:rsidR="000F2C49" w:rsidRDefault="000F2C49" w:rsidP="007160C6">
      <w:pPr>
        <w:spacing w:after="0" w:line="240" w:lineRule="auto"/>
        <w:jc w:val="both"/>
        <w:rPr>
          <w:rFonts w:ascii="Verdana" w:hAnsi="Verdana" w:cs="Arial"/>
        </w:rPr>
      </w:pPr>
    </w:p>
    <w:p w14:paraId="209E95CC" w14:textId="2AFEBB20" w:rsidR="000F2C49" w:rsidRPr="000F2C49" w:rsidRDefault="000F2C49" w:rsidP="007160C6">
      <w:pPr>
        <w:spacing w:after="0" w:line="240" w:lineRule="auto"/>
        <w:jc w:val="both"/>
        <w:rPr>
          <w:rFonts w:ascii="Verdana" w:eastAsia="Calibri" w:hAnsi="Verdana" w:cs="Arial"/>
          <w:b/>
          <w:bCs/>
          <w:sz w:val="20"/>
          <w:szCs w:val="20"/>
          <w:lang w:val="es-ES" w:eastAsia="es-ES"/>
        </w:rPr>
      </w:pPr>
      <w:r w:rsidRPr="000F2C49">
        <w:rPr>
          <w:rFonts w:ascii="Verdana" w:hAnsi="Verdana" w:cs="Arial"/>
          <w:sz w:val="20"/>
          <w:szCs w:val="20"/>
        </w:rPr>
        <w:t xml:space="preserve">Por otra parte, los numerales 2 y 4 del artículo 2.2.1.1.2.1.1 del Decreto 1082 de 2015 exigen que en los estudios previos se determine el objeto a contratar con sus especificaciones, y se señale el valor estimado del contrato y la justificación </w:t>
      </w:r>
      <w:proofErr w:type="gramStart"/>
      <w:r w:rsidRPr="000F2C49">
        <w:rPr>
          <w:rFonts w:ascii="Verdana" w:hAnsi="Verdana" w:cs="Arial"/>
          <w:sz w:val="20"/>
          <w:szCs w:val="20"/>
        </w:rPr>
        <w:t>del mismo</w:t>
      </w:r>
      <w:proofErr w:type="gramEnd"/>
      <w:r w:rsidRPr="000F2C49">
        <w:rPr>
          <w:rFonts w:ascii="Verdana" w:hAnsi="Verdana" w:cs="Arial"/>
          <w:sz w:val="20"/>
          <w:szCs w:val="20"/>
        </w:rPr>
        <w:t xml:space="preserve">. </w:t>
      </w:r>
      <w:r w:rsidRPr="000F2C49">
        <w:rPr>
          <w:rFonts w:ascii="Verdana" w:eastAsia="Calibri" w:hAnsi="Verdana" w:cs="Arial"/>
          <w:bCs/>
          <w:sz w:val="20"/>
          <w:szCs w:val="20"/>
          <w:lang w:val="es-ES_tradnl"/>
        </w:rPr>
        <w:t>Para cumplir este objetivo es necesario el análisis del sector económico y de los oferentes, actividad de planeación previa que sirve para identificar aspectos concretos del mercado que pueden afectar el proceso de selección o las condiciones del negocio a realizar mediante el proceso de contratación de bienes, obras o servicios. En este sentido, el artículo 2.2.1.1.1.6.1 del Decreto 1082 de 2015 dispone que “La Entidad Estatal debe hacer, durante la etapa de planeación, el análisis necesario para conocer el sector relativo al objeto del Proceso de Contratación desde la perspectiva legal, comercial, financiera, organizacional, técnica, y de análisis de Riesgo. La Entidad Estatal debe dejar constancia de este análisis en los Documentos del Proceso”.</w:t>
      </w:r>
    </w:p>
    <w:p w14:paraId="6DB6E960" w14:textId="77777777" w:rsidR="007160C6" w:rsidRDefault="007160C6" w:rsidP="007160C6">
      <w:pPr>
        <w:spacing w:after="0" w:line="240" w:lineRule="auto"/>
        <w:jc w:val="both"/>
        <w:rPr>
          <w:rFonts w:ascii="Verdana" w:eastAsia="Calibri" w:hAnsi="Verdana" w:cs="Arial"/>
          <w:b/>
          <w:bCs/>
          <w:lang w:val="es-ES" w:eastAsia="es-ES"/>
        </w:rPr>
      </w:pPr>
    </w:p>
    <w:p w14:paraId="6DA4ED99" w14:textId="2004A83D" w:rsidR="007160C6" w:rsidRDefault="007160C6" w:rsidP="007160C6">
      <w:pPr>
        <w:spacing w:after="0" w:line="240" w:lineRule="auto"/>
        <w:jc w:val="both"/>
        <w:rPr>
          <w:rFonts w:ascii="Verdana" w:eastAsia="Calibri" w:hAnsi="Verdana" w:cs="Arial"/>
          <w:b/>
          <w:bCs/>
          <w:lang w:val="es-ES" w:eastAsia="es-ES"/>
        </w:rPr>
      </w:pPr>
      <w:r w:rsidRPr="007160C6">
        <w:rPr>
          <w:rFonts w:ascii="Verdana" w:eastAsia="Calibri" w:hAnsi="Verdana" w:cs="Arial"/>
          <w:b/>
          <w:bCs/>
          <w:lang w:val="es-ES" w:eastAsia="es-ES"/>
        </w:rPr>
        <w:t>ESTUDIOS DE MERCADO – Finalidad – Recomendaciones – Colombia Compra eficiente – Guía de elaboración de estudios del sector</w:t>
      </w:r>
    </w:p>
    <w:p w14:paraId="5CF16412" w14:textId="77777777" w:rsidR="00310BB0" w:rsidRDefault="00310BB0" w:rsidP="007160C6">
      <w:pPr>
        <w:spacing w:after="0" w:line="240" w:lineRule="auto"/>
        <w:jc w:val="both"/>
        <w:rPr>
          <w:rFonts w:ascii="Verdana" w:eastAsia="Calibri" w:hAnsi="Verdana" w:cs="Arial"/>
          <w:b/>
          <w:bCs/>
          <w:lang w:val="es-ES_tradnl" w:eastAsia="es-ES"/>
        </w:rPr>
      </w:pPr>
    </w:p>
    <w:p w14:paraId="09C9C0E5" w14:textId="7F5437E6" w:rsidR="00310BB0" w:rsidRDefault="00310BB0" w:rsidP="007160C6">
      <w:pPr>
        <w:spacing w:after="0" w:line="240" w:lineRule="auto"/>
        <w:jc w:val="both"/>
        <w:rPr>
          <w:rFonts w:ascii="Verdana" w:eastAsia="Calibri" w:hAnsi="Verdana" w:cs="Arial"/>
          <w:sz w:val="20"/>
          <w:szCs w:val="20"/>
          <w:lang w:val="es-ES_tradnl" w:eastAsia="es-ES"/>
        </w:rPr>
      </w:pPr>
      <w:r w:rsidRPr="00310BB0">
        <w:rPr>
          <w:rFonts w:ascii="Verdana" w:eastAsia="Calibri" w:hAnsi="Verdana" w:cs="Arial"/>
          <w:sz w:val="20"/>
          <w:szCs w:val="20"/>
          <w:lang w:val="es-ES_tradnl" w:eastAsia="es-ES"/>
        </w:rPr>
        <w:t>Para negociar de manera adecuada, es necesario conocer la estructura de los posibles contratistas, pues permite identificar la forma en la que suplirán los requerimientos de la entidad. El análisis del sector debe tener en cuenta el objeto del proceso de contratación, las condiciones del bien o servicio y las ventajas que representa para la Administración contratar el bien o servicio con el contratista. En este último punto, el análisis del sector permite sustentar la decisión de realizar un proceso de contratación desde el punto de vista de la eficiencia, eficacia y economía.</w:t>
      </w:r>
    </w:p>
    <w:p w14:paraId="5E4B0B89" w14:textId="77777777" w:rsidR="00310BB0" w:rsidRDefault="00310BB0" w:rsidP="007160C6">
      <w:pPr>
        <w:spacing w:after="0" w:line="240" w:lineRule="auto"/>
        <w:jc w:val="both"/>
        <w:rPr>
          <w:rFonts w:ascii="Verdana" w:eastAsia="Calibri" w:hAnsi="Verdana" w:cs="Arial"/>
          <w:sz w:val="20"/>
          <w:szCs w:val="20"/>
          <w:lang w:val="es-ES_tradnl" w:eastAsia="es-ES"/>
        </w:rPr>
      </w:pPr>
    </w:p>
    <w:p w14:paraId="135B4851" w14:textId="1BD71F31" w:rsidR="00310BB0" w:rsidRDefault="00310BB0" w:rsidP="007160C6">
      <w:pPr>
        <w:spacing w:after="0" w:line="240" w:lineRule="auto"/>
        <w:jc w:val="both"/>
        <w:rPr>
          <w:rFonts w:ascii="Verdana" w:eastAsia="Calibri" w:hAnsi="Verdana" w:cs="Arial"/>
          <w:sz w:val="20"/>
          <w:szCs w:val="20"/>
          <w:lang w:val="es-ES" w:eastAsia="es-ES"/>
        </w:rPr>
      </w:pPr>
      <w:r w:rsidRPr="00310BB0">
        <w:rPr>
          <w:rFonts w:ascii="Verdana" w:eastAsia="Calibri" w:hAnsi="Verdana" w:cs="Arial"/>
          <w:sz w:val="20"/>
          <w:szCs w:val="20"/>
          <w:lang w:val="es-ES" w:eastAsia="es-ES"/>
        </w:rPr>
        <w:t>Dicho análisis facilita tanto el conocimiento del sector, desde una perspectiva multidisciplinaria, como de los proveedores disponibles en el mercado para satisfacer la necesidad de la entidad contratante. Así mismo, el análisis del sector implica un estudio de la oferta, lo que permitirá identificar qué proveedores existen en el mercado y cómo intervienen en la cadena de producción, comercialización y distribución de los bienes, obras o servicios. De igual manera, podrá estudiar la demanda para determinar las entidades estatales y los particulares cómo adquieren esos bienes, obras o servicios para extraer las mejores prácticas e información para el proceso de contratación y así estructurar de mejor manera el tipo contractual a utilizar y las condiciones y características que se podrán pactar para cumplir el objeto del contrato y para la realización de las prestaciones derivadas de las obligaciones que serán pactadas, tanto para la entidad contratante como para el contratista que proveerá el bien, obra o servicio.</w:t>
      </w:r>
    </w:p>
    <w:p w14:paraId="77780E6C" w14:textId="77777777" w:rsidR="00310BB0" w:rsidRDefault="00310BB0" w:rsidP="007160C6">
      <w:pPr>
        <w:spacing w:after="0" w:line="240" w:lineRule="auto"/>
        <w:jc w:val="both"/>
        <w:rPr>
          <w:rFonts w:ascii="Verdana" w:eastAsia="Calibri" w:hAnsi="Verdana" w:cs="Arial"/>
          <w:sz w:val="20"/>
          <w:szCs w:val="20"/>
          <w:lang w:val="es-ES" w:eastAsia="es-ES"/>
        </w:rPr>
      </w:pPr>
    </w:p>
    <w:p w14:paraId="2C3940C7" w14:textId="63DDD36B" w:rsidR="00310BB0" w:rsidRDefault="00310BB0" w:rsidP="007160C6">
      <w:pPr>
        <w:spacing w:after="0" w:line="240" w:lineRule="auto"/>
        <w:jc w:val="both"/>
        <w:rPr>
          <w:rFonts w:ascii="Verdana" w:eastAsia="Calibri" w:hAnsi="Verdana" w:cs="Arial"/>
          <w:sz w:val="20"/>
          <w:szCs w:val="20"/>
          <w:lang w:val="es-ES" w:eastAsia="es-ES"/>
        </w:rPr>
      </w:pPr>
      <w:r>
        <w:rPr>
          <w:rFonts w:ascii="Verdana" w:eastAsia="Calibri" w:hAnsi="Verdana" w:cs="Arial"/>
          <w:sz w:val="20"/>
          <w:szCs w:val="20"/>
          <w:lang w:val="es-ES" w:eastAsia="es-ES"/>
        </w:rPr>
        <w:t xml:space="preserve">[…] </w:t>
      </w:r>
    </w:p>
    <w:p w14:paraId="73AC3A00" w14:textId="77777777" w:rsidR="00310BB0" w:rsidRPr="00310BB0" w:rsidRDefault="00310BB0" w:rsidP="00310BB0">
      <w:pPr>
        <w:spacing w:after="0" w:line="240" w:lineRule="auto"/>
        <w:jc w:val="both"/>
        <w:rPr>
          <w:rFonts w:ascii="Verdana" w:eastAsia="Calibri" w:hAnsi="Verdana" w:cs="Arial"/>
          <w:sz w:val="20"/>
          <w:szCs w:val="20"/>
          <w:lang w:val="es-ES" w:eastAsia="es-ES"/>
        </w:rPr>
      </w:pPr>
      <w:r w:rsidRPr="00310BB0">
        <w:rPr>
          <w:rFonts w:ascii="Verdana" w:eastAsia="Calibri" w:hAnsi="Verdana" w:cs="Arial"/>
          <w:sz w:val="20"/>
          <w:szCs w:val="20"/>
          <w:lang w:val="es-ES" w:eastAsia="es-ES"/>
        </w:rPr>
        <w:t xml:space="preserve">La Agencia Nacional de Contratación Pública - Colombia Compra Eficiente dispone de la “Guía de Elaboración del Estudio del Sector”, instrumento que sirve de apoyo para entender el mercado del bien, obra o servicio que la entidad estatal pretende adquirir y diseñar el proceso de contratación con la información necesaria para alcanzar los objetivos de eficacia, eficiencia, economía, promoción de la competencia y manejo del </w:t>
      </w:r>
      <w:proofErr w:type="gramStart"/>
      <w:r w:rsidRPr="00310BB0">
        <w:rPr>
          <w:rFonts w:ascii="Verdana" w:eastAsia="Calibri" w:hAnsi="Verdana" w:cs="Arial"/>
          <w:sz w:val="20"/>
          <w:szCs w:val="20"/>
          <w:lang w:val="es-ES" w:eastAsia="es-ES"/>
        </w:rPr>
        <w:t>riesgo .</w:t>
      </w:r>
      <w:proofErr w:type="gramEnd"/>
      <w:r w:rsidRPr="00310BB0">
        <w:rPr>
          <w:rFonts w:ascii="Verdana" w:eastAsia="Calibri" w:hAnsi="Verdana" w:cs="Arial"/>
          <w:sz w:val="20"/>
          <w:szCs w:val="20"/>
          <w:lang w:val="es-ES" w:eastAsia="es-ES"/>
        </w:rPr>
        <w:t xml:space="preserve"> Esta Guía es un insumo para realizar el estudio del sector relativo al Proceso de Contratación, ya que comprende pautas sobre los aspectos generales del mercado, el análisis de la demanda y de la oferta y constituye un instrumento de orientación, por lo que –al carecer de fuerza vinculante– su aplicación no exime a las entidades de acatar las normas vigentes. De este modo, la Guía contiene recomendaciones generales por lo que no debe aplicarse de manera mecánica, pues la profundidad del estudio del sector depende de la complejidad y particularidades de cada Proceso de Contratación. </w:t>
      </w:r>
    </w:p>
    <w:p w14:paraId="31C0C6FD" w14:textId="77777777" w:rsidR="00310BB0" w:rsidRDefault="00310BB0" w:rsidP="00310BB0">
      <w:pPr>
        <w:spacing w:after="0" w:line="240" w:lineRule="auto"/>
        <w:jc w:val="both"/>
        <w:rPr>
          <w:rFonts w:ascii="Verdana" w:eastAsia="Calibri" w:hAnsi="Verdana" w:cs="Arial"/>
          <w:sz w:val="20"/>
          <w:szCs w:val="20"/>
          <w:lang w:val="es-ES" w:eastAsia="es-ES"/>
        </w:rPr>
      </w:pPr>
    </w:p>
    <w:p w14:paraId="5937FBE2" w14:textId="1B9B5962" w:rsidR="00310BB0" w:rsidRDefault="00310BB0" w:rsidP="00310BB0">
      <w:pPr>
        <w:spacing w:after="0" w:line="240" w:lineRule="auto"/>
        <w:jc w:val="both"/>
        <w:rPr>
          <w:rFonts w:ascii="Verdana" w:eastAsia="Calibri" w:hAnsi="Verdana" w:cs="Arial"/>
          <w:sz w:val="20"/>
          <w:szCs w:val="20"/>
          <w:lang w:val="es-ES" w:eastAsia="es-ES"/>
        </w:rPr>
      </w:pPr>
      <w:r w:rsidRPr="00310BB0">
        <w:rPr>
          <w:rFonts w:ascii="Verdana" w:eastAsia="Calibri" w:hAnsi="Verdana" w:cs="Arial"/>
          <w:sz w:val="20"/>
          <w:szCs w:val="20"/>
          <w:lang w:val="es-ES" w:eastAsia="es-ES"/>
        </w:rPr>
        <w:t>En este instrumento se recomienda un análisis integral sobre varios aspectos del mercado –económico, técnico, regulatorio, etc.–, lo cual permitirá que la entidad delimite con precisión qué bienes y servicios existen, cuáles son las condiciones de su comercialización, cómo es la oferta y la demanda y cuáles son los factores que inciden en el valor del contrato, tales como el análisis de precios, las cargas tributarias, la tasa de cambio, las garantías, los gastos de transporte, etc.</w:t>
      </w:r>
    </w:p>
    <w:p w14:paraId="1D32C556" w14:textId="77777777" w:rsidR="00DF4860" w:rsidRDefault="00DF4860" w:rsidP="00310BB0">
      <w:pPr>
        <w:spacing w:after="0" w:line="240" w:lineRule="auto"/>
        <w:jc w:val="both"/>
        <w:rPr>
          <w:rFonts w:ascii="Verdana" w:eastAsia="Calibri" w:hAnsi="Verdana" w:cs="Arial"/>
          <w:sz w:val="20"/>
          <w:szCs w:val="20"/>
          <w:lang w:val="es-ES" w:eastAsia="es-ES"/>
        </w:rPr>
      </w:pPr>
    </w:p>
    <w:p w14:paraId="22FFCFC7" w14:textId="721C6091" w:rsidR="00DF4860" w:rsidRDefault="00DF4860" w:rsidP="00310BB0">
      <w:pPr>
        <w:spacing w:after="0" w:line="240" w:lineRule="auto"/>
        <w:jc w:val="both"/>
        <w:rPr>
          <w:rFonts w:ascii="Verdana" w:eastAsia="Calibri" w:hAnsi="Verdana" w:cs="Arial"/>
          <w:sz w:val="20"/>
          <w:szCs w:val="20"/>
          <w:lang w:val="es-ES" w:eastAsia="es-ES"/>
        </w:rPr>
      </w:pPr>
      <w:r>
        <w:rPr>
          <w:rFonts w:ascii="Verdana" w:eastAsia="Calibri" w:hAnsi="Verdana" w:cs="Arial"/>
          <w:sz w:val="20"/>
          <w:szCs w:val="20"/>
          <w:lang w:val="es-ES" w:eastAsia="es-ES"/>
        </w:rPr>
        <w:t xml:space="preserve">[…] </w:t>
      </w:r>
    </w:p>
    <w:p w14:paraId="47399662" w14:textId="77777777" w:rsidR="00DF4860" w:rsidRDefault="00DF4860" w:rsidP="00310BB0">
      <w:pPr>
        <w:spacing w:after="0" w:line="240" w:lineRule="auto"/>
        <w:jc w:val="both"/>
        <w:rPr>
          <w:rFonts w:ascii="Verdana" w:eastAsia="Calibri" w:hAnsi="Verdana" w:cs="Arial"/>
          <w:sz w:val="20"/>
          <w:szCs w:val="20"/>
          <w:lang w:val="es-ES" w:eastAsia="es-ES"/>
        </w:rPr>
      </w:pPr>
    </w:p>
    <w:p w14:paraId="675D49B5" w14:textId="322978B3" w:rsidR="00DF4860" w:rsidRPr="00310BB0" w:rsidRDefault="00DF4860" w:rsidP="00310BB0">
      <w:pPr>
        <w:spacing w:after="0" w:line="240" w:lineRule="auto"/>
        <w:jc w:val="both"/>
        <w:rPr>
          <w:rFonts w:ascii="Verdana" w:eastAsia="Calibri" w:hAnsi="Verdana" w:cs="Arial"/>
          <w:sz w:val="20"/>
          <w:szCs w:val="20"/>
          <w:lang w:val="es-ES" w:eastAsia="es-ES"/>
        </w:rPr>
      </w:pPr>
      <w:r w:rsidRPr="00DF4860">
        <w:rPr>
          <w:rFonts w:ascii="Verdana" w:eastAsia="Calibri" w:hAnsi="Verdana" w:cs="Arial"/>
          <w:sz w:val="20"/>
          <w:szCs w:val="20"/>
          <w:lang w:val="es-ES" w:eastAsia="es-ES"/>
        </w:rPr>
        <w:t>Como se observa, la Guía de Elaboración de Estudios del Sector recomienda como mecanismo para la elaboración de estudios del mercado, que sirvan para entender la dinámica de los precios y establecer el presupuesto oficial de la contratación, requerir a los potenciales proveedores a fin de que remitan la información necesaria para determinar diversos aspectos de los bienes o servicios a contratar, entre ellos su valor, especificaciones técnicas, el plazo, entre otra información relevante. En principio, que un potencial proveedor participe en estos estudios del mercado, remitiendo cotizaciones por citar un ejemplo, no implica que en el futuro no pueda participar del Proceso de Contratación que se adelante.</w:t>
      </w:r>
    </w:p>
    <w:p w14:paraId="77956D82" w14:textId="77777777" w:rsidR="007160C6" w:rsidRDefault="007160C6" w:rsidP="008636D0">
      <w:pPr>
        <w:spacing w:after="0"/>
        <w:rPr>
          <w:rFonts w:ascii="Verdana" w:eastAsia="Verdana" w:hAnsi="Verdana" w:cs="Verdana"/>
        </w:rPr>
      </w:pPr>
    </w:p>
    <w:p w14:paraId="4D9EF83F" w14:textId="77777777" w:rsidR="007160C6" w:rsidRDefault="007160C6" w:rsidP="008636D0">
      <w:pPr>
        <w:spacing w:after="0"/>
        <w:rPr>
          <w:rFonts w:ascii="Verdana" w:eastAsia="Verdana" w:hAnsi="Verdana" w:cs="Verdana"/>
        </w:rPr>
      </w:pPr>
    </w:p>
    <w:p w14:paraId="64D683DA" w14:textId="77777777" w:rsidR="00DF4860" w:rsidRDefault="00DF4860" w:rsidP="008636D0">
      <w:pPr>
        <w:spacing w:after="0"/>
        <w:rPr>
          <w:rFonts w:ascii="Verdana" w:eastAsia="Verdana" w:hAnsi="Verdana" w:cs="Verdana"/>
        </w:rPr>
      </w:pPr>
    </w:p>
    <w:p w14:paraId="0805AE14" w14:textId="77777777" w:rsidR="00DF4860" w:rsidRDefault="00DF4860" w:rsidP="008636D0">
      <w:pPr>
        <w:spacing w:after="0"/>
        <w:rPr>
          <w:rFonts w:ascii="Verdana" w:eastAsia="Verdana" w:hAnsi="Verdana" w:cs="Verdana"/>
        </w:rPr>
      </w:pPr>
    </w:p>
    <w:p w14:paraId="1473CFDA" w14:textId="77777777" w:rsidR="00DF4860" w:rsidRDefault="00DF4860" w:rsidP="008636D0">
      <w:pPr>
        <w:spacing w:after="0"/>
        <w:rPr>
          <w:rFonts w:ascii="Verdana" w:eastAsia="Verdana" w:hAnsi="Verdana" w:cs="Verdana"/>
        </w:rPr>
      </w:pPr>
    </w:p>
    <w:p w14:paraId="39EE1BC6" w14:textId="77777777" w:rsidR="00DF4860" w:rsidRDefault="00DF4860" w:rsidP="008636D0">
      <w:pPr>
        <w:spacing w:after="0"/>
        <w:rPr>
          <w:rFonts w:ascii="Verdana" w:eastAsia="Verdana" w:hAnsi="Verdana" w:cs="Verdana"/>
        </w:rPr>
      </w:pPr>
    </w:p>
    <w:p w14:paraId="3203B4D9" w14:textId="77777777" w:rsidR="00DF4860" w:rsidRDefault="00DF4860" w:rsidP="008636D0">
      <w:pPr>
        <w:spacing w:after="0"/>
        <w:rPr>
          <w:rFonts w:ascii="Verdana" w:eastAsia="Verdana" w:hAnsi="Verdana" w:cs="Verdana"/>
        </w:rPr>
      </w:pPr>
    </w:p>
    <w:p w14:paraId="7F1DC34C" w14:textId="77777777" w:rsidR="00DF4860" w:rsidRDefault="00DF4860" w:rsidP="008636D0">
      <w:pPr>
        <w:spacing w:after="0"/>
        <w:rPr>
          <w:rFonts w:ascii="Verdana" w:eastAsia="Verdana" w:hAnsi="Verdana" w:cs="Verdana"/>
        </w:rPr>
      </w:pPr>
    </w:p>
    <w:p w14:paraId="54F55BFB" w14:textId="77777777" w:rsidR="00DF4860" w:rsidRDefault="00DF4860" w:rsidP="008636D0">
      <w:pPr>
        <w:spacing w:after="0"/>
        <w:rPr>
          <w:rFonts w:ascii="Verdana" w:eastAsia="Verdana" w:hAnsi="Verdana" w:cs="Verdana"/>
        </w:rPr>
      </w:pPr>
    </w:p>
    <w:p w14:paraId="3BE297AF" w14:textId="77777777" w:rsidR="00DF4860" w:rsidRDefault="00DF4860" w:rsidP="008636D0">
      <w:pPr>
        <w:spacing w:after="0"/>
        <w:rPr>
          <w:rFonts w:ascii="Verdana" w:eastAsia="Verdana" w:hAnsi="Verdana" w:cs="Verdana"/>
        </w:rPr>
      </w:pPr>
    </w:p>
    <w:p w14:paraId="3A70621B" w14:textId="77777777" w:rsidR="00DF4860" w:rsidRDefault="00DF4860" w:rsidP="008636D0">
      <w:pPr>
        <w:spacing w:after="0"/>
        <w:rPr>
          <w:rFonts w:ascii="Verdana" w:eastAsia="Verdana" w:hAnsi="Verdana" w:cs="Verdana"/>
        </w:rPr>
      </w:pPr>
    </w:p>
    <w:p w14:paraId="6A149E07" w14:textId="77777777" w:rsidR="00DF4860" w:rsidRDefault="00DF4860" w:rsidP="008636D0">
      <w:pPr>
        <w:spacing w:after="0"/>
        <w:rPr>
          <w:rFonts w:ascii="Verdana" w:eastAsia="Verdana" w:hAnsi="Verdana" w:cs="Verdana"/>
        </w:rPr>
      </w:pPr>
    </w:p>
    <w:p w14:paraId="670D7BA6" w14:textId="77777777" w:rsidR="00DF4860" w:rsidRDefault="00DF4860" w:rsidP="008636D0">
      <w:pPr>
        <w:spacing w:after="0"/>
        <w:rPr>
          <w:rFonts w:ascii="Verdana" w:eastAsia="Verdana" w:hAnsi="Verdana" w:cs="Verdana"/>
        </w:rPr>
      </w:pPr>
    </w:p>
    <w:p w14:paraId="2EE1277E" w14:textId="3A96FE1A" w:rsidR="008636D0" w:rsidRDefault="008636D0" w:rsidP="008636D0">
      <w:pPr>
        <w:spacing w:after="0"/>
        <w:rPr>
          <w:rFonts w:ascii="Verdana" w:eastAsia="Verdana" w:hAnsi="Verdana" w:cs="Verdana"/>
        </w:rPr>
      </w:pPr>
      <w:r w:rsidRPr="30821638">
        <w:rPr>
          <w:rFonts w:ascii="Verdana" w:eastAsia="Verdana" w:hAnsi="Verdana" w:cs="Verdana"/>
        </w:rPr>
        <w:t xml:space="preserve">Bogotá D.C., </w:t>
      </w:r>
      <w:bookmarkStart w:id="1" w:name="_Hlk214366482"/>
      <w:r w:rsidR="007160C6">
        <w:rPr>
          <w:rFonts w:ascii="Verdana" w:eastAsia="Verdana" w:hAnsi="Verdana" w:cs="Verdana"/>
        </w:rPr>
        <w:t xml:space="preserve">16 Julio 2026 </w:t>
      </w:r>
    </w:p>
    <w:p w14:paraId="3ABFC597" w14:textId="13D488E0" w:rsidR="007160C6" w:rsidRDefault="007160C6" w:rsidP="007160C6">
      <w:pPr>
        <w:spacing w:after="0"/>
        <w:jc w:val="right"/>
        <w:rPr>
          <w:rFonts w:ascii="Verdana" w:eastAsia="Verdana" w:hAnsi="Verdana" w:cs="Verdana"/>
        </w:rPr>
      </w:pPr>
      <w:r w:rsidRPr="007160C6">
        <w:rPr>
          <w:rFonts w:ascii="Verdana" w:eastAsia="Verdana" w:hAnsi="Verdana" w:cs="Verdana"/>
        </w:rPr>
        <w:drawing>
          <wp:inline distT="0" distB="0" distL="0" distR="0" wp14:anchorId="5B93AA74" wp14:editId="1B395B74">
            <wp:extent cx="1779638" cy="435610"/>
            <wp:effectExtent l="0" t="0" r="0" b="2540"/>
            <wp:docPr id="13514537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453778" name=""/>
                    <pic:cNvPicPr/>
                  </pic:nvPicPr>
                  <pic:blipFill>
                    <a:blip r:embed="rId10"/>
                    <a:stretch>
                      <a:fillRect/>
                    </a:stretch>
                  </pic:blipFill>
                  <pic:spPr>
                    <a:xfrm>
                      <a:off x="0" y="0"/>
                      <a:ext cx="1800503" cy="440717"/>
                    </a:xfrm>
                    <a:prstGeom prst="rect">
                      <a:avLst/>
                    </a:prstGeom>
                  </pic:spPr>
                </pic:pic>
              </a:graphicData>
            </a:graphic>
          </wp:inline>
        </w:drawing>
      </w:r>
    </w:p>
    <w:p w14:paraId="4D8CC05F" w14:textId="77777777" w:rsidR="008636D0" w:rsidRPr="00B313E5" w:rsidRDefault="008636D0" w:rsidP="008636D0">
      <w:pPr>
        <w:spacing w:after="0"/>
        <w:rPr>
          <w:rFonts w:ascii="Verdana" w:eastAsia="Verdana" w:hAnsi="Verdana" w:cs="Verdana"/>
        </w:rPr>
      </w:pPr>
      <w:r>
        <w:rPr>
          <w:rFonts w:ascii="Verdana" w:eastAsia="Calibri" w:hAnsi="Verdana" w:cs="Arial"/>
          <w:b/>
          <w:bCs/>
          <w:lang w:eastAsia="es-ES"/>
        </w:rPr>
        <w:t>Señor</w:t>
      </w:r>
    </w:p>
    <w:p w14:paraId="2BBCCBCA" w14:textId="77777777" w:rsidR="008636D0" w:rsidRPr="00B12E50" w:rsidRDefault="008636D0" w:rsidP="008636D0">
      <w:pPr>
        <w:spacing w:after="0" w:line="240" w:lineRule="auto"/>
        <w:jc w:val="both"/>
        <w:rPr>
          <w:rFonts w:ascii="Verdana" w:eastAsia="Calibri" w:hAnsi="Verdana" w:cs="Arial"/>
          <w:b/>
          <w:bCs/>
          <w:lang w:eastAsia="es-ES"/>
        </w:rPr>
      </w:pPr>
      <w:r w:rsidRPr="00B12E50">
        <w:rPr>
          <w:rFonts w:ascii="Verdana" w:eastAsia="Calibri" w:hAnsi="Verdana" w:cs="Arial"/>
          <w:b/>
          <w:bCs/>
          <w:lang w:eastAsia="es-ES"/>
        </w:rPr>
        <w:t>Albis Samir Ramos Rivera</w:t>
      </w:r>
    </w:p>
    <w:p w14:paraId="04E2BE9B" w14:textId="77777777" w:rsidR="008636D0" w:rsidRPr="00B12E50" w:rsidRDefault="008636D0" w:rsidP="008636D0">
      <w:pPr>
        <w:spacing w:after="0" w:line="240" w:lineRule="auto"/>
        <w:jc w:val="both"/>
        <w:rPr>
          <w:rFonts w:ascii="Verdana" w:hAnsi="Verdana"/>
          <w:b/>
          <w:bCs/>
        </w:rPr>
      </w:pPr>
      <w:hyperlink r:id="rId11" w:history="1">
        <w:r w:rsidRPr="00B12E50">
          <w:rPr>
            <w:rStyle w:val="Hipervnculo"/>
            <w:rFonts w:ascii="Verdana" w:hAnsi="Verdana"/>
            <w:b/>
            <w:bCs/>
          </w:rPr>
          <w:t>asrr2807@hotmail.com</w:t>
        </w:r>
      </w:hyperlink>
    </w:p>
    <w:p w14:paraId="09B6F8F5" w14:textId="77777777" w:rsidR="008636D0" w:rsidRPr="007F2AEC" w:rsidRDefault="008636D0" w:rsidP="008636D0">
      <w:pPr>
        <w:spacing w:after="0" w:line="240" w:lineRule="auto"/>
        <w:jc w:val="both"/>
        <w:rPr>
          <w:rFonts w:ascii="Verdana" w:hAnsi="Verdana"/>
        </w:rPr>
      </w:pPr>
      <w:r>
        <w:rPr>
          <w:rFonts w:ascii="Verdana" w:hAnsi="Verdana"/>
        </w:rPr>
        <w:t>Ciudad</w:t>
      </w:r>
    </w:p>
    <w:p w14:paraId="4B798EC4" w14:textId="77777777" w:rsidR="008636D0" w:rsidRPr="007F2AEC" w:rsidRDefault="008636D0" w:rsidP="008636D0">
      <w:pPr>
        <w:spacing w:after="0" w:line="240" w:lineRule="auto"/>
        <w:jc w:val="both"/>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86"/>
        <w:gridCol w:w="5103"/>
      </w:tblGrid>
      <w:tr w:rsidR="008636D0" w:rsidRPr="005644FE" w14:paraId="75F14AA1" w14:textId="77777777" w:rsidTr="00FC7DC6">
        <w:trPr>
          <w:trHeight w:val="162"/>
        </w:trPr>
        <w:tc>
          <w:tcPr>
            <w:tcW w:w="3686" w:type="dxa"/>
          </w:tcPr>
          <w:p w14:paraId="1166E526" w14:textId="77777777" w:rsidR="008636D0" w:rsidRPr="007F2AEC" w:rsidRDefault="008636D0" w:rsidP="00FC7DC6">
            <w:pPr>
              <w:jc w:val="both"/>
              <w:rPr>
                <w:rFonts w:ascii="Verdana" w:eastAsia="Calibri" w:hAnsi="Verdana" w:cs="Arial"/>
                <w:b/>
                <w:bCs/>
                <w:color w:val="7030A0"/>
                <w:lang w:eastAsia="es-ES_tradnl"/>
              </w:rPr>
            </w:pPr>
          </w:p>
        </w:tc>
        <w:tc>
          <w:tcPr>
            <w:tcW w:w="5103" w:type="dxa"/>
          </w:tcPr>
          <w:p w14:paraId="3371A485" w14:textId="77777777" w:rsidR="008636D0" w:rsidRPr="005644FE" w:rsidRDefault="008636D0" w:rsidP="00FC7DC6">
            <w:pPr>
              <w:jc w:val="both"/>
              <w:rPr>
                <w:rFonts w:ascii="Verdana" w:eastAsia="Calibri" w:hAnsi="Verdana" w:cs="Arial"/>
                <w:b/>
                <w:bCs/>
                <w:lang w:eastAsia="es-ES"/>
              </w:rPr>
            </w:pPr>
            <w:r w:rsidRPr="005644FE">
              <w:rPr>
                <w:rFonts w:ascii="Verdana" w:eastAsia="Calibri" w:hAnsi="Verdana" w:cs="Arial"/>
                <w:b/>
                <w:bCs/>
                <w:lang w:eastAsia="es-ES"/>
              </w:rPr>
              <w:t>Concepto C</w:t>
            </w:r>
            <w:r w:rsidRPr="00205473">
              <w:rPr>
                <w:rFonts w:ascii="Verdana" w:eastAsia="Calibri" w:hAnsi="Verdana" w:cs="Arial"/>
                <w:b/>
                <w:bCs/>
                <w:lang w:eastAsia="es-ES"/>
              </w:rPr>
              <w:t>-</w:t>
            </w:r>
            <w:r>
              <w:rPr>
                <w:rFonts w:ascii="Verdana" w:eastAsia="Calibri" w:hAnsi="Verdana" w:cs="Arial"/>
                <w:b/>
                <w:bCs/>
                <w:lang w:eastAsia="es-ES"/>
              </w:rPr>
              <w:t>910 de 2026</w:t>
            </w:r>
          </w:p>
          <w:p w14:paraId="29C14142" w14:textId="77777777" w:rsidR="008636D0" w:rsidRPr="005644FE" w:rsidRDefault="008636D0" w:rsidP="00FC7DC6">
            <w:pPr>
              <w:jc w:val="both"/>
              <w:rPr>
                <w:rFonts w:ascii="Verdana" w:eastAsia="Calibri" w:hAnsi="Verdana" w:cs="Arial"/>
                <w:b/>
                <w:bCs/>
                <w:color w:val="7030A0"/>
                <w:lang w:eastAsia="es-ES"/>
              </w:rPr>
            </w:pPr>
          </w:p>
        </w:tc>
      </w:tr>
      <w:tr w:rsidR="008636D0" w:rsidRPr="005644FE" w14:paraId="10BC5DA1" w14:textId="77777777" w:rsidTr="00FC7DC6">
        <w:trPr>
          <w:trHeight w:val="884"/>
        </w:trPr>
        <w:tc>
          <w:tcPr>
            <w:tcW w:w="3686" w:type="dxa"/>
          </w:tcPr>
          <w:p w14:paraId="44C8F188" w14:textId="77777777" w:rsidR="008636D0" w:rsidRPr="005644FE" w:rsidRDefault="008636D0" w:rsidP="00FC7DC6">
            <w:pPr>
              <w:spacing w:after="120" w:line="276" w:lineRule="auto"/>
              <w:jc w:val="both"/>
              <w:rPr>
                <w:rFonts w:ascii="Verdana" w:eastAsia="Calibri" w:hAnsi="Verdana" w:cs="Arial"/>
                <w:color w:val="000000"/>
                <w:lang w:eastAsia="es-ES_tradnl"/>
              </w:rPr>
            </w:pPr>
            <w:r w:rsidRPr="005644FE">
              <w:rPr>
                <w:rFonts w:ascii="Verdana" w:eastAsia="Calibri" w:hAnsi="Verdana" w:cs="Arial"/>
                <w:b/>
                <w:color w:val="000000"/>
                <w:lang w:eastAsia="es-ES_tradnl"/>
              </w:rPr>
              <w:t>Temas:</w:t>
            </w:r>
            <w:r w:rsidRPr="005644FE">
              <w:rPr>
                <w:rFonts w:ascii="Verdana" w:eastAsia="Calibri" w:hAnsi="Verdana" w:cs="Arial"/>
                <w:color w:val="000000"/>
                <w:lang w:eastAsia="es-ES_tradnl"/>
              </w:rPr>
              <w:t xml:space="preserve">                   </w:t>
            </w:r>
          </w:p>
        </w:tc>
        <w:tc>
          <w:tcPr>
            <w:tcW w:w="5103" w:type="dxa"/>
          </w:tcPr>
          <w:p w14:paraId="6BE6CFBC" w14:textId="36CD094F" w:rsidR="008636D0" w:rsidRPr="00AC7F4F" w:rsidRDefault="008636D0" w:rsidP="00FC7DC6">
            <w:pPr>
              <w:spacing w:after="120" w:line="276" w:lineRule="auto"/>
              <w:jc w:val="both"/>
              <w:rPr>
                <w:rFonts w:ascii="Verdana" w:eastAsia="Calibri" w:hAnsi="Verdana" w:cs="Arial"/>
                <w:lang w:val="es-ES" w:eastAsia="es-ES"/>
              </w:rPr>
            </w:pPr>
            <w:r>
              <w:rPr>
                <w:rFonts w:ascii="Verdana" w:eastAsia="Calibri" w:hAnsi="Verdana" w:cs="Arial"/>
                <w:lang w:val="es-ES" w:eastAsia="es-ES"/>
              </w:rPr>
              <w:t xml:space="preserve">LICITACIÓN PÚBLICA – Regla general / </w:t>
            </w:r>
            <w:r w:rsidRPr="00AA39FA">
              <w:rPr>
                <w:rFonts w:ascii="Verdana" w:eastAsia="Calibri" w:hAnsi="Verdana" w:cs="Arial"/>
                <w:lang w:val="es-ES" w:eastAsia="es-ES"/>
              </w:rPr>
              <w:t xml:space="preserve">SELECCIÓN ABREVIADA – Marco normativo / BIENES Y SERVICIOS DE CARACTERÍSTICAS TÉCNICAS UNIFORMES – Definición / BIENES Y SERVICIOS DE CARACTERÍSTICAS TÉCNICAS UNIFORMES ‒ Características – Formas de adquisición / </w:t>
            </w:r>
            <w:r>
              <w:rPr>
                <w:rFonts w:ascii="Verdana" w:eastAsia="Calibri" w:hAnsi="Verdana" w:cs="Arial"/>
                <w:lang w:val="es-ES" w:eastAsia="es-ES"/>
              </w:rPr>
              <w:t>ADQUISICIÓN DE SOAT</w:t>
            </w:r>
            <w:r w:rsidRPr="00AA39FA">
              <w:rPr>
                <w:rFonts w:ascii="Verdana" w:eastAsia="Calibri" w:hAnsi="Verdana" w:cs="Arial"/>
                <w:lang w:val="es-ES" w:eastAsia="es-ES"/>
              </w:rPr>
              <w:t xml:space="preserve"> – </w:t>
            </w:r>
            <w:r>
              <w:rPr>
                <w:rFonts w:ascii="Verdana" w:eastAsia="Calibri" w:hAnsi="Verdana" w:cs="Arial"/>
                <w:lang w:val="es-ES" w:eastAsia="es-ES"/>
              </w:rPr>
              <w:t xml:space="preserve">Normatividad / </w:t>
            </w:r>
            <w:r w:rsidR="00EE4CD2" w:rsidRPr="00EE4CD2">
              <w:rPr>
                <w:rFonts w:ascii="Verdana" w:eastAsia="Calibri" w:hAnsi="Verdana" w:cs="Arial"/>
                <w:lang w:val="es-ES" w:eastAsia="es-ES"/>
              </w:rPr>
              <w:t>PLANEACIÓN CONTRACTUAL – Noción – Obligación de las entidades – Ley 80 de 1993 / ESTUDIOS PREVIOS – Finalidad / ESTUDIOS DE MERCADO – Finalidad – Recomendaciones – Colombia Compra eficiente – Guía de elaboración de estudios del sector</w:t>
            </w:r>
          </w:p>
        </w:tc>
      </w:tr>
      <w:tr w:rsidR="008636D0" w:rsidRPr="005644FE" w14:paraId="151017D1" w14:textId="77777777" w:rsidTr="00FC7DC6">
        <w:tc>
          <w:tcPr>
            <w:tcW w:w="3686" w:type="dxa"/>
          </w:tcPr>
          <w:p w14:paraId="2560A68F" w14:textId="77777777" w:rsidR="008636D0" w:rsidRPr="005644FE" w:rsidRDefault="008636D0" w:rsidP="00FC7DC6">
            <w:pPr>
              <w:jc w:val="both"/>
              <w:rPr>
                <w:rFonts w:ascii="Verdana" w:eastAsia="Calibri" w:hAnsi="Verdana" w:cs="Arial"/>
                <w:b/>
                <w:lang w:eastAsia="es-ES_tradnl"/>
              </w:rPr>
            </w:pPr>
            <w:r w:rsidRPr="005644FE">
              <w:rPr>
                <w:rFonts w:ascii="Verdana" w:eastAsia="Calibri" w:hAnsi="Verdana" w:cs="Arial"/>
                <w:b/>
                <w:lang w:eastAsia="es-ES_tradnl"/>
              </w:rPr>
              <w:t>Radicación:</w:t>
            </w:r>
            <w:r w:rsidRPr="005644FE">
              <w:rPr>
                <w:rFonts w:ascii="Verdana" w:eastAsia="Calibri" w:hAnsi="Verdana" w:cs="Arial"/>
                <w:lang w:eastAsia="es-ES_tradnl"/>
              </w:rPr>
              <w:t xml:space="preserve">               </w:t>
            </w:r>
          </w:p>
        </w:tc>
        <w:tc>
          <w:tcPr>
            <w:tcW w:w="5103" w:type="dxa"/>
          </w:tcPr>
          <w:p w14:paraId="07E270DA" w14:textId="77777777" w:rsidR="008636D0" w:rsidRPr="00F04657" w:rsidRDefault="008636D0" w:rsidP="00FC7DC6">
            <w:pPr>
              <w:jc w:val="both"/>
              <w:rPr>
                <w:rFonts w:ascii="Verdana" w:eastAsia="Calibri" w:hAnsi="Verdana" w:cs="Arial"/>
                <w:lang w:eastAsia="es-ES"/>
              </w:rPr>
            </w:pPr>
            <w:r w:rsidRPr="74C89D8F">
              <w:rPr>
                <w:rFonts w:ascii="Verdana" w:eastAsia="Calibri" w:hAnsi="Verdana" w:cs="Arial"/>
                <w:lang w:eastAsia="es-ES"/>
              </w:rPr>
              <w:t>Respuesta a consulta con radicado</w:t>
            </w:r>
            <w:r>
              <w:rPr>
                <w:rFonts w:ascii="Verdana" w:eastAsia="Calibri" w:hAnsi="Verdana" w:cs="Arial"/>
                <w:lang w:eastAsia="es-ES"/>
              </w:rPr>
              <w:t xml:space="preserve"> </w:t>
            </w:r>
            <w:r w:rsidRPr="00B12E50">
              <w:rPr>
                <w:rFonts w:ascii="Verdana" w:eastAsia="Calibri" w:hAnsi="Verdana" w:cs="Arial"/>
                <w:lang w:eastAsia="es-ES"/>
              </w:rPr>
              <w:t>1_2026_06_03_007548</w:t>
            </w:r>
          </w:p>
        </w:tc>
      </w:tr>
    </w:tbl>
    <w:p w14:paraId="256E5E61" w14:textId="77777777" w:rsidR="008636D0" w:rsidRPr="005644FE" w:rsidRDefault="008636D0" w:rsidP="008636D0">
      <w:pPr>
        <w:spacing w:after="0" w:line="276" w:lineRule="auto"/>
        <w:jc w:val="both"/>
        <w:rPr>
          <w:rFonts w:ascii="Verdana" w:eastAsia="Calibri" w:hAnsi="Verdana" w:cs="Arial"/>
          <w:lang w:eastAsia="es-ES_tradnl"/>
        </w:rPr>
      </w:pPr>
      <w:r>
        <w:rPr>
          <w:rFonts w:ascii="Verdana" w:eastAsia="Calibri" w:hAnsi="Verdana" w:cs="Arial"/>
          <w:lang w:eastAsia="es-ES_tradnl"/>
        </w:rPr>
        <w:t xml:space="preserve"> </w:t>
      </w:r>
    </w:p>
    <w:p w14:paraId="16278496" w14:textId="77777777" w:rsidR="008636D0" w:rsidRPr="005644FE" w:rsidRDefault="008636D0" w:rsidP="008636D0">
      <w:pPr>
        <w:spacing w:after="0" w:line="276" w:lineRule="auto"/>
        <w:jc w:val="both"/>
        <w:rPr>
          <w:rFonts w:ascii="Verdana" w:eastAsia="Calibri" w:hAnsi="Verdana" w:cs="Arial"/>
          <w:lang w:eastAsia="es-ES"/>
        </w:rPr>
      </w:pPr>
      <w:r>
        <w:rPr>
          <w:rFonts w:ascii="Verdana" w:eastAsia="Calibri" w:hAnsi="Verdana" w:cs="Arial"/>
          <w:lang w:eastAsia="es-ES"/>
        </w:rPr>
        <w:t xml:space="preserve">Estimado señor Ramos: </w:t>
      </w:r>
    </w:p>
    <w:p w14:paraId="05161DB3" w14:textId="77777777" w:rsidR="008636D0" w:rsidRPr="00E02524" w:rsidRDefault="008636D0" w:rsidP="008636D0">
      <w:pPr>
        <w:spacing w:after="0" w:line="240" w:lineRule="auto"/>
        <w:jc w:val="both"/>
        <w:rPr>
          <w:rFonts w:ascii="Verdana" w:hAnsi="Verdana"/>
          <w:lang w:val="es-MX"/>
        </w:rPr>
      </w:pPr>
    </w:p>
    <w:p w14:paraId="3C7E2023" w14:textId="77777777" w:rsidR="008636D0" w:rsidRDefault="008636D0" w:rsidP="008636D0">
      <w:pPr>
        <w:spacing w:after="120" w:line="276" w:lineRule="auto"/>
        <w:jc w:val="both"/>
        <w:rPr>
          <w:rFonts w:ascii="Verdana" w:hAnsi="Verdana"/>
        </w:rPr>
      </w:pPr>
      <w:r w:rsidRPr="0084712D">
        <w:rPr>
          <w:rFonts w:ascii="Verdana" w:hAnsi="Verdana"/>
        </w:rPr>
        <w:t xml:space="preserve">La Agencia Nacional de Contratación Pública – Colombia Compra Eficiente –, en ejercicio de las competencias otorgadas por los artículos 3, numeral 5º, y 11, numeral 8º, del Decreto Ley 4170 de 2011 y de conformidad con las modalidades del derecho de petición contempladas en la Ley 1755 de 2015 y en la resolución </w:t>
      </w:r>
      <w:proofErr w:type="spellStart"/>
      <w:r w:rsidRPr="0084712D">
        <w:rPr>
          <w:rFonts w:ascii="Verdana" w:hAnsi="Verdana"/>
        </w:rPr>
        <w:t>N°</w:t>
      </w:r>
      <w:proofErr w:type="spellEnd"/>
      <w:r w:rsidRPr="0084712D">
        <w:rPr>
          <w:rFonts w:ascii="Verdana" w:hAnsi="Verdana"/>
        </w:rPr>
        <w:t xml:space="preserve"> 469 del 2025 expedida por esta Agencia, responde la solicitud de consulta de fecha </w:t>
      </w:r>
      <w:r>
        <w:rPr>
          <w:rFonts w:ascii="Verdana" w:hAnsi="Verdana"/>
        </w:rPr>
        <w:t>3 de junio de 2026</w:t>
      </w:r>
      <w:r w:rsidRPr="0084712D">
        <w:rPr>
          <w:rFonts w:ascii="Verdana" w:hAnsi="Verdana"/>
        </w:rPr>
        <w:t>, en la cual manifiesta lo siguiente:</w:t>
      </w:r>
    </w:p>
    <w:p w14:paraId="4DA3BCD3" w14:textId="77777777" w:rsidR="008636D0" w:rsidRPr="00AC7F4F" w:rsidRDefault="008636D0" w:rsidP="008636D0">
      <w:pPr>
        <w:spacing w:after="0" w:line="240" w:lineRule="auto"/>
        <w:ind w:right="709"/>
        <w:jc w:val="both"/>
        <w:rPr>
          <w:rFonts w:ascii="Verdana" w:hAnsi="Verdana"/>
        </w:rPr>
      </w:pPr>
      <w:r w:rsidRPr="00AC7F4F">
        <w:rPr>
          <w:rFonts w:ascii="Verdana" w:hAnsi="Verdana"/>
        </w:rPr>
        <w:t xml:space="preserve">PETICIÓN REALIZADA: </w:t>
      </w:r>
    </w:p>
    <w:p w14:paraId="1D8FC9E3" w14:textId="77777777" w:rsidR="008636D0" w:rsidRDefault="008636D0" w:rsidP="008636D0">
      <w:pPr>
        <w:spacing w:after="0" w:line="240" w:lineRule="auto"/>
        <w:ind w:left="709" w:right="709"/>
        <w:jc w:val="both"/>
        <w:rPr>
          <w:rFonts w:ascii="Verdana" w:hAnsi="Verdana"/>
          <w:sz w:val="20"/>
          <w:szCs w:val="20"/>
        </w:rPr>
      </w:pPr>
    </w:p>
    <w:p w14:paraId="3040DE23" w14:textId="77777777" w:rsidR="008636D0" w:rsidRDefault="008636D0" w:rsidP="008636D0">
      <w:pPr>
        <w:spacing w:after="0" w:line="240" w:lineRule="auto"/>
        <w:ind w:left="709" w:right="709"/>
        <w:jc w:val="both"/>
        <w:rPr>
          <w:rFonts w:ascii="Verdana" w:hAnsi="Verdana"/>
          <w:sz w:val="20"/>
          <w:szCs w:val="20"/>
        </w:rPr>
      </w:pPr>
      <w:r>
        <w:rPr>
          <w:rFonts w:ascii="Verdana" w:hAnsi="Verdana"/>
          <w:sz w:val="20"/>
          <w:szCs w:val="20"/>
        </w:rPr>
        <w:t xml:space="preserve">“(…) Emitir concepto u orientación jurídica clara sobre cuál es la modalidad de selección más adecuada para la adquisición de pólizas SOAT por parte de las entidades estatales, específicamente entre: </w:t>
      </w:r>
    </w:p>
    <w:p w14:paraId="4396A1EE" w14:textId="77777777" w:rsidR="008636D0" w:rsidRDefault="008636D0" w:rsidP="008636D0">
      <w:pPr>
        <w:spacing w:after="0" w:line="240" w:lineRule="auto"/>
        <w:ind w:left="709" w:right="709"/>
        <w:jc w:val="both"/>
        <w:rPr>
          <w:rFonts w:ascii="Verdana" w:hAnsi="Verdana"/>
          <w:sz w:val="20"/>
          <w:szCs w:val="20"/>
        </w:rPr>
      </w:pPr>
    </w:p>
    <w:p w14:paraId="04CF10AA" w14:textId="77777777" w:rsidR="008636D0" w:rsidRPr="005F0738" w:rsidRDefault="008636D0" w:rsidP="008636D0">
      <w:pPr>
        <w:pStyle w:val="Prrafodelista"/>
        <w:numPr>
          <w:ilvl w:val="0"/>
          <w:numId w:val="17"/>
        </w:numPr>
        <w:spacing w:after="0" w:line="240" w:lineRule="auto"/>
        <w:ind w:right="709"/>
        <w:jc w:val="both"/>
        <w:rPr>
          <w:rFonts w:ascii="Verdana" w:hAnsi="Verdana"/>
          <w:sz w:val="20"/>
          <w:szCs w:val="20"/>
        </w:rPr>
      </w:pPr>
      <w:r w:rsidRPr="005F0738">
        <w:rPr>
          <w:rFonts w:ascii="Verdana" w:hAnsi="Verdana"/>
          <w:sz w:val="20"/>
          <w:szCs w:val="20"/>
        </w:rPr>
        <w:t xml:space="preserve">La selección abreviada para bienes y servicios de características técnicas uniformes (subasta inversa u otros mecanismos). O </w:t>
      </w:r>
    </w:p>
    <w:p w14:paraId="16BEFE23" w14:textId="77777777" w:rsidR="008636D0" w:rsidRPr="005F0738" w:rsidRDefault="008636D0" w:rsidP="008636D0">
      <w:pPr>
        <w:pStyle w:val="Prrafodelista"/>
        <w:numPr>
          <w:ilvl w:val="0"/>
          <w:numId w:val="17"/>
        </w:numPr>
        <w:spacing w:after="0" w:line="240" w:lineRule="auto"/>
        <w:ind w:right="709"/>
        <w:jc w:val="both"/>
        <w:rPr>
          <w:rFonts w:ascii="Verdana" w:hAnsi="Verdana"/>
          <w:sz w:val="20"/>
          <w:szCs w:val="20"/>
        </w:rPr>
      </w:pPr>
      <w:r w:rsidRPr="005F0738">
        <w:rPr>
          <w:rFonts w:ascii="Verdana" w:hAnsi="Verdana"/>
          <w:sz w:val="20"/>
          <w:szCs w:val="20"/>
        </w:rPr>
        <w:t>La selección abreviada de menor cuantía, teniendo en cuenta la normatividad vigente y los criterios expuestos en el Concepto C-977 de 2024 (…)”.</w:t>
      </w:r>
    </w:p>
    <w:p w14:paraId="382836EB" w14:textId="77777777" w:rsidR="008636D0" w:rsidRPr="00647D77" w:rsidRDefault="008636D0" w:rsidP="008636D0">
      <w:pPr>
        <w:spacing w:after="0" w:line="240" w:lineRule="auto"/>
        <w:ind w:right="709"/>
        <w:jc w:val="both"/>
        <w:rPr>
          <w:rFonts w:ascii="Verdana" w:hAnsi="Verdana"/>
        </w:rPr>
      </w:pPr>
    </w:p>
    <w:p w14:paraId="79CFA3AB" w14:textId="77777777" w:rsidR="008636D0" w:rsidRPr="00985EC3" w:rsidRDefault="008636D0" w:rsidP="008636D0">
      <w:pPr>
        <w:spacing w:after="120" w:line="276" w:lineRule="auto"/>
        <w:ind w:firstLine="709"/>
        <w:jc w:val="both"/>
        <w:rPr>
          <w:rFonts w:ascii="Verdana" w:eastAsia="Calibri" w:hAnsi="Verdana" w:cs="Arial"/>
          <w:color w:val="000000"/>
          <w:szCs w:val="24"/>
          <w:lang w:eastAsia="es-ES_tradnl"/>
        </w:rPr>
      </w:pPr>
      <w:r w:rsidRPr="005644FE">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eastAsia="es-ES"/>
        </w:rPr>
        <w:t xml:space="preserve">la Agencia Nacional de Contratación Pública - </w:t>
      </w:r>
      <w:r w:rsidRPr="005644FE">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w:t>
      </w:r>
      <w:r w:rsidRPr="00F64722">
        <w:rPr>
          <w:rFonts w:ascii="Verdana" w:eastAsia="Calibri" w:hAnsi="Verdana" w:cs="Arial"/>
          <w:color w:val="000000"/>
          <w:lang w:eastAsia="es-ES"/>
        </w:rPr>
        <w:t xml:space="preserve">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w:t>
      </w:r>
      <w:r w:rsidRPr="00985EC3">
        <w:rPr>
          <w:rFonts w:ascii="Verdana" w:eastAsia="Calibri" w:hAnsi="Verdana" w:cs="Arial"/>
          <w:color w:val="000000"/>
          <w:lang w:eastAsia="es-ES"/>
        </w:rPr>
        <w:t xml:space="preserve">asesorías sobre casos puntuales. </w:t>
      </w:r>
    </w:p>
    <w:p w14:paraId="2DC6D035" w14:textId="77777777" w:rsidR="008636D0" w:rsidRPr="00985EC3" w:rsidRDefault="008636D0" w:rsidP="008636D0">
      <w:pPr>
        <w:spacing w:after="120" w:line="276" w:lineRule="auto"/>
        <w:ind w:firstLine="709"/>
        <w:jc w:val="both"/>
        <w:rPr>
          <w:rFonts w:ascii="Verdana" w:eastAsia="Calibri" w:hAnsi="Verdana" w:cs="Arial"/>
          <w:lang w:eastAsia="es-ES"/>
        </w:rPr>
      </w:pPr>
      <w:r w:rsidRPr="00985EC3">
        <w:rPr>
          <w:rFonts w:ascii="Verdana" w:eastAsia="Calibri" w:hAnsi="Verdana" w:cs="Arial"/>
          <w:color w:val="000000"/>
          <w:lang w:eastAsia="es-ES"/>
        </w:rPr>
        <w:t>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al problema jurídico de su consulta.</w:t>
      </w:r>
      <w:r w:rsidRPr="00985EC3">
        <w:rPr>
          <w:rFonts w:ascii="Verdana" w:eastAsia="Calibri" w:hAnsi="Verdana" w:cs="Arial"/>
          <w:lang w:eastAsia="es-ES"/>
        </w:rPr>
        <w:t xml:space="preserve">  </w:t>
      </w:r>
    </w:p>
    <w:p w14:paraId="3F2E491C" w14:textId="77777777" w:rsidR="008636D0" w:rsidRPr="00985EC3" w:rsidRDefault="008636D0" w:rsidP="008636D0">
      <w:pPr>
        <w:spacing w:after="120" w:line="276" w:lineRule="auto"/>
        <w:jc w:val="both"/>
        <w:rPr>
          <w:rFonts w:ascii="Verdana" w:eastAsia="Calibri" w:hAnsi="Verdana" w:cs="Arial"/>
          <w:lang w:eastAsia="es-ES"/>
        </w:rPr>
      </w:pPr>
      <w:r w:rsidRPr="00985EC3">
        <w:rPr>
          <w:rFonts w:ascii="Verdana" w:eastAsia="Calibri" w:hAnsi="Verdana" w:cs="Arial"/>
          <w:b/>
          <w:bCs/>
          <w:lang w:eastAsia="es-ES"/>
        </w:rPr>
        <w:t xml:space="preserve">1. </w:t>
      </w:r>
      <w:r w:rsidRPr="00985EC3">
        <w:rPr>
          <w:rFonts w:ascii="Verdana" w:eastAsia="Century Gothic" w:hAnsi="Verdana" w:cs="Century Gothic"/>
          <w:b/>
          <w:bCs/>
        </w:rPr>
        <w:t>Problema planteado:</w:t>
      </w:r>
    </w:p>
    <w:p w14:paraId="375F84F6" w14:textId="047C290E" w:rsidR="008636D0" w:rsidRPr="007620A2" w:rsidRDefault="008636D0" w:rsidP="00F914AD">
      <w:pPr>
        <w:spacing w:after="120" w:line="276" w:lineRule="auto"/>
        <w:jc w:val="both"/>
        <w:rPr>
          <w:rFonts w:ascii="Verdana" w:hAnsi="Verdana"/>
        </w:rPr>
      </w:pPr>
      <w:r w:rsidRPr="00985EC3">
        <w:rPr>
          <w:rFonts w:ascii="Verdana" w:eastAsia="Calibri" w:hAnsi="Verdana" w:cs="Arial"/>
          <w:color w:val="000000"/>
          <w:lang w:eastAsia="es-ES"/>
        </w:rPr>
        <w:t>De acuerdo con el contenido de su solicitud, esta Agencia resolverá el siguiente problema jurídico: ¿</w:t>
      </w:r>
      <w:r w:rsidR="00795EE5">
        <w:rPr>
          <w:rFonts w:ascii="Verdana" w:eastAsia="Calibri" w:hAnsi="Verdana" w:cs="Arial"/>
          <w:color w:val="000000"/>
          <w:lang w:eastAsia="es-ES"/>
        </w:rPr>
        <w:t>Cómo se escogen las modalidades de contratación</w:t>
      </w:r>
      <w:proofErr w:type="gramStart"/>
      <w:r w:rsidR="00795EE5">
        <w:rPr>
          <w:rFonts w:ascii="Verdana" w:eastAsia="Calibri" w:hAnsi="Verdana" w:cs="Arial"/>
          <w:color w:val="000000"/>
          <w:lang w:eastAsia="es-ES"/>
        </w:rPr>
        <w:t xml:space="preserve">? </w:t>
      </w:r>
      <w:r w:rsidRPr="00985EC3">
        <w:rPr>
          <w:rFonts w:ascii="Verdana" w:eastAsia="Calibri" w:hAnsi="Verdana" w:cs="Arial"/>
          <w:color w:val="000000"/>
          <w:lang w:eastAsia="es-ES"/>
        </w:rPr>
        <w:t>?</w:t>
      </w:r>
      <w:proofErr w:type="gramEnd"/>
      <w:r w:rsidRPr="00E524FF">
        <w:rPr>
          <w:rFonts w:ascii="Verdana" w:eastAsia="Calibri" w:hAnsi="Verdana" w:cs="Arial"/>
          <w:color w:val="000000"/>
          <w:lang w:eastAsia="es-ES"/>
        </w:rPr>
        <w:t xml:space="preserve"> </w:t>
      </w:r>
    </w:p>
    <w:p w14:paraId="667C927A" w14:textId="77777777" w:rsidR="008636D0" w:rsidRPr="00C97CA6" w:rsidRDefault="008636D0" w:rsidP="008636D0">
      <w:pPr>
        <w:spacing w:after="0" w:line="276" w:lineRule="auto"/>
        <w:jc w:val="both"/>
        <w:rPr>
          <w:rFonts w:ascii="Verdana" w:eastAsia="Century Gothic" w:hAnsi="Verdana" w:cs="Century Gothic"/>
        </w:rPr>
      </w:pPr>
      <w:r w:rsidRPr="00B33011">
        <w:rPr>
          <w:rFonts w:ascii="Verdana" w:eastAsia="Century Gothic" w:hAnsi="Verdana" w:cs="Century Gothic"/>
          <w:b/>
          <w:bCs/>
        </w:rPr>
        <w:t>2. Respuesta:</w:t>
      </w:r>
    </w:p>
    <w:p w14:paraId="540C4C9A" w14:textId="77777777" w:rsidR="008636D0" w:rsidRPr="005644FE" w:rsidRDefault="008636D0" w:rsidP="008636D0">
      <w:pPr>
        <w:spacing w:after="0" w:line="276" w:lineRule="auto"/>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8636D0" w:rsidRPr="005644FE" w14:paraId="4653D86C" w14:textId="77777777" w:rsidTr="00FC7DC6">
        <w:tc>
          <w:tcPr>
            <w:tcW w:w="8828" w:type="dxa"/>
          </w:tcPr>
          <w:p w14:paraId="2623567C" w14:textId="53BD28F5" w:rsidR="008636D0" w:rsidRDefault="0045378B" w:rsidP="0045378B">
            <w:pPr>
              <w:spacing w:after="120" w:line="276" w:lineRule="auto"/>
              <w:jc w:val="both"/>
              <w:rPr>
                <w:rFonts w:ascii="Verdana" w:eastAsia="Calibri" w:hAnsi="Verdana" w:cs="Arial"/>
                <w:bCs/>
                <w:lang w:val="es-MX" w:eastAsia="es-ES_tradnl"/>
              </w:rPr>
            </w:pPr>
            <w:r>
              <w:rPr>
                <w:rFonts w:ascii="Verdana" w:eastAsia="Calibri" w:hAnsi="Verdana" w:cs="Arial"/>
                <w:color w:val="000000"/>
                <w:szCs w:val="24"/>
                <w:lang w:val="es-ES_tradnl" w:eastAsia="es-ES_tradnl"/>
              </w:rPr>
              <w:t xml:space="preserve">Los procesos de selección que rigen para </w:t>
            </w:r>
            <w:r w:rsidRPr="0086479C">
              <w:rPr>
                <w:rFonts w:ascii="Verdana" w:hAnsi="Verdana" w:cs="Arial"/>
                <w:lang w:val="es-ES"/>
              </w:rPr>
              <w:t>las entidades sometidas al Estatuto General de Contratación de la Administración Pública</w:t>
            </w:r>
            <w:r>
              <w:rPr>
                <w:rFonts w:ascii="Verdana" w:hAnsi="Verdana" w:cs="Arial"/>
                <w:lang w:val="es-ES"/>
              </w:rPr>
              <w:t xml:space="preserve"> – en adelante EGCAP –</w:t>
            </w:r>
            <w:r w:rsidRPr="0086479C">
              <w:rPr>
                <w:rFonts w:ascii="Verdana" w:hAnsi="Verdana" w:cs="Arial"/>
                <w:lang w:val="es-ES"/>
              </w:rPr>
              <w:t xml:space="preserve">, </w:t>
            </w:r>
            <w:r>
              <w:rPr>
                <w:rFonts w:ascii="Verdana" w:hAnsi="Verdana" w:cs="Arial"/>
                <w:lang w:val="es-ES"/>
              </w:rPr>
              <w:t>se encuentran en</w:t>
            </w:r>
            <w:r w:rsidRPr="0086479C">
              <w:rPr>
                <w:rFonts w:ascii="Verdana" w:hAnsi="Verdana" w:cs="Arial"/>
                <w:lang w:val="es-ES"/>
              </w:rPr>
              <w:t xml:space="preserve"> </w:t>
            </w:r>
            <w:r w:rsidRPr="0086479C">
              <w:rPr>
                <w:rFonts w:ascii="Verdana" w:hAnsi="Verdana" w:cs="Arial"/>
                <w:bCs/>
                <w:lang w:val="es-ES_tradnl"/>
              </w:rPr>
              <w:t>el artículo 2 de la Ley 1150 de 2007</w:t>
            </w:r>
            <w:r w:rsidRPr="0086479C">
              <w:rPr>
                <w:rFonts w:ascii="Verdana" w:hAnsi="Verdana" w:cs="Arial"/>
                <w:lang w:val="es-ES"/>
              </w:rPr>
              <w:t xml:space="preserve">. El </w:t>
            </w:r>
            <w:r w:rsidRPr="0086479C">
              <w:rPr>
                <w:rFonts w:ascii="Verdana" w:eastAsia="Calibri" w:hAnsi="Verdana" w:cs="Arial"/>
                <w:bCs/>
                <w:lang w:val="es-MX" w:eastAsia="es-ES_tradnl"/>
              </w:rPr>
              <w:t>numeral uno, inciso primero, de la norma citada</w:t>
            </w:r>
            <w:r w:rsidRPr="0086479C">
              <w:rPr>
                <w:rFonts w:ascii="Verdana" w:hAnsi="Verdana" w:cs="Arial"/>
                <w:bCs/>
                <w:lang w:val="es-ES_tradnl"/>
              </w:rPr>
              <w:t xml:space="preserve"> </w:t>
            </w:r>
            <w:r w:rsidRPr="0086479C">
              <w:rPr>
                <w:rFonts w:ascii="Verdana" w:eastAsia="Calibri" w:hAnsi="Verdana" w:cs="Arial"/>
                <w:bCs/>
                <w:lang w:val="es-MX" w:eastAsia="es-ES_tradnl"/>
              </w:rPr>
              <w:t xml:space="preserve">dispone que “La escogencia del contratista se efectuará por </w:t>
            </w:r>
            <w:r w:rsidRPr="0086479C">
              <w:rPr>
                <w:rFonts w:ascii="Verdana" w:eastAsia="Calibri" w:hAnsi="Verdana" w:cs="Arial"/>
                <w:bCs/>
                <w:i/>
                <w:iCs/>
                <w:lang w:val="es-MX" w:eastAsia="es-ES_tradnl"/>
              </w:rPr>
              <w:t>regla general</w:t>
            </w:r>
            <w:r w:rsidRPr="0086479C">
              <w:rPr>
                <w:rFonts w:ascii="Verdana" w:eastAsia="Calibri" w:hAnsi="Verdana" w:cs="Arial"/>
                <w:bCs/>
                <w:lang w:val="es-MX" w:eastAsia="es-ES_tradnl"/>
              </w:rPr>
              <w:t xml:space="preserve"> a través de licitación pública, con las </w:t>
            </w:r>
            <w:r w:rsidRPr="0086479C">
              <w:rPr>
                <w:rFonts w:ascii="Verdana" w:eastAsia="Calibri" w:hAnsi="Verdana" w:cs="Arial"/>
                <w:bCs/>
                <w:i/>
                <w:iCs/>
                <w:lang w:val="es-MX" w:eastAsia="es-ES_tradnl"/>
              </w:rPr>
              <w:t>excepciones</w:t>
            </w:r>
            <w:r w:rsidRPr="0086479C">
              <w:rPr>
                <w:rFonts w:ascii="Verdana" w:eastAsia="Calibri" w:hAnsi="Verdana" w:cs="Arial"/>
                <w:bCs/>
                <w:lang w:val="es-MX" w:eastAsia="es-ES_tradnl"/>
              </w:rPr>
              <w:t xml:space="preserve"> que se señalan en los numerales 2, 3 y 4 del presente artículo</w:t>
            </w:r>
            <w:r w:rsidR="00DA070B">
              <w:rPr>
                <w:rFonts w:ascii="Verdana" w:eastAsia="Calibri" w:hAnsi="Verdana" w:cs="Arial"/>
                <w:bCs/>
                <w:lang w:val="es-MX" w:eastAsia="es-ES_tradnl"/>
              </w:rPr>
              <w:t>.</w:t>
            </w:r>
          </w:p>
          <w:p w14:paraId="388F0DB6" w14:textId="04E080EB" w:rsidR="006F26AC" w:rsidRDefault="006F26AC" w:rsidP="006F26AC">
            <w:pPr>
              <w:spacing w:after="120" w:line="276" w:lineRule="auto"/>
              <w:ind w:firstLine="709"/>
              <w:jc w:val="both"/>
              <w:rPr>
                <w:rFonts w:ascii="Verdana" w:eastAsia="Calibri" w:hAnsi="Verdana" w:cs="Arial"/>
              </w:rPr>
            </w:pPr>
            <w:r w:rsidRPr="00185EE9">
              <w:rPr>
                <w:rFonts w:ascii="Verdana" w:eastAsia="Calibri" w:hAnsi="Verdana" w:cs="Arial"/>
                <w:bCs/>
                <w:lang w:val="es-MX" w:eastAsia="es-ES_tradnl"/>
              </w:rPr>
              <w:t xml:space="preserve">Respecto </w:t>
            </w:r>
            <w:r w:rsidR="00FE1828">
              <w:rPr>
                <w:rFonts w:ascii="Verdana" w:eastAsia="Calibri" w:hAnsi="Verdana" w:cs="Arial"/>
                <w:bCs/>
                <w:lang w:val="es-MX" w:eastAsia="es-ES_tradnl"/>
              </w:rPr>
              <w:t>de</w:t>
            </w:r>
            <w:r w:rsidRPr="00185EE9">
              <w:rPr>
                <w:rFonts w:ascii="Verdana" w:eastAsia="Calibri" w:hAnsi="Verdana" w:cs="Arial"/>
                <w:bCs/>
                <w:lang w:val="es-MX" w:eastAsia="es-ES_tradnl"/>
              </w:rPr>
              <w:t xml:space="preserve"> la</w:t>
            </w:r>
            <w:r>
              <w:rPr>
                <w:rFonts w:ascii="Verdana" w:eastAsia="Calibri" w:hAnsi="Verdana" w:cs="Arial"/>
                <w:bCs/>
                <w:lang w:val="es-MX" w:eastAsia="es-ES_tradnl"/>
              </w:rPr>
              <w:t xml:space="preserve"> modalidad</w:t>
            </w:r>
            <w:r w:rsidRPr="00185EE9">
              <w:rPr>
                <w:rFonts w:ascii="Verdana" w:eastAsia="Calibri" w:hAnsi="Verdana" w:cs="Arial"/>
                <w:bCs/>
                <w:lang w:val="es-MX" w:eastAsia="es-ES_tradnl"/>
              </w:rPr>
              <w:t xml:space="preserve"> selección abreviada</w:t>
            </w:r>
            <w:r w:rsidR="00537849">
              <w:rPr>
                <w:rFonts w:ascii="Verdana" w:eastAsia="Calibri" w:hAnsi="Verdana" w:cs="Arial"/>
                <w:bCs/>
                <w:lang w:val="es-MX" w:eastAsia="es-ES_tradnl"/>
              </w:rPr>
              <w:t xml:space="preserve"> contenida en </w:t>
            </w:r>
            <w:r w:rsidRPr="00185EE9">
              <w:rPr>
                <w:rFonts w:ascii="Verdana" w:eastAsia="Calibri" w:hAnsi="Verdana" w:cs="Arial"/>
              </w:rPr>
              <w:t>el numeral 2 del artículo 2 de la Ley 1150 de 2007</w:t>
            </w:r>
            <w:r w:rsidR="006B65F9">
              <w:rPr>
                <w:rFonts w:ascii="Verdana" w:eastAsia="Calibri" w:hAnsi="Verdana" w:cs="Arial"/>
              </w:rPr>
              <w:t xml:space="preserve">, </w:t>
            </w:r>
            <w:r w:rsidR="006B65F9" w:rsidRPr="00185EE9">
              <w:rPr>
                <w:rFonts w:ascii="Verdana" w:eastAsia="Calibri" w:hAnsi="Verdana" w:cs="Arial"/>
              </w:rPr>
              <w:t>se caracteriza por tener etapas un poco sencillas y términos relativamente más cortos que los de la licitación pública</w:t>
            </w:r>
            <w:r w:rsidR="006B65F9">
              <w:rPr>
                <w:rFonts w:ascii="Verdana" w:eastAsia="Calibri" w:hAnsi="Verdana" w:cs="Arial"/>
              </w:rPr>
              <w:t xml:space="preserve">. Esto </w:t>
            </w:r>
            <w:r w:rsidR="006B65F9" w:rsidRPr="00185EE9">
              <w:rPr>
                <w:rFonts w:ascii="Verdana" w:eastAsia="Calibri" w:hAnsi="Verdana" w:cs="Arial"/>
              </w:rPr>
              <w:t>se justifica por las circunstancias, la naturaleza y los objetos que se contratan a través de esta modalidad, los cuales requieren de procedimientos un poco más agiles, sencillos y eficientes.</w:t>
            </w:r>
          </w:p>
          <w:p w14:paraId="13D85211" w14:textId="6CE07B3D" w:rsidR="00BD53FD" w:rsidRDefault="005015AA" w:rsidP="004333D6">
            <w:pPr>
              <w:spacing w:after="120" w:line="276" w:lineRule="auto"/>
              <w:ind w:firstLine="709"/>
              <w:jc w:val="both"/>
              <w:rPr>
                <w:rFonts w:ascii="Verdana" w:eastAsia="Calibri" w:hAnsi="Verdana" w:cs="Arial"/>
                <w:bCs/>
                <w:color w:val="000000" w:themeColor="text1"/>
              </w:rPr>
            </w:pPr>
            <w:r>
              <w:rPr>
                <w:rFonts w:ascii="Verdana" w:eastAsia="Calibri" w:hAnsi="Verdana" w:cs="Arial"/>
                <w:color w:val="000000"/>
                <w:szCs w:val="24"/>
                <w:lang w:val="es-ES_tradnl" w:eastAsia="es-ES_tradnl"/>
              </w:rPr>
              <w:t>E</w:t>
            </w:r>
            <w:r w:rsidRPr="00185EE9">
              <w:rPr>
                <w:rFonts w:ascii="Verdana" w:eastAsia="Calibri" w:hAnsi="Verdana" w:cs="Arial"/>
                <w:color w:val="000000"/>
                <w:szCs w:val="24"/>
                <w:lang w:val="es-ES_tradnl" w:eastAsia="es-ES_tradnl"/>
              </w:rPr>
              <w:t>l literal a) del artículo 2.2 de la Ley 1150 de 2007 regula la adquisición o suministro de bienes y servicios de características técnicas uniformes y de común utilización como causal de selección abreviada</w:t>
            </w:r>
            <w:r w:rsidR="005C4868">
              <w:rPr>
                <w:rFonts w:ascii="Verdana" w:eastAsia="Calibri" w:hAnsi="Verdana" w:cs="Arial"/>
                <w:color w:val="000000"/>
                <w:szCs w:val="24"/>
                <w:lang w:val="es-ES_tradnl" w:eastAsia="es-ES_tradnl"/>
              </w:rPr>
              <w:t xml:space="preserve">. </w:t>
            </w:r>
            <w:r w:rsidR="004333D6">
              <w:rPr>
                <w:rFonts w:ascii="Verdana" w:eastAsia="Calibri" w:hAnsi="Verdana" w:cs="Arial"/>
                <w:color w:val="000000"/>
                <w:szCs w:val="24"/>
                <w:lang w:val="es-ES_tradnl" w:eastAsia="es-ES_tradnl"/>
              </w:rPr>
              <w:t>De conformidad con lo anterior, l</w:t>
            </w:r>
            <w:r w:rsidR="002B0FD4" w:rsidRPr="00185EE9">
              <w:rPr>
                <w:rFonts w:ascii="Verdana" w:eastAsia="Calibri" w:hAnsi="Verdana" w:cs="Arial"/>
                <w:bCs/>
                <w:color w:val="000000" w:themeColor="text1"/>
              </w:rPr>
              <w:t>os elementos centrales para definir si un bien o servicio se considera de características técnicas uniformes</w:t>
            </w:r>
            <w:r w:rsidR="004333D6">
              <w:rPr>
                <w:rFonts w:ascii="Verdana" w:eastAsia="Calibri" w:hAnsi="Verdana" w:cs="Arial"/>
                <w:bCs/>
                <w:color w:val="000000" w:themeColor="text1"/>
              </w:rPr>
              <w:t>,</w:t>
            </w:r>
            <w:r w:rsidR="002B0FD4" w:rsidRPr="00185EE9">
              <w:rPr>
                <w:rFonts w:ascii="Verdana" w:eastAsia="Calibri" w:hAnsi="Verdana" w:cs="Arial"/>
                <w:bCs/>
                <w:color w:val="000000" w:themeColor="text1"/>
              </w:rPr>
              <w:t xml:space="preserve"> consiste en que posea las mismas especificaciones técnicas y compartan patrones de desempeño y calidad objetivamente definidos. Por ello, es posible adquirirlos en el mercado en condiciones estandarizadas u homogéneas, con independencia de su diseño o de sus características descriptivas, pues éstas no afectan su funcionalidad.</w:t>
            </w:r>
          </w:p>
          <w:p w14:paraId="4DB0AEBE" w14:textId="77777777" w:rsidR="00EA71E1" w:rsidRDefault="00EA71E1" w:rsidP="00EA71E1">
            <w:pPr>
              <w:spacing w:after="120" w:line="276" w:lineRule="auto"/>
              <w:ind w:firstLine="709"/>
              <w:jc w:val="both"/>
              <w:rPr>
                <w:rFonts w:ascii="Verdana" w:eastAsia="Calibri" w:hAnsi="Verdana" w:cs="Arial"/>
                <w:bCs/>
                <w:color w:val="000000" w:themeColor="text1"/>
              </w:rPr>
            </w:pPr>
            <w:r w:rsidRPr="00185EE9">
              <w:rPr>
                <w:rFonts w:ascii="Verdana" w:eastAsia="Calibri" w:hAnsi="Verdana" w:cs="Arial"/>
                <w:bCs/>
                <w:color w:val="000000" w:themeColor="text1"/>
              </w:rPr>
              <w:t xml:space="preserve">Respecto </w:t>
            </w:r>
            <w:r>
              <w:rPr>
                <w:rFonts w:ascii="Verdana" w:eastAsia="Calibri" w:hAnsi="Verdana" w:cs="Arial"/>
                <w:bCs/>
                <w:color w:val="000000" w:themeColor="text1"/>
              </w:rPr>
              <w:t>de</w:t>
            </w:r>
            <w:r w:rsidRPr="00185EE9">
              <w:rPr>
                <w:rFonts w:ascii="Verdana" w:eastAsia="Calibri" w:hAnsi="Verdana" w:cs="Arial"/>
                <w:bCs/>
                <w:color w:val="000000" w:themeColor="text1"/>
              </w:rPr>
              <w:t xml:space="preserve"> los servicios </w:t>
            </w:r>
            <w:r>
              <w:rPr>
                <w:rFonts w:ascii="Verdana" w:eastAsia="Calibri" w:hAnsi="Verdana" w:cs="Arial"/>
                <w:bCs/>
                <w:color w:val="000000" w:themeColor="text1"/>
              </w:rPr>
              <w:t>para la adquisición de SOAT</w:t>
            </w:r>
            <w:r w:rsidRPr="00185EE9">
              <w:rPr>
                <w:rFonts w:ascii="Verdana" w:eastAsia="Calibri" w:hAnsi="Verdana" w:cs="Arial"/>
                <w:bCs/>
                <w:color w:val="000000" w:themeColor="text1"/>
              </w:rPr>
              <w:t xml:space="preserve">, </w:t>
            </w:r>
            <w:r>
              <w:rPr>
                <w:rFonts w:ascii="Verdana" w:eastAsia="Calibri" w:hAnsi="Verdana" w:cs="Arial"/>
                <w:bCs/>
                <w:color w:val="000000" w:themeColor="text1"/>
              </w:rPr>
              <w:t xml:space="preserve">el Decreto 663 de 1993 (Estatuto Orgánico del Sistema Financiero – EOSF-) en su artículo 192 determina que los vehículos automotores que transiten en el territorio nacional deberán estar amparados por un seguro obligatorio vigente. La misma obligatoriedad está contemplada en el artículo 42 de la </w:t>
            </w:r>
            <w:r w:rsidRPr="008E2AA2">
              <w:rPr>
                <w:rFonts w:ascii="Verdana" w:eastAsia="Calibri" w:hAnsi="Verdana" w:cs="Arial"/>
                <w:bCs/>
                <w:color w:val="000000" w:themeColor="text1"/>
              </w:rPr>
              <w:t>Ley 2161 de 2021</w:t>
            </w:r>
            <w:r>
              <w:rPr>
                <w:rFonts w:ascii="Verdana" w:eastAsia="Calibri" w:hAnsi="Verdana" w:cs="Arial"/>
                <w:bCs/>
                <w:color w:val="000000" w:themeColor="text1"/>
              </w:rPr>
              <w:t xml:space="preserve">. Por su parte, el artículo 193 del EOSF indica que el gobierno reglamentará las características y condiciones generales y técnicas de la póliza, cuantías y amparos, así como los demás aspectos necesarios para el funcionamiento de dicho seguro. Así mismo, la </w:t>
            </w:r>
            <w:r w:rsidRPr="00AA4AEC">
              <w:rPr>
                <w:rFonts w:ascii="Verdana" w:eastAsia="Calibri" w:hAnsi="Verdana" w:cs="Arial"/>
                <w:bCs/>
                <w:color w:val="000000" w:themeColor="text1"/>
              </w:rPr>
              <w:t>Superintendencia Financiera de Colombia revisará periódicamente las condiciones técnicas y financieras de la operación de este seguro, propósito para el cual solicitará a las entidades aseguradoras la información que estime conveniente.</w:t>
            </w:r>
            <w:r>
              <w:rPr>
                <w:rFonts w:ascii="Verdana" w:eastAsia="Calibri" w:hAnsi="Verdana" w:cs="Arial"/>
                <w:bCs/>
                <w:color w:val="000000" w:themeColor="text1"/>
              </w:rPr>
              <w:t xml:space="preserve"> </w:t>
            </w:r>
            <w:r w:rsidRPr="00AA4AEC">
              <w:rPr>
                <w:rFonts w:ascii="Verdana" w:eastAsia="Calibri" w:hAnsi="Verdana" w:cs="Arial"/>
                <w:bCs/>
                <w:color w:val="000000" w:themeColor="text1"/>
              </w:rPr>
              <w:t>En todo caso, en la determinación de las tarifas se observarán los principios de equidad, suficiencia y moderación y se podrán establecer rangos diferenciales según la naturaleza de los riesgos.</w:t>
            </w:r>
          </w:p>
          <w:p w14:paraId="0E2C90F5" w14:textId="6A6A3181" w:rsidR="00EA71E1" w:rsidRDefault="00EA71E1" w:rsidP="00EA71E1">
            <w:pPr>
              <w:spacing w:after="120" w:line="276" w:lineRule="auto"/>
              <w:ind w:firstLine="709"/>
              <w:jc w:val="both"/>
              <w:rPr>
                <w:rFonts w:ascii="Verdana" w:eastAsia="Calibri" w:hAnsi="Verdana" w:cs="Arial"/>
                <w:bCs/>
                <w:color w:val="000000" w:themeColor="text1"/>
              </w:rPr>
            </w:pPr>
            <w:r>
              <w:rPr>
                <w:rFonts w:ascii="Verdana" w:eastAsia="Calibri" w:hAnsi="Verdana" w:cs="Arial"/>
                <w:bCs/>
                <w:color w:val="000000" w:themeColor="text1"/>
              </w:rPr>
              <w:t xml:space="preserve">Con base en lo anterior, la Superintendencia Financiera en atención a las facultades consagradas en el artículo 1 del Decreto 2497 de 2022, modificado por el Decreto 2312 e 2023, profirió actualmente la Circular 022 de 2025 la cual definió la actualización de las tarifas máximas del SOAT que pueden cobrar las compañías de seguros por la expedición del SOAT para cada una de las 37 categorías de los vehículos automotores, expresadas en pesos colombianos. </w:t>
            </w:r>
          </w:p>
          <w:p w14:paraId="382A66A6" w14:textId="06FA1389" w:rsidR="00EA71E1" w:rsidRDefault="00EA71E1" w:rsidP="00EA71E1">
            <w:pPr>
              <w:spacing w:after="120" w:line="276" w:lineRule="auto"/>
              <w:ind w:firstLine="709"/>
              <w:jc w:val="both"/>
              <w:rPr>
                <w:rFonts w:ascii="Verdana" w:eastAsia="Calibri" w:hAnsi="Verdana" w:cs="Arial"/>
                <w:bCs/>
                <w:color w:val="000000" w:themeColor="text1"/>
              </w:rPr>
            </w:pPr>
            <w:r>
              <w:rPr>
                <w:rFonts w:ascii="Verdana" w:eastAsia="Calibri" w:hAnsi="Verdana" w:cs="Arial"/>
                <w:bCs/>
                <w:color w:val="000000" w:themeColor="text1"/>
              </w:rPr>
              <w:t xml:space="preserve">Ahora bien, es importante indicar que la Ley 2161 de 2021 “por la cual </w:t>
            </w:r>
            <w:r w:rsidRPr="00084669">
              <w:rPr>
                <w:rFonts w:ascii="Verdana" w:eastAsia="Calibri" w:hAnsi="Verdana" w:cs="Arial"/>
                <w:bCs/>
                <w:color w:val="000000" w:themeColor="text1"/>
              </w:rPr>
              <w:t>e establecen medidas para promover la adquisición, renovación y no evasión del Seguro Obligatorio de Accidentes de Tránsito (SOAT), s</w:t>
            </w:r>
            <w:r>
              <w:rPr>
                <w:rFonts w:ascii="Verdana" w:eastAsia="Calibri" w:hAnsi="Verdana" w:cs="Arial"/>
                <w:bCs/>
                <w:color w:val="000000" w:themeColor="text1"/>
              </w:rPr>
              <w:t xml:space="preserve">e </w:t>
            </w:r>
            <w:r w:rsidRPr="00084669">
              <w:rPr>
                <w:rFonts w:ascii="Verdana" w:eastAsia="Calibri" w:hAnsi="Verdana" w:cs="Arial"/>
                <w:bCs/>
                <w:color w:val="000000" w:themeColor="text1"/>
              </w:rPr>
              <w:t>modifica la Ley 769 de 2002 y se dictan otras disposiciones</w:t>
            </w:r>
            <w:r>
              <w:rPr>
                <w:rFonts w:ascii="Verdana" w:eastAsia="Calibri" w:hAnsi="Verdana" w:cs="Arial"/>
                <w:bCs/>
                <w:color w:val="000000" w:themeColor="text1"/>
              </w:rPr>
              <w:t>”, en el artículo 2, que modificó la Ley 769 de 2002, en el parágrafo 3 determinó que “A partir del 2022, las compañías aseguradoras reconocerán un máximo del 5%, de las primas mensuales emitidas por cargos de intermediación por venta del SOAT. Sin embargo, este parágrafo fue declarado inexequible por la Corte Constitucional mediante sentencia C-395 de 2022</w:t>
            </w:r>
            <w:r w:rsidR="00FF7AF0">
              <w:rPr>
                <w:rFonts w:ascii="Verdana" w:eastAsia="Calibri" w:hAnsi="Verdana" w:cs="Arial"/>
                <w:bCs/>
                <w:color w:val="000000" w:themeColor="text1"/>
              </w:rPr>
              <w:t>.</w:t>
            </w:r>
          </w:p>
          <w:p w14:paraId="769D01E1" w14:textId="122E1FBF" w:rsidR="00A24EA1" w:rsidRPr="00D93523" w:rsidRDefault="00F84B0B" w:rsidP="00A24EA1">
            <w:pPr>
              <w:spacing w:after="120" w:line="276" w:lineRule="auto"/>
              <w:ind w:firstLine="709"/>
              <w:jc w:val="both"/>
              <w:rPr>
                <w:rFonts w:ascii="Verdana" w:eastAsia="Times New Roman" w:hAnsi="Verdana" w:cs="Times New Roman"/>
                <w:lang w:eastAsia="es-ES_tradnl"/>
              </w:rPr>
            </w:pPr>
            <w:r>
              <w:rPr>
                <w:rFonts w:ascii="Verdana" w:eastAsia="Calibri" w:hAnsi="Verdana" w:cs="Arial"/>
                <w:bCs/>
                <w:lang w:val="es-ES_tradnl"/>
              </w:rPr>
              <w:t xml:space="preserve">En ese escenario, la entidad </w:t>
            </w:r>
            <w:r w:rsidR="00567848">
              <w:rPr>
                <w:rFonts w:ascii="Verdana" w:eastAsia="Calibri" w:hAnsi="Verdana" w:cs="Arial"/>
                <w:bCs/>
                <w:lang w:val="es-ES_tradnl"/>
              </w:rPr>
              <w:t>estatal</w:t>
            </w:r>
            <w:r>
              <w:rPr>
                <w:rFonts w:ascii="Verdana" w:eastAsia="Calibri" w:hAnsi="Verdana" w:cs="Arial"/>
                <w:bCs/>
                <w:lang w:val="es-ES_tradnl"/>
              </w:rPr>
              <w:t xml:space="preserve"> para definir entre otras cosas, el proceso de selección más </w:t>
            </w:r>
            <w:r w:rsidR="00F914AD">
              <w:rPr>
                <w:rFonts w:ascii="Verdana" w:eastAsia="Calibri" w:hAnsi="Verdana" w:cs="Arial"/>
                <w:bCs/>
                <w:lang w:val="es-ES_tradnl"/>
              </w:rPr>
              <w:t>adecuado</w:t>
            </w:r>
            <w:r>
              <w:rPr>
                <w:rFonts w:ascii="Verdana" w:eastAsia="Calibri" w:hAnsi="Verdana" w:cs="Arial"/>
                <w:bCs/>
                <w:lang w:val="es-ES_tradnl"/>
              </w:rPr>
              <w:t xml:space="preserve"> debe garantizar el principio de planeación. </w:t>
            </w:r>
            <w:r w:rsidR="00567848">
              <w:rPr>
                <w:rFonts w:ascii="Verdana" w:eastAsia="Calibri" w:hAnsi="Verdana" w:cs="Arial"/>
                <w:bCs/>
                <w:lang w:val="es-ES_tradnl"/>
              </w:rPr>
              <w:t>De acuerdo con lo anterior, l</w:t>
            </w:r>
            <w:r w:rsidR="00A24EA1">
              <w:rPr>
                <w:rFonts w:ascii="Verdana" w:eastAsia="Calibri" w:hAnsi="Verdana" w:cs="Arial"/>
                <w:bCs/>
                <w:lang w:val="es-ES_tradnl"/>
              </w:rPr>
              <w:t xml:space="preserve">a </w:t>
            </w:r>
            <w:r w:rsidR="00A24EA1" w:rsidRPr="007A2CB0">
              <w:rPr>
                <w:rFonts w:ascii="Verdana" w:eastAsia="Calibri" w:hAnsi="Verdana" w:cs="Arial"/>
                <w:bCs/>
                <w:lang w:val="es-ES_tradnl"/>
              </w:rPr>
              <w:t>planeación contractual es una herramienta de gerencia pública, que 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precios, costos, riesgos, garantías, disponibilidad, oferentes, etc. Lo anterior con la finalidad de realizar la escogencia diligente de la mejor oferta, para beneficiar los intereses y fines públicos inmersos en la contratación de las entidades estatales.</w:t>
            </w:r>
          </w:p>
          <w:p w14:paraId="655B75BA" w14:textId="77777777" w:rsidR="00FE1828" w:rsidRDefault="00CE7BAF" w:rsidP="00FE1828">
            <w:pPr>
              <w:spacing w:after="120" w:line="276" w:lineRule="auto"/>
              <w:ind w:firstLine="708"/>
              <w:jc w:val="both"/>
              <w:rPr>
                <w:rFonts w:ascii="Verdana" w:hAnsi="Verdana" w:cs="Arial"/>
              </w:rPr>
            </w:pPr>
            <w:r w:rsidRPr="007A2CB0">
              <w:rPr>
                <w:rFonts w:ascii="Verdana" w:hAnsi="Verdana" w:cs="Arial"/>
              </w:rPr>
              <w:t>En congruencia con el artículo 25 de la Ley 80 de 1993, el Decreto Único Reglamentario del Sector Administrativo de Planeación Nacional –Decreto 1082 de 2015–, dispone en el artículo 2.2.1.1.2.1.1 el contenido mínimo de los estudios y documentos previos</w:t>
            </w:r>
            <w:r w:rsidR="00FE1828">
              <w:rPr>
                <w:rFonts w:ascii="Verdana" w:hAnsi="Verdana" w:cs="Arial"/>
              </w:rPr>
              <w:t xml:space="preserve">. </w:t>
            </w:r>
          </w:p>
          <w:p w14:paraId="50FF7CD2" w14:textId="5E43AD47" w:rsidR="00FE1828" w:rsidRDefault="00FE1828" w:rsidP="00FE1828">
            <w:pPr>
              <w:spacing w:after="120" w:line="276" w:lineRule="auto"/>
              <w:ind w:firstLine="708"/>
              <w:jc w:val="both"/>
              <w:rPr>
                <w:rFonts w:ascii="Verdana" w:eastAsia="Calibri" w:hAnsi="Verdana" w:cs="Arial"/>
                <w:bCs/>
                <w:lang w:val="es-ES_tradnl"/>
              </w:rPr>
            </w:pPr>
            <w:r w:rsidRPr="007A2CB0">
              <w:rPr>
                <w:rFonts w:ascii="Verdana" w:hAnsi="Verdana" w:cs="Arial"/>
              </w:rPr>
              <w:t xml:space="preserve">Por otra parte, los numerales 2 y 4 del artículo 2.2.1.1.2.1.1 del Decreto 1082 de 2015 exigen que en los estudios previos se determine el objeto a contratar con sus especificaciones, y se señale el valor estimado del contrato y la justificación </w:t>
            </w:r>
            <w:proofErr w:type="gramStart"/>
            <w:r w:rsidRPr="007A2CB0">
              <w:rPr>
                <w:rFonts w:ascii="Verdana" w:hAnsi="Verdana" w:cs="Arial"/>
              </w:rPr>
              <w:t>del mismo</w:t>
            </w:r>
            <w:proofErr w:type="gramEnd"/>
            <w:r w:rsidRPr="007A2CB0">
              <w:rPr>
                <w:rFonts w:ascii="Verdana" w:hAnsi="Verdana" w:cs="Arial"/>
              </w:rPr>
              <w:t xml:space="preserve">. </w:t>
            </w:r>
            <w:r w:rsidRPr="007A2CB0">
              <w:rPr>
                <w:rFonts w:ascii="Verdana" w:eastAsia="Calibri" w:hAnsi="Verdana" w:cs="Arial"/>
                <w:bCs/>
                <w:lang w:val="es-ES_tradnl"/>
              </w:rPr>
              <w:t xml:space="preserve">Para cumplir este objetivo es necesario el análisis del sector económico y de los oferentes, actividad de planeación previa que sirve para identificar aspectos concretos del mercado que pueden afectar el proceso de selección o las condiciones del negocio a realizar mediante el proceso de contratación de bienes, obras o servicios. En este sentido, el artículo 2.2.1.1.1.6.1 del Decreto 1082 de 2015 dispone que </w:t>
            </w:r>
            <w:r>
              <w:rPr>
                <w:rFonts w:ascii="Verdana" w:eastAsia="Calibri" w:hAnsi="Verdana" w:cs="Arial"/>
                <w:bCs/>
                <w:lang w:val="es-ES_tradnl"/>
              </w:rPr>
              <w:t>“</w:t>
            </w:r>
            <w:r w:rsidRPr="007A2CB0">
              <w:rPr>
                <w:rFonts w:ascii="Verdana" w:eastAsia="Calibri" w:hAnsi="Verdana" w:cs="Arial"/>
                <w:bCs/>
                <w:lang w:val="es-ES_tradnl"/>
              </w:rPr>
              <w:t>La Entidad Estatal debe hacer, durante la etapa de planeación, el análisis necesario para conocer el sector relativo al objeto del Proceso de Contratación desde la perspectiva legal, comercial, financiera, organizacional, técnica, y de análisis de Riesgo. La Entidad Estatal debe dejar constancia de este análisis en los Documentos del Proceso</w:t>
            </w:r>
            <w:r>
              <w:rPr>
                <w:rFonts w:ascii="Verdana" w:eastAsia="Calibri" w:hAnsi="Verdana" w:cs="Arial"/>
                <w:bCs/>
                <w:lang w:val="es-ES_tradnl"/>
              </w:rPr>
              <w:t>”</w:t>
            </w:r>
            <w:r w:rsidRPr="007A2CB0">
              <w:rPr>
                <w:rFonts w:ascii="Verdana" w:eastAsia="Calibri" w:hAnsi="Verdana" w:cs="Arial"/>
                <w:bCs/>
                <w:lang w:val="es-ES_tradnl"/>
              </w:rPr>
              <w:t>.</w:t>
            </w:r>
          </w:p>
          <w:p w14:paraId="0CC32A1A" w14:textId="3632E6E9" w:rsidR="008364AE" w:rsidRDefault="008364AE" w:rsidP="00FE1828">
            <w:pPr>
              <w:spacing w:after="120" w:line="276" w:lineRule="auto"/>
              <w:ind w:firstLine="708"/>
              <w:jc w:val="both"/>
              <w:rPr>
                <w:rFonts w:ascii="Verdana" w:hAnsi="Verdana" w:cs="Arial"/>
                <w:bCs/>
                <w:lang w:val="es-ES_tradnl"/>
              </w:rPr>
            </w:pPr>
            <w:r w:rsidRPr="007A2CB0">
              <w:rPr>
                <w:rFonts w:ascii="Verdana" w:eastAsia="Calibri" w:hAnsi="Verdana" w:cs="Arial"/>
                <w:bCs/>
                <w:lang w:val="es-ES_tradnl"/>
              </w:rPr>
              <w:t>Si bien la normativa en materia de contratación estatal establece la obligatoriedad de realizar el análisis necesario para conocer el sector relativo al objeto del proceso de contratación, no determinan un procedimiento específico para efectuar dicho análisis</w:t>
            </w:r>
            <w:r>
              <w:rPr>
                <w:rFonts w:ascii="Verdana" w:eastAsia="Calibri" w:hAnsi="Verdana" w:cs="Arial"/>
                <w:bCs/>
                <w:lang w:val="es-ES_tradnl"/>
              </w:rPr>
              <w:t>,</w:t>
            </w:r>
            <w:r w:rsidRPr="007A2CB0">
              <w:rPr>
                <w:rFonts w:ascii="Verdana" w:eastAsia="Calibri" w:hAnsi="Verdana" w:cs="Arial"/>
                <w:bCs/>
                <w:lang w:val="es-ES_tradnl"/>
              </w:rPr>
              <w:t xml:space="preserve"> por lo que las entidades </w:t>
            </w:r>
            <w:r w:rsidRPr="007A2CB0">
              <w:rPr>
                <w:rFonts w:ascii="Verdana" w:hAnsi="Verdana" w:cs="Arial"/>
                <w:lang w:eastAsia="es-CO"/>
              </w:rPr>
              <w:t xml:space="preserve">son autónomas para estructurarlo, para lo cual deberán cumplir lo dispuesto en el artículo </w:t>
            </w:r>
            <w:r w:rsidRPr="007A2CB0">
              <w:rPr>
                <w:rFonts w:ascii="Verdana" w:eastAsia="Calibri" w:hAnsi="Verdana" w:cs="Arial"/>
                <w:bCs/>
                <w:lang w:val="es-ES_tradnl"/>
              </w:rPr>
              <w:t xml:space="preserve">2.2.1.1.1.6.1 del Decreto 1082 de 2015 y realizar un análisis integral de planeación que </w:t>
            </w:r>
            <w:r w:rsidRPr="007A2CB0">
              <w:rPr>
                <w:rFonts w:ascii="Verdana" w:hAnsi="Verdana" w:cs="Arial"/>
              </w:rPr>
              <w:t xml:space="preserve">sirva de sustento a la decisión de </w:t>
            </w:r>
            <w:r w:rsidRPr="007A2CB0">
              <w:rPr>
                <w:rFonts w:ascii="Verdana" w:hAnsi="Verdana" w:cs="Arial"/>
                <w:bCs/>
                <w:lang w:val="es-ES_tradnl"/>
              </w:rPr>
              <w:t>realizar un proceso de contratación.</w:t>
            </w:r>
          </w:p>
          <w:p w14:paraId="06343905" w14:textId="7B5065C9" w:rsidR="0045378B" w:rsidRDefault="002F2233" w:rsidP="002F2233">
            <w:pPr>
              <w:spacing w:after="120" w:line="276" w:lineRule="auto"/>
              <w:ind w:right="51" w:firstLine="709"/>
              <w:jc w:val="both"/>
              <w:rPr>
                <w:rFonts w:ascii="Verdana" w:eastAsia="Calibri" w:hAnsi="Verdana" w:cs="Arial"/>
                <w:bCs/>
                <w:color w:val="000000" w:themeColor="text1"/>
              </w:rPr>
            </w:pPr>
            <w:r>
              <w:rPr>
                <w:rFonts w:ascii="Verdana" w:eastAsia="Calibri" w:hAnsi="Verdana" w:cs="Arial"/>
                <w:bCs/>
                <w:color w:val="000000" w:themeColor="text1"/>
              </w:rPr>
              <w:t xml:space="preserve">Con base en lo anterior, </w:t>
            </w:r>
            <w:r w:rsidRPr="00B06A20">
              <w:rPr>
                <w:rFonts w:ascii="Verdana" w:eastAsia="Calibri" w:hAnsi="Verdana" w:cs="Arial"/>
                <w:bCs/>
                <w:color w:val="000000" w:themeColor="text1"/>
              </w:rPr>
              <w:t xml:space="preserve">las Entidades Estatales </w:t>
            </w:r>
            <w:r>
              <w:rPr>
                <w:rFonts w:ascii="Verdana" w:eastAsia="Calibri" w:hAnsi="Verdana" w:cs="Arial"/>
                <w:bCs/>
                <w:color w:val="000000" w:themeColor="text1"/>
              </w:rPr>
              <w:t xml:space="preserve">deberán definir en los estudios previos y estudios del sector o de mercado la modalidad de selección más acorde a las necesidades de la administración, teniendo en cuenta el comportamiento de la oferta y demanda, las variables necesarias para definir el proceso de escogencia del contratista y todas aquellas reglas definidas por la normatividad en materia de contratación estatal. </w:t>
            </w:r>
          </w:p>
          <w:p w14:paraId="2C3BED03" w14:textId="77777777" w:rsidR="002F2233" w:rsidRDefault="008636D0" w:rsidP="002F2233">
            <w:pPr>
              <w:spacing w:line="276" w:lineRule="auto"/>
              <w:ind w:firstLine="709"/>
              <w:jc w:val="both"/>
              <w:rPr>
                <w:rFonts w:ascii="Verdana" w:eastAsia="Calibri" w:hAnsi="Verdana" w:cs="Arial"/>
                <w:bCs/>
                <w:color w:val="000000" w:themeColor="text1"/>
              </w:rPr>
            </w:pPr>
            <w:r w:rsidRPr="00E853DE">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33EBB1CA" w14:textId="77777777" w:rsidR="002F2233" w:rsidRDefault="002F2233" w:rsidP="00F914AD">
            <w:pPr>
              <w:ind w:firstLine="709"/>
              <w:jc w:val="both"/>
              <w:rPr>
                <w:rFonts w:ascii="Verdana" w:eastAsia="Calibri" w:hAnsi="Verdana" w:cs="Arial"/>
                <w:bCs/>
                <w:color w:val="000000" w:themeColor="text1"/>
              </w:rPr>
            </w:pPr>
          </w:p>
          <w:p w14:paraId="17C04641" w14:textId="1200633C" w:rsidR="008636D0" w:rsidRPr="00BD657D" w:rsidRDefault="008636D0" w:rsidP="002F2233">
            <w:pPr>
              <w:spacing w:line="276" w:lineRule="auto"/>
              <w:ind w:firstLine="709"/>
              <w:jc w:val="both"/>
              <w:rPr>
                <w:rFonts w:ascii="Verdana" w:eastAsia="Calibri" w:hAnsi="Verdana" w:cs="Arial"/>
                <w:bCs/>
                <w:color w:val="000000" w:themeColor="text1"/>
              </w:rPr>
            </w:pPr>
            <w:r w:rsidRPr="00E853DE">
              <w:rPr>
                <w:rFonts w:ascii="Verdana" w:eastAsia="Calibri" w:hAnsi="Verdana" w:cs="Arial"/>
                <w:bCs/>
                <w:color w:val="000000" w:themeColor="text1"/>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r w:rsidRPr="00185EE9">
              <w:rPr>
                <w:rFonts w:ascii="Verdana" w:eastAsia="Calibri" w:hAnsi="Verdana" w:cs="Arial"/>
                <w:bCs/>
                <w:color w:val="000000" w:themeColor="text1"/>
              </w:rPr>
              <w:t xml:space="preserve"> </w:t>
            </w:r>
          </w:p>
        </w:tc>
      </w:tr>
    </w:tbl>
    <w:p w14:paraId="19A2728A" w14:textId="77777777" w:rsidR="008636D0" w:rsidRDefault="008636D0" w:rsidP="008636D0">
      <w:pPr>
        <w:tabs>
          <w:tab w:val="left" w:pos="142"/>
          <w:tab w:val="left" w:pos="284"/>
        </w:tabs>
        <w:spacing w:after="0" w:line="276" w:lineRule="auto"/>
        <w:jc w:val="both"/>
        <w:rPr>
          <w:rFonts w:ascii="Verdana" w:eastAsia="Century Gothic" w:hAnsi="Verdana" w:cs="Century Gothic"/>
          <w:b/>
          <w:bCs/>
        </w:rPr>
      </w:pPr>
    </w:p>
    <w:p w14:paraId="0810E0AB" w14:textId="77777777" w:rsidR="008636D0" w:rsidRPr="005644FE" w:rsidRDefault="008636D0" w:rsidP="008636D0">
      <w:pPr>
        <w:tabs>
          <w:tab w:val="left" w:pos="142"/>
          <w:tab w:val="left" w:pos="284"/>
        </w:tabs>
        <w:spacing w:after="0" w:line="276" w:lineRule="auto"/>
        <w:jc w:val="both"/>
        <w:rPr>
          <w:rFonts w:ascii="Verdana" w:eastAsia="Century Gothic" w:hAnsi="Verdana" w:cs="Century Gothic"/>
          <w:b/>
          <w:bCs/>
        </w:rPr>
      </w:pPr>
      <w:r w:rsidRPr="005644FE">
        <w:rPr>
          <w:rFonts w:ascii="Verdana" w:eastAsia="Century Gothic" w:hAnsi="Verdana" w:cs="Century Gothic"/>
          <w:b/>
          <w:bCs/>
        </w:rPr>
        <w:t>3. Razones de la respuesta:</w:t>
      </w:r>
    </w:p>
    <w:p w14:paraId="0A87AD02" w14:textId="77777777" w:rsidR="008636D0" w:rsidRPr="005644FE" w:rsidRDefault="008636D0" w:rsidP="008636D0">
      <w:pPr>
        <w:pStyle w:val="Prrafodelista"/>
        <w:tabs>
          <w:tab w:val="left" w:pos="142"/>
          <w:tab w:val="left" w:pos="284"/>
        </w:tabs>
        <w:spacing w:after="0" w:line="240" w:lineRule="auto"/>
        <w:ind w:left="0"/>
        <w:contextualSpacing w:val="0"/>
        <w:jc w:val="both"/>
        <w:rPr>
          <w:rFonts w:ascii="Verdana" w:eastAsia="Calibri" w:hAnsi="Verdana" w:cs="Arial"/>
        </w:rPr>
      </w:pPr>
    </w:p>
    <w:p w14:paraId="1204D1A3" w14:textId="77777777" w:rsidR="008636D0" w:rsidRDefault="008636D0" w:rsidP="008636D0">
      <w:pPr>
        <w:tabs>
          <w:tab w:val="left" w:pos="142"/>
          <w:tab w:val="left" w:pos="284"/>
          <w:tab w:val="left" w:pos="6975"/>
        </w:tabs>
        <w:spacing w:after="0" w:line="276" w:lineRule="auto"/>
        <w:jc w:val="both"/>
        <w:rPr>
          <w:rFonts w:ascii="Verdana" w:eastAsia="Calibri" w:hAnsi="Verdana" w:cs="Arial"/>
        </w:rPr>
      </w:pPr>
      <w:r w:rsidRPr="005644FE">
        <w:rPr>
          <w:rFonts w:ascii="Verdana" w:eastAsia="Calibri" w:hAnsi="Verdana" w:cs="Arial"/>
        </w:rPr>
        <w:t>Lo anterior se sustenta en las siguientes consideraciones:</w:t>
      </w:r>
    </w:p>
    <w:p w14:paraId="5DEB1E9F" w14:textId="77777777" w:rsidR="008636D0" w:rsidRPr="00415608" w:rsidRDefault="008636D0" w:rsidP="00F914AD">
      <w:pPr>
        <w:spacing w:after="0" w:line="240" w:lineRule="auto"/>
        <w:jc w:val="both"/>
        <w:rPr>
          <w:rFonts w:ascii="Verdana" w:eastAsia="Calibri" w:hAnsi="Verdana" w:cs="Arial"/>
          <w:lang w:val="es-ES"/>
        </w:rPr>
      </w:pPr>
    </w:p>
    <w:p w14:paraId="2002B3BF" w14:textId="528F8E5E" w:rsidR="008636D0" w:rsidRPr="00185EE9" w:rsidRDefault="008636D0" w:rsidP="008636D0">
      <w:pPr>
        <w:spacing w:after="120" w:line="276" w:lineRule="auto"/>
        <w:jc w:val="both"/>
        <w:rPr>
          <w:rFonts w:ascii="Verdana" w:eastAsia="Calibri" w:hAnsi="Verdana" w:cs="Arial"/>
          <w:bCs/>
          <w:lang w:val="es-MX" w:eastAsia="es-ES_tradnl"/>
        </w:rPr>
      </w:pPr>
      <w:r>
        <w:rPr>
          <w:rFonts w:ascii="Verdana" w:eastAsia="Calibri" w:hAnsi="Verdana" w:cs="Arial"/>
          <w:color w:val="000000"/>
          <w:szCs w:val="24"/>
          <w:lang w:val="es-ES_tradnl" w:eastAsia="es-ES_tradnl"/>
        </w:rPr>
        <w:t xml:space="preserve">Los procesos de selección que rigen para </w:t>
      </w:r>
      <w:r w:rsidRPr="0086479C">
        <w:rPr>
          <w:rFonts w:ascii="Verdana" w:hAnsi="Verdana" w:cs="Arial"/>
          <w:lang w:val="es-ES"/>
        </w:rPr>
        <w:t>las entidades sometidas al Estatuto General de Contratación de la Administración Pública</w:t>
      </w:r>
      <w:r>
        <w:rPr>
          <w:rFonts w:ascii="Verdana" w:hAnsi="Verdana" w:cs="Arial"/>
          <w:lang w:val="es-ES"/>
        </w:rPr>
        <w:t xml:space="preserve"> – en adelante EGCAP –</w:t>
      </w:r>
      <w:r w:rsidRPr="0086479C">
        <w:rPr>
          <w:rFonts w:ascii="Verdana" w:hAnsi="Verdana" w:cs="Arial"/>
          <w:lang w:val="es-ES"/>
        </w:rPr>
        <w:t xml:space="preserve">, </w:t>
      </w:r>
      <w:r>
        <w:rPr>
          <w:rFonts w:ascii="Verdana" w:hAnsi="Verdana" w:cs="Arial"/>
          <w:lang w:val="es-ES"/>
        </w:rPr>
        <w:t>se encuentran en</w:t>
      </w:r>
      <w:r w:rsidRPr="0086479C">
        <w:rPr>
          <w:rFonts w:ascii="Verdana" w:hAnsi="Verdana" w:cs="Arial"/>
          <w:lang w:val="es-ES"/>
        </w:rPr>
        <w:t xml:space="preserve"> </w:t>
      </w:r>
      <w:r w:rsidRPr="0086479C">
        <w:rPr>
          <w:rFonts w:ascii="Verdana" w:hAnsi="Verdana" w:cs="Arial"/>
          <w:bCs/>
          <w:lang w:val="es-ES_tradnl"/>
        </w:rPr>
        <w:t>el artículo 2 de la Ley 1150 de 2007</w:t>
      </w:r>
      <w:r w:rsidRPr="0086479C">
        <w:rPr>
          <w:rFonts w:ascii="Verdana" w:hAnsi="Verdana" w:cs="Arial"/>
          <w:lang w:val="es-ES"/>
        </w:rPr>
        <w:t xml:space="preserve">. El </w:t>
      </w:r>
      <w:r w:rsidRPr="0086479C">
        <w:rPr>
          <w:rFonts w:ascii="Verdana" w:eastAsia="Calibri" w:hAnsi="Verdana" w:cs="Arial"/>
          <w:bCs/>
          <w:lang w:val="es-MX" w:eastAsia="es-ES_tradnl"/>
        </w:rPr>
        <w:t>numeral uno, inciso primero, de la norma citada</w:t>
      </w:r>
      <w:r w:rsidRPr="0086479C">
        <w:rPr>
          <w:rFonts w:ascii="Verdana" w:hAnsi="Verdana" w:cs="Arial"/>
          <w:bCs/>
          <w:lang w:val="es-ES_tradnl"/>
        </w:rPr>
        <w:t xml:space="preserve"> </w:t>
      </w:r>
      <w:r w:rsidRPr="0086479C">
        <w:rPr>
          <w:rFonts w:ascii="Verdana" w:eastAsia="Calibri" w:hAnsi="Verdana" w:cs="Arial"/>
          <w:bCs/>
          <w:lang w:val="es-MX" w:eastAsia="es-ES_tradnl"/>
        </w:rPr>
        <w:t xml:space="preserve">dispone que “La escogencia del contratista se efectuará por </w:t>
      </w:r>
      <w:r w:rsidRPr="0086479C">
        <w:rPr>
          <w:rFonts w:ascii="Verdana" w:eastAsia="Calibri" w:hAnsi="Verdana" w:cs="Arial"/>
          <w:bCs/>
          <w:i/>
          <w:iCs/>
          <w:lang w:val="es-MX" w:eastAsia="es-ES_tradnl"/>
        </w:rPr>
        <w:t>regla general</w:t>
      </w:r>
      <w:r w:rsidRPr="0086479C">
        <w:rPr>
          <w:rFonts w:ascii="Verdana" w:eastAsia="Calibri" w:hAnsi="Verdana" w:cs="Arial"/>
          <w:bCs/>
          <w:lang w:val="es-MX" w:eastAsia="es-ES_tradnl"/>
        </w:rPr>
        <w:t xml:space="preserve"> a través de licitación pública, con las </w:t>
      </w:r>
      <w:r w:rsidRPr="0086479C">
        <w:rPr>
          <w:rFonts w:ascii="Verdana" w:eastAsia="Calibri" w:hAnsi="Verdana" w:cs="Arial"/>
          <w:bCs/>
          <w:i/>
          <w:iCs/>
          <w:lang w:val="es-MX" w:eastAsia="es-ES_tradnl"/>
        </w:rPr>
        <w:t>excepciones</w:t>
      </w:r>
      <w:r w:rsidRPr="0086479C">
        <w:rPr>
          <w:rFonts w:ascii="Verdana" w:eastAsia="Calibri" w:hAnsi="Verdana" w:cs="Arial"/>
          <w:bCs/>
          <w:lang w:val="es-MX" w:eastAsia="es-ES_tradnl"/>
        </w:rPr>
        <w:t xml:space="preserve"> que se señalan en los numerales 2, 3 y 4 del presente artículo”, norma que sustituye el derogado numeral 1 del artículo 24 de la Ley 80 de 1993 sobre el principio de transparencia</w:t>
      </w:r>
      <w:r w:rsidRPr="0086479C">
        <w:rPr>
          <w:rStyle w:val="Refdenotaalpie"/>
          <w:rFonts w:ascii="Verdana" w:eastAsia="Calibri" w:hAnsi="Verdana" w:cs="Arial"/>
          <w:bCs/>
          <w:lang w:val="es-MX" w:eastAsia="es-ES_tradnl"/>
        </w:rPr>
        <w:footnoteReference w:id="2"/>
      </w:r>
      <w:r w:rsidRPr="0086479C">
        <w:rPr>
          <w:rFonts w:ascii="Verdana" w:eastAsia="Calibri" w:hAnsi="Verdana" w:cs="Arial"/>
          <w:bCs/>
          <w:lang w:val="es-MX" w:eastAsia="es-ES_tradnl"/>
        </w:rPr>
        <w:t xml:space="preserve">. </w:t>
      </w:r>
    </w:p>
    <w:p w14:paraId="22B67523" w14:textId="77777777" w:rsidR="008636D0" w:rsidRPr="00185EE9" w:rsidRDefault="008636D0" w:rsidP="008636D0">
      <w:pPr>
        <w:spacing w:after="120" w:line="276" w:lineRule="auto"/>
        <w:ind w:firstLine="708"/>
        <w:jc w:val="both"/>
        <w:rPr>
          <w:rFonts w:ascii="Verdana" w:eastAsia="Calibri" w:hAnsi="Verdana" w:cs="Arial"/>
          <w:bCs/>
          <w:lang w:val="es-MX" w:eastAsia="es-ES_tradnl"/>
        </w:rPr>
      </w:pPr>
      <w:r>
        <w:rPr>
          <w:rFonts w:ascii="Verdana" w:eastAsia="Calibri" w:hAnsi="Verdana" w:cs="Arial"/>
          <w:bCs/>
          <w:lang w:val="es-MX" w:eastAsia="es-ES_tradnl"/>
        </w:rPr>
        <w:t>Así, s</w:t>
      </w:r>
      <w:r w:rsidRPr="00185EE9">
        <w:rPr>
          <w:rFonts w:ascii="Verdana" w:eastAsia="Calibri" w:hAnsi="Verdana" w:cs="Arial"/>
          <w:bCs/>
          <w:lang w:val="es-MX" w:eastAsia="es-ES_tradnl"/>
        </w:rPr>
        <w:t>alvo norma especial que ordene la celebración del negocio jurídico por otra modalidad de selección, debe aplicarse la regla general de licitación pública</w:t>
      </w:r>
      <w:r w:rsidRPr="00185EE9">
        <w:rPr>
          <w:rStyle w:val="Refdenotaalpie"/>
          <w:rFonts w:ascii="Verdana" w:eastAsia="Calibri" w:hAnsi="Verdana" w:cs="Arial"/>
          <w:bCs/>
          <w:lang w:val="es-MX" w:eastAsia="es-ES_tradnl"/>
        </w:rPr>
        <w:footnoteReference w:id="3"/>
      </w:r>
      <w:r w:rsidRPr="00185EE9">
        <w:rPr>
          <w:rFonts w:ascii="Verdana" w:eastAsia="Calibri" w:hAnsi="Verdana" w:cs="Arial"/>
          <w:bCs/>
          <w:lang w:val="es-MX" w:eastAsia="es-ES_tradnl"/>
        </w:rPr>
        <w:t>. Por ello, dependiendo del objeto o el valor de</w:t>
      </w:r>
      <w:r>
        <w:rPr>
          <w:rFonts w:ascii="Verdana" w:eastAsia="Calibri" w:hAnsi="Verdana" w:cs="Arial"/>
          <w:bCs/>
          <w:lang w:val="es-MX" w:eastAsia="es-ES_tradnl"/>
        </w:rPr>
        <w:t>l</w:t>
      </w:r>
      <w:r w:rsidRPr="00185EE9">
        <w:rPr>
          <w:rFonts w:ascii="Verdana" w:eastAsia="Calibri" w:hAnsi="Verdana" w:cs="Arial"/>
          <w:bCs/>
          <w:lang w:val="es-MX" w:eastAsia="es-ES_tradnl"/>
        </w:rPr>
        <w:t xml:space="preserve"> presupuesto oficial, es posible la aplicación de otros procedimientos contractuales. Estos pueden ser con pluralidad de oferentes –v. gr. la selección abreviada de menor cuantía o la mínima cuantía– o sin concurrencia de proponentes –por ejemplo, la contratación directa–.</w:t>
      </w:r>
    </w:p>
    <w:p w14:paraId="4CB895E2" w14:textId="77777777" w:rsidR="008636D0" w:rsidRPr="00185EE9" w:rsidRDefault="008636D0" w:rsidP="008636D0">
      <w:pPr>
        <w:spacing w:after="120" w:line="276" w:lineRule="auto"/>
        <w:ind w:firstLine="708"/>
        <w:jc w:val="both"/>
        <w:rPr>
          <w:rFonts w:ascii="Verdana" w:eastAsia="Calibri" w:hAnsi="Verdana" w:cs="Arial"/>
        </w:rPr>
      </w:pPr>
      <w:r w:rsidRPr="00185EE9">
        <w:rPr>
          <w:rFonts w:ascii="Verdana" w:eastAsia="Calibri" w:hAnsi="Verdana" w:cs="Arial"/>
          <w:bCs/>
          <w:lang w:val="es-MX" w:eastAsia="es-ES_tradnl"/>
        </w:rPr>
        <w:t>Respecto a la</w:t>
      </w:r>
      <w:r>
        <w:rPr>
          <w:rFonts w:ascii="Verdana" w:eastAsia="Calibri" w:hAnsi="Verdana" w:cs="Arial"/>
          <w:bCs/>
          <w:lang w:val="es-MX" w:eastAsia="es-ES_tradnl"/>
        </w:rPr>
        <w:t xml:space="preserve"> modalidad</w:t>
      </w:r>
      <w:r w:rsidRPr="00185EE9">
        <w:rPr>
          <w:rFonts w:ascii="Verdana" w:eastAsia="Calibri" w:hAnsi="Verdana" w:cs="Arial"/>
          <w:bCs/>
          <w:lang w:val="es-MX" w:eastAsia="es-ES_tradnl"/>
        </w:rPr>
        <w:t xml:space="preserve"> selección abreviada, </w:t>
      </w:r>
      <w:r w:rsidRPr="00185EE9">
        <w:rPr>
          <w:rFonts w:ascii="Verdana" w:eastAsia="Calibri" w:hAnsi="Verdana" w:cs="Arial"/>
        </w:rPr>
        <w:t>el numeral 2 del artículo 2 de la Ley 1150 de 2007 dispone que “</w:t>
      </w:r>
      <w:r>
        <w:rPr>
          <w:rFonts w:ascii="Verdana" w:eastAsia="Calibri" w:hAnsi="Verdana" w:cs="Arial"/>
        </w:rPr>
        <w:t>(…)</w:t>
      </w:r>
      <w:r w:rsidRPr="00185EE9">
        <w:rPr>
          <w:rFonts w:ascii="Verdana" w:eastAsia="Calibri" w:hAnsi="Verdana" w:cs="Arial"/>
        </w:rPr>
        <w:t xml:space="preserve"> corresponde a la modalidad de selección objetiva prevista para aquellos casos en que</w:t>
      </w:r>
      <w:r>
        <w:rPr>
          <w:rFonts w:ascii="Verdana" w:eastAsia="Calibri" w:hAnsi="Verdana" w:cs="Arial"/>
        </w:rPr>
        <w:t>,</w:t>
      </w:r>
      <w:r w:rsidRPr="00185EE9">
        <w:rPr>
          <w:rFonts w:ascii="Verdana" w:eastAsia="Calibri" w:hAnsi="Verdana" w:cs="Arial"/>
        </w:rPr>
        <w:t xml:space="preserve"> por las características del objeto a contratar, las circunstancias de la contratación o la cuantía o destinación del bien, obra o servicio puedan adelantarse procesos simplificados para garantizar la eficiencia de la gestión contractual”, regulando cada una de las causales</w:t>
      </w:r>
      <w:r w:rsidRPr="00185EE9">
        <w:rPr>
          <w:rStyle w:val="Refdenotaalpie"/>
          <w:rFonts w:ascii="Verdana" w:eastAsia="Calibri" w:hAnsi="Verdana" w:cs="Arial"/>
        </w:rPr>
        <w:footnoteReference w:id="4"/>
      </w:r>
      <w:r w:rsidRPr="00185EE9">
        <w:rPr>
          <w:rFonts w:ascii="Verdana" w:eastAsia="Calibri" w:hAnsi="Verdana" w:cs="Arial"/>
        </w:rPr>
        <w:t xml:space="preserve">. </w:t>
      </w:r>
    </w:p>
    <w:p w14:paraId="605AD498" w14:textId="77777777" w:rsidR="008636D0" w:rsidRPr="00185EE9" w:rsidRDefault="008636D0" w:rsidP="008636D0">
      <w:pPr>
        <w:spacing w:after="0" w:line="276" w:lineRule="auto"/>
        <w:ind w:firstLine="708"/>
        <w:jc w:val="both"/>
        <w:rPr>
          <w:rFonts w:ascii="Verdana" w:eastAsia="Calibri" w:hAnsi="Verdana" w:cs="Arial"/>
        </w:rPr>
      </w:pPr>
      <w:r w:rsidRPr="00185EE9">
        <w:rPr>
          <w:rFonts w:ascii="Verdana" w:eastAsia="Calibri" w:hAnsi="Verdana" w:cs="Arial"/>
        </w:rPr>
        <w:t>Se trata de un procedimiento que, conforme a la reglamentación que expida el Gobierno Nacional, agiliza la contratación estatal en los eventos en que no se justifica adelantar una licitación pública, pero tampoco limitar la participación de los proponentes como en la contratación directa</w:t>
      </w:r>
      <w:r>
        <w:rPr>
          <w:rFonts w:ascii="Verdana" w:eastAsia="Calibri" w:hAnsi="Verdana" w:cs="Arial"/>
        </w:rPr>
        <w:t>. D</w:t>
      </w:r>
      <w:r w:rsidRPr="00185EE9">
        <w:rPr>
          <w:rFonts w:ascii="Verdana" w:eastAsia="Calibri" w:hAnsi="Verdana" w:cs="Arial"/>
        </w:rPr>
        <w:t>e forma tal que es un mecanismo de selección objetiva que asegura una mayor concurrencia de participantes sin sacrificar los principios de eficacia y eficiencia en el proceso de selección. En la exposición de motivos se explica lo siguiente:</w:t>
      </w:r>
    </w:p>
    <w:p w14:paraId="179AAEBA" w14:textId="77777777" w:rsidR="008636D0" w:rsidRPr="00185EE9" w:rsidRDefault="008636D0" w:rsidP="008636D0">
      <w:pPr>
        <w:spacing w:after="0" w:line="276" w:lineRule="auto"/>
        <w:jc w:val="both"/>
        <w:rPr>
          <w:rFonts w:ascii="Verdana" w:eastAsia="Calibri" w:hAnsi="Verdana" w:cs="Arial"/>
        </w:rPr>
      </w:pPr>
    </w:p>
    <w:p w14:paraId="242DD171" w14:textId="77777777" w:rsidR="008636D0" w:rsidRPr="00B9148F" w:rsidRDefault="008636D0" w:rsidP="008636D0">
      <w:pPr>
        <w:spacing w:after="0" w:line="240" w:lineRule="auto"/>
        <w:ind w:left="709" w:right="709"/>
        <w:jc w:val="both"/>
        <w:rPr>
          <w:rFonts w:ascii="Verdana" w:eastAsia="Calibri" w:hAnsi="Verdana" w:cs="Arial"/>
          <w:sz w:val="20"/>
          <w:szCs w:val="20"/>
        </w:rPr>
      </w:pPr>
      <w:r w:rsidRPr="00B9148F">
        <w:rPr>
          <w:rFonts w:ascii="Verdana" w:eastAsia="Calibri" w:hAnsi="Verdana" w:cs="Arial"/>
          <w:sz w:val="20"/>
          <w:szCs w:val="20"/>
        </w:rPr>
        <w:t>“– Si bien la Licitación Pública sigue siendo la regla general, la misma pasa a reservarse para los procesos en los que la complejidad del objeto a contratar amerita la larga y cuidadosa ponderación de factores técnicos y económicos de las propuestas […].</w:t>
      </w:r>
    </w:p>
    <w:p w14:paraId="0CC8948D" w14:textId="77777777" w:rsidR="008636D0" w:rsidRDefault="008636D0" w:rsidP="008636D0">
      <w:pPr>
        <w:spacing w:after="0" w:line="240" w:lineRule="auto"/>
        <w:ind w:left="709" w:right="709"/>
        <w:jc w:val="both"/>
        <w:rPr>
          <w:rFonts w:ascii="Verdana" w:eastAsia="Calibri" w:hAnsi="Verdana" w:cs="Arial"/>
          <w:sz w:val="20"/>
          <w:szCs w:val="20"/>
        </w:rPr>
      </w:pPr>
    </w:p>
    <w:p w14:paraId="05F7970E" w14:textId="77777777" w:rsidR="008636D0" w:rsidRPr="00B9148F" w:rsidRDefault="008636D0" w:rsidP="008636D0">
      <w:pPr>
        <w:spacing w:after="0" w:line="240" w:lineRule="auto"/>
        <w:ind w:left="709" w:right="709"/>
        <w:jc w:val="both"/>
        <w:rPr>
          <w:rFonts w:ascii="Verdana" w:eastAsia="Calibri" w:hAnsi="Verdana" w:cs="Arial"/>
          <w:sz w:val="20"/>
          <w:szCs w:val="20"/>
        </w:rPr>
      </w:pPr>
      <w:r w:rsidRPr="00B9148F">
        <w:rPr>
          <w:rFonts w:ascii="Verdana" w:eastAsia="Calibri" w:hAnsi="Verdana" w:cs="Arial"/>
          <w:sz w:val="20"/>
          <w:szCs w:val="20"/>
        </w:rPr>
        <w:t>– Se crea la llamada ‘selección abreviada’, para permitir la existencia de procedimientos de selección que, basados estrictamente en los principios cardinales de la contratación pública, permitan de manera ágil la adopción de decisiones de selección […]”</w:t>
      </w:r>
      <w:r w:rsidRPr="00B9148F">
        <w:rPr>
          <w:rStyle w:val="Refdenotaalpie"/>
          <w:rFonts w:ascii="Verdana" w:eastAsia="Calibri" w:hAnsi="Verdana" w:cs="Arial"/>
          <w:sz w:val="20"/>
          <w:szCs w:val="20"/>
        </w:rPr>
        <w:footnoteReference w:id="5"/>
      </w:r>
      <w:r w:rsidRPr="00B9148F">
        <w:rPr>
          <w:rFonts w:ascii="Verdana" w:eastAsia="Calibri" w:hAnsi="Verdana" w:cs="Arial"/>
          <w:sz w:val="20"/>
          <w:szCs w:val="20"/>
        </w:rPr>
        <w:t>.</w:t>
      </w:r>
    </w:p>
    <w:p w14:paraId="066A9F8C" w14:textId="77777777" w:rsidR="008636D0" w:rsidRPr="00185EE9" w:rsidRDefault="008636D0" w:rsidP="008636D0">
      <w:pPr>
        <w:spacing w:after="0" w:line="276" w:lineRule="auto"/>
        <w:jc w:val="both"/>
        <w:rPr>
          <w:rFonts w:ascii="Verdana" w:eastAsia="Calibri" w:hAnsi="Verdana" w:cs="Arial"/>
        </w:rPr>
      </w:pPr>
    </w:p>
    <w:p w14:paraId="43777ED3" w14:textId="77777777" w:rsidR="008636D0" w:rsidRPr="00185EE9" w:rsidRDefault="008636D0" w:rsidP="008636D0">
      <w:pPr>
        <w:spacing w:after="120" w:line="276" w:lineRule="auto"/>
        <w:ind w:firstLine="709"/>
        <w:jc w:val="both"/>
        <w:rPr>
          <w:rFonts w:ascii="Verdana" w:eastAsia="Calibri" w:hAnsi="Verdana" w:cs="Arial"/>
        </w:rPr>
      </w:pPr>
      <w:r w:rsidRPr="00185EE9">
        <w:rPr>
          <w:rFonts w:ascii="Verdana" w:eastAsia="Calibri" w:hAnsi="Verdana" w:cs="Arial"/>
        </w:rPr>
        <w:t>La selección abreviada se caracteriza por tener etapas un poco sencillas y términos relativamente más cortos que los de la licitación pública</w:t>
      </w:r>
      <w:r>
        <w:rPr>
          <w:rFonts w:ascii="Verdana" w:eastAsia="Calibri" w:hAnsi="Verdana" w:cs="Arial"/>
        </w:rPr>
        <w:t xml:space="preserve">. Esto </w:t>
      </w:r>
      <w:r w:rsidRPr="00185EE9">
        <w:rPr>
          <w:rFonts w:ascii="Verdana" w:eastAsia="Calibri" w:hAnsi="Verdana" w:cs="Arial"/>
        </w:rPr>
        <w:t>se justifica por las circunstancias, la naturaleza y los objetos que se contratan a través de esta modalidad, los cuales requieren de procedimientos un poco más agiles, sencillos y eficientes. Según el Consejo de Estado, el propósito del legislador es “</w:t>
      </w:r>
      <w:r>
        <w:rPr>
          <w:rFonts w:ascii="Verdana" w:eastAsia="Calibri" w:hAnsi="Verdana" w:cs="Arial"/>
        </w:rPr>
        <w:t xml:space="preserve">(…) </w:t>
      </w:r>
      <w:r w:rsidRPr="00185EE9">
        <w:rPr>
          <w:rFonts w:ascii="Verdana" w:eastAsia="Calibri" w:hAnsi="Verdana" w:cs="Arial"/>
        </w:rPr>
        <w:t>proveer de mayor agilidad y eficiencia la contratación de algunos bienes o servicios, en los que es deseable la concurrencia de oferentes, pero no en los términos y condiciones de una licitación pública, sino de manera abreviada o, en términos de la ley, simplificada”</w:t>
      </w:r>
      <w:r w:rsidRPr="00185EE9">
        <w:rPr>
          <w:rStyle w:val="Refdenotaalpie"/>
          <w:rFonts w:ascii="Verdana" w:eastAsia="Calibri" w:hAnsi="Verdana" w:cs="Arial"/>
        </w:rPr>
        <w:footnoteReference w:id="6"/>
      </w:r>
      <w:r w:rsidRPr="00185EE9">
        <w:rPr>
          <w:rFonts w:ascii="Verdana" w:eastAsia="Calibri" w:hAnsi="Verdana" w:cs="Arial"/>
        </w:rPr>
        <w:t xml:space="preserve">. </w:t>
      </w:r>
    </w:p>
    <w:p w14:paraId="5A492AA2" w14:textId="77777777" w:rsidR="008636D0" w:rsidRPr="00185EE9" w:rsidRDefault="008636D0" w:rsidP="008636D0">
      <w:pPr>
        <w:spacing w:after="120" w:line="276" w:lineRule="auto"/>
        <w:ind w:firstLine="709"/>
        <w:jc w:val="both"/>
        <w:rPr>
          <w:rFonts w:ascii="Verdana" w:eastAsia="Calibri" w:hAnsi="Verdana" w:cs="Arial"/>
          <w:color w:val="000000"/>
          <w:szCs w:val="24"/>
          <w:lang w:val="es-ES_tradnl" w:eastAsia="es-ES_tradnl"/>
        </w:rPr>
      </w:pPr>
      <w:r w:rsidRPr="00185EE9">
        <w:rPr>
          <w:rFonts w:ascii="Verdana" w:eastAsia="Calibri" w:hAnsi="Verdana" w:cs="Arial"/>
          <w:color w:val="000000"/>
          <w:szCs w:val="24"/>
          <w:lang w:val="es-ES_tradnl" w:eastAsia="es-ES_tradnl"/>
        </w:rPr>
        <w:t xml:space="preserve">Así, el literal a) del artículo 2.2 de la Ley 1150 de 2007 regula la adquisición o suministro de bienes y servicios de características técnicas uniformes y de común utilización como causal de selección abreviada. Para entender su alcance, es necesario tener en cuenta que </w:t>
      </w:r>
      <w:r w:rsidRPr="00185EE9">
        <w:rPr>
          <w:rFonts w:ascii="Verdana" w:eastAsia="Calibri" w:hAnsi="Verdana" w:cs="Arial"/>
          <w:bCs/>
          <w:color w:val="000000" w:themeColor="text1"/>
        </w:rPr>
        <w:t>el artículo 28 del Código Civil dispone que “Las palabras de la ley se entenderán en su sentido natural y obvio, según el uso general de las mismas palabras; pero cuando el legislador las haya definido expresamente para ciertas materias, se les dará en éstas su significado legal”</w:t>
      </w:r>
      <w:r>
        <w:rPr>
          <w:rFonts w:ascii="Verdana" w:eastAsia="Calibri" w:hAnsi="Verdana" w:cs="Arial"/>
          <w:bCs/>
          <w:color w:val="000000" w:themeColor="text1"/>
        </w:rPr>
        <w:t>.</w:t>
      </w:r>
      <w:r w:rsidRPr="00185EE9">
        <w:rPr>
          <w:rFonts w:ascii="Verdana" w:eastAsia="Calibri" w:hAnsi="Verdana" w:cs="Arial"/>
          <w:bCs/>
          <w:color w:val="000000" w:themeColor="text1"/>
        </w:rPr>
        <w:t xml:space="preserve"> </w:t>
      </w:r>
      <w:r>
        <w:rPr>
          <w:rFonts w:ascii="Verdana" w:eastAsia="Calibri" w:hAnsi="Verdana" w:cs="Arial"/>
          <w:bCs/>
          <w:color w:val="000000" w:themeColor="text1"/>
        </w:rPr>
        <w:t>I</w:t>
      </w:r>
      <w:r w:rsidRPr="00185EE9">
        <w:rPr>
          <w:rFonts w:ascii="Verdana" w:eastAsia="Calibri" w:hAnsi="Verdana" w:cs="Arial"/>
          <w:bCs/>
          <w:color w:val="000000" w:themeColor="text1"/>
        </w:rPr>
        <w:t xml:space="preserve">gualmente, el artículo 29 </w:t>
      </w:r>
      <w:r w:rsidRPr="00185EE9">
        <w:rPr>
          <w:rFonts w:ascii="Verdana" w:eastAsia="Calibri" w:hAnsi="Verdana" w:cs="Arial"/>
          <w:bCs/>
          <w:i/>
          <w:iCs/>
          <w:color w:val="000000" w:themeColor="text1"/>
        </w:rPr>
        <w:t>ibidem</w:t>
      </w:r>
      <w:r w:rsidRPr="00185EE9">
        <w:rPr>
          <w:rFonts w:ascii="Verdana" w:eastAsia="Calibri" w:hAnsi="Verdana" w:cs="Arial"/>
          <w:bCs/>
          <w:color w:val="000000" w:themeColor="text1"/>
        </w:rPr>
        <w:t xml:space="preserve"> prescribe lo siguiente: “Las palabras técnicas de toda ciencia o arte se tomarán en el sentido que les den los que profesan la misma ciencia o arte; a menos que aparezca claramente que se han formado en sentido diverso”</w:t>
      </w:r>
      <w:r w:rsidRPr="00185EE9">
        <w:rPr>
          <w:rStyle w:val="Refdenotaalpie"/>
          <w:rFonts w:ascii="Verdana" w:eastAsia="Calibri" w:hAnsi="Verdana" w:cs="Arial"/>
          <w:bCs/>
          <w:color w:val="000000" w:themeColor="text1"/>
        </w:rPr>
        <w:footnoteReference w:id="7"/>
      </w:r>
      <w:r w:rsidRPr="00185EE9">
        <w:rPr>
          <w:rFonts w:ascii="Verdana" w:eastAsia="Calibri" w:hAnsi="Verdana" w:cs="Arial"/>
          <w:bCs/>
          <w:color w:val="000000" w:themeColor="text1"/>
        </w:rPr>
        <w:t xml:space="preserve">. </w:t>
      </w:r>
    </w:p>
    <w:p w14:paraId="43F57BB7" w14:textId="77777777" w:rsidR="008636D0" w:rsidRPr="00185EE9" w:rsidRDefault="008636D0" w:rsidP="008636D0">
      <w:pPr>
        <w:spacing w:after="120" w:line="276" w:lineRule="auto"/>
        <w:ind w:firstLine="709"/>
        <w:jc w:val="both"/>
        <w:rPr>
          <w:rFonts w:ascii="Verdana" w:eastAsia="Calibri" w:hAnsi="Verdana" w:cs="Arial"/>
          <w:bCs/>
          <w:color w:val="000000" w:themeColor="text1"/>
        </w:rPr>
      </w:pPr>
      <w:r w:rsidRPr="00185EE9">
        <w:rPr>
          <w:rFonts w:ascii="Verdana" w:eastAsia="Calibri" w:hAnsi="Verdana" w:cs="Arial"/>
          <w:bCs/>
          <w:color w:val="000000" w:themeColor="text1"/>
        </w:rPr>
        <w:t>Por ello, según el literal a) del artículo 2, numeral 2 de la Ley 1150 de 2007, los bienes y servicios de características técnicas uniformes “</w:t>
      </w:r>
      <w:r>
        <w:rPr>
          <w:rFonts w:ascii="Verdana" w:eastAsia="Calibri" w:hAnsi="Verdana" w:cs="Arial"/>
          <w:bCs/>
          <w:color w:val="000000" w:themeColor="text1"/>
        </w:rPr>
        <w:t xml:space="preserve">(…) </w:t>
      </w:r>
      <w:r w:rsidRPr="00185EE9">
        <w:rPr>
          <w:rFonts w:ascii="Verdana" w:eastAsia="Calibri" w:hAnsi="Verdana" w:cs="Arial"/>
          <w:bCs/>
          <w:color w:val="000000" w:themeColor="text1"/>
        </w:rPr>
        <w:t xml:space="preserve">corresponden a aquellos que poseen las mismas especificaciones técnicas, con independencia de su diseño o de sus características descriptivas, y comparten patrones de desempeño y calidad objetivamente definidos”. Asimismo, el artículo 2.2.1.1.1.3.1 del Decreto 1082 de 2015 los define como aquellos “Bienes y servicios de común utilización con especificaciones técnicas y patrones de desempeño y calidad iguales o similares, que en consecuencia pueden ser agrupados como bienes y servicios homogéneos para su adquisición y a los que se refiere el literal (a) del numeral 2 del artículo 2 de la Ley 1150 de 2007”. De esta manera, conforme a las normas citadas en el párrafo precedente, prima la definición legal sobre el uso general o el significado técnico.  </w:t>
      </w:r>
    </w:p>
    <w:p w14:paraId="3B9806C7" w14:textId="77777777" w:rsidR="008636D0" w:rsidRPr="00185EE9" w:rsidRDefault="008636D0" w:rsidP="008636D0">
      <w:pPr>
        <w:spacing w:after="120" w:line="276" w:lineRule="auto"/>
        <w:ind w:firstLine="709"/>
        <w:jc w:val="both"/>
        <w:rPr>
          <w:rFonts w:ascii="Verdana" w:eastAsia="Calibri" w:hAnsi="Verdana" w:cs="Arial"/>
          <w:bCs/>
          <w:color w:val="000000" w:themeColor="text1"/>
        </w:rPr>
      </w:pPr>
      <w:r w:rsidRPr="00185EE9">
        <w:rPr>
          <w:rFonts w:ascii="Verdana" w:eastAsia="Calibri" w:hAnsi="Verdana" w:cs="Arial"/>
          <w:bCs/>
          <w:color w:val="000000" w:themeColor="text1"/>
        </w:rPr>
        <w:t xml:space="preserve">Para identificar los bienes y servicios que corresponden a este tipo, se destacan dos (2) aspectos importantes: la común utilización y la homogeneidad. Para la doctrina, la </w:t>
      </w:r>
      <w:r w:rsidRPr="00185EE9">
        <w:rPr>
          <w:rFonts w:ascii="Verdana" w:eastAsia="Calibri" w:hAnsi="Verdana" w:cs="Arial"/>
          <w:bCs/>
          <w:i/>
          <w:iCs/>
          <w:color w:val="000000" w:themeColor="text1"/>
        </w:rPr>
        <w:t>común utilización</w:t>
      </w:r>
      <w:r w:rsidRPr="00185EE9">
        <w:rPr>
          <w:rFonts w:ascii="Verdana" w:eastAsia="Calibri" w:hAnsi="Verdana" w:cs="Arial"/>
          <w:bCs/>
          <w:color w:val="000000" w:themeColor="text1"/>
        </w:rPr>
        <w:t xml:space="preserve"> “</w:t>
      </w:r>
      <w:r>
        <w:rPr>
          <w:rFonts w:ascii="Verdana" w:eastAsia="Calibri" w:hAnsi="Verdana" w:cs="Arial"/>
          <w:bCs/>
          <w:color w:val="000000" w:themeColor="text1"/>
        </w:rPr>
        <w:t>(…)</w:t>
      </w:r>
      <w:r w:rsidRPr="00185EE9">
        <w:rPr>
          <w:rFonts w:ascii="Verdana" w:eastAsia="Calibri" w:hAnsi="Verdana" w:cs="Arial"/>
          <w:bCs/>
          <w:color w:val="000000" w:themeColor="text1"/>
        </w:rPr>
        <w:t xml:space="preserve"> busca que los bienes o servicios que se compren en esta categoría sean de los que se ofrecen en un mercado con un estándar para quienes los demandan, o lo que es igual, que la oferta de </w:t>
      </w:r>
      <w:proofErr w:type="gramStart"/>
      <w:r w:rsidRPr="00185EE9">
        <w:rPr>
          <w:rFonts w:ascii="Verdana" w:eastAsia="Calibri" w:hAnsi="Verdana" w:cs="Arial"/>
          <w:bCs/>
          <w:color w:val="000000" w:themeColor="text1"/>
        </w:rPr>
        <w:t>los mismos</w:t>
      </w:r>
      <w:proofErr w:type="gramEnd"/>
      <w:r w:rsidRPr="00185EE9">
        <w:rPr>
          <w:rFonts w:ascii="Verdana" w:eastAsia="Calibri" w:hAnsi="Verdana" w:cs="Arial"/>
          <w:bCs/>
          <w:color w:val="000000" w:themeColor="text1"/>
        </w:rPr>
        <w:t xml:space="preserve"> en el mercado ocurriese en condiciones equivalentes para todo interesado en adquirirlos”</w:t>
      </w:r>
      <w:r w:rsidRPr="00185EE9">
        <w:rPr>
          <w:rStyle w:val="Refdenotaalpie"/>
          <w:rFonts w:ascii="Verdana" w:eastAsia="Calibri" w:hAnsi="Verdana" w:cs="Arial"/>
          <w:bCs/>
          <w:color w:val="000000" w:themeColor="text1"/>
        </w:rPr>
        <w:footnoteReference w:id="8"/>
      </w:r>
      <w:r w:rsidRPr="00185EE9">
        <w:rPr>
          <w:rFonts w:ascii="Verdana" w:eastAsia="Calibri" w:hAnsi="Verdana" w:cs="Arial"/>
          <w:bCs/>
          <w:color w:val="000000" w:themeColor="text1"/>
        </w:rPr>
        <w:t xml:space="preserve">. Por su parte, la </w:t>
      </w:r>
      <w:r w:rsidRPr="00185EE9">
        <w:rPr>
          <w:rFonts w:ascii="Verdana" w:eastAsia="Calibri" w:hAnsi="Verdana" w:cs="Arial"/>
          <w:bCs/>
          <w:i/>
          <w:iCs/>
          <w:color w:val="000000" w:themeColor="text1"/>
        </w:rPr>
        <w:t>homogeneidad</w:t>
      </w:r>
      <w:r w:rsidRPr="00185EE9">
        <w:rPr>
          <w:rFonts w:ascii="Verdana" w:eastAsia="Calibri" w:hAnsi="Verdana" w:cs="Arial"/>
          <w:bCs/>
          <w:color w:val="000000" w:themeColor="text1"/>
        </w:rPr>
        <w:t xml:space="preserve"> se refiere a que “</w:t>
      </w:r>
      <w:r>
        <w:rPr>
          <w:rFonts w:ascii="Verdana" w:eastAsia="Calibri" w:hAnsi="Verdana" w:cs="Arial"/>
          <w:bCs/>
          <w:color w:val="000000" w:themeColor="text1"/>
        </w:rPr>
        <w:t>(…)</w:t>
      </w:r>
      <w:r w:rsidRPr="00185EE9">
        <w:rPr>
          <w:rFonts w:ascii="Verdana" w:eastAsia="Calibri" w:hAnsi="Verdana" w:cs="Arial"/>
          <w:bCs/>
          <w:color w:val="000000" w:themeColor="text1"/>
        </w:rPr>
        <w:t xml:space="preserve"> sean fácilmente describibles por características mínimas comunes a los de su tipo, excluyendo elementos no esenciales, tales como los de diseño o cualquier otro que no altere la funcionalidad del bien o servicio. Ello debe ser así, en la medida en la cual se busca que la administración logre que compitan bienes o servicios de igual calidad, ofrecidos por los proponentes capaces de satisfacer el requerimiento de la entidad contratante”</w:t>
      </w:r>
      <w:r w:rsidRPr="00185EE9">
        <w:rPr>
          <w:rStyle w:val="Refdenotaalpie"/>
          <w:rFonts w:ascii="Verdana" w:eastAsia="Calibri" w:hAnsi="Verdana" w:cs="Arial"/>
          <w:bCs/>
          <w:color w:val="000000" w:themeColor="text1"/>
        </w:rPr>
        <w:footnoteReference w:id="9"/>
      </w:r>
      <w:r w:rsidRPr="00185EE9">
        <w:rPr>
          <w:rFonts w:ascii="Verdana" w:eastAsia="Calibri" w:hAnsi="Verdana" w:cs="Arial"/>
          <w:bCs/>
          <w:color w:val="000000" w:themeColor="text1"/>
        </w:rPr>
        <w:t>.</w:t>
      </w:r>
    </w:p>
    <w:p w14:paraId="508614C8" w14:textId="230229A3" w:rsidR="008636D0" w:rsidRPr="00185EE9" w:rsidRDefault="008636D0" w:rsidP="00813B31">
      <w:pPr>
        <w:spacing w:after="0" w:line="276" w:lineRule="auto"/>
        <w:ind w:firstLine="708"/>
        <w:jc w:val="both"/>
        <w:rPr>
          <w:rFonts w:ascii="Verdana" w:eastAsia="Calibri" w:hAnsi="Verdana" w:cs="Arial"/>
        </w:rPr>
      </w:pPr>
      <w:r w:rsidRPr="00185EE9">
        <w:rPr>
          <w:rFonts w:ascii="Verdana" w:eastAsia="Calibri" w:hAnsi="Verdana" w:cs="Arial"/>
          <w:bCs/>
          <w:color w:val="000000" w:themeColor="text1"/>
        </w:rPr>
        <w:t>Los elementos centrales para definir si un bien o servicio se considera de características técnicas uniformes consiste en que posea las mismas especificaciones técnicas y compartan patrones de desempeño y calidad objetivamente definidos. Por ello, es posible adquirirlos en el mercado en condiciones estandarizadas u homogéneas, con independencia de su diseño o de sus características descriptivas, pues éstas no afectan su funcionalidad. La forma cómo se adquieren en el mercado determina si un bien o servicio encaja en esta categoría, de ahí que el Decreto 1082 de 2015 disponga que “</w:t>
      </w:r>
      <w:r>
        <w:rPr>
          <w:rFonts w:ascii="Verdana" w:eastAsia="Calibri" w:hAnsi="Verdana" w:cs="Arial"/>
          <w:bCs/>
          <w:color w:val="000000" w:themeColor="text1"/>
        </w:rPr>
        <w:t>(…)</w:t>
      </w:r>
      <w:r w:rsidRPr="00185EE9">
        <w:rPr>
          <w:rFonts w:ascii="Verdana" w:eastAsia="Calibri" w:hAnsi="Verdana" w:cs="Arial"/>
          <w:bCs/>
          <w:color w:val="000000" w:themeColor="text1"/>
        </w:rPr>
        <w:t xml:space="preserve"> pueden ser agrupados como bienes y servicios homogéneos para su adquisición </w:t>
      </w:r>
      <w:r>
        <w:rPr>
          <w:rFonts w:ascii="Verdana" w:eastAsia="Calibri" w:hAnsi="Verdana" w:cs="Arial"/>
          <w:bCs/>
          <w:color w:val="000000" w:themeColor="text1"/>
        </w:rPr>
        <w:t>(…)</w:t>
      </w:r>
      <w:r w:rsidRPr="00185EE9">
        <w:rPr>
          <w:rFonts w:ascii="Verdana" w:eastAsia="Calibri" w:hAnsi="Verdana" w:cs="Arial"/>
          <w:bCs/>
          <w:color w:val="000000" w:themeColor="text1"/>
        </w:rPr>
        <w:t xml:space="preserve">”, dado que cuentan con especificaciones técnicas y patrones de desempeño y calidad similares. Al respecto, la exposición de motivos de la Ley 1150 de 2007 explica que: </w:t>
      </w:r>
    </w:p>
    <w:p w14:paraId="42D81572" w14:textId="77777777" w:rsidR="008636D0" w:rsidRPr="00B9148F" w:rsidRDefault="008636D0" w:rsidP="008636D0">
      <w:pPr>
        <w:spacing w:after="0" w:line="240" w:lineRule="auto"/>
        <w:ind w:left="709" w:right="709"/>
        <w:jc w:val="both"/>
        <w:rPr>
          <w:rFonts w:ascii="Verdana" w:eastAsia="Calibri" w:hAnsi="Verdana" w:cs="Arial"/>
          <w:sz w:val="20"/>
          <w:szCs w:val="20"/>
        </w:rPr>
      </w:pPr>
      <w:r w:rsidRPr="00B9148F">
        <w:rPr>
          <w:rFonts w:ascii="Verdana" w:eastAsia="Calibri" w:hAnsi="Verdana" w:cs="Arial"/>
          <w:sz w:val="20"/>
          <w:szCs w:val="20"/>
        </w:rPr>
        <w:t>“</w:t>
      </w:r>
      <w:r>
        <w:rPr>
          <w:rFonts w:ascii="Verdana" w:eastAsia="Calibri" w:hAnsi="Verdana" w:cs="Arial"/>
          <w:sz w:val="20"/>
          <w:szCs w:val="20"/>
        </w:rPr>
        <w:t xml:space="preserve">(…) </w:t>
      </w:r>
      <w:r w:rsidRPr="00B9148F">
        <w:rPr>
          <w:rFonts w:ascii="Verdana" w:eastAsia="Calibri" w:hAnsi="Verdana" w:cs="Arial"/>
          <w:sz w:val="20"/>
          <w:szCs w:val="20"/>
        </w:rPr>
        <w:t xml:space="preserve">las innovaciones del proceso de selección abreviada empiezan por una medida trascendental, para llevar a sólo horas los contratos referidos a la adquisición de bienes de ‘características técnicas uniformes y de común utilización’ </w:t>
      </w:r>
      <w:proofErr w:type="gramStart"/>
      <w:r w:rsidRPr="00B9148F">
        <w:rPr>
          <w:rFonts w:ascii="Verdana" w:eastAsia="Calibri" w:hAnsi="Verdana" w:cs="Arial"/>
          <w:sz w:val="20"/>
          <w:szCs w:val="20"/>
        </w:rPr>
        <w:t>que</w:t>
      </w:r>
      <w:proofErr w:type="gramEnd"/>
      <w:r w:rsidRPr="00B9148F">
        <w:rPr>
          <w:rFonts w:ascii="Verdana" w:eastAsia="Calibri" w:hAnsi="Verdana" w:cs="Arial"/>
          <w:sz w:val="20"/>
          <w:szCs w:val="20"/>
        </w:rPr>
        <w:t xml:space="preserve"> según cálculos del Departamento Nacional de Planeación, corresponden a más del 80% en número de contratos. </w:t>
      </w:r>
      <w:r w:rsidRPr="00B9148F">
        <w:rPr>
          <w:rFonts w:ascii="Verdana" w:eastAsia="Calibri" w:hAnsi="Verdana" w:cs="Arial"/>
          <w:i/>
          <w:iCs/>
          <w:sz w:val="20"/>
          <w:szCs w:val="20"/>
        </w:rPr>
        <w:t>De esta forma, en la medida en la cual se trate de adquirir un objeto cuyas características técnicas puedan reducirse a unas comunes a su funcionalidad y calidad, tal proceso debe realizarse únicamente en función del precio del bien, una vez se han verificado las condiciones de capacidad de los proponentes para cumplir con el contrato (‘pasa, no pasa’)</w:t>
      </w:r>
      <w:r w:rsidRPr="00B9148F">
        <w:rPr>
          <w:rFonts w:ascii="Verdana" w:eastAsia="Calibri" w:hAnsi="Verdana" w:cs="Arial"/>
          <w:sz w:val="20"/>
          <w:szCs w:val="20"/>
        </w:rPr>
        <w:t xml:space="preserve"> </w:t>
      </w:r>
      <w:r>
        <w:rPr>
          <w:rFonts w:ascii="Verdana" w:eastAsia="Calibri" w:hAnsi="Verdana" w:cs="Arial"/>
          <w:sz w:val="20"/>
          <w:szCs w:val="20"/>
        </w:rPr>
        <w:t>(…)</w:t>
      </w:r>
      <w:r w:rsidRPr="00B9148F">
        <w:rPr>
          <w:rFonts w:ascii="Verdana" w:eastAsia="Calibri" w:hAnsi="Verdana" w:cs="Arial"/>
          <w:sz w:val="20"/>
          <w:szCs w:val="20"/>
        </w:rPr>
        <w:t>”</w:t>
      </w:r>
      <w:r w:rsidRPr="00B9148F">
        <w:rPr>
          <w:rStyle w:val="Refdenotaalpie"/>
          <w:rFonts w:ascii="Verdana" w:eastAsia="Calibri" w:hAnsi="Verdana" w:cs="Arial"/>
          <w:sz w:val="20"/>
          <w:szCs w:val="20"/>
        </w:rPr>
        <w:footnoteReference w:id="10"/>
      </w:r>
      <w:r w:rsidRPr="00B9148F">
        <w:rPr>
          <w:rFonts w:ascii="Verdana" w:eastAsia="Calibri" w:hAnsi="Verdana" w:cs="Arial"/>
          <w:sz w:val="20"/>
          <w:szCs w:val="20"/>
        </w:rPr>
        <w:t>. (Énfasis fuera de texto)</w:t>
      </w:r>
    </w:p>
    <w:p w14:paraId="76BB999E" w14:textId="77777777" w:rsidR="008636D0" w:rsidRPr="00185EE9" w:rsidRDefault="008636D0" w:rsidP="008636D0">
      <w:pPr>
        <w:spacing w:after="0" w:line="276" w:lineRule="auto"/>
        <w:jc w:val="both"/>
        <w:rPr>
          <w:rFonts w:ascii="Verdana" w:eastAsia="Calibri" w:hAnsi="Verdana" w:cs="Arial"/>
        </w:rPr>
      </w:pPr>
    </w:p>
    <w:p w14:paraId="16012F1F" w14:textId="77777777" w:rsidR="008636D0" w:rsidRPr="00185EE9" w:rsidRDefault="008636D0" w:rsidP="008636D0">
      <w:pPr>
        <w:spacing w:after="120" w:line="276" w:lineRule="auto"/>
        <w:ind w:firstLine="709"/>
        <w:jc w:val="both"/>
        <w:rPr>
          <w:rFonts w:ascii="Verdana" w:eastAsia="Calibri" w:hAnsi="Verdana" w:cs="Arial"/>
        </w:rPr>
      </w:pPr>
      <w:r w:rsidRPr="00185EE9">
        <w:rPr>
          <w:rFonts w:ascii="Verdana" w:eastAsia="Calibri" w:hAnsi="Verdana" w:cs="Arial"/>
        </w:rPr>
        <w:t>En este contexto, la doctrina identifica como bienes o servicios de características técnicas los insumos de oficina –bolígrafos, cartuchos de tinta, papel de impresora, tijeras, cuadernos, entre otros–, los insumos de limpieza –bolsas de basura, esponjas, limpiador de pisos, papel higiénico, toallas de papel, entre otros–, y los insumos de cocina –agua, aromáticas, azúcar, café, servilletas, entre otros–. También identifica como tales los muebles y enseres –archivos, asientos, escritorios, mesas, entre otros–, los equipos –computadores, escáneres, impresoras, proyectores, entre otros–, los combustibles –ACPM, biodiesel, gasolina, combustible diésel, entre otros–, los servicios de mantenimiento –equipos electrónicos, de comunicaciones, entre otros–, etc.</w:t>
      </w:r>
      <w:r w:rsidRPr="00185EE9">
        <w:rPr>
          <w:rStyle w:val="Refdenotaalpie"/>
          <w:rFonts w:ascii="Verdana" w:eastAsia="Calibri" w:hAnsi="Verdana" w:cs="Arial"/>
        </w:rPr>
        <w:footnoteReference w:id="11"/>
      </w:r>
    </w:p>
    <w:p w14:paraId="46798151" w14:textId="77777777" w:rsidR="008636D0" w:rsidRDefault="008636D0" w:rsidP="008636D0">
      <w:pPr>
        <w:spacing w:after="0" w:line="276" w:lineRule="auto"/>
        <w:ind w:firstLine="709"/>
        <w:jc w:val="both"/>
        <w:rPr>
          <w:rFonts w:ascii="Verdana" w:eastAsia="Calibri" w:hAnsi="Verdana" w:cs="Arial"/>
          <w:bCs/>
          <w:color w:val="000000" w:themeColor="text1"/>
        </w:rPr>
      </w:pPr>
      <w:r w:rsidRPr="00185EE9">
        <w:rPr>
          <w:rFonts w:ascii="Verdana" w:eastAsia="Calibri" w:hAnsi="Verdana" w:cs="Arial"/>
          <w:bCs/>
          <w:color w:val="000000" w:themeColor="text1"/>
        </w:rPr>
        <w:t>En definitiva, la nota común de este conjunto de bienes y servicios es que, con independencia de sus características descriptivas, comparten patrones de desempeño y calidad similares para la satisfacción de la necesidad a la que atienden. Igualmente, el inciso segundo del literal a) del artículo 2, numeral 2 de la Ley 1150 de 2007 dispone que “</w:t>
      </w:r>
      <w:r w:rsidRPr="00185EE9">
        <w:rPr>
          <w:rFonts w:ascii="Verdana" w:eastAsia="Calibri" w:hAnsi="Verdana" w:cs="Arial"/>
          <w:bCs/>
          <w:i/>
          <w:iCs/>
          <w:color w:val="000000" w:themeColor="text1"/>
        </w:rPr>
        <w:t>Para la adquisición de estos bienes y servicios las entidades deberán</w:t>
      </w:r>
      <w:r w:rsidRPr="00185EE9">
        <w:rPr>
          <w:rFonts w:ascii="Verdana" w:eastAsia="Calibri" w:hAnsi="Verdana" w:cs="Arial"/>
          <w:bCs/>
          <w:color w:val="000000" w:themeColor="text1"/>
        </w:rPr>
        <w:t xml:space="preserve">, siempre que el reglamento así lo señale, </w:t>
      </w:r>
      <w:r w:rsidRPr="00185EE9">
        <w:rPr>
          <w:rFonts w:ascii="Verdana" w:eastAsia="Calibri" w:hAnsi="Verdana" w:cs="Arial"/>
          <w:bCs/>
          <w:i/>
          <w:iCs/>
          <w:color w:val="000000" w:themeColor="text1"/>
        </w:rPr>
        <w:t>hacer uso</w:t>
      </w:r>
      <w:r w:rsidRPr="00185EE9">
        <w:rPr>
          <w:rFonts w:ascii="Verdana" w:eastAsia="Calibri" w:hAnsi="Verdana" w:cs="Arial"/>
          <w:bCs/>
          <w:color w:val="000000" w:themeColor="text1"/>
        </w:rPr>
        <w:t xml:space="preserve"> de procedimientos de subasta inversa o de instrumentos de compra por catálogo derivados de la celebración de acuerdos marco de precios o </w:t>
      </w:r>
      <w:r w:rsidRPr="00185EE9">
        <w:rPr>
          <w:rFonts w:ascii="Verdana" w:eastAsia="Calibri" w:hAnsi="Verdana" w:cs="Arial"/>
          <w:bCs/>
          <w:i/>
          <w:iCs/>
          <w:color w:val="000000" w:themeColor="text1"/>
        </w:rPr>
        <w:t>de procedimientos de adquisición en bolsas de productos</w:t>
      </w:r>
      <w:r w:rsidRPr="00185EE9">
        <w:rPr>
          <w:rFonts w:ascii="Verdana" w:eastAsia="Calibri" w:hAnsi="Verdana" w:cs="Arial"/>
          <w:bCs/>
          <w:color w:val="000000" w:themeColor="text1"/>
        </w:rPr>
        <w:t>” (Énfasis fuera de texto). Estos mecanismos se aplicarán en la forma que disponga el Decreto 1082 de 2015 para para cada uno de ellos.</w:t>
      </w:r>
    </w:p>
    <w:p w14:paraId="3E62DE16" w14:textId="77777777" w:rsidR="008636D0" w:rsidRDefault="008636D0" w:rsidP="008636D0">
      <w:pPr>
        <w:spacing w:after="0" w:line="240" w:lineRule="auto"/>
        <w:ind w:firstLine="709"/>
        <w:jc w:val="both"/>
        <w:rPr>
          <w:rFonts w:ascii="Verdana" w:eastAsia="Calibri" w:hAnsi="Verdana" w:cs="Arial"/>
          <w:bCs/>
          <w:color w:val="000000" w:themeColor="text1"/>
        </w:rPr>
      </w:pPr>
    </w:p>
    <w:p w14:paraId="71EECDC7" w14:textId="77777777" w:rsidR="008636D0" w:rsidRDefault="008636D0" w:rsidP="008636D0">
      <w:pPr>
        <w:spacing w:after="120" w:line="276" w:lineRule="auto"/>
        <w:ind w:firstLine="709"/>
        <w:jc w:val="both"/>
        <w:rPr>
          <w:rFonts w:ascii="Verdana" w:eastAsia="Calibri" w:hAnsi="Verdana" w:cs="Arial"/>
          <w:bCs/>
          <w:color w:val="000000" w:themeColor="text1"/>
        </w:rPr>
      </w:pPr>
      <w:r w:rsidRPr="00185EE9">
        <w:rPr>
          <w:rFonts w:ascii="Verdana" w:eastAsia="Calibri" w:hAnsi="Verdana" w:cs="Arial"/>
          <w:bCs/>
          <w:color w:val="000000" w:themeColor="text1"/>
        </w:rPr>
        <w:t xml:space="preserve">Respecto </w:t>
      </w:r>
      <w:r>
        <w:rPr>
          <w:rFonts w:ascii="Verdana" w:eastAsia="Calibri" w:hAnsi="Verdana" w:cs="Arial"/>
          <w:bCs/>
          <w:color w:val="000000" w:themeColor="text1"/>
        </w:rPr>
        <w:t>de</w:t>
      </w:r>
      <w:r w:rsidRPr="00185EE9">
        <w:rPr>
          <w:rFonts w:ascii="Verdana" w:eastAsia="Calibri" w:hAnsi="Verdana" w:cs="Arial"/>
          <w:bCs/>
          <w:color w:val="000000" w:themeColor="text1"/>
        </w:rPr>
        <w:t xml:space="preserve"> los servicios </w:t>
      </w:r>
      <w:r>
        <w:rPr>
          <w:rFonts w:ascii="Verdana" w:eastAsia="Calibri" w:hAnsi="Verdana" w:cs="Arial"/>
          <w:bCs/>
          <w:color w:val="000000" w:themeColor="text1"/>
        </w:rPr>
        <w:t>para la adquisición de SOAT</w:t>
      </w:r>
      <w:r w:rsidRPr="00185EE9">
        <w:rPr>
          <w:rFonts w:ascii="Verdana" w:eastAsia="Calibri" w:hAnsi="Verdana" w:cs="Arial"/>
          <w:bCs/>
          <w:color w:val="000000" w:themeColor="text1"/>
        </w:rPr>
        <w:t xml:space="preserve">, </w:t>
      </w:r>
      <w:r>
        <w:rPr>
          <w:rFonts w:ascii="Verdana" w:eastAsia="Calibri" w:hAnsi="Verdana" w:cs="Arial"/>
          <w:bCs/>
          <w:color w:val="000000" w:themeColor="text1"/>
        </w:rPr>
        <w:t xml:space="preserve">el Decreto 663 de 1993 (Estatuto Orgánico del Sistema Financiero – EOSF-) en su artículo 192 determina que los vehículos automotores que transiten en el territorio nacional deberán estar amparados por un seguro obligatorio vigente. La misma obligatoriedad está contemplada en el artículo 42 de la </w:t>
      </w:r>
      <w:r w:rsidRPr="008E2AA2">
        <w:rPr>
          <w:rFonts w:ascii="Verdana" w:eastAsia="Calibri" w:hAnsi="Verdana" w:cs="Arial"/>
          <w:bCs/>
          <w:color w:val="000000" w:themeColor="text1"/>
        </w:rPr>
        <w:t>Ley 2161 de 2021</w:t>
      </w:r>
      <w:r>
        <w:rPr>
          <w:rFonts w:ascii="Verdana" w:eastAsia="Calibri" w:hAnsi="Verdana" w:cs="Arial"/>
          <w:bCs/>
          <w:color w:val="000000" w:themeColor="text1"/>
        </w:rPr>
        <w:t xml:space="preserve">. Por su parte, el artículo 193 del EOSF indica que el gobierno reglamentará las características y condiciones generales y técnicas de la póliza, cuantías y amparos, así como los demás aspectos necesarios para el funcionamiento de dicho seguro. Así mismo, la </w:t>
      </w:r>
      <w:r w:rsidRPr="00AA4AEC">
        <w:rPr>
          <w:rFonts w:ascii="Verdana" w:eastAsia="Calibri" w:hAnsi="Verdana" w:cs="Arial"/>
          <w:bCs/>
          <w:color w:val="000000" w:themeColor="text1"/>
        </w:rPr>
        <w:t>Superintendencia Financiera de Colombia revisará periódicamente las condiciones técnicas y financieras de la operación de este seguro, propósito para el cual solicitará a las entidades aseguradoras la información que estime conveniente.</w:t>
      </w:r>
      <w:bookmarkStart w:id="2" w:name="Nivel001"/>
      <w:bookmarkEnd w:id="2"/>
      <w:r>
        <w:rPr>
          <w:rFonts w:ascii="Verdana" w:eastAsia="Calibri" w:hAnsi="Verdana" w:cs="Arial"/>
          <w:bCs/>
          <w:color w:val="000000" w:themeColor="text1"/>
        </w:rPr>
        <w:t xml:space="preserve"> </w:t>
      </w:r>
      <w:r w:rsidRPr="00AA4AEC">
        <w:rPr>
          <w:rFonts w:ascii="Verdana" w:eastAsia="Calibri" w:hAnsi="Verdana" w:cs="Arial"/>
          <w:bCs/>
          <w:color w:val="000000" w:themeColor="text1"/>
        </w:rPr>
        <w:t>En todo caso, en la determinación de las tarifas se observarán los principios de equidad, suficiencia y moderación y se podrán establecer rangos diferenciales según la naturaleza de los riesgos.</w:t>
      </w:r>
    </w:p>
    <w:p w14:paraId="715938B0" w14:textId="77777777" w:rsidR="008636D0" w:rsidRDefault="008636D0" w:rsidP="008636D0">
      <w:pPr>
        <w:spacing w:after="120" w:line="276" w:lineRule="auto"/>
        <w:ind w:firstLine="709"/>
        <w:jc w:val="both"/>
        <w:rPr>
          <w:rFonts w:ascii="Verdana" w:eastAsia="Calibri" w:hAnsi="Verdana" w:cs="Arial"/>
          <w:bCs/>
          <w:color w:val="000000" w:themeColor="text1"/>
        </w:rPr>
      </w:pPr>
      <w:r>
        <w:rPr>
          <w:rFonts w:ascii="Verdana" w:eastAsia="Calibri" w:hAnsi="Verdana" w:cs="Arial"/>
          <w:bCs/>
          <w:color w:val="000000" w:themeColor="text1"/>
        </w:rPr>
        <w:t>Con base en lo anterior, la Superintendencia Financiera en atención a las facultades consagradas en el artículo 1 del Decreto 2497 de 2022, modificado por el Decreto 2312 e 2023, profirió actualmente la Circular 022 de 2025 la cual definió la actualización de las tarifas máximas del SOAT</w:t>
      </w:r>
      <w:r>
        <w:rPr>
          <w:rStyle w:val="Refdenotaalpie"/>
          <w:rFonts w:ascii="Verdana" w:eastAsia="Calibri" w:hAnsi="Verdana" w:cs="Arial"/>
          <w:bCs/>
          <w:color w:val="000000" w:themeColor="text1"/>
        </w:rPr>
        <w:footnoteReference w:id="12"/>
      </w:r>
      <w:r>
        <w:rPr>
          <w:rFonts w:ascii="Verdana" w:eastAsia="Calibri" w:hAnsi="Verdana" w:cs="Arial"/>
          <w:bCs/>
          <w:color w:val="000000" w:themeColor="text1"/>
        </w:rPr>
        <w:t xml:space="preserve"> que pueden cobrar las compañías de seguros por la expedición del SOAT para cada una de las 37 categorías de los vehículos automotores, expresadas en pesos colombianos. </w:t>
      </w:r>
    </w:p>
    <w:p w14:paraId="06E09946" w14:textId="49393BF9" w:rsidR="008636D0" w:rsidRDefault="008636D0" w:rsidP="008636D0">
      <w:pPr>
        <w:spacing w:after="120" w:line="276" w:lineRule="auto"/>
        <w:ind w:firstLine="709"/>
        <w:jc w:val="both"/>
        <w:rPr>
          <w:rFonts w:ascii="Verdana" w:eastAsia="Calibri" w:hAnsi="Verdana" w:cs="Arial"/>
          <w:bCs/>
          <w:color w:val="000000" w:themeColor="text1"/>
        </w:rPr>
      </w:pPr>
      <w:r>
        <w:rPr>
          <w:rFonts w:ascii="Verdana" w:eastAsia="Calibri" w:hAnsi="Verdana" w:cs="Arial"/>
          <w:bCs/>
          <w:color w:val="000000" w:themeColor="text1"/>
        </w:rPr>
        <w:t xml:space="preserve">Ahora bien, es importante indicar que la Ley 2161 de 2021 “por la cual </w:t>
      </w:r>
      <w:r w:rsidR="006D5641">
        <w:rPr>
          <w:rFonts w:ascii="Verdana" w:eastAsia="Calibri" w:hAnsi="Verdana" w:cs="Arial"/>
          <w:bCs/>
          <w:color w:val="000000" w:themeColor="text1"/>
        </w:rPr>
        <w:t>s</w:t>
      </w:r>
      <w:r w:rsidRPr="00084669">
        <w:rPr>
          <w:rFonts w:ascii="Verdana" w:eastAsia="Calibri" w:hAnsi="Verdana" w:cs="Arial"/>
          <w:bCs/>
          <w:color w:val="000000" w:themeColor="text1"/>
        </w:rPr>
        <w:t>e establecen medidas para promover la adquisición, renovación y no evasión del Seguro Obligatorio de Accidentes de Tránsito (SOAT), s</w:t>
      </w:r>
      <w:r>
        <w:rPr>
          <w:rFonts w:ascii="Verdana" w:eastAsia="Calibri" w:hAnsi="Verdana" w:cs="Arial"/>
          <w:bCs/>
          <w:color w:val="000000" w:themeColor="text1"/>
        </w:rPr>
        <w:t xml:space="preserve">e </w:t>
      </w:r>
      <w:r w:rsidRPr="00084669">
        <w:rPr>
          <w:rFonts w:ascii="Verdana" w:eastAsia="Calibri" w:hAnsi="Verdana" w:cs="Arial"/>
          <w:bCs/>
          <w:color w:val="000000" w:themeColor="text1"/>
        </w:rPr>
        <w:t>modifica la Ley 769 de 2002 y se dictan otras disposiciones</w:t>
      </w:r>
      <w:r>
        <w:rPr>
          <w:rFonts w:ascii="Verdana" w:eastAsia="Calibri" w:hAnsi="Verdana" w:cs="Arial"/>
          <w:bCs/>
          <w:color w:val="000000" w:themeColor="text1"/>
        </w:rPr>
        <w:t>”, en el artículo 2, que modificó la Ley 769 de 2002, en el parágrafo 3 determinó que “A partir del 2022, las compañías aseguradoras reconocerán un máximo del 5%, de las primas mensuales emitidas por cargos de intermediación por venta del SOAT. Sin embargo, este parágrafo fue declarado inexequible por la Corte Constitucional mediante sentencia C-395 de 2022</w:t>
      </w:r>
      <w:r>
        <w:rPr>
          <w:rStyle w:val="Refdenotaalpie"/>
          <w:rFonts w:ascii="Verdana" w:eastAsia="Calibri" w:hAnsi="Verdana" w:cs="Arial"/>
          <w:bCs/>
          <w:color w:val="000000" w:themeColor="text1"/>
        </w:rPr>
        <w:footnoteReference w:id="13"/>
      </w:r>
      <w:r>
        <w:rPr>
          <w:rFonts w:ascii="Verdana" w:eastAsia="Calibri" w:hAnsi="Verdana" w:cs="Arial"/>
          <w:bCs/>
          <w:color w:val="000000" w:themeColor="text1"/>
        </w:rPr>
        <w:t xml:space="preserve"> al indicar que </w:t>
      </w:r>
    </w:p>
    <w:p w14:paraId="7164C41B" w14:textId="77777777" w:rsidR="008636D0" w:rsidRDefault="008636D0" w:rsidP="008636D0">
      <w:pPr>
        <w:spacing w:after="0" w:line="240" w:lineRule="auto"/>
        <w:ind w:left="851" w:right="760"/>
        <w:jc w:val="both"/>
        <w:rPr>
          <w:rFonts w:ascii="Verdana" w:eastAsia="Calibri" w:hAnsi="Verdana" w:cs="Arial"/>
          <w:bCs/>
          <w:color w:val="000000" w:themeColor="text1"/>
          <w:sz w:val="20"/>
          <w:szCs w:val="20"/>
        </w:rPr>
      </w:pPr>
      <w:r w:rsidRPr="00084669">
        <w:rPr>
          <w:rFonts w:ascii="Verdana" w:eastAsia="Calibri" w:hAnsi="Verdana" w:cs="Arial"/>
          <w:bCs/>
          <w:color w:val="000000" w:themeColor="text1"/>
          <w:sz w:val="20"/>
          <w:szCs w:val="20"/>
        </w:rPr>
        <w:t>“Al ser un seguro obligatorio para todos los vehículos, el ofrecimiento del SOAT debe ser masivo (Ley 769/02 art 42). En la actualidad, para que la venta del SOAT pueda ser masiva y oportuna, la intermediación resulta esencial, pues constituye una condición para distribuir efectivamente el seguro entre todo el universo de obligados a adquirirlo. En esa medida, actualmente, la intermediación del SOAT es una labor inevitablemente vinculada al aseguramiento obligatorio, el cual integra las actividades aseguradoras reservadas a la ley marco por las razones antes expuestas. A eso se suma que el ámbito de la intermediación es, por su parte, una realidad dinámica, debido a los cambios que pueden verificarse en el mercado asegurador y automotriz, razón por la cual necesita igualmente una técnica de regulación como la que ofrece la ley marco. A causa de estas características, a la intermediación en la venta del SOAT se le aplica también en principio la reserva de ley marco</w:t>
      </w:r>
      <w:r>
        <w:rPr>
          <w:rFonts w:ascii="Verdana" w:eastAsia="Calibri" w:hAnsi="Verdana" w:cs="Arial"/>
          <w:bCs/>
          <w:color w:val="000000" w:themeColor="text1"/>
          <w:sz w:val="20"/>
          <w:szCs w:val="20"/>
        </w:rPr>
        <w:t>.</w:t>
      </w:r>
    </w:p>
    <w:p w14:paraId="41C42A0F" w14:textId="77777777" w:rsidR="008636D0" w:rsidRDefault="008636D0" w:rsidP="008636D0">
      <w:pPr>
        <w:spacing w:after="0" w:line="240" w:lineRule="auto"/>
        <w:ind w:left="851" w:right="760"/>
        <w:jc w:val="both"/>
        <w:rPr>
          <w:rFonts w:ascii="Verdana" w:eastAsia="Calibri" w:hAnsi="Verdana" w:cs="Arial"/>
          <w:bCs/>
          <w:color w:val="000000" w:themeColor="text1"/>
          <w:sz w:val="20"/>
          <w:szCs w:val="20"/>
        </w:rPr>
      </w:pPr>
    </w:p>
    <w:p w14:paraId="1D8E4ACE" w14:textId="77777777" w:rsidR="008636D0" w:rsidRDefault="008636D0" w:rsidP="008636D0">
      <w:pPr>
        <w:spacing w:after="0" w:line="240" w:lineRule="auto"/>
        <w:ind w:left="851" w:right="760"/>
        <w:jc w:val="both"/>
        <w:rPr>
          <w:rFonts w:ascii="Verdana" w:eastAsia="Calibri" w:hAnsi="Verdana" w:cs="Arial"/>
          <w:bCs/>
          <w:color w:val="000000" w:themeColor="text1"/>
          <w:sz w:val="20"/>
          <w:szCs w:val="20"/>
        </w:rPr>
      </w:pPr>
      <w:r>
        <w:rPr>
          <w:rFonts w:ascii="Verdana" w:eastAsia="Calibri" w:hAnsi="Verdana" w:cs="Arial"/>
          <w:bCs/>
          <w:color w:val="000000" w:themeColor="text1"/>
          <w:sz w:val="20"/>
          <w:szCs w:val="20"/>
        </w:rPr>
        <w:t xml:space="preserve">[…] </w:t>
      </w:r>
      <w:r w:rsidRPr="00071175">
        <w:rPr>
          <w:rFonts w:ascii="Verdana" w:eastAsia="Calibri" w:hAnsi="Verdana" w:cs="Arial"/>
          <w:bCs/>
          <w:color w:val="000000" w:themeColor="text1"/>
          <w:sz w:val="20"/>
          <w:szCs w:val="20"/>
        </w:rPr>
        <w:t>La intermediación es un instrumento de distribución del SOAT, a través del cual un grupo de personas u organizaciones, a cambio de un pago, intenta poner dicho seguro a disposición de los obligados a tomarlo, para que su adquisición sea más fácil. Sin intermediación, entonces, el acceso al seguro obligatorio –dada su masividad—se hace más difícil.</w:t>
      </w:r>
    </w:p>
    <w:p w14:paraId="76D89401" w14:textId="77777777" w:rsidR="008636D0" w:rsidRDefault="008636D0" w:rsidP="008636D0">
      <w:pPr>
        <w:spacing w:after="0" w:line="240" w:lineRule="auto"/>
        <w:ind w:left="851" w:right="760"/>
        <w:jc w:val="both"/>
        <w:rPr>
          <w:rFonts w:ascii="Verdana" w:eastAsia="Calibri" w:hAnsi="Verdana" w:cs="Arial"/>
          <w:bCs/>
          <w:color w:val="000000" w:themeColor="text1"/>
          <w:sz w:val="20"/>
          <w:szCs w:val="20"/>
        </w:rPr>
      </w:pPr>
    </w:p>
    <w:p w14:paraId="6DB2DC07" w14:textId="77777777" w:rsidR="008636D0" w:rsidRDefault="008636D0" w:rsidP="008636D0">
      <w:pPr>
        <w:spacing w:after="0" w:line="240" w:lineRule="auto"/>
        <w:ind w:left="851" w:right="760"/>
        <w:jc w:val="both"/>
        <w:rPr>
          <w:rFonts w:ascii="Verdana" w:eastAsia="Calibri" w:hAnsi="Verdana" w:cs="Arial"/>
          <w:bCs/>
          <w:color w:val="000000" w:themeColor="text1"/>
          <w:sz w:val="20"/>
          <w:szCs w:val="20"/>
        </w:rPr>
      </w:pPr>
      <w:r w:rsidRPr="00071175">
        <w:rPr>
          <w:rFonts w:ascii="Verdana" w:eastAsia="Calibri" w:hAnsi="Verdana" w:cs="Arial"/>
          <w:bCs/>
          <w:color w:val="000000" w:themeColor="text1"/>
          <w:sz w:val="20"/>
          <w:szCs w:val="20"/>
        </w:rPr>
        <w:t>Ahora bien, la existencia y disponibilidad de la intermediación del SOAT no pueden darse por sentadas como algo inevitable, sino que dependen de que la actividad resulte rentable para quienes la desarrollan, ya que ese es el estímulo para insertarse en el negocio. La rentabilidad en la intermediación del SOAT está condicionada por diversos factores que fluctúan en el mercado en general, tales como el número de intermediarios, la magnitud de la demanda del seguro y la facilidad en la forma de satisfacerla. Por ejemplo, un determinado porcentaje bajo en el pago por intermediación puede ser beneficioso para los intermediarios si hay muchos compradores efectivos y poca competencia en la intermediación. No obstante, esa utilidad se puede reducir si el porcentaje que se cobra por esta actividad no varía, pero sí decrece la demanda y la competencia aumenta. La intermediación opera, entonces, en una realidad cambiante, y las variaciones en el mercado de estos seguros tienden, a su turno, a presionar modificaciones en los cargos por intermediación.</w:t>
      </w:r>
    </w:p>
    <w:p w14:paraId="01AFE784" w14:textId="77777777" w:rsidR="008636D0" w:rsidRDefault="008636D0" w:rsidP="008636D0">
      <w:pPr>
        <w:spacing w:after="0" w:line="240" w:lineRule="auto"/>
        <w:ind w:left="851" w:right="760"/>
        <w:jc w:val="both"/>
        <w:rPr>
          <w:rFonts w:ascii="Verdana" w:eastAsia="Calibri" w:hAnsi="Verdana" w:cs="Arial"/>
          <w:bCs/>
          <w:color w:val="000000" w:themeColor="text1"/>
          <w:sz w:val="20"/>
          <w:szCs w:val="20"/>
        </w:rPr>
      </w:pPr>
    </w:p>
    <w:p w14:paraId="545166E1" w14:textId="77777777" w:rsidR="008636D0" w:rsidRDefault="008636D0" w:rsidP="008636D0">
      <w:pPr>
        <w:spacing w:after="0" w:line="240" w:lineRule="auto"/>
        <w:ind w:left="851" w:right="760"/>
        <w:jc w:val="both"/>
        <w:rPr>
          <w:rFonts w:ascii="Verdana" w:eastAsia="Calibri" w:hAnsi="Verdana" w:cs="Arial"/>
          <w:bCs/>
          <w:color w:val="000000" w:themeColor="text1"/>
          <w:sz w:val="20"/>
          <w:szCs w:val="20"/>
        </w:rPr>
      </w:pPr>
      <w:r>
        <w:rPr>
          <w:rFonts w:ascii="Verdana" w:eastAsia="Calibri" w:hAnsi="Verdana" w:cs="Arial"/>
          <w:bCs/>
          <w:color w:val="000000" w:themeColor="text1"/>
          <w:sz w:val="20"/>
          <w:szCs w:val="20"/>
        </w:rPr>
        <w:t xml:space="preserve">[…] </w:t>
      </w:r>
    </w:p>
    <w:p w14:paraId="51E49ADC" w14:textId="77777777" w:rsidR="008636D0" w:rsidRDefault="008636D0" w:rsidP="008636D0">
      <w:pPr>
        <w:spacing w:after="0" w:line="240" w:lineRule="auto"/>
        <w:ind w:left="851" w:right="760"/>
        <w:jc w:val="both"/>
        <w:rPr>
          <w:rFonts w:ascii="Verdana" w:eastAsia="Calibri" w:hAnsi="Verdana" w:cs="Arial"/>
          <w:bCs/>
          <w:color w:val="000000" w:themeColor="text1"/>
          <w:sz w:val="20"/>
          <w:szCs w:val="20"/>
        </w:rPr>
      </w:pPr>
    </w:p>
    <w:p w14:paraId="4A15C196" w14:textId="77777777" w:rsidR="008636D0" w:rsidRDefault="008636D0" w:rsidP="008636D0">
      <w:pPr>
        <w:spacing w:after="0" w:line="240" w:lineRule="auto"/>
        <w:ind w:left="851" w:right="760"/>
        <w:jc w:val="both"/>
        <w:rPr>
          <w:rFonts w:ascii="Verdana" w:eastAsia="Calibri" w:hAnsi="Verdana" w:cs="Arial"/>
          <w:bCs/>
          <w:color w:val="000000" w:themeColor="text1"/>
          <w:sz w:val="20"/>
          <w:szCs w:val="20"/>
        </w:rPr>
      </w:pPr>
      <w:r>
        <w:rPr>
          <w:rFonts w:ascii="Verdana" w:eastAsia="Calibri" w:hAnsi="Verdana" w:cs="Arial"/>
          <w:bCs/>
          <w:color w:val="000000" w:themeColor="text1"/>
          <w:sz w:val="20"/>
          <w:szCs w:val="20"/>
        </w:rPr>
        <w:t xml:space="preserve">[…] </w:t>
      </w:r>
      <w:r w:rsidRPr="00071175">
        <w:rPr>
          <w:rFonts w:ascii="Verdana" w:eastAsia="Calibri" w:hAnsi="Verdana" w:cs="Arial"/>
          <w:bCs/>
          <w:color w:val="000000" w:themeColor="text1"/>
          <w:sz w:val="20"/>
          <w:szCs w:val="20"/>
        </w:rPr>
        <w:t>En consecuencia, fijar anticipadamente, mediante ley, un 5% como tope a los cargos por intermediación en la venta del SOAT puede terminar por crear una remuneración inflexible o muy rígida para un campo fluctuante. El problema que esto acarrea es que, eventualmente, se predetermine un tope a la intermediación que devenga insuficiente para los intermediarios en ciertas condiciones futuras de mercado. Si esto sucede, la norma podría acabar por anular o aminorar la rentabilidad de la actividad de intermediación y, por esa vía, reducir la cantidad de intermediarios. Con lo cual, una ley que intenta fomentar la adquisición del SOAT puede producir la consecuencia contraria, al restarle efectividad a un canal de distribución de este tipo de seguros</w:t>
      </w:r>
      <w:r>
        <w:rPr>
          <w:rFonts w:ascii="Verdana" w:eastAsia="Calibri" w:hAnsi="Verdana" w:cs="Arial"/>
          <w:bCs/>
          <w:color w:val="000000" w:themeColor="text1"/>
          <w:sz w:val="20"/>
          <w:szCs w:val="20"/>
        </w:rPr>
        <w:t>”</w:t>
      </w:r>
      <w:r w:rsidRPr="00071175">
        <w:rPr>
          <w:rFonts w:ascii="Verdana" w:eastAsia="Calibri" w:hAnsi="Verdana" w:cs="Arial"/>
          <w:bCs/>
          <w:color w:val="000000" w:themeColor="text1"/>
          <w:sz w:val="20"/>
          <w:szCs w:val="20"/>
        </w:rPr>
        <w:t>.</w:t>
      </w:r>
    </w:p>
    <w:p w14:paraId="3FB08543" w14:textId="77777777" w:rsidR="008636D0" w:rsidRDefault="008636D0" w:rsidP="008636D0">
      <w:pPr>
        <w:spacing w:after="0" w:line="240" w:lineRule="auto"/>
        <w:ind w:right="760"/>
        <w:jc w:val="both"/>
        <w:rPr>
          <w:rFonts w:ascii="Verdana" w:eastAsia="Calibri" w:hAnsi="Verdana" w:cs="Arial"/>
          <w:bCs/>
          <w:color w:val="000000" w:themeColor="text1"/>
          <w:sz w:val="20"/>
          <w:szCs w:val="20"/>
        </w:rPr>
      </w:pPr>
    </w:p>
    <w:p w14:paraId="71F53926" w14:textId="77777777" w:rsidR="008636D0" w:rsidRDefault="008636D0" w:rsidP="008636D0">
      <w:pPr>
        <w:spacing w:after="120" w:line="276" w:lineRule="auto"/>
        <w:ind w:right="51" w:firstLine="709"/>
        <w:jc w:val="both"/>
        <w:rPr>
          <w:rFonts w:ascii="Verdana" w:eastAsia="Calibri" w:hAnsi="Verdana" w:cs="Arial"/>
          <w:bCs/>
          <w:color w:val="000000" w:themeColor="text1"/>
        </w:rPr>
      </w:pPr>
      <w:r w:rsidRPr="00B06A20">
        <w:rPr>
          <w:rFonts w:ascii="Verdana" w:eastAsia="Calibri" w:hAnsi="Verdana" w:cs="Arial"/>
          <w:bCs/>
          <w:color w:val="000000" w:themeColor="text1"/>
        </w:rPr>
        <w:t xml:space="preserve">Conforme </w:t>
      </w:r>
      <w:r>
        <w:rPr>
          <w:rFonts w:ascii="Verdana" w:eastAsia="Calibri" w:hAnsi="Verdana" w:cs="Arial"/>
          <w:bCs/>
          <w:color w:val="000000" w:themeColor="text1"/>
        </w:rPr>
        <w:t>con</w:t>
      </w:r>
      <w:r w:rsidRPr="00B06A20">
        <w:rPr>
          <w:rFonts w:ascii="Verdana" w:eastAsia="Calibri" w:hAnsi="Verdana" w:cs="Arial"/>
          <w:bCs/>
          <w:color w:val="000000" w:themeColor="text1"/>
        </w:rPr>
        <w:t xml:space="preserve"> lo anterior, resulta importante destacar dos puntos, a saber: i) El SOAT es un seguro de accidentes de tránsito regulado por la legislación que define qué cubre</w:t>
      </w:r>
      <w:r w:rsidRPr="00B06A20">
        <w:rPr>
          <w:rStyle w:val="Refdenotaalpie"/>
          <w:rFonts w:ascii="Verdana" w:eastAsia="Calibri" w:hAnsi="Verdana" w:cs="Arial"/>
          <w:bCs/>
          <w:color w:val="000000" w:themeColor="text1"/>
        </w:rPr>
        <w:footnoteReference w:id="14"/>
      </w:r>
      <w:r w:rsidRPr="00B06A20">
        <w:rPr>
          <w:rFonts w:ascii="Verdana" w:eastAsia="Calibri" w:hAnsi="Verdana" w:cs="Arial"/>
          <w:bCs/>
          <w:color w:val="000000" w:themeColor="text1"/>
        </w:rPr>
        <w:t xml:space="preserve"> y la forma en que se distribuye la prima pagada por el SOAT y </w:t>
      </w:r>
      <w:proofErr w:type="spellStart"/>
      <w:r w:rsidRPr="00B06A20">
        <w:rPr>
          <w:rFonts w:ascii="Verdana" w:eastAsia="Calibri" w:hAnsi="Verdana" w:cs="Arial"/>
          <w:bCs/>
          <w:color w:val="000000" w:themeColor="text1"/>
        </w:rPr>
        <w:t>ii</w:t>
      </w:r>
      <w:proofErr w:type="spellEnd"/>
      <w:r w:rsidRPr="00B06A20">
        <w:rPr>
          <w:rFonts w:ascii="Verdana" w:eastAsia="Calibri" w:hAnsi="Verdana" w:cs="Arial"/>
          <w:bCs/>
          <w:color w:val="000000" w:themeColor="text1"/>
        </w:rPr>
        <w:t xml:space="preserve">) la inexistencia de un tope máximo de intermediación que pueden cobrar las entidades aseguradoras.   </w:t>
      </w:r>
    </w:p>
    <w:p w14:paraId="0A573951" w14:textId="0896DACB" w:rsidR="00BC186A" w:rsidRPr="00D93523" w:rsidRDefault="00BC186A" w:rsidP="00BC186A">
      <w:pPr>
        <w:spacing w:after="120" w:line="276" w:lineRule="auto"/>
        <w:ind w:firstLine="709"/>
        <w:jc w:val="both"/>
        <w:rPr>
          <w:rFonts w:ascii="Verdana" w:eastAsia="Times New Roman" w:hAnsi="Verdana" w:cs="Times New Roman"/>
          <w:lang w:eastAsia="es-ES_tradnl"/>
        </w:rPr>
      </w:pPr>
      <w:r>
        <w:rPr>
          <w:rFonts w:ascii="Verdana" w:eastAsia="Calibri" w:hAnsi="Verdana" w:cs="Arial"/>
          <w:bCs/>
        </w:rPr>
        <w:t xml:space="preserve">Ahora bien, </w:t>
      </w:r>
      <w:r>
        <w:rPr>
          <w:rFonts w:ascii="Verdana" w:eastAsia="Calibri" w:hAnsi="Verdana" w:cs="Arial"/>
          <w:bCs/>
          <w:lang w:val="es-ES_tradnl"/>
        </w:rPr>
        <w:t>l</w:t>
      </w:r>
      <w:r w:rsidRPr="007A2CB0">
        <w:rPr>
          <w:rFonts w:ascii="Verdana" w:eastAsia="Calibri" w:hAnsi="Verdana" w:cs="Arial"/>
          <w:bCs/>
          <w:lang w:val="es-ES_tradnl"/>
        </w:rPr>
        <w:t>a planeación contractual es una herramienta de gerencia pública, que 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precios, costos, riesgos, garantías, disponibilidad, oferentes, etc. Lo anterior con la finalidad de realizar la escogencia diligente de la mejor oferta, para beneficiar los intereses y fines públicos inmersos en la contratación de las entidades estatales.</w:t>
      </w:r>
    </w:p>
    <w:p w14:paraId="4F3E8A67" w14:textId="77777777" w:rsidR="00BC186A" w:rsidRPr="000A1D06" w:rsidRDefault="00BC186A" w:rsidP="00BC186A">
      <w:pPr>
        <w:spacing w:after="120" w:line="276" w:lineRule="auto"/>
        <w:ind w:firstLine="709"/>
        <w:jc w:val="both"/>
        <w:rPr>
          <w:rFonts w:ascii="Verdana" w:hAnsi="Verdana" w:cs="Arial"/>
        </w:rPr>
      </w:pPr>
      <w:r>
        <w:rPr>
          <w:rFonts w:ascii="Verdana" w:eastAsia="Times New Roman" w:hAnsi="Verdana" w:cs="Times New Roman"/>
          <w:lang w:eastAsia="es-ES_tradnl"/>
        </w:rPr>
        <w:t xml:space="preserve"> </w:t>
      </w:r>
      <w:r w:rsidRPr="003670EC">
        <w:rPr>
          <w:rFonts w:ascii="Verdana" w:eastAsia="Times New Roman" w:hAnsi="Verdana" w:cs="Times New Roman"/>
          <w:lang w:eastAsia="es-ES_tradnl"/>
        </w:rPr>
        <w:t xml:space="preserve"> </w:t>
      </w:r>
      <w:r>
        <w:rPr>
          <w:rFonts w:ascii="Verdana" w:eastAsia="Times New Roman" w:hAnsi="Verdana" w:cs="Times New Roman"/>
          <w:lang w:eastAsia="es-ES_tradnl"/>
        </w:rPr>
        <w:t xml:space="preserve"> </w:t>
      </w:r>
      <w:r w:rsidRPr="007A2CB0">
        <w:rPr>
          <w:rFonts w:ascii="Verdana" w:hAnsi="Verdana" w:cs="Arial"/>
        </w:rPr>
        <w:t>En congruencia con el artículo 25 de la Ley 80 de 1993, el Decreto Único Reglamentario del Sector Administrativo de Planeación Nacional –Decreto 1082 de 2015–, dispone en el artículo 2.2.1.1.2.1.1 el contenido mínimo de los estudios y documentos previos:</w:t>
      </w:r>
    </w:p>
    <w:p w14:paraId="2D50712E" w14:textId="77777777" w:rsidR="00BC186A" w:rsidRPr="000E1EA7" w:rsidRDefault="00BC186A" w:rsidP="00BC186A">
      <w:pPr>
        <w:spacing w:after="0" w:line="240" w:lineRule="auto"/>
        <w:ind w:left="709" w:right="709"/>
        <w:jc w:val="both"/>
        <w:rPr>
          <w:rFonts w:ascii="Verdana" w:hAnsi="Verdana" w:cs="Arial"/>
          <w:sz w:val="20"/>
          <w:szCs w:val="20"/>
        </w:rPr>
      </w:pPr>
      <w:r w:rsidRPr="000E1EA7">
        <w:rPr>
          <w:rFonts w:ascii="Verdana" w:hAnsi="Verdana" w:cs="Arial"/>
          <w:sz w:val="20"/>
          <w:szCs w:val="20"/>
        </w:rPr>
        <w:t xml:space="preserve">Artículo 2.2.1.1.2.1.1. Los estudios y documentos previos son el soporte para elaborar el proyecto de pliegos, los pliegos de condiciones y el contrato. Estos deben permanecer a disposición del público durante el desarrollo del Proceso de Contratación y contener los siguientes elementos, además de los indicados para cada modalidad de selección: </w:t>
      </w:r>
    </w:p>
    <w:p w14:paraId="0212AA70" w14:textId="77777777" w:rsidR="00BC186A" w:rsidRPr="000E1EA7" w:rsidRDefault="00BC186A" w:rsidP="00BC186A">
      <w:pPr>
        <w:spacing w:after="0" w:line="240" w:lineRule="auto"/>
        <w:ind w:left="709" w:right="709"/>
        <w:jc w:val="both"/>
        <w:rPr>
          <w:rFonts w:ascii="Verdana" w:hAnsi="Verdana" w:cs="Arial"/>
          <w:sz w:val="20"/>
          <w:szCs w:val="20"/>
        </w:rPr>
      </w:pPr>
      <w:r w:rsidRPr="000E1EA7">
        <w:rPr>
          <w:rFonts w:ascii="Verdana" w:hAnsi="Verdana" w:cs="Arial"/>
          <w:sz w:val="20"/>
          <w:szCs w:val="20"/>
        </w:rPr>
        <w:t xml:space="preserve">1. La descripción de la necesidad que la Entidad Estatal pretende satisfacer con el Proceso de Contratación. </w:t>
      </w:r>
      <w:r w:rsidRPr="000E1EA7">
        <w:rPr>
          <w:rFonts w:ascii="Arial" w:hAnsi="Arial" w:cs="Arial"/>
          <w:sz w:val="20"/>
          <w:szCs w:val="20"/>
        </w:rPr>
        <w:t>​</w:t>
      </w:r>
    </w:p>
    <w:p w14:paraId="21212B0F" w14:textId="77777777" w:rsidR="00BC186A" w:rsidRPr="007A2CB0" w:rsidRDefault="00BC186A" w:rsidP="00BC186A">
      <w:pPr>
        <w:spacing w:after="0" w:line="240" w:lineRule="auto"/>
        <w:ind w:left="709" w:right="709"/>
        <w:jc w:val="both"/>
        <w:rPr>
          <w:rFonts w:ascii="Verdana" w:hAnsi="Verdana" w:cs="Arial"/>
          <w:sz w:val="20"/>
          <w:szCs w:val="20"/>
        </w:rPr>
      </w:pPr>
      <w:r w:rsidRPr="007A2CB0">
        <w:rPr>
          <w:rFonts w:ascii="Verdana" w:hAnsi="Verdana" w:cs="Arial"/>
          <w:sz w:val="20"/>
          <w:szCs w:val="20"/>
        </w:rPr>
        <w:t xml:space="preserve">2. El objeto a contratar, con sus especificaciones, las autorizaciones, permisos y licencias requeridos para su ejecución, y cuando el contrato incluye diseño y construcción, los documentos técnicos para el desarrollo del proyecto. </w:t>
      </w:r>
    </w:p>
    <w:p w14:paraId="107DA3EA" w14:textId="77777777" w:rsidR="00BC186A" w:rsidRPr="00A77A6E" w:rsidRDefault="00BC186A" w:rsidP="00BC186A">
      <w:pPr>
        <w:spacing w:after="0" w:line="240" w:lineRule="auto"/>
        <w:ind w:left="709" w:right="709"/>
        <w:jc w:val="both"/>
        <w:rPr>
          <w:rFonts w:ascii="Verdana" w:hAnsi="Verdana" w:cs="Arial"/>
          <w:sz w:val="20"/>
          <w:szCs w:val="20"/>
          <w:u w:val="single"/>
        </w:rPr>
      </w:pPr>
      <w:r w:rsidRPr="00A77A6E">
        <w:rPr>
          <w:rFonts w:ascii="Verdana" w:hAnsi="Verdana" w:cs="Arial"/>
          <w:sz w:val="20"/>
          <w:szCs w:val="20"/>
          <w:u w:val="single"/>
        </w:rPr>
        <w:t xml:space="preserve">3. La modalidad de selección del contratista y su justificación, incluyendo los fundamentos jurídicos. </w:t>
      </w:r>
    </w:p>
    <w:p w14:paraId="3F05FABC" w14:textId="77777777" w:rsidR="00BC186A" w:rsidRPr="007A2CB0" w:rsidRDefault="00BC186A" w:rsidP="00BC186A">
      <w:pPr>
        <w:spacing w:after="0" w:line="240" w:lineRule="auto"/>
        <w:ind w:left="709" w:right="709"/>
        <w:jc w:val="both"/>
        <w:rPr>
          <w:rFonts w:ascii="Verdana" w:hAnsi="Verdana" w:cs="Arial"/>
          <w:sz w:val="20"/>
          <w:szCs w:val="20"/>
        </w:rPr>
      </w:pPr>
      <w:r w:rsidRPr="007A2CB0">
        <w:rPr>
          <w:rFonts w:ascii="Verdana" w:hAnsi="Verdana" w:cs="Arial"/>
          <w:sz w:val="20"/>
          <w:szCs w:val="20"/>
        </w:rPr>
        <w:t xml:space="preserve">4. El valor estimado del contrato y la justificación </w:t>
      </w:r>
      <w:proofErr w:type="gramStart"/>
      <w:r w:rsidRPr="007A2CB0">
        <w:rPr>
          <w:rFonts w:ascii="Verdana" w:hAnsi="Verdana" w:cs="Arial"/>
          <w:sz w:val="20"/>
          <w:szCs w:val="20"/>
        </w:rPr>
        <w:t>del mismo</w:t>
      </w:r>
      <w:proofErr w:type="gramEnd"/>
      <w:r w:rsidRPr="007A2CB0">
        <w:rPr>
          <w:rFonts w:ascii="Verdana" w:hAnsi="Verdana" w:cs="Arial"/>
          <w:sz w:val="20"/>
          <w:szCs w:val="20"/>
        </w:rPr>
        <w:t xml:space="preserve">. Cuando el valor del contrato esté determinado por precios unitarios, la Entidad Estatal debe incluir la forma como los calculó y soportar sus cálculos presupuestales en la estimación de aquellos. Si el contrato es de concesión, la Entidad Estatal no debe publicar el modelo financiero utilizado en su estructuración. </w:t>
      </w:r>
    </w:p>
    <w:p w14:paraId="6370D703" w14:textId="77777777" w:rsidR="00BC186A" w:rsidRPr="007A2CB0" w:rsidRDefault="00BC186A" w:rsidP="00BC186A">
      <w:pPr>
        <w:spacing w:after="0" w:line="240" w:lineRule="auto"/>
        <w:ind w:left="709" w:right="709"/>
        <w:jc w:val="both"/>
        <w:rPr>
          <w:rFonts w:ascii="Verdana" w:hAnsi="Verdana" w:cs="Arial"/>
          <w:sz w:val="20"/>
          <w:szCs w:val="20"/>
        </w:rPr>
      </w:pPr>
      <w:r w:rsidRPr="007A2CB0">
        <w:rPr>
          <w:rFonts w:ascii="Verdana" w:hAnsi="Verdana" w:cs="Arial"/>
          <w:sz w:val="20"/>
          <w:szCs w:val="20"/>
        </w:rPr>
        <w:t xml:space="preserve">5. Los criterios para seleccionar la oferta más favorable. </w:t>
      </w:r>
    </w:p>
    <w:p w14:paraId="7AF56A53" w14:textId="77777777" w:rsidR="00BC186A" w:rsidRPr="007A2CB0" w:rsidRDefault="00BC186A" w:rsidP="00BC186A">
      <w:pPr>
        <w:spacing w:after="0" w:line="240" w:lineRule="auto"/>
        <w:ind w:left="709" w:right="709"/>
        <w:jc w:val="both"/>
        <w:rPr>
          <w:rFonts w:ascii="Verdana" w:hAnsi="Verdana" w:cs="Arial"/>
          <w:sz w:val="20"/>
          <w:szCs w:val="20"/>
        </w:rPr>
      </w:pPr>
      <w:r w:rsidRPr="007A2CB0">
        <w:rPr>
          <w:rFonts w:ascii="Verdana" w:hAnsi="Verdana" w:cs="Arial"/>
          <w:sz w:val="20"/>
          <w:szCs w:val="20"/>
        </w:rPr>
        <w:t xml:space="preserve">6. El análisis de Riesgo y la forma de mitigarlo. </w:t>
      </w:r>
    </w:p>
    <w:p w14:paraId="33FCE2FF" w14:textId="77777777" w:rsidR="00BC186A" w:rsidRDefault="00BC186A" w:rsidP="00BC186A">
      <w:pPr>
        <w:spacing w:after="0" w:line="240" w:lineRule="auto"/>
        <w:ind w:left="709" w:right="709"/>
        <w:jc w:val="both"/>
        <w:rPr>
          <w:rFonts w:ascii="Verdana" w:hAnsi="Verdana" w:cs="Arial"/>
          <w:sz w:val="20"/>
          <w:szCs w:val="20"/>
        </w:rPr>
      </w:pPr>
      <w:r w:rsidRPr="007A2CB0">
        <w:rPr>
          <w:rFonts w:ascii="Verdana" w:hAnsi="Verdana" w:cs="Arial"/>
          <w:sz w:val="20"/>
          <w:szCs w:val="20"/>
        </w:rPr>
        <w:t xml:space="preserve">7. Las garantías que la Entidad Estatal contempla exigir en el proceso de contratación. </w:t>
      </w:r>
      <w:r>
        <w:rPr>
          <w:rFonts w:ascii="Verdana" w:hAnsi="Verdana" w:cs="Arial"/>
          <w:sz w:val="20"/>
          <w:szCs w:val="20"/>
        </w:rPr>
        <w:t>(Resaltado fuera del texto).</w:t>
      </w:r>
    </w:p>
    <w:p w14:paraId="079D1965" w14:textId="77777777" w:rsidR="00BC186A" w:rsidRDefault="00BC186A" w:rsidP="00BC186A">
      <w:pPr>
        <w:spacing w:after="0" w:line="276" w:lineRule="auto"/>
        <w:ind w:right="709"/>
        <w:jc w:val="both"/>
        <w:rPr>
          <w:rFonts w:ascii="Verdana" w:hAnsi="Verdana" w:cs="Arial"/>
          <w:sz w:val="20"/>
          <w:szCs w:val="20"/>
        </w:rPr>
      </w:pPr>
    </w:p>
    <w:p w14:paraId="30E3F97B" w14:textId="77777777" w:rsidR="00BC186A" w:rsidRPr="007A2CB0" w:rsidRDefault="00BC186A" w:rsidP="00BC186A">
      <w:pPr>
        <w:spacing w:after="120" w:line="276" w:lineRule="auto"/>
        <w:ind w:firstLine="708"/>
        <w:jc w:val="both"/>
        <w:rPr>
          <w:rFonts w:ascii="Verdana" w:eastAsia="Calibri" w:hAnsi="Verdana" w:cs="Arial"/>
          <w:bCs/>
          <w:lang w:val="es-ES_tradnl"/>
        </w:rPr>
      </w:pPr>
      <w:r w:rsidRPr="007A2CB0">
        <w:rPr>
          <w:rFonts w:ascii="Verdana" w:hAnsi="Verdana" w:cs="Arial"/>
        </w:rPr>
        <w:t xml:space="preserve">Por otra parte, los numerales 2 y 4 del artículo 2.2.1.1.2.1.1 del Decreto 1082 de 2015 exigen que en los estudios previos se determine el objeto a contratar con sus especificaciones, y se señale el valor estimado del contrato y la justificación </w:t>
      </w:r>
      <w:proofErr w:type="gramStart"/>
      <w:r w:rsidRPr="007A2CB0">
        <w:rPr>
          <w:rFonts w:ascii="Verdana" w:hAnsi="Verdana" w:cs="Arial"/>
        </w:rPr>
        <w:t>del mismo</w:t>
      </w:r>
      <w:proofErr w:type="gramEnd"/>
      <w:r w:rsidRPr="007A2CB0">
        <w:rPr>
          <w:rFonts w:ascii="Verdana" w:hAnsi="Verdana" w:cs="Arial"/>
        </w:rPr>
        <w:t xml:space="preserve">. </w:t>
      </w:r>
      <w:r w:rsidRPr="007A2CB0">
        <w:rPr>
          <w:rFonts w:ascii="Verdana" w:eastAsia="Calibri" w:hAnsi="Verdana" w:cs="Arial"/>
          <w:bCs/>
          <w:lang w:val="es-ES_tradnl"/>
        </w:rPr>
        <w:t xml:space="preserve">Para cumplir este objetivo es necesario el análisis del sector económico y de los oferentes, actividad de planeación previa que sirve para identificar aspectos concretos del mercado que pueden afectar el proceso de selección o las condiciones del negocio a realizar mediante el proceso de contratación de bienes, obras o servicios. En este sentido, el artículo </w:t>
      </w:r>
      <w:bookmarkStart w:id="3" w:name="_Hlk36117416"/>
      <w:r w:rsidRPr="007A2CB0">
        <w:rPr>
          <w:rFonts w:ascii="Verdana" w:eastAsia="Calibri" w:hAnsi="Verdana" w:cs="Arial"/>
          <w:bCs/>
          <w:lang w:val="es-ES_tradnl"/>
        </w:rPr>
        <w:t>2.2.1.1.1.6.1 del Decreto 1082 de 2015</w:t>
      </w:r>
      <w:bookmarkEnd w:id="3"/>
      <w:r w:rsidRPr="007A2CB0">
        <w:rPr>
          <w:rFonts w:ascii="Verdana" w:eastAsia="Calibri" w:hAnsi="Verdana" w:cs="Arial"/>
          <w:bCs/>
          <w:lang w:val="es-ES_tradnl"/>
        </w:rPr>
        <w:t xml:space="preserve"> dispone que </w:t>
      </w:r>
      <w:r>
        <w:rPr>
          <w:rFonts w:ascii="Verdana" w:eastAsia="Calibri" w:hAnsi="Verdana" w:cs="Arial"/>
          <w:bCs/>
          <w:lang w:val="es-ES_tradnl"/>
        </w:rPr>
        <w:t>“</w:t>
      </w:r>
      <w:r w:rsidRPr="007A2CB0">
        <w:rPr>
          <w:rFonts w:ascii="Verdana" w:eastAsia="Calibri" w:hAnsi="Verdana" w:cs="Arial"/>
          <w:bCs/>
          <w:lang w:val="es-ES_tradnl"/>
        </w:rPr>
        <w:t>La Entidad Estatal debe hacer, durante la etapa de planeación, el análisis necesario para conocer el sector relativo al objeto del Proceso de Contratación desde la perspectiva legal, comercial, financiera, organizacional, técnica, y de análisis de Riesgo. La Entidad Estatal debe dejar constancia de este análisis en los Documentos del Proceso</w:t>
      </w:r>
      <w:r>
        <w:rPr>
          <w:rFonts w:ascii="Verdana" w:eastAsia="Calibri" w:hAnsi="Verdana" w:cs="Arial"/>
          <w:bCs/>
          <w:lang w:val="es-ES_tradnl"/>
        </w:rPr>
        <w:t>”</w:t>
      </w:r>
      <w:r w:rsidRPr="007A2CB0">
        <w:rPr>
          <w:rFonts w:ascii="Verdana" w:eastAsia="Calibri" w:hAnsi="Verdana" w:cs="Arial"/>
          <w:bCs/>
          <w:lang w:val="es-ES_tradnl"/>
        </w:rPr>
        <w:t>.</w:t>
      </w:r>
    </w:p>
    <w:p w14:paraId="34E6A998" w14:textId="77777777" w:rsidR="00BC186A" w:rsidRPr="007A2CB0" w:rsidRDefault="00BC186A" w:rsidP="00BC186A">
      <w:pPr>
        <w:spacing w:after="120" w:line="276" w:lineRule="auto"/>
        <w:ind w:firstLine="709"/>
        <w:jc w:val="both"/>
        <w:rPr>
          <w:rFonts w:ascii="Verdana" w:eastAsia="Calibri" w:hAnsi="Verdana" w:cs="Arial"/>
          <w:lang w:val="es-ES"/>
        </w:rPr>
      </w:pPr>
      <w:r w:rsidRPr="73F15ECC">
        <w:rPr>
          <w:rFonts w:ascii="Verdana" w:eastAsia="Calibri" w:hAnsi="Verdana" w:cs="Arial"/>
          <w:lang w:val="es-ES"/>
        </w:rPr>
        <w:t xml:space="preserve">De acuerdo con la norma citada, </w:t>
      </w:r>
      <w:bookmarkStart w:id="4" w:name="_Hlk36140682"/>
      <w:r w:rsidRPr="73F15ECC">
        <w:rPr>
          <w:rFonts w:ascii="Verdana" w:eastAsia="Calibri" w:hAnsi="Verdana" w:cs="Arial"/>
          <w:lang w:val="es-ES"/>
        </w:rPr>
        <w:t>la entidad debe realizar el análisis necesario para conocer el sector relativo al objeto del proceso de contratación. Hacer un análisis desde la perspectiva legal implica la revisión de la regulación vigente para el mercado dentro del que se encuentra el objeto del contrato. La perspectiva comercial hace referencia a analizar quiénes pueden ofrecer el bien o servicio que se quiere contratar, cuáles son sus condiciones, si tienen condiciones especiales que sean relevantes para determinar los requisitos habilitantes, entre otros. Desde una perspectiva financiera, el análisis conlleva una revisión de las características financieras que se presentan dentro del mercado del bien o servicio, como por ejemplo el índice de endeudamiento que tienen las empresas o personas naturales que ofrecen dicho bien o servicio. Con la perspectiva organizacional se pretende que la entidad estatal entienda cómo están organizados internamente los posibles oferentes y de qué manera realizan sus negocios y operaciones.</w:t>
      </w:r>
    </w:p>
    <w:p w14:paraId="1004F1C1" w14:textId="77777777" w:rsidR="00BC186A" w:rsidRPr="007A2CB0" w:rsidRDefault="00BC186A" w:rsidP="00BC186A">
      <w:pPr>
        <w:spacing w:after="120" w:line="276" w:lineRule="auto"/>
        <w:ind w:firstLine="709"/>
        <w:jc w:val="both"/>
        <w:rPr>
          <w:rFonts w:ascii="Verdana" w:eastAsia="Calibri" w:hAnsi="Verdana" w:cs="Arial"/>
          <w:bCs/>
          <w:lang w:val="es-ES_tradnl"/>
        </w:rPr>
      </w:pPr>
      <w:r w:rsidRPr="007A2CB0">
        <w:rPr>
          <w:rFonts w:ascii="Verdana" w:eastAsia="Calibri" w:hAnsi="Verdana" w:cs="Arial"/>
          <w:bCs/>
          <w:lang w:val="es-ES_tradnl"/>
        </w:rPr>
        <w:t>Para negociar de manera adecuada, es necesario conocer la estructura de los posibles contratistas, pues permite identificar la forma en la que suplirán los requerimientos de la entidad. El análisis del sector debe tener en cuenta el objeto del proceso de contratación, las condiciones del bien o servicio y las ventajas que representa para la Administración contratar el bien o servicio con el contratista. En este último punto, el análisis del sector permite sustentar la decisión de realizar un proceso de contratación desde el punto de vista de la eficiencia, eficacia y economía.</w:t>
      </w:r>
    </w:p>
    <w:p w14:paraId="28BB422C" w14:textId="77777777" w:rsidR="00BC186A" w:rsidRPr="007A2CB0" w:rsidRDefault="00BC186A" w:rsidP="00BC186A">
      <w:pPr>
        <w:spacing w:after="120" w:line="276" w:lineRule="auto"/>
        <w:ind w:firstLine="709"/>
        <w:jc w:val="both"/>
        <w:rPr>
          <w:rFonts w:ascii="Verdana" w:eastAsia="Calibri" w:hAnsi="Verdana" w:cs="Arial"/>
          <w:lang w:val="es-ES"/>
        </w:rPr>
      </w:pPr>
      <w:r w:rsidRPr="5A6D8221">
        <w:rPr>
          <w:rFonts w:ascii="Verdana" w:eastAsia="Calibri" w:hAnsi="Verdana" w:cs="Arial"/>
          <w:lang w:val="es-ES"/>
        </w:rPr>
        <w:t xml:space="preserve">Dicho análisis facilita tanto el conocimiento del sector, desde una perspectiva multidisciplinaria, como de los proveedores disponibles en el mercado para satisfacer la necesidad de la entidad contratante. Así mismo, el análisis del sector implica un estudio de la oferta, lo que permitirá identificar qué proveedores existen en el mercado y cómo intervienen en la cadena de producción, comercialización y distribución de los bienes, obras o servicios. De igual manera, podrá estudiar la demanda para determinar las entidades estatales y los particulares cómo adquieren esos bienes, obras o servicios para extraer las mejores prácticas e información para el proceso de contratación y así estructurar de mejor manera el tipo contractual a utilizar y las condiciones y características que se podrán pactar para cumplir el objeto del contrato y para la realización de las prestaciones derivadas de las obligaciones que serán pactadas, tanto para la entidad contratante como para el contratista que proveerá el bien, obra o servicio. </w:t>
      </w:r>
    </w:p>
    <w:p w14:paraId="32E64948" w14:textId="77777777" w:rsidR="00BC186A" w:rsidRPr="007A2CB0" w:rsidRDefault="00BC186A" w:rsidP="00BC186A">
      <w:pPr>
        <w:spacing w:after="120" w:line="276" w:lineRule="auto"/>
        <w:ind w:firstLine="709"/>
        <w:jc w:val="both"/>
        <w:rPr>
          <w:rFonts w:ascii="Verdana" w:eastAsia="Calibri" w:hAnsi="Verdana" w:cs="Arial"/>
          <w:bCs/>
          <w:lang w:val="es-ES_tradnl"/>
        </w:rPr>
      </w:pPr>
      <w:r w:rsidRPr="007A2CB0">
        <w:rPr>
          <w:rFonts w:ascii="Verdana" w:eastAsia="Calibri" w:hAnsi="Verdana" w:cs="Arial"/>
          <w:bCs/>
          <w:lang w:val="es-ES_tradnl"/>
        </w:rPr>
        <w:t>Si bien la normativa en materia de contratación estatal establece la obligatoriedad de realizar el análisis necesario para conocer el sector relativo al objeto del proceso de contratación, no determinan un procedimiento específico para efectuar dicho análisis</w:t>
      </w:r>
      <w:r>
        <w:rPr>
          <w:rFonts w:ascii="Verdana" w:eastAsia="Calibri" w:hAnsi="Verdana" w:cs="Arial"/>
          <w:bCs/>
          <w:lang w:val="es-ES_tradnl"/>
        </w:rPr>
        <w:t>,</w:t>
      </w:r>
      <w:r w:rsidRPr="007A2CB0">
        <w:rPr>
          <w:rFonts w:ascii="Verdana" w:eastAsia="Calibri" w:hAnsi="Verdana" w:cs="Arial"/>
          <w:bCs/>
          <w:lang w:val="es-ES_tradnl"/>
        </w:rPr>
        <w:t xml:space="preserve"> por lo que las entidades </w:t>
      </w:r>
      <w:r w:rsidRPr="007A2CB0">
        <w:rPr>
          <w:rFonts w:ascii="Verdana" w:hAnsi="Verdana" w:cs="Arial"/>
          <w:lang w:eastAsia="es-CO"/>
        </w:rPr>
        <w:t xml:space="preserve">son autónomas para estructurarlo, para lo cual deberán cumplir lo dispuesto en el artículo </w:t>
      </w:r>
      <w:r w:rsidRPr="007A2CB0">
        <w:rPr>
          <w:rFonts w:ascii="Verdana" w:eastAsia="Calibri" w:hAnsi="Verdana" w:cs="Arial"/>
          <w:bCs/>
          <w:lang w:val="es-ES_tradnl"/>
        </w:rPr>
        <w:t xml:space="preserve">2.2.1.1.1.6.1 del Decreto 1082 de 2015 y realizar un análisis integral de planeación que </w:t>
      </w:r>
      <w:r w:rsidRPr="007A2CB0">
        <w:rPr>
          <w:rFonts w:ascii="Verdana" w:hAnsi="Verdana" w:cs="Arial"/>
        </w:rPr>
        <w:t xml:space="preserve">sirva de sustento a la decisión de </w:t>
      </w:r>
      <w:r w:rsidRPr="007A2CB0">
        <w:rPr>
          <w:rFonts w:ascii="Verdana" w:hAnsi="Verdana" w:cs="Arial"/>
          <w:bCs/>
          <w:lang w:val="es-ES_tradnl"/>
        </w:rPr>
        <w:t>realizar un proceso de contratación.</w:t>
      </w:r>
    </w:p>
    <w:bookmarkEnd w:id="4"/>
    <w:p w14:paraId="47962AF1" w14:textId="77777777" w:rsidR="00BC186A" w:rsidRPr="007A2CB0" w:rsidRDefault="00BC186A" w:rsidP="00BC186A">
      <w:pPr>
        <w:spacing w:after="120" w:line="276" w:lineRule="auto"/>
        <w:ind w:firstLine="709"/>
        <w:jc w:val="both"/>
        <w:rPr>
          <w:rFonts w:ascii="Verdana" w:eastAsia="Calibri" w:hAnsi="Verdana" w:cs="Arial"/>
          <w:bCs/>
          <w:lang w:val="es-ES"/>
        </w:rPr>
      </w:pPr>
      <w:r w:rsidRPr="007A2CB0">
        <w:rPr>
          <w:rFonts w:ascii="Verdana" w:eastAsia="Calibri" w:hAnsi="Verdana" w:cs="Arial"/>
          <w:bCs/>
          <w:lang w:val="es-ES_tradnl"/>
        </w:rPr>
        <w:t xml:space="preserve">La Agencia Nacional de Contratación Pública - Colombia Compra Eficiente dispone de la </w:t>
      </w:r>
      <w:r>
        <w:rPr>
          <w:rFonts w:ascii="Verdana" w:eastAsia="Calibri" w:hAnsi="Verdana" w:cs="Arial"/>
          <w:bCs/>
          <w:lang w:val="es-ES_tradnl"/>
        </w:rPr>
        <w:t>“</w:t>
      </w:r>
      <w:r w:rsidRPr="007A2CB0">
        <w:rPr>
          <w:rFonts w:ascii="Verdana" w:eastAsia="Calibri" w:hAnsi="Verdana" w:cs="Arial"/>
          <w:bCs/>
          <w:lang w:val="es-ES_tradnl"/>
        </w:rPr>
        <w:t>Guía de Elaboración del Estudio del Sector</w:t>
      </w:r>
      <w:r>
        <w:rPr>
          <w:rFonts w:ascii="Verdana" w:eastAsia="Calibri" w:hAnsi="Verdana" w:cs="Arial"/>
          <w:bCs/>
          <w:lang w:val="es-ES_tradnl"/>
        </w:rPr>
        <w:t>”</w:t>
      </w:r>
      <w:r w:rsidRPr="007A2CB0">
        <w:rPr>
          <w:rFonts w:ascii="Verdana" w:eastAsia="Calibri" w:hAnsi="Verdana" w:cs="Arial"/>
          <w:bCs/>
          <w:lang w:val="es-ES_tradnl"/>
        </w:rPr>
        <w:t>, instrumento que sirve de apoyo para entender el mercado del bien, obra o servicio que la entidad estatal pretende adquirir y diseñar el proceso de contratación con la información necesaria para alcanzar los objetivos de eficacia, eficiencia, economía, promoción de la competencia y manejo del riesgo</w:t>
      </w:r>
      <w:r w:rsidRPr="007A2CB0">
        <w:rPr>
          <w:rStyle w:val="Refdenotaalpie"/>
          <w:rFonts w:ascii="Verdana" w:eastAsia="Calibri" w:hAnsi="Verdana" w:cs="Arial"/>
          <w:bCs/>
          <w:lang w:val="es-ES_tradnl"/>
        </w:rPr>
        <w:footnoteReference w:id="15"/>
      </w:r>
      <w:r w:rsidRPr="007A2CB0">
        <w:rPr>
          <w:rFonts w:ascii="Verdana" w:eastAsia="Calibri" w:hAnsi="Verdana" w:cs="Arial"/>
          <w:bCs/>
          <w:lang w:val="es-ES_tradnl"/>
        </w:rPr>
        <w:t>. Esta Guía es un insumo para realizar el estudio del sector relativo al Proceso de Contratación, ya que comprende pautas sobre los aspectos generales del mercado, el análisis de la demanda y de la oferta y constituye un instrumento de orientación, por lo que –al carecer de fuerza vinculante– su aplicación no exime a las entidades de acatar las normas vigentes. De este modo, la Guía contiene</w:t>
      </w:r>
      <w:r w:rsidRPr="007A2CB0">
        <w:rPr>
          <w:rFonts w:ascii="Verdana" w:eastAsia="Calibri" w:hAnsi="Verdana" w:cs="Arial"/>
          <w:bCs/>
          <w:lang w:val="es-ES"/>
        </w:rPr>
        <w:t xml:space="preserve"> recomendaciones generales por lo que no debe aplicarse de manera mecánica, pues la profundidad del estudio del sector depende de la complejidad y particularidades de cada Proceso de Contratación. </w:t>
      </w:r>
    </w:p>
    <w:p w14:paraId="66FA4CF2" w14:textId="77777777" w:rsidR="00BC186A" w:rsidRPr="007A2CB0" w:rsidRDefault="00BC186A" w:rsidP="00BC186A">
      <w:pPr>
        <w:spacing w:after="120" w:line="276" w:lineRule="auto"/>
        <w:ind w:firstLine="709"/>
        <w:jc w:val="both"/>
        <w:rPr>
          <w:rFonts w:ascii="Verdana" w:eastAsia="Calibri" w:hAnsi="Verdana" w:cs="Arial"/>
          <w:lang w:val="es-ES"/>
        </w:rPr>
      </w:pPr>
      <w:r w:rsidRPr="73F15ECC">
        <w:rPr>
          <w:rFonts w:ascii="Verdana" w:eastAsia="Calibri" w:hAnsi="Verdana" w:cs="Arial"/>
          <w:lang w:val="es-ES"/>
        </w:rPr>
        <w:t>En este instrumento se recomienda un análisis integral sobre varios aspectos del mercado –económico, técnico, regulatorio, etc.–, lo cual permitirá que la entidad delimite con precisión qué bienes y servicios existen, cuáles son las condiciones de su comercialización, cómo es la oferta y la demanda y cuáles son los factores que inciden en el valor del contrato, tales como el análisis de precios, las cargas tributarias, la tasa de cambio, las garantías, los gastos de transporte, etc.</w:t>
      </w:r>
    </w:p>
    <w:p w14:paraId="2B66C13F" w14:textId="77777777" w:rsidR="00BC186A" w:rsidRPr="007A2CB0" w:rsidRDefault="00BC186A" w:rsidP="00BC186A">
      <w:pPr>
        <w:spacing w:after="120" w:line="276" w:lineRule="auto"/>
        <w:ind w:firstLine="709"/>
        <w:jc w:val="both"/>
        <w:rPr>
          <w:rFonts w:ascii="Verdana" w:eastAsia="Calibri" w:hAnsi="Verdana" w:cs="Arial"/>
          <w:bCs/>
          <w:lang w:val="es-ES_tradnl"/>
        </w:rPr>
      </w:pPr>
      <w:r w:rsidRPr="007A2CB0">
        <w:rPr>
          <w:rFonts w:ascii="Verdana" w:eastAsia="Calibri" w:hAnsi="Verdana" w:cs="Arial"/>
          <w:bCs/>
          <w:lang w:val="es-ES_tradnl"/>
        </w:rPr>
        <w:t xml:space="preserve">Así mismo, en la Guía se indica que como parte de la estructura del estudio del sector se debe realizar un análisis del comportamiento del gasto histórico, el estudio de la oferta y el estudio del mercado. En </w:t>
      </w:r>
      <w:r w:rsidRPr="007A2CB0">
        <w:rPr>
          <w:rFonts w:ascii="Verdana" w:eastAsia="Calibri" w:hAnsi="Verdana" w:cs="Arial"/>
          <w:bCs/>
          <w:lang w:val="es-ES"/>
        </w:rPr>
        <w:t xml:space="preserve">el marco del comportamiento del gasto histórico se recomienda que la entidad analice el comportamiento de sus adquisiciones anteriores del bien, obra o servicio teniendo en cuenta distintas variables como la modalidad de selección, el objeto del contrato, el presupuesto, entre otros. También es importante que se analice la forma en la cual otras entidades o particulares han adquirido bienes y servicios iguales o comparables similares mediante plataformas de información como datos abiertos o las herramientas de visualización </w:t>
      </w:r>
      <w:r w:rsidRPr="007A2CB0">
        <w:rPr>
          <w:rFonts w:ascii="Verdana" w:eastAsia="Arial MT" w:hAnsi="Verdana" w:cs="Arial"/>
          <w:lang w:val="es-ES"/>
        </w:rPr>
        <w:t>desarrolladas por esta Agencia en el marco del modelo de abastecimiento estratégico</w:t>
      </w:r>
      <w:r w:rsidRPr="007A2CB0">
        <w:rPr>
          <w:rStyle w:val="Refdenotaalpie"/>
          <w:rFonts w:ascii="Verdana" w:eastAsia="Arial MT" w:hAnsi="Verdana" w:cs="Arial"/>
          <w:lang w:val="es-ES"/>
        </w:rPr>
        <w:footnoteReference w:id="16"/>
      </w:r>
      <w:r w:rsidRPr="007A2CB0">
        <w:rPr>
          <w:rFonts w:ascii="Verdana" w:eastAsia="Arial MT" w:hAnsi="Verdana" w:cs="Arial"/>
          <w:lang w:val="es-ES"/>
        </w:rPr>
        <w:t xml:space="preserve">. </w:t>
      </w:r>
    </w:p>
    <w:p w14:paraId="201065DB" w14:textId="20F502F1" w:rsidR="00BC186A" w:rsidRPr="009D5FF2" w:rsidRDefault="00BC186A" w:rsidP="00BC186A">
      <w:pPr>
        <w:spacing w:after="120" w:line="276" w:lineRule="auto"/>
        <w:ind w:firstLine="709"/>
        <w:jc w:val="both"/>
        <w:rPr>
          <w:rFonts w:ascii="Verdana" w:eastAsia="Calibri" w:hAnsi="Verdana" w:cs="Arial"/>
          <w:color w:val="000000" w:themeColor="text1"/>
          <w:lang w:val="es-ES"/>
        </w:rPr>
      </w:pPr>
      <w:r w:rsidRPr="00282F1D">
        <w:rPr>
          <w:rFonts w:ascii="Verdana" w:eastAsia="Calibri" w:hAnsi="Verdana" w:cs="Arial"/>
          <w:color w:val="000000" w:themeColor="text1"/>
          <w:lang w:val="es-ES"/>
        </w:rPr>
        <w:t xml:space="preserve">Por último, el estudio del mercado permite comprender la dinámica de los precios y establecer el presupuesto oficial de la contratación. </w:t>
      </w:r>
      <w:r w:rsidRPr="00282F1D">
        <w:rPr>
          <w:rFonts w:ascii="Verdana" w:eastAsia="Calibri" w:hAnsi="Verdana" w:cs="Arial"/>
          <w:lang w:val="es-ES"/>
        </w:rPr>
        <w:t xml:space="preserve">De esta forma, se tiene que, la Guía de Elaboración de Estudios del Sector en el numeral </w:t>
      </w:r>
      <w:r>
        <w:rPr>
          <w:rFonts w:ascii="Verdana" w:eastAsia="Calibri" w:hAnsi="Verdana" w:cs="Arial"/>
          <w:lang w:val="es-ES"/>
        </w:rPr>
        <w:t>5.2.5</w:t>
      </w:r>
      <w:r w:rsidRPr="00282F1D">
        <w:rPr>
          <w:rFonts w:ascii="Verdana" w:eastAsia="Calibri" w:hAnsi="Verdana" w:cs="Arial"/>
          <w:lang w:val="es-ES"/>
        </w:rPr>
        <w:t xml:space="preserve">, propone a las Entidades Estatales los siguientes mecanismos para elaborar el estudio de precios de mercado: </w:t>
      </w:r>
    </w:p>
    <w:p w14:paraId="602FF8A5" w14:textId="1D4116BA" w:rsidR="00BC186A" w:rsidRPr="00F914AD" w:rsidRDefault="00BC186A" w:rsidP="00F914AD">
      <w:pPr>
        <w:pStyle w:val="Prrafodelista"/>
        <w:numPr>
          <w:ilvl w:val="0"/>
          <w:numId w:val="18"/>
        </w:numPr>
        <w:ind w:right="616"/>
        <w:jc w:val="both"/>
        <w:rPr>
          <w:rFonts w:ascii="Verdana" w:eastAsia="Calibri" w:hAnsi="Verdana" w:cs="Arial"/>
          <w:sz w:val="20"/>
          <w:szCs w:val="20"/>
        </w:rPr>
      </w:pPr>
      <w:r w:rsidRPr="009D5FF2">
        <w:rPr>
          <w:rFonts w:ascii="Verdana" w:eastAsia="Calibri" w:hAnsi="Verdana" w:cs="Arial"/>
          <w:b/>
          <w:bCs/>
          <w:sz w:val="20"/>
          <w:szCs w:val="20"/>
        </w:rPr>
        <w:t>Sondeos de mercado:</w:t>
      </w:r>
      <w:r w:rsidRPr="009D5FF2">
        <w:rPr>
          <w:rFonts w:ascii="Verdana" w:eastAsia="Calibri" w:hAnsi="Verdana" w:cs="Arial"/>
          <w:sz w:val="20"/>
          <w:szCs w:val="20"/>
        </w:rPr>
        <w:t xml:space="preserve"> Este mecanismo permite obtener información de potenciales proveedores sobre un determinado bien o servicio. Con los datos obtenidos la Entidad podrá determinar, entre otros aspectos, el costo de un bien o servicio (cotizaciones). Sin embargo, es importante resaltar que el sondeo de mercado no se agota en la obtención de cotizaciones. Este mecanismo es ideal, además, para obtener información adicional del mercado (investigación de mercados) mediante el desarrollo de encuestas. A partir de las encuestas, la Entidad puede analizar y sustentar las condiciones de entrega de un bien, establecer el cumplimiento de criterios técnicos de un servicio, sustentar la incorporación de acciones afirmativas en el proceso de selección, y visualizar escenarios para estructurar el proceso de contratación, entre otros.</w:t>
      </w:r>
    </w:p>
    <w:p w14:paraId="2B62BD2A" w14:textId="77777777" w:rsidR="00BC186A" w:rsidRPr="009D5FF2" w:rsidRDefault="00BC186A" w:rsidP="00BC186A">
      <w:pPr>
        <w:pStyle w:val="Prrafodelista"/>
        <w:ind w:right="616"/>
        <w:jc w:val="both"/>
        <w:rPr>
          <w:rFonts w:ascii="Verdana" w:eastAsia="Calibri" w:hAnsi="Verdana" w:cs="Arial"/>
          <w:sz w:val="20"/>
          <w:szCs w:val="20"/>
        </w:rPr>
      </w:pPr>
      <w:r w:rsidRPr="009D5FF2">
        <w:rPr>
          <w:rFonts w:ascii="Verdana" w:eastAsia="Calibri" w:hAnsi="Verdana" w:cs="Arial"/>
          <w:sz w:val="20"/>
          <w:szCs w:val="20"/>
        </w:rPr>
        <w:t>Al recibir las cotizaciones, debe verificarse la ocurrencia de circunstancias que eventualmente pueden distorsionar los precios del mercado, como ofertas especiales de almacenes de cadena, fenómenos de escasez o abundancia del producto, entre otros aspectos.</w:t>
      </w:r>
    </w:p>
    <w:p w14:paraId="05FFCB54" w14:textId="77777777" w:rsidR="00BC186A" w:rsidRDefault="00BC186A" w:rsidP="00BC186A">
      <w:pPr>
        <w:pStyle w:val="Prrafodelista"/>
        <w:ind w:left="1069" w:right="616"/>
        <w:jc w:val="both"/>
        <w:rPr>
          <w:rFonts w:ascii="Verdana" w:eastAsia="Calibri" w:hAnsi="Verdana" w:cs="Arial"/>
          <w:sz w:val="20"/>
          <w:szCs w:val="20"/>
        </w:rPr>
      </w:pPr>
    </w:p>
    <w:p w14:paraId="41280B8A" w14:textId="77777777" w:rsidR="00BC186A" w:rsidRPr="009D5FF2" w:rsidRDefault="00BC186A" w:rsidP="00BC186A">
      <w:pPr>
        <w:pStyle w:val="Prrafodelista"/>
        <w:numPr>
          <w:ilvl w:val="0"/>
          <w:numId w:val="18"/>
        </w:numPr>
        <w:spacing w:after="0" w:line="240" w:lineRule="auto"/>
        <w:ind w:right="616"/>
        <w:jc w:val="both"/>
        <w:rPr>
          <w:rFonts w:ascii="Verdana" w:eastAsia="Calibri" w:hAnsi="Verdana" w:cs="Arial"/>
          <w:sz w:val="20"/>
          <w:szCs w:val="20"/>
        </w:rPr>
      </w:pPr>
      <w:r w:rsidRPr="009D5FF2">
        <w:rPr>
          <w:rFonts w:ascii="Verdana" w:eastAsia="Calibri" w:hAnsi="Verdana" w:cs="Arial"/>
          <w:b/>
          <w:bCs/>
          <w:sz w:val="20"/>
          <w:szCs w:val="20"/>
        </w:rPr>
        <w:t>Consulta de bases de datos especializadas</w:t>
      </w:r>
      <w:r w:rsidRPr="009D5FF2">
        <w:rPr>
          <w:rFonts w:ascii="Verdana" w:eastAsia="Calibri" w:hAnsi="Verdana" w:cs="Arial"/>
          <w:sz w:val="20"/>
          <w:szCs w:val="20"/>
        </w:rPr>
        <w:t xml:space="preserve">: Se utiliza cuando en virtud de las especificaciones, condiciones del mercado y el alcance del bien o servicio a contratar, la Entidad puede determinar los precios de referencia (unitarios o totales) del proceso de selección, a partir de </w:t>
      </w:r>
      <w:r w:rsidRPr="009D5FF2">
        <w:rPr>
          <w:rFonts w:ascii="Verdana" w:eastAsia="Calibri" w:hAnsi="Verdana" w:cs="Arial"/>
          <w:sz w:val="20"/>
          <w:szCs w:val="20"/>
          <w:lang w:val="es-CO"/>
        </w:rPr>
        <w:t xml:space="preserve">la información que reposa en bases de datos especializadas (precios unitarios, históricos, </w:t>
      </w:r>
      <w:proofErr w:type="spellStart"/>
      <w:r w:rsidRPr="009D5FF2">
        <w:rPr>
          <w:rFonts w:ascii="Verdana" w:eastAsia="Calibri" w:hAnsi="Verdana" w:cs="Arial"/>
          <w:sz w:val="20"/>
          <w:szCs w:val="20"/>
          <w:lang w:val="es-CO"/>
        </w:rPr>
        <w:t>etc</w:t>
      </w:r>
      <w:proofErr w:type="spellEnd"/>
      <w:r w:rsidRPr="009D5FF2">
        <w:rPr>
          <w:rFonts w:ascii="Verdana" w:eastAsia="Calibri" w:hAnsi="Verdana" w:cs="Arial"/>
          <w:sz w:val="20"/>
          <w:szCs w:val="20"/>
          <w:lang w:val="es-CO"/>
        </w:rPr>
        <w:t xml:space="preserve">). </w:t>
      </w:r>
    </w:p>
    <w:p w14:paraId="384F858D" w14:textId="77777777" w:rsidR="00BC186A" w:rsidRDefault="00BC186A" w:rsidP="00BC186A">
      <w:pPr>
        <w:pStyle w:val="Prrafodelista"/>
        <w:spacing w:after="0" w:line="240" w:lineRule="auto"/>
        <w:ind w:right="616"/>
        <w:jc w:val="both"/>
        <w:rPr>
          <w:rFonts w:ascii="Verdana" w:eastAsia="Calibri" w:hAnsi="Verdana" w:cs="Arial"/>
          <w:sz w:val="20"/>
          <w:szCs w:val="20"/>
        </w:rPr>
      </w:pPr>
    </w:p>
    <w:p w14:paraId="5DC33296" w14:textId="77777777" w:rsidR="00BC186A" w:rsidRDefault="00BC186A" w:rsidP="00BC186A">
      <w:pPr>
        <w:pStyle w:val="Prrafodelista"/>
        <w:spacing w:after="0" w:line="240" w:lineRule="auto"/>
        <w:ind w:right="616"/>
        <w:jc w:val="both"/>
        <w:rPr>
          <w:rFonts w:ascii="Verdana" w:eastAsia="Calibri" w:hAnsi="Verdana" w:cs="Arial"/>
          <w:sz w:val="20"/>
          <w:szCs w:val="20"/>
        </w:rPr>
      </w:pPr>
      <w:r w:rsidRPr="009D5FF2">
        <w:rPr>
          <w:rFonts w:ascii="Verdana" w:eastAsia="Calibri" w:hAnsi="Verdana" w:cs="Arial"/>
          <w:sz w:val="20"/>
          <w:szCs w:val="20"/>
        </w:rPr>
        <w:t>El responsable deberá dejar constancia de las consultas realizadas y de los precios que soportan su estudio. Por lo tanto, las bases de datos consultadas deben ser especializadas y representativas en el mercado del bien o servicio a contratar, con lo cual se asegura la pertinencia y calidad de la información consultada para efectos del estudio que se está realizando.</w:t>
      </w:r>
    </w:p>
    <w:p w14:paraId="762538C4" w14:textId="77777777" w:rsidR="008801E2" w:rsidRPr="000E1EA7" w:rsidRDefault="008801E2" w:rsidP="00BC186A">
      <w:pPr>
        <w:pStyle w:val="Prrafodelista"/>
        <w:spacing w:after="0" w:line="240" w:lineRule="auto"/>
        <w:ind w:right="616"/>
        <w:jc w:val="both"/>
        <w:rPr>
          <w:rFonts w:ascii="Verdana" w:eastAsia="Calibri" w:hAnsi="Verdana" w:cs="Arial"/>
          <w:sz w:val="20"/>
          <w:szCs w:val="20"/>
        </w:rPr>
      </w:pPr>
    </w:p>
    <w:p w14:paraId="24787F75" w14:textId="77777777" w:rsidR="00BC186A" w:rsidRPr="009D5FF2" w:rsidRDefault="00BC186A" w:rsidP="00BC186A">
      <w:pPr>
        <w:pStyle w:val="Prrafodelista"/>
        <w:numPr>
          <w:ilvl w:val="0"/>
          <w:numId w:val="18"/>
        </w:numPr>
        <w:spacing w:after="0" w:line="240" w:lineRule="auto"/>
        <w:ind w:right="616"/>
        <w:jc w:val="both"/>
        <w:rPr>
          <w:rFonts w:ascii="Verdana" w:eastAsia="Calibri" w:hAnsi="Verdana" w:cs="Arial"/>
          <w:sz w:val="20"/>
          <w:szCs w:val="20"/>
        </w:rPr>
      </w:pPr>
      <w:r w:rsidRPr="007D2748">
        <w:rPr>
          <w:rFonts w:ascii="Verdana" w:eastAsia="Calibri" w:hAnsi="Verdana" w:cs="Arial"/>
          <w:b/>
          <w:bCs/>
          <w:sz w:val="20"/>
          <w:szCs w:val="20"/>
          <w:lang w:val="es-CO"/>
        </w:rPr>
        <w:t>Revisión de precios históricos:</w:t>
      </w:r>
      <w:r w:rsidRPr="009D5FF2">
        <w:rPr>
          <w:rFonts w:ascii="Verdana" w:eastAsia="Calibri" w:hAnsi="Verdana" w:cs="Arial"/>
          <w:sz w:val="20"/>
          <w:szCs w:val="20"/>
          <w:lang w:val="es-CO"/>
        </w:rPr>
        <w:t xml:space="preserve"> Cuando las especificaciones técnicas de un bien o servicio sean comparables con las de un proceso de selección previo, el cual derivó en la suscripción de un contrato, la Entidad puede emplear este mecanismo para determinar el precio de referencia. </w:t>
      </w:r>
    </w:p>
    <w:p w14:paraId="3DBE729C" w14:textId="77777777" w:rsidR="00BC186A" w:rsidRDefault="00BC186A" w:rsidP="00BC186A">
      <w:pPr>
        <w:pStyle w:val="Prrafodelista"/>
        <w:spacing w:after="0" w:line="240" w:lineRule="auto"/>
        <w:ind w:right="616"/>
        <w:jc w:val="both"/>
        <w:rPr>
          <w:rFonts w:ascii="Verdana" w:eastAsia="Calibri" w:hAnsi="Verdana" w:cs="Arial"/>
          <w:sz w:val="20"/>
          <w:szCs w:val="20"/>
        </w:rPr>
      </w:pPr>
    </w:p>
    <w:p w14:paraId="4E3FB2F9" w14:textId="77777777" w:rsidR="00BC186A" w:rsidRDefault="00BC186A" w:rsidP="00BC186A">
      <w:pPr>
        <w:pStyle w:val="Prrafodelista"/>
        <w:spacing w:after="0" w:line="240" w:lineRule="auto"/>
        <w:ind w:right="616"/>
        <w:jc w:val="both"/>
        <w:rPr>
          <w:rFonts w:ascii="Verdana" w:eastAsia="Calibri" w:hAnsi="Verdana" w:cs="Arial"/>
          <w:sz w:val="20"/>
          <w:szCs w:val="20"/>
          <w:lang w:val="es-CO"/>
        </w:rPr>
      </w:pPr>
      <w:r w:rsidRPr="009D5FF2">
        <w:rPr>
          <w:rFonts w:ascii="Verdana" w:eastAsia="Calibri" w:hAnsi="Verdana" w:cs="Arial"/>
          <w:sz w:val="20"/>
          <w:szCs w:val="20"/>
        </w:rPr>
        <w:t>Se sugiere verificar la variación de los precios históricos derivados del índice de precios al consumidor en cada año, con el fin de examinar si</w:t>
      </w:r>
      <w:r>
        <w:rPr>
          <w:rFonts w:ascii="Verdana" w:eastAsia="Calibri" w:hAnsi="Verdana" w:cs="Arial"/>
          <w:sz w:val="20"/>
          <w:szCs w:val="20"/>
        </w:rPr>
        <w:t xml:space="preserve"> </w:t>
      </w:r>
      <w:r w:rsidRPr="007D2748">
        <w:rPr>
          <w:rFonts w:ascii="Verdana" w:eastAsia="Calibri" w:hAnsi="Verdana" w:cs="Arial"/>
          <w:sz w:val="20"/>
          <w:szCs w:val="20"/>
          <w:lang w:val="es-CO"/>
        </w:rPr>
        <w:t>se han presentado fenómenos económicos que hayan implicado fluctuaciones importantes en el comercio del bien o servicio. Finalmente, cualquiera que sea el mecanismo empleado para conocer los precios del mercado, es importante identificar y analizar las variables que pueden incidir en los precios, como, por ejemplo, la variación del IPC o de la tasa de cambio, así como el cambio en los precios de materias primas.</w:t>
      </w:r>
    </w:p>
    <w:p w14:paraId="7CC1CE4C" w14:textId="77777777" w:rsidR="00BC186A" w:rsidRPr="007D2748" w:rsidRDefault="00BC186A" w:rsidP="00BC186A">
      <w:pPr>
        <w:pStyle w:val="Prrafodelista"/>
        <w:spacing w:after="0" w:line="240" w:lineRule="auto"/>
        <w:ind w:right="618"/>
        <w:jc w:val="both"/>
        <w:rPr>
          <w:rFonts w:ascii="Verdana" w:eastAsia="Calibri" w:hAnsi="Verdana" w:cs="Arial"/>
          <w:sz w:val="20"/>
          <w:szCs w:val="20"/>
          <w:lang w:val="es-CO"/>
        </w:rPr>
      </w:pPr>
    </w:p>
    <w:p w14:paraId="321443A1" w14:textId="77777777" w:rsidR="00BC186A" w:rsidRPr="00CF5BF1" w:rsidRDefault="00BC186A" w:rsidP="00BC186A">
      <w:pPr>
        <w:spacing w:after="120" w:line="276" w:lineRule="auto"/>
        <w:ind w:firstLine="709"/>
        <w:jc w:val="both"/>
        <w:rPr>
          <w:rFonts w:ascii="Verdana" w:eastAsia="Calibri" w:hAnsi="Verdana" w:cs="Arial"/>
          <w:color w:val="000000" w:themeColor="text1"/>
          <w:lang w:val="es-ES"/>
        </w:rPr>
      </w:pPr>
      <w:bookmarkStart w:id="5" w:name="_Hlk139466471"/>
      <w:r w:rsidRPr="00CF5BF1">
        <w:rPr>
          <w:rFonts w:ascii="Verdana" w:eastAsia="Calibri" w:hAnsi="Verdana" w:cs="Arial"/>
          <w:color w:val="000000" w:themeColor="text1"/>
          <w:lang w:val="es-ES"/>
        </w:rPr>
        <w:t xml:space="preserve">Como se observa, la Guía de Elaboración de Estudios del Sector recomienda como mecanismo para la elaboración de </w:t>
      </w:r>
      <w:r w:rsidRPr="00CF5BF1">
        <w:rPr>
          <w:rFonts w:ascii="Verdana" w:eastAsia="Calibri" w:hAnsi="Verdana" w:cs="Arial"/>
          <w:i/>
          <w:iCs/>
          <w:color w:val="000000" w:themeColor="text1"/>
          <w:lang w:val="es-ES"/>
        </w:rPr>
        <w:t>estudios del mercado</w:t>
      </w:r>
      <w:r w:rsidRPr="00CF5BF1">
        <w:rPr>
          <w:rFonts w:ascii="Verdana" w:eastAsia="Calibri" w:hAnsi="Verdana" w:cs="Arial"/>
          <w:color w:val="000000" w:themeColor="text1"/>
          <w:lang w:val="es-ES"/>
        </w:rPr>
        <w:t>, que sirvan para entender la dinámica de los precios y establecer el presupuesto oficial de la contratación, requerir a los potenciales proveedores a fin de que remitan la información necesaria para determinar diversos aspectos de los bienes o servicios a contratar, entre ellos su valor, especificaciones técnicas, el plazo, entre otra información relevante. En principio, que un potencial proveedor participe en estos estudios del mercado, remitiendo cotizaciones por citar un ejemplo, no implica que en el futuro no pueda participar del Proceso de Contratación que se adelante.</w:t>
      </w:r>
      <w:bookmarkEnd w:id="5"/>
    </w:p>
    <w:p w14:paraId="4E734171" w14:textId="77777777" w:rsidR="00BC186A" w:rsidRPr="007A2CB0" w:rsidRDefault="00BC186A" w:rsidP="00BC186A">
      <w:pPr>
        <w:spacing w:after="120" w:line="276" w:lineRule="auto"/>
        <w:ind w:firstLine="709"/>
        <w:jc w:val="both"/>
        <w:rPr>
          <w:rFonts w:ascii="Verdana" w:eastAsia="Calibri" w:hAnsi="Verdana" w:cs="Arial"/>
          <w:bCs/>
          <w:lang w:val="es-ES_tradnl"/>
        </w:rPr>
      </w:pPr>
      <w:r w:rsidRPr="007A2CB0">
        <w:rPr>
          <w:rFonts w:ascii="Verdana" w:eastAsia="Calibri" w:hAnsi="Verdana" w:cs="Arial"/>
          <w:color w:val="000000" w:themeColor="text1"/>
          <w:lang w:val="es-ES"/>
        </w:rPr>
        <w:t xml:space="preserve">Al respecto, es pertinente precisar que los mecanismos señalados para realizar el estudio del mercado no están determinados por la ley o el reglamento, por lo que no existen lineamientos obligatorios para su estructuración. De esta manera, </w:t>
      </w:r>
      <w:r w:rsidRPr="007A2CB0">
        <w:rPr>
          <w:rFonts w:ascii="Verdana" w:eastAsia="Calibri" w:hAnsi="Verdana" w:cs="Arial"/>
          <w:bCs/>
          <w:lang w:val="es-ES_tradnl"/>
        </w:rPr>
        <w:t xml:space="preserve">las entidades </w:t>
      </w:r>
      <w:r w:rsidRPr="007A2CB0">
        <w:rPr>
          <w:rFonts w:ascii="Verdana" w:hAnsi="Verdana" w:cs="Arial"/>
          <w:lang w:eastAsia="es-CO"/>
        </w:rPr>
        <w:t>son autónomas para establecer la forma en la cual se recopilará la información que sustente el análisis del sector, así como lo referente a la solicitud de cotizaciones</w:t>
      </w:r>
      <w:r w:rsidRPr="00B936F8">
        <w:rPr>
          <w:rFonts w:ascii="Verdana" w:hAnsi="Verdana" w:cs="Arial"/>
          <w:lang w:eastAsia="es-CO"/>
        </w:rPr>
        <w:t xml:space="preserve"> </w:t>
      </w:r>
      <w:r>
        <w:rPr>
          <w:rFonts w:ascii="Verdana" w:hAnsi="Verdana" w:cs="Arial"/>
          <w:lang w:eastAsia="es-CO"/>
        </w:rPr>
        <w:t>o la aplicación de otros métodos para la estructuración del estudio de mercado</w:t>
      </w:r>
      <w:r w:rsidRPr="007A2CB0">
        <w:rPr>
          <w:rFonts w:ascii="Verdana" w:hAnsi="Verdana" w:cs="Arial"/>
          <w:lang w:eastAsia="es-CO"/>
        </w:rPr>
        <w:t xml:space="preserve">. Como se mencionó, la </w:t>
      </w:r>
      <w:r>
        <w:rPr>
          <w:rFonts w:ascii="Verdana" w:eastAsia="Calibri" w:hAnsi="Verdana" w:cs="Arial"/>
          <w:bCs/>
          <w:lang w:val="es-ES_tradnl"/>
        </w:rPr>
        <w:t>“</w:t>
      </w:r>
      <w:r w:rsidRPr="007A2CB0">
        <w:rPr>
          <w:rFonts w:ascii="Verdana" w:eastAsia="Calibri" w:hAnsi="Verdana" w:cs="Arial"/>
          <w:bCs/>
          <w:lang w:val="es-ES_tradnl"/>
        </w:rPr>
        <w:t>Guía de Elaboración del Estudio del Sector</w:t>
      </w:r>
      <w:r>
        <w:rPr>
          <w:rFonts w:ascii="Verdana" w:eastAsia="Calibri" w:hAnsi="Verdana" w:cs="Arial"/>
          <w:bCs/>
          <w:lang w:val="es-ES_tradnl"/>
        </w:rPr>
        <w:t>”</w:t>
      </w:r>
      <w:r w:rsidRPr="007A2CB0">
        <w:rPr>
          <w:rFonts w:ascii="Verdana" w:eastAsia="Calibri" w:hAnsi="Verdana" w:cs="Arial"/>
          <w:bCs/>
          <w:lang w:val="es-ES_tradnl"/>
        </w:rPr>
        <w:t xml:space="preserve"> desarrolla recomendaciones y buenas prácticas que servirán a las entidades para entender el mercado del bien, obra o servicio que pretende adquirir, pero no es un instrumento vinculante para la entidad. </w:t>
      </w:r>
    </w:p>
    <w:p w14:paraId="36A2709B" w14:textId="77777777" w:rsidR="00BC186A" w:rsidRPr="007A2CB0" w:rsidRDefault="00BC186A" w:rsidP="00BC186A">
      <w:pPr>
        <w:pStyle w:val="paragraph"/>
        <w:spacing w:before="0" w:beforeAutospacing="0" w:after="120" w:afterAutospacing="0" w:line="276" w:lineRule="auto"/>
        <w:ind w:firstLine="705"/>
        <w:jc w:val="both"/>
        <w:textAlignment w:val="baseline"/>
        <w:rPr>
          <w:rFonts w:ascii="Verdana" w:hAnsi="Verdana" w:cs="Segoe UI"/>
          <w:sz w:val="22"/>
          <w:szCs w:val="22"/>
        </w:rPr>
      </w:pPr>
      <w:r w:rsidRPr="007A2CB0">
        <w:rPr>
          <w:rStyle w:val="normaltextrun"/>
          <w:rFonts w:ascii="Verdana" w:hAnsi="Verdana" w:cs="Arial"/>
          <w:sz w:val="22"/>
          <w:szCs w:val="22"/>
          <w:lang w:val="es-ES"/>
        </w:rPr>
        <w:t>El Consejo de Estado, se pronunció sobre la relación existente entre el estudio del sector y la estimación del valor del contrato, indicando que se deben tener en cuenta las diferentes variables del mercado como los costos de la cadena de producción. Pero, con independencia de esto, la entidad debe obtener el menor precio o uno razonable. En todo caso, el valor debe estar justificado para que no corresponda a sobrecostos ni a precios artificialmente bajos, y que con ello la entidad pague un valor adecuado. Esto se logra con el estudio del mercado y sus costos, el cual debe estar a disposición de los participantes del procedimiento contractual</w:t>
      </w:r>
      <w:r w:rsidRPr="007A2CB0">
        <w:rPr>
          <w:rStyle w:val="Refdenotaalpie"/>
          <w:rFonts w:ascii="Verdana" w:hAnsi="Verdana" w:cs="Arial"/>
          <w:sz w:val="22"/>
          <w:szCs w:val="22"/>
          <w:lang w:val="es-ES"/>
        </w:rPr>
        <w:footnoteReference w:id="17"/>
      </w:r>
      <w:r w:rsidRPr="007A2CB0">
        <w:rPr>
          <w:rStyle w:val="normaltextrun"/>
          <w:rFonts w:ascii="Verdana" w:hAnsi="Verdana" w:cs="Arial"/>
          <w:sz w:val="22"/>
          <w:szCs w:val="22"/>
          <w:lang w:val="es-ES"/>
        </w:rPr>
        <w:t>.</w:t>
      </w:r>
    </w:p>
    <w:p w14:paraId="10C6BB02" w14:textId="77777777" w:rsidR="00BC186A" w:rsidRDefault="00BC186A" w:rsidP="00BC186A">
      <w:pPr>
        <w:spacing w:after="120" w:line="276" w:lineRule="auto"/>
        <w:ind w:firstLine="708"/>
        <w:jc w:val="both"/>
        <w:rPr>
          <w:rFonts w:ascii="Verdana" w:hAnsi="Verdana" w:cs="Arial"/>
          <w:lang w:val="es-MX"/>
        </w:rPr>
      </w:pPr>
      <w:r w:rsidRPr="007A2CB0">
        <w:rPr>
          <w:rFonts w:ascii="Verdana" w:hAnsi="Verdana" w:cs="Arial"/>
        </w:rPr>
        <w:t xml:space="preserve">En conclusión, el análisis del sector debe ser visto desde una perspectiva funcional, como una labor enfocada a situar la adquisición de bienes y servicios por parte de entidades estatales dentro de las condiciones del mercado o del sector en el que serán adquiridos, el cual constituye una manifestación de los principios de planeación y economía. Dicha labor debe evidenciarse de manera palpable en los </w:t>
      </w:r>
      <w:r w:rsidRPr="007A2CB0">
        <w:rPr>
          <w:rFonts w:ascii="Verdana" w:hAnsi="Verdana" w:cs="Arial"/>
          <w:i/>
          <w:iCs/>
        </w:rPr>
        <w:t>Documentos del Proceso</w:t>
      </w:r>
      <w:r w:rsidRPr="007A2CB0">
        <w:rPr>
          <w:rFonts w:ascii="Verdana" w:hAnsi="Verdana" w:cs="Arial"/>
        </w:rPr>
        <w:t xml:space="preserve">, ya sea dentro de los estudios previos, como documento autónomo o dentro de alguno de los soportes del proceso de contratación, abarcando los campos legal, comercial, financiero, organizacional, técnico y de riesgos, de conformidad con el artículo </w:t>
      </w:r>
      <w:r w:rsidRPr="007A2CB0">
        <w:rPr>
          <w:rFonts w:ascii="Verdana" w:hAnsi="Verdana" w:cs="Arial"/>
          <w:lang w:val="es-MX"/>
        </w:rPr>
        <w:t>2.2.1.1.1.6.1 del Decreto 1082 del 2015.</w:t>
      </w:r>
    </w:p>
    <w:p w14:paraId="5250252C" w14:textId="50D1CE48" w:rsidR="003D4188" w:rsidRPr="00A55462" w:rsidRDefault="00BC186A" w:rsidP="00A55462">
      <w:pPr>
        <w:spacing w:after="120" w:line="276" w:lineRule="auto"/>
        <w:ind w:firstLine="708"/>
        <w:jc w:val="both"/>
        <w:rPr>
          <w:rFonts w:ascii="Verdana" w:hAnsi="Verdana" w:cs="Arial"/>
          <w:i/>
          <w:iCs/>
        </w:rPr>
      </w:pPr>
      <w:r>
        <w:rPr>
          <w:rFonts w:ascii="Verdana" w:hAnsi="Verdana" w:cs="Arial"/>
          <w:lang w:val="es-MX"/>
        </w:rPr>
        <w:t xml:space="preserve">De esta manera, la entidad deberá analizar, si para el cumplimiento de los cometidos estatales y bajo el principio de planeación, considera necesario o no el inicio de un proceso de contratación para la selección de un </w:t>
      </w:r>
      <w:r w:rsidR="003369D8">
        <w:rPr>
          <w:rFonts w:ascii="Verdana" w:hAnsi="Verdana" w:cs="Arial"/>
          <w:lang w:val="es-MX"/>
        </w:rPr>
        <w:t>contratista para la adquisición del SOAT</w:t>
      </w:r>
      <w:r>
        <w:rPr>
          <w:rFonts w:ascii="Verdana" w:hAnsi="Verdana" w:cs="Arial"/>
          <w:lang w:val="es-MX"/>
        </w:rPr>
        <w:t xml:space="preserve">, dado que </w:t>
      </w:r>
      <w:r>
        <w:rPr>
          <w:rFonts w:ascii="Verdana" w:hAnsi="Verdana" w:cs="Arial"/>
          <w:i/>
          <w:iCs/>
          <w:lang w:val="es-MX"/>
        </w:rPr>
        <w:t xml:space="preserve">“(…) </w:t>
      </w:r>
      <w:r w:rsidRPr="000361BC">
        <w:rPr>
          <w:rFonts w:ascii="Verdana" w:hAnsi="Verdana" w:cs="Arial"/>
          <w:i/>
          <w:iCs/>
          <w:lang w:val="es-MX"/>
        </w:rPr>
        <w:t>d</w:t>
      </w:r>
      <w:proofErr w:type="spellStart"/>
      <w:r w:rsidRPr="000361BC">
        <w:rPr>
          <w:rFonts w:ascii="Verdana" w:hAnsi="Verdana" w:cs="Arial"/>
          <w:i/>
          <w:iCs/>
        </w:rPr>
        <w:t>e</w:t>
      </w:r>
      <w:proofErr w:type="spellEnd"/>
      <w:r w:rsidRPr="000361BC">
        <w:rPr>
          <w:rFonts w:ascii="Verdana" w:hAnsi="Verdana" w:cs="Arial"/>
          <w:i/>
          <w:iCs/>
        </w:rPr>
        <w:t xml:space="preserve"> acuerdo con el deber de planeación, los contratos del Estado “deben siempre corresponder a negocios debidamente diseñados, pensados, conforme a las necesidades y prioridades que demanda el interés público; en otras palabras, el ordenamiento jurídico busca que el contrato estatal no sea el producto de la improvisación ni de la mediocridad. La ausencia de planeación ataca la esencia misma del interés general, con consecuencias gravosas y muchas veces nefastas, no sólo para la realización efectiva de los objetos pactados, sino también para el patrimonio público, que en últimas es el que siempre está involucrado en todo contrato estatal. Se trata de exigirles perentoriamente a las administraciones públicas una real y efectiva racionalización y organización de sus acciones y activida</w:t>
      </w:r>
      <w:r>
        <w:rPr>
          <w:rFonts w:ascii="Verdana" w:hAnsi="Verdana" w:cs="Arial"/>
          <w:i/>
          <w:iCs/>
        </w:rPr>
        <w:t xml:space="preserve">des con </w:t>
      </w:r>
      <w:r w:rsidRPr="000361BC">
        <w:rPr>
          <w:rFonts w:ascii="Verdana" w:hAnsi="Verdana" w:cs="Arial"/>
          <w:i/>
          <w:iCs/>
        </w:rPr>
        <w:t>el fin de lograr los fines propuestos por medio de los negocios estatales</w:t>
      </w:r>
      <w:r>
        <w:rPr>
          <w:rFonts w:ascii="Verdana" w:hAnsi="Verdana" w:cs="Arial"/>
          <w:i/>
          <w:iCs/>
        </w:rPr>
        <w:t>”</w:t>
      </w:r>
      <w:r>
        <w:rPr>
          <w:rStyle w:val="Refdenotaalpie"/>
          <w:rFonts w:ascii="Verdana" w:hAnsi="Verdana" w:cs="Arial"/>
          <w:i/>
          <w:iCs/>
        </w:rPr>
        <w:footnoteReference w:id="18"/>
      </w:r>
      <w:r w:rsidRPr="000361BC">
        <w:rPr>
          <w:rFonts w:ascii="Verdana" w:hAnsi="Verdana" w:cs="Arial"/>
          <w:i/>
          <w:iCs/>
        </w:rPr>
        <w:t>.</w:t>
      </w:r>
    </w:p>
    <w:p w14:paraId="679E5087" w14:textId="1B7A5023" w:rsidR="008636D0" w:rsidRPr="00B06A20" w:rsidRDefault="00A55462" w:rsidP="008636D0">
      <w:pPr>
        <w:spacing w:after="120" w:line="276" w:lineRule="auto"/>
        <w:ind w:right="51" w:firstLine="709"/>
        <w:jc w:val="both"/>
        <w:rPr>
          <w:rFonts w:ascii="Verdana" w:eastAsia="Calibri" w:hAnsi="Verdana" w:cs="Arial"/>
          <w:bCs/>
          <w:color w:val="000000" w:themeColor="text1"/>
        </w:rPr>
      </w:pPr>
      <w:r>
        <w:rPr>
          <w:rFonts w:ascii="Verdana" w:eastAsia="Calibri" w:hAnsi="Verdana" w:cs="Arial"/>
          <w:bCs/>
          <w:color w:val="000000" w:themeColor="text1"/>
        </w:rPr>
        <w:t xml:space="preserve">Con base en lo anterior, </w:t>
      </w:r>
      <w:r w:rsidR="008636D0" w:rsidRPr="00B06A20">
        <w:rPr>
          <w:rFonts w:ascii="Verdana" w:eastAsia="Calibri" w:hAnsi="Verdana" w:cs="Arial"/>
          <w:bCs/>
          <w:color w:val="000000" w:themeColor="text1"/>
        </w:rPr>
        <w:t xml:space="preserve">las Entidades Estatales </w:t>
      </w:r>
      <w:r w:rsidR="006F5CC5">
        <w:rPr>
          <w:rFonts w:ascii="Verdana" w:eastAsia="Calibri" w:hAnsi="Verdana" w:cs="Arial"/>
          <w:bCs/>
          <w:color w:val="000000" w:themeColor="text1"/>
        </w:rPr>
        <w:t>deberán definir en los estudios previos y estudios del sector o de mercado la modalidad de selección más acorde a las necesidades de la administración</w:t>
      </w:r>
      <w:r w:rsidR="007D4BC9">
        <w:rPr>
          <w:rFonts w:ascii="Verdana" w:eastAsia="Calibri" w:hAnsi="Verdana" w:cs="Arial"/>
          <w:bCs/>
          <w:color w:val="000000" w:themeColor="text1"/>
        </w:rPr>
        <w:t xml:space="preserve">, teniendo en cuenta el comportamiento de la oferta y demanda, las variables necesarias para definir </w:t>
      </w:r>
      <w:r w:rsidR="004B35D0">
        <w:rPr>
          <w:rFonts w:ascii="Verdana" w:eastAsia="Calibri" w:hAnsi="Verdana" w:cs="Arial"/>
          <w:bCs/>
          <w:color w:val="000000" w:themeColor="text1"/>
        </w:rPr>
        <w:t xml:space="preserve">el proceso de escogencia del contratista y todas aquellas reglas definidas por la normatividad en materia de contratación estatal. </w:t>
      </w:r>
    </w:p>
    <w:p w14:paraId="06FF17D5" w14:textId="77777777" w:rsidR="008636D0" w:rsidRDefault="008636D0" w:rsidP="008636D0">
      <w:pPr>
        <w:spacing w:after="0" w:line="276" w:lineRule="auto"/>
        <w:ind w:firstLine="709"/>
        <w:jc w:val="both"/>
        <w:rPr>
          <w:rFonts w:ascii="Verdana" w:eastAsia="Calibri" w:hAnsi="Verdana" w:cs="Arial"/>
          <w:bCs/>
          <w:color w:val="000000" w:themeColor="text1"/>
        </w:rPr>
      </w:pPr>
      <w:r w:rsidRPr="00E853DE">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0341EF4B" w14:textId="77777777" w:rsidR="008636D0" w:rsidRDefault="008636D0" w:rsidP="002A5D6D">
      <w:pPr>
        <w:spacing w:after="0" w:line="240" w:lineRule="auto"/>
        <w:ind w:firstLine="709"/>
        <w:jc w:val="both"/>
        <w:rPr>
          <w:rFonts w:ascii="Verdana" w:eastAsia="Calibri" w:hAnsi="Verdana" w:cs="Arial"/>
          <w:bCs/>
          <w:color w:val="000000" w:themeColor="text1"/>
        </w:rPr>
      </w:pPr>
    </w:p>
    <w:p w14:paraId="1385CA78" w14:textId="77777777" w:rsidR="008636D0" w:rsidRPr="00185EE9" w:rsidRDefault="008636D0" w:rsidP="008636D0">
      <w:pPr>
        <w:spacing w:after="0" w:line="276" w:lineRule="auto"/>
        <w:ind w:firstLine="709"/>
        <w:jc w:val="both"/>
        <w:rPr>
          <w:rFonts w:ascii="Verdana" w:eastAsia="Calibri" w:hAnsi="Verdana" w:cs="Arial"/>
          <w:bCs/>
          <w:color w:val="000000" w:themeColor="text1"/>
        </w:rPr>
      </w:pPr>
      <w:r w:rsidRPr="00E853DE">
        <w:rPr>
          <w:rFonts w:ascii="Verdana" w:eastAsia="Calibri" w:hAnsi="Verdana" w:cs="Arial"/>
          <w:bCs/>
          <w:color w:val="000000" w:themeColor="text1"/>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r w:rsidRPr="00185EE9">
        <w:rPr>
          <w:rFonts w:ascii="Verdana" w:eastAsia="Calibri" w:hAnsi="Verdana" w:cs="Arial"/>
          <w:bCs/>
          <w:color w:val="000000" w:themeColor="text1"/>
        </w:rPr>
        <w:t xml:space="preserve"> </w:t>
      </w:r>
    </w:p>
    <w:p w14:paraId="0EB5163F" w14:textId="77777777" w:rsidR="008636D0" w:rsidRDefault="008636D0" w:rsidP="008636D0">
      <w:pPr>
        <w:tabs>
          <w:tab w:val="left" w:pos="142"/>
          <w:tab w:val="left" w:pos="284"/>
          <w:tab w:val="left" w:pos="6975"/>
        </w:tabs>
        <w:spacing w:after="0" w:line="240" w:lineRule="auto"/>
        <w:jc w:val="both"/>
        <w:rPr>
          <w:rFonts w:ascii="Verdana" w:eastAsia="Calibri" w:hAnsi="Verdana" w:cs="Arial"/>
        </w:rPr>
      </w:pPr>
    </w:p>
    <w:p w14:paraId="54231F4A" w14:textId="77777777" w:rsidR="008636D0" w:rsidRDefault="008636D0" w:rsidP="008636D0">
      <w:pPr>
        <w:spacing w:after="0" w:line="276" w:lineRule="auto"/>
        <w:jc w:val="both"/>
        <w:rPr>
          <w:rFonts w:ascii="Verdana" w:eastAsia="Century Gothic" w:hAnsi="Verdana" w:cs="Century Gothic"/>
          <w:b/>
          <w:bCs/>
        </w:rPr>
      </w:pPr>
      <w:bookmarkStart w:id="6" w:name="_Hlk204854194"/>
      <w:r w:rsidRPr="00237877">
        <w:rPr>
          <w:rFonts w:ascii="Verdana" w:hAnsi="Verdana" w:cs="Arial"/>
          <w:b/>
          <w:color w:val="000000" w:themeColor="text1"/>
        </w:rPr>
        <w:t>4.</w:t>
      </w:r>
      <w:r>
        <w:rPr>
          <w:rFonts w:ascii="Verdana" w:hAnsi="Verdana" w:cs="Arial"/>
          <w:bCs/>
          <w:color w:val="000000" w:themeColor="text1"/>
        </w:rPr>
        <w:t xml:space="preserve"> </w:t>
      </w:r>
      <w:r w:rsidRPr="005644FE">
        <w:rPr>
          <w:rFonts w:ascii="Verdana" w:eastAsia="Century Gothic" w:hAnsi="Verdana" w:cs="Century Gothic"/>
          <w:b/>
          <w:bCs/>
        </w:rPr>
        <w:t>Referencias normativas</w:t>
      </w:r>
      <w:r>
        <w:rPr>
          <w:rFonts w:ascii="Verdana" w:eastAsia="Century Gothic" w:hAnsi="Verdana" w:cs="Century Gothic"/>
          <w:b/>
          <w:bCs/>
        </w:rPr>
        <w:t xml:space="preserve"> y jurisprudenciales</w:t>
      </w:r>
      <w:r w:rsidRPr="005644FE">
        <w:rPr>
          <w:rFonts w:ascii="Verdana" w:eastAsia="Century Gothic" w:hAnsi="Verdana" w:cs="Century Gothic"/>
          <w:b/>
          <w:bCs/>
        </w:rPr>
        <w:t>:</w:t>
      </w:r>
      <w:bookmarkEnd w:id="6"/>
    </w:p>
    <w:p w14:paraId="627440C2" w14:textId="77777777" w:rsidR="008636D0" w:rsidRPr="00E5656D" w:rsidRDefault="008636D0" w:rsidP="008636D0">
      <w:pPr>
        <w:spacing w:after="0" w:line="276" w:lineRule="auto"/>
        <w:jc w:val="both"/>
        <w:rPr>
          <w:rFonts w:ascii="Verdana" w:eastAsia="Century Gothic" w:hAnsi="Verdana" w:cs="Century Gothic"/>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8636D0" w:rsidRPr="002D2C18" w14:paraId="6B721206" w14:textId="77777777" w:rsidTr="00FC7DC6">
        <w:trPr>
          <w:trHeight w:val="56"/>
          <w:jc w:val="center"/>
        </w:trPr>
        <w:tc>
          <w:tcPr>
            <w:tcW w:w="8647" w:type="dxa"/>
          </w:tcPr>
          <w:p w14:paraId="2F595336" w14:textId="423DB872" w:rsidR="00277337" w:rsidRDefault="00277337" w:rsidP="00FC7DC6">
            <w:pPr>
              <w:pStyle w:val="Prrafodelista"/>
              <w:numPr>
                <w:ilvl w:val="0"/>
                <w:numId w:val="16"/>
              </w:numPr>
              <w:spacing w:after="120" w:line="276" w:lineRule="auto"/>
              <w:jc w:val="both"/>
              <w:rPr>
                <w:rFonts w:ascii="Verdana" w:eastAsia="Calibri" w:hAnsi="Verdana" w:cs="Arial"/>
                <w:bCs/>
                <w:color w:val="000000" w:themeColor="text1"/>
              </w:rPr>
            </w:pPr>
            <w:r>
              <w:rPr>
                <w:rFonts w:ascii="Verdana" w:eastAsia="Calibri" w:hAnsi="Verdana" w:cs="Arial"/>
                <w:bCs/>
                <w:color w:val="000000" w:themeColor="text1"/>
              </w:rPr>
              <w:t xml:space="preserve">Ley 80 de 1993. Artículo 25. </w:t>
            </w:r>
          </w:p>
          <w:p w14:paraId="20E53B61" w14:textId="4F41EE21" w:rsidR="008636D0" w:rsidRDefault="008636D0" w:rsidP="00FC7DC6">
            <w:pPr>
              <w:pStyle w:val="Prrafodelista"/>
              <w:numPr>
                <w:ilvl w:val="0"/>
                <w:numId w:val="16"/>
              </w:numPr>
              <w:spacing w:after="120" w:line="276" w:lineRule="auto"/>
              <w:jc w:val="both"/>
              <w:rPr>
                <w:rFonts w:ascii="Verdana" w:eastAsia="Calibri" w:hAnsi="Verdana" w:cs="Arial"/>
                <w:bCs/>
                <w:color w:val="000000" w:themeColor="text1"/>
              </w:rPr>
            </w:pPr>
            <w:r>
              <w:rPr>
                <w:rFonts w:ascii="Verdana" w:eastAsia="Calibri" w:hAnsi="Verdana" w:cs="Arial"/>
                <w:bCs/>
                <w:color w:val="000000" w:themeColor="text1"/>
              </w:rPr>
              <w:t xml:space="preserve">Decreto 663 de 1993. Artículos 192 y 193. </w:t>
            </w:r>
          </w:p>
          <w:p w14:paraId="1523B71B" w14:textId="77777777" w:rsidR="008636D0" w:rsidRDefault="008636D0" w:rsidP="00FC7DC6">
            <w:pPr>
              <w:pStyle w:val="Prrafodelista"/>
              <w:numPr>
                <w:ilvl w:val="0"/>
                <w:numId w:val="16"/>
              </w:numPr>
              <w:spacing w:after="120" w:line="276" w:lineRule="auto"/>
              <w:jc w:val="both"/>
              <w:rPr>
                <w:rFonts w:ascii="Verdana" w:eastAsia="Calibri" w:hAnsi="Verdana" w:cs="Arial"/>
                <w:bCs/>
                <w:color w:val="000000" w:themeColor="text1"/>
              </w:rPr>
            </w:pPr>
            <w:r>
              <w:rPr>
                <w:rFonts w:ascii="Verdana" w:eastAsia="Calibri" w:hAnsi="Verdana" w:cs="Arial"/>
                <w:bCs/>
                <w:color w:val="000000" w:themeColor="text1"/>
              </w:rPr>
              <w:t xml:space="preserve">Ley 1150 de 2007. Artículo 2. </w:t>
            </w:r>
          </w:p>
          <w:p w14:paraId="1634497F" w14:textId="747A4295" w:rsidR="008636D0" w:rsidRDefault="008636D0" w:rsidP="00FC7DC6">
            <w:pPr>
              <w:pStyle w:val="Prrafodelista"/>
              <w:numPr>
                <w:ilvl w:val="0"/>
                <w:numId w:val="16"/>
              </w:numPr>
              <w:spacing w:after="120" w:line="276" w:lineRule="auto"/>
              <w:jc w:val="both"/>
              <w:rPr>
                <w:rFonts w:ascii="Verdana" w:eastAsia="Calibri" w:hAnsi="Verdana" w:cs="Arial"/>
                <w:bCs/>
                <w:color w:val="000000" w:themeColor="text1"/>
              </w:rPr>
            </w:pPr>
            <w:r>
              <w:rPr>
                <w:rFonts w:ascii="Verdana" w:eastAsia="Calibri" w:hAnsi="Verdana" w:cs="Arial"/>
                <w:bCs/>
                <w:color w:val="000000" w:themeColor="text1"/>
              </w:rPr>
              <w:t>Decreto 1082 de 2015. Artículo</w:t>
            </w:r>
            <w:r w:rsidR="001D184E">
              <w:rPr>
                <w:rFonts w:ascii="Verdana" w:eastAsia="Calibri" w:hAnsi="Verdana" w:cs="Arial"/>
                <w:bCs/>
                <w:color w:val="000000" w:themeColor="text1"/>
              </w:rPr>
              <w:t>s</w:t>
            </w:r>
            <w:r>
              <w:rPr>
                <w:rFonts w:ascii="Verdana" w:eastAsia="Calibri" w:hAnsi="Verdana" w:cs="Arial"/>
                <w:bCs/>
                <w:color w:val="000000" w:themeColor="text1"/>
              </w:rPr>
              <w:t xml:space="preserve"> </w:t>
            </w:r>
            <w:r w:rsidRPr="00185EE9">
              <w:rPr>
                <w:rFonts w:ascii="Verdana" w:eastAsia="Calibri" w:hAnsi="Verdana" w:cs="Arial"/>
                <w:bCs/>
                <w:color w:val="000000" w:themeColor="text1"/>
              </w:rPr>
              <w:t>2.2.1.1.1.3.1</w:t>
            </w:r>
            <w:r>
              <w:rPr>
                <w:rFonts w:ascii="Verdana" w:eastAsia="Calibri" w:hAnsi="Verdana" w:cs="Arial"/>
                <w:bCs/>
                <w:color w:val="000000" w:themeColor="text1"/>
              </w:rPr>
              <w:t xml:space="preserve">., </w:t>
            </w:r>
            <w:r w:rsidR="001D184E" w:rsidRPr="007A2CB0">
              <w:rPr>
                <w:rFonts w:ascii="Verdana" w:hAnsi="Verdana" w:cs="Arial"/>
              </w:rPr>
              <w:t>2.2.1.1.2.1.1</w:t>
            </w:r>
            <w:r w:rsidR="00540B85">
              <w:rPr>
                <w:rFonts w:ascii="Verdana" w:hAnsi="Verdana" w:cs="Arial"/>
              </w:rPr>
              <w:t xml:space="preserve">, </w:t>
            </w:r>
            <w:r w:rsidR="00540B85" w:rsidRPr="007A2CB0">
              <w:rPr>
                <w:rFonts w:ascii="Verdana" w:eastAsia="Calibri" w:hAnsi="Verdana" w:cs="Arial"/>
                <w:bCs/>
                <w:lang w:val="es-ES_tradnl"/>
              </w:rPr>
              <w:t>2.2.1.1.1.6.1</w:t>
            </w:r>
            <w:r w:rsidR="001D184E">
              <w:rPr>
                <w:rFonts w:ascii="Verdana" w:hAnsi="Verdana" w:cs="Arial"/>
              </w:rPr>
              <w:t xml:space="preserve">, </w:t>
            </w:r>
            <w:r w:rsidRPr="00185EE9">
              <w:rPr>
                <w:rFonts w:ascii="Verdana" w:eastAsia="Calibri" w:hAnsi="Verdana" w:cs="Arial"/>
                <w:bCs/>
                <w:color w:val="000000" w:themeColor="text1"/>
              </w:rPr>
              <w:t>2.2.1.1.2.2.2</w:t>
            </w:r>
            <w:r>
              <w:rPr>
                <w:rFonts w:ascii="Verdana" w:eastAsia="Calibri" w:hAnsi="Verdana" w:cs="Arial"/>
                <w:bCs/>
                <w:color w:val="000000" w:themeColor="text1"/>
              </w:rPr>
              <w:t>.</w:t>
            </w:r>
          </w:p>
          <w:p w14:paraId="6EF459F0" w14:textId="77777777" w:rsidR="008636D0" w:rsidRDefault="008636D0" w:rsidP="00FC7DC6">
            <w:pPr>
              <w:pStyle w:val="Prrafodelista"/>
              <w:numPr>
                <w:ilvl w:val="0"/>
                <w:numId w:val="16"/>
              </w:numPr>
              <w:spacing w:after="120" w:line="276" w:lineRule="auto"/>
              <w:jc w:val="both"/>
              <w:rPr>
                <w:rFonts w:ascii="Verdana" w:eastAsia="Calibri" w:hAnsi="Verdana" w:cs="Arial"/>
                <w:bCs/>
                <w:color w:val="000000" w:themeColor="text1"/>
              </w:rPr>
            </w:pPr>
            <w:r w:rsidRPr="008E2AA2">
              <w:rPr>
                <w:rFonts w:ascii="Verdana" w:eastAsia="Calibri" w:hAnsi="Verdana" w:cs="Arial"/>
                <w:bCs/>
                <w:color w:val="000000" w:themeColor="text1"/>
              </w:rPr>
              <w:t>Ley 2161 de 2021</w:t>
            </w:r>
            <w:r>
              <w:rPr>
                <w:rFonts w:ascii="Verdana" w:eastAsia="Calibri" w:hAnsi="Verdana" w:cs="Arial"/>
                <w:bCs/>
                <w:color w:val="000000" w:themeColor="text1"/>
              </w:rPr>
              <w:t xml:space="preserve">. Artículo 42. </w:t>
            </w:r>
          </w:p>
          <w:p w14:paraId="2F2B2CFF" w14:textId="77777777" w:rsidR="008636D0" w:rsidRDefault="008636D0" w:rsidP="00FC7DC6">
            <w:pPr>
              <w:pStyle w:val="Prrafodelista"/>
              <w:numPr>
                <w:ilvl w:val="0"/>
                <w:numId w:val="16"/>
              </w:numPr>
              <w:spacing w:after="120" w:line="276" w:lineRule="auto"/>
              <w:jc w:val="both"/>
              <w:rPr>
                <w:rFonts w:ascii="Verdana" w:eastAsia="Calibri" w:hAnsi="Verdana" w:cs="Arial"/>
                <w:bCs/>
                <w:color w:val="000000" w:themeColor="text1"/>
              </w:rPr>
            </w:pPr>
            <w:r>
              <w:rPr>
                <w:rFonts w:ascii="Verdana" w:eastAsia="Calibri" w:hAnsi="Verdana" w:cs="Arial"/>
                <w:bCs/>
                <w:color w:val="000000" w:themeColor="text1"/>
              </w:rPr>
              <w:t xml:space="preserve">Decreto 2497 de 2022. Artículo 1. </w:t>
            </w:r>
          </w:p>
          <w:p w14:paraId="266A0030" w14:textId="3CB92397" w:rsidR="008636D0" w:rsidRDefault="008636D0" w:rsidP="00FC7DC6">
            <w:pPr>
              <w:pStyle w:val="Prrafodelista"/>
              <w:numPr>
                <w:ilvl w:val="0"/>
                <w:numId w:val="16"/>
              </w:numPr>
              <w:spacing w:after="120" w:line="276" w:lineRule="auto"/>
              <w:jc w:val="both"/>
              <w:rPr>
                <w:rFonts w:ascii="Verdana" w:eastAsia="Calibri" w:hAnsi="Verdana" w:cs="Arial"/>
                <w:bCs/>
                <w:color w:val="000000" w:themeColor="text1"/>
              </w:rPr>
            </w:pPr>
            <w:r>
              <w:rPr>
                <w:rFonts w:ascii="Verdana" w:eastAsia="Calibri" w:hAnsi="Verdana" w:cs="Arial"/>
                <w:bCs/>
                <w:color w:val="000000" w:themeColor="text1"/>
              </w:rPr>
              <w:t xml:space="preserve">Decreto 2312 </w:t>
            </w:r>
            <w:r w:rsidR="00066EDE">
              <w:rPr>
                <w:rFonts w:ascii="Verdana" w:eastAsia="Calibri" w:hAnsi="Verdana" w:cs="Arial"/>
                <w:bCs/>
                <w:color w:val="000000" w:themeColor="text1"/>
              </w:rPr>
              <w:t>d</w:t>
            </w:r>
            <w:r>
              <w:rPr>
                <w:rFonts w:ascii="Verdana" w:eastAsia="Calibri" w:hAnsi="Verdana" w:cs="Arial"/>
                <w:bCs/>
                <w:color w:val="000000" w:themeColor="text1"/>
              </w:rPr>
              <w:t>e 2023.</w:t>
            </w:r>
          </w:p>
          <w:p w14:paraId="4B960B34" w14:textId="77777777" w:rsidR="008636D0" w:rsidRDefault="008636D0" w:rsidP="00FC7DC6">
            <w:pPr>
              <w:pStyle w:val="Prrafodelista"/>
              <w:numPr>
                <w:ilvl w:val="0"/>
                <w:numId w:val="16"/>
              </w:numPr>
              <w:spacing w:after="120" w:line="276" w:lineRule="auto"/>
              <w:jc w:val="both"/>
              <w:rPr>
                <w:rFonts w:ascii="Verdana" w:eastAsia="Calibri" w:hAnsi="Verdana" w:cs="Arial"/>
                <w:bCs/>
                <w:color w:val="000000" w:themeColor="text1"/>
              </w:rPr>
            </w:pPr>
            <w:r w:rsidRPr="00C7714C">
              <w:rPr>
                <w:rFonts w:ascii="Verdana" w:eastAsia="Calibri" w:hAnsi="Verdana" w:cs="Arial"/>
                <w:bCs/>
                <w:color w:val="000000" w:themeColor="text1"/>
              </w:rPr>
              <w:t xml:space="preserve">Consejo de Estado. Sala de lo Contencioso Administrativo. Sección Tercera. Subsección A. Sentencia del 23 de julio de 2015. </w:t>
            </w:r>
            <w:proofErr w:type="spellStart"/>
            <w:r w:rsidRPr="00C7714C">
              <w:rPr>
                <w:rFonts w:ascii="Verdana" w:eastAsia="Calibri" w:hAnsi="Verdana" w:cs="Arial"/>
                <w:bCs/>
                <w:color w:val="000000" w:themeColor="text1"/>
              </w:rPr>
              <w:t>Exp</w:t>
            </w:r>
            <w:proofErr w:type="spellEnd"/>
            <w:r w:rsidRPr="00C7714C">
              <w:rPr>
                <w:rFonts w:ascii="Verdana" w:eastAsia="Calibri" w:hAnsi="Verdana" w:cs="Arial"/>
                <w:bCs/>
                <w:color w:val="000000" w:themeColor="text1"/>
              </w:rPr>
              <w:t>. 36.805. C.P: Hernán Andrade Rincón.</w:t>
            </w:r>
          </w:p>
          <w:p w14:paraId="56389498" w14:textId="77777777" w:rsidR="008636D0" w:rsidRDefault="008636D0" w:rsidP="00FC7DC6">
            <w:pPr>
              <w:pStyle w:val="Prrafodelista"/>
              <w:numPr>
                <w:ilvl w:val="0"/>
                <w:numId w:val="16"/>
              </w:numPr>
              <w:spacing w:after="120" w:line="276" w:lineRule="auto"/>
              <w:jc w:val="both"/>
              <w:rPr>
                <w:rFonts w:ascii="Verdana" w:eastAsia="Calibri" w:hAnsi="Verdana" w:cs="Arial"/>
                <w:bCs/>
                <w:color w:val="000000" w:themeColor="text1"/>
              </w:rPr>
            </w:pPr>
            <w:r w:rsidRPr="00C7714C">
              <w:rPr>
                <w:rFonts w:ascii="Verdana" w:eastAsia="Calibri" w:hAnsi="Verdana" w:cs="Arial"/>
                <w:bCs/>
                <w:color w:val="000000" w:themeColor="text1"/>
              </w:rPr>
              <w:t xml:space="preserve">Consejo de Estado. Sala de lo Contencioso Administrativo. Sección Tercera. Subsección C. Sentencia del 17 de junio de 2024. Rad. 69575. C.P. Martín Bermúdez Muñoz. </w:t>
            </w:r>
          </w:p>
          <w:p w14:paraId="077642B2" w14:textId="5BA4E6DD" w:rsidR="00445E76" w:rsidRDefault="00445E76" w:rsidP="00FC7DC6">
            <w:pPr>
              <w:pStyle w:val="Prrafodelista"/>
              <w:numPr>
                <w:ilvl w:val="0"/>
                <w:numId w:val="16"/>
              </w:numPr>
              <w:spacing w:after="120" w:line="276" w:lineRule="auto"/>
              <w:jc w:val="both"/>
              <w:rPr>
                <w:rFonts w:ascii="Verdana" w:eastAsia="Calibri" w:hAnsi="Verdana" w:cs="Arial"/>
                <w:bCs/>
                <w:color w:val="000000" w:themeColor="text1"/>
              </w:rPr>
            </w:pPr>
            <w:r w:rsidRPr="00445E76">
              <w:rPr>
                <w:rFonts w:ascii="Verdana" w:eastAsia="Calibri" w:hAnsi="Verdana" w:cs="Arial"/>
                <w:bCs/>
                <w:color w:val="000000" w:themeColor="text1"/>
              </w:rPr>
              <w:t xml:space="preserve">Consejo de Estado. Sala de lo Contencioso Administrativo. Sección Tercera. Subsección B. Sentencia del 27 de abril de 2011. </w:t>
            </w:r>
            <w:proofErr w:type="spellStart"/>
            <w:r w:rsidRPr="00445E76">
              <w:rPr>
                <w:rFonts w:ascii="Verdana" w:eastAsia="Calibri" w:hAnsi="Verdana" w:cs="Arial"/>
                <w:bCs/>
                <w:color w:val="000000" w:themeColor="text1"/>
              </w:rPr>
              <w:t>Exp</w:t>
            </w:r>
            <w:proofErr w:type="spellEnd"/>
            <w:r w:rsidRPr="00445E76">
              <w:rPr>
                <w:rFonts w:ascii="Verdana" w:eastAsia="Calibri" w:hAnsi="Verdana" w:cs="Arial"/>
                <w:bCs/>
                <w:color w:val="000000" w:themeColor="text1"/>
              </w:rPr>
              <w:t>. 18.293. C.P. Ruth Stella Correa Palacio.</w:t>
            </w:r>
          </w:p>
          <w:p w14:paraId="6EFFD8DC" w14:textId="516D6273" w:rsidR="00EB39C3" w:rsidRDefault="00EB39C3" w:rsidP="00FC7DC6">
            <w:pPr>
              <w:pStyle w:val="Prrafodelista"/>
              <w:numPr>
                <w:ilvl w:val="0"/>
                <w:numId w:val="16"/>
              </w:numPr>
              <w:spacing w:after="120" w:line="276" w:lineRule="auto"/>
              <w:jc w:val="both"/>
              <w:rPr>
                <w:rFonts w:ascii="Verdana" w:eastAsia="Calibri" w:hAnsi="Verdana" w:cs="Arial"/>
                <w:bCs/>
                <w:color w:val="000000" w:themeColor="text1"/>
              </w:rPr>
            </w:pPr>
            <w:r w:rsidRPr="00EB39C3">
              <w:rPr>
                <w:rFonts w:ascii="Verdana" w:eastAsia="Calibri" w:hAnsi="Verdana" w:cs="Arial"/>
                <w:bCs/>
                <w:color w:val="000000" w:themeColor="text1"/>
              </w:rPr>
              <w:t>Consejo de Estado. Sala de lo Contencioso Administrativo. Sección Tercera. Subsección C. Sentencia del 24 de abril de 2013. Radicado: 68001-23-15-000-1998-01743-01 (27315). C.P: Jaime Orlando Santofimio Gamboa.</w:t>
            </w:r>
          </w:p>
          <w:p w14:paraId="53A968BA" w14:textId="77777777" w:rsidR="008636D0" w:rsidRDefault="008636D0" w:rsidP="00FC7DC6">
            <w:pPr>
              <w:pStyle w:val="Prrafodelista"/>
              <w:numPr>
                <w:ilvl w:val="0"/>
                <w:numId w:val="16"/>
              </w:numPr>
              <w:spacing w:after="120" w:line="276" w:lineRule="auto"/>
              <w:jc w:val="both"/>
              <w:rPr>
                <w:rFonts w:ascii="Verdana" w:eastAsia="Calibri" w:hAnsi="Verdana" w:cs="Arial"/>
                <w:bCs/>
                <w:color w:val="000000" w:themeColor="text1"/>
              </w:rPr>
            </w:pPr>
            <w:r w:rsidRPr="00C7714C">
              <w:rPr>
                <w:rFonts w:ascii="Verdana" w:eastAsia="Calibri" w:hAnsi="Verdana" w:cs="Arial"/>
                <w:bCs/>
                <w:color w:val="000000" w:themeColor="text1"/>
              </w:rPr>
              <w:t>Corte Constitucional. Sentencia C-395 de 2022. M.P: Natalia Ángel Cabo.</w:t>
            </w:r>
          </w:p>
          <w:p w14:paraId="25239BC9" w14:textId="77777777" w:rsidR="008636D0" w:rsidRDefault="008636D0" w:rsidP="00FC7DC6">
            <w:pPr>
              <w:pStyle w:val="Prrafodelista"/>
              <w:numPr>
                <w:ilvl w:val="0"/>
                <w:numId w:val="16"/>
              </w:numPr>
              <w:spacing w:after="120" w:line="276" w:lineRule="auto"/>
              <w:jc w:val="both"/>
              <w:rPr>
                <w:rFonts w:ascii="Verdana" w:eastAsia="Calibri" w:hAnsi="Verdana" w:cs="Arial"/>
                <w:bCs/>
                <w:color w:val="000000" w:themeColor="text1"/>
              </w:rPr>
            </w:pPr>
            <w:r w:rsidRPr="00C7714C">
              <w:rPr>
                <w:rFonts w:ascii="Verdana" w:eastAsia="Calibri" w:hAnsi="Verdana" w:cs="Arial"/>
                <w:bCs/>
                <w:color w:val="000000" w:themeColor="text1"/>
              </w:rPr>
              <w:t>DÁVILA VINUEZA, Luis Guillermo. Régimen jurídico de la contratación estatal. Tercera Edición. Bogotá: Legis, 2016.</w:t>
            </w:r>
          </w:p>
          <w:p w14:paraId="621C3D4B" w14:textId="77777777" w:rsidR="008636D0" w:rsidRDefault="008636D0" w:rsidP="00FC7DC6">
            <w:pPr>
              <w:pStyle w:val="Prrafodelista"/>
              <w:numPr>
                <w:ilvl w:val="0"/>
                <w:numId w:val="16"/>
              </w:numPr>
              <w:spacing w:after="120" w:line="276" w:lineRule="auto"/>
              <w:jc w:val="both"/>
              <w:rPr>
                <w:rFonts w:ascii="Verdana" w:eastAsia="Calibri" w:hAnsi="Verdana" w:cs="Arial"/>
                <w:bCs/>
                <w:color w:val="000000" w:themeColor="text1"/>
              </w:rPr>
            </w:pPr>
            <w:r w:rsidRPr="00C7714C">
              <w:rPr>
                <w:rFonts w:ascii="Verdana" w:eastAsia="Calibri" w:hAnsi="Verdana" w:cs="Arial"/>
                <w:bCs/>
                <w:color w:val="000000" w:themeColor="text1"/>
              </w:rPr>
              <w:t>CLARO SOLAR, Luis. Explicaciones de derecho civil chileno y comparado. Volumen I. Tomo I. Santiago: Editorial Jurídica de Chile, 2013.</w:t>
            </w:r>
          </w:p>
          <w:p w14:paraId="3580A451" w14:textId="77777777" w:rsidR="008636D0" w:rsidRPr="00C91AAF" w:rsidRDefault="008636D0" w:rsidP="00FC7DC6">
            <w:pPr>
              <w:pStyle w:val="Prrafodelista"/>
              <w:numPr>
                <w:ilvl w:val="0"/>
                <w:numId w:val="16"/>
              </w:numPr>
              <w:spacing w:after="120" w:line="276" w:lineRule="auto"/>
              <w:jc w:val="both"/>
              <w:rPr>
                <w:rFonts w:ascii="Verdana" w:eastAsia="Calibri" w:hAnsi="Verdana" w:cs="Arial"/>
                <w:bCs/>
                <w:color w:val="000000" w:themeColor="text1"/>
              </w:rPr>
            </w:pPr>
            <w:r>
              <w:rPr>
                <w:rFonts w:ascii="Verdana" w:eastAsia="Calibri" w:hAnsi="Verdana" w:cs="Arial"/>
                <w:bCs/>
                <w:color w:val="000000" w:themeColor="text1"/>
              </w:rPr>
              <w:t xml:space="preserve">Circular 022 de 2025. </w:t>
            </w:r>
            <w:r w:rsidRPr="00C7714C">
              <w:rPr>
                <w:rFonts w:ascii="Verdana" w:hAnsi="Verdana"/>
              </w:rPr>
              <w:t xml:space="preserve">Disponible en </w:t>
            </w:r>
            <w:hyperlink r:id="rId12" w:history="1">
              <w:r w:rsidRPr="00C7714C">
                <w:rPr>
                  <w:rStyle w:val="Hipervnculo"/>
                  <w:rFonts w:ascii="Verdana" w:hAnsi="Verdana"/>
                  <w:lang w:val="es-CO"/>
                </w:rPr>
                <w:t>Superfinanciera divulga las tarifas máximas del SOAT para 2026</w:t>
              </w:r>
            </w:hyperlink>
          </w:p>
          <w:p w14:paraId="706846D3" w14:textId="6D4A86FC" w:rsidR="009E53AD" w:rsidRPr="00EB39C3" w:rsidRDefault="00C91AAF" w:rsidP="00EB39C3">
            <w:pPr>
              <w:pStyle w:val="Prrafodelista"/>
              <w:numPr>
                <w:ilvl w:val="0"/>
                <w:numId w:val="16"/>
              </w:numPr>
              <w:spacing w:after="120" w:line="276" w:lineRule="auto"/>
              <w:jc w:val="both"/>
              <w:rPr>
                <w:rFonts w:ascii="Verdana" w:eastAsia="Calibri" w:hAnsi="Verdana" w:cs="Arial"/>
                <w:bCs/>
                <w:color w:val="000000" w:themeColor="text1"/>
              </w:rPr>
            </w:pPr>
            <w:r w:rsidRPr="007A2CB0">
              <w:rPr>
                <w:rFonts w:ascii="Verdana" w:eastAsia="Calibri" w:hAnsi="Verdana" w:cs="Arial"/>
                <w:bCs/>
                <w:lang w:val="es-ES_tradnl"/>
              </w:rPr>
              <w:t>Guía de Elaboración del Estudio del Sector</w:t>
            </w:r>
            <w:r>
              <w:rPr>
                <w:rFonts w:ascii="Verdana" w:eastAsia="Calibri" w:hAnsi="Verdana" w:cs="Arial"/>
                <w:bCs/>
                <w:lang w:val="es-ES_tradnl"/>
              </w:rPr>
              <w:t xml:space="preserve"> </w:t>
            </w:r>
            <w:r w:rsidR="009E53AD" w:rsidRPr="00C91AAF">
              <w:rPr>
                <w:rFonts w:ascii="Verdana" w:hAnsi="Verdana" w:cs="Arial"/>
                <w:lang w:val="es-CO"/>
              </w:rPr>
              <w:t xml:space="preserve">Disponible en </w:t>
            </w:r>
            <w:hyperlink r:id="rId13" w:history="1">
              <w:r w:rsidR="00EB39C3" w:rsidRPr="006320FD">
                <w:rPr>
                  <w:rStyle w:val="Hipervnculo"/>
                  <w:rFonts w:ascii="Verdana" w:hAnsi="Verdana" w:cs="Arial"/>
                  <w:lang w:val="es-CO"/>
                </w:rPr>
                <w:t>https://colombiacompra.gov.co/wp-content/uploads/2025/08/Guia-para-la-elaboracion-de-estudios-del-sector-Original-Firmado.pdf</w:t>
              </w:r>
              <w:r w:rsidR="00EB39C3" w:rsidRPr="006320FD">
                <w:rPr>
                  <w:rStyle w:val="Hipervnculo"/>
                  <w:rFonts w:ascii="Verdana" w:hAnsi="Verdana" w:cs="Arial"/>
                  <w:sz w:val="14"/>
                  <w:szCs w:val="14"/>
                </w:rPr>
                <w:t xml:space="preserve"> </w:t>
              </w:r>
            </w:hyperlink>
          </w:p>
        </w:tc>
      </w:tr>
    </w:tbl>
    <w:p w14:paraId="122A564F" w14:textId="77777777" w:rsidR="008636D0" w:rsidRDefault="008636D0" w:rsidP="008636D0">
      <w:pPr>
        <w:tabs>
          <w:tab w:val="left" w:pos="142"/>
          <w:tab w:val="left" w:pos="284"/>
          <w:tab w:val="left" w:pos="3828"/>
        </w:tabs>
        <w:spacing w:after="0" w:line="276" w:lineRule="auto"/>
        <w:jc w:val="both"/>
        <w:rPr>
          <w:rFonts w:ascii="Verdana" w:eastAsia="Century Gothic" w:hAnsi="Verdana" w:cs="Century Gothic"/>
          <w:b/>
          <w:bCs/>
        </w:rPr>
      </w:pPr>
    </w:p>
    <w:p w14:paraId="7D3DDE5A" w14:textId="77777777" w:rsidR="008636D0" w:rsidRPr="0091091D" w:rsidRDefault="008636D0" w:rsidP="008636D0">
      <w:pPr>
        <w:tabs>
          <w:tab w:val="left" w:pos="142"/>
          <w:tab w:val="left" w:pos="284"/>
          <w:tab w:val="left" w:pos="3828"/>
        </w:tabs>
        <w:spacing w:after="0" w:line="276" w:lineRule="auto"/>
        <w:jc w:val="both"/>
        <w:rPr>
          <w:rFonts w:ascii="Verdana" w:eastAsia="Century Gothic" w:hAnsi="Verdana" w:cs="Century Gothic"/>
          <w:b/>
          <w:bCs/>
        </w:rPr>
      </w:pPr>
      <w:r w:rsidRPr="0091091D">
        <w:rPr>
          <w:rFonts w:ascii="Verdana" w:eastAsia="Century Gothic" w:hAnsi="Verdana" w:cs="Century Gothic"/>
          <w:b/>
          <w:bCs/>
        </w:rPr>
        <w:t>5. Doctrina de la Agencia Nacional de Contratación Pública:</w:t>
      </w:r>
    </w:p>
    <w:p w14:paraId="498811BD" w14:textId="77777777" w:rsidR="008636D0" w:rsidRDefault="008636D0" w:rsidP="008636D0">
      <w:pPr>
        <w:widowControl w:val="0"/>
        <w:autoSpaceDE w:val="0"/>
        <w:autoSpaceDN w:val="0"/>
        <w:spacing w:after="0" w:line="240" w:lineRule="auto"/>
        <w:jc w:val="both"/>
        <w:rPr>
          <w:rFonts w:ascii="Verdana" w:eastAsia="Calibri" w:hAnsi="Verdana" w:cs="Arial"/>
          <w:shd w:val="clear" w:color="auto" w:fill="FFFFFF"/>
        </w:rPr>
      </w:pPr>
    </w:p>
    <w:p w14:paraId="041D60FF" w14:textId="738FFB38" w:rsidR="008636D0" w:rsidRPr="0007340E" w:rsidRDefault="008636D0" w:rsidP="008636D0">
      <w:pPr>
        <w:widowControl w:val="0"/>
        <w:autoSpaceDE w:val="0"/>
        <w:autoSpaceDN w:val="0"/>
        <w:spacing w:after="120" w:line="276" w:lineRule="auto"/>
        <w:jc w:val="both"/>
        <w:rPr>
          <w:rFonts w:ascii="Verdana" w:eastAsia="Calibri" w:hAnsi="Verdana" w:cs="Arial"/>
          <w:shd w:val="clear" w:color="auto" w:fill="FFFFFF"/>
        </w:rPr>
      </w:pPr>
      <w:r w:rsidRPr="00BD657D">
        <w:rPr>
          <w:rFonts w:ascii="Verdana" w:eastAsia="Calibri" w:hAnsi="Verdana" w:cs="Arial"/>
          <w:shd w:val="clear" w:color="auto" w:fill="FFFFFF"/>
        </w:rPr>
        <w:t xml:space="preserve">La Agencia Nacional de Contratación Pública – Colombia Compra Eficiente se </w:t>
      </w:r>
      <w:r w:rsidRPr="00BD657D">
        <w:rPr>
          <w:rFonts w:ascii="Verdana" w:hAnsi="Verdana" w:cs="Arial"/>
          <w:shd w:val="clear" w:color="auto" w:fill="FFFFFF"/>
        </w:rPr>
        <w:t>ha pronunciado sobre la definición de los bienes y servicios de características técnicas uniformes en los Conceptos C-678 del 24 de noviembre de 2020, C-024 del 24 de febrero de 2021, C-123 del 5 de abril de 2021, C-565 del 12 de se</w:t>
      </w:r>
      <w:r w:rsidRPr="00B77306">
        <w:rPr>
          <w:rFonts w:ascii="Verdana" w:hAnsi="Verdana" w:cs="Arial"/>
          <w:shd w:val="clear" w:color="auto" w:fill="FFFFFF"/>
        </w:rPr>
        <w:t>ptiembre de 2022, C-669 del 18 de octubre de 2022, C-850 del 16 de diciembre de 2022, C-905 del 28 de diciembre de 2022, C-456 del 27 de octubre de 2023, , C-749 del 12 de noviembre de 2024</w:t>
      </w:r>
      <w:r>
        <w:rPr>
          <w:rFonts w:ascii="Verdana" w:hAnsi="Verdana" w:cs="Arial"/>
          <w:shd w:val="clear" w:color="auto" w:fill="FFFFFF"/>
        </w:rPr>
        <w:t>,</w:t>
      </w:r>
      <w:r w:rsidRPr="00B77306">
        <w:rPr>
          <w:rFonts w:ascii="Verdana" w:hAnsi="Verdana" w:cs="Arial"/>
          <w:shd w:val="clear" w:color="auto" w:fill="FFFFFF"/>
        </w:rPr>
        <w:t xml:space="preserve"> C-787 del 19 de noviembre de 2024</w:t>
      </w:r>
      <w:r>
        <w:rPr>
          <w:rFonts w:ascii="Verdana" w:hAnsi="Verdana" w:cs="Arial"/>
          <w:shd w:val="clear" w:color="auto" w:fill="FFFFFF"/>
        </w:rPr>
        <w:t xml:space="preserve">, C- 977 del C 2 de enero de 2025, </w:t>
      </w:r>
      <w:r w:rsidRPr="00B77306">
        <w:rPr>
          <w:rFonts w:ascii="Verdana" w:hAnsi="Verdana" w:cs="Arial"/>
          <w:shd w:val="clear" w:color="auto" w:fill="FFFFFF"/>
        </w:rPr>
        <w:t>C-597 del 8 de noviembre de 202</w:t>
      </w:r>
      <w:r>
        <w:rPr>
          <w:rFonts w:ascii="Verdana" w:hAnsi="Verdana" w:cs="Arial"/>
          <w:shd w:val="clear" w:color="auto" w:fill="FFFFFF"/>
        </w:rPr>
        <w:t>5, C 540 de 2025</w:t>
      </w:r>
      <w:r>
        <w:rPr>
          <w:rFonts w:ascii="Verdana" w:eastAsia="Calibri" w:hAnsi="Verdana" w:cs="Arial"/>
          <w:shd w:val="clear" w:color="auto" w:fill="FFFFFF"/>
        </w:rPr>
        <w:t>,</w:t>
      </w:r>
      <w:r w:rsidRPr="0029645A">
        <w:rPr>
          <w:rFonts w:ascii="Verdana" w:eastAsia="Calibri" w:hAnsi="Verdana" w:cs="Arial"/>
          <w:shd w:val="clear" w:color="auto" w:fill="FFFFFF"/>
        </w:rPr>
        <w:t xml:space="preserve"> </w:t>
      </w:r>
      <w:r>
        <w:rPr>
          <w:rFonts w:ascii="Verdana" w:eastAsia="Calibri" w:hAnsi="Verdana" w:cs="Arial"/>
          <w:shd w:val="clear" w:color="auto" w:fill="FFFFFF"/>
        </w:rPr>
        <w:t xml:space="preserve">C-712 del 10 de junio de 2026, </w:t>
      </w:r>
      <w:r w:rsidRPr="0029645A">
        <w:rPr>
          <w:rFonts w:ascii="Verdana" w:eastAsia="Calibri" w:hAnsi="Verdana" w:cs="Arial"/>
          <w:shd w:val="clear" w:color="auto" w:fill="FFFFFF"/>
        </w:rPr>
        <w:t>entre otros.</w:t>
      </w:r>
      <w:r w:rsidR="001A352B">
        <w:rPr>
          <w:rFonts w:ascii="Verdana" w:eastAsia="Calibri" w:hAnsi="Verdana" w:cs="Arial"/>
          <w:shd w:val="clear" w:color="auto" w:fill="FFFFFF"/>
        </w:rPr>
        <w:t xml:space="preserve"> </w:t>
      </w:r>
      <w:r w:rsidRPr="00622C01">
        <w:rPr>
          <w:rFonts w:ascii="Verdana" w:hAnsi="Verdana" w:cs="Arial"/>
        </w:rPr>
        <w:t xml:space="preserve">Estos y otros </w:t>
      </w:r>
      <w:r w:rsidRPr="00622C01">
        <w:rPr>
          <w:rFonts w:ascii="Verdana" w:hAnsi="Verdana"/>
        </w:rPr>
        <w:t>conceptos se encuentran disponibles para consulta en el Sistema de relatoría de la Agencia, al cual se puede acceder a través del siguiente enlace:</w:t>
      </w:r>
      <w:r w:rsidRPr="00622C01">
        <w:rPr>
          <w:rFonts w:ascii="Verdana" w:hAnsi="Verdana" w:cs="Arial"/>
          <w:shd w:val="clear" w:color="auto" w:fill="FFFFFF"/>
        </w:rPr>
        <w:t xml:space="preserve"> </w:t>
      </w:r>
      <w:hyperlink r:id="rId14" w:history="1">
        <w:r w:rsidRPr="00622C01">
          <w:rPr>
            <w:rFonts w:ascii="Verdana" w:hAnsi="Verdana" w:cs="Arial"/>
            <w:color w:val="0563C1" w:themeColor="hyperlink"/>
            <w:u w:val="single"/>
            <w:shd w:val="clear" w:color="auto" w:fill="FFFFFF"/>
          </w:rPr>
          <w:t>https://relatoria.colombiacompra.gov.co/busqueda/conceptos</w:t>
        </w:r>
      </w:hyperlink>
      <w:r w:rsidRPr="00622C01">
        <w:rPr>
          <w:rFonts w:ascii="Verdana" w:hAnsi="Verdana" w:cs="Arial"/>
          <w:shd w:val="clear" w:color="auto" w:fill="FFFFFF"/>
        </w:rPr>
        <w:t>.</w:t>
      </w:r>
      <w:r w:rsidRPr="00147D6A">
        <w:rPr>
          <w:rFonts w:ascii="Verdana" w:hAnsi="Verdana" w:cs="Arial"/>
          <w:color w:val="FF0000"/>
          <w:shd w:val="clear" w:color="auto" w:fill="FFFFFF"/>
        </w:rPr>
        <w:t xml:space="preserve"> </w:t>
      </w:r>
    </w:p>
    <w:p w14:paraId="761EC83C" w14:textId="77777777" w:rsidR="008636D0" w:rsidRDefault="008636D0" w:rsidP="008636D0">
      <w:pPr>
        <w:widowControl w:val="0"/>
        <w:autoSpaceDE w:val="0"/>
        <w:autoSpaceDN w:val="0"/>
        <w:spacing w:after="120" w:line="276" w:lineRule="auto"/>
        <w:jc w:val="both"/>
      </w:pPr>
      <w:r w:rsidRPr="00147D6A">
        <w:rPr>
          <w:rFonts w:ascii="Verdana" w:hAnsi="Verdana"/>
        </w:rPr>
        <w:t>La sostenibilidad no es una opción, es una obligación. Por ello</w:t>
      </w:r>
      <w:r w:rsidRPr="009A385A">
        <w:rPr>
          <w:rFonts w:ascii="Verdana" w:hAnsi="Verdana"/>
        </w:rPr>
        <w:t xml:space="preserve">,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5" w:tgtFrame="_new" w:history="1">
        <w:r w:rsidRPr="008746BD">
          <w:rPr>
            <w:rStyle w:val="Hipervnculo"/>
            <w:rFonts w:ascii="Verdana" w:hAnsi="Verdana"/>
          </w:rPr>
          <w:t>https://formacionvirtual.colombiacompra.gov.co/mod/page/view.php?id=3718</w:t>
        </w:r>
      </w:hyperlink>
    </w:p>
    <w:p w14:paraId="15F4AF71" w14:textId="77777777" w:rsidR="008636D0" w:rsidRDefault="008636D0" w:rsidP="008636D0">
      <w:pPr>
        <w:widowControl w:val="0"/>
        <w:autoSpaceDE w:val="0"/>
        <w:autoSpaceDN w:val="0"/>
        <w:spacing w:after="120" w:line="276" w:lineRule="auto"/>
        <w:jc w:val="both"/>
        <w:rPr>
          <w:rStyle w:val="Hipervnculo"/>
          <w:rFonts w:ascii="Verdana" w:hAnsi="Verdana" w:cs="Arial"/>
          <w:color w:val="auto"/>
          <w:u w:val="none"/>
          <w:shd w:val="clear" w:color="auto" w:fill="FFFFFF"/>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da</w:t>
      </w:r>
      <w:r>
        <w:rPr>
          <w:rFonts w:ascii="Verdana" w:hAnsi="Verdana"/>
        </w:rPr>
        <w:t>do</w:t>
      </w:r>
      <w:r w:rsidRPr="00635F16">
        <w:rPr>
          <w:rFonts w:ascii="Verdana" w:hAnsi="Verdana"/>
        </w:rPr>
        <w:t xml:space="preserve">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0E1EA7">
        <w:rPr>
          <w:rFonts w:ascii="Verdana" w:hAnsi="Verdana"/>
          <w:b/>
          <w:bCs/>
        </w:rPr>
        <w:t>Resoluciones 539, 540, 541, 952 y 953 de 2025</w:t>
      </w:r>
      <w:r w:rsidRPr="000E1EA7">
        <w:rPr>
          <w:rFonts w:ascii="Verdana" w:hAnsi="Verdana"/>
        </w:rPr>
        <w:t xml:space="preserve">, </w:t>
      </w:r>
      <w:r w:rsidRPr="000E1EA7">
        <w:rPr>
          <w:rFonts w:ascii="Verdana" w:hAnsi="Verdana"/>
          <w:b/>
          <w:bCs/>
        </w:rPr>
        <w:t>mediante las cuales adoptó Documentos Tipo</w:t>
      </w:r>
      <w:r w:rsidRPr="000E1EA7">
        <w:rPr>
          <w:rFonts w:ascii="Verdana" w:hAnsi="Verdana"/>
        </w:rPr>
        <w:t xml:space="preserve"> para las modalidades de selección de</w:t>
      </w:r>
      <w:r w:rsidRPr="000E1EA7">
        <w:rPr>
          <w:rFonts w:ascii="Verdana" w:hAnsi="Verdana"/>
          <w:b/>
          <w:bCs/>
        </w:rPr>
        <w:t xml:space="preserve"> licitación pública (versión 2), selección abreviada de menor cuantía, mínima cuantía, consultoría e interventoría</w:t>
      </w:r>
      <w:r w:rsidRPr="000E1EA7">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6" w:tgtFrame="_new" w:history="1">
        <w:r w:rsidRPr="000E1EA7">
          <w:rPr>
            <w:rStyle w:val="Hipervnculo"/>
            <w:rFonts w:ascii="Verdana" w:hAnsi="Verdana"/>
          </w:rPr>
          <w:t>https://www.colombiacompra.gov.co/normativa-y-relatoria/documentos-tipo</w:t>
        </w:r>
      </w:hyperlink>
    </w:p>
    <w:p w14:paraId="66FB4F73" w14:textId="77777777" w:rsidR="008636D0" w:rsidRPr="00847D72" w:rsidRDefault="008636D0" w:rsidP="008636D0">
      <w:pPr>
        <w:widowControl w:val="0"/>
        <w:autoSpaceDE w:val="0"/>
        <w:autoSpaceDN w:val="0"/>
        <w:spacing w:after="120" w:line="276" w:lineRule="auto"/>
        <w:jc w:val="both"/>
        <w:rPr>
          <w:rStyle w:val="Hipervnculo"/>
          <w:rFonts w:ascii="Verdana" w:hAnsi="Verdana" w:cs="Arial"/>
          <w:color w:val="auto"/>
          <w:u w:val="none"/>
          <w:shd w:val="clear" w:color="auto" w:fill="FFFFFF"/>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8746BD">
        <w:rPr>
          <w:rFonts w:ascii="Verdana" w:hAnsi="Verdana"/>
        </w:rPr>
        <w:t>Además se incluyeron lineamientos que orientan la implementación de los criterios ambientales y sociales incluidos en los documentos tipo: Consulta la guía aquí:</w:t>
      </w:r>
      <w:r w:rsidRPr="008746BD">
        <w:rPr>
          <w:rFonts w:ascii="Verdana" w:hAnsi="Verdana"/>
        </w:rPr>
        <w:br/>
      </w:r>
      <w:hyperlink r:id="rId17" w:tgtFrame="_new" w:history="1">
        <w:r w:rsidRPr="008746BD">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5223E0F8" w14:textId="77777777" w:rsidR="008636D0" w:rsidRPr="007A3DD4" w:rsidRDefault="008636D0" w:rsidP="008636D0">
      <w:pPr>
        <w:widowControl w:val="0"/>
        <w:autoSpaceDE w:val="0"/>
        <w:autoSpaceDN w:val="0"/>
        <w:spacing w:after="120" w:line="276" w:lineRule="auto"/>
        <w:jc w:val="both"/>
        <w:rPr>
          <w:rFonts w:ascii="Verdana" w:hAnsi="Verdana" w:cs="Arial"/>
        </w:rPr>
      </w:pPr>
      <w:r w:rsidRPr="001A68FB">
        <w:rPr>
          <w:rFonts w:ascii="Verdana" w:hAnsi="Verdana"/>
        </w:rPr>
        <w:t>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w:t>
      </w:r>
      <w:r w:rsidRPr="00116940">
        <w:rPr>
          <w:rFonts w:ascii="Verdana" w:hAnsi="Verdana"/>
        </w:rPr>
        <w:t xml:space="preserve"> </w:t>
      </w:r>
    </w:p>
    <w:p w14:paraId="457A5D0A" w14:textId="77777777" w:rsidR="008636D0" w:rsidRPr="00116940" w:rsidRDefault="008636D0" w:rsidP="008636D0">
      <w:pPr>
        <w:pStyle w:val="Prrafodelista"/>
        <w:numPr>
          <w:ilvl w:val="0"/>
          <w:numId w:val="15"/>
        </w:numPr>
        <w:spacing w:after="0" w:line="276" w:lineRule="auto"/>
        <w:contextualSpacing w:val="0"/>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02502566" w14:textId="77777777" w:rsidR="008636D0" w:rsidRPr="00116940" w:rsidRDefault="008636D0" w:rsidP="008636D0">
      <w:pPr>
        <w:pStyle w:val="Prrafodelista"/>
        <w:numPr>
          <w:ilvl w:val="0"/>
          <w:numId w:val="15"/>
        </w:numPr>
        <w:spacing w:after="0" w:line="276" w:lineRule="auto"/>
        <w:contextualSpacing w:val="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57B76896" w14:textId="77777777" w:rsidR="008636D0" w:rsidRPr="00116940" w:rsidRDefault="008636D0" w:rsidP="008636D0">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3234149E" w14:textId="77777777" w:rsidR="008636D0" w:rsidRPr="00DD2E5C" w:rsidRDefault="008636D0" w:rsidP="008636D0">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1307BEE1" w14:textId="77777777" w:rsidR="008636D0" w:rsidRDefault="008636D0" w:rsidP="008636D0">
      <w:pPr>
        <w:spacing w:after="0" w:line="276" w:lineRule="auto"/>
        <w:jc w:val="both"/>
        <w:rPr>
          <w:rFonts w:ascii="Verdana" w:hAnsi="Verdana"/>
        </w:rPr>
      </w:pPr>
    </w:p>
    <w:p w14:paraId="2B326A2C" w14:textId="77777777" w:rsidR="008636D0" w:rsidRDefault="008636D0" w:rsidP="008636D0">
      <w:pPr>
        <w:spacing w:after="0" w:line="276" w:lineRule="auto"/>
        <w:jc w:val="both"/>
        <w:rPr>
          <w:rFonts w:ascii="Verdana" w:hAnsi="Verdana"/>
        </w:rPr>
      </w:pPr>
      <w:r w:rsidRPr="00116940">
        <w:rPr>
          <w:rFonts w:ascii="Verdana" w:hAnsi="Verdana"/>
        </w:rPr>
        <w:t>Evalúa el servicio que ofrece la Agencia por el canal de atención de PQRSD en el siguiente enlace:</w:t>
      </w:r>
      <w:r>
        <w:rPr>
          <w:rFonts w:ascii="Verdana" w:hAnsi="Verdana"/>
        </w:rPr>
        <w:t xml:space="preserve"> </w:t>
      </w:r>
      <w:hyperlink r:id="rId20" w:history="1">
        <w:r w:rsidRPr="008746BD">
          <w:rPr>
            <w:rStyle w:val="Hipervnculo"/>
            <w:rFonts w:ascii="Verdana" w:eastAsia="Verdana" w:hAnsi="Verdana" w:cs="Verdana"/>
            <w:lang w:val="es-MX"/>
          </w:rPr>
          <w:t>https://forms.office.com/r/pPHyWVs2SZ</w:t>
        </w:r>
      </w:hyperlink>
      <w:r w:rsidRPr="008746BD">
        <w:rPr>
          <w:rStyle w:val="Hipervnculo"/>
          <w:rFonts w:ascii="Verdana" w:eastAsia="Verdana" w:hAnsi="Verdana" w:cs="Verdana"/>
          <w:lang w:val="es-MX"/>
        </w:rPr>
        <w:t>.</w:t>
      </w:r>
      <w:r>
        <w:rPr>
          <w:rFonts w:ascii="Verdana" w:hAnsi="Verdana"/>
        </w:rPr>
        <w:t xml:space="preserve"> </w:t>
      </w:r>
      <w:r w:rsidRPr="00116940">
        <w:rPr>
          <w:rFonts w:ascii="Verdana" w:hAnsi="Verdana"/>
        </w:rPr>
        <w:t>¡Ayúdanos a mejorar porque el compromiso es de todos!</w:t>
      </w:r>
    </w:p>
    <w:p w14:paraId="481FE8CF" w14:textId="77777777" w:rsidR="008636D0" w:rsidRDefault="008636D0" w:rsidP="008636D0">
      <w:pPr>
        <w:spacing w:after="0" w:line="240" w:lineRule="auto"/>
        <w:jc w:val="both"/>
        <w:rPr>
          <w:rFonts w:ascii="Verdana" w:hAnsi="Verdana"/>
        </w:rPr>
      </w:pPr>
    </w:p>
    <w:p w14:paraId="0B332A57" w14:textId="77777777" w:rsidR="008636D0" w:rsidRPr="00116940" w:rsidRDefault="008636D0" w:rsidP="008636D0">
      <w:pPr>
        <w:spacing w:after="0" w:line="276"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44EBF69D" w14:textId="77777777" w:rsidR="008636D0" w:rsidRPr="00116940" w:rsidRDefault="008636D0" w:rsidP="008636D0">
      <w:pPr>
        <w:spacing w:after="0" w:line="276"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2B60C8EB" w14:textId="77777777" w:rsidR="008636D0" w:rsidRPr="00116940" w:rsidRDefault="008636D0" w:rsidP="008636D0">
      <w:pPr>
        <w:spacing w:after="0" w:line="276"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3B0897B8" w14:textId="77777777" w:rsidR="008636D0" w:rsidRPr="00116940" w:rsidRDefault="008636D0" w:rsidP="008636D0">
      <w:pPr>
        <w:spacing w:after="0" w:line="276"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53B13819" w14:textId="77777777" w:rsidR="008636D0" w:rsidRDefault="008636D0" w:rsidP="008636D0">
      <w:pPr>
        <w:spacing w:after="0" w:line="240" w:lineRule="auto"/>
        <w:jc w:val="both"/>
        <w:rPr>
          <w:rFonts w:ascii="Century Gothic" w:eastAsia="Century Gothic" w:hAnsi="Century Gothic" w:cs="Century Gothic"/>
          <w:lang w:val="es-ES" w:eastAsia="es-ES_tradnl"/>
        </w:rPr>
      </w:pPr>
    </w:p>
    <w:p w14:paraId="50C1F125" w14:textId="77777777" w:rsidR="008636D0" w:rsidRPr="00842775" w:rsidRDefault="008636D0" w:rsidP="008636D0">
      <w:pPr>
        <w:spacing w:after="120" w:line="276" w:lineRule="auto"/>
        <w:jc w:val="both"/>
        <w:rPr>
          <w:rFonts w:ascii="Verdana" w:hAnsi="Verdana"/>
          <w:lang w:val="es-MX"/>
        </w:rPr>
      </w:pPr>
      <w:r w:rsidRPr="00842775">
        <w:rPr>
          <w:rFonts w:ascii="Verdana" w:eastAsia="Century Gothic" w:hAnsi="Verdana" w:cs="Century Gothic"/>
          <w:lang w:val="es-ES" w:eastAsia="es-ES_tradn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r>
        <w:rPr>
          <w:rFonts w:ascii="Verdana" w:eastAsia="Century Gothic" w:hAnsi="Verdana" w:cs="Century Gothic"/>
          <w:lang w:val="es-ES" w:eastAsia="es-ES_tradnl"/>
        </w:rPr>
        <w:t>.</w:t>
      </w:r>
    </w:p>
    <w:p w14:paraId="3B4CFF05" w14:textId="77777777" w:rsidR="008636D0" w:rsidRPr="00330029" w:rsidRDefault="008636D0" w:rsidP="008636D0">
      <w:pPr>
        <w:spacing w:after="0" w:line="276" w:lineRule="auto"/>
        <w:jc w:val="both"/>
        <w:rPr>
          <w:rFonts w:ascii="Verdana" w:hAnsi="Verdana"/>
          <w:lang w:val="es-MX"/>
        </w:rPr>
      </w:pPr>
      <w:r w:rsidRPr="00E02524">
        <w:rPr>
          <w:rFonts w:ascii="Verdana" w:hAnsi="Verdana"/>
          <w:lang w:val="es-MX"/>
        </w:rPr>
        <w:t>Cordialmente,</w:t>
      </w:r>
    </w:p>
    <w:p w14:paraId="1A9840D2" w14:textId="2B7ED7DA" w:rsidR="008636D0" w:rsidRDefault="007160C6" w:rsidP="007160C6">
      <w:pPr>
        <w:spacing w:after="0" w:line="256" w:lineRule="auto"/>
        <w:jc w:val="center"/>
        <w:rPr>
          <w:rFonts w:ascii="Verdana" w:eastAsia="Calibri" w:hAnsi="Verdana" w:cs="Times New Roman"/>
        </w:rPr>
      </w:pPr>
      <w:r w:rsidRPr="0065791A">
        <w:rPr>
          <w:rFonts w:ascii="Century Gothic" w:hAnsi="Century Gothic"/>
          <w:noProof/>
        </w:rPr>
        <w:drawing>
          <wp:inline distT="0" distB="0" distL="0" distR="0" wp14:anchorId="1D0EBEA5" wp14:editId="59B4877F">
            <wp:extent cx="3962953" cy="1867161"/>
            <wp:effectExtent l="0" t="0" r="0" b="0"/>
            <wp:docPr id="119417683" name="Imagen 1" descr="Interfaz de usuario gráfica, Texto,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7683" name="Imagen 1" descr="Interfaz de usuario gráfica, Texto, Aplicación&#10;&#10;Descripción generada automáticamente con confianza media"/>
                    <pic:cNvPicPr/>
                  </pic:nvPicPr>
                  <pic:blipFill>
                    <a:blip r:embed="rId21"/>
                    <a:stretch>
                      <a:fillRect/>
                    </a:stretch>
                  </pic:blipFill>
                  <pic:spPr>
                    <a:xfrm>
                      <a:off x="0" y="0"/>
                      <a:ext cx="3962953" cy="1867161"/>
                    </a:xfrm>
                    <a:prstGeom prst="rect">
                      <a:avLst/>
                    </a:prstGeom>
                  </pic:spPr>
                </pic:pic>
              </a:graphicData>
            </a:graphic>
          </wp:inline>
        </w:drawing>
      </w:r>
    </w:p>
    <w:tbl>
      <w:tblPr>
        <w:tblStyle w:val="Tablaconcuadrcula"/>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061"/>
      </w:tblGrid>
      <w:tr w:rsidR="008636D0" w:rsidRPr="005644FE" w14:paraId="7660CB88" w14:textId="77777777" w:rsidTr="00FC7DC6">
        <w:trPr>
          <w:trHeight w:val="288"/>
        </w:trPr>
        <w:tc>
          <w:tcPr>
            <w:tcW w:w="893" w:type="dxa"/>
            <w:vAlign w:val="center"/>
            <w:hideMark/>
          </w:tcPr>
          <w:p w14:paraId="5DFB797A" w14:textId="77777777" w:rsidR="008636D0" w:rsidRPr="005644FE" w:rsidRDefault="008636D0" w:rsidP="00FC7DC6">
            <w:pPr>
              <w:contextualSpacing/>
              <w:rPr>
                <w:rFonts w:ascii="Verdana" w:hAnsi="Verdana" w:cs="Arial"/>
                <w:sz w:val="16"/>
                <w:szCs w:val="16"/>
                <w:lang w:eastAsia="es-ES"/>
              </w:rPr>
            </w:pPr>
            <w:r w:rsidRPr="005644FE">
              <w:rPr>
                <w:rFonts w:ascii="Verdana" w:hAnsi="Verdana" w:cs="Arial"/>
                <w:sz w:val="16"/>
                <w:szCs w:val="16"/>
                <w:lang w:eastAsia="es-ES"/>
              </w:rPr>
              <w:t>Elaboró:</w:t>
            </w:r>
          </w:p>
        </w:tc>
        <w:tc>
          <w:tcPr>
            <w:tcW w:w="5061" w:type="dxa"/>
            <w:tcBorders>
              <w:top w:val="nil"/>
              <w:left w:val="nil"/>
              <w:bottom w:val="dotted" w:sz="4" w:space="0" w:color="7F7F7F" w:themeColor="text1" w:themeTint="80"/>
              <w:right w:val="nil"/>
            </w:tcBorders>
            <w:vAlign w:val="center"/>
            <w:hideMark/>
          </w:tcPr>
          <w:p w14:paraId="13701836" w14:textId="77777777" w:rsidR="008636D0" w:rsidRPr="005644FE" w:rsidRDefault="008636D0" w:rsidP="00FC7DC6">
            <w:pPr>
              <w:contextualSpacing/>
              <w:rPr>
                <w:rStyle w:val="normaltextrun"/>
                <w:rFonts w:ascii="Verdana" w:hAnsi="Verdana"/>
                <w:sz w:val="16"/>
                <w:szCs w:val="16"/>
              </w:rPr>
            </w:pPr>
            <w:r w:rsidRPr="005644FE">
              <w:rPr>
                <w:rStyle w:val="normaltextrun"/>
                <w:rFonts w:ascii="Verdana" w:hAnsi="Verdana"/>
                <w:sz w:val="16"/>
                <w:szCs w:val="16"/>
              </w:rPr>
              <w:t xml:space="preserve">Esperanza Contreras P </w:t>
            </w:r>
          </w:p>
          <w:p w14:paraId="4E5D8FC1" w14:textId="77777777" w:rsidR="008636D0" w:rsidRPr="005644FE" w:rsidRDefault="008636D0" w:rsidP="00FC7DC6">
            <w:pPr>
              <w:contextualSpacing/>
              <w:rPr>
                <w:rFonts w:ascii="Verdana" w:eastAsia="Arial" w:hAnsi="Verdana" w:cs="Arial"/>
                <w:sz w:val="16"/>
                <w:szCs w:val="16"/>
              </w:rPr>
            </w:pPr>
            <w:r w:rsidRPr="005644FE">
              <w:rPr>
                <w:rStyle w:val="normaltextrun"/>
                <w:rFonts w:ascii="Verdana" w:hAnsi="Verdana" w:cs="Arial"/>
                <w:sz w:val="16"/>
                <w:szCs w:val="16"/>
              </w:rPr>
              <w:t>Contratista de la Subdirección de Gestión Contractual</w:t>
            </w:r>
            <w:r w:rsidRPr="005644FE">
              <w:rPr>
                <w:rStyle w:val="eop"/>
                <w:rFonts w:ascii="Verdana" w:hAnsi="Verdana" w:cs="Arial"/>
                <w:sz w:val="16"/>
                <w:szCs w:val="16"/>
              </w:rPr>
              <w:t> </w:t>
            </w:r>
          </w:p>
        </w:tc>
      </w:tr>
      <w:tr w:rsidR="008636D0" w:rsidRPr="005644FE" w14:paraId="7095D110" w14:textId="77777777" w:rsidTr="00FC7DC6">
        <w:trPr>
          <w:trHeight w:val="330"/>
        </w:trPr>
        <w:tc>
          <w:tcPr>
            <w:tcW w:w="893" w:type="dxa"/>
            <w:vAlign w:val="center"/>
            <w:hideMark/>
          </w:tcPr>
          <w:p w14:paraId="7A6D1A3D" w14:textId="77777777" w:rsidR="008636D0" w:rsidRPr="005644FE" w:rsidRDefault="008636D0" w:rsidP="00FC7DC6">
            <w:pPr>
              <w:contextualSpacing/>
              <w:rPr>
                <w:rFonts w:ascii="Verdana" w:hAnsi="Verdana" w:cs="Arial"/>
                <w:sz w:val="16"/>
                <w:szCs w:val="16"/>
                <w:lang w:eastAsia="es-ES"/>
              </w:rPr>
            </w:pPr>
            <w:r w:rsidRPr="005644FE">
              <w:rPr>
                <w:rFonts w:ascii="Verdana" w:hAnsi="Verdana" w:cs="Arial"/>
                <w:sz w:val="16"/>
                <w:szCs w:val="16"/>
                <w:lang w:eastAsia="es-ES"/>
              </w:rPr>
              <w:t>Revisó:</w:t>
            </w:r>
          </w:p>
        </w:tc>
        <w:tc>
          <w:tcPr>
            <w:tcW w:w="5061" w:type="dxa"/>
            <w:tcBorders>
              <w:top w:val="dotted" w:sz="4" w:space="0" w:color="7F7F7F" w:themeColor="text1" w:themeTint="80"/>
              <w:left w:val="nil"/>
              <w:bottom w:val="dotted" w:sz="4" w:space="0" w:color="7F7F7F" w:themeColor="text1" w:themeTint="80"/>
              <w:right w:val="nil"/>
            </w:tcBorders>
            <w:vAlign w:val="center"/>
            <w:hideMark/>
          </w:tcPr>
          <w:p w14:paraId="46947D7C" w14:textId="77777777" w:rsidR="008636D0" w:rsidRPr="00147D6A" w:rsidRDefault="008636D0" w:rsidP="00FC7DC6">
            <w:pPr>
              <w:pStyle w:val="paragraph"/>
              <w:spacing w:before="0" w:beforeAutospacing="0" w:after="0" w:afterAutospacing="0"/>
              <w:contextualSpacing/>
              <w:textAlignment w:val="baseline"/>
              <w:rPr>
                <w:rStyle w:val="normaltextrun"/>
                <w:rFonts w:ascii="Verdana" w:hAnsi="Verdana"/>
                <w:sz w:val="16"/>
                <w:szCs w:val="16"/>
              </w:rPr>
            </w:pPr>
            <w:r w:rsidRPr="00147D6A">
              <w:rPr>
                <w:rStyle w:val="normaltextrun"/>
                <w:rFonts w:ascii="Verdana" w:hAnsi="Verdana"/>
                <w:sz w:val="16"/>
                <w:szCs w:val="16"/>
              </w:rPr>
              <w:t xml:space="preserve">Adriana </w:t>
            </w:r>
            <w:proofErr w:type="spellStart"/>
            <w:r w:rsidRPr="00147D6A">
              <w:rPr>
                <w:rStyle w:val="normaltextrun"/>
                <w:rFonts w:ascii="Verdana" w:hAnsi="Verdana"/>
                <w:sz w:val="16"/>
                <w:szCs w:val="16"/>
              </w:rPr>
              <w:t>Katerine</w:t>
            </w:r>
            <w:proofErr w:type="spellEnd"/>
            <w:r w:rsidRPr="00147D6A">
              <w:rPr>
                <w:rStyle w:val="normaltextrun"/>
                <w:rFonts w:ascii="Verdana" w:hAnsi="Verdana"/>
                <w:sz w:val="16"/>
                <w:szCs w:val="16"/>
              </w:rPr>
              <w:t xml:space="preserve"> López</w:t>
            </w:r>
            <w:r>
              <w:rPr>
                <w:rStyle w:val="normaltextrun"/>
                <w:rFonts w:ascii="Verdana" w:hAnsi="Verdana"/>
                <w:sz w:val="16"/>
                <w:szCs w:val="16"/>
              </w:rPr>
              <w:t xml:space="preserve"> Rodríguez. </w:t>
            </w:r>
          </w:p>
          <w:p w14:paraId="499EEA78" w14:textId="77777777" w:rsidR="008636D0" w:rsidRPr="00147D6A" w:rsidRDefault="008636D0" w:rsidP="00FC7DC6">
            <w:pPr>
              <w:pStyle w:val="paragraph"/>
              <w:spacing w:before="0" w:beforeAutospacing="0" w:after="0" w:afterAutospacing="0"/>
              <w:contextualSpacing/>
              <w:textAlignment w:val="baseline"/>
              <w:rPr>
                <w:rFonts w:ascii="Verdana" w:hAnsi="Verdana" w:cs="Segoe UI"/>
                <w:sz w:val="16"/>
                <w:szCs w:val="16"/>
              </w:rPr>
            </w:pPr>
            <w:r w:rsidRPr="00147D6A">
              <w:rPr>
                <w:rStyle w:val="normaltextrun"/>
                <w:rFonts w:ascii="Verdana" w:hAnsi="Verdana"/>
                <w:sz w:val="16"/>
                <w:szCs w:val="16"/>
              </w:rPr>
              <w:t xml:space="preserve">Contratista Subdirección Gestión Contractual  </w:t>
            </w:r>
          </w:p>
        </w:tc>
      </w:tr>
      <w:tr w:rsidR="008636D0" w:rsidRPr="005644FE" w14:paraId="1C95C0D9" w14:textId="77777777" w:rsidTr="00FC7DC6">
        <w:trPr>
          <w:trHeight w:val="300"/>
        </w:trPr>
        <w:tc>
          <w:tcPr>
            <w:tcW w:w="893" w:type="dxa"/>
            <w:vAlign w:val="center"/>
          </w:tcPr>
          <w:p w14:paraId="3E8239FD" w14:textId="77777777" w:rsidR="008636D0" w:rsidRPr="005644FE" w:rsidRDefault="008636D0" w:rsidP="00FC7DC6">
            <w:pPr>
              <w:contextualSpacing/>
              <w:rPr>
                <w:rFonts w:ascii="Verdana" w:hAnsi="Verdana" w:cs="Arial"/>
                <w:sz w:val="16"/>
                <w:szCs w:val="16"/>
                <w:lang w:eastAsia="es-ES"/>
              </w:rPr>
            </w:pPr>
            <w:r w:rsidRPr="005644FE">
              <w:rPr>
                <w:rFonts w:ascii="Verdana" w:hAnsi="Verdana" w:cs="Arial"/>
                <w:sz w:val="16"/>
                <w:szCs w:val="16"/>
                <w:lang w:eastAsia="es-ES"/>
              </w:rPr>
              <w:t>Aprobó:</w:t>
            </w:r>
          </w:p>
        </w:tc>
        <w:tc>
          <w:tcPr>
            <w:tcW w:w="5061" w:type="dxa"/>
            <w:tcBorders>
              <w:top w:val="dotted" w:sz="4" w:space="0" w:color="7F7F7F" w:themeColor="text1" w:themeTint="80"/>
              <w:left w:val="nil"/>
              <w:bottom w:val="dotted" w:sz="4" w:space="0" w:color="7F7F7F" w:themeColor="text1" w:themeTint="80"/>
              <w:right w:val="nil"/>
            </w:tcBorders>
            <w:vAlign w:val="center"/>
          </w:tcPr>
          <w:p w14:paraId="24F77D66" w14:textId="77777777" w:rsidR="008636D0" w:rsidRPr="00147D6A" w:rsidRDefault="008636D0" w:rsidP="00FC7DC6">
            <w:pPr>
              <w:contextualSpacing/>
              <w:rPr>
                <w:rFonts w:ascii="Verdana" w:eastAsia="Calibri" w:hAnsi="Verdana" w:cs="Arial"/>
                <w:sz w:val="16"/>
                <w:szCs w:val="16"/>
                <w:lang w:eastAsia="es-ES"/>
              </w:rPr>
            </w:pPr>
            <w:r w:rsidRPr="00147D6A">
              <w:rPr>
                <w:rFonts w:ascii="Verdana" w:eastAsia="Calibri" w:hAnsi="Verdana" w:cs="Arial"/>
                <w:sz w:val="16"/>
                <w:szCs w:val="16"/>
                <w:lang w:eastAsia="es-ES"/>
              </w:rPr>
              <w:t>Carolina Quintero Gacharná</w:t>
            </w:r>
          </w:p>
          <w:p w14:paraId="45926767" w14:textId="77777777" w:rsidR="008636D0" w:rsidRPr="00147D6A" w:rsidRDefault="008636D0" w:rsidP="00FC7DC6">
            <w:pPr>
              <w:contextualSpacing/>
              <w:rPr>
                <w:rFonts w:ascii="Verdana" w:eastAsia="Calibri" w:hAnsi="Verdana" w:cs="Arial"/>
                <w:sz w:val="16"/>
                <w:szCs w:val="16"/>
                <w:lang w:eastAsia="es-ES"/>
              </w:rPr>
            </w:pPr>
            <w:r w:rsidRPr="00147D6A">
              <w:rPr>
                <w:rFonts w:ascii="Verdana" w:eastAsia="Calibri" w:hAnsi="Verdana" w:cs="Arial"/>
                <w:sz w:val="16"/>
                <w:szCs w:val="16"/>
                <w:lang w:eastAsia="es-ES"/>
              </w:rPr>
              <w:t>Subdirectora de Gestión Contractual ANCP – CCE</w:t>
            </w:r>
          </w:p>
        </w:tc>
      </w:tr>
      <w:bookmarkEnd w:id="1"/>
    </w:tbl>
    <w:p w14:paraId="381403EC" w14:textId="77777777" w:rsidR="008636D0" w:rsidRPr="0024624F" w:rsidRDefault="008636D0" w:rsidP="008636D0">
      <w:pPr>
        <w:spacing w:after="0"/>
        <w:rPr>
          <w:rFonts w:ascii="Verdana" w:eastAsia="Verdana" w:hAnsi="Verdana" w:cs="Verdana"/>
        </w:rPr>
      </w:pPr>
    </w:p>
    <w:p w14:paraId="72E74C53" w14:textId="77777777" w:rsidR="008636D0" w:rsidRPr="00A374FD" w:rsidRDefault="008636D0" w:rsidP="008636D0"/>
    <w:bookmarkEnd w:id="0"/>
    <w:p w14:paraId="2E67F2F5" w14:textId="77777777" w:rsidR="008636D0" w:rsidRPr="0024624F" w:rsidRDefault="008636D0" w:rsidP="008636D0">
      <w:pPr>
        <w:spacing w:after="0"/>
        <w:rPr>
          <w:rFonts w:ascii="Verdana" w:eastAsia="Verdana" w:hAnsi="Verdana" w:cs="Verdana"/>
        </w:rPr>
      </w:pPr>
    </w:p>
    <w:p w14:paraId="0F293BF4" w14:textId="0FF9D6A6" w:rsidR="00127233" w:rsidRPr="00E368E7" w:rsidRDefault="00127233" w:rsidP="00E368E7"/>
    <w:sectPr w:rsidR="00127233" w:rsidRPr="00E368E7"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148DC" w14:textId="77777777" w:rsidR="000D3CB7" w:rsidRDefault="000D3CB7" w:rsidP="004A1847">
      <w:pPr>
        <w:spacing w:after="0" w:line="240" w:lineRule="auto"/>
      </w:pPr>
      <w:r>
        <w:separator/>
      </w:r>
    </w:p>
  </w:endnote>
  <w:endnote w:type="continuationSeparator" w:id="0">
    <w:p w14:paraId="692D3C09" w14:textId="77777777" w:rsidR="000D3CB7" w:rsidRDefault="000D3CB7" w:rsidP="004A1847">
      <w:pPr>
        <w:spacing w:after="0" w:line="240" w:lineRule="auto"/>
      </w:pPr>
      <w:r>
        <w:continuationSeparator/>
      </w:r>
    </w:p>
  </w:endnote>
  <w:endnote w:type="continuationNotice" w:id="1">
    <w:p w14:paraId="4A1CD584" w14:textId="77777777" w:rsidR="000D3CB7" w:rsidRDefault="000D3C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orbel"/>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B0C30" w14:textId="77777777" w:rsidR="000D3CB7" w:rsidRDefault="000D3CB7" w:rsidP="004A1847">
      <w:pPr>
        <w:spacing w:after="0" w:line="240" w:lineRule="auto"/>
      </w:pPr>
      <w:r>
        <w:separator/>
      </w:r>
    </w:p>
  </w:footnote>
  <w:footnote w:type="continuationSeparator" w:id="0">
    <w:p w14:paraId="491E03D0" w14:textId="77777777" w:rsidR="000D3CB7" w:rsidRDefault="000D3CB7" w:rsidP="004A1847">
      <w:pPr>
        <w:spacing w:after="0" w:line="240" w:lineRule="auto"/>
      </w:pPr>
      <w:r>
        <w:continuationSeparator/>
      </w:r>
    </w:p>
  </w:footnote>
  <w:footnote w:type="continuationNotice" w:id="1">
    <w:p w14:paraId="4E5DA715" w14:textId="77777777" w:rsidR="000D3CB7" w:rsidRDefault="000D3CB7">
      <w:pPr>
        <w:spacing w:after="0" w:line="240" w:lineRule="auto"/>
      </w:pPr>
    </w:p>
  </w:footnote>
  <w:footnote w:id="2">
    <w:p w14:paraId="5E319FF7" w14:textId="77777777" w:rsidR="008636D0" w:rsidRPr="00F914AD" w:rsidRDefault="008636D0" w:rsidP="008636D0">
      <w:pPr>
        <w:pStyle w:val="Textonotapie"/>
        <w:ind w:firstLine="708"/>
        <w:jc w:val="both"/>
        <w:rPr>
          <w:rFonts w:ascii="Verdana" w:hAnsi="Verdana" w:cs="Arial"/>
          <w:sz w:val="14"/>
          <w:szCs w:val="14"/>
        </w:rPr>
      </w:pPr>
      <w:r w:rsidRPr="00F914AD">
        <w:rPr>
          <w:rStyle w:val="Refdenotaalpie"/>
          <w:rFonts w:ascii="Verdana" w:hAnsi="Verdana" w:cs="Arial"/>
          <w:sz w:val="14"/>
          <w:szCs w:val="14"/>
        </w:rPr>
        <w:footnoteRef/>
      </w:r>
      <w:r w:rsidRPr="00F914AD">
        <w:rPr>
          <w:rFonts w:ascii="Verdana" w:hAnsi="Verdana" w:cs="Arial"/>
          <w:sz w:val="14"/>
          <w:szCs w:val="14"/>
        </w:rPr>
        <w:t xml:space="preserve"> El inciso primero de norma disponía que, conforme al principio de transparencia, “</w:t>
      </w:r>
      <w:r w:rsidRPr="00F914AD">
        <w:rPr>
          <w:rFonts w:ascii="Verdana" w:hAnsi="Verdana" w:cs="Arial"/>
          <w:i/>
          <w:iCs/>
          <w:sz w:val="14"/>
          <w:szCs w:val="14"/>
        </w:rPr>
        <w:t>La escogencia del contratista se efectuará siempre a través de licitación o concurso públicos</w:t>
      </w:r>
      <w:r w:rsidRPr="00F914AD">
        <w:rPr>
          <w:rFonts w:ascii="Verdana" w:hAnsi="Verdana" w:cs="Arial"/>
          <w:sz w:val="14"/>
          <w:szCs w:val="14"/>
        </w:rPr>
        <w:t>, salvo en los siguientes casos en los que se podrá contratar directamente” (Énfasis fuera de texto). La expresión en cursiva fue declarada exequible por la Corte Constitucional mediante la Sentencia C-400 de 1999, con ponencia del Magistrado Vladimiro Naranjo Mesa, y derogado integralmente por el artículo 32 de la Ley 1150 de 2007.</w:t>
      </w:r>
    </w:p>
    <w:p w14:paraId="30D2B8C6" w14:textId="77777777" w:rsidR="008636D0" w:rsidRPr="00F914AD" w:rsidRDefault="008636D0" w:rsidP="008636D0">
      <w:pPr>
        <w:pStyle w:val="Textonotapie"/>
        <w:ind w:firstLine="708"/>
        <w:jc w:val="both"/>
        <w:rPr>
          <w:rFonts w:ascii="Verdana" w:hAnsi="Verdana" w:cs="Arial"/>
          <w:sz w:val="14"/>
          <w:szCs w:val="14"/>
        </w:rPr>
      </w:pPr>
    </w:p>
  </w:footnote>
  <w:footnote w:id="3">
    <w:p w14:paraId="1F0748F1" w14:textId="77777777" w:rsidR="008636D0" w:rsidRPr="00F914AD" w:rsidRDefault="008636D0" w:rsidP="008636D0">
      <w:pPr>
        <w:pStyle w:val="Textonotapie"/>
        <w:ind w:firstLine="708"/>
        <w:jc w:val="both"/>
        <w:rPr>
          <w:rFonts w:ascii="Verdana" w:hAnsi="Verdana" w:cs="Arial"/>
          <w:sz w:val="14"/>
          <w:szCs w:val="14"/>
        </w:rPr>
      </w:pPr>
      <w:r w:rsidRPr="00F914AD">
        <w:rPr>
          <w:rStyle w:val="Refdenotaalpie"/>
          <w:rFonts w:ascii="Verdana" w:hAnsi="Verdana" w:cs="Arial"/>
          <w:sz w:val="14"/>
          <w:szCs w:val="14"/>
        </w:rPr>
        <w:footnoteRef/>
      </w:r>
      <w:r w:rsidRPr="00F914AD">
        <w:rPr>
          <w:rFonts w:ascii="Verdana" w:hAnsi="Verdana" w:cs="Arial"/>
          <w:sz w:val="14"/>
          <w:szCs w:val="14"/>
        </w:rPr>
        <w:t xml:space="preserve"> Sobre la articulación de los diferentes procesos de selección previstos en el artículo 2 de la Ley 1150 de 2007, DÁVILA VINUEZA considera lo siguiente: “En las leyes 80 de 1993 y 1150 de 2007 los demás procedimientos de selección distintos a la licitación pública se convierten en procedimientos excepcionales y procedentes únicamente en los casos taxativamente contemplados en la ley. Pero la excepción no es respecto de los principios de transparencia, economía y responsabilidad y del deber de selección objetiva como parece lo han entendido algunas entidades estales. Estos principios que […] desarrollan los rectores de la función pública de orden constitucional y legal (art. 209 C.N., y art. 3° CPACA) son aplicables con todo rigor a los procedimientos de excepción. Siendo ello así, la excepción de que se habla es respecto del proceso licitatorio regulado en el artículo 30 de la Ley 80 de 1993 con las variantes introducidas por el artículo 2°, numeral 1, de la ley 1150 de 2007, en concordancia con el artículo 2.2.1.2.1.1.1 del Decreto 1082 de 2015 (</w:t>
      </w:r>
      <w:r w:rsidRPr="00F914AD">
        <w:rPr>
          <w:rFonts w:ascii="Verdana" w:hAnsi="Verdana" w:cs="Arial"/>
          <w:i/>
          <w:iCs/>
          <w:sz w:val="14"/>
          <w:szCs w:val="14"/>
        </w:rPr>
        <w:t>Presentación de la oferta de manera dinámica</w:t>
      </w:r>
      <w:r w:rsidRPr="00F914AD">
        <w:rPr>
          <w:rFonts w:ascii="Verdana" w:hAnsi="Verdana" w:cs="Arial"/>
          <w:sz w:val="14"/>
          <w:szCs w:val="14"/>
        </w:rPr>
        <w:t xml:space="preserve">). Es decir, </w:t>
      </w:r>
      <w:proofErr w:type="gramStart"/>
      <w:r w:rsidRPr="00F914AD">
        <w:rPr>
          <w:rFonts w:ascii="Verdana" w:hAnsi="Verdana" w:cs="Arial"/>
          <w:sz w:val="14"/>
          <w:szCs w:val="14"/>
        </w:rPr>
        <w:t>que</w:t>
      </w:r>
      <w:proofErr w:type="gramEnd"/>
      <w:r w:rsidRPr="00F914AD">
        <w:rPr>
          <w:rFonts w:ascii="Verdana" w:hAnsi="Verdana" w:cs="Arial"/>
          <w:sz w:val="14"/>
          <w:szCs w:val="14"/>
        </w:rPr>
        <w:t xml:space="preserve"> ante la ausencia de una causal concreta para un determinado evento específico, la selección debe asumir la que el ordenamiento jurídico regula como licitación pública. Por eso es que, además, las causas excepcionales de selección son de interpretación restrictiva y no admiten analogía ni la interpretación extensiva. Genera nulidad absoluta del contrato, por abuso o desviación de poder, y nulidad del acto administrativo de selección cualquier artilugio que implique socavar la principal manifestación del principio de transparencia, cual es la selección por vía de licitación”. (DÁVILA VINUEZA, Luis Guillermo. Régimen jurídico de la contratación estatal. Tercera Edición. Bogotá: Legis, 2016. p. 463).  </w:t>
      </w:r>
    </w:p>
    <w:p w14:paraId="75860430" w14:textId="77777777" w:rsidR="008636D0" w:rsidRPr="00F914AD" w:rsidRDefault="008636D0" w:rsidP="008636D0">
      <w:pPr>
        <w:pStyle w:val="Textonotapie"/>
        <w:ind w:firstLine="708"/>
        <w:jc w:val="both"/>
        <w:rPr>
          <w:rFonts w:ascii="Verdana" w:hAnsi="Verdana" w:cs="Arial"/>
          <w:sz w:val="14"/>
          <w:szCs w:val="14"/>
        </w:rPr>
      </w:pPr>
      <w:r w:rsidRPr="00F914AD">
        <w:rPr>
          <w:rFonts w:ascii="Verdana" w:hAnsi="Verdana" w:cs="Arial"/>
          <w:sz w:val="14"/>
          <w:szCs w:val="14"/>
        </w:rPr>
        <w:t xml:space="preserve">    </w:t>
      </w:r>
    </w:p>
  </w:footnote>
  <w:footnote w:id="4">
    <w:p w14:paraId="315B9FF2" w14:textId="77777777" w:rsidR="008636D0" w:rsidRPr="00F914AD" w:rsidRDefault="008636D0" w:rsidP="008636D0">
      <w:pPr>
        <w:pStyle w:val="Textonotapie"/>
        <w:ind w:firstLine="708"/>
        <w:jc w:val="both"/>
        <w:rPr>
          <w:rFonts w:ascii="Verdana" w:hAnsi="Verdana" w:cs="Arial"/>
          <w:sz w:val="14"/>
          <w:szCs w:val="14"/>
        </w:rPr>
      </w:pPr>
      <w:r w:rsidRPr="00F914AD">
        <w:rPr>
          <w:rStyle w:val="Refdenotaalpie"/>
          <w:rFonts w:ascii="Verdana" w:hAnsi="Verdana"/>
          <w:sz w:val="14"/>
          <w:szCs w:val="14"/>
        </w:rPr>
        <w:footnoteRef/>
      </w:r>
      <w:r w:rsidRPr="00F914AD">
        <w:rPr>
          <w:rFonts w:ascii="Verdana" w:hAnsi="Verdana"/>
          <w:sz w:val="14"/>
          <w:szCs w:val="14"/>
        </w:rPr>
        <w:t xml:space="preserve"> </w:t>
      </w:r>
      <w:r w:rsidRPr="00F914AD">
        <w:rPr>
          <w:rFonts w:ascii="Verdana" w:hAnsi="Verdana" w:cs="Arial"/>
          <w:sz w:val="14"/>
          <w:szCs w:val="14"/>
        </w:rPr>
        <w:t xml:space="preserve">El numeral 2 del artículo 2 de la Ley 1150 de 2007 prescribe: </w:t>
      </w:r>
      <w:r w:rsidRPr="00F914AD">
        <w:rPr>
          <w:rFonts w:ascii="Verdana" w:hAnsi="Verdana"/>
          <w:sz w:val="14"/>
          <w:szCs w:val="14"/>
        </w:rPr>
        <w:t xml:space="preserve">“[…] </w:t>
      </w:r>
      <w:r w:rsidRPr="00F914AD">
        <w:rPr>
          <w:rFonts w:ascii="Verdana" w:hAnsi="Verdana" w:cs="Arial"/>
          <w:sz w:val="14"/>
          <w:szCs w:val="14"/>
        </w:rPr>
        <w:t>Serán causales de selección abreviada las siguientes:</w:t>
      </w:r>
    </w:p>
    <w:p w14:paraId="2313E028" w14:textId="77777777" w:rsidR="008636D0" w:rsidRPr="00F914AD" w:rsidRDefault="008636D0" w:rsidP="008636D0">
      <w:pPr>
        <w:pStyle w:val="Textonotapie"/>
        <w:ind w:firstLine="708"/>
        <w:jc w:val="both"/>
        <w:rPr>
          <w:rFonts w:ascii="Verdana" w:hAnsi="Verdana" w:cs="Arial"/>
          <w:sz w:val="14"/>
          <w:szCs w:val="14"/>
        </w:rPr>
      </w:pPr>
      <w:r w:rsidRPr="00F914AD">
        <w:rPr>
          <w:rFonts w:ascii="Verdana" w:hAnsi="Verdana" w:cs="Arial"/>
          <w:sz w:val="14"/>
          <w:szCs w:val="14"/>
        </w:rPr>
        <w:t>a) La adquisición o suministro de bienes y servicios de características técnicas uniformes y de común utilización por parte de las entidades, que corresponden a aquellos que poseen las mismas especificaciones técnicas, con independencia de su diseño o de sus características descriptivas, y comparten patrones de desempeño y calidad objetivamente definidos.</w:t>
      </w:r>
    </w:p>
    <w:p w14:paraId="4C8B1ED2" w14:textId="77777777" w:rsidR="008636D0" w:rsidRPr="00F914AD" w:rsidRDefault="008636D0" w:rsidP="008636D0">
      <w:pPr>
        <w:pStyle w:val="Textonotapie"/>
        <w:ind w:firstLine="708"/>
        <w:jc w:val="both"/>
        <w:rPr>
          <w:rFonts w:ascii="Verdana" w:hAnsi="Verdana" w:cs="Arial"/>
          <w:sz w:val="14"/>
          <w:szCs w:val="14"/>
        </w:rPr>
      </w:pPr>
      <w:r w:rsidRPr="00F914AD">
        <w:rPr>
          <w:rFonts w:ascii="Verdana" w:hAnsi="Verdana" w:cs="Arial"/>
          <w:sz w:val="14"/>
          <w:szCs w:val="14"/>
        </w:rPr>
        <w:t xml:space="preserve">Para la adquisición de estos bienes y servicios las entidades deberán, siempre que el reglamento así lo señale, hacer uso de procedimientos de subasta inversa o de instrumentos de compra por catálogo derivados de la celebración de acuerdos marco de precios o de procedimientos de adquisición en bolsas de productos; </w:t>
      </w:r>
    </w:p>
    <w:p w14:paraId="102A3249" w14:textId="77777777" w:rsidR="008636D0" w:rsidRPr="00F914AD" w:rsidRDefault="008636D0" w:rsidP="008636D0">
      <w:pPr>
        <w:pStyle w:val="Textonotapie"/>
        <w:ind w:firstLine="708"/>
        <w:jc w:val="both"/>
        <w:rPr>
          <w:rFonts w:ascii="Verdana" w:hAnsi="Verdana" w:cs="Arial"/>
          <w:sz w:val="14"/>
          <w:szCs w:val="14"/>
        </w:rPr>
      </w:pPr>
      <w:r w:rsidRPr="00F914AD">
        <w:rPr>
          <w:rFonts w:ascii="Verdana" w:hAnsi="Verdana" w:cs="Arial"/>
          <w:sz w:val="14"/>
          <w:szCs w:val="14"/>
        </w:rPr>
        <w:t>b) La contratación de menor cuantía. Se entenderá por menor cuantía los valores que a continuación se relacionan, determinados en función de los presupuestos anuales de las entidades públicas expresados en salarios mínimos legales mensuales.</w:t>
      </w:r>
    </w:p>
    <w:p w14:paraId="3DD7E5BF" w14:textId="77777777" w:rsidR="008636D0" w:rsidRPr="00F914AD" w:rsidRDefault="008636D0" w:rsidP="008636D0">
      <w:pPr>
        <w:pStyle w:val="Textonotapie"/>
        <w:ind w:firstLine="708"/>
        <w:jc w:val="both"/>
        <w:rPr>
          <w:rFonts w:ascii="Verdana" w:hAnsi="Verdana" w:cs="Arial"/>
          <w:sz w:val="14"/>
          <w:szCs w:val="14"/>
        </w:rPr>
      </w:pPr>
      <w:r w:rsidRPr="00F914AD">
        <w:rPr>
          <w:rFonts w:ascii="Verdana" w:hAnsi="Verdana" w:cs="Arial"/>
          <w:sz w:val="14"/>
          <w:szCs w:val="14"/>
        </w:rPr>
        <w:t>[…];</w:t>
      </w:r>
    </w:p>
    <w:p w14:paraId="1E95B851" w14:textId="77777777" w:rsidR="008636D0" w:rsidRPr="00F914AD" w:rsidRDefault="008636D0" w:rsidP="008636D0">
      <w:pPr>
        <w:pStyle w:val="Textonotapie"/>
        <w:ind w:firstLine="708"/>
        <w:jc w:val="both"/>
        <w:rPr>
          <w:rFonts w:ascii="Verdana" w:hAnsi="Verdana" w:cs="Arial"/>
          <w:sz w:val="14"/>
          <w:szCs w:val="14"/>
        </w:rPr>
      </w:pPr>
      <w:r w:rsidRPr="00F914AD">
        <w:rPr>
          <w:rFonts w:ascii="Verdana" w:hAnsi="Verdana" w:cs="Arial"/>
          <w:sz w:val="14"/>
          <w:szCs w:val="14"/>
        </w:rPr>
        <w:t>c) Sin perjuicio de lo dispuesto en la Ley 100 de 1993 y en la Ley 1122 de 2007, la celebración de contratos para la prestación de servicios de salud. El reglamento interno correspondiente fijará las garantías a cargo de los contratistas. Los pagos correspondientes se podrán hacer mediante encargos fiduciarios;</w:t>
      </w:r>
    </w:p>
    <w:p w14:paraId="70CCAC6D" w14:textId="77777777" w:rsidR="008636D0" w:rsidRPr="00F914AD" w:rsidRDefault="008636D0" w:rsidP="008636D0">
      <w:pPr>
        <w:pStyle w:val="Textonotapie"/>
        <w:ind w:firstLine="708"/>
        <w:jc w:val="both"/>
        <w:rPr>
          <w:rFonts w:ascii="Verdana" w:hAnsi="Verdana" w:cs="Arial"/>
          <w:sz w:val="14"/>
          <w:szCs w:val="14"/>
        </w:rPr>
      </w:pPr>
      <w:r w:rsidRPr="00F914AD">
        <w:rPr>
          <w:rFonts w:ascii="Verdana" w:hAnsi="Verdana" w:cs="Arial"/>
          <w:sz w:val="14"/>
          <w:szCs w:val="14"/>
        </w:rPr>
        <w:t>d) La contratación cuyo proceso de licitación pública haya sido declarado desierto; en cuyo caso la entidad deberá iniciar la selección abreviada dentro de los cuatro meses siguientes a la declaración de desierta del proceso inicial;</w:t>
      </w:r>
    </w:p>
    <w:p w14:paraId="76FFC9DB" w14:textId="77777777" w:rsidR="008636D0" w:rsidRPr="00F914AD" w:rsidRDefault="008636D0" w:rsidP="008636D0">
      <w:pPr>
        <w:pStyle w:val="Textonotapie"/>
        <w:ind w:firstLine="708"/>
        <w:jc w:val="both"/>
        <w:rPr>
          <w:rFonts w:ascii="Verdana" w:hAnsi="Verdana" w:cs="Arial"/>
          <w:sz w:val="14"/>
          <w:szCs w:val="14"/>
        </w:rPr>
      </w:pPr>
      <w:r w:rsidRPr="00F914AD">
        <w:rPr>
          <w:rFonts w:ascii="Verdana" w:hAnsi="Verdana" w:cs="Arial"/>
          <w:sz w:val="14"/>
          <w:szCs w:val="14"/>
        </w:rPr>
        <w:t>e) La enajenación de bienes del Estado, con excepción de aquellos a que se refiere la Ley 226 de 1995.</w:t>
      </w:r>
    </w:p>
    <w:p w14:paraId="4DEFC4ED" w14:textId="77777777" w:rsidR="008636D0" w:rsidRPr="00F914AD" w:rsidRDefault="008636D0" w:rsidP="008636D0">
      <w:pPr>
        <w:pStyle w:val="Textonotapie"/>
        <w:ind w:firstLine="708"/>
        <w:jc w:val="both"/>
        <w:rPr>
          <w:rFonts w:ascii="Verdana" w:hAnsi="Verdana" w:cs="Arial"/>
          <w:sz w:val="14"/>
          <w:szCs w:val="14"/>
        </w:rPr>
      </w:pPr>
      <w:r w:rsidRPr="00F914AD">
        <w:rPr>
          <w:rFonts w:ascii="Verdana" w:hAnsi="Verdana" w:cs="Arial"/>
          <w:sz w:val="14"/>
          <w:szCs w:val="14"/>
        </w:rPr>
        <w:t xml:space="preserve">[…]; </w:t>
      </w:r>
    </w:p>
    <w:p w14:paraId="0262A75F" w14:textId="77777777" w:rsidR="008636D0" w:rsidRPr="00F914AD" w:rsidRDefault="008636D0" w:rsidP="008636D0">
      <w:pPr>
        <w:pStyle w:val="Textonotapie"/>
        <w:ind w:firstLine="708"/>
        <w:jc w:val="both"/>
        <w:rPr>
          <w:rFonts w:ascii="Verdana" w:hAnsi="Verdana" w:cs="Arial"/>
          <w:sz w:val="14"/>
          <w:szCs w:val="14"/>
        </w:rPr>
      </w:pPr>
      <w:r w:rsidRPr="00F914AD">
        <w:rPr>
          <w:rFonts w:ascii="Verdana" w:hAnsi="Verdana" w:cs="Arial"/>
          <w:sz w:val="14"/>
          <w:szCs w:val="14"/>
        </w:rPr>
        <w:t xml:space="preserve">f) Productos de origen o destinación agropecuarios que se ofrezcan en las bolsas de productos legalmente constituidas; </w:t>
      </w:r>
    </w:p>
    <w:p w14:paraId="1DBB90E0" w14:textId="77777777" w:rsidR="008636D0" w:rsidRPr="00F914AD" w:rsidRDefault="008636D0" w:rsidP="008636D0">
      <w:pPr>
        <w:pStyle w:val="Textonotapie"/>
        <w:ind w:firstLine="708"/>
        <w:jc w:val="both"/>
        <w:rPr>
          <w:rFonts w:ascii="Verdana" w:hAnsi="Verdana" w:cs="Arial"/>
          <w:sz w:val="14"/>
          <w:szCs w:val="14"/>
        </w:rPr>
      </w:pPr>
      <w:r w:rsidRPr="00F914AD">
        <w:rPr>
          <w:rFonts w:ascii="Verdana" w:hAnsi="Verdana" w:cs="Arial"/>
          <w:sz w:val="14"/>
          <w:szCs w:val="14"/>
        </w:rPr>
        <w:t xml:space="preserve">g) Los actos y contratos que tengan por objeto directo las actividades comerciales e industriales propias de las Empresas Industriales y Comerciales Estatales y de las Sociedades de Economía Mixta, con excepción de los contratos que a título enunciativo identifica el artículo 32 de la Ley 80 de 1993; </w:t>
      </w:r>
    </w:p>
    <w:p w14:paraId="3FB19F0B" w14:textId="77777777" w:rsidR="008636D0" w:rsidRPr="00F914AD" w:rsidRDefault="008636D0" w:rsidP="008636D0">
      <w:pPr>
        <w:pStyle w:val="Textonotapie"/>
        <w:ind w:firstLine="708"/>
        <w:jc w:val="both"/>
        <w:rPr>
          <w:rFonts w:ascii="Verdana" w:hAnsi="Verdana" w:cs="Arial"/>
          <w:sz w:val="14"/>
          <w:szCs w:val="14"/>
        </w:rPr>
      </w:pPr>
      <w:r w:rsidRPr="00F914AD">
        <w:rPr>
          <w:rFonts w:ascii="Verdana" w:hAnsi="Verdana" w:cs="Arial"/>
          <w:sz w:val="14"/>
          <w:szCs w:val="14"/>
        </w:rPr>
        <w:t>h) Los contratos de las entidades, a cuyo cargo se encuentre la ejecución de los programas de protección de personas amenazadas, programas de desmovilización y reincorporación a la vida civil de personas y grupos al margen de la ley, incluida la atención de los respectivos grupos familiares, programas de atención a población desplazada por la violencia, programas de protección de derechos humanos de grupos de personas habitantes de la calle, niños y niñas o jóvenes involucrados en grupos juveniles que hayan incurrido en conductas contra el patrimonio económico y sostengan enfrentamientos violentos de diferente tipo, y población en alto grado de vulnerabilidad con reconocido estado de exclusión que requieran capacitación, resocialización y preparación para el trabajo, incluidos los contratos fiduciarios que demanden;</w:t>
      </w:r>
    </w:p>
    <w:p w14:paraId="1C2F4649" w14:textId="77777777" w:rsidR="008636D0" w:rsidRPr="00F914AD" w:rsidRDefault="008636D0" w:rsidP="008636D0">
      <w:pPr>
        <w:pStyle w:val="Textonotapie"/>
        <w:ind w:firstLine="708"/>
        <w:jc w:val="both"/>
        <w:rPr>
          <w:rFonts w:ascii="Verdana" w:hAnsi="Verdana" w:cs="Arial"/>
          <w:sz w:val="14"/>
          <w:szCs w:val="14"/>
        </w:rPr>
      </w:pPr>
      <w:r w:rsidRPr="00F914AD">
        <w:rPr>
          <w:rFonts w:ascii="Verdana" w:hAnsi="Verdana" w:cs="Arial"/>
          <w:sz w:val="14"/>
          <w:szCs w:val="14"/>
        </w:rPr>
        <w:t>i) La contratación de bienes y servicios que se requieran para la defensa y seguridad nacional.</w:t>
      </w:r>
    </w:p>
    <w:p w14:paraId="5CA81777" w14:textId="77777777" w:rsidR="008636D0" w:rsidRPr="00F914AD" w:rsidRDefault="008636D0" w:rsidP="008636D0">
      <w:pPr>
        <w:pStyle w:val="Textonotapie"/>
        <w:ind w:firstLine="708"/>
        <w:jc w:val="both"/>
        <w:rPr>
          <w:rFonts w:ascii="Verdana" w:hAnsi="Verdana" w:cs="Arial"/>
          <w:sz w:val="14"/>
          <w:szCs w:val="14"/>
        </w:rPr>
      </w:pPr>
      <w:r w:rsidRPr="00F914AD">
        <w:rPr>
          <w:rFonts w:ascii="Verdana" w:hAnsi="Verdana" w:cs="Arial"/>
          <w:sz w:val="14"/>
          <w:szCs w:val="14"/>
        </w:rPr>
        <w:t>j) Los bienes y servicios no uniformes de común utilización por parte de las entidades públicas, para lo cual la Agencia Nacional de Contratación Pública - Colombia Compra Eficiente - podrá celebrar acuerdos marco de precios y demás instrumentos de agregación de demanda. Estos acuerdos marco de precios también serán de obligatorio uso de las entidades del Estado a las que se refiere el parágrafo 5 del artículo 2 de la presente ley, modificado por el artículo 41 de la Ley 1955 de 2019”.</w:t>
      </w:r>
    </w:p>
  </w:footnote>
  <w:footnote w:id="5">
    <w:p w14:paraId="37990BDE" w14:textId="77777777" w:rsidR="008636D0" w:rsidRPr="00F914AD" w:rsidRDefault="008636D0" w:rsidP="008636D0">
      <w:pPr>
        <w:pStyle w:val="Textonotapie"/>
        <w:ind w:firstLine="708"/>
        <w:jc w:val="both"/>
        <w:rPr>
          <w:rFonts w:ascii="Verdana" w:hAnsi="Verdana" w:cs="Arial"/>
          <w:sz w:val="14"/>
          <w:szCs w:val="14"/>
        </w:rPr>
      </w:pPr>
      <w:r w:rsidRPr="00F914AD">
        <w:rPr>
          <w:rStyle w:val="Refdenotaalpie"/>
          <w:rFonts w:ascii="Verdana" w:hAnsi="Verdana"/>
          <w:sz w:val="14"/>
          <w:szCs w:val="14"/>
        </w:rPr>
        <w:footnoteRef/>
      </w:r>
      <w:r w:rsidRPr="00F914AD">
        <w:rPr>
          <w:rFonts w:ascii="Verdana" w:hAnsi="Verdana"/>
          <w:sz w:val="14"/>
          <w:szCs w:val="14"/>
        </w:rPr>
        <w:t xml:space="preserve"> </w:t>
      </w:r>
      <w:r w:rsidRPr="00F914AD">
        <w:rPr>
          <w:rFonts w:ascii="Verdana" w:hAnsi="Verdana" w:cs="Arial"/>
          <w:sz w:val="14"/>
          <w:szCs w:val="14"/>
        </w:rPr>
        <w:t xml:space="preserve">CONGRESO DE LA REPÚBLICA. Exposición de motivos de la Ley 1150 de 2007. Gaceta del Congreso No. 458 del 1º de agosto de 2005. p. 8. </w:t>
      </w:r>
    </w:p>
    <w:p w14:paraId="0569231C" w14:textId="77777777" w:rsidR="008636D0" w:rsidRPr="00F914AD" w:rsidRDefault="008636D0" w:rsidP="008636D0">
      <w:pPr>
        <w:pStyle w:val="Textonotapie"/>
        <w:ind w:firstLine="708"/>
        <w:jc w:val="both"/>
        <w:rPr>
          <w:rFonts w:ascii="Verdana" w:hAnsi="Verdana" w:cs="Arial"/>
          <w:sz w:val="14"/>
          <w:szCs w:val="14"/>
        </w:rPr>
      </w:pPr>
    </w:p>
  </w:footnote>
  <w:footnote w:id="6">
    <w:p w14:paraId="2D74AC62" w14:textId="77777777" w:rsidR="008636D0" w:rsidRPr="00F914AD" w:rsidRDefault="008636D0" w:rsidP="008636D0">
      <w:pPr>
        <w:pStyle w:val="Textonotapie"/>
        <w:ind w:firstLine="708"/>
        <w:jc w:val="both"/>
        <w:rPr>
          <w:rFonts w:ascii="Verdana" w:hAnsi="Verdana" w:cs="Arial"/>
          <w:sz w:val="14"/>
          <w:szCs w:val="14"/>
        </w:rPr>
      </w:pPr>
      <w:r w:rsidRPr="00F914AD">
        <w:rPr>
          <w:rStyle w:val="Refdenotaalpie"/>
          <w:rFonts w:ascii="Verdana" w:hAnsi="Verdana"/>
          <w:sz w:val="14"/>
          <w:szCs w:val="14"/>
        </w:rPr>
        <w:footnoteRef/>
      </w:r>
      <w:r w:rsidRPr="00F914AD">
        <w:rPr>
          <w:rFonts w:ascii="Verdana" w:hAnsi="Verdana"/>
          <w:sz w:val="14"/>
          <w:szCs w:val="14"/>
        </w:rPr>
        <w:t xml:space="preserve"> </w:t>
      </w:r>
      <w:r w:rsidRPr="00F914AD">
        <w:rPr>
          <w:rFonts w:ascii="Verdana" w:hAnsi="Verdana" w:cs="Arial"/>
          <w:sz w:val="14"/>
          <w:szCs w:val="14"/>
        </w:rPr>
        <w:t xml:space="preserve">Consejo de Estado. Sala de lo Contencioso Administrativo. Sección Tercera. Subsección A. Sentencia del 23 de julio de 2015. </w:t>
      </w:r>
      <w:proofErr w:type="spellStart"/>
      <w:r w:rsidRPr="00F914AD">
        <w:rPr>
          <w:rFonts w:ascii="Verdana" w:hAnsi="Verdana" w:cs="Arial"/>
          <w:sz w:val="14"/>
          <w:szCs w:val="14"/>
        </w:rPr>
        <w:t>Exp</w:t>
      </w:r>
      <w:proofErr w:type="spellEnd"/>
      <w:r w:rsidRPr="00F914AD">
        <w:rPr>
          <w:rFonts w:ascii="Verdana" w:hAnsi="Verdana" w:cs="Arial"/>
          <w:sz w:val="14"/>
          <w:szCs w:val="14"/>
        </w:rPr>
        <w:t xml:space="preserve">. 36.805. C.P: Hernán Andrade Rincón. </w:t>
      </w:r>
    </w:p>
    <w:p w14:paraId="700602D1" w14:textId="77777777" w:rsidR="008636D0" w:rsidRPr="00F914AD" w:rsidRDefault="008636D0" w:rsidP="008636D0">
      <w:pPr>
        <w:pStyle w:val="Textonotapie"/>
        <w:ind w:firstLine="708"/>
        <w:jc w:val="both"/>
        <w:rPr>
          <w:rFonts w:ascii="Verdana" w:hAnsi="Verdana" w:cs="Arial"/>
          <w:sz w:val="14"/>
          <w:szCs w:val="14"/>
        </w:rPr>
      </w:pPr>
    </w:p>
  </w:footnote>
  <w:footnote w:id="7">
    <w:p w14:paraId="31A6F640" w14:textId="77777777" w:rsidR="008636D0" w:rsidRPr="00F914AD" w:rsidRDefault="008636D0" w:rsidP="008636D0">
      <w:pPr>
        <w:pStyle w:val="Textonotapie"/>
        <w:ind w:firstLine="708"/>
        <w:jc w:val="both"/>
        <w:rPr>
          <w:rFonts w:ascii="Verdana" w:hAnsi="Verdana"/>
          <w:sz w:val="14"/>
          <w:szCs w:val="14"/>
        </w:rPr>
      </w:pPr>
      <w:r w:rsidRPr="00F914AD">
        <w:rPr>
          <w:rStyle w:val="Refdenotaalpie"/>
          <w:rFonts w:ascii="Verdana" w:hAnsi="Verdana"/>
          <w:sz w:val="14"/>
          <w:szCs w:val="14"/>
        </w:rPr>
        <w:footnoteRef/>
      </w:r>
      <w:r w:rsidRPr="00F914AD">
        <w:rPr>
          <w:rFonts w:ascii="Verdana" w:hAnsi="Verdana"/>
          <w:sz w:val="14"/>
          <w:szCs w:val="14"/>
        </w:rPr>
        <w:t xml:space="preserve"> Sobre el alcance de las normas equivalentes en el Código Civil chileno, CLARO SOLAR explica lo siguiente: “Las palabras de que el legislador se sirve pueden tener dos significaciones: el sentido vulgar y el sentido técnico. Según el artículo 20, ‘</w:t>
      </w:r>
      <w:r w:rsidRPr="00F914AD">
        <w:rPr>
          <w:rFonts w:ascii="Verdana" w:hAnsi="Verdana"/>
          <w:i/>
          <w:iCs/>
          <w:sz w:val="14"/>
          <w:szCs w:val="14"/>
        </w:rPr>
        <w:t>las palabras de la ley se entenderán en su sentido natural y obvio, según el uso general de las mismas palabras</w:t>
      </w:r>
      <w:r w:rsidRPr="00F914AD">
        <w:rPr>
          <w:rFonts w:ascii="Verdana" w:hAnsi="Verdana"/>
          <w:sz w:val="14"/>
          <w:szCs w:val="14"/>
        </w:rPr>
        <w:t>’, es decir, el uso de la gente educada. El Diccionario de la Lengua publicado por la Real Academia Española goza a este respecto de gran autoridad. ‘</w:t>
      </w:r>
      <w:r w:rsidRPr="00F914AD">
        <w:rPr>
          <w:rFonts w:ascii="Verdana" w:hAnsi="Verdana"/>
          <w:i/>
          <w:iCs/>
          <w:sz w:val="14"/>
          <w:szCs w:val="14"/>
        </w:rPr>
        <w:t>Pero cuando el legislador</w:t>
      </w:r>
      <w:r w:rsidRPr="00F914AD">
        <w:rPr>
          <w:rFonts w:ascii="Verdana" w:hAnsi="Verdana"/>
          <w:sz w:val="14"/>
          <w:szCs w:val="14"/>
        </w:rPr>
        <w:t xml:space="preserve">, agrega el artículo 20, </w:t>
      </w:r>
      <w:r w:rsidRPr="00F914AD">
        <w:rPr>
          <w:rFonts w:ascii="Verdana" w:hAnsi="Verdana"/>
          <w:i/>
          <w:iCs/>
          <w:sz w:val="14"/>
          <w:szCs w:val="14"/>
        </w:rPr>
        <w:t>las haya definido expresamente para ciertas materias se les dará en éstas su significado legal</w:t>
      </w:r>
      <w:r w:rsidRPr="00F914AD">
        <w:rPr>
          <w:rFonts w:ascii="Verdana" w:hAnsi="Verdana"/>
          <w:sz w:val="14"/>
          <w:szCs w:val="14"/>
        </w:rPr>
        <w:t>’. Por la inversa, según el artículo 21, ‘las palabras técnicas de toda ciencia o arte se tomarán en el sentido que les den los que profesan la misma ciencia o arte; a menos que aparezca claramente que se han tomado en sentido diverso’. Es de suponer que el legislador conozca bastante el idioma en que legisla y sea suficientemente instruido en la ciencia o arte para dar a las palabras de la lengua y a las palabras especiales de la ciencia o arte a que se refiere, el significado que les es propio; en el caso contrario, es necesario que ello aparezca de manifiesto y con toda claridad” (CLARO SOLAR, Luis. Explicaciones de derecho civil chileno y comparado. Volumen I. Tomo I. Santiago: Editorial Jurídica de Chile, 2013. p. 117. Énfasis dentro del texto).</w:t>
      </w:r>
    </w:p>
    <w:p w14:paraId="6D41C57F" w14:textId="77777777" w:rsidR="008636D0" w:rsidRPr="00F914AD" w:rsidRDefault="008636D0" w:rsidP="008636D0">
      <w:pPr>
        <w:pStyle w:val="Textonotapie"/>
        <w:ind w:firstLine="708"/>
        <w:jc w:val="both"/>
        <w:rPr>
          <w:rFonts w:ascii="Verdana" w:hAnsi="Verdana"/>
          <w:sz w:val="14"/>
          <w:szCs w:val="14"/>
          <w:lang w:val="es-CO"/>
        </w:rPr>
      </w:pPr>
    </w:p>
  </w:footnote>
  <w:footnote w:id="8">
    <w:p w14:paraId="0F428796" w14:textId="77777777" w:rsidR="008636D0" w:rsidRPr="00F914AD" w:rsidRDefault="008636D0" w:rsidP="008636D0">
      <w:pPr>
        <w:pStyle w:val="Textonotapie"/>
        <w:ind w:firstLine="708"/>
        <w:jc w:val="both"/>
        <w:rPr>
          <w:rFonts w:ascii="Verdana" w:hAnsi="Verdana"/>
          <w:sz w:val="14"/>
          <w:szCs w:val="14"/>
        </w:rPr>
      </w:pPr>
      <w:r w:rsidRPr="00F914AD">
        <w:rPr>
          <w:rStyle w:val="Refdenotaalpie"/>
          <w:rFonts w:ascii="Verdana" w:hAnsi="Verdana"/>
          <w:sz w:val="14"/>
          <w:szCs w:val="14"/>
        </w:rPr>
        <w:footnoteRef/>
      </w:r>
      <w:r w:rsidRPr="00F914AD">
        <w:rPr>
          <w:rFonts w:ascii="Verdana" w:hAnsi="Verdana"/>
          <w:sz w:val="14"/>
          <w:szCs w:val="14"/>
        </w:rPr>
        <w:t xml:space="preserve"> SUÁREZ BELTRÁN, Gonzalo. Estudios de derecho contractual público. Colombia: Bogotá, 2014. p. 72.</w:t>
      </w:r>
    </w:p>
    <w:p w14:paraId="06582F15" w14:textId="77777777" w:rsidR="008636D0" w:rsidRPr="00F914AD" w:rsidRDefault="008636D0" w:rsidP="008636D0">
      <w:pPr>
        <w:pStyle w:val="Textonotapie"/>
        <w:ind w:firstLine="708"/>
        <w:jc w:val="both"/>
        <w:rPr>
          <w:rFonts w:ascii="Verdana" w:hAnsi="Verdana"/>
          <w:sz w:val="14"/>
          <w:szCs w:val="14"/>
        </w:rPr>
      </w:pPr>
    </w:p>
  </w:footnote>
  <w:footnote w:id="9">
    <w:p w14:paraId="0012E4D7" w14:textId="77777777" w:rsidR="008636D0" w:rsidRDefault="008636D0" w:rsidP="008636D0">
      <w:pPr>
        <w:pStyle w:val="Textonotapie"/>
        <w:ind w:firstLine="708"/>
        <w:jc w:val="both"/>
        <w:rPr>
          <w:rFonts w:ascii="Verdana" w:hAnsi="Verdana"/>
          <w:sz w:val="14"/>
          <w:szCs w:val="14"/>
        </w:rPr>
      </w:pPr>
      <w:r w:rsidRPr="00F914AD">
        <w:rPr>
          <w:rStyle w:val="Refdenotaalpie"/>
          <w:rFonts w:ascii="Verdana" w:hAnsi="Verdana"/>
          <w:sz w:val="14"/>
          <w:szCs w:val="14"/>
        </w:rPr>
        <w:footnoteRef/>
      </w:r>
      <w:r w:rsidRPr="00F914AD">
        <w:rPr>
          <w:rFonts w:ascii="Verdana" w:hAnsi="Verdana"/>
          <w:sz w:val="14"/>
          <w:szCs w:val="14"/>
        </w:rPr>
        <w:t xml:space="preserve"> </w:t>
      </w:r>
      <w:r w:rsidRPr="00F914AD">
        <w:rPr>
          <w:rFonts w:ascii="Verdana" w:hAnsi="Verdana"/>
          <w:i/>
          <w:iCs/>
          <w:sz w:val="14"/>
          <w:szCs w:val="14"/>
        </w:rPr>
        <w:t>Ibidem</w:t>
      </w:r>
      <w:r w:rsidRPr="00F914AD">
        <w:rPr>
          <w:rFonts w:ascii="Verdana" w:hAnsi="Verdana"/>
          <w:sz w:val="14"/>
          <w:szCs w:val="14"/>
        </w:rPr>
        <w:t>.</w:t>
      </w:r>
    </w:p>
    <w:p w14:paraId="4D893083" w14:textId="77777777" w:rsidR="00F914AD" w:rsidRPr="00F914AD" w:rsidRDefault="00F914AD" w:rsidP="008636D0">
      <w:pPr>
        <w:pStyle w:val="Textonotapie"/>
        <w:ind w:firstLine="708"/>
        <w:jc w:val="both"/>
        <w:rPr>
          <w:rFonts w:ascii="Verdana" w:hAnsi="Verdana"/>
          <w:sz w:val="14"/>
          <w:szCs w:val="14"/>
          <w:lang w:val="es-CO"/>
        </w:rPr>
      </w:pPr>
    </w:p>
  </w:footnote>
  <w:footnote w:id="10">
    <w:p w14:paraId="6FE1C606" w14:textId="77777777" w:rsidR="008636D0" w:rsidRPr="00F914AD" w:rsidRDefault="008636D0" w:rsidP="008636D0">
      <w:pPr>
        <w:pStyle w:val="Textonotapie"/>
        <w:ind w:firstLine="708"/>
        <w:jc w:val="both"/>
        <w:rPr>
          <w:rFonts w:ascii="Verdana" w:hAnsi="Verdana" w:cs="Arial"/>
          <w:sz w:val="14"/>
          <w:szCs w:val="14"/>
        </w:rPr>
      </w:pPr>
      <w:r w:rsidRPr="00F914AD">
        <w:rPr>
          <w:rStyle w:val="Refdenotaalpie"/>
          <w:rFonts w:ascii="Verdana" w:hAnsi="Verdana"/>
          <w:sz w:val="14"/>
          <w:szCs w:val="14"/>
        </w:rPr>
        <w:footnoteRef/>
      </w:r>
      <w:r w:rsidRPr="00F914AD">
        <w:rPr>
          <w:rFonts w:ascii="Verdana" w:hAnsi="Verdana"/>
          <w:sz w:val="14"/>
          <w:szCs w:val="14"/>
        </w:rPr>
        <w:t xml:space="preserve"> </w:t>
      </w:r>
      <w:r w:rsidRPr="00F914AD">
        <w:rPr>
          <w:rFonts w:ascii="Verdana" w:hAnsi="Verdana" w:cs="Arial"/>
          <w:sz w:val="14"/>
          <w:szCs w:val="14"/>
        </w:rPr>
        <w:t xml:space="preserve">CONGRESO DE LA REPÚBLICA. Exposición de motivos de la Ley 1150 de 2007. Gaceta del Congreso No. 458 del 1º de agosto de 2005. p. 8. </w:t>
      </w:r>
    </w:p>
    <w:p w14:paraId="4376BDAE" w14:textId="77777777" w:rsidR="008636D0" w:rsidRPr="00F914AD" w:rsidRDefault="008636D0" w:rsidP="008636D0">
      <w:pPr>
        <w:pStyle w:val="Textonotapie"/>
        <w:ind w:firstLine="708"/>
        <w:jc w:val="both"/>
        <w:rPr>
          <w:rFonts w:ascii="Verdana" w:hAnsi="Verdana" w:cs="Arial"/>
          <w:sz w:val="14"/>
          <w:szCs w:val="14"/>
        </w:rPr>
      </w:pPr>
    </w:p>
  </w:footnote>
  <w:footnote w:id="11">
    <w:p w14:paraId="3D579A3F" w14:textId="77777777" w:rsidR="008636D0" w:rsidRDefault="008636D0" w:rsidP="008636D0">
      <w:pPr>
        <w:pStyle w:val="Textonotapie"/>
        <w:ind w:firstLine="708"/>
        <w:jc w:val="both"/>
        <w:rPr>
          <w:rFonts w:ascii="Verdana" w:hAnsi="Verdana"/>
          <w:sz w:val="14"/>
          <w:szCs w:val="14"/>
          <w:lang w:val="es-CO"/>
        </w:rPr>
      </w:pPr>
      <w:r w:rsidRPr="00F914AD">
        <w:rPr>
          <w:rStyle w:val="Refdenotaalpie"/>
          <w:rFonts w:ascii="Verdana" w:hAnsi="Verdana"/>
          <w:sz w:val="14"/>
          <w:szCs w:val="14"/>
        </w:rPr>
        <w:footnoteRef/>
      </w:r>
      <w:r w:rsidRPr="00F914AD">
        <w:rPr>
          <w:rFonts w:ascii="Verdana" w:hAnsi="Verdana"/>
          <w:sz w:val="14"/>
          <w:szCs w:val="14"/>
        </w:rPr>
        <w:t xml:space="preserve"> DÁVILA VINUEZA, Luis Guillermo. Régimen jurídico de la contratación estatal. </w:t>
      </w:r>
      <w:r w:rsidRPr="00F914AD">
        <w:rPr>
          <w:rFonts w:ascii="Verdana" w:hAnsi="Verdana" w:cs="Arial"/>
          <w:sz w:val="14"/>
          <w:szCs w:val="14"/>
          <w:lang w:val="es-CO"/>
        </w:rPr>
        <w:t>Tercera Edición</w:t>
      </w:r>
      <w:r w:rsidRPr="00F914AD">
        <w:rPr>
          <w:rFonts w:ascii="Verdana" w:hAnsi="Verdana"/>
          <w:sz w:val="14"/>
          <w:szCs w:val="14"/>
          <w:lang w:val="es-CO"/>
        </w:rPr>
        <w:t>. Bogotá: Legis, 2016. pp. 466-467.</w:t>
      </w:r>
    </w:p>
    <w:p w14:paraId="4083B5F2" w14:textId="77777777" w:rsidR="00F914AD" w:rsidRPr="00F914AD" w:rsidRDefault="00F914AD" w:rsidP="008636D0">
      <w:pPr>
        <w:pStyle w:val="Textonotapie"/>
        <w:ind w:firstLine="708"/>
        <w:jc w:val="both"/>
        <w:rPr>
          <w:rFonts w:ascii="Verdana" w:hAnsi="Verdana"/>
          <w:sz w:val="14"/>
          <w:szCs w:val="14"/>
          <w:lang w:val="es-CO"/>
        </w:rPr>
      </w:pPr>
    </w:p>
  </w:footnote>
  <w:footnote w:id="12">
    <w:p w14:paraId="64C53B26" w14:textId="77777777" w:rsidR="008636D0" w:rsidRPr="00F914AD" w:rsidRDefault="008636D0" w:rsidP="008636D0">
      <w:pPr>
        <w:pStyle w:val="Textonotapie"/>
        <w:ind w:firstLine="709"/>
        <w:rPr>
          <w:rFonts w:ascii="Verdana" w:hAnsi="Verdana"/>
          <w:sz w:val="14"/>
          <w:szCs w:val="14"/>
        </w:rPr>
      </w:pPr>
      <w:r w:rsidRPr="00F914AD">
        <w:rPr>
          <w:rStyle w:val="Refdenotaalpie"/>
          <w:rFonts w:ascii="Verdana" w:hAnsi="Verdana"/>
          <w:sz w:val="14"/>
          <w:szCs w:val="14"/>
        </w:rPr>
        <w:footnoteRef/>
      </w:r>
      <w:r w:rsidRPr="00F914AD">
        <w:rPr>
          <w:rFonts w:ascii="Verdana" w:hAnsi="Verdana"/>
          <w:sz w:val="14"/>
          <w:szCs w:val="14"/>
        </w:rPr>
        <w:t xml:space="preserve"> Disponible en </w:t>
      </w:r>
      <w:hyperlink r:id="rId1" w:history="1">
        <w:r w:rsidRPr="00F914AD">
          <w:rPr>
            <w:rStyle w:val="Hipervnculo"/>
            <w:rFonts w:ascii="Verdana" w:hAnsi="Verdana"/>
            <w:sz w:val="14"/>
            <w:szCs w:val="14"/>
            <w:lang w:val="es-CO"/>
          </w:rPr>
          <w:t>Superfinanciera divulga las tarifas máximas del SOAT para 2026</w:t>
        </w:r>
      </w:hyperlink>
    </w:p>
    <w:p w14:paraId="7D7B1FF4" w14:textId="77777777" w:rsidR="008636D0" w:rsidRPr="00F914AD" w:rsidRDefault="008636D0" w:rsidP="008636D0">
      <w:pPr>
        <w:pStyle w:val="Textonotapie"/>
        <w:ind w:firstLine="709"/>
        <w:rPr>
          <w:rFonts w:ascii="Verdana" w:hAnsi="Verdana"/>
          <w:sz w:val="14"/>
          <w:szCs w:val="14"/>
        </w:rPr>
      </w:pPr>
    </w:p>
  </w:footnote>
  <w:footnote w:id="13">
    <w:p w14:paraId="7785DD35" w14:textId="77777777" w:rsidR="008636D0" w:rsidRPr="00F914AD" w:rsidRDefault="008636D0" w:rsidP="008636D0">
      <w:pPr>
        <w:pStyle w:val="Textonotapie"/>
        <w:ind w:firstLine="709"/>
        <w:rPr>
          <w:rFonts w:ascii="Verdana" w:hAnsi="Verdana"/>
          <w:sz w:val="14"/>
          <w:szCs w:val="14"/>
        </w:rPr>
      </w:pPr>
      <w:r w:rsidRPr="00F914AD">
        <w:rPr>
          <w:rStyle w:val="Refdenotaalpie"/>
          <w:rFonts w:ascii="Verdana" w:hAnsi="Verdana"/>
          <w:sz w:val="14"/>
          <w:szCs w:val="14"/>
        </w:rPr>
        <w:footnoteRef/>
      </w:r>
      <w:r w:rsidRPr="00F914AD">
        <w:rPr>
          <w:rFonts w:ascii="Verdana" w:hAnsi="Verdana"/>
          <w:sz w:val="14"/>
          <w:szCs w:val="14"/>
        </w:rPr>
        <w:t xml:space="preserve"> Corte Constitucional. Sentencia C-395 de 2022. M.P: Natalia Ángel Cabo.</w:t>
      </w:r>
    </w:p>
  </w:footnote>
  <w:footnote w:id="14">
    <w:p w14:paraId="658426F9" w14:textId="77777777" w:rsidR="008636D0" w:rsidRPr="00F914AD" w:rsidRDefault="008636D0" w:rsidP="008636D0">
      <w:pPr>
        <w:pStyle w:val="Textonotapie"/>
        <w:ind w:firstLine="709"/>
        <w:jc w:val="both"/>
        <w:rPr>
          <w:rFonts w:ascii="Verdana" w:hAnsi="Verdana"/>
          <w:sz w:val="14"/>
          <w:szCs w:val="14"/>
        </w:rPr>
      </w:pPr>
      <w:r w:rsidRPr="00F914AD">
        <w:rPr>
          <w:rStyle w:val="Refdenotaalpie"/>
          <w:rFonts w:ascii="Verdana" w:hAnsi="Verdana"/>
          <w:sz w:val="14"/>
          <w:szCs w:val="14"/>
        </w:rPr>
        <w:footnoteRef/>
      </w:r>
      <w:r w:rsidRPr="00F914AD">
        <w:rPr>
          <w:rFonts w:ascii="Verdana" w:hAnsi="Verdana"/>
          <w:sz w:val="14"/>
          <w:szCs w:val="14"/>
        </w:rPr>
        <w:t xml:space="preserve"> Disponible en  </w:t>
      </w:r>
      <w:hyperlink r:id="rId2" w:history="1">
        <w:r w:rsidRPr="00F914AD">
          <w:rPr>
            <w:rStyle w:val="Hipervnculo"/>
            <w:rFonts w:ascii="Verdana" w:hAnsi="Verdana"/>
            <w:sz w:val="14"/>
            <w:szCs w:val="14"/>
            <w:lang w:val="es-CO"/>
          </w:rPr>
          <w:t>Superfinanciera divulga las tarifas máximas del SOAT para 2026</w:t>
        </w:r>
      </w:hyperlink>
      <w:r w:rsidRPr="00F914AD">
        <w:rPr>
          <w:rFonts w:ascii="Verdana" w:hAnsi="Verdana"/>
          <w:noProof/>
          <w:sz w:val="14"/>
          <w:szCs w:val="14"/>
        </w:rPr>
        <w:drawing>
          <wp:inline distT="0" distB="0" distL="0" distR="0" wp14:anchorId="5EA1BD0E" wp14:editId="7DDEAF7A">
            <wp:extent cx="5612130" cy="1346200"/>
            <wp:effectExtent l="0" t="0" r="7620" b="6350"/>
            <wp:docPr id="5043209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320954" name=""/>
                    <pic:cNvPicPr/>
                  </pic:nvPicPr>
                  <pic:blipFill>
                    <a:blip r:embed="rId3"/>
                    <a:stretch>
                      <a:fillRect/>
                    </a:stretch>
                  </pic:blipFill>
                  <pic:spPr>
                    <a:xfrm>
                      <a:off x="0" y="0"/>
                      <a:ext cx="5612130" cy="1346200"/>
                    </a:xfrm>
                    <a:prstGeom prst="rect">
                      <a:avLst/>
                    </a:prstGeom>
                  </pic:spPr>
                </pic:pic>
              </a:graphicData>
            </a:graphic>
          </wp:inline>
        </w:drawing>
      </w:r>
    </w:p>
    <w:p w14:paraId="19D80DE1" w14:textId="77777777" w:rsidR="008636D0" w:rsidRPr="00F914AD" w:rsidRDefault="008636D0" w:rsidP="008636D0">
      <w:pPr>
        <w:pStyle w:val="Textonotapie"/>
        <w:ind w:firstLine="709"/>
        <w:jc w:val="both"/>
        <w:rPr>
          <w:rFonts w:ascii="Verdana" w:hAnsi="Verdana"/>
          <w:sz w:val="14"/>
          <w:szCs w:val="14"/>
        </w:rPr>
      </w:pPr>
    </w:p>
  </w:footnote>
  <w:footnote w:id="15">
    <w:p w14:paraId="4980260C" w14:textId="77777777" w:rsidR="00BC186A" w:rsidRPr="00F914AD" w:rsidRDefault="00BC186A" w:rsidP="00BC186A">
      <w:pPr>
        <w:pStyle w:val="Textonotapie"/>
        <w:ind w:firstLine="709"/>
        <w:jc w:val="both"/>
        <w:rPr>
          <w:rStyle w:val="Hipervnculo"/>
          <w:rFonts w:ascii="Verdana" w:hAnsi="Verdana" w:cs="Arial"/>
          <w:sz w:val="14"/>
          <w:szCs w:val="14"/>
          <w:lang w:val="es-CO"/>
        </w:rPr>
      </w:pPr>
      <w:r w:rsidRPr="00F914AD">
        <w:rPr>
          <w:rStyle w:val="Refdenotaalpie"/>
          <w:rFonts w:ascii="Verdana" w:hAnsi="Verdana" w:cs="Arial"/>
          <w:sz w:val="14"/>
          <w:szCs w:val="14"/>
        </w:rPr>
        <w:footnoteRef/>
      </w:r>
      <w:r w:rsidRPr="00F914AD">
        <w:rPr>
          <w:rFonts w:ascii="Verdana" w:hAnsi="Verdana" w:cs="Arial"/>
          <w:sz w:val="14"/>
          <w:szCs w:val="14"/>
        </w:rPr>
        <w:t xml:space="preserve"> </w:t>
      </w:r>
      <w:r w:rsidRPr="00F914AD">
        <w:rPr>
          <w:rFonts w:ascii="Verdana" w:hAnsi="Verdana" w:cs="Arial"/>
          <w:sz w:val="14"/>
          <w:szCs w:val="14"/>
          <w:lang w:val="es-CO"/>
        </w:rPr>
        <w:t xml:space="preserve">Disponible en </w:t>
      </w:r>
      <w:r w:rsidRPr="00F914AD">
        <w:rPr>
          <w:rFonts w:ascii="Verdana" w:hAnsi="Verdana" w:cs="Arial"/>
          <w:sz w:val="14"/>
          <w:szCs w:val="14"/>
          <w:lang w:val="es-CO"/>
        </w:rPr>
        <w:fldChar w:fldCharType="begin"/>
      </w:r>
      <w:r w:rsidRPr="00F914AD">
        <w:rPr>
          <w:rFonts w:ascii="Verdana" w:hAnsi="Verdana" w:cs="Arial"/>
          <w:sz w:val="14"/>
          <w:szCs w:val="14"/>
          <w:lang w:val="es-CO"/>
        </w:rPr>
        <w:instrText>HYPERLINK "https://colombiacompra.gov.co/wp-content/uploads/2025/08/Guia-para-la-elaboracion-de-estudios-del-sector-Original-Firmado.pdf"</w:instrText>
      </w:r>
      <w:r w:rsidRPr="00F914AD">
        <w:rPr>
          <w:rFonts w:ascii="Verdana" w:hAnsi="Verdana" w:cs="Arial"/>
          <w:sz w:val="14"/>
          <w:szCs w:val="14"/>
          <w:lang w:val="es-CO"/>
        </w:rPr>
      </w:r>
      <w:r w:rsidRPr="00F914AD">
        <w:rPr>
          <w:rFonts w:ascii="Verdana" w:hAnsi="Verdana" w:cs="Arial"/>
          <w:sz w:val="14"/>
          <w:szCs w:val="14"/>
          <w:lang w:val="es-CO"/>
        </w:rPr>
        <w:fldChar w:fldCharType="separate"/>
      </w:r>
      <w:r w:rsidRPr="00F914AD">
        <w:rPr>
          <w:rStyle w:val="Hipervnculo"/>
          <w:rFonts w:ascii="Verdana" w:hAnsi="Verdana" w:cs="Arial"/>
          <w:sz w:val="14"/>
          <w:szCs w:val="14"/>
          <w:lang w:val="es-CO"/>
        </w:rPr>
        <w:t>https://colombiacompra.gov.co/wp-content/uploads/2025/08/Guia-para-la-elaboracion-de-estudios-del-sector-Original-Firmado.pdf</w:t>
      </w:r>
    </w:p>
    <w:p w14:paraId="5440879B" w14:textId="77777777" w:rsidR="00BC186A" w:rsidRPr="00F914AD" w:rsidRDefault="00BC186A" w:rsidP="00BC186A">
      <w:pPr>
        <w:pStyle w:val="Textonotapie"/>
        <w:ind w:firstLine="709"/>
        <w:jc w:val="both"/>
        <w:rPr>
          <w:rFonts w:ascii="Verdana" w:hAnsi="Verdana" w:cs="Arial"/>
          <w:color w:val="000000" w:themeColor="text1"/>
          <w:sz w:val="14"/>
          <w:szCs w:val="14"/>
        </w:rPr>
      </w:pPr>
      <w:r w:rsidRPr="00F914AD">
        <w:rPr>
          <w:rStyle w:val="Hipervnculo"/>
          <w:rFonts w:ascii="Verdana" w:hAnsi="Verdana" w:cs="Arial"/>
          <w:sz w:val="14"/>
          <w:szCs w:val="14"/>
        </w:rPr>
        <w:t xml:space="preserve"> </w:t>
      </w:r>
      <w:r w:rsidRPr="00F914AD">
        <w:rPr>
          <w:rFonts w:ascii="Verdana" w:hAnsi="Verdana" w:cs="Arial"/>
          <w:sz w:val="14"/>
          <w:szCs w:val="14"/>
          <w:lang w:val="es-CO"/>
        </w:rPr>
        <w:fldChar w:fldCharType="end"/>
      </w:r>
      <w:r w:rsidRPr="00F914AD">
        <w:rPr>
          <w:rFonts w:ascii="Verdana" w:hAnsi="Verdana" w:cs="Arial"/>
          <w:color w:val="000000" w:themeColor="text1"/>
          <w:sz w:val="14"/>
          <w:szCs w:val="14"/>
        </w:rPr>
        <w:t xml:space="preserve"> </w:t>
      </w:r>
    </w:p>
  </w:footnote>
  <w:footnote w:id="16">
    <w:p w14:paraId="4A9F18B4" w14:textId="77777777" w:rsidR="00BC186A" w:rsidRPr="00F914AD" w:rsidRDefault="00BC186A" w:rsidP="00BC186A">
      <w:pPr>
        <w:pStyle w:val="Textonotapie"/>
        <w:ind w:firstLine="709"/>
        <w:jc w:val="both"/>
        <w:rPr>
          <w:rFonts w:ascii="Verdana" w:hAnsi="Verdana" w:cs="Arial"/>
          <w:sz w:val="14"/>
          <w:szCs w:val="14"/>
          <w:lang w:val="es-ES"/>
        </w:rPr>
      </w:pPr>
      <w:r w:rsidRPr="00F914AD">
        <w:rPr>
          <w:rStyle w:val="Refdenotaalpie"/>
          <w:rFonts w:ascii="Verdana" w:hAnsi="Verdana" w:cs="Arial"/>
          <w:sz w:val="14"/>
          <w:szCs w:val="14"/>
        </w:rPr>
        <w:footnoteRef/>
      </w:r>
      <w:r w:rsidRPr="00F914AD">
        <w:rPr>
          <w:rFonts w:ascii="Verdana" w:hAnsi="Verdana" w:cs="Arial"/>
          <w:sz w:val="14"/>
          <w:szCs w:val="14"/>
        </w:rPr>
        <w:t xml:space="preserve"> De conformidad con lo indicado en la Guía, e</w:t>
      </w:r>
      <w:r w:rsidRPr="00F914AD">
        <w:rPr>
          <w:rFonts w:ascii="Verdana" w:hAnsi="Verdana" w:cs="Arial"/>
          <w:sz w:val="14"/>
          <w:szCs w:val="14"/>
          <w:lang w:val="es-ES"/>
        </w:rPr>
        <w:t>l MAE hace parte de la Política de Compras y Contratación Pública, enmarcada dentro del Modelo Integrado de Planeación y Gestión- MIPG, y se articula con las demás buenas prácticas y herramientas usadas en los procesos de compra y contratación estatal que han sido desarrolladas por la Agencia Nacional de Contratación Pública – Colombia Compra Eficiente, con el fin de generar una mayor eficiencia, transparencia y optimización de los recursos del Estado.</w:t>
      </w:r>
    </w:p>
  </w:footnote>
  <w:footnote w:id="17">
    <w:p w14:paraId="54839199" w14:textId="77777777" w:rsidR="00BC186A" w:rsidRPr="00F914AD" w:rsidRDefault="00BC186A" w:rsidP="00BC186A">
      <w:pPr>
        <w:pStyle w:val="Textonotapie"/>
        <w:ind w:firstLine="708"/>
        <w:jc w:val="both"/>
        <w:rPr>
          <w:rFonts w:ascii="Verdana" w:hAnsi="Verdana" w:cs="Arial"/>
          <w:sz w:val="14"/>
          <w:szCs w:val="14"/>
        </w:rPr>
      </w:pPr>
      <w:r w:rsidRPr="00F914AD">
        <w:rPr>
          <w:rStyle w:val="Refdenotaalpie"/>
          <w:rFonts w:ascii="Verdana" w:hAnsi="Verdana" w:cs="Arial"/>
          <w:sz w:val="14"/>
          <w:szCs w:val="14"/>
        </w:rPr>
        <w:footnoteRef/>
      </w:r>
      <w:r w:rsidRPr="00F914AD">
        <w:rPr>
          <w:rFonts w:ascii="Verdana" w:hAnsi="Verdana" w:cs="Arial"/>
          <w:sz w:val="14"/>
          <w:szCs w:val="14"/>
        </w:rPr>
        <w:t xml:space="preserve"> Consejo de Estado. Sala de lo Contencioso Administrativo. Sección Tercera. Subsección B. Sentencia del 27 de abril de 2011. </w:t>
      </w:r>
      <w:proofErr w:type="spellStart"/>
      <w:r w:rsidRPr="00F914AD">
        <w:rPr>
          <w:rFonts w:ascii="Verdana" w:hAnsi="Verdana" w:cs="Arial"/>
          <w:sz w:val="14"/>
          <w:szCs w:val="14"/>
        </w:rPr>
        <w:t>Exp</w:t>
      </w:r>
      <w:proofErr w:type="spellEnd"/>
      <w:r w:rsidRPr="00F914AD">
        <w:rPr>
          <w:rFonts w:ascii="Verdana" w:hAnsi="Verdana" w:cs="Arial"/>
          <w:sz w:val="14"/>
          <w:szCs w:val="14"/>
        </w:rPr>
        <w:t>. 18.293. C.P. Ruth Stella Correa Palacio.</w:t>
      </w:r>
    </w:p>
    <w:p w14:paraId="56757D1D" w14:textId="77777777" w:rsidR="00BC186A" w:rsidRPr="00F914AD" w:rsidRDefault="00BC186A" w:rsidP="00BC186A">
      <w:pPr>
        <w:pStyle w:val="Textonotapie"/>
        <w:ind w:firstLine="708"/>
        <w:jc w:val="both"/>
        <w:rPr>
          <w:rFonts w:ascii="Verdana" w:hAnsi="Verdana" w:cs="Arial"/>
          <w:sz w:val="14"/>
          <w:szCs w:val="14"/>
        </w:rPr>
      </w:pPr>
    </w:p>
  </w:footnote>
  <w:footnote w:id="18">
    <w:p w14:paraId="744D95E7" w14:textId="77777777" w:rsidR="00BC186A" w:rsidRPr="00F914AD" w:rsidRDefault="00BC186A" w:rsidP="00BC186A">
      <w:pPr>
        <w:pStyle w:val="Textonotapie"/>
        <w:ind w:firstLine="709"/>
        <w:jc w:val="both"/>
        <w:rPr>
          <w:rFonts w:ascii="Verdana" w:hAnsi="Verdana"/>
          <w:sz w:val="14"/>
          <w:szCs w:val="14"/>
        </w:rPr>
      </w:pPr>
      <w:r w:rsidRPr="00F914AD">
        <w:rPr>
          <w:rStyle w:val="Refdenotaalpie"/>
          <w:rFonts w:ascii="Verdana" w:hAnsi="Verdana"/>
          <w:sz w:val="14"/>
          <w:szCs w:val="14"/>
        </w:rPr>
        <w:footnoteRef/>
      </w:r>
      <w:r w:rsidRPr="00F914AD">
        <w:rPr>
          <w:rFonts w:ascii="Verdana" w:hAnsi="Verdana"/>
          <w:sz w:val="14"/>
          <w:szCs w:val="14"/>
        </w:rPr>
        <w:t xml:space="preserve"> Consejo de Estado. Sala de lo Contencioso Administrativo. Sección Tercera. Subsección C. Sentencia del 24 de abril de 2013. Radicado: </w:t>
      </w:r>
      <w:r w:rsidRPr="00F914AD">
        <w:rPr>
          <w:rFonts w:ascii="Verdana" w:hAnsi="Verdana"/>
          <w:sz w:val="14"/>
          <w:szCs w:val="14"/>
          <w:lang w:val="es-CO"/>
        </w:rPr>
        <w:t xml:space="preserve">68001-23-15-000-1998-01743-01 (27315). C.P: Jaime Orlando Santofimio Gamboa.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0"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1"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FB830D6"/>
    <w:multiLevelType w:val="hybridMultilevel"/>
    <w:tmpl w:val="A3709908"/>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C425CC"/>
    <w:multiLevelType w:val="hybridMultilevel"/>
    <w:tmpl w:val="C7D6E1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F24ED3"/>
    <w:multiLevelType w:val="hybridMultilevel"/>
    <w:tmpl w:val="A1E433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1"/>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9"/>
  </w:num>
  <w:num w:numId="12" w16cid:durableId="1470781324">
    <w:abstractNumId w:val="0"/>
  </w:num>
  <w:num w:numId="13" w16cid:durableId="1512908409">
    <w:abstractNumId w:val="3"/>
  </w:num>
  <w:num w:numId="14" w16cid:durableId="895897244">
    <w:abstractNumId w:val="15"/>
  </w:num>
  <w:num w:numId="15" w16cid:durableId="390349800">
    <w:abstractNumId w:val="11"/>
  </w:num>
  <w:num w:numId="16" w16cid:durableId="2096783641">
    <w:abstractNumId w:val="8"/>
  </w:num>
  <w:num w:numId="17" w16cid:durableId="1071855929">
    <w:abstractNumId w:val="2"/>
  </w:num>
  <w:num w:numId="18" w16cid:durableId="19454593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7C13"/>
    <w:rsid w:val="00016F78"/>
    <w:rsid w:val="00021A3A"/>
    <w:rsid w:val="00046945"/>
    <w:rsid w:val="00061B2A"/>
    <w:rsid w:val="00065BB7"/>
    <w:rsid w:val="00066EDE"/>
    <w:rsid w:val="00082362"/>
    <w:rsid w:val="000A683E"/>
    <w:rsid w:val="000B019B"/>
    <w:rsid w:val="000B19B9"/>
    <w:rsid w:val="000D0334"/>
    <w:rsid w:val="000D3CB7"/>
    <w:rsid w:val="000D5DA7"/>
    <w:rsid w:val="000F2C49"/>
    <w:rsid w:val="000F6486"/>
    <w:rsid w:val="00106977"/>
    <w:rsid w:val="0011009C"/>
    <w:rsid w:val="00116940"/>
    <w:rsid w:val="00125105"/>
    <w:rsid w:val="00127233"/>
    <w:rsid w:val="0015699B"/>
    <w:rsid w:val="001569B1"/>
    <w:rsid w:val="001569F4"/>
    <w:rsid w:val="00167B8C"/>
    <w:rsid w:val="00172FA0"/>
    <w:rsid w:val="001A2858"/>
    <w:rsid w:val="001A33BF"/>
    <w:rsid w:val="001A352B"/>
    <w:rsid w:val="001B5C4C"/>
    <w:rsid w:val="001D184E"/>
    <w:rsid w:val="001D4DCD"/>
    <w:rsid w:val="001E4177"/>
    <w:rsid w:val="001F0B24"/>
    <w:rsid w:val="001F7DC6"/>
    <w:rsid w:val="0022139D"/>
    <w:rsid w:val="0022400B"/>
    <w:rsid w:val="002421BB"/>
    <w:rsid w:val="0024720B"/>
    <w:rsid w:val="00247886"/>
    <w:rsid w:val="0025796E"/>
    <w:rsid w:val="002707A2"/>
    <w:rsid w:val="00277337"/>
    <w:rsid w:val="002951A0"/>
    <w:rsid w:val="002962BC"/>
    <w:rsid w:val="002A093D"/>
    <w:rsid w:val="002A0DD0"/>
    <w:rsid w:val="002A49AC"/>
    <w:rsid w:val="002A5D6D"/>
    <w:rsid w:val="002A64FD"/>
    <w:rsid w:val="002A665D"/>
    <w:rsid w:val="002B0DD0"/>
    <w:rsid w:val="002B0FD4"/>
    <w:rsid w:val="002B7CFE"/>
    <w:rsid w:val="002C3E48"/>
    <w:rsid w:val="002C7A84"/>
    <w:rsid w:val="002D046A"/>
    <w:rsid w:val="002E2BF8"/>
    <w:rsid w:val="002E49D6"/>
    <w:rsid w:val="002E4FD9"/>
    <w:rsid w:val="002F2233"/>
    <w:rsid w:val="0030657A"/>
    <w:rsid w:val="00310BB0"/>
    <w:rsid w:val="00322A85"/>
    <w:rsid w:val="00324168"/>
    <w:rsid w:val="00330834"/>
    <w:rsid w:val="003369D8"/>
    <w:rsid w:val="003448F4"/>
    <w:rsid w:val="00352677"/>
    <w:rsid w:val="00374F5E"/>
    <w:rsid w:val="00377E3E"/>
    <w:rsid w:val="003A779E"/>
    <w:rsid w:val="003C7D71"/>
    <w:rsid w:val="003D0F4D"/>
    <w:rsid w:val="003D4188"/>
    <w:rsid w:val="003D5B0D"/>
    <w:rsid w:val="003E0499"/>
    <w:rsid w:val="003E1325"/>
    <w:rsid w:val="003E4F80"/>
    <w:rsid w:val="003E6439"/>
    <w:rsid w:val="003F3941"/>
    <w:rsid w:val="00400362"/>
    <w:rsid w:val="00406575"/>
    <w:rsid w:val="00414C74"/>
    <w:rsid w:val="0042722E"/>
    <w:rsid w:val="004333D6"/>
    <w:rsid w:val="0044528D"/>
    <w:rsid w:val="00445E76"/>
    <w:rsid w:val="0045378B"/>
    <w:rsid w:val="00466E39"/>
    <w:rsid w:val="004A1847"/>
    <w:rsid w:val="004A305D"/>
    <w:rsid w:val="004B35D0"/>
    <w:rsid w:val="004E29E6"/>
    <w:rsid w:val="004E4309"/>
    <w:rsid w:val="004F21C4"/>
    <w:rsid w:val="004F685F"/>
    <w:rsid w:val="005015AA"/>
    <w:rsid w:val="00507463"/>
    <w:rsid w:val="00510F0F"/>
    <w:rsid w:val="00537849"/>
    <w:rsid w:val="00540B85"/>
    <w:rsid w:val="005516AE"/>
    <w:rsid w:val="005566E8"/>
    <w:rsid w:val="00567848"/>
    <w:rsid w:val="00574867"/>
    <w:rsid w:val="005848B8"/>
    <w:rsid w:val="00591460"/>
    <w:rsid w:val="005A65E0"/>
    <w:rsid w:val="005C3777"/>
    <w:rsid w:val="005C4868"/>
    <w:rsid w:val="005C5CDC"/>
    <w:rsid w:val="005D476C"/>
    <w:rsid w:val="006200BF"/>
    <w:rsid w:val="006219F8"/>
    <w:rsid w:val="006302F7"/>
    <w:rsid w:val="00646B9F"/>
    <w:rsid w:val="0065506C"/>
    <w:rsid w:val="00665D70"/>
    <w:rsid w:val="006900D9"/>
    <w:rsid w:val="006B65F9"/>
    <w:rsid w:val="006D5641"/>
    <w:rsid w:val="006F26AC"/>
    <w:rsid w:val="006F5CC5"/>
    <w:rsid w:val="00706C16"/>
    <w:rsid w:val="00711325"/>
    <w:rsid w:val="007160C6"/>
    <w:rsid w:val="007254F5"/>
    <w:rsid w:val="007340C3"/>
    <w:rsid w:val="0075235A"/>
    <w:rsid w:val="00756841"/>
    <w:rsid w:val="007649AB"/>
    <w:rsid w:val="007673F4"/>
    <w:rsid w:val="00770878"/>
    <w:rsid w:val="00771D0C"/>
    <w:rsid w:val="007833AC"/>
    <w:rsid w:val="00793088"/>
    <w:rsid w:val="00795EE5"/>
    <w:rsid w:val="007B268C"/>
    <w:rsid w:val="007B7171"/>
    <w:rsid w:val="007C0C0F"/>
    <w:rsid w:val="007C3DC2"/>
    <w:rsid w:val="007D01E5"/>
    <w:rsid w:val="007D4BC9"/>
    <w:rsid w:val="007E097C"/>
    <w:rsid w:val="007E2AA9"/>
    <w:rsid w:val="007E5497"/>
    <w:rsid w:val="007F701B"/>
    <w:rsid w:val="00806F5F"/>
    <w:rsid w:val="00813B31"/>
    <w:rsid w:val="00820278"/>
    <w:rsid w:val="008258C9"/>
    <w:rsid w:val="008364AE"/>
    <w:rsid w:val="00844AE9"/>
    <w:rsid w:val="0084635B"/>
    <w:rsid w:val="008636D0"/>
    <w:rsid w:val="00867F95"/>
    <w:rsid w:val="008801E2"/>
    <w:rsid w:val="008843B6"/>
    <w:rsid w:val="00891928"/>
    <w:rsid w:val="008A446D"/>
    <w:rsid w:val="008B25F1"/>
    <w:rsid w:val="008D180B"/>
    <w:rsid w:val="008E7729"/>
    <w:rsid w:val="008F0EA7"/>
    <w:rsid w:val="00923EEF"/>
    <w:rsid w:val="009419F9"/>
    <w:rsid w:val="0095685E"/>
    <w:rsid w:val="00961B09"/>
    <w:rsid w:val="00965334"/>
    <w:rsid w:val="00967F4C"/>
    <w:rsid w:val="0097093E"/>
    <w:rsid w:val="00981682"/>
    <w:rsid w:val="00987630"/>
    <w:rsid w:val="009A0DFA"/>
    <w:rsid w:val="009A1C6F"/>
    <w:rsid w:val="009B2D26"/>
    <w:rsid w:val="009C71FA"/>
    <w:rsid w:val="009C72E7"/>
    <w:rsid w:val="009C7F7E"/>
    <w:rsid w:val="009D2E14"/>
    <w:rsid w:val="009D3058"/>
    <w:rsid w:val="009E04AC"/>
    <w:rsid w:val="009E06FF"/>
    <w:rsid w:val="009E4D56"/>
    <w:rsid w:val="009E53AD"/>
    <w:rsid w:val="009F3A13"/>
    <w:rsid w:val="00A122D3"/>
    <w:rsid w:val="00A14468"/>
    <w:rsid w:val="00A16678"/>
    <w:rsid w:val="00A17F13"/>
    <w:rsid w:val="00A20739"/>
    <w:rsid w:val="00A23AF9"/>
    <w:rsid w:val="00A24EA1"/>
    <w:rsid w:val="00A33C78"/>
    <w:rsid w:val="00A534CB"/>
    <w:rsid w:val="00A55462"/>
    <w:rsid w:val="00A829C7"/>
    <w:rsid w:val="00AB0ADB"/>
    <w:rsid w:val="00B00C0E"/>
    <w:rsid w:val="00B01B1A"/>
    <w:rsid w:val="00B0381D"/>
    <w:rsid w:val="00B44A47"/>
    <w:rsid w:val="00B72CD3"/>
    <w:rsid w:val="00B72FFF"/>
    <w:rsid w:val="00BA35FF"/>
    <w:rsid w:val="00BB3D16"/>
    <w:rsid w:val="00BC186A"/>
    <w:rsid w:val="00BC3D36"/>
    <w:rsid w:val="00BD53FD"/>
    <w:rsid w:val="00BD54A6"/>
    <w:rsid w:val="00BD7F72"/>
    <w:rsid w:val="00BE64C9"/>
    <w:rsid w:val="00BF7425"/>
    <w:rsid w:val="00C03217"/>
    <w:rsid w:val="00C04FB3"/>
    <w:rsid w:val="00C11D8B"/>
    <w:rsid w:val="00C15139"/>
    <w:rsid w:val="00C21416"/>
    <w:rsid w:val="00C330EB"/>
    <w:rsid w:val="00C372DD"/>
    <w:rsid w:val="00C50D69"/>
    <w:rsid w:val="00C5365C"/>
    <w:rsid w:val="00C732D4"/>
    <w:rsid w:val="00C73A8A"/>
    <w:rsid w:val="00C754BE"/>
    <w:rsid w:val="00C76B1C"/>
    <w:rsid w:val="00C77563"/>
    <w:rsid w:val="00C91AAF"/>
    <w:rsid w:val="00C925AC"/>
    <w:rsid w:val="00CA2110"/>
    <w:rsid w:val="00CA3123"/>
    <w:rsid w:val="00CB6357"/>
    <w:rsid w:val="00CC1275"/>
    <w:rsid w:val="00CC1B26"/>
    <w:rsid w:val="00CE5498"/>
    <w:rsid w:val="00CE7BAF"/>
    <w:rsid w:val="00CF524E"/>
    <w:rsid w:val="00D16A0F"/>
    <w:rsid w:val="00D361FD"/>
    <w:rsid w:val="00D423A2"/>
    <w:rsid w:val="00D44E26"/>
    <w:rsid w:val="00D520D8"/>
    <w:rsid w:val="00D52228"/>
    <w:rsid w:val="00D63AC2"/>
    <w:rsid w:val="00D72EA0"/>
    <w:rsid w:val="00D7383B"/>
    <w:rsid w:val="00D7788A"/>
    <w:rsid w:val="00DA070B"/>
    <w:rsid w:val="00DA231B"/>
    <w:rsid w:val="00DC39FC"/>
    <w:rsid w:val="00DC7F9B"/>
    <w:rsid w:val="00DF4860"/>
    <w:rsid w:val="00DF5254"/>
    <w:rsid w:val="00E02524"/>
    <w:rsid w:val="00E16408"/>
    <w:rsid w:val="00E20894"/>
    <w:rsid w:val="00E245AB"/>
    <w:rsid w:val="00E2764C"/>
    <w:rsid w:val="00E27F2E"/>
    <w:rsid w:val="00E34B74"/>
    <w:rsid w:val="00E368E7"/>
    <w:rsid w:val="00E47485"/>
    <w:rsid w:val="00E50AFE"/>
    <w:rsid w:val="00E7427B"/>
    <w:rsid w:val="00E75C92"/>
    <w:rsid w:val="00E771DC"/>
    <w:rsid w:val="00E82928"/>
    <w:rsid w:val="00E8772A"/>
    <w:rsid w:val="00E90F6B"/>
    <w:rsid w:val="00E92C27"/>
    <w:rsid w:val="00EA0E3D"/>
    <w:rsid w:val="00EA71E1"/>
    <w:rsid w:val="00EB39C3"/>
    <w:rsid w:val="00EC38A7"/>
    <w:rsid w:val="00EE1AA8"/>
    <w:rsid w:val="00EE422B"/>
    <w:rsid w:val="00EE4CD2"/>
    <w:rsid w:val="00EF6096"/>
    <w:rsid w:val="00EF6ECB"/>
    <w:rsid w:val="00F11C17"/>
    <w:rsid w:val="00F16AFF"/>
    <w:rsid w:val="00F23FEA"/>
    <w:rsid w:val="00F31EDC"/>
    <w:rsid w:val="00F462B3"/>
    <w:rsid w:val="00F5664F"/>
    <w:rsid w:val="00F666C4"/>
    <w:rsid w:val="00F76AFC"/>
    <w:rsid w:val="00F81B8A"/>
    <w:rsid w:val="00F84B0B"/>
    <w:rsid w:val="00F914AD"/>
    <w:rsid w:val="00FA083C"/>
    <w:rsid w:val="00FA47C0"/>
    <w:rsid w:val="00FB5DD1"/>
    <w:rsid w:val="00FC07EC"/>
    <w:rsid w:val="00FC2B5D"/>
    <w:rsid w:val="00FC7DC6"/>
    <w:rsid w:val="00FE1828"/>
    <w:rsid w:val="00FE4008"/>
    <w:rsid w:val="00FF1449"/>
    <w:rsid w:val="00FF7963"/>
    <w:rsid w:val="00FF7AF0"/>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A6D8221"/>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9810D5AD-ABD7-4541-93F1-F80FAB832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8636D0"/>
    <w:rPr>
      <w:rFonts w:ascii="Geomanist Light" w:hAnsi="Geomanist Light"/>
      <w:lang w:val="es-ES"/>
    </w:rPr>
  </w:style>
  <w:style w:type="paragraph" w:customStyle="1" w:styleId="Appelnotedebasde">
    <w:name w:val="Appel note de bas de..."/>
    <w:basedOn w:val="Normal"/>
    <w:link w:val="Refdenotaalpie"/>
    <w:uiPriority w:val="99"/>
    <w:rsid w:val="008636D0"/>
    <w:pPr>
      <w:spacing w:line="240" w:lineRule="exact"/>
    </w:pPr>
    <w:rPr>
      <w:vertAlign w:val="superscript"/>
    </w:rPr>
  </w:style>
  <w:style w:type="character" w:styleId="Refdecomentario">
    <w:name w:val="annotation reference"/>
    <w:basedOn w:val="Fuentedeprrafopredeter"/>
    <w:uiPriority w:val="99"/>
    <w:semiHidden/>
    <w:unhideWhenUsed/>
    <w:rsid w:val="009E06FF"/>
    <w:rPr>
      <w:sz w:val="16"/>
      <w:szCs w:val="16"/>
    </w:rPr>
  </w:style>
  <w:style w:type="paragraph" w:styleId="Textocomentario">
    <w:name w:val="annotation text"/>
    <w:basedOn w:val="Normal"/>
    <w:link w:val="TextocomentarioCar"/>
    <w:uiPriority w:val="99"/>
    <w:semiHidden/>
    <w:unhideWhenUsed/>
    <w:rsid w:val="009E06F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E06FF"/>
    <w:rPr>
      <w:sz w:val="20"/>
      <w:szCs w:val="20"/>
    </w:rPr>
  </w:style>
  <w:style w:type="paragraph" w:styleId="Asuntodelcomentario">
    <w:name w:val="annotation subject"/>
    <w:basedOn w:val="Textocomentario"/>
    <w:next w:val="Textocomentario"/>
    <w:link w:val="AsuntodelcomentarioCar"/>
    <w:uiPriority w:val="99"/>
    <w:semiHidden/>
    <w:unhideWhenUsed/>
    <w:rsid w:val="009E06FF"/>
    <w:rPr>
      <w:b/>
      <w:bCs/>
    </w:rPr>
  </w:style>
  <w:style w:type="character" w:customStyle="1" w:styleId="AsuntodelcomentarioCar">
    <w:name w:val="Asunto del comentario Car"/>
    <w:basedOn w:val="TextocomentarioCar"/>
    <w:link w:val="Asuntodelcomentario"/>
    <w:uiPriority w:val="99"/>
    <w:semiHidden/>
    <w:rsid w:val="009E06FF"/>
    <w:rPr>
      <w:b/>
      <w:bCs/>
      <w:sz w:val="20"/>
      <w:szCs w:val="20"/>
    </w:rPr>
  </w:style>
  <w:style w:type="paragraph" w:styleId="Subttulo">
    <w:name w:val="Subtitle"/>
    <w:basedOn w:val="Normal"/>
    <w:next w:val="Normal"/>
    <w:link w:val="SubttuloCar"/>
    <w:uiPriority w:val="11"/>
    <w:qFormat/>
    <w:rsid w:val="009E53A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E53AD"/>
    <w:rPr>
      <w:rFonts w:eastAsiaTheme="majorEastAsia" w:cstheme="majorBidi"/>
      <w:color w:val="595959" w:themeColor="text1" w:themeTint="A6"/>
      <w:spacing w:val="1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olombiacompra.gov.co/wp-content/uploads/2025/08/Guia-para-la-elaboracion-de-estudios-del-sector-Original-Firmado.pdf%20"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hyperlink" Target="https://www.superfinanciera.gov.co/publicaciones/10115953/superfinanciera-divulga-las-tarifas-maximas-del-soat-para-2026/" TargetMode="External"/><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srr2807@hotmail.com"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formacionvirtual.colombiacompra.gov.co/mod/page/view.php?id=3718"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colombiacompra.gov.co/pqrsd/informacion-importante-antes-de-formular-una-pqrs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superfinanciera.gov.co/publicaciones/10115953/superfinanciera-divulga-las-tarifas-maximas-del-soat-para-2026/" TargetMode="External"/><Relationship Id="rId1" Type="http://schemas.openxmlformats.org/officeDocument/2006/relationships/hyperlink" Target="https://www.superfinanciera.gov.co/publicaciones/10115953/superfinanciera-divulga-las-tarifas-maximas-del-soat-para-202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44F7DF-980D-4B08-8DBF-C03D1ADD689D}"/>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130</TotalTime>
  <Pages>29</Pages>
  <Words>10051</Words>
  <Characters>55286</Characters>
  <Application>Microsoft Office Word</Application>
  <DocSecurity>0</DocSecurity>
  <Lines>460</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65207</CharactersWithSpaces>
  <SharedDoc>false</SharedDoc>
  <HLinks>
    <vt:vector size="72" baseType="variant">
      <vt:variant>
        <vt:i4>4456513</vt:i4>
      </vt:variant>
      <vt:variant>
        <vt:i4>24</vt:i4>
      </vt:variant>
      <vt:variant>
        <vt:i4>0</vt:i4>
      </vt:variant>
      <vt:variant>
        <vt:i4>5</vt:i4>
      </vt:variant>
      <vt:variant>
        <vt:lpwstr>https://forms.office.com/r/pPHyWVs2SZ</vt:lpwstr>
      </vt:variant>
      <vt:variant>
        <vt:lpwstr/>
      </vt:variant>
      <vt:variant>
        <vt:i4>3407926</vt:i4>
      </vt:variant>
      <vt:variant>
        <vt:i4>21</vt:i4>
      </vt:variant>
      <vt:variant>
        <vt:i4>0</vt:i4>
      </vt:variant>
      <vt:variant>
        <vt:i4>5</vt:i4>
      </vt:variant>
      <vt:variant>
        <vt:lpwstr>https://www.colombiacompra.gov.co/pqrsd/informacion-importante-antes-de-formular-una-pqrsd</vt:lpwstr>
      </vt:variant>
      <vt:variant>
        <vt:lpwstr/>
      </vt:variant>
      <vt:variant>
        <vt:i4>4980779</vt:i4>
      </vt:variant>
      <vt:variant>
        <vt:i4>18</vt:i4>
      </vt:variant>
      <vt:variant>
        <vt:i4>0</vt:i4>
      </vt:variant>
      <vt:variant>
        <vt:i4>5</vt:i4>
      </vt:variant>
      <vt:variant>
        <vt:lpwstr>mailto:ventanilladeradicacion@colombiacompra.gov.co</vt:lpwstr>
      </vt:variant>
      <vt:variant>
        <vt:lpwstr/>
      </vt:variant>
      <vt:variant>
        <vt:i4>5505101</vt:i4>
      </vt:variant>
      <vt:variant>
        <vt:i4>15</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12</vt:i4>
      </vt:variant>
      <vt:variant>
        <vt:i4>0</vt:i4>
      </vt:variant>
      <vt:variant>
        <vt:i4>5</vt:i4>
      </vt:variant>
      <vt:variant>
        <vt:lpwstr>https://www.colombiacompra.gov.co/normativa-y-relatoria/documentos-tipo</vt:lpwstr>
      </vt:variant>
      <vt:variant>
        <vt:lpwstr/>
      </vt:variant>
      <vt:variant>
        <vt:i4>65544</vt:i4>
      </vt:variant>
      <vt:variant>
        <vt:i4>9</vt:i4>
      </vt:variant>
      <vt:variant>
        <vt:i4>0</vt:i4>
      </vt:variant>
      <vt:variant>
        <vt:i4>5</vt:i4>
      </vt:variant>
      <vt:variant>
        <vt:lpwstr>https://formacionvirtual.colombiacompra.gov.co/mod/page/view.php?id=3718</vt:lpwstr>
      </vt:variant>
      <vt:variant>
        <vt:lpwstr/>
      </vt:variant>
      <vt:variant>
        <vt:i4>7471218</vt:i4>
      </vt:variant>
      <vt:variant>
        <vt:i4>6</vt:i4>
      </vt:variant>
      <vt:variant>
        <vt:i4>0</vt:i4>
      </vt:variant>
      <vt:variant>
        <vt:i4>5</vt:i4>
      </vt:variant>
      <vt:variant>
        <vt:lpwstr>https://relatoria.colombiacompra.gov.co/busqueda/conceptos</vt:lpwstr>
      </vt:variant>
      <vt:variant>
        <vt:lpwstr/>
      </vt:variant>
      <vt:variant>
        <vt:i4>4456453</vt:i4>
      </vt:variant>
      <vt:variant>
        <vt:i4>3</vt:i4>
      </vt:variant>
      <vt:variant>
        <vt:i4>0</vt:i4>
      </vt:variant>
      <vt:variant>
        <vt:i4>5</vt:i4>
      </vt:variant>
      <vt:variant>
        <vt:lpwstr>https://www.superfinanciera.gov.co/publicaciones/10115953/superfinanciera-divulga-las-tarifas-maximas-del-soat-para-2026/</vt:lpwstr>
      </vt:variant>
      <vt:variant>
        <vt:lpwstr/>
      </vt:variant>
      <vt:variant>
        <vt:i4>1638454</vt:i4>
      </vt:variant>
      <vt:variant>
        <vt:i4>0</vt:i4>
      </vt:variant>
      <vt:variant>
        <vt:i4>0</vt:i4>
      </vt:variant>
      <vt:variant>
        <vt:i4>5</vt:i4>
      </vt:variant>
      <vt:variant>
        <vt:lpwstr>mailto:asrr2807@hotmail.com</vt:lpwstr>
      </vt:variant>
      <vt:variant>
        <vt:lpwstr/>
      </vt:variant>
      <vt:variant>
        <vt:i4>917596</vt:i4>
      </vt:variant>
      <vt:variant>
        <vt:i4>6</vt:i4>
      </vt:variant>
      <vt:variant>
        <vt:i4>0</vt:i4>
      </vt:variant>
      <vt:variant>
        <vt:i4>5</vt:i4>
      </vt:variant>
      <vt:variant>
        <vt:lpwstr>https://colombiacompra.gov.co/wp-content/uploads/2025/08/Guia-para-la-elaboracion-de-estudios-del-sector-Original-Firmado.pdf</vt:lpwstr>
      </vt:variant>
      <vt:variant>
        <vt:lpwstr/>
      </vt:variant>
      <vt:variant>
        <vt:i4>4456453</vt:i4>
      </vt:variant>
      <vt:variant>
        <vt:i4>3</vt:i4>
      </vt:variant>
      <vt:variant>
        <vt:i4>0</vt:i4>
      </vt:variant>
      <vt:variant>
        <vt:i4>5</vt:i4>
      </vt:variant>
      <vt:variant>
        <vt:lpwstr>https://www.superfinanciera.gov.co/publicaciones/10115953/superfinanciera-divulga-las-tarifas-maximas-del-soat-para-2026/</vt:lpwstr>
      </vt:variant>
      <vt:variant>
        <vt:lpwstr/>
      </vt:variant>
      <vt:variant>
        <vt:i4>4456453</vt:i4>
      </vt:variant>
      <vt:variant>
        <vt:i4>0</vt:i4>
      </vt:variant>
      <vt:variant>
        <vt:i4>0</vt:i4>
      </vt:variant>
      <vt:variant>
        <vt:i4>5</vt:i4>
      </vt:variant>
      <vt:variant>
        <vt:lpwstr>https://www.superfinanciera.gov.co/publicaciones/10115953/superfinanciera-divulga-las-tarifas-maximas-del-soat-para-2026/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Esperanza Contreras Pedreros</cp:lastModifiedBy>
  <cp:revision>6</cp:revision>
  <cp:lastPrinted>2023-01-10T18:18:00Z</cp:lastPrinted>
  <dcterms:created xsi:type="dcterms:W3CDTF">2026-07-16T15:59:00Z</dcterms:created>
  <dcterms:modified xsi:type="dcterms:W3CDTF">2026-07-17T15:55:00Z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