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7A88D" w14:textId="10E92523" w:rsidR="008C687D" w:rsidRDefault="00C05C7B" w:rsidP="00C05C7B">
      <w:pPr>
        <w:pStyle w:val="Textoindependiente"/>
        <w:ind w:right="307"/>
        <w:jc w:val="both"/>
        <w:rPr>
          <w:rFonts w:ascii="Verdana" w:eastAsia="Calibri" w:hAnsi="Verdana"/>
          <w:b/>
          <w:bCs/>
          <w:lang w:val="es-MX"/>
        </w:rPr>
      </w:pPr>
      <w:bookmarkStart w:id="0" w:name="_Hlk143780582"/>
      <w:r w:rsidRPr="008C687D">
        <w:rPr>
          <w:rFonts w:ascii="Verdana" w:hAnsi="Verdana"/>
          <w:b/>
          <w:bCs/>
        </w:rPr>
        <w:t xml:space="preserve">LEY DE GARANTÍAS ELECTORALES - </w:t>
      </w:r>
      <w:r w:rsidRPr="008C687D">
        <w:rPr>
          <w:rFonts w:ascii="Verdana" w:eastAsia="Calibri" w:hAnsi="Verdana"/>
          <w:b/>
          <w:bCs/>
          <w:lang w:val="es-MX"/>
        </w:rPr>
        <w:t>Prohibición artículo 33 ‒ Contratación directa ‒ Alcance</w:t>
      </w:r>
    </w:p>
    <w:p w14:paraId="641CF47D" w14:textId="5C074892" w:rsidR="00F144AC" w:rsidRPr="00F144AC" w:rsidRDefault="00F144AC" w:rsidP="00F144AC">
      <w:pPr>
        <w:pStyle w:val="Textoindependiente"/>
        <w:spacing w:before="240"/>
        <w:ind w:right="307"/>
        <w:jc w:val="both"/>
        <w:rPr>
          <w:rFonts w:ascii="Verdana" w:eastAsia="Calibri" w:hAnsi="Verdana"/>
          <w:b/>
          <w:bCs/>
          <w:sz w:val="20"/>
          <w:szCs w:val="20"/>
          <w:lang w:val="es-MX"/>
        </w:rPr>
      </w:pPr>
      <w:r>
        <w:rPr>
          <w:rFonts w:ascii="Verdana" w:eastAsia="Calibri" w:hAnsi="Verdana"/>
          <w:sz w:val="20"/>
          <w:szCs w:val="20"/>
        </w:rPr>
        <w:t xml:space="preserve">[…] </w:t>
      </w:r>
      <w:r w:rsidRPr="00F144AC">
        <w:rPr>
          <w:rFonts w:ascii="Verdana" w:eastAsia="Calibri" w:hAnsi="Verdana"/>
          <w:sz w:val="20"/>
          <w:szCs w:val="20"/>
        </w:rPr>
        <w:t>el artículo 33 de la Ley 996 de 2005 prohíbe “[…] la contratación directa por parte de todos los entes del Estado” durante los cuatro (4) meses anteriores a las elecciones presidenciales, salvo “[…]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p>
    <w:p w14:paraId="384AA7A4" w14:textId="77777777" w:rsidR="00974FC9" w:rsidRPr="008C687D" w:rsidRDefault="00974FC9" w:rsidP="00C05C7B">
      <w:pPr>
        <w:pStyle w:val="Textoindependiente"/>
        <w:ind w:right="307"/>
        <w:jc w:val="both"/>
        <w:rPr>
          <w:rFonts w:ascii="Verdana" w:eastAsia="Calibri" w:hAnsi="Verdana"/>
          <w:b/>
          <w:bCs/>
          <w:lang w:val="es-MX"/>
        </w:rPr>
      </w:pPr>
    </w:p>
    <w:p w14:paraId="54F98D98" w14:textId="33B1B2B1" w:rsidR="008C687D" w:rsidRDefault="00C05C7B" w:rsidP="00C05C7B">
      <w:pPr>
        <w:pStyle w:val="Textoindependiente"/>
        <w:ind w:right="307"/>
        <w:jc w:val="both"/>
        <w:rPr>
          <w:rFonts w:ascii="Verdana" w:eastAsia="Calibri" w:hAnsi="Verdana"/>
          <w:b/>
          <w:bCs/>
          <w:lang w:val="es-MX"/>
        </w:rPr>
      </w:pPr>
      <w:r w:rsidRPr="008C687D">
        <w:rPr>
          <w:rFonts w:ascii="Verdana" w:eastAsia="Calibri" w:hAnsi="Verdana"/>
          <w:b/>
          <w:bCs/>
          <w:lang w:val="es-MX"/>
        </w:rPr>
        <w:t>LEY DE GARANTÍAS ELECTORALES ─ Prohibición artículo 38</w:t>
      </w:r>
    </w:p>
    <w:p w14:paraId="5EDD720D" w14:textId="1BF6B95B" w:rsidR="00AA7C02" w:rsidRPr="00AA7C02" w:rsidRDefault="00AA7C02" w:rsidP="00AA7C02">
      <w:pPr>
        <w:pStyle w:val="Textoindependiente"/>
        <w:spacing w:before="240"/>
        <w:ind w:right="307"/>
        <w:jc w:val="both"/>
        <w:rPr>
          <w:rFonts w:ascii="Verdana" w:eastAsia="Calibri" w:hAnsi="Verdana"/>
          <w:b/>
          <w:bCs/>
          <w:sz w:val="20"/>
          <w:szCs w:val="20"/>
          <w:lang w:val="es-MX"/>
        </w:rPr>
      </w:pPr>
      <w:r w:rsidRPr="00AA7C02">
        <w:rPr>
          <w:rFonts w:ascii="Verdana" w:eastAsia="Calibri" w:hAnsi="Verdana"/>
          <w:sz w:val="20"/>
          <w:szCs w:val="20"/>
        </w:rPr>
        <w:t xml:space="preserve">[…] </w:t>
      </w:r>
      <w:r w:rsidRPr="00AA7C02">
        <w:rPr>
          <w:rFonts w:ascii="Verdana" w:eastAsia="Calibri" w:hAnsi="Verdana"/>
          <w:sz w:val="20"/>
          <w:szCs w:val="20"/>
        </w:rPr>
        <w:t xml:space="preserve">el parágrafo del artículo 38 de la Ley 996 de 2005 prevé una restricción, aplicable respecto de cualquier tipo de contienda electoral, que prohíbe a los gobernadores, alcaldes municipales o distritales, secretarios, gerentes y directores de entidades descentralizadas del orden municipal, departamental o distrital “[…] </w:t>
      </w:r>
      <w:r w:rsidRPr="00AA7C02">
        <w:rPr>
          <w:rFonts w:ascii="Verdana" w:eastAsia="Calibri" w:hAnsi="Verdana"/>
          <w:sz w:val="20"/>
          <w:szCs w:val="20"/>
          <w:lang w:val="es-MX"/>
        </w:rPr>
        <w:t>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AA7C02">
        <w:rPr>
          <w:rFonts w:ascii="Verdana" w:eastAsia="Calibri" w:hAnsi="Verdana"/>
          <w:sz w:val="20"/>
          <w:szCs w:val="20"/>
        </w:rPr>
        <w:t>”</w:t>
      </w:r>
    </w:p>
    <w:p w14:paraId="7019038A" w14:textId="77777777" w:rsidR="00974FC9" w:rsidRPr="008C687D" w:rsidRDefault="00974FC9" w:rsidP="00C05C7B">
      <w:pPr>
        <w:pStyle w:val="Textoindependiente"/>
        <w:ind w:right="307"/>
        <w:jc w:val="both"/>
        <w:rPr>
          <w:rFonts w:ascii="Verdana" w:eastAsia="Calibri" w:hAnsi="Verdana"/>
          <w:b/>
          <w:bCs/>
          <w:lang w:eastAsia="es-ES"/>
        </w:rPr>
      </w:pPr>
    </w:p>
    <w:p w14:paraId="44E324B0" w14:textId="2799DE80" w:rsidR="00C05C7B" w:rsidRDefault="00C05C7B" w:rsidP="00C05C7B">
      <w:pPr>
        <w:pStyle w:val="Textoindependiente"/>
        <w:ind w:right="307"/>
        <w:jc w:val="both"/>
        <w:rPr>
          <w:rFonts w:ascii="Verdana" w:hAnsi="Verdana"/>
          <w:b/>
          <w:bCs/>
        </w:rPr>
      </w:pPr>
      <w:r w:rsidRPr="008C687D">
        <w:rPr>
          <w:rFonts w:ascii="Verdana" w:hAnsi="Verdana"/>
          <w:b/>
          <w:bCs/>
        </w:rPr>
        <w:t>CONTRATO DE COMODATO – Reglas vigentes</w:t>
      </w:r>
    </w:p>
    <w:p w14:paraId="736034B6" w14:textId="41C7C352" w:rsidR="00FC165E" w:rsidRPr="00FC165E" w:rsidRDefault="00FC165E" w:rsidP="00FC165E">
      <w:pPr>
        <w:spacing w:before="240" w:after="120" w:line="240" w:lineRule="auto"/>
        <w:jc w:val="both"/>
        <w:rPr>
          <w:rFonts w:ascii="Verdana" w:eastAsia="Calibri" w:hAnsi="Verdana" w:cs="Arial"/>
          <w:bCs/>
          <w:color w:val="000000" w:themeColor="text1"/>
          <w:sz w:val="20"/>
          <w:szCs w:val="20"/>
        </w:rPr>
      </w:pPr>
      <w:r w:rsidRPr="00FC165E">
        <w:rPr>
          <w:rFonts w:ascii="Verdana" w:eastAsia="Calibri" w:hAnsi="Verdana" w:cs="Arial"/>
          <w:bCs/>
          <w:color w:val="000000" w:themeColor="text1"/>
          <w:sz w:val="20"/>
          <w:szCs w:val="20"/>
        </w:rPr>
        <w:t xml:space="preserve">[…] </w:t>
      </w:r>
      <w:r w:rsidRPr="00FC165E">
        <w:rPr>
          <w:rFonts w:ascii="Verdana" w:eastAsia="Calibri" w:hAnsi="Verdana" w:cs="Arial"/>
          <w:bCs/>
          <w:color w:val="000000" w:themeColor="text1"/>
          <w:sz w:val="20"/>
          <w:szCs w:val="20"/>
        </w:rPr>
        <w:t>el comodato está previsto en el título XXIX del Código Civil, en cuyo artículo 2200 lo define como aquel en que “[…] una de las partes entrega a la otra gratuitamente una especie mueble o raíz, para que haga uso de ella y con cargo de restituir la misma especie después de terminar el uso”. En virtud de esta definición, se desprende su carácter de contrato nominado, principal, real, unilateral y gratuit</w:t>
      </w:r>
      <w:r w:rsidRPr="00FC165E">
        <w:rPr>
          <w:rFonts w:ascii="Verdana" w:eastAsia="Calibri" w:hAnsi="Verdana" w:cs="Arial"/>
          <w:bCs/>
          <w:color w:val="000000" w:themeColor="text1"/>
          <w:sz w:val="20"/>
          <w:szCs w:val="20"/>
        </w:rPr>
        <w:t xml:space="preserve">o. </w:t>
      </w:r>
      <w:r w:rsidRPr="00FC165E">
        <w:rPr>
          <w:rFonts w:ascii="Verdana" w:eastAsia="Calibri" w:hAnsi="Verdana" w:cs="Arial"/>
          <w:bCs/>
          <w:color w:val="000000" w:themeColor="text1"/>
          <w:sz w:val="20"/>
          <w:szCs w:val="20"/>
        </w:rPr>
        <w:t xml:space="preserve">También se le ha denominado a este negocio jurídico como préstamo de uso, aunque con características propias y completamente diferente al préstamo de consumo. </w:t>
      </w:r>
    </w:p>
    <w:p w14:paraId="4CD3206E" w14:textId="036DFC2C" w:rsidR="00FC165E" w:rsidRPr="00FC165E" w:rsidRDefault="00FC165E" w:rsidP="00FC165E">
      <w:pPr>
        <w:spacing w:after="120" w:line="240" w:lineRule="auto"/>
        <w:jc w:val="both"/>
        <w:rPr>
          <w:rFonts w:ascii="Verdana" w:eastAsia="Calibri" w:hAnsi="Verdana" w:cs="Arial"/>
          <w:bCs/>
          <w:color w:val="000000" w:themeColor="text1"/>
          <w:sz w:val="20"/>
          <w:szCs w:val="20"/>
        </w:rPr>
      </w:pPr>
      <w:r w:rsidRPr="00FC165E">
        <w:rPr>
          <w:rFonts w:ascii="Verdana" w:eastAsia="Calibri" w:hAnsi="Verdana" w:cs="Arial"/>
          <w:bCs/>
          <w:color w:val="000000" w:themeColor="text1"/>
          <w:sz w:val="20"/>
          <w:szCs w:val="20"/>
        </w:rPr>
        <w:t xml:space="preserve">De igual manera, el artículo 2201 del Código Civil regula lo relacionado con los derechos del comodante. Al respecto, establece que el comodato no trasfiere el dominio de la cosa dada en comodato y, por ello, “El comodante conserva sobre la cosa prestada todos los derechos que antes tenía, pero no su ejercicio, en cuanto fuere incompatible con el uso concedido al comodatario”. Por lo tanto, el comodatario es un mero tenedor de la cosa y, en los términos del artículo 2205 </w:t>
      </w:r>
      <w:r w:rsidRPr="00FC165E">
        <w:rPr>
          <w:rFonts w:ascii="Verdana" w:eastAsia="Calibri" w:hAnsi="Verdana" w:cs="Arial"/>
          <w:bCs/>
          <w:i/>
          <w:iCs/>
          <w:color w:val="000000" w:themeColor="text1"/>
          <w:sz w:val="20"/>
          <w:szCs w:val="20"/>
        </w:rPr>
        <w:t>ibidem</w:t>
      </w:r>
      <w:r w:rsidRPr="00FC165E">
        <w:rPr>
          <w:rFonts w:ascii="Verdana" w:eastAsia="Calibri" w:hAnsi="Verdana" w:cs="Arial"/>
          <w:bCs/>
          <w:color w:val="000000" w:themeColor="text1"/>
          <w:sz w:val="20"/>
          <w:szCs w:val="20"/>
        </w:rPr>
        <w:t>, está obligado a la restitución del bien entregado en comodato al vencimiento del plazo o cuando se ha cumplido el servicio para el cual ha sido prestad</w:t>
      </w:r>
      <w:r w:rsidRPr="00FC165E">
        <w:rPr>
          <w:rFonts w:ascii="Verdana" w:eastAsia="Calibri" w:hAnsi="Verdana" w:cs="Arial"/>
          <w:bCs/>
          <w:color w:val="000000" w:themeColor="text1"/>
          <w:sz w:val="20"/>
          <w:szCs w:val="20"/>
        </w:rPr>
        <w:t>a.</w:t>
      </w:r>
      <w:r w:rsidRPr="00FC165E">
        <w:rPr>
          <w:rFonts w:ascii="Verdana" w:eastAsia="Calibri" w:hAnsi="Verdana" w:cs="Arial"/>
          <w:bCs/>
          <w:color w:val="000000" w:themeColor="text1"/>
          <w:sz w:val="20"/>
          <w:szCs w:val="20"/>
        </w:rPr>
        <w:t xml:space="preserve"> </w:t>
      </w:r>
    </w:p>
    <w:p w14:paraId="5354B2E7" w14:textId="5A8FEE9B" w:rsidR="00FC165E" w:rsidRPr="00FC165E" w:rsidRDefault="00FC165E" w:rsidP="00FC165E">
      <w:pPr>
        <w:pStyle w:val="Textoindependiente"/>
        <w:ind w:right="307"/>
        <w:jc w:val="both"/>
        <w:rPr>
          <w:rFonts w:ascii="Verdana" w:hAnsi="Verdana"/>
          <w:b/>
          <w:bCs/>
          <w:sz w:val="20"/>
          <w:szCs w:val="20"/>
        </w:rPr>
      </w:pPr>
      <w:r w:rsidRPr="00FC165E">
        <w:rPr>
          <w:rFonts w:ascii="Verdana" w:eastAsia="Calibri" w:hAnsi="Verdana"/>
          <w:bCs/>
          <w:color w:val="000000" w:themeColor="text1"/>
          <w:sz w:val="20"/>
          <w:szCs w:val="20"/>
        </w:rPr>
        <w:t xml:space="preserve">Conforme al artículo 2202 del Código Civil, el comodatario tendrá la obligación de emplear la cosa para el uso convenido, o a falta de acuerdo, está obligado a usar la </w:t>
      </w:r>
      <w:r w:rsidRPr="00FC165E">
        <w:rPr>
          <w:rFonts w:ascii="Verdana" w:eastAsia="Calibri" w:hAnsi="Verdana"/>
          <w:bCs/>
          <w:color w:val="000000" w:themeColor="text1"/>
          <w:sz w:val="20"/>
          <w:szCs w:val="20"/>
        </w:rPr>
        <w:lastRenderedPageBreak/>
        <w:t>cosa bajo el uso ordinario</w:t>
      </w:r>
      <w:r w:rsidRPr="00FC165E">
        <w:rPr>
          <w:rStyle w:val="Refdenotaalpie"/>
          <w:rFonts w:ascii="Verdana" w:eastAsia="Calibri" w:hAnsi="Verdana"/>
          <w:bCs/>
          <w:color w:val="000000" w:themeColor="text1"/>
          <w:sz w:val="20"/>
          <w:szCs w:val="20"/>
        </w:rPr>
        <w:footnoteReference w:id="1"/>
      </w:r>
      <w:r w:rsidRPr="00FC165E">
        <w:rPr>
          <w:rFonts w:ascii="Verdana" w:eastAsia="Calibri" w:hAnsi="Verdana"/>
          <w:bCs/>
          <w:color w:val="000000" w:themeColor="text1"/>
          <w:sz w:val="20"/>
          <w:szCs w:val="20"/>
        </w:rPr>
        <w:t>. De incumplir esta obligación, el comodante podrá exigir la reparación de perjuicios y la restitución inmediata de la cosa.</w:t>
      </w:r>
    </w:p>
    <w:p w14:paraId="11D8CAA7" w14:textId="6BE31E75" w:rsidR="00C05C7B" w:rsidRDefault="00C05C7B">
      <w:pPr>
        <w:rPr>
          <w:rFonts w:ascii="Verdana" w:eastAsia="Verdana" w:hAnsi="Verdana" w:cs="Verdana"/>
        </w:rPr>
      </w:pPr>
      <w:r>
        <w:rPr>
          <w:rFonts w:ascii="Verdana" w:eastAsia="Verdana" w:hAnsi="Verdana" w:cs="Verdana"/>
        </w:rPr>
        <w:br w:type="page"/>
      </w:r>
    </w:p>
    <w:p w14:paraId="1468C46D" w14:textId="320EBA27" w:rsidR="00C15139" w:rsidRPr="0024624F" w:rsidRDefault="00FE241E" w:rsidP="00C05C7B">
      <w:pPr>
        <w:rPr>
          <w:rFonts w:ascii="Verdana" w:eastAsia="Verdana" w:hAnsi="Verdana" w:cs="Verdana"/>
        </w:rPr>
      </w:pPr>
      <w:r w:rsidRPr="00FE241E">
        <w:rPr>
          <w:rFonts w:ascii="Verdana" w:hAnsi="Verdana"/>
        </w:rPr>
        <w:lastRenderedPageBreak/>
        <w:drawing>
          <wp:anchor distT="0" distB="0" distL="114300" distR="114300" simplePos="0" relativeHeight="251659264" behindDoc="1" locked="0" layoutInCell="1" allowOverlap="1" wp14:anchorId="48839480" wp14:editId="24213BFC">
            <wp:simplePos x="0" y="0"/>
            <wp:positionH relativeFrom="column">
              <wp:posOffset>2796540</wp:posOffset>
            </wp:positionH>
            <wp:positionV relativeFrom="paragraph">
              <wp:posOffset>5080</wp:posOffset>
            </wp:positionV>
            <wp:extent cx="2667000" cy="723900"/>
            <wp:effectExtent l="0" t="0" r="0" b="0"/>
            <wp:wrapNone/>
            <wp:docPr id="114748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4838" name=""/>
                    <pic:cNvPicPr/>
                  </pic:nvPicPr>
                  <pic:blipFill>
                    <a:blip r:embed="rId10">
                      <a:extLst>
                        <a:ext uri="{28A0092B-C50C-407E-A947-70E740481C1C}">
                          <a14:useLocalDpi xmlns:a14="http://schemas.microsoft.com/office/drawing/2010/main" val="0"/>
                        </a:ext>
                      </a:extLst>
                    </a:blip>
                    <a:stretch>
                      <a:fillRect/>
                    </a:stretch>
                  </pic:blipFill>
                  <pic:spPr>
                    <a:xfrm>
                      <a:off x="0" y="0"/>
                      <a:ext cx="2667000" cy="723900"/>
                    </a:xfrm>
                    <a:prstGeom prst="rect">
                      <a:avLst/>
                    </a:prstGeom>
                  </pic:spPr>
                </pic:pic>
              </a:graphicData>
            </a:graphic>
          </wp:anchor>
        </w:drawing>
      </w:r>
      <w:r w:rsidR="00C15139" w:rsidRPr="30821638">
        <w:rPr>
          <w:rFonts w:ascii="Verdana" w:eastAsia="Verdana" w:hAnsi="Verdana" w:cs="Verdana"/>
        </w:rPr>
        <w:t xml:space="preserve">Bogotá D.C., </w:t>
      </w:r>
      <w:r w:rsidR="00BB298A">
        <w:rPr>
          <w:rFonts w:ascii="Verdana" w:eastAsia="Verdana" w:hAnsi="Verdana" w:cs="Verdana"/>
        </w:rPr>
        <w:t>09 Julio 2026</w:t>
      </w:r>
      <w:r w:rsidR="00C15139" w:rsidRPr="0074251E">
        <w:rPr>
          <w:rFonts w:ascii="Verdana" w:hAnsi="Verdana"/>
        </w:rPr>
        <w:tab/>
      </w:r>
      <w:r w:rsidR="00C15139" w:rsidRPr="0074251E">
        <w:rPr>
          <w:rFonts w:ascii="Verdana" w:hAnsi="Verdana"/>
        </w:rPr>
        <w:br/>
      </w:r>
      <w:r w:rsidR="00C15139" w:rsidRPr="0074251E">
        <w:rPr>
          <w:rFonts w:ascii="Verdana" w:hAnsi="Verdana"/>
        </w:rPr>
        <w:tab/>
      </w:r>
    </w:p>
    <w:bookmarkEnd w:id="0"/>
    <w:p w14:paraId="4273E406" w14:textId="2944F626" w:rsidR="00162425" w:rsidRPr="00BE636B" w:rsidRDefault="00162425" w:rsidP="0074251E">
      <w:pPr>
        <w:spacing w:after="0" w:line="240" w:lineRule="auto"/>
        <w:rPr>
          <w:rFonts w:ascii="Verdana" w:eastAsia="Calibri" w:hAnsi="Verdana" w:cs="Arial"/>
          <w:lang w:eastAsia="es-ES"/>
        </w:rPr>
      </w:pPr>
      <w:r w:rsidRPr="00F926E2">
        <w:rPr>
          <w:rFonts w:ascii="Verdana" w:eastAsia="Calibri" w:hAnsi="Verdana" w:cs="Arial"/>
          <w:lang w:eastAsia="es-ES"/>
        </w:rPr>
        <w:t>Señor</w:t>
      </w:r>
    </w:p>
    <w:p w14:paraId="72FF8BC6" w14:textId="4E520A24" w:rsidR="00162425" w:rsidRPr="008E2DC6" w:rsidRDefault="00A66967" w:rsidP="00162425">
      <w:pPr>
        <w:spacing w:after="0" w:line="240" w:lineRule="auto"/>
        <w:rPr>
          <w:rFonts w:ascii="Verdana" w:eastAsia="Calibri" w:hAnsi="Verdana" w:cs="Arial"/>
          <w:b/>
          <w:lang w:eastAsia="es-ES_tradnl"/>
        </w:rPr>
      </w:pPr>
      <w:r>
        <w:rPr>
          <w:rFonts w:ascii="Verdana" w:eastAsia="Calibri" w:hAnsi="Verdana" w:cs="Arial"/>
          <w:b/>
          <w:lang w:eastAsia="es-ES_tradnl"/>
        </w:rPr>
        <w:t>Marco Tulio Triana Osorio</w:t>
      </w:r>
    </w:p>
    <w:p w14:paraId="50A223B7" w14:textId="3B6E1687" w:rsidR="00162425" w:rsidRDefault="00A66967" w:rsidP="00162425">
      <w:pPr>
        <w:spacing w:after="0" w:line="240" w:lineRule="auto"/>
        <w:rPr>
          <w:rFonts w:ascii="Verdana" w:hAnsi="Verdana"/>
        </w:rPr>
      </w:pPr>
      <w:hyperlink r:id="rId11" w:history="1">
        <w:r w:rsidRPr="009C0612">
          <w:rPr>
            <w:rStyle w:val="Hipervnculo"/>
            <w:rFonts w:ascii="Verdana" w:hAnsi="Verdana"/>
          </w:rPr>
          <w:t>talentohumano@guaduas-cundinamarca.gov.co</w:t>
        </w:r>
      </w:hyperlink>
    </w:p>
    <w:p w14:paraId="7740F5D3" w14:textId="385CD326" w:rsidR="00162425" w:rsidRPr="00BE636B" w:rsidRDefault="00667913" w:rsidP="00162425">
      <w:pPr>
        <w:spacing w:after="0" w:line="240" w:lineRule="auto"/>
        <w:rPr>
          <w:rFonts w:ascii="Verdana" w:hAnsi="Verdana"/>
        </w:rPr>
      </w:pPr>
      <w:r>
        <w:rPr>
          <w:rFonts w:ascii="Verdana" w:hAnsi="Verdana"/>
        </w:rPr>
        <w:t>Guaduas – Cundinamarca, Colombia</w:t>
      </w:r>
    </w:p>
    <w:p w14:paraId="12239166" w14:textId="77777777" w:rsidR="00162425" w:rsidRPr="008E2DC6" w:rsidRDefault="00162425" w:rsidP="00162425">
      <w:pPr>
        <w:spacing w:after="0" w:line="240" w:lineRule="auto"/>
        <w:rPr>
          <w:rFonts w:ascii="Verdana" w:eastAsia="Calibri" w:hAnsi="Verdana" w:cs="Arial"/>
          <w:b/>
          <w:bCs/>
          <w:color w:val="000000"/>
          <w:lang w:eastAsia="es-ES_tradnl"/>
        </w:rPr>
      </w:pPr>
    </w:p>
    <w:p w14:paraId="40D4A384" w14:textId="77777777" w:rsidR="006933D9" w:rsidRPr="006933D9" w:rsidRDefault="006933D9" w:rsidP="006933D9">
      <w:pPr>
        <w:spacing w:after="0" w:line="240" w:lineRule="auto"/>
        <w:rPr>
          <w:rFonts w:ascii="Verdana" w:eastAsia="Calibri" w:hAnsi="Verdana" w:cs="Arial"/>
          <w:b/>
          <w:bCs/>
          <w:color w:val="000000"/>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5670"/>
      </w:tblGrid>
      <w:tr w:rsidR="00162425" w:rsidRPr="00CE156C" w14:paraId="3CF6EF6C" w14:textId="77777777" w:rsidTr="003E67EC">
        <w:trPr>
          <w:trHeight w:val="162"/>
        </w:trPr>
        <w:tc>
          <w:tcPr>
            <w:tcW w:w="3119" w:type="dxa"/>
          </w:tcPr>
          <w:p w14:paraId="798D9F56" w14:textId="77777777" w:rsidR="00162425" w:rsidRPr="008E2DC6" w:rsidRDefault="00162425" w:rsidP="003E67EC">
            <w:pPr>
              <w:jc w:val="both"/>
              <w:rPr>
                <w:rFonts w:ascii="Verdana" w:eastAsia="Calibri" w:hAnsi="Verdana" w:cs="Arial"/>
                <w:b/>
                <w:bCs/>
                <w:color w:val="7030A0"/>
                <w:lang w:eastAsia="es-ES_tradnl"/>
              </w:rPr>
            </w:pPr>
          </w:p>
        </w:tc>
        <w:tc>
          <w:tcPr>
            <w:tcW w:w="5670" w:type="dxa"/>
          </w:tcPr>
          <w:p w14:paraId="4926A9AB" w14:textId="02CD3B93" w:rsidR="00162425" w:rsidRPr="00CE156C" w:rsidRDefault="00162425" w:rsidP="003E67EC">
            <w:pPr>
              <w:rPr>
                <w:rFonts w:ascii="Verdana" w:eastAsia="Calibri" w:hAnsi="Verdana" w:cs="Arial"/>
                <w:b/>
                <w:bCs/>
                <w:lang w:eastAsia="es-ES"/>
              </w:rPr>
            </w:pPr>
            <w:r w:rsidRPr="008E2DC6">
              <w:rPr>
                <w:rFonts w:ascii="Verdana" w:eastAsia="Calibri" w:hAnsi="Verdana" w:cs="Arial"/>
                <w:b/>
                <w:bCs/>
                <w:lang w:eastAsia="es-ES"/>
              </w:rPr>
              <w:t>Concepto C-</w:t>
            </w:r>
            <w:r w:rsidR="00610FFC">
              <w:rPr>
                <w:rFonts w:ascii="Verdana" w:eastAsia="Calibri" w:hAnsi="Verdana" w:cs="Arial"/>
                <w:b/>
                <w:bCs/>
                <w:lang w:eastAsia="es-ES"/>
              </w:rPr>
              <w:t>911</w:t>
            </w:r>
            <w:r w:rsidRPr="00CE156C">
              <w:rPr>
                <w:rFonts w:ascii="Verdana" w:eastAsia="Calibri" w:hAnsi="Verdana" w:cs="Arial"/>
                <w:b/>
                <w:bCs/>
                <w:lang w:eastAsia="es-ES"/>
              </w:rPr>
              <w:t xml:space="preserve"> de 2026</w:t>
            </w:r>
          </w:p>
          <w:p w14:paraId="6B47CFAC" w14:textId="77777777" w:rsidR="00162425" w:rsidRPr="00CE156C" w:rsidRDefault="00162425" w:rsidP="003E67EC">
            <w:pPr>
              <w:jc w:val="center"/>
              <w:rPr>
                <w:rFonts w:ascii="Verdana" w:eastAsia="Calibri" w:hAnsi="Verdana" w:cs="Arial"/>
                <w:b/>
                <w:bCs/>
                <w:color w:val="7030A0"/>
                <w:lang w:eastAsia="es-ES"/>
              </w:rPr>
            </w:pPr>
          </w:p>
        </w:tc>
      </w:tr>
      <w:tr w:rsidR="00162425" w:rsidRPr="00CE156C" w14:paraId="4CF1563D" w14:textId="77777777" w:rsidTr="003E67EC">
        <w:trPr>
          <w:trHeight w:val="884"/>
        </w:trPr>
        <w:tc>
          <w:tcPr>
            <w:tcW w:w="3119" w:type="dxa"/>
          </w:tcPr>
          <w:p w14:paraId="684BD87A" w14:textId="77777777" w:rsidR="00162425" w:rsidRPr="00F926E2" w:rsidRDefault="00162425" w:rsidP="003E67EC">
            <w:pPr>
              <w:jc w:val="both"/>
              <w:rPr>
                <w:rFonts w:ascii="Verdana" w:eastAsia="Calibri" w:hAnsi="Verdana" w:cs="Arial"/>
                <w:color w:val="000000"/>
                <w:lang w:eastAsia="es-ES_tradnl"/>
              </w:rPr>
            </w:pPr>
            <w:r w:rsidRPr="00CE156C">
              <w:rPr>
                <w:rFonts w:ascii="Verdana" w:eastAsia="Calibri" w:hAnsi="Verdana" w:cs="Arial"/>
                <w:b/>
                <w:color w:val="000000"/>
                <w:lang w:eastAsia="es-ES_tradnl"/>
              </w:rPr>
              <w:t>Temas:</w:t>
            </w:r>
            <w:r w:rsidRPr="00F07E96">
              <w:rPr>
                <w:rFonts w:ascii="Verdana" w:eastAsia="Calibri" w:hAnsi="Verdana" w:cs="Arial"/>
                <w:color w:val="000000"/>
                <w:lang w:eastAsia="es-ES_tradnl"/>
              </w:rPr>
              <w:t xml:space="preserve">                   </w:t>
            </w:r>
          </w:p>
        </w:tc>
        <w:tc>
          <w:tcPr>
            <w:tcW w:w="5670" w:type="dxa"/>
          </w:tcPr>
          <w:p w14:paraId="40BC9CC8" w14:textId="5E77048C" w:rsidR="00162425" w:rsidRPr="00286DDE" w:rsidRDefault="00914D3E" w:rsidP="003E67EC">
            <w:pPr>
              <w:pStyle w:val="Textoindependiente"/>
              <w:ind w:right="307"/>
              <w:jc w:val="both"/>
              <w:rPr>
                <w:rFonts w:ascii="Verdana" w:hAnsi="Verdana"/>
              </w:rPr>
            </w:pPr>
            <w:r>
              <w:rPr>
                <w:rFonts w:ascii="Verdana" w:hAnsi="Verdana"/>
              </w:rPr>
              <w:t>LEY DE GARANTÍAS ELECTORALES -</w:t>
            </w:r>
            <w:r w:rsidR="00F85F8F">
              <w:rPr>
                <w:rFonts w:ascii="Verdana" w:hAnsi="Verdana"/>
              </w:rPr>
              <w:t xml:space="preserve"> </w:t>
            </w:r>
            <w:r w:rsidR="00F85F8F" w:rsidRPr="00BE7BBA">
              <w:rPr>
                <w:rFonts w:ascii="Verdana" w:eastAsia="Calibri" w:hAnsi="Verdana"/>
                <w:lang w:val="es-MX"/>
              </w:rPr>
              <w:t>Prohibición artículo 33 ‒ Contratación directa ‒ Alcance</w:t>
            </w:r>
            <w:r w:rsidR="00F85F8F">
              <w:rPr>
                <w:rFonts w:ascii="Verdana" w:eastAsia="Calibri" w:hAnsi="Verdana"/>
                <w:lang w:val="es-MX"/>
              </w:rPr>
              <w:t xml:space="preserve"> /</w:t>
            </w:r>
            <w:r w:rsidR="006B31BD">
              <w:rPr>
                <w:rFonts w:ascii="Verdana" w:eastAsia="Calibri" w:hAnsi="Verdana"/>
                <w:lang w:val="es-MX"/>
              </w:rPr>
              <w:t xml:space="preserve"> </w:t>
            </w:r>
            <w:r w:rsidR="006B31BD" w:rsidRPr="00BE7BBA">
              <w:rPr>
                <w:rFonts w:ascii="Verdana" w:eastAsia="Calibri" w:hAnsi="Verdana"/>
                <w:lang w:val="es-MX"/>
              </w:rPr>
              <w:t xml:space="preserve">LEY DE GARANTÍAS ELECTORALES ─ Prohibición artículo 38 </w:t>
            </w:r>
            <w:r w:rsidR="006B31BD">
              <w:rPr>
                <w:rFonts w:ascii="Verdana" w:eastAsia="Calibri" w:hAnsi="Verdana"/>
                <w:lang w:val="es-MX"/>
              </w:rPr>
              <w:t>/</w:t>
            </w:r>
            <w:r w:rsidR="00F85F8F" w:rsidRPr="00BE7BBA">
              <w:rPr>
                <w:rFonts w:ascii="Verdana" w:eastAsia="Calibri" w:hAnsi="Verdana"/>
                <w:lang w:eastAsia="es-ES"/>
              </w:rPr>
              <w:t xml:space="preserve"> </w:t>
            </w:r>
            <w:r w:rsidR="00AF4BAD">
              <w:rPr>
                <w:rFonts w:ascii="Verdana" w:hAnsi="Verdana"/>
              </w:rPr>
              <w:t>CONTRATO DE COMODATO – Reglas vigentes</w:t>
            </w:r>
          </w:p>
          <w:p w14:paraId="1ED7840B" w14:textId="77777777" w:rsidR="00162425" w:rsidRPr="008E2DC6" w:rsidRDefault="00162425" w:rsidP="003E67EC">
            <w:pPr>
              <w:jc w:val="both"/>
              <w:rPr>
                <w:rFonts w:ascii="Verdana" w:eastAsia="Calibri" w:hAnsi="Verdana" w:cs="Arial"/>
                <w:highlight w:val="yellow"/>
                <w:lang w:val="es-ES" w:eastAsia="es-ES"/>
              </w:rPr>
            </w:pPr>
          </w:p>
        </w:tc>
      </w:tr>
      <w:tr w:rsidR="00162425" w:rsidRPr="00CE156C" w14:paraId="6405EEAF" w14:textId="77777777" w:rsidTr="003E67EC">
        <w:tc>
          <w:tcPr>
            <w:tcW w:w="3119" w:type="dxa"/>
          </w:tcPr>
          <w:p w14:paraId="61863D7F" w14:textId="77777777" w:rsidR="00162425" w:rsidRPr="00F926E2" w:rsidRDefault="00162425" w:rsidP="003E67EC">
            <w:pPr>
              <w:jc w:val="both"/>
              <w:rPr>
                <w:rFonts w:ascii="Verdana" w:eastAsia="Calibri" w:hAnsi="Verdana" w:cs="Arial"/>
                <w:b/>
                <w:lang w:eastAsia="es-ES_tradnl"/>
              </w:rPr>
            </w:pPr>
            <w:r w:rsidRPr="00CE156C">
              <w:rPr>
                <w:rFonts w:ascii="Verdana" w:eastAsia="Calibri" w:hAnsi="Verdana" w:cs="Arial"/>
                <w:b/>
                <w:lang w:eastAsia="es-ES_tradnl"/>
              </w:rPr>
              <w:t xml:space="preserve"> </w:t>
            </w:r>
            <w:r w:rsidRPr="00F07E96">
              <w:rPr>
                <w:rFonts w:ascii="Verdana" w:eastAsia="Calibri" w:hAnsi="Verdana" w:cs="Arial"/>
                <w:b/>
                <w:lang w:eastAsia="es-ES_tradnl"/>
              </w:rPr>
              <w:t>Radicación:</w:t>
            </w:r>
            <w:r w:rsidRPr="00F926E2">
              <w:rPr>
                <w:rFonts w:ascii="Verdana" w:eastAsia="Calibri" w:hAnsi="Verdana" w:cs="Arial"/>
                <w:lang w:eastAsia="es-ES_tradnl"/>
              </w:rPr>
              <w:t xml:space="preserve">               </w:t>
            </w:r>
          </w:p>
        </w:tc>
        <w:tc>
          <w:tcPr>
            <w:tcW w:w="5670" w:type="dxa"/>
          </w:tcPr>
          <w:p w14:paraId="75F21B15" w14:textId="41C7E10D" w:rsidR="00162425" w:rsidRPr="008E2DC6" w:rsidRDefault="00162425" w:rsidP="003E67EC">
            <w:pPr>
              <w:jc w:val="both"/>
              <w:rPr>
                <w:rFonts w:ascii="Verdana" w:eastAsia="Calibri" w:hAnsi="Verdana" w:cs="Arial"/>
                <w:lang w:eastAsia="es-ES_tradnl"/>
              </w:rPr>
            </w:pPr>
            <w:r w:rsidRPr="00BE636B">
              <w:rPr>
                <w:rFonts w:ascii="Verdana" w:eastAsia="Calibri" w:hAnsi="Verdana" w:cs="Arial"/>
                <w:lang w:eastAsia="es-ES_tradnl"/>
              </w:rPr>
              <w:t xml:space="preserve">Respuesta a consulta con radicado No. </w:t>
            </w:r>
            <w:r w:rsidR="00AB4155" w:rsidRPr="00AB4155">
              <w:rPr>
                <w:rFonts w:ascii="Verdana" w:eastAsia="Calibri" w:hAnsi="Verdana" w:cs="Arial"/>
                <w:lang w:eastAsia="es-ES_tradnl"/>
              </w:rPr>
              <w:t>1_2026_06_01_007372</w:t>
            </w:r>
          </w:p>
        </w:tc>
      </w:tr>
    </w:tbl>
    <w:p w14:paraId="52A2ABBB" w14:textId="77777777" w:rsidR="00162425" w:rsidRPr="00CE156C" w:rsidRDefault="00162425" w:rsidP="00162425">
      <w:pPr>
        <w:spacing w:after="0" w:line="240" w:lineRule="auto"/>
        <w:jc w:val="both"/>
        <w:rPr>
          <w:rFonts w:ascii="Verdana" w:eastAsia="Calibri" w:hAnsi="Verdana" w:cs="Arial"/>
          <w:lang w:eastAsia="es-ES_tradnl"/>
        </w:rPr>
      </w:pPr>
    </w:p>
    <w:p w14:paraId="4556CD70" w14:textId="77777777" w:rsidR="006933D9" w:rsidRPr="006933D9" w:rsidRDefault="006933D9" w:rsidP="006933D9">
      <w:pPr>
        <w:spacing w:after="0" w:line="240" w:lineRule="auto"/>
        <w:jc w:val="both"/>
        <w:rPr>
          <w:rFonts w:ascii="Verdana" w:eastAsia="Calibri" w:hAnsi="Verdana" w:cs="Arial"/>
          <w:lang w:eastAsia="es-ES_tradnl"/>
        </w:rPr>
      </w:pPr>
    </w:p>
    <w:p w14:paraId="45A2FDF3" w14:textId="25F29045" w:rsidR="00162425" w:rsidRPr="008E2DC6" w:rsidRDefault="00162425" w:rsidP="00162425">
      <w:pPr>
        <w:spacing w:after="0" w:line="276" w:lineRule="auto"/>
        <w:jc w:val="both"/>
        <w:rPr>
          <w:rFonts w:ascii="Verdana" w:eastAsia="Calibri" w:hAnsi="Verdana" w:cs="Arial"/>
          <w:lang w:eastAsia="es-ES"/>
        </w:rPr>
      </w:pPr>
      <w:r w:rsidRPr="00F926E2">
        <w:rPr>
          <w:rFonts w:ascii="Verdana" w:eastAsia="Calibri" w:hAnsi="Verdana" w:cs="Arial"/>
          <w:lang w:eastAsia="es-ES"/>
        </w:rPr>
        <w:t>Estimad</w:t>
      </w:r>
      <w:r w:rsidRPr="00BE636B">
        <w:rPr>
          <w:rFonts w:ascii="Verdana" w:eastAsia="Calibri" w:hAnsi="Verdana" w:cs="Arial"/>
          <w:lang w:eastAsia="es-ES"/>
        </w:rPr>
        <w:t>o</w:t>
      </w:r>
      <w:r w:rsidRPr="00323DD8">
        <w:rPr>
          <w:rFonts w:ascii="Verdana" w:eastAsia="Calibri" w:hAnsi="Verdana" w:cs="Arial"/>
          <w:lang w:eastAsia="es-ES"/>
        </w:rPr>
        <w:t xml:space="preserve"> señor</w:t>
      </w:r>
      <w:r w:rsidRPr="008E2DC6">
        <w:rPr>
          <w:rFonts w:ascii="Verdana" w:eastAsia="Calibri" w:hAnsi="Verdana" w:cs="Arial"/>
          <w:lang w:eastAsia="es-ES"/>
        </w:rPr>
        <w:t xml:space="preserve">, </w:t>
      </w:r>
      <w:r w:rsidR="00667913">
        <w:rPr>
          <w:rFonts w:ascii="Verdana" w:eastAsia="Calibri" w:hAnsi="Verdana" w:cs="Arial"/>
          <w:lang w:eastAsia="es-ES"/>
        </w:rPr>
        <w:t>Triana</w:t>
      </w:r>
      <w:r w:rsidRPr="008E2DC6">
        <w:rPr>
          <w:rFonts w:ascii="Verdana" w:eastAsia="Calibri" w:hAnsi="Verdana" w:cs="Arial"/>
          <w:lang w:eastAsia="es-ES"/>
        </w:rPr>
        <w:t xml:space="preserve">: </w:t>
      </w:r>
    </w:p>
    <w:p w14:paraId="18F52507" w14:textId="77777777" w:rsidR="00162425" w:rsidRPr="008E2DC6" w:rsidRDefault="00162425" w:rsidP="00162425">
      <w:pPr>
        <w:spacing w:after="0" w:line="276" w:lineRule="auto"/>
        <w:jc w:val="both"/>
        <w:rPr>
          <w:rFonts w:ascii="Verdana" w:eastAsia="Calibri" w:hAnsi="Verdana" w:cs="Arial"/>
          <w:lang w:eastAsia="es-ES"/>
        </w:rPr>
      </w:pPr>
    </w:p>
    <w:p w14:paraId="0F9A378A" w14:textId="19FD0593" w:rsidR="00162425" w:rsidRPr="00CE156C" w:rsidRDefault="00162425" w:rsidP="00162425">
      <w:pPr>
        <w:spacing w:after="0" w:line="276" w:lineRule="auto"/>
        <w:jc w:val="both"/>
        <w:rPr>
          <w:rFonts w:ascii="Verdana" w:eastAsia="Calibri" w:hAnsi="Verdana" w:cs="Arial"/>
          <w:lang w:eastAsia="es-ES"/>
        </w:rPr>
      </w:pPr>
      <w:r w:rsidRPr="008E2DC6">
        <w:rPr>
          <w:rFonts w:ascii="Verdana" w:eastAsia="Calibri" w:hAnsi="Verdana" w:cs="Arial"/>
          <w:color w:val="000000" w:themeColor="text1"/>
          <w:lang w:eastAsia="es-ES"/>
        </w:rPr>
        <w:t>En ejercicio de la competencia otorgada por los artículos 3, numeral 5º, y 11, numeral 8º, del Decreto Ley 4170 de 2011,</w:t>
      </w:r>
      <w:r w:rsidRPr="00CE156C">
        <w:rPr>
          <w:rFonts w:ascii="Verdana" w:eastAsia="Arial MT" w:hAnsi="Verdana" w:cs="Arial MT"/>
          <w:lang w:eastAsia="es-ES"/>
        </w:rPr>
        <w:t xml:space="preserve"> </w:t>
      </w:r>
      <w:r w:rsidRPr="00CE156C">
        <w:rPr>
          <w:rFonts w:ascii="Verdana" w:hAnsi="Verdana" w:cs="Arial"/>
        </w:rPr>
        <w:t xml:space="preserve">así como lo establecido en el artículo 4 de la Resolución 1707 de 2018 expedida por esta Entidad, </w:t>
      </w:r>
      <w:r w:rsidRPr="00CE156C">
        <w:rPr>
          <w:rFonts w:ascii="Verdana" w:eastAsia="Calibri" w:hAnsi="Verdana" w:cs="Arial"/>
          <w:color w:val="000000" w:themeColor="text1"/>
          <w:lang w:eastAsia="es-ES"/>
        </w:rPr>
        <w:t xml:space="preserve">la Agencia Nacional de Contratación </w:t>
      </w:r>
      <w:r w:rsidRPr="00CE156C">
        <w:rPr>
          <w:rFonts w:ascii="Verdana" w:eastAsia="Calibri" w:hAnsi="Verdana" w:cs="Arial"/>
          <w:lang w:eastAsia="es-ES"/>
        </w:rPr>
        <w:t xml:space="preserve">Pública – Colombia Compra Eficiente– responde su solicitud de consulta de fecha </w:t>
      </w:r>
      <w:r w:rsidR="007C14F3">
        <w:rPr>
          <w:rFonts w:ascii="Verdana" w:eastAsia="Calibri" w:hAnsi="Verdana" w:cs="Arial"/>
          <w:lang w:eastAsia="es-ES"/>
        </w:rPr>
        <w:t>01</w:t>
      </w:r>
      <w:r w:rsidRPr="00CE156C">
        <w:rPr>
          <w:rFonts w:ascii="Verdana" w:eastAsia="Calibri" w:hAnsi="Verdana" w:cs="Arial"/>
          <w:lang w:eastAsia="es-ES"/>
        </w:rPr>
        <w:t xml:space="preserve"> de </w:t>
      </w:r>
      <w:r w:rsidR="007C14F3">
        <w:rPr>
          <w:rFonts w:ascii="Verdana" w:eastAsia="Calibri" w:hAnsi="Verdana" w:cs="Arial"/>
          <w:lang w:eastAsia="es-ES"/>
        </w:rPr>
        <w:t>junio</w:t>
      </w:r>
      <w:r w:rsidRPr="00CE156C">
        <w:rPr>
          <w:rFonts w:ascii="Verdana" w:eastAsia="Calibri" w:hAnsi="Verdana" w:cs="Arial"/>
          <w:lang w:eastAsia="es-ES"/>
        </w:rPr>
        <w:t xml:space="preserve"> de 2026, en la cual manifiesta lo siguiente: </w:t>
      </w:r>
    </w:p>
    <w:p w14:paraId="2A51733D" w14:textId="77777777" w:rsidR="00162425" w:rsidRPr="00CE156C" w:rsidRDefault="00162425" w:rsidP="00162425">
      <w:pPr>
        <w:spacing w:after="0" w:line="276" w:lineRule="auto"/>
        <w:ind w:left="709" w:right="709"/>
        <w:jc w:val="both"/>
        <w:rPr>
          <w:rFonts w:ascii="Verdana" w:eastAsia="Century Gothic" w:hAnsi="Verdana" w:cs="Century Gothic"/>
          <w:i/>
          <w:iCs/>
          <w:sz w:val="20"/>
          <w:szCs w:val="20"/>
        </w:rPr>
      </w:pPr>
      <w:bookmarkStart w:id="1" w:name="_Hlk192699624"/>
      <w:bookmarkStart w:id="2" w:name="_Hlk199394899"/>
    </w:p>
    <w:p w14:paraId="11BEB74A" w14:textId="77777777" w:rsidR="00162425" w:rsidRPr="00CE156C" w:rsidRDefault="00162425" w:rsidP="00162425">
      <w:pPr>
        <w:spacing w:after="0" w:line="240" w:lineRule="auto"/>
        <w:ind w:left="709" w:right="709"/>
        <w:jc w:val="both"/>
        <w:rPr>
          <w:rFonts w:ascii="Verdana" w:eastAsia="Century Gothic" w:hAnsi="Verdana" w:cs="Century Gothic"/>
          <w:i/>
          <w:iCs/>
          <w:sz w:val="20"/>
          <w:szCs w:val="20"/>
        </w:rPr>
      </w:pPr>
      <w:r w:rsidRPr="00CE156C">
        <w:rPr>
          <w:rFonts w:ascii="Verdana" w:eastAsia="Century Gothic" w:hAnsi="Verdana" w:cs="Century Gothic"/>
          <w:i/>
          <w:iCs/>
          <w:sz w:val="20"/>
          <w:szCs w:val="20"/>
        </w:rPr>
        <w:t>“</w:t>
      </w:r>
      <w:bookmarkEnd w:id="1"/>
      <w:r w:rsidRPr="00CE156C">
        <w:rPr>
          <w:rFonts w:ascii="Verdana" w:eastAsia="Century Gothic" w:hAnsi="Verdana" w:cs="Century Gothic"/>
          <w:i/>
          <w:iCs/>
          <w:sz w:val="20"/>
          <w:szCs w:val="20"/>
        </w:rPr>
        <w:t>(…)</w:t>
      </w:r>
    </w:p>
    <w:p w14:paraId="5C8A5A56" w14:textId="77777777" w:rsidR="00162425" w:rsidRPr="00CE156C" w:rsidRDefault="00162425" w:rsidP="00162425">
      <w:pPr>
        <w:spacing w:after="0" w:line="240" w:lineRule="auto"/>
        <w:ind w:left="709" w:right="709"/>
        <w:jc w:val="both"/>
        <w:rPr>
          <w:rFonts w:ascii="Verdana" w:hAnsi="Verdana"/>
          <w:i/>
          <w:iCs/>
          <w:sz w:val="20"/>
          <w:szCs w:val="20"/>
        </w:rPr>
      </w:pPr>
      <w:r w:rsidRPr="00CE156C">
        <w:rPr>
          <w:rFonts w:ascii="Verdana" w:hAnsi="Verdana"/>
          <w:i/>
          <w:iCs/>
          <w:sz w:val="20"/>
          <w:szCs w:val="20"/>
        </w:rPr>
        <w:t xml:space="preserve"> </w:t>
      </w:r>
    </w:p>
    <w:p w14:paraId="603730E6" w14:textId="541B4C78" w:rsidR="007D00BF" w:rsidRPr="007D00BF" w:rsidRDefault="007D00BF" w:rsidP="007D00BF">
      <w:pPr>
        <w:spacing w:after="0" w:line="240" w:lineRule="auto"/>
        <w:ind w:left="709" w:right="709"/>
        <w:jc w:val="both"/>
        <w:rPr>
          <w:rFonts w:ascii="Verdana" w:hAnsi="Verdana"/>
          <w:i/>
          <w:iCs/>
          <w:sz w:val="20"/>
          <w:szCs w:val="20"/>
        </w:rPr>
      </w:pPr>
      <w:r w:rsidRPr="007D00BF">
        <w:rPr>
          <w:rFonts w:ascii="Verdana" w:hAnsi="Verdana"/>
          <w:i/>
          <w:iCs/>
          <w:sz w:val="20"/>
          <w:szCs w:val="20"/>
        </w:rPr>
        <w:t>en conformidad a los hechos narrados, me permito solicitarles con la venia que se merecen, emitir concepto si es procedente poder adelantar contrato de comodato,</w:t>
      </w:r>
      <w:r w:rsidR="00385648">
        <w:rPr>
          <w:rFonts w:ascii="Verdana" w:hAnsi="Verdana"/>
          <w:i/>
          <w:iCs/>
          <w:sz w:val="20"/>
          <w:szCs w:val="20"/>
        </w:rPr>
        <w:t xml:space="preserve"> </w:t>
      </w:r>
      <w:r w:rsidRPr="007D00BF">
        <w:rPr>
          <w:rFonts w:ascii="Verdana" w:hAnsi="Verdana"/>
          <w:i/>
          <w:iCs/>
          <w:sz w:val="20"/>
          <w:szCs w:val="20"/>
        </w:rPr>
        <w:t xml:space="preserve">durante la vigencia de la ley de garantías, de ser positivo cuál sería el contrato de comodato más pertinente en este caso; de no ser procedente realizar dicho contrato de comodato por la vigencia de la ley 996 de 2005, que mecanismo se podría  realizar para dicha entrega o en su defecto de no poderse realizar, favor manifestar si se debe esperar a la terminación de la vigencia de la ley 996 de 2005 ley de garantías  o se debe  esperar a la terminación de la ley de garantías con el fin de respetar el objetivo que son igualdad de condiciones entre los candidatos y evitar que los recursos públicos se utilicen para favorecer campañas políticas, </w:t>
      </w:r>
      <w:r w:rsidRPr="007D00BF">
        <w:rPr>
          <w:rFonts w:ascii="Verdana" w:hAnsi="Verdana"/>
          <w:i/>
          <w:iCs/>
          <w:sz w:val="20"/>
          <w:szCs w:val="20"/>
        </w:rPr>
        <w:lastRenderedPageBreak/>
        <w:t>para poder continuar en debida forma la respectiva entrega de los elementos objeto de la presente consulta,   </w:t>
      </w:r>
    </w:p>
    <w:p w14:paraId="052CB97B" w14:textId="77777777" w:rsidR="00162425" w:rsidRPr="00CE156C" w:rsidRDefault="00162425" w:rsidP="00162425">
      <w:pPr>
        <w:spacing w:after="0" w:line="240" w:lineRule="auto"/>
        <w:ind w:left="709" w:right="709"/>
        <w:jc w:val="both"/>
        <w:rPr>
          <w:rFonts w:ascii="Verdana" w:hAnsi="Verdana"/>
          <w:i/>
          <w:iCs/>
          <w:sz w:val="20"/>
          <w:szCs w:val="20"/>
        </w:rPr>
      </w:pPr>
    </w:p>
    <w:p w14:paraId="1FD4646D" w14:textId="77777777" w:rsidR="00162425" w:rsidRPr="00CE156C" w:rsidRDefault="00162425" w:rsidP="00162425">
      <w:pPr>
        <w:spacing w:after="0" w:line="240" w:lineRule="auto"/>
        <w:ind w:left="709" w:right="709"/>
        <w:jc w:val="both"/>
        <w:rPr>
          <w:rFonts w:ascii="Verdana" w:hAnsi="Verdana"/>
          <w:i/>
          <w:iCs/>
          <w:sz w:val="20"/>
          <w:szCs w:val="20"/>
        </w:rPr>
      </w:pPr>
      <w:r w:rsidRPr="00CE156C">
        <w:rPr>
          <w:rFonts w:ascii="Verdana" w:hAnsi="Verdana"/>
          <w:i/>
          <w:iCs/>
          <w:sz w:val="20"/>
          <w:szCs w:val="20"/>
        </w:rPr>
        <w:t>(…)”.</w:t>
      </w:r>
      <w:bookmarkEnd w:id="2"/>
    </w:p>
    <w:p w14:paraId="321D5AAD" w14:textId="77777777" w:rsidR="00162425" w:rsidRPr="00CE156C" w:rsidRDefault="00162425" w:rsidP="00162425">
      <w:pPr>
        <w:spacing w:after="0" w:line="240" w:lineRule="auto"/>
        <w:ind w:left="709" w:right="709"/>
        <w:jc w:val="both"/>
        <w:rPr>
          <w:rFonts w:ascii="Verdana" w:hAnsi="Verdana"/>
          <w:i/>
          <w:iCs/>
          <w:sz w:val="20"/>
          <w:szCs w:val="20"/>
        </w:rPr>
      </w:pPr>
    </w:p>
    <w:p w14:paraId="2B2C77B7" w14:textId="77777777" w:rsidR="00162425" w:rsidRPr="00CE156C" w:rsidRDefault="00162425" w:rsidP="00162425">
      <w:pPr>
        <w:spacing w:after="120" w:line="276" w:lineRule="auto"/>
        <w:ind w:firstLine="709"/>
        <w:jc w:val="both"/>
        <w:rPr>
          <w:rFonts w:ascii="Verdana" w:eastAsia="Calibri" w:hAnsi="Verdana" w:cs="Arial"/>
          <w:color w:val="000000"/>
          <w:szCs w:val="24"/>
          <w:lang w:eastAsia="es-ES_tradnl"/>
        </w:rPr>
      </w:pPr>
      <w:r w:rsidRPr="00CE156C">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CE156C">
        <w:rPr>
          <w:rFonts w:ascii="Verdana" w:eastAsia="Calibri" w:hAnsi="Verdana" w:cs="Arial"/>
          <w:color w:val="000000"/>
          <w:szCs w:val="24"/>
          <w:lang w:eastAsia="es-ES_tradnl"/>
        </w:rPr>
        <w:tab/>
      </w:r>
    </w:p>
    <w:p w14:paraId="63F96B4A" w14:textId="77777777" w:rsidR="00162425" w:rsidRPr="00CE156C" w:rsidRDefault="00162425" w:rsidP="00162425">
      <w:pPr>
        <w:spacing w:after="0" w:line="276" w:lineRule="auto"/>
        <w:ind w:firstLine="709"/>
        <w:jc w:val="both"/>
        <w:rPr>
          <w:rFonts w:ascii="Verdana" w:eastAsia="Calibri" w:hAnsi="Verdana" w:cs="Arial"/>
          <w:color w:val="000000"/>
          <w:lang w:eastAsia="es-ES"/>
        </w:rPr>
      </w:pPr>
      <w:r w:rsidRPr="00CE156C">
        <w:rPr>
          <w:rFonts w:ascii="Verdana" w:eastAsia="Calibri" w:hAnsi="Verdana" w:cs="Arial"/>
          <w:color w:val="000000"/>
          <w:lang w:eastAsia="es-ES"/>
        </w:rPr>
        <w:t xml:space="preserve">Conforme lo expuesto, en aras de garantizar el derecho fundamental de petición, se resolverá su petición dentro de los límites de la referida competencia consultiva, esto es, haciendo abstracción del caso particular y concreto señalado en su petición, pero señalando algunas consideraciones sobre las normas generales relacionadas con el problema jurídico de su consulta.  </w:t>
      </w:r>
    </w:p>
    <w:p w14:paraId="7295DE7B" w14:textId="77777777" w:rsidR="00162425" w:rsidRPr="00CE156C" w:rsidRDefault="00162425" w:rsidP="00162425">
      <w:pPr>
        <w:spacing w:after="0" w:line="276" w:lineRule="auto"/>
        <w:ind w:firstLine="709"/>
        <w:jc w:val="both"/>
        <w:rPr>
          <w:rFonts w:ascii="Verdana" w:eastAsia="Calibri" w:hAnsi="Verdana" w:cs="Arial"/>
          <w:color w:val="000000"/>
          <w:lang w:eastAsia="es-ES"/>
        </w:rPr>
      </w:pPr>
    </w:p>
    <w:p w14:paraId="5C06B6A9" w14:textId="25FFC13B" w:rsidR="00162425" w:rsidRPr="001E2342" w:rsidRDefault="00162425" w:rsidP="0074251E">
      <w:pPr>
        <w:numPr>
          <w:ilvl w:val="0"/>
          <w:numId w:val="16"/>
        </w:numPr>
        <w:spacing w:after="0" w:line="276" w:lineRule="auto"/>
        <w:jc w:val="both"/>
        <w:rPr>
          <w:rFonts w:ascii="Verdana" w:eastAsia="Calibri" w:hAnsi="Verdana" w:cs="Arial"/>
          <w:color w:val="000000"/>
          <w:szCs w:val="24"/>
          <w:lang w:eastAsia="es-ES_tradnl"/>
        </w:rPr>
      </w:pPr>
      <w:r w:rsidRPr="001E2342">
        <w:rPr>
          <w:rFonts w:ascii="Verdana" w:eastAsia="Century Gothic" w:hAnsi="Verdana" w:cs="Century Gothic"/>
          <w:b/>
          <w:bCs/>
        </w:rPr>
        <w:t>Problema planteado:</w:t>
      </w:r>
    </w:p>
    <w:p w14:paraId="3C1A3F58" w14:textId="77777777" w:rsidR="008C57C8" w:rsidRDefault="008C57C8" w:rsidP="008C57C8">
      <w:pPr>
        <w:spacing w:after="0" w:line="276" w:lineRule="auto"/>
        <w:jc w:val="both"/>
        <w:rPr>
          <w:rFonts w:ascii="Verdana" w:eastAsia="Calibri" w:hAnsi="Verdana" w:cs="Arial"/>
          <w:color w:val="000000"/>
          <w:szCs w:val="24"/>
          <w:lang w:eastAsia="es-ES_tradnl"/>
        </w:rPr>
      </w:pPr>
    </w:p>
    <w:p w14:paraId="26E55930" w14:textId="3A7881D9" w:rsidR="00162425" w:rsidRPr="001E2342" w:rsidRDefault="00162425" w:rsidP="008C57C8">
      <w:pPr>
        <w:spacing w:after="0" w:line="276" w:lineRule="auto"/>
        <w:jc w:val="both"/>
        <w:rPr>
          <w:rFonts w:ascii="Verdana" w:eastAsia="Calibri" w:hAnsi="Verdana" w:cs="Arial"/>
          <w:color w:val="000000"/>
          <w:lang w:eastAsia="es-ES"/>
        </w:rPr>
      </w:pPr>
      <w:r w:rsidRPr="00CE156C">
        <w:rPr>
          <w:rFonts w:ascii="Verdana" w:eastAsia="Calibri" w:hAnsi="Verdana" w:cs="Arial"/>
          <w:color w:val="000000"/>
          <w:szCs w:val="24"/>
          <w:lang w:eastAsia="es-ES_tradnl"/>
        </w:rPr>
        <w:t>D</w:t>
      </w:r>
      <w:r w:rsidRPr="00CE156C">
        <w:rPr>
          <w:rFonts w:ascii="Verdana" w:eastAsia="Century Gothic" w:hAnsi="Verdana" w:cs="Century Gothic"/>
        </w:rPr>
        <w:t xml:space="preserve">e acuerdo con el contenido de su solicitud, esta Agencia resolverá el siguiente problema jurídico: </w:t>
      </w:r>
      <w:r w:rsidR="00921E13" w:rsidRPr="008B187C">
        <w:rPr>
          <w:rFonts w:ascii="Verdana" w:eastAsia="Calibri" w:hAnsi="Verdana" w:cs="Arial"/>
          <w:color w:val="000000"/>
          <w:lang w:eastAsia="es-ES"/>
        </w:rPr>
        <w:t>¿</w:t>
      </w:r>
      <w:r w:rsidR="00A77953">
        <w:rPr>
          <w:rFonts w:ascii="Verdana" w:eastAsia="Calibri" w:hAnsi="Verdana" w:cs="Arial"/>
          <w:color w:val="000000"/>
          <w:lang w:eastAsia="es-ES"/>
        </w:rPr>
        <w:t xml:space="preserve">Es procedente celebrar </w:t>
      </w:r>
      <w:r w:rsidR="00921E13" w:rsidRPr="008B187C">
        <w:rPr>
          <w:rFonts w:ascii="Verdana" w:eastAsia="Calibri" w:hAnsi="Verdana" w:cs="Arial"/>
          <w:color w:val="000000"/>
          <w:lang w:eastAsia="es-ES"/>
        </w:rPr>
        <w:t>contratos de comodato a título gratuito durante la vigencia de la Ley de Garantías Electorales?</w:t>
      </w:r>
    </w:p>
    <w:p w14:paraId="33DE0BFC" w14:textId="77777777" w:rsidR="008C57C8" w:rsidRPr="001E2342" w:rsidRDefault="008C57C8" w:rsidP="0074251E">
      <w:pPr>
        <w:spacing w:after="0" w:line="276" w:lineRule="auto"/>
        <w:jc w:val="both"/>
        <w:rPr>
          <w:rFonts w:ascii="Verdana" w:eastAsia="Calibri" w:hAnsi="Verdana" w:cs="Arial"/>
          <w:color w:val="000000"/>
          <w:lang w:eastAsia="es-ES"/>
        </w:rPr>
      </w:pPr>
    </w:p>
    <w:p w14:paraId="479B55F0" w14:textId="77777777" w:rsidR="00162425" w:rsidRPr="008E2DC6" w:rsidRDefault="00162425" w:rsidP="00162425">
      <w:pPr>
        <w:numPr>
          <w:ilvl w:val="0"/>
          <w:numId w:val="16"/>
        </w:numPr>
        <w:spacing w:after="0" w:line="276" w:lineRule="auto"/>
        <w:jc w:val="both"/>
        <w:rPr>
          <w:rFonts w:ascii="Verdana" w:eastAsia="Century Gothic" w:hAnsi="Verdana" w:cs="Century Gothic"/>
          <w:b/>
          <w:bCs/>
        </w:rPr>
      </w:pPr>
      <w:r w:rsidRPr="008E2DC6">
        <w:rPr>
          <w:rFonts w:ascii="Verdana" w:eastAsia="Century Gothic" w:hAnsi="Verdana" w:cs="Century Gothic"/>
          <w:b/>
          <w:bCs/>
        </w:rPr>
        <w:t>Respuesta:</w:t>
      </w:r>
    </w:p>
    <w:p w14:paraId="2D3CA750" w14:textId="77777777" w:rsidR="00162425" w:rsidRPr="008E2DC6" w:rsidRDefault="00162425" w:rsidP="00162425">
      <w:pPr>
        <w:spacing w:after="0" w:line="276" w:lineRule="auto"/>
        <w:ind w:left="720"/>
        <w:jc w:val="both"/>
        <w:rPr>
          <w:rFonts w:ascii="Verdana" w:eastAsia="Century Gothic" w:hAnsi="Verdana" w:cs="Century Gothic"/>
          <w:b/>
          <w:bCs/>
        </w:rPr>
      </w:pPr>
    </w:p>
    <w:tbl>
      <w:tblPr>
        <w:tblStyle w:val="Tablaconcuadrcula"/>
        <w:tblW w:w="0" w:type="auto"/>
        <w:tblLook w:val="04A0" w:firstRow="1" w:lastRow="0" w:firstColumn="1" w:lastColumn="0" w:noHBand="0" w:noVBand="1"/>
      </w:tblPr>
      <w:tblGrid>
        <w:gridCol w:w="8828"/>
      </w:tblGrid>
      <w:tr w:rsidR="00162425" w:rsidRPr="00CE156C" w14:paraId="727076FE" w14:textId="77777777" w:rsidTr="003E67EC">
        <w:tc>
          <w:tcPr>
            <w:tcW w:w="8828" w:type="dxa"/>
          </w:tcPr>
          <w:p w14:paraId="750E9441" w14:textId="77777777" w:rsidR="00B13110" w:rsidRPr="00675D47" w:rsidRDefault="00B13110" w:rsidP="00B13110">
            <w:pPr>
              <w:spacing w:after="120" w:line="276" w:lineRule="auto"/>
              <w:jc w:val="both"/>
              <w:rPr>
                <w:rFonts w:ascii="Verdana" w:hAnsi="Verdana" w:cs="Arial"/>
                <w:color w:val="000000" w:themeColor="text1"/>
              </w:rPr>
            </w:pPr>
            <w:r>
              <w:rPr>
                <w:rFonts w:ascii="Verdana" w:eastAsia="Calibri" w:hAnsi="Verdana" w:cs="Arial"/>
              </w:rPr>
              <w:t xml:space="preserve">En atención al problema jurídico planteado, en primer </w:t>
            </w:r>
            <w:r w:rsidRPr="00B1272A">
              <w:rPr>
                <w:rFonts w:ascii="Verdana" w:eastAsia="Calibri" w:hAnsi="Verdana" w:cs="Arial"/>
              </w:rPr>
              <w:t>lugar,</w:t>
            </w:r>
            <w:r>
              <w:rPr>
                <w:rFonts w:ascii="Verdana" w:eastAsia="Calibri" w:hAnsi="Verdana" w:cs="Arial"/>
              </w:rPr>
              <w:t xml:space="preserve"> es necesario indicar que l</w:t>
            </w:r>
            <w:r w:rsidRPr="00875867">
              <w:rPr>
                <w:rFonts w:ascii="Verdana" w:eastAsia="Calibri" w:hAnsi="Verdana" w:cs="Arial"/>
              </w:rPr>
              <w:t xml:space="preserve">a Ley de Garantías Electorales (Ley 996 de 2005) establece restricciones en materia contractual en época preelectoral, dirigidas principalmente a evitar el uso político de los recursos públicos. Existen dos prohibiciones centrales: (i) la contenida en el artículo 33, que aplica a </w:t>
            </w:r>
            <w:r w:rsidRPr="00875867">
              <w:rPr>
                <w:rFonts w:ascii="Verdana" w:eastAsia="Calibri" w:hAnsi="Verdana" w:cs="Arial"/>
              </w:rPr>
              <w:lastRenderedPageBreak/>
              <w:t>elecciones presidenciales y prohíbe la contratación directa dentro de los cuatro meses previos a los comicios, salvo excepciones taxativas, y (</w:t>
            </w:r>
            <w:proofErr w:type="spellStart"/>
            <w:r w:rsidRPr="00875867">
              <w:rPr>
                <w:rFonts w:ascii="Verdana" w:eastAsia="Calibri" w:hAnsi="Verdana" w:cs="Arial"/>
              </w:rPr>
              <w:t>ii</w:t>
            </w:r>
            <w:proofErr w:type="spellEnd"/>
            <w:r w:rsidRPr="00875867">
              <w:rPr>
                <w:rFonts w:ascii="Verdana" w:eastAsia="Calibri" w:hAnsi="Verdana" w:cs="Arial"/>
              </w:rPr>
              <w:t>) la del parágrafo del artículo 38, que recae sobre gobernadores, alcaldes y directores de entidades descentralizadas, respecto de la celebración de convenios interadministrativos de ejecución de recursos públicos dentro de los cuatro meses anteriores a elecciones locales o regionales</w:t>
            </w:r>
            <w:r w:rsidRPr="00675D47">
              <w:rPr>
                <w:rFonts w:ascii="Verdana" w:hAnsi="Verdana" w:cs="Arial"/>
                <w:color w:val="000000" w:themeColor="text1"/>
              </w:rPr>
              <w:t>.</w:t>
            </w:r>
          </w:p>
          <w:p w14:paraId="4B5A7F6B" w14:textId="77777777" w:rsidR="00B13110" w:rsidRDefault="00B13110" w:rsidP="00B13110">
            <w:pPr>
              <w:spacing w:after="120" w:line="276" w:lineRule="auto"/>
              <w:ind w:firstLine="709"/>
              <w:jc w:val="both"/>
              <w:rPr>
                <w:rFonts w:ascii="Verdana" w:hAnsi="Verdana" w:cs="Arial"/>
                <w:color w:val="000000" w:themeColor="text1"/>
              </w:rPr>
            </w:pPr>
            <w:r w:rsidRPr="00675D47">
              <w:rPr>
                <w:rFonts w:ascii="Verdana" w:hAnsi="Verdana" w:cs="Arial"/>
                <w:color w:val="000000" w:themeColor="text1"/>
              </w:rPr>
              <w:t xml:space="preserve">Ahora bien, antes de abordar la aplicación de estas restricciones, es importante precisar la naturaleza jurídica del contrato de comodato. Se trata de un contrato regulado por el Código Civil, de carácter real, unilateral y gratuito, mediante el cual una parte entrega a otra un bien para su uso, con la obligación de restituirlo una vez finalice el término o el uso convenido. En el ámbito de la contratación estatal, el comodato no implica transferencia del dominio ni genera una contraprestación económica, por lo que no comporta, en principio, ejecución de recursos públicos. </w:t>
            </w:r>
          </w:p>
          <w:p w14:paraId="69D704CF" w14:textId="77777777" w:rsidR="00B13110" w:rsidRPr="00735621" w:rsidRDefault="00B13110" w:rsidP="00B13110">
            <w:pPr>
              <w:spacing w:after="120" w:line="276" w:lineRule="auto"/>
              <w:ind w:firstLine="709"/>
              <w:jc w:val="both"/>
              <w:rPr>
                <w:rFonts w:ascii="Verdana" w:eastAsia="Calibri" w:hAnsi="Verdana" w:cs="Arial"/>
                <w:color w:val="000000" w:themeColor="text1"/>
                <w:lang w:val="es-ES"/>
              </w:rPr>
            </w:pPr>
            <w:r w:rsidRPr="00926955">
              <w:rPr>
                <w:rFonts w:ascii="Verdana" w:eastAsia="Calibri" w:hAnsi="Verdana" w:cs="Arial"/>
                <w:color w:val="000000" w:themeColor="text1"/>
              </w:rPr>
              <w:t>Conforme a lo anterior, durante los cuatro (4) meses anteriores a la elección presidencial y hasta la realización de la elección en la segunda vuelta, si fuere el caso, el artículo 33 de la Ley 996 de 2005 establece la prohibición de celebrar contratos mediante la modalidad de contratación directa por parte de todos los entes del Estado, salvo las excepciones expresamente previstas en dicha disposición. En ese sentido, teniendo en cuenta que el contrato de comodato usualmente se perfecciona de manera directa, su celebración no resulta procedente durante dicho periodo, a menos que se configure alguno de los supuestos exceptivos previstos en la ley.</w:t>
            </w:r>
          </w:p>
          <w:p w14:paraId="78E06A56" w14:textId="77777777" w:rsidR="00B13110" w:rsidRDefault="00B13110" w:rsidP="00B13110">
            <w:pPr>
              <w:spacing w:after="120" w:line="276" w:lineRule="auto"/>
              <w:ind w:firstLine="709"/>
              <w:jc w:val="both"/>
              <w:rPr>
                <w:rFonts w:ascii="Verdana" w:eastAsia="Calibri" w:hAnsi="Verdana" w:cs="Arial"/>
                <w:szCs w:val="24"/>
                <w:lang w:eastAsia="es-ES_tradnl"/>
              </w:rPr>
            </w:pPr>
            <w:r w:rsidRPr="00675D47">
              <w:rPr>
                <w:rFonts w:ascii="Verdana" w:hAnsi="Verdana" w:cs="Arial"/>
                <w:color w:val="000000" w:themeColor="text1"/>
              </w:rPr>
              <w:t>Finalment</w:t>
            </w:r>
            <w:r>
              <w:rPr>
                <w:rFonts w:ascii="Verdana" w:hAnsi="Verdana" w:cs="Arial"/>
                <w:color w:val="000000" w:themeColor="text1"/>
              </w:rPr>
              <w:t>e</w:t>
            </w:r>
            <w:r w:rsidRPr="00675D47">
              <w:rPr>
                <w:rFonts w:ascii="Verdana" w:hAnsi="Verdana" w:cs="Arial"/>
                <w:color w:val="000000" w:themeColor="text1"/>
              </w:rPr>
              <w:t xml:space="preserve">, </w:t>
            </w:r>
            <w:r w:rsidRPr="00675D47">
              <w:rPr>
                <w:rFonts w:ascii="Verdana" w:eastAsia="Calibri" w:hAnsi="Verdana" w:cs="Arial"/>
                <w:szCs w:val="24"/>
                <w:lang w:eastAsia="es-ES_tradnl"/>
              </w:rPr>
              <w:t>corresponde a cada entidad estatal, en el marco de su autonomía y responsabilidad, analizar si la actividad contractual que pretende adelantar se enmarca efectivamente dentro de dicha excepción, lo cual exige verificar la existencia de una relación directa, necesaria y suficiente entre el objeto del contrato y los fines de defensa y seguridad del Estado, así como sustentar dicha decisión mediante una motivación adecuada, razonable y verificable, en concordancia con los principios de la contratación estatal.</w:t>
            </w:r>
          </w:p>
          <w:p w14:paraId="56FE3CD4" w14:textId="79BDCAE0" w:rsidR="00162425" w:rsidRPr="0014166C" w:rsidRDefault="00B13110" w:rsidP="0014166C">
            <w:pPr>
              <w:widowControl w:val="0"/>
              <w:autoSpaceDE w:val="0"/>
              <w:autoSpaceDN w:val="0"/>
              <w:spacing w:after="120" w:line="276" w:lineRule="auto"/>
              <w:ind w:right="51" w:firstLine="709"/>
              <w:jc w:val="both"/>
              <w:rPr>
                <w:rFonts w:eastAsia="Calibri" w:cs="Arial"/>
              </w:rPr>
            </w:pPr>
            <w:r>
              <w:rPr>
                <w:rFonts w:ascii="Verdana" w:hAnsi="Verdana" w:cs="Arial"/>
                <w:color w:val="000000" w:themeColor="text1"/>
              </w:rPr>
              <w:t>Por lo anterior</w:t>
            </w:r>
            <w:r w:rsidRPr="00957B79">
              <w:rPr>
                <w:rFonts w:ascii="Verdana" w:hAnsi="Verdana" w:cs="Arial"/>
                <w:color w:val="000000" w:themeColor="text1"/>
              </w:rPr>
              <w:t xml:space="preserve">, es pertinente señalar que Colombia Compra Eficiente, en ejercicio de su función consultiva, no está llamada a definir criterios universales y absolutos, sino a suministrar elementos hermenéuticos de carácter general que orienten a los partícipes del Sistema de Compras y Contratación Pública en la adopción de sus decisiones, en consonancia con el </w:t>
            </w:r>
            <w:r w:rsidRPr="00957B79">
              <w:rPr>
                <w:rFonts w:ascii="Verdana" w:hAnsi="Verdana" w:cs="Arial"/>
                <w:color w:val="000000" w:themeColor="text1"/>
              </w:rPr>
              <w:lastRenderedPageBreak/>
              <w:t>principio de juridicidad. En consecuencia, corresponde a las entidades estatales, en cada caso concreto, determinar los criterios aplicables, con sujeción a los principios y normas que rigen el Estatuto General de Contratación de la Administración Pública (EGCAP)</w:t>
            </w:r>
            <w:r w:rsidR="0014166C">
              <w:rPr>
                <w:rFonts w:ascii="Verdana" w:hAnsi="Verdana" w:cs="Arial"/>
                <w:color w:val="000000" w:themeColor="text1"/>
              </w:rPr>
              <w:t>.</w:t>
            </w:r>
          </w:p>
        </w:tc>
      </w:tr>
    </w:tbl>
    <w:p w14:paraId="5F91DBBE" w14:textId="77777777" w:rsidR="00162425" w:rsidRPr="00CE156C" w:rsidRDefault="00162425" w:rsidP="00162425">
      <w:pPr>
        <w:tabs>
          <w:tab w:val="left" w:pos="142"/>
          <w:tab w:val="left" w:pos="284"/>
        </w:tabs>
        <w:spacing w:after="0" w:line="276" w:lineRule="auto"/>
        <w:jc w:val="both"/>
        <w:rPr>
          <w:rFonts w:ascii="Verdana" w:eastAsia="Century Gothic" w:hAnsi="Verdana" w:cs="Century Gothic"/>
          <w:b/>
          <w:bCs/>
        </w:rPr>
      </w:pPr>
    </w:p>
    <w:p w14:paraId="3ABE53DE" w14:textId="31557C43" w:rsidR="00162425" w:rsidRPr="00F926E2" w:rsidRDefault="00162425" w:rsidP="0074251E">
      <w:pPr>
        <w:tabs>
          <w:tab w:val="left" w:pos="142"/>
          <w:tab w:val="left" w:pos="284"/>
        </w:tabs>
        <w:spacing w:after="0" w:line="276" w:lineRule="auto"/>
        <w:jc w:val="both"/>
        <w:rPr>
          <w:rFonts w:ascii="Verdana" w:eastAsia="Calibri" w:hAnsi="Verdana" w:cs="Arial"/>
        </w:rPr>
      </w:pPr>
      <w:r w:rsidRPr="00F07E96">
        <w:rPr>
          <w:rFonts w:ascii="Verdana" w:eastAsia="Century Gothic" w:hAnsi="Verdana" w:cs="Century Gothic"/>
          <w:b/>
          <w:bCs/>
        </w:rPr>
        <w:t>3. Razones de la respuesta:</w:t>
      </w:r>
    </w:p>
    <w:p w14:paraId="7FD20C37" w14:textId="77777777" w:rsidR="0002526F" w:rsidRDefault="0002526F" w:rsidP="00E310B5">
      <w:pPr>
        <w:tabs>
          <w:tab w:val="left" w:pos="142"/>
          <w:tab w:val="left" w:pos="284"/>
        </w:tabs>
        <w:spacing w:after="0" w:line="276" w:lineRule="auto"/>
        <w:jc w:val="both"/>
        <w:rPr>
          <w:rFonts w:ascii="Verdana" w:eastAsia="Calibri" w:hAnsi="Verdana" w:cs="Arial"/>
        </w:rPr>
      </w:pPr>
    </w:p>
    <w:p w14:paraId="551E987D" w14:textId="1F6BA628" w:rsidR="00B62CFA" w:rsidRDefault="00162425" w:rsidP="0074251E">
      <w:pPr>
        <w:tabs>
          <w:tab w:val="left" w:pos="142"/>
          <w:tab w:val="left" w:pos="284"/>
        </w:tabs>
        <w:spacing w:after="0" w:line="276" w:lineRule="auto"/>
        <w:jc w:val="both"/>
        <w:rPr>
          <w:rFonts w:ascii="Verdana" w:eastAsia="Calibri" w:hAnsi="Verdana" w:cs="Arial"/>
        </w:rPr>
      </w:pPr>
      <w:r w:rsidRPr="00F926E2">
        <w:rPr>
          <w:rFonts w:ascii="Verdana" w:eastAsia="Calibri" w:hAnsi="Verdana" w:cs="Arial"/>
        </w:rPr>
        <w:t>Lo anterior se sustenta en las siguientes consideraciones:</w:t>
      </w:r>
    </w:p>
    <w:p w14:paraId="05F66C4F" w14:textId="77777777" w:rsidR="0002526F" w:rsidRDefault="0002526F" w:rsidP="0074251E">
      <w:pPr>
        <w:spacing w:after="0" w:line="276" w:lineRule="auto"/>
        <w:jc w:val="both"/>
        <w:rPr>
          <w:rFonts w:ascii="Verdana" w:eastAsia="Calibri" w:hAnsi="Verdana" w:cs="Arial"/>
          <w:bCs/>
          <w:color w:val="000000" w:themeColor="text1"/>
        </w:rPr>
      </w:pPr>
      <w:bookmarkStart w:id="3" w:name="_Hlk121750800"/>
    </w:p>
    <w:p w14:paraId="774632E9" w14:textId="5293AA3B" w:rsidR="00B62CFA" w:rsidRPr="00222802" w:rsidRDefault="00D905B4" w:rsidP="00B62CFA">
      <w:pPr>
        <w:spacing w:after="120" w:line="276" w:lineRule="auto"/>
        <w:jc w:val="both"/>
        <w:rPr>
          <w:rFonts w:ascii="Verdana" w:eastAsia="Calibri" w:hAnsi="Verdana" w:cs="Arial"/>
          <w:bCs/>
          <w:color w:val="000000" w:themeColor="text1"/>
        </w:rPr>
      </w:pPr>
      <w:r>
        <w:rPr>
          <w:rFonts w:ascii="Verdana" w:eastAsia="Calibri" w:hAnsi="Verdana" w:cs="Arial"/>
          <w:bCs/>
          <w:color w:val="000000" w:themeColor="text1"/>
        </w:rPr>
        <w:t>Para iniciar, debemos precisar que e</w:t>
      </w:r>
      <w:r w:rsidR="00B62CFA" w:rsidRPr="00222802">
        <w:rPr>
          <w:rFonts w:ascii="Verdana" w:eastAsia="Calibri" w:hAnsi="Verdana" w:cs="Arial"/>
          <w:bCs/>
          <w:color w:val="000000" w:themeColor="text1"/>
        </w:rPr>
        <w:t xml:space="preserve">l comodato está previsto en el título XXIX del Código Civil, en cuyo artículo 2200 lo define como aquel en que </w:t>
      </w:r>
      <w:r w:rsidR="00B62CFA">
        <w:rPr>
          <w:rFonts w:ascii="Verdana" w:eastAsia="Calibri" w:hAnsi="Verdana" w:cs="Arial"/>
          <w:bCs/>
          <w:color w:val="000000" w:themeColor="text1"/>
        </w:rPr>
        <w:t>“</w:t>
      </w:r>
      <w:r w:rsidR="00B62CFA" w:rsidRPr="00222802">
        <w:rPr>
          <w:rFonts w:ascii="Verdana" w:eastAsia="Calibri" w:hAnsi="Verdana" w:cs="Arial"/>
          <w:bCs/>
          <w:color w:val="000000" w:themeColor="text1"/>
        </w:rPr>
        <w:t>[…] una de las partes entrega a la otra gratuitamente una especie mueble o raíz, para que haga uso de ella y con cargo de restituir la misma especie después de terminar el uso</w:t>
      </w:r>
      <w:r w:rsidR="00B62CFA">
        <w:rPr>
          <w:rFonts w:ascii="Verdana" w:eastAsia="Calibri" w:hAnsi="Verdana" w:cs="Arial"/>
          <w:bCs/>
          <w:color w:val="000000" w:themeColor="text1"/>
        </w:rPr>
        <w:t>”</w:t>
      </w:r>
      <w:r w:rsidR="00B62CFA" w:rsidRPr="00222802">
        <w:rPr>
          <w:rFonts w:ascii="Verdana" w:eastAsia="Calibri" w:hAnsi="Verdana" w:cs="Arial"/>
          <w:bCs/>
          <w:color w:val="000000" w:themeColor="text1"/>
        </w:rPr>
        <w:t xml:space="preserve">. </w:t>
      </w:r>
      <w:bookmarkEnd w:id="3"/>
      <w:r w:rsidR="00B62CFA" w:rsidRPr="00222802">
        <w:rPr>
          <w:rFonts w:ascii="Verdana" w:eastAsia="Calibri" w:hAnsi="Verdana" w:cs="Arial"/>
          <w:bCs/>
          <w:color w:val="000000" w:themeColor="text1"/>
        </w:rPr>
        <w:t>En virtud de esta definición, se desprende su carácter de contrato nominado, principal, real, unilateral y gratuito</w:t>
      </w:r>
      <w:r w:rsidR="00B62CFA" w:rsidRPr="00222802">
        <w:rPr>
          <w:rFonts w:ascii="Verdana" w:eastAsia="Calibri" w:hAnsi="Verdana" w:cs="Arial"/>
          <w:bCs/>
          <w:color w:val="000000" w:themeColor="text1"/>
          <w:vertAlign w:val="superscript"/>
        </w:rPr>
        <w:footnoteReference w:id="2"/>
      </w:r>
      <w:r w:rsidR="00B62CFA" w:rsidRPr="00222802">
        <w:rPr>
          <w:rFonts w:ascii="Verdana" w:eastAsia="Calibri" w:hAnsi="Verdana" w:cs="Arial"/>
          <w:bCs/>
          <w:color w:val="000000" w:themeColor="text1"/>
        </w:rPr>
        <w:t xml:space="preserve">. También se le ha denominado a este negocio jurídico como préstamo de uso, aunque con características propias y completamente diferente al préstamo de consumo. </w:t>
      </w:r>
    </w:p>
    <w:p w14:paraId="5B1C0543" w14:textId="77777777" w:rsidR="00B62CFA" w:rsidRPr="00222802" w:rsidRDefault="00B62CFA" w:rsidP="00B62CFA">
      <w:pPr>
        <w:spacing w:after="120" w:line="276" w:lineRule="auto"/>
        <w:ind w:firstLine="708"/>
        <w:jc w:val="both"/>
        <w:rPr>
          <w:rFonts w:ascii="Verdana" w:eastAsia="Calibri" w:hAnsi="Verdana" w:cs="Arial"/>
          <w:bCs/>
          <w:color w:val="000000" w:themeColor="text1"/>
        </w:rPr>
      </w:pPr>
      <w:r w:rsidRPr="00222802">
        <w:rPr>
          <w:rFonts w:ascii="Verdana" w:eastAsia="Calibri" w:hAnsi="Verdana" w:cs="Arial"/>
          <w:bCs/>
          <w:color w:val="000000" w:themeColor="text1"/>
        </w:rPr>
        <w:t>De igual manera, el</w:t>
      </w:r>
      <w:r>
        <w:rPr>
          <w:rFonts w:ascii="Verdana" w:eastAsia="Calibri" w:hAnsi="Verdana" w:cs="Arial"/>
          <w:bCs/>
          <w:color w:val="000000" w:themeColor="text1"/>
        </w:rPr>
        <w:t xml:space="preserve"> </w:t>
      </w:r>
      <w:r w:rsidRPr="00222802">
        <w:rPr>
          <w:rFonts w:ascii="Verdana" w:eastAsia="Calibri" w:hAnsi="Verdana" w:cs="Arial"/>
          <w:bCs/>
          <w:color w:val="000000" w:themeColor="text1"/>
        </w:rPr>
        <w:t>artículo 2201</w:t>
      </w:r>
      <w:r>
        <w:rPr>
          <w:rFonts w:ascii="Verdana" w:eastAsia="Calibri" w:hAnsi="Verdana" w:cs="Arial"/>
          <w:bCs/>
          <w:color w:val="000000" w:themeColor="text1"/>
        </w:rPr>
        <w:t xml:space="preserve"> del </w:t>
      </w:r>
      <w:r w:rsidRPr="00222802">
        <w:rPr>
          <w:rFonts w:ascii="Verdana" w:eastAsia="Calibri" w:hAnsi="Verdana" w:cs="Arial"/>
          <w:bCs/>
          <w:color w:val="000000" w:themeColor="text1"/>
        </w:rPr>
        <w:t xml:space="preserve">Código Civil regula lo relacionado con los derechos del comodante. Al respecto, establece que el comodato no trasfiere el dominio de la cosa dada en comodato y, por ello, </w:t>
      </w:r>
      <w:r>
        <w:rPr>
          <w:rFonts w:ascii="Verdana" w:eastAsia="Calibri" w:hAnsi="Verdana" w:cs="Arial"/>
          <w:bCs/>
          <w:color w:val="000000" w:themeColor="text1"/>
        </w:rPr>
        <w:t>“E</w:t>
      </w:r>
      <w:r w:rsidRPr="00222802">
        <w:rPr>
          <w:rFonts w:ascii="Verdana" w:eastAsia="Calibri" w:hAnsi="Verdana" w:cs="Arial"/>
          <w:bCs/>
          <w:color w:val="000000" w:themeColor="text1"/>
        </w:rPr>
        <w:t xml:space="preserve">l comodante </w:t>
      </w:r>
      <w:r>
        <w:rPr>
          <w:rFonts w:ascii="Verdana" w:eastAsia="Calibri" w:hAnsi="Verdana" w:cs="Arial"/>
          <w:bCs/>
          <w:color w:val="000000" w:themeColor="text1"/>
        </w:rPr>
        <w:t>conserva</w:t>
      </w:r>
      <w:r w:rsidRPr="00222802">
        <w:rPr>
          <w:rFonts w:ascii="Verdana" w:eastAsia="Calibri" w:hAnsi="Verdana" w:cs="Arial"/>
          <w:bCs/>
          <w:color w:val="000000" w:themeColor="text1"/>
        </w:rPr>
        <w:t xml:space="preserve"> sobre la cosa prestada todos los derechos que antes tenía, pero no su ejercicio, en cuanto fuere incompatible con el uso concedido al comodatario</w:t>
      </w:r>
      <w:r>
        <w:rPr>
          <w:rFonts w:ascii="Verdana" w:eastAsia="Calibri" w:hAnsi="Verdana" w:cs="Arial"/>
          <w:bCs/>
          <w:color w:val="000000" w:themeColor="text1"/>
        </w:rPr>
        <w:t>”.</w:t>
      </w:r>
      <w:r w:rsidRPr="00222802">
        <w:rPr>
          <w:rFonts w:ascii="Verdana" w:eastAsia="Calibri" w:hAnsi="Verdana" w:cs="Arial"/>
          <w:bCs/>
          <w:color w:val="000000" w:themeColor="text1"/>
        </w:rPr>
        <w:t xml:space="preserve"> </w:t>
      </w:r>
      <w:r>
        <w:rPr>
          <w:rFonts w:ascii="Verdana" w:eastAsia="Calibri" w:hAnsi="Verdana" w:cs="Arial"/>
          <w:bCs/>
          <w:color w:val="000000" w:themeColor="text1"/>
        </w:rPr>
        <w:t>P</w:t>
      </w:r>
      <w:r w:rsidRPr="00222802">
        <w:rPr>
          <w:rFonts w:ascii="Verdana" w:eastAsia="Calibri" w:hAnsi="Verdana" w:cs="Arial"/>
          <w:bCs/>
          <w:color w:val="000000" w:themeColor="text1"/>
        </w:rPr>
        <w:t xml:space="preserve">or lo tanto, </w:t>
      </w:r>
      <w:bookmarkStart w:id="4" w:name="_Hlk121750901"/>
      <w:r w:rsidRPr="00222802">
        <w:rPr>
          <w:rFonts w:ascii="Verdana" w:eastAsia="Calibri" w:hAnsi="Verdana" w:cs="Arial"/>
          <w:bCs/>
          <w:color w:val="000000" w:themeColor="text1"/>
        </w:rPr>
        <w:t>el comodatario es un mero tenedor de la cosa y</w:t>
      </w:r>
      <w:r>
        <w:rPr>
          <w:rFonts w:ascii="Verdana" w:eastAsia="Calibri" w:hAnsi="Verdana" w:cs="Arial"/>
          <w:bCs/>
          <w:color w:val="000000" w:themeColor="text1"/>
        </w:rPr>
        <w:t xml:space="preserve">, en los términos del </w:t>
      </w:r>
      <w:r w:rsidRPr="00222802">
        <w:rPr>
          <w:rFonts w:ascii="Verdana" w:eastAsia="Calibri" w:hAnsi="Verdana" w:cs="Arial"/>
          <w:bCs/>
          <w:color w:val="000000" w:themeColor="text1"/>
        </w:rPr>
        <w:t>artículo 2205</w:t>
      </w:r>
      <w:r>
        <w:rPr>
          <w:rFonts w:ascii="Verdana" w:eastAsia="Calibri" w:hAnsi="Verdana" w:cs="Arial"/>
          <w:bCs/>
          <w:color w:val="000000" w:themeColor="text1"/>
        </w:rPr>
        <w:t xml:space="preserve"> </w:t>
      </w:r>
      <w:r w:rsidRPr="009F2D84">
        <w:rPr>
          <w:rFonts w:ascii="Verdana" w:eastAsia="Calibri" w:hAnsi="Verdana" w:cs="Arial"/>
          <w:bCs/>
          <w:i/>
          <w:iCs/>
          <w:color w:val="000000" w:themeColor="text1"/>
        </w:rPr>
        <w:t>ibidem</w:t>
      </w:r>
      <w:r>
        <w:rPr>
          <w:rFonts w:ascii="Verdana" w:eastAsia="Calibri" w:hAnsi="Verdana" w:cs="Arial"/>
          <w:bCs/>
          <w:color w:val="000000" w:themeColor="text1"/>
        </w:rPr>
        <w:t>,</w:t>
      </w:r>
      <w:r w:rsidRPr="00222802">
        <w:rPr>
          <w:rFonts w:ascii="Verdana" w:eastAsia="Calibri" w:hAnsi="Verdana" w:cs="Arial"/>
          <w:bCs/>
          <w:color w:val="000000" w:themeColor="text1"/>
        </w:rPr>
        <w:t xml:space="preserve"> está obligado a la restitución del bien entregado en </w:t>
      </w:r>
      <w:r w:rsidRPr="00222802">
        <w:rPr>
          <w:rFonts w:ascii="Verdana" w:eastAsia="Calibri" w:hAnsi="Verdana" w:cs="Arial"/>
          <w:bCs/>
          <w:color w:val="000000" w:themeColor="text1"/>
        </w:rPr>
        <w:lastRenderedPageBreak/>
        <w:t>comodato al vencimiento del plazo o cuando se ha cumplido el servicio para el cual ha sido prestada</w:t>
      </w:r>
      <w:bookmarkEnd w:id="4"/>
      <w:r w:rsidRPr="00222802">
        <w:rPr>
          <w:rStyle w:val="Refdenotaalpie"/>
          <w:rFonts w:ascii="Verdana" w:eastAsia="Calibri" w:hAnsi="Verdana" w:cs="Arial"/>
          <w:bCs/>
          <w:color w:val="000000" w:themeColor="text1"/>
        </w:rPr>
        <w:footnoteReference w:id="3"/>
      </w:r>
      <w:r w:rsidRPr="00222802">
        <w:rPr>
          <w:rFonts w:ascii="Verdana" w:eastAsia="Calibri" w:hAnsi="Verdana" w:cs="Arial"/>
          <w:bCs/>
          <w:color w:val="000000" w:themeColor="text1"/>
        </w:rPr>
        <w:t xml:space="preserve">. </w:t>
      </w:r>
    </w:p>
    <w:p w14:paraId="5D02B57A" w14:textId="77777777" w:rsidR="00B62CFA" w:rsidRDefault="00B62CFA" w:rsidP="00B62CFA">
      <w:pPr>
        <w:spacing w:after="0" w:line="276" w:lineRule="auto"/>
        <w:ind w:firstLine="709"/>
        <w:jc w:val="both"/>
        <w:rPr>
          <w:rFonts w:ascii="Verdana" w:eastAsia="Calibri" w:hAnsi="Verdana" w:cs="Arial"/>
          <w:bCs/>
          <w:color w:val="000000" w:themeColor="text1"/>
        </w:rPr>
      </w:pPr>
      <w:r>
        <w:rPr>
          <w:rFonts w:ascii="Verdana" w:eastAsia="Calibri" w:hAnsi="Verdana" w:cs="Arial"/>
          <w:bCs/>
          <w:color w:val="000000" w:themeColor="text1"/>
        </w:rPr>
        <w:t xml:space="preserve">Conforme al </w:t>
      </w:r>
      <w:r w:rsidRPr="00222802">
        <w:rPr>
          <w:rFonts w:ascii="Verdana" w:eastAsia="Calibri" w:hAnsi="Verdana" w:cs="Arial"/>
          <w:bCs/>
          <w:color w:val="000000" w:themeColor="text1"/>
        </w:rPr>
        <w:t>artículo 2202</w:t>
      </w:r>
      <w:r>
        <w:rPr>
          <w:rFonts w:ascii="Verdana" w:eastAsia="Calibri" w:hAnsi="Verdana" w:cs="Arial"/>
          <w:bCs/>
          <w:color w:val="000000" w:themeColor="text1"/>
        </w:rPr>
        <w:t xml:space="preserve"> del Código Civil</w:t>
      </w:r>
      <w:r w:rsidRPr="00222802">
        <w:rPr>
          <w:rFonts w:ascii="Verdana" w:eastAsia="Calibri" w:hAnsi="Verdana" w:cs="Arial"/>
          <w:bCs/>
          <w:color w:val="000000" w:themeColor="text1"/>
        </w:rPr>
        <w:t>, el comodatario tendrá la obligación de emplear la cosa para el uso convenido, o a falta de acuerdo, está obligado a usar la cosa bajo el uso ordinario</w:t>
      </w:r>
      <w:r w:rsidRPr="00222802">
        <w:rPr>
          <w:rStyle w:val="Refdenotaalpie"/>
          <w:rFonts w:ascii="Verdana" w:eastAsia="Calibri" w:hAnsi="Verdana" w:cs="Arial"/>
          <w:bCs/>
          <w:color w:val="000000" w:themeColor="text1"/>
        </w:rPr>
        <w:footnoteReference w:id="4"/>
      </w:r>
      <w:r w:rsidRPr="00222802">
        <w:rPr>
          <w:rFonts w:ascii="Verdana" w:eastAsia="Calibri" w:hAnsi="Verdana" w:cs="Arial"/>
          <w:bCs/>
          <w:color w:val="000000" w:themeColor="text1"/>
        </w:rPr>
        <w:t xml:space="preserve">. De incumplir esta obligación, el comodante podrá exigir la reparación de perjuicios y la restitución inmediata de la cosa. A propósito de las características del contrato de comodato, la Sala de Consulta y Servicio Civil del Consejo de Estado </w:t>
      </w:r>
      <w:r>
        <w:rPr>
          <w:rFonts w:ascii="Verdana" w:eastAsia="Calibri" w:hAnsi="Verdana" w:cs="Arial"/>
          <w:bCs/>
          <w:color w:val="000000" w:themeColor="text1"/>
        </w:rPr>
        <w:t>explica que</w:t>
      </w:r>
      <w:r w:rsidRPr="00222802">
        <w:rPr>
          <w:rFonts w:ascii="Verdana" w:eastAsia="Calibri" w:hAnsi="Verdana" w:cs="Arial"/>
          <w:bCs/>
          <w:color w:val="000000" w:themeColor="text1"/>
        </w:rPr>
        <w:t xml:space="preserve">: </w:t>
      </w:r>
    </w:p>
    <w:p w14:paraId="4BF8F6DD" w14:textId="77777777" w:rsidR="00B62CFA" w:rsidRPr="00222802" w:rsidRDefault="00B62CFA" w:rsidP="00B62CFA">
      <w:pPr>
        <w:spacing w:after="0" w:line="276" w:lineRule="auto"/>
        <w:ind w:firstLine="709"/>
        <w:jc w:val="both"/>
        <w:rPr>
          <w:rFonts w:ascii="Verdana" w:eastAsia="Calibri" w:hAnsi="Verdana" w:cs="Arial"/>
          <w:bCs/>
          <w:color w:val="000000" w:themeColor="text1"/>
        </w:rPr>
      </w:pPr>
    </w:p>
    <w:p w14:paraId="29236B8E" w14:textId="77777777" w:rsidR="00B62CFA" w:rsidRPr="00044F7B" w:rsidRDefault="00B62CFA" w:rsidP="00B62CFA">
      <w:pPr>
        <w:spacing w:after="0" w:line="240" w:lineRule="auto"/>
        <w:ind w:left="709" w:right="709"/>
        <w:jc w:val="both"/>
        <w:rPr>
          <w:rFonts w:ascii="Verdana" w:eastAsia="Calibri" w:hAnsi="Verdana" w:cs="Arial"/>
          <w:sz w:val="20"/>
          <w:szCs w:val="20"/>
          <w:lang w:val="es-MX"/>
        </w:rPr>
      </w:pPr>
      <w:r w:rsidRPr="00044F7B">
        <w:rPr>
          <w:rFonts w:ascii="Verdana" w:eastAsia="Calibri" w:hAnsi="Verdana" w:cs="Arial"/>
          <w:sz w:val="20"/>
          <w:szCs w:val="20"/>
          <w:lang w:val="es-MX"/>
        </w:rPr>
        <w:t xml:space="preserve">“Cabe señalar que el contrato de comodato, hoy por hoy, es más común en el derecho contractual administrativo que en el derecho privado; es una figura que ha permitido a las diferentes entidades estatales generar ahorro en componentes de gastos, tales como arrendamiento de sedes, costos de administración, mantenimiento y conservación de los bienes públicos; lo que evidencia algunas de las bondades de esta figura independientemente de las políticas que se dicten en materia de administración de los bienes públicos y de las posibilidades económicas que el Estado tiene para su manejo directo. </w:t>
      </w:r>
    </w:p>
    <w:p w14:paraId="4EE1F64F" w14:textId="77777777" w:rsidR="00B62CFA" w:rsidRPr="00044F7B" w:rsidRDefault="00B62CFA" w:rsidP="00B62CFA">
      <w:pPr>
        <w:spacing w:after="0" w:line="240" w:lineRule="auto"/>
        <w:ind w:left="709" w:right="709"/>
        <w:jc w:val="both"/>
        <w:rPr>
          <w:rFonts w:ascii="Verdana" w:eastAsia="Calibri" w:hAnsi="Verdana" w:cs="Arial"/>
          <w:sz w:val="20"/>
          <w:szCs w:val="20"/>
          <w:lang w:val="es-MX"/>
        </w:rPr>
      </w:pPr>
      <w:r w:rsidRPr="00044F7B">
        <w:rPr>
          <w:rFonts w:ascii="Verdana" w:eastAsia="Calibri" w:hAnsi="Verdana" w:cs="Arial"/>
          <w:sz w:val="20"/>
          <w:szCs w:val="20"/>
          <w:lang w:val="es-MX"/>
        </w:rPr>
        <w:t xml:space="preserve">[…] </w:t>
      </w:r>
    </w:p>
    <w:p w14:paraId="4DB318BA" w14:textId="77777777" w:rsidR="00B62CFA" w:rsidRPr="00044F7B" w:rsidRDefault="00B62CFA" w:rsidP="00B62CFA">
      <w:pPr>
        <w:spacing w:after="0" w:line="240" w:lineRule="auto"/>
        <w:ind w:left="709" w:right="709"/>
        <w:jc w:val="both"/>
        <w:rPr>
          <w:rFonts w:ascii="Verdana" w:eastAsia="Calibri" w:hAnsi="Verdana" w:cs="Arial"/>
          <w:sz w:val="20"/>
          <w:szCs w:val="20"/>
          <w:lang w:val="es-MX"/>
        </w:rPr>
      </w:pPr>
    </w:p>
    <w:p w14:paraId="6AC88437" w14:textId="77777777" w:rsidR="00B62CFA" w:rsidRPr="00044F7B" w:rsidRDefault="00B62CFA" w:rsidP="00B62CFA">
      <w:pPr>
        <w:spacing w:after="0" w:line="240" w:lineRule="auto"/>
        <w:ind w:left="709" w:right="709"/>
        <w:jc w:val="both"/>
        <w:rPr>
          <w:rFonts w:ascii="Verdana" w:eastAsia="Calibri" w:hAnsi="Verdana" w:cs="Arial"/>
          <w:sz w:val="20"/>
          <w:szCs w:val="20"/>
          <w:lang w:val="es-MX"/>
        </w:rPr>
      </w:pPr>
      <w:r w:rsidRPr="00044F7B">
        <w:rPr>
          <w:rFonts w:ascii="Verdana" w:eastAsia="Calibri" w:hAnsi="Verdana" w:cs="Arial"/>
          <w:sz w:val="20"/>
          <w:szCs w:val="20"/>
          <w:lang w:val="es-MX"/>
        </w:rPr>
        <w:t>La Sala retoma algunos aspectos analizados en consultas anteriores sobre las características del contrato en comento y precisa lo siguiente con el fin de comprender el alcance de esta figura:</w:t>
      </w:r>
    </w:p>
    <w:p w14:paraId="29851A5B" w14:textId="77777777" w:rsidR="00B62CFA" w:rsidRPr="00044F7B" w:rsidRDefault="00B62CFA" w:rsidP="00B62CFA">
      <w:pPr>
        <w:spacing w:after="0" w:line="240" w:lineRule="auto"/>
        <w:ind w:left="709" w:right="709"/>
        <w:jc w:val="both"/>
        <w:rPr>
          <w:rFonts w:ascii="Verdana" w:eastAsia="Calibri" w:hAnsi="Verdana" w:cs="Arial"/>
          <w:sz w:val="20"/>
          <w:szCs w:val="20"/>
          <w:lang w:val="es-MX"/>
        </w:rPr>
      </w:pPr>
    </w:p>
    <w:p w14:paraId="7250EFF2" w14:textId="77777777" w:rsidR="00B62CFA" w:rsidRPr="00044F7B" w:rsidRDefault="00B62CFA" w:rsidP="00B62CFA">
      <w:pPr>
        <w:tabs>
          <w:tab w:val="num" w:pos="1068"/>
        </w:tabs>
        <w:spacing w:after="0" w:line="240" w:lineRule="auto"/>
        <w:ind w:left="709" w:right="709"/>
        <w:jc w:val="both"/>
        <w:rPr>
          <w:rFonts w:ascii="Verdana" w:eastAsia="Calibri" w:hAnsi="Verdana" w:cs="Arial"/>
          <w:sz w:val="20"/>
          <w:szCs w:val="20"/>
          <w:lang w:val="es-MX"/>
        </w:rPr>
      </w:pPr>
      <w:r w:rsidRPr="00044F7B">
        <w:rPr>
          <w:rFonts w:ascii="Verdana" w:eastAsia="Calibri" w:hAnsi="Verdana" w:cs="Arial"/>
          <w:sz w:val="20"/>
          <w:szCs w:val="20"/>
          <w:lang w:val="es-MX"/>
        </w:rPr>
        <w:t>El comodato se clasifica dentro de los denominados contratos traslaticios del uso y disfrute de un bien.</w:t>
      </w:r>
    </w:p>
    <w:p w14:paraId="2611FD6B" w14:textId="77777777" w:rsidR="00B62CFA" w:rsidRPr="00044F7B" w:rsidRDefault="00B62CFA" w:rsidP="00B62CFA">
      <w:pPr>
        <w:spacing w:after="0" w:line="240" w:lineRule="auto"/>
        <w:ind w:left="709" w:right="709"/>
        <w:jc w:val="both"/>
        <w:rPr>
          <w:rFonts w:ascii="Verdana" w:eastAsia="Calibri" w:hAnsi="Verdana" w:cs="Arial"/>
          <w:sz w:val="20"/>
          <w:szCs w:val="20"/>
          <w:lang w:val="es-MX"/>
        </w:rPr>
      </w:pPr>
    </w:p>
    <w:p w14:paraId="1B33B7EE" w14:textId="77777777" w:rsidR="00B62CFA" w:rsidRPr="00044F7B" w:rsidRDefault="00B62CFA" w:rsidP="00B62CFA">
      <w:pPr>
        <w:spacing w:after="0" w:line="240" w:lineRule="auto"/>
        <w:ind w:left="709" w:right="709"/>
        <w:jc w:val="both"/>
        <w:rPr>
          <w:rFonts w:ascii="Verdana" w:eastAsia="Calibri" w:hAnsi="Verdana" w:cs="Arial"/>
          <w:sz w:val="20"/>
          <w:szCs w:val="20"/>
          <w:lang w:val="es-MX"/>
        </w:rPr>
      </w:pPr>
      <w:r w:rsidRPr="00044F7B">
        <w:rPr>
          <w:rFonts w:ascii="Verdana" w:eastAsia="Calibri" w:hAnsi="Verdana" w:cs="Arial"/>
          <w:sz w:val="20"/>
          <w:szCs w:val="20"/>
          <w:lang w:val="es-MX"/>
        </w:rPr>
        <w:t xml:space="preserve">De conformidad con lo previsto en el artículo 32 de la ley 80 de 1993, las entidades estatales están facultadas para celebrar este tipo de contrato regulado por el derecho privado, observando los límites señalados en </w:t>
      </w:r>
      <w:r w:rsidRPr="00044F7B">
        <w:rPr>
          <w:rFonts w:ascii="Verdana" w:eastAsia="Calibri" w:hAnsi="Verdana" w:cs="Arial"/>
          <w:sz w:val="20"/>
          <w:szCs w:val="20"/>
          <w:lang w:val="es-MX"/>
        </w:rPr>
        <w:lastRenderedPageBreak/>
        <w:t>normas especiales sobre la materia, en cuanto al tiempo máximo de duración y la destinación o uso que debe darse al bien”</w:t>
      </w:r>
      <w:r w:rsidRPr="00044F7B">
        <w:rPr>
          <w:rFonts w:ascii="Verdana" w:hAnsi="Verdana"/>
          <w:sz w:val="20"/>
          <w:szCs w:val="20"/>
          <w:vertAlign w:val="superscript"/>
          <w:lang w:val="es-MX"/>
        </w:rPr>
        <w:footnoteReference w:id="5"/>
      </w:r>
      <w:r w:rsidRPr="00044F7B">
        <w:rPr>
          <w:rFonts w:ascii="Verdana" w:eastAsia="Calibri" w:hAnsi="Verdana" w:cs="Arial"/>
          <w:sz w:val="20"/>
          <w:szCs w:val="20"/>
          <w:lang w:val="es-MX"/>
        </w:rPr>
        <w:t>.</w:t>
      </w:r>
    </w:p>
    <w:p w14:paraId="2A23F8EF" w14:textId="77777777" w:rsidR="00B62CFA" w:rsidRPr="00222802" w:rsidRDefault="00B62CFA" w:rsidP="00B62CFA">
      <w:pPr>
        <w:spacing w:after="0" w:line="276" w:lineRule="auto"/>
        <w:ind w:firstLine="708"/>
        <w:jc w:val="both"/>
        <w:rPr>
          <w:rFonts w:ascii="Verdana" w:eastAsia="Calibri" w:hAnsi="Verdana" w:cs="Arial"/>
          <w:bCs/>
          <w:color w:val="000000" w:themeColor="text1"/>
        </w:rPr>
      </w:pPr>
    </w:p>
    <w:p w14:paraId="4111A9A3" w14:textId="77777777" w:rsidR="00B62CFA" w:rsidRPr="00222802" w:rsidRDefault="00B62CFA" w:rsidP="00B62CFA">
      <w:pPr>
        <w:spacing w:after="120" w:line="276" w:lineRule="auto"/>
        <w:ind w:firstLine="709"/>
        <w:jc w:val="both"/>
        <w:rPr>
          <w:rFonts w:ascii="Verdana" w:eastAsia="Calibri" w:hAnsi="Verdana" w:cs="Arial"/>
          <w:bCs/>
          <w:color w:val="000000" w:themeColor="text1"/>
        </w:rPr>
      </w:pPr>
      <w:r w:rsidRPr="00222802">
        <w:rPr>
          <w:rFonts w:ascii="Verdana" w:eastAsia="Calibri" w:hAnsi="Verdana" w:cs="Arial"/>
          <w:bCs/>
          <w:color w:val="000000" w:themeColor="text1"/>
        </w:rPr>
        <w:t xml:space="preserve">Si bien el artículo 1452 del Código Civil dispone que no existe donación en el comodato, implica un auxilio en favor de terceros. Para estos efectos, la jurisprudencia considera que el contrato </w:t>
      </w:r>
      <w:r>
        <w:rPr>
          <w:rFonts w:ascii="Verdana" w:eastAsia="Calibri" w:hAnsi="Verdana" w:cs="Arial"/>
          <w:bCs/>
          <w:color w:val="000000" w:themeColor="text1"/>
        </w:rPr>
        <w:t>“</w:t>
      </w:r>
      <w:r w:rsidRPr="001E075A">
        <w:rPr>
          <w:rFonts w:ascii="Verdana" w:eastAsia="Calibri" w:hAnsi="Verdana" w:cs="Arial"/>
          <w:bCs/>
          <w:iCs/>
          <w:color w:val="000000" w:themeColor="text1"/>
        </w:rPr>
        <w:t xml:space="preserve">Es tal vez una de las más elementales pero contundentes muestras de solidaridad, ayuda y auxilio, como que se trata de un acto de cortesía, benevolencia, beneficencia o complacencia que no tiene el lucro como inspiración esencial y que facilita al comodatario la satisfacción de sus necesidades […] No en vano, comodato viene del latín </w:t>
      </w:r>
      <w:proofErr w:type="spellStart"/>
      <w:r w:rsidRPr="001E075A">
        <w:rPr>
          <w:rFonts w:ascii="Verdana" w:eastAsia="Calibri" w:hAnsi="Verdana" w:cs="Arial"/>
          <w:bCs/>
          <w:i/>
          <w:color w:val="000000" w:themeColor="text1"/>
        </w:rPr>
        <w:t>commodatum</w:t>
      </w:r>
      <w:proofErr w:type="spellEnd"/>
      <w:r w:rsidRPr="001E075A">
        <w:rPr>
          <w:rFonts w:ascii="Verdana" w:eastAsia="Calibri" w:hAnsi="Verdana" w:cs="Arial"/>
          <w:bCs/>
          <w:iCs/>
          <w:color w:val="000000" w:themeColor="text1"/>
        </w:rPr>
        <w:t xml:space="preserve">, expresión que conjuga los términos </w:t>
      </w:r>
      <w:proofErr w:type="spellStart"/>
      <w:r w:rsidRPr="001E075A">
        <w:rPr>
          <w:rFonts w:ascii="Verdana" w:eastAsia="Calibri" w:hAnsi="Verdana" w:cs="Arial"/>
          <w:bCs/>
          <w:i/>
          <w:color w:val="000000" w:themeColor="text1"/>
        </w:rPr>
        <w:t>commodum</w:t>
      </w:r>
      <w:proofErr w:type="spellEnd"/>
      <w:r w:rsidRPr="001E075A">
        <w:rPr>
          <w:rFonts w:ascii="Verdana" w:eastAsia="Calibri" w:hAnsi="Verdana" w:cs="Arial"/>
          <w:bCs/>
          <w:iCs/>
          <w:color w:val="000000" w:themeColor="text1"/>
        </w:rPr>
        <w:t xml:space="preserve"> -utilidad, provecho- y </w:t>
      </w:r>
      <w:r w:rsidRPr="001E075A">
        <w:rPr>
          <w:rFonts w:ascii="Verdana" w:eastAsia="Calibri" w:hAnsi="Verdana" w:cs="Arial"/>
          <w:bCs/>
          <w:i/>
          <w:color w:val="000000" w:themeColor="text1"/>
        </w:rPr>
        <w:t>datum</w:t>
      </w:r>
      <w:r w:rsidRPr="001E075A">
        <w:rPr>
          <w:rFonts w:ascii="Verdana" w:eastAsia="Calibri" w:hAnsi="Verdana" w:cs="Arial"/>
          <w:bCs/>
          <w:iCs/>
          <w:color w:val="000000" w:themeColor="text1"/>
        </w:rPr>
        <w:t xml:space="preserve"> -dar-, es decir, entregar para utilidad de otro (</w:t>
      </w:r>
      <w:proofErr w:type="spellStart"/>
      <w:r w:rsidRPr="001E075A">
        <w:rPr>
          <w:rFonts w:ascii="Verdana" w:eastAsia="Calibri" w:hAnsi="Verdana" w:cs="Arial"/>
          <w:bCs/>
          <w:i/>
          <w:color w:val="000000" w:themeColor="text1"/>
        </w:rPr>
        <w:t>utendum</w:t>
      </w:r>
      <w:proofErr w:type="spellEnd"/>
      <w:r w:rsidRPr="001E075A">
        <w:rPr>
          <w:rFonts w:ascii="Verdana" w:eastAsia="Calibri" w:hAnsi="Verdana" w:cs="Arial"/>
          <w:bCs/>
          <w:i/>
          <w:color w:val="000000" w:themeColor="text1"/>
        </w:rPr>
        <w:t xml:space="preserve"> </w:t>
      </w:r>
      <w:proofErr w:type="spellStart"/>
      <w:r w:rsidRPr="001E075A">
        <w:rPr>
          <w:rFonts w:ascii="Verdana" w:eastAsia="Calibri" w:hAnsi="Verdana" w:cs="Arial"/>
          <w:bCs/>
          <w:i/>
          <w:color w:val="000000" w:themeColor="text1"/>
        </w:rPr>
        <w:t>dare</w:t>
      </w:r>
      <w:proofErr w:type="spellEnd"/>
      <w:r w:rsidRPr="001E075A">
        <w:rPr>
          <w:rFonts w:ascii="Verdana" w:eastAsia="Calibri" w:hAnsi="Verdana" w:cs="Arial"/>
          <w:bCs/>
          <w:iCs/>
          <w:color w:val="000000" w:themeColor="text1"/>
        </w:rPr>
        <w:t>)</w:t>
      </w:r>
      <w:r>
        <w:rPr>
          <w:rFonts w:ascii="Verdana" w:eastAsia="Calibri" w:hAnsi="Verdana" w:cs="Arial"/>
          <w:bCs/>
          <w:color w:val="000000" w:themeColor="text1"/>
        </w:rPr>
        <w:t>”</w:t>
      </w:r>
      <w:r w:rsidRPr="00222802">
        <w:rPr>
          <w:rFonts w:ascii="Verdana" w:eastAsia="Calibri" w:hAnsi="Verdana"/>
          <w:vertAlign w:val="superscript"/>
        </w:rPr>
        <w:footnoteReference w:id="6"/>
      </w:r>
      <w:bookmarkStart w:id="7" w:name="_Hlk35263504"/>
      <w:r w:rsidRPr="00222802">
        <w:rPr>
          <w:rFonts w:ascii="Verdana" w:eastAsia="Calibri" w:hAnsi="Verdana" w:cs="Arial"/>
          <w:bCs/>
          <w:color w:val="000000" w:themeColor="text1"/>
        </w:rPr>
        <w:t xml:space="preserve">. </w:t>
      </w:r>
    </w:p>
    <w:p w14:paraId="5DA5B09F" w14:textId="77777777" w:rsidR="00B62CFA" w:rsidRPr="00222802" w:rsidRDefault="00B62CFA" w:rsidP="00B62CFA">
      <w:pPr>
        <w:spacing w:after="0" w:line="276" w:lineRule="auto"/>
        <w:ind w:firstLine="708"/>
        <w:jc w:val="both"/>
        <w:rPr>
          <w:rFonts w:ascii="Verdana" w:eastAsia="Calibri" w:hAnsi="Verdana" w:cs="Arial"/>
          <w:bCs/>
          <w:color w:val="000000" w:themeColor="text1"/>
        </w:rPr>
      </w:pPr>
      <w:r w:rsidRPr="00222802">
        <w:rPr>
          <w:rFonts w:ascii="Verdana" w:eastAsia="Calibri" w:hAnsi="Verdana" w:cs="Arial"/>
          <w:bCs/>
          <w:color w:val="000000" w:themeColor="text1"/>
        </w:rPr>
        <w:t xml:space="preserve">Sin perjuicio de lo anterior, resulta relevante resaltar que </w:t>
      </w:r>
      <w:bookmarkStart w:id="8" w:name="_Hlk121742558"/>
      <w:r w:rsidRPr="00222802">
        <w:rPr>
          <w:rFonts w:ascii="Verdana" w:eastAsia="Calibri" w:hAnsi="Verdana" w:cs="Arial"/>
          <w:bCs/>
          <w:color w:val="000000" w:themeColor="text1"/>
        </w:rPr>
        <w:t>esta tipología contractual es restrictiva en la contratación pública, cuando se pretende celebrar con particulares, máxime cuando el ordenamiento s</w:t>
      </w:r>
      <w:r>
        <w:rPr>
          <w:rFonts w:ascii="Verdana" w:eastAsia="Calibri" w:hAnsi="Verdana" w:cs="Arial"/>
          <w:bCs/>
          <w:color w:val="000000" w:themeColor="text1"/>
        </w:rPr>
        <w:t>ó</w:t>
      </w:r>
      <w:r w:rsidRPr="00222802">
        <w:rPr>
          <w:rFonts w:ascii="Verdana" w:eastAsia="Calibri" w:hAnsi="Verdana" w:cs="Arial"/>
          <w:bCs/>
          <w:color w:val="000000" w:themeColor="text1"/>
        </w:rPr>
        <w:t>lo permite donaciones y auxilios a favor de entidades estatales.</w:t>
      </w:r>
      <w:bookmarkEnd w:id="8"/>
      <w:r w:rsidRPr="00222802">
        <w:rPr>
          <w:rFonts w:ascii="Verdana" w:eastAsia="Calibri" w:hAnsi="Verdana" w:cs="Arial"/>
          <w:bCs/>
          <w:color w:val="000000" w:themeColor="text1"/>
        </w:rPr>
        <w:t xml:space="preserve"> Al respecto, es importante destacar que el artículo 38 de la Ley 9 de 1989</w:t>
      </w:r>
      <w:bookmarkEnd w:id="7"/>
      <w:r w:rsidRPr="00222802">
        <w:rPr>
          <w:rFonts w:ascii="Verdana" w:eastAsia="Calibri" w:hAnsi="Verdana" w:cs="Arial"/>
          <w:bCs/>
          <w:color w:val="000000" w:themeColor="text1"/>
        </w:rPr>
        <w:t xml:space="preserve"> </w:t>
      </w:r>
      <w:r>
        <w:rPr>
          <w:rFonts w:ascii="Verdana" w:eastAsia="Calibri" w:hAnsi="Verdana" w:cs="Arial"/>
          <w:bCs/>
          <w:color w:val="000000" w:themeColor="text1"/>
        </w:rPr>
        <w:t>prescribe que</w:t>
      </w:r>
      <w:r w:rsidRPr="00222802">
        <w:rPr>
          <w:rFonts w:ascii="Verdana" w:eastAsia="Calibri" w:hAnsi="Verdana" w:cs="Arial"/>
          <w:bCs/>
          <w:color w:val="000000" w:themeColor="text1"/>
        </w:rPr>
        <w:t>:</w:t>
      </w:r>
    </w:p>
    <w:p w14:paraId="3875BEDF" w14:textId="77777777" w:rsidR="00B62CFA" w:rsidRPr="00332CB9" w:rsidRDefault="00B62CFA" w:rsidP="0074251E">
      <w:pPr>
        <w:pStyle w:val="Prrafodelista"/>
        <w:spacing w:after="120" w:line="276" w:lineRule="auto"/>
        <w:jc w:val="both"/>
        <w:rPr>
          <w:rFonts w:ascii="Verdana" w:eastAsia="Calibri" w:hAnsi="Verdana" w:cs="Arial"/>
          <w:bCs/>
          <w:color w:val="000000" w:themeColor="text1"/>
          <w:lang w:val="es-ES_tradnl"/>
        </w:rPr>
      </w:pPr>
    </w:p>
    <w:p w14:paraId="18283533" w14:textId="77777777" w:rsidR="00B62CFA" w:rsidRPr="00E7107B" w:rsidRDefault="00B62CFA" w:rsidP="0074251E">
      <w:pPr>
        <w:pStyle w:val="Prrafodelista"/>
        <w:spacing w:after="0" w:line="240" w:lineRule="auto"/>
        <w:ind w:left="709" w:right="709"/>
        <w:jc w:val="both"/>
        <w:rPr>
          <w:rFonts w:ascii="Verdana" w:eastAsia="Calibri" w:hAnsi="Verdana" w:cs="Arial"/>
          <w:bCs/>
          <w:color w:val="000000" w:themeColor="text1"/>
          <w:sz w:val="20"/>
          <w:szCs w:val="20"/>
          <w:lang w:val="es-ES_tradnl"/>
        </w:rPr>
      </w:pPr>
      <w:r w:rsidRPr="00E7107B">
        <w:rPr>
          <w:rFonts w:ascii="Verdana" w:eastAsia="Calibri" w:hAnsi="Verdana" w:cs="Arial"/>
          <w:bCs/>
          <w:i/>
          <w:color w:val="000000" w:themeColor="text1"/>
          <w:sz w:val="20"/>
          <w:szCs w:val="20"/>
          <w:lang w:val="es-ES_tradnl"/>
        </w:rPr>
        <w:t>“Las entidades públicas no podrán dar en comodato sus inmuebles sino únicamente a otras entidades públicas, sindicatos, cooperativas, asociaciones y fundaciones que no repartan utilidades entre sus asociados o fundadores ni adjudiquen sus activos en el momento de su liquidación a los mismos, juntas de acción comunal, fondos de empleados y las demás que puedan asimilarse a las anteriores, y por un término máximo de cinco (5) años, renovables</w:t>
      </w:r>
      <w:r w:rsidRPr="00E7107B">
        <w:rPr>
          <w:rFonts w:ascii="Verdana" w:eastAsia="Calibri" w:hAnsi="Verdana" w:cs="Arial"/>
          <w:bCs/>
          <w:color w:val="000000" w:themeColor="text1"/>
          <w:sz w:val="20"/>
          <w:szCs w:val="20"/>
          <w:lang w:val="es-ES_tradnl"/>
        </w:rPr>
        <w:t>.</w:t>
      </w:r>
    </w:p>
    <w:p w14:paraId="598DA43E" w14:textId="77777777" w:rsidR="00B62CFA" w:rsidRPr="00E7107B" w:rsidRDefault="00B62CFA" w:rsidP="0074251E">
      <w:pPr>
        <w:pStyle w:val="Prrafodelista"/>
        <w:spacing w:after="0" w:line="240" w:lineRule="auto"/>
        <w:ind w:left="709" w:right="709"/>
        <w:jc w:val="both"/>
        <w:rPr>
          <w:rFonts w:ascii="Verdana" w:eastAsia="Calibri" w:hAnsi="Verdana" w:cs="Arial"/>
          <w:bCs/>
          <w:color w:val="000000" w:themeColor="text1"/>
          <w:sz w:val="20"/>
          <w:szCs w:val="20"/>
          <w:lang w:val="es-ES_tradnl"/>
        </w:rPr>
      </w:pPr>
    </w:p>
    <w:p w14:paraId="29E2B9A3" w14:textId="77777777" w:rsidR="00B62CFA" w:rsidRPr="00E7107B" w:rsidRDefault="00B62CFA" w:rsidP="0074251E">
      <w:pPr>
        <w:pStyle w:val="Prrafodelista"/>
        <w:spacing w:after="0" w:line="240" w:lineRule="auto"/>
        <w:ind w:left="709" w:right="709"/>
        <w:jc w:val="both"/>
        <w:rPr>
          <w:rFonts w:ascii="Verdana" w:eastAsia="Calibri" w:hAnsi="Verdana" w:cs="Arial"/>
          <w:bCs/>
          <w:color w:val="000000" w:themeColor="text1"/>
          <w:sz w:val="20"/>
          <w:szCs w:val="20"/>
          <w:lang w:val="es-ES_tradnl"/>
        </w:rPr>
      </w:pPr>
      <w:r w:rsidRPr="00E7107B">
        <w:rPr>
          <w:rFonts w:ascii="Verdana" w:eastAsia="Calibri" w:hAnsi="Verdana" w:cs="Arial"/>
          <w:bCs/>
          <w:color w:val="000000" w:themeColor="text1"/>
          <w:sz w:val="20"/>
          <w:szCs w:val="20"/>
          <w:lang w:val="es-ES_tradnl"/>
        </w:rPr>
        <w:t>Los contratos de comodato existentes, y que hayan sido celebrados por las entidades públicas con personas distintas de las señaladas en el inciso anterior, serán renegociados por las primeras para limitar su término a tres (3) años renovables, contados a partir de la promulgación de la presente Ley”. (Énfasis fuera de texto)</w:t>
      </w:r>
    </w:p>
    <w:p w14:paraId="79F87741" w14:textId="77777777" w:rsidR="00B62CFA" w:rsidRPr="00222802" w:rsidRDefault="00B62CFA" w:rsidP="00B62CFA">
      <w:pPr>
        <w:pStyle w:val="Prrafodelista"/>
        <w:spacing w:after="0" w:line="276" w:lineRule="auto"/>
        <w:jc w:val="both"/>
        <w:rPr>
          <w:rFonts w:ascii="Verdana" w:eastAsia="Calibri" w:hAnsi="Verdana" w:cs="Arial"/>
          <w:bCs/>
          <w:color w:val="000000" w:themeColor="text1"/>
          <w:lang w:val="es-ES_tradnl"/>
        </w:rPr>
      </w:pPr>
    </w:p>
    <w:p w14:paraId="4C03FF09" w14:textId="72C6032E" w:rsidR="00B62CFA" w:rsidRPr="00222802" w:rsidRDefault="00B62CFA" w:rsidP="00B62CFA">
      <w:pPr>
        <w:spacing w:after="120" w:line="276" w:lineRule="auto"/>
        <w:ind w:firstLine="709"/>
        <w:jc w:val="both"/>
        <w:rPr>
          <w:rFonts w:ascii="Verdana" w:eastAsia="Calibri" w:hAnsi="Verdana" w:cs="Arial"/>
          <w:bCs/>
          <w:color w:val="000000" w:themeColor="text1"/>
        </w:rPr>
      </w:pPr>
      <w:r>
        <w:rPr>
          <w:rFonts w:ascii="Verdana" w:eastAsia="Calibri" w:hAnsi="Verdana" w:cs="Arial"/>
          <w:bCs/>
          <w:color w:val="000000" w:themeColor="text1"/>
        </w:rPr>
        <w:t>Esta norma</w:t>
      </w:r>
      <w:r w:rsidRPr="00222802">
        <w:rPr>
          <w:rFonts w:ascii="Verdana" w:eastAsia="Calibri" w:hAnsi="Verdana" w:cs="Arial"/>
          <w:bCs/>
          <w:color w:val="000000" w:themeColor="text1"/>
        </w:rPr>
        <w:t xml:space="preserve"> </w:t>
      </w:r>
      <w:r>
        <w:rPr>
          <w:rFonts w:ascii="Verdana" w:eastAsia="Calibri" w:hAnsi="Verdana" w:cs="Arial"/>
          <w:bCs/>
          <w:color w:val="000000" w:themeColor="text1"/>
        </w:rPr>
        <w:t xml:space="preserve">es congruente con </w:t>
      </w:r>
      <w:r w:rsidRPr="00222802">
        <w:rPr>
          <w:rFonts w:ascii="Verdana" w:eastAsia="Calibri" w:hAnsi="Verdana" w:cs="Arial"/>
          <w:bCs/>
          <w:color w:val="000000" w:themeColor="text1"/>
        </w:rPr>
        <w:t xml:space="preserve">el artículo 355 de la Constitución Política de 1991, el cual dispone que </w:t>
      </w:r>
      <w:r>
        <w:rPr>
          <w:rFonts w:ascii="Verdana" w:eastAsia="Calibri" w:hAnsi="Verdana" w:cs="Arial"/>
          <w:bCs/>
          <w:color w:val="000000" w:themeColor="text1"/>
        </w:rPr>
        <w:t>“</w:t>
      </w:r>
      <w:r w:rsidRPr="00222802">
        <w:rPr>
          <w:rFonts w:ascii="Verdana" w:eastAsia="Calibri" w:hAnsi="Verdana" w:cs="Arial"/>
          <w:bCs/>
          <w:color w:val="000000" w:themeColor="text1"/>
        </w:rPr>
        <w:t xml:space="preserve">Ninguna de las ramas u órganos del poder público podrá decretar auxilios o donaciones en favor de personas naturales o jurídicas </w:t>
      </w:r>
      <w:r w:rsidRPr="00222802">
        <w:rPr>
          <w:rFonts w:ascii="Verdana" w:eastAsia="Calibri" w:hAnsi="Verdana" w:cs="Arial"/>
          <w:bCs/>
          <w:color w:val="000000" w:themeColor="text1"/>
        </w:rPr>
        <w:lastRenderedPageBreak/>
        <w:t>de derecho privado</w:t>
      </w:r>
      <w:r>
        <w:rPr>
          <w:rFonts w:ascii="Verdana" w:eastAsia="Calibri" w:hAnsi="Verdana" w:cs="Arial"/>
          <w:bCs/>
          <w:color w:val="000000" w:themeColor="text1"/>
        </w:rPr>
        <w:t>”</w:t>
      </w:r>
      <w:r w:rsidRPr="00222802">
        <w:rPr>
          <w:rFonts w:ascii="Verdana" w:eastAsia="Calibri" w:hAnsi="Verdana" w:cs="Arial"/>
          <w:bCs/>
          <w:color w:val="000000" w:themeColor="text1"/>
        </w:rPr>
        <w:t>.</w:t>
      </w:r>
      <w:r>
        <w:rPr>
          <w:rFonts w:ascii="Verdana" w:eastAsia="Calibri" w:hAnsi="Verdana" w:cs="Arial"/>
          <w:bCs/>
          <w:color w:val="000000" w:themeColor="text1"/>
        </w:rPr>
        <w:t xml:space="preserve"> No obstante, el inciso segundo también señala lo siguiente: “</w:t>
      </w:r>
      <w:r w:rsidRPr="00CE3BCB">
        <w:rPr>
          <w:rFonts w:ascii="Verdana" w:eastAsia="Calibri" w:hAnsi="Verdana" w:cs="Arial"/>
          <w:bCs/>
          <w:color w:val="000000" w:themeColor="text1"/>
        </w:rPr>
        <w:t>El Gobierno, en los niveles nacional, departamental, distrital y municipal podrá, con recursos de los respectivos presupuestos, celebrar contratos con entidades privadas sin ánimo de lucro y de reconocida idoneidad con el fin de impulsar programas y actividades de interés público acordes con el Plan Nacional y con los planes seccionales de Desarrollo</w:t>
      </w:r>
      <w:r>
        <w:rPr>
          <w:rFonts w:ascii="Verdana" w:eastAsia="Calibri" w:hAnsi="Verdana" w:cs="Arial"/>
          <w:bCs/>
          <w:color w:val="000000" w:themeColor="text1"/>
        </w:rPr>
        <w:t xml:space="preserve"> […]”</w:t>
      </w:r>
      <w:r w:rsidRPr="00CE3BCB">
        <w:rPr>
          <w:rFonts w:ascii="Verdana" w:eastAsia="Calibri" w:hAnsi="Verdana" w:cs="Arial"/>
          <w:bCs/>
          <w:color w:val="000000" w:themeColor="text1"/>
        </w:rPr>
        <w:t>.</w:t>
      </w:r>
    </w:p>
    <w:p w14:paraId="505BD103" w14:textId="77777777" w:rsidR="00B62CFA" w:rsidRDefault="00B62CFA" w:rsidP="00B62CFA">
      <w:pPr>
        <w:widowControl w:val="0"/>
        <w:autoSpaceDE w:val="0"/>
        <w:autoSpaceDN w:val="0"/>
        <w:spacing w:after="120" w:line="276" w:lineRule="auto"/>
        <w:ind w:firstLine="709"/>
        <w:jc w:val="both"/>
        <w:rPr>
          <w:rFonts w:ascii="Verdana" w:eastAsia="Calibri" w:hAnsi="Verdana" w:cs="Arial"/>
          <w:bCs/>
          <w:color w:val="000000" w:themeColor="text1"/>
        </w:rPr>
      </w:pPr>
      <w:r w:rsidRPr="00222802">
        <w:rPr>
          <w:rFonts w:ascii="Verdana" w:eastAsia="Calibri" w:hAnsi="Verdana" w:cs="Arial"/>
          <w:bCs/>
          <w:color w:val="000000" w:themeColor="text1"/>
        </w:rPr>
        <w:t xml:space="preserve">Mediante </w:t>
      </w:r>
      <w:r>
        <w:rPr>
          <w:rFonts w:ascii="Verdana" w:eastAsia="Calibri" w:hAnsi="Verdana" w:cs="Arial"/>
          <w:bCs/>
          <w:color w:val="000000" w:themeColor="text1"/>
        </w:rPr>
        <w:t>C</w:t>
      </w:r>
      <w:r w:rsidRPr="00222802">
        <w:rPr>
          <w:rFonts w:ascii="Verdana" w:eastAsia="Calibri" w:hAnsi="Verdana" w:cs="Arial"/>
          <w:bCs/>
          <w:color w:val="000000" w:themeColor="text1"/>
        </w:rPr>
        <w:t>oncepto</w:t>
      </w:r>
      <w:r>
        <w:rPr>
          <w:rFonts w:ascii="Verdana" w:eastAsia="Calibri" w:hAnsi="Verdana" w:cs="Arial"/>
          <w:bCs/>
          <w:color w:val="000000" w:themeColor="text1"/>
        </w:rPr>
        <w:t xml:space="preserve"> </w:t>
      </w:r>
      <w:r w:rsidRPr="00222802">
        <w:rPr>
          <w:rFonts w:ascii="Verdana" w:eastAsia="Calibri" w:hAnsi="Verdana" w:cs="Arial"/>
          <w:bCs/>
          <w:color w:val="000000" w:themeColor="text1"/>
        </w:rPr>
        <w:t xml:space="preserve">415140000909 de 2015, la </w:t>
      </w:r>
      <w:r>
        <w:rPr>
          <w:rFonts w:ascii="Verdana" w:eastAsia="Calibri" w:hAnsi="Verdana" w:cs="Arial"/>
          <w:bCs/>
          <w:color w:val="000000" w:themeColor="text1"/>
        </w:rPr>
        <w:t>ANCP – CCE</w:t>
      </w:r>
      <w:r w:rsidRPr="00222802">
        <w:rPr>
          <w:rFonts w:ascii="Verdana" w:eastAsia="Calibri" w:hAnsi="Verdana" w:cs="Arial"/>
          <w:bCs/>
          <w:color w:val="000000" w:themeColor="text1"/>
        </w:rPr>
        <w:t xml:space="preserve"> explicó que el artículo 38 de la Ley 9 de 1989 contiene una restricción al texto constitucional del artículo 355, toda vez que tratándose de bienes inmuebles establece dos (2) condiciones a las que están sujetas las entidades estatales para celebrar el contrato de comodato: i) el tiempo de duración del contrato y </w:t>
      </w:r>
      <w:proofErr w:type="spellStart"/>
      <w:r w:rsidRPr="00222802">
        <w:rPr>
          <w:rFonts w:ascii="Verdana" w:eastAsia="Calibri" w:hAnsi="Verdana" w:cs="Arial"/>
          <w:bCs/>
          <w:color w:val="000000" w:themeColor="text1"/>
        </w:rPr>
        <w:t>ii</w:t>
      </w:r>
      <w:proofErr w:type="spellEnd"/>
      <w:r w:rsidRPr="00222802">
        <w:rPr>
          <w:rFonts w:ascii="Verdana" w:eastAsia="Calibri" w:hAnsi="Verdana" w:cs="Arial"/>
          <w:bCs/>
          <w:color w:val="000000" w:themeColor="text1"/>
        </w:rPr>
        <w:t xml:space="preserve">) las personas con las cuales puede celebrarlo. Con fundamento en la misma norma, precisó que esta no establece restricción frente al contrato de comodato de bienes muebles, por tanto, las entidades estatales podrían celebrar contratos de comodato entre sí, de acuerdo con las reglas del Código Civil dispuestas entre los artículos 2200 al 2220. </w:t>
      </w:r>
    </w:p>
    <w:p w14:paraId="6D6E4AA3" w14:textId="77777777" w:rsidR="00B62CFA" w:rsidRPr="002F1600" w:rsidRDefault="00B62CFA" w:rsidP="00B62CFA">
      <w:pPr>
        <w:spacing w:after="120" w:line="276" w:lineRule="auto"/>
        <w:ind w:firstLine="709"/>
        <w:jc w:val="both"/>
        <w:rPr>
          <w:rFonts w:ascii="Verdana" w:eastAsia="Times New Roman" w:hAnsi="Verdana" w:cs="Arial"/>
          <w:lang w:val="es-MX" w:eastAsia="es-CO"/>
        </w:rPr>
      </w:pPr>
      <w:r>
        <w:rPr>
          <w:rFonts w:ascii="Verdana" w:eastAsia="Calibri" w:hAnsi="Verdana" w:cs="Arial"/>
          <w:bCs/>
          <w:color w:val="000000" w:themeColor="text1"/>
        </w:rPr>
        <w:t xml:space="preserve">En consecuencia, </w:t>
      </w:r>
      <w:r w:rsidRPr="00C423B3">
        <w:rPr>
          <w:rFonts w:ascii="Verdana" w:eastAsia="Calibri" w:hAnsi="Verdana" w:cs="Arial"/>
          <w:bCs/>
          <w:color w:val="000000" w:themeColor="text1"/>
        </w:rPr>
        <w:t xml:space="preserve">el contrato de comodato adquiere particular relevancia cuando se analiza a la luz de las restricciones previstas en la Ley 996 de 2005, cuyo propósito es asegurar la transparencia, la igualdad y la moralidad administrativa durante los periodos electorales. En efecto, si bien el comodato es una figura gratuita y regida principalmente por el derecho civil, su utilización por parte de entidades públicas puede implicar la disposición de bienes estatales en favor de terceros, lo que exige un especial análisis frente a las limitaciones a la contratación directa y a la prohibición de otorgar beneficios indebidos en época electoral. En ese sentido, resulta necesario evaluar su procedencia no solo desde su régimen jurídico propio, sino también en función de las restricciones temporales y finalidades previstas en la normativa electoral, a fin de evitar que, bajo la apariencia de un contrato gratuito, se configuren mecanismos que </w:t>
      </w:r>
      <w:r w:rsidRPr="002F1600">
        <w:rPr>
          <w:rFonts w:ascii="Verdana" w:eastAsia="Times New Roman" w:hAnsi="Verdana" w:cs="Arial"/>
          <w:lang w:val="es-MX" w:eastAsia="es-CO"/>
        </w:rPr>
        <w:t>puedan afectar los principios de imparcialidad y equidad en la contienda política.</w:t>
      </w:r>
    </w:p>
    <w:p w14:paraId="3B32344B" w14:textId="77777777" w:rsidR="00B62CFA" w:rsidRPr="002E76E6" w:rsidRDefault="00B62CFA" w:rsidP="001E2342">
      <w:pPr>
        <w:spacing w:after="120" w:line="276" w:lineRule="auto"/>
        <w:ind w:firstLine="709"/>
        <w:jc w:val="both"/>
        <w:rPr>
          <w:rFonts w:ascii="Verdana" w:eastAsia="Times New Roman" w:hAnsi="Verdana" w:cs="Arial"/>
          <w:lang w:eastAsia="es-CO"/>
        </w:rPr>
      </w:pPr>
      <w:r>
        <w:rPr>
          <w:rFonts w:ascii="Verdana" w:eastAsia="Times New Roman" w:hAnsi="Verdana" w:cs="Arial"/>
          <w:lang w:val="es-MX" w:eastAsia="es-CO"/>
        </w:rPr>
        <w:t xml:space="preserve">Ahora bien, </w:t>
      </w:r>
      <w:proofErr w:type="gramStart"/>
      <w:r>
        <w:rPr>
          <w:rFonts w:ascii="Verdana" w:eastAsia="Times New Roman" w:hAnsi="Verdana" w:cs="Arial"/>
          <w:lang w:val="es-MX" w:eastAsia="es-CO"/>
        </w:rPr>
        <w:t>de acuerdo a</w:t>
      </w:r>
      <w:proofErr w:type="gramEnd"/>
      <w:r>
        <w:rPr>
          <w:rFonts w:ascii="Verdana" w:eastAsia="Times New Roman" w:hAnsi="Verdana" w:cs="Arial"/>
          <w:lang w:val="es-MX" w:eastAsia="es-CO"/>
        </w:rPr>
        <w:t xml:space="preserve"> la aplicabilidad de la Ley de Garantías electorales en la celebración de contratos de comodatos por parte de las entidades estatales, esta agencia precisa que, e</w:t>
      </w:r>
      <w:r w:rsidRPr="002F1600">
        <w:rPr>
          <w:rFonts w:ascii="Verdana" w:eastAsia="Times New Roman" w:hAnsi="Verdana" w:cs="Arial"/>
          <w:lang w:val="es-MX" w:eastAsia="es-CO"/>
        </w:rPr>
        <w:t>l ordenamiento jurídico colombiano</w:t>
      </w:r>
      <w:r w:rsidRPr="002E76E6">
        <w:rPr>
          <w:rFonts w:ascii="Verdana" w:eastAsia="Calibri" w:hAnsi="Verdana" w:cs="Arial"/>
        </w:rPr>
        <w:t xml:space="preserve"> contempla previsiones claras para evitar la obtención de beneficios personales en asuntos propios de la administración pública</w:t>
      </w:r>
      <w:r w:rsidRPr="002E76E6">
        <w:rPr>
          <w:rFonts w:ascii="Verdana" w:eastAsia="Calibri" w:hAnsi="Verdana" w:cs="Arial"/>
          <w:i/>
        </w:rPr>
        <w:t xml:space="preserve">. </w:t>
      </w:r>
      <w:r w:rsidRPr="002E76E6">
        <w:rPr>
          <w:rFonts w:ascii="Verdana" w:eastAsia="Calibri" w:hAnsi="Verdana" w:cs="Arial"/>
        </w:rPr>
        <w:t xml:space="preserve">Por ejemplo, el artículo 127 de la Constitución Política establece una prohibición contractual a los servidores </w:t>
      </w:r>
      <w:r w:rsidRPr="002E76E6">
        <w:rPr>
          <w:rFonts w:ascii="Verdana" w:eastAsia="Calibri" w:hAnsi="Verdana" w:cs="Arial"/>
        </w:rPr>
        <w:lastRenderedPageBreak/>
        <w:t>públicos y en cuanto a aspectos políticos consagra restricciones a ciertos empleados del Estado, incluso en época no electoral</w:t>
      </w:r>
      <w:r w:rsidRPr="002E76E6">
        <w:rPr>
          <w:rFonts w:ascii="Verdana" w:eastAsia="Calibri" w:hAnsi="Verdana" w:cs="Arial"/>
          <w:vertAlign w:val="superscript"/>
        </w:rPr>
        <w:footnoteReference w:id="7"/>
      </w:r>
      <w:r w:rsidRPr="002E76E6">
        <w:rPr>
          <w:rFonts w:ascii="Verdana" w:eastAsia="Calibri" w:hAnsi="Verdana" w:cs="Arial"/>
        </w:rPr>
        <w:t xml:space="preserve">. </w:t>
      </w:r>
    </w:p>
    <w:p w14:paraId="100CFC70" w14:textId="77777777" w:rsidR="00B62CFA" w:rsidRPr="002E76E6" w:rsidRDefault="00B62CFA" w:rsidP="00B62CFA">
      <w:pPr>
        <w:tabs>
          <w:tab w:val="left" w:pos="426"/>
        </w:tabs>
        <w:spacing w:after="0" w:line="276" w:lineRule="auto"/>
        <w:ind w:firstLine="709"/>
        <w:jc w:val="both"/>
        <w:rPr>
          <w:rFonts w:ascii="Verdana" w:eastAsia="Times New Roman" w:hAnsi="Verdana" w:cs="Arial"/>
          <w:lang w:val="es-MX" w:eastAsia="es-CO"/>
        </w:rPr>
      </w:pPr>
      <w:r w:rsidRPr="002E76E6">
        <w:rPr>
          <w:rFonts w:ascii="Verdana" w:eastAsia="Times New Roman" w:hAnsi="Verdana" w:cs="Arial"/>
          <w:lang w:eastAsia="es-CO"/>
        </w:rPr>
        <w:t>En el mismo sentido</w:t>
      </w:r>
      <w:r w:rsidRPr="002E76E6">
        <w:rPr>
          <w:rFonts w:ascii="Verdana" w:eastAsia="Times New Roman" w:hAnsi="Verdana" w:cs="Arial"/>
          <w:lang w:val="es-MX" w:eastAsia="es-CO"/>
        </w:rPr>
        <w:t xml:space="preserve">, </w:t>
      </w:r>
      <w:bookmarkStart w:id="9" w:name="_Hlk99576829"/>
      <w:r w:rsidRPr="002E76E6">
        <w:rPr>
          <w:rFonts w:ascii="Verdana" w:eastAsia="Times New Roman" w:hAnsi="Verdana" w:cs="Arial"/>
          <w:lang w:val="es-MX" w:eastAsia="es-CO"/>
        </w:rPr>
        <w:t>la Ley 996 de 2005, conocida como “Ley de Garantías Electorales”, se suma al andamiaje de orden constitucional y legal que se ha ocupado de evitar la injerencia inadecuada de intereses particulares en el ejercicio de la función pública. Esta ley tiene como propósito evitar cualquier tipo de arbitrariedad, de ventaja injustificada, de uso irregular de los recursos del Estado en las campañas o falta de garantías en la elección presidencial</w:t>
      </w:r>
      <w:r w:rsidRPr="002E76E6">
        <w:rPr>
          <w:rFonts w:ascii="Verdana" w:eastAsia="Times New Roman" w:hAnsi="Verdana" w:cs="Arial"/>
          <w:vertAlign w:val="superscript"/>
          <w:lang w:val="es-MX" w:eastAsia="es-CO"/>
        </w:rPr>
        <w:footnoteReference w:id="8"/>
      </w:r>
      <w:r w:rsidRPr="002E76E6">
        <w:rPr>
          <w:rFonts w:ascii="Verdana" w:eastAsia="Times New Roman" w:hAnsi="Verdana" w:cs="Arial"/>
          <w:lang w:val="es-MX" w:eastAsia="es-CO"/>
        </w:rPr>
        <w:t>. En esta medida, introduce limitaciones para realizar nombramientos, postulaciones, contrataciones o cualquier otro tipo de actividad que implique destinación de recursos públicos bajo el devenir propio de las entidades estatales.</w:t>
      </w:r>
      <w:r w:rsidRPr="002E76E6">
        <w:rPr>
          <w:rFonts w:ascii="Verdana" w:eastAsia="Calibri" w:hAnsi="Verdana" w:cs="Arial"/>
          <w:lang w:val="es-ES_tradnl"/>
        </w:rPr>
        <w:t xml:space="preserve"> </w:t>
      </w:r>
      <w:bookmarkEnd w:id="9"/>
      <w:r w:rsidRPr="002E76E6">
        <w:rPr>
          <w:rFonts w:ascii="Verdana" w:eastAsia="Times New Roman" w:hAnsi="Verdana" w:cs="Arial"/>
          <w:lang w:val="es-MX" w:eastAsia="es-CO"/>
        </w:rPr>
        <w:t>En armonía con lo anterior, la Corte Constitucional ha abordado la definición de la Ley de Garantías Electorales. De esta manera, explica que tiene como propósito:</w:t>
      </w:r>
    </w:p>
    <w:p w14:paraId="5D3D0A56" w14:textId="77777777" w:rsidR="00B62CFA" w:rsidRPr="002E76E6" w:rsidRDefault="00B62CFA" w:rsidP="00B62CFA">
      <w:pPr>
        <w:spacing w:after="0" w:line="276" w:lineRule="auto"/>
        <w:ind w:right="709"/>
        <w:contextualSpacing/>
        <w:jc w:val="both"/>
        <w:rPr>
          <w:rFonts w:ascii="Verdana" w:eastAsia="Times New Roman" w:hAnsi="Verdana" w:cs="Arial"/>
          <w:sz w:val="21"/>
          <w:szCs w:val="21"/>
          <w:lang w:val="es-ES" w:eastAsia="es-CO"/>
        </w:rPr>
      </w:pPr>
    </w:p>
    <w:p w14:paraId="09C2612F" w14:textId="77777777" w:rsidR="00B62CFA" w:rsidRPr="002E76E6" w:rsidRDefault="00B62CFA" w:rsidP="00B62CFA">
      <w:pPr>
        <w:spacing w:after="0" w:line="240" w:lineRule="auto"/>
        <w:ind w:left="709" w:right="709"/>
        <w:contextualSpacing/>
        <w:jc w:val="both"/>
        <w:rPr>
          <w:rFonts w:ascii="Verdana" w:eastAsia="Times New Roman" w:hAnsi="Verdana" w:cs="Arial"/>
          <w:sz w:val="20"/>
          <w:szCs w:val="20"/>
          <w:lang w:val="es-MX" w:eastAsia="es-CO"/>
        </w:rPr>
      </w:pPr>
      <w:r w:rsidRPr="002E76E6">
        <w:rPr>
          <w:rFonts w:ascii="Verdana" w:eastAsia="Times New Roman" w:hAnsi="Verdana" w:cs="Arial"/>
          <w:sz w:val="20"/>
          <w:szCs w:val="20"/>
          <w:lang w:val="es-ES" w:eastAsia="es-CO"/>
        </w:rPr>
        <w:t xml:space="preserve">“[…] </w:t>
      </w:r>
      <w:r w:rsidRPr="002E76E6">
        <w:rPr>
          <w:rFonts w:ascii="Verdana" w:eastAsia="Times New Roman" w:hAnsi="Verdana" w:cs="Arial"/>
          <w:sz w:val="20"/>
          <w:szCs w:val="20"/>
          <w:lang w:val="es-MX" w:eastAsia="es-CO"/>
        </w:rPr>
        <w:t>la definición de reglas claras que permitan acceder a los canales de expresión democrática de manera efectiva e igualitaria. El objetivo de una ley de garantías es definir esas reglas.</w:t>
      </w:r>
    </w:p>
    <w:p w14:paraId="0116F6AF" w14:textId="77777777" w:rsidR="00B62CFA" w:rsidRPr="002E76E6" w:rsidRDefault="00B62CFA" w:rsidP="00B62CFA">
      <w:pPr>
        <w:spacing w:after="0" w:line="240" w:lineRule="auto"/>
        <w:ind w:left="709" w:right="709"/>
        <w:contextualSpacing/>
        <w:jc w:val="both"/>
        <w:rPr>
          <w:rFonts w:ascii="Verdana" w:eastAsia="Times New Roman" w:hAnsi="Verdana" w:cs="Arial"/>
          <w:sz w:val="20"/>
          <w:szCs w:val="20"/>
          <w:lang w:val="es-MX" w:eastAsia="es-CO"/>
        </w:rPr>
      </w:pPr>
      <w:r w:rsidRPr="002E76E6">
        <w:rPr>
          <w:rFonts w:ascii="Verdana" w:eastAsia="Times New Roman" w:hAnsi="Verdana" w:cs="Arial"/>
          <w:sz w:val="20"/>
          <w:szCs w:val="20"/>
          <w:lang w:val="es-MX" w:eastAsia="es-CO"/>
        </w:rPr>
        <w:t xml:space="preserve">[…] </w:t>
      </w:r>
    </w:p>
    <w:p w14:paraId="69024A4C" w14:textId="77777777" w:rsidR="00B62CFA" w:rsidRPr="002E76E6" w:rsidRDefault="00B62CFA" w:rsidP="00B62CFA">
      <w:pPr>
        <w:spacing w:after="0" w:line="240" w:lineRule="auto"/>
        <w:ind w:left="709" w:right="709"/>
        <w:contextualSpacing/>
        <w:jc w:val="both"/>
        <w:rPr>
          <w:rFonts w:ascii="Verdana" w:eastAsia="Times New Roman" w:hAnsi="Verdana" w:cs="Arial"/>
          <w:sz w:val="20"/>
          <w:szCs w:val="20"/>
          <w:lang w:val="es-MX" w:eastAsia="es-CO"/>
        </w:rPr>
      </w:pPr>
    </w:p>
    <w:p w14:paraId="17E944B1" w14:textId="77777777" w:rsidR="00B62CFA" w:rsidRPr="002E76E6" w:rsidRDefault="00B62CFA" w:rsidP="00B62CFA">
      <w:pPr>
        <w:spacing w:after="0" w:line="240" w:lineRule="auto"/>
        <w:ind w:left="709" w:right="709"/>
        <w:contextualSpacing/>
        <w:jc w:val="both"/>
        <w:rPr>
          <w:rFonts w:ascii="Verdana" w:eastAsia="Times New Roman" w:hAnsi="Verdana" w:cs="Arial"/>
          <w:sz w:val="20"/>
          <w:szCs w:val="20"/>
          <w:lang w:val="es-MX" w:eastAsia="es-CO"/>
        </w:rPr>
      </w:pPr>
      <w:r w:rsidRPr="002E76E6">
        <w:rPr>
          <w:rFonts w:ascii="Verdana" w:eastAsia="Times New Roman" w:hAnsi="Verdana" w:cs="Arial"/>
          <w:sz w:val="20"/>
          <w:szCs w:val="20"/>
          <w:lang w:val="es-MX" w:eastAsia="es-CO"/>
        </w:rPr>
        <w:t>Una ley de garantías electorales es una guía para el ejercicio equitativo y transparente de la democracia representativa. Un estatuto diseñado para asegurar que la contienda democrática se cumpla en condiciones igualitarias y transparentes para a los electores. Una ley de garantías busca afianzar la neutralidad de los servidores públicos que organizan y supervisan las disputas electorales, e intenta garantizar el acceso igualitario a los canales de comunicación de los candidatos. Igualmente, una ley de garantías debe permitir que, en el debate democrático, sean las ideas y las propuestas las que definan el ascenso al poder, y no el músculo económico de los que se lo disputan”</w:t>
      </w:r>
      <w:r w:rsidRPr="002E76E6">
        <w:rPr>
          <w:rFonts w:ascii="Verdana" w:eastAsia="Calibri" w:hAnsi="Verdana" w:cs="Arial"/>
          <w:sz w:val="20"/>
          <w:szCs w:val="20"/>
          <w:vertAlign w:val="superscript"/>
          <w:lang w:val="es-MX"/>
        </w:rPr>
        <w:footnoteReference w:id="9"/>
      </w:r>
      <w:r w:rsidRPr="002E76E6">
        <w:rPr>
          <w:rFonts w:ascii="Verdana" w:eastAsia="Times New Roman" w:hAnsi="Verdana" w:cs="Arial"/>
          <w:sz w:val="20"/>
          <w:szCs w:val="20"/>
          <w:lang w:val="es-MX" w:eastAsia="es-CO"/>
        </w:rPr>
        <w:t>.</w:t>
      </w:r>
    </w:p>
    <w:p w14:paraId="6AFCFBA3" w14:textId="77777777" w:rsidR="00B62CFA" w:rsidRPr="002E76E6" w:rsidRDefault="00B62CFA" w:rsidP="00B62CFA">
      <w:pPr>
        <w:spacing w:after="0" w:line="276" w:lineRule="auto"/>
        <w:ind w:left="709" w:right="709"/>
        <w:jc w:val="both"/>
        <w:rPr>
          <w:rFonts w:ascii="Verdana" w:eastAsia="Times New Roman" w:hAnsi="Verdana" w:cs="Arial"/>
          <w:lang w:val="es-MX" w:eastAsia="es-CO"/>
        </w:rPr>
      </w:pPr>
    </w:p>
    <w:p w14:paraId="064E850B" w14:textId="77777777" w:rsidR="00B62CFA" w:rsidRPr="002E76E6" w:rsidRDefault="00B62CFA" w:rsidP="00B62CFA">
      <w:pPr>
        <w:spacing w:after="120" w:line="276" w:lineRule="auto"/>
        <w:ind w:firstLine="709"/>
        <w:jc w:val="both"/>
        <w:rPr>
          <w:rFonts w:ascii="Verdana" w:eastAsia="Times New Roman" w:hAnsi="Verdana" w:cs="Arial"/>
          <w:lang w:val="es-MX" w:eastAsia="es-CO"/>
        </w:rPr>
      </w:pPr>
      <w:bookmarkStart w:id="10" w:name="_Hlk78818186"/>
      <w:r w:rsidRPr="002E76E6">
        <w:rPr>
          <w:rFonts w:ascii="Verdana" w:eastAsia="Times New Roman" w:hAnsi="Verdana" w:cs="Arial"/>
          <w:lang w:val="es-MX" w:eastAsia="es-CO"/>
        </w:rPr>
        <w:t xml:space="preserve">De esta manera, la Ley de Garantías Electorales establece el marco jurídico para el desarrollo de las elecciones, procurando condiciones de igualdad </w:t>
      </w:r>
      <w:r w:rsidRPr="002E76E6">
        <w:rPr>
          <w:rFonts w:ascii="Verdana" w:eastAsia="Times New Roman" w:hAnsi="Verdana" w:cs="Arial"/>
          <w:lang w:val="es-MX" w:eastAsia="es-CO"/>
        </w:rPr>
        <w:lastRenderedPageBreak/>
        <w:t xml:space="preserve">y transparencia para los aspirantes. Paralelamente, incluye restricciones en el actuar de los servidores públicos, evitando interferencias en la contienda electoral, así como la posible desviación de recursos públicos en aspiraciones electorales. </w:t>
      </w:r>
      <w:bookmarkEnd w:id="10"/>
      <w:r w:rsidRPr="002E76E6">
        <w:rPr>
          <w:rFonts w:ascii="Verdana" w:eastAsia="Times New Roman" w:hAnsi="Verdana" w:cs="Arial"/>
          <w:lang w:val="es-MX" w:eastAsia="es-CO"/>
        </w:rPr>
        <w:t xml:space="preserve">Por ello, varias de las disposiciones de la Ley 996 de 2005, al contener normas prohibitivas, no admiten una interpretación amplia, sino que deben interpretarse restrictivamente. </w:t>
      </w:r>
    </w:p>
    <w:p w14:paraId="0D52AEF9" w14:textId="77777777" w:rsidR="00B62CFA" w:rsidRPr="002E76E6" w:rsidRDefault="00B62CFA" w:rsidP="00B62CFA">
      <w:pPr>
        <w:spacing w:after="0" w:line="276" w:lineRule="auto"/>
        <w:ind w:firstLine="709"/>
        <w:jc w:val="both"/>
        <w:rPr>
          <w:rFonts w:ascii="Verdana" w:eastAsia="Times New Roman" w:hAnsi="Verdana" w:cs="Arial"/>
          <w:lang w:val="es-MX" w:eastAsia="es-CO"/>
        </w:rPr>
      </w:pPr>
      <w:r w:rsidRPr="002E76E6">
        <w:rPr>
          <w:rFonts w:ascii="Verdana" w:eastAsia="Times New Roman" w:hAnsi="Verdana" w:cs="Arial"/>
          <w:lang w:val="es-MX" w:eastAsia="es-CO"/>
        </w:rPr>
        <w:t>En efecto, la Sala de Consulta y Servicio Civil del Consejo de Estado, precisó lo siguiente:</w:t>
      </w:r>
    </w:p>
    <w:p w14:paraId="380F2DDF" w14:textId="77777777" w:rsidR="00B62CFA" w:rsidRPr="002E76E6" w:rsidRDefault="00B62CFA" w:rsidP="00B62CFA">
      <w:pPr>
        <w:spacing w:after="0" w:line="276" w:lineRule="auto"/>
        <w:ind w:firstLine="709"/>
        <w:jc w:val="both"/>
        <w:rPr>
          <w:rFonts w:ascii="Verdana" w:eastAsia="Times New Roman" w:hAnsi="Verdana" w:cs="Arial"/>
          <w:lang w:val="es-MX" w:eastAsia="es-CO"/>
        </w:rPr>
      </w:pPr>
    </w:p>
    <w:p w14:paraId="395F8C51" w14:textId="77777777" w:rsidR="00B62CFA" w:rsidRPr="002E76E6" w:rsidRDefault="00B62CFA" w:rsidP="00B62CFA">
      <w:pPr>
        <w:spacing w:after="0" w:line="240" w:lineRule="auto"/>
        <w:ind w:left="709" w:right="709"/>
        <w:jc w:val="both"/>
        <w:rPr>
          <w:rFonts w:ascii="Verdana" w:eastAsia="Times New Roman" w:hAnsi="Verdana" w:cs="Arial"/>
          <w:sz w:val="20"/>
          <w:szCs w:val="20"/>
          <w:lang w:val="es-MX" w:eastAsia="es-CO"/>
        </w:rPr>
      </w:pPr>
      <w:r w:rsidRPr="002E76E6">
        <w:rPr>
          <w:rFonts w:ascii="Verdana" w:eastAsia="Times New Roman" w:hAnsi="Verdana" w:cs="Arial"/>
          <w:sz w:val="20"/>
          <w:szCs w:val="20"/>
          <w:lang w:val="es-MX" w:eastAsia="es-CO"/>
        </w:rPr>
        <w:t xml:space="preserve">“No está de más recordar que las prohibiciones, en tanto limitan la libertad y los derechos de las personas, son de origen constitucional y legal; la tipificación de sus causas, vigencia, naturaleza y efectos es rígida y taxativa; y su aplicación es restrictiva, de manera que excluye la analogía </w:t>
      </w:r>
      <w:proofErr w:type="spellStart"/>
      <w:r w:rsidRPr="002E76E6">
        <w:rPr>
          <w:rFonts w:ascii="Verdana" w:eastAsia="Times New Roman" w:hAnsi="Verdana" w:cs="Arial"/>
          <w:sz w:val="20"/>
          <w:szCs w:val="20"/>
          <w:lang w:val="es-MX" w:eastAsia="es-CO"/>
        </w:rPr>
        <w:t>legis</w:t>
      </w:r>
      <w:proofErr w:type="spellEnd"/>
      <w:r w:rsidRPr="002E76E6">
        <w:rPr>
          <w:rFonts w:ascii="Verdana" w:eastAsia="Times New Roman" w:hAnsi="Verdana" w:cs="Arial"/>
          <w:sz w:val="20"/>
          <w:szCs w:val="20"/>
          <w:lang w:val="es-MX" w:eastAsia="es-CO"/>
        </w:rPr>
        <w:t xml:space="preserve"> o iuris y la interpretación extensiva. Las normas legales de contenido prohibitivo hacen parte de un conjunto de disposiciones que integran un régimen jurídico imperativo y de orden público, razón por la cual no son disponibles ni pueden ser derogadas, modificadas, ampliadas o adicionadas por acuerdo o convenio o acto unilateral.</w:t>
      </w:r>
    </w:p>
    <w:p w14:paraId="2196E422" w14:textId="77777777" w:rsidR="00B62CFA" w:rsidRPr="002E76E6" w:rsidRDefault="00B62CFA" w:rsidP="00B62CFA">
      <w:pPr>
        <w:spacing w:after="0" w:line="240" w:lineRule="auto"/>
        <w:ind w:left="709" w:right="709"/>
        <w:jc w:val="both"/>
        <w:rPr>
          <w:rFonts w:ascii="Verdana" w:eastAsia="Times New Roman" w:hAnsi="Verdana" w:cs="Arial"/>
          <w:sz w:val="12"/>
          <w:szCs w:val="12"/>
          <w:lang w:val="es-MX" w:eastAsia="es-CO"/>
        </w:rPr>
      </w:pPr>
    </w:p>
    <w:p w14:paraId="34BAA4A0" w14:textId="77777777" w:rsidR="00B62CFA" w:rsidRPr="002E76E6" w:rsidRDefault="00B62CFA" w:rsidP="00B62CFA">
      <w:pPr>
        <w:spacing w:after="0" w:line="240" w:lineRule="auto"/>
        <w:ind w:left="709" w:right="709"/>
        <w:jc w:val="both"/>
        <w:rPr>
          <w:rFonts w:ascii="Verdana" w:eastAsia="Times New Roman" w:hAnsi="Verdana" w:cs="Arial"/>
          <w:sz w:val="20"/>
          <w:szCs w:val="20"/>
          <w:lang w:val="es-MX" w:eastAsia="es-CO"/>
        </w:rPr>
      </w:pPr>
      <w:r w:rsidRPr="002E76E6">
        <w:rPr>
          <w:rFonts w:ascii="Verdana" w:eastAsia="Times New Roman" w:hAnsi="Verdana" w:cs="Arial"/>
          <w:sz w:val="20"/>
          <w:szCs w:val="20"/>
          <w:lang w:val="es-MX" w:eastAsia="es-CO"/>
        </w:rPr>
        <w:t>La jurisprudencia de la Corte Constitucional</w:t>
      </w:r>
      <w:r w:rsidRPr="002E76E6">
        <w:rPr>
          <w:rFonts w:ascii="Verdana" w:eastAsia="Times New Roman" w:hAnsi="Verdana" w:cs="Arial"/>
          <w:sz w:val="20"/>
          <w:szCs w:val="20"/>
          <w:vertAlign w:val="superscript"/>
          <w:lang w:val="es-MX" w:eastAsia="es-CO"/>
        </w:rPr>
        <w:footnoteReference w:id="10"/>
      </w:r>
      <w:r w:rsidRPr="002E76E6">
        <w:rPr>
          <w:rFonts w:ascii="Verdana" w:eastAsia="Times New Roman" w:hAnsi="Verdana" w:cs="Arial"/>
          <w:sz w:val="20"/>
          <w:szCs w:val="20"/>
          <w:lang w:val="es-MX" w:eastAsia="es-CO"/>
        </w:rPr>
        <w:t> y del Consejo de Estado</w:t>
      </w:r>
      <w:r w:rsidRPr="002E76E6">
        <w:rPr>
          <w:rFonts w:ascii="Verdana" w:eastAsia="Times New Roman" w:hAnsi="Verdana" w:cs="Arial"/>
          <w:sz w:val="20"/>
          <w:szCs w:val="20"/>
          <w:vertAlign w:val="superscript"/>
          <w:lang w:val="es-MX" w:eastAsia="es-CO"/>
        </w:rPr>
        <w:footnoteReference w:id="11"/>
      </w:r>
      <w:r w:rsidRPr="002E76E6">
        <w:rPr>
          <w:rFonts w:ascii="Verdana" w:eastAsia="Times New Roman" w:hAnsi="Verdana" w:cs="Arial"/>
          <w:sz w:val="20"/>
          <w:szCs w:val="20"/>
          <w:lang w:val="es-MX" w:eastAsia="es-CO"/>
        </w:rPr>
        <w:t>, coinciden en que las normas que establecen prohibiciones deben estar de manera explícita en la Constitución o en la ley y no podrán ser excesivas ni desproporcionadas. No pueden interpretarse extensivamente sino siempre en forma restrictiva o estricta; es decir, en la aplicación de las normas prohibitivas, el intérprete solamente habrá de tener en cuenta lo que en ellas expresamente se menciona y, por tanto, no le es permitido ampliar el natural y obvio alcance de los supuestos que contemplan, pues como entrañan una limitación -así fuere justificada- a la libertad de actuar o capacidad de obrar, sobrepasar sus precisos términos comporta el desconocimiento de la voluntad del legislador”</w:t>
      </w:r>
      <w:r w:rsidRPr="002E76E6">
        <w:rPr>
          <w:rFonts w:ascii="Verdana" w:eastAsia="Times New Roman" w:hAnsi="Verdana" w:cs="Arial"/>
          <w:sz w:val="20"/>
          <w:szCs w:val="20"/>
          <w:vertAlign w:val="superscript"/>
          <w:lang w:val="es-MX" w:eastAsia="es-CO"/>
        </w:rPr>
        <w:footnoteReference w:id="12"/>
      </w:r>
      <w:r w:rsidRPr="002E76E6">
        <w:rPr>
          <w:rFonts w:ascii="Verdana" w:eastAsia="Times New Roman" w:hAnsi="Verdana" w:cs="Arial"/>
          <w:sz w:val="20"/>
          <w:szCs w:val="20"/>
          <w:lang w:val="es-MX" w:eastAsia="es-CO"/>
        </w:rPr>
        <w:t>.</w:t>
      </w:r>
    </w:p>
    <w:p w14:paraId="774A5168" w14:textId="77777777" w:rsidR="00B62CFA" w:rsidRPr="002E76E6" w:rsidRDefault="00B62CFA" w:rsidP="00B62CFA">
      <w:pPr>
        <w:spacing w:after="0" w:line="276" w:lineRule="auto"/>
        <w:ind w:right="709"/>
        <w:contextualSpacing/>
        <w:jc w:val="both"/>
        <w:rPr>
          <w:rFonts w:ascii="Verdana" w:eastAsia="Times New Roman" w:hAnsi="Verdana" w:cs="Arial"/>
          <w:sz w:val="21"/>
          <w:szCs w:val="21"/>
          <w:lang w:val="es-MX" w:eastAsia="es-CO"/>
        </w:rPr>
      </w:pPr>
    </w:p>
    <w:p w14:paraId="79220754" w14:textId="77777777" w:rsidR="00B62CFA" w:rsidRPr="002E76E6" w:rsidRDefault="00B62CFA" w:rsidP="00B62CFA">
      <w:pPr>
        <w:spacing w:after="120" w:line="276" w:lineRule="auto"/>
        <w:jc w:val="both"/>
        <w:rPr>
          <w:rFonts w:ascii="Verdana" w:eastAsia="Arial" w:hAnsi="Verdana" w:cs="Arial"/>
          <w:lang w:val="es-ES" w:eastAsia="es-ES" w:bidi="es-ES"/>
        </w:rPr>
      </w:pPr>
      <w:r w:rsidRPr="002E76E6">
        <w:rPr>
          <w:rFonts w:ascii="Verdana" w:eastAsia="Times New Roman" w:hAnsi="Verdana" w:cs="Arial"/>
          <w:lang w:val="es-MX" w:eastAsia="es-CO"/>
        </w:rPr>
        <w:lastRenderedPageBreak/>
        <w:tab/>
        <w:t>De</w:t>
      </w:r>
      <w:r w:rsidRPr="002E76E6">
        <w:rPr>
          <w:rFonts w:ascii="Verdana" w:eastAsia="Arial" w:hAnsi="Verdana" w:cs="Arial"/>
          <w:lang w:val="es-ES" w:eastAsia="es-ES" w:bidi="es-ES"/>
        </w:rPr>
        <w:t xml:space="preserve"> conformidad con lo anterior, </w:t>
      </w:r>
      <w:bookmarkStart w:id="11" w:name="_Hlk77236098"/>
      <w:bookmarkStart w:id="12" w:name="_Hlk100679383"/>
      <w:r w:rsidRPr="002E76E6">
        <w:rPr>
          <w:rFonts w:ascii="Verdana" w:eastAsia="Arial" w:hAnsi="Verdana" w:cs="Arial"/>
          <w:lang w:val="es-ES" w:eastAsia="es-ES" w:bidi="es-ES"/>
        </w:rPr>
        <w:t>la Ley de Garantías Electorales fijó una serie de regulaciones y prohibiciones dirigidas a los servidores públicos. Así, con la finalidad de preservar la igualdad entre los candidatos en las elecciones, aumentó las garantías en materia de contratación, de forma que no exista siquiera sospecha de que, por ese medio, en los periodos previos a la contienda electoral, se altere las condiciones de igualdad entre los candidatos. Específicamente, las restricciones consagradas en la citada Ley se dirigen a dos (2) tipos de campañas electorales claramente diferenciadas: las presidenciales y las demás que se adelanten para la elección de los demás cargos de elección popular, tanto a nivel nacional como territorial.</w:t>
      </w:r>
      <w:bookmarkEnd w:id="11"/>
    </w:p>
    <w:p w14:paraId="298007CB" w14:textId="77777777" w:rsidR="00B62CFA" w:rsidRPr="002E76E6" w:rsidRDefault="00B62CFA" w:rsidP="00B62CFA">
      <w:pPr>
        <w:spacing w:after="120" w:line="276" w:lineRule="auto"/>
        <w:ind w:firstLine="708"/>
        <w:jc w:val="both"/>
        <w:rPr>
          <w:rFonts w:ascii="Verdana" w:eastAsia="Calibri" w:hAnsi="Verdana" w:cs="Arial"/>
        </w:rPr>
      </w:pPr>
      <w:r w:rsidRPr="002E76E6">
        <w:rPr>
          <w:rFonts w:ascii="Verdana" w:eastAsia="Calibri" w:hAnsi="Verdana" w:cs="Arial"/>
          <w:i/>
          <w:iCs/>
        </w:rPr>
        <w:t>Por un lado</w:t>
      </w:r>
      <w:r w:rsidRPr="002E76E6">
        <w:rPr>
          <w:rFonts w:ascii="Verdana" w:eastAsia="Calibri" w:hAnsi="Verdana" w:cs="Arial"/>
        </w:rPr>
        <w:t>, el artículo 33 de la Ley 996 de 2005 prohíbe “[…] la contratación directa por parte de todos los entes del Estado” durante los cuatro (4) meses anteriores a las elecciones presidenciales, salvo “[…]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2E76E6">
        <w:rPr>
          <w:rFonts w:ascii="Verdana" w:eastAsia="Calibri" w:hAnsi="Verdana" w:cs="Arial"/>
          <w:vertAlign w:val="superscript"/>
        </w:rPr>
        <w:footnoteReference w:id="13"/>
      </w:r>
      <w:r w:rsidRPr="002E76E6">
        <w:rPr>
          <w:rFonts w:ascii="Verdana" w:eastAsia="Calibri" w:hAnsi="Verdana" w:cs="Arial"/>
        </w:rPr>
        <w:t>.</w:t>
      </w:r>
    </w:p>
    <w:p w14:paraId="2FB7CE57" w14:textId="77777777" w:rsidR="00B62CFA" w:rsidRPr="002E76E6" w:rsidRDefault="00B62CFA" w:rsidP="00B62CFA">
      <w:pPr>
        <w:widowControl w:val="0"/>
        <w:autoSpaceDE w:val="0"/>
        <w:autoSpaceDN w:val="0"/>
        <w:spacing w:after="120" w:line="276" w:lineRule="auto"/>
        <w:ind w:firstLine="709"/>
        <w:jc w:val="both"/>
        <w:rPr>
          <w:rFonts w:ascii="Verdana" w:eastAsia="Arial" w:hAnsi="Verdana" w:cs="Arial"/>
          <w:lang w:val="es-ES" w:eastAsia="es-ES" w:bidi="es-ES"/>
        </w:rPr>
      </w:pPr>
      <w:r w:rsidRPr="002E76E6">
        <w:rPr>
          <w:rFonts w:ascii="Verdana" w:eastAsia="Calibri" w:hAnsi="Verdana" w:cs="Arial"/>
          <w:i/>
          <w:iCs/>
        </w:rPr>
        <w:t>Por otro</w:t>
      </w:r>
      <w:r w:rsidRPr="002E76E6">
        <w:rPr>
          <w:rFonts w:ascii="Verdana" w:eastAsia="Calibri" w:hAnsi="Verdana" w:cs="Arial"/>
        </w:rPr>
        <w:t xml:space="preserve">, el parágrafo del artículo 38 de la Ley 996 de 2005 prevé una restricción, aplicable respecto de cualquier tipo de contienda electoral, que prohíbe a los gobernadores, alcaldes municipales o distritales, secretarios, gerentes y directores de entidades descentralizadas del orden municipal, departamental o distrital “[…] </w:t>
      </w:r>
      <w:r w:rsidRPr="002E76E6">
        <w:rPr>
          <w:rFonts w:ascii="Verdana" w:eastAsia="Calibri" w:hAnsi="Verdana" w:cs="Arial"/>
          <w:lang w:val="es-MX"/>
        </w:rPr>
        <w:t xml:space="preserve">celebrar convenios interadministrativos para la ejecución de recursos públicos, ni participar, promover y destinar recursos públicos de las entidades a su cargo, como tampoco de las que participen como miembros de sus juntas directivas, en o para reuniones de carácter </w:t>
      </w:r>
      <w:r w:rsidRPr="002E76E6">
        <w:rPr>
          <w:rFonts w:ascii="Verdana" w:eastAsia="Calibri" w:hAnsi="Verdana" w:cs="Arial"/>
          <w:lang w:val="es-MX"/>
        </w:rPr>
        <w:lastRenderedPageBreak/>
        <w:t>proselitista</w:t>
      </w:r>
      <w:r w:rsidRPr="002E76E6">
        <w:rPr>
          <w:rFonts w:ascii="Verdana" w:eastAsia="Calibri" w:hAnsi="Verdana" w:cs="Arial"/>
          <w:sz w:val="19"/>
          <w:szCs w:val="19"/>
        </w:rPr>
        <w:t>”</w:t>
      </w:r>
      <w:bookmarkEnd w:id="12"/>
      <w:r w:rsidRPr="002E76E6">
        <w:rPr>
          <w:rFonts w:ascii="Verdana" w:eastAsia="Calibri" w:hAnsi="Verdana" w:cs="Arial"/>
          <w:sz w:val="19"/>
          <w:szCs w:val="19"/>
          <w:vertAlign w:val="superscript"/>
        </w:rPr>
        <w:footnoteReference w:id="14"/>
      </w:r>
      <w:r w:rsidRPr="002E76E6">
        <w:rPr>
          <w:rFonts w:ascii="Verdana" w:eastAsia="Calibri" w:hAnsi="Verdana" w:cs="Arial"/>
          <w:lang w:val="es-MX"/>
        </w:rPr>
        <w:t>.</w:t>
      </w:r>
      <w:r w:rsidRPr="002E76E6">
        <w:rPr>
          <w:rFonts w:ascii="Verdana" w:eastAsia="Arial" w:hAnsi="Verdana" w:cs="Arial"/>
          <w:lang w:val="es-ES" w:eastAsia="es-ES" w:bidi="es-ES"/>
        </w:rPr>
        <w:t xml:space="preserve"> </w:t>
      </w:r>
    </w:p>
    <w:p w14:paraId="3973A00B" w14:textId="77777777" w:rsidR="00B62CFA" w:rsidRPr="002E76E6" w:rsidRDefault="00B62CFA" w:rsidP="00B62CFA">
      <w:pPr>
        <w:widowControl w:val="0"/>
        <w:autoSpaceDE w:val="0"/>
        <w:autoSpaceDN w:val="0"/>
        <w:spacing w:after="0" w:line="276" w:lineRule="auto"/>
        <w:ind w:firstLine="708"/>
        <w:contextualSpacing/>
        <w:jc w:val="both"/>
        <w:rPr>
          <w:rFonts w:ascii="Verdana" w:eastAsia="Arial" w:hAnsi="Verdana" w:cs="Arial"/>
          <w:lang w:val="es-ES" w:eastAsia="es-ES" w:bidi="es-ES"/>
        </w:rPr>
      </w:pPr>
      <w:r w:rsidRPr="002E76E6">
        <w:rPr>
          <w:rFonts w:ascii="Verdana" w:eastAsia="Arial" w:hAnsi="Verdana" w:cs="Arial"/>
          <w:lang w:val="es-ES" w:eastAsia="es-ES" w:bidi="es-ES"/>
        </w:rPr>
        <w:t>La Sala de Consulta y Servicio Civil del Consejo de Estado ha aclarado la distinción en la aplicación de las prohibiciones de la Ley 996 de 2005, dependiendo del tipo de elección que se trate. Al respecto, considera que:</w:t>
      </w:r>
    </w:p>
    <w:p w14:paraId="23CFA7EE" w14:textId="77777777" w:rsidR="00B62CFA" w:rsidRPr="002E76E6" w:rsidRDefault="00B62CFA" w:rsidP="00B62CFA">
      <w:pPr>
        <w:widowControl w:val="0"/>
        <w:autoSpaceDE w:val="0"/>
        <w:autoSpaceDN w:val="0"/>
        <w:spacing w:after="0" w:line="276" w:lineRule="auto"/>
        <w:contextualSpacing/>
        <w:jc w:val="both"/>
        <w:rPr>
          <w:rFonts w:ascii="Verdana" w:eastAsia="Arial" w:hAnsi="Verdana" w:cs="Arial"/>
          <w:lang w:val="es-ES" w:eastAsia="es-ES" w:bidi="es-ES"/>
        </w:rPr>
      </w:pPr>
    </w:p>
    <w:p w14:paraId="706A1872" w14:textId="77777777" w:rsidR="00B62CFA" w:rsidRPr="002E76E6" w:rsidRDefault="00B62CFA" w:rsidP="00B62CFA">
      <w:pPr>
        <w:widowControl w:val="0"/>
        <w:autoSpaceDE w:val="0"/>
        <w:autoSpaceDN w:val="0"/>
        <w:spacing w:after="0" w:line="240" w:lineRule="auto"/>
        <w:ind w:left="709" w:right="709"/>
        <w:contextualSpacing/>
        <w:jc w:val="both"/>
        <w:rPr>
          <w:rFonts w:ascii="Verdana" w:eastAsia="Arial" w:hAnsi="Verdana" w:cs="Arial"/>
          <w:sz w:val="20"/>
          <w:szCs w:val="20"/>
          <w:lang w:val="es-ES" w:eastAsia="es-ES" w:bidi="es-ES"/>
        </w:rPr>
      </w:pPr>
      <w:r w:rsidRPr="002E76E6">
        <w:rPr>
          <w:rFonts w:ascii="Verdana" w:eastAsia="Arial" w:hAnsi="Verdana" w:cs="Arial"/>
          <w:sz w:val="20"/>
          <w:szCs w:val="20"/>
          <w:lang w:val="es-ES" w:eastAsia="es-ES" w:bidi="es-ES"/>
        </w:rPr>
        <w:t xml:space="preserve">“La interpretación sistemática de las disposiciones consagradas en los artículos 32, 33 y el parágrafo del artículo 38 de la ley 996 de 2.005 lleva a concluir que dichas normas contienen restricciones y prohibiciones para periodos preelectorales diferentes; las dos primeras, de manera específica para los cuatro meses anteriores a la elección presidencial; el último, de manera más genérica para los cuatro meses anteriores a las elecciones  para cualquier cargo de elección popular a que se refiere la ley –incluido el de Presidente de la República-; de manera que dichas restricciones no se excluyen sino que </w:t>
      </w:r>
      <w:bookmarkStart w:id="15" w:name="_Hlk76109421"/>
      <w:r w:rsidRPr="002E76E6">
        <w:rPr>
          <w:rFonts w:ascii="Verdana" w:eastAsia="Arial" w:hAnsi="Verdana" w:cs="Arial"/>
          <w:sz w:val="20"/>
          <w:szCs w:val="20"/>
          <w:lang w:val="es-ES" w:eastAsia="es-ES" w:bidi="es-ES"/>
        </w:rPr>
        <w:t>se integran parcialmente</w:t>
      </w:r>
      <w:bookmarkEnd w:id="15"/>
      <w:r w:rsidRPr="002E76E6">
        <w:rPr>
          <w:rFonts w:ascii="Verdana" w:eastAsia="Arial" w:hAnsi="Verdana" w:cs="Arial"/>
          <w:sz w:val="20"/>
          <w:szCs w:val="20"/>
          <w:lang w:val="es-ES" w:eastAsia="es-ES" w:bidi="es-ES"/>
        </w:rPr>
        <w:t>, lo que permite concluir que en periodo preelectoral para elección de Presidente de la República, a todos los entes del Estado, incluidos los territoriales, se aplican las restricciones de los artículos 32 y 33 con sus excepciones, así como las del parágrafo del artículo 38. En cambio, para elecciones en general, excluyendo las correspondientes a Presidente de la República, a las autoridades territoriales allí mencionadas sólo se aplican las restricciones contenidas en el parágrafo del artículo 38”</w:t>
      </w:r>
      <w:r w:rsidRPr="002E76E6">
        <w:rPr>
          <w:rFonts w:ascii="Verdana" w:eastAsia="Arial" w:hAnsi="Verdana" w:cs="Arial"/>
          <w:sz w:val="20"/>
          <w:szCs w:val="20"/>
          <w:vertAlign w:val="superscript"/>
          <w:lang w:val="es-ES" w:eastAsia="es-ES" w:bidi="es-ES"/>
        </w:rPr>
        <w:footnoteReference w:id="15"/>
      </w:r>
      <w:r w:rsidRPr="002E76E6">
        <w:rPr>
          <w:rFonts w:ascii="Verdana" w:eastAsia="Arial" w:hAnsi="Verdana" w:cs="Arial"/>
          <w:sz w:val="20"/>
          <w:szCs w:val="20"/>
          <w:lang w:val="es-ES" w:eastAsia="es-ES" w:bidi="es-ES"/>
        </w:rPr>
        <w:t>.</w:t>
      </w:r>
    </w:p>
    <w:p w14:paraId="3138B617" w14:textId="77777777" w:rsidR="00B62CFA" w:rsidRPr="002E76E6" w:rsidRDefault="00B62CFA" w:rsidP="00B62CFA">
      <w:pPr>
        <w:widowControl w:val="0"/>
        <w:autoSpaceDE w:val="0"/>
        <w:autoSpaceDN w:val="0"/>
        <w:spacing w:after="0" w:line="276" w:lineRule="auto"/>
        <w:contextualSpacing/>
        <w:rPr>
          <w:rFonts w:ascii="Verdana" w:eastAsia="Arial" w:hAnsi="Verdana" w:cs="Arial"/>
          <w:lang w:val="es-ES" w:eastAsia="es-ES" w:bidi="es-ES"/>
        </w:rPr>
      </w:pPr>
    </w:p>
    <w:p w14:paraId="67AE60C0" w14:textId="77777777" w:rsidR="00B62CFA" w:rsidRPr="002E76E6" w:rsidRDefault="00B62CFA" w:rsidP="00B62CFA">
      <w:pPr>
        <w:spacing w:after="120" w:line="276" w:lineRule="auto"/>
        <w:ind w:firstLine="709"/>
        <w:jc w:val="both"/>
        <w:rPr>
          <w:rFonts w:ascii="Verdana" w:eastAsia="Arial" w:hAnsi="Verdana" w:cs="Arial"/>
          <w:lang w:val="es-ES" w:eastAsia="es-ES" w:bidi="es-ES"/>
        </w:rPr>
      </w:pPr>
      <w:r w:rsidRPr="002E76E6">
        <w:rPr>
          <w:rFonts w:ascii="Verdana" w:eastAsia="Arial" w:hAnsi="Verdana" w:cs="Arial"/>
          <w:lang w:val="es-ES" w:eastAsia="es-ES" w:bidi="es-ES"/>
        </w:rPr>
        <w:t xml:space="preserve">De conformidad con lo anterior, </w:t>
      </w:r>
      <w:bookmarkStart w:id="16" w:name="_Hlk77236420"/>
      <w:bookmarkStart w:id="17" w:name="_Hlk78818435"/>
      <w:bookmarkStart w:id="18" w:name="_Hlk75780333"/>
      <w:r w:rsidRPr="002E76E6">
        <w:rPr>
          <w:rFonts w:ascii="Verdana" w:eastAsia="Arial" w:hAnsi="Verdana" w:cs="Arial"/>
          <w:lang w:val="es-ES" w:eastAsia="es-ES" w:bidi="es-ES"/>
        </w:rPr>
        <w:t xml:space="preserve">la Ley 996 de 2005 establece dos (2) tipos de restricciones en materia de contratación, las cuales coinciden parcialmente. </w:t>
      </w:r>
      <w:r w:rsidRPr="002E76E6">
        <w:rPr>
          <w:rFonts w:ascii="Verdana" w:eastAsia="Arial" w:hAnsi="Verdana" w:cs="Arial"/>
          <w:i/>
          <w:lang w:val="es-ES" w:eastAsia="es-ES" w:bidi="es-ES"/>
        </w:rPr>
        <w:t>En primer lugar</w:t>
      </w:r>
      <w:r w:rsidRPr="002E76E6">
        <w:rPr>
          <w:rFonts w:ascii="Verdana" w:eastAsia="Arial" w:hAnsi="Verdana" w:cs="Arial"/>
          <w:lang w:val="es-ES" w:eastAsia="es-ES" w:bidi="es-ES"/>
        </w:rPr>
        <w:t xml:space="preserve">, la del artículo 33 que opera solo respecto de las elecciones presidenciales, en virtud de la cual queda proscrita la contratación directa dentro de los cuatro (4) meses anteriores a la celebración de los comicios, salvo las citadas excepciones. Sin embargo, si ningún candidato obtiene la mitad más uno de los votos que, de manera secreta y directa, depositen los ciudadanos, se celebrará una nueva votación que tendrá lugar tres semanas más tarde, en la que sólo participarán los dos candidatos que hubieren obtenido las votaciones </w:t>
      </w:r>
      <w:r w:rsidRPr="002E76E6">
        <w:rPr>
          <w:rFonts w:ascii="Verdana" w:eastAsia="Arial" w:hAnsi="Verdana" w:cs="Arial"/>
          <w:lang w:val="es-ES" w:eastAsia="es-ES" w:bidi="es-ES"/>
        </w:rPr>
        <w:lastRenderedPageBreak/>
        <w:t xml:space="preserve">más altas, de conformidad con el artículo 190 de la Constitución Política. Para estos efectos, la restricción se extenderá hasta la fecha en la que se realice la segunda vuelta. </w:t>
      </w:r>
      <w:r w:rsidRPr="002E76E6">
        <w:rPr>
          <w:rFonts w:ascii="Verdana" w:eastAsia="Arial" w:hAnsi="Verdana" w:cs="Arial"/>
          <w:i/>
          <w:lang w:val="es-ES" w:eastAsia="es-ES" w:bidi="es-ES"/>
        </w:rPr>
        <w:t>En segundo lugar</w:t>
      </w:r>
      <w:r w:rsidRPr="002E76E6">
        <w:rPr>
          <w:rFonts w:ascii="Verdana" w:eastAsia="Arial" w:hAnsi="Verdana" w:cs="Arial"/>
          <w:lang w:val="es-ES" w:eastAsia="es-ES" w:bidi="es-ES"/>
        </w:rPr>
        <w:t>, también se encuentra la prohibición del parágrafo del artículo 38, el cual debe aplicarse respecto de cualquier tipo de contienda electoral, y que prohíbe la celebración de convenios interadministrativos que impliquen la ejecución de recursos públicos dentro de los cuatro (4) meses anteriores a la respectiva jornada de votaciones.</w:t>
      </w:r>
      <w:bookmarkEnd w:id="16"/>
    </w:p>
    <w:bookmarkEnd w:id="17"/>
    <w:p w14:paraId="27C2A222" w14:textId="77777777" w:rsidR="00B62CFA" w:rsidRPr="002E76E6" w:rsidRDefault="00B62CFA" w:rsidP="00B62CFA">
      <w:pPr>
        <w:spacing w:after="120" w:line="276" w:lineRule="auto"/>
        <w:ind w:firstLine="709"/>
        <w:jc w:val="both"/>
        <w:rPr>
          <w:rFonts w:ascii="Verdana" w:eastAsia="Arial" w:hAnsi="Verdana" w:cs="Arial"/>
          <w:lang w:val="es-ES" w:eastAsia="es-ES" w:bidi="es-ES"/>
        </w:rPr>
      </w:pPr>
      <w:r w:rsidRPr="002E76E6">
        <w:rPr>
          <w:rFonts w:ascii="Verdana" w:eastAsia="Arial" w:hAnsi="Verdana" w:cs="Arial"/>
          <w:lang w:val="es-ES" w:eastAsia="es-ES" w:bidi="es-ES"/>
        </w:rPr>
        <w:t>Ambas restricciones no son excluyentes, lo que permite concluir que en el período preelectoral para elección de Presidente de la República, a todos los entes del Estado, incluidos los territoriales, aplican las restricciones del artículo 33 con sus excepciones, así como las del parágrafo del artículo 38. En cambio, tratándose de elecciones en general, excluyendo las correspondientes al Presidente de la República, las autoridades allí mencionadas sólo deben aplicar las restricciones contenidas en el parágrafo del artículo 38.</w:t>
      </w:r>
    </w:p>
    <w:bookmarkEnd w:id="18"/>
    <w:p w14:paraId="70D2B9E8" w14:textId="77777777" w:rsidR="00B62CFA" w:rsidRPr="002E76E6" w:rsidRDefault="00B62CFA" w:rsidP="001A62B0">
      <w:pPr>
        <w:spacing w:after="120" w:line="276" w:lineRule="auto"/>
        <w:ind w:firstLine="709"/>
        <w:jc w:val="both"/>
        <w:rPr>
          <w:rFonts w:ascii="Verdana" w:eastAsia="Arial" w:hAnsi="Verdana" w:cs="Arial"/>
          <w:lang w:val="es-ES" w:eastAsia="es-ES" w:bidi="es-ES"/>
        </w:rPr>
      </w:pPr>
      <w:r w:rsidRPr="002E76E6">
        <w:rPr>
          <w:rFonts w:ascii="Verdana" w:eastAsia="Arial" w:hAnsi="Verdana" w:cs="Arial"/>
          <w:lang w:val="es-ES" w:eastAsia="es-ES" w:bidi="es-ES"/>
        </w:rPr>
        <w:t>La Corte Constitucional, en la Sentencia C-1153 del 11 de noviembre de 2005, señaló que, para que la garantía sea plena, era necesario que la prohibición se aplicara para el Presidente o el Vicepresidente desde que éstos –estando en ejercicio de su cargo– manifiesten el interés de ser candidato presidencial, lo cual debe ocurrir seis meses antes de la elección en primera vuelta, de acuerdo con el artículo 9 de la Ley 996 de 2005. Sin embargo, el condicionamiento impuesto por la Corte Constitucional, relacionado con el momento en que estas restricciones empiezan a regir para el Presidente y el Vicepresidente de la República, ha perdido vigencia ante la prohibición de la reelección presidencial, restablecida por el Acto Legislativo 2 de 2015, excepto para el Vicepresidente que no haya ejercido la presidencia o que la haya ejercido por un tiempo inferior a tres (3) meses durante el respectivo cuatrienio, en forma continua o discontinua, conforme al artículo 197 de la Constitución Política.</w:t>
      </w:r>
    </w:p>
    <w:p w14:paraId="3E891F2D" w14:textId="77777777" w:rsidR="00B62CFA" w:rsidRPr="002E76E6" w:rsidRDefault="00B62CFA" w:rsidP="0074251E">
      <w:pPr>
        <w:spacing w:after="0" w:line="276" w:lineRule="auto"/>
        <w:ind w:firstLine="709"/>
        <w:jc w:val="both"/>
        <w:rPr>
          <w:rFonts w:ascii="Verdana" w:hAnsi="Verdana" w:cs="Arial"/>
          <w:bCs/>
          <w:lang w:val="es-MX" w:eastAsia="es-CO"/>
        </w:rPr>
      </w:pPr>
      <w:r>
        <w:rPr>
          <w:rFonts w:ascii="Verdana" w:eastAsia="Arial" w:hAnsi="Verdana" w:cs="Arial"/>
          <w:lang w:val="es-ES" w:eastAsia="es-ES" w:bidi="es-ES"/>
        </w:rPr>
        <w:t>Ahora bien, en el</w:t>
      </w:r>
      <w:r w:rsidRPr="001A62B0">
        <w:rPr>
          <w:rFonts w:ascii="Verdana" w:eastAsia="Arial" w:hAnsi="Verdana" w:cs="Arial"/>
          <w:lang w:val="es-ES" w:eastAsia="es-ES" w:bidi="es-ES"/>
        </w:rPr>
        <w:t xml:space="preserve"> ámbito material de la prohibición contenida en el artículo 33 de la Ley</w:t>
      </w:r>
      <w:r w:rsidRPr="009001AD">
        <w:rPr>
          <w:rFonts w:ascii="Verdana" w:hAnsi="Verdana" w:cs="Arial"/>
          <w:bCs/>
          <w:lang w:val="es-MX" w:eastAsia="x-none"/>
        </w:rPr>
        <w:t xml:space="preserve"> 996 de 2005 está delimitado por la expresión </w:t>
      </w:r>
      <w:r w:rsidRPr="009001AD">
        <w:rPr>
          <w:rFonts w:ascii="Verdana" w:eastAsia="Calibri" w:hAnsi="Verdana" w:cs="Arial"/>
          <w:bCs/>
          <w:sz w:val="20"/>
          <w:szCs w:val="20"/>
          <w:lang w:val="es-MX"/>
        </w:rPr>
        <w:t>“</w:t>
      </w:r>
      <w:r w:rsidRPr="009001AD">
        <w:rPr>
          <w:rFonts w:ascii="Verdana" w:hAnsi="Verdana" w:cs="Arial"/>
          <w:bCs/>
          <w:lang w:val="es-MX" w:eastAsia="x-none"/>
        </w:rPr>
        <w:t>queda prohibida la contratación directa</w:t>
      </w:r>
      <w:r w:rsidRPr="009001AD">
        <w:rPr>
          <w:rFonts w:ascii="Verdana" w:hAnsi="Verdana" w:cs="Arial"/>
          <w:sz w:val="20"/>
          <w:szCs w:val="20"/>
          <w:lang w:val="es-MX"/>
        </w:rPr>
        <w:t>”</w:t>
      </w:r>
      <w:r w:rsidRPr="009001AD">
        <w:rPr>
          <w:rFonts w:ascii="Verdana" w:hAnsi="Verdana" w:cs="Arial"/>
          <w:bCs/>
          <w:lang w:val="es-MX" w:eastAsia="x-none"/>
        </w:rPr>
        <w:t xml:space="preserve">. </w:t>
      </w:r>
      <w:r w:rsidRPr="009001AD">
        <w:rPr>
          <w:rFonts w:ascii="Verdana" w:hAnsi="Verdana" w:cs="Arial"/>
          <w:lang w:val="es-MX" w:eastAsia="es-CO"/>
        </w:rPr>
        <w:t xml:space="preserve">A propósito de </w:t>
      </w:r>
      <w:r w:rsidRPr="009001AD">
        <w:rPr>
          <w:rFonts w:ascii="Verdana" w:hAnsi="Verdana" w:cs="Arial"/>
          <w:lang w:eastAsia="es-CO"/>
        </w:rPr>
        <w:t>esta restricción de la Ley de Garantías Electorales, la Sala de Consulta y Servicio Civil del Consejo de Estado ha considerado que:</w:t>
      </w:r>
    </w:p>
    <w:p w14:paraId="2D7DCED3" w14:textId="77777777" w:rsidR="00B62CFA" w:rsidRPr="002E76E6" w:rsidRDefault="00B62CFA" w:rsidP="00B62CFA">
      <w:pPr>
        <w:spacing w:after="0" w:line="276" w:lineRule="auto"/>
        <w:jc w:val="both"/>
        <w:rPr>
          <w:rFonts w:ascii="Verdana" w:hAnsi="Verdana" w:cs="Arial"/>
          <w:lang w:val="es-MX"/>
        </w:rPr>
      </w:pPr>
    </w:p>
    <w:p w14:paraId="4E744773" w14:textId="77777777" w:rsidR="00B62CFA" w:rsidRPr="002E76E6" w:rsidRDefault="00B62CFA" w:rsidP="00B62CFA">
      <w:pPr>
        <w:spacing w:after="0" w:line="240" w:lineRule="auto"/>
        <w:ind w:left="709" w:right="709"/>
        <w:jc w:val="both"/>
        <w:rPr>
          <w:rFonts w:ascii="Verdana" w:hAnsi="Verdana" w:cs="Arial"/>
          <w:sz w:val="20"/>
          <w:szCs w:val="20"/>
          <w:lang w:val="es-MX"/>
        </w:rPr>
      </w:pPr>
      <w:r w:rsidRPr="002E76E6">
        <w:rPr>
          <w:rFonts w:ascii="Verdana" w:hAnsi="Verdana" w:cs="Arial"/>
          <w:sz w:val="20"/>
          <w:szCs w:val="20"/>
          <w:lang w:val="es-MX"/>
        </w:rPr>
        <w:t xml:space="preserve">“La contratación directa es un mecanismo de selección de carácter excepcional, en virtud del cual las entidades públicas pueden contratar mediante un trámite simplificado, ágil y expedito sin necesidad de realizar </w:t>
      </w:r>
      <w:r w:rsidRPr="002E76E6">
        <w:rPr>
          <w:rFonts w:ascii="Verdana" w:hAnsi="Verdana" w:cs="Arial"/>
          <w:sz w:val="20"/>
          <w:szCs w:val="20"/>
          <w:lang w:val="es-MX"/>
        </w:rPr>
        <w:lastRenderedPageBreak/>
        <w:t>previamente un proceso de licitación pública o concurso, únicamente en los casos en que expresa y taxativamente señale la ley (numeral 4, artículo 2, ley 1150 de 2007), y cumpliendo siempre los principios que rigen la contratación pública</w:t>
      </w:r>
      <w:r w:rsidRPr="002E76E6">
        <w:rPr>
          <w:rFonts w:ascii="Verdana" w:hAnsi="Verdana" w:cs="Arial"/>
          <w:sz w:val="20"/>
          <w:szCs w:val="20"/>
          <w:vertAlign w:val="superscript"/>
          <w:lang w:eastAsia="es-CO"/>
        </w:rPr>
        <w:footnoteReference w:id="16"/>
      </w:r>
      <w:r w:rsidRPr="002E76E6">
        <w:rPr>
          <w:rFonts w:ascii="Verdana" w:hAnsi="Verdana" w:cs="Arial"/>
          <w:sz w:val="20"/>
          <w:szCs w:val="20"/>
          <w:lang w:val="es-MX"/>
        </w:rPr>
        <w:t>.</w:t>
      </w:r>
    </w:p>
    <w:p w14:paraId="5DE5D59A" w14:textId="77777777" w:rsidR="00B62CFA" w:rsidRPr="002E76E6" w:rsidRDefault="00B62CFA" w:rsidP="00B62CFA">
      <w:pPr>
        <w:spacing w:after="0" w:line="240" w:lineRule="auto"/>
        <w:ind w:left="709" w:right="709"/>
        <w:jc w:val="both"/>
        <w:rPr>
          <w:rFonts w:ascii="Verdana" w:hAnsi="Verdana" w:cs="Arial"/>
          <w:sz w:val="20"/>
          <w:szCs w:val="20"/>
          <w:lang w:val="es-MX"/>
        </w:rPr>
      </w:pPr>
    </w:p>
    <w:p w14:paraId="55405215" w14:textId="77777777" w:rsidR="00B62CFA" w:rsidRPr="002E76E6" w:rsidRDefault="00B62CFA" w:rsidP="0074251E">
      <w:pPr>
        <w:spacing w:after="0" w:line="240" w:lineRule="auto"/>
        <w:ind w:left="709" w:right="709"/>
        <w:jc w:val="both"/>
        <w:rPr>
          <w:rFonts w:ascii="Verdana" w:hAnsi="Verdana" w:cs="Arial"/>
          <w:sz w:val="20"/>
          <w:szCs w:val="20"/>
          <w:lang w:val="es-MX"/>
        </w:rPr>
      </w:pPr>
      <w:r w:rsidRPr="002E76E6">
        <w:rPr>
          <w:rFonts w:ascii="Verdana" w:hAnsi="Verdana" w:cs="Arial"/>
          <w:sz w:val="20"/>
          <w:szCs w:val="20"/>
          <w:lang w:val="es-MX"/>
        </w:rPr>
        <w:t xml:space="preserve">Esta Sala ha entendido </w:t>
      </w:r>
      <w:proofErr w:type="gramStart"/>
      <w:r w:rsidRPr="002E76E6">
        <w:rPr>
          <w:rFonts w:ascii="Verdana" w:hAnsi="Verdana" w:cs="Arial"/>
          <w:sz w:val="20"/>
          <w:szCs w:val="20"/>
          <w:lang w:val="es-MX"/>
        </w:rPr>
        <w:t>que</w:t>
      </w:r>
      <w:proofErr w:type="gramEnd"/>
      <w:r w:rsidRPr="002E76E6">
        <w:rPr>
          <w:rFonts w:ascii="Verdana" w:hAnsi="Verdana" w:cs="Arial"/>
          <w:sz w:val="20"/>
          <w:szCs w:val="20"/>
          <w:lang w:val="es-MX"/>
        </w:rPr>
        <w:t xml:space="preserve"> para los efectos de la ley de garantías, y dada su finalidad, el enunciado ‘contratación directa’ es sinónimo de cualquier sistema que no implique convocatoria pública y posibilidad de pluralidad de oferentes, y que, además, no necesariamente hace referencia al procedimiento especial regulado por la ley de contratación estatal, sino a cualquier otro que prescinda de un proceso de licitación pública o concurso</w:t>
      </w:r>
      <w:r w:rsidRPr="002E76E6">
        <w:rPr>
          <w:rFonts w:ascii="Verdana" w:hAnsi="Verdana" w:cs="Arial"/>
          <w:sz w:val="20"/>
          <w:szCs w:val="20"/>
          <w:vertAlign w:val="superscript"/>
          <w:lang w:val="es-MX"/>
        </w:rPr>
        <w:footnoteReference w:id="17"/>
      </w:r>
      <w:r w:rsidRPr="002E76E6">
        <w:rPr>
          <w:rFonts w:ascii="Verdana" w:hAnsi="Verdana" w:cs="Arial"/>
          <w:sz w:val="20"/>
          <w:szCs w:val="20"/>
          <w:vertAlign w:val="superscript"/>
          <w:lang w:val="es-MX"/>
        </w:rPr>
        <w:t>.</w:t>
      </w:r>
      <w:r w:rsidRPr="002E76E6">
        <w:rPr>
          <w:rFonts w:ascii="Verdana" w:hAnsi="Verdana" w:cs="Arial"/>
          <w:sz w:val="20"/>
          <w:szCs w:val="20"/>
          <w:lang w:val="es-MX"/>
        </w:rPr>
        <w:t xml:space="preserve"> Por tanto, no son materia de la prohibición las demás modalidades de selección previstas en la ley 1150 de 2007, siendo estas, la licitación pública, el concurso de méritos y la selección abreviada, razón por la cual en ese periodo preelectoral de que trata la disposición pueden las entidades públicas seguir contratando bajo estos sistemas [...]”</w:t>
      </w:r>
      <w:r w:rsidRPr="002E76E6">
        <w:rPr>
          <w:rFonts w:ascii="Verdana" w:hAnsi="Verdana" w:cs="Arial"/>
          <w:sz w:val="20"/>
          <w:szCs w:val="20"/>
          <w:vertAlign w:val="superscript"/>
          <w:lang w:eastAsia="es-CO"/>
        </w:rPr>
        <w:footnoteReference w:id="18"/>
      </w:r>
      <w:r w:rsidRPr="002E76E6">
        <w:rPr>
          <w:rFonts w:ascii="Verdana" w:hAnsi="Verdana" w:cs="Arial"/>
          <w:sz w:val="20"/>
          <w:szCs w:val="20"/>
          <w:lang w:val="es-MX"/>
        </w:rPr>
        <w:t>.</w:t>
      </w:r>
    </w:p>
    <w:p w14:paraId="1F99C101" w14:textId="77777777" w:rsidR="00B62CFA" w:rsidRPr="002E76E6" w:rsidRDefault="00B62CFA" w:rsidP="00B62CFA">
      <w:pPr>
        <w:shd w:val="clear" w:color="auto" w:fill="FFFFFF"/>
        <w:spacing w:after="0" w:line="276" w:lineRule="auto"/>
        <w:ind w:firstLine="709"/>
        <w:jc w:val="both"/>
        <w:rPr>
          <w:rFonts w:ascii="Verdana" w:hAnsi="Verdana" w:cs="Arial"/>
          <w:lang w:eastAsia="x-none"/>
        </w:rPr>
      </w:pPr>
    </w:p>
    <w:p w14:paraId="688E00E1" w14:textId="77777777" w:rsidR="00B62CFA" w:rsidRPr="002E76E6" w:rsidRDefault="00B62CFA" w:rsidP="00B62CFA">
      <w:pPr>
        <w:spacing w:after="120" w:line="276" w:lineRule="auto"/>
        <w:ind w:firstLine="708"/>
        <w:jc w:val="both"/>
        <w:rPr>
          <w:rFonts w:ascii="Verdana" w:hAnsi="Verdana" w:cs="Arial"/>
          <w:bCs/>
          <w:lang w:eastAsia="x-none"/>
        </w:rPr>
      </w:pPr>
      <w:r w:rsidRPr="002E76E6">
        <w:rPr>
          <w:rFonts w:ascii="Verdana" w:hAnsi="Verdana" w:cs="Arial"/>
          <w:lang w:eastAsia="x-none"/>
        </w:rPr>
        <w:t xml:space="preserve">De acuerdo con el citado concepto, la prohibición del artículo 33 de la Ley de Garantías Electorales se refiere a </w:t>
      </w:r>
      <w:r w:rsidRPr="002E76E6">
        <w:rPr>
          <w:rFonts w:ascii="Verdana" w:hAnsi="Verdana" w:cs="Arial"/>
          <w:sz w:val="19"/>
          <w:szCs w:val="19"/>
          <w:lang w:eastAsia="en-GB"/>
        </w:rPr>
        <w:t>“</w:t>
      </w:r>
      <w:r w:rsidRPr="002E76E6">
        <w:rPr>
          <w:rFonts w:ascii="Verdana" w:hAnsi="Verdana" w:cs="Arial"/>
          <w:lang w:eastAsia="x-none"/>
        </w:rPr>
        <w:t>cualquier sistema que no implique convocatoria pública y posibilidad de pluralidad de oferentes</w:t>
      </w:r>
      <w:r w:rsidRPr="002E76E6">
        <w:rPr>
          <w:rFonts w:ascii="Verdana" w:hAnsi="Verdana" w:cs="Arial"/>
          <w:lang w:eastAsia="en-GB"/>
        </w:rPr>
        <w:t>”</w:t>
      </w:r>
      <w:r w:rsidRPr="002E76E6">
        <w:rPr>
          <w:rFonts w:ascii="Verdana" w:hAnsi="Verdana" w:cs="Arial"/>
          <w:lang w:eastAsia="x-none"/>
        </w:rPr>
        <w:t>, por lo que excluye las demás modalidades de contratación previstas en la Ley 1150 de 2007, es decir, la licitación pública, la selección abreviada y el concurso de méritos u otros procedimientos abiertos y competitivos previstos en normas especiales. Esta posición es congruente con la expedición de la Ley 1150 de 2007 que, entre otras reformas, introdujo la selección abreviada, rediseñó el concurso de méritos</w:t>
      </w:r>
      <w:r w:rsidRPr="002E76E6">
        <w:rPr>
          <w:rFonts w:ascii="Verdana" w:hAnsi="Verdana" w:cs="Arial"/>
          <w:vertAlign w:val="superscript"/>
          <w:lang w:val="en-GB" w:eastAsia="x-none"/>
        </w:rPr>
        <w:footnoteReference w:id="19"/>
      </w:r>
      <w:r w:rsidRPr="002E76E6">
        <w:rPr>
          <w:rFonts w:ascii="Verdana" w:hAnsi="Verdana" w:cs="Arial"/>
          <w:lang w:eastAsia="x-none"/>
        </w:rPr>
        <w:t xml:space="preserve"> y sistematizó las causales de contratación directa</w:t>
      </w:r>
      <w:r w:rsidRPr="002E76E6">
        <w:rPr>
          <w:rFonts w:ascii="Verdana" w:hAnsi="Verdana" w:cs="Arial"/>
          <w:vertAlign w:val="superscript"/>
          <w:lang w:val="en-GB" w:eastAsia="x-none"/>
        </w:rPr>
        <w:footnoteReference w:id="20"/>
      </w:r>
      <w:r w:rsidRPr="002E76E6">
        <w:rPr>
          <w:rFonts w:ascii="Verdana" w:hAnsi="Verdana" w:cs="Arial"/>
          <w:lang w:eastAsia="x-none"/>
        </w:rPr>
        <w:t xml:space="preserve">. </w:t>
      </w:r>
    </w:p>
    <w:p w14:paraId="2AC49673" w14:textId="77777777" w:rsidR="00B62CFA" w:rsidRPr="002E76E6" w:rsidRDefault="00B62CFA" w:rsidP="00B62CFA">
      <w:pPr>
        <w:spacing w:after="120" w:line="276" w:lineRule="auto"/>
        <w:ind w:firstLine="708"/>
        <w:jc w:val="both"/>
        <w:rPr>
          <w:rFonts w:ascii="Verdana" w:hAnsi="Verdana" w:cs="Arial"/>
          <w:lang w:val="es-MX" w:eastAsia="x-none"/>
        </w:rPr>
      </w:pPr>
      <w:r w:rsidRPr="002E76E6">
        <w:rPr>
          <w:rFonts w:ascii="Verdana" w:hAnsi="Verdana" w:cs="Arial"/>
          <w:lang w:eastAsia="x-none"/>
        </w:rPr>
        <w:t xml:space="preserve">De esta forma, con fundamento en la evolución de la normativa sobre la contratación pública, se ha depurado la noción de </w:t>
      </w:r>
      <w:r w:rsidRPr="002E76E6">
        <w:rPr>
          <w:rFonts w:ascii="Verdana" w:hAnsi="Verdana" w:cs="Arial"/>
          <w:sz w:val="19"/>
          <w:szCs w:val="19"/>
          <w:lang w:eastAsia="en-GB"/>
        </w:rPr>
        <w:t>“</w:t>
      </w:r>
      <w:r w:rsidRPr="002E76E6">
        <w:rPr>
          <w:rFonts w:ascii="Verdana" w:hAnsi="Verdana" w:cs="Arial"/>
          <w:lang w:eastAsia="x-none"/>
        </w:rPr>
        <w:t>contratación directa</w:t>
      </w:r>
      <w:r w:rsidRPr="002E76E6">
        <w:rPr>
          <w:rFonts w:ascii="Verdana" w:hAnsi="Verdana" w:cs="Arial"/>
          <w:lang w:eastAsia="en-GB"/>
        </w:rPr>
        <w:t>”</w:t>
      </w:r>
      <w:r w:rsidRPr="002E76E6">
        <w:rPr>
          <w:rFonts w:ascii="Verdana" w:hAnsi="Verdana" w:cs="Arial"/>
          <w:lang w:eastAsia="x-none"/>
        </w:rPr>
        <w:t xml:space="preserve">, precisando el Consejo de Estado –en el concepto citado– que, “aun cuando no coincide única y exactamente con la regulación que de dicho sistema de selección hace el artículo 2º de la Ley 1150 de 2007, tampoco puede afirmarse que sea </w:t>
      </w:r>
      <w:r w:rsidRPr="002E76E6">
        <w:rPr>
          <w:rFonts w:ascii="Verdana" w:hAnsi="Verdana" w:cs="Arial"/>
          <w:lang w:eastAsia="x-none"/>
        </w:rPr>
        <w:lastRenderedPageBreak/>
        <w:t>cualquier procedimiento de contratación distinto de la licitación pública, pues esto sería tanto como desconocer que el legislador, no solo en el Estatuto General de la Contratación de la Administración Pública, sino también en leyes especiales e, incluso, en el derecho privado</w:t>
      </w:r>
      <w:r w:rsidRPr="002E76E6">
        <w:rPr>
          <w:rFonts w:ascii="Verdana" w:hAnsi="Verdana" w:cs="Arial"/>
          <w:vertAlign w:val="superscript"/>
          <w:lang w:val="en-GB" w:eastAsia="x-none"/>
        </w:rPr>
        <w:footnoteReference w:id="21"/>
      </w:r>
      <w:r w:rsidRPr="002E76E6">
        <w:rPr>
          <w:rFonts w:ascii="Verdana" w:hAnsi="Verdana" w:cs="Arial"/>
          <w:lang w:eastAsia="x-none"/>
        </w:rPr>
        <w:t>, han establecido sistemas de contratación que implican convocatoria pública y participación de varios oferentes</w:t>
      </w:r>
      <w:r w:rsidRPr="002E76E6">
        <w:rPr>
          <w:rFonts w:ascii="Verdana" w:hAnsi="Verdana" w:cs="Arial"/>
          <w:lang w:eastAsia="en-GB"/>
        </w:rPr>
        <w:t>”</w:t>
      </w:r>
      <w:r w:rsidRPr="002E76E6">
        <w:rPr>
          <w:rFonts w:ascii="Verdana" w:hAnsi="Verdana" w:cs="Arial"/>
          <w:lang w:eastAsia="x-none"/>
        </w:rPr>
        <w:t xml:space="preserve">. </w:t>
      </w:r>
    </w:p>
    <w:p w14:paraId="52CC8408" w14:textId="77777777" w:rsidR="00B62CFA" w:rsidRPr="002E76E6" w:rsidRDefault="00B62CFA" w:rsidP="00B62CFA">
      <w:pPr>
        <w:spacing w:after="120" w:line="276" w:lineRule="auto"/>
        <w:ind w:firstLine="708"/>
        <w:jc w:val="both"/>
        <w:rPr>
          <w:rFonts w:ascii="Verdana" w:hAnsi="Verdana" w:cs="Arial"/>
          <w:bCs/>
          <w:lang w:val="es-MX" w:eastAsia="es-CO"/>
        </w:rPr>
      </w:pPr>
      <w:r w:rsidRPr="002E76E6">
        <w:rPr>
          <w:rFonts w:ascii="Verdana" w:hAnsi="Verdana" w:cs="Arial"/>
          <w:bCs/>
          <w:lang w:val="es-MX" w:eastAsia="x-none"/>
        </w:rPr>
        <w:t>E</w:t>
      </w:r>
      <w:r w:rsidRPr="002E76E6">
        <w:rPr>
          <w:rFonts w:ascii="Verdana" w:hAnsi="Verdana" w:cs="Arial"/>
          <w:lang w:eastAsia="x-none"/>
        </w:rPr>
        <w:t>n efecto, vale la pena mencionar que, en algunos sistemas de contratación, utilizados por entidades públicas con regímenes especiales, o sujetas al derecho privado, la convocatoria o invitación para contratar puede limitarse a aquellas personas que previamente se hayan inscrito en una lista de precalificados o de simples interesados, o en un determinado registro o banco de datos de proveedores. En estos casos, lo determinante para considerar que dicho sistema no constituye “contratación directa”, es que la convocatoria para inscribirse en forma previa se haga de manera pública y que se permita la participación de una pluralidad de oferentes</w:t>
      </w:r>
      <w:r w:rsidRPr="002E76E6">
        <w:rPr>
          <w:rFonts w:ascii="Verdana" w:hAnsi="Verdana" w:cs="Arial"/>
          <w:vertAlign w:val="superscript"/>
          <w:lang w:eastAsia="x-none"/>
        </w:rPr>
        <w:footnoteReference w:id="22"/>
      </w:r>
      <w:r w:rsidRPr="002E76E6">
        <w:rPr>
          <w:rFonts w:ascii="Verdana" w:hAnsi="Verdana" w:cs="Arial"/>
          <w:lang w:eastAsia="x-none"/>
        </w:rPr>
        <w:t xml:space="preserve">. </w:t>
      </w:r>
    </w:p>
    <w:p w14:paraId="0AF200F9" w14:textId="77777777" w:rsidR="00B62CFA" w:rsidRPr="002E76E6" w:rsidRDefault="00B62CFA" w:rsidP="00B62CFA">
      <w:pPr>
        <w:spacing w:after="120" w:line="276" w:lineRule="auto"/>
        <w:ind w:firstLine="708"/>
        <w:jc w:val="both"/>
        <w:rPr>
          <w:rFonts w:ascii="Verdana" w:hAnsi="Verdana" w:cs="Arial"/>
          <w:bCs/>
          <w:lang w:val="es-MX" w:eastAsia="es-CO"/>
        </w:rPr>
      </w:pPr>
      <w:r w:rsidRPr="002E76E6">
        <w:rPr>
          <w:rFonts w:ascii="Verdana" w:hAnsi="Verdana" w:cs="Arial"/>
          <w:bCs/>
          <w:lang w:val="es-MX" w:eastAsia="es-CO"/>
        </w:rPr>
        <w:t>Como se advierte de lo anterior, el Consejo de Estado realiza una interpretación amplia de la contratación directa, para efectos de aplicar las restricciones establecidas en la Ley de Garantías Electorales, al señalar que no solo aplica frente a las entidades sometidas al Estatuto General de Contratación de la Administración Pública, sino también frente a las entidades que tengan un régimen especial de contratación. No obstante, también se observa que luego de la expedición de Ley 1150 de 2007, el Consejo de Estado comenzó a delimitar con mayor precisión el término de “contratación directa”.</w:t>
      </w:r>
    </w:p>
    <w:p w14:paraId="011C10AD" w14:textId="77777777" w:rsidR="00B62CFA" w:rsidRPr="002E76E6" w:rsidRDefault="00B62CFA" w:rsidP="00B62CFA">
      <w:pPr>
        <w:spacing w:after="120" w:line="276" w:lineRule="auto"/>
        <w:ind w:firstLine="708"/>
        <w:jc w:val="both"/>
        <w:rPr>
          <w:rFonts w:ascii="Verdana" w:hAnsi="Verdana" w:cs="Arial"/>
          <w:bCs/>
          <w:lang w:val="es-MX" w:eastAsia="x-none"/>
        </w:rPr>
      </w:pPr>
      <w:r w:rsidRPr="002E76E6">
        <w:rPr>
          <w:rFonts w:ascii="Verdana" w:hAnsi="Verdana" w:cs="Arial"/>
          <w:bCs/>
          <w:lang w:val="es-MX" w:eastAsia="x-none"/>
        </w:rPr>
        <w:t xml:space="preserve"> Así las cosas, ha de entenderse que, para los efectos de la Ley de Garantías Electorales y, en particular, para la prohibición o restricción temporal contenida en su artículo 33, “contratación directa” es cualquier sistema de selección o procedimiento de contratación utilizado por las entidades estatales que no incluya la convocatoria pública en alguna de sus etapas, ni permita la participación de una pluralidad de oferentes</w:t>
      </w:r>
      <w:r w:rsidRPr="002E76E6">
        <w:rPr>
          <w:rFonts w:ascii="Verdana" w:hAnsi="Verdana" w:cs="Arial"/>
          <w:vertAlign w:val="superscript"/>
          <w:lang w:eastAsia="x-none"/>
        </w:rPr>
        <w:footnoteReference w:id="23"/>
      </w:r>
      <w:r w:rsidRPr="002E76E6">
        <w:rPr>
          <w:rFonts w:ascii="Verdana" w:hAnsi="Verdana" w:cs="Arial"/>
          <w:bCs/>
          <w:lang w:val="es-MX" w:eastAsia="x-none"/>
        </w:rPr>
        <w:t>.</w:t>
      </w:r>
      <w:r w:rsidRPr="002E76E6">
        <w:rPr>
          <w:rFonts w:ascii="Verdana" w:hAnsi="Verdana" w:cs="Arial"/>
          <w:vertAlign w:val="superscript"/>
          <w:lang w:eastAsia="x-none"/>
        </w:rPr>
        <w:t xml:space="preserve"> </w:t>
      </w:r>
    </w:p>
    <w:p w14:paraId="2CB86383" w14:textId="77777777" w:rsidR="00B62CFA" w:rsidRDefault="00B62CFA" w:rsidP="00B62CFA">
      <w:pPr>
        <w:shd w:val="clear" w:color="auto" w:fill="FFFFFF" w:themeFill="background1"/>
        <w:spacing w:after="120" w:line="276" w:lineRule="auto"/>
        <w:ind w:firstLine="708"/>
        <w:jc w:val="both"/>
        <w:rPr>
          <w:rFonts w:ascii="Verdana" w:hAnsi="Verdana" w:cs="Arial"/>
          <w:lang w:eastAsia="x-none"/>
        </w:rPr>
      </w:pPr>
      <w:r w:rsidRPr="002E76E6">
        <w:rPr>
          <w:rFonts w:ascii="Verdana" w:hAnsi="Verdana" w:cs="Arial"/>
          <w:bCs/>
          <w:lang w:val="es-MX" w:eastAsia="x-none"/>
        </w:rPr>
        <w:lastRenderedPageBreak/>
        <w:t>De lo anterior se desprende que la restricción aplica, sin perjuicio de las excepciones establecidas en la misma ley, para celebrar cualquier contrato de forma directa, esto es, sin que exista un proceso abierto y competitivo.</w:t>
      </w:r>
      <w:r w:rsidRPr="002E76E6">
        <w:rPr>
          <w:rFonts w:ascii="Verdana" w:hAnsi="Verdana" w:cs="Arial"/>
          <w:lang w:eastAsia="x-none"/>
        </w:rPr>
        <w:t xml:space="preserve"> Por tanto, no son materia de la prohibición las demás modalidades de selección previstas en la Ley 1150 de 2007, es decir, la licitación pública, el concurso de méritos y la selección abreviada, razón por la cual en ese período preelectoral de que trata la disposición pueden las entidades públicas seguir contratando bajo estos sistemas.</w:t>
      </w:r>
    </w:p>
    <w:p w14:paraId="6176553D" w14:textId="4BD94175" w:rsidR="00B62CFA" w:rsidRPr="002E76E6" w:rsidRDefault="00B62CFA" w:rsidP="00705C6F">
      <w:pPr>
        <w:spacing w:line="276" w:lineRule="auto"/>
        <w:ind w:firstLine="709"/>
        <w:jc w:val="both"/>
        <w:rPr>
          <w:rFonts w:ascii="Verdana" w:eastAsia="Arial" w:hAnsi="Verdana" w:cs="Arial"/>
          <w:lang w:val="es-ES" w:eastAsia="es-ES" w:bidi="es-ES"/>
        </w:rPr>
      </w:pPr>
      <w:r w:rsidRPr="004C13AD">
        <w:rPr>
          <w:rFonts w:ascii="Verdana" w:hAnsi="Verdana" w:cs="Arial"/>
          <w:lang w:eastAsia="x-none"/>
        </w:rPr>
        <w:t>En ese orden de ideas, considerando la naturaleza jurídica del contrato de comodato y el hecho de que su celebración por parte de las entidades estatales se realiza, por regla general, mediante la modalidad de contratación directa, se concluye que esta tipología contractual se encuentra sujeta a las restricciones previstas en la Ley de Garantías Electorales.</w:t>
      </w:r>
      <w:r>
        <w:rPr>
          <w:rFonts w:ascii="Verdana" w:hAnsi="Verdana" w:cs="Arial"/>
          <w:lang w:eastAsia="x-none"/>
        </w:rPr>
        <w:t xml:space="preserve"> </w:t>
      </w:r>
      <w:r w:rsidRPr="004C13AD">
        <w:rPr>
          <w:rFonts w:ascii="Verdana" w:hAnsi="Verdana" w:cs="Arial"/>
          <w:lang w:eastAsia="x-none"/>
        </w:rPr>
        <w:t>Lo anterior</w:t>
      </w:r>
      <w:r>
        <w:rPr>
          <w:rFonts w:ascii="Verdana" w:hAnsi="Verdana" w:cs="Arial"/>
          <w:lang w:eastAsia="x-none"/>
        </w:rPr>
        <w:t xml:space="preserve">, </w:t>
      </w:r>
      <w:r w:rsidRPr="004C13AD">
        <w:rPr>
          <w:rFonts w:ascii="Verdana" w:hAnsi="Verdana" w:cs="Arial"/>
          <w:lang w:eastAsia="x-none"/>
        </w:rPr>
        <w:t>según la cual las limitaciones durante dicho periodo cobijan los contratos estatales que no se adelantan mediante procesos de selección competitivos</w:t>
      </w:r>
      <w:r w:rsidR="00705C6F">
        <w:rPr>
          <w:rFonts w:ascii="Verdana" w:hAnsi="Verdana" w:cs="Arial"/>
          <w:lang w:eastAsia="x-none"/>
        </w:rPr>
        <w:t>.</w:t>
      </w:r>
    </w:p>
    <w:p w14:paraId="15CF15D3" w14:textId="77777777" w:rsidR="005977E3" w:rsidRPr="00125EAE" w:rsidRDefault="00B62CFA" w:rsidP="00125EAE">
      <w:pPr>
        <w:spacing w:line="276" w:lineRule="auto"/>
        <w:ind w:firstLine="709"/>
        <w:jc w:val="both"/>
        <w:rPr>
          <w:rFonts w:ascii="Verdana" w:hAnsi="Verdana" w:cs="Arial"/>
          <w:lang w:eastAsia="x-none"/>
        </w:rPr>
      </w:pPr>
      <w:r w:rsidRPr="002E76E6">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w:t>
      </w:r>
      <w:r w:rsidRPr="00125EAE">
        <w:rPr>
          <w:rFonts w:ascii="Verdana" w:hAnsi="Verdana" w:cs="Arial"/>
          <w:lang w:eastAsia="x-none"/>
        </w:rPr>
        <w:t xml:space="preserve">contractual, sin que sea atribución de Colombia Compra Eficiente validar sus actuaciones. </w:t>
      </w:r>
    </w:p>
    <w:p w14:paraId="0D7901DD" w14:textId="3F78BBF2" w:rsidR="00162425" w:rsidRDefault="00162425" w:rsidP="00125EAE">
      <w:pPr>
        <w:spacing w:line="276" w:lineRule="auto"/>
        <w:ind w:firstLine="709"/>
        <w:jc w:val="both"/>
        <w:rPr>
          <w:rFonts w:ascii="Verdana" w:eastAsia="Calibri" w:hAnsi="Verdana" w:cs="Arial"/>
          <w:bCs/>
          <w:color w:val="000000" w:themeColor="text1"/>
        </w:rPr>
      </w:pPr>
      <w:r w:rsidRPr="00125EAE">
        <w:rPr>
          <w:rFonts w:ascii="Verdana" w:hAnsi="Verdana" w:cs="Arial"/>
          <w:lang w:eastAsia="x-none"/>
        </w:rPr>
        <w:t>Al margen de</w:t>
      </w:r>
      <w:r w:rsidRPr="00EA560F">
        <w:rPr>
          <w:rFonts w:ascii="Verdana" w:eastAsia="Calibri" w:hAnsi="Verdana" w:cs="Arial"/>
          <w:bCs/>
          <w:color w:val="000000" w:themeColor="text1"/>
        </w:rPr>
        <w:t xml:space="preserve"> la explicación precedente debe advertirse que el análisis requerido para resolver problemas específicos en torno a la gestión contractual de las entidades públicas debe ser realizado por quienes te</w:t>
      </w:r>
      <w:r w:rsidRPr="00F926E2">
        <w:rPr>
          <w:rFonts w:ascii="Verdana" w:eastAsia="Calibri" w:hAnsi="Verdana" w:cs="Arial"/>
          <w:bCs/>
          <w:color w:val="000000" w:themeColor="text1"/>
        </w:rPr>
        <w:t>ngan interés en ello, de acuerdo con lo explicado la aclaración preliminar del presente oficio. De esta manera, las afirmaciones aquí realizadas no pueden ser interpretadas como juicios de valor sobre circunstancias concretas relacionadas con los hechos qu</w:t>
      </w:r>
      <w:r w:rsidRPr="00BE636B">
        <w:rPr>
          <w:rFonts w:ascii="Verdana" w:eastAsia="Calibri" w:hAnsi="Verdana" w:cs="Arial"/>
          <w:bCs/>
          <w:color w:val="000000" w:themeColor="text1"/>
        </w:rPr>
        <w:t>e motivan la consulta. Por lo anterior, previo concepto de sus asesores, la solución de situaciones particulares corresponde a los interesados adoptar la decisión correspondiente y, en caso de conflicto, a las autoridades judiciales, fiscales y disciplinar</w:t>
      </w:r>
      <w:r w:rsidRPr="00323DD8">
        <w:rPr>
          <w:rFonts w:ascii="Verdana" w:eastAsia="Calibri" w:hAnsi="Verdana" w:cs="Arial"/>
          <w:bCs/>
          <w:color w:val="000000" w:themeColor="text1"/>
        </w:rPr>
        <w:t>ias.</w:t>
      </w:r>
    </w:p>
    <w:p w14:paraId="7173F66C" w14:textId="77777777" w:rsidR="00162425" w:rsidRPr="00EA560F" w:rsidRDefault="00162425" w:rsidP="00162425">
      <w:pPr>
        <w:pStyle w:val="Prrafodelista"/>
        <w:numPr>
          <w:ilvl w:val="0"/>
          <w:numId w:val="16"/>
        </w:numPr>
        <w:spacing w:after="0" w:line="276" w:lineRule="auto"/>
        <w:contextualSpacing w:val="0"/>
        <w:rPr>
          <w:rFonts w:ascii="Verdana" w:eastAsia="Calibri" w:hAnsi="Verdana" w:cs="Times New Roman"/>
          <w:b/>
          <w:bCs/>
        </w:rPr>
      </w:pPr>
      <w:r w:rsidRPr="00EA560F">
        <w:rPr>
          <w:rFonts w:ascii="Verdana" w:eastAsia="Calibri" w:hAnsi="Verdana" w:cs="Times New Roman"/>
          <w:b/>
        </w:rPr>
        <w:lastRenderedPageBreak/>
        <w:t>Referencias normativas, jurisprudenciales y otras fuentes:</w:t>
      </w:r>
    </w:p>
    <w:p w14:paraId="08C17E74" w14:textId="77777777" w:rsidR="00162425" w:rsidRPr="00EA560F" w:rsidRDefault="00162425" w:rsidP="00162425">
      <w:pPr>
        <w:spacing w:after="0" w:line="276" w:lineRule="auto"/>
        <w:rPr>
          <w:rFonts w:ascii="Verdana" w:eastAsia="Calibri" w:hAnsi="Verdana" w:cs="Times New Roman"/>
          <w:b/>
          <w:bCs/>
        </w:rPr>
      </w:pPr>
    </w:p>
    <w:tbl>
      <w:tblPr>
        <w:tblStyle w:val="Tablaconcuadrcula"/>
        <w:tblW w:w="86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162425" w:rsidRPr="00EA560F" w14:paraId="28B93012" w14:textId="77777777" w:rsidTr="003E67EC">
        <w:trPr>
          <w:trHeight w:val="870"/>
        </w:trPr>
        <w:tc>
          <w:tcPr>
            <w:tcW w:w="8647" w:type="dxa"/>
          </w:tcPr>
          <w:p w14:paraId="360EE2BB" w14:textId="77777777" w:rsidR="00397944" w:rsidRPr="002E76E6" w:rsidRDefault="00397944" w:rsidP="00397944">
            <w:pPr>
              <w:widowControl w:val="0"/>
              <w:numPr>
                <w:ilvl w:val="0"/>
                <w:numId w:val="17"/>
              </w:numPr>
              <w:autoSpaceDE w:val="0"/>
              <w:autoSpaceDN w:val="0"/>
              <w:spacing w:line="276" w:lineRule="auto"/>
              <w:jc w:val="both"/>
              <w:rPr>
                <w:rFonts w:ascii="Verdana" w:eastAsia="Arial MT" w:hAnsi="Verdana" w:cs="Arial"/>
                <w:lang w:val="es-ES" w:eastAsia="es-ES" w:bidi="es-ES"/>
              </w:rPr>
            </w:pPr>
            <w:r w:rsidRPr="002E76E6">
              <w:rPr>
                <w:rFonts w:ascii="Verdana" w:eastAsia="Arial MT" w:hAnsi="Verdana" w:cs="Arial"/>
                <w:lang w:val="es-ES" w:eastAsia="es-ES" w:bidi="es-ES"/>
              </w:rPr>
              <w:t>Constitución Política, artículo 127 y 197</w:t>
            </w:r>
          </w:p>
          <w:p w14:paraId="741CEDEE" w14:textId="77777777" w:rsidR="00397944" w:rsidRPr="002E76E6" w:rsidRDefault="00397944" w:rsidP="00397944">
            <w:pPr>
              <w:widowControl w:val="0"/>
              <w:numPr>
                <w:ilvl w:val="0"/>
                <w:numId w:val="17"/>
              </w:numPr>
              <w:autoSpaceDE w:val="0"/>
              <w:autoSpaceDN w:val="0"/>
              <w:spacing w:line="276" w:lineRule="auto"/>
              <w:jc w:val="both"/>
              <w:rPr>
                <w:rFonts w:ascii="Verdana" w:eastAsia="Arial MT" w:hAnsi="Verdana" w:cs="Arial"/>
                <w:lang w:val="es-ES" w:eastAsia="es-ES" w:bidi="es-ES"/>
              </w:rPr>
            </w:pPr>
            <w:r w:rsidRPr="002E76E6">
              <w:rPr>
                <w:rFonts w:ascii="Verdana" w:eastAsia="Arial MT" w:hAnsi="Verdana" w:cs="Arial"/>
                <w:bCs/>
                <w:lang w:val="es-ES" w:eastAsia="es-ES" w:bidi="es-ES"/>
              </w:rPr>
              <w:t>Ley 996 de 2005, artículos 33 y 38.</w:t>
            </w:r>
          </w:p>
          <w:p w14:paraId="14E0C70A" w14:textId="77777777" w:rsidR="00397944" w:rsidRPr="002E76E6" w:rsidRDefault="00397944" w:rsidP="00397944">
            <w:pPr>
              <w:widowControl w:val="0"/>
              <w:numPr>
                <w:ilvl w:val="0"/>
                <w:numId w:val="17"/>
              </w:numPr>
              <w:autoSpaceDE w:val="0"/>
              <w:autoSpaceDN w:val="0"/>
              <w:spacing w:line="276" w:lineRule="auto"/>
              <w:jc w:val="both"/>
              <w:rPr>
                <w:rFonts w:ascii="Verdana" w:eastAsia="Arial MT" w:hAnsi="Verdana" w:cs="Arial"/>
                <w:lang w:val="es-ES" w:eastAsia="es-ES" w:bidi="es-ES"/>
              </w:rPr>
            </w:pPr>
            <w:r w:rsidRPr="002E76E6">
              <w:rPr>
                <w:rFonts w:ascii="Verdana" w:hAnsi="Verdana" w:cs="Arial"/>
                <w:bCs/>
                <w:color w:val="000000" w:themeColor="text1"/>
                <w:lang w:val="es-ES"/>
              </w:rPr>
              <w:t>Ley 1150 de 2007, artículo 2.</w:t>
            </w:r>
          </w:p>
          <w:p w14:paraId="0E407C9D" w14:textId="77777777" w:rsidR="00397944" w:rsidRPr="002E76E6" w:rsidRDefault="00397944" w:rsidP="00397944">
            <w:pPr>
              <w:widowControl w:val="0"/>
              <w:numPr>
                <w:ilvl w:val="0"/>
                <w:numId w:val="17"/>
              </w:numPr>
              <w:autoSpaceDE w:val="0"/>
              <w:autoSpaceDN w:val="0"/>
              <w:spacing w:line="276" w:lineRule="auto"/>
              <w:jc w:val="both"/>
              <w:rPr>
                <w:rFonts w:ascii="Verdana" w:hAnsi="Verdana" w:cs="Arial"/>
                <w:lang w:val="es-ES"/>
              </w:rPr>
            </w:pPr>
            <w:r w:rsidRPr="002E76E6">
              <w:rPr>
                <w:rFonts w:ascii="Verdana" w:hAnsi="Verdana" w:cs="Arial"/>
                <w:lang w:val="es-ES"/>
              </w:rPr>
              <w:t>Corte Constitucional. Sentencias: C-233 de 4 de abril de 2002, expediente: D-3704; C-551 de 9 de julio de 2003, expediente: CRF-001 de 9 de julio de 2003</w:t>
            </w:r>
            <w:r w:rsidRPr="002E76E6">
              <w:rPr>
                <w:rFonts w:ascii="Verdana" w:hAnsi="Verdana"/>
              </w:rPr>
              <w:t xml:space="preserve">, </w:t>
            </w:r>
            <w:r w:rsidRPr="002E76E6">
              <w:rPr>
                <w:rFonts w:ascii="Verdana" w:hAnsi="Verdana" w:cs="Arial"/>
                <w:lang w:val="es-ES"/>
              </w:rPr>
              <w:t>C-652 de 5 de agosto de 2003, expediente: D-4330; C-353 de 20 de mayo de 2009, expediente: D-7518, C-541 de 30 de junio de 2010, expediente: DD7966</w:t>
            </w:r>
          </w:p>
          <w:p w14:paraId="5AF94C6E" w14:textId="77777777" w:rsidR="00397944" w:rsidRPr="002E76E6" w:rsidRDefault="00397944" w:rsidP="00397944">
            <w:pPr>
              <w:widowControl w:val="0"/>
              <w:numPr>
                <w:ilvl w:val="0"/>
                <w:numId w:val="17"/>
              </w:numPr>
              <w:autoSpaceDE w:val="0"/>
              <w:autoSpaceDN w:val="0"/>
              <w:spacing w:line="276" w:lineRule="auto"/>
              <w:jc w:val="both"/>
              <w:rPr>
                <w:rFonts w:ascii="Verdana" w:hAnsi="Verdana" w:cs="Arial"/>
                <w:lang w:val="es-ES"/>
              </w:rPr>
            </w:pPr>
            <w:r w:rsidRPr="008F34D2">
              <w:rPr>
                <w:rFonts w:ascii="Verdana" w:eastAsia="Times New Roman" w:hAnsi="Verdana" w:cs="Times New Roman"/>
                <w:lang w:val="pt-PT" w:eastAsia="es-ES_tradnl"/>
              </w:rPr>
              <w:t xml:space="preserve">Corte Constitucional. Sentencia C- 1153 de 2005. </w:t>
            </w:r>
            <w:r w:rsidRPr="002E76E6">
              <w:rPr>
                <w:rFonts w:ascii="Verdana" w:eastAsia="Times New Roman" w:hAnsi="Verdana" w:cs="Times New Roman"/>
                <w:lang w:eastAsia="es-ES_tradnl"/>
              </w:rPr>
              <w:t xml:space="preserve">M.P. Marco Gerardo Monroy Cabra. </w:t>
            </w:r>
          </w:p>
          <w:p w14:paraId="28F5F70C" w14:textId="77777777" w:rsidR="00397944" w:rsidRPr="002E76E6" w:rsidRDefault="00397944" w:rsidP="00397944">
            <w:pPr>
              <w:widowControl w:val="0"/>
              <w:numPr>
                <w:ilvl w:val="0"/>
                <w:numId w:val="17"/>
              </w:numPr>
              <w:autoSpaceDE w:val="0"/>
              <w:autoSpaceDN w:val="0"/>
              <w:spacing w:line="276" w:lineRule="auto"/>
              <w:jc w:val="both"/>
              <w:rPr>
                <w:rFonts w:ascii="Verdana" w:hAnsi="Verdana" w:cs="Arial"/>
                <w:lang w:val="es-ES"/>
              </w:rPr>
            </w:pPr>
            <w:r w:rsidRPr="002E76E6">
              <w:rPr>
                <w:rFonts w:ascii="Verdana" w:hAnsi="Verdana" w:cs="Arial"/>
                <w:lang w:val="es-ES"/>
              </w:rPr>
              <w:t>Corte Constitucional. Sentencia C-1153-05 de 11 de noviembre de 2005. Magistrado Ponente Marco Gerardo Monroy Cabra.</w:t>
            </w:r>
          </w:p>
          <w:p w14:paraId="7F134E17" w14:textId="77777777" w:rsidR="00397944" w:rsidRPr="002E76E6" w:rsidRDefault="00397944" w:rsidP="00397944">
            <w:pPr>
              <w:widowControl w:val="0"/>
              <w:numPr>
                <w:ilvl w:val="0"/>
                <w:numId w:val="17"/>
              </w:numPr>
              <w:autoSpaceDE w:val="0"/>
              <w:autoSpaceDN w:val="0"/>
              <w:spacing w:line="276" w:lineRule="auto"/>
              <w:jc w:val="both"/>
              <w:rPr>
                <w:rFonts w:ascii="Verdana" w:hAnsi="Verdana" w:cs="Arial"/>
                <w:lang w:val="es-ES"/>
              </w:rPr>
            </w:pPr>
            <w:r w:rsidRPr="002E76E6">
              <w:rPr>
                <w:rFonts w:ascii="Verdana" w:hAnsi="Verdana" w:cs="Arial"/>
                <w:lang w:val="es-ES"/>
              </w:rPr>
              <w:t>Consejo de Estado, Sala de lo Contencioso Administrativo, Sección Primera. Sentencia de 3 de marzo de 2005, expediente número 2004-00823-01(PI).</w:t>
            </w:r>
          </w:p>
          <w:p w14:paraId="16B80AE0" w14:textId="36928DC4" w:rsidR="00397944" w:rsidRPr="002E76E6" w:rsidRDefault="00397944" w:rsidP="00397944">
            <w:pPr>
              <w:widowControl w:val="0"/>
              <w:numPr>
                <w:ilvl w:val="0"/>
                <w:numId w:val="17"/>
              </w:numPr>
              <w:autoSpaceDE w:val="0"/>
              <w:autoSpaceDN w:val="0"/>
              <w:spacing w:line="276" w:lineRule="auto"/>
              <w:jc w:val="both"/>
              <w:rPr>
                <w:rFonts w:ascii="Verdana" w:hAnsi="Verdana" w:cs="Arial"/>
                <w:lang w:val="es-ES"/>
              </w:rPr>
            </w:pPr>
            <w:r w:rsidRPr="002E76E6">
              <w:rPr>
                <w:rFonts w:ascii="Verdana" w:hAnsi="Verdana" w:cs="Arial"/>
                <w:lang w:val="es-ES"/>
              </w:rPr>
              <w:t>Consejo de Estado. Sección Tercera. Sentencia de 3 de diciembre de 2007. Radicados: 24.715, 25.206, 25.409, 24.524, 27.834, 25.410, 26.105, 28.244, 31.447 -acumulados.</w:t>
            </w:r>
          </w:p>
          <w:p w14:paraId="2D85F5C3" w14:textId="77777777" w:rsidR="00397944" w:rsidRPr="002E76E6" w:rsidRDefault="00397944" w:rsidP="00397944">
            <w:pPr>
              <w:widowControl w:val="0"/>
              <w:numPr>
                <w:ilvl w:val="0"/>
                <w:numId w:val="17"/>
              </w:numPr>
              <w:autoSpaceDE w:val="0"/>
              <w:autoSpaceDN w:val="0"/>
              <w:spacing w:line="276" w:lineRule="auto"/>
              <w:jc w:val="both"/>
              <w:rPr>
                <w:rFonts w:ascii="Verdana" w:hAnsi="Verdana" w:cs="Arial"/>
                <w:lang w:val="es-ES"/>
              </w:rPr>
            </w:pPr>
            <w:r w:rsidRPr="002E76E6">
              <w:rPr>
                <w:rFonts w:ascii="Verdana" w:hAnsi="Verdana" w:cs="Arial"/>
                <w:lang w:val="es-ES"/>
              </w:rPr>
              <w:t xml:space="preserve">Consejo de Estado, Sala de Consulta y Servicio Civil de fecha 24 de julio de 2013, radicado 2166, C. P. Álvaro Namén Vargas.  </w:t>
            </w:r>
          </w:p>
          <w:p w14:paraId="07321123" w14:textId="77777777" w:rsidR="00397944" w:rsidRPr="002E76E6" w:rsidRDefault="00397944" w:rsidP="00397944">
            <w:pPr>
              <w:widowControl w:val="0"/>
              <w:numPr>
                <w:ilvl w:val="0"/>
                <w:numId w:val="17"/>
              </w:numPr>
              <w:autoSpaceDE w:val="0"/>
              <w:autoSpaceDN w:val="0"/>
              <w:spacing w:line="276" w:lineRule="auto"/>
              <w:jc w:val="both"/>
              <w:rPr>
                <w:rFonts w:ascii="Verdana" w:hAnsi="Verdana" w:cs="Arial"/>
                <w:lang w:val="es-ES"/>
              </w:rPr>
            </w:pPr>
            <w:r w:rsidRPr="002E76E6">
              <w:rPr>
                <w:rFonts w:ascii="Verdana" w:hAnsi="Verdana" w:cs="Arial"/>
                <w:lang w:val="es-ES"/>
              </w:rPr>
              <w:t>Consejo de Estado. Sala de Consulta y Servicio Civil. Concepto del 2 de septiembre de 2013. Radicación número: 11001-03-06-000-2013-00412-00 (2168). Consejero Ponente: Álvaro Namén Vargas.</w:t>
            </w:r>
          </w:p>
          <w:p w14:paraId="26C81048" w14:textId="77777777" w:rsidR="00397944" w:rsidRPr="002E76E6" w:rsidRDefault="00397944" w:rsidP="00397944">
            <w:pPr>
              <w:widowControl w:val="0"/>
              <w:numPr>
                <w:ilvl w:val="0"/>
                <w:numId w:val="17"/>
              </w:numPr>
              <w:autoSpaceDE w:val="0"/>
              <w:autoSpaceDN w:val="0"/>
              <w:spacing w:line="276" w:lineRule="auto"/>
              <w:jc w:val="both"/>
              <w:rPr>
                <w:rFonts w:ascii="Verdana" w:hAnsi="Verdana" w:cs="Arial"/>
                <w:lang w:val="es-ES"/>
              </w:rPr>
            </w:pPr>
            <w:r w:rsidRPr="002E76E6">
              <w:rPr>
                <w:rFonts w:ascii="Verdana" w:hAnsi="Verdana" w:cs="Arial"/>
                <w:lang w:val="es-ES"/>
              </w:rPr>
              <w:t>Consejo de Estado. Sala de Consulta y Servicio Civil. Concepto del 17 de febrero de 2015. C.P. William Zambrano Cetina. Radicación No. 11001-03-06-000-2015-00164-00(2269).</w:t>
            </w:r>
          </w:p>
          <w:p w14:paraId="61E4FC8A" w14:textId="64256635" w:rsidR="00162425" w:rsidRPr="00286DDE" w:rsidRDefault="00397944" w:rsidP="00397944">
            <w:pPr>
              <w:pStyle w:val="Prrafodelista"/>
              <w:numPr>
                <w:ilvl w:val="0"/>
                <w:numId w:val="17"/>
              </w:numPr>
              <w:spacing w:after="120" w:line="276" w:lineRule="auto"/>
              <w:ind w:left="714" w:hanging="357"/>
              <w:contextualSpacing w:val="0"/>
              <w:jc w:val="both"/>
              <w:rPr>
                <w:rFonts w:ascii="Verdana" w:hAnsi="Verdana" w:cs="Arial"/>
                <w:lang w:val="es-CO"/>
              </w:rPr>
            </w:pPr>
            <w:r w:rsidRPr="002E76E6">
              <w:rPr>
                <w:rFonts w:ascii="Verdana" w:hAnsi="Verdana" w:cs="Arial"/>
              </w:rPr>
              <w:t>Consejo de Estado. Sala de Consulta y Servicio Civil, Concepto de 8 de mayo de 2018. Radicación Número: 11001-03-06-000-2018-00095-00(2382). C.P. Álvaro Namén Vargas</w:t>
            </w:r>
          </w:p>
        </w:tc>
      </w:tr>
    </w:tbl>
    <w:p w14:paraId="23E048D9" w14:textId="77777777" w:rsidR="00647A80" w:rsidRPr="00647A80" w:rsidRDefault="00647A80" w:rsidP="0074251E">
      <w:pPr>
        <w:spacing w:after="0" w:line="276" w:lineRule="auto"/>
        <w:rPr>
          <w:rFonts w:ascii="Verdana" w:eastAsia="Calibri" w:hAnsi="Verdana" w:cs="Times New Roman"/>
          <w:b/>
          <w:bCs/>
        </w:rPr>
      </w:pPr>
    </w:p>
    <w:p w14:paraId="3FD02D60" w14:textId="5D23076A" w:rsidR="00162425" w:rsidRDefault="00162425" w:rsidP="0074251E">
      <w:pPr>
        <w:spacing w:after="0" w:line="276" w:lineRule="auto"/>
        <w:rPr>
          <w:rFonts w:ascii="Verdana" w:hAnsi="Verdana"/>
          <w:shd w:val="clear" w:color="auto" w:fill="FFFFFF"/>
        </w:rPr>
      </w:pPr>
      <w:r w:rsidRPr="00EA560F">
        <w:rPr>
          <w:rFonts w:ascii="Verdana" w:eastAsia="Calibri" w:hAnsi="Verdana" w:cs="Times New Roman"/>
          <w:b/>
          <w:bCs/>
        </w:rPr>
        <w:t>5. Doctrina de la Agencia Nacional de Contratación Pública:</w:t>
      </w:r>
    </w:p>
    <w:p w14:paraId="3069A381" w14:textId="47AE8020" w:rsidR="00162425" w:rsidRDefault="00926645" w:rsidP="00647A80">
      <w:pPr>
        <w:spacing w:after="0" w:line="276" w:lineRule="auto"/>
        <w:jc w:val="both"/>
        <w:rPr>
          <w:rFonts w:ascii="Verdana" w:hAnsi="Verdana"/>
        </w:rPr>
      </w:pPr>
      <w:r w:rsidRPr="002E76E6">
        <w:rPr>
          <w:rFonts w:ascii="Verdana" w:hAnsi="Verdana" w:cs="Arial"/>
          <w:shd w:val="clear" w:color="auto" w:fill="FFFFFF"/>
        </w:rPr>
        <w:t xml:space="preserve">Esta Subdirección se ha pronunciado sobre la finalidad y propósito de la Ley de Garantías Electorales en los Conceptos C-227 del 24 de mayo de 2021, C-396 del 13 de agosto de 2021, C-439 del 27 de agosto de 2021, C-481 del 9 de </w:t>
      </w:r>
      <w:r w:rsidRPr="002E76E6">
        <w:rPr>
          <w:rFonts w:ascii="Verdana" w:hAnsi="Verdana" w:cs="Arial"/>
          <w:shd w:val="clear" w:color="auto" w:fill="FFFFFF"/>
        </w:rPr>
        <w:lastRenderedPageBreak/>
        <w:t>septiembre de 2021, C-528 del 27 de septiembre de 2021, C-550 del 5 de octubre de 2021, C-523 del 10 de octubre de 2021, C-606 del 28 de octubre de 2021, C-614 del 2 de noviembre de 2021, C-634 del 11 de noviembre de 2021, C-636 del 16 de noviembre de 2021, C-681 del 7 de diciembre de 2021, C-686 del 21 de diciembre de 2021, C-054 del 22 de marzo de 2022, C-179 del 8 de abril de 2022, C-161 del 17 de mayo de 2022, C- 180 del 21 de marzo de 2025, C-696 del 11 de julio de 2025, C-708 del 15 de julio de 2025, C-1186 del 17 de septiembre de 2025, C-1350 del 1˚ de octubre de 2025, C-1430 del 12 de noviembre del 2025 y</w:t>
      </w:r>
      <w:r w:rsidRPr="002E76E6">
        <w:rPr>
          <w:rFonts w:ascii="Verdana" w:hAnsi="Verdana"/>
        </w:rPr>
        <w:t xml:space="preserve"> </w:t>
      </w:r>
      <w:r w:rsidRPr="002E76E6">
        <w:rPr>
          <w:rFonts w:ascii="Verdana" w:hAnsi="Verdana" w:cs="Arial"/>
          <w:shd w:val="clear" w:color="auto" w:fill="FFFFFF"/>
        </w:rPr>
        <w:t>C-1661 del 22 de diciembre del 2025</w:t>
      </w:r>
      <w:r>
        <w:rPr>
          <w:rFonts w:ascii="Verdana" w:hAnsi="Verdana" w:cs="Arial"/>
          <w:shd w:val="clear" w:color="auto" w:fill="FFFFFF"/>
        </w:rPr>
        <w:t xml:space="preserve">, </w:t>
      </w:r>
      <w:r w:rsidR="00162425" w:rsidRPr="008E2DC6">
        <w:rPr>
          <w:rFonts w:ascii="Verdana" w:eastAsia="Arial MT" w:hAnsi="Verdana"/>
          <w:lang w:val="es-ES"/>
        </w:rPr>
        <w:t>entre otros.</w:t>
      </w:r>
      <w:r w:rsidR="00162425" w:rsidRPr="008E2DC6">
        <w:rPr>
          <w:rFonts w:ascii="Verdana" w:hAnsi="Verdana"/>
        </w:rPr>
        <w:t xml:space="preserve"> </w:t>
      </w:r>
      <w:r w:rsidR="00162425" w:rsidRPr="008E2DC6">
        <w:rPr>
          <w:rFonts w:ascii="Verdana" w:hAnsi="Verdana"/>
          <w:shd w:val="clear" w:color="auto" w:fill="FFFFFF"/>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2" w:tgtFrame="_blank" w:tooltip="Dirección URL original: https://relatoria.colombiacompra.gov.co/. Haga clic o pulse si confía en este vínculo." w:history="1">
        <w:r w:rsidR="00162425" w:rsidRPr="00EA560F">
          <w:rPr>
            <w:rStyle w:val="Hipervnculo"/>
            <w:rFonts w:ascii="Verdana" w:hAnsi="Verdana" w:cs="Arial"/>
            <w:shd w:val="clear" w:color="auto" w:fill="FFFFFF"/>
          </w:rPr>
          <w:t>https://relatoria.colombiacompra.gov.co/</w:t>
        </w:r>
      </w:hyperlink>
    </w:p>
    <w:p w14:paraId="3CD4B339" w14:textId="77777777" w:rsidR="00E24A03" w:rsidRPr="00647A80" w:rsidRDefault="00E24A03" w:rsidP="0074251E">
      <w:pPr>
        <w:spacing w:after="0" w:line="276" w:lineRule="auto"/>
        <w:jc w:val="both"/>
        <w:rPr>
          <w:rFonts w:ascii="Verdana" w:hAnsi="Verdana"/>
          <w:shd w:val="clear" w:color="auto" w:fill="FFFFFF"/>
        </w:rPr>
      </w:pPr>
    </w:p>
    <w:p w14:paraId="5FB2475B" w14:textId="77777777" w:rsidR="00162425" w:rsidRPr="00EA560F" w:rsidRDefault="00162425" w:rsidP="00647A80">
      <w:pPr>
        <w:spacing w:after="0" w:line="276" w:lineRule="auto"/>
        <w:jc w:val="both"/>
        <w:rPr>
          <w:rFonts w:ascii="Verdana" w:hAnsi="Verdana"/>
        </w:rPr>
      </w:pPr>
      <w:r w:rsidRPr="00EA560F">
        <w:rPr>
          <w:rFonts w:ascii="Verdana" w:hAnsi="Verdana"/>
        </w:rPr>
        <w:t xml:space="preserve">La sostenibilidad no es una opción, es una obligación. Por ello, la Agencia Nacional de Contratación Pública –Colombia Compra Eficiente– te invita a realizar el </w:t>
      </w:r>
      <w:r w:rsidRPr="00697069">
        <w:rPr>
          <w:rFonts w:ascii="Verdana" w:hAnsi="Verdana"/>
          <w:b/>
          <w:bCs/>
        </w:rPr>
        <w:t>Curso de Contratación Pública Sostenible y Socialmente Responsable</w:t>
      </w:r>
      <w:r w:rsidRPr="00F926E2">
        <w:rPr>
          <w:rFonts w:ascii="Verdana" w:hAnsi="Verdana"/>
        </w:rPr>
        <w:t xml:space="preserve">, una herramienta clave para fortalecer las capacidades de todos los </w:t>
      </w:r>
      <w:r w:rsidRPr="00BE636B">
        <w:rPr>
          <w:rFonts w:ascii="Verdana" w:hAnsi="Verdana"/>
        </w:rPr>
        <w:t>compradores públicos, proveedores, servidores públicos v para generar mayor valor público. Accede al curso y aprende como implementar criterios sociales y ambientales en las diferentes etapas del proceso de contratación:</w:t>
      </w:r>
      <w:r w:rsidRPr="00BE636B">
        <w:rPr>
          <w:rFonts w:ascii="Verdana" w:hAnsi="Verdana"/>
        </w:rPr>
        <w:br/>
      </w:r>
      <w:hyperlink r:id="rId13" w:tgtFrame="_new" w:history="1">
        <w:r w:rsidRPr="00EA560F">
          <w:rPr>
            <w:rStyle w:val="Hipervnculo"/>
            <w:rFonts w:ascii="Verdana" w:hAnsi="Verdana"/>
          </w:rPr>
          <w:t>https://formacionvirtual.colombiacompra.gov.co/mod/page/view.php?id=3718</w:t>
        </w:r>
      </w:hyperlink>
    </w:p>
    <w:p w14:paraId="016EC069" w14:textId="77777777" w:rsidR="00E24A03" w:rsidRPr="00647A80" w:rsidRDefault="00E24A03" w:rsidP="0074251E">
      <w:pPr>
        <w:spacing w:after="0" w:line="276" w:lineRule="auto"/>
        <w:jc w:val="both"/>
        <w:rPr>
          <w:rFonts w:ascii="Verdana" w:hAnsi="Verdana"/>
        </w:rPr>
      </w:pPr>
    </w:p>
    <w:p w14:paraId="55685070" w14:textId="77777777" w:rsidR="00162425" w:rsidRPr="00EA560F" w:rsidRDefault="00162425" w:rsidP="00647A80">
      <w:pPr>
        <w:spacing w:after="0" w:line="276" w:lineRule="auto"/>
        <w:jc w:val="both"/>
        <w:rPr>
          <w:rFonts w:ascii="Verdana" w:hAnsi="Verdana"/>
        </w:rPr>
      </w:pPr>
      <w:r w:rsidRPr="00697069">
        <w:rPr>
          <w:rFonts w:ascii="Verdana" w:hAnsi="Verdana"/>
        </w:rPr>
        <w:t xml:space="preserve">De otro lado, te contamos que esta Agencia ha da un paso decisivo en la estandarización y modernización del </w:t>
      </w:r>
      <w:r w:rsidRPr="00F926E2">
        <w:rPr>
          <w:rFonts w:ascii="Verdana" w:hAnsi="Verdana"/>
          <w:b/>
          <w:bCs/>
        </w:rPr>
        <w:t>sector  so</w:t>
      </w:r>
      <w:r w:rsidRPr="00F74DD7">
        <w:rPr>
          <w:rFonts w:ascii="Verdana" w:hAnsi="Verdana"/>
          <w:b/>
          <w:bCs/>
        </w:rPr>
        <w:t>cial</w:t>
      </w:r>
      <w:r w:rsidRPr="00BE636B">
        <w:rPr>
          <w:rFonts w:ascii="Verdana" w:hAnsi="Verdana"/>
        </w:rPr>
        <w:t xml:space="preserve"> con la expedición de las </w:t>
      </w:r>
      <w:r w:rsidRPr="00BE636B">
        <w:rPr>
          <w:rFonts w:ascii="Verdana" w:hAnsi="Verdana"/>
          <w:b/>
          <w:bCs/>
        </w:rPr>
        <w:t>Resoluciones 539, 540, 541, 952 y 953 de 2025</w:t>
      </w:r>
      <w:r w:rsidRPr="00E460E3">
        <w:rPr>
          <w:rFonts w:ascii="Verdana" w:hAnsi="Verdana"/>
        </w:rPr>
        <w:t xml:space="preserve">, </w:t>
      </w:r>
      <w:r w:rsidRPr="002067DD">
        <w:rPr>
          <w:rFonts w:ascii="Verdana" w:hAnsi="Verdana"/>
          <w:b/>
          <w:bCs/>
        </w:rPr>
        <w:t>mediante las cuales adoptó Documentos Tipo</w:t>
      </w:r>
      <w:r w:rsidRPr="008E2DC6">
        <w:rPr>
          <w:rFonts w:ascii="Verdana" w:hAnsi="Verdana"/>
        </w:rPr>
        <w:t xml:space="preserve"> para las modalidades de selección de</w:t>
      </w:r>
      <w:r w:rsidRPr="008E2DC6">
        <w:rPr>
          <w:rFonts w:ascii="Verdana" w:hAnsi="Verdana"/>
          <w:b/>
          <w:bCs/>
        </w:rPr>
        <w:t xml:space="preserve"> licitación pública (versión 2), selección abreviada de menor cuantía, mínima cuantía, consultoría e interventoría</w:t>
      </w:r>
      <w:r w:rsidRPr="008E2DC6">
        <w:rPr>
          <w:rFonts w:ascii="Verdana" w:hAnsi="Verdana"/>
        </w:rPr>
        <w:t xml:space="preserve">, promoviendo procesos más transparentes, eficientes  competitivos y sostenibles en sectores estratégicos como educación, salud, cultura, recreación, deporte, institucional y vivienda. Consulta y descarga los documentos aquí: </w:t>
      </w:r>
      <w:hyperlink r:id="rId14" w:tgtFrame="_new" w:history="1">
        <w:r w:rsidRPr="00EA560F">
          <w:rPr>
            <w:rStyle w:val="Hipervnculo"/>
            <w:rFonts w:ascii="Verdana" w:hAnsi="Verdana"/>
          </w:rPr>
          <w:t>https://www.colombiacompra.gov.co/normativa-y-relatoria/documentos-tipo</w:t>
        </w:r>
      </w:hyperlink>
    </w:p>
    <w:p w14:paraId="518941AF" w14:textId="77777777" w:rsidR="00E24A03" w:rsidRPr="00647A80" w:rsidRDefault="00E24A03" w:rsidP="0074251E">
      <w:pPr>
        <w:spacing w:after="0" w:line="276" w:lineRule="auto"/>
        <w:jc w:val="both"/>
        <w:rPr>
          <w:rFonts w:ascii="Verdana" w:hAnsi="Verdana"/>
        </w:rPr>
      </w:pPr>
    </w:p>
    <w:p w14:paraId="1DE2C57C" w14:textId="77777777" w:rsidR="00162425" w:rsidRDefault="00162425" w:rsidP="00647A80">
      <w:pPr>
        <w:spacing w:after="0" w:line="276" w:lineRule="auto"/>
        <w:jc w:val="both"/>
        <w:rPr>
          <w:rFonts w:ascii="Verdana" w:hAnsi="Verdana"/>
        </w:rPr>
      </w:pPr>
      <w:r w:rsidRPr="00EA560F">
        <w:rPr>
          <w:rFonts w:ascii="Verdana" w:hAnsi="Verdana"/>
        </w:rPr>
        <w:lastRenderedPageBreak/>
        <w:t>Si quieres conocer más sobre la aplicación de Documentos Tipo puedes consultar la última versión de l</w:t>
      </w:r>
      <w:r w:rsidRPr="00F926E2">
        <w:rPr>
          <w:rFonts w:ascii="Verdana" w:hAnsi="Verdana"/>
        </w:rPr>
        <w:t xml:space="preserve">a </w:t>
      </w:r>
      <w:r w:rsidRPr="00F74DD7">
        <w:rPr>
          <w:rFonts w:ascii="Verdana" w:hAnsi="Verdana"/>
          <w:b/>
          <w:bCs/>
        </w:rPr>
        <w:t>Guía para la comprensión e implementación de los Documentos Tipo de obra pública de infraestructura de transporte</w:t>
      </w:r>
      <w:r w:rsidRPr="00BE636B">
        <w:rPr>
          <w:rFonts w:ascii="Verdana" w:hAnsi="Verdana"/>
        </w:rPr>
        <w:t>. En esta actualización se incorporaron orientaciones prácticas dirigidas a entidades públicas, proveedores, organismos de control y demás in</w:t>
      </w:r>
      <w:r w:rsidRPr="00323DD8">
        <w:rPr>
          <w:rFonts w:ascii="Verdana" w:hAnsi="Verdana"/>
        </w:rPr>
        <w:t xml:space="preserve">teresados, con el propósito de facilitar la adecuada implementación de estos instrumentos en los procesos contractuales. </w:t>
      </w:r>
      <w:r w:rsidRPr="008E2DC6">
        <w:rPr>
          <w:rFonts w:ascii="Verdana" w:hAnsi="Verdana"/>
        </w:rPr>
        <w:t>Además se incluyeron lineamientos que orientan la implementación de los criterios ambientales y sociales incluidos en los documentos tipo: Consulta la guía aquí:</w:t>
      </w:r>
      <w:r w:rsidRPr="008E2DC6">
        <w:rPr>
          <w:rFonts w:ascii="Verdana" w:hAnsi="Verdana"/>
        </w:rPr>
        <w:br/>
      </w:r>
      <w:hyperlink r:id="rId15" w:tgtFrame="_new" w:history="1">
        <w:r w:rsidRPr="00EA560F">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6CECFCFA" w14:textId="77777777" w:rsidR="00E24A03" w:rsidRPr="00647A80" w:rsidRDefault="00E24A03" w:rsidP="0074251E">
      <w:pPr>
        <w:spacing w:after="0" w:line="276" w:lineRule="auto"/>
        <w:jc w:val="both"/>
        <w:rPr>
          <w:rFonts w:ascii="Verdana" w:hAnsi="Verdana"/>
        </w:rPr>
      </w:pPr>
    </w:p>
    <w:p w14:paraId="1FBEF5FF" w14:textId="77777777" w:rsidR="00162425" w:rsidRPr="00F07E96" w:rsidRDefault="00162425" w:rsidP="0074251E">
      <w:pPr>
        <w:spacing w:after="0" w:line="276" w:lineRule="auto"/>
        <w:jc w:val="both"/>
        <w:rPr>
          <w:rFonts w:ascii="Verdana" w:hAnsi="Verdana"/>
        </w:rPr>
      </w:pPr>
      <w:r w:rsidRPr="00EA560F">
        <w:rPr>
          <w:rFonts w:ascii="Verdana" w:hAnsi="Verdana"/>
        </w:rPr>
        <w:t>Aprovechamos la oportunidad para manifestar la entera disposición de la Agencia Nacional de Contratación Pública –Colombia Compra Eficiente– para atender las peticiones o solicitudes, así como para brindar el apoyo que se requiera en el marco de nuestras funciones a través</w:t>
      </w:r>
      <w:r w:rsidRPr="00697069">
        <w:rPr>
          <w:rFonts w:ascii="Verdana" w:hAnsi="Verdana"/>
        </w:rPr>
        <w:t xml:space="preserve"> de nuestros diferentes canales de atención: </w:t>
      </w:r>
    </w:p>
    <w:p w14:paraId="7BF00A34" w14:textId="77777777" w:rsidR="00162425" w:rsidRPr="00286DDE" w:rsidRDefault="00162425" w:rsidP="00162425">
      <w:pPr>
        <w:numPr>
          <w:ilvl w:val="0"/>
          <w:numId w:val="15"/>
        </w:numPr>
        <w:spacing w:after="0" w:line="276" w:lineRule="auto"/>
        <w:jc w:val="both"/>
        <w:rPr>
          <w:rFonts w:ascii="Verdana" w:hAnsi="Verdana"/>
        </w:rPr>
      </w:pPr>
      <w:r w:rsidRPr="00286DDE">
        <w:rPr>
          <w:rFonts w:ascii="Verdana" w:hAnsi="Verdana"/>
        </w:rPr>
        <w:t>Línea nacional gratuita o servicio a la ciudadanía: 01800 0520808</w:t>
      </w:r>
    </w:p>
    <w:p w14:paraId="42C47389" w14:textId="77777777" w:rsidR="00162425" w:rsidRPr="00286DDE" w:rsidRDefault="00162425" w:rsidP="00162425">
      <w:pPr>
        <w:numPr>
          <w:ilvl w:val="0"/>
          <w:numId w:val="15"/>
        </w:numPr>
        <w:spacing w:after="0" w:line="276" w:lineRule="auto"/>
        <w:jc w:val="both"/>
        <w:rPr>
          <w:rFonts w:ascii="Verdana" w:hAnsi="Verdana"/>
        </w:rPr>
      </w:pPr>
      <w:r w:rsidRPr="00286DDE">
        <w:rPr>
          <w:rFonts w:ascii="Verdana" w:hAnsi="Verdana"/>
        </w:rPr>
        <w:t>Línea en Bogotá (Mesa de servicio): +57 601 7456788</w:t>
      </w:r>
    </w:p>
    <w:p w14:paraId="05913859" w14:textId="77777777" w:rsidR="00162425" w:rsidRPr="00286DDE" w:rsidRDefault="00162425" w:rsidP="00162425">
      <w:pPr>
        <w:numPr>
          <w:ilvl w:val="0"/>
          <w:numId w:val="15"/>
        </w:numPr>
        <w:spacing w:after="0" w:line="276" w:lineRule="auto"/>
        <w:jc w:val="both"/>
        <w:rPr>
          <w:rFonts w:ascii="Verdana" w:hAnsi="Verdana"/>
        </w:rPr>
      </w:pPr>
      <w:r w:rsidRPr="00286DDE">
        <w:rPr>
          <w:rFonts w:ascii="Verdana" w:hAnsi="Verdana"/>
        </w:rPr>
        <w:t>Línea de servicio y atención al ciudadano: +57 601 7956600</w:t>
      </w:r>
    </w:p>
    <w:p w14:paraId="2F2B5F30" w14:textId="77777777" w:rsidR="00162425" w:rsidRPr="004E312D" w:rsidRDefault="00162425" w:rsidP="0074251E">
      <w:pPr>
        <w:numPr>
          <w:ilvl w:val="0"/>
          <w:numId w:val="15"/>
        </w:numPr>
        <w:spacing w:after="0" w:line="276" w:lineRule="auto"/>
        <w:jc w:val="both"/>
        <w:rPr>
          <w:rFonts w:ascii="Verdana" w:hAnsi="Verdana"/>
        </w:rPr>
      </w:pPr>
      <w:r w:rsidRPr="004E312D">
        <w:rPr>
          <w:rFonts w:ascii="Verdana" w:hAnsi="Verdana"/>
        </w:rPr>
        <w:t xml:space="preserve">Página web: </w:t>
      </w:r>
      <w:hyperlink r:id="rId16" w:history="1">
        <w:r w:rsidRPr="004E312D">
          <w:rPr>
            <w:rStyle w:val="Hipervnculo"/>
            <w:rFonts w:ascii="Verdana" w:hAnsi="Verdana"/>
          </w:rPr>
          <w:t>www.colombiacompra.gov.co</w:t>
        </w:r>
      </w:hyperlink>
    </w:p>
    <w:p w14:paraId="708B75DC" w14:textId="77777777" w:rsidR="00E24A03" w:rsidRDefault="00E24A03" w:rsidP="00647A80">
      <w:pPr>
        <w:spacing w:after="0" w:line="276" w:lineRule="auto"/>
        <w:jc w:val="both"/>
        <w:rPr>
          <w:rFonts w:ascii="Verdana" w:hAnsi="Verdana"/>
        </w:rPr>
      </w:pPr>
    </w:p>
    <w:p w14:paraId="2DEF7866" w14:textId="6A5C4337" w:rsidR="00162425" w:rsidRDefault="00162425" w:rsidP="0074251E">
      <w:pPr>
        <w:spacing w:after="0" w:line="276" w:lineRule="auto"/>
        <w:jc w:val="both"/>
        <w:rPr>
          <w:rFonts w:ascii="Verdana" w:hAnsi="Verdana"/>
        </w:rPr>
      </w:pPr>
      <w:r w:rsidRPr="00EA560F">
        <w:rPr>
          <w:rFonts w:ascii="Verdana" w:hAnsi="Verdana"/>
        </w:rPr>
        <w:t xml:space="preserve">Por último, lo invitamos a seguirnos en las redes sociales en las cuales se difunde información institucional: </w:t>
      </w:r>
    </w:p>
    <w:p w14:paraId="56BA95BE" w14:textId="77777777" w:rsidR="00E24A03" w:rsidRDefault="00E24A03" w:rsidP="00647A80">
      <w:pPr>
        <w:spacing w:after="0" w:line="276" w:lineRule="auto"/>
        <w:jc w:val="both"/>
        <w:rPr>
          <w:rFonts w:ascii="Verdana" w:hAnsi="Verdana"/>
        </w:rPr>
      </w:pPr>
    </w:p>
    <w:p w14:paraId="56EAB13A" w14:textId="43816989" w:rsidR="00162425" w:rsidRPr="00286DDE" w:rsidRDefault="00162425" w:rsidP="00162425">
      <w:pPr>
        <w:spacing w:after="0" w:line="276" w:lineRule="auto"/>
        <w:jc w:val="both"/>
        <w:rPr>
          <w:rFonts w:ascii="Verdana" w:hAnsi="Verdana"/>
        </w:rPr>
      </w:pPr>
      <w:r w:rsidRPr="00286DDE">
        <w:rPr>
          <w:rFonts w:ascii="Verdana" w:hAnsi="Verdana"/>
        </w:rPr>
        <w:t xml:space="preserve">Twitter: </w:t>
      </w:r>
      <w:r w:rsidRPr="00286DDE">
        <w:rPr>
          <w:rStyle w:val="Hipervnculo"/>
          <w:rFonts w:ascii="Verdana" w:hAnsi="Verdana"/>
        </w:rPr>
        <w:t>@colombiacompra</w:t>
      </w:r>
      <w:r w:rsidRPr="00286DDE">
        <w:rPr>
          <w:rFonts w:ascii="Verdana" w:hAnsi="Verdana"/>
        </w:rPr>
        <w:t xml:space="preserve"> </w:t>
      </w:r>
    </w:p>
    <w:p w14:paraId="049DE58D" w14:textId="77777777" w:rsidR="00162425" w:rsidRPr="00286DDE" w:rsidRDefault="00162425" w:rsidP="00162425">
      <w:pPr>
        <w:spacing w:after="0" w:line="276" w:lineRule="auto"/>
        <w:jc w:val="both"/>
        <w:rPr>
          <w:rFonts w:ascii="Verdana" w:hAnsi="Verdana"/>
        </w:rPr>
      </w:pPr>
      <w:r w:rsidRPr="00286DDE">
        <w:rPr>
          <w:rFonts w:ascii="Verdana" w:hAnsi="Verdana"/>
        </w:rPr>
        <w:t xml:space="preserve">Facebook: </w:t>
      </w:r>
      <w:proofErr w:type="spellStart"/>
      <w:r w:rsidRPr="00286DDE">
        <w:rPr>
          <w:rStyle w:val="Hipervnculo"/>
          <w:rFonts w:ascii="Verdana" w:hAnsi="Verdana"/>
        </w:rPr>
        <w:t>ColombiaCompraEficiente</w:t>
      </w:r>
      <w:proofErr w:type="spellEnd"/>
    </w:p>
    <w:p w14:paraId="387BFFC8" w14:textId="77777777" w:rsidR="00162425" w:rsidRDefault="00162425" w:rsidP="0074251E">
      <w:pPr>
        <w:spacing w:after="0" w:line="276" w:lineRule="auto"/>
        <w:jc w:val="both"/>
        <w:rPr>
          <w:rFonts w:ascii="Verdana" w:eastAsia="Calibri" w:hAnsi="Verdana" w:cs="Times New Roman"/>
        </w:rPr>
      </w:pPr>
      <w:r w:rsidRPr="00286DDE">
        <w:rPr>
          <w:rFonts w:ascii="Verdana" w:hAnsi="Verdana"/>
        </w:rPr>
        <w:t xml:space="preserve">LinkedIn: </w:t>
      </w:r>
      <w:r w:rsidRPr="00286DDE">
        <w:rPr>
          <w:rStyle w:val="Hipervnculo"/>
          <w:rFonts w:ascii="Verdana" w:hAnsi="Verdana"/>
        </w:rPr>
        <w:t>Agencia Nacional de Contratación Pública - Colombia Compra Eficiente</w:t>
      </w:r>
      <w:r w:rsidRPr="00286DDE">
        <w:rPr>
          <w:rFonts w:ascii="Verdana" w:hAnsi="Verdana"/>
        </w:rPr>
        <w:t xml:space="preserve"> Instagram: </w:t>
      </w:r>
      <w:r w:rsidRPr="00286DDE">
        <w:rPr>
          <w:rStyle w:val="Hipervnculo"/>
          <w:rFonts w:ascii="Verdana" w:hAnsi="Verdana"/>
        </w:rPr>
        <w:t>@colombiacompraeficiente_cce</w:t>
      </w:r>
    </w:p>
    <w:p w14:paraId="315822E2" w14:textId="77777777" w:rsidR="00E24A03" w:rsidRDefault="00E24A03" w:rsidP="00647A80">
      <w:pPr>
        <w:spacing w:after="0" w:line="276" w:lineRule="auto"/>
        <w:jc w:val="both"/>
        <w:rPr>
          <w:rFonts w:ascii="Verdana" w:eastAsia="Calibri" w:hAnsi="Verdana" w:cs="Times New Roman"/>
        </w:rPr>
      </w:pPr>
    </w:p>
    <w:p w14:paraId="08105FEB" w14:textId="15106750" w:rsidR="00162425" w:rsidRPr="00BE636B" w:rsidRDefault="00162425" w:rsidP="00162425">
      <w:pPr>
        <w:spacing w:after="0" w:line="276" w:lineRule="auto"/>
        <w:jc w:val="both"/>
        <w:rPr>
          <w:rFonts w:ascii="Verdana" w:eastAsia="Calibri" w:hAnsi="Verdana" w:cs="Times New Roman"/>
          <w:bCs/>
        </w:rPr>
      </w:pPr>
      <w:r w:rsidRPr="00EA560F">
        <w:rPr>
          <w:rFonts w:ascii="Verdana" w:eastAsia="Calibri" w:hAnsi="Verdana" w:cs="Times New Roman"/>
        </w:rPr>
        <w:t>Este concepto tiene el alcance previsto en el artículo 28 del Código de Procedimiento Administrativo y de lo Cont</w:t>
      </w:r>
      <w:r w:rsidRPr="00F926E2">
        <w:rPr>
          <w:rFonts w:ascii="Verdana" w:eastAsia="Calibri" w:hAnsi="Verdana" w:cs="Times New Roman"/>
        </w:rPr>
        <w:t>encioso Administrativo y las expresiones utilizadas con mayúscula inicial deben ser entendidas con el significado que les otorga el artículo 2.2.1.1.1.3.1 del Decreto 1082 de 2015.</w:t>
      </w:r>
    </w:p>
    <w:p w14:paraId="773C800D" w14:textId="77777777" w:rsidR="00162425" w:rsidRPr="008E2DC6" w:rsidRDefault="00162425" w:rsidP="00162425">
      <w:pPr>
        <w:spacing w:after="0" w:line="276" w:lineRule="auto"/>
        <w:jc w:val="both"/>
        <w:rPr>
          <w:rFonts w:ascii="Verdana" w:eastAsia="Calibri" w:hAnsi="Verdana" w:cs="Times New Roman"/>
        </w:rPr>
      </w:pPr>
    </w:p>
    <w:p w14:paraId="67097013" w14:textId="3271B5A8" w:rsidR="00162425" w:rsidRDefault="004451C0" w:rsidP="00162425">
      <w:pPr>
        <w:spacing w:after="0" w:line="276" w:lineRule="auto"/>
        <w:jc w:val="both"/>
        <w:rPr>
          <w:rFonts w:ascii="Verdana" w:eastAsia="Calibri" w:hAnsi="Verdana" w:cs="Times New Roman"/>
        </w:rPr>
      </w:pPr>
      <w:r w:rsidRPr="004451C0">
        <w:rPr>
          <w:rFonts w:ascii="Verdana" w:eastAsia="Calibri" w:hAnsi="Verdana" w:cs="Times New Roman"/>
        </w:rPr>
        <w:drawing>
          <wp:anchor distT="0" distB="0" distL="114300" distR="114300" simplePos="0" relativeHeight="251660288" behindDoc="1" locked="0" layoutInCell="1" allowOverlap="1" wp14:anchorId="35F00ECC" wp14:editId="4F52BBF5">
            <wp:simplePos x="0" y="0"/>
            <wp:positionH relativeFrom="margin">
              <wp:align>center</wp:align>
            </wp:positionH>
            <wp:positionV relativeFrom="paragraph">
              <wp:posOffset>48260</wp:posOffset>
            </wp:positionV>
            <wp:extent cx="3771900" cy="1400175"/>
            <wp:effectExtent l="0" t="0" r="0" b="9525"/>
            <wp:wrapNone/>
            <wp:docPr id="140305677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71900" cy="1400175"/>
                    </a:xfrm>
                    <a:prstGeom prst="rect">
                      <a:avLst/>
                    </a:prstGeom>
                    <a:noFill/>
                    <a:ln>
                      <a:noFill/>
                    </a:ln>
                  </pic:spPr>
                </pic:pic>
              </a:graphicData>
            </a:graphic>
          </wp:anchor>
        </w:drawing>
      </w:r>
      <w:r w:rsidR="00162425" w:rsidRPr="008E2DC6">
        <w:rPr>
          <w:rFonts w:ascii="Verdana" w:eastAsia="Calibri" w:hAnsi="Verdana" w:cs="Times New Roman"/>
        </w:rPr>
        <w:t xml:space="preserve">Atentamente,  </w:t>
      </w:r>
    </w:p>
    <w:p w14:paraId="55746D91" w14:textId="0CC9BD59" w:rsidR="004451C0" w:rsidRPr="004451C0" w:rsidRDefault="004451C0" w:rsidP="004451C0">
      <w:pPr>
        <w:spacing w:after="0" w:line="276" w:lineRule="auto"/>
        <w:jc w:val="both"/>
        <w:rPr>
          <w:rFonts w:ascii="Verdana" w:eastAsia="Calibri" w:hAnsi="Verdana" w:cs="Times New Roman"/>
        </w:rPr>
      </w:pPr>
    </w:p>
    <w:p w14:paraId="701D84C2" w14:textId="0CC5EC81" w:rsidR="00162425" w:rsidRPr="008E2DC6" w:rsidRDefault="00162425" w:rsidP="00162425">
      <w:pPr>
        <w:spacing w:after="0" w:line="276" w:lineRule="auto"/>
        <w:jc w:val="both"/>
        <w:rPr>
          <w:rFonts w:ascii="Verdana" w:eastAsia="Calibri" w:hAnsi="Verdana" w:cs="Times New Roman"/>
        </w:rPr>
      </w:pPr>
    </w:p>
    <w:p w14:paraId="377AE9FB" w14:textId="02A24626" w:rsidR="00162425" w:rsidRPr="00CE156C" w:rsidRDefault="00162425" w:rsidP="00162425">
      <w:pPr>
        <w:spacing w:after="0" w:line="276" w:lineRule="auto"/>
        <w:jc w:val="both"/>
        <w:rPr>
          <w:rFonts w:ascii="Verdana" w:eastAsia="Calibri" w:hAnsi="Verdana" w:cs="Times New Roman"/>
        </w:rPr>
      </w:pPr>
    </w:p>
    <w:p w14:paraId="016F246B" w14:textId="77777777" w:rsidR="00162425" w:rsidRPr="00F07E96" w:rsidRDefault="00162425" w:rsidP="00162425">
      <w:pPr>
        <w:spacing w:after="0" w:line="276" w:lineRule="auto"/>
        <w:jc w:val="both"/>
        <w:rPr>
          <w:rFonts w:ascii="Verdana" w:eastAsia="Calibri" w:hAnsi="Verdana" w:cs="Times New Roman"/>
        </w:rPr>
      </w:pPr>
    </w:p>
    <w:p w14:paraId="1FD4D55F" w14:textId="629BE9C4" w:rsidR="00162425" w:rsidRPr="00F926E2" w:rsidRDefault="00162425" w:rsidP="00162425">
      <w:pPr>
        <w:spacing w:after="0" w:line="276" w:lineRule="auto"/>
        <w:jc w:val="both"/>
        <w:rPr>
          <w:rFonts w:ascii="Verdana" w:eastAsia="Calibri" w:hAnsi="Verdana" w:cs="Times New Roman"/>
        </w:rPr>
      </w:pPr>
    </w:p>
    <w:p w14:paraId="430A4F57" w14:textId="77777777" w:rsidR="00162425" w:rsidRPr="00BE636B" w:rsidRDefault="00162425" w:rsidP="00162425">
      <w:pPr>
        <w:spacing w:after="0" w:line="276" w:lineRule="auto"/>
        <w:jc w:val="both"/>
        <w:rPr>
          <w:rFonts w:ascii="Verdana" w:eastAsia="Calibri" w:hAnsi="Verdana" w:cs="Times New Roman"/>
        </w:rPr>
      </w:pPr>
    </w:p>
    <w:p w14:paraId="7D9299ED" w14:textId="77777777" w:rsidR="00162425" w:rsidRPr="00E460E3" w:rsidRDefault="00162425" w:rsidP="00162425">
      <w:pPr>
        <w:spacing w:after="0" w:line="276" w:lineRule="auto"/>
        <w:jc w:val="both"/>
        <w:rPr>
          <w:rFonts w:ascii="Verdana" w:eastAsia="Calibri" w:hAnsi="Verdana" w:cs="Times New Roman"/>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162425" w:rsidRPr="00CE156C" w14:paraId="523A1E0C" w14:textId="77777777" w:rsidTr="003E67EC">
        <w:trPr>
          <w:trHeight w:val="315"/>
        </w:trPr>
        <w:tc>
          <w:tcPr>
            <w:tcW w:w="893" w:type="dxa"/>
            <w:vAlign w:val="center"/>
            <w:hideMark/>
          </w:tcPr>
          <w:p w14:paraId="49C85820" w14:textId="77777777" w:rsidR="00162425" w:rsidRPr="008E2DC6" w:rsidRDefault="00162425" w:rsidP="003E67EC">
            <w:pPr>
              <w:spacing w:line="276" w:lineRule="auto"/>
              <w:rPr>
                <w:rFonts w:ascii="Verdana" w:eastAsia="Times New Roman" w:hAnsi="Verdana" w:cs="Arial"/>
                <w:color w:val="000000"/>
                <w:sz w:val="16"/>
                <w:szCs w:val="16"/>
                <w:lang w:eastAsia="es-ES"/>
              </w:rPr>
            </w:pPr>
            <w:r w:rsidRPr="008E2DC6">
              <w:rPr>
                <w:rFonts w:ascii="Verdana" w:eastAsia="Times New Roman" w:hAnsi="Verdana" w:cs="Arial"/>
                <w:color w:val="000000"/>
                <w:sz w:val="16"/>
                <w:szCs w:val="16"/>
                <w:lang w:eastAsia="es-ES"/>
              </w:rPr>
              <w:t>Elaboró:</w:t>
            </w:r>
          </w:p>
        </w:tc>
        <w:tc>
          <w:tcPr>
            <w:tcW w:w="5628" w:type="dxa"/>
            <w:tcBorders>
              <w:top w:val="nil"/>
              <w:left w:val="nil"/>
              <w:bottom w:val="dotted" w:sz="4" w:space="0" w:color="7F7F7F"/>
              <w:right w:val="nil"/>
            </w:tcBorders>
            <w:vAlign w:val="center"/>
            <w:hideMark/>
          </w:tcPr>
          <w:p w14:paraId="25E9A9FB" w14:textId="77777777" w:rsidR="00162425" w:rsidRPr="00CE156C" w:rsidRDefault="00162425" w:rsidP="003E67EC">
            <w:pPr>
              <w:spacing w:line="276" w:lineRule="auto"/>
              <w:rPr>
                <w:rFonts w:ascii="Verdana" w:eastAsia="Arial" w:hAnsi="Verdana" w:cs="Arial"/>
                <w:color w:val="000000"/>
                <w:sz w:val="16"/>
                <w:szCs w:val="16"/>
              </w:rPr>
            </w:pPr>
            <w:r w:rsidRPr="00CE156C">
              <w:rPr>
                <w:rFonts w:ascii="Verdana" w:eastAsia="Arial" w:hAnsi="Verdana" w:cs="Arial"/>
                <w:color w:val="000000"/>
                <w:sz w:val="16"/>
                <w:szCs w:val="16"/>
              </w:rPr>
              <w:t>Ángela María Olmos Andrade</w:t>
            </w:r>
          </w:p>
          <w:p w14:paraId="102ABA4F" w14:textId="77777777" w:rsidR="00162425" w:rsidRPr="00CE156C" w:rsidRDefault="00162425" w:rsidP="003E67EC">
            <w:pPr>
              <w:spacing w:line="276" w:lineRule="auto"/>
              <w:rPr>
                <w:rFonts w:ascii="Verdana" w:eastAsia="Arial" w:hAnsi="Verdana" w:cs="Arial"/>
                <w:color w:val="000000"/>
                <w:sz w:val="16"/>
                <w:szCs w:val="16"/>
              </w:rPr>
            </w:pPr>
            <w:r w:rsidRPr="00CE156C">
              <w:rPr>
                <w:rFonts w:ascii="Verdana" w:eastAsia="Arial" w:hAnsi="Verdana" w:cs="Arial"/>
                <w:color w:val="000000"/>
                <w:sz w:val="16"/>
                <w:szCs w:val="16"/>
              </w:rPr>
              <w:t>Analista T2 - 02 de la Subdirección de Gestión Contractual</w:t>
            </w:r>
          </w:p>
        </w:tc>
      </w:tr>
      <w:tr w:rsidR="00162425" w:rsidRPr="00CE156C" w14:paraId="1CF072BD" w14:textId="77777777" w:rsidTr="003E67EC">
        <w:trPr>
          <w:trHeight w:val="330"/>
        </w:trPr>
        <w:tc>
          <w:tcPr>
            <w:tcW w:w="893" w:type="dxa"/>
            <w:vAlign w:val="center"/>
            <w:hideMark/>
          </w:tcPr>
          <w:p w14:paraId="1A9F98CA" w14:textId="77777777" w:rsidR="00162425" w:rsidRPr="00EA560F" w:rsidRDefault="00162425" w:rsidP="003E67EC">
            <w:pPr>
              <w:spacing w:line="276" w:lineRule="auto"/>
              <w:rPr>
                <w:rFonts w:ascii="Verdana" w:eastAsia="Times New Roman" w:hAnsi="Verdana" w:cs="Arial"/>
                <w:color w:val="000000"/>
                <w:sz w:val="16"/>
                <w:szCs w:val="16"/>
                <w:lang w:eastAsia="es-ES"/>
              </w:rPr>
            </w:pPr>
            <w:r w:rsidRPr="00CE156C">
              <w:rPr>
                <w:rFonts w:ascii="Verdana" w:eastAsia="Times New Roman" w:hAnsi="Verdana" w:cs="Arial"/>
                <w:color w:val="000000"/>
                <w:sz w:val="16"/>
                <w:szCs w:val="16"/>
                <w:lang w:eastAsia="es-ES"/>
              </w:rPr>
              <w:t>Revisó:</w:t>
            </w:r>
          </w:p>
        </w:tc>
        <w:tc>
          <w:tcPr>
            <w:tcW w:w="5628" w:type="dxa"/>
            <w:tcBorders>
              <w:top w:val="dotted" w:sz="4" w:space="0" w:color="7F7F7F"/>
              <w:left w:val="nil"/>
              <w:bottom w:val="dotted" w:sz="4" w:space="0" w:color="7F7F7F"/>
              <w:right w:val="nil"/>
            </w:tcBorders>
            <w:vAlign w:val="center"/>
            <w:hideMark/>
          </w:tcPr>
          <w:p w14:paraId="77B53C78" w14:textId="77777777" w:rsidR="00162425" w:rsidRPr="00F74DD7" w:rsidRDefault="00162425" w:rsidP="003E67EC">
            <w:pPr>
              <w:spacing w:line="276" w:lineRule="auto"/>
              <w:rPr>
                <w:rFonts w:ascii="Verdana" w:eastAsia="Times New Roman" w:hAnsi="Verdana" w:cs="Arial"/>
                <w:color w:val="000000"/>
                <w:sz w:val="16"/>
                <w:szCs w:val="16"/>
              </w:rPr>
            </w:pPr>
            <w:r w:rsidRPr="00F926E2">
              <w:rPr>
                <w:rFonts w:ascii="Verdana" w:eastAsia="Times New Roman" w:hAnsi="Verdana" w:cs="Arial"/>
                <w:color w:val="000000"/>
                <w:sz w:val="16"/>
                <w:szCs w:val="16"/>
              </w:rPr>
              <w:t>Diana Lucia Saavedra Castañeda</w:t>
            </w:r>
          </w:p>
          <w:p w14:paraId="7EDDC58B" w14:textId="77777777" w:rsidR="00162425" w:rsidRPr="002067DD" w:rsidRDefault="00162425" w:rsidP="003E67EC">
            <w:pPr>
              <w:spacing w:line="276" w:lineRule="auto"/>
              <w:textAlignment w:val="baseline"/>
              <w:rPr>
                <w:rFonts w:ascii="Verdana" w:eastAsia="Times New Roman" w:hAnsi="Verdana" w:cs="Arial"/>
                <w:color w:val="000000"/>
                <w:sz w:val="16"/>
                <w:szCs w:val="16"/>
              </w:rPr>
            </w:pPr>
            <w:r w:rsidRPr="00BE636B">
              <w:rPr>
                <w:rFonts w:ascii="Verdana" w:eastAsia="Times New Roman" w:hAnsi="Verdana" w:cs="Arial"/>
                <w:color w:val="000000"/>
                <w:sz w:val="16"/>
                <w:szCs w:val="16"/>
              </w:rPr>
              <w:t>Contratista</w:t>
            </w:r>
            <w:r w:rsidRPr="00E460E3">
              <w:rPr>
                <w:rFonts w:ascii="Verdana" w:eastAsia="Times New Roman" w:hAnsi="Verdana" w:cs="Arial"/>
                <w:color w:val="000000"/>
                <w:sz w:val="16"/>
                <w:szCs w:val="16"/>
              </w:rPr>
              <w:t xml:space="preserve"> de la Subdirección de Gestión Contractual</w:t>
            </w:r>
          </w:p>
        </w:tc>
      </w:tr>
      <w:tr w:rsidR="00162425" w:rsidRPr="00CE156C" w14:paraId="56010D3E" w14:textId="77777777" w:rsidTr="003E67EC">
        <w:trPr>
          <w:trHeight w:val="300"/>
        </w:trPr>
        <w:tc>
          <w:tcPr>
            <w:tcW w:w="893" w:type="dxa"/>
            <w:vAlign w:val="center"/>
            <w:hideMark/>
          </w:tcPr>
          <w:p w14:paraId="4F6E7F45" w14:textId="77777777" w:rsidR="00162425" w:rsidRPr="00EA560F" w:rsidRDefault="00162425" w:rsidP="003E67EC">
            <w:pPr>
              <w:spacing w:line="276" w:lineRule="auto"/>
              <w:rPr>
                <w:rFonts w:ascii="Verdana" w:eastAsia="Times New Roman" w:hAnsi="Verdana" w:cs="Arial"/>
                <w:color w:val="000000"/>
                <w:sz w:val="16"/>
                <w:szCs w:val="16"/>
                <w:lang w:eastAsia="es-ES"/>
              </w:rPr>
            </w:pPr>
            <w:r w:rsidRPr="00CE156C">
              <w:rPr>
                <w:rFonts w:ascii="Verdana" w:eastAsia="Times New Roman" w:hAnsi="Verdana" w:cs="Arial"/>
                <w:color w:val="000000"/>
                <w:sz w:val="16"/>
                <w:szCs w:val="16"/>
                <w:lang w:eastAsia="es-ES"/>
              </w:rPr>
              <w:t>Aprobó:</w:t>
            </w:r>
          </w:p>
        </w:tc>
        <w:tc>
          <w:tcPr>
            <w:tcW w:w="5628" w:type="dxa"/>
            <w:tcBorders>
              <w:top w:val="dotted" w:sz="4" w:space="0" w:color="7F7F7F"/>
              <w:left w:val="nil"/>
              <w:bottom w:val="dotted" w:sz="4" w:space="0" w:color="7F7F7F"/>
              <w:right w:val="nil"/>
            </w:tcBorders>
            <w:vAlign w:val="center"/>
            <w:hideMark/>
          </w:tcPr>
          <w:p w14:paraId="5D156643" w14:textId="77777777" w:rsidR="00162425" w:rsidRPr="00F74DD7" w:rsidRDefault="00162425" w:rsidP="003E67EC">
            <w:pPr>
              <w:spacing w:line="276" w:lineRule="auto"/>
              <w:rPr>
                <w:rFonts w:ascii="Verdana" w:eastAsia="Times New Roman" w:hAnsi="Verdana" w:cs="Arial"/>
                <w:color w:val="000000"/>
                <w:sz w:val="16"/>
                <w:szCs w:val="16"/>
              </w:rPr>
            </w:pPr>
            <w:r w:rsidRPr="00F926E2">
              <w:rPr>
                <w:rFonts w:ascii="Verdana" w:eastAsia="Times New Roman" w:hAnsi="Verdana" w:cs="Arial"/>
                <w:color w:val="000000"/>
                <w:sz w:val="16"/>
                <w:szCs w:val="16"/>
              </w:rPr>
              <w:t>Carolina Quintero Gacharná</w:t>
            </w:r>
          </w:p>
          <w:p w14:paraId="1900FD45" w14:textId="77777777" w:rsidR="00162425" w:rsidRPr="00E460E3" w:rsidRDefault="00162425" w:rsidP="003E67EC">
            <w:pPr>
              <w:spacing w:line="276" w:lineRule="auto"/>
              <w:rPr>
                <w:rFonts w:ascii="Verdana" w:eastAsia="Times New Roman" w:hAnsi="Verdana" w:cs="Arial"/>
                <w:color w:val="000000"/>
                <w:sz w:val="16"/>
                <w:szCs w:val="16"/>
              </w:rPr>
            </w:pPr>
            <w:r w:rsidRPr="00BE636B">
              <w:rPr>
                <w:rFonts w:ascii="Verdana" w:eastAsia="Times New Roman" w:hAnsi="Verdana" w:cs="Arial"/>
                <w:color w:val="000000"/>
                <w:sz w:val="16"/>
                <w:szCs w:val="16"/>
              </w:rPr>
              <w:t>Subdirectora de Gestión Contractual ANCP – CCE</w:t>
            </w:r>
          </w:p>
        </w:tc>
      </w:tr>
    </w:tbl>
    <w:p w14:paraId="0165E0D0" w14:textId="77777777" w:rsidR="00162425" w:rsidRPr="00CE156C" w:rsidRDefault="00162425" w:rsidP="00162425">
      <w:pPr>
        <w:spacing w:after="0" w:line="240" w:lineRule="auto"/>
        <w:jc w:val="both"/>
        <w:rPr>
          <w:rFonts w:ascii="Verdana" w:eastAsia="Verdana" w:hAnsi="Verdana" w:cs="Verdana"/>
          <w:b/>
          <w:bCs/>
          <w:lang w:val="es-MX"/>
        </w:rPr>
      </w:pPr>
    </w:p>
    <w:p w14:paraId="3C6E4482" w14:textId="68B1EC5F" w:rsidR="00162425" w:rsidRPr="008E2DC6" w:rsidRDefault="00162425" w:rsidP="00162425">
      <w:pPr>
        <w:spacing w:after="0" w:line="240" w:lineRule="auto"/>
        <w:textAlignment w:val="baseline"/>
        <w:rPr>
          <w:rFonts w:ascii="Verdana" w:eastAsia="Verdana" w:hAnsi="Verdana" w:cs="Verdana"/>
          <w:color w:val="4E4D4D"/>
          <w:lang w:val="es-ES" w:eastAsia="es-CO"/>
        </w:rPr>
      </w:pPr>
    </w:p>
    <w:p w14:paraId="0F293BF4" w14:textId="53F0D26C" w:rsidR="00127233" w:rsidRPr="0015699B" w:rsidRDefault="00127233" w:rsidP="00392C4D">
      <w:pPr>
        <w:spacing w:after="0" w:line="240" w:lineRule="auto"/>
        <w:jc w:val="both"/>
        <w:textAlignment w:val="baseline"/>
        <w:rPr>
          <w:rFonts w:ascii="Verdana" w:eastAsia="Verdana" w:hAnsi="Verdana" w:cs="Verdana"/>
          <w:lang w:eastAsia="es-CO"/>
        </w:rPr>
      </w:pPr>
    </w:p>
    <w:sectPr w:rsidR="00127233" w:rsidRPr="0015699B"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798AE" w14:textId="77777777" w:rsidR="00B443D5" w:rsidRDefault="00B443D5" w:rsidP="004A1847">
      <w:pPr>
        <w:spacing w:after="0" w:line="240" w:lineRule="auto"/>
      </w:pPr>
      <w:r>
        <w:separator/>
      </w:r>
    </w:p>
  </w:endnote>
  <w:endnote w:type="continuationSeparator" w:id="0">
    <w:p w14:paraId="200749FA" w14:textId="77777777" w:rsidR="00B443D5" w:rsidRDefault="00B443D5"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D0A2C" w14:textId="77777777" w:rsidR="00B443D5" w:rsidRDefault="00B443D5" w:rsidP="004A1847">
      <w:pPr>
        <w:spacing w:after="0" w:line="240" w:lineRule="auto"/>
      </w:pPr>
      <w:r>
        <w:separator/>
      </w:r>
    </w:p>
  </w:footnote>
  <w:footnote w:type="continuationSeparator" w:id="0">
    <w:p w14:paraId="41B1BEE6" w14:textId="77777777" w:rsidR="00B443D5" w:rsidRDefault="00B443D5" w:rsidP="004A1847">
      <w:pPr>
        <w:spacing w:after="0" w:line="240" w:lineRule="auto"/>
      </w:pPr>
      <w:r>
        <w:continuationSeparator/>
      </w:r>
    </w:p>
  </w:footnote>
  <w:footnote w:id="1">
    <w:p w14:paraId="7E6825C1" w14:textId="77777777" w:rsidR="00FC165E" w:rsidRDefault="00FC165E" w:rsidP="00FC165E">
      <w:pPr>
        <w:pStyle w:val="Textonotapie"/>
        <w:ind w:firstLine="708"/>
        <w:contextualSpacing/>
        <w:jc w:val="both"/>
        <w:rPr>
          <w:rFonts w:ascii="Verdana" w:hAnsi="Verdana" w:cs="Arial"/>
          <w:sz w:val="16"/>
          <w:szCs w:val="16"/>
          <w:lang w:val="es-CO"/>
        </w:rPr>
      </w:pPr>
      <w:r w:rsidRPr="001E2342">
        <w:rPr>
          <w:rStyle w:val="Refdenotaalpie"/>
          <w:rFonts w:ascii="Verdana" w:hAnsi="Verdana" w:cs="Arial"/>
          <w:sz w:val="16"/>
          <w:szCs w:val="16"/>
        </w:rPr>
        <w:footnoteRef/>
      </w:r>
      <w:r w:rsidRPr="001E2342">
        <w:rPr>
          <w:rFonts w:ascii="Verdana" w:hAnsi="Verdana" w:cs="Arial"/>
          <w:sz w:val="16"/>
          <w:szCs w:val="16"/>
        </w:rPr>
        <w:t xml:space="preserve"> “</w:t>
      </w:r>
      <w:r w:rsidRPr="001E2342">
        <w:rPr>
          <w:rFonts w:ascii="Verdana" w:hAnsi="Verdana" w:cs="Arial"/>
          <w:sz w:val="16"/>
          <w:szCs w:val="16"/>
          <w:lang w:val="es-CO"/>
        </w:rPr>
        <w:t>ARTÍCULO 2202. &lt;LIMITACIONES DEL COMODATARIO&gt;. El comodatario no puede emplear la cosa sino en el uso convenido, o falta de convención en el uso ordinario de las de su clase.</w:t>
      </w:r>
    </w:p>
    <w:p w14:paraId="7C7D6421" w14:textId="77777777" w:rsidR="00FC165E" w:rsidRPr="001E2342" w:rsidRDefault="00FC165E" w:rsidP="00FC165E">
      <w:pPr>
        <w:pStyle w:val="Textonotapie"/>
        <w:ind w:firstLine="708"/>
        <w:contextualSpacing/>
        <w:jc w:val="both"/>
        <w:rPr>
          <w:rFonts w:ascii="Verdana" w:hAnsi="Verdana" w:cs="Arial"/>
          <w:sz w:val="16"/>
          <w:szCs w:val="16"/>
          <w:lang w:val="es-CO"/>
        </w:rPr>
      </w:pPr>
    </w:p>
    <w:p w14:paraId="7177527A" w14:textId="77777777" w:rsidR="00FC165E" w:rsidRDefault="00FC165E" w:rsidP="00FC165E">
      <w:pPr>
        <w:pStyle w:val="Textonotapie"/>
        <w:ind w:firstLine="708"/>
        <w:contextualSpacing/>
        <w:jc w:val="both"/>
        <w:rPr>
          <w:rFonts w:ascii="Verdana" w:hAnsi="Verdana" w:cs="Arial"/>
          <w:sz w:val="16"/>
          <w:szCs w:val="16"/>
        </w:rPr>
      </w:pPr>
      <w:r w:rsidRPr="001E2342">
        <w:rPr>
          <w:rFonts w:ascii="Verdana" w:hAnsi="Verdana" w:cs="Arial"/>
          <w:sz w:val="16"/>
          <w:szCs w:val="16"/>
          <w:lang w:val="es-CO"/>
        </w:rPr>
        <w:t xml:space="preserve">En el caso de contravención podrá el comodante exigir la reparación de todo perjuicio, y la restitución inmediata, </w:t>
      </w:r>
      <w:proofErr w:type="spellStart"/>
      <w:r w:rsidRPr="001E2342">
        <w:rPr>
          <w:rFonts w:ascii="Verdana" w:hAnsi="Verdana" w:cs="Arial"/>
          <w:sz w:val="16"/>
          <w:szCs w:val="16"/>
          <w:lang w:val="es-CO"/>
        </w:rPr>
        <w:t>aún</w:t>
      </w:r>
      <w:proofErr w:type="spellEnd"/>
      <w:r w:rsidRPr="001E2342">
        <w:rPr>
          <w:rFonts w:ascii="Verdana" w:hAnsi="Verdana" w:cs="Arial"/>
          <w:sz w:val="16"/>
          <w:szCs w:val="16"/>
          <w:lang w:val="es-CO"/>
        </w:rPr>
        <w:t xml:space="preserve"> cuando para la restitución se haya estipulado plazo</w:t>
      </w:r>
      <w:r w:rsidRPr="001E2342">
        <w:rPr>
          <w:rFonts w:ascii="Verdana" w:hAnsi="Verdana" w:cs="Arial"/>
          <w:sz w:val="16"/>
          <w:szCs w:val="16"/>
        </w:rPr>
        <w:t>”.</w:t>
      </w:r>
    </w:p>
    <w:p w14:paraId="09A40257" w14:textId="77777777" w:rsidR="00FC165E" w:rsidRPr="001E2342" w:rsidRDefault="00FC165E" w:rsidP="00FC165E">
      <w:pPr>
        <w:pStyle w:val="Textonotapie"/>
        <w:ind w:firstLine="708"/>
        <w:contextualSpacing/>
        <w:jc w:val="both"/>
        <w:rPr>
          <w:rFonts w:ascii="Verdana" w:hAnsi="Verdana" w:cs="Arial"/>
          <w:sz w:val="16"/>
          <w:szCs w:val="16"/>
          <w:lang w:val="es-CO"/>
        </w:rPr>
      </w:pPr>
    </w:p>
  </w:footnote>
  <w:footnote w:id="2">
    <w:p w14:paraId="48D31706" w14:textId="77777777" w:rsidR="00B62CFA" w:rsidRDefault="00B62CFA" w:rsidP="00B62CFA">
      <w:pPr>
        <w:pStyle w:val="Textonotapie"/>
        <w:ind w:firstLine="709"/>
        <w:contextualSpacing/>
        <w:jc w:val="both"/>
        <w:rPr>
          <w:rFonts w:ascii="Verdana" w:hAnsi="Verdana" w:cs="Arial"/>
          <w:sz w:val="16"/>
          <w:szCs w:val="16"/>
        </w:rPr>
      </w:pPr>
      <w:r w:rsidRPr="001E2342">
        <w:rPr>
          <w:rFonts w:ascii="Verdana" w:hAnsi="Verdana" w:cs="Arial"/>
          <w:sz w:val="16"/>
          <w:szCs w:val="16"/>
          <w:vertAlign w:val="superscript"/>
        </w:rPr>
        <w:footnoteRef/>
      </w:r>
      <w:r w:rsidRPr="001E2342">
        <w:rPr>
          <w:rFonts w:ascii="Verdana" w:hAnsi="Verdana" w:cs="Arial"/>
          <w:sz w:val="16"/>
          <w:szCs w:val="16"/>
        </w:rPr>
        <w:t xml:space="preserve"> Al respecto, la jurisprudencia explica que “Entre las características esenciales (art. 1501 C.C.) que […] delimitan la institución, y la identifican como una relación jurídica de tenencia, se hallan las de corresponder a un negocio real, porque no se perfecciona sino por virtud de la entrega (no tanto la tradición, en sentido técnico)  de la cosa sobre la cual versa (arts. 1500 y 2200 C.C), carácter que se explica por cuanto la obligación fundamental, consiste en la restitución de la cosa por parte del comodatario al comodante; es, asimismo, una convención sustancialmente gratuita o de beneficencia</w:t>
      </w:r>
      <w:r w:rsidRPr="001E2342">
        <w:rPr>
          <w:rFonts w:ascii="Verdana" w:hAnsi="Verdana" w:cs="Arial"/>
          <w:sz w:val="16"/>
          <w:szCs w:val="16"/>
          <w:lang w:val="es-ES"/>
        </w:rPr>
        <w:t xml:space="preserve"> </w:t>
      </w:r>
      <w:r w:rsidRPr="001E2342">
        <w:rPr>
          <w:rFonts w:ascii="Verdana" w:hAnsi="Verdana" w:cs="Arial"/>
          <w:sz w:val="16"/>
          <w:szCs w:val="16"/>
        </w:rPr>
        <w:t xml:space="preserve">(arts. 1497 y 2200 C.C.), cuyo objeto es la utilidad de una de las partes, el prestatario o comodatario; se trata de un acto jurídico de naturaleza unilateral, en principio, porque sólo genera una obligación que grava a uno de los contratantes, esto es, la obligación de restituir la cosa, radicada en cabeza del comodatario; es un contrato principal, en la medida que ‘no requiere de algún otro para nacer a la vida jurídica’ ; y, finalmente, es convenio nominado y típico, pues tiene enunciación y regulación legal” (CORTE SUPREMA DE JUSTICIA. Sala de Casación Civil. Sentencia del 23 de mayo de 2018. </w:t>
      </w:r>
      <w:proofErr w:type="spellStart"/>
      <w:r w:rsidRPr="001E2342">
        <w:rPr>
          <w:rFonts w:ascii="Verdana" w:hAnsi="Verdana" w:cs="Arial"/>
          <w:sz w:val="16"/>
          <w:szCs w:val="16"/>
        </w:rPr>
        <w:t>Exp</w:t>
      </w:r>
      <w:proofErr w:type="spellEnd"/>
      <w:r w:rsidRPr="001E2342">
        <w:rPr>
          <w:rFonts w:ascii="Verdana" w:hAnsi="Verdana" w:cs="Arial"/>
          <w:sz w:val="16"/>
          <w:szCs w:val="16"/>
        </w:rPr>
        <w:t>. 76001310301220080040401. M.P. Luis Armando Tolosa Villabona).</w:t>
      </w:r>
    </w:p>
    <w:p w14:paraId="2876116C" w14:textId="77777777" w:rsidR="009B0578" w:rsidRPr="001E2342" w:rsidRDefault="009B0578" w:rsidP="00B62CFA">
      <w:pPr>
        <w:pStyle w:val="Textonotapie"/>
        <w:ind w:firstLine="709"/>
        <w:contextualSpacing/>
        <w:jc w:val="both"/>
        <w:rPr>
          <w:rFonts w:ascii="Verdana" w:hAnsi="Verdana" w:cs="Arial"/>
          <w:sz w:val="16"/>
          <w:szCs w:val="16"/>
        </w:rPr>
      </w:pPr>
    </w:p>
  </w:footnote>
  <w:footnote w:id="3">
    <w:p w14:paraId="652710FA" w14:textId="77777777" w:rsidR="00B62CFA" w:rsidRPr="001E2342" w:rsidRDefault="00B62CFA" w:rsidP="00B62CFA">
      <w:pPr>
        <w:pStyle w:val="Textonotapie"/>
        <w:ind w:firstLine="708"/>
        <w:contextualSpacing/>
        <w:jc w:val="both"/>
        <w:rPr>
          <w:rFonts w:ascii="Verdana" w:hAnsi="Verdana" w:cs="Arial"/>
          <w:sz w:val="16"/>
          <w:szCs w:val="16"/>
          <w:lang w:val="es-CO"/>
        </w:rPr>
      </w:pPr>
      <w:r w:rsidRPr="001E2342">
        <w:rPr>
          <w:rStyle w:val="Refdenotaalpie"/>
          <w:rFonts w:ascii="Verdana" w:hAnsi="Verdana" w:cs="Arial"/>
          <w:sz w:val="16"/>
          <w:szCs w:val="16"/>
        </w:rPr>
        <w:footnoteRef/>
      </w:r>
      <w:r w:rsidRPr="001E2342">
        <w:rPr>
          <w:rFonts w:ascii="Verdana" w:hAnsi="Verdana" w:cs="Arial"/>
          <w:sz w:val="16"/>
          <w:szCs w:val="16"/>
        </w:rPr>
        <w:t xml:space="preserve"> </w:t>
      </w:r>
      <w:bookmarkStart w:id="5" w:name="2205"/>
      <w:r w:rsidRPr="001E2342">
        <w:rPr>
          <w:rFonts w:ascii="Verdana" w:hAnsi="Verdana" w:cs="Arial"/>
          <w:sz w:val="16"/>
          <w:szCs w:val="16"/>
        </w:rPr>
        <w:t>“</w:t>
      </w:r>
      <w:r w:rsidRPr="001E2342">
        <w:rPr>
          <w:rFonts w:ascii="Verdana" w:hAnsi="Verdana" w:cs="Arial"/>
          <w:sz w:val="16"/>
          <w:szCs w:val="16"/>
          <w:lang w:val="es-CO"/>
        </w:rPr>
        <w:t>ARTÍCULO 2205. “TERMINO PARA LA RESTITUCION DE LA COSA PRESTADA”.</w:t>
      </w:r>
      <w:bookmarkEnd w:id="5"/>
      <w:r w:rsidRPr="001E2342">
        <w:rPr>
          <w:rFonts w:ascii="Verdana" w:hAnsi="Verdana" w:cs="Arial"/>
          <w:sz w:val="16"/>
          <w:szCs w:val="16"/>
          <w:lang w:val="es-CO"/>
        </w:rPr>
        <w:t xml:space="preserve"> El comodatario es obligado a restituir la cosa prestada en el tiempo convenido, o a falta de convención, después del uso para </w:t>
      </w:r>
      <w:proofErr w:type="spellStart"/>
      <w:r w:rsidRPr="001E2342">
        <w:rPr>
          <w:rFonts w:ascii="Verdana" w:hAnsi="Verdana" w:cs="Arial"/>
          <w:sz w:val="16"/>
          <w:szCs w:val="16"/>
          <w:lang w:val="es-CO"/>
        </w:rPr>
        <w:t>que</w:t>
      </w:r>
      <w:proofErr w:type="spellEnd"/>
      <w:r w:rsidRPr="001E2342">
        <w:rPr>
          <w:rFonts w:ascii="Verdana" w:hAnsi="Verdana" w:cs="Arial"/>
          <w:sz w:val="16"/>
          <w:szCs w:val="16"/>
          <w:lang w:val="es-CO"/>
        </w:rPr>
        <w:t xml:space="preserve"> </w:t>
      </w:r>
      <w:proofErr w:type="gramStart"/>
      <w:r w:rsidRPr="001E2342">
        <w:rPr>
          <w:rFonts w:ascii="Verdana" w:hAnsi="Verdana" w:cs="Arial"/>
          <w:sz w:val="16"/>
          <w:szCs w:val="16"/>
          <w:lang w:val="es-CO"/>
        </w:rPr>
        <w:t>ha</w:t>
      </w:r>
      <w:proofErr w:type="gramEnd"/>
      <w:r w:rsidRPr="001E2342">
        <w:rPr>
          <w:rFonts w:ascii="Verdana" w:hAnsi="Verdana" w:cs="Arial"/>
          <w:sz w:val="16"/>
          <w:szCs w:val="16"/>
          <w:lang w:val="es-CO"/>
        </w:rPr>
        <w:t xml:space="preserve"> sido prestada.</w:t>
      </w:r>
    </w:p>
    <w:p w14:paraId="26C331D2" w14:textId="77777777" w:rsidR="00B62CFA" w:rsidRPr="001E2342" w:rsidRDefault="00B62CFA" w:rsidP="00B62CFA">
      <w:pPr>
        <w:pStyle w:val="Textonotapie"/>
        <w:contextualSpacing/>
        <w:jc w:val="both"/>
        <w:rPr>
          <w:rFonts w:ascii="Verdana" w:hAnsi="Verdana" w:cs="Arial"/>
          <w:sz w:val="16"/>
          <w:szCs w:val="16"/>
          <w:lang w:val="es-CO"/>
        </w:rPr>
      </w:pPr>
      <w:r w:rsidRPr="001E2342">
        <w:rPr>
          <w:rFonts w:ascii="Verdana" w:hAnsi="Verdana" w:cs="Arial"/>
          <w:sz w:val="16"/>
          <w:szCs w:val="16"/>
          <w:lang w:val="es-CO"/>
        </w:rPr>
        <w:t>Pero podrá exigirse la restitución aún antes del tiempo estipulado en tres casos:</w:t>
      </w:r>
    </w:p>
    <w:p w14:paraId="295B0774" w14:textId="77777777" w:rsidR="00B62CFA" w:rsidRPr="001E2342" w:rsidRDefault="00B62CFA" w:rsidP="00B62CFA">
      <w:pPr>
        <w:pStyle w:val="Textonotapie"/>
        <w:ind w:firstLine="708"/>
        <w:contextualSpacing/>
        <w:jc w:val="both"/>
        <w:rPr>
          <w:rFonts w:ascii="Verdana" w:hAnsi="Verdana" w:cs="Arial"/>
          <w:sz w:val="16"/>
          <w:szCs w:val="16"/>
          <w:lang w:val="es-CO"/>
        </w:rPr>
      </w:pPr>
      <w:r w:rsidRPr="001E2342">
        <w:rPr>
          <w:rFonts w:ascii="Verdana" w:hAnsi="Verdana" w:cs="Arial"/>
          <w:sz w:val="16"/>
          <w:szCs w:val="16"/>
          <w:lang w:val="es-CO"/>
        </w:rPr>
        <w:t>1. Si muere el comodatario, a menos que la cosa haya sido prestada para un servicio particular que no pueda diferirse o suspenderse.</w:t>
      </w:r>
    </w:p>
    <w:p w14:paraId="2439AF87" w14:textId="77777777" w:rsidR="00B62CFA" w:rsidRPr="001E2342" w:rsidRDefault="00B62CFA" w:rsidP="00B62CFA">
      <w:pPr>
        <w:pStyle w:val="Textonotapie"/>
        <w:ind w:firstLine="708"/>
        <w:contextualSpacing/>
        <w:jc w:val="both"/>
        <w:rPr>
          <w:rFonts w:ascii="Verdana" w:hAnsi="Verdana" w:cs="Arial"/>
          <w:sz w:val="16"/>
          <w:szCs w:val="16"/>
          <w:lang w:val="es-CO"/>
        </w:rPr>
      </w:pPr>
      <w:r w:rsidRPr="001E2342">
        <w:rPr>
          <w:rFonts w:ascii="Verdana" w:hAnsi="Verdana" w:cs="Arial"/>
          <w:sz w:val="16"/>
          <w:szCs w:val="16"/>
          <w:lang w:val="es-CO"/>
        </w:rPr>
        <w:t>2. Si sobreviene al comodante una necesidad imprevista y urgente de la cosa.</w:t>
      </w:r>
    </w:p>
    <w:p w14:paraId="540FA555" w14:textId="77777777" w:rsidR="00B62CFA" w:rsidRPr="00B2239A" w:rsidRDefault="00B62CFA" w:rsidP="00B62CFA">
      <w:pPr>
        <w:pStyle w:val="Textonotapie"/>
        <w:ind w:firstLine="708"/>
        <w:contextualSpacing/>
        <w:jc w:val="both"/>
        <w:rPr>
          <w:rFonts w:ascii="Verdana" w:hAnsi="Verdana" w:cs="Arial"/>
          <w:sz w:val="14"/>
          <w:szCs w:val="14"/>
          <w:lang w:val="es-CO"/>
        </w:rPr>
      </w:pPr>
      <w:r w:rsidRPr="001E2342">
        <w:rPr>
          <w:rFonts w:ascii="Verdana" w:hAnsi="Verdana" w:cs="Arial"/>
          <w:sz w:val="16"/>
          <w:szCs w:val="16"/>
          <w:lang w:val="es-CO"/>
        </w:rPr>
        <w:t>3. Si ha terminado o no tiene lugar el servicio para el cual se ha prestado la cosa</w:t>
      </w:r>
      <w:r w:rsidRPr="001E2342">
        <w:rPr>
          <w:rFonts w:ascii="Verdana" w:hAnsi="Verdana" w:cs="Arial"/>
          <w:sz w:val="16"/>
          <w:szCs w:val="16"/>
        </w:rPr>
        <w:t>”.</w:t>
      </w:r>
    </w:p>
  </w:footnote>
  <w:footnote w:id="4">
    <w:p w14:paraId="77469F2B" w14:textId="77777777" w:rsidR="00B62CFA" w:rsidRDefault="00B62CFA" w:rsidP="00B62CFA">
      <w:pPr>
        <w:pStyle w:val="Textonotapie"/>
        <w:ind w:firstLine="708"/>
        <w:contextualSpacing/>
        <w:jc w:val="both"/>
        <w:rPr>
          <w:rFonts w:ascii="Verdana" w:hAnsi="Verdana" w:cs="Arial"/>
          <w:sz w:val="16"/>
          <w:szCs w:val="16"/>
          <w:lang w:val="es-CO"/>
        </w:rPr>
      </w:pPr>
      <w:r w:rsidRPr="001E2342">
        <w:rPr>
          <w:rStyle w:val="Refdenotaalpie"/>
          <w:rFonts w:ascii="Verdana" w:hAnsi="Verdana" w:cs="Arial"/>
          <w:sz w:val="16"/>
          <w:szCs w:val="16"/>
        </w:rPr>
        <w:footnoteRef/>
      </w:r>
      <w:r w:rsidRPr="001E2342">
        <w:rPr>
          <w:rFonts w:ascii="Verdana" w:hAnsi="Verdana" w:cs="Arial"/>
          <w:sz w:val="16"/>
          <w:szCs w:val="16"/>
        </w:rPr>
        <w:t xml:space="preserve"> </w:t>
      </w:r>
      <w:bookmarkStart w:id="6" w:name="2202"/>
      <w:r w:rsidRPr="001E2342">
        <w:rPr>
          <w:rFonts w:ascii="Verdana" w:hAnsi="Verdana" w:cs="Arial"/>
          <w:sz w:val="16"/>
          <w:szCs w:val="16"/>
        </w:rPr>
        <w:t>“</w:t>
      </w:r>
      <w:r w:rsidRPr="001E2342">
        <w:rPr>
          <w:rFonts w:ascii="Verdana" w:hAnsi="Verdana" w:cs="Arial"/>
          <w:sz w:val="16"/>
          <w:szCs w:val="16"/>
          <w:lang w:val="es-CO"/>
        </w:rPr>
        <w:t>ARTÍCULO 2202. &lt;LIMITACIONES DEL COMODATARIO&gt;.</w:t>
      </w:r>
      <w:bookmarkEnd w:id="6"/>
      <w:r w:rsidRPr="001E2342">
        <w:rPr>
          <w:rFonts w:ascii="Verdana" w:hAnsi="Verdana" w:cs="Arial"/>
          <w:sz w:val="16"/>
          <w:szCs w:val="16"/>
          <w:lang w:val="es-CO"/>
        </w:rPr>
        <w:t> El comodatario no puede emplear la cosa sino en el uso convenido, o falta de convención en el uso ordinario de las de su clase.</w:t>
      </w:r>
    </w:p>
    <w:p w14:paraId="243E33CB" w14:textId="77777777" w:rsidR="009B0578" w:rsidRPr="001E2342" w:rsidRDefault="009B0578" w:rsidP="00B62CFA">
      <w:pPr>
        <w:pStyle w:val="Textonotapie"/>
        <w:ind w:firstLine="708"/>
        <w:contextualSpacing/>
        <w:jc w:val="both"/>
        <w:rPr>
          <w:rFonts w:ascii="Verdana" w:hAnsi="Verdana" w:cs="Arial"/>
          <w:sz w:val="16"/>
          <w:szCs w:val="16"/>
          <w:lang w:val="es-CO"/>
        </w:rPr>
      </w:pPr>
    </w:p>
    <w:p w14:paraId="6B552709" w14:textId="77777777" w:rsidR="00B62CFA" w:rsidRDefault="00B62CFA" w:rsidP="00B62CFA">
      <w:pPr>
        <w:pStyle w:val="Textonotapie"/>
        <w:ind w:firstLine="708"/>
        <w:contextualSpacing/>
        <w:jc w:val="both"/>
        <w:rPr>
          <w:rFonts w:ascii="Verdana" w:hAnsi="Verdana" w:cs="Arial"/>
          <w:sz w:val="16"/>
          <w:szCs w:val="16"/>
        </w:rPr>
      </w:pPr>
      <w:r w:rsidRPr="001E2342">
        <w:rPr>
          <w:rFonts w:ascii="Verdana" w:hAnsi="Verdana" w:cs="Arial"/>
          <w:sz w:val="16"/>
          <w:szCs w:val="16"/>
          <w:lang w:val="es-CO"/>
        </w:rPr>
        <w:t xml:space="preserve">En el caso de contravención podrá el comodante exigir la reparación de todo perjuicio, y la restitución inmediata, </w:t>
      </w:r>
      <w:proofErr w:type="spellStart"/>
      <w:r w:rsidRPr="001E2342">
        <w:rPr>
          <w:rFonts w:ascii="Verdana" w:hAnsi="Verdana" w:cs="Arial"/>
          <w:sz w:val="16"/>
          <w:szCs w:val="16"/>
          <w:lang w:val="es-CO"/>
        </w:rPr>
        <w:t>aún</w:t>
      </w:r>
      <w:proofErr w:type="spellEnd"/>
      <w:r w:rsidRPr="001E2342">
        <w:rPr>
          <w:rFonts w:ascii="Verdana" w:hAnsi="Verdana" w:cs="Arial"/>
          <w:sz w:val="16"/>
          <w:szCs w:val="16"/>
          <w:lang w:val="es-CO"/>
        </w:rPr>
        <w:t xml:space="preserve"> cuando para la restitución se haya estipulado plazo</w:t>
      </w:r>
      <w:r w:rsidRPr="001E2342">
        <w:rPr>
          <w:rFonts w:ascii="Verdana" w:hAnsi="Verdana" w:cs="Arial"/>
          <w:sz w:val="16"/>
          <w:szCs w:val="16"/>
        </w:rPr>
        <w:t>”.</w:t>
      </w:r>
    </w:p>
    <w:p w14:paraId="4E04A84F" w14:textId="77777777" w:rsidR="009B0578" w:rsidRPr="001E2342" w:rsidRDefault="009B0578" w:rsidP="00B62CFA">
      <w:pPr>
        <w:pStyle w:val="Textonotapie"/>
        <w:ind w:firstLine="708"/>
        <w:contextualSpacing/>
        <w:jc w:val="both"/>
        <w:rPr>
          <w:rFonts w:ascii="Verdana" w:hAnsi="Verdana" w:cs="Arial"/>
          <w:sz w:val="16"/>
          <w:szCs w:val="16"/>
          <w:lang w:val="es-CO"/>
        </w:rPr>
      </w:pPr>
    </w:p>
  </w:footnote>
  <w:footnote w:id="5">
    <w:p w14:paraId="3CC76C32" w14:textId="77777777" w:rsidR="00B62CFA" w:rsidRPr="00D905B4" w:rsidRDefault="00B62CFA" w:rsidP="00B62CFA">
      <w:pPr>
        <w:pStyle w:val="Textonotapie"/>
        <w:ind w:firstLine="708"/>
        <w:contextualSpacing/>
        <w:jc w:val="both"/>
        <w:rPr>
          <w:rFonts w:ascii="Verdana" w:hAnsi="Verdana" w:cs="Arial"/>
          <w:sz w:val="14"/>
          <w:szCs w:val="14"/>
          <w:lang w:val="es-CO"/>
        </w:rPr>
      </w:pPr>
      <w:r w:rsidRPr="001E2342">
        <w:rPr>
          <w:rStyle w:val="Refdenotaalpie"/>
          <w:rFonts w:ascii="Verdana" w:hAnsi="Verdana" w:cs="Arial"/>
          <w:sz w:val="16"/>
          <w:szCs w:val="16"/>
        </w:rPr>
        <w:footnoteRef/>
      </w:r>
      <w:r w:rsidRPr="001E2342">
        <w:rPr>
          <w:rFonts w:ascii="Verdana" w:hAnsi="Verdana" w:cs="Arial"/>
          <w:sz w:val="16"/>
          <w:szCs w:val="16"/>
        </w:rPr>
        <w:t xml:space="preserve"> </w:t>
      </w:r>
      <w:r w:rsidRPr="001E2342">
        <w:rPr>
          <w:rFonts w:ascii="Verdana" w:hAnsi="Verdana" w:cs="Arial"/>
          <w:sz w:val="16"/>
          <w:szCs w:val="16"/>
          <w:lang w:val="es-CO"/>
        </w:rPr>
        <w:t>CONSEJO DE ESTADO. Sala de Consulta y Servicio Civil. Concepto del 24 de julio de 2003. Radicación 1.510. C.P. Susana Montes de Echeverri. En torno a este tema, se han desarrollado los siguientes pronunciamientos: Conceptos Nos. 726/95; 994/97; 1017/97;1077/98; 1129/98.</w:t>
      </w:r>
    </w:p>
  </w:footnote>
  <w:footnote w:id="6">
    <w:p w14:paraId="498E919B" w14:textId="77777777" w:rsidR="00B62CFA" w:rsidRPr="001E2342" w:rsidRDefault="00B62CFA" w:rsidP="00B62CFA">
      <w:pPr>
        <w:pStyle w:val="Textonotapie"/>
        <w:ind w:firstLine="708"/>
        <w:contextualSpacing/>
        <w:jc w:val="both"/>
        <w:rPr>
          <w:rFonts w:ascii="Verdana" w:hAnsi="Verdana" w:cs="Arial"/>
          <w:sz w:val="16"/>
          <w:szCs w:val="16"/>
          <w:lang w:val="es-CO"/>
        </w:rPr>
      </w:pPr>
      <w:r w:rsidRPr="001E2342">
        <w:rPr>
          <w:sz w:val="16"/>
          <w:szCs w:val="16"/>
          <w:lang w:val="es-CO"/>
        </w:rPr>
        <w:footnoteRef/>
      </w:r>
      <w:r w:rsidRPr="001E2342">
        <w:rPr>
          <w:rFonts w:ascii="Verdana" w:hAnsi="Verdana" w:cs="Arial"/>
          <w:sz w:val="16"/>
          <w:szCs w:val="16"/>
          <w:lang w:val="es-CO"/>
        </w:rPr>
        <w:t xml:space="preserve"> CORTE SUPREMA DE JUSTICIA. Sala de Casación Civil. Sentencia del 4 de agosto de 2008. </w:t>
      </w:r>
      <w:proofErr w:type="spellStart"/>
      <w:r w:rsidRPr="001E2342">
        <w:rPr>
          <w:rFonts w:ascii="Verdana" w:hAnsi="Verdana" w:cs="Arial"/>
          <w:sz w:val="16"/>
          <w:szCs w:val="16"/>
          <w:lang w:val="es-CO"/>
        </w:rPr>
        <w:t>Exp</w:t>
      </w:r>
      <w:proofErr w:type="spellEnd"/>
      <w:r w:rsidRPr="001E2342">
        <w:rPr>
          <w:rFonts w:ascii="Verdana" w:hAnsi="Verdana" w:cs="Arial"/>
          <w:sz w:val="16"/>
          <w:szCs w:val="16"/>
          <w:lang w:val="es-CO"/>
        </w:rPr>
        <w:t xml:space="preserve">. 68001310300920000071001. M.P. Edgardo Villamil Portilla. </w:t>
      </w:r>
    </w:p>
  </w:footnote>
  <w:footnote w:id="7">
    <w:p w14:paraId="7D74C02C" w14:textId="77777777" w:rsidR="00B62CFA" w:rsidRPr="002F1600" w:rsidRDefault="00B62CFA" w:rsidP="00B62CFA">
      <w:pPr>
        <w:pStyle w:val="Textonotapie"/>
        <w:ind w:firstLine="709"/>
        <w:jc w:val="both"/>
        <w:rPr>
          <w:rFonts w:ascii="Verdana" w:hAnsi="Verdana" w:cs="Arial"/>
          <w:sz w:val="14"/>
          <w:szCs w:val="14"/>
        </w:rPr>
      </w:pPr>
      <w:r w:rsidRPr="002F1600">
        <w:rPr>
          <w:rStyle w:val="Refdenotaalpie"/>
          <w:rFonts w:ascii="Verdana" w:hAnsi="Verdana" w:cs="Arial"/>
          <w:sz w:val="14"/>
          <w:szCs w:val="14"/>
        </w:rPr>
        <w:footnoteRef/>
      </w:r>
      <w:r w:rsidRPr="002F1600">
        <w:rPr>
          <w:rFonts w:ascii="Verdana" w:hAnsi="Verdana" w:cs="Arial"/>
          <w:sz w:val="14"/>
          <w:szCs w:val="14"/>
        </w:rPr>
        <w:t xml:space="preserve"> El artículo 127 de la Constitución Política señala: “Los servidores públicos no podrán celebrar, por si o por interpuesta persona, o en representación de otro, contrato alguno con entidades públicas o con personas privadas que manejen o administren recursos públicos, salvo las excepciones legales. </w:t>
      </w:r>
    </w:p>
    <w:p w14:paraId="02FD4229" w14:textId="77777777" w:rsidR="00B62CFA" w:rsidRPr="002F1600" w:rsidRDefault="00B62CFA" w:rsidP="00B62CFA">
      <w:pPr>
        <w:pStyle w:val="Textonotapie"/>
        <w:ind w:firstLine="709"/>
        <w:jc w:val="both"/>
        <w:rPr>
          <w:rFonts w:ascii="Verdana" w:hAnsi="Verdana" w:cs="Arial"/>
          <w:sz w:val="14"/>
          <w:szCs w:val="14"/>
        </w:rPr>
      </w:pPr>
      <w:r w:rsidRPr="002F1600">
        <w:rPr>
          <w:rFonts w:ascii="Verdana" w:hAnsi="Verdana" w:cs="Arial"/>
          <w:sz w:val="14"/>
          <w:szCs w:val="14"/>
        </w:rPr>
        <w:t>A los empleados del Estado que se desempeñen en la Rama Judicial, en los órganos electorales, de control y de seguridad les está prohibido tomar parte en las actividades de los partidos y movimientos y en las controversias políticas, sin perjuicio de ejercer libremente el derecho al sufragio. A los miembros de la Fuerza Pública en servicio activo se les aplican las limitaciones contempladas en el artículo 219 de la Constitución. Los empleados no contemplados en esta prohibición solo podrán participar en dichas actividades y controversias en las condiciones que señale la Ley Estatutaria”.</w:t>
      </w:r>
    </w:p>
  </w:footnote>
  <w:footnote w:id="8">
    <w:p w14:paraId="48DFE135" w14:textId="77777777" w:rsidR="00B62CFA" w:rsidRDefault="00B62CFA" w:rsidP="00B62CFA">
      <w:pPr>
        <w:pStyle w:val="Textonotapie"/>
        <w:ind w:firstLine="709"/>
        <w:jc w:val="both"/>
        <w:rPr>
          <w:rFonts w:ascii="Verdana" w:hAnsi="Verdana" w:cs="Arial"/>
          <w:sz w:val="16"/>
          <w:szCs w:val="16"/>
        </w:rPr>
      </w:pPr>
      <w:r w:rsidRPr="002F1600">
        <w:rPr>
          <w:rStyle w:val="Refdenotaalpie"/>
          <w:rFonts w:ascii="Verdana" w:hAnsi="Verdana" w:cs="Arial"/>
          <w:sz w:val="14"/>
          <w:szCs w:val="14"/>
        </w:rPr>
        <w:footnoteRef/>
      </w:r>
      <w:r w:rsidRPr="002F1600">
        <w:rPr>
          <w:rFonts w:ascii="Verdana" w:hAnsi="Verdana" w:cs="Arial"/>
          <w:sz w:val="14"/>
          <w:szCs w:val="14"/>
        </w:rPr>
        <w:t xml:space="preserve"> </w:t>
      </w:r>
      <w:r w:rsidRPr="00705C6F">
        <w:rPr>
          <w:rFonts w:ascii="Verdana" w:hAnsi="Verdana" w:cs="Arial"/>
          <w:sz w:val="16"/>
          <w:szCs w:val="16"/>
        </w:rPr>
        <w:t>Gaceta del Congreso de la República No. 71 del 2005.</w:t>
      </w:r>
    </w:p>
    <w:p w14:paraId="1A131A95" w14:textId="77777777" w:rsidR="009B0578" w:rsidRPr="00705C6F" w:rsidRDefault="009B0578" w:rsidP="00B62CFA">
      <w:pPr>
        <w:pStyle w:val="Textonotapie"/>
        <w:ind w:firstLine="709"/>
        <w:jc w:val="both"/>
        <w:rPr>
          <w:rFonts w:ascii="Verdana" w:hAnsi="Verdana" w:cs="Arial"/>
          <w:sz w:val="16"/>
          <w:szCs w:val="16"/>
        </w:rPr>
      </w:pPr>
    </w:p>
  </w:footnote>
  <w:footnote w:id="9">
    <w:p w14:paraId="4FCF7E94" w14:textId="77777777" w:rsidR="00B62CFA" w:rsidRPr="008F34D2" w:rsidRDefault="00B62CFA" w:rsidP="00B62CFA">
      <w:pPr>
        <w:pStyle w:val="Textonotapie"/>
        <w:ind w:firstLine="709"/>
        <w:jc w:val="both"/>
        <w:rPr>
          <w:rFonts w:ascii="Verdana" w:hAnsi="Verdana" w:cs="Arial"/>
          <w:sz w:val="14"/>
          <w:szCs w:val="14"/>
          <w:lang w:val="pt-PT"/>
        </w:rPr>
      </w:pPr>
      <w:r w:rsidRPr="00705C6F">
        <w:rPr>
          <w:rStyle w:val="Refdenotaalpie"/>
          <w:rFonts w:ascii="Verdana" w:hAnsi="Verdana" w:cs="Arial"/>
          <w:sz w:val="16"/>
          <w:szCs w:val="16"/>
        </w:rPr>
        <w:footnoteRef/>
      </w:r>
      <w:r w:rsidRPr="00705C6F">
        <w:rPr>
          <w:rFonts w:ascii="Verdana" w:hAnsi="Verdana" w:cs="Arial"/>
          <w:sz w:val="16"/>
          <w:szCs w:val="16"/>
          <w:lang w:val="pt-PT"/>
        </w:rPr>
        <w:t xml:space="preserve"> Corte Constitucional, Sentencia C- 1153 de 2005, M.P. Marco Gerardo Monroy Cabra.</w:t>
      </w:r>
    </w:p>
  </w:footnote>
  <w:footnote w:id="10">
    <w:p w14:paraId="6637D9D1" w14:textId="77777777" w:rsidR="00B62CFA" w:rsidRDefault="00B62CFA" w:rsidP="00B62CFA">
      <w:pPr>
        <w:pStyle w:val="Textonotapie"/>
        <w:ind w:firstLine="709"/>
        <w:jc w:val="both"/>
        <w:rPr>
          <w:rFonts w:ascii="Verdana" w:hAnsi="Verdana" w:cs="Arial"/>
          <w:sz w:val="16"/>
          <w:szCs w:val="16"/>
          <w:lang w:val="pt-PT"/>
        </w:rPr>
      </w:pPr>
      <w:r w:rsidRPr="002F1600">
        <w:rPr>
          <w:rStyle w:val="Refdenotaalpie"/>
          <w:rFonts w:ascii="Verdana" w:hAnsi="Verdana" w:cs="Arial"/>
          <w:sz w:val="14"/>
          <w:szCs w:val="14"/>
        </w:rPr>
        <w:footnoteRef/>
      </w:r>
      <w:r w:rsidRPr="008F34D2">
        <w:rPr>
          <w:rFonts w:ascii="Verdana" w:hAnsi="Verdana" w:cs="Arial"/>
          <w:sz w:val="14"/>
          <w:szCs w:val="14"/>
          <w:lang w:val="pt-PT"/>
        </w:rPr>
        <w:t xml:space="preserve"> </w:t>
      </w:r>
      <w:r w:rsidRPr="00B65DC4">
        <w:rPr>
          <w:rFonts w:ascii="Verdana" w:hAnsi="Verdana" w:cs="Arial"/>
          <w:sz w:val="16"/>
          <w:szCs w:val="16"/>
          <w:lang w:val="pt-PT"/>
        </w:rPr>
        <w:t>Corte Constitucional. Sentencias: C-233 de 4 de abril de 2002, expediente: D-3704; C-551 de 9 de julio de 2003, expediente: CRF-001 de 9 de julio de 2003; C-652 de 5 de agosto de 2003, expediente: D-4330; C-353 de 20 de mayo de 2009, expediente: D-7518, C-541 de 30 de junio de 2010, expediente: DD7966; entre otras.</w:t>
      </w:r>
    </w:p>
    <w:p w14:paraId="14BB9315" w14:textId="77777777" w:rsidR="009B0578" w:rsidRPr="00B65DC4" w:rsidRDefault="009B0578" w:rsidP="00B62CFA">
      <w:pPr>
        <w:pStyle w:val="Textonotapie"/>
        <w:ind w:firstLine="709"/>
        <w:jc w:val="both"/>
        <w:rPr>
          <w:rFonts w:ascii="Verdana" w:hAnsi="Verdana" w:cs="Arial"/>
          <w:sz w:val="16"/>
          <w:szCs w:val="16"/>
          <w:lang w:val="pt-PT"/>
        </w:rPr>
      </w:pPr>
    </w:p>
  </w:footnote>
  <w:footnote w:id="11">
    <w:p w14:paraId="07AC0FE7" w14:textId="77777777" w:rsidR="00B62CFA" w:rsidRDefault="00B62CFA" w:rsidP="00B62CFA">
      <w:pPr>
        <w:pStyle w:val="Textonotapie"/>
        <w:ind w:firstLine="709"/>
        <w:jc w:val="both"/>
        <w:rPr>
          <w:rFonts w:ascii="Verdana" w:hAnsi="Verdana" w:cs="Arial"/>
          <w:sz w:val="16"/>
          <w:szCs w:val="16"/>
          <w:lang w:val="es-CO"/>
        </w:rPr>
      </w:pPr>
      <w:r w:rsidRPr="00B65DC4">
        <w:rPr>
          <w:rStyle w:val="Refdenotaalpie"/>
          <w:rFonts w:ascii="Verdana" w:hAnsi="Verdana" w:cs="Arial"/>
          <w:sz w:val="16"/>
          <w:szCs w:val="16"/>
        </w:rPr>
        <w:footnoteRef/>
      </w:r>
      <w:r w:rsidRPr="00B65DC4">
        <w:rPr>
          <w:rFonts w:ascii="Verdana" w:hAnsi="Verdana" w:cs="Arial"/>
          <w:sz w:val="16"/>
          <w:szCs w:val="16"/>
          <w:lang w:val="es-CO"/>
        </w:rPr>
        <w:t xml:space="preserve"> Consejo de Estado, Sala de lo Contencioso Administrativo, Sección Primera. Sentencia de 3 de marzo de 2005, expediente número 2004-00823-01(PI). Ver también, de la Sección Tercera. Sentencia de 22 de enero de 2002, expediente número 2001-0148-01 y, Sección Tercera. Sentencia de 20 de noviembre de 2001, expediente número 2001-0130-01(PI), entre otras.</w:t>
      </w:r>
    </w:p>
    <w:p w14:paraId="386BEDC7" w14:textId="77777777" w:rsidR="009B0578" w:rsidRPr="00B65DC4" w:rsidRDefault="009B0578" w:rsidP="00B62CFA">
      <w:pPr>
        <w:pStyle w:val="Textonotapie"/>
        <w:ind w:firstLine="709"/>
        <w:jc w:val="both"/>
        <w:rPr>
          <w:rFonts w:ascii="Verdana" w:hAnsi="Verdana" w:cs="Arial"/>
          <w:sz w:val="16"/>
          <w:szCs w:val="16"/>
          <w:lang w:val="es-CO"/>
        </w:rPr>
      </w:pPr>
    </w:p>
  </w:footnote>
  <w:footnote w:id="12">
    <w:p w14:paraId="6EEAD6C0" w14:textId="77777777" w:rsidR="00B62CFA" w:rsidRPr="002F1600" w:rsidRDefault="00B62CFA" w:rsidP="00B62CFA">
      <w:pPr>
        <w:pStyle w:val="Textonotapie"/>
        <w:ind w:firstLine="709"/>
        <w:jc w:val="both"/>
        <w:rPr>
          <w:rFonts w:ascii="Verdana" w:hAnsi="Verdana" w:cs="Arial"/>
          <w:sz w:val="14"/>
          <w:szCs w:val="14"/>
        </w:rPr>
      </w:pPr>
      <w:r w:rsidRPr="00B65DC4">
        <w:rPr>
          <w:rStyle w:val="Refdenotaalpie"/>
          <w:rFonts w:ascii="Verdana" w:hAnsi="Verdana" w:cs="Arial"/>
          <w:sz w:val="16"/>
          <w:szCs w:val="16"/>
        </w:rPr>
        <w:footnoteRef/>
      </w:r>
      <w:r w:rsidRPr="00B65DC4">
        <w:rPr>
          <w:rFonts w:ascii="Verdana" w:hAnsi="Verdana" w:cs="Arial"/>
          <w:sz w:val="16"/>
          <w:szCs w:val="16"/>
        </w:rPr>
        <w:t xml:space="preserve"> Consejo de Estado, Sala de Consulta y Servicio Civil de fecha 24 de julio de 2013, radicado 2166, Consejero Ponente: Álvaro Namén Vargas.</w:t>
      </w:r>
      <w:r w:rsidRPr="002F1600">
        <w:rPr>
          <w:rFonts w:ascii="Verdana" w:hAnsi="Verdana" w:cs="Arial"/>
          <w:sz w:val="14"/>
          <w:szCs w:val="14"/>
        </w:rPr>
        <w:t xml:space="preserve">  </w:t>
      </w:r>
    </w:p>
  </w:footnote>
  <w:footnote w:id="13">
    <w:p w14:paraId="423D68AE" w14:textId="77777777" w:rsidR="00B62CFA" w:rsidRPr="00705C6F" w:rsidRDefault="00B62CFA" w:rsidP="00B62CFA">
      <w:pPr>
        <w:spacing w:after="0" w:line="240" w:lineRule="auto"/>
        <w:ind w:firstLine="709"/>
        <w:jc w:val="both"/>
        <w:rPr>
          <w:rFonts w:ascii="Verdana" w:eastAsia="Times New Roman" w:hAnsi="Verdana" w:cs="Arial"/>
          <w:sz w:val="16"/>
          <w:szCs w:val="16"/>
        </w:rPr>
      </w:pPr>
      <w:r w:rsidRPr="00705C6F">
        <w:rPr>
          <w:rStyle w:val="Refdenotaalpie"/>
          <w:rFonts w:ascii="Verdana" w:hAnsi="Verdana" w:cs="Arial"/>
          <w:sz w:val="16"/>
          <w:szCs w:val="16"/>
        </w:rPr>
        <w:footnoteRef/>
      </w:r>
      <w:r w:rsidRPr="00705C6F">
        <w:rPr>
          <w:rFonts w:ascii="Verdana" w:hAnsi="Verdana" w:cs="Arial"/>
          <w:sz w:val="16"/>
          <w:szCs w:val="16"/>
        </w:rPr>
        <w:t xml:space="preserve"> </w:t>
      </w:r>
      <w:bookmarkStart w:id="13" w:name="33"/>
      <w:r w:rsidRPr="00705C6F">
        <w:rPr>
          <w:rFonts w:ascii="Verdana" w:eastAsia="Calibri" w:hAnsi="Verdana" w:cs="Arial"/>
          <w:color w:val="000000"/>
          <w:sz w:val="16"/>
          <w:szCs w:val="16"/>
        </w:rPr>
        <w:t>“</w:t>
      </w:r>
      <w:r w:rsidRPr="00705C6F">
        <w:rPr>
          <w:rFonts w:ascii="Verdana" w:eastAsia="Times New Roman" w:hAnsi="Verdana" w:cs="Arial"/>
          <w:sz w:val="16"/>
          <w:szCs w:val="16"/>
        </w:rPr>
        <w:t>Artículo 33. Restricciones a la contratación pública.</w:t>
      </w:r>
      <w:bookmarkEnd w:id="13"/>
      <w:r w:rsidRPr="00705C6F">
        <w:rPr>
          <w:rFonts w:ascii="Verdana" w:eastAsia="Times New Roman" w:hAnsi="Verdana" w:cs="Arial"/>
          <w:sz w:val="16"/>
          <w:szCs w:val="16"/>
        </w:rPr>
        <w:t> Durante los cuatro (4) meses anteriores a la elección presidencial y hasta la realización de la elección en la segunda vuelta, si fuere el caso, queda prohibida la contratación directa por parte de todos los entes del Estado.</w:t>
      </w:r>
    </w:p>
    <w:p w14:paraId="48E5A876" w14:textId="77777777" w:rsidR="00B62CFA" w:rsidRDefault="00B62CFA" w:rsidP="00B62CFA">
      <w:pPr>
        <w:spacing w:after="0" w:line="240" w:lineRule="auto"/>
        <w:ind w:firstLine="709"/>
        <w:jc w:val="both"/>
        <w:rPr>
          <w:rFonts w:ascii="Verdana" w:eastAsia="Times New Roman" w:hAnsi="Verdana" w:cs="Arial"/>
          <w:sz w:val="16"/>
          <w:szCs w:val="16"/>
        </w:rPr>
      </w:pPr>
      <w:r w:rsidRPr="00705C6F">
        <w:rPr>
          <w:rFonts w:ascii="Verdana" w:eastAsia="Times New Roman" w:hAnsi="Verdana" w:cs="Arial"/>
          <w:sz w:val="16"/>
          <w:szCs w:val="16"/>
        </w:rPr>
        <w:t>Queda exceptuado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705C6F">
        <w:rPr>
          <w:rFonts w:ascii="Verdana" w:eastAsia="Calibri" w:hAnsi="Verdana" w:cs="Arial"/>
          <w:color w:val="000000"/>
          <w:sz w:val="16"/>
          <w:szCs w:val="16"/>
        </w:rPr>
        <w:t>”</w:t>
      </w:r>
      <w:r w:rsidRPr="00705C6F">
        <w:rPr>
          <w:rFonts w:ascii="Verdana" w:eastAsia="Times New Roman" w:hAnsi="Verdana" w:cs="Arial"/>
          <w:sz w:val="16"/>
          <w:szCs w:val="16"/>
        </w:rPr>
        <w:t>.</w:t>
      </w:r>
    </w:p>
    <w:p w14:paraId="1884649C" w14:textId="77777777" w:rsidR="001A62B0" w:rsidRPr="00705C6F" w:rsidRDefault="001A62B0" w:rsidP="00B62CFA">
      <w:pPr>
        <w:spacing w:after="0" w:line="240" w:lineRule="auto"/>
        <w:ind w:firstLine="709"/>
        <w:jc w:val="both"/>
        <w:rPr>
          <w:rFonts w:ascii="Verdana" w:eastAsia="Times New Roman" w:hAnsi="Verdana" w:cs="Arial"/>
          <w:sz w:val="16"/>
          <w:szCs w:val="16"/>
        </w:rPr>
      </w:pPr>
    </w:p>
  </w:footnote>
  <w:footnote w:id="14">
    <w:p w14:paraId="2D7C9B1F" w14:textId="77777777" w:rsidR="00B62CFA" w:rsidRPr="00705C6F" w:rsidRDefault="00B62CFA" w:rsidP="00B62CFA">
      <w:pPr>
        <w:pStyle w:val="NormalWeb"/>
        <w:spacing w:before="0" w:beforeAutospacing="0" w:after="0" w:afterAutospacing="0"/>
        <w:ind w:firstLine="709"/>
        <w:jc w:val="both"/>
        <w:rPr>
          <w:rFonts w:ascii="Verdana" w:hAnsi="Verdana" w:cs="Arial"/>
          <w:sz w:val="16"/>
          <w:szCs w:val="16"/>
          <w:lang w:val="es-MX"/>
        </w:rPr>
      </w:pPr>
      <w:r w:rsidRPr="00705C6F">
        <w:rPr>
          <w:rStyle w:val="Refdenotaalpie"/>
          <w:rFonts w:ascii="Verdana" w:eastAsiaTheme="majorEastAsia" w:hAnsi="Verdana" w:cs="Arial"/>
          <w:sz w:val="16"/>
          <w:szCs w:val="16"/>
        </w:rPr>
        <w:footnoteRef/>
      </w:r>
      <w:r w:rsidRPr="00705C6F">
        <w:rPr>
          <w:rFonts w:ascii="Verdana" w:hAnsi="Verdana" w:cs="Arial"/>
          <w:sz w:val="16"/>
          <w:szCs w:val="16"/>
        </w:rPr>
        <w:t xml:space="preserve"> </w:t>
      </w:r>
      <w:bookmarkStart w:id="14" w:name="38"/>
      <w:r w:rsidRPr="00705C6F">
        <w:rPr>
          <w:rFonts w:ascii="Verdana" w:eastAsia="Calibri" w:hAnsi="Verdana" w:cs="Arial"/>
          <w:color w:val="000000"/>
          <w:sz w:val="16"/>
          <w:szCs w:val="16"/>
        </w:rPr>
        <w:t>“</w:t>
      </w:r>
      <w:r w:rsidRPr="00705C6F">
        <w:rPr>
          <w:rFonts w:ascii="Verdana" w:hAnsi="Verdana" w:cs="Arial"/>
          <w:sz w:val="16"/>
          <w:szCs w:val="16"/>
          <w:lang w:val="es-MX"/>
        </w:rPr>
        <w:t>Artículo 38. Prohibiciones para los servidores públicos. A los empleados del Estado les está prohibido:</w:t>
      </w:r>
      <w:bookmarkEnd w:id="14"/>
    </w:p>
    <w:p w14:paraId="2057CF74" w14:textId="77777777" w:rsidR="00B62CFA" w:rsidRPr="00705C6F" w:rsidRDefault="00B62CFA" w:rsidP="00B62CFA">
      <w:pPr>
        <w:pStyle w:val="NormalWeb"/>
        <w:spacing w:before="0" w:beforeAutospacing="0" w:after="0" w:afterAutospacing="0"/>
        <w:ind w:firstLine="709"/>
        <w:jc w:val="both"/>
        <w:rPr>
          <w:rFonts w:ascii="Verdana" w:hAnsi="Verdana" w:cs="Arial"/>
          <w:sz w:val="16"/>
          <w:szCs w:val="16"/>
          <w:lang w:val="es-MX"/>
        </w:rPr>
      </w:pPr>
      <w:r w:rsidRPr="00705C6F">
        <w:rPr>
          <w:rFonts w:ascii="Verdana" w:hAnsi="Verdana" w:cs="Arial"/>
          <w:sz w:val="16"/>
          <w:szCs w:val="16"/>
          <w:lang w:val="es-MX"/>
        </w:rPr>
        <w:t>[…]</w:t>
      </w:r>
    </w:p>
    <w:p w14:paraId="63BE4ACA" w14:textId="77777777" w:rsidR="00B62CFA" w:rsidRDefault="00B62CFA" w:rsidP="00B62CFA">
      <w:pPr>
        <w:pStyle w:val="NormalWeb"/>
        <w:spacing w:before="0" w:beforeAutospacing="0" w:after="0" w:afterAutospacing="0"/>
        <w:ind w:firstLine="709"/>
        <w:jc w:val="both"/>
        <w:rPr>
          <w:rFonts w:ascii="Verdana" w:hAnsi="Verdana" w:cs="Arial"/>
          <w:sz w:val="16"/>
          <w:szCs w:val="16"/>
          <w:lang w:val="es-MX"/>
        </w:rPr>
      </w:pPr>
      <w:r w:rsidRPr="00705C6F">
        <w:rPr>
          <w:rStyle w:val="baj"/>
          <w:rFonts w:ascii="Verdana" w:eastAsiaTheme="minorEastAsia" w:hAnsi="Verdana" w:cs="Arial"/>
          <w:sz w:val="16"/>
          <w:szCs w:val="16"/>
          <w:lang w:val="es-MX"/>
        </w:rPr>
        <w:t>Parágrafo.</w:t>
      </w:r>
      <w:r w:rsidRPr="00705C6F">
        <w:rPr>
          <w:rFonts w:ascii="Verdana" w:hAnsi="Verdana" w:cs="Arial"/>
          <w:sz w:val="16"/>
          <w:szCs w:val="16"/>
          <w:lang w:val="es-MX"/>
        </w:rPr>
        <w:t> Los gobernadores, alcaldes municipales y/o distritales, secretarios, gerentes y directores de entidades descentralizadas del orden municipal, departamental o distrital, dentro de los cuatro (4) meses anteriores a las elecciones, no podrán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705C6F">
        <w:rPr>
          <w:rFonts w:ascii="Verdana" w:eastAsia="Calibri" w:hAnsi="Verdana" w:cs="Arial"/>
          <w:color w:val="000000"/>
          <w:sz w:val="16"/>
          <w:szCs w:val="16"/>
        </w:rPr>
        <w:t>”</w:t>
      </w:r>
      <w:r w:rsidRPr="00705C6F">
        <w:rPr>
          <w:rFonts w:ascii="Verdana" w:hAnsi="Verdana" w:cs="Arial"/>
          <w:sz w:val="16"/>
          <w:szCs w:val="16"/>
          <w:lang w:val="es-MX"/>
        </w:rPr>
        <w:t>.</w:t>
      </w:r>
    </w:p>
    <w:p w14:paraId="2659EB71" w14:textId="77777777" w:rsidR="001E102A" w:rsidRPr="00B65DC4" w:rsidRDefault="001E102A" w:rsidP="00B62CFA">
      <w:pPr>
        <w:pStyle w:val="NormalWeb"/>
        <w:spacing w:before="0" w:beforeAutospacing="0" w:after="0" w:afterAutospacing="0"/>
        <w:ind w:firstLine="709"/>
        <w:jc w:val="both"/>
        <w:rPr>
          <w:rFonts w:ascii="Verdana" w:hAnsi="Verdana" w:cs="Arial"/>
          <w:sz w:val="16"/>
          <w:szCs w:val="16"/>
          <w:lang w:val="es-MX"/>
        </w:rPr>
      </w:pPr>
    </w:p>
  </w:footnote>
  <w:footnote w:id="15">
    <w:p w14:paraId="16480353" w14:textId="77777777" w:rsidR="00B62CFA" w:rsidRPr="00677B37" w:rsidRDefault="00B62CFA" w:rsidP="00B62CFA">
      <w:pPr>
        <w:spacing w:after="0" w:line="240" w:lineRule="auto"/>
        <w:ind w:left="100" w:right="244" w:firstLine="709"/>
        <w:jc w:val="both"/>
        <w:rPr>
          <w:rFonts w:ascii="Verdana" w:hAnsi="Verdana" w:cs="Arial"/>
          <w:sz w:val="16"/>
          <w:szCs w:val="16"/>
          <w:lang w:val="es-ES"/>
        </w:rPr>
      </w:pPr>
      <w:r w:rsidRPr="00B65DC4">
        <w:rPr>
          <w:rStyle w:val="Refdenotaalpie"/>
          <w:rFonts w:ascii="Verdana" w:hAnsi="Verdana" w:cs="Arial"/>
          <w:sz w:val="16"/>
          <w:szCs w:val="16"/>
        </w:rPr>
        <w:footnoteRef/>
      </w:r>
      <w:r w:rsidRPr="00B65DC4">
        <w:rPr>
          <w:rFonts w:ascii="Verdana" w:hAnsi="Verdana" w:cs="Arial"/>
          <w:sz w:val="16"/>
          <w:szCs w:val="16"/>
        </w:rPr>
        <w:t xml:space="preserve"> Consejo de Estado. Sala de Consulta y Servicio Civil. Concepto del 17 de febrero de 2015. C.P. William Zambrano Cetina. Radicación No. 11001-03-06-000-2015-00164-00(2269).</w:t>
      </w:r>
    </w:p>
  </w:footnote>
  <w:footnote w:id="16">
    <w:p w14:paraId="63B435C2" w14:textId="77777777" w:rsidR="00B62CFA" w:rsidRPr="005977E3" w:rsidRDefault="00B62CFA" w:rsidP="00B62CFA">
      <w:pPr>
        <w:pStyle w:val="Textonotapie"/>
        <w:ind w:right="51" w:firstLine="709"/>
        <w:jc w:val="both"/>
        <w:rPr>
          <w:rFonts w:ascii="Verdana" w:hAnsi="Verdana" w:cs="Arial"/>
          <w:sz w:val="16"/>
          <w:szCs w:val="16"/>
        </w:rPr>
      </w:pPr>
      <w:r w:rsidRPr="005977E3">
        <w:rPr>
          <w:rStyle w:val="Refdenotaalpie"/>
          <w:rFonts w:ascii="Verdana" w:hAnsi="Verdana" w:cs="Arial"/>
          <w:sz w:val="16"/>
          <w:szCs w:val="16"/>
        </w:rPr>
        <w:footnoteRef/>
      </w:r>
      <w:r w:rsidRPr="005977E3">
        <w:rPr>
          <w:rFonts w:ascii="Verdana" w:hAnsi="Verdana" w:cs="Arial"/>
          <w:sz w:val="16"/>
          <w:szCs w:val="16"/>
        </w:rPr>
        <w:t xml:space="preserve"> “</w:t>
      </w:r>
      <w:r w:rsidRPr="005977E3">
        <w:rPr>
          <w:rFonts w:ascii="Verdana" w:hAnsi="Verdana" w:cs="Arial"/>
          <w:sz w:val="16"/>
          <w:szCs w:val="16"/>
          <w:lang w:val="es-ES"/>
        </w:rPr>
        <w:t xml:space="preserve">[25] </w:t>
      </w:r>
      <w:r w:rsidRPr="005977E3">
        <w:rPr>
          <w:rFonts w:ascii="Verdana" w:hAnsi="Verdana" w:cs="Arial"/>
          <w:sz w:val="16"/>
          <w:szCs w:val="16"/>
        </w:rPr>
        <w:t>Cfr. Consejo de Estado. Sección Tercera. Sentencia de 3 de diciembre de 2007. Radicados: 24.715, 25.206, 25.409, 24.524, 27.834, 25.410, 26.105, 28.244, 31.447 -acumulados-”.</w:t>
      </w:r>
    </w:p>
  </w:footnote>
  <w:footnote w:id="17">
    <w:p w14:paraId="137F2C92" w14:textId="77777777" w:rsidR="00B62CFA" w:rsidRDefault="00B62CFA" w:rsidP="00B62CFA">
      <w:pPr>
        <w:pStyle w:val="Textonotapie"/>
        <w:ind w:right="51" w:firstLine="709"/>
        <w:jc w:val="both"/>
        <w:rPr>
          <w:rFonts w:ascii="Verdana" w:hAnsi="Verdana" w:cs="Arial"/>
          <w:sz w:val="16"/>
          <w:szCs w:val="16"/>
        </w:rPr>
      </w:pPr>
      <w:r w:rsidRPr="005977E3">
        <w:rPr>
          <w:rStyle w:val="Refdenotaalpie"/>
          <w:rFonts w:ascii="Verdana" w:hAnsi="Verdana" w:cs="Arial"/>
          <w:sz w:val="16"/>
          <w:szCs w:val="16"/>
        </w:rPr>
        <w:footnoteRef/>
      </w:r>
      <w:r w:rsidRPr="005977E3">
        <w:rPr>
          <w:rFonts w:ascii="Verdana" w:hAnsi="Verdana" w:cs="Arial"/>
          <w:sz w:val="16"/>
          <w:szCs w:val="16"/>
        </w:rPr>
        <w:t xml:space="preserve"> “</w:t>
      </w:r>
      <w:r w:rsidRPr="005977E3">
        <w:rPr>
          <w:rFonts w:ascii="Verdana" w:hAnsi="Verdana" w:cs="Arial"/>
          <w:sz w:val="16"/>
          <w:szCs w:val="16"/>
          <w:lang w:val="es-ES"/>
        </w:rPr>
        <w:t xml:space="preserve">[26] </w:t>
      </w:r>
      <w:r w:rsidRPr="005977E3">
        <w:rPr>
          <w:rFonts w:ascii="Verdana" w:hAnsi="Verdana" w:cs="Arial"/>
          <w:sz w:val="16"/>
          <w:szCs w:val="16"/>
        </w:rPr>
        <w:t>Al respecto ver el concepto 1712 de 2 de febrero de 2006. Consejo de Estado Sala de Consulta y Servicio Civil”.</w:t>
      </w:r>
    </w:p>
    <w:p w14:paraId="3D289241" w14:textId="77777777" w:rsidR="001A62B0" w:rsidRPr="005977E3" w:rsidRDefault="001A62B0" w:rsidP="00B62CFA">
      <w:pPr>
        <w:pStyle w:val="Textonotapie"/>
        <w:ind w:right="51" w:firstLine="709"/>
        <w:jc w:val="both"/>
        <w:rPr>
          <w:rFonts w:ascii="Verdana" w:hAnsi="Verdana" w:cs="Arial"/>
          <w:sz w:val="16"/>
          <w:szCs w:val="16"/>
        </w:rPr>
      </w:pPr>
    </w:p>
  </w:footnote>
  <w:footnote w:id="18">
    <w:p w14:paraId="10DD8F65" w14:textId="77777777" w:rsidR="00B62CFA" w:rsidRDefault="00B62CFA" w:rsidP="00B62CFA">
      <w:pPr>
        <w:pStyle w:val="Textonotapie"/>
        <w:ind w:firstLine="709"/>
        <w:jc w:val="both"/>
        <w:rPr>
          <w:rFonts w:ascii="Verdana" w:hAnsi="Verdana" w:cs="Arial"/>
          <w:sz w:val="16"/>
          <w:szCs w:val="16"/>
        </w:rPr>
      </w:pPr>
      <w:r w:rsidRPr="005977E3">
        <w:rPr>
          <w:rStyle w:val="Refdenotaalpie"/>
          <w:rFonts w:ascii="Verdana" w:hAnsi="Verdana" w:cs="Arial"/>
          <w:sz w:val="16"/>
          <w:szCs w:val="16"/>
        </w:rPr>
        <w:footnoteRef/>
      </w:r>
      <w:r w:rsidRPr="005977E3">
        <w:rPr>
          <w:rFonts w:ascii="Verdana" w:hAnsi="Verdana" w:cs="Arial"/>
          <w:sz w:val="16"/>
          <w:szCs w:val="16"/>
        </w:rPr>
        <w:t xml:space="preserve"> Consejo de Estado. Sala de Consulta y Servicio Civil. Concepto del 2 de septiembre de 2013. Radicación número: 11001-03-06-000-2013-00412-00 (2168). Consejero Ponente: Álvaro Namén Vargas.</w:t>
      </w:r>
    </w:p>
    <w:p w14:paraId="31118B74" w14:textId="77777777" w:rsidR="001A62B0" w:rsidRPr="005977E3" w:rsidRDefault="001A62B0" w:rsidP="00B62CFA">
      <w:pPr>
        <w:pStyle w:val="Textonotapie"/>
        <w:ind w:firstLine="709"/>
        <w:jc w:val="both"/>
        <w:rPr>
          <w:rFonts w:ascii="Verdana" w:hAnsi="Verdana" w:cs="Arial"/>
          <w:sz w:val="16"/>
          <w:szCs w:val="16"/>
        </w:rPr>
      </w:pPr>
    </w:p>
  </w:footnote>
  <w:footnote w:id="19">
    <w:p w14:paraId="1ED2CB91" w14:textId="77777777" w:rsidR="00B62CFA" w:rsidRDefault="00B62CFA" w:rsidP="00B62CFA">
      <w:pPr>
        <w:pStyle w:val="Textonotapie"/>
        <w:ind w:firstLine="709"/>
        <w:jc w:val="both"/>
        <w:rPr>
          <w:rFonts w:ascii="Verdana" w:hAnsi="Verdana" w:cs="Arial"/>
          <w:sz w:val="16"/>
          <w:szCs w:val="16"/>
          <w:lang w:val="es-ES"/>
        </w:rPr>
      </w:pPr>
      <w:r w:rsidRPr="005977E3">
        <w:rPr>
          <w:rStyle w:val="Refdenotaalpie"/>
          <w:rFonts w:ascii="Verdana" w:hAnsi="Verdana" w:cs="Arial"/>
          <w:sz w:val="16"/>
          <w:szCs w:val="16"/>
        </w:rPr>
        <w:footnoteRef/>
      </w:r>
      <w:r w:rsidRPr="005977E3">
        <w:rPr>
          <w:rFonts w:ascii="Verdana" w:hAnsi="Verdana" w:cs="Arial"/>
          <w:sz w:val="16"/>
          <w:szCs w:val="16"/>
        </w:rPr>
        <w:t xml:space="preserve"> </w:t>
      </w:r>
      <w:r w:rsidRPr="005977E3">
        <w:rPr>
          <w:rFonts w:ascii="Verdana" w:hAnsi="Verdana" w:cs="Arial"/>
          <w:sz w:val="16"/>
          <w:szCs w:val="16"/>
          <w:lang w:val="es-ES"/>
        </w:rPr>
        <w:t xml:space="preserve">Artículo 2. </w:t>
      </w:r>
    </w:p>
    <w:p w14:paraId="22017919" w14:textId="77777777" w:rsidR="001A62B0" w:rsidRPr="005977E3" w:rsidRDefault="001A62B0" w:rsidP="00B62CFA">
      <w:pPr>
        <w:pStyle w:val="Textonotapie"/>
        <w:ind w:firstLine="709"/>
        <w:jc w:val="both"/>
        <w:rPr>
          <w:rFonts w:ascii="Verdana" w:hAnsi="Verdana" w:cs="Arial"/>
          <w:sz w:val="16"/>
          <w:szCs w:val="16"/>
          <w:lang w:val="es-ES"/>
        </w:rPr>
      </w:pPr>
    </w:p>
  </w:footnote>
  <w:footnote w:id="20">
    <w:p w14:paraId="17D84428" w14:textId="77777777" w:rsidR="00B62CFA" w:rsidRDefault="00B62CFA" w:rsidP="00B62CFA">
      <w:pPr>
        <w:pStyle w:val="Textonotapie"/>
        <w:ind w:firstLine="709"/>
        <w:jc w:val="both"/>
        <w:rPr>
          <w:rFonts w:ascii="Verdana" w:hAnsi="Verdana" w:cs="Arial"/>
          <w:sz w:val="16"/>
          <w:szCs w:val="16"/>
          <w:lang w:val="es-ES"/>
        </w:rPr>
      </w:pPr>
      <w:r w:rsidRPr="005977E3">
        <w:rPr>
          <w:rStyle w:val="Refdenotaalpie"/>
          <w:rFonts w:ascii="Verdana" w:hAnsi="Verdana" w:cs="Arial"/>
          <w:sz w:val="16"/>
          <w:szCs w:val="16"/>
        </w:rPr>
        <w:footnoteRef/>
      </w:r>
      <w:r w:rsidRPr="005977E3">
        <w:rPr>
          <w:rFonts w:ascii="Verdana" w:hAnsi="Verdana" w:cs="Arial"/>
          <w:sz w:val="16"/>
          <w:szCs w:val="16"/>
        </w:rPr>
        <w:t xml:space="preserve"> </w:t>
      </w:r>
      <w:r w:rsidRPr="005977E3">
        <w:rPr>
          <w:rFonts w:ascii="Verdana" w:hAnsi="Verdana" w:cs="Arial"/>
          <w:i/>
          <w:sz w:val="16"/>
          <w:szCs w:val="16"/>
          <w:lang w:val="es-ES"/>
        </w:rPr>
        <w:t>Ibidem</w:t>
      </w:r>
      <w:r w:rsidRPr="005977E3">
        <w:rPr>
          <w:rFonts w:ascii="Verdana" w:hAnsi="Verdana" w:cs="Arial"/>
          <w:sz w:val="16"/>
          <w:szCs w:val="16"/>
          <w:lang w:val="es-ES"/>
        </w:rPr>
        <w:t>.</w:t>
      </w:r>
    </w:p>
    <w:p w14:paraId="74A3C6AA" w14:textId="77777777" w:rsidR="001A62B0" w:rsidRPr="00677B37" w:rsidRDefault="001A62B0" w:rsidP="00B62CFA">
      <w:pPr>
        <w:pStyle w:val="Textonotapie"/>
        <w:ind w:firstLine="709"/>
        <w:jc w:val="both"/>
        <w:rPr>
          <w:rFonts w:ascii="Verdana" w:hAnsi="Verdana" w:cs="Arial"/>
          <w:sz w:val="16"/>
          <w:szCs w:val="16"/>
          <w:lang w:val="es-ES"/>
        </w:rPr>
      </w:pPr>
    </w:p>
  </w:footnote>
  <w:footnote w:id="21">
    <w:p w14:paraId="5EBB7B23" w14:textId="77777777" w:rsidR="00B62CFA" w:rsidRPr="005977E3" w:rsidRDefault="00B62CFA" w:rsidP="00B62CFA">
      <w:pPr>
        <w:pStyle w:val="Textonotapie"/>
        <w:ind w:firstLine="709"/>
        <w:jc w:val="both"/>
        <w:rPr>
          <w:rFonts w:ascii="Verdana" w:hAnsi="Verdana" w:cs="Arial"/>
          <w:sz w:val="16"/>
          <w:szCs w:val="16"/>
          <w:lang w:val="es-ES"/>
        </w:rPr>
      </w:pPr>
      <w:r w:rsidRPr="005977E3">
        <w:rPr>
          <w:rStyle w:val="Refdenotaalpie"/>
          <w:rFonts w:ascii="Verdana" w:hAnsi="Verdana" w:cs="Arial"/>
          <w:sz w:val="16"/>
          <w:szCs w:val="16"/>
        </w:rPr>
        <w:footnoteRef/>
      </w:r>
      <w:r w:rsidRPr="005977E3">
        <w:rPr>
          <w:rStyle w:val="Refdenotaalpie"/>
          <w:rFonts w:ascii="Verdana" w:hAnsi="Verdana" w:cs="Arial"/>
          <w:sz w:val="16"/>
          <w:szCs w:val="16"/>
        </w:rPr>
        <w:t xml:space="preserve"> </w:t>
      </w:r>
      <w:r w:rsidRPr="005977E3">
        <w:rPr>
          <w:rFonts w:ascii="Verdana" w:hAnsi="Verdana" w:cs="Arial"/>
          <w:sz w:val="16"/>
          <w:szCs w:val="16"/>
          <w:lang w:val="es-ES"/>
        </w:rPr>
        <w:t xml:space="preserve">“[…] A este respecto, cabe recordar que el artículo 860 del Código de Comercio regula la licitación en el derecho privado”. </w:t>
      </w:r>
    </w:p>
  </w:footnote>
  <w:footnote w:id="22">
    <w:p w14:paraId="596FC7ED" w14:textId="77777777" w:rsidR="00B62CFA" w:rsidRDefault="00B62CFA" w:rsidP="00B62CFA">
      <w:pPr>
        <w:shd w:val="clear" w:color="auto" w:fill="FFFFFF"/>
        <w:spacing w:after="0" w:line="240" w:lineRule="auto"/>
        <w:ind w:firstLine="709"/>
        <w:jc w:val="both"/>
        <w:rPr>
          <w:rFonts w:ascii="Verdana" w:hAnsi="Verdana" w:cs="Arial"/>
          <w:sz w:val="16"/>
          <w:szCs w:val="16"/>
          <w:lang w:val="es-ES"/>
        </w:rPr>
      </w:pPr>
      <w:r w:rsidRPr="005977E3">
        <w:rPr>
          <w:rStyle w:val="Refdenotaalpie"/>
          <w:rFonts w:ascii="Verdana" w:hAnsi="Verdana" w:cs="Arial"/>
          <w:sz w:val="16"/>
          <w:szCs w:val="16"/>
        </w:rPr>
        <w:footnoteRef/>
      </w:r>
      <w:r w:rsidRPr="005977E3">
        <w:rPr>
          <w:rStyle w:val="Refdenotaalpie"/>
          <w:rFonts w:ascii="Verdana" w:hAnsi="Verdana" w:cs="Arial"/>
          <w:sz w:val="16"/>
          <w:szCs w:val="16"/>
        </w:rPr>
        <w:t xml:space="preserve"> </w:t>
      </w:r>
      <w:r w:rsidRPr="005977E3">
        <w:rPr>
          <w:rFonts w:ascii="Verdana" w:hAnsi="Verdana" w:cs="Arial"/>
          <w:sz w:val="16"/>
          <w:szCs w:val="16"/>
          <w:lang w:val="es-ES"/>
        </w:rPr>
        <w:t>Consejo de Estado. Sala de Consulta y Servicio Civil, Concepto de 8 de mayo de 2018. Radicación Número: 11001-03-06-000-2018-00095-00(2382). Consejero Ponente: Álvaro Namén Vargas.</w:t>
      </w:r>
    </w:p>
    <w:p w14:paraId="565DC1B3" w14:textId="77777777" w:rsidR="00125EAE" w:rsidRPr="005977E3" w:rsidRDefault="00125EAE" w:rsidP="00B62CFA">
      <w:pPr>
        <w:shd w:val="clear" w:color="auto" w:fill="FFFFFF"/>
        <w:spacing w:after="0" w:line="240" w:lineRule="auto"/>
        <w:ind w:firstLine="709"/>
        <w:jc w:val="both"/>
        <w:rPr>
          <w:rFonts w:ascii="Verdana" w:hAnsi="Verdana" w:cs="Arial"/>
          <w:sz w:val="16"/>
          <w:szCs w:val="16"/>
          <w:lang w:val="es-ES"/>
        </w:rPr>
      </w:pPr>
    </w:p>
  </w:footnote>
  <w:footnote w:id="23">
    <w:p w14:paraId="3055C39D" w14:textId="77777777" w:rsidR="00B62CFA" w:rsidRPr="002F1600" w:rsidRDefault="00B62CFA" w:rsidP="00B62CFA">
      <w:pPr>
        <w:pStyle w:val="Textonotapie"/>
        <w:ind w:firstLine="709"/>
        <w:jc w:val="both"/>
        <w:rPr>
          <w:rFonts w:ascii="Verdana" w:hAnsi="Verdana" w:cs="Arial"/>
          <w:sz w:val="14"/>
          <w:szCs w:val="14"/>
        </w:rPr>
      </w:pPr>
      <w:r w:rsidRPr="005977E3">
        <w:rPr>
          <w:rStyle w:val="Refdenotaalpie"/>
          <w:rFonts w:ascii="Verdana" w:hAnsi="Verdana" w:cs="Arial"/>
          <w:sz w:val="16"/>
          <w:szCs w:val="16"/>
        </w:rPr>
        <w:footnoteRef/>
      </w:r>
      <w:r w:rsidRPr="005977E3">
        <w:rPr>
          <w:rFonts w:ascii="Verdana" w:hAnsi="Verdana" w:cs="Arial"/>
          <w:sz w:val="16"/>
          <w:szCs w:val="16"/>
        </w:rPr>
        <w:t xml:space="preserve"> Consejo de Estado. Sala de Consulta y Servicio Civil. Concepto del 08 de mayo de 2018. </w:t>
      </w:r>
      <w:proofErr w:type="spellStart"/>
      <w:r w:rsidRPr="005977E3">
        <w:rPr>
          <w:rFonts w:ascii="Verdana" w:hAnsi="Verdana" w:cs="Arial"/>
          <w:sz w:val="16"/>
          <w:szCs w:val="16"/>
        </w:rPr>
        <w:t>Exp</w:t>
      </w:r>
      <w:proofErr w:type="spellEnd"/>
      <w:r w:rsidRPr="005977E3">
        <w:rPr>
          <w:rFonts w:ascii="Verdana" w:hAnsi="Verdana" w:cs="Arial"/>
          <w:sz w:val="16"/>
          <w:szCs w:val="16"/>
        </w:rPr>
        <w:t>. 2.382. C.P. Álvaro Namén Vargas.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10314EA3"/>
    <w:multiLevelType w:val="hybridMultilevel"/>
    <w:tmpl w:val="4E465A08"/>
    <w:lvl w:ilvl="0" w:tplc="4EFC78E8">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1DF81B0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1"/>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0"/>
  </w:num>
  <w:num w:numId="13" w16cid:durableId="1512908409">
    <w:abstractNumId w:val="3"/>
  </w:num>
  <w:num w:numId="14" w16cid:durableId="895897244">
    <w:abstractNumId w:val="14"/>
  </w:num>
  <w:num w:numId="15" w16cid:durableId="390349800">
    <w:abstractNumId w:val="10"/>
  </w:num>
  <w:num w:numId="16" w16cid:durableId="1226986960">
    <w:abstractNumId w:val="2"/>
  </w:num>
  <w:num w:numId="17" w16cid:durableId="17372388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2526F"/>
    <w:rsid w:val="00046945"/>
    <w:rsid w:val="00061B2A"/>
    <w:rsid w:val="00082362"/>
    <w:rsid w:val="000A5755"/>
    <w:rsid w:val="000A683E"/>
    <w:rsid w:val="000B19B9"/>
    <w:rsid w:val="000D0334"/>
    <w:rsid w:val="000D5DA7"/>
    <w:rsid w:val="000F6486"/>
    <w:rsid w:val="00116940"/>
    <w:rsid w:val="00125105"/>
    <w:rsid w:val="00125EAE"/>
    <w:rsid w:val="00127233"/>
    <w:rsid w:val="0014166C"/>
    <w:rsid w:val="0014258A"/>
    <w:rsid w:val="0015699B"/>
    <w:rsid w:val="00162425"/>
    <w:rsid w:val="001A33BF"/>
    <w:rsid w:val="001A62B0"/>
    <w:rsid w:val="001E102A"/>
    <w:rsid w:val="001E2342"/>
    <w:rsid w:val="001E4177"/>
    <w:rsid w:val="001F0B24"/>
    <w:rsid w:val="001F7DC6"/>
    <w:rsid w:val="00200CAF"/>
    <w:rsid w:val="0022400B"/>
    <w:rsid w:val="002421BB"/>
    <w:rsid w:val="0025796E"/>
    <w:rsid w:val="00264B56"/>
    <w:rsid w:val="002707A2"/>
    <w:rsid w:val="0028568C"/>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6449C"/>
    <w:rsid w:val="00374F5E"/>
    <w:rsid w:val="00377E3E"/>
    <w:rsid w:val="00385648"/>
    <w:rsid w:val="00392C4D"/>
    <w:rsid w:val="00397944"/>
    <w:rsid w:val="003A779E"/>
    <w:rsid w:val="003D0F4D"/>
    <w:rsid w:val="003D5B0D"/>
    <w:rsid w:val="003E0499"/>
    <w:rsid w:val="003E4F80"/>
    <w:rsid w:val="003E6439"/>
    <w:rsid w:val="003E67EC"/>
    <w:rsid w:val="003F3941"/>
    <w:rsid w:val="00406575"/>
    <w:rsid w:val="00414C74"/>
    <w:rsid w:val="0042722E"/>
    <w:rsid w:val="004451C0"/>
    <w:rsid w:val="0044528D"/>
    <w:rsid w:val="00466E39"/>
    <w:rsid w:val="004A1847"/>
    <w:rsid w:val="004A305D"/>
    <w:rsid w:val="004F21C4"/>
    <w:rsid w:val="004F685F"/>
    <w:rsid w:val="005566E8"/>
    <w:rsid w:val="00574867"/>
    <w:rsid w:val="00591460"/>
    <w:rsid w:val="005977E3"/>
    <w:rsid w:val="005A65E0"/>
    <w:rsid w:val="005C3777"/>
    <w:rsid w:val="005C5CDC"/>
    <w:rsid w:val="005D476C"/>
    <w:rsid w:val="00610FFC"/>
    <w:rsid w:val="006200BF"/>
    <w:rsid w:val="006219F8"/>
    <w:rsid w:val="006302F7"/>
    <w:rsid w:val="00642FAA"/>
    <w:rsid w:val="006443C8"/>
    <w:rsid w:val="00646B9F"/>
    <w:rsid w:val="00647A80"/>
    <w:rsid w:val="00665D70"/>
    <w:rsid w:val="00667913"/>
    <w:rsid w:val="006900D9"/>
    <w:rsid w:val="006933D9"/>
    <w:rsid w:val="006B31BD"/>
    <w:rsid w:val="00705C6F"/>
    <w:rsid w:val="00706C16"/>
    <w:rsid w:val="007340C3"/>
    <w:rsid w:val="0074251E"/>
    <w:rsid w:val="0075235A"/>
    <w:rsid w:val="00756841"/>
    <w:rsid w:val="007649AB"/>
    <w:rsid w:val="00771D0C"/>
    <w:rsid w:val="007833AC"/>
    <w:rsid w:val="00785E5C"/>
    <w:rsid w:val="00796985"/>
    <w:rsid w:val="007B268C"/>
    <w:rsid w:val="007B7171"/>
    <w:rsid w:val="007C0C0F"/>
    <w:rsid w:val="007C14F3"/>
    <w:rsid w:val="007C3DC2"/>
    <w:rsid w:val="007D00BF"/>
    <w:rsid w:val="007E5497"/>
    <w:rsid w:val="00806F5F"/>
    <w:rsid w:val="00820278"/>
    <w:rsid w:val="008258C9"/>
    <w:rsid w:val="00844AE9"/>
    <w:rsid w:val="00867F95"/>
    <w:rsid w:val="008843B6"/>
    <w:rsid w:val="00891928"/>
    <w:rsid w:val="008A446D"/>
    <w:rsid w:val="008B25F1"/>
    <w:rsid w:val="008C3CC4"/>
    <w:rsid w:val="008C57C8"/>
    <w:rsid w:val="008C687D"/>
    <w:rsid w:val="008D180B"/>
    <w:rsid w:val="008F0EA7"/>
    <w:rsid w:val="00914D3E"/>
    <w:rsid w:val="00921E13"/>
    <w:rsid w:val="00923EEF"/>
    <w:rsid w:val="00926645"/>
    <w:rsid w:val="009419F9"/>
    <w:rsid w:val="0095685E"/>
    <w:rsid w:val="00961B09"/>
    <w:rsid w:val="00965334"/>
    <w:rsid w:val="0097093E"/>
    <w:rsid w:val="00974FC9"/>
    <w:rsid w:val="009A0DFA"/>
    <w:rsid w:val="009A1C6F"/>
    <w:rsid w:val="009B0578"/>
    <w:rsid w:val="009B2D26"/>
    <w:rsid w:val="009C71FA"/>
    <w:rsid w:val="009C72E7"/>
    <w:rsid w:val="009C7F7E"/>
    <w:rsid w:val="009D3058"/>
    <w:rsid w:val="009F3A13"/>
    <w:rsid w:val="00A122D3"/>
    <w:rsid w:val="00A14468"/>
    <w:rsid w:val="00A17F13"/>
    <w:rsid w:val="00A20739"/>
    <w:rsid w:val="00A23AF9"/>
    <w:rsid w:val="00A33C78"/>
    <w:rsid w:val="00A66967"/>
    <w:rsid w:val="00A77953"/>
    <w:rsid w:val="00AA7C02"/>
    <w:rsid w:val="00AB0ADB"/>
    <w:rsid w:val="00AB4155"/>
    <w:rsid w:val="00AF4BAD"/>
    <w:rsid w:val="00B00C0E"/>
    <w:rsid w:val="00B01B1A"/>
    <w:rsid w:val="00B0381D"/>
    <w:rsid w:val="00B13110"/>
    <w:rsid w:val="00B443D5"/>
    <w:rsid w:val="00B44A47"/>
    <w:rsid w:val="00B62CFA"/>
    <w:rsid w:val="00B65DC4"/>
    <w:rsid w:val="00B72CD3"/>
    <w:rsid w:val="00B72FFF"/>
    <w:rsid w:val="00BB298A"/>
    <w:rsid w:val="00BC3D36"/>
    <w:rsid w:val="00BD54A6"/>
    <w:rsid w:val="00BD7F72"/>
    <w:rsid w:val="00BF7425"/>
    <w:rsid w:val="00C04FB3"/>
    <w:rsid w:val="00C05C7B"/>
    <w:rsid w:val="00C11D8B"/>
    <w:rsid w:val="00C15139"/>
    <w:rsid w:val="00C330EB"/>
    <w:rsid w:val="00C50D69"/>
    <w:rsid w:val="00C5365C"/>
    <w:rsid w:val="00C7140A"/>
    <w:rsid w:val="00C754BE"/>
    <w:rsid w:val="00C76B1C"/>
    <w:rsid w:val="00C925AC"/>
    <w:rsid w:val="00CB6357"/>
    <w:rsid w:val="00CC1B26"/>
    <w:rsid w:val="00CC550D"/>
    <w:rsid w:val="00D361FD"/>
    <w:rsid w:val="00D423A2"/>
    <w:rsid w:val="00D44E26"/>
    <w:rsid w:val="00D520D8"/>
    <w:rsid w:val="00D63AC2"/>
    <w:rsid w:val="00D7383B"/>
    <w:rsid w:val="00D7788A"/>
    <w:rsid w:val="00D905B4"/>
    <w:rsid w:val="00DA231B"/>
    <w:rsid w:val="00DC39FC"/>
    <w:rsid w:val="00DF5254"/>
    <w:rsid w:val="00E02524"/>
    <w:rsid w:val="00E16408"/>
    <w:rsid w:val="00E20894"/>
    <w:rsid w:val="00E245AB"/>
    <w:rsid w:val="00E24A03"/>
    <w:rsid w:val="00E2764C"/>
    <w:rsid w:val="00E27F2E"/>
    <w:rsid w:val="00E310B5"/>
    <w:rsid w:val="00E50AFE"/>
    <w:rsid w:val="00E75C92"/>
    <w:rsid w:val="00E771DC"/>
    <w:rsid w:val="00E8772A"/>
    <w:rsid w:val="00E90F6B"/>
    <w:rsid w:val="00E92C27"/>
    <w:rsid w:val="00EA0E3D"/>
    <w:rsid w:val="00EC38A7"/>
    <w:rsid w:val="00EE1AA8"/>
    <w:rsid w:val="00F144AC"/>
    <w:rsid w:val="00F23FEA"/>
    <w:rsid w:val="00F31EDC"/>
    <w:rsid w:val="00F462B3"/>
    <w:rsid w:val="00F5664F"/>
    <w:rsid w:val="00F666C4"/>
    <w:rsid w:val="00F76AFC"/>
    <w:rsid w:val="00F85F8F"/>
    <w:rsid w:val="00FA47C0"/>
    <w:rsid w:val="00FB5DD1"/>
    <w:rsid w:val="00FC165E"/>
    <w:rsid w:val="00FC2B5D"/>
    <w:rsid w:val="00FC44C2"/>
    <w:rsid w:val="00FE241E"/>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317A5925-CC09-478F-AFDA-13ED5116B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F,R,Texto nota pie Car2"/>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162425"/>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162425"/>
    <w:rPr>
      <w:rFonts w:ascii="Geomanist Light" w:hAnsi="Geomanist Light"/>
      <w:lang w:val="es-ES"/>
    </w:rPr>
  </w:style>
  <w:style w:type="character" w:customStyle="1" w:styleId="s15">
    <w:name w:val="s15"/>
    <w:basedOn w:val="Fuentedeprrafopredeter"/>
    <w:rsid w:val="00162425"/>
  </w:style>
  <w:style w:type="character" w:customStyle="1" w:styleId="NormalWebCar">
    <w:name w:val="Normal (Web) Car"/>
    <w:link w:val="NormalWeb"/>
    <w:uiPriority w:val="99"/>
    <w:locked/>
    <w:rsid w:val="00162425"/>
    <w:rPr>
      <w:rFonts w:ascii="Times New Roman" w:eastAsia="Times New Roman" w:hAnsi="Times New Roman" w:cs="Times New Roman"/>
      <w:sz w:val="24"/>
      <w:szCs w:val="24"/>
      <w:lang w:eastAsia="es-CO"/>
    </w:rPr>
  </w:style>
  <w:style w:type="paragraph" w:styleId="Textoindependiente">
    <w:name w:val="Body Text"/>
    <w:basedOn w:val="Normal"/>
    <w:link w:val="TextoindependienteCar"/>
    <w:uiPriority w:val="1"/>
    <w:qFormat/>
    <w:rsid w:val="00162425"/>
    <w:pPr>
      <w:widowControl w:val="0"/>
      <w:autoSpaceDE w:val="0"/>
      <w:autoSpaceDN w:val="0"/>
      <w:spacing w:after="0" w:line="240" w:lineRule="auto"/>
    </w:pPr>
    <w:rPr>
      <w:rFonts w:ascii="Arial" w:eastAsia="Arial" w:hAnsi="Arial" w:cs="Arial"/>
      <w:lang w:val="es-ES"/>
    </w:rPr>
  </w:style>
  <w:style w:type="character" w:customStyle="1" w:styleId="TextoindependienteCar">
    <w:name w:val="Texto independiente Car"/>
    <w:basedOn w:val="Fuentedeprrafopredeter"/>
    <w:link w:val="Textoindependiente"/>
    <w:uiPriority w:val="1"/>
    <w:rsid w:val="00162425"/>
    <w:rPr>
      <w:rFonts w:ascii="Arial" w:eastAsia="Arial" w:hAnsi="Arial" w:cs="Arial"/>
      <w:lang w:val="es-ES"/>
    </w:rPr>
  </w:style>
  <w:style w:type="character" w:customStyle="1" w:styleId="baj">
    <w:name w:val="b_aj"/>
    <w:basedOn w:val="Fuentedeprrafopredeter"/>
    <w:rsid w:val="00B62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nam02.safelinks.protection.outlook.com/?url=https%3A%2F%2Frelatoria.colombiacompra.gov.co%2F&amp;data=05%7C02%7Cjose.garcia%40colombiacompra.gov.co%7C5aad36a736844ec87b2108dcc1fa4639%7C7b09041e245149d08cb179d5e3d8c1be%7C0%7C0%7C638598527919569564%7CUnknown%7CTWFpbGZsb3d8eyJWIjoiMC4wLjAwMDAiLCJQIjoiV2luMzIiLCJBTiI6Ik1haWwiLCJXVCI6Mn0%3D%7C0%7C%7C%7C&amp;sdata=dxd5A4gL5eWAFf8ZLcaVWYdH0y65hi6R6J0wtaeazGQ%3D&amp;reserved=0"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www.colombiacompra.gov.c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alentohumano@guaduas-cundinamarca.gov.co"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6BAF468-1344-41BC-83AD-0A9155A4B885}"/>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9</TotalTime>
  <Pages>21</Pages>
  <Words>6512</Words>
  <Characters>35818</Characters>
  <Application>Microsoft Office Word</Application>
  <DocSecurity>0</DocSecurity>
  <Lines>298</Lines>
  <Paragraphs>84</Paragraphs>
  <ScaleCrop>false</ScaleCrop>
  <Company/>
  <LinksUpToDate>false</LinksUpToDate>
  <CharactersWithSpaces>42246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Angela Maria Olmos Andrade</cp:lastModifiedBy>
  <cp:revision>11</cp:revision>
  <cp:lastPrinted>2023-01-10T18:18:00Z</cp:lastPrinted>
  <dcterms:created xsi:type="dcterms:W3CDTF">2026-07-09T17:02:00Z</dcterms:created>
  <dcterms:modified xsi:type="dcterms:W3CDTF">2026-07-09T20:14:00Z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