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0B052" w14:textId="77777777" w:rsidR="00367E07" w:rsidRDefault="00367E07" w:rsidP="00367E07">
      <w:pPr>
        <w:spacing w:after="0" w:line="240" w:lineRule="auto"/>
        <w:jc w:val="both"/>
        <w:textAlignment w:val="baseline"/>
        <w:rPr>
          <w:rFonts w:ascii="Verdana" w:eastAsia="Times New Roman" w:hAnsi="Verdana" w:cs="Arial"/>
          <w:b/>
          <w:bCs/>
          <w:lang w:eastAsia="es-ES_tradnl"/>
        </w:rPr>
      </w:pPr>
      <w:r w:rsidRPr="002B7DEF">
        <w:rPr>
          <w:rFonts w:ascii="Verdana" w:eastAsia="Times New Roman" w:hAnsi="Verdana" w:cs="Arial"/>
          <w:b/>
          <w:bCs/>
          <w:lang w:eastAsia="es-ES_tradnl"/>
        </w:rPr>
        <w:t xml:space="preserve">ESTABILIDAD LABORAL REFORZADA DE MUJER EMBARAZADA – Fuero de maternidad - Concepto </w:t>
      </w:r>
    </w:p>
    <w:p w14:paraId="5BD90AA3" w14:textId="77777777" w:rsidR="00367E07" w:rsidRDefault="00367E07" w:rsidP="00367E07">
      <w:pPr>
        <w:spacing w:after="0" w:line="240" w:lineRule="auto"/>
        <w:jc w:val="both"/>
        <w:textAlignment w:val="baseline"/>
        <w:rPr>
          <w:rFonts w:ascii="Verdana" w:hAnsi="Verdana"/>
          <w:sz w:val="20"/>
          <w:szCs w:val="20"/>
          <w:lang w:val="es-ES"/>
        </w:rPr>
      </w:pPr>
    </w:p>
    <w:p w14:paraId="3079E8AE" w14:textId="77777777" w:rsidR="00367E07" w:rsidRPr="00FB29FD" w:rsidRDefault="00367E07" w:rsidP="00367E07">
      <w:pPr>
        <w:spacing w:after="0" w:line="240" w:lineRule="auto"/>
        <w:jc w:val="both"/>
        <w:textAlignment w:val="baseline"/>
        <w:rPr>
          <w:rFonts w:ascii="Verdana" w:eastAsia="Times New Roman" w:hAnsi="Verdana" w:cs="Arial"/>
          <w:b/>
          <w:bCs/>
          <w:lang w:eastAsia="es-ES_tradnl"/>
        </w:rPr>
      </w:pPr>
      <w:r w:rsidRPr="002B7DEF">
        <w:rPr>
          <w:rFonts w:ascii="Verdana" w:hAnsi="Verdana"/>
          <w:sz w:val="20"/>
          <w:szCs w:val="20"/>
          <w:lang w:val="es-ES"/>
        </w:rPr>
        <w:t>El</w:t>
      </w:r>
      <w:r w:rsidRPr="002B7DEF">
        <w:rPr>
          <w:rFonts w:ascii="Verdana" w:hAnsi="Verdana"/>
          <w:sz w:val="20"/>
          <w:szCs w:val="20"/>
        </w:rPr>
        <w:t xml:space="preserve"> fuero de maternidad es una figura jurídica que otorga una protección reforzada a la futura madre y a la que acaba de serlo, es decir, a la mujer</w:t>
      </w:r>
      <w:r w:rsidRPr="002B7DEF">
        <w:rPr>
          <w:rFonts w:ascii="Verdana" w:hAnsi="Verdana"/>
          <w:spacing w:val="-6"/>
          <w:sz w:val="20"/>
          <w:szCs w:val="20"/>
        </w:rPr>
        <w:t xml:space="preserve"> </w:t>
      </w:r>
      <w:r w:rsidRPr="002B7DEF">
        <w:rPr>
          <w:rFonts w:ascii="Verdana" w:hAnsi="Verdana"/>
          <w:sz w:val="20"/>
          <w:szCs w:val="20"/>
        </w:rPr>
        <w:t>que</w:t>
      </w:r>
      <w:r w:rsidRPr="002B7DEF">
        <w:rPr>
          <w:rFonts w:ascii="Verdana" w:hAnsi="Verdana"/>
          <w:spacing w:val="-7"/>
          <w:sz w:val="20"/>
          <w:szCs w:val="20"/>
        </w:rPr>
        <w:t xml:space="preserve"> </w:t>
      </w:r>
      <w:r w:rsidRPr="002B7DEF">
        <w:rPr>
          <w:rFonts w:ascii="Verdana" w:hAnsi="Verdana"/>
          <w:sz w:val="20"/>
          <w:szCs w:val="20"/>
        </w:rPr>
        <w:t>se</w:t>
      </w:r>
      <w:r w:rsidRPr="002B7DEF">
        <w:rPr>
          <w:rFonts w:ascii="Verdana" w:hAnsi="Verdana"/>
          <w:spacing w:val="-7"/>
          <w:sz w:val="20"/>
          <w:szCs w:val="20"/>
        </w:rPr>
        <w:t xml:space="preserve"> </w:t>
      </w:r>
      <w:r w:rsidRPr="002B7DEF">
        <w:rPr>
          <w:rFonts w:ascii="Verdana" w:hAnsi="Verdana"/>
          <w:sz w:val="20"/>
          <w:szCs w:val="20"/>
        </w:rPr>
        <w:t>encuentra</w:t>
      </w:r>
      <w:r w:rsidRPr="002B7DEF">
        <w:rPr>
          <w:rFonts w:ascii="Verdana" w:hAnsi="Verdana"/>
          <w:spacing w:val="-5"/>
          <w:sz w:val="20"/>
          <w:szCs w:val="20"/>
        </w:rPr>
        <w:t xml:space="preserve"> </w:t>
      </w:r>
      <w:r w:rsidRPr="002B7DEF">
        <w:rPr>
          <w:rFonts w:ascii="Verdana" w:hAnsi="Verdana"/>
          <w:sz w:val="20"/>
          <w:szCs w:val="20"/>
        </w:rPr>
        <w:t>en</w:t>
      </w:r>
      <w:r w:rsidRPr="002B7DEF">
        <w:rPr>
          <w:rFonts w:ascii="Verdana" w:hAnsi="Verdana"/>
          <w:spacing w:val="-7"/>
          <w:sz w:val="20"/>
          <w:szCs w:val="20"/>
        </w:rPr>
        <w:t xml:space="preserve"> </w:t>
      </w:r>
      <w:r w:rsidRPr="002B7DEF">
        <w:rPr>
          <w:rFonts w:ascii="Verdana" w:hAnsi="Verdana"/>
          <w:sz w:val="20"/>
          <w:szCs w:val="20"/>
        </w:rPr>
        <w:t>estado</w:t>
      </w:r>
      <w:r w:rsidRPr="002B7DEF">
        <w:rPr>
          <w:rFonts w:ascii="Verdana" w:hAnsi="Verdana"/>
          <w:spacing w:val="-6"/>
          <w:sz w:val="20"/>
          <w:szCs w:val="20"/>
        </w:rPr>
        <w:t xml:space="preserve"> </w:t>
      </w:r>
      <w:r w:rsidRPr="002B7DEF">
        <w:rPr>
          <w:rFonts w:ascii="Verdana" w:hAnsi="Verdana"/>
          <w:sz w:val="20"/>
          <w:szCs w:val="20"/>
        </w:rPr>
        <w:t>de</w:t>
      </w:r>
      <w:r w:rsidRPr="002B7DEF">
        <w:rPr>
          <w:rFonts w:ascii="Verdana" w:hAnsi="Verdana"/>
          <w:spacing w:val="-7"/>
          <w:sz w:val="20"/>
          <w:szCs w:val="20"/>
        </w:rPr>
        <w:t xml:space="preserve"> </w:t>
      </w:r>
      <w:r w:rsidRPr="002B7DEF">
        <w:rPr>
          <w:rFonts w:ascii="Verdana" w:hAnsi="Verdana"/>
          <w:sz w:val="20"/>
          <w:szCs w:val="20"/>
        </w:rPr>
        <w:t>embarazo,</w:t>
      </w:r>
      <w:r w:rsidRPr="002B7DEF">
        <w:rPr>
          <w:rFonts w:ascii="Verdana" w:hAnsi="Verdana"/>
          <w:spacing w:val="-7"/>
          <w:sz w:val="20"/>
          <w:szCs w:val="20"/>
        </w:rPr>
        <w:t xml:space="preserve"> </w:t>
      </w:r>
      <w:r w:rsidRPr="002B7DEF">
        <w:rPr>
          <w:rFonts w:ascii="Verdana" w:hAnsi="Verdana"/>
          <w:sz w:val="20"/>
          <w:szCs w:val="20"/>
        </w:rPr>
        <w:t>en</w:t>
      </w:r>
      <w:r w:rsidRPr="002B7DEF">
        <w:rPr>
          <w:rFonts w:ascii="Verdana" w:hAnsi="Verdana"/>
          <w:spacing w:val="-7"/>
          <w:sz w:val="20"/>
          <w:szCs w:val="20"/>
        </w:rPr>
        <w:t xml:space="preserve"> </w:t>
      </w:r>
      <w:r w:rsidRPr="002B7DEF">
        <w:rPr>
          <w:rFonts w:ascii="Verdana" w:hAnsi="Verdana"/>
          <w:sz w:val="20"/>
          <w:szCs w:val="20"/>
        </w:rPr>
        <w:t>licencia</w:t>
      </w:r>
      <w:r w:rsidRPr="002B7DEF">
        <w:rPr>
          <w:rFonts w:ascii="Verdana" w:hAnsi="Verdana"/>
          <w:spacing w:val="-5"/>
          <w:sz w:val="20"/>
          <w:szCs w:val="20"/>
        </w:rPr>
        <w:t xml:space="preserve"> </w:t>
      </w:r>
      <w:r w:rsidRPr="002B7DEF">
        <w:rPr>
          <w:rFonts w:ascii="Verdana" w:hAnsi="Verdana"/>
          <w:sz w:val="20"/>
          <w:szCs w:val="20"/>
        </w:rPr>
        <w:t>de</w:t>
      </w:r>
      <w:r w:rsidRPr="002B7DEF">
        <w:rPr>
          <w:rFonts w:ascii="Verdana" w:hAnsi="Verdana"/>
          <w:spacing w:val="-7"/>
          <w:sz w:val="20"/>
          <w:szCs w:val="20"/>
        </w:rPr>
        <w:t xml:space="preserve"> </w:t>
      </w:r>
      <w:r w:rsidRPr="002B7DEF">
        <w:rPr>
          <w:rFonts w:ascii="Verdana" w:hAnsi="Verdana"/>
          <w:sz w:val="20"/>
          <w:szCs w:val="20"/>
        </w:rPr>
        <w:t>maternidad</w:t>
      </w:r>
      <w:r w:rsidRPr="002B7DEF">
        <w:rPr>
          <w:rFonts w:ascii="Verdana" w:hAnsi="Verdana"/>
          <w:spacing w:val="-5"/>
          <w:sz w:val="20"/>
          <w:szCs w:val="20"/>
        </w:rPr>
        <w:t xml:space="preserve"> </w:t>
      </w:r>
      <w:r w:rsidRPr="002B7DEF">
        <w:rPr>
          <w:rFonts w:ascii="Verdana" w:hAnsi="Verdana"/>
          <w:sz w:val="20"/>
          <w:szCs w:val="20"/>
        </w:rPr>
        <w:t>y</w:t>
      </w:r>
      <w:r w:rsidRPr="002B7DEF">
        <w:rPr>
          <w:rFonts w:ascii="Verdana" w:hAnsi="Verdana"/>
          <w:spacing w:val="-7"/>
          <w:sz w:val="20"/>
          <w:szCs w:val="20"/>
        </w:rPr>
        <w:t xml:space="preserve"> </w:t>
      </w:r>
      <w:r w:rsidRPr="002B7DEF">
        <w:rPr>
          <w:rFonts w:ascii="Verdana" w:hAnsi="Verdana"/>
          <w:sz w:val="20"/>
          <w:szCs w:val="20"/>
        </w:rPr>
        <w:t>en periodo</w:t>
      </w:r>
      <w:r w:rsidRPr="002B7DEF">
        <w:rPr>
          <w:rFonts w:ascii="Verdana" w:hAnsi="Verdana"/>
          <w:spacing w:val="-10"/>
          <w:sz w:val="20"/>
          <w:szCs w:val="20"/>
        </w:rPr>
        <w:t xml:space="preserve"> </w:t>
      </w:r>
      <w:r w:rsidRPr="002B7DEF">
        <w:rPr>
          <w:rFonts w:ascii="Verdana" w:hAnsi="Verdana"/>
          <w:sz w:val="20"/>
          <w:szCs w:val="20"/>
        </w:rPr>
        <w:t>de</w:t>
      </w:r>
      <w:r w:rsidRPr="002B7DEF">
        <w:rPr>
          <w:rFonts w:ascii="Verdana" w:hAnsi="Verdana"/>
          <w:spacing w:val="-11"/>
          <w:sz w:val="20"/>
          <w:szCs w:val="20"/>
        </w:rPr>
        <w:t xml:space="preserve"> </w:t>
      </w:r>
      <w:r w:rsidRPr="002B7DEF">
        <w:rPr>
          <w:rFonts w:ascii="Verdana" w:hAnsi="Verdana"/>
          <w:sz w:val="20"/>
          <w:szCs w:val="20"/>
        </w:rPr>
        <w:t>lactancia. Esto,</w:t>
      </w:r>
      <w:r w:rsidRPr="002B7DEF">
        <w:rPr>
          <w:rFonts w:ascii="Verdana" w:hAnsi="Verdana"/>
          <w:spacing w:val="-12"/>
          <w:sz w:val="20"/>
          <w:szCs w:val="20"/>
        </w:rPr>
        <w:t xml:space="preserve"> </w:t>
      </w:r>
      <w:r w:rsidRPr="002B7DEF">
        <w:rPr>
          <w:rFonts w:ascii="Verdana" w:hAnsi="Verdana"/>
          <w:sz w:val="20"/>
          <w:szCs w:val="20"/>
        </w:rPr>
        <w:t>con</w:t>
      </w:r>
      <w:r w:rsidRPr="002B7DEF">
        <w:rPr>
          <w:rFonts w:ascii="Verdana" w:hAnsi="Verdana"/>
          <w:spacing w:val="-11"/>
          <w:sz w:val="20"/>
          <w:szCs w:val="20"/>
        </w:rPr>
        <w:t xml:space="preserve"> </w:t>
      </w:r>
      <w:r w:rsidRPr="002B7DEF">
        <w:rPr>
          <w:rFonts w:ascii="Verdana" w:hAnsi="Verdana"/>
          <w:sz w:val="20"/>
          <w:szCs w:val="20"/>
        </w:rPr>
        <w:t>el</w:t>
      </w:r>
      <w:r w:rsidRPr="002B7DEF">
        <w:rPr>
          <w:rFonts w:ascii="Verdana" w:hAnsi="Verdana"/>
          <w:spacing w:val="-11"/>
          <w:sz w:val="20"/>
          <w:szCs w:val="20"/>
        </w:rPr>
        <w:t xml:space="preserve"> </w:t>
      </w:r>
      <w:r w:rsidRPr="002B7DEF">
        <w:rPr>
          <w:rFonts w:ascii="Verdana" w:hAnsi="Verdana"/>
          <w:sz w:val="20"/>
          <w:szCs w:val="20"/>
        </w:rPr>
        <w:t>fin</w:t>
      </w:r>
      <w:r w:rsidRPr="002B7DEF">
        <w:rPr>
          <w:rFonts w:ascii="Verdana" w:hAnsi="Verdana"/>
          <w:spacing w:val="-11"/>
          <w:sz w:val="20"/>
          <w:szCs w:val="20"/>
        </w:rPr>
        <w:t xml:space="preserve"> </w:t>
      </w:r>
      <w:r w:rsidRPr="002B7DEF">
        <w:rPr>
          <w:rFonts w:ascii="Verdana" w:hAnsi="Verdana"/>
          <w:sz w:val="20"/>
          <w:szCs w:val="20"/>
        </w:rPr>
        <w:t>de</w:t>
      </w:r>
      <w:r w:rsidRPr="002B7DEF">
        <w:rPr>
          <w:rFonts w:ascii="Verdana" w:hAnsi="Verdana"/>
          <w:spacing w:val="-11"/>
          <w:sz w:val="20"/>
          <w:szCs w:val="20"/>
        </w:rPr>
        <w:t xml:space="preserve"> </w:t>
      </w:r>
      <w:r w:rsidRPr="002B7DEF">
        <w:rPr>
          <w:rFonts w:ascii="Verdana" w:hAnsi="Verdana"/>
          <w:sz w:val="20"/>
          <w:szCs w:val="20"/>
        </w:rPr>
        <w:t>que</w:t>
      </w:r>
      <w:r w:rsidRPr="002B7DEF">
        <w:rPr>
          <w:rFonts w:ascii="Verdana" w:hAnsi="Verdana"/>
          <w:spacing w:val="-11"/>
          <w:sz w:val="20"/>
          <w:szCs w:val="20"/>
        </w:rPr>
        <w:t xml:space="preserve"> </w:t>
      </w:r>
      <w:r w:rsidRPr="002B7DEF">
        <w:rPr>
          <w:rFonts w:ascii="Verdana" w:hAnsi="Verdana"/>
          <w:sz w:val="20"/>
          <w:szCs w:val="20"/>
        </w:rPr>
        <w:t>el</w:t>
      </w:r>
      <w:r w:rsidRPr="002B7DEF">
        <w:rPr>
          <w:rFonts w:ascii="Verdana" w:hAnsi="Verdana"/>
          <w:spacing w:val="-11"/>
          <w:sz w:val="20"/>
          <w:szCs w:val="20"/>
        </w:rPr>
        <w:t xml:space="preserve"> </w:t>
      </w:r>
      <w:r w:rsidRPr="002B7DEF">
        <w:rPr>
          <w:rFonts w:ascii="Verdana" w:hAnsi="Verdana"/>
          <w:sz w:val="20"/>
          <w:szCs w:val="20"/>
        </w:rPr>
        <w:t>proceso</w:t>
      </w:r>
      <w:r w:rsidRPr="002B7DEF">
        <w:rPr>
          <w:rFonts w:ascii="Verdana" w:hAnsi="Verdana"/>
          <w:spacing w:val="-9"/>
          <w:sz w:val="20"/>
          <w:szCs w:val="20"/>
        </w:rPr>
        <w:t xml:space="preserve"> </w:t>
      </w:r>
      <w:r w:rsidRPr="002B7DEF">
        <w:rPr>
          <w:rFonts w:ascii="Verdana" w:hAnsi="Verdana"/>
          <w:sz w:val="20"/>
          <w:szCs w:val="20"/>
        </w:rPr>
        <w:t>de</w:t>
      </w:r>
      <w:r w:rsidRPr="002B7DEF">
        <w:rPr>
          <w:rFonts w:ascii="Verdana" w:hAnsi="Verdana"/>
          <w:spacing w:val="-11"/>
          <w:sz w:val="20"/>
          <w:szCs w:val="20"/>
        </w:rPr>
        <w:t xml:space="preserve"> </w:t>
      </w:r>
      <w:r w:rsidRPr="002B7DEF">
        <w:rPr>
          <w:rFonts w:ascii="Verdana" w:hAnsi="Verdana"/>
          <w:sz w:val="20"/>
          <w:szCs w:val="20"/>
        </w:rPr>
        <w:t>gestación</w:t>
      </w:r>
      <w:r w:rsidRPr="002B7DEF">
        <w:rPr>
          <w:rFonts w:ascii="Verdana" w:hAnsi="Verdana"/>
          <w:spacing w:val="-8"/>
          <w:sz w:val="20"/>
          <w:szCs w:val="20"/>
        </w:rPr>
        <w:t xml:space="preserve"> </w:t>
      </w:r>
      <w:r w:rsidRPr="002B7DEF">
        <w:rPr>
          <w:rFonts w:ascii="Verdana" w:hAnsi="Verdana"/>
          <w:sz w:val="20"/>
          <w:szCs w:val="20"/>
        </w:rPr>
        <w:t>no</w:t>
      </w:r>
      <w:r w:rsidRPr="002B7DEF">
        <w:rPr>
          <w:rFonts w:ascii="Verdana" w:hAnsi="Verdana"/>
          <w:spacing w:val="-11"/>
          <w:sz w:val="20"/>
          <w:szCs w:val="20"/>
        </w:rPr>
        <w:t xml:space="preserve"> </w:t>
      </w:r>
      <w:r w:rsidRPr="002B7DEF">
        <w:rPr>
          <w:rFonts w:ascii="Verdana" w:hAnsi="Verdana"/>
          <w:sz w:val="20"/>
          <w:szCs w:val="20"/>
        </w:rPr>
        <w:t>interfiera</w:t>
      </w:r>
      <w:r w:rsidRPr="002B7DEF">
        <w:rPr>
          <w:rFonts w:ascii="Verdana" w:hAnsi="Verdana"/>
          <w:spacing w:val="-9"/>
          <w:sz w:val="20"/>
          <w:szCs w:val="20"/>
        </w:rPr>
        <w:t xml:space="preserve"> </w:t>
      </w:r>
      <w:r w:rsidRPr="002B7DEF">
        <w:rPr>
          <w:rFonts w:ascii="Verdana" w:hAnsi="Verdana"/>
          <w:sz w:val="20"/>
          <w:szCs w:val="20"/>
        </w:rPr>
        <w:t>en</w:t>
      </w:r>
      <w:r w:rsidRPr="002B7DEF">
        <w:rPr>
          <w:rFonts w:ascii="Verdana" w:hAnsi="Verdana"/>
          <w:spacing w:val="-11"/>
          <w:sz w:val="20"/>
          <w:szCs w:val="20"/>
        </w:rPr>
        <w:t xml:space="preserve"> </w:t>
      </w:r>
      <w:r w:rsidRPr="002B7DEF">
        <w:rPr>
          <w:rFonts w:ascii="Verdana" w:hAnsi="Verdana"/>
          <w:sz w:val="20"/>
          <w:szCs w:val="20"/>
        </w:rPr>
        <w:t>la estabilidad ocupacional que, como trabajadora, le asiste. En ese sentido, el propósito de esta figura es que las aspiraciones familiares y profesionales de la mujer no se excluyan y puedan armonizarse, al punto de desarrollar su proyecto de vida y su personalidad en condiciones</w:t>
      </w:r>
      <w:r w:rsidRPr="002B7DEF">
        <w:rPr>
          <w:rFonts w:ascii="Verdana" w:hAnsi="Verdana"/>
          <w:spacing w:val="-12"/>
          <w:sz w:val="20"/>
          <w:szCs w:val="20"/>
        </w:rPr>
        <w:t xml:space="preserve"> </w:t>
      </w:r>
      <w:r w:rsidRPr="002B7DEF">
        <w:rPr>
          <w:rFonts w:ascii="Verdana" w:hAnsi="Verdana"/>
          <w:sz w:val="20"/>
          <w:szCs w:val="20"/>
        </w:rPr>
        <w:t>de</w:t>
      </w:r>
      <w:r w:rsidRPr="002B7DEF">
        <w:rPr>
          <w:rFonts w:ascii="Verdana" w:hAnsi="Verdana"/>
          <w:spacing w:val="-15"/>
          <w:sz w:val="20"/>
          <w:szCs w:val="20"/>
        </w:rPr>
        <w:t xml:space="preserve"> </w:t>
      </w:r>
      <w:r w:rsidRPr="002B7DEF">
        <w:rPr>
          <w:rFonts w:ascii="Verdana" w:hAnsi="Verdana"/>
          <w:sz w:val="20"/>
          <w:szCs w:val="20"/>
        </w:rPr>
        <w:t>dignidad</w:t>
      </w:r>
      <w:r w:rsidRPr="002B7DEF">
        <w:rPr>
          <w:rFonts w:ascii="Verdana" w:hAnsi="Verdana"/>
          <w:spacing w:val="-14"/>
          <w:sz w:val="20"/>
          <w:szCs w:val="20"/>
        </w:rPr>
        <w:t xml:space="preserve"> </w:t>
      </w:r>
      <w:r w:rsidRPr="002B7DEF">
        <w:rPr>
          <w:rFonts w:ascii="Verdana" w:hAnsi="Verdana"/>
          <w:sz w:val="20"/>
          <w:szCs w:val="20"/>
        </w:rPr>
        <w:t>y</w:t>
      </w:r>
      <w:r w:rsidRPr="002B7DEF">
        <w:rPr>
          <w:rFonts w:ascii="Verdana" w:hAnsi="Verdana"/>
          <w:spacing w:val="-15"/>
          <w:sz w:val="20"/>
          <w:szCs w:val="20"/>
        </w:rPr>
        <w:t xml:space="preserve"> </w:t>
      </w:r>
      <w:r w:rsidRPr="002B7DEF">
        <w:rPr>
          <w:rFonts w:ascii="Verdana" w:hAnsi="Verdana"/>
          <w:sz w:val="20"/>
          <w:szCs w:val="20"/>
        </w:rPr>
        <w:t xml:space="preserve">libertad. </w:t>
      </w:r>
    </w:p>
    <w:p w14:paraId="4FE03067" w14:textId="77777777" w:rsidR="00367E07" w:rsidRDefault="00367E07" w:rsidP="00367E07">
      <w:pPr>
        <w:spacing w:after="0" w:line="240" w:lineRule="auto"/>
        <w:jc w:val="both"/>
        <w:textAlignment w:val="baseline"/>
        <w:rPr>
          <w:rFonts w:ascii="Verdana" w:eastAsia="Times New Roman" w:hAnsi="Verdana" w:cs="Arial"/>
          <w:b/>
          <w:bCs/>
          <w:lang w:eastAsia="es-ES_tradnl"/>
        </w:rPr>
      </w:pPr>
    </w:p>
    <w:p w14:paraId="66ADCD69" w14:textId="77777777" w:rsidR="00367E07" w:rsidRDefault="00367E07" w:rsidP="00367E07">
      <w:pPr>
        <w:spacing w:after="0" w:line="240" w:lineRule="auto"/>
        <w:jc w:val="both"/>
        <w:textAlignment w:val="baseline"/>
        <w:rPr>
          <w:rFonts w:ascii="Verdana" w:eastAsia="Times New Roman" w:hAnsi="Verdana" w:cs="Arial"/>
          <w:b/>
          <w:bCs/>
          <w:lang w:eastAsia="es-ES_tradnl"/>
        </w:rPr>
      </w:pPr>
      <w:r w:rsidRPr="002B7DEF">
        <w:rPr>
          <w:rFonts w:ascii="Verdana" w:eastAsia="Times New Roman" w:hAnsi="Verdana" w:cs="Arial"/>
          <w:b/>
          <w:bCs/>
          <w:lang w:eastAsia="es-ES_tradnl"/>
        </w:rPr>
        <w:t xml:space="preserve">ESTABILIDAD LABORAL REFORZADA DE MUJER EMBARAZADA – Unificación jurisprudencial </w:t>
      </w:r>
    </w:p>
    <w:p w14:paraId="34AE27DC" w14:textId="77777777" w:rsidR="00367E07" w:rsidRDefault="00367E07" w:rsidP="00367E07">
      <w:pPr>
        <w:spacing w:after="0" w:line="240" w:lineRule="auto"/>
        <w:jc w:val="both"/>
        <w:textAlignment w:val="baseline"/>
        <w:rPr>
          <w:rFonts w:ascii="Verdana" w:hAnsi="Verdana"/>
          <w:sz w:val="20"/>
          <w:szCs w:val="20"/>
        </w:rPr>
      </w:pPr>
    </w:p>
    <w:p w14:paraId="183C0049" w14:textId="77777777" w:rsidR="00367E07" w:rsidRPr="00FB29FD" w:rsidRDefault="00367E07" w:rsidP="00367E07">
      <w:pPr>
        <w:spacing w:after="0" w:line="240" w:lineRule="auto"/>
        <w:jc w:val="both"/>
        <w:textAlignment w:val="baseline"/>
        <w:rPr>
          <w:rFonts w:ascii="Verdana" w:eastAsia="Times New Roman" w:hAnsi="Verdana" w:cs="Arial"/>
          <w:b/>
          <w:bCs/>
          <w:lang w:eastAsia="es-ES_tradnl"/>
        </w:rPr>
      </w:pPr>
      <w:r>
        <w:rPr>
          <w:rFonts w:ascii="Verdana" w:hAnsi="Verdana"/>
          <w:sz w:val="20"/>
          <w:szCs w:val="20"/>
        </w:rPr>
        <w:t xml:space="preserve">[…] </w:t>
      </w:r>
      <w:r w:rsidRPr="002B7DEF">
        <w:rPr>
          <w:rFonts w:ascii="Verdana" w:hAnsi="Verdana"/>
          <w:sz w:val="20"/>
          <w:szCs w:val="20"/>
        </w:rPr>
        <w:t>la Corte Constitucional profirió la sentencia de unificación</w:t>
      </w:r>
      <w:r w:rsidRPr="002B7DEF" w:rsidDel="00A52B5E">
        <w:rPr>
          <w:rFonts w:ascii="Verdana" w:hAnsi="Verdana"/>
          <w:sz w:val="20"/>
          <w:szCs w:val="20"/>
        </w:rPr>
        <w:t xml:space="preserve"> </w:t>
      </w:r>
      <w:r w:rsidRPr="002B7DEF">
        <w:rPr>
          <w:rFonts w:ascii="Verdana" w:hAnsi="Verdana"/>
          <w:sz w:val="20"/>
          <w:szCs w:val="20"/>
        </w:rPr>
        <w:t xml:space="preserve">SU-075 de 2018, en la cual recogió, entre otras, las sentencias T-350 del 2016 y T-030 de 2018. En esta providencia, el Alto Tribunal estableció unos criterios orientados a impedir la discriminación que puede presentarse frente a una mujer en estado de embarazo, en periodo de licencia de maternidad o en etapa de lactancia, específicamente, respecto a la terminación o la no renovación del contrato. </w:t>
      </w:r>
    </w:p>
    <w:p w14:paraId="50E3B06F" w14:textId="77777777" w:rsidR="00367E07" w:rsidRDefault="00367E07" w:rsidP="00367E07">
      <w:pPr>
        <w:spacing w:after="0" w:line="240" w:lineRule="auto"/>
        <w:jc w:val="both"/>
        <w:rPr>
          <w:rFonts w:ascii="Verdana" w:hAnsi="Verdana"/>
          <w:sz w:val="20"/>
          <w:szCs w:val="20"/>
        </w:rPr>
      </w:pPr>
    </w:p>
    <w:p w14:paraId="49F469D7" w14:textId="77777777" w:rsidR="00367E07" w:rsidRDefault="00367E07" w:rsidP="00367E07">
      <w:pPr>
        <w:spacing w:after="0" w:line="240" w:lineRule="auto"/>
        <w:jc w:val="both"/>
        <w:rPr>
          <w:rFonts w:ascii="Verdana" w:hAnsi="Verdana"/>
          <w:sz w:val="20"/>
          <w:szCs w:val="20"/>
        </w:rPr>
      </w:pPr>
      <w:r w:rsidRPr="002B7DEF">
        <w:rPr>
          <w:rFonts w:ascii="Verdana" w:hAnsi="Verdana"/>
          <w:sz w:val="20"/>
          <w:szCs w:val="20"/>
        </w:rPr>
        <w:t>Dicha providencia dio paso a establecer que, el denominado “fuero de maternidad” encuentra su sustento no solo en las disposiciones específicas que protegen la maternidad, sino también en la cláusula general de igualdad de la Constitución Política “que proscribe la discriminación por razones de sexo, así como en el ya mencionado artículo 43 Superior, que dispone la igualdad de derechos y oportunidades entre hombres y mujeres”.</w:t>
      </w:r>
    </w:p>
    <w:p w14:paraId="408D3CF0" w14:textId="77777777" w:rsidR="00367E07" w:rsidRDefault="00367E07" w:rsidP="00367E07">
      <w:pPr>
        <w:spacing w:after="0" w:line="240" w:lineRule="auto"/>
        <w:jc w:val="both"/>
        <w:rPr>
          <w:rFonts w:ascii="Verdana" w:hAnsi="Verdana"/>
          <w:sz w:val="20"/>
          <w:szCs w:val="20"/>
        </w:rPr>
      </w:pPr>
    </w:p>
    <w:p w14:paraId="0567A93E" w14:textId="77777777" w:rsidR="00367E07" w:rsidRDefault="00367E07" w:rsidP="00367E07">
      <w:pPr>
        <w:spacing w:after="0" w:line="240" w:lineRule="auto"/>
        <w:jc w:val="both"/>
        <w:rPr>
          <w:rFonts w:ascii="Verdana" w:hAnsi="Verdana"/>
          <w:sz w:val="20"/>
          <w:szCs w:val="20"/>
          <w:lang w:val="es-ES"/>
        </w:rPr>
      </w:pPr>
      <w:r w:rsidRPr="00D421DC">
        <w:rPr>
          <w:rFonts w:ascii="Verdana" w:eastAsia="Times New Roman" w:hAnsi="Verdana" w:cs="Arial"/>
          <w:sz w:val="20"/>
          <w:szCs w:val="20"/>
          <w:lang w:eastAsia="es-ES_tradnl"/>
        </w:rPr>
        <w:t xml:space="preserve">[…] </w:t>
      </w:r>
      <w:r w:rsidRPr="00D421DC">
        <w:rPr>
          <w:rFonts w:ascii="Verdana" w:eastAsia="Arial" w:hAnsi="Verdana" w:cs="Arial"/>
          <w:sz w:val="20"/>
          <w:szCs w:val="20"/>
          <w:lang w:val="es-ES"/>
        </w:rPr>
        <w:t>el criterio adoptado por la Corte establece que, solo se requiere acreditar la relación laboral o la existencia de un contrato de prestación de servicios y el estado de embarazo o lactancia para acceder a la protección denominada estabilidad ocupacional reforzada de la mujer embarazada, en licencia de maternidad o en periodo de lactancia. En consecuencia, no resulta exigible, en todos los casos, la demostración previa de un contrato realidad para que opere dicha protección.</w:t>
      </w:r>
    </w:p>
    <w:p w14:paraId="74D47222" w14:textId="77777777" w:rsidR="00367E07" w:rsidRDefault="00367E07" w:rsidP="00367E07">
      <w:pPr>
        <w:spacing w:after="0" w:line="240" w:lineRule="auto"/>
        <w:jc w:val="both"/>
        <w:rPr>
          <w:rFonts w:ascii="Verdana" w:hAnsi="Verdana"/>
          <w:sz w:val="20"/>
          <w:szCs w:val="20"/>
        </w:rPr>
      </w:pPr>
    </w:p>
    <w:p w14:paraId="152B6E8D" w14:textId="77777777" w:rsidR="00367E07" w:rsidRPr="00D421DC" w:rsidRDefault="00367E07" w:rsidP="00367E07">
      <w:pPr>
        <w:spacing w:after="0" w:line="240" w:lineRule="auto"/>
        <w:jc w:val="both"/>
        <w:rPr>
          <w:rFonts w:ascii="Verdana" w:hAnsi="Verdana"/>
          <w:sz w:val="20"/>
          <w:szCs w:val="20"/>
        </w:rPr>
      </w:pPr>
      <w:r w:rsidRPr="00D421DC">
        <w:rPr>
          <w:rFonts w:ascii="Verdana" w:hAnsi="Verdana"/>
          <w:sz w:val="20"/>
          <w:szCs w:val="20"/>
        </w:rPr>
        <w:t xml:space="preserve">[…] </w:t>
      </w:r>
      <w:r w:rsidRPr="00D421DC">
        <w:rPr>
          <w:rFonts w:ascii="Verdana" w:eastAsia="Arial" w:hAnsi="Verdana" w:cs="Arial"/>
          <w:sz w:val="20"/>
          <w:szCs w:val="20"/>
          <w:lang w:val="es-ES"/>
        </w:rPr>
        <w:t xml:space="preserve">Conforme a lo expuesto, respecto del primer problema jurídico, se concluye que, la Corte Constitucional ha expuesto dos (2) escenarios frente a los cuales opera la protección del denominado fuero de maternidad de mujeres vinculadas por medio de un contrato de prestación de servicios: i) cuando el juez verifica la configuración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 </w:t>
      </w:r>
    </w:p>
    <w:p w14:paraId="3E3CD5CA" w14:textId="77777777" w:rsidR="00367E07" w:rsidRPr="00D421DC" w:rsidRDefault="00367E07" w:rsidP="00367E07">
      <w:pPr>
        <w:spacing w:after="0" w:line="240" w:lineRule="auto"/>
        <w:jc w:val="both"/>
        <w:rPr>
          <w:rFonts w:ascii="Verdana" w:eastAsia="Times New Roman" w:hAnsi="Verdana" w:cs="Arial"/>
          <w:b/>
          <w:bCs/>
          <w:lang w:val="es-ES" w:eastAsia="es-ES_tradnl"/>
        </w:rPr>
      </w:pPr>
    </w:p>
    <w:p w14:paraId="3EE2738F" w14:textId="77777777" w:rsidR="00367E07" w:rsidRPr="00D421DC" w:rsidRDefault="00367E07" w:rsidP="00367E07">
      <w:pPr>
        <w:spacing w:after="0" w:line="240" w:lineRule="auto"/>
        <w:jc w:val="both"/>
        <w:rPr>
          <w:rFonts w:ascii="Verdana" w:hAnsi="Verdana" w:cs="Segoe UI"/>
          <w:i/>
          <w:iCs/>
          <w:sz w:val="20"/>
          <w:szCs w:val="20"/>
        </w:rPr>
      </w:pPr>
      <w:r w:rsidRPr="00D421DC">
        <w:rPr>
          <w:rFonts w:ascii="Verdana" w:eastAsia="Times New Roman" w:hAnsi="Verdana" w:cs="Arial"/>
          <w:sz w:val="20"/>
          <w:szCs w:val="20"/>
          <w:lang w:eastAsia="es-ES_tradnl"/>
        </w:rPr>
        <w:t xml:space="preserve">[…] </w:t>
      </w:r>
      <w:r w:rsidRPr="00D421DC">
        <w:rPr>
          <w:rStyle w:val="Fuerte"/>
          <w:rFonts w:ascii="Verdana" w:hAnsi="Verdana" w:cs="Segoe UI"/>
          <w:sz w:val="20"/>
          <w:szCs w:val="20"/>
        </w:rPr>
        <w:t>fuero de maternidad comprende también el denominado “fuero de lactancia”</w:t>
      </w:r>
      <w:r w:rsidRPr="00D421DC">
        <w:rPr>
          <w:rFonts w:ascii="Verdana" w:hAnsi="Verdana" w:cs="Segoe UI"/>
          <w:sz w:val="20"/>
          <w:szCs w:val="20"/>
        </w:rPr>
        <w:t xml:space="preserve">, lo cual implica que la estabilidad ocupacional reforzada no se limita al período de gestación, sino que se extiende al período posterior al parto. De esta forma, se protege la </w:t>
      </w:r>
      <w:r w:rsidRPr="00D421DC">
        <w:rPr>
          <w:rStyle w:val="Fuerte"/>
          <w:rFonts w:ascii="Verdana" w:hAnsi="Verdana" w:cs="Segoe UI"/>
          <w:sz w:val="20"/>
          <w:szCs w:val="20"/>
        </w:rPr>
        <w:t>permanencia y continuidad del vínculo</w:t>
      </w:r>
      <w:r w:rsidRPr="00D421DC">
        <w:rPr>
          <w:rFonts w:ascii="Verdana" w:hAnsi="Verdana" w:cs="Segoe UI"/>
          <w:sz w:val="20"/>
          <w:szCs w:val="20"/>
        </w:rPr>
        <w:t xml:space="preserve"> y se proscribe el despido, la terminación o la no renovación del contrato </w:t>
      </w:r>
      <w:r w:rsidRPr="00D421DC">
        <w:rPr>
          <w:rFonts w:ascii="Verdana" w:hAnsi="Verdana" w:cs="Segoe UI"/>
          <w:i/>
          <w:iCs/>
          <w:sz w:val="20"/>
          <w:szCs w:val="20"/>
        </w:rPr>
        <w:t>por causa o con ocasión del embarazo o la lactancia.</w:t>
      </w:r>
    </w:p>
    <w:p w14:paraId="1078123D" w14:textId="77777777" w:rsidR="00367E07" w:rsidRDefault="00367E07" w:rsidP="00367E07">
      <w:pPr>
        <w:widowControl w:val="0"/>
        <w:autoSpaceDE w:val="0"/>
        <w:autoSpaceDN w:val="0"/>
        <w:spacing w:after="0" w:line="240" w:lineRule="auto"/>
        <w:jc w:val="both"/>
        <w:rPr>
          <w:rFonts w:ascii="Verdana" w:eastAsia="Arial" w:hAnsi="Verdana" w:cs="Arial"/>
          <w:sz w:val="20"/>
          <w:szCs w:val="20"/>
          <w:lang w:val="es-ES"/>
        </w:rPr>
      </w:pPr>
    </w:p>
    <w:p w14:paraId="6960671A" w14:textId="77777777" w:rsidR="00367E07" w:rsidRPr="00D421DC" w:rsidRDefault="00367E07" w:rsidP="00367E07">
      <w:pPr>
        <w:widowControl w:val="0"/>
        <w:autoSpaceDE w:val="0"/>
        <w:autoSpaceDN w:val="0"/>
        <w:spacing w:after="0" w:line="240" w:lineRule="auto"/>
        <w:jc w:val="both"/>
        <w:rPr>
          <w:rFonts w:ascii="Verdana" w:eastAsia="Arial" w:hAnsi="Verdana" w:cs="Arial"/>
          <w:sz w:val="20"/>
          <w:szCs w:val="20"/>
          <w:lang w:val="es-ES"/>
        </w:rPr>
      </w:pPr>
      <w:r w:rsidRPr="00D421DC">
        <w:rPr>
          <w:rFonts w:ascii="Verdana" w:eastAsia="Arial" w:hAnsi="Verdana" w:cs="Arial"/>
          <w:sz w:val="20"/>
          <w:szCs w:val="20"/>
          <w:lang w:val="es-ES"/>
        </w:rPr>
        <w:t>Teniendo en cuenta lo anterior, esta Agencia precisa que la protección derivada del fuero de maternidad, que como se expuso anteriormente se extiende al periodo de lactancia, es aplicable a todas las madres sin importar la relación laboral o la modalidad de contrato por medio de la cual hayan sido vinculadas.</w:t>
      </w:r>
    </w:p>
    <w:p w14:paraId="32605272" w14:textId="77777777" w:rsidR="00367E07" w:rsidRDefault="00367E07" w:rsidP="00367E07">
      <w:pPr>
        <w:widowControl w:val="0"/>
        <w:autoSpaceDE w:val="0"/>
        <w:autoSpaceDN w:val="0"/>
        <w:spacing w:after="0" w:line="240" w:lineRule="auto"/>
        <w:jc w:val="both"/>
        <w:rPr>
          <w:rFonts w:ascii="Verdana" w:eastAsia="Arial" w:hAnsi="Verdana" w:cs="Arial"/>
          <w:sz w:val="20"/>
          <w:szCs w:val="20"/>
          <w:lang w:val="es-ES"/>
        </w:rPr>
      </w:pPr>
    </w:p>
    <w:p w14:paraId="3447BEE0" w14:textId="77777777" w:rsidR="00367E07" w:rsidRPr="00D421DC" w:rsidRDefault="00367E07" w:rsidP="00367E07">
      <w:pPr>
        <w:widowControl w:val="0"/>
        <w:autoSpaceDE w:val="0"/>
        <w:autoSpaceDN w:val="0"/>
        <w:spacing w:after="0" w:line="240" w:lineRule="auto"/>
        <w:jc w:val="both"/>
        <w:rPr>
          <w:rFonts w:ascii="Verdana" w:eastAsia="Arial" w:hAnsi="Verdana" w:cs="Arial"/>
          <w:sz w:val="20"/>
          <w:szCs w:val="20"/>
          <w:lang w:val="es-ES"/>
        </w:rPr>
      </w:pPr>
      <w:r w:rsidRPr="00D421DC">
        <w:rPr>
          <w:rFonts w:ascii="Verdana" w:eastAsia="Arial" w:hAnsi="Verdana" w:cs="Arial"/>
          <w:sz w:val="20"/>
          <w:szCs w:val="20"/>
          <w:lang w:val="es-ES"/>
        </w:rPr>
        <w:t xml:space="preserve">Ahora bien, aunque se reconoce que el fuero de maternidad protege a la madre durante el periodo de lactancia – el cual, tras la expedición de la Ley 2306 de 2023, puede extenderse hasta los dos (2) años, siempre que se cumplan las condiciones establecidas en la norma – es necesario precisar que las garantías que lo integran no operan de manera uniforme en todas las etapas. Por ello, se ha distinguido claramente entre el periodo de gestación, licencia de maternidad (hasta las dieciocho (18) semanas después del parto) y el periodo de lactancia. </w:t>
      </w:r>
    </w:p>
    <w:p w14:paraId="3F725A96" w14:textId="77777777" w:rsidR="00367E07" w:rsidRDefault="00367E07" w:rsidP="00367E07">
      <w:pPr>
        <w:spacing w:after="0" w:line="240" w:lineRule="auto"/>
        <w:jc w:val="both"/>
        <w:rPr>
          <w:rFonts w:ascii="Verdana" w:eastAsia="Arial" w:hAnsi="Verdana" w:cs="Arial"/>
          <w:sz w:val="20"/>
          <w:szCs w:val="20"/>
          <w:lang w:val="es-ES"/>
        </w:rPr>
      </w:pPr>
    </w:p>
    <w:p w14:paraId="210A03B6" w14:textId="77777777" w:rsidR="00367E07" w:rsidRPr="00D421DC" w:rsidRDefault="00367E07" w:rsidP="00367E07">
      <w:pPr>
        <w:spacing w:after="0" w:line="240" w:lineRule="auto"/>
        <w:jc w:val="both"/>
        <w:rPr>
          <w:rFonts w:ascii="Verdana" w:eastAsia="Arial" w:hAnsi="Verdana" w:cs="Arial"/>
          <w:sz w:val="20"/>
          <w:szCs w:val="20"/>
          <w:lang w:val="es-ES"/>
        </w:rPr>
      </w:pPr>
      <w:r w:rsidRPr="00D421DC">
        <w:rPr>
          <w:rFonts w:ascii="Verdana" w:eastAsia="Arial" w:hAnsi="Verdana" w:cs="Arial"/>
          <w:sz w:val="20"/>
          <w:szCs w:val="20"/>
          <w:lang w:val="es-ES"/>
        </w:rPr>
        <w:t xml:space="preserve">De acuerdo con lo establecido en el numeral 2º del artículo 239 del Código Sustantivo del Trabajo, se presume que el despido es discriminatorio cuando ocurre durante el embarazo o dentro de las dieciocho (18) semanas posteriores al parto. </w:t>
      </w:r>
      <w:r w:rsidRPr="00D421DC">
        <w:rPr>
          <w:rFonts w:ascii="Verdana" w:hAnsi="Verdana" w:cs="Segoe UI"/>
          <w:sz w:val="20"/>
          <w:szCs w:val="20"/>
        </w:rPr>
        <w:t xml:space="preserve">Durante este lapso, el empleador debe contar con </w:t>
      </w:r>
      <w:r w:rsidRPr="00D421DC">
        <w:rPr>
          <w:rStyle w:val="Fuerte"/>
          <w:rFonts w:ascii="Verdana" w:hAnsi="Verdana" w:cs="Segoe UI"/>
          <w:sz w:val="20"/>
          <w:szCs w:val="20"/>
        </w:rPr>
        <w:t>autorización previa del Inspector del Trabajo</w:t>
      </w:r>
      <w:r w:rsidRPr="00D421DC">
        <w:rPr>
          <w:rFonts w:ascii="Verdana" w:hAnsi="Verdana" w:cs="Segoe UI"/>
          <w:sz w:val="20"/>
          <w:szCs w:val="20"/>
        </w:rPr>
        <w:t xml:space="preserve"> para terminar el vínculo. En contraste, </w:t>
      </w:r>
      <w:r w:rsidRPr="00D421DC">
        <w:rPr>
          <w:rFonts w:ascii="Verdana" w:eastAsia="Arial" w:hAnsi="Verdana" w:cs="Arial"/>
          <w:sz w:val="20"/>
          <w:szCs w:val="20"/>
          <w:lang w:val="es-ES"/>
        </w:rPr>
        <w:t xml:space="preserve">durante el periodo de la lactancia, posterior a las dieciocho (18) semanas, si bien subsiste el fuero de maternidad, no opera la presunción automática de despido discriminatorio, y la carga probatoria le corresponde a la contratista, quien debe acreditar que la terminación fue discriminatoria. </w:t>
      </w:r>
    </w:p>
    <w:p w14:paraId="183D2114" w14:textId="77777777" w:rsidR="00367E07" w:rsidRPr="00D421DC" w:rsidRDefault="00367E07" w:rsidP="00367E07">
      <w:pPr>
        <w:spacing w:after="0" w:line="240" w:lineRule="auto"/>
        <w:jc w:val="both"/>
        <w:textAlignment w:val="baseline"/>
        <w:rPr>
          <w:rFonts w:ascii="Verdana" w:eastAsia="Times New Roman" w:hAnsi="Verdana" w:cs="Arial"/>
          <w:b/>
          <w:bCs/>
          <w:lang w:val="es-ES" w:eastAsia="es-ES_tradnl"/>
        </w:rPr>
      </w:pPr>
    </w:p>
    <w:p w14:paraId="7C2ACC70" w14:textId="77777777" w:rsidR="00367E07" w:rsidRDefault="00367E07" w:rsidP="00367E07">
      <w:pPr>
        <w:jc w:val="both"/>
        <w:textAlignment w:val="baseline"/>
        <w:rPr>
          <w:rFonts w:ascii="Verdana" w:eastAsia="Times New Roman" w:hAnsi="Verdana" w:cs="Arial"/>
          <w:b/>
          <w:bCs/>
          <w:lang w:eastAsia="es-ES_tradnl"/>
        </w:rPr>
      </w:pPr>
      <w:r w:rsidRPr="002B7DEF">
        <w:rPr>
          <w:rFonts w:ascii="Verdana" w:eastAsia="Times New Roman" w:hAnsi="Verdana" w:cs="Arial"/>
          <w:b/>
          <w:bCs/>
          <w:lang w:eastAsia="es-ES_tradnl"/>
        </w:rPr>
        <w:t xml:space="preserve">CONTRATOS ESTATALES – Requisitos de perfeccionamiento </w:t>
      </w:r>
    </w:p>
    <w:p w14:paraId="10F1CC2B" w14:textId="77777777" w:rsidR="00367E07" w:rsidRPr="00D421DC" w:rsidRDefault="00367E07" w:rsidP="00367E07">
      <w:pPr>
        <w:spacing w:after="0" w:line="240" w:lineRule="auto"/>
        <w:jc w:val="both"/>
        <w:rPr>
          <w:rFonts w:ascii="Verdana" w:eastAsia="Calibri" w:hAnsi="Verdana" w:cs="Arial"/>
          <w:color w:val="000000"/>
          <w:sz w:val="20"/>
          <w:szCs w:val="20"/>
          <w:lang w:val="es-ES" w:eastAsia="en-GB"/>
        </w:rPr>
      </w:pPr>
      <w:r>
        <w:rPr>
          <w:rFonts w:ascii="Verdana" w:eastAsia="Calibri" w:hAnsi="Verdana" w:cs="Arial"/>
          <w:color w:val="000000" w:themeColor="text1"/>
          <w:sz w:val="20"/>
          <w:szCs w:val="20"/>
          <w:lang w:val="es-ES" w:eastAsia="en-GB"/>
        </w:rPr>
        <w:t xml:space="preserve">[…] </w:t>
      </w:r>
      <w:r w:rsidRPr="00D421DC">
        <w:rPr>
          <w:rFonts w:ascii="Verdana" w:eastAsia="Calibri" w:hAnsi="Verdana" w:cs="Arial"/>
          <w:color w:val="000000" w:themeColor="text1"/>
          <w:sz w:val="20"/>
          <w:szCs w:val="20"/>
          <w:lang w:val="es-ES" w:eastAsia="en-GB"/>
        </w:rPr>
        <w:t xml:space="preserve">el Estatuto General de Contratación de la Administración Pública prevé dos tipos de exigencias en relación con los contratos estatales: i) las relacionadas con el perfeccionamiento y ii) las que tienen que ver con la ejecución. Si bien ambas se complementan y marcan el origen de la fase contractual –o de ejecución–, es importante distinguirlas, ya que las consecuencias jurídicas que generan son diferentes. </w:t>
      </w:r>
    </w:p>
    <w:p w14:paraId="27323B41" w14:textId="77777777" w:rsidR="00367E07" w:rsidRDefault="00367E07" w:rsidP="00367E07">
      <w:pPr>
        <w:spacing w:after="0" w:line="240" w:lineRule="auto"/>
        <w:jc w:val="both"/>
        <w:rPr>
          <w:rFonts w:ascii="Verdana" w:eastAsia="Calibri" w:hAnsi="Verdana" w:cs="Arial"/>
          <w:color w:val="000000"/>
          <w:sz w:val="20"/>
          <w:szCs w:val="20"/>
          <w:lang w:val="es-ES" w:eastAsia="en-GB"/>
        </w:rPr>
      </w:pPr>
    </w:p>
    <w:p w14:paraId="4D17F7D7" w14:textId="77777777" w:rsidR="00367E07" w:rsidRDefault="00367E07" w:rsidP="00367E07">
      <w:pPr>
        <w:spacing w:after="0" w:line="240" w:lineRule="auto"/>
        <w:jc w:val="both"/>
        <w:rPr>
          <w:rFonts w:ascii="Verdana" w:eastAsia="Calibri" w:hAnsi="Verdana" w:cs="Arial"/>
          <w:color w:val="000000"/>
          <w:sz w:val="20"/>
          <w:szCs w:val="20"/>
          <w:lang w:val="es-ES" w:eastAsia="en-GB"/>
        </w:rPr>
      </w:pPr>
      <w:r w:rsidRPr="00D421DC">
        <w:rPr>
          <w:rFonts w:ascii="Verdana" w:eastAsia="Calibri" w:hAnsi="Verdana" w:cs="Arial"/>
          <w:color w:val="000000"/>
          <w:sz w:val="20"/>
          <w:szCs w:val="20"/>
          <w:lang w:val="es-ES" w:eastAsia="en-GB"/>
        </w:rPr>
        <w:t xml:space="preserve">Los </w:t>
      </w:r>
      <w:r w:rsidRPr="00D421DC">
        <w:rPr>
          <w:rFonts w:ascii="Verdana" w:eastAsia="Calibri" w:hAnsi="Verdana" w:cs="Arial"/>
          <w:i/>
          <w:iCs/>
          <w:color w:val="000000"/>
          <w:sz w:val="20"/>
          <w:szCs w:val="20"/>
          <w:lang w:val="es-ES" w:eastAsia="en-GB"/>
        </w:rPr>
        <w:t>requisitos de perfeccionamiento</w:t>
      </w:r>
      <w:r w:rsidRPr="00D421DC">
        <w:rPr>
          <w:rFonts w:ascii="Verdana" w:eastAsia="Calibri" w:hAnsi="Verdana" w:cs="Arial"/>
          <w:color w:val="000000"/>
          <w:sz w:val="20"/>
          <w:szCs w:val="20"/>
          <w:lang w:val="es-ES" w:eastAsia="en-GB"/>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w:t>
      </w:r>
      <w:r w:rsidRPr="00D421DC">
        <w:rPr>
          <w:rFonts w:ascii="Verdana" w:eastAsia="Calibri" w:hAnsi="Verdana" w:cs="Arial"/>
          <w:color w:val="000000"/>
          <w:sz w:val="20"/>
          <w:szCs w:val="20"/>
          <w:lang w:val="es-ES" w:eastAsia="en-GB"/>
        </w:rPr>
        <w:lastRenderedPageBreak/>
        <w:t>al contrato, se entienden incorporados por ministerio de la ley, aun ante el silencio de las partes. Y los accidentales son los que las partes agregan en ejercicio de su autonomía de la voluntad, ya que no son ni esenciales, ni de la naturaleza del contrato. Los requisitos de perfeccionamiento del contrato estatal ingresan dentro de los elementos de la esencia.</w:t>
      </w:r>
    </w:p>
    <w:p w14:paraId="2B8BDB08" w14:textId="77777777" w:rsidR="00367E07" w:rsidRDefault="00367E07" w:rsidP="00367E07">
      <w:pPr>
        <w:spacing w:after="0" w:line="240" w:lineRule="auto"/>
        <w:jc w:val="both"/>
        <w:rPr>
          <w:rFonts w:ascii="Verdana" w:eastAsia="Calibri" w:hAnsi="Verdana" w:cs="Arial"/>
          <w:color w:val="000000"/>
          <w:sz w:val="20"/>
          <w:szCs w:val="20"/>
          <w:lang w:val="es-ES" w:eastAsia="en-GB"/>
        </w:rPr>
      </w:pPr>
    </w:p>
    <w:p w14:paraId="2F5E9946" w14:textId="77777777" w:rsidR="00367E07" w:rsidRDefault="00367E07" w:rsidP="00367E07">
      <w:pPr>
        <w:spacing w:after="0" w:line="240" w:lineRule="auto"/>
        <w:jc w:val="both"/>
        <w:rPr>
          <w:rFonts w:ascii="Verdana" w:eastAsia="Times New Roman" w:hAnsi="Verdana" w:cs="Arial"/>
          <w:b/>
          <w:bCs/>
          <w:lang w:eastAsia="es-ES_tradnl"/>
        </w:rPr>
      </w:pPr>
      <w:r w:rsidRPr="002B7DEF">
        <w:rPr>
          <w:rFonts w:ascii="Verdana" w:eastAsia="Times New Roman" w:hAnsi="Verdana" w:cs="Arial"/>
          <w:b/>
          <w:bCs/>
          <w:lang w:eastAsia="es-ES_tradnl"/>
        </w:rPr>
        <w:t xml:space="preserve">CONTRATOS ESTATALES – Consensuales – Reales – Solemnes </w:t>
      </w:r>
    </w:p>
    <w:p w14:paraId="5B2AE453" w14:textId="77777777" w:rsidR="00367E07" w:rsidRDefault="00367E07" w:rsidP="00367E07">
      <w:pPr>
        <w:spacing w:after="0" w:line="240" w:lineRule="auto"/>
        <w:jc w:val="both"/>
        <w:rPr>
          <w:rFonts w:ascii="Verdana" w:eastAsia="Times New Roman" w:hAnsi="Verdana" w:cs="Arial"/>
          <w:b/>
          <w:bCs/>
          <w:lang w:eastAsia="es-ES_tradnl"/>
        </w:rPr>
      </w:pPr>
    </w:p>
    <w:p w14:paraId="17863273" w14:textId="77777777" w:rsidR="00367E07" w:rsidRPr="00556DC4" w:rsidRDefault="00367E07" w:rsidP="00367E07">
      <w:pPr>
        <w:spacing w:after="0" w:line="240" w:lineRule="auto"/>
        <w:jc w:val="both"/>
        <w:rPr>
          <w:rFonts w:ascii="Verdana" w:eastAsia="Calibri" w:hAnsi="Verdana" w:cs="Arial"/>
          <w:color w:val="000000"/>
          <w:sz w:val="20"/>
          <w:szCs w:val="20"/>
          <w:lang w:val="es-ES" w:eastAsia="en-GB"/>
        </w:rPr>
      </w:pPr>
      <w:r w:rsidRPr="00556DC4">
        <w:rPr>
          <w:rFonts w:ascii="Verdana" w:eastAsia="Calibri" w:hAnsi="Verdana" w:cs="Arial"/>
          <w:color w:val="000000"/>
          <w:sz w:val="20"/>
          <w:szCs w:val="20"/>
          <w:lang w:val="es-ES" w:eastAsia="en-GB"/>
        </w:rPr>
        <w:t xml:space="preserve">[…] los contratos –en términos generales– pueden ser: consensuales, reales o solemnes. Son </w:t>
      </w:r>
      <w:r w:rsidRPr="00556DC4">
        <w:rPr>
          <w:rFonts w:ascii="Verdana" w:eastAsia="Calibri" w:hAnsi="Verdana" w:cs="Arial"/>
          <w:i/>
          <w:iCs/>
          <w:color w:val="000000"/>
          <w:sz w:val="20"/>
          <w:szCs w:val="20"/>
          <w:lang w:val="es-ES" w:eastAsia="en-GB"/>
        </w:rPr>
        <w:t>consensuales</w:t>
      </w:r>
      <w:r w:rsidRPr="00556DC4">
        <w:rPr>
          <w:rFonts w:ascii="Verdana" w:eastAsia="Calibri" w:hAnsi="Verdana" w:cs="Arial"/>
          <w:color w:val="000000"/>
          <w:sz w:val="20"/>
          <w:szCs w:val="20"/>
          <w:lang w:val="es-ES" w:eastAsia="en-GB"/>
        </w:rPr>
        <w:t xml:space="preserve"> los que se perfeccionan con el consentimiento informal, pues no requieren de formalidades especiales. Son </w:t>
      </w:r>
      <w:r w:rsidRPr="00556DC4">
        <w:rPr>
          <w:rFonts w:ascii="Verdana" w:eastAsia="Calibri" w:hAnsi="Verdana" w:cs="Arial"/>
          <w:i/>
          <w:iCs/>
          <w:color w:val="000000"/>
          <w:sz w:val="20"/>
          <w:szCs w:val="20"/>
          <w:lang w:val="es-ES" w:eastAsia="en-GB"/>
        </w:rPr>
        <w:t>reales</w:t>
      </w:r>
      <w:r w:rsidRPr="00556DC4">
        <w:rPr>
          <w:rFonts w:ascii="Verdana" w:eastAsia="Calibri" w:hAnsi="Verdana" w:cs="Arial"/>
          <w:color w:val="000000"/>
          <w:sz w:val="20"/>
          <w:szCs w:val="20"/>
          <w:lang w:val="es-ES" w:eastAsia="en-GB"/>
        </w:rPr>
        <w:t xml:space="preserve"> aquellos que existen solo con la tradición o entrega de una cosa. Por su parte, son </w:t>
      </w:r>
      <w:r w:rsidRPr="00556DC4">
        <w:rPr>
          <w:rFonts w:ascii="Verdana" w:eastAsia="Calibri" w:hAnsi="Verdana" w:cs="Arial"/>
          <w:i/>
          <w:iCs/>
          <w:color w:val="000000"/>
          <w:sz w:val="20"/>
          <w:szCs w:val="20"/>
          <w:lang w:val="es-ES" w:eastAsia="en-GB"/>
        </w:rPr>
        <w:t>solemnes</w:t>
      </w:r>
      <w:r w:rsidRPr="00556DC4">
        <w:rPr>
          <w:rFonts w:ascii="Verdana" w:eastAsia="Calibri" w:hAnsi="Verdana" w:cs="Arial"/>
          <w:color w:val="000000"/>
          <w:sz w:val="20"/>
          <w:szCs w:val="20"/>
          <w:lang w:val="es-ES" w:eastAsia="en-GB"/>
        </w:rPr>
        <w:t xml:space="preserve">, en cambio, aquellos contratos cuyo perfeccionamiento está revestido del cumplimiento de exigencias formales o ritualidades específicas. Pues bien, los contratos estatales regulados por el ECGAP, por regla general, son solemnes, ya que solo se entienden celebrados si se cumplen ciertas formalidades. </w:t>
      </w:r>
    </w:p>
    <w:p w14:paraId="124A27A4" w14:textId="77777777" w:rsidR="00367E07" w:rsidRPr="00D421DC" w:rsidRDefault="00367E07" w:rsidP="00367E07">
      <w:pPr>
        <w:spacing w:after="0" w:line="240" w:lineRule="auto"/>
        <w:jc w:val="both"/>
        <w:rPr>
          <w:rFonts w:ascii="Verdana" w:eastAsia="Calibri" w:hAnsi="Verdana" w:cs="Arial"/>
          <w:color w:val="000000"/>
          <w:sz w:val="20"/>
          <w:szCs w:val="20"/>
          <w:lang w:val="es-ES" w:eastAsia="en-GB"/>
        </w:rPr>
      </w:pPr>
    </w:p>
    <w:p w14:paraId="41DF8B74" w14:textId="77777777" w:rsidR="00367E07" w:rsidRDefault="00367E07" w:rsidP="00367E07">
      <w:pPr>
        <w:spacing w:after="0" w:line="240" w:lineRule="auto"/>
        <w:jc w:val="both"/>
        <w:textAlignment w:val="baseline"/>
        <w:rPr>
          <w:rFonts w:ascii="Verdana" w:eastAsia="Times New Roman" w:hAnsi="Verdana" w:cs="Arial"/>
          <w:b/>
          <w:bCs/>
          <w:lang w:eastAsia="es-ES_tradnl"/>
        </w:rPr>
      </w:pPr>
      <w:r w:rsidRPr="002B7DEF">
        <w:rPr>
          <w:rFonts w:ascii="Verdana" w:eastAsia="Times New Roman" w:hAnsi="Verdana" w:cs="Arial"/>
          <w:b/>
          <w:bCs/>
          <w:lang w:eastAsia="es-ES_tradnl"/>
        </w:rPr>
        <w:t xml:space="preserve">CONTRATOS ESTATALES – Requisitos de perfeccionamiento – Requisitos de ejecución - Artículo 41 Ley 80 de 1993 </w:t>
      </w:r>
    </w:p>
    <w:p w14:paraId="37F5C8EB" w14:textId="77777777" w:rsidR="00367E07" w:rsidRDefault="00367E07" w:rsidP="00367E07">
      <w:pPr>
        <w:spacing w:after="0" w:line="240" w:lineRule="auto"/>
        <w:jc w:val="both"/>
        <w:textAlignment w:val="baseline"/>
        <w:rPr>
          <w:rFonts w:ascii="Verdana" w:eastAsia="Calibri" w:hAnsi="Verdana" w:cs="Arial"/>
          <w:color w:val="000000"/>
          <w:sz w:val="20"/>
          <w:szCs w:val="20"/>
          <w:lang w:val="es-ES" w:eastAsia="en-GB"/>
        </w:rPr>
      </w:pPr>
    </w:p>
    <w:p w14:paraId="6B29A8CC" w14:textId="77777777" w:rsidR="00367E07" w:rsidRPr="00FB29FD" w:rsidRDefault="00367E07" w:rsidP="00367E07">
      <w:pPr>
        <w:spacing w:after="0" w:line="240" w:lineRule="auto"/>
        <w:jc w:val="both"/>
        <w:textAlignment w:val="baseline"/>
        <w:rPr>
          <w:rFonts w:ascii="Verdana" w:eastAsia="Times New Roman" w:hAnsi="Verdana" w:cs="Arial"/>
          <w:b/>
          <w:bCs/>
          <w:lang w:eastAsia="es-ES_tradnl"/>
        </w:rPr>
      </w:pPr>
      <w:r w:rsidRPr="00D421DC">
        <w:rPr>
          <w:rFonts w:ascii="Verdana" w:eastAsia="Calibri" w:hAnsi="Verdana" w:cs="Arial"/>
          <w:color w:val="000000"/>
          <w:sz w:val="20"/>
          <w:szCs w:val="20"/>
          <w:lang w:val="es-ES" w:eastAsia="en-GB"/>
        </w:rPr>
        <w:t xml:space="preserve">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 “(…) principalmente, </w:t>
      </w:r>
      <w:r w:rsidRPr="00D421DC">
        <w:rPr>
          <w:rFonts w:ascii="Verdana" w:eastAsia="Calibri" w:hAnsi="Verdana" w:cs="Arial"/>
          <w:i/>
          <w:iCs/>
          <w:color w:val="000000"/>
          <w:sz w:val="20"/>
          <w:szCs w:val="20"/>
          <w:lang w:val="es-ES" w:eastAsia="en-GB"/>
        </w:rPr>
        <w:t>solemne,</w:t>
      </w:r>
      <w:r w:rsidRPr="00D421DC">
        <w:rPr>
          <w:rFonts w:ascii="Verdana" w:eastAsia="Calibri" w:hAnsi="Verdana" w:cs="Arial"/>
          <w:color w:val="000000"/>
          <w:sz w:val="20"/>
          <w:szCs w:val="20"/>
          <w:lang w:val="es-ES" w:eastAsia="en-GB"/>
        </w:rPr>
        <w:t xml:space="preserve"> ya que la manifestación de voluntad, si no se expresa bajo la forma </w:t>
      </w:r>
      <w:r w:rsidRPr="00D421DC">
        <w:rPr>
          <w:rFonts w:ascii="Verdana" w:eastAsia="Calibri" w:hAnsi="Verdana" w:cs="Arial"/>
          <w:i/>
          <w:iCs/>
          <w:color w:val="000000"/>
          <w:sz w:val="20"/>
          <w:szCs w:val="20"/>
          <w:lang w:val="es-ES" w:eastAsia="en-GB"/>
        </w:rPr>
        <w:t>ad solemnitatem</w:t>
      </w:r>
      <w:r w:rsidRPr="00D421DC">
        <w:rPr>
          <w:rFonts w:ascii="Verdana" w:eastAsia="Calibri" w:hAnsi="Verdana" w:cs="Arial"/>
          <w:color w:val="000000"/>
          <w:sz w:val="20"/>
          <w:szCs w:val="20"/>
          <w:lang w:val="es-ES" w:eastAsia="en-GB"/>
        </w:rPr>
        <w:t xml:space="preserve"> o </w:t>
      </w:r>
      <w:r w:rsidRPr="00D421DC">
        <w:rPr>
          <w:rFonts w:ascii="Verdana" w:eastAsia="Calibri" w:hAnsi="Verdana" w:cs="Arial"/>
          <w:i/>
          <w:iCs/>
          <w:color w:val="000000"/>
          <w:sz w:val="20"/>
          <w:szCs w:val="20"/>
          <w:lang w:val="es-ES" w:eastAsia="en-GB"/>
        </w:rPr>
        <w:t>ad substantiam actus</w:t>
      </w:r>
      <w:r w:rsidRPr="00D421DC">
        <w:rPr>
          <w:rFonts w:ascii="Verdana" w:eastAsia="Calibri" w:hAnsi="Verdana" w:cs="Arial"/>
          <w:color w:val="000000"/>
          <w:sz w:val="20"/>
          <w:szCs w:val="20"/>
          <w:lang w:val="es-ES" w:eastAsia="en-GB"/>
        </w:rPr>
        <w:t xml:space="preserve"> exigida por la ley, es inexistente, es decir, se entiende que el contrato jamás ha sido creado para el mundo jurídico</w:t>
      </w:r>
      <w:r>
        <w:rPr>
          <w:rFonts w:ascii="Verdana" w:eastAsia="Calibri" w:hAnsi="Verdana" w:cs="Arial"/>
          <w:color w:val="000000"/>
          <w:sz w:val="20"/>
          <w:szCs w:val="20"/>
          <w:lang w:val="es-ES" w:eastAsia="en-GB"/>
        </w:rPr>
        <w:t>.</w:t>
      </w:r>
    </w:p>
    <w:p w14:paraId="383D9A9D" w14:textId="77777777" w:rsidR="00367E07" w:rsidRDefault="00367E07" w:rsidP="00367E07">
      <w:pPr>
        <w:spacing w:after="0" w:line="240" w:lineRule="auto"/>
        <w:jc w:val="both"/>
        <w:textAlignment w:val="baseline"/>
        <w:rPr>
          <w:rFonts w:ascii="Verdana" w:eastAsia="Calibri" w:hAnsi="Verdana" w:cs="Arial"/>
          <w:color w:val="000000"/>
          <w:sz w:val="20"/>
          <w:szCs w:val="20"/>
          <w:lang w:val="es-ES" w:eastAsia="en-GB"/>
        </w:rPr>
      </w:pPr>
      <w:r>
        <w:rPr>
          <w:rFonts w:ascii="Verdana" w:eastAsia="Calibri" w:hAnsi="Verdana" w:cs="Arial"/>
          <w:color w:val="000000"/>
          <w:sz w:val="20"/>
          <w:szCs w:val="20"/>
          <w:lang w:val="es-ES" w:eastAsia="en-GB"/>
        </w:rPr>
        <w:t xml:space="preserve">[…] </w:t>
      </w:r>
    </w:p>
    <w:p w14:paraId="2E61404B" w14:textId="77777777" w:rsidR="00367E07" w:rsidRDefault="00367E07" w:rsidP="00367E07">
      <w:pPr>
        <w:spacing w:after="0" w:line="240" w:lineRule="auto"/>
        <w:jc w:val="both"/>
        <w:rPr>
          <w:rFonts w:ascii="Verdana" w:eastAsia="Calibri" w:hAnsi="Verdana" w:cs="Arial"/>
          <w:color w:val="000000" w:themeColor="text1"/>
          <w:sz w:val="20"/>
          <w:szCs w:val="20"/>
          <w:lang w:val="es-ES" w:eastAsia="en-GB"/>
        </w:rPr>
      </w:pPr>
    </w:p>
    <w:p w14:paraId="63EC4D1E" w14:textId="77777777" w:rsidR="00367E07" w:rsidRPr="00D421DC" w:rsidRDefault="00367E07" w:rsidP="00367E07">
      <w:pPr>
        <w:spacing w:after="0" w:line="240" w:lineRule="auto"/>
        <w:jc w:val="both"/>
        <w:rPr>
          <w:rFonts w:ascii="Verdana" w:eastAsia="Calibri" w:hAnsi="Verdana" w:cs="Arial"/>
          <w:color w:val="000000" w:themeColor="text1"/>
          <w:sz w:val="20"/>
          <w:szCs w:val="20"/>
          <w:lang w:eastAsia="en-GB"/>
        </w:rPr>
      </w:pPr>
      <w:r w:rsidRPr="00D421DC">
        <w:rPr>
          <w:rFonts w:ascii="Verdana" w:eastAsia="Calibri" w:hAnsi="Verdana" w:cs="Arial"/>
          <w:color w:val="000000" w:themeColor="text1"/>
          <w:sz w:val="20"/>
          <w:szCs w:val="20"/>
          <w:lang w:val="es-ES" w:eastAsia="en-GB"/>
        </w:rPr>
        <w:t xml:space="preserve">Por su parte, los requisitos de ejecución del contrato estatal según lo dispuesto en el inciso segundo del artículo 41 de la Ley 80 de 1993 corresponden a: i) la </w:t>
      </w:r>
      <w:r w:rsidRPr="00D421DC">
        <w:rPr>
          <w:rFonts w:ascii="Verdana" w:eastAsia="Calibri" w:hAnsi="Verdana" w:cs="Arial"/>
          <w:color w:val="000000" w:themeColor="text1"/>
          <w:sz w:val="20"/>
          <w:szCs w:val="20"/>
          <w:lang w:eastAsia="en-GB"/>
        </w:rPr>
        <w:t>probación de la garantía, ii) la existencia de las disponibilidades presupuestales correspondientes, salvo que se trate de la contratación con recursos de vigencias fiscales futuras de conformidad con lo previsto en la ley orgánica del presupuesto y iii) la acreditación por parte del contratista del pago de la seguridad social integral.</w:t>
      </w:r>
    </w:p>
    <w:p w14:paraId="7B5769DC" w14:textId="77777777" w:rsidR="00367E07" w:rsidRPr="00D421DC" w:rsidRDefault="00367E07" w:rsidP="00367E07">
      <w:pPr>
        <w:spacing w:after="0" w:line="240" w:lineRule="auto"/>
        <w:jc w:val="both"/>
        <w:textAlignment w:val="baseline"/>
        <w:rPr>
          <w:rFonts w:ascii="Verdana" w:eastAsia="Times New Roman" w:hAnsi="Verdana" w:cs="Arial"/>
          <w:b/>
          <w:bCs/>
          <w:sz w:val="20"/>
          <w:szCs w:val="20"/>
          <w:lang w:eastAsia="es-ES_tradnl"/>
        </w:rPr>
      </w:pPr>
    </w:p>
    <w:p w14:paraId="638527B0" w14:textId="77777777" w:rsidR="00367E07" w:rsidRDefault="00367E07" w:rsidP="00367E07">
      <w:pPr>
        <w:spacing w:after="0" w:line="240" w:lineRule="auto"/>
        <w:jc w:val="both"/>
        <w:textAlignment w:val="baseline"/>
        <w:rPr>
          <w:rFonts w:ascii="Verdana" w:eastAsia="Times New Roman" w:hAnsi="Verdana" w:cs="Arial"/>
          <w:b/>
          <w:bCs/>
          <w:lang w:eastAsia="es-ES_tradnl"/>
        </w:rPr>
      </w:pPr>
      <w:r w:rsidRPr="002B7DEF">
        <w:rPr>
          <w:rFonts w:ascii="Verdana" w:eastAsia="Times New Roman" w:hAnsi="Verdana" w:cs="Arial"/>
          <w:b/>
          <w:bCs/>
          <w:lang w:eastAsia="es-ES_tradnl"/>
        </w:rPr>
        <w:t xml:space="preserve">ESTABILIDAD LABORAL REFORZADA DE MUJER EMBARAZADA – Renovación – Contrato de prestación de servicios – Actuaciones   </w:t>
      </w:r>
    </w:p>
    <w:p w14:paraId="06507411" w14:textId="77777777" w:rsidR="00367E07" w:rsidRDefault="00367E07" w:rsidP="00367E07">
      <w:pPr>
        <w:widowControl w:val="0"/>
        <w:autoSpaceDE w:val="0"/>
        <w:autoSpaceDN w:val="0"/>
        <w:snapToGrid w:val="0"/>
        <w:spacing w:after="0" w:line="240" w:lineRule="auto"/>
        <w:jc w:val="both"/>
        <w:rPr>
          <w:rFonts w:ascii="Verdana" w:eastAsia="Calibri" w:hAnsi="Verdana" w:cs="Arial"/>
          <w:color w:val="000000"/>
          <w:sz w:val="20"/>
          <w:szCs w:val="20"/>
          <w:lang w:val="es-ES_tradnl"/>
        </w:rPr>
      </w:pPr>
    </w:p>
    <w:p w14:paraId="57815D95" w14:textId="77777777" w:rsidR="00367E07" w:rsidRDefault="00367E07" w:rsidP="00367E07">
      <w:pPr>
        <w:widowControl w:val="0"/>
        <w:autoSpaceDE w:val="0"/>
        <w:autoSpaceDN w:val="0"/>
        <w:snapToGrid w:val="0"/>
        <w:spacing w:after="0" w:line="240" w:lineRule="auto"/>
        <w:jc w:val="both"/>
        <w:rPr>
          <w:rFonts w:ascii="Verdana" w:eastAsia="Arial" w:hAnsi="Verdana" w:cs="Arial"/>
          <w:sz w:val="20"/>
          <w:szCs w:val="20"/>
        </w:rPr>
      </w:pPr>
      <w:r w:rsidRPr="00FB29FD">
        <w:rPr>
          <w:rFonts w:ascii="Verdana" w:eastAsia="Calibri" w:hAnsi="Verdana" w:cs="Arial"/>
          <w:color w:val="000000"/>
          <w:sz w:val="20"/>
          <w:szCs w:val="20"/>
          <w:lang w:val="es-ES_tradnl"/>
        </w:rPr>
        <w:t xml:space="preserve">En concordancia con lo expuesto, </w:t>
      </w:r>
      <w:r w:rsidRPr="00FB29FD">
        <w:rPr>
          <w:rFonts w:ascii="Verdana" w:eastAsia="Arial" w:hAnsi="Verdana" w:cs="Arial"/>
          <w:sz w:val="20"/>
          <w:szCs w:val="20"/>
        </w:rPr>
        <w:t xml:space="preserve">resulta pertinente precisar que, con el fin de garantizar la estabilidad ocupacional reforzada de las mujeres vinculadas mediante contratos de </w:t>
      </w:r>
      <w:r w:rsidRPr="00FB29FD">
        <w:rPr>
          <w:rFonts w:ascii="Verdana" w:eastAsia="Arial" w:hAnsi="Verdana" w:cs="Arial"/>
          <w:sz w:val="20"/>
          <w:szCs w:val="20"/>
        </w:rPr>
        <w:lastRenderedPageBreak/>
        <w:t>prestación de servicios que se encuentren en estado de embarazo, las entidades deberán evaluar, en el marco de su autonomía administrativa y contractual, las medidas que estimen más razonables y proporcionales para armonizar, de una parte, los principios de la gestión fiscal y la adecuada ejecución contractual, y de otra, la correcta aplicación de la normativa presupuestal vigente, sin desconocer la protección de los derechos fundamentales de las contratistas beneficiarias de dicha estabilidad reforzada.</w:t>
      </w:r>
    </w:p>
    <w:p w14:paraId="18EFF9D1" w14:textId="77777777" w:rsidR="00367E07" w:rsidRDefault="00367E07" w:rsidP="00367E07">
      <w:pPr>
        <w:widowControl w:val="0"/>
        <w:autoSpaceDE w:val="0"/>
        <w:autoSpaceDN w:val="0"/>
        <w:snapToGrid w:val="0"/>
        <w:spacing w:after="0" w:line="240" w:lineRule="auto"/>
        <w:jc w:val="both"/>
        <w:rPr>
          <w:rFonts w:ascii="Verdana" w:eastAsia="Arial" w:hAnsi="Verdana" w:cs="Arial"/>
          <w:sz w:val="20"/>
          <w:szCs w:val="20"/>
        </w:rPr>
      </w:pPr>
    </w:p>
    <w:p w14:paraId="494F94DA" w14:textId="77777777" w:rsidR="00367E07" w:rsidRPr="00FB29FD" w:rsidRDefault="00367E07" w:rsidP="00367E07">
      <w:pPr>
        <w:widowControl w:val="0"/>
        <w:autoSpaceDE w:val="0"/>
        <w:autoSpaceDN w:val="0"/>
        <w:snapToGrid w:val="0"/>
        <w:spacing w:after="0" w:line="240" w:lineRule="auto"/>
        <w:jc w:val="both"/>
        <w:rPr>
          <w:rFonts w:ascii="Verdana" w:eastAsia="Arial" w:hAnsi="Verdana" w:cs="Arial"/>
          <w:sz w:val="20"/>
          <w:szCs w:val="20"/>
        </w:rPr>
      </w:pPr>
      <w:r w:rsidRPr="00FB29FD">
        <w:rPr>
          <w:rFonts w:ascii="Verdana" w:eastAsia="Calibri" w:hAnsi="Verdana" w:cs="Arial"/>
          <w:color w:val="000000"/>
          <w:sz w:val="20"/>
          <w:szCs w:val="20"/>
          <w:lang w:val="es-ES_tradnl"/>
        </w:rPr>
        <w:t>Ahora bien, es importante tener en cuenta que la celebración de un contrato de prestación de servicios conlleva el despliegue de una serie de actuaciones administrativas y contractuales, tales como la elaboración de los estudios previos, la expedición del Certificado de Disponibilidad Presupuestal (CDP), la verificación y revisión de la documentación que acredite las condiciones del potencial contratista, así como la posterior suscripción del contrato, entre otras etapas propias del procedimiento contractual. En ese sentido, el trámite necesario para lograr una contratación no es inmediato y puede implicar varios días, circunstancia que debe ser considerada por las entidades al momento de adoptar decisiones orientadas a garantizar la continuidad en la protección de la contratista durante el período de amparo constitucional.</w:t>
      </w:r>
    </w:p>
    <w:p w14:paraId="4AD5530A" w14:textId="77777777" w:rsidR="0021042A" w:rsidRDefault="0021042A" w:rsidP="00291088">
      <w:pPr>
        <w:spacing w:after="0" w:line="240" w:lineRule="auto"/>
        <w:rPr>
          <w:rFonts w:ascii="Verdana" w:eastAsia="Geomanist Light" w:hAnsi="Verdana" w:cs="Arial"/>
          <w:color w:val="000000" w:themeColor="text1"/>
        </w:rPr>
      </w:pPr>
    </w:p>
    <w:p w14:paraId="3F80FA69" w14:textId="77777777" w:rsidR="0021042A" w:rsidRDefault="0021042A" w:rsidP="00291088">
      <w:pPr>
        <w:spacing w:after="0" w:line="240" w:lineRule="auto"/>
        <w:rPr>
          <w:rFonts w:ascii="Verdana" w:eastAsia="Geomanist Light" w:hAnsi="Verdana" w:cs="Arial"/>
          <w:color w:val="000000" w:themeColor="text1"/>
        </w:rPr>
      </w:pPr>
    </w:p>
    <w:p w14:paraId="4DC83D5F" w14:textId="77777777" w:rsidR="0021042A" w:rsidRDefault="0021042A" w:rsidP="00291088">
      <w:pPr>
        <w:spacing w:after="0" w:line="240" w:lineRule="auto"/>
        <w:rPr>
          <w:rFonts w:ascii="Verdana" w:eastAsia="Geomanist Light" w:hAnsi="Verdana" w:cs="Arial"/>
          <w:color w:val="000000" w:themeColor="text1"/>
        </w:rPr>
      </w:pPr>
    </w:p>
    <w:p w14:paraId="670E07FB" w14:textId="77777777" w:rsidR="0021042A" w:rsidRDefault="0021042A" w:rsidP="00291088">
      <w:pPr>
        <w:spacing w:after="0" w:line="240" w:lineRule="auto"/>
        <w:rPr>
          <w:rFonts w:ascii="Verdana" w:eastAsia="Geomanist Light" w:hAnsi="Verdana" w:cs="Arial"/>
          <w:color w:val="000000" w:themeColor="text1"/>
        </w:rPr>
      </w:pPr>
    </w:p>
    <w:p w14:paraId="7BC2093D" w14:textId="77777777" w:rsidR="0021042A" w:rsidRDefault="0021042A" w:rsidP="00291088">
      <w:pPr>
        <w:spacing w:after="0" w:line="240" w:lineRule="auto"/>
        <w:rPr>
          <w:rFonts w:ascii="Verdana" w:eastAsia="Geomanist Light" w:hAnsi="Verdana" w:cs="Arial"/>
          <w:color w:val="000000" w:themeColor="text1"/>
        </w:rPr>
      </w:pPr>
    </w:p>
    <w:p w14:paraId="5FF75576" w14:textId="77777777" w:rsidR="0021042A" w:rsidRDefault="0021042A" w:rsidP="00291088">
      <w:pPr>
        <w:spacing w:after="0" w:line="240" w:lineRule="auto"/>
        <w:rPr>
          <w:rFonts w:ascii="Verdana" w:eastAsia="Geomanist Light" w:hAnsi="Verdana" w:cs="Arial"/>
          <w:color w:val="000000" w:themeColor="text1"/>
        </w:rPr>
      </w:pPr>
    </w:p>
    <w:p w14:paraId="5B53B712" w14:textId="77777777" w:rsidR="0021042A" w:rsidRDefault="0021042A" w:rsidP="00291088">
      <w:pPr>
        <w:spacing w:after="0" w:line="240" w:lineRule="auto"/>
        <w:rPr>
          <w:rFonts w:ascii="Verdana" w:eastAsia="Geomanist Light" w:hAnsi="Verdana" w:cs="Arial"/>
          <w:color w:val="000000" w:themeColor="text1"/>
        </w:rPr>
      </w:pPr>
    </w:p>
    <w:p w14:paraId="4D64231F" w14:textId="77777777" w:rsidR="0021042A" w:rsidRDefault="0021042A" w:rsidP="00291088">
      <w:pPr>
        <w:spacing w:after="0" w:line="240" w:lineRule="auto"/>
        <w:rPr>
          <w:rFonts w:ascii="Verdana" w:eastAsia="Geomanist Light" w:hAnsi="Verdana" w:cs="Arial"/>
          <w:color w:val="000000" w:themeColor="text1"/>
        </w:rPr>
      </w:pPr>
    </w:p>
    <w:p w14:paraId="58436F0A" w14:textId="77777777" w:rsidR="0021042A" w:rsidRDefault="0021042A" w:rsidP="00291088">
      <w:pPr>
        <w:spacing w:after="0" w:line="240" w:lineRule="auto"/>
        <w:rPr>
          <w:rFonts w:ascii="Verdana" w:eastAsia="Geomanist Light" w:hAnsi="Verdana" w:cs="Arial"/>
          <w:color w:val="000000" w:themeColor="text1"/>
        </w:rPr>
      </w:pPr>
    </w:p>
    <w:p w14:paraId="771753A3" w14:textId="77777777" w:rsidR="0021042A" w:rsidRDefault="0021042A" w:rsidP="00291088">
      <w:pPr>
        <w:spacing w:after="0" w:line="240" w:lineRule="auto"/>
        <w:rPr>
          <w:rFonts w:ascii="Verdana" w:eastAsia="Geomanist Light" w:hAnsi="Verdana" w:cs="Arial"/>
          <w:color w:val="000000" w:themeColor="text1"/>
        </w:rPr>
      </w:pPr>
    </w:p>
    <w:p w14:paraId="288F6BD4" w14:textId="77777777" w:rsidR="0021042A" w:rsidRDefault="0021042A" w:rsidP="00291088">
      <w:pPr>
        <w:spacing w:after="0" w:line="240" w:lineRule="auto"/>
        <w:rPr>
          <w:rFonts w:ascii="Verdana" w:eastAsia="Geomanist Light" w:hAnsi="Verdana" w:cs="Arial"/>
          <w:color w:val="000000" w:themeColor="text1"/>
        </w:rPr>
      </w:pPr>
    </w:p>
    <w:p w14:paraId="288836B5" w14:textId="77777777" w:rsidR="0021042A" w:rsidRDefault="0021042A" w:rsidP="00291088">
      <w:pPr>
        <w:spacing w:after="0" w:line="240" w:lineRule="auto"/>
        <w:rPr>
          <w:rFonts w:ascii="Verdana" w:eastAsia="Geomanist Light" w:hAnsi="Verdana" w:cs="Arial"/>
          <w:color w:val="000000" w:themeColor="text1"/>
        </w:rPr>
      </w:pPr>
    </w:p>
    <w:p w14:paraId="12A66875" w14:textId="77777777" w:rsidR="0021042A" w:rsidRDefault="0021042A" w:rsidP="00291088">
      <w:pPr>
        <w:spacing w:after="0" w:line="240" w:lineRule="auto"/>
        <w:rPr>
          <w:rFonts w:ascii="Verdana" w:eastAsia="Geomanist Light" w:hAnsi="Verdana" w:cs="Arial"/>
          <w:color w:val="000000" w:themeColor="text1"/>
        </w:rPr>
      </w:pPr>
    </w:p>
    <w:p w14:paraId="09C42155" w14:textId="77777777" w:rsidR="0021042A" w:rsidRDefault="0021042A" w:rsidP="00291088">
      <w:pPr>
        <w:spacing w:after="0" w:line="240" w:lineRule="auto"/>
        <w:rPr>
          <w:rFonts w:ascii="Verdana" w:eastAsia="Geomanist Light" w:hAnsi="Verdana" w:cs="Arial"/>
          <w:color w:val="000000" w:themeColor="text1"/>
        </w:rPr>
      </w:pPr>
    </w:p>
    <w:p w14:paraId="51A35E99" w14:textId="77777777" w:rsidR="0021042A" w:rsidRDefault="0021042A" w:rsidP="00291088">
      <w:pPr>
        <w:spacing w:after="0" w:line="240" w:lineRule="auto"/>
        <w:rPr>
          <w:rFonts w:ascii="Verdana" w:eastAsia="Geomanist Light" w:hAnsi="Verdana" w:cs="Arial"/>
          <w:color w:val="000000" w:themeColor="text1"/>
        </w:rPr>
      </w:pPr>
    </w:p>
    <w:p w14:paraId="20BB1E1A" w14:textId="77777777" w:rsidR="0021042A" w:rsidRDefault="0021042A" w:rsidP="00291088">
      <w:pPr>
        <w:spacing w:after="0" w:line="240" w:lineRule="auto"/>
        <w:rPr>
          <w:rFonts w:ascii="Verdana" w:eastAsia="Geomanist Light" w:hAnsi="Verdana" w:cs="Arial"/>
          <w:color w:val="000000" w:themeColor="text1"/>
        </w:rPr>
      </w:pPr>
    </w:p>
    <w:p w14:paraId="25F99A4E" w14:textId="77777777" w:rsidR="0021042A" w:rsidRDefault="0021042A" w:rsidP="00291088">
      <w:pPr>
        <w:spacing w:after="0" w:line="240" w:lineRule="auto"/>
        <w:rPr>
          <w:rFonts w:ascii="Verdana" w:eastAsia="Geomanist Light" w:hAnsi="Verdana" w:cs="Arial"/>
          <w:color w:val="000000" w:themeColor="text1"/>
        </w:rPr>
      </w:pPr>
    </w:p>
    <w:p w14:paraId="148D42E0" w14:textId="77777777" w:rsidR="0021042A" w:rsidRDefault="0021042A" w:rsidP="00291088">
      <w:pPr>
        <w:spacing w:after="0" w:line="240" w:lineRule="auto"/>
        <w:rPr>
          <w:rFonts w:ascii="Verdana" w:eastAsia="Geomanist Light" w:hAnsi="Verdana" w:cs="Arial"/>
          <w:color w:val="000000" w:themeColor="text1"/>
        </w:rPr>
      </w:pPr>
    </w:p>
    <w:p w14:paraId="07A5159B" w14:textId="77777777" w:rsidR="0021042A" w:rsidRDefault="0021042A" w:rsidP="00291088">
      <w:pPr>
        <w:spacing w:after="0" w:line="240" w:lineRule="auto"/>
        <w:rPr>
          <w:rFonts w:ascii="Verdana" w:eastAsia="Geomanist Light" w:hAnsi="Verdana" w:cs="Arial"/>
          <w:color w:val="000000" w:themeColor="text1"/>
        </w:rPr>
      </w:pPr>
    </w:p>
    <w:p w14:paraId="5AC36CD3" w14:textId="77777777" w:rsidR="0021042A" w:rsidRDefault="0021042A" w:rsidP="00291088">
      <w:pPr>
        <w:spacing w:after="0" w:line="240" w:lineRule="auto"/>
        <w:rPr>
          <w:rFonts w:ascii="Verdana" w:eastAsia="Geomanist Light" w:hAnsi="Verdana" w:cs="Arial"/>
          <w:color w:val="000000" w:themeColor="text1"/>
        </w:rPr>
      </w:pPr>
    </w:p>
    <w:p w14:paraId="3528B615" w14:textId="77777777" w:rsidR="0021042A" w:rsidRDefault="0021042A" w:rsidP="00291088">
      <w:pPr>
        <w:spacing w:after="0" w:line="240" w:lineRule="auto"/>
        <w:rPr>
          <w:rFonts w:ascii="Verdana" w:eastAsia="Geomanist Light" w:hAnsi="Verdana" w:cs="Arial"/>
          <w:color w:val="000000" w:themeColor="text1"/>
        </w:rPr>
      </w:pPr>
    </w:p>
    <w:p w14:paraId="60F00660" w14:textId="77777777" w:rsidR="0021042A" w:rsidRDefault="0021042A" w:rsidP="00291088">
      <w:pPr>
        <w:spacing w:after="0" w:line="240" w:lineRule="auto"/>
        <w:rPr>
          <w:rFonts w:ascii="Verdana" w:eastAsia="Geomanist Light" w:hAnsi="Verdana" w:cs="Arial"/>
          <w:color w:val="000000" w:themeColor="text1"/>
        </w:rPr>
      </w:pPr>
    </w:p>
    <w:p w14:paraId="4992C342" w14:textId="77777777" w:rsidR="0021042A" w:rsidRDefault="0021042A" w:rsidP="00291088">
      <w:pPr>
        <w:spacing w:after="0" w:line="240" w:lineRule="auto"/>
        <w:rPr>
          <w:rFonts w:ascii="Verdana" w:eastAsia="Geomanist Light" w:hAnsi="Verdana" w:cs="Arial"/>
          <w:color w:val="000000" w:themeColor="text1"/>
        </w:rPr>
      </w:pPr>
    </w:p>
    <w:p w14:paraId="6B36840C" w14:textId="77777777" w:rsidR="0021042A" w:rsidRDefault="0021042A" w:rsidP="00291088">
      <w:pPr>
        <w:spacing w:after="0" w:line="240" w:lineRule="auto"/>
        <w:rPr>
          <w:rFonts w:ascii="Verdana" w:eastAsia="Geomanist Light" w:hAnsi="Verdana" w:cs="Arial"/>
          <w:color w:val="000000" w:themeColor="text1"/>
        </w:rPr>
      </w:pPr>
    </w:p>
    <w:p w14:paraId="198D3E91" w14:textId="77777777" w:rsidR="00F65963" w:rsidRDefault="00F65963" w:rsidP="00291088">
      <w:pPr>
        <w:spacing w:after="0" w:line="240" w:lineRule="auto"/>
        <w:rPr>
          <w:rFonts w:ascii="Verdana" w:eastAsia="Geomanist Light" w:hAnsi="Verdana" w:cs="Arial"/>
          <w:color w:val="000000" w:themeColor="text1"/>
        </w:rPr>
      </w:pPr>
    </w:p>
    <w:p w14:paraId="1B56900F" w14:textId="6BC5AD10" w:rsidR="00C5798E" w:rsidRPr="00291088" w:rsidRDefault="00291088" w:rsidP="00291088">
      <w:pPr>
        <w:spacing w:after="0" w:line="240" w:lineRule="auto"/>
        <w:rPr>
          <w:rFonts w:ascii="Verdana" w:eastAsia="Geomanist Light" w:hAnsi="Verdana" w:cs="Arial"/>
          <w:color w:val="000000" w:themeColor="text1"/>
          <w:lang w:val="es-MX"/>
        </w:rPr>
      </w:pPr>
      <w:r w:rsidRPr="00291088">
        <w:rPr>
          <w:rFonts w:ascii="Verdana" w:eastAsia="Geomanist Light" w:hAnsi="Verdana" w:cs="Arial"/>
          <w:color w:val="000000" w:themeColor="text1"/>
        </w:rPr>
        <w:lastRenderedPageBreak/>
        <w:t xml:space="preserve">Bogotá D.C., 01 de </w:t>
      </w:r>
      <w:r>
        <w:rPr>
          <w:rFonts w:ascii="Verdana" w:eastAsia="Geomanist Light" w:hAnsi="Verdana" w:cs="Arial"/>
          <w:color w:val="000000" w:themeColor="text1"/>
        </w:rPr>
        <w:t>j</w:t>
      </w:r>
      <w:r w:rsidRPr="00291088">
        <w:rPr>
          <w:rFonts w:ascii="Verdana" w:eastAsia="Geomanist Light" w:hAnsi="Verdana" w:cs="Arial"/>
          <w:color w:val="000000" w:themeColor="text1"/>
        </w:rPr>
        <w:t>ulio de 2026</w:t>
      </w:r>
      <w:r>
        <w:rPr>
          <w:rFonts w:ascii="Verdana" w:eastAsia="Geomanist Light" w:hAnsi="Verdana" w:cs="Arial"/>
          <w:color w:val="000000" w:themeColor="text1"/>
        </w:rPr>
        <w:t xml:space="preserve"> </w:t>
      </w:r>
      <w:bookmarkStart w:id="0" w:name="_Hlk197462763"/>
      <w:bookmarkStart w:id="1" w:name="_Hlk197529996"/>
    </w:p>
    <w:p w14:paraId="41F0A51A" w14:textId="063577F6" w:rsidR="00FD4670" w:rsidRDefault="00FD4670" w:rsidP="00C5798E">
      <w:pPr>
        <w:spacing w:after="0" w:line="276" w:lineRule="auto"/>
        <w:jc w:val="both"/>
        <w:rPr>
          <w:rFonts w:ascii="Verdana" w:hAnsi="Verdana"/>
          <w:lang w:val="es-MX"/>
        </w:rPr>
      </w:pPr>
    </w:p>
    <w:p w14:paraId="75AEA4AF" w14:textId="4C47D416" w:rsidR="00FD4670" w:rsidRDefault="00835B16" w:rsidP="00C5798E">
      <w:pPr>
        <w:spacing w:after="0" w:line="276" w:lineRule="auto"/>
        <w:jc w:val="both"/>
        <w:rPr>
          <w:rFonts w:ascii="Verdana" w:hAnsi="Verdana"/>
          <w:lang w:val="es-MX"/>
        </w:rPr>
      </w:pPr>
      <w:r w:rsidRPr="00835B16">
        <w:rPr>
          <w:rFonts w:ascii="Verdana" w:hAnsi="Verdana"/>
          <w:lang w:val="es-MX"/>
        </w:rPr>
        <w:drawing>
          <wp:anchor distT="0" distB="0" distL="114300" distR="114300" simplePos="0" relativeHeight="251660288" behindDoc="1" locked="0" layoutInCell="1" allowOverlap="1" wp14:anchorId="0982A84E" wp14:editId="6C1B9170">
            <wp:simplePos x="0" y="0"/>
            <wp:positionH relativeFrom="column">
              <wp:posOffset>3517265</wp:posOffset>
            </wp:positionH>
            <wp:positionV relativeFrom="paragraph">
              <wp:posOffset>12065</wp:posOffset>
            </wp:positionV>
            <wp:extent cx="2524125" cy="723900"/>
            <wp:effectExtent l="0" t="0" r="9525" b="0"/>
            <wp:wrapTight wrapText="bothSides">
              <wp:wrapPolygon edited="0">
                <wp:start x="0" y="0"/>
                <wp:lineTo x="0" y="21032"/>
                <wp:lineTo x="21518" y="21032"/>
                <wp:lineTo x="21518" y="0"/>
                <wp:lineTo x="0" y="0"/>
              </wp:wrapPolygon>
            </wp:wrapTight>
            <wp:docPr id="14110125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012541" name=""/>
                    <pic:cNvPicPr/>
                  </pic:nvPicPr>
                  <pic:blipFill>
                    <a:blip r:embed="rId7">
                      <a:extLst>
                        <a:ext uri="{28A0092B-C50C-407E-A947-70E740481C1C}">
                          <a14:useLocalDpi xmlns:a14="http://schemas.microsoft.com/office/drawing/2010/main" val="0"/>
                        </a:ext>
                      </a:extLst>
                    </a:blip>
                    <a:stretch>
                      <a:fillRect/>
                    </a:stretch>
                  </pic:blipFill>
                  <pic:spPr>
                    <a:xfrm>
                      <a:off x="0" y="0"/>
                      <a:ext cx="2524125" cy="723900"/>
                    </a:xfrm>
                    <a:prstGeom prst="rect">
                      <a:avLst/>
                    </a:prstGeom>
                  </pic:spPr>
                </pic:pic>
              </a:graphicData>
            </a:graphic>
          </wp:anchor>
        </w:drawing>
      </w:r>
    </w:p>
    <w:p w14:paraId="7855E82D" w14:textId="66EA401B" w:rsidR="00FD4670" w:rsidRDefault="00FD4670" w:rsidP="00C5798E">
      <w:pPr>
        <w:spacing w:after="0" w:line="276" w:lineRule="auto"/>
        <w:jc w:val="both"/>
        <w:rPr>
          <w:rFonts w:ascii="Verdana" w:hAnsi="Verdana"/>
          <w:lang w:val="es-MX"/>
        </w:rPr>
      </w:pPr>
    </w:p>
    <w:p w14:paraId="62E13D87" w14:textId="77777777" w:rsidR="00C5798E" w:rsidRPr="00627262" w:rsidRDefault="00C5798E" w:rsidP="00C5798E">
      <w:pPr>
        <w:spacing w:after="0" w:line="276" w:lineRule="auto"/>
        <w:jc w:val="both"/>
        <w:rPr>
          <w:rFonts w:ascii="Verdana" w:hAnsi="Verdana"/>
          <w:lang w:val="es-MX"/>
        </w:rPr>
      </w:pPr>
    </w:p>
    <w:p w14:paraId="76025914" w14:textId="3DB49161" w:rsidR="00C5798E" w:rsidRPr="00373836" w:rsidRDefault="00C5798E" w:rsidP="00C5798E">
      <w:pPr>
        <w:spacing w:after="0" w:line="240" w:lineRule="auto"/>
        <w:jc w:val="both"/>
        <w:rPr>
          <w:rFonts w:ascii="Verdana" w:eastAsia="Calibri" w:hAnsi="Verdana" w:cs="Arial"/>
          <w:lang w:val="es-MX" w:eastAsia="es-ES"/>
        </w:rPr>
      </w:pPr>
      <w:r w:rsidRPr="00373836">
        <w:rPr>
          <w:rFonts w:ascii="Verdana" w:eastAsia="Calibri" w:hAnsi="Verdana" w:cs="Arial"/>
          <w:lang w:val="es-MX" w:eastAsia="es-ES"/>
        </w:rPr>
        <w:t>Seño</w:t>
      </w:r>
      <w:r>
        <w:rPr>
          <w:rFonts w:ascii="Verdana" w:eastAsia="Calibri" w:hAnsi="Verdana" w:cs="Arial"/>
          <w:lang w:val="es-MX" w:eastAsia="es-ES"/>
        </w:rPr>
        <w:t>r</w:t>
      </w:r>
    </w:p>
    <w:p w14:paraId="18BD23B5" w14:textId="6C9672D1" w:rsidR="00C5798E" w:rsidRPr="00EF4536" w:rsidRDefault="00EF4536" w:rsidP="00EF4536">
      <w:pPr>
        <w:spacing w:after="0" w:line="240" w:lineRule="auto"/>
        <w:jc w:val="both"/>
        <w:rPr>
          <w:rFonts w:ascii="Verdana" w:eastAsia="Calibri" w:hAnsi="Verdana" w:cs="Arial"/>
          <w:b/>
          <w:bCs/>
          <w:lang w:val="es-MX" w:eastAsia="es-ES"/>
        </w:rPr>
      </w:pPr>
      <w:r w:rsidRPr="00EF4536">
        <w:rPr>
          <w:rFonts w:ascii="Verdana" w:eastAsia="Calibri" w:hAnsi="Verdana" w:cs="Arial"/>
          <w:b/>
          <w:bCs/>
          <w:lang w:val="es-MX" w:eastAsia="es-ES"/>
        </w:rPr>
        <w:t>Luis Gabriel Acosta Gutiérrez</w:t>
      </w:r>
    </w:p>
    <w:p w14:paraId="2B0F9A7E" w14:textId="57789224" w:rsidR="00C5798E" w:rsidRPr="00373836" w:rsidRDefault="00340BC1" w:rsidP="00C5798E">
      <w:pPr>
        <w:spacing w:after="0" w:line="240" w:lineRule="auto"/>
        <w:jc w:val="both"/>
        <w:rPr>
          <w:rFonts w:ascii="Verdana" w:eastAsia="Calibri" w:hAnsi="Verdana" w:cs="Arial"/>
          <w:lang w:val="es-MX" w:eastAsia="es-ES"/>
        </w:rPr>
      </w:pPr>
      <w:hyperlink r:id="rId8" w:history="1">
        <w:r w:rsidRPr="009875C9">
          <w:rPr>
            <w:rStyle w:val="Hipervnculo"/>
            <w:rFonts w:ascii="Verdana" w:eastAsia="Calibri" w:hAnsi="Verdana" w:cs="Arial"/>
            <w:lang w:val="es-MX" w:eastAsia="es-ES"/>
          </w:rPr>
          <w:t>luisg.acosta@correo.policia.gov.co</w:t>
        </w:r>
      </w:hyperlink>
      <w:r>
        <w:rPr>
          <w:rFonts w:ascii="Verdana" w:eastAsia="Calibri" w:hAnsi="Verdana" w:cs="Arial"/>
          <w:lang w:val="es-MX" w:eastAsia="es-ES"/>
        </w:rPr>
        <w:t xml:space="preserve"> </w:t>
      </w:r>
    </w:p>
    <w:p w14:paraId="10A68F0C" w14:textId="2BD79DAF" w:rsidR="00C5798E" w:rsidRPr="00373836" w:rsidRDefault="00DD7688" w:rsidP="00C5798E">
      <w:pPr>
        <w:spacing w:after="0" w:line="240" w:lineRule="auto"/>
        <w:jc w:val="both"/>
        <w:rPr>
          <w:rFonts w:ascii="Verdana" w:eastAsia="Calibri" w:hAnsi="Verdana" w:cs="Arial"/>
          <w:lang w:val="es-MX" w:eastAsia="es-ES"/>
        </w:rPr>
      </w:pPr>
      <w:r>
        <w:rPr>
          <w:rFonts w:ascii="Verdana" w:eastAsia="Calibri" w:hAnsi="Verdana" w:cs="Arial"/>
          <w:lang w:val="es-MX" w:eastAsia="es-ES"/>
        </w:rPr>
        <w:t>Ciudad</w:t>
      </w:r>
    </w:p>
    <w:p w14:paraId="60CA6678" w14:textId="77777777" w:rsidR="00C5798E" w:rsidRPr="005B4C57" w:rsidRDefault="00C5798E" w:rsidP="00C5798E">
      <w:pPr>
        <w:spacing w:after="0" w:line="276"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C5798E" w:rsidRPr="002842E0" w14:paraId="29E55987" w14:textId="77777777" w:rsidTr="00226B10">
        <w:trPr>
          <w:trHeight w:val="162"/>
        </w:trPr>
        <w:tc>
          <w:tcPr>
            <w:tcW w:w="3119" w:type="dxa"/>
          </w:tcPr>
          <w:p w14:paraId="4FCA02C1" w14:textId="77777777" w:rsidR="00C5798E" w:rsidRPr="005B4C57" w:rsidRDefault="00C5798E" w:rsidP="00226B10">
            <w:pPr>
              <w:spacing w:line="276" w:lineRule="auto"/>
              <w:jc w:val="both"/>
              <w:rPr>
                <w:rFonts w:ascii="Verdana" w:eastAsia="Calibri" w:hAnsi="Verdana" w:cs="Arial"/>
                <w:b/>
                <w:bCs/>
                <w:color w:val="7030A0"/>
                <w:lang w:val="it-CH" w:eastAsia="es-ES_tradnl"/>
              </w:rPr>
            </w:pPr>
          </w:p>
        </w:tc>
        <w:tc>
          <w:tcPr>
            <w:tcW w:w="5670" w:type="dxa"/>
          </w:tcPr>
          <w:p w14:paraId="13D874F1" w14:textId="37CB4256" w:rsidR="00C5798E" w:rsidRPr="00801462" w:rsidRDefault="00C5798E" w:rsidP="00226B10">
            <w:pPr>
              <w:spacing w:line="276" w:lineRule="auto"/>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912 de 2026</w:t>
            </w:r>
          </w:p>
          <w:p w14:paraId="720AF852" w14:textId="77777777" w:rsidR="00C5798E" w:rsidRPr="00801462" w:rsidRDefault="00C5798E" w:rsidP="00226B10">
            <w:pPr>
              <w:spacing w:line="276" w:lineRule="auto"/>
              <w:jc w:val="both"/>
              <w:rPr>
                <w:rFonts w:ascii="Verdana" w:eastAsia="Calibri" w:hAnsi="Verdana" w:cs="Arial"/>
                <w:b/>
                <w:bCs/>
                <w:color w:val="7030A0"/>
                <w:lang w:eastAsia="es-ES"/>
              </w:rPr>
            </w:pPr>
          </w:p>
        </w:tc>
      </w:tr>
      <w:tr w:rsidR="00C5798E" w:rsidRPr="002842E0" w14:paraId="706E026D" w14:textId="77777777" w:rsidTr="00226B10">
        <w:trPr>
          <w:trHeight w:val="884"/>
        </w:trPr>
        <w:tc>
          <w:tcPr>
            <w:tcW w:w="3119" w:type="dxa"/>
          </w:tcPr>
          <w:p w14:paraId="5EA84DB5" w14:textId="77777777" w:rsidR="00C5798E" w:rsidRPr="00801462" w:rsidRDefault="00C5798E" w:rsidP="00226B10">
            <w:pPr>
              <w:spacing w:line="276" w:lineRule="auto"/>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03578B2C" w14:textId="77777777" w:rsidR="001469C2" w:rsidRPr="007C073E" w:rsidRDefault="001469C2" w:rsidP="001469C2">
            <w:pPr>
              <w:jc w:val="both"/>
              <w:textAlignment w:val="baseline"/>
              <w:rPr>
                <w:rFonts w:ascii="Verdana" w:eastAsia="Times New Roman" w:hAnsi="Verdana" w:cs="Arial"/>
                <w:lang w:eastAsia="es-ES_tradnl"/>
              </w:rPr>
            </w:pPr>
            <w:r w:rsidRPr="007C073E">
              <w:rPr>
                <w:rFonts w:ascii="Verdana" w:eastAsia="Times New Roman" w:hAnsi="Verdana" w:cs="Arial"/>
                <w:lang w:eastAsia="es-ES_tradnl"/>
              </w:rPr>
              <w:t>ESTABILIDAD LABORAL REFORZADA DE MUJER EMBARAZADA – Fuero de maternidad - Concepto / ESTABILIDAD LABORAL REFORZADA DE MUJER EMBARAZADA – Unificación jurisprudencial / CONTRATOS ESTATALES – Requisitos de perfeccionamiento / CONTRATOS ESTATALES – Consensuales – Reales – Solemnes / CONTRATOS ESTATALES – Requisitos de perfeccionamiento – Requisitos de ejecución - Artículo 41 Ley 80 de 1993</w:t>
            </w:r>
            <w:r>
              <w:rPr>
                <w:rFonts w:ascii="Verdana" w:eastAsia="Times New Roman" w:hAnsi="Verdana" w:cs="Arial"/>
                <w:lang w:eastAsia="es-ES_tradnl"/>
              </w:rPr>
              <w:t xml:space="preserve"> / </w:t>
            </w:r>
            <w:r w:rsidRPr="00612D63">
              <w:rPr>
                <w:rFonts w:ascii="Verdana" w:eastAsia="Times New Roman" w:hAnsi="Verdana" w:cs="Arial"/>
                <w:lang w:eastAsia="es-ES_tradnl"/>
              </w:rPr>
              <w:t xml:space="preserve">ESTABILIDAD LABORAL REFORZADA DE MUJER EMBARAZADA – </w:t>
            </w:r>
            <w:r>
              <w:rPr>
                <w:rFonts w:ascii="Verdana" w:eastAsia="Times New Roman" w:hAnsi="Verdana" w:cs="Arial"/>
                <w:lang w:eastAsia="es-ES_tradnl"/>
              </w:rPr>
              <w:t xml:space="preserve">Renovación – Contrato de prestación de servicios – Actuaciones </w:t>
            </w:r>
            <w:r w:rsidRPr="007C073E">
              <w:rPr>
                <w:rFonts w:ascii="Verdana" w:eastAsia="Times New Roman" w:hAnsi="Verdana" w:cs="Arial"/>
                <w:lang w:eastAsia="es-ES_tradnl"/>
              </w:rPr>
              <w:t xml:space="preserve">  </w:t>
            </w:r>
          </w:p>
          <w:p w14:paraId="79BA0566" w14:textId="303737D0" w:rsidR="00916297" w:rsidRPr="001469C2" w:rsidRDefault="00916297" w:rsidP="00F10E04">
            <w:pPr>
              <w:jc w:val="both"/>
              <w:rPr>
                <w:rFonts w:ascii="Verdana" w:eastAsia="Calibri" w:hAnsi="Verdana" w:cs="Arial"/>
                <w:lang w:eastAsia="es-ES"/>
              </w:rPr>
            </w:pPr>
          </w:p>
        </w:tc>
      </w:tr>
      <w:tr w:rsidR="00C5798E" w:rsidRPr="002842E0" w14:paraId="1EBAF82C" w14:textId="77777777" w:rsidTr="00226B10">
        <w:tc>
          <w:tcPr>
            <w:tcW w:w="3119" w:type="dxa"/>
          </w:tcPr>
          <w:p w14:paraId="476010D9" w14:textId="77777777" w:rsidR="00C5798E" w:rsidRPr="00801462" w:rsidRDefault="00C5798E" w:rsidP="00226B10">
            <w:pPr>
              <w:spacing w:line="276" w:lineRule="auto"/>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0D473B11" w14:textId="77777777" w:rsidR="0001300D" w:rsidRPr="0001300D" w:rsidRDefault="00C5798E" w:rsidP="00226B10">
            <w:pPr>
              <w:spacing w:line="276" w:lineRule="auto"/>
              <w:jc w:val="both"/>
              <w:rPr>
                <w:rFonts w:ascii="Verdana" w:eastAsia="Calibri" w:hAnsi="Verdana" w:cs="Arial"/>
                <w:lang w:eastAsia="es-ES_tradnl"/>
              </w:rPr>
            </w:pPr>
            <w:r w:rsidRPr="0001300D">
              <w:rPr>
                <w:rFonts w:ascii="Verdana" w:eastAsia="Calibri" w:hAnsi="Verdana" w:cs="Arial"/>
                <w:lang w:eastAsia="es-ES_tradnl"/>
              </w:rPr>
              <w:t xml:space="preserve">Respuesta a consulta con radicado No. </w:t>
            </w:r>
          </w:p>
          <w:p w14:paraId="4B733B69" w14:textId="14E22513" w:rsidR="00C5798E" w:rsidRPr="0001300D" w:rsidRDefault="0001300D" w:rsidP="0001300D">
            <w:pPr>
              <w:jc w:val="both"/>
              <w:rPr>
                <w:rFonts w:ascii="Verdana" w:hAnsi="Verdana"/>
                <w:color w:val="000000"/>
                <w:sz w:val="20"/>
                <w:szCs w:val="20"/>
              </w:rPr>
            </w:pPr>
            <w:r w:rsidRPr="0001300D">
              <w:rPr>
                <w:rFonts w:ascii="Verdana" w:hAnsi="Verdana"/>
                <w:color w:val="000000"/>
              </w:rPr>
              <w:t>1_2026_06_01_007375</w:t>
            </w:r>
          </w:p>
        </w:tc>
      </w:tr>
    </w:tbl>
    <w:p w14:paraId="05CF7F56" w14:textId="77777777" w:rsidR="00C5798E" w:rsidRDefault="00C5798E" w:rsidP="00C5798E">
      <w:pPr>
        <w:spacing w:after="0" w:line="276" w:lineRule="auto"/>
        <w:jc w:val="both"/>
        <w:rPr>
          <w:rFonts w:ascii="Verdana" w:eastAsia="Calibri" w:hAnsi="Verdana" w:cs="Arial"/>
          <w:lang w:eastAsia="es-ES_tradnl"/>
        </w:rPr>
      </w:pPr>
    </w:p>
    <w:p w14:paraId="0454C76F" w14:textId="088FAD23" w:rsidR="00C5798E" w:rsidRPr="008E4F36" w:rsidRDefault="00C5798E" w:rsidP="00C5798E">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Pr>
          <w:rFonts w:ascii="Verdana" w:eastAsia="Calibri" w:hAnsi="Verdana" w:cs="Arial"/>
          <w:lang w:eastAsia="es-ES"/>
        </w:rPr>
        <w:t>a Señor</w:t>
      </w:r>
      <w:r w:rsidR="001304DD">
        <w:rPr>
          <w:rFonts w:ascii="Verdana" w:eastAsia="Calibri" w:hAnsi="Verdana" w:cs="Arial"/>
          <w:lang w:eastAsia="es-ES"/>
        </w:rPr>
        <w:t xml:space="preserve"> Acosta</w:t>
      </w:r>
      <w:r>
        <w:rPr>
          <w:rFonts w:ascii="Verdana" w:eastAsia="Calibri" w:hAnsi="Verdana" w:cs="Arial"/>
          <w:lang w:eastAsia="es-ES"/>
        </w:rPr>
        <w:t xml:space="preserve">a, cordial saludo, </w:t>
      </w:r>
    </w:p>
    <w:p w14:paraId="4373A1D9" w14:textId="77777777" w:rsidR="00C5798E" w:rsidRDefault="00C5798E" w:rsidP="00C5798E">
      <w:pPr>
        <w:tabs>
          <w:tab w:val="left" w:pos="3768"/>
        </w:tabs>
        <w:spacing w:after="0" w:line="276" w:lineRule="auto"/>
        <w:jc w:val="both"/>
        <w:rPr>
          <w:rFonts w:ascii="Verdana" w:eastAsia="Calibri" w:hAnsi="Verdana" w:cs="Arial"/>
          <w:lang w:eastAsia="es-ES"/>
        </w:rPr>
      </w:pPr>
    </w:p>
    <w:p w14:paraId="4614E855" w14:textId="1068660E" w:rsidR="00C5798E" w:rsidRPr="008E4F36" w:rsidRDefault="00C5798E" w:rsidP="00C5798E">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sidR="00340BC1">
        <w:rPr>
          <w:rFonts w:ascii="Verdana" w:eastAsia="Calibri" w:hAnsi="Verdana" w:cs="Arial"/>
          <w:lang w:eastAsia="es-ES"/>
        </w:rPr>
        <w:t>1</w:t>
      </w:r>
      <w:r w:rsidRPr="00AF6D58">
        <w:rPr>
          <w:rFonts w:ascii="Verdana" w:eastAsia="Calibri" w:hAnsi="Verdana" w:cs="Arial"/>
          <w:lang w:eastAsia="es-ES"/>
        </w:rPr>
        <w:t xml:space="preserve"> de </w:t>
      </w:r>
      <w:r w:rsidR="00340BC1">
        <w:rPr>
          <w:rFonts w:ascii="Verdana" w:eastAsia="Calibri" w:hAnsi="Verdana" w:cs="Arial"/>
          <w:lang w:eastAsia="es-ES"/>
        </w:rPr>
        <w:t>junio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2B21F14D" w14:textId="77777777" w:rsidR="00C5798E" w:rsidRPr="008C54F3" w:rsidRDefault="00C5798E" w:rsidP="00C5798E">
      <w:pPr>
        <w:spacing w:line="240" w:lineRule="auto"/>
        <w:ind w:left="709" w:right="709"/>
        <w:jc w:val="both"/>
        <w:rPr>
          <w:rFonts w:ascii="Verdana" w:eastAsia="Calibri" w:hAnsi="Verdana" w:cs="Arial"/>
          <w:color w:val="000000" w:themeColor="text1"/>
          <w:sz w:val="20"/>
          <w:szCs w:val="20"/>
        </w:rPr>
      </w:pPr>
    </w:p>
    <w:p w14:paraId="6C888695" w14:textId="0225E986" w:rsidR="006427E3" w:rsidRDefault="00C5798E" w:rsidP="006427E3">
      <w:pPr>
        <w:spacing w:after="0"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AE1AF8">
        <w:rPr>
          <w:rFonts w:ascii="Verdana" w:eastAsia="Calibri" w:hAnsi="Verdana" w:cs="Arial"/>
          <w:i/>
          <w:iCs/>
          <w:color w:val="000000" w:themeColor="text1"/>
          <w:sz w:val="20"/>
          <w:szCs w:val="20"/>
        </w:rPr>
        <w:lastRenderedPageBreak/>
        <w:t>“</w:t>
      </w:r>
      <w:bookmarkEnd w:id="2"/>
      <w:bookmarkEnd w:id="3"/>
      <w:r w:rsidR="006427E3" w:rsidRPr="006427E3">
        <w:rPr>
          <w:rFonts w:ascii="Verdana" w:eastAsia="Calibri" w:hAnsi="Verdana" w:cs="Arial"/>
          <w:i/>
          <w:iCs/>
          <w:color w:val="000000" w:themeColor="text1"/>
          <w:sz w:val="20"/>
          <w:szCs w:val="20"/>
        </w:rPr>
        <w:t xml:space="preserve">1.¿Puede una entidad estatal mantener suspendido un contrato de prestación de servicios de manera indefinida cuando la contratista se encuentra en embarazo, licencia de maternidad o periodo de lactancia? </w:t>
      </w:r>
    </w:p>
    <w:p w14:paraId="27DF046E" w14:textId="77777777" w:rsidR="006427E3" w:rsidRPr="006427E3" w:rsidRDefault="006427E3" w:rsidP="006427E3">
      <w:pPr>
        <w:spacing w:after="0" w:line="240" w:lineRule="auto"/>
        <w:ind w:left="709" w:right="709"/>
        <w:jc w:val="both"/>
        <w:rPr>
          <w:rFonts w:ascii="Verdana" w:eastAsia="Calibri" w:hAnsi="Verdana" w:cs="Arial"/>
          <w:i/>
          <w:iCs/>
          <w:color w:val="000000" w:themeColor="text1"/>
          <w:sz w:val="20"/>
          <w:szCs w:val="20"/>
        </w:rPr>
      </w:pPr>
    </w:p>
    <w:p w14:paraId="4C9FF9B7" w14:textId="1E46187B" w:rsidR="006427E3" w:rsidRDefault="006427E3" w:rsidP="006427E3">
      <w:pPr>
        <w:spacing w:after="0" w:line="240" w:lineRule="auto"/>
        <w:ind w:left="709" w:right="709"/>
        <w:jc w:val="both"/>
        <w:rPr>
          <w:rFonts w:ascii="Verdana" w:eastAsia="Calibri" w:hAnsi="Verdana" w:cs="Arial"/>
          <w:i/>
          <w:iCs/>
          <w:color w:val="000000" w:themeColor="text1"/>
          <w:sz w:val="20"/>
          <w:szCs w:val="20"/>
        </w:rPr>
      </w:pPr>
      <w:r w:rsidRPr="006427E3">
        <w:rPr>
          <w:rFonts w:ascii="Verdana" w:eastAsia="Calibri" w:hAnsi="Verdana" w:cs="Arial"/>
          <w:i/>
          <w:iCs/>
          <w:color w:val="000000" w:themeColor="text1"/>
          <w:sz w:val="20"/>
          <w:szCs w:val="20"/>
        </w:rPr>
        <w:t xml:space="preserve">2.¿Cuál debe ser el procedimiento que debe adelantar el supervisor del contrato cuando la contratista no informa con claridad la fecha de reanudación de la ejecución contractual? </w:t>
      </w:r>
    </w:p>
    <w:p w14:paraId="3DE76182" w14:textId="77777777" w:rsidR="006427E3" w:rsidRPr="006427E3" w:rsidRDefault="006427E3" w:rsidP="006427E3">
      <w:pPr>
        <w:spacing w:after="0" w:line="240" w:lineRule="auto"/>
        <w:ind w:left="709" w:right="709"/>
        <w:jc w:val="both"/>
        <w:rPr>
          <w:rFonts w:ascii="Verdana" w:eastAsia="Calibri" w:hAnsi="Verdana" w:cs="Arial"/>
          <w:i/>
          <w:iCs/>
          <w:color w:val="000000" w:themeColor="text1"/>
          <w:sz w:val="20"/>
          <w:szCs w:val="20"/>
        </w:rPr>
      </w:pPr>
    </w:p>
    <w:p w14:paraId="303BB76D" w14:textId="08902E1F" w:rsidR="006427E3" w:rsidRDefault="006427E3" w:rsidP="006427E3">
      <w:pPr>
        <w:spacing w:after="0" w:line="240" w:lineRule="auto"/>
        <w:ind w:left="709" w:right="709"/>
        <w:jc w:val="both"/>
        <w:rPr>
          <w:rFonts w:ascii="Verdana" w:eastAsia="Calibri" w:hAnsi="Verdana" w:cs="Arial"/>
          <w:i/>
          <w:iCs/>
          <w:color w:val="000000" w:themeColor="text1"/>
          <w:sz w:val="20"/>
          <w:szCs w:val="20"/>
        </w:rPr>
      </w:pPr>
      <w:r w:rsidRPr="006427E3">
        <w:rPr>
          <w:rFonts w:ascii="Verdana" w:eastAsia="Calibri" w:hAnsi="Verdana" w:cs="Arial"/>
          <w:i/>
          <w:iCs/>
          <w:color w:val="000000" w:themeColor="text1"/>
          <w:sz w:val="20"/>
          <w:szCs w:val="20"/>
        </w:rPr>
        <w:t xml:space="preserve">3.¿Es jurídicamente procedente requerir formalmente a la contratista para que informe su estado actual, soporte médico o administrativo correspondiente, y una fecha estimada de reincorporación o reanudación contractual, sin que ello implique vulneración de sus derechos? </w:t>
      </w:r>
    </w:p>
    <w:p w14:paraId="1018D7D1" w14:textId="77777777" w:rsidR="006427E3" w:rsidRPr="006427E3" w:rsidRDefault="006427E3" w:rsidP="006427E3">
      <w:pPr>
        <w:spacing w:after="0" w:line="240" w:lineRule="auto"/>
        <w:ind w:left="709" w:right="709"/>
        <w:jc w:val="both"/>
        <w:rPr>
          <w:rFonts w:ascii="Verdana" w:eastAsia="Calibri" w:hAnsi="Verdana" w:cs="Arial"/>
          <w:i/>
          <w:iCs/>
          <w:color w:val="000000" w:themeColor="text1"/>
          <w:sz w:val="20"/>
          <w:szCs w:val="20"/>
        </w:rPr>
      </w:pPr>
    </w:p>
    <w:p w14:paraId="7DF8912F" w14:textId="0091C1D0" w:rsidR="006427E3" w:rsidRDefault="006427E3" w:rsidP="006427E3">
      <w:pPr>
        <w:spacing w:after="0" w:line="240" w:lineRule="auto"/>
        <w:ind w:left="709" w:right="709"/>
        <w:jc w:val="both"/>
        <w:rPr>
          <w:rFonts w:ascii="Verdana" w:eastAsia="Calibri" w:hAnsi="Verdana" w:cs="Arial"/>
          <w:i/>
          <w:iCs/>
          <w:color w:val="000000" w:themeColor="text1"/>
          <w:sz w:val="20"/>
          <w:szCs w:val="20"/>
        </w:rPr>
      </w:pPr>
      <w:r w:rsidRPr="006427E3">
        <w:rPr>
          <w:rFonts w:ascii="Verdana" w:eastAsia="Calibri" w:hAnsi="Verdana" w:cs="Arial"/>
          <w:i/>
          <w:iCs/>
          <w:color w:val="000000" w:themeColor="text1"/>
          <w:sz w:val="20"/>
          <w:szCs w:val="20"/>
        </w:rPr>
        <w:t xml:space="preserve">4.En caso de que la contratista no responda los requerimientos formales de la entidad, ¿qué alternativas jurídicas tendría la entidad para garantizar la continuidad del servicio y la correcta ejecución del objeto contractual? </w:t>
      </w:r>
    </w:p>
    <w:p w14:paraId="4AFA54BD" w14:textId="77777777" w:rsidR="006427E3" w:rsidRPr="006427E3" w:rsidRDefault="006427E3" w:rsidP="006427E3">
      <w:pPr>
        <w:spacing w:after="0" w:line="240" w:lineRule="auto"/>
        <w:ind w:left="709" w:right="709"/>
        <w:jc w:val="both"/>
        <w:rPr>
          <w:rFonts w:ascii="Verdana" w:eastAsia="Calibri" w:hAnsi="Verdana" w:cs="Arial"/>
          <w:i/>
          <w:iCs/>
          <w:color w:val="000000" w:themeColor="text1"/>
          <w:sz w:val="20"/>
          <w:szCs w:val="20"/>
        </w:rPr>
      </w:pPr>
    </w:p>
    <w:p w14:paraId="4396B25E" w14:textId="72C4F24B" w:rsidR="00C5798E" w:rsidRPr="00D753AB" w:rsidRDefault="006427E3" w:rsidP="006427E3">
      <w:pPr>
        <w:spacing w:after="0" w:line="240" w:lineRule="auto"/>
        <w:ind w:left="709" w:right="709"/>
        <w:jc w:val="both"/>
        <w:rPr>
          <w:rFonts w:ascii="Verdana" w:eastAsia="Calibri" w:hAnsi="Verdana" w:cs="Arial"/>
          <w:i/>
          <w:iCs/>
          <w:color w:val="000000" w:themeColor="text1"/>
          <w:sz w:val="20"/>
          <w:szCs w:val="20"/>
        </w:rPr>
      </w:pPr>
      <w:r w:rsidRPr="006427E3">
        <w:rPr>
          <w:rFonts w:ascii="Verdana" w:eastAsia="Calibri" w:hAnsi="Verdana" w:cs="Arial"/>
          <w:i/>
          <w:iCs/>
          <w:color w:val="000000" w:themeColor="text1"/>
          <w:sz w:val="20"/>
          <w:szCs w:val="20"/>
        </w:rPr>
        <w:t>5.¿La suspensión del contrato afecta el término de vigencia inicialmente pactado hasta el 30 de junio de 2026?</w:t>
      </w:r>
      <w:r w:rsidR="00C5798E" w:rsidRPr="00D753AB">
        <w:rPr>
          <w:rFonts w:ascii="Verdana" w:eastAsia="Calibri" w:hAnsi="Verdana" w:cs="Arial"/>
          <w:i/>
          <w:iCs/>
          <w:color w:val="000000" w:themeColor="text1"/>
          <w:sz w:val="20"/>
          <w:szCs w:val="20"/>
        </w:rPr>
        <w:t>.</w:t>
      </w:r>
      <w:r w:rsidR="00C5798E">
        <w:rPr>
          <w:rFonts w:ascii="Verdana" w:eastAsia="Calibri" w:hAnsi="Verdana" w:cs="Arial"/>
          <w:i/>
          <w:iCs/>
          <w:color w:val="000000" w:themeColor="text1"/>
          <w:sz w:val="20"/>
          <w:szCs w:val="20"/>
        </w:rPr>
        <w:t>”</w:t>
      </w:r>
    </w:p>
    <w:p w14:paraId="0745A561" w14:textId="77777777" w:rsidR="00C5798E" w:rsidRDefault="00C5798E" w:rsidP="00C5798E">
      <w:pPr>
        <w:spacing w:after="0" w:line="276" w:lineRule="auto"/>
        <w:jc w:val="both"/>
        <w:rPr>
          <w:rFonts w:ascii="Verdana" w:eastAsia="Calibri" w:hAnsi="Verdana" w:cs="Arial"/>
          <w:color w:val="000000"/>
          <w:lang w:eastAsia="es-ES"/>
        </w:rPr>
      </w:pPr>
    </w:p>
    <w:p w14:paraId="15E63CED" w14:textId="77777777" w:rsidR="00C5798E" w:rsidRDefault="00C5798E" w:rsidP="00C5798E">
      <w:pPr>
        <w:spacing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8E4F36">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CBC1CE6" w14:textId="77777777" w:rsidR="00C5798E" w:rsidRPr="00054383" w:rsidRDefault="00C5798E" w:rsidP="00C5798E">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17AD845D" w14:textId="77777777" w:rsidR="00C5798E" w:rsidRPr="008E4F36" w:rsidRDefault="00C5798E" w:rsidP="00C5798E">
      <w:pPr>
        <w:spacing w:after="0"/>
        <w:ind w:firstLine="709"/>
        <w:jc w:val="both"/>
        <w:rPr>
          <w:rFonts w:ascii="Verdana" w:eastAsia="Calibri" w:hAnsi="Verdana" w:cs="Arial"/>
          <w:color w:val="000000"/>
          <w:lang w:eastAsia="es-ES"/>
        </w:rPr>
      </w:pPr>
    </w:p>
    <w:p w14:paraId="76BBB155" w14:textId="77777777" w:rsidR="00C5798E" w:rsidRDefault="00C5798E" w:rsidP="00C5798E">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lastRenderedPageBreak/>
        <w:t>Problema planteado:</w:t>
      </w:r>
    </w:p>
    <w:p w14:paraId="198F0A02" w14:textId="77777777" w:rsidR="00C5798E" w:rsidRDefault="00C5798E" w:rsidP="00C5798E">
      <w:pPr>
        <w:spacing w:after="0" w:line="276" w:lineRule="auto"/>
        <w:jc w:val="both"/>
        <w:rPr>
          <w:rFonts w:ascii="Verdana" w:eastAsia="Calibri" w:hAnsi="Verdana" w:cs="Arial"/>
          <w:color w:val="000000"/>
          <w:highlight w:val="yellow"/>
          <w:lang w:eastAsia="es-ES"/>
        </w:rPr>
      </w:pPr>
    </w:p>
    <w:p w14:paraId="5B868582" w14:textId="351759C1" w:rsidR="008472D5" w:rsidRDefault="00C5798E" w:rsidP="008472D5">
      <w:pPr>
        <w:pStyle w:val="Prrafodelista"/>
        <w:tabs>
          <w:tab w:val="left" w:pos="142"/>
          <w:tab w:val="left" w:pos="284"/>
        </w:tabs>
        <w:spacing w:after="0" w:line="276" w:lineRule="auto"/>
        <w:ind w:left="0"/>
        <w:contextualSpacing w:val="0"/>
        <w:jc w:val="both"/>
        <w:rPr>
          <w:rFonts w:ascii="Verdana" w:eastAsia="Century Gothic" w:hAnsi="Verdana" w:cs="Century Gothic"/>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Pr="00FD25E3">
        <w:rPr>
          <w:rFonts w:ascii="Verdana" w:hAnsi="Verdana"/>
        </w:rPr>
        <w:t xml:space="preserve">i) </w:t>
      </w:r>
      <w:r w:rsidR="00D945ED" w:rsidRPr="00D945ED">
        <w:rPr>
          <w:rFonts w:ascii="Verdana" w:hAnsi="Verdana"/>
        </w:rPr>
        <w:t>¿Es válida la suspensión indefinida de un contrato estatal por embarazo o maternidad de la contratista?</w:t>
      </w:r>
      <w:r w:rsidR="00D945ED">
        <w:rPr>
          <w:rFonts w:ascii="Verdana" w:hAnsi="Verdana"/>
        </w:rPr>
        <w:t xml:space="preserve"> ii)</w:t>
      </w:r>
      <w:r w:rsidR="007D1F66" w:rsidRPr="007D1F66">
        <w:t xml:space="preserve"> </w:t>
      </w:r>
      <w:r w:rsidR="007D1F66" w:rsidRPr="007D1F66">
        <w:rPr>
          <w:rFonts w:ascii="Verdana" w:hAnsi="Verdana"/>
        </w:rPr>
        <w:t>¿Qué debe hacer el supervisor del contrato cuando no hay certeza sobre la fecha de reinicio de la ejecución?</w:t>
      </w:r>
      <w:r w:rsidR="007D1F66">
        <w:rPr>
          <w:rFonts w:ascii="Verdana" w:hAnsi="Verdana"/>
        </w:rPr>
        <w:t xml:space="preserve"> </w:t>
      </w:r>
      <w:r w:rsidR="007D1F66" w:rsidRPr="00C70020">
        <w:rPr>
          <w:rFonts w:ascii="Verdana" w:hAnsi="Verdana"/>
        </w:rPr>
        <w:t xml:space="preserve">iii) </w:t>
      </w:r>
      <w:r w:rsidR="00C70020" w:rsidRPr="00C70020">
        <w:rPr>
          <w:rFonts w:ascii="Verdana" w:hAnsi="Verdana"/>
        </w:rPr>
        <w:t>¿Es procedente requerir formalmente a la contratista para que informe su estado actual, soporte médico o administrativo correspondiente, y una fecha estimada de reincorporación o reanudación contractual, sin que ello implique vulneración de sus derechos?</w:t>
      </w:r>
    </w:p>
    <w:p w14:paraId="1F7FB995" w14:textId="52BCB054" w:rsidR="00C5798E" w:rsidRPr="00017269" w:rsidRDefault="00C5798E" w:rsidP="00C5798E">
      <w:pPr>
        <w:pStyle w:val="Prrafodelista"/>
        <w:spacing w:line="276" w:lineRule="auto"/>
        <w:ind w:left="0"/>
        <w:jc w:val="both"/>
        <w:rPr>
          <w:rFonts w:ascii="Verdana" w:eastAsia="Century Gothic" w:hAnsi="Verdana" w:cs="Century Gothic"/>
        </w:rPr>
      </w:pPr>
    </w:p>
    <w:p w14:paraId="01FF4E38" w14:textId="77777777" w:rsidR="00C5798E" w:rsidRPr="008E4F36" w:rsidRDefault="00C5798E" w:rsidP="00C5798E">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3A685997" w14:textId="77777777" w:rsidR="00C5798E" w:rsidRPr="0096216E" w:rsidRDefault="00C5798E" w:rsidP="0096216E">
      <w:pPr>
        <w:tabs>
          <w:tab w:val="left" w:pos="142"/>
          <w:tab w:val="left" w:pos="284"/>
        </w:tabs>
        <w:spacing w:after="0" w:line="276" w:lineRule="auto"/>
        <w:ind w:firstLine="142"/>
        <w:jc w:val="both"/>
        <w:rPr>
          <w:rFonts w:ascii="Verdana" w:eastAsia="Century Gothic" w:hAnsi="Verdana" w:cs="Century Gothic"/>
        </w:rPr>
      </w:pPr>
    </w:p>
    <w:tbl>
      <w:tblPr>
        <w:tblStyle w:val="Tablaconcuadrcula"/>
        <w:tblW w:w="0" w:type="auto"/>
        <w:tblLook w:val="04A0" w:firstRow="1" w:lastRow="0" w:firstColumn="1" w:lastColumn="0" w:noHBand="0" w:noVBand="1"/>
      </w:tblPr>
      <w:tblGrid>
        <w:gridCol w:w="8828"/>
      </w:tblGrid>
      <w:tr w:rsidR="00C5798E" w:rsidRPr="0096216E" w14:paraId="750F5240" w14:textId="77777777" w:rsidTr="00226B10">
        <w:tc>
          <w:tcPr>
            <w:tcW w:w="8828" w:type="dxa"/>
          </w:tcPr>
          <w:p w14:paraId="52931F8C" w14:textId="77777777" w:rsidR="00636449" w:rsidRPr="00636449" w:rsidRDefault="00624687" w:rsidP="00636449">
            <w:pPr>
              <w:shd w:val="clear" w:color="auto" w:fill="FFFFFF"/>
              <w:spacing w:after="120" w:line="276" w:lineRule="auto"/>
              <w:jc w:val="both"/>
              <w:rPr>
                <w:rFonts w:ascii="Verdana" w:eastAsia="Arial" w:hAnsi="Verdana" w:cs="Arial"/>
              </w:rPr>
            </w:pPr>
            <w:r w:rsidRPr="0096216E">
              <w:rPr>
                <w:rFonts w:ascii="Verdana" w:eastAsia="Arial" w:hAnsi="Verdana" w:cs="Arial"/>
              </w:rPr>
              <w:t xml:space="preserve">i) </w:t>
            </w:r>
            <w:r w:rsidR="00636449" w:rsidRPr="00636449">
              <w:rPr>
                <w:rFonts w:ascii="Verdana" w:eastAsia="Arial" w:hAnsi="Verdana" w:cs="Arial"/>
              </w:rPr>
              <w:t>La Corte Constitucional, especialmente en la sentencia SU-075 de 2018, ha reiterado que el fuero de maternidad y la estabilidad ocupacional reforzada tienen fundamento directo en la Constitución, en particular en el principio de igualdad y en el artículo 43 Superior. Esta protección cobija tanto relaciones laborales formales como contratos de prestación de servicios, impidiendo que la administración adopte decisiones que afecten a la mujer por su condición de embarazo o lactancia, salvo que existan razones objetivas, verificables y ajenas a dicha situación.</w:t>
            </w:r>
          </w:p>
          <w:p w14:paraId="712E31C5" w14:textId="77777777" w:rsidR="00636449" w:rsidRPr="00636449" w:rsidRDefault="00636449" w:rsidP="00636449">
            <w:pPr>
              <w:shd w:val="clear" w:color="auto" w:fill="FFFFFF"/>
              <w:spacing w:after="120" w:line="276" w:lineRule="auto"/>
              <w:ind w:firstLine="709"/>
              <w:jc w:val="both"/>
              <w:rPr>
                <w:rFonts w:ascii="Verdana" w:eastAsia="Arial" w:hAnsi="Verdana" w:cs="Arial"/>
              </w:rPr>
            </w:pPr>
            <w:r w:rsidRPr="00636449">
              <w:rPr>
                <w:rFonts w:ascii="Verdana" w:eastAsia="Arial" w:hAnsi="Verdana" w:cs="Arial"/>
              </w:rPr>
              <w:t>En el régimen de contratación estatal, la suspensión del contrato (art. 41 de la Ley 80 de 1993) es una figura excepcional y temporal, por lo que no puede utilizarse para mantener interrupciones indefinidas derivadas del embarazo o la maternidad, ya que ello desnaturaliza su finalidad y puede afectar la prohibición de discriminación.</w:t>
            </w:r>
          </w:p>
          <w:p w14:paraId="143852B2" w14:textId="77777777" w:rsidR="00636449" w:rsidRPr="00636449" w:rsidRDefault="00636449" w:rsidP="00636449">
            <w:pPr>
              <w:shd w:val="clear" w:color="auto" w:fill="FFFFFF"/>
              <w:spacing w:after="120" w:line="276" w:lineRule="auto"/>
              <w:ind w:firstLine="709"/>
              <w:jc w:val="both"/>
              <w:rPr>
                <w:rFonts w:ascii="Verdana" w:eastAsia="Arial" w:hAnsi="Verdana" w:cs="Arial"/>
              </w:rPr>
            </w:pPr>
            <w:r w:rsidRPr="00636449">
              <w:rPr>
                <w:rFonts w:ascii="Verdana" w:eastAsia="Arial" w:hAnsi="Verdana" w:cs="Arial"/>
              </w:rPr>
              <w:t>En línea reciente, la Corte ha precisado —incluso tras la Ley 2306 de 2023— que durante el período de lactancia posterior a las 18 semanas no opera la presunción de despido por embarazo, aunque se mantiene la prohibición de despido o desvinculación discriminatoria. Por ello, la trabajadora o contratista debe acreditar el carácter discriminatorio de la decisión, con valoración integral del contexto.</w:t>
            </w:r>
          </w:p>
          <w:p w14:paraId="64644E60" w14:textId="7D11625D" w:rsidR="00805B75" w:rsidRDefault="00636449" w:rsidP="00636449">
            <w:pPr>
              <w:shd w:val="clear" w:color="auto" w:fill="FFFFFF"/>
              <w:spacing w:after="120" w:line="276" w:lineRule="auto"/>
              <w:ind w:firstLine="709"/>
              <w:jc w:val="both"/>
              <w:rPr>
                <w:rFonts w:ascii="Verdana" w:eastAsia="Arial" w:hAnsi="Verdana" w:cs="Arial"/>
              </w:rPr>
            </w:pPr>
            <w:r w:rsidRPr="00636449">
              <w:rPr>
                <w:rFonts w:ascii="Verdana" w:eastAsia="Arial" w:hAnsi="Verdana" w:cs="Arial"/>
              </w:rPr>
              <w:t xml:space="preserve">Para ello, se valoran elementos como: (i) conocimiento del estado de embarazo o lactancia por parte del contratante, (ii) subsistencia del objeto </w:t>
            </w:r>
            <w:r w:rsidRPr="00636449">
              <w:rPr>
                <w:rFonts w:ascii="Verdana" w:eastAsia="Arial" w:hAnsi="Verdana" w:cs="Arial"/>
              </w:rPr>
              <w:lastRenderedPageBreak/>
              <w:t>contractual y (iii) ausencia de autorización del inspector del trabajo, salvo en el periodo posterior a las 18 semanas y hasta los 2 años de lactancia, en el que no se exige dicho permiso. En estos casos, si se configura la vulneración, procede la estabilidad ocupacional reforzada y la entidad debe adoptar medidas para garantizar la continuidad del vínculo contractual, sin perjuicio del control judicial.</w:t>
            </w:r>
          </w:p>
          <w:p w14:paraId="7DE879AB" w14:textId="6ED7D27A" w:rsidR="00624687" w:rsidRPr="0096216E" w:rsidRDefault="00805B75" w:rsidP="00805B75">
            <w:pPr>
              <w:widowControl w:val="0"/>
              <w:autoSpaceDE w:val="0"/>
              <w:autoSpaceDN w:val="0"/>
              <w:spacing w:after="120" w:line="276" w:lineRule="auto"/>
              <w:ind w:firstLine="708"/>
              <w:jc w:val="both"/>
              <w:rPr>
                <w:rFonts w:ascii="Verdana" w:eastAsia="Arial" w:hAnsi="Verdana" w:cs="Arial"/>
              </w:rPr>
            </w:pPr>
            <w:r w:rsidRPr="00E65094">
              <w:rPr>
                <w:rFonts w:ascii="Verdana" w:eastAsia="Arial" w:hAnsi="Verdana" w:cs="Arial"/>
              </w:rPr>
              <w:t>En este sentido, les corresponde a las entidades estatales, en virtud de su autonomía</w:t>
            </w:r>
            <w:r>
              <w:rPr>
                <w:rFonts w:ascii="Verdana" w:eastAsia="Arial" w:hAnsi="Verdana" w:cs="Arial"/>
              </w:rPr>
              <w:t xml:space="preserve"> contractual</w:t>
            </w:r>
            <w:r w:rsidRPr="00E65094">
              <w:rPr>
                <w:rFonts w:ascii="Verdana" w:eastAsia="Arial" w:hAnsi="Verdana" w:cs="Arial"/>
              </w:rPr>
              <w:t>, y de acuerdo con los lineamientos de la Corte Constitucional, determinar la mejor forma para garantizar la estabilidad laboral reforzada de las mujeres embarazadas y en periodo de lactancia vinculadas mediante contratos de prestación de servicios.</w:t>
            </w:r>
          </w:p>
          <w:p w14:paraId="0F312A3C" w14:textId="77777777" w:rsidR="00D37675" w:rsidRPr="00D37675" w:rsidRDefault="00624687" w:rsidP="009D50D8">
            <w:pPr>
              <w:shd w:val="clear" w:color="auto" w:fill="FFFFFF"/>
              <w:spacing w:after="120" w:line="276" w:lineRule="auto"/>
              <w:jc w:val="both"/>
              <w:rPr>
                <w:rFonts w:ascii="Verdana" w:eastAsia="Arial" w:hAnsi="Verdana" w:cs="Arial"/>
              </w:rPr>
            </w:pPr>
            <w:r w:rsidRPr="00D37675">
              <w:rPr>
                <w:rFonts w:ascii="Verdana" w:eastAsia="Arial" w:hAnsi="Verdana" w:cs="Arial"/>
              </w:rPr>
              <w:t xml:space="preserve">ii) </w:t>
            </w:r>
            <w:r w:rsidR="00D37675" w:rsidRPr="00D37675">
              <w:rPr>
                <w:rFonts w:ascii="Verdana" w:eastAsia="Arial" w:hAnsi="Verdana" w:cs="Arial"/>
              </w:rPr>
              <w:t>Cuando no existe certeza sobre la fecha de reinicio de la ejecución de un contrato estatal suspendido por embarazo o maternidad de la contratista, el supervisor del contrato debe actuar con especial diligencia para evitar que la suspensión se convierta en un mecanismo indefinido que afecte la estabilidad ocupacional reforzada. En primer lugar, debe verificar y dejar plenamente documentadas las razones objetivas de la suspensión, asegurando que esta responda a una causa real y temporal que impida la ejecución del objeto contractual, conforme al artículo 41 de la Ley 80 de 1993, y no a la condición de embarazo o lactancia de la contratista. En segundo lugar, debe establecer de manera expresa un término o condición clara de reinicio, o al menos un criterio verificable que permita determinar cuándo cesa la causa de suspensión, evitando la indeterminación temporal del vínculo contractual.</w:t>
            </w:r>
          </w:p>
          <w:p w14:paraId="6C2DFC09" w14:textId="77777777" w:rsidR="00D37675" w:rsidRPr="00D37675" w:rsidRDefault="00D37675" w:rsidP="009D50D8">
            <w:pPr>
              <w:shd w:val="clear" w:color="auto" w:fill="FFFFFF"/>
              <w:spacing w:after="120" w:line="276" w:lineRule="auto"/>
              <w:ind w:firstLine="709"/>
              <w:jc w:val="both"/>
              <w:rPr>
                <w:rFonts w:ascii="Verdana" w:eastAsia="Arial" w:hAnsi="Verdana" w:cs="Arial"/>
              </w:rPr>
            </w:pPr>
            <w:r w:rsidRPr="00D37675">
              <w:rPr>
                <w:rFonts w:ascii="Verdana" w:eastAsia="Arial" w:hAnsi="Verdana" w:cs="Arial"/>
              </w:rPr>
              <w:t xml:space="preserve">Adicionalmente, el supervisor debe tener en cuenta el alcance del fuero de maternidad y la estabilidad ocupacional reforzada, en línea con la jurisprudencia constitucional (como la SU-075 de 2018), lo que implica que cualquier prolongación injustificada de la suspensión puede llegar a ser interpretada como una forma de afectación indirecta del derecho a la estabilidad de la mujer gestante o lactante. En este sentido, de forma análoga al principio contenido en el numeral 2 del artículo 239 del Código Sustantivo del Trabajo, según el cual se presume que la desvinculación de una trabajadora en estado de embarazo o en el periodo posterior al parto obedece a su maternidad, el supervisor debe actuar bajo un estándar de prevención y </w:t>
            </w:r>
            <w:r w:rsidRPr="00D37675">
              <w:rPr>
                <w:rFonts w:ascii="Verdana" w:eastAsia="Arial" w:hAnsi="Verdana" w:cs="Arial"/>
              </w:rPr>
              <w:lastRenderedPageBreak/>
              <w:t>precaución reforzado, evitando situaciones ambiguas que puedan generar presunciones de discriminación.</w:t>
            </w:r>
          </w:p>
          <w:p w14:paraId="5A909F23" w14:textId="72EB5898" w:rsidR="00624687" w:rsidRPr="00D37675" w:rsidRDefault="00D37675" w:rsidP="009D50D8">
            <w:pPr>
              <w:shd w:val="clear" w:color="auto" w:fill="FFFFFF"/>
              <w:spacing w:after="120" w:line="276" w:lineRule="auto"/>
              <w:ind w:firstLine="709"/>
              <w:jc w:val="both"/>
              <w:rPr>
                <w:rFonts w:ascii="Verdana" w:eastAsia="Arial" w:hAnsi="Verdana" w:cs="Arial"/>
              </w:rPr>
            </w:pPr>
            <w:r w:rsidRPr="00D37675">
              <w:rPr>
                <w:rFonts w:ascii="Verdana" w:eastAsia="Arial" w:hAnsi="Verdana" w:cs="Arial"/>
              </w:rPr>
              <w:t>Por ello, si no es posible determinar una fecha cierta de reinicio, el supervisor debe promover la revisión del contrato o la adopción de una medida alternativa proporcional, como la redefinición temporal de actividades, la reactivación parcial del objeto contractual o la justificación técnica estricta de la continuidad de la suspensión, siempre garantizando que esta no se prolongue de manera indefinida ni se convierta en un mecanismo de exclusión de la contratista por su condición de maternidad.</w:t>
            </w:r>
          </w:p>
          <w:p w14:paraId="373A7679" w14:textId="29C67F64" w:rsidR="009D50D8" w:rsidRPr="009D50D8" w:rsidRDefault="00624687" w:rsidP="009D50D8">
            <w:pPr>
              <w:shd w:val="clear" w:color="auto" w:fill="FFFFFF"/>
              <w:spacing w:after="120" w:line="276" w:lineRule="auto"/>
              <w:jc w:val="both"/>
              <w:rPr>
                <w:rFonts w:ascii="Verdana" w:eastAsia="Arial" w:hAnsi="Verdana" w:cs="Arial"/>
              </w:rPr>
            </w:pPr>
            <w:r w:rsidRPr="009D50D8">
              <w:rPr>
                <w:rFonts w:ascii="Verdana" w:eastAsia="Arial" w:hAnsi="Verdana" w:cs="Arial"/>
              </w:rPr>
              <w:t xml:space="preserve">iii) </w:t>
            </w:r>
            <w:r w:rsidR="009D50D8" w:rsidRPr="009D50D8">
              <w:rPr>
                <w:rFonts w:ascii="Verdana" w:eastAsia="Arial" w:hAnsi="Verdana" w:cs="Arial"/>
              </w:rPr>
              <w:t>En el marco de la contratación estatal y del deber de dirección, vigilancia y control del contrato que recae en la administración (a través del supervisor), es válido solicitar información que permita verificar la situación que justifica la suspensión contractual y garantizar la adecuada planeación del reinicio de la ejecución, especialmente cuando se trata de una suspensión de carácter temporal conforme al artículo 41 de la Ley 80 de 1993. En ese sentido, puede requerirse a la contratista que informe su estado actual, allegue soportes médicos o administrativos pertinentes y, en la medida de lo posible, una estimación de reintegro o reanudación, con el fin de mantener claridad sobre la ejecución del objeto contractual y evitar suspensiones indefinidas.</w:t>
            </w:r>
          </w:p>
          <w:p w14:paraId="58DFD0E1" w14:textId="77777777" w:rsidR="009D50D8" w:rsidRPr="009D50D8" w:rsidRDefault="009D50D8" w:rsidP="009D50D8">
            <w:pPr>
              <w:shd w:val="clear" w:color="auto" w:fill="FFFFFF"/>
              <w:spacing w:after="120" w:line="276" w:lineRule="auto"/>
              <w:ind w:firstLine="709"/>
              <w:jc w:val="both"/>
              <w:rPr>
                <w:rFonts w:ascii="Verdana" w:eastAsia="Arial" w:hAnsi="Verdana" w:cs="Arial"/>
              </w:rPr>
            </w:pPr>
            <w:r w:rsidRPr="009D50D8">
              <w:rPr>
                <w:rFonts w:ascii="Verdana" w:eastAsia="Arial" w:hAnsi="Verdana" w:cs="Arial"/>
              </w:rPr>
              <w:t>No obstante, este requerimiento tiene límites constitucionales claros: no puede convertirse en una carga desproporcionada, ni en una forma de vigilancia intrusiva sobre la vida privada o el estado de salud de la contratista, ni puede condicionarse la continuidad contractual a la entrega de dicha información. Además, debe garantizarse la protección de datos sensibles relacionados con la salud, conforme a los principios de confidencialidad y finalidad.</w:t>
            </w:r>
          </w:p>
          <w:p w14:paraId="259CD6CB" w14:textId="77777777" w:rsidR="009D50D8" w:rsidRDefault="009D50D8" w:rsidP="009D50D8">
            <w:pPr>
              <w:shd w:val="clear" w:color="auto" w:fill="FFFFFF"/>
              <w:spacing w:after="120" w:line="276" w:lineRule="auto"/>
              <w:ind w:firstLine="709"/>
              <w:jc w:val="both"/>
              <w:rPr>
                <w:rFonts w:ascii="Verdana" w:eastAsia="Arial" w:hAnsi="Verdana" w:cs="Arial"/>
              </w:rPr>
            </w:pPr>
            <w:r w:rsidRPr="009D50D8">
              <w:rPr>
                <w:rFonts w:ascii="Verdana" w:eastAsia="Arial" w:hAnsi="Verdana" w:cs="Arial"/>
              </w:rPr>
              <w:t>En todo caso, la Corte Constitucional ha sido enfática en que la protección derivada del fuero de maternidad y la estabilidad ocupacional reforzada (SU-075 de 2018) impide cualquier actuación administrativa que, directa o indirectamente, tenga un efecto discriminatorio. Por ello, el requerimiento es válido únicamente si se enmarca en una finalidad legítima de gestión contractual y no en una presunción de incumplimiento o causal de terminación.</w:t>
            </w:r>
          </w:p>
          <w:p w14:paraId="06513949" w14:textId="0F95B5EF" w:rsidR="001B0626" w:rsidRPr="004C3471" w:rsidRDefault="002C1409" w:rsidP="009D50D8">
            <w:pPr>
              <w:shd w:val="clear" w:color="auto" w:fill="FFFFFF"/>
              <w:spacing w:after="120" w:line="276" w:lineRule="auto"/>
              <w:ind w:firstLine="709"/>
              <w:jc w:val="both"/>
              <w:rPr>
                <w:rFonts w:ascii="Verdana" w:eastAsia="Arial" w:hAnsi="Verdana" w:cs="Arial"/>
              </w:rPr>
            </w:pPr>
            <w:r w:rsidRPr="004C3471">
              <w:rPr>
                <w:rFonts w:ascii="Verdana" w:eastAsia="Arial" w:hAnsi="Verdana" w:cs="Arial"/>
              </w:rPr>
              <w:lastRenderedPageBreak/>
              <w:t xml:space="preserve">Finalmente, </w:t>
            </w:r>
            <w:r w:rsidR="004C3471" w:rsidRPr="004C3471">
              <w:rPr>
                <w:rFonts w:ascii="Verdana" w:eastAsia="Arial" w:hAnsi="Verdana" w:cs="Arial"/>
              </w:rPr>
              <w:t>en el marco de la autonomía contractual, corresponde a cada entidad estatal analizar y resolver los casos concretos de manera individual. En ese sentido, la Agencia Nacional de Contratación Pública – Colombia Compra Eficiente no tiene competencia para decidir casos particulares, pues sus funciones se limitan a la orientación y formulación de lineamientos generales en materia de contratación pública.</w:t>
            </w:r>
          </w:p>
        </w:tc>
      </w:tr>
    </w:tbl>
    <w:p w14:paraId="67D34BF2" w14:textId="77777777" w:rsidR="00C5798E" w:rsidRDefault="00C5798E" w:rsidP="00C5798E">
      <w:pPr>
        <w:tabs>
          <w:tab w:val="left" w:pos="142"/>
          <w:tab w:val="left" w:pos="284"/>
        </w:tabs>
        <w:spacing w:after="0" w:line="276" w:lineRule="auto"/>
        <w:jc w:val="both"/>
        <w:rPr>
          <w:rFonts w:ascii="Verdana" w:eastAsia="Century Gothic" w:hAnsi="Verdana" w:cs="Century Gothic"/>
          <w:b/>
          <w:bCs/>
        </w:rPr>
      </w:pPr>
    </w:p>
    <w:p w14:paraId="301575EE" w14:textId="77777777" w:rsidR="00C5798E" w:rsidRPr="008E4F36" w:rsidRDefault="00C5798E" w:rsidP="00C5798E">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4259FE55" w14:textId="77777777" w:rsidR="00C5798E" w:rsidRDefault="00C5798E" w:rsidP="00C5798E">
      <w:pPr>
        <w:pStyle w:val="Prrafodelista"/>
        <w:tabs>
          <w:tab w:val="left" w:pos="142"/>
          <w:tab w:val="left" w:pos="284"/>
        </w:tabs>
        <w:spacing w:after="0" w:line="276" w:lineRule="auto"/>
        <w:ind w:left="0"/>
        <w:contextualSpacing w:val="0"/>
        <w:jc w:val="both"/>
        <w:rPr>
          <w:rFonts w:ascii="Verdana" w:eastAsia="Calibri" w:hAnsi="Verdana" w:cs="Arial"/>
        </w:rPr>
      </w:pPr>
    </w:p>
    <w:p w14:paraId="117ED8AD" w14:textId="77777777" w:rsidR="00C5798E" w:rsidRDefault="00C5798E" w:rsidP="00C5798E">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4A4B1780" w14:textId="77777777" w:rsidR="00C5798E" w:rsidRDefault="00C5798E" w:rsidP="00C5798E">
      <w:pPr>
        <w:widowControl w:val="0"/>
        <w:autoSpaceDE w:val="0"/>
        <w:autoSpaceDN w:val="0"/>
        <w:spacing w:after="120" w:line="276" w:lineRule="auto"/>
        <w:jc w:val="both"/>
        <w:rPr>
          <w:rFonts w:ascii="Verdana" w:eastAsia="Arial" w:hAnsi="Verdana" w:cs="Arial"/>
          <w:lang w:val="es-ES"/>
        </w:rPr>
      </w:pPr>
      <w:bookmarkStart w:id="4" w:name="_Hlk204856061"/>
      <w:bookmarkStart w:id="5" w:name="_Hlk78820161"/>
      <w:bookmarkStart w:id="6" w:name="_Hlk204854194"/>
    </w:p>
    <w:p w14:paraId="4BDB961B" w14:textId="77777777" w:rsidR="004D389B" w:rsidRPr="00D40223" w:rsidRDefault="004D389B" w:rsidP="004D389B">
      <w:pPr>
        <w:spacing w:after="120" w:line="276" w:lineRule="auto"/>
        <w:jc w:val="both"/>
        <w:rPr>
          <w:rFonts w:ascii="Verdana" w:hAnsi="Verdana"/>
        </w:rPr>
      </w:pPr>
      <w:r w:rsidRPr="00D40223">
        <w:rPr>
          <w:rFonts w:ascii="Verdana" w:eastAsia="Calibri" w:hAnsi="Verdana" w:cs="Arial"/>
          <w:bCs/>
          <w:lang w:val="es-MX"/>
        </w:rPr>
        <w:t xml:space="preserve">i) </w:t>
      </w:r>
      <w:r w:rsidRPr="00D40223">
        <w:rPr>
          <w:rFonts w:ascii="Verdana" w:hAnsi="Verdana"/>
          <w:lang w:val="es-ES"/>
        </w:rPr>
        <w:t>El</w:t>
      </w:r>
      <w:r w:rsidRPr="00D40223">
        <w:rPr>
          <w:rFonts w:ascii="Verdana" w:hAnsi="Verdana"/>
        </w:rPr>
        <w:t xml:space="preserve"> fuero de maternidad es una figura jurídica que otorga una protección reforzada a la futura madre y a la que acaba de serlo, es decir, a la mujer</w:t>
      </w:r>
      <w:r w:rsidRPr="00D40223">
        <w:rPr>
          <w:rFonts w:ascii="Verdana" w:hAnsi="Verdana"/>
          <w:spacing w:val="-6"/>
        </w:rPr>
        <w:t xml:space="preserve"> </w:t>
      </w:r>
      <w:r w:rsidRPr="00D40223">
        <w:rPr>
          <w:rFonts w:ascii="Verdana" w:hAnsi="Verdana"/>
        </w:rPr>
        <w:t>que</w:t>
      </w:r>
      <w:r w:rsidRPr="00D40223">
        <w:rPr>
          <w:rFonts w:ascii="Verdana" w:hAnsi="Verdana"/>
          <w:spacing w:val="-7"/>
        </w:rPr>
        <w:t xml:space="preserve"> </w:t>
      </w:r>
      <w:r w:rsidRPr="00D40223">
        <w:rPr>
          <w:rFonts w:ascii="Verdana" w:hAnsi="Verdana"/>
        </w:rPr>
        <w:t>se</w:t>
      </w:r>
      <w:r w:rsidRPr="00D40223">
        <w:rPr>
          <w:rFonts w:ascii="Verdana" w:hAnsi="Verdana"/>
          <w:spacing w:val="-7"/>
        </w:rPr>
        <w:t xml:space="preserve"> </w:t>
      </w:r>
      <w:r w:rsidRPr="00D40223">
        <w:rPr>
          <w:rFonts w:ascii="Verdana" w:hAnsi="Verdana"/>
        </w:rPr>
        <w:t>encuentra</w:t>
      </w:r>
      <w:r w:rsidRPr="00D40223">
        <w:rPr>
          <w:rFonts w:ascii="Verdana" w:hAnsi="Verdana"/>
          <w:spacing w:val="-5"/>
        </w:rPr>
        <w:t xml:space="preserve"> </w:t>
      </w:r>
      <w:r w:rsidRPr="00D40223">
        <w:rPr>
          <w:rFonts w:ascii="Verdana" w:hAnsi="Verdana"/>
        </w:rPr>
        <w:t>en</w:t>
      </w:r>
      <w:r w:rsidRPr="00D40223">
        <w:rPr>
          <w:rFonts w:ascii="Verdana" w:hAnsi="Verdana"/>
          <w:spacing w:val="-7"/>
        </w:rPr>
        <w:t xml:space="preserve"> </w:t>
      </w:r>
      <w:r w:rsidRPr="00D40223">
        <w:rPr>
          <w:rFonts w:ascii="Verdana" w:hAnsi="Verdana"/>
        </w:rPr>
        <w:t>estado</w:t>
      </w:r>
      <w:r w:rsidRPr="00D40223">
        <w:rPr>
          <w:rFonts w:ascii="Verdana" w:hAnsi="Verdana"/>
          <w:spacing w:val="-6"/>
        </w:rPr>
        <w:t xml:space="preserve"> </w:t>
      </w:r>
      <w:r w:rsidRPr="00D40223">
        <w:rPr>
          <w:rFonts w:ascii="Verdana" w:hAnsi="Verdana"/>
        </w:rPr>
        <w:t>de</w:t>
      </w:r>
      <w:r w:rsidRPr="00D40223">
        <w:rPr>
          <w:rFonts w:ascii="Verdana" w:hAnsi="Verdana"/>
          <w:spacing w:val="-7"/>
        </w:rPr>
        <w:t xml:space="preserve"> </w:t>
      </w:r>
      <w:r w:rsidRPr="00D40223">
        <w:rPr>
          <w:rFonts w:ascii="Verdana" w:hAnsi="Verdana"/>
        </w:rPr>
        <w:t>embarazo,</w:t>
      </w:r>
      <w:r w:rsidRPr="00D40223">
        <w:rPr>
          <w:rFonts w:ascii="Verdana" w:hAnsi="Verdana"/>
          <w:spacing w:val="-7"/>
        </w:rPr>
        <w:t xml:space="preserve"> </w:t>
      </w:r>
      <w:r w:rsidRPr="00D40223">
        <w:rPr>
          <w:rFonts w:ascii="Verdana" w:hAnsi="Verdana"/>
        </w:rPr>
        <w:t>en</w:t>
      </w:r>
      <w:r w:rsidRPr="00D40223">
        <w:rPr>
          <w:rFonts w:ascii="Verdana" w:hAnsi="Verdana"/>
          <w:spacing w:val="-7"/>
        </w:rPr>
        <w:t xml:space="preserve"> </w:t>
      </w:r>
      <w:r w:rsidRPr="00D40223">
        <w:rPr>
          <w:rFonts w:ascii="Verdana" w:hAnsi="Verdana"/>
        </w:rPr>
        <w:t>licencia</w:t>
      </w:r>
      <w:r w:rsidRPr="00D40223">
        <w:rPr>
          <w:rFonts w:ascii="Verdana" w:hAnsi="Verdana"/>
          <w:spacing w:val="-5"/>
        </w:rPr>
        <w:t xml:space="preserve"> </w:t>
      </w:r>
      <w:r w:rsidRPr="00D40223">
        <w:rPr>
          <w:rFonts w:ascii="Verdana" w:hAnsi="Verdana"/>
        </w:rPr>
        <w:t>de</w:t>
      </w:r>
      <w:r w:rsidRPr="00D40223">
        <w:rPr>
          <w:rFonts w:ascii="Verdana" w:hAnsi="Verdana"/>
          <w:spacing w:val="-7"/>
        </w:rPr>
        <w:t xml:space="preserve"> </w:t>
      </w:r>
      <w:r w:rsidRPr="00D40223">
        <w:rPr>
          <w:rFonts w:ascii="Verdana" w:hAnsi="Verdana"/>
        </w:rPr>
        <w:t>maternidad</w:t>
      </w:r>
      <w:r w:rsidRPr="00D40223">
        <w:rPr>
          <w:rFonts w:ascii="Verdana" w:hAnsi="Verdana"/>
          <w:spacing w:val="-5"/>
        </w:rPr>
        <w:t xml:space="preserve"> </w:t>
      </w:r>
      <w:r w:rsidRPr="00D40223">
        <w:rPr>
          <w:rFonts w:ascii="Verdana" w:hAnsi="Verdana"/>
        </w:rPr>
        <w:t>y</w:t>
      </w:r>
      <w:r w:rsidRPr="00D40223">
        <w:rPr>
          <w:rFonts w:ascii="Verdana" w:hAnsi="Verdana"/>
          <w:spacing w:val="-7"/>
        </w:rPr>
        <w:t xml:space="preserve"> </w:t>
      </w:r>
      <w:r w:rsidRPr="00D40223">
        <w:rPr>
          <w:rFonts w:ascii="Verdana" w:hAnsi="Verdana"/>
        </w:rPr>
        <w:t>en periodo</w:t>
      </w:r>
      <w:r w:rsidRPr="00D40223">
        <w:rPr>
          <w:rFonts w:ascii="Verdana" w:hAnsi="Verdana"/>
          <w:spacing w:val="-10"/>
        </w:rPr>
        <w:t xml:space="preserve"> </w:t>
      </w:r>
      <w:r w:rsidRPr="00D40223">
        <w:rPr>
          <w:rFonts w:ascii="Verdana" w:hAnsi="Verdana"/>
        </w:rPr>
        <w:t>de</w:t>
      </w:r>
      <w:r w:rsidRPr="00D40223">
        <w:rPr>
          <w:rFonts w:ascii="Verdana" w:hAnsi="Verdana"/>
          <w:spacing w:val="-11"/>
        </w:rPr>
        <w:t xml:space="preserve"> </w:t>
      </w:r>
      <w:r w:rsidRPr="00D40223">
        <w:rPr>
          <w:rFonts w:ascii="Verdana" w:hAnsi="Verdana"/>
        </w:rPr>
        <w:t>lactancia. Esto,</w:t>
      </w:r>
      <w:r w:rsidRPr="00D40223">
        <w:rPr>
          <w:rFonts w:ascii="Verdana" w:hAnsi="Verdana"/>
          <w:spacing w:val="-12"/>
        </w:rPr>
        <w:t xml:space="preserve"> </w:t>
      </w:r>
      <w:r w:rsidRPr="00D40223">
        <w:rPr>
          <w:rFonts w:ascii="Verdana" w:hAnsi="Verdana"/>
        </w:rPr>
        <w:t>con</w:t>
      </w:r>
      <w:r w:rsidRPr="00D40223">
        <w:rPr>
          <w:rFonts w:ascii="Verdana" w:hAnsi="Verdana"/>
          <w:spacing w:val="-11"/>
        </w:rPr>
        <w:t xml:space="preserve"> </w:t>
      </w:r>
      <w:r w:rsidRPr="00D40223">
        <w:rPr>
          <w:rFonts w:ascii="Verdana" w:hAnsi="Verdana"/>
        </w:rPr>
        <w:t>el</w:t>
      </w:r>
      <w:r w:rsidRPr="00D40223">
        <w:rPr>
          <w:rFonts w:ascii="Verdana" w:hAnsi="Verdana"/>
          <w:spacing w:val="-11"/>
        </w:rPr>
        <w:t xml:space="preserve"> </w:t>
      </w:r>
      <w:r w:rsidRPr="00D40223">
        <w:rPr>
          <w:rFonts w:ascii="Verdana" w:hAnsi="Verdana"/>
        </w:rPr>
        <w:t>fin</w:t>
      </w:r>
      <w:r w:rsidRPr="00D40223">
        <w:rPr>
          <w:rFonts w:ascii="Verdana" w:hAnsi="Verdana"/>
          <w:spacing w:val="-11"/>
        </w:rPr>
        <w:t xml:space="preserve"> </w:t>
      </w:r>
      <w:r w:rsidRPr="00D40223">
        <w:rPr>
          <w:rFonts w:ascii="Verdana" w:hAnsi="Verdana"/>
        </w:rPr>
        <w:t>de</w:t>
      </w:r>
      <w:r w:rsidRPr="00D40223">
        <w:rPr>
          <w:rFonts w:ascii="Verdana" w:hAnsi="Verdana"/>
          <w:spacing w:val="-11"/>
        </w:rPr>
        <w:t xml:space="preserve"> </w:t>
      </w:r>
      <w:r w:rsidRPr="00D40223">
        <w:rPr>
          <w:rFonts w:ascii="Verdana" w:hAnsi="Verdana"/>
        </w:rPr>
        <w:t>que</w:t>
      </w:r>
      <w:r w:rsidRPr="00D40223">
        <w:rPr>
          <w:rFonts w:ascii="Verdana" w:hAnsi="Verdana"/>
          <w:spacing w:val="-11"/>
        </w:rPr>
        <w:t xml:space="preserve"> </w:t>
      </w:r>
      <w:r w:rsidRPr="00D40223">
        <w:rPr>
          <w:rFonts w:ascii="Verdana" w:hAnsi="Verdana"/>
        </w:rPr>
        <w:t>el</w:t>
      </w:r>
      <w:r w:rsidRPr="00D40223">
        <w:rPr>
          <w:rFonts w:ascii="Verdana" w:hAnsi="Verdana"/>
          <w:spacing w:val="-11"/>
        </w:rPr>
        <w:t xml:space="preserve"> </w:t>
      </w:r>
      <w:r w:rsidRPr="00D40223">
        <w:rPr>
          <w:rFonts w:ascii="Verdana" w:hAnsi="Verdana"/>
        </w:rPr>
        <w:t>proceso</w:t>
      </w:r>
      <w:r w:rsidRPr="00D40223">
        <w:rPr>
          <w:rFonts w:ascii="Verdana" w:hAnsi="Verdana"/>
          <w:spacing w:val="-9"/>
        </w:rPr>
        <w:t xml:space="preserve"> </w:t>
      </w:r>
      <w:r w:rsidRPr="00D40223">
        <w:rPr>
          <w:rFonts w:ascii="Verdana" w:hAnsi="Verdana"/>
        </w:rPr>
        <w:t>de</w:t>
      </w:r>
      <w:r w:rsidRPr="00D40223">
        <w:rPr>
          <w:rFonts w:ascii="Verdana" w:hAnsi="Verdana"/>
          <w:spacing w:val="-11"/>
        </w:rPr>
        <w:t xml:space="preserve"> </w:t>
      </w:r>
      <w:r w:rsidRPr="00D40223">
        <w:rPr>
          <w:rFonts w:ascii="Verdana" w:hAnsi="Verdana"/>
        </w:rPr>
        <w:t>gestación</w:t>
      </w:r>
      <w:r w:rsidRPr="00D40223">
        <w:rPr>
          <w:rFonts w:ascii="Verdana" w:hAnsi="Verdana"/>
          <w:spacing w:val="-8"/>
        </w:rPr>
        <w:t xml:space="preserve"> </w:t>
      </w:r>
      <w:r w:rsidRPr="00D40223">
        <w:rPr>
          <w:rFonts w:ascii="Verdana" w:hAnsi="Verdana"/>
        </w:rPr>
        <w:t>no</w:t>
      </w:r>
      <w:r w:rsidRPr="00D40223">
        <w:rPr>
          <w:rFonts w:ascii="Verdana" w:hAnsi="Verdana"/>
          <w:spacing w:val="-11"/>
        </w:rPr>
        <w:t xml:space="preserve"> </w:t>
      </w:r>
      <w:r w:rsidRPr="00D40223">
        <w:rPr>
          <w:rFonts w:ascii="Verdana" w:hAnsi="Verdana"/>
        </w:rPr>
        <w:t>interfiera</w:t>
      </w:r>
      <w:r w:rsidRPr="00D40223">
        <w:rPr>
          <w:rFonts w:ascii="Verdana" w:hAnsi="Verdana"/>
          <w:spacing w:val="-9"/>
        </w:rPr>
        <w:t xml:space="preserve"> </w:t>
      </w:r>
      <w:r w:rsidRPr="00D40223">
        <w:rPr>
          <w:rFonts w:ascii="Verdana" w:hAnsi="Verdana"/>
        </w:rPr>
        <w:t>en</w:t>
      </w:r>
      <w:r w:rsidRPr="00D40223">
        <w:rPr>
          <w:rFonts w:ascii="Verdana" w:hAnsi="Verdana"/>
          <w:spacing w:val="-11"/>
        </w:rPr>
        <w:t xml:space="preserve"> </w:t>
      </w:r>
      <w:r w:rsidRPr="00D40223">
        <w:rPr>
          <w:rFonts w:ascii="Verdana" w:hAnsi="Verdana"/>
        </w:rPr>
        <w:t>la estabilidad ocupacional que, como trabajadora, le asiste. En ese sentido, el propósito de esta figura es que las aspiraciones familiares y profesionales de la mujer no se excluyan y puedan armonizarse, al punto de desarrollar su proyecto de vida y su personalidad en condiciones</w:t>
      </w:r>
      <w:r w:rsidRPr="00D40223">
        <w:rPr>
          <w:rFonts w:ascii="Verdana" w:hAnsi="Verdana"/>
          <w:spacing w:val="-12"/>
        </w:rPr>
        <w:t xml:space="preserve"> </w:t>
      </w:r>
      <w:r w:rsidRPr="00D40223">
        <w:rPr>
          <w:rFonts w:ascii="Verdana" w:hAnsi="Verdana"/>
        </w:rPr>
        <w:t>de</w:t>
      </w:r>
      <w:r w:rsidRPr="00D40223">
        <w:rPr>
          <w:rFonts w:ascii="Verdana" w:hAnsi="Verdana"/>
          <w:spacing w:val="-15"/>
        </w:rPr>
        <w:t xml:space="preserve"> </w:t>
      </w:r>
      <w:r w:rsidRPr="00D40223">
        <w:rPr>
          <w:rFonts w:ascii="Verdana" w:hAnsi="Verdana"/>
        </w:rPr>
        <w:t>dignidad</w:t>
      </w:r>
      <w:r w:rsidRPr="00D40223">
        <w:rPr>
          <w:rFonts w:ascii="Verdana" w:hAnsi="Verdana"/>
          <w:spacing w:val="-14"/>
        </w:rPr>
        <w:t xml:space="preserve"> </w:t>
      </w:r>
      <w:r w:rsidRPr="00D40223">
        <w:rPr>
          <w:rFonts w:ascii="Verdana" w:hAnsi="Verdana"/>
        </w:rPr>
        <w:t>y</w:t>
      </w:r>
      <w:r w:rsidRPr="00D40223">
        <w:rPr>
          <w:rFonts w:ascii="Verdana" w:hAnsi="Verdana"/>
          <w:spacing w:val="-15"/>
        </w:rPr>
        <w:t xml:space="preserve"> </w:t>
      </w:r>
      <w:r w:rsidRPr="00D40223">
        <w:rPr>
          <w:rFonts w:ascii="Verdana" w:hAnsi="Verdana"/>
        </w:rPr>
        <w:t xml:space="preserve">libertad. </w:t>
      </w:r>
    </w:p>
    <w:p w14:paraId="421A6E5D" w14:textId="77777777" w:rsidR="004D389B" w:rsidRPr="00D40223" w:rsidRDefault="004D389B" w:rsidP="004D389B">
      <w:pPr>
        <w:spacing w:after="120" w:line="276" w:lineRule="auto"/>
        <w:ind w:firstLine="708"/>
        <w:jc w:val="both"/>
        <w:rPr>
          <w:rFonts w:ascii="Verdana" w:hAnsi="Verdana"/>
        </w:rPr>
      </w:pPr>
      <w:r w:rsidRPr="00D40223">
        <w:rPr>
          <w:rFonts w:ascii="Verdana" w:hAnsi="Verdana"/>
        </w:rPr>
        <w:t>Lo anterior, resulta particularmente relevante si se tiene en cuenta que,</w:t>
      </w:r>
      <w:r w:rsidRPr="00D40223">
        <w:rPr>
          <w:rFonts w:ascii="Verdana" w:hAnsi="Verdana"/>
          <w:spacing w:val="-14"/>
        </w:rPr>
        <w:t xml:space="preserve"> </w:t>
      </w:r>
      <w:r w:rsidRPr="00D40223">
        <w:rPr>
          <w:rFonts w:ascii="Verdana" w:hAnsi="Verdana"/>
        </w:rPr>
        <w:t>históricamente,</w:t>
      </w:r>
      <w:r w:rsidRPr="00D40223">
        <w:rPr>
          <w:rFonts w:ascii="Verdana" w:hAnsi="Verdana"/>
          <w:spacing w:val="-11"/>
        </w:rPr>
        <w:t xml:space="preserve"> </w:t>
      </w:r>
      <w:r w:rsidRPr="00D40223">
        <w:rPr>
          <w:rFonts w:ascii="Verdana" w:hAnsi="Verdana"/>
        </w:rPr>
        <w:t>el</w:t>
      </w:r>
      <w:r w:rsidRPr="00D40223">
        <w:rPr>
          <w:rFonts w:ascii="Verdana" w:hAnsi="Verdana"/>
          <w:spacing w:val="-15"/>
        </w:rPr>
        <w:t xml:space="preserve"> </w:t>
      </w:r>
      <w:r w:rsidRPr="00D40223">
        <w:rPr>
          <w:rFonts w:ascii="Verdana" w:hAnsi="Verdana"/>
        </w:rPr>
        <w:t>estado</w:t>
      </w:r>
      <w:r w:rsidRPr="00D40223">
        <w:rPr>
          <w:rFonts w:ascii="Verdana" w:hAnsi="Verdana"/>
          <w:spacing w:val="-14"/>
        </w:rPr>
        <w:t xml:space="preserve"> </w:t>
      </w:r>
      <w:r w:rsidRPr="00D40223">
        <w:rPr>
          <w:rFonts w:ascii="Verdana" w:hAnsi="Verdana"/>
        </w:rPr>
        <w:t>de</w:t>
      </w:r>
      <w:r w:rsidRPr="00D40223">
        <w:rPr>
          <w:rFonts w:ascii="Verdana" w:hAnsi="Verdana"/>
          <w:spacing w:val="-15"/>
        </w:rPr>
        <w:t xml:space="preserve"> </w:t>
      </w:r>
      <w:r w:rsidRPr="00D40223">
        <w:rPr>
          <w:rFonts w:ascii="Verdana" w:hAnsi="Verdana"/>
        </w:rPr>
        <w:t>gravidez</w:t>
      </w:r>
      <w:r w:rsidRPr="00D40223">
        <w:rPr>
          <w:rFonts w:ascii="Verdana" w:hAnsi="Verdana"/>
          <w:spacing w:val="-13"/>
        </w:rPr>
        <w:t xml:space="preserve"> </w:t>
      </w:r>
      <w:r w:rsidRPr="00D40223">
        <w:rPr>
          <w:rFonts w:ascii="Verdana" w:hAnsi="Verdana"/>
        </w:rPr>
        <w:t>ha constituido</w:t>
      </w:r>
      <w:r w:rsidRPr="00D40223">
        <w:rPr>
          <w:rFonts w:ascii="Verdana" w:hAnsi="Verdana"/>
          <w:spacing w:val="-14"/>
        </w:rPr>
        <w:t xml:space="preserve"> </w:t>
      </w:r>
      <w:r w:rsidRPr="00D40223">
        <w:rPr>
          <w:rFonts w:ascii="Verdana" w:hAnsi="Verdana"/>
        </w:rPr>
        <w:t>un</w:t>
      </w:r>
      <w:r w:rsidRPr="00D40223">
        <w:rPr>
          <w:rFonts w:ascii="Verdana" w:hAnsi="Verdana"/>
          <w:spacing w:val="-17"/>
        </w:rPr>
        <w:t xml:space="preserve"> </w:t>
      </w:r>
      <w:r w:rsidRPr="00D40223">
        <w:rPr>
          <w:rFonts w:ascii="Verdana" w:hAnsi="Verdana"/>
        </w:rPr>
        <w:t>motivo</w:t>
      </w:r>
      <w:r w:rsidRPr="00D40223">
        <w:rPr>
          <w:rFonts w:ascii="Verdana" w:hAnsi="Verdana"/>
          <w:spacing w:val="-16"/>
        </w:rPr>
        <w:t xml:space="preserve"> </w:t>
      </w:r>
      <w:r w:rsidRPr="00D40223">
        <w:rPr>
          <w:rFonts w:ascii="Verdana" w:hAnsi="Verdana"/>
        </w:rPr>
        <w:t>de</w:t>
      </w:r>
      <w:r w:rsidRPr="00D40223">
        <w:rPr>
          <w:rFonts w:ascii="Verdana" w:hAnsi="Verdana"/>
          <w:spacing w:val="-18"/>
        </w:rPr>
        <w:t xml:space="preserve"> </w:t>
      </w:r>
      <w:r w:rsidRPr="00D40223">
        <w:rPr>
          <w:rFonts w:ascii="Verdana" w:hAnsi="Verdana"/>
        </w:rPr>
        <w:t>exclusión y discriminación</w:t>
      </w:r>
      <w:r w:rsidRPr="00D40223">
        <w:rPr>
          <w:rFonts w:ascii="Verdana" w:hAnsi="Verdana"/>
          <w:spacing w:val="-15"/>
        </w:rPr>
        <w:t xml:space="preserve"> </w:t>
      </w:r>
      <w:r w:rsidRPr="00D40223">
        <w:rPr>
          <w:rFonts w:ascii="Verdana" w:hAnsi="Verdana"/>
        </w:rPr>
        <w:t>de</w:t>
      </w:r>
      <w:r w:rsidRPr="00D40223">
        <w:rPr>
          <w:rFonts w:ascii="Verdana" w:hAnsi="Verdana"/>
          <w:spacing w:val="-18"/>
        </w:rPr>
        <w:t xml:space="preserve"> </w:t>
      </w:r>
      <w:r w:rsidRPr="00D40223">
        <w:rPr>
          <w:rFonts w:ascii="Verdana" w:hAnsi="Verdana"/>
        </w:rPr>
        <w:t>la</w:t>
      </w:r>
      <w:r w:rsidRPr="00D40223">
        <w:rPr>
          <w:rFonts w:ascii="Verdana" w:hAnsi="Verdana"/>
          <w:spacing w:val="-18"/>
        </w:rPr>
        <w:t xml:space="preserve"> </w:t>
      </w:r>
      <w:r w:rsidRPr="00D40223">
        <w:rPr>
          <w:rFonts w:ascii="Verdana" w:hAnsi="Verdana"/>
        </w:rPr>
        <w:t>mujer</w:t>
      </w:r>
      <w:r w:rsidRPr="00D40223">
        <w:rPr>
          <w:rFonts w:ascii="Verdana" w:hAnsi="Verdana"/>
          <w:spacing w:val="-16"/>
        </w:rPr>
        <w:t xml:space="preserve"> </w:t>
      </w:r>
      <w:r w:rsidRPr="00D40223">
        <w:rPr>
          <w:rFonts w:ascii="Verdana" w:hAnsi="Verdana"/>
        </w:rPr>
        <w:t>en</w:t>
      </w:r>
      <w:r w:rsidRPr="00D40223">
        <w:rPr>
          <w:rFonts w:ascii="Verdana" w:hAnsi="Verdana"/>
          <w:spacing w:val="-17"/>
        </w:rPr>
        <w:t xml:space="preserve"> </w:t>
      </w:r>
      <w:r w:rsidRPr="00D40223">
        <w:rPr>
          <w:rFonts w:ascii="Verdana" w:hAnsi="Verdana"/>
        </w:rPr>
        <w:t>el</w:t>
      </w:r>
      <w:r w:rsidRPr="00D40223">
        <w:rPr>
          <w:rFonts w:ascii="Verdana" w:hAnsi="Verdana"/>
          <w:spacing w:val="-18"/>
        </w:rPr>
        <w:t xml:space="preserve"> ámbito laboral</w:t>
      </w:r>
      <w:r w:rsidRPr="00D40223">
        <w:rPr>
          <w:rFonts w:ascii="Verdana" w:hAnsi="Verdana"/>
        </w:rPr>
        <w:t>,</w:t>
      </w:r>
      <w:r w:rsidRPr="00D40223">
        <w:rPr>
          <w:rFonts w:ascii="Verdana" w:hAnsi="Verdana"/>
          <w:spacing w:val="-16"/>
        </w:rPr>
        <w:t xml:space="preserve"> </w:t>
      </w:r>
      <w:r w:rsidRPr="00D40223">
        <w:rPr>
          <w:rFonts w:ascii="Verdana" w:hAnsi="Verdana"/>
        </w:rPr>
        <w:t>frente al cual el ordenamiento jurídico ha considerado necesario “impedir la discriminación constituida por el despido, la terminación o la no renovación del contrato por causa o con ocasión del embarazo o la lactancia</w:t>
      </w:r>
      <w:r w:rsidRPr="00D40223">
        <w:rPr>
          <w:rFonts w:ascii="Verdana" w:hAnsi="Verdana"/>
          <w:spacing w:val="-52"/>
        </w:rPr>
        <w:t xml:space="preserve"> </w:t>
      </w:r>
      <w:r w:rsidRPr="00D40223">
        <w:rPr>
          <w:rFonts w:ascii="Verdana" w:hAnsi="Verdana"/>
        </w:rPr>
        <w:t>”</w:t>
      </w:r>
      <w:r w:rsidRPr="00D40223">
        <w:rPr>
          <w:rFonts w:ascii="Verdana" w:hAnsi="Verdana"/>
          <w:vertAlign w:val="superscript"/>
        </w:rPr>
        <w:footnoteReference w:id="1"/>
      </w:r>
      <w:r w:rsidRPr="00D40223">
        <w:rPr>
          <w:rFonts w:ascii="Verdana" w:hAnsi="Verdana"/>
        </w:rPr>
        <w:t>.</w:t>
      </w:r>
    </w:p>
    <w:p w14:paraId="0B08B67D" w14:textId="77777777" w:rsidR="004D389B" w:rsidRPr="00D40223" w:rsidRDefault="004D389B" w:rsidP="004D389B">
      <w:pPr>
        <w:spacing w:after="120" w:line="276" w:lineRule="auto"/>
        <w:ind w:firstLine="708"/>
        <w:jc w:val="both"/>
        <w:rPr>
          <w:rFonts w:ascii="Verdana" w:hAnsi="Verdana"/>
        </w:rPr>
      </w:pPr>
      <w:r w:rsidRPr="00D40223">
        <w:rPr>
          <w:rFonts w:ascii="Verdana" w:hAnsi="Verdana"/>
        </w:rPr>
        <w:t xml:space="preserve">Con el propósito de aclarar el objeto bajo consulta, a continuación, se expondrán las dos (2) posiciones jurisprudenciales que ha definido la Corte Constitucional para proteger el fuero de maternidad cuando una mujer se encuentra vinculada a través de un contrato de prestación de servicios. Lo anterior, para identificar cuál ha sido la posición del Alto Tribunal Constitucional </w:t>
      </w:r>
      <w:r w:rsidRPr="00D40223">
        <w:rPr>
          <w:rFonts w:ascii="Verdana" w:hAnsi="Verdana"/>
        </w:rPr>
        <w:lastRenderedPageBreak/>
        <w:t>frente a la garantía del derecho a la estabilidad ocupacional reforzada en este tipo de vinculaciones.</w:t>
      </w:r>
    </w:p>
    <w:p w14:paraId="684D7E93" w14:textId="77777777" w:rsidR="004D389B" w:rsidRPr="00D40223" w:rsidRDefault="004D389B" w:rsidP="004D389B">
      <w:pPr>
        <w:tabs>
          <w:tab w:val="left" w:pos="0"/>
        </w:tabs>
        <w:spacing w:after="120" w:line="276" w:lineRule="auto"/>
        <w:jc w:val="both"/>
        <w:rPr>
          <w:rFonts w:ascii="Verdana" w:hAnsi="Verdana" w:cs="Arial"/>
        </w:rPr>
      </w:pPr>
      <w:r w:rsidRPr="00D40223">
        <w:rPr>
          <w:rFonts w:ascii="Verdana" w:eastAsia="Arial" w:hAnsi="Verdana" w:cs="Arial"/>
          <w:color w:val="000000"/>
        </w:rPr>
        <w:tab/>
        <w:t>En primer lugar, la Corte Constitucional, en la Sentencia SU-070 de 2013, con ponencia de la Magistrada Gloria Stella Ortiz Delgado, fijó la primera posición frente a la protección del fuero de maternidad en el marco de los contratos de prestación de servicios. En dicha providencia, el Alto Tribunal sostuvo que esta protección no cobijaba de manera automática a las trabajadoras que laboraban de manera independiente, y sólo procedía su protección si el juez de tutela, al analizar las condiciones propias del contrato de prestación de servicios, comprobaba que entre las partes existía en realidad una relación laboral</w:t>
      </w:r>
      <w:r w:rsidRPr="00D40223">
        <w:rPr>
          <w:rFonts w:ascii="Verdana" w:hAnsi="Verdana" w:cs="Arial"/>
          <w:vertAlign w:val="superscript"/>
        </w:rPr>
        <w:footnoteReference w:id="2"/>
      </w:r>
      <w:r w:rsidRPr="00D40223">
        <w:rPr>
          <w:rFonts w:ascii="Verdana" w:hAnsi="Verdana" w:cs="Arial"/>
        </w:rPr>
        <w:t xml:space="preserve">. </w:t>
      </w:r>
    </w:p>
    <w:p w14:paraId="7FFDAAD6" w14:textId="77777777" w:rsidR="004D389B" w:rsidRPr="00D40223" w:rsidRDefault="004D389B" w:rsidP="004D389B">
      <w:pPr>
        <w:spacing w:after="120" w:line="276" w:lineRule="auto"/>
        <w:jc w:val="both"/>
        <w:rPr>
          <w:rFonts w:ascii="Verdana" w:eastAsia="Arial" w:hAnsi="Verdana" w:cs="Arial"/>
          <w:color w:val="000000"/>
        </w:rPr>
      </w:pPr>
      <w:r w:rsidRPr="00D40223">
        <w:rPr>
          <w:rFonts w:ascii="Verdana" w:hAnsi="Verdana" w:cs="Arial"/>
        </w:rPr>
        <w:tab/>
      </w:r>
      <w:r w:rsidRPr="00D40223">
        <w:rPr>
          <w:rFonts w:ascii="Verdana" w:eastAsia="Arial" w:hAnsi="Verdana" w:cs="Arial"/>
          <w:color w:val="000000" w:themeColor="text1"/>
        </w:rPr>
        <w:t>De esta forma, conforme al criterio fijado por la Corte, en la Sentencia SU-070 de 2023, la protección a la estabilidad ocupacional reforzada de mujeres vinculadas a través de un contrato de prestación de servicios sólo procedía en aquellos casos donde se verificará la concurrencia de los tres (3) elementos del contrato de trabajo, a saber: la prestación personal del servicio, la subordinación o dependencia continua y; la remuneración como contraprestación del servicio prestado.</w:t>
      </w:r>
    </w:p>
    <w:p w14:paraId="418FC0FD" w14:textId="77777777" w:rsidR="004D389B" w:rsidRPr="00F32CB5" w:rsidRDefault="004D389B" w:rsidP="004D389B">
      <w:pPr>
        <w:pStyle w:val="Textoindependiente"/>
        <w:spacing w:before="0" w:after="120" w:line="276" w:lineRule="auto"/>
        <w:ind w:firstLine="708"/>
        <w:jc w:val="both"/>
        <w:rPr>
          <w:rFonts w:ascii="Verdana" w:hAnsi="Verdana" w:cs="Arial"/>
          <w:sz w:val="22"/>
          <w:szCs w:val="22"/>
        </w:rPr>
      </w:pPr>
      <w:r w:rsidRPr="00F32CB5">
        <w:rPr>
          <w:rFonts w:ascii="Verdana" w:hAnsi="Verdana" w:cs="Arial"/>
          <w:sz w:val="22"/>
          <w:szCs w:val="22"/>
        </w:rPr>
        <w:lastRenderedPageBreak/>
        <w:t>Posteriormente, el Alto Tribunal Constitucional, en las sentencias T-102 de 2016</w:t>
      </w:r>
      <w:r w:rsidRPr="00F32CB5">
        <w:rPr>
          <w:rStyle w:val="Refdenotaalpie"/>
          <w:rFonts w:ascii="Verdana" w:hAnsi="Verdana" w:cs="Arial"/>
          <w:sz w:val="22"/>
          <w:szCs w:val="22"/>
        </w:rPr>
        <w:footnoteReference w:id="3"/>
      </w:r>
      <w:r w:rsidRPr="00F32CB5">
        <w:rPr>
          <w:rFonts w:ascii="Verdana" w:hAnsi="Verdana" w:cs="Arial"/>
          <w:sz w:val="22"/>
          <w:szCs w:val="22"/>
        </w:rPr>
        <w:t xml:space="preserve"> y T-564 de 2017</w:t>
      </w:r>
      <w:r w:rsidRPr="00F32CB5">
        <w:rPr>
          <w:rStyle w:val="Refdenotaalpie"/>
          <w:rFonts w:ascii="Verdana" w:hAnsi="Verdana" w:cs="Arial"/>
          <w:sz w:val="22"/>
          <w:szCs w:val="22"/>
        </w:rPr>
        <w:footnoteReference w:id="4"/>
      </w:r>
      <w:r w:rsidRPr="00F32CB5">
        <w:rPr>
          <w:rFonts w:ascii="Verdana" w:hAnsi="Verdana" w:cs="Arial"/>
          <w:sz w:val="22"/>
          <w:szCs w:val="22"/>
        </w:rPr>
        <w:t>, adoptó una segunda postura jurisprudencial frente a aquellos eventos en los que no se logra acreditar la configuración del contrato realidad en el marco de un contrato de prestación de servicios. En dichas providencias, la Corte sostuvo que la ausencia de prueba del vínculo laboral no constituye, por sí sola, un motivo suficiente para desproteger los derechos derivados de la estabilidad ocupacional reforzada de la mujer en estado de embarazo, cuando se comprueba que la terminación del contrato obedece a motivos discriminatorios y no atiende a una causa objetiva.</w:t>
      </w:r>
    </w:p>
    <w:p w14:paraId="42EB7D75" w14:textId="77777777" w:rsidR="004D389B" w:rsidRPr="00D40223" w:rsidRDefault="004D389B" w:rsidP="004D389B">
      <w:pPr>
        <w:tabs>
          <w:tab w:val="left" w:pos="0"/>
        </w:tabs>
        <w:spacing w:after="120" w:line="276" w:lineRule="auto"/>
        <w:jc w:val="both"/>
        <w:rPr>
          <w:rFonts w:ascii="Verdana" w:hAnsi="Verdana" w:cs="Arial"/>
        </w:rPr>
      </w:pPr>
      <w:r w:rsidRPr="00D40223">
        <w:rPr>
          <w:rFonts w:ascii="Verdana" w:hAnsi="Verdana" w:cs="Arial"/>
        </w:rPr>
        <w:tab/>
        <w:t xml:space="preserve">En particular, en la sentencia T-564 de 2017, la Corte determinó que, aun cuando no se acreditó la configuración del contrato realidad, era procedente proteger a la mujer en estado embarazo vinculada a través de un contrato de prestación de servicios, toda vez que, pese a que la contratista informó de su estado de gestación, la entidad contratante terminó anticipadamente su contrato, configurándose así una terminación por motivos discriminatorios. </w:t>
      </w:r>
    </w:p>
    <w:p w14:paraId="5F38B949" w14:textId="77777777" w:rsidR="004D389B" w:rsidRPr="00D40223" w:rsidRDefault="004D389B" w:rsidP="004D389B">
      <w:pPr>
        <w:tabs>
          <w:tab w:val="left" w:pos="0"/>
        </w:tabs>
        <w:spacing w:after="120" w:line="276" w:lineRule="auto"/>
        <w:jc w:val="both"/>
        <w:rPr>
          <w:rFonts w:ascii="Verdana" w:hAnsi="Verdana" w:cs="Arial"/>
        </w:rPr>
      </w:pPr>
      <w:r w:rsidRPr="00D40223">
        <w:rPr>
          <w:rFonts w:ascii="Verdana" w:hAnsi="Verdana" w:cs="Arial"/>
        </w:rPr>
        <w:lastRenderedPageBreak/>
        <w:tab/>
        <w:t>Por su parte, en la sentencia T-102 de 2016, si bien se reconoció la existencia de un contrato realidad, la Corte reiteró que la entidad contratante no demostró la existencia de un motivo objetivo que justificara la terminación del contrato, ya fuera porque la actividad que venía realizando ya no era necesaria, o porque no probó que las causas que originaron la contratación desaparecieron, entre otros supuestos.</w:t>
      </w:r>
    </w:p>
    <w:p w14:paraId="1E28FFCF" w14:textId="77777777" w:rsidR="004D389B" w:rsidRPr="007A5474" w:rsidRDefault="004D389B" w:rsidP="004D389B">
      <w:pPr>
        <w:spacing w:after="0" w:line="276" w:lineRule="auto"/>
        <w:ind w:firstLine="709"/>
        <w:jc w:val="both"/>
        <w:rPr>
          <w:rFonts w:ascii="Verdana" w:hAnsi="Verdana" w:cs="Segoe UI"/>
        </w:rPr>
      </w:pPr>
      <w:r w:rsidRPr="007A5474">
        <w:rPr>
          <w:rFonts w:ascii="Verdana" w:eastAsiaTheme="minorEastAsia" w:hAnsi="Verdana" w:cs="Arial"/>
          <w:lang w:eastAsia="es-CO"/>
        </w:rPr>
        <w:t xml:space="preserve">En el mismo sentido, en el salvamento de voto a la sentencia T-743 de 2017, se reiteró que la protección </w:t>
      </w:r>
      <w:r w:rsidRPr="00674116">
        <w:rPr>
          <w:rFonts w:ascii="Verdana" w:eastAsiaTheme="minorEastAsia" w:hAnsi="Verdana" w:cs="Arial"/>
          <w:lang w:eastAsia="es-CO"/>
        </w:rPr>
        <w:t xml:space="preserve">del fuero de maternidad en favor de la mujer vinculada </w:t>
      </w:r>
      <w:r w:rsidRPr="007A5474">
        <w:rPr>
          <w:rFonts w:ascii="Verdana" w:eastAsiaTheme="minorEastAsia" w:hAnsi="Verdana" w:cs="Arial"/>
          <w:lang w:eastAsia="es-CO"/>
        </w:rPr>
        <w:t xml:space="preserve">mediante un contrato de prestación de servicios no se limita exclusivamente a los casos en que se demuestre la configuración de contrato realidad, sino que también procede cuando se demuestre que la decisión de la terminación es discriminatoria </w:t>
      </w:r>
      <w:r w:rsidRPr="007A5474">
        <w:rPr>
          <w:rFonts w:ascii="Verdana" w:hAnsi="Verdana" w:cs="Segoe UI"/>
        </w:rPr>
        <w:t xml:space="preserve">y carece de una justificación objetiva, reforzando así el alcance del derecho a la estabilidad ocupacional reforzada. Al respecto indicó: </w:t>
      </w:r>
    </w:p>
    <w:p w14:paraId="25EA7D52" w14:textId="77777777" w:rsidR="004D389B" w:rsidRPr="007A5474" w:rsidRDefault="004D389B" w:rsidP="004D389B">
      <w:pPr>
        <w:spacing w:after="0" w:line="240" w:lineRule="auto"/>
        <w:ind w:left="709" w:right="709"/>
        <w:jc w:val="both"/>
        <w:rPr>
          <w:rFonts w:ascii="Verdana" w:hAnsi="Verdana" w:cs="Arial"/>
        </w:rPr>
      </w:pPr>
    </w:p>
    <w:p w14:paraId="2FD67374" w14:textId="77777777" w:rsidR="004D389B" w:rsidRPr="008C6876" w:rsidRDefault="004D389B" w:rsidP="004D389B">
      <w:pPr>
        <w:spacing w:after="0"/>
        <w:ind w:left="709" w:right="709"/>
        <w:jc w:val="both"/>
        <w:rPr>
          <w:rFonts w:ascii="Verdana" w:hAnsi="Verdana" w:cs="Arial"/>
          <w:i/>
          <w:sz w:val="20"/>
          <w:szCs w:val="20"/>
        </w:rPr>
      </w:pPr>
      <w:r w:rsidRPr="008C6876">
        <w:rPr>
          <w:rFonts w:ascii="Verdana" w:eastAsia="Yu Gothic UI Semibold" w:hAnsi="Verdana" w:cs="Arial"/>
          <w:iCs/>
          <w:sz w:val="20"/>
          <w:szCs w:val="20"/>
          <w:lang w:eastAsia="es-MX"/>
        </w:rPr>
        <w:t>“</w:t>
      </w:r>
      <w:r w:rsidRPr="008C6876">
        <w:rPr>
          <w:rFonts w:ascii="Verdana" w:hAnsi="Verdana" w:cs="Arial"/>
          <w:sz w:val="20"/>
          <w:szCs w:val="20"/>
        </w:rPr>
        <w:t xml:space="preserve">Pues bien, el objeto de la aclaración que presento es la necesidad de subrayar la línea jurisprudencial vigente en materia estabilidad laboral reforzada de mujer embarazada en el marco de un contrato de prestación de servicios. A diferencia de las consideraciones de la sentencia, en las cuales se concluye que si no se comprueban los elementos del contrato laboral en la relación contractual no es posible alegar la violación del derecho a la estabilidad laboral reforzada, considero que existen sentencias recientes de las diferentes Salas de Revisión que han establecido que en el marco de relaciones de prestación de servicios, el juez de tutela, </w:t>
      </w:r>
      <w:r w:rsidRPr="008C6876">
        <w:rPr>
          <w:rFonts w:ascii="Verdana" w:hAnsi="Verdana" w:cs="Arial"/>
          <w:i/>
          <w:sz w:val="20"/>
          <w:szCs w:val="20"/>
        </w:rPr>
        <w:t>a pesar de no encontrar probados los elementos del contrato realidad, sí puede garantizar la estabilidad laboral reforzada de la mujer embarazada, siempre y cuando se demuestre que la decisión de la desvinculación es discriminatoria y no atiende a un motivo</w:t>
      </w:r>
      <w:r w:rsidRPr="008C6876">
        <w:rPr>
          <w:rFonts w:ascii="Verdana" w:hAnsi="Verdana" w:cs="Arial"/>
          <w:i/>
          <w:spacing w:val="-5"/>
          <w:sz w:val="20"/>
          <w:szCs w:val="20"/>
        </w:rPr>
        <w:t xml:space="preserve"> </w:t>
      </w:r>
      <w:r w:rsidRPr="008C6876">
        <w:rPr>
          <w:rFonts w:ascii="Verdana" w:hAnsi="Verdana" w:cs="Arial"/>
          <w:i/>
          <w:sz w:val="20"/>
          <w:szCs w:val="20"/>
        </w:rPr>
        <w:t>objetivo.</w:t>
      </w:r>
    </w:p>
    <w:p w14:paraId="5117F99D" w14:textId="77777777" w:rsidR="004D389B" w:rsidRPr="008C6876" w:rsidRDefault="004D389B" w:rsidP="004D389B">
      <w:pPr>
        <w:spacing w:after="0"/>
        <w:ind w:left="709" w:right="709"/>
        <w:jc w:val="both"/>
        <w:rPr>
          <w:rFonts w:ascii="Verdana" w:hAnsi="Verdana" w:cs="Arial"/>
          <w:i/>
          <w:sz w:val="20"/>
          <w:szCs w:val="20"/>
        </w:rPr>
      </w:pPr>
    </w:p>
    <w:p w14:paraId="1FCFD906" w14:textId="77777777" w:rsidR="004D389B" w:rsidRPr="008C6876" w:rsidRDefault="004D389B" w:rsidP="004D389B">
      <w:pPr>
        <w:spacing w:after="0"/>
        <w:ind w:left="709" w:right="709"/>
        <w:jc w:val="both"/>
        <w:rPr>
          <w:rFonts w:ascii="Verdana" w:hAnsi="Verdana" w:cs="Arial"/>
          <w:sz w:val="20"/>
          <w:szCs w:val="20"/>
        </w:rPr>
      </w:pPr>
      <w:r w:rsidRPr="008C6876">
        <w:rPr>
          <w:rFonts w:ascii="Verdana" w:hAnsi="Verdana" w:cs="Arial"/>
          <w:sz w:val="20"/>
          <w:szCs w:val="20"/>
        </w:rPr>
        <w:t>Son un ejemplo de esta tesis jurisprudencial las sentencias T-102 de 2016, T-350 de 2016 y T-564 de 2017, que sostienen que en el marco de relaciones de contratos de prestación de servicios independientemente de la prueba sobre los elementos del contrato realidad, si se demuestra la necesidad de la función o continuidad del objeto del contrato, se presume que la desvinculación fue en razón del estado de embarazo, y en consecuencia, procede con todos sus efectos el numeral 2º del artículo 239 del Código Sustantivo de Trabajo</w:t>
      </w:r>
      <w:r w:rsidRPr="008C6876">
        <w:rPr>
          <w:rFonts w:ascii="Verdana" w:hAnsi="Verdana" w:cs="Arial"/>
          <w:noProof/>
          <w:sz w:val="20"/>
          <w:szCs w:val="20"/>
          <w:lang w:val="es-ES_tradnl"/>
        </w:rPr>
        <w:t>”</w:t>
      </w:r>
      <w:r w:rsidRPr="008C6876">
        <w:rPr>
          <w:rFonts w:ascii="Verdana" w:hAnsi="Verdana" w:cs="Arial"/>
          <w:sz w:val="20"/>
          <w:szCs w:val="20"/>
        </w:rPr>
        <w:t>. (Énfasis fuera del</w:t>
      </w:r>
      <w:r w:rsidRPr="008C6876">
        <w:rPr>
          <w:rFonts w:ascii="Verdana" w:hAnsi="Verdana" w:cs="Arial"/>
          <w:spacing w:val="-16"/>
          <w:sz w:val="20"/>
          <w:szCs w:val="20"/>
        </w:rPr>
        <w:t xml:space="preserve"> </w:t>
      </w:r>
      <w:r w:rsidRPr="008C6876">
        <w:rPr>
          <w:rFonts w:ascii="Verdana" w:hAnsi="Verdana" w:cs="Arial"/>
          <w:sz w:val="20"/>
          <w:szCs w:val="20"/>
        </w:rPr>
        <w:t>texto).</w:t>
      </w:r>
    </w:p>
    <w:p w14:paraId="03C57E9F" w14:textId="77777777" w:rsidR="004D389B" w:rsidRPr="007A5474" w:rsidRDefault="004D389B" w:rsidP="004D389B">
      <w:pPr>
        <w:spacing w:after="0" w:line="276" w:lineRule="auto"/>
        <w:ind w:left="709" w:right="709"/>
        <w:jc w:val="both"/>
        <w:rPr>
          <w:rFonts w:ascii="Verdana" w:hAnsi="Verdana"/>
        </w:rPr>
      </w:pPr>
    </w:p>
    <w:p w14:paraId="4A973928" w14:textId="77777777" w:rsidR="004D389B" w:rsidRDefault="004D389B" w:rsidP="004D389B">
      <w:pPr>
        <w:spacing w:after="120" w:line="276" w:lineRule="auto"/>
        <w:ind w:firstLine="708"/>
        <w:jc w:val="both"/>
        <w:rPr>
          <w:rFonts w:ascii="Verdana" w:hAnsi="Verdana"/>
        </w:rPr>
      </w:pPr>
      <w:r w:rsidRPr="007A5474">
        <w:rPr>
          <w:rFonts w:ascii="Verdana" w:hAnsi="Verdana"/>
        </w:rPr>
        <w:lastRenderedPageBreak/>
        <w:t>Finalmente, la Corte Constitucional profirió la sentencia de unificación</w:t>
      </w:r>
      <w:r w:rsidRPr="007A5474" w:rsidDel="00A52B5E">
        <w:rPr>
          <w:rFonts w:ascii="Verdana" w:hAnsi="Verdana"/>
        </w:rPr>
        <w:t xml:space="preserve"> </w:t>
      </w:r>
      <w:r w:rsidRPr="007A5474">
        <w:rPr>
          <w:rFonts w:ascii="Verdana" w:hAnsi="Verdana"/>
        </w:rPr>
        <w:t>SU-075 de 2018</w:t>
      </w:r>
      <w:r w:rsidRPr="007A5474">
        <w:rPr>
          <w:rFonts w:ascii="Verdana" w:hAnsi="Verdana"/>
          <w:vertAlign w:val="superscript"/>
        </w:rPr>
        <w:footnoteReference w:id="5"/>
      </w:r>
      <w:r w:rsidRPr="007A5474">
        <w:rPr>
          <w:rFonts w:ascii="Verdana" w:hAnsi="Verdana"/>
        </w:rPr>
        <w:t>, en la cual recog</w:t>
      </w:r>
      <w:r>
        <w:rPr>
          <w:rFonts w:ascii="Verdana" w:hAnsi="Verdana"/>
        </w:rPr>
        <w:t>ió</w:t>
      </w:r>
      <w:r w:rsidRPr="007A5474">
        <w:rPr>
          <w:rFonts w:ascii="Verdana" w:hAnsi="Verdana"/>
        </w:rPr>
        <w:t>, entre otras, las sentencias T-350 del 2016</w:t>
      </w:r>
      <w:r w:rsidRPr="007A5474">
        <w:rPr>
          <w:rFonts w:ascii="Verdana" w:hAnsi="Verdana"/>
          <w:vertAlign w:val="superscript"/>
        </w:rPr>
        <w:footnoteReference w:id="6"/>
      </w:r>
      <w:r w:rsidRPr="007A5474">
        <w:rPr>
          <w:rFonts w:ascii="Verdana" w:hAnsi="Verdana"/>
        </w:rPr>
        <w:t xml:space="preserve"> y T-030 de 2018</w:t>
      </w:r>
      <w:r w:rsidRPr="007A5474">
        <w:rPr>
          <w:rFonts w:ascii="Verdana" w:hAnsi="Verdana"/>
          <w:vertAlign w:val="superscript"/>
        </w:rPr>
        <w:footnoteReference w:id="7"/>
      </w:r>
      <w:r w:rsidRPr="007A5474">
        <w:rPr>
          <w:rFonts w:ascii="Verdana" w:hAnsi="Verdana"/>
        </w:rPr>
        <w:t xml:space="preserve">. En esta providencia, el Alto Tribunal estableció unos criterios </w:t>
      </w:r>
      <w:r>
        <w:rPr>
          <w:rFonts w:ascii="Verdana" w:hAnsi="Verdana"/>
        </w:rPr>
        <w:t>orientados a</w:t>
      </w:r>
      <w:r w:rsidRPr="007A5474">
        <w:rPr>
          <w:rFonts w:ascii="Verdana" w:hAnsi="Verdana"/>
        </w:rPr>
        <w:t xml:space="preserve"> impedir la discriminación que puede presentarse frente a una mujer en estado de embarazo, en periodo de licencia de maternidad o </w:t>
      </w:r>
      <w:r>
        <w:rPr>
          <w:rFonts w:ascii="Verdana" w:hAnsi="Verdana"/>
        </w:rPr>
        <w:t xml:space="preserve">en etapa </w:t>
      </w:r>
      <w:r w:rsidRPr="007A5474">
        <w:rPr>
          <w:rFonts w:ascii="Verdana" w:hAnsi="Verdana"/>
        </w:rPr>
        <w:t xml:space="preserve">de lactancia, específicamente, respecto a la terminación o la no renovación del contrato. </w:t>
      </w:r>
    </w:p>
    <w:p w14:paraId="2678917E" w14:textId="77777777" w:rsidR="004D389B" w:rsidRPr="007A5474" w:rsidRDefault="004D389B" w:rsidP="004D389B">
      <w:pPr>
        <w:spacing w:after="120" w:line="276" w:lineRule="auto"/>
        <w:ind w:firstLine="708"/>
        <w:jc w:val="both"/>
        <w:rPr>
          <w:rFonts w:ascii="Verdana" w:hAnsi="Verdana"/>
        </w:rPr>
      </w:pPr>
      <w:r w:rsidRPr="007A5474">
        <w:rPr>
          <w:rFonts w:ascii="Verdana" w:hAnsi="Verdana"/>
        </w:rPr>
        <w:t>Dicha providencia dio paso a establecer que, el denominado “fuero de maternidad” encuentra su sustento</w:t>
      </w:r>
      <w:r>
        <w:rPr>
          <w:rFonts w:ascii="Verdana" w:hAnsi="Verdana"/>
        </w:rPr>
        <w:t xml:space="preserve"> no solo en las disposiciones especificas que protegen la maternidad, sino</w:t>
      </w:r>
      <w:r w:rsidRPr="007A5474">
        <w:rPr>
          <w:rFonts w:ascii="Verdana" w:hAnsi="Verdana"/>
        </w:rPr>
        <w:t xml:space="preserve"> </w:t>
      </w:r>
      <w:r w:rsidRPr="00D979FC">
        <w:rPr>
          <w:rFonts w:ascii="Verdana" w:hAnsi="Verdana"/>
        </w:rPr>
        <w:t>también</w:t>
      </w:r>
      <w:r w:rsidRPr="00736E2E">
        <w:rPr>
          <w:rFonts w:ascii="Verdana" w:hAnsi="Verdana"/>
        </w:rPr>
        <w:t xml:space="preserve"> </w:t>
      </w:r>
      <w:r w:rsidRPr="007A5474">
        <w:rPr>
          <w:rFonts w:ascii="Verdana" w:hAnsi="Verdana"/>
        </w:rPr>
        <w:t>en la cláusula general de igualdad de la Constitución Política “que proscribe la discriminación por razones de sexo, así como en el ya mencionado artículo 43 Superior, que dispone la igualdad de derechos y oportunidades entre hombres y mujeres”.</w:t>
      </w:r>
    </w:p>
    <w:p w14:paraId="7A726011" w14:textId="77777777" w:rsidR="004D389B" w:rsidRDefault="004D389B" w:rsidP="004D389B">
      <w:pPr>
        <w:widowControl w:val="0"/>
        <w:autoSpaceDE w:val="0"/>
        <w:autoSpaceDN w:val="0"/>
        <w:spacing w:after="0" w:line="276" w:lineRule="auto"/>
        <w:ind w:firstLine="709"/>
        <w:jc w:val="both"/>
        <w:rPr>
          <w:rFonts w:ascii="Verdana" w:eastAsia="Arial" w:hAnsi="Verdana" w:cs="Arial"/>
          <w:lang w:val="es-ES"/>
        </w:rPr>
      </w:pPr>
      <w:r>
        <w:rPr>
          <w:rFonts w:ascii="Verdana" w:eastAsia="Arial" w:hAnsi="Verdana" w:cs="Arial"/>
          <w:lang w:val="es-ES"/>
        </w:rPr>
        <w:t>Así mismo, l</w:t>
      </w:r>
      <w:r w:rsidRPr="007A5474">
        <w:rPr>
          <w:rFonts w:ascii="Verdana" w:eastAsia="Arial" w:hAnsi="Verdana" w:cs="Arial"/>
          <w:lang w:val="es-ES"/>
        </w:rPr>
        <w:t>a Sentencia de Unificación</w:t>
      </w:r>
      <w:r>
        <w:rPr>
          <w:rFonts w:ascii="Verdana" w:eastAsia="Arial" w:hAnsi="Verdana" w:cs="Arial"/>
          <w:lang w:val="es-ES"/>
        </w:rPr>
        <w:t xml:space="preserve"> SU-075 de 2018</w:t>
      </w:r>
      <w:r w:rsidRPr="007A5474">
        <w:rPr>
          <w:rFonts w:ascii="Verdana" w:eastAsia="Arial" w:hAnsi="Verdana" w:cs="Arial"/>
          <w:lang w:val="es-ES"/>
        </w:rPr>
        <w:t xml:space="preserve"> determin</w:t>
      </w:r>
      <w:r>
        <w:rPr>
          <w:rFonts w:ascii="Verdana" w:eastAsia="Arial" w:hAnsi="Verdana" w:cs="Arial"/>
          <w:lang w:val="es-ES"/>
        </w:rPr>
        <w:t>ó</w:t>
      </w:r>
      <w:r w:rsidRPr="007A5474">
        <w:rPr>
          <w:rFonts w:ascii="Verdana" w:eastAsia="Arial" w:hAnsi="Verdana" w:cs="Arial"/>
          <w:lang w:val="es-ES"/>
        </w:rPr>
        <w:t xml:space="preserve"> el tratamiento que deberían darles las entidades a sus trabajadoras o contratistas cuando se encuentren en estado de embarazo o lactancia, estableciendo su procedencia en los siguientes términos:</w:t>
      </w:r>
    </w:p>
    <w:p w14:paraId="10DC6F74" w14:textId="77777777" w:rsidR="004D389B" w:rsidRPr="007A5474" w:rsidRDefault="004D389B" w:rsidP="004D389B">
      <w:pPr>
        <w:widowControl w:val="0"/>
        <w:autoSpaceDE w:val="0"/>
        <w:autoSpaceDN w:val="0"/>
        <w:spacing w:after="0" w:line="276" w:lineRule="auto"/>
        <w:ind w:firstLine="709"/>
        <w:jc w:val="both"/>
        <w:rPr>
          <w:rFonts w:ascii="Verdana" w:eastAsia="Arial" w:hAnsi="Verdana" w:cs="Arial"/>
          <w:lang w:val="es-ES"/>
        </w:rPr>
      </w:pPr>
    </w:p>
    <w:p w14:paraId="73AC719B" w14:textId="77777777" w:rsidR="004D389B" w:rsidRDefault="004D389B" w:rsidP="004D389B">
      <w:pPr>
        <w:spacing w:after="0" w:line="240" w:lineRule="auto"/>
        <w:ind w:left="709" w:right="709"/>
        <w:jc w:val="both"/>
        <w:rPr>
          <w:rFonts w:ascii="Verdana" w:hAnsi="Verdana"/>
          <w:sz w:val="20"/>
          <w:szCs w:val="20"/>
        </w:rPr>
      </w:pPr>
      <w:r w:rsidRPr="009B3C20">
        <w:rPr>
          <w:rFonts w:ascii="Verdana" w:hAnsi="Verdana"/>
          <w:sz w:val="20"/>
          <w:szCs w:val="20"/>
        </w:rPr>
        <w:t>“La protección reforzada a la maternidad y la lactancia en el ámbito del trabajo</w:t>
      </w:r>
      <w:r w:rsidRPr="009B3C20">
        <w:rPr>
          <w:rFonts w:ascii="Verdana" w:hAnsi="Verdana"/>
          <w:spacing w:val="-1"/>
          <w:sz w:val="20"/>
          <w:szCs w:val="20"/>
        </w:rPr>
        <w:t xml:space="preserve"> </w:t>
      </w:r>
      <w:r w:rsidRPr="009B3C20">
        <w:rPr>
          <w:rFonts w:ascii="Verdana" w:hAnsi="Verdana"/>
          <w:sz w:val="20"/>
          <w:szCs w:val="20"/>
        </w:rPr>
        <w:t>procede cuando se demuestre, sin ninguna otra exigencia adicional, lo siguiente:</w:t>
      </w:r>
    </w:p>
    <w:p w14:paraId="398F378D" w14:textId="77777777" w:rsidR="004D389B" w:rsidRPr="009B3C20" w:rsidRDefault="004D389B" w:rsidP="004D389B">
      <w:pPr>
        <w:spacing w:after="0" w:line="240" w:lineRule="auto"/>
        <w:ind w:left="709" w:right="709"/>
        <w:jc w:val="both"/>
        <w:rPr>
          <w:rFonts w:ascii="Verdana" w:hAnsi="Verdana"/>
          <w:sz w:val="20"/>
          <w:szCs w:val="20"/>
        </w:rPr>
      </w:pPr>
    </w:p>
    <w:p w14:paraId="4652F9F5" w14:textId="77777777" w:rsidR="004D389B" w:rsidRPr="009B3C20" w:rsidRDefault="004D389B" w:rsidP="004D389B">
      <w:pPr>
        <w:widowControl w:val="0"/>
        <w:numPr>
          <w:ilvl w:val="1"/>
          <w:numId w:val="4"/>
        </w:numPr>
        <w:tabs>
          <w:tab w:val="left" w:pos="1134"/>
        </w:tabs>
        <w:autoSpaceDE w:val="0"/>
        <w:autoSpaceDN w:val="0"/>
        <w:spacing w:after="0" w:line="240" w:lineRule="auto"/>
        <w:ind w:left="709" w:right="709" w:firstLine="0"/>
        <w:jc w:val="both"/>
        <w:rPr>
          <w:rFonts w:ascii="Verdana" w:hAnsi="Verdana"/>
          <w:sz w:val="20"/>
          <w:szCs w:val="20"/>
          <w:lang w:val="es-ES"/>
        </w:rPr>
      </w:pPr>
      <w:r w:rsidRPr="009B3C20">
        <w:rPr>
          <w:rFonts w:ascii="Verdana" w:hAnsi="Verdana"/>
          <w:sz w:val="20"/>
          <w:szCs w:val="20"/>
          <w:lang w:val="es-ES"/>
        </w:rPr>
        <w:t>La</w:t>
      </w:r>
      <w:r w:rsidRPr="009B3C20">
        <w:rPr>
          <w:rFonts w:ascii="Verdana" w:hAnsi="Verdana"/>
          <w:spacing w:val="-11"/>
          <w:sz w:val="20"/>
          <w:szCs w:val="20"/>
          <w:lang w:val="es-ES"/>
        </w:rPr>
        <w:t xml:space="preserve"> </w:t>
      </w:r>
      <w:r w:rsidRPr="009B3C20">
        <w:rPr>
          <w:rFonts w:ascii="Verdana" w:hAnsi="Verdana"/>
          <w:sz w:val="20"/>
          <w:szCs w:val="20"/>
          <w:lang w:val="es-ES"/>
        </w:rPr>
        <w:t>existencia</w:t>
      </w:r>
      <w:r w:rsidRPr="009B3C20">
        <w:rPr>
          <w:rFonts w:ascii="Verdana" w:hAnsi="Verdana"/>
          <w:spacing w:val="-10"/>
          <w:sz w:val="20"/>
          <w:szCs w:val="20"/>
          <w:lang w:val="es-ES"/>
        </w:rPr>
        <w:t xml:space="preserve"> </w:t>
      </w:r>
      <w:r w:rsidRPr="009B3C20">
        <w:rPr>
          <w:rFonts w:ascii="Verdana" w:hAnsi="Verdana"/>
          <w:sz w:val="20"/>
          <w:szCs w:val="20"/>
          <w:lang w:val="es-ES"/>
        </w:rPr>
        <w:t>de</w:t>
      </w:r>
      <w:r w:rsidRPr="009B3C20">
        <w:rPr>
          <w:rFonts w:ascii="Verdana" w:hAnsi="Verdana"/>
          <w:spacing w:val="-6"/>
          <w:sz w:val="20"/>
          <w:szCs w:val="20"/>
          <w:lang w:val="es-ES"/>
        </w:rPr>
        <w:t xml:space="preserve"> </w:t>
      </w:r>
      <w:r w:rsidRPr="009B3C20">
        <w:rPr>
          <w:rFonts w:ascii="Verdana" w:hAnsi="Verdana"/>
          <w:sz w:val="20"/>
          <w:szCs w:val="20"/>
          <w:lang w:val="es-ES"/>
        </w:rPr>
        <w:t>una</w:t>
      </w:r>
      <w:r w:rsidRPr="009B3C20">
        <w:rPr>
          <w:rFonts w:ascii="Verdana" w:hAnsi="Verdana"/>
          <w:spacing w:val="-10"/>
          <w:sz w:val="20"/>
          <w:szCs w:val="20"/>
          <w:lang w:val="es-ES"/>
        </w:rPr>
        <w:t xml:space="preserve"> </w:t>
      </w:r>
      <w:r w:rsidRPr="009B3C20">
        <w:rPr>
          <w:rFonts w:ascii="Verdana" w:hAnsi="Verdana"/>
          <w:sz w:val="20"/>
          <w:szCs w:val="20"/>
          <w:lang w:val="es-ES"/>
        </w:rPr>
        <w:t>relación</w:t>
      </w:r>
      <w:r w:rsidRPr="009B3C20">
        <w:rPr>
          <w:rFonts w:ascii="Verdana" w:hAnsi="Verdana"/>
          <w:spacing w:val="-10"/>
          <w:sz w:val="20"/>
          <w:szCs w:val="20"/>
          <w:lang w:val="es-ES"/>
        </w:rPr>
        <w:t xml:space="preserve"> </w:t>
      </w:r>
      <w:r w:rsidRPr="009B3C20">
        <w:rPr>
          <w:rFonts w:ascii="Verdana" w:hAnsi="Verdana"/>
          <w:sz w:val="20"/>
          <w:szCs w:val="20"/>
          <w:lang w:val="es-ES"/>
        </w:rPr>
        <w:t>laboral</w:t>
      </w:r>
      <w:r w:rsidRPr="009B3C20">
        <w:rPr>
          <w:rFonts w:ascii="Verdana" w:hAnsi="Verdana"/>
          <w:spacing w:val="-10"/>
          <w:sz w:val="20"/>
          <w:szCs w:val="20"/>
          <w:lang w:val="es-ES"/>
        </w:rPr>
        <w:t xml:space="preserve"> </w:t>
      </w:r>
      <w:r w:rsidRPr="009B3C20">
        <w:rPr>
          <w:rFonts w:ascii="Verdana" w:hAnsi="Verdana"/>
          <w:sz w:val="20"/>
          <w:szCs w:val="20"/>
          <w:lang w:val="es-ES"/>
        </w:rPr>
        <w:t>o</w:t>
      </w:r>
      <w:r w:rsidRPr="009B3C20">
        <w:rPr>
          <w:rFonts w:ascii="Verdana" w:hAnsi="Verdana"/>
          <w:spacing w:val="-11"/>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prestación</w:t>
      </w:r>
      <w:r w:rsidRPr="009B3C20">
        <w:rPr>
          <w:rFonts w:ascii="Verdana" w:hAnsi="Verdana"/>
          <w:spacing w:val="-10"/>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servicios</w:t>
      </w:r>
      <w:r w:rsidRPr="009B3C20">
        <w:rPr>
          <w:rFonts w:ascii="Verdana" w:hAnsi="Verdana"/>
          <w:spacing w:val="-11"/>
          <w:sz w:val="20"/>
          <w:szCs w:val="20"/>
          <w:lang w:val="es-ES"/>
        </w:rPr>
        <w:t xml:space="preserve"> </w:t>
      </w:r>
      <w:r w:rsidRPr="009B3C20">
        <w:rPr>
          <w:rFonts w:ascii="Verdana" w:hAnsi="Verdana"/>
          <w:spacing w:val="-5"/>
          <w:sz w:val="20"/>
          <w:szCs w:val="20"/>
          <w:lang w:val="es-ES"/>
        </w:rPr>
        <w:t>y;</w:t>
      </w:r>
    </w:p>
    <w:p w14:paraId="784C0EC2" w14:textId="77777777" w:rsidR="004D389B" w:rsidRDefault="004D389B" w:rsidP="004D389B">
      <w:pPr>
        <w:widowControl w:val="0"/>
        <w:numPr>
          <w:ilvl w:val="1"/>
          <w:numId w:val="4"/>
        </w:numPr>
        <w:tabs>
          <w:tab w:val="left" w:pos="1134"/>
        </w:tabs>
        <w:autoSpaceDE w:val="0"/>
        <w:autoSpaceDN w:val="0"/>
        <w:spacing w:after="0" w:line="240" w:lineRule="auto"/>
        <w:ind w:left="709" w:right="709" w:firstLine="0"/>
        <w:jc w:val="both"/>
        <w:rPr>
          <w:rFonts w:ascii="Verdana" w:hAnsi="Verdana"/>
          <w:sz w:val="20"/>
          <w:szCs w:val="20"/>
          <w:lang w:val="es-ES"/>
        </w:rPr>
      </w:pPr>
      <w:r w:rsidRPr="009B3C20">
        <w:rPr>
          <w:rFonts w:ascii="Verdana" w:hAnsi="Verdana"/>
          <w:sz w:val="20"/>
          <w:szCs w:val="20"/>
          <w:lang w:val="es-ES"/>
        </w:rPr>
        <w:t>Que la mujer se encuentra en estado de embarazo o dentro de los tres meses siguientes al parto, en vigencia de dicha relación laboral o de prestación.</w:t>
      </w:r>
    </w:p>
    <w:p w14:paraId="18DF11C1" w14:textId="77777777" w:rsidR="004D389B" w:rsidRDefault="004D389B" w:rsidP="004D389B">
      <w:pPr>
        <w:widowControl w:val="0"/>
        <w:tabs>
          <w:tab w:val="left" w:pos="1134"/>
        </w:tabs>
        <w:autoSpaceDE w:val="0"/>
        <w:autoSpaceDN w:val="0"/>
        <w:spacing w:after="0" w:line="240" w:lineRule="auto"/>
        <w:ind w:left="709" w:right="709"/>
        <w:jc w:val="both"/>
        <w:rPr>
          <w:rFonts w:ascii="Verdana" w:hAnsi="Verdana"/>
          <w:sz w:val="20"/>
          <w:szCs w:val="20"/>
          <w:lang w:val="es-ES"/>
        </w:rPr>
      </w:pPr>
    </w:p>
    <w:p w14:paraId="40B8D488" w14:textId="77777777" w:rsidR="004D389B" w:rsidRPr="001B738D" w:rsidRDefault="004D389B" w:rsidP="004D389B">
      <w:pPr>
        <w:widowControl w:val="0"/>
        <w:tabs>
          <w:tab w:val="left" w:pos="1134"/>
        </w:tabs>
        <w:autoSpaceDE w:val="0"/>
        <w:autoSpaceDN w:val="0"/>
        <w:spacing w:after="0" w:line="240" w:lineRule="auto"/>
        <w:ind w:left="709" w:right="709"/>
        <w:jc w:val="both"/>
        <w:rPr>
          <w:rFonts w:ascii="Verdana" w:hAnsi="Verdana"/>
          <w:sz w:val="20"/>
          <w:szCs w:val="20"/>
          <w:lang w:val="es-ES"/>
        </w:rPr>
      </w:pPr>
      <w:r w:rsidRPr="001B738D">
        <w:rPr>
          <w:rFonts w:ascii="Verdana" w:hAnsi="Verdana"/>
          <w:sz w:val="20"/>
          <w:szCs w:val="20"/>
          <w:lang w:val="es-ES"/>
        </w:rPr>
        <w:t>No obstante, el alcance de la protección se debe determinar a partir de dos factores:</w:t>
      </w:r>
    </w:p>
    <w:p w14:paraId="0DBE40D2" w14:textId="77777777" w:rsidR="004D389B" w:rsidRPr="001B738D" w:rsidRDefault="004D389B" w:rsidP="004D389B">
      <w:pPr>
        <w:widowControl w:val="0"/>
        <w:numPr>
          <w:ilvl w:val="0"/>
          <w:numId w:val="5"/>
        </w:numPr>
        <w:tabs>
          <w:tab w:val="left" w:pos="1339"/>
        </w:tabs>
        <w:autoSpaceDE w:val="0"/>
        <w:autoSpaceDN w:val="0"/>
        <w:spacing w:after="0" w:line="240" w:lineRule="auto"/>
        <w:ind w:right="709"/>
        <w:jc w:val="both"/>
        <w:rPr>
          <w:rFonts w:ascii="Verdana" w:hAnsi="Verdana"/>
          <w:sz w:val="20"/>
          <w:szCs w:val="20"/>
          <w:lang w:val="es-ES"/>
        </w:rPr>
      </w:pPr>
      <w:r w:rsidRPr="009B3C20">
        <w:rPr>
          <w:rFonts w:ascii="Verdana" w:hAnsi="Verdana"/>
          <w:sz w:val="20"/>
          <w:szCs w:val="20"/>
          <w:lang w:val="es-ES"/>
        </w:rPr>
        <w:t>El conocimiento del embarazo por parte del empleador; y</w:t>
      </w:r>
    </w:p>
    <w:p w14:paraId="56C982D7" w14:textId="77777777" w:rsidR="004D389B" w:rsidRPr="009B3C20" w:rsidRDefault="004D389B" w:rsidP="004D389B">
      <w:pPr>
        <w:widowControl w:val="0"/>
        <w:numPr>
          <w:ilvl w:val="0"/>
          <w:numId w:val="5"/>
        </w:numPr>
        <w:tabs>
          <w:tab w:val="left" w:pos="1339"/>
        </w:tabs>
        <w:autoSpaceDE w:val="0"/>
        <w:autoSpaceDN w:val="0"/>
        <w:spacing w:after="0" w:line="240" w:lineRule="auto"/>
        <w:ind w:right="709"/>
        <w:jc w:val="both"/>
        <w:rPr>
          <w:rFonts w:ascii="Verdana" w:hAnsi="Verdana"/>
          <w:sz w:val="20"/>
          <w:szCs w:val="20"/>
          <w:lang w:val="es-ES"/>
        </w:rPr>
      </w:pPr>
      <w:r w:rsidRPr="009B3C20">
        <w:rPr>
          <w:rFonts w:ascii="Verdana" w:hAnsi="Verdana"/>
          <w:sz w:val="20"/>
          <w:szCs w:val="20"/>
          <w:lang w:val="es-ES"/>
        </w:rPr>
        <w:t>La alternativa laboral mediante la cual se encontraba vinculada la mujer embarazada”.</w:t>
      </w:r>
      <w:r>
        <w:rPr>
          <w:rStyle w:val="Refdenotaalpie"/>
          <w:rFonts w:ascii="Verdana" w:hAnsi="Verdana"/>
          <w:sz w:val="20"/>
          <w:szCs w:val="20"/>
          <w:lang w:val="es-ES"/>
        </w:rPr>
        <w:footnoteReference w:id="8"/>
      </w:r>
    </w:p>
    <w:p w14:paraId="0BAD680C" w14:textId="77777777" w:rsidR="004D389B" w:rsidRPr="009B3C20" w:rsidRDefault="004D389B" w:rsidP="004D389B">
      <w:pPr>
        <w:widowControl w:val="0"/>
        <w:tabs>
          <w:tab w:val="left" w:pos="1339"/>
        </w:tabs>
        <w:autoSpaceDE w:val="0"/>
        <w:autoSpaceDN w:val="0"/>
        <w:spacing w:after="0" w:line="276" w:lineRule="auto"/>
        <w:ind w:left="709" w:right="618"/>
        <w:rPr>
          <w:rFonts w:ascii="Verdana" w:hAnsi="Verdana"/>
          <w:lang w:val="es-ES"/>
        </w:rPr>
      </w:pPr>
    </w:p>
    <w:p w14:paraId="167D4417" w14:textId="77777777" w:rsidR="004D389B" w:rsidRPr="007A5474" w:rsidRDefault="004D389B" w:rsidP="004D389B">
      <w:pPr>
        <w:widowControl w:val="0"/>
        <w:autoSpaceDE w:val="0"/>
        <w:autoSpaceDN w:val="0"/>
        <w:spacing w:after="120" w:line="276" w:lineRule="auto"/>
        <w:ind w:right="49" w:firstLine="709"/>
        <w:jc w:val="both"/>
        <w:rPr>
          <w:rFonts w:ascii="Verdana" w:eastAsia="Arial" w:hAnsi="Verdana" w:cs="Arial"/>
          <w:lang w:val="es-ES"/>
        </w:rPr>
      </w:pPr>
      <w:r w:rsidRPr="007A5474">
        <w:rPr>
          <w:rFonts w:ascii="Verdana" w:eastAsia="Arial" w:hAnsi="Verdana" w:cs="Arial"/>
          <w:lang w:val="es-ES"/>
        </w:rPr>
        <w:t>Como se evidencia en el texto referido, el criterio adoptado por la Corte establece que, solo se requiere acreditar la relación laboral o la existencia de un contrato de prestación de servicios y el estado de embarazo o lactancia para acceder a la protección denominada estabilidad ocupacional reforzada de la mujer embarazada, en licencia de maternidad o en periodo de lactancia. En consecuencia, no resulta exigible, en todos los casos, la demostración previa de un contrato realidad para que opere dicha protección.</w:t>
      </w:r>
    </w:p>
    <w:p w14:paraId="5EA9F4E1" w14:textId="77777777" w:rsidR="004D389B" w:rsidRPr="007A5474" w:rsidRDefault="004D389B" w:rsidP="004D389B">
      <w:pPr>
        <w:widowControl w:val="0"/>
        <w:autoSpaceDE w:val="0"/>
        <w:autoSpaceDN w:val="0"/>
        <w:spacing w:after="0" w:line="276" w:lineRule="auto"/>
        <w:ind w:right="49" w:firstLine="709"/>
        <w:jc w:val="both"/>
        <w:rPr>
          <w:rFonts w:ascii="Verdana" w:eastAsia="Arial" w:hAnsi="Verdana" w:cs="Arial"/>
          <w:lang w:val="es-ES"/>
        </w:rPr>
      </w:pPr>
      <w:r w:rsidRPr="007A5474">
        <w:rPr>
          <w:rFonts w:ascii="Verdana" w:eastAsia="Arial" w:hAnsi="Verdana" w:cs="Arial"/>
          <w:lang w:val="es-ES"/>
        </w:rPr>
        <w:t>En particular, para el caso concreto de los contratos de prestación de servicios, la sentencia en mención determina:</w:t>
      </w:r>
    </w:p>
    <w:p w14:paraId="3924435D" w14:textId="77777777" w:rsidR="004D389B" w:rsidRDefault="004D389B" w:rsidP="004D389B">
      <w:pPr>
        <w:widowControl w:val="0"/>
        <w:autoSpaceDE w:val="0"/>
        <w:autoSpaceDN w:val="0"/>
        <w:spacing w:after="0" w:line="276" w:lineRule="auto"/>
        <w:ind w:right="49" w:firstLine="709"/>
        <w:jc w:val="both"/>
        <w:rPr>
          <w:rFonts w:ascii="Verdana" w:eastAsia="Arial" w:hAnsi="Verdana" w:cs="Arial"/>
          <w:lang w:val="es-ES"/>
        </w:rPr>
      </w:pPr>
    </w:p>
    <w:p w14:paraId="3F3928A4" w14:textId="77777777" w:rsidR="004D389B" w:rsidRPr="008C6876" w:rsidRDefault="004D389B" w:rsidP="004D389B">
      <w:pPr>
        <w:shd w:val="clear" w:color="auto" w:fill="FFFFFF"/>
        <w:spacing w:after="0"/>
        <w:ind w:left="709" w:right="709"/>
        <w:jc w:val="both"/>
        <w:rPr>
          <w:rFonts w:ascii="Verdana" w:hAnsi="Verdana" w:cs="Arial"/>
          <w:noProof/>
          <w:sz w:val="20"/>
          <w:szCs w:val="20"/>
          <w:lang w:val="es-ES_tradnl"/>
        </w:rPr>
      </w:pPr>
      <w:r w:rsidRPr="008C6876">
        <w:rPr>
          <w:rFonts w:ascii="Verdana" w:eastAsia="Yu Gothic UI Semibold" w:hAnsi="Verdana" w:cs="Arial"/>
          <w:iCs/>
          <w:sz w:val="20"/>
          <w:szCs w:val="20"/>
          <w:lang w:eastAsia="es-MX"/>
        </w:rPr>
        <w:t>“</w:t>
      </w:r>
      <w:r w:rsidRPr="008C6876">
        <w:rPr>
          <w:rFonts w:ascii="Verdana" w:eastAsia="Yu Gothic UI Semibold" w:hAnsi="Verdana" w:cs="Arial"/>
          <w:sz w:val="20"/>
          <w:szCs w:val="20"/>
          <w:lang w:eastAsia="es-CO"/>
        </w:rPr>
        <w:t>[…]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sidRPr="008C6876">
        <w:rPr>
          <w:rFonts w:ascii="Verdana" w:hAnsi="Verdana" w:cs="Arial"/>
          <w:noProof/>
          <w:sz w:val="20"/>
          <w:szCs w:val="20"/>
          <w:lang w:val="es-ES_tradnl"/>
        </w:rPr>
        <w:t>”.</w:t>
      </w:r>
    </w:p>
    <w:p w14:paraId="0ED8FDF6" w14:textId="77777777" w:rsidR="004D389B" w:rsidRPr="007A5474" w:rsidRDefault="004D389B" w:rsidP="004D389B">
      <w:pPr>
        <w:spacing w:after="0" w:line="276" w:lineRule="auto"/>
        <w:ind w:right="709"/>
        <w:jc w:val="both"/>
        <w:rPr>
          <w:rFonts w:ascii="Verdana" w:hAnsi="Verdana"/>
        </w:rPr>
      </w:pPr>
    </w:p>
    <w:p w14:paraId="35938CCD" w14:textId="77777777" w:rsidR="004D389B" w:rsidRPr="007A5474" w:rsidRDefault="004D389B" w:rsidP="004D389B">
      <w:pPr>
        <w:widowControl w:val="0"/>
        <w:autoSpaceDE w:val="0"/>
        <w:autoSpaceDN w:val="0"/>
        <w:spacing w:after="120" w:line="276" w:lineRule="auto"/>
        <w:ind w:firstLine="709"/>
        <w:jc w:val="both"/>
        <w:rPr>
          <w:rFonts w:ascii="Verdana" w:eastAsia="Arial" w:hAnsi="Verdana" w:cs="Arial"/>
          <w:lang w:val="es-ES"/>
        </w:rPr>
      </w:pPr>
      <w:r w:rsidRPr="007A5474">
        <w:rPr>
          <w:rFonts w:ascii="Verdana" w:eastAsia="Arial" w:hAnsi="Verdana" w:cs="Arial"/>
          <w:lang w:val="es-ES"/>
        </w:rPr>
        <w:t xml:space="preserve">Conforme a lo expuesto, </w:t>
      </w:r>
      <w:r>
        <w:rPr>
          <w:rFonts w:ascii="Verdana" w:eastAsia="Arial" w:hAnsi="Verdana" w:cs="Arial"/>
          <w:lang w:val="es-ES"/>
        </w:rPr>
        <w:t xml:space="preserve">respecto del primer problema jurídico, se concluye que, </w:t>
      </w:r>
      <w:r w:rsidRPr="007A5474">
        <w:rPr>
          <w:rFonts w:ascii="Verdana" w:eastAsia="Arial" w:hAnsi="Verdana" w:cs="Arial"/>
          <w:lang w:val="es-ES"/>
        </w:rPr>
        <w:t xml:space="preserve">la Corte Constitucional ha expuesto dos (2) escenarios frente a los cuales opera la protección del denominado fuero de maternidad de mujeres vinculadas por medio de un contrato de prestación de servicios: i) cuando el juez verifica la configuración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 </w:t>
      </w:r>
    </w:p>
    <w:p w14:paraId="788D646B" w14:textId="77777777" w:rsidR="004D389B" w:rsidRPr="007A5474" w:rsidRDefault="004D389B" w:rsidP="004D389B">
      <w:pPr>
        <w:widowControl w:val="0"/>
        <w:autoSpaceDE w:val="0"/>
        <w:autoSpaceDN w:val="0"/>
        <w:spacing w:after="0" w:line="276" w:lineRule="auto"/>
        <w:ind w:right="49" w:firstLine="709"/>
        <w:jc w:val="both"/>
        <w:rPr>
          <w:rFonts w:ascii="Verdana" w:eastAsia="Arial" w:hAnsi="Verdana" w:cs="Arial"/>
          <w:lang w:val="es-ES"/>
        </w:rPr>
      </w:pPr>
      <w:r w:rsidRPr="007A5474">
        <w:rPr>
          <w:rFonts w:ascii="Verdana" w:eastAsia="Arial" w:hAnsi="Verdana" w:cs="Arial"/>
          <w:lang w:val="es-ES"/>
        </w:rPr>
        <w:t xml:space="preserve">Esta línea interpretativa fue reiterada por la Corte, en la sentencia T-239 de 2022, donde el Alto Tribunal consideró que, en los casos de vinculación mediante contrato de prestación de servicios, aun cuando en sede de tutela no se logren acreditar los elementos del contrato realidad, hay lugar a la protección derivada del fuero de maternidad. En criterio de la Corte, dicha protección encuentra su sustento en consideraciones constitucionales orientadas a </w:t>
      </w:r>
      <w:r w:rsidRPr="007A5474">
        <w:rPr>
          <w:rFonts w:ascii="Verdana" w:eastAsia="Arial" w:hAnsi="Verdana" w:cs="Arial"/>
          <w:lang w:val="es-ES"/>
        </w:rPr>
        <w:lastRenderedPageBreak/>
        <w:t xml:space="preserve">salvaguardar los derechos fundamentales de la mujer gestante o lactante. En palabras de la Corte Constitucional: </w:t>
      </w:r>
    </w:p>
    <w:p w14:paraId="635255CE" w14:textId="77777777" w:rsidR="004D389B" w:rsidRPr="007A5474" w:rsidRDefault="004D389B" w:rsidP="004D389B">
      <w:pPr>
        <w:widowControl w:val="0"/>
        <w:autoSpaceDE w:val="0"/>
        <w:autoSpaceDN w:val="0"/>
        <w:spacing w:after="0" w:line="276" w:lineRule="auto"/>
        <w:ind w:right="49" w:firstLine="709"/>
        <w:jc w:val="both"/>
        <w:rPr>
          <w:rFonts w:ascii="Verdana" w:eastAsia="Arial" w:hAnsi="Verdana" w:cs="Arial"/>
          <w:lang w:val="es-ES"/>
        </w:rPr>
      </w:pPr>
    </w:p>
    <w:p w14:paraId="68B2A044" w14:textId="77777777" w:rsidR="004D389B" w:rsidRPr="009B3C20" w:rsidRDefault="004D389B" w:rsidP="004D389B">
      <w:pPr>
        <w:widowControl w:val="0"/>
        <w:autoSpaceDE w:val="0"/>
        <w:autoSpaceDN w:val="0"/>
        <w:spacing w:after="0"/>
        <w:ind w:left="709" w:right="709"/>
        <w:jc w:val="both"/>
        <w:rPr>
          <w:rFonts w:ascii="Verdana" w:eastAsia="Arial" w:hAnsi="Verdana" w:cs="Arial"/>
          <w:spacing w:val="-2"/>
          <w:sz w:val="20"/>
          <w:szCs w:val="20"/>
          <w:lang w:val="es-ES"/>
        </w:rPr>
      </w:pPr>
      <w:r w:rsidRPr="009B3C20">
        <w:rPr>
          <w:rFonts w:ascii="Verdana" w:eastAsia="Arial" w:hAnsi="Verdana" w:cs="Arial"/>
          <w:sz w:val="20"/>
          <w:szCs w:val="20"/>
          <w:lang w:val="es-ES"/>
        </w:rPr>
        <w:t xml:space="preserve">“(i) la protección de la mujer gestante o en periodo de lactancia se deriva de, entre otros, los artículos 43, 53 y 13 de la Constitución Nacional; (ii) la Sentencia SU-070 de 2013 reiteró la protección a la mujer embarazada en todas las alternativas laborales o de trabajo en las que se incluye el contrato de prestación de servicios; (iii)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(iv) las salas de revisión de la Corte Constitucional reconocen la protección derivada del fuero de maternidad en los contratos de prestación de </w:t>
      </w:r>
      <w:r w:rsidRPr="009B3C20">
        <w:rPr>
          <w:rFonts w:ascii="Verdana" w:eastAsia="Arial" w:hAnsi="Verdana" w:cs="Arial"/>
          <w:spacing w:val="-2"/>
          <w:sz w:val="20"/>
          <w:szCs w:val="20"/>
          <w:lang w:val="es-ES"/>
        </w:rPr>
        <w:t>servicios”</w:t>
      </w:r>
      <w:r w:rsidRPr="009B3C20">
        <w:rPr>
          <w:rFonts w:ascii="Verdana" w:eastAsia="Arial" w:hAnsi="Verdana" w:cs="Arial"/>
          <w:spacing w:val="-2"/>
          <w:sz w:val="20"/>
          <w:szCs w:val="20"/>
          <w:vertAlign w:val="superscript"/>
          <w:lang w:val="es-ES"/>
        </w:rPr>
        <w:footnoteReference w:id="9"/>
      </w:r>
      <w:r w:rsidRPr="009B3C20">
        <w:rPr>
          <w:rFonts w:ascii="Verdana" w:eastAsia="Arial" w:hAnsi="Verdana" w:cs="Arial"/>
          <w:spacing w:val="-2"/>
          <w:sz w:val="20"/>
          <w:szCs w:val="20"/>
          <w:lang w:val="es-ES"/>
        </w:rPr>
        <w:t>.</w:t>
      </w:r>
    </w:p>
    <w:p w14:paraId="27BB4824" w14:textId="77777777" w:rsidR="004D389B" w:rsidRPr="007A5474" w:rsidRDefault="004D389B" w:rsidP="004D389B">
      <w:pPr>
        <w:widowControl w:val="0"/>
        <w:autoSpaceDE w:val="0"/>
        <w:autoSpaceDN w:val="0"/>
        <w:spacing w:after="0" w:line="276" w:lineRule="auto"/>
        <w:ind w:left="709" w:right="709"/>
        <w:jc w:val="both"/>
        <w:rPr>
          <w:rFonts w:ascii="Verdana" w:eastAsia="Arial" w:hAnsi="Verdana" w:cs="Arial"/>
          <w:spacing w:val="-2"/>
          <w:lang w:val="es-ES"/>
        </w:rPr>
      </w:pPr>
    </w:p>
    <w:p w14:paraId="56CB5515" w14:textId="77777777" w:rsidR="004D389B" w:rsidRPr="007A5474" w:rsidRDefault="004D389B" w:rsidP="004D389B">
      <w:pPr>
        <w:widowControl w:val="0"/>
        <w:autoSpaceDE w:val="0"/>
        <w:autoSpaceDN w:val="0"/>
        <w:spacing w:after="0" w:line="276" w:lineRule="auto"/>
        <w:ind w:right="51" w:firstLine="709"/>
        <w:jc w:val="both"/>
        <w:rPr>
          <w:rFonts w:ascii="Verdana" w:eastAsia="Arial" w:hAnsi="Verdana" w:cs="Arial"/>
          <w:lang w:val="es-ES"/>
        </w:rPr>
      </w:pPr>
      <w:r w:rsidRPr="007A5474">
        <w:rPr>
          <w:rFonts w:ascii="Verdana" w:eastAsia="Arial" w:hAnsi="Verdana" w:cs="Arial"/>
          <w:lang w:val="es-ES"/>
        </w:rPr>
        <w:t>En línea con lo anterior, y teniendo en cuenta el objeto de la consulta, en la cual indaga sobre la aplicación del fuero de maternidad en contratos de prestación de servicios, resulta relevante relacionar las reglas establecidas en la jurisprudencia constitucional para la protección de las mujeres vinculadas mediante este tipo contratos a quienes no se les renueva el vinculo</w:t>
      </w:r>
      <w:r>
        <w:rPr>
          <w:rFonts w:ascii="Verdana" w:eastAsia="Arial" w:hAnsi="Verdana" w:cs="Arial"/>
          <w:lang w:val="es-ES"/>
        </w:rPr>
        <w:t xml:space="preserve"> o es terminado</w:t>
      </w:r>
      <w:r w:rsidRPr="007A5474">
        <w:rPr>
          <w:rFonts w:ascii="Verdana" w:eastAsia="Arial" w:hAnsi="Verdana" w:cs="Arial"/>
          <w:lang w:val="es-ES"/>
        </w:rPr>
        <w:t xml:space="preserve"> mientras se encuentran en estado de embarazo, en licencia de maternidad o en el periodo de lactancia:</w:t>
      </w:r>
    </w:p>
    <w:p w14:paraId="518BF5D2" w14:textId="77777777" w:rsidR="004D389B" w:rsidRPr="007A5474" w:rsidRDefault="004D389B" w:rsidP="004D389B">
      <w:pPr>
        <w:widowControl w:val="0"/>
        <w:autoSpaceDE w:val="0"/>
        <w:autoSpaceDN w:val="0"/>
        <w:spacing w:after="0" w:line="276" w:lineRule="auto"/>
        <w:ind w:right="49" w:firstLine="709"/>
        <w:jc w:val="center"/>
        <w:rPr>
          <w:rFonts w:ascii="Verdana" w:eastAsia="Arial" w:hAnsi="Verdana" w:cs="Arial"/>
          <w:lang w:val="es-ES"/>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2830"/>
        <w:gridCol w:w="6007"/>
      </w:tblGrid>
      <w:tr w:rsidR="004D389B" w:rsidRPr="009B3C20" w14:paraId="66E6A84B" w14:textId="77777777" w:rsidTr="002A6332">
        <w:trPr>
          <w:trHeight w:val="729"/>
          <w:jc w:val="center"/>
        </w:trPr>
        <w:tc>
          <w:tcPr>
            <w:tcW w:w="2830" w:type="dxa"/>
            <w:tcBorders>
              <w:top w:val="single" w:sz="4" w:space="0" w:color="auto"/>
              <w:left w:val="single" w:sz="4" w:space="0" w:color="auto"/>
              <w:bottom w:val="single" w:sz="4" w:space="0" w:color="auto"/>
            </w:tcBorders>
            <w:shd w:val="clear" w:color="auto" w:fill="C1E4F5" w:themeFill="accent1" w:themeFillTint="33"/>
            <w:vAlign w:val="center"/>
          </w:tcPr>
          <w:p w14:paraId="01626869" w14:textId="77777777" w:rsidR="004D389B" w:rsidRPr="009B3C20" w:rsidRDefault="004D389B" w:rsidP="002A6332">
            <w:pPr>
              <w:ind w:left="438" w:right="428" w:firstLine="58"/>
              <w:jc w:val="center"/>
              <w:rPr>
                <w:rFonts w:ascii="Verdana" w:eastAsia="Calibri" w:hAnsi="Verdana" w:cs="Calibri"/>
                <w:b/>
                <w:sz w:val="20"/>
                <w:szCs w:val="20"/>
              </w:rPr>
            </w:pPr>
            <w:r w:rsidRPr="009B3C20">
              <w:rPr>
                <w:rFonts w:ascii="Verdana" w:eastAsia="Calibri" w:hAnsi="Verdana" w:cs="Calibri"/>
                <w:b/>
                <w:sz w:val="20"/>
                <w:szCs w:val="20"/>
              </w:rPr>
              <w:t>Tipo de</w:t>
            </w:r>
            <w:r>
              <w:rPr>
                <w:rFonts w:ascii="Verdana" w:eastAsia="Calibri" w:hAnsi="Verdana" w:cs="Calibri"/>
                <w:b/>
                <w:sz w:val="20"/>
                <w:szCs w:val="20"/>
              </w:rPr>
              <w:t xml:space="preserve"> </w:t>
            </w:r>
            <w:r w:rsidRPr="009B3C20">
              <w:rPr>
                <w:rFonts w:ascii="Verdana" w:eastAsia="Calibri" w:hAnsi="Verdana" w:cs="Calibri"/>
                <w:b/>
                <w:spacing w:val="-2"/>
                <w:sz w:val="20"/>
                <w:szCs w:val="20"/>
              </w:rPr>
              <w:t>relación material</w:t>
            </w:r>
          </w:p>
        </w:tc>
        <w:tc>
          <w:tcPr>
            <w:tcW w:w="6007" w:type="dxa"/>
            <w:tcBorders>
              <w:top w:val="single" w:sz="4" w:space="0" w:color="auto"/>
              <w:bottom w:val="single" w:sz="4" w:space="0" w:color="auto"/>
              <w:right w:val="single" w:sz="4" w:space="0" w:color="auto"/>
            </w:tcBorders>
            <w:shd w:val="clear" w:color="auto" w:fill="C1E4F5" w:themeFill="accent1" w:themeFillTint="33"/>
          </w:tcPr>
          <w:p w14:paraId="374C45EF" w14:textId="77777777" w:rsidR="004D389B" w:rsidRPr="009B3C20" w:rsidRDefault="004D389B" w:rsidP="002A6332">
            <w:pPr>
              <w:ind w:left="119"/>
              <w:jc w:val="center"/>
              <w:rPr>
                <w:rFonts w:ascii="Verdana" w:eastAsia="Calibri" w:hAnsi="Verdana" w:cs="Calibri"/>
                <w:sz w:val="20"/>
                <w:szCs w:val="20"/>
              </w:rPr>
            </w:pPr>
          </w:p>
          <w:p w14:paraId="0423A7BD" w14:textId="77777777" w:rsidR="004D389B" w:rsidRPr="009B3C20" w:rsidRDefault="004D389B" w:rsidP="002A6332">
            <w:pPr>
              <w:ind w:left="4"/>
              <w:jc w:val="center"/>
              <w:rPr>
                <w:rFonts w:ascii="Verdana" w:eastAsia="Calibri" w:hAnsi="Verdana" w:cs="Calibri"/>
                <w:b/>
                <w:sz w:val="20"/>
                <w:szCs w:val="20"/>
              </w:rPr>
            </w:pPr>
            <w:r w:rsidRPr="009B3C20">
              <w:rPr>
                <w:rFonts w:ascii="Verdana" w:eastAsia="Calibri" w:hAnsi="Verdana" w:cs="Calibri"/>
                <w:b/>
                <w:sz w:val="20"/>
                <w:szCs w:val="20"/>
              </w:rPr>
              <w:t>Alcance</w:t>
            </w:r>
            <w:r w:rsidRPr="009B3C20">
              <w:rPr>
                <w:rFonts w:ascii="Verdana" w:eastAsia="Calibri" w:hAnsi="Verdana" w:cs="Calibri"/>
                <w:b/>
                <w:spacing w:val="-9"/>
                <w:sz w:val="20"/>
                <w:szCs w:val="20"/>
              </w:rPr>
              <w:t xml:space="preserve"> </w:t>
            </w:r>
            <w:r w:rsidRPr="009B3C20">
              <w:rPr>
                <w:rFonts w:ascii="Verdana" w:eastAsia="Calibri" w:hAnsi="Verdana" w:cs="Calibri"/>
                <w:b/>
                <w:sz w:val="20"/>
                <w:szCs w:val="20"/>
              </w:rPr>
              <w:t>de</w:t>
            </w:r>
            <w:r w:rsidRPr="009B3C20">
              <w:rPr>
                <w:rFonts w:ascii="Verdana" w:eastAsia="Calibri" w:hAnsi="Verdana" w:cs="Calibri"/>
                <w:b/>
                <w:spacing w:val="-8"/>
                <w:sz w:val="20"/>
                <w:szCs w:val="20"/>
              </w:rPr>
              <w:t xml:space="preserve"> </w:t>
            </w:r>
            <w:r w:rsidRPr="009B3C20">
              <w:rPr>
                <w:rFonts w:ascii="Verdana" w:eastAsia="Calibri" w:hAnsi="Verdana" w:cs="Calibri"/>
                <w:b/>
                <w:sz w:val="20"/>
                <w:szCs w:val="20"/>
              </w:rPr>
              <w:t>la</w:t>
            </w:r>
            <w:r w:rsidRPr="009B3C20">
              <w:rPr>
                <w:rFonts w:ascii="Verdana" w:eastAsia="Calibri" w:hAnsi="Verdana" w:cs="Calibri"/>
                <w:b/>
                <w:spacing w:val="-8"/>
                <w:sz w:val="20"/>
                <w:szCs w:val="20"/>
              </w:rPr>
              <w:t xml:space="preserve"> </w:t>
            </w:r>
            <w:r w:rsidRPr="009B3C20">
              <w:rPr>
                <w:rFonts w:ascii="Verdana" w:eastAsia="Calibri" w:hAnsi="Verdana" w:cs="Calibri"/>
                <w:b/>
                <w:spacing w:val="-2"/>
                <w:sz w:val="20"/>
                <w:szCs w:val="20"/>
              </w:rPr>
              <w:t>protección</w:t>
            </w:r>
          </w:p>
        </w:tc>
      </w:tr>
      <w:tr w:rsidR="004D389B" w:rsidRPr="009B3C20" w14:paraId="63ACBBE1" w14:textId="77777777" w:rsidTr="002A63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2830" w:type="dxa"/>
            <w:tcBorders>
              <w:top w:val="single" w:sz="4" w:space="0" w:color="auto"/>
              <w:left w:val="single" w:sz="4" w:space="0" w:color="auto"/>
              <w:bottom w:val="single" w:sz="4" w:space="0" w:color="auto"/>
              <w:right w:val="single" w:sz="4" w:space="0" w:color="auto"/>
            </w:tcBorders>
          </w:tcPr>
          <w:p w14:paraId="39D32CA6" w14:textId="77777777" w:rsidR="004D389B" w:rsidRPr="009B3C20" w:rsidRDefault="004D389B" w:rsidP="002A6332">
            <w:pPr>
              <w:ind w:left="89" w:right="80"/>
              <w:jc w:val="center"/>
              <w:rPr>
                <w:rFonts w:ascii="Verdana" w:eastAsia="Calibri" w:hAnsi="Verdana" w:cs="Calibri"/>
                <w:b/>
                <w:sz w:val="20"/>
                <w:szCs w:val="20"/>
                <w:lang w:val="es-CO"/>
              </w:rPr>
            </w:pPr>
          </w:p>
          <w:p w14:paraId="7564A941" w14:textId="77777777" w:rsidR="004D389B" w:rsidRPr="009B3C20" w:rsidRDefault="004D389B" w:rsidP="002A6332">
            <w:pPr>
              <w:ind w:left="89" w:right="80"/>
              <w:jc w:val="center"/>
              <w:rPr>
                <w:rFonts w:ascii="Verdana" w:eastAsia="Calibri" w:hAnsi="Verdana" w:cs="Calibri"/>
                <w:b/>
                <w:sz w:val="20"/>
                <w:szCs w:val="20"/>
                <w:lang w:val="es-CO"/>
              </w:rPr>
            </w:pPr>
            <w:r w:rsidRPr="009B3C20">
              <w:rPr>
                <w:rFonts w:ascii="Verdana" w:eastAsia="Calibri" w:hAnsi="Verdana" w:cs="Calibri"/>
                <w:b/>
                <w:sz w:val="20"/>
                <w:szCs w:val="20"/>
                <w:lang w:val="es-CO"/>
              </w:rPr>
              <w:t>Se</w:t>
            </w:r>
            <w:r w:rsidRPr="009B3C20">
              <w:rPr>
                <w:rFonts w:ascii="Verdana" w:eastAsia="Calibri" w:hAnsi="Verdana" w:cs="Calibri"/>
                <w:b/>
                <w:spacing w:val="-18"/>
                <w:sz w:val="20"/>
                <w:szCs w:val="20"/>
                <w:lang w:val="es-CO"/>
              </w:rPr>
              <w:t xml:space="preserve"> </w:t>
            </w:r>
            <w:r w:rsidRPr="009B3C20">
              <w:rPr>
                <w:rFonts w:ascii="Verdana" w:eastAsia="Calibri" w:hAnsi="Verdana" w:cs="Calibri"/>
                <w:b/>
                <w:sz w:val="20"/>
                <w:szCs w:val="20"/>
                <w:lang w:val="es-CO"/>
              </w:rPr>
              <w:t xml:space="preserve">configura un contrato </w:t>
            </w:r>
            <w:r w:rsidRPr="009B3C20">
              <w:rPr>
                <w:rFonts w:ascii="Verdana" w:eastAsia="Calibri" w:hAnsi="Verdana" w:cs="Calibri"/>
                <w:b/>
                <w:spacing w:val="-2"/>
                <w:sz w:val="20"/>
                <w:szCs w:val="20"/>
                <w:lang w:val="es-CO"/>
              </w:rPr>
              <w:t>realidad</w:t>
            </w:r>
          </w:p>
        </w:tc>
        <w:tc>
          <w:tcPr>
            <w:tcW w:w="6007" w:type="dxa"/>
            <w:tcBorders>
              <w:top w:val="single" w:sz="4" w:space="0" w:color="auto"/>
              <w:left w:val="single" w:sz="4" w:space="0" w:color="auto"/>
              <w:bottom w:val="single" w:sz="4" w:space="0" w:color="auto"/>
              <w:right w:val="single" w:sz="4" w:space="0" w:color="auto"/>
            </w:tcBorders>
          </w:tcPr>
          <w:p w14:paraId="31BE115C" w14:textId="77777777" w:rsidR="004D389B" w:rsidRPr="009B3C20" w:rsidRDefault="004D389B" w:rsidP="002A6332">
            <w:pPr>
              <w:ind w:left="108" w:right="95"/>
              <w:jc w:val="both"/>
              <w:rPr>
                <w:rFonts w:ascii="Verdana" w:eastAsia="Calibri" w:hAnsi="Verdana" w:cs="Calibri"/>
                <w:sz w:val="20"/>
                <w:szCs w:val="20"/>
                <w:lang w:val="es-CO"/>
              </w:rPr>
            </w:pPr>
            <w:r w:rsidRPr="009B3C20">
              <w:rPr>
                <w:rFonts w:ascii="Verdana" w:eastAsia="Calibri" w:hAnsi="Verdana" w:cs="Calibri"/>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009B3C20">
              <w:rPr>
                <w:rFonts w:ascii="Verdana" w:eastAsia="Calibri" w:hAnsi="Verdana" w:cs="Calibri"/>
                <w:sz w:val="20"/>
                <w:szCs w:val="20"/>
                <w:vertAlign w:val="superscript"/>
              </w:rPr>
              <w:footnoteReference w:id="10"/>
            </w:r>
            <w:r w:rsidRPr="009B3C20">
              <w:rPr>
                <w:rFonts w:ascii="Verdana" w:eastAsia="Calibri" w:hAnsi="Verdana" w:cs="Calibri"/>
                <w:sz w:val="20"/>
                <w:szCs w:val="20"/>
                <w:lang w:val="es-CO"/>
              </w:rPr>
              <w:t>.</w:t>
            </w:r>
          </w:p>
        </w:tc>
      </w:tr>
      <w:tr w:rsidR="004D389B" w:rsidRPr="009B3C20" w14:paraId="180AD80D" w14:textId="77777777" w:rsidTr="002A6332">
        <w:trPr>
          <w:trHeight w:val="267"/>
          <w:jc w:val="center"/>
        </w:trPr>
        <w:tc>
          <w:tcPr>
            <w:tcW w:w="2830" w:type="dxa"/>
            <w:tcBorders>
              <w:top w:val="single" w:sz="4" w:space="0" w:color="auto"/>
              <w:left w:val="single" w:sz="4" w:space="0" w:color="auto"/>
              <w:bottom w:val="single" w:sz="4" w:space="0" w:color="auto"/>
              <w:right w:val="single" w:sz="4" w:space="0" w:color="auto"/>
            </w:tcBorders>
          </w:tcPr>
          <w:p w14:paraId="74B08F2F" w14:textId="77777777" w:rsidR="004D389B" w:rsidRPr="009B3C20" w:rsidRDefault="004D389B" w:rsidP="002A6332">
            <w:pPr>
              <w:ind w:left="119"/>
              <w:jc w:val="center"/>
              <w:rPr>
                <w:rFonts w:ascii="Verdana" w:eastAsia="Calibri" w:hAnsi="Verdana" w:cs="Calibri"/>
                <w:sz w:val="20"/>
                <w:szCs w:val="20"/>
                <w:lang w:val="es-CO"/>
              </w:rPr>
            </w:pPr>
          </w:p>
          <w:p w14:paraId="34720638" w14:textId="77777777" w:rsidR="004D389B" w:rsidRPr="009B3C20" w:rsidRDefault="004D389B" w:rsidP="002A6332">
            <w:pPr>
              <w:ind w:left="119"/>
              <w:jc w:val="center"/>
              <w:rPr>
                <w:rFonts w:ascii="Verdana" w:eastAsia="Calibri" w:hAnsi="Verdana" w:cs="Calibri"/>
                <w:sz w:val="20"/>
                <w:szCs w:val="20"/>
                <w:lang w:val="es-CO"/>
              </w:rPr>
            </w:pPr>
          </w:p>
          <w:p w14:paraId="15656DD6" w14:textId="77777777" w:rsidR="004D389B" w:rsidRPr="009B3C20" w:rsidRDefault="004D389B" w:rsidP="002A6332">
            <w:pPr>
              <w:rPr>
                <w:rFonts w:ascii="Verdana" w:eastAsia="Calibri" w:hAnsi="Verdana" w:cs="Calibri"/>
                <w:sz w:val="20"/>
                <w:szCs w:val="20"/>
                <w:lang w:val="es-CO"/>
              </w:rPr>
            </w:pPr>
          </w:p>
          <w:p w14:paraId="6F3355E6" w14:textId="77777777" w:rsidR="004D389B" w:rsidRPr="009B3C20" w:rsidRDefault="004D389B" w:rsidP="002A6332">
            <w:pPr>
              <w:ind w:left="198" w:right="189"/>
              <w:jc w:val="center"/>
              <w:rPr>
                <w:rFonts w:ascii="Verdana" w:eastAsia="Calibri" w:hAnsi="Verdana" w:cs="Calibri"/>
                <w:b/>
                <w:sz w:val="20"/>
                <w:szCs w:val="20"/>
                <w:lang w:val="es-CO"/>
              </w:rPr>
            </w:pPr>
            <w:r w:rsidRPr="009B3C20">
              <w:rPr>
                <w:rFonts w:ascii="Verdana" w:eastAsia="Calibri" w:hAnsi="Verdana" w:cs="Calibri"/>
                <w:b/>
                <w:sz w:val="20"/>
                <w:szCs w:val="20"/>
                <w:lang w:val="es-CO"/>
              </w:rPr>
              <w:t>No se configura</w:t>
            </w:r>
            <w:r w:rsidRPr="009B3C20">
              <w:rPr>
                <w:rFonts w:ascii="Verdana" w:eastAsia="Calibri" w:hAnsi="Verdana" w:cs="Calibri"/>
                <w:b/>
                <w:spacing w:val="-18"/>
                <w:sz w:val="20"/>
                <w:szCs w:val="20"/>
                <w:lang w:val="es-CO"/>
              </w:rPr>
              <w:t xml:space="preserve"> </w:t>
            </w:r>
            <w:r w:rsidRPr="009B3C20">
              <w:rPr>
                <w:rFonts w:ascii="Verdana" w:eastAsia="Calibri" w:hAnsi="Verdana" w:cs="Calibri"/>
                <w:b/>
                <w:sz w:val="20"/>
                <w:szCs w:val="20"/>
                <w:lang w:val="es-CO"/>
              </w:rPr>
              <w:t xml:space="preserve">un </w:t>
            </w:r>
            <w:r w:rsidRPr="009B3C20">
              <w:rPr>
                <w:rFonts w:ascii="Verdana" w:eastAsia="Calibri" w:hAnsi="Verdana" w:cs="Calibri"/>
                <w:b/>
                <w:spacing w:val="-2"/>
                <w:sz w:val="20"/>
                <w:szCs w:val="20"/>
                <w:lang w:val="es-CO"/>
              </w:rPr>
              <w:lastRenderedPageBreak/>
              <w:t>contrato realidad</w:t>
            </w:r>
          </w:p>
        </w:tc>
        <w:tc>
          <w:tcPr>
            <w:tcW w:w="6007" w:type="dxa"/>
            <w:tcBorders>
              <w:top w:val="single" w:sz="4" w:space="0" w:color="auto"/>
              <w:left w:val="single" w:sz="4" w:space="0" w:color="auto"/>
              <w:bottom w:val="single" w:sz="4" w:space="0" w:color="auto"/>
              <w:right w:val="single" w:sz="4" w:space="0" w:color="auto"/>
            </w:tcBorders>
          </w:tcPr>
          <w:p w14:paraId="1F734A60" w14:textId="77777777" w:rsidR="004D389B" w:rsidRPr="009B3C20" w:rsidRDefault="004D389B" w:rsidP="002A6332">
            <w:pPr>
              <w:tabs>
                <w:tab w:val="left" w:pos="828"/>
              </w:tabs>
              <w:ind w:right="96"/>
              <w:jc w:val="both"/>
              <w:rPr>
                <w:rFonts w:ascii="Verdana" w:eastAsia="Calibri" w:hAnsi="Verdana" w:cs="Calibri"/>
                <w:spacing w:val="-2"/>
                <w:sz w:val="20"/>
                <w:szCs w:val="20"/>
                <w:lang w:val="es-CO"/>
              </w:rPr>
            </w:pPr>
            <w:r w:rsidRPr="009B3C20">
              <w:rPr>
                <w:rFonts w:ascii="Verdana" w:eastAsia="Calibri" w:hAnsi="Verdana" w:cs="Calibri"/>
                <w:sz w:val="20"/>
                <w:szCs w:val="20"/>
                <w:lang w:val="es-CO"/>
              </w:rPr>
              <w:lastRenderedPageBreak/>
              <w:t>Si</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(i)</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contratante</w:t>
            </w:r>
            <w:r w:rsidRPr="009B3C20">
              <w:rPr>
                <w:rFonts w:ascii="Verdana" w:eastAsia="Calibri" w:hAnsi="Verdana" w:cs="Calibri"/>
                <w:spacing w:val="-11"/>
                <w:sz w:val="20"/>
                <w:szCs w:val="20"/>
                <w:lang w:val="es-CO"/>
              </w:rPr>
              <w:t xml:space="preserve"> </w:t>
            </w:r>
            <w:r w:rsidRPr="009B3C20">
              <w:rPr>
                <w:rFonts w:ascii="Verdana" w:eastAsia="Calibri" w:hAnsi="Verdana" w:cs="Calibri"/>
                <w:sz w:val="20"/>
                <w:szCs w:val="20"/>
                <w:lang w:val="es-CO"/>
              </w:rPr>
              <w:t>conoce</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estado</w:t>
            </w:r>
            <w:r w:rsidRPr="009B3C20">
              <w:rPr>
                <w:rFonts w:ascii="Verdana" w:eastAsia="Calibri" w:hAnsi="Verdana" w:cs="Calibri"/>
                <w:spacing w:val="-12"/>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embarazo</w:t>
            </w:r>
            <w:r w:rsidRPr="009B3C20">
              <w:rPr>
                <w:rFonts w:ascii="Verdana" w:eastAsia="Calibri" w:hAnsi="Verdana" w:cs="Calibri"/>
                <w:spacing w:val="-12"/>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4"/>
                <w:sz w:val="20"/>
                <w:szCs w:val="20"/>
                <w:lang w:val="es-CO"/>
              </w:rPr>
              <w:t xml:space="preserve"> </w:t>
            </w:r>
            <w:r w:rsidRPr="009B3C20">
              <w:rPr>
                <w:rFonts w:ascii="Verdana" w:eastAsia="Calibri" w:hAnsi="Verdana" w:cs="Calibri"/>
                <w:spacing w:val="-2"/>
                <w:sz w:val="20"/>
                <w:szCs w:val="20"/>
                <w:lang w:val="es-CO"/>
              </w:rPr>
              <w:t>contratista,</w:t>
            </w:r>
            <w:r w:rsidRPr="009B3C20">
              <w:rPr>
                <w:rFonts w:ascii="Verdana" w:eastAsia="Calibri" w:hAnsi="Verdana" w:cs="Calibri"/>
                <w:sz w:val="20"/>
                <w:szCs w:val="20"/>
                <w:lang w:val="es-CO"/>
              </w:rPr>
              <w:t xml:space="preserve"> (ii) subsiste la causa del contrato</w:t>
            </w:r>
            <w:r>
              <w:rPr>
                <w:rFonts w:ascii="Verdana" w:eastAsia="Calibri" w:hAnsi="Verdana" w:cs="Calibri"/>
                <w:sz w:val="20"/>
                <w:szCs w:val="20"/>
                <w:lang w:val="es-CO"/>
              </w:rPr>
              <w:t xml:space="preserve">, </w:t>
            </w:r>
            <w:r w:rsidRPr="009B3C20">
              <w:rPr>
                <w:rFonts w:ascii="Verdana" w:eastAsia="Calibri" w:hAnsi="Verdana" w:cs="Calibri"/>
                <w:sz w:val="20"/>
                <w:szCs w:val="20"/>
                <w:lang w:val="es-CO"/>
              </w:rPr>
              <w:t xml:space="preserve">el juez deberá </w:t>
            </w:r>
            <w:r w:rsidRPr="009B3C20">
              <w:rPr>
                <w:rFonts w:ascii="Verdana" w:eastAsia="Calibri" w:hAnsi="Verdana" w:cs="Calibri"/>
                <w:spacing w:val="-2"/>
                <w:sz w:val="20"/>
                <w:szCs w:val="20"/>
                <w:lang w:val="es-CO"/>
              </w:rPr>
              <w:t>ordenar:</w:t>
            </w:r>
          </w:p>
          <w:p w14:paraId="24F8F50E" w14:textId="77777777" w:rsidR="004D389B" w:rsidRPr="009B3C20" w:rsidRDefault="004D389B" w:rsidP="002A6332">
            <w:pPr>
              <w:tabs>
                <w:tab w:val="left" w:pos="828"/>
              </w:tabs>
              <w:ind w:left="119" w:right="96"/>
              <w:jc w:val="both"/>
              <w:rPr>
                <w:rFonts w:ascii="Verdana" w:eastAsia="Calibri" w:hAnsi="Verdana" w:cs="Calibri"/>
                <w:spacing w:val="-2"/>
                <w:sz w:val="20"/>
                <w:szCs w:val="20"/>
                <w:lang w:val="es-CO"/>
              </w:rPr>
            </w:pPr>
          </w:p>
          <w:p w14:paraId="7DDDEC0E" w14:textId="77777777" w:rsidR="004D389B" w:rsidRPr="009B3C20" w:rsidRDefault="004D389B" w:rsidP="004D389B">
            <w:pPr>
              <w:numPr>
                <w:ilvl w:val="0"/>
                <w:numId w:val="6"/>
              </w:numPr>
              <w:tabs>
                <w:tab w:val="left" w:pos="828"/>
              </w:tabs>
              <w:ind w:right="96"/>
              <w:jc w:val="both"/>
              <w:rPr>
                <w:rFonts w:ascii="Verdana" w:eastAsia="Calibri" w:hAnsi="Verdana" w:cs="Calibri"/>
                <w:sz w:val="20"/>
                <w:szCs w:val="20"/>
                <w:lang w:val="es-CO"/>
              </w:rPr>
            </w:pPr>
            <w:r w:rsidRPr="009B3C20">
              <w:rPr>
                <w:rFonts w:ascii="Verdana" w:eastAsia="Calibri" w:hAnsi="Verdana" w:cs="Calibri"/>
                <w:sz w:val="20"/>
                <w:szCs w:val="20"/>
                <w:lang w:val="es-CO"/>
              </w:rPr>
              <w:lastRenderedPageBreak/>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renovación</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relación</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contractual,</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cual</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se</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dará</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hasta por el término del periodo de lactancia.</w:t>
            </w:r>
          </w:p>
          <w:p w14:paraId="45B5CA59" w14:textId="77777777" w:rsidR="004D389B" w:rsidRPr="009B3C20" w:rsidRDefault="004D389B" w:rsidP="004D389B">
            <w:pPr>
              <w:numPr>
                <w:ilvl w:val="0"/>
                <w:numId w:val="6"/>
              </w:numPr>
              <w:tabs>
                <w:tab w:val="left" w:pos="828"/>
              </w:tabs>
              <w:ind w:right="96"/>
              <w:jc w:val="both"/>
              <w:rPr>
                <w:rFonts w:ascii="Verdana" w:eastAsia="Calibri" w:hAnsi="Verdana" w:cs="Calibri"/>
                <w:sz w:val="20"/>
                <w:szCs w:val="20"/>
                <w:lang w:val="es-CO"/>
              </w:rPr>
            </w:pPr>
            <w:r w:rsidRPr="009B3C20">
              <w:rPr>
                <w:rFonts w:ascii="Verdana" w:eastAsia="Calibri" w:hAnsi="Verdana" w:cs="Calibri"/>
                <w:sz w:val="20"/>
                <w:szCs w:val="20"/>
                <w:lang w:val="es-CO"/>
              </w:rPr>
              <w:t>El</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pago de</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los</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honorarios dejados de</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percibir desde la</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 xml:space="preserve">fecha de no renovación del contrato, hasta la renovación del </w:t>
            </w:r>
            <w:r w:rsidRPr="009B3C20">
              <w:rPr>
                <w:rFonts w:ascii="Verdana" w:eastAsia="Calibri" w:hAnsi="Verdana" w:cs="Calibri"/>
                <w:spacing w:val="-2"/>
                <w:sz w:val="20"/>
                <w:szCs w:val="20"/>
                <w:lang w:val="es-CO"/>
              </w:rPr>
              <w:t>mismo;</w:t>
            </w:r>
          </w:p>
          <w:p w14:paraId="6A209C82" w14:textId="77777777" w:rsidR="004D389B" w:rsidRPr="009B3C20" w:rsidRDefault="004D389B" w:rsidP="004D389B">
            <w:pPr>
              <w:numPr>
                <w:ilvl w:val="0"/>
                <w:numId w:val="6"/>
              </w:numPr>
              <w:tabs>
                <w:tab w:val="left" w:pos="826"/>
                <w:tab w:val="left" w:pos="828"/>
              </w:tabs>
              <w:ind w:right="97"/>
              <w:jc w:val="both"/>
              <w:rPr>
                <w:rFonts w:ascii="Verdana" w:eastAsia="Calibri" w:hAnsi="Verdana" w:cs="Calibri"/>
                <w:sz w:val="20"/>
                <w:szCs w:val="20"/>
                <w:lang w:val="es-CO"/>
              </w:rPr>
            </w:pPr>
            <w:r w:rsidRPr="009B3C20">
              <w:rPr>
                <w:rFonts w:ascii="Verdana" w:eastAsia="Calibri" w:hAnsi="Verdana" w:cs="Calibri"/>
                <w:sz w:val="20"/>
                <w:szCs w:val="20"/>
                <w:lang w:val="es-CO"/>
              </w:rPr>
              <w:t>El pago por concepto de la indemnización por despido discriminatorio</w:t>
            </w:r>
            <w:r w:rsidRPr="009B3C20">
              <w:rPr>
                <w:rFonts w:ascii="Verdana" w:eastAsia="Calibri" w:hAnsi="Verdana" w:cs="Calibri"/>
                <w:sz w:val="20"/>
                <w:szCs w:val="20"/>
                <w:vertAlign w:val="superscript"/>
              </w:rPr>
              <w:footnoteReference w:id="11"/>
            </w:r>
            <w:r w:rsidRPr="009B3C20">
              <w:rPr>
                <w:rFonts w:ascii="Verdana" w:eastAsia="Calibri" w:hAnsi="Verdana" w:cs="Calibri"/>
                <w:sz w:val="20"/>
                <w:szCs w:val="20"/>
                <w:lang w:val="es-CO"/>
              </w:rPr>
              <w:t>; y</w:t>
            </w:r>
          </w:p>
          <w:p w14:paraId="002121D0" w14:textId="77777777" w:rsidR="004D389B" w:rsidRPr="009B3C20" w:rsidRDefault="004D389B" w:rsidP="004D389B">
            <w:pPr>
              <w:numPr>
                <w:ilvl w:val="0"/>
                <w:numId w:val="6"/>
              </w:numPr>
              <w:tabs>
                <w:tab w:val="left" w:pos="826"/>
                <w:tab w:val="left" w:pos="828"/>
              </w:tabs>
              <w:ind w:right="95"/>
              <w:jc w:val="both"/>
              <w:rPr>
                <w:rFonts w:ascii="Verdana" w:eastAsia="Calibri" w:hAnsi="Verdana" w:cs="Calibri"/>
                <w:sz w:val="20"/>
                <w:szCs w:val="20"/>
                <w:lang w:val="es-CO"/>
              </w:rPr>
            </w:pPr>
            <w:r w:rsidRPr="009B3C20">
              <w:rPr>
                <w:rFonts w:ascii="Verdana" w:eastAsia="Calibri" w:hAnsi="Verdana" w:cs="Calibri"/>
                <w:sz w:val="20"/>
                <w:szCs w:val="20"/>
                <w:lang w:val="es-CO"/>
              </w:rPr>
              <w:t>El pago de la licencia de maternidad. Este pago no se realizará</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si</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en</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caso</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se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acredita</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que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madre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disfrutó</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la licencia de maternidad</w:t>
            </w:r>
            <w:r w:rsidRPr="009B3C20">
              <w:rPr>
                <w:rFonts w:ascii="Verdana" w:eastAsia="Calibri" w:hAnsi="Verdana" w:cs="Calibri"/>
                <w:sz w:val="20"/>
                <w:szCs w:val="20"/>
                <w:vertAlign w:val="superscript"/>
              </w:rPr>
              <w:footnoteReference w:id="12"/>
            </w:r>
            <w:r w:rsidRPr="009B3C20">
              <w:rPr>
                <w:rFonts w:ascii="Verdana" w:eastAsia="Calibri" w:hAnsi="Verdana" w:cs="Calibri"/>
                <w:sz w:val="20"/>
                <w:szCs w:val="20"/>
                <w:lang w:val="es-CO"/>
              </w:rPr>
              <w:t>.</w:t>
            </w:r>
          </w:p>
          <w:p w14:paraId="121AE256" w14:textId="77777777" w:rsidR="004D389B" w:rsidRPr="009B3C20" w:rsidRDefault="004D389B" w:rsidP="004D389B">
            <w:pPr>
              <w:numPr>
                <w:ilvl w:val="0"/>
                <w:numId w:val="6"/>
              </w:numPr>
              <w:tabs>
                <w:tab w:val="left" w:pos="828"/>
              </w:tabs>
              <w:ind w:right="95"/>
              <w:jc w:val="both"/>
              <w:rPr>
                <w:rFonts w:ascii="Verdana" w:eastAsia="Calibri" w:hAnsi="Verdana" w:cs="Calibri"/>
                <w:sz w:val="20"/>
                <w:szCs w:val="20"/>
                <w:lang w:val="es-CO"/>
              </w:rPr>
            </w:pPr>
            <w:r w:rsidRPr="009B3C20">
              <w:rPr>
                <w:rFonts w:ascii="Verdana" w:eastAsia="Calibri" w:hAnsi="Verdana" w:cs="Calibri"/>
                <w:sz w:val="20"/>
                <w:szCs w:val="20"/>
                <w:lang w:val="es-CO"/>
              </w:rPr>
              <w:t>En</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evento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en</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que</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término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del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periodo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lactancia</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ya haya terminado, procederá el reconocimiento de los honorarios dejados de percibir hasta la terminación de periodo de lactancia</w:t>
            </w:r>
            <w:r w:rsidRPr="009B3C20">
              <w:rPr>
                <w:rFonts w:ascii="Verdana" w:eastAsia="Calibri" w:hAnsi="Verdana" w:cs="Calibri"/>
                <w:sz w:val="20"/>
                <w:szCs w:val="20"/>
                <w:vertAlign w:val="superscript"/>
              </w:rPr>
              <w:footnoteReference w:id="13"/>
            </w:r>
            <w:r w:rsidRPr="009B3C20">
              <w:rPr>
                <w:rFonts w:ascii="Verdana" w:eastAsia="Calibri" w:hAnsi="Verdana" w:cs="Calibri"/>
                <w:sz w:val="20"/>
                <w:szCs w:val="20"/>
                <w:lang w:val="es-CO"/>
              </w:rPr>
              <w:t xml:space="preserve">. </w:t>
            </w:r>
          </w:p>
          <w:p w14:paraId="2C69B272" w14:textId="77777777" w:rsidR="004D389B" w:rsidRPr="009B3C20" w:rsidRDefault="004D389B" w:rsidP="002A6332">
            <w:pPr>
              <w:tabs>
                <w:tab w:val="left" w:pos="828"/>
              </w:tabs>
              <w:ind w:left="360" w:right="95"/>
              <w:jc w:val="both"/>
              <w:rPr>
                <w:rFonts w:ascii="Verdana" w:eastAsia="Calibri" w:hAnsi="Verdana" w:cs="Calibri"/>
                <w:sz w:val="20"/>
                <w:szCs w:val="20"/>
                <w:lang w:val="es-CO"/>
              </w:rPr>
            </w:pPr>
          </w:p>
          <w:p w14:paraId="6DEF7FE8" w14:textId="77777777" w:rsidR="004D389B" w:rsidRPr="009B3C20" w:rsidRDefault="004D389B" w:rsidP="002A6332">
            <w:pPr>
              <w:tabs>
                <w:tab w:val="left" w:pos="828"/>
              </w:tabs>
              <w:ind w:left="119" w:right="95"/>
              <w:jc w:val="both"/>
              <w:rPr>
                <w:rFonts w:ascii="Verdana" w:eastAsia="Calibri" w:hAnsi="Verdana" w:cs="Calibri"/>
                <w:sz w:val="20"/>
                <w:szCs w:val="20"/>
                <w:lang w:val="es-CO"/>
              </w:rPr>
            </w:pPr>
            <w:r w:rsidRPr="009B3C20">
              <w:rPr>
                <w:rFonts w:ascii="Verdana" w:eastAsia="Calibri" w:hAnsi="Verdana" w:cs="Calibri"/>
                <w:sz w:val="20"/>
                <w:szCs w:val="20"/>
                <w:lang w:val="es-CO"/>
              </w:rPr>
              <w:t>En</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todo</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caso,</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juez</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deberá</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estudiar</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procedencia</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cada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una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de estas medidas de protección para lo cual tendrá en cuenta las particularidades del caso</w:t>
            </w:r>
            <w:r w:rsidRPr="009B3C20">
              <w:rPr>
                <w:rFonts w:ascii="Verdana" w:eastAsia="Calibri" w:hAnsi="Verdana" w:cs="Calibri"/>
                <w:sz w:val="20"/>
                <w:szCs w:val="20"/>
                <w:vertAlign w:val="superscript"/>
              </w:rPr>
              <w:footnoteReference w:id="14"/>
            </w:r>
            <w:r w:rsidRPr="009B3C20">
              <w:rPr>
                <w:rFonts w:ascii="Verdana" w:eastAsia="Calibri" w:hAnsi="Verdana" w:cs="Calibri"/>
                <w:sz w:val="20"/>
                <w:szCs w:val="20"/>
                <w:lang w:val="es-CO"/>
              </w:rPr>
              <w:t>.</w:t>
            </w:r>
          </w:p>
        </w:tc>
      </w:tr>
    </w:tbl>
    <w:p w14:paraId="730F2C6F" w14:textId="77777777" w:rsidR="004D389B" w:rsidRPr="009B3C20" w:rsidRDefault="004D389B" w:rsidP="004D389B">
      <w:pPr>
        <w:ind w:right="49"/>
        <w:jc w:val="center"/>
        <w:rPr>
          <w:rFonts w:ascii="Verdana" w:hAnsi="Verdana"/>
          <w:b/>
          <w:sz w:val="16"/>
          <w:szCs w:val="16"/>
        </w:rPr>
      </w:pPr>
    </w:p>
    <w:p w14:paraId="282883A1" w14:textId="77777777" w:rsidR="004D389B" w:rsidRDefault="004D389B" w:rsidP="004D389B">
      <w:pPr>
        <w:spacing w:after="0"/>
        <w:ind w:right="49"/>
        <w:jc w:val="center"/>
        <w:rPr>
          <w:rFonts w:ascii="Verdana" w:hAnsi="Verdana"/>
          <w:bCs/>
          <w:sz w:val="16"/>
          <w:szCs w:val="16"/>
        </w:rPr>
      </w:pPr>
      <w:r w:rsidRPr="009B3C20">
        <w:rPr>
          <w:rFonts w:ascii="Verdana" w:hAnsi="Verdana"/>
          <w:b/>
          <w:sz w:val="16"/>
          <w:szCs w:val="16"/>
        </w:rPr>
        <w:t>Tabla:</w:t>
      </w:r>
      <w:r w:rsidRPr="009B3C20">
        <w:rPr>
          <w:rFonts w:ascii="Verdana" w:hAnsi="Verdana"/>
          <w:b/>
          <w:spacing w:val="-5"/>
          <w:sz w:val="16"/>
          <w:szCs w:val="16"/>
        </w:rPr>
        <w:t xml:space="preserve"> </w:t>
      </w:r>
      <w:r w:rsidRPr="009B3C20">
        <w:rPr>
          <w:rFonts w:ascii="Verdana" w:hAnsi="Verdana"/>
          <w:bCs/>
          <w:sz w:val="16"/>
          <w:szCs w:val="16"/>
        </w:rPr>
        <w:t>Reglas</w:t>
      </w:r>
      <w:r w:rsidRPr="009B3C20">
        <w:rPr>
          <w:rFonts w:ascii="Verdana" w:hAnsi="Verdana"/>
          <w:bCs/>
          <w:spacing w:val="-5"/>
          <w:sz w:val="16"/>
          <w:szCs w:val="16"/>
        </w:rPr>
        <w:t xml:space="preserve"> </w:t>
      </w:r>
      <w:r w:rsidRPr="009B3C20">
        <w:rPr>
          <w:rFonts w:ascii="Verdana" w:hAnsi="Verdana"/>
          <w:bCs/>
          <w:sz w:val="16"/>
          <w:szCs w:val="16"/>
        </w:rPr>
        <w:t>para</w:t>
      </w:r>
      <w:r w:rsidRPr="009B3C20">
        <w:rPr>
          <w:rFonts w:ascii="Verdana" w:hAnsi="Verdana"/>
          <w:bCs/>
          <w:spacing w:val="-5"/>
          <w:sz w:val="16"/>
          <w:szCs w:val="16"/>
        </w:rPr>
        <w:t xml:space="preserve"> </w:t>
      </w:r>
      <w:r w:rsidRPr="009B3C20">
        <w:rPr>
          <w:rFonts w:ascii="Verdana" w:hAnsi="Verdana"/>
          <w:bCs/>
          <w:sz w:val="16"/>
          <w:szCs w:val="16"/>
        </w:rPr>
        <w:t>la</w:t>
      </w:r>
      <w:r w:rsidRPr="009B3C20">
        <w:rPr>
          <w:rFonts w:ascii="Verdana" w:hAnsi="Verdana"/>
          <w:bCs/>
          <w:spacing w:val="-5"/>
          <w:sz w:val="16"/>
          <w:szCs w:val="16"/>
        </w:rPr>
        <w:t xml:space="preserve"> </w:t>
      </w:r>
      <w:r w:rsidRPr="009B3C20">
        <w:rPr>
          <w:rFonts w:ascii="Verdana" w:hAnsi="Verdana"/>
          <w:bCs/>
          <w:sz w:val="16"/>
          <w:szCs w:val="16"/>
        </w:rPr>
        <w:t>protección</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la</w:t>
      </w:r>
      <w:r w:rsidRPr="009B3C20">
        <w:rPr>
          <w:rFonts w:ascii="Verdana" w:hAnsi="Verdana"/>
          <w:bCs/>
          <w:spacing w:val="-5"/>
          <w:sz w:val="16"/>
          <w:szCs w:val="16"/>
        </w:rPr>
        <w:t xml:space="preserve"> </w:t>
      </w:r>
      <w:r w:rsidRPr="009B3C20">
        <w:rPr>
          <w:rFonts w:ascii="Verdana" w:hAnsi="Verdana"/>
          <w:bCs/>
          <w:sz w:val="16"/>
          <w:szCs w:val="16"/>
        </w:rPr>
        <w:t>mujer</w:t>
      </w:r>
      <w:r w:rsidRPr="009B3C20">
        <w:rPr>
          <w:rFonts w:ascii="Verdana" w:hAnsi="Verdana"/>
          <w:bCs/>
          <w:spacing w:val="-5"/>
          <w:sz w:val="16"/>
          <w:szCs w:val="16"/>
        </w:rPr>
        <w:t xml:space="preserve"> </w:t>
      </w:r>
      <w:r w:rsidRPr="009B3C20">
        <w:rPr>
          <w:rFonts w:ascii="Verdana" w:hAnsi="Verdana"/>
          <w:bCs/>
          <w:sz w:val="16"/>
          <w:szCs w:val="16"/>
        </w:rPr>
        <w:t>embarazada</w:t>
      </w:r>
      <w:r w:rsidRPr="009B3C20">
        <w:rPr>
          <w:rFonts w:ascii="Verdana" w:hAnsi="Verdana"/>
          <w:bCs/>
          <w:spacing w:val="-5"/>
          <w:sz w:val="16"/>
          <w:szCs w:val="16"/>
        </w:rPr>
        <w:t xml:space="preserve"> </w:t>
      </w:r>
      <w:r w:rsidRPr="009B3C20">
        <w:rPr>
          <w:rFonts w:ascii="Verdana" w:hAnsi="Verdana"/>
          <w:bCs/>
          <w:sz w:val="16"/>
          <w:szCs w:val="16"/>
        </w:rPr>
        <w:t>en</w:t>
      </w:r>
      <w:r w:rsidRPr="009B3C20">
        <w:rPr>
          <w:rFonts w:ascii="Verdana" w:hAnsi="Verdana"/>
          <w:bCs/>
          <w:spacing w:val="-5"/>
          <w:sz w:val="16"/>
          <w:szCs w:val="16"/>
        </w:rPr>
        <w:t xml:space="preserve"> </w:t>
      </w:r>
      <w:r w:rsidRPr="009B3C20">
        <w:rPr>
          <w:rFonts w:ascii="Verdana" w:hAnsi="Verdana"/>
          <w:bCs/>
          <w:sz w:val="16"/>
          <w:szCs w:val="16"/>
        </w:rPr>
        <w:t>contratos</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prestación</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servicios. – Tomada de la Sentencia T-</w:t>
      </w:r>
      <w:r>
        <w:rPr>
          <w:rFonts w:ascii="Verdana" w:hAnsi="Verdana"/>
          <w:bCs/>
          <w:sz w:val="16"/>
          <w:szCs w:val="16"/>
        </w:rPr>
        <w:t>239</w:t>
      </w:r>
      <w:r w:rsidRPr="009B3C20">
        <w:rPr>
          <w:rFonts w:ascii="Verdana" w:hAnsi="Verdana"/>
          <w:bCs/>
          <w:sz w:val="16"/>
          <w:szCs w:val="16"/>
        </w:rPr>
        <w:t xml:space="preserve"> de 2022</w:t>
      </w:r>
      <w:r>
        <w:rPr>
          <w:rFonts w:ascii="Verdana" w:hAnsi="Verdana"/>
          <w:bCs/>
          <w:sz w:val="16"/>
          <w:szCs w:val="16"/>
        </w:rPr>
        <w:t>.</w:t>
      </w:r>
    </w:p>
    <w:p w14:paraId="354E8125" w14:textId="77777777" w:rsidR="004D389B" w:rsidRDefault="004D389B" w:rsidP="004D389B">
      <w:pPr>
        <w:spacing w:after="0"/>
        <w:ind w:right="49"/>
        <w:jc w:val="center"/>
        <w:rPr>
          <w:rFonts w:ascii="Verdana" w:eastAsia="Arial" w:hAnsi="Verdana" w:cs="Arial"/>
          <w:lang w:val="es-ES"/>
        </w:rPr>
      </w:pPr>
    </w:p>
    <w:p w14:paraId="1FBD3120" w14:textId="77777777" w:rsidR="004D389B" w:rsidRPr="007A5474" w:rsidRDefault="004D389B" w:rsidP="004D389B">
      <w:pPr>
        <w:widowControl w:val="0"/>
        <w:autoSpaceDE w:val="0"/>
        <w:autoSpaceDN w:val="0"/>
        <w:spacing w:after="120" w:line="276" w:lineRule="auto"/>
        <w:ind w:right="51" w:firstLine="709"/>
        <w:jc w:val="both"/>
        <w:rPr>
          <w:rFonts w:ascii="Verdana" w:eastAsia="Arial" w:hAnsi="Verdana" w:cs="Arial"/>
          <w:lang w:val="es-ES"/>
        </w:rPr>
      </w:pPr>
      <w:r w:rsidRPr="007A5474">
        <w:rPr>
          <w:rFonts w:ascii="Verdana" w:eastAsia="Arial" w:hAnsi="Verdana" w:cs="Arial"/>
          <w:lang w:val="es-ES"/>
        </w:rPr>
        <w:t xml:space="preserve">Ahora bien, </w:t>
      </w:r>
      <w:r>
        <w:rPr>
          <w:rFonts w:ascii="Verdana" w:eastAsia="Arial" w:hAnsi="Verdana" w:cs="Arial"/>
          <w:lang w:val="es-ES"/>
        </w:rPr>
        <w:t xml:space="preserve">en relación </w:t>
      </w:r>
      <w:r w:rsidRPr="007A5474">
        <w:rPr>
          <w:rFonts w:ascii="Verdana" w:eastAsia="Arial" w:hAnsi="Verdana" w:cs="Arial"/>
          <w:lang w:val="es-ES"/>
        </w:rPr>
        <w:t>con el ámbito temporal de la protección del fuero de maternidad, en particular con la forma en que dicha protección opera durante el periodo de lactancia, resulta necesario referirse a las modificaciones introducidas por la Ley 2306 de 2023. Al respecto, debe señalarse que, el Congreso de la Rep</w:t>
      </w:r>
      <w:r>
        <w:rPr>
          <w:rFonts w:ascii="Verdana" w:eastAsia="Arial" w:hAnsi="Verdana" w:cs="Arial"/>
          <w:lang w:val="es-ES"/>
        </w:rPr>
        <w:t>ú</w:t>
      </w:r>
      <w:r w:rsidRPr="007A5474">
        <w:rPr>
          <w:rFonts w:ascii="Verdana" w:eastAsia="Arial" w:hAnsi="Verdana" w:cs="Arial"/>
          <w:lang w:val="es-ES"/>
        </w:rPr>
        <w:t>blica expidió dicha Ley</w:t>
      </w:r>
      <w:r w:rsidRPr="007A5474" w:rsidDel="00916E7B">
        <w:rPr>
          <w:rFonts w:ascii="Verdana" w:eastAsia="Arial" w:hAnsi="Verdana" w:cs="Arial"/>
          <w:lang w:val="es-ES"/>
        </w:rPr>
        <w:t xml:space="preserve"> </w:t>
      </w:r>
      <w:r w:rsidRPr="007A5474">
        <w:rPr>
          <w:rFonts w:ascii="Verdana" w:eastAsia="Arial" w:hAnsi="Verdana" w:cs="Arial"/>
          <w:lang w:val="es-ES"/>
        </w:rPr>
        <w:t xml:space="preserve">“Por medio de la cual se promueve la protección de la maternidad y la primera infancia, se crean incentivos y normas para la construcción de áreas que permitan la lactancia materna en el espacio público y se dictan otras disposiciones”. </w:t>
      </w:r>
    </w:p>
    <w:p w14:paraId="38125372" w14:textId="77777777" w:rsidR="004D389B" w:rsidRPr="007A5474" w:rsidRDefault="004D389B" w:rsidP="004D389B">
      <w:pPr>
        <w:widowControl w:val="0"/>
        <w:autoSpaceDE w:val="0"/>
        <w:autoSpaceDN w:val="0"/>
        <w:spacing w:after="0" w:line="276" w:lineRule="auto"/>
        <w:ind w:right="49" w:firstLine="709"/>
        <w:jc w:val="both"/>
        <w:rPr>
          <w:rFonts w:ascii="Verdana" w:eastAsia="Arial" w:hAnsi="Verdana" w:cs="Arial"/>
          <w:lang w:val="es-ES"/>
        </w:rPr>
      </w:pPr>
      <w:r w:rsidRPr="007A5474">
        <w:rPr>
          <w:rFonts w:ascii="Verdana" w:eastAsia="Arial" w:hAnsi="Verdana" w:cs="Arial"/>
          <w:lang w:val="es-ES"/>
        </w:rPr>
        <w:t xml:space="preserve">El artículo 6 de la mencionada Ley modificó el artículo </w:t>
      </w:r>
      <w:hyperlink r:id="rId9">
        <w:r w:rsidRPr="007A5474">
          <w:rPr>
            <w:rFonts w:ascii="Verdana" w:eastAsia="Arial" w:hAnsi="Verdana" w:cs="Arial"/>
            <w:lang w:val="es-ES"/>
          </w:rPr>
          <w:t>238</w:t>
        </w:r>
      </w:hyperlink>
      <w:r w:rsidRPr="007A5474">
        <w:rPr>
          <w:rFonts w:ascii="Verdana" w:eastAsia="Arial" w:hAnsi="Verdana" w:cs="Arial"/>
          <w:lang w:val="es-ES"/>
        </w:rPr>
        <w:t xml:space="preserve"> del Código </w:t>
      </w:r>
      <w:r w:rsidRPr="007A5474">
        <w:rPr>
          <w:rFonts w:ascii="Verdana" w:eastAsia="Arial" w:hAnsi="Verdana" w:cs="Arial"/>
          <w:lang w:val="es-ES"/>
        </w:rPr>
        <w:lastRenderedPageBreak/>
        <w:t>Sustantivo del Trabajo</w:t>
      </w:r>
      <w:r>
        <w:rPr>
          <w:rFonts w:ascii="Verdana" w:eastAsia="Arial" w:hAnsi="Verdana" w:cs="Arial"/>
          <w:lang w:val="es-ES"/>
        </w:rPr>
        <w:t>, el cual</w:t>
      </w:r>
      <w:r w:rsidRPr="007A5474">
        <w:rPr>
          <w:rFonts w:ascii="Verdana" w:eastAsia="Arial" w:hAnsi="Verdana" w:cs="Arial"/>
          <w:lang w:val="es-ES"/>
        </w:rPr>
        <w:t xml:space="preserve"> quedo </w:t>
      </w:r>
      <w:r>
        <w:rPr>
          <w:rFonts w:ascii="Verdana" w:eastAsia="Arial" w:hAnsi="Verdana" w:cs="Arial"/>
          <w:lang w:val="es-ES"/>
        </w:rPr>
        <w:t>redactado en los siguientes términos</w:t>
      </w:r>
      <w:r w:rsidRPr="007A5474">
        <w:rPr>
          <w:rFonts w:ascii="Verdana" w:eastAsia="Arial" w:hAnsi="Verdana" w:cs="Arial"/>
          <w:lang w:val="es-ES"/>
        </w:rPr>
        <w:t>:</w:t>
      </w:r>
    </w:p>
    <w:p w14:paraId="32180672" w14:textId="77777777" w:rsidR="004D389B" w:rsidRPr="007A5474" w:rsidRDefault="004D389B" w:rsidP="004D389B">
      <w:pPr>
        <w:widowControl w:val="0"/>
        <w:autoSpaceDE w:val="0"/>
        <w:autoSpaceDN w:val="0"/>
        <w:spacing w:after="0" w:line="276" w:lineRule="auto"/>
        <w:ind w:right="49" w:firstLine="709"/>
        <w:jc w:val="both"/>
        <w:rPr>
          <w:rFonts w:ascii="Verdana" w:eastAsia="Arial" w:hAnsi="Verdana" w:cs="Arial"/>
          <w:lang w:val="es-ES"/>
        </w:rPr>
      </w:pPr>
    </w:p>
    <w:p w14:paraId="5EBC0892" w14:textId="77777777" w:rsidR="004D389B" w:rsidRPr="009B3C20" w:rsidRDefault="004D389B" w:rsidP="004D389B">
      <w:pPr>
        <w:widowControl w:val="0"/>
        <w:autoSpaceDE w:val="0"/>
        <w:autoSpaceDN w:val="0"/>
        <w:spacing w:after="0" w:line="240" w:lineRule="auto"/>
        <w:ind w:left="709" w:right="709"/>
        <w:jc w:val="both"/>
        <w:rPr>
          <w:rFonts w:ascii="Verdana" w:eastAsia="Arial" w:hAnsi="Verdana" w:cs="Arial"/>
          <w:spacing w:val="-2"/>
          <w:sz w:val="20"/>
          <w:szCs w:val="20"/>
          <w:lang w:val="es-ES"/>
        </w:rPr>
      </w:pPr>
      <w:r w:rsidRPr="009B3C20">
        <w:rPr>
          <w:rFonts w:ascii="Verdana" w:eastAsia="Arial" w:hAnsi="Verdana" w:cs="Arial"/>
          <w:sz w:val="20"/>
          <w:szCs w:val="20"/>
          <w:lang w:val="es-ES"/>
        </w:rPr>
        <w:t>“Artículo</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238.</w:t>
      </w:r>
      <w:r w:rsidRPr="009B3C20">
        <w:rPr>
          <w:rFonts w:ascii="Verdana" w:eastAsia="Arial" w:hAnsi="Verdana" w:cs="Arial"/>
          <w:spacing w:val="-15"/>
          <w:sz w:val="20"/>
          <w:szCs w:val="20"/>
          <w:lang w:val="es-ES"/>
        </w:rPr>
        <w:t xml:space="preserve"> </w:t>
      </w:r>
      <w:r w:rsidRPr="009B3C20">
        <w:rPr>
          <w:rFonts w:ascii="Verdana" w:eastAsia="Arial" w:hAnsi="Verdana" w:cs="Arial"/>
          <w:sz w:val="20"/>
          <w:szCs w:val="20"/>
          <w:lang w:val="es-ES"/>
        </w:rPr>
        <w:t>Descanso</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remunerado</w:t>
      </w:r>
      <w:r w:rsidRPr="009B3C20">
        <w:rPr>
          <w:rFonts w:ascii="Verdana" w:eastAsia="Arial" w:hAnsi="Verdana" w:cs="Arial"/>
          <w:spacing w:val="-15"/>
          <w:sz w:val="20"/>
          <w:szCs w:val="20"/>
          <w:lang w:val="es-ES"/>
        </w:rPr>
        <w:t xml:space="preserve"> </w:t>
      </w:r>
      <w:r w:rsidRPr="009B3C20">
        <w:rPr>
          <w:rFonts w:ascii="Verdana" w:eastAsia="Arial" w:hAnsi="Verdana" w:cs="Arial"/>
          <w:sz w:val="20"/>
          <w:szCs w:val="20"/>
          <w:lang w:val="es-ES"/>
        </w:rPr>
        <w:t>durante</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la</w:t>
      </w:r>
      <w:r w:rsidRPr="009B3C20">
        <w:rPr>
          <w:rFonts w:ascii="Verdana" w:eastAsia="Arial" w:hAnsi="Verdana" w:cs="Arial"/>
          <w:spacing w:val="-15"/>
          <w:sz w:val="20"/>
          <w:szCs w:val="20"/>
          <w:lang w:val="es-ES"/>
        </w:rPr>
        <w:t xml:space="preserve"> </w:t>
      </w:r>
      <w:r w:rsidRPr="009B3C20">
        <w:rPr>
          <w:rFonts w:ascii="Verdana" w:eastAsia="Arial" w:hAnsi="Verdana" w:cs="Arial"/>
          <w:spacing w:val="-2"/>
          <w:sz w:val="20"/>
          <w:szCs w:val="20"/>
          <w:lang w:val="es-ES"/>
        </w:rPr>
        <w:t>lactancia.</w:t>
      </w:r>
    </w:p>
    <w:p w14:paraId="6EA1BBFA" w14:textId="77777777" w:rsidR="004D389B" w:rsidRPr="009B3C20" w:rsidRDefault="004D389B" w:rsidP="004D389B">
      <w:pPr>
        <w:widowControl w:val="0"/>
        <w:autoSpaceDE w:val="0"/>
        <w:autoSpaceDN w:val="0"/>
        <w:spacing w:after="0" w:line="240" w:lineRule="auto"/>
        <w:ind w:left="709" w:right="709"/>
        <w:jc w:val="both"/>
        <w:rPr>
          <w:rFonts w:ascii="Verdana" w:eastAsia="Arial" w:hAnsi="Verdana" w:cs="Arial"/>
          <w:sz w:val="20"/>
          <w:szCs w:val="20"/>
          <w:lang w:val="es-ES"/>
        </w:rPr>
      </w:pPr>
    </w:p>
    <w:p w14:paraId="4DB55816" w14:textId="77777777" w:rsidR="004D389B" w:rsidRPr="009B3C20" w:rsidRDefault="004D389B" w:rsidP="004D389B">
      <w:pPr>
        <w:widowControl w:val="0"/>
        <w:numPr>
          <w:ilvl w:val="0"/>
          <w:numId w:val="7"/>
        </w:numPr>
        <w:tabs>
          <w:tab w:val="left" w:pos="1167"/>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 xml:space="preserve">El empleador está en la obligación de conceder a la trabajadora dos (2) descansos, de treinta (30) minutos cada uno, dentro de la jornada para </w:t>
      </w:r>
      <w:r w:rsidRPr="009B3C20">
        <w:rPr>
          <w:rFonts w:ascii="Verdana" w:hAnsi="Verdana"/>
          <w:spacing w:val="-2"/>
          <w:sz w:val="20"/>
          <w:szCs w:val="20"/>
          <w:lang w:val="es-ES"/>
        </w:rPr>
        <w:t>amamantar</w:t>
      </w:r>
      <w:r w:rsidRPr="009B3C20">
        <w:rPr>
          <w:rFonts w:ascii="Verdana" w:hAnsi="Verdana"/>
          <w:spacing w:val="-9"/>
          <w:sz w:val="20"/>
          <w:szCs w:val="20"/>
          <w:lang w:val="es-ES"/>
        </w:rPr>
        <w:t xml:space="preserve"> </w:t>
      </w:r>
      <w:r w:rsidRPr="009B3C20">
        <w:rPr>
          <w:rFonts w:ascii="Verdana" w:hAnsi="Verdana"/>
          <w:spacing w:val="-2"/>
          <w:sz w:val="20"/>
          <w:szCs w:val="20"/>
          <w:lang w:val="es-ES"/>
        </w:rPr>
        <w:t>a</w:t>
      </w:r>
      <w:r w:rsidRPr="009B3C20">
        <w:rPr>
          <w:rFonts w:ascii="Verdana" w:hAnsi="Verdana"/>
          <w:spacing w:val="-12"/>
          <w:sz w:val="20"/>
          <w:szCs w:val="20"/>
          <w:lang w:val="es-ES"/>
        </w:rPr>
        <w:t xml:space="preserve"> </w:t>
      </w:r>
      <w:r w:rsidRPr="009B3C20">
        <w:rPr>
          <w:rFonts w:ascii="Verdana" w:hAnsi="Verdana"/>
          <w:spacing w:val="-2"/>
          <w:sz w:val="20"/>
          <w:szCs w:val="20"/>
          <w:lang w:val="es-ES"/>
        </w:rPr>
        <w:t>su</w:t>
      </w:r>
      <w:r w:rsidRPr="009B3C20">
        <w:rPr>
          <w:rFonts w:ascii="Verdana" w:hAnsi="Verdana"/>
          <w:spacing w:val="-11"/>
          <w:sz w:val="20"/>
          <w:szCs w:val="20"/>
          <w:lang w:val="es-ES"/>
        </w:rPr>
        <w:t xml:space="preserve"> </w:t>
      </w:r>
      <w:r w:rsidRPr="009B3C20">
        <w:rPr>
          <w:rFonts w:ascii="Verdana" w:hAnsi="Verdana"/>
          <w:spacing w:val="-2"/>
          <w:sz w:val="20"/>
          <w:szCs w:val="20"/>
          <w:lang w:val="es-ES"/>
        </w:rPr>
        <w:t>hijo,</w:t>
      </w:r>
      <w:r w:rsidRPr="009B3C20">
        <w:rPr>
          <w:rFonts w:ascii="Verdana" w:hAnsi="Verdana"/>
          <w:spacing w:val="-11"/>
          <w:sz w:val="20"/>
          <w:szCs w:val="20"/>
          <w:lang w:val="es-ES"/>
        </w:rPr>
        <w:t xml:space="preserve"> </w:t>
      </w:r>
      <w:r w:rsidRPr="009B3C20">
        <w:rPr>
          <w:rFonts w:ascii="Verdana" w:hAnsi="Verdana"/>
          <w:spacing w:val="-2"/>
          <w:sz w:val="20"/>
          <w:szCs w:val="20"/>
          <w:lang w:val="es-ES"/>
        </w:rPr>
        <w:t>sin</w:t>
      </w:r>
      <w:r w:rsidRPr="009B3C20">
        <w:rPr>
          <w:rFonts w:ascii="Verdana" w:hAnsi="Verdana"/>
          <w:spacing w:val="-11"/>
          <w:sz w:val="20"/>
          <w:szCs w:val="20"/>
          <w:lang w:val="es-ES"/>
        </w:rPr>
        <w:t xml:space="preserve"> </w:t>
      </w:r>
      <w:r w:rsidRPr="009B3C20">
        <w:rPr>
          <w:rFonts w:ascii="Verdana" w:hAnsi="Verdana"/>
          <w:spacing w:val="-2"/>
          <w:sz w:val="20"/>
          <w:szCs w:val="20"/>
          <w:lang w:val="es-ES"/>
        </w:rPr>
        <w:t>descuento</w:t>
      </w:r>
      <w:r w:rsidRPr="009B3C20">
        <w:rPr>
          <w:rFonts w:ascii="Verdana" w:hAnsi="Verdana"/>
          <w:spacing w:val="-9"/>
          <w:sz w:val="20"/>
          <w:szCs w:val="20"/>
          <w:lang w:val="es-ES"/>
        </w:rPr>
        <w:t xml:space="preserve"> </w:t>
      </w:r>
      <w:r w:rsidRPr="009B3C20">
        <w:rPr>
          <w:rFonts w:ascii="Verdana" w:hAnsi="Verdana"/>
          <w:spacing w:val="-2"/>
          <w:sz w:val="20"/>
          <w:szCs w:val="20"/>
          <w:lang w:val="es-ES"/>
        </w:rPr>
        <w:t>alguno</w:t>
      </w:r>
      <w:r w:rsidRPr="009B3C20">
        <w:rPr>
          <w:rFonts w:ascii="Verdana" w:hAnsi="Verdana"/>
          <w:spacing w:val="-10"/>
          <w:sz w:val="20"/>
          <w:szCs w:val="20"/>
          <w:lang w:val="es-ES"/>
        </w:rPr>
        <w:t xml:space="preserve"> </w:t>
      </w:r>
      <w:r w:rsidRPr="009B3C20">
        <w:rPr>
          <w:rFonts w:ascii="Verdana" w:hAnsi="Verdana"/>
          <w:spacing w:val="-2"/>
          <w:sz w:val="20"/>
          <w:szCs w:val="20"/>
          <w:lang w:val="es-ES"/>
        </w:rPr>
        <w:t>en</w:t>
      </w:r>
      <w:r w:rsidRPr="009B3C20">
        <w:rPr>
          <w:rFonts w:ascii="Verdana" w:hAnsi="Verdana"/>
          <w:spacing w:val="-11"/>
          <w:sz w:val="20"/>
          <w:szCs w:val="20"/>
          <w:lang w:val="es-ES"/>
        </w:rPr>
        <w:t xml:space="preserve"> </w:t>
      </w:r>
      <w:r w:rsidRPr="009B3C20">
        <w:rPr>
          <w:rFonts w:ascii="Verdana" w:hAnsi="Verdana"/>
          <w:spacing w:val="-2"/>
          <w:sz w:val="20"/>
          <w:szCs w:val="20"/>
          <w:lang w:val="es-ES"/>
        </w:rPr>
        <w:t>el</w:t>
      </w:r>
      <w:r w:rsidRPr="009B3C20">
        <w:rPr>
          <w:rFonts w:ascii="Verdana" w:hAnsi="Verdana"/>
          <w:spacing w:val="-11"/>
          <w:sz w:val="20"/>
          <w:szCs w:val="20"/>
          <w:lang w:val="es-ES"/>
        </w:rPr>
        <w:t xml:space="preserve"> </w:t>
      </w:r>
      <w:r w:rsidRPr="009B3C20">
        <w:rPr>
          <w:rFonts w:ascii="Verdana" w:hAnsi="Verdana"/>
          <w:spacing w:val="-2"/>
          <w:sz w:val="20"/>
          <w:szCs w:val="20"/>
          <w:lang w:val="es-ES"/>
        </w:rPr>
        <w:t>salario</w:t>
      </w:r>
      <w:r w:rsidRPr="009B3C20">
        <w:rPr>
          <w:rFonts w:ascii="Verdana" w:hAnsi="Verdana"/>
          <w:spacing w:val="-10"/>
          <w:sz w:val="20"/>
          <w:szCs w:val="20"/>
          <w:lang w:val="es-ES"/>
        </w:rPr>
        <w:t xml:space="preserve"> </w:t>
      </w:r>
      <w:r w:rsidRPr="009B3C20">
        <w:rPr>
          <w:rFonts w:ascii="Verdana" w:hAnsi="Verdana"/>
          <w:spacing w:val="-2"/>
          <w:sz w:val="20"/>
          <w:szCs w:val="20"/>
          <w:lang w:val="es-ES"/>
        </w:rPr>
        <w:t>por</w:t>
      </w:r>
      <w:r w:rsidRPr="009B3C20">
        <w:rPr>
          <w:rFonts w:ascii="Verdana" w:hAnsi="Verdana"/>
          <w:spacing w:val="-11"/>
          <w:sz w:val="20"/>
          <w:szCs w:val="20"/>
          <w:lang w:val="es-ES"/>
        </w:rPr>
        <w:t xml:space="preserve"> </w:t>
      </w:r>
      <w:r w:rsidRPr="009B3C20">
        <w:rPr>
          <w:rFonts w:ascii="Verdana" w:hAnsi="Verdana"/>
          <w:spacing w:val="-2"/>
          <w:sz w:val="20"/>
          <w:szCs w:val="20"/>
          <w:lang w:val="es-ES"/>
        </w:rPr>
        <w:t>dicho</w:t>
      </w:r>
      <w:r w:rsidRPr="009B3C20">
        <w:rPr>
          <w:rFonts w:ascii="Verdana" w:hAnsi="Verdana"/>
          <w:spacing w:val="-10"/>
          <w:sz w:val="20"/>
          <w:szCs w:val="20"/>
          <w:lang w:val="es-ES"/>
        </w:rPr>
        <w:t xml:space="preserve"> </w:t>
      </w:r>
      <w:r w:rsidRPr="009B3C20">
        <w:rPr>
          <w:rFonts w:ascii="Verdana" w:hAnsi="Verdana"/>
          <w:spacing w:val="-2"/>
          <w:sz w:val="20"/>
          <w:szCs w:val="20"/>
          <w:lang w:val="es-ES"/>
        </w:rPr>
        <w:t xml:space="preserve">concepto, </w:t>
      </w:r>
      <w:r w:rsidRPr="009B3C20">
        <w:rPr>
          <w:rFonts w:ascii="Verdana" w:hAnsi="Verdana"/>
          <w:sz w:val="20"/>
          <w:szCs w:val="20"/>
          <w:lang w:val="es-ES"/>
        </w:rPr>
        <w:t>durante los primeros seis (6) meses de edad, y una vez cumplido este</w:t>
      </w:r>
      <w:r w:rsidRPr="009B3C20">
        <w:rPr>
          <w:rFonts w:ascii="Verdana" w:hAnsi="Verdana"/>
          <w:spacing w:val="80"/>
          <w:sz w:val="20"/>
          <w:szCs w:val="20"/>
          <w:lang w:val="es-ES"/>
        </w:rPr>
        <w:t xml:space="preserve"> </w:t>
      </w:r>
      <w:r w:rsidRPr="009B3C20">
        <w:rPr>
          <w:rFonts w:ascii="Verdana" w:hAnsi="Verdana"/>
          <w:sz w:val="20"/>
          <w:szCs w:val="20"/>
          <w:lang w:val="es-ES"/>
        </w:rPr>
        <w:t>periodo, un (1) descanso de treinta (30) minutos en los mismos términos hasta</w:t>
      </w:r>
      <w:r w:rsidRPr="009B3C20">
        <w:rPr>
          <w:rFonts w:ascii="Verdana" w:hAnsi="Verdana"/>
          <w:spacing w:val="-9"/>
          <w:sz w:val="20"/>
          <w:szCs w:val="20"/>
          <w:lang w:val="es-ES"/>
        </w:rPr>
        <w:t xml:space="preserve"> </w:t>
      </w:r>
      <w:r w:rsidRPr="009B3C20">
        <w:rPr>
          <w:rFonts w:ascii="Verdana" w:hAnsi="Verdana"/>
          <w:sz w:val="20"/>
          <w:szCs w:val="20"/>
          <w:lang w:val="es-ES"/>
        </w:rPr>
        <w:t>los</w:t>
      </w:r>
      <w:r w:rsidRPr="009B3C20">
        <w:rPr>
          <w:rFonts w:ascii="Verdana" w:hAnsi="Verdana"/>
          <w:spacing w:val="-9"/>
          <w:sz w:val="20"/>
          <w:szCs w:val="20"/>
          <w:lang w:val="es-ES"/>
        </w:rPr>
        <w:t xml:space="preserve"> </w:t>
      </w:r>
      <w:r w:rsidRPr="009B3C20">
        <w:rPr>
          <w:rFonts w:ascii="Verdana" w:hAnsi="Verdana"/>
          <w:sz w:val="20"/>
          <w:szCs w:val="20"/>
          <w:lang w:val="es-ES"/>
        </w:rPr>
        <w:t>dos</w:t>
      </w:r>
      <w:r w:rsidRPr="009B3C20">
        <w:rPr>
          <w:rFonts w:ascii="Verdana" w:hAnsi="Verdana"/>
          <w:spacing w:val="-9"/>
          <w:sz w:val="20"/>
          <w:szCs w:val="20"/>
          <w:lang w:val="es-ES"/>
        </w:rPr>
        <w:t xml:space="preserve"> </w:t>
      </w:r>
      <w:r w:rsidRPr="009B3C20">
        <w:rPr>
          <w:rFonts w:ascii="Verdana" w:hAnsi="Verdana"/>
          <w:sz w:val="20"/>
          <w:szCs w:val="20"/>
          <w:lang w:val="es-ES"/>
        </w:rPr>
        <w:t>(2)</w:t>
      </w:r>
      <w:r w:rsidRPr="009B3C20">
        <w:rPr>
          <w:rFonts w:ascii="Verdana" w:hAnsi="Verdana"/>
          <w:spacing w:val="-9"/>
          <w:sz w:val="20"/>
          <w:szCs w:val="20"/>
          <w:lang w:val="es-ES"/>
        </w:rPr>
        <w:t xml:space="preserve"> </w:t>
      </w:r>
      <w:r w:rsidRPr="009B3C20">
        <w:rPr>
          <w:rFonts w:ascii="Verdana" w:hAnsi="Verdana"/>
          <w:sz w:val="20"/>
          <w:szCs w:val="20"/>
          <w:lang w:val="es-ES"/>
        </w:rPr>
        <w:t>años</w:t>
      </w:r>
      <w:r w:rsidRPr="009B3C20">
        <w:rPr>
          <w:rFonts w:ascii="Verdana" w:hAnsi="Verdana"/>
          <w:spacing w:val="-9"/>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edad</w:t>
      </w:r>
      <w:r w:rsidRPr="009B3C20">
        <w:rPr>
          <w:rFonts w:ascii="Verdana" w:hAnsi="Verdana"/>
          <w:spacing w:val="-9"/>
          <w:sz w:val="20"/>
          <w:szCs w:val="20"/>
          <w:lang w:val="es-ES"/>
        </w:rPr>
        <w:t xml:space="preserve"> </w:t>
      </w:r>
      <w:r w:rsidRPr="009B3C20">
        <w:rPr>
          <w:rFonts w:ascii="Verdana" w:hAnsi="Verdana"/>
          <w:sz w:val="20"/>
          <w:szCs w:val="20"/>
          <w:lang w:val="es-ES"/>
        </w:rPr>
        <w:t>de/</w:t>
      </w:r>
      <w:r w:rsidRPr="009B3C20">
        <w:rPr>
          <w:rFonts w:ascii="Verdana" w:hAnsi="Verdana"/>
          <w:spacing w:val="-9"/>
          <w:sz w:val="20"/>
          <w:szCs w:val="20"/>
          <w:lang w:val="es-ES"/>
        </w:rPr>
        <w:t xml:space="preserve"> </w:t>
      </w:r>
      <w:r w:rsidRPr="009B3C20">
        <w:rPr>
          <w:rFonts w:ascii="Verdana" w:hAnsi="Verdana"/>
          <w:sz w:val="20"/>
          <w:szCs w:val="20"/>
          <w:lang w:val="es-ES"/>
        </w:rPr>
        <w:t>menor:</w:t>
      </w:r>
      <w:r w:rsidRPr="009B3C20">
        <w:rPr>
          <w:rFonts w:ascii="Verdana" w:hAnsi="Verdana"/>
          <w:spacing w:val="-9"/>
          <w:sz w:val="20"/>
          <w:szCs w:val="20"/>
          <w:lang w:val="es-ES"/>
        </w:rPr>
        <w:t xml:space="preserve"> </w:t>
      </w:r>
      <w:r w:rsidRPr="009B3C20">
        <w:rPr>
          <w:rFonts w:ascii="Verdana" w:hAnsi="Verdana"/>
          <w:sz w:val="20"/>
          <w:szCs w:val="20"/>
          <w:lang w:val="es-ES"/>
        </w:rPr>
        <w:t>siempre</w:t>
      </w:r>
      <w:r w:rsidRPr="009B3C20">
        <w:rPr>
          <w:rFonts w:ascii="Verdana" w:hAnsi="Verdana"/>
          <w:spacing w:val="-8"/>
          <w:sz w:val="20"/>
          <w:szCs w:val="20"/>
          <w:lang w:val="es-ES"/>
        </w:rPr>
        <w:t xml:space="preserve"> </w:t>
      </w:r>
      <w:r w:rsidRPr="009B3C20">
        <w:rPr>
          <w:rFonts w:ascii="Verdana" w:hAnsi="Verdana"/>
          <w:sz w:val="20"/>
          <w:szCs w:val="20"/>
          <w:lang w:val="es-ES"/>
        </w:rPr>
        <w:t>y</w:t>
      </w:r>
      <w:r w:rsidRPr="009B3C20">
        <w:rPr>
          <w:rFonts w:ascii="Verdana" w:hAnsi="Verdana"/>
          <w:spacing w:val="-10"/>
          <w:sz w:val="20"/>
          <w:szCs w:val="20"/>
          <w:lang w:val="es-ES"/>
        </w:rPr>
        <w:t xml:space="preserve"> </w:t>
      </w:r>
      <w:r w:rsidRPr="009B3C20">
        <w:rPr>
          <w:rFonts w:ascii="Verdana" w:hAnsi="Verdana"/>
          <w:sz w:val="20"/>
          <w:szCs w:val="20"/>
          <w:lang w:val="es-ES"/>
        </w:rPr>
        <w:t>cuando</w:t>
      </w:r>
      <w:r w:rsidRPr="009B3C20">
        <w:rPr>
          <w:rFonts w:ascii="Verdana" w:hAnsi="Verdana"/>
          <w:spacing w:val="-8"/>
          <w:sz w:val="20"/>
          <w:szCs w:val="20"/>
          <w:lang w:val="es-ES"/>
        </w:rPr>
        <w:t xml:space="preserve"> </w:t>
      </w:r>
      <w:r w:rsidRPr="009B3C20">
        <w:rPr>
          <w:rFonts w:ascii="Verdana" w:hAnsi="Verdana"/>
          <w:sz w:val="20"/>
          <w:szCs w:val="20"/>
          <w:lang w:val="es-ES"/>
        </w:rPr>
        <w:t>se</w:t>
      </w:r>
      <w:r w:rsidRPr="009B3C20">
        <w:rPr>
          <w:rFonts w:ascii="Verdana" w:hAnsi="Verdana"/>
          <w:spacing w:val="-9"/>
          <w:sz w:val="20"/>
          <w:szCs w:val="20"/>
          <w:lang w:val="es-ES"/>
        </w:rPr>
        <w:t xml:space="preserve"> </w:t>
      </w:r>
      <w:r w:rsidRPr="009B3C20">
        <w:rPr>
          <w:rFonts w:ascii="Verdana" w:hAnsi="Verdana"/>
          <w:sz w:val="20"/>
          <w:szCs w:val="20"/>
          <w:lang w:val="es-ES"/>
        </w:rPr>
        <w:t>mantenga y manifieste una adecuada lactancia materno-continua.</w:t>
      </w:r>
    </w:p>
    <w:p w14:paraId="41011DFB" w14:textId="77777777" w:rsidR="004D389B" w:rsidRPr="009B3C20" w:rsidRDefault="004D389B" w:rsidP="004D389B">
      <w:pPr>
        <w:widowControl w:val="0"/>
        <w:tabs>
          <w:tab w:val="left" w:pos="1167"/>
        </w:tabs>
        <w:autoSpaceDE w:val="0"/>
        <w:autoSpaceDN w:val="0"/>
        <w:spacing w:after="0" w:line="240" w:lineRule="auto"/>
        <w:ind w:left="709" w:right="709"/>
        <w:contextualSpacing/>
        <w:jc w:val="both"/>
        <w:rPr>
          <w:rFonts w:ascii="Verdana" w:hAnsi="Verdana"/>
          <w:sz w:val="20"/>
          <w:szCs w:val="20"/>
          <w:lang w:val="es-ES"/>
        </w:rPr>
      </w:pPr>
    </w:p>
    <w:p w14:paraId="62E805CA" w14:textId="77777777" w:rsidR="004D389B" w:rsidRPr="009B3C20" w:rsidRDefault="004D389B" w:rsidP="004D389B">
      <w:pPr>
        <w:widowControl w:val="0"/>
        <w:numPr>
          <w:ilvl w:val="0"/>
          <w:numId w:val="7"/>
        </w:numPr>
        <w:tabs>
          <w:tab w:val="left" w:pos="1241"/>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El</w:t>
      </w:r>
      <w:r w:rsidRPr="009B3C20">
        <w:rPr>
          <w:rFonts w:ascii="Verdana" w:hAnsi="Verdana"/>
          <w:spacing w:val="-2"/>
          <w:sz w:val="20"/>
          <w:szCs w:val="20"/>
          <w:lang w:val="es-ES"/>
        </w:rPr>
        <w:t xml:space="preserve"> </w:t>
      </w:r>
      <w:r w:rsidRPr="009B3C20">
        <w:rPr>
          <w:rFonts w:ascii="Verdana" w:hAnsi="Verdana"/>
          <w:sz w:val="20"/>
          <w:szCs w:val="20"/>
          <w:lang w:val="es-ES"/>
        </w:rPr>
        <w:t>empleador está</w:t>
      </w:r>
      <w:r w:rsidRPr="009B3C20">
        <w:rPr>
          <w:rFonts w:ascii="Verdana" w:hAnsi="Verdana"/>
          <w:spacing w:val="-1"/>
          <w:sz w:val="20"/>
          <w:szCs w:val="20"/>
          <w:lang w:val="es-ES"/>
        </w:rPr>
        <w:t xml:space="preserve"> </w:t>
      </w:r>
      <w:r w:rsidRPr="009B3C20">
        <w:rPr>
          <w:rFonts w:ascii="Verdana" w:hAnsi="Verdana"/>
          <w:sz w:val="20"/>
          <w:szCs w:val="20"/>
          <w:lang w:val="es-ES"/>
        </w:rPr>
        <w:t>en</w:t>
      </w:r>
      <w:r w:rsidRPr="009B3C20">
        <w:rPr>
          <w:rFonts w:ascii="Verdana" w:hAnsi="Verdana"/>
          <w:spacing w:val="-2"/>
          <w:sz w:val="20"/>
          <w:szCs w:val="20"/>
          <w:lang w:val="es-ES"/>
        </w:rPr>
        <w:t xml:space="preserve"> </w:t>
      </w:r>
      <w:r w:rsidRPr="009B3C20">
        <w:rPr>
          <w:rFonts w:ascii="Verdana" w:hAnsi="Verdana"/>
          <w:sz w:val="20"/>
          <w:szCs w:val="20"/>
          <w:lang w:val="es-ES"/>
        </w:rPr>
        <w:t>la</w:t>
      </w:r>
      <w:r w:rsidRPr="009B3C20">
        <w:rPr>
          <w:rFonts w:ascii="Verdana" w:hAnsi="Verdana"/>
          <w:spacing w:val="-2"/>
          <w:sz w:val="20"/>
          <w:szCs w:val="20"/>
          <w:lang w:val="es-ES"/>
        </w:rPr>
        <w:t xml:space="preserve"> </w:t>
      </w:r>
      <w:r w:rsidRPr="009B3C20">
        <w:rPr>
          <w:rFonts w:ascii="Verdana" w:hAnsi="Verdana"/>
          <w:sz w:val="20"/>
          <w:szCs w:val="20"/>
          <w:lang w:val="es-ES"/>
        </w:rPr>
        <w:t>obligación de</w:t>
      </w:r>
      <w:r w:rsidRPr="009B3C20">
        <w:rPr>
          <w:rFonts w:ascii="Verdana" w:hAnsi="Verdana"/>
          <w:spacing w:val="-2"/>
          <w:sz w:val="20"/>
          <w:szCs w:val="20"/>
          <w:lang w:val="es-ES"/>
        </w:rPr>
        <w:t xml:space="preserve"> </w:t>
      </w:r>
      <w:r w:rsidRPr="009B3C20">
        <w:rPr>
          <w:rFonts w:ascii="Verdana" w:hAnsi="Verdana"/>
          <w:sz w:val="20"/>
          <w:szCs w:val="20"/>
          <w:lang w:val="es-ES"/>
        </w:rPr>
        <w:t>conceder más</w:t>
      </w:r>
      <w:r w:rsidRPr="009B3C20">
        <w:rPr>
          <w:rFonts w:ascii="Verdana" w:hAnsi="Verdana"/>
          <w:spacing w:val="-2"/>
          <w:sz w:val="20"/>
          <w:szCs w:val="20"/>
          <w:lang w:val="es-ES"/>
        </w:rPr>
        <w:t xml:space="preserve"> </w:t>
      </w:r>
      <w:r w:rsidRPr="009B3C20">
        <w:rPr>
          <w:rFonts w:ascii="Verdana" w:hAnsi="Verdana"/>
          <w:sz w:val="20"/>
          <w:szCs w:val="20"/>
          <w:lang w:val="es-ES"/>
        </w:rPr>
        <w:t>descansos que</w:t>
      </w:r>
      <w:r w:rsidRPr="009B3C20">
        <w:rPr>
          <w:rFonts w:ascii="Verdana" w:hAnsi="Verdana"/>
          <w:spacing w:val="-2"/>
          <w:sz w:val="20"/>
          <w:szCs w:val="20"/>
          <w:lang w:val="es-ES"/>
        </w:rPr>
        <w:t xml:space="preserve"> </w:t>
      </w:r>
      <w:r w:rsidRPr="009B3C20">
        <w:rPr>
          <w:rFonts w:ascii="Verdana" w:hAnsi="Verdana"/>
          <w:sz w:val="20"/>
          <w:szCs w:val="20"/>
          <w:lang w:val="es-ES"/>
        </w:rPr>
        <w:t>los establecidos en el inciso anterior si lo trabajadora presenta certificado médico en el cual se expongan las razones que justifiquen ese mayor número de descansos.</w:t>
      </w:r>
    </w:p>
    <w:p w14:paraId="7A330DE4" w14:textId="77777777" w:rsidR="004D389B" w:rsidRPr="009B3C20" w:rsidRDefault="004D389B" w:rsidP="004D389B">
      <w:pPr>
        <w:widowControl w:val="0"/>
        <w:autoSpaceDE w:val="0"/>
        <w:autoSpaceDN w:val="0"/>
        <w:spacing w:after="0" w:line="240" w:lineRule="auto"/>
        <w:ind w:left="709" w:right="709"/>
        <w:jc w:val="both"/>
        <w:rPr>
          <w:rFonts w:ascii="Verdana" w:eastAsia="Arial" w:hAnsi="Verdana" w:cs="Arial"/>
          <w:sz w:val="20"/>
          <w:szCs w:val="20"/>
          <w:lang w:val="es-ES"/>
        </w:rPr>
      </w:pPr>
    </w:p>
    <w:p w14:paraId="13A8D92B" w14:textId="77777777" w:rsidR="004D389B" w:rsidRPr="009B3C20" w:rsidRDefault="004D389B" w:rsidP="004D389B">
      <w:pPr>
        <w:widowControl w:val="0"/>
        <w:numPr>
          <w:ilvl w:val="0"/>
          <w:numId w:val="7"/>
        </w:numPr>
        <w:tabs>
          <w:tab w:val="left" w:pos="1247"/>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Para dar cumplimiento a la obligación consagrada en este artículo, los empleadores deben establecer en un local contiguo a aquel en donde la mujer</w:t>
      </w:r>
      <w:r w:rsidRPr="009B3C20">
        <w:rPr>
          <w:rFonts w:ascii="Verdana" w:hAnsi="Verdana"/>
          <w:spacing w:val="-4"/>
          <w:sz w:val="20"/>
          <w:szCs w:val="20"/>
          <w:lang w:val="es-ES"/>
        </w:rPr>
        <w:t xml:space="preserve"> </w:t>
      </w:r>
      <w:r w:rsidRPr="009B3C20">
        <w:rPr>
          <w:rFonts w:ascii="Verdana" w:hAnsi="Verdana"/>
          <w:sz w:val="20"/>
          <w:szCs w:val="20"/>
          <w:lang w:val="es-ES"/>
        </w:rPr>
        <w:t>trabaja,</w:t>
      </w:r>
      <w:r w:rsidRPr="009B3C20">
        <w:rPr>
          <w:rFonts w:ascii="Verdana" w:hAnsi="Verdana"/>
          <w:spacing w:val="-3"/>
          <w:sz w:val="20"/>
          <w:szCs w:val="20"/>
          <w:lang w:val="es-ES"/>
        </w:rPr>
        <w:t xml:space="preserve"> </w:t>
      </w:r>
      <w:r w:rsidRPr="009B3C20">
        <w:rPr>
          <w:rFonts w:ascii="Verdana" w:hAnsi="Verdana"/>
          <w:sz w:val="20"/>
          <w:szCs w:val="20"/>
          <w:lang w:val="es-ES"/>
        </w:rPr>
        <w:t>una</w:t>
      </w:r>
      <w:r w:rsidRPr="009B3C20">
        <w:rPr>
          <w:rFonts w:ascii="Verdana" w:hAnsi="Verdana"/>
          <w:spacing w:val="-5"/>
          <w:sz w:val="20"/>
          <w:szCs w:val="20"/>
          <w:lang w:val="es-ES"/>
        </w:rPr>
        <w:t xml:space="preserve"> </w:t>
      </w:r>
      <w:r w:rsidRPr="009B3C20">
        <w:rPr>
          <w:rFonts w:ascii="Verdana" w:hAnsi="Verdana"/>
          <w:sz w:val="20"/>
          <w:szCs w:val="20"/>
          <w:lang w:val="es-ES"/>
        </w:rPr>
        <w:t>sala</w:t>
      </w:r>
      <w:r w:rsidRPr="009B3C20">
        <w:rPr>
          <w:rFonts w:ascii="Verdana" w:hAnsi="Verdana"/>
          <w:spacing w:val="-5"/>
          <w:sz w:val="20"/>
          <w:szCs w:val="20"/>
          <w:lang w:val="es-ES"/>
        </w:rPr>
        <w:t xml:space="preserve"> </w:t>
      </w:r>
      <w:r w:rsidRPr="009B3C20">
        <w:rPr>
          <w:rFonts w:ascii="Verdana" w:hAnsi="Verdana"/>
          <w:sz w:val="20"/>
          <w:szCs w:val="20"/>
          <w:lang w:val="es-ES"/>
        </w:rPr>
        <w:t>de</w:t>
      </w:r>
      <w:r w:rsidRPr="009B3C20">
        <w:rPr>
          <w:rFonts w:ascii="Verdana" w:hAnsi="Verdana"/>
          <w:spacing w:val="-5"/>
          <w:sz w:val="20"/>
          <w:szCs w:val="20"/>
          <w:lang w:val="es-ES"/>
        </w:rPr>
        <w:t xml:space="preserve"> </w:t>
      </w:r>
      <w:r w:rsidRPr="009B3C20">
        <w:rPr>
          <w:rFonts w:ascii="Verdana" w:hAnsi="Verdana"/>
          <w:sz w:val="20"/>
          <w:szCs w:val="20"/>
          <w:lang w:val="es-ES"/>
        </w:rPr>
        <w:t>lactancia</w:t>
      </w:r>
      <w:r w:rsidRPr="009B3C20">
        <w:rPr>
          <w:rFonts w:ascii="Verdana" w:hAnsi="Verdana"/>
          <w:spacing w:val="-3"/>
          <w:sz w:val="20"/>
          <w:szCs w:val="20"/>
          <w:lang w:val="es-ES"/>
        </w:rPr>
        <w:t xml:space="preserve"> </w:t>
      </w:r>
      <w:r w:rsidRPr="009B3C20">
        <w:rPr>
          <w:rFonts w:ascii="Verdana" w:hAnsi="Verdana"/>
          <w:sz w:val="20"/>
          <w:szCs w:val="20"/>
          <w:lang w:val="es-ES"/>
        </w:rPr>
        <w:t>o</w:t>
      </w:r>
      <w:r w:rsidRPr="009B3C20">
        <w:rPr>
          <w:rFonts w:ascii="Verdana" w:hAnsi="Verdana"/>
          <w:spacing w:val="-6"/>
          <w:sz w:val="20"/>
          <w:szCs w:val="20"/>
          <w:lang w:val="es-ES"/>
        </w:rPr>
        <w:t xml:space="preserve"> </w:t>
      </w:r>
      <w:r w:rsidRPr="009B3C20">
        <w:rPr>
          <w:rFonts w:ascii="Verdana" w:hAnsi="Verdana"/>
          <w:sz w:val="20"/>
          <w:szCs w:val="20"/>
          <w:lang w:val="es-ES"/>
        </w:rPr>
        <w:t>un</w:t>
      </w:r>
      <w:r w:rsidRPr="009B3C20">
        <w:rPr>
          <w:rFonts w:ascii="Verdana" w:hAnsi="Verdana"/>
          <w:spacing w:val="-5"/>
          <w:sz w:val="20"/>
          <w:szCs w:val="20"/>
          <w:lang w:val="es-ES"/>
        </w:rPr>
        <w:t xml:space="preserve"> </w:t>
      </w:r>
      <w:r w:rsidRPr="009B3C20">
        <w:rPr>
          <w:rFonts w:ascii="Verdana" w:hAnsi="Verdana"/>
          <w:sz w:val="20"/>
          <w:szCs w:val="20"/>
          <w:lang w:val="es-ES"/>
        </w:rPr>
        <w:t>lugar</w:t>
      </w:r>
      <w:r w:rsidRPr="009B3C20">
        <w:rPr>
          <w:rFonts w:ascii="Verdana" w:hAnsi="Verdana"/>
          <w:spacing w:val="-4"/>
          <w:sz w:val="20"/>
          <w:szCs w:val="20"/>
          <w:lang w:val="es-ES"/>
        </w:rPr>
        <w:t xml:space="preserve"> </w:t>
      </w:r>
      <w:r w:rsidRPr="009B3C20">
        <w:rPr>
          <w:rFonts w:ascii="Verdana" w:hAnsi="Verdana"/>
          <w:sz w:val="20"/>
          <w:szCs w:val="20"/>
          <w:lang w:val="es-ES"/>
        </w:rPr>
        <w:t>apropiado</w:t>
      </w:r>
      <w:r w:rsidRPr="009B3C20">
        <w:rPr>
          <w:rFonts w:ascii="Verdana" w:hAnsi="Verdana"/>
          <w:spacing w:val="-3"/>
          <w:sz w:val="20"/>
          <w:szCs w:val="20"/>
          <w:lang w:val="es-ES"/>
        </w:rPr>
        <w:t xml:space="preserve"> </w:t>
      </w:r>
      <w:r w:rsidRPr="009B3C20">
        <w:rPr>
          <w:rFonts w:ascii="Verdana" w:hAnsi="Verdana"/>
          <w:sz w:val="20"/>
          <w:szCs w:val="20"/>
          <w:lang w:val="es-ES"/>
        </w:rPr>
        <w:t>para</w:t>
      </w:r>
      <w:r w:rsidRPr="009B3C20">
        <w:rPr>
          <w:rFonts w:ascii="Verdana" w:hAnsi="Verdana"/>
          <w:spacing w:val="-5"/>
          <w:sz w:val="20"/>
          <w:szCs w:val="20"/>
          <w:lang w:val="es-ES"/>
        </w:rPr>
        <w:t xml:space="preserve"> </w:t>
      </w:r>
      <w:r w:rsidRPr="009B3C20">
        <w:rPr>
          <w:rFonts w:ascii="Verdana" w:hAnsi="Verdana"/>
          <w:sz w:val="20"/>
          <w:szCs w:val="20"/>
          <w:lang w:val="es-ES"/>
        </w:rPr>
        <w:t>guardar</w:t>
      </w:r>
      <w:r w:rsidRPr="009B3C20">
        <w:rPr>
          <w:rFonts w:ascii="Verdana" w:hAnsi="Verdana"/>
          <w:spacing w:val="-4"/>
          <w:sz w:val="20"/>
          <w:szCs w:val="20"/>
          <w:lang w:val="es-ES"/>
        </w:rPr>
        <w:t xml:space="preserve"> </w:t>
      </w:r>
      <w:r w:rsidRPr="009B3C20">
        <w:rPr>
          <w:rFonts w:ascii="Verdana" w:hAnsi="Verdana"/>
          <w:sz w:val="20"/>
          <w:szCs w:val="20"/>
          <w:lang w:val="es-ES"/>
        </w:rPr>
        <w:t xml:space="preserve">al </w:t>
      </w:r>
      <w:r w:rsidRPr="009B3C20">
        <w:rPr>
          <w:rFonts w:ascii="Verdana" w:hAnsi="Verdana"/>
          <w:spacing w:val="-2"/>
          <w:sz w:val="20"/>
          <w:szCs w:val="20"/>
          <w:lang w:val="es-ES"/>
        </w:rPr>
        <w:t>niño.</w:t>
      </w:r>
    </w:p>
    <w:p w14:paraId="4FA00B7B" w14:textId="77777777" w:rsidR="004D389B" w:rsidRPr="009B3C20" w:rsidRDefault="004D389B" w:rsidP="004D389B">
      <w:pPr>
        <w:widowControl w:val="0"/>
        <w:autoSpaceDE w:val="0"/>
        <w:autoSpaceDN w:val="0"/>
        <w:spacing w:after="0" w:line="240" w:lineRule="auto"/>
        <w:ind w:left="709" w:right="709"/>
        <w:jc w:val="both"/>
        <w:rPr>
          <w:rFonts w:ascii="Verdana" w:eastAsia="Arial" w:hAnsi="Verdana" w:cs="Arial"/>
          <w:sz w:val="20"/>
          <w:szCs w:val="20"/>
          <w:lang w:val="es-ES"/>
        </w:rPr>
      </w:pPr>
    </w:p>
    <w:p w14:paraId="49E544C0" w14:textId="77777777" w:rsidR="004D389B" w:rsidRPr="009B3C20" w:rsidRDefault="004D389B" w:rsidP="004D389B">
      <w:pPr>
        <w:widowControl w:val="0"/>
        <w:numPr>
          <w:ilvl w:val="0"/>
          <w:numId w:val="7"/>
        </w:numPr>
        <w:tabs>
          <w:tab w:val="left" w:pos="1253"/>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Los empleadores pueden contratar con las instituciones de protección infantil el inciso anterior”.</w:t>
      </w:r>
    </w:p>
    <w:p w14:paraId="7B8B5622" w14:textId="77777777" w:rsidR="004D389B" w:rsidRPr="007A5474" w:rsidRDefault="004D389B" w:rsidP="004D389B">
      <w:pPr>
        <w:spacing w:after="0" w:line="276" w:lineRule="auto"/>
        <w:rPr>
          <w:rFonts w:ascii="Verdana" w:hAnsi="Verdana"/>
          <w:lang w:val="es-ES"/>
        </w:rPr>
      </w:pPr>
    </w:p>
    <w:p w14:paraId="2B745522" w14:textId="77777777" w:rsidR="004D389B" w:rsidRPr="007A5474" w:rsidRDefault="004D389B" w:rsidP="004D389B">
      <w:pPr>
        <w:widowControl w:val="0"/>
        <w:autoSpaceDE w:val="0"/>
        <w:autoSpaceDN w:val="0"/>
        <w:spacing w:after="120" w:line="276" w:lineRule="auto"/>
        <w:ind w:firstLine="709"/>
        <w:jc w:val="both"/>
        <w:rPr>
          <w:rFonts w:ascii="Verdana" w:eastAsia="Arial" w:hAnsi="Verdana" w:cs="Arial"/>
          <w:lang w:val="es-ES"/>
        </w:rPr>
      </w:pPr>
      <w:r w:rsidRPr="007A5474">
        <w:rPr>
          <w:rFonts w:ascii="Verdana" w:eastAsia="Arial" w:hAnsi="Verdana" w:cs="Arial"/>
          <w:lang w:val="es-ES"/>
        </w:rPr>
        <w:t>Según se deprende del texto transcrito, la norma concede un descanso remunerado para las trabajadoras durante el periodo de lactancia de la siguiente forma: i) hasta los seis (6) meses de edad, los empleadores deben conceder dos (2) descansos de treinta (30) minutos cada uno durante la jornada laboral y; ii) de los seis (6) en adelante y hasta los dos (2) años de edad, se debe conceder a la trabajadora un descanso de treinta (30) minutos durante la jornada laboral, sin que estos descansos impliquen una disminución en el salario devengado.</w:t>
      </w:r>
    </w:p>
    <w:p w14:paraId="28F2B9B7" w14:textId="77777777" w:rsidR="004D389B" w:rsidRDefault="004D389B" w:rsidP="004D389B">
      <w:pPr>
        <w:spacing w:after="120" w:line="276" w:lineRule="auto"/>
        <w:ind w:firstLine="709"/>
        <w:jc w:val="both"/>
        <w:rPr>
          <w:rFonts w:ascii="Verdana" w:eastAsia="Calibri" w:hAnsi="Verdana" w:cs="Arial"/>
          <w:bCs/>
          <w:color w:val="000000"/>
          <w:lang w:val="es-ES_tradnl"/>
        </w:rPr>
      </w:pPr>
      <w:r w:rsidRPr="00375EB3">
        <w:rPr>
          <w:rFonts w:ascii="Verdana" w:hAnsi="Verdana" w:cs="Arial"/>
          <w:shd w:val="clear" w:color="auto" w:fill="FFFFFF"/>
        </w:rPr>
        <w:t>Ahora bien, e</w:t>
      </w:r>
      <w:r w:rsidRPr="007A5474">
        <w:rPr>
          <w:rFonts w:ascii="Verdana" w:hAnsi="Verdana" w:cs="Arial"/>
          <w:shd w:val="clear" w:color="auto" w:fill="FFFFFF"/>
        </w:rPr>
        <w:t>n relación con la prohibición de despido consagrada en el artículo 239 del Código Sustantivo de Trabajo por motivo del embarazo o la lactancia,</w:t>
      </w:r>
      <w:r w:rsidRPr="00375EB3">
        <w:rPr>
          <w:rFonts w:ascii="Verdana" w:hAnsi="Verdana" w:cs="Arial"/>
          <w:shd w:val="clear" w:color="auto" w:fill="FFFFFF"/>
        </w:rPr>
        <w:t xml:space="preserve"> y</w:t>
      </w:r>
      <w:r w:rsidRPr="007A5474">
        <w:rPr>
          <w:rFonts w:ascii="Verdana" w:hAnsi="Verdana" w:cs="Arial"/>
          <w:shd w:val="clear" w:color="auto" w:fill="FFFFFF"/>
        </w:rPr>
        <w:t xml:space="preserve"> a la luz de la modificación introducida por la Ley 2306 de 2023, la </w:t>
      </w:r>
      <w:r w:rsidRPr="007A5474">
        <w:rPr>
          <w:rFonts w:ascii="Verdana" w:eastAsia="Calibri" w:hAnsi="Verdana" w:cs="Arial"/>
          <w:bCs/>
          <w:color w:val="000000"/>
          <w:lang w:val="es-ES_tradnl"/>
        </w:rPr>
        <w:t xml:space="preserve">Agencia Nacional de Contratación Pública – Colombia Compra Eficiente– </w:t>
      </w:r>
      <w:r w:rsidRPr="007A5474">
        <w:rPr>
          <w:rFonts w:ascii="Verdana" w:hAnsi="Verdana" w:cs="Arial"/>
          <w:shd w:val="clear" w:color="auto" w:fill="FFFFFF"/>
        </w:rPr>
        <w:t xml:space="preserve"> se ha pronunciado en diferentes conceptos. </w:t>
      </w:r>
      <w:r w:rsidRPr="00375EB3">
        <w:rPr>
          <w:rFonts w:ascii="Verdana" w:hAnsi="Verdana" w:cs="Arial"/>
          <w:shd w:val="clear" w:color="auto" w:fill="FFFFFF"/>
        </w:rPr>
        <w:t>En particular</w:t>
      </w:r>
      <w:r w:rsidRPr="00D772C3">
        <w:rPr>
          <w:rFonts w:ascii="Verdana" w:hAnsi="Verdana" w:cs="Arial"/>
          <w:shd w:val="clear" w:color="auto" w:fill="FFFFFF"/>
        </w:rPr>
        <w:t xml:space="preserve">, se ha planteado el interrogante </w:t>
      </w:r>
      <w:r w:rsidRPr="003F5AE9">
        <w:rPr>
          <w:rFonts w:ascii="Verdana" w:hAnsi="Verdana" w:cs="Arial"/>
          <w:shd w:val="clear" w:color="auto" w:fill="FFFFFF"/>
        </w:rPr>
        <w:t>acerca</w:t>
      </w:r>
      <w:r w:rsidRPr="007A5474">
        <w:rPr>
          <w:rFonts w:ascii="Verdana" w:eastAsia="Calibri" w:hAnsi="Verdana" w:cs="Arial"/>
          <w:bCs/>
          <w:color w:val="000000"/>
          <w:lang w:val="es-ES_tradnl"/>
        </w:rPr>
        <w:t xml:space="preserve"> si ¿el derecho regulado en el artículo 6 de la Ley 2306 de 2023 también debe garantizarse a las contratistas del Estado en la modalidad prestación de servicio?. </w:t>
      </w:r>
    </w:p>
    <w:p w14:paraId="02CB7C73" w14:textId="77777777" w:rsidR="004D389B" w:rsidRPr="007A5474" w:rsidRDefault="004D389B" w:rsidP="004D389B">
      <w:pPr>
        <w:spacing w:after="120" w:line="276" w:lineRule="auto"/>
        <w:ind w:firstLine="708"/>
        <w:jc w:val="both"/>
        <w:rPr>
          <w:rFonts w:ascii="Verdana" w:eastAsia="Calibri" w:hAnsi="Verdana" w:cs="Arial"/>
          <w:bCs/>
          <w:color w:val="000000"/>
          <w:lang w:val="es-ES_tradnl"/>
        </w:rPr>
      </w:pPr>
      <w:r w:rsidRPr="00D772C3">
        <w:rPr>
          <w:rFonts w:ascii="Verdana" w:eastAsia="Calibri" w:hAnsi="Verdana" w:cs="Arial"/>
          <w:bCs/>
          <w:color w:val="000000"/>
          <w:lang w:val="es-ES_tradnl"/>
        </w:rPr>
        <w:lastRenderedPageBreak/>
        <w:t>Sobre este punto</w:t>
      </w:r>
      <w:r w:rsidRPr="007A5474">
        <w:rPr>
          <w:rFonts w:ascii="Verdana" w:eastAsia="Calibri" w:hAnsi="Verdana" w:cs="Arial"/>
          <w:bCs/>
          <w:color w:val="000000"/>
          <w:lang w:val="es-ES_tradnl"/>
        </w:rPr>
        <w:t>, e</w:t>
      </w:r>
      <w:r w:rsidRPr="007A5474">
        <w:rPr>
          <w:rFonts w:ascii="Verdana" w:hAnsi="Verdana" w:cs="Arial"/>
          <w:shd w:val="clear" w:color="auto" w:fill="FFFFFF"/>
        </w:rPr>
        <w:t xml:space="preserve">n </w:t>
      </w:r>
      <w:r w:rsidRPr="00D772C3">
        <w:rPr>
          <w:rFonts w:ascii="Verdana" w:hAnsi="Verdana" w:cs="Arial"/>
          <w:shd w:val="clear" w:color="auto" w:fill="FFFFFF"/>
        </w:rPr>
        <w:t>el</w:t>
      </w:r>
      <w:r w:rsidRPr="007A5474">
        <w:rPr>
          <w:rFonts w:ascii="Verdana" w:hAnsi="Verdana" w:cs="Arial"/>
          <w:shd w:val="clear" w:color="auto" w:fill="FFFFFF"/>
        </w:rPr>
        <w:t xml:space="preserve"> concepto C-078 de 2024,</w:t>
      </w:r>
      <w:r>
        <w:rPr>
          <w:rFonts w:ascii="Verdana" w:hAnsi="Verdana" w:cs="Arial"/>
          <w:shd w:val="clear" w:color="auto" w:fill="FFFFFF"/>
        </w:rPr>
        <w:t xml:space="preserve"> así como en los conceptos </w:t>
      </w:r>
      <w:r w:rsidRPr="007A5474">
        <w:rPr>
          <w:rFonts w:ascii="Verdana" w:hAnsi="Verdana" w:cs="Arial"/>
          <w:shd w:val="clear" w:color="auto" w:fill="FFFFFF"/>
        </w:rPr>
        <w:t xml:space="preserve">C-300 del 21 de agosto de 2024, C-922 del 8 de diciembre de 2024, C-1003 del 30 de enero de 2025, C-142 del 14 de marzo de 2025, C- 192 del 25 de marzo de 2025, C- 414 del 12 de mayo de 2025, C-1271 del 17 de octubre de 2025, C-1415 del 11 de noviembre de 2025, C-1602 del 11 de diciembre de 2025, </w:t>
      </w:r>
      <w:r>
        <w:rPr>
          <w:rFonts w:ascii="Verdana" w:hAnsi="Verdana" w:cs="Arial"/>
          <w:shd w:val="clear" w:color="auto" w:fill="FFFFFF"/>
        </w:rPr>
        <w:t>C</w:t>
      </w:r>
      <w:r w:rsidRPr="007A5474">
        <w:rPr>
          <w:rFonts w:ascii="Verdana" w:hAnsi="Verdana" w:cs="Arial"/>
          <w:shd w:val="clear" w:color="auto" w:fill="FFFFFF"/>
        </w:rPr>
        <w:t xml:space="preserve">-1672 del 19 de diciembre de 2025, </w:t>
      </w:r>
      <w:r w:rsidRPr="00D772C3">
        <w:rPr>
          <w:rFonts w:ascii="Verdana" w:hAnsi="Verdana" w:cs="Arial"/>
          <w:shd w:val="clear" w:color="auto" w:fill="FFFFFF"/>
        </w:rPr>
        <w:t xml:space="preserve">la Agencia </w:t>
      </w:r>
      <w:r w:rsidRPr="007A5474">
        <w:rPr>
          <w:rFonts w:ascii="Verdana" w:hAnsi="Verdana" w:cs="Arial"/>
          <w:shd w:val="clear" w:color="auto" w:fill="FFFFFF"/>
        </w:rPr>
        <w:t xml:space="preserve">emitió </w:t>
      </w:r>
      <w:r w:rsidRPr="007A5474">
        <w:rPr>
          <w:rFonts w:ascii="Verdana" w:eastAsia="Calibri" w:hAnsi="Verdana" w:cs="Arial"/>
          <w:bCs/>
          <w:color w:val="000000"/>
          <w:lang w:val="es-ES_tradnl"/>
        </w:rPr>
        <w:t>una respuesta negativa a dicho problema jurídica, al considerar que la Ley 2306 de 2023 no extendió el fuero de maternidad hasta los dos (2) años de edad del menor, sino que se limitó a reconocer un descanso especial de lactancia, el cual constituye un derecho propio de las relaciones laborales. En dicha</w:t>
      </w:r>
      <w:r>
        <w:rPr>
          <w:rFonts w:ascii="Verdana" w:eastAsia="Calibri" w:hAnsi="Verdana" w:cs="Arial"/>
          <w:bCs/>
          <w:color w:val="000000"/>
          <w:lang w:val="es-ES_tradnl"/>
        </w:rPr>
        <w:t>s</w:t>
      </w:r>
      <w:r w:rsidRPr="007A5474">
        <w:rPr>
          <w:rFonts w:ascii="Verdana" w:eastAsia="Calibri" w:hAnsi="Verdana" w:cs="Arial"/>
          <w:bCs/>
          <w:color w:val="000000"/>
          <w:lang w:val="es-ES_tradnl"/>
        </w:rPr>
        <w:t xml:space="preserve"> ocasi</w:t>
      </w:r>
      <w:r>
        <w:rPr>
          <w:rFonts w:ascii="Verdana" w:eastAsia="Calibri" w:hAnsi="Verdana" w:cs="Arial"/>
          <w:bCs/>
          <w:color w:val="000000"/>
          <w:lang w:val="es-ES_tradnl"/>
        </w:rPr>
        <w:t>o</w:t>
      </w:r>
      <w:r w:rsidRPr="007A5474">
        <w:rPr>
          <w:rFonts w:ascii="Verdana" w:eastAsia="Calibri" w:hAnsi="Verdana" w:cs="Arial"/>
          <w:bCs/>
          <w:color w:val="000000"/>
          <w:lang w:val="es-ES_tradnl"/>
        </w:rPr>
        <w:t>n</w:t>
      </w:r>
      <w:r>
        <w:rPr>
          <w:rFonts w:ascii="Verdana" w:eastAsia="Calibri" w:hAnsi="Verdana" w:cs="Arial"/>
          <w:bCs/>
          <w:color w:val="000000"/>
          <w:lang w:val="es-ES_tradnl"/>
        </w:rPr>
        <w:t>es</w:t>
      </w:r>
      <w:r w:rsidRPr="007A5474">
        <w:rPr>
          <w:rFonts w:ascii="Verdana" w:eastAsia="Calibri" w:hAnsi="Verdana" w:cs="Arial"/>
          <w:bCs/>
          <w:color w:val="000000"/>
          <w:lang w:val="es-ES_tradnl"/>
        </w:rPr>
        <w:t xml:space="preserve">, la Agencia consideró que </w:t>
      </w:r>
      <w:r>
        <w:rPr>
          <w:rFonts w:ascii="Verdana" w:eastAsia="Calibri" w:hAnsi="Verdana" w:cs="Arial"/>
          <w:bCs/>
          <w:color w:val="000000"/>
          <w:lang w:val="es-ES_tradnl"/>
        </w:rPr>
        <w:t>el referido</w:t>
      </w:r>
      <w:r w:rsidRPr="007A5474">
        <w:rPr>
          <w:rFonts w:ascii="Verdana" w:eastAsia="Calibri" w:hAnsi="Verdana" w:cs="Arial"/>
          <w:bCs/>
          <w:color w:val="000000"/>
          <w:lang w:val="es-ES_tradnl"/>
        </w:rPr>
        <w:t xml:space="preserve"> derecho no resultaba extensible a los contratos de prestación de servicios, en la medida en que no generan un vinculo laboral. </w:t>
      </w:r>
    </w:p>
    <w:p w14:paraId="5371E885" w14:textId="77777777" w:rsidR="004D389B" w:rsidRPr="007A5474" w:rsidRDefault="004D389B" w:rsidP="004D389B">
      <w:pPr>
        <w:spacing w:after="0" w:line="276" w:lineRule="auto"/>
        <w:ind w:firstLine="708"/>
        <w:jc w:val="both"/>
        <w:rPr>
          <w:rFonts w:ascii="Verdana" w:eastAsia="Calibri" w:hAnsi="Verdana" w:cs="Arial"/>
          <w:color w:val="000000" w:themeColor="text1"/>
          <w:lang w:val="es-ES"/>
        </w:rPr>
      </w:pPr>
      <w:r w:rsidRPr="007A5474">
        <w:rPr>
          <w:rFonts w:ascii="Verdana" w:eastAsia="Calibri" w:hAnsi="Verdana" w:cs="Arial"/>
          <w:color w:val="000000" w:themeColor="text1"/>
          <w:lang w:val="es-ES"/>
        </w:rPr>
        <w:t xml:space="preserve">En palabras de la Agencia Nacional de Contratación Pública – Colombia Compra Eficiente: </w:t>
      </w:r>
    </w:p>
    <w:p w14:paraId="53F21E9E" w14:textId="77777777" w:rsidR="004D389B" w:rsidRPr="007A5474" w:rsidRDefault="004D389B" w:rsidP="004D389B">
      <w:pPr>
        <w:spacing w:after="0" w:line="276" w:lineRule="auto"/>
        <w:jc w:val="both"/>
        <w:rPr>
          <w:rFonts w:ascii="Verdana" w:eastAsia="Calibri" w:hAnsi="Verdana" w:cs="Arial"/>
          <w:color w:val="000000" w:themeColor="text1"/>
          <w:lang w:val="es-ES"/>
        </w:rPr>
      </w:pPr>
    </w:p>
    <w:p w14:paraId="0A8D7E40" w14:textId="77777777" w:rsidR="004D389B" w:rsidRDefault="004D389B" w:rsidP="004D389B">
      <w:pPr>
        <w:spacing w:after="0" w:line="240" w:lineRule="auto"/>
        <w:ind w:left="709" w:right="709"/>
        <w:jc w:val="both"/>
        <w:rPr>
          <w:rFonts w:ascii="Verdana" w:eastAsia="Calibri" w:hAnsi="Verdana" w:cs="Arial"/>
          <w:color w:val="000000" w:themeColor="text1"/>
          <w:sz w:val="20"/>
          <w:szCs w:val="20"/>
          <w:lang w:val="es-ES"/>
        </w:rPr>
      </w:pPr>
      <w:r w:rsidRPr="007A5474">
        <w:rPr>
          <w:rFonts w:ascii="Verdana" w:eastAsia="Calibri" w:hAnsi="Verdana" w:cs="Arial"/>
          <w:color w:val="000000" w:themeColor="text1"/>
          <w:sz w:val="20"/>
          <w:szCs w:val="20"/>
          <w:lang w:val="es-ES"/>
        </w:rPr>
        <w:t xml:space="preserve">“[…]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 </w:t>
      </w:r>
    </w:p>
    <w:p w14:paraId="71311179" w14:textId="77777777" w:rsidR="004D389B" w:rsidRPr="007A5474" w:rsidRDefault="004D389B" w:rsidP="004D389B">
      <w:pPr>
        <w:spacing w:after="0" w:line="240" w:lineRule="auto"/>
        <w:ind w:left="709" w:right="709"/>
        <w:jc w:val="both"/>
        <w:rPr>
          <w:rFonts w:ascii="Verdana" w:eastAsia="Calibri" w:hAnsi="Verdana" w:cs="Arial"/>
          <w:color w:val="000000" w:themeColor="text1"/>
          <w:sz w:val="20"/>
          <w:szCs w:val="20"/>
          <w:lang w:val="es-ES"/>
        </w:rPr>
      </w:pPr>
    </w:p>
    <w:p w14:paraId="02783FF4" w14:textId="77777777" w:rsidR="004D389B" w:rsidRDefault="004D389B" w:rsidP="004D389B">
      <w:pPr>
        <w:spacing w:after="0" w:line="240" w:lineRule="auto"/>
        <w:ind w:left="709" w:right="709"/>
        <w:jc w:val="both"/>
        <w:rPr>
          <w:rFonts w:ascii="Verdana" w:hAnsi="Verdana" w:cs="Arial"/>
          <w:sz w:val="20"/>
          <w:szCs w:val="20"/>
        </w:rPr>
      </w:pPr>
      <w:r w:rsidRPr="007A5474">
        <w:rPr>
          <w:rFonts w:ascii="Verdana" w:hAnsi="Verdana"/>
          <w:sz w:val="20"/>
          <w:szCs w:val="20"/>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w:t>
      </w:r>
      <w:r w:rsidRPr="007A5474">
        <w:rPr>
          <w:rFonts w:ascii="Verdana" w:hAnsi="Verdana" w:cs="Arial"/>
          <w:sz w:val="20"/>
          <w:szCs w:val="20"/>
        </w:rPr>
        <w:t> </w:t>
      </w:r>
    </w:p>
    <w:p w14:paraId="5A3A23D1" w14:textId="77777777" w:rsidR="004D389B" w:rsidRPr="007A5474" w:rsidRDefault="004D389B" w:rsidP="004D389B">
      <w:pPr>
        <w:spacing w:after="0" w:line="240" w:lineRule="auto"/>
        <w:ind w:left="709" w:right="709"/>
        <w:jc w:val="both"/>
        <w:rPr>
          <w:rFonts w:ascii="Verdana" w:eastAsia="Calibri" w:hAnsi="Verdana" w:cs="Arial"/>
          <w:bCs/>
          <w:color w:val="000000"/>
          <w:sz w:val="20"/>
          <w:szCs w:val="20"/>
          <w:lang w:val="es-ES_tradnl"/>
        </w:rPr>
      </w:pPr>
    </w:p>
    <w:p w14:paraId="037D0144" w14:textId="77777777" w:rsidR="004D389B" w:rsidRPr="007A5474" w:rsidRDefault="004D389B" w:rsidP="004D389B">
      <w:pPr>
        <w:spacing w:after="0" w:line="240" w:lineRule="auto"/>
        <w:ind w:left="709" w:right="709"/>
        <w:jc w:val="both"/>
        <w:rPr>
          <w:rFonts w:ascii="Verdana" w:hAnsi="Verdana" w:cs="Arial"/>
          <w:sz w:val="20"/>
          <w:szCs w:val="20"/>
          <w:shd w:val="clear" w:color="auto" w:fill="FFFFFF"/>
        </w:rPr>
      </w:pPr>
      <w:r w:rsidRPr="007A5474">
        <w:rPr>
          <w:rFonts w:ascii="Verdana" w:eastAsia="Calibri" w:hAnsi="Verdana" w:cs="Arial"/>
          <w:bCs/>
          <w:color w:val="000000"/>
          <w:sz w:val="20"/>
          <w:szCs w:val="20"/>
          <w:lang w:val="es-ES_tradnl"/>
        </w:rPr>
        <w:t xml:space="preserve">Habiendo efectuado la precisión anterior, puede afirmarse que lo previsto en la Ley 2306 de 2023, específicamente en el artículo 6, no se aplica a las relaciones contractuales de las Entidades Estatales que </w:t>
      </w:r>
      <w:r w:rsidRPr="007A5474">
        <w:rPr>
          <w:rFonts w:ascii="Verdana" w:eastAsia="Calibri" w:hAnsi="Verdana" w:cs="Arial"/>
          <w:bCs/>
          <w:i/>
          <w:iCs/>
          <w:color w:val="000000"/>
          <w:sz w:val="20"/>
          <w:szCs w:val="20"/>
          <w:lang w:val="es-ES_tradnl"/>
        </w:rPr>
        <w:t>no</w:t>
      </w:r>
      <w:r w:rsidRPr="007A5474">
        <w:rPr>
          <w:rFonts w:ascii="Verdana" w:eastAsia="Calibri" w:hAnsi="Verdana" w:cs="Arial"/>
          <w:bCs/>
          <w:color w:val="000000"/>
          <w:sz w:val="20"/>
          <w:szCs w:val="20"/>
          <w:lang w:val="es-ES_tradnl"/>
        </w:rPr>
        <w:t xml:space="preserve"> generan una relación laboral. En otras palabras, el derecho consagrado en esta Ley tiene como destinatarios a los sujetos que ostentan la calidad de trabajadores, es decir, aquellos que han celebrado con estas un contrato de trabajo o del que emerge una relación laboral</w:t>
      </w:r>
      <w:r w:rsidRPr="007A5474">
        <w:rPr>
          <w:rFonts w:ascii="Verdana" w:eastAsia="Calibri" w:hAnsi="Verdana" w:cs="Arial"/>
          <w:color w:val="000000" w:themeColor="text1"/>
          <w:sz w:val="20"/>
          <w:szCs w:val="20"/>
          <w:lang w:val="es-ES"/>
        </w:rPr>
        <w:t xml:space="preserve">”. </w:t>
      </w:r>
    </w:p>
    <w:p w14:paraId="6DA64D3D" w14:textId="77777777" w:rsidR="004D389B" w:rsidRPr="007A5474" w:rsidRDefault="004D389B" w:rsidP="004D389B">
      <w:pPr>
        <w:widowControl w:val="0"/>
        <w:autoSpaceDE w:val="0"/>
        <w:autoSpaceDN w:val="0"/>
        <w:spacing w:after="0" w:line="276" w:lineRule="auto"/>
        <w:ind w:firstLine="709"/>
        <w:jc w:val="both"/>
        <w:rPr>
          <w:rFonts w:ascii="Verdana" w:eastAsia="Arial" w:hAnsi="Verdana" w:cs="Arial"/>
          <w:lang w:val="es-ES"/>
        </w:rPr>
      </w:pPr>
    </w:p>
    <w:p w14:paraId="1FEE1E90" w14:textId="77777777" w:rsidR="004D389B" w:rsidRDefault="004D389B" w:rsidP="004D389B">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 xml:space="preserve">Finalmente, </w:t>
      </w:r>
      <w:r w:rsidRPr="007A5474">
        <w:rPr>
          <w:rFonts w:ascii="Verdana" w:eastAsia="Arial" w:hAnsi="Verdana" w:cs="Arial"/>
          <w:lang w:val="es-ES"/>
        </w:rPr>
        <w:t>la Agencia precisó que, a la fecha de emisión del concepto, no existía un precedente judicial específico que hubiera resuelto situaciones análogas en relación con la aplicación del artículo 238 del Código Sustantivo del Trabajo —modificado por la Ley 2306 de 2023— a los contratos de prestación de servicios. En consecuencia, sostuvo que no resultaba jurídicamente viable extender, por vía interpretativa, el derecho a los descansos remunerados durante el período de lactancia ni una eventual ampliación del fuero de maternidad a favor de las contratistas del Estado que no ostentan la calidad de trabajadoras.</w:t>
      </w:r>
    </w:p>
    <w:p w14:paraId="0D174877" w14:textId="77777777" w:rsidR="004D389B" w:rsidRPr="007A5474" w:rsidRDefault="004D389B" w:rsidP="004D389B">
      <w:pPr>
        <w:widowControl w:val="0"/>
        <w:autoSpaceDE w:val="0"/>
        <w:autoSpaceDN w:val="0"/>
        <w:spacing w:after="120" w:line="276" w:lineRule="auto"/>
        <w:ind w:firstLine="709"/>
        <w:jc w:val="both"/>
        <w:rPr>
          <w:rFonts w:ascii="Verdana" w:eastAsia="Arial" w:hAnsi="Verdana" w:cs="Arial"/>
          <w:lang w:val="es-ES"/>
        </w:rPr>
      </w:pPr>
      <w:r w:rsidRPr="007A5474">
        <w:rPr>
          <w:rFonts w:ascii="Verdana" w:eastAsia="Arial" w:hAnsi="Verdana" w:cs="Arial"/>
          <w:lang w:val="es-ES"/>
        </w:rPr>
        <w:t xml:space="preserve">No obstante lo anterior, </w:t>
      </w:r>
      <w:r>
        <w:rPr>
          <w:rFonts w:ascii="Verdana" w:eastAsia="Arial" w:hAnsi="Verdana" w:cs="Arial"/>
          <w:lang w:val="es-ES"/>
        </w:rPr>
        <w:t>a partir de</w:t>
      </w:r>
      <w:r w:rsidRPr="007A5474">
        <w:rPr>
          <w:rFonts w:ascii="Verdana" w:eastAsia="Arial" w:hAnsi="Verdana" w:cs="Arial"/>
          <w:lang w:val="es-ES"/>
        </w:rPr>
        <w:t xml:space="preserve"> los pronunciamientos más recientes de la Corte Constitucional y luego de un análisis </w:t>
      </w:r>
      <w:r>
        <w:rPr>
          <w:rFonts w:ascii="Verdana" w:eastAsia="Arial" w:hAnsi="Verdana" w:cs="Arial"/>
          <w:lang w:val="es-ES"/>
        </w:rPr>
        <w:t>más detallado del alcance constitucional de la protección a la maternidad</w:t>
      </w:r>
      <w:r w:rsidRPr="007A5474">
        <w:rPr>
          <w:rFonts w:ascii="Verdana" w:eastAsia="Arial" w:hAnsi="Verdana" w:cs="Arial"/>
          <w:lang w:val="es-ES"/>
        </w:rPr>
        <w:t xml:space="preserve">, esta Agencia se permite aclarar su postura </w:t>
      </w:r>
      <w:r>
        <w:rPr>
          <w:rFonts w:ascii="Verdana" w:eastAsia="Arial" w:hAnsi="Verdana" w:cs="Arial"/>
          <w:lang w:val="es-ES"/>
        </w:rPr>
        <w:t xml:space="preserve">frente a la aplicación del fuero de maternidad durante el periodo de lactancia </w:t>
      </w:r>
      <w:r w:rsidRPr="007A5474">
        <w:rPr>
          <w:rFonts w:ascii="Verdana" w:eastAsia="Arial" w:hAnsi="Verdana" w:cs="Arial"/>
          <w:lang w:val="es-ES"/>
        </w:rPr>
        <w:t>en los términos</w:t>
      </w:r>
      <w:r>
        <w:rPr>
          <w:rFonts w:ascii="Verdana" w:eastAsia="Arial" w:hAnsi="Verdana" w:cs="Arial"/>
          <w:lang w:val="es-ES"/>
        </w:rPr>
        <w:t xml:space="preserve"> que se exponen a continuación</w:t>
      </w:r>
      <w:r w:rsidRPr="007A5474">
        <w:rPr>
          <w:rFonts w:ascii="Verdana" w:eastAsia="Arial" w:hAnsi="Verdana" w:cs="Arial"/>
          <w:lang w:val="es-ES"/>
        </w:rPr>
        <w:t xml:space="preserve">. </w:t>
      </w:r>
    </w:p>
    <w:p w14:paraId="5143C204" w14:textId="77777777" w:rsidR="004D389B" w:rsidRPr="007A5474" w:rsidRDefault="004D389B" w:rsidP="004D389B">
      <w:pPr>
        <w:widowControl w:val="0"/>
        <w:autoSpaceDE w:val="0"/>
        <w:autoSpaceDN w:val="0"/>
        <w:spacing w:after="120" w:line="276" w:lineRule="auto"/>
        <w:ind w:firstLine="709"/>
        <w:jc w:val="both"/>
        <w:rPr>
          <w:rFonts w:ascii="Verdana" w:eastAsia="Arial" w:hAnsi="Verdana" w:cs="Arial"/>
          <w:lang w:val="es-ES"/>
        </w:rPr>
      </w:pPr>
      <w:r w:rsidRPr="007A5474">
        <w:rPr>
          <w:rFonts w:ascii="Verdana" w:eastAsia="Arial" w:hAnsi="Verdana" w:cs="Arial"/>
          <w:lang w:val="es-ES"/>
        </w:rPr>
        <w:t xml:space="preserve">En primer lugar, es importante </w:t>
      </w:r>
      <w:r>
        <w:rPr>
          <w:rFonts w:ascii="Verdana" w:eastAsia="Arial" w:hAnsi="Verdana" w:cs="Arial"/>
          <w:lang w:val="es-ES"/>
        </w:rPr>
        <w:t>mencionar</w:t>
      </w:r>
      <w:r w:rsidRPr="007A5474">
        <w:rPr>
          <w:rFonts w:ascii="Verdana" w:eastAsia="Arial" w:hAnsi="Verdana" w:cs="Arial"/>
          <w:lang w:val="es-ES"/>
        </w:rPr>
        <w:t xml:space="preserve"> que, el Alto Tribunal Constitucional </w:t>
      </w:r>
      <w:r>
        <w:rPr>
          <w:rFonts w:ascii="Verdana" w:eastAsia="Arial" w:hAnsi="Verdana" w:cs="Arial"/>
          <w:lang w:val="es-ES"/>
        </w:rPr>
        <w:t>ha resaltado de manera reiterada</w:t>
      </w:r>
      <w:r w:rsidRPr="007A5474">
        <w:rPr>
          <w:rFonts w:ascii="Verdana" w:eastAsia="Arial" w:hAnsi="Verdana" w:cs="Arial"/>
          <w:lang w:val="es-ES"/>
        </w:rPr>
        <w:t xml:space="preserve"> la especial relevancia de la lactancia materna para el desarrollo humano y la protección reforzada que esta práctica recibe en el ordenamiento jurídico colombiano. </w:t>
      </w:r>
      <w:r>
        <w:rPr>
          <w:rFonts w:ascii="Verdana" w:eastAsia="Arial" w:hAnsi="Verdana" w:cs="Arial"/>
          <w:lang w:val="es-ES"/>
        </w:rPr>
        <w:t xml:space="preserve">La Corte ha señalado </w:t>
      </w:r>
      <w:r w:rsidRPr="007A5474">
        <w:rPr>
          <w:rFonts w:ascii="Verdana" w:eastAsia="Arial" w:hAnsi="Verdana" w:cs="Arial"/>
          <w:lang w:val="es-ES"/>
        </w:rPr>
        <w:t>que la lactancia constituye un derecho fundamental</w:t>
      </w:r>
      <w:r>
        <w:rPr>
          <w:rFonts w:ascii="Verdana" w:eastAsia="Arial" w:hAnsi="Verdana" w:cs="Arial"/>
          <w:lang w:val="es-ES"/>
        </w:rPr>
        <w:t>,</w:t>
      </w:r>
      <w:r w:rsidRPr="007A5474">
        <w:rPr>
          <w:rFonts w:ascii="Verdana" w:eastAsia="Arial" w:hAnsi="Verdana" w:cs="Arial"/>
          <w:lang w:val="es-ES"/>
        </w:rPr>
        <w:t xml:space="preserve"> cuya efectividad exige que el entorno laboral ofrezca condiciones reales para su ejercicio, sin generar discriminación ni poner en riesgo la estabilidad de las mujeres</w:t>
      </w:r>
      <w:r>
        <w:rPr>
          <w:rStyle w:val="Refdenotaalpie"/>
          <w:rFonts w:ascii="Verdana" w:eastAsia="Arial" w:hAnsi="Verdana" w:cs="Arial"/>
          <w:lang w:val="es-ES"/>
        </w:rPr>
        <w:footnoteReference w:id="15"/>
      </w:r>
      <w:r w:rsidRPr="007A5474">
        <w:rPr>
          <w:rFonts w:ascii="Verdana" w:eastAsia="Arial" w:hAnsi="Verdana" w:cs="Arial"/>
          <w:lang w:val="es-ES"/>
        </w:rPr>
        <w:t xml:space="preserve">. </w:t>
      </w:r>
    </w:p>
    <w:p w14:paraId="2F76E38E" w14:textId="77777777" w:rsidR="004D389B" w:rsidRDefault="004D389B" w:rsidP="004D389B">
      <w:pPr>
        <w:spacing w:after="120" w:line="276" w:lineRule="auto"/>
        <w:ind w:firstLine="709"/>
        <w:jc w:val="both"/>
        <w:rPr>
          <w:rFonts w:ascii="Verdana" w:hAnsi="Verdana" w:cs="Segoe UI"/>
        </w:rPr>
      </w:pPr>
      <w:r w:rsidRPr="007A5474">
        <w:rPr>
          <w:rFonts w:ascii="Verdana" w:hAnsi="Verdana" w:cs="Segoe UI"/>
        </w:rPr>
        <w:t xml:space="preserve">En este sentido, la Corte ha precisado que la lactancia materna no solo es una práctica esencial para la salud y el desarrollo integral de la primera infancia, sino también un </w:t>
      </w:r>
      <w:r w:rsidRPr="007A5474">
        <w:rPr>
          <w:rStyle w:val="Fuerte"/>
          <w:rFonts w:ascii="Verdana" w:hAnsi="Verdana" w:cs="Segoe UI"/>
          <w:b w:val="0"/>
          <w:bCs w:val="0"/>
        </w:rPr>
        <w:t>componente estructural de las políticas de igualdad de género</w:t>
      </w:r>
      <w:r w:rsidRPr="007A5474">
        <w:rPr>
          <w:rFonts w:ascii="Verdana" w:hAnsi="Verdana" w:cs="Segoe UI"/>
        </w:rPr>
        <w:t xml:space="preserve"> y de conciliación entre la vida laboral y familiar. </w:t>
      </w:r>
      <w:r>
        <w:rPr>
          <w:rFonts w:ascii="Verdana" w:hAnsi="Verdana" w:cs="Segoe UI"/>
        </w:rPr>
        <w:t>Por ello, s</w:t>
      </w:r>
      <w:r w:rsidRPr="007A5474">
        <w:rPr>
          <w:rFonts w:ascii="Verdana" w:hAnsi="Verdana" w:cs="Segoe UI"/>
        </w:rPr>
        <w:t xml:space="preserve">u protección constituye una </w:t>
      </w:r>
      <w:r w:rsidRPr="007A5474">
        <w:rPr>
          <w:rStyle w:val="Fuerte"/>
          <w:rFonts w:ascii="Verdana" w:hAnsi="Verdana" w:cs="Segoe UI"/>
          <w:b w:val="0"/>
          <w:bCs w:val="0"/>
        </w:rPr>
        <w:t>obligación del Estado</w:t>
      </w:r>
      <w:r w:rsidRPr="007A5474">
        <w:rPr>
          <w:rFonts w:ascii="Verdana" w:hAnsi="Verdana" w:cs="Segoe UI"/>
        </w:rPr>
        <w:t xml:space="preserve">, orientada a garantizar el ejercicio pleno de los derechos de las mujeres y de los niños y niñas. </w:t>
      </w:r>
    </w:p>
    <w:p w14:paraId="7F0478BA" w14:textId="77777777" w:rsidR="004D389B" w:rsidRDefault="004D389B" w:rsidP="004D389B">
      <w:pPr>
        <w:spacing w:after="120" w:line="276" w:lineRule="auto"/>
        <w:ind w:firstLine="709"/>
        <w:jc w:val="both"/>
        <w:rPr>
          <w:rFonts w:ascii="Verdana" w:hAnsi="Verdana" w:cs="Segoe UI"/>
        </w:rPr>
      </w:pPr>
      <w:r>
        <w:rPr>
          <w:rFonts w:ascii="Verdana" w:hAnsi="Verdana" w:cs="Segoe UI"/>
        </w:rPr>
        <w:t xml:space="preserve">Lo anterior se refuerza si se tiene en cuenta que </w:t>
      </w:r>
      <w:r w:rsidRPr="009850C4">
        <w:rPr>
          <w:rFonts w:ascii="Verdana" w:hAnsi="Verdana" w:cs="Segoe UI"/>
        </w:rPr>
        <w:t>tanto del Sistema Interamericano de Derechos Humanos como de los organismos de Naciones Unidas</w:t>
      </w:r>
      <w:r>
        <w:rPr>
          <w:rFonts w:ascii="Verdana" w:hAnsi="Verdana" w:cs="Segoe UI"/>
        </w:rPr>
        <w:t xml:space="preserve"> han reconocido </w:t>
      </w:r>
      <w:r w:rsidRPr="009850C4">
        <w:rPr>
          <w:rFonts w:ascii="Verdana" w:hAnsi="Verdana" w:cs="Segoe UI"/>
        </w:rPr>
        <w:t xml:space="preserve">que el derecho a la lactancia se encuentra estrechamente </w:t>
      </w:r>
      <w:r w:rsidRPr="009850C4">
        <w:rPr>
          <w:rFonts w:ascii="Verdana" w:hAnsi="Verdana" w:cs="Segoe UI"/>
        </w:rPr>
        <w:lastRenderedPageBreak/>
        <w:t xml:space="preserve">vinculado con el </w:t>
      </w:r>
      <w:r w:rsidRPr="009850C4">
        <w:rPr>
          <w:rStyle w:val="Fuerte"/>
          <w:rFonts w:ascii="Verdana" w:hAnsi="Verdana" w:cs="Segoe UI"/>
          <w:b w:val="0"/>
          <w:bCs w:val="0"/>
        </w:rPr>
        <w:t>derecho al trabajo digno</w:t>
      </w:r>
      <w:r w:rsidRPr="009850C4">
        <w:rPr>
          <w:rFonts w:ascii="Verdana" w:hAnsi="Verdana" w:cs="Segoe UI"/>
        </w:rPr>
        <w:t xml:space="preserve">, el </w:t>
      </w:r>
      <w:r w:rsidRPr="009850C4">
        <w:rPr>
          <w:rStyle w:val="Fuerte"/>
          <w:rFonts w:ascii="Verdana" w:hAnsi="Verdana" w:cs="Segoe UI"/>
          <w:b w:val="0"/>
          <w:bCs w:val="0"/>
        </w:rPr>
        <w:t>principio de no discriminación</w:t>
      </w:r>
      <w:r w:rsidRPr="009850C4">
        <w:rPr>
          <w:rFonts w:ascii="Verdana" w:hAnsi="Verdana" w:cs="Segoe UI"/>
        </w:rPr>
        <w:t xml:space="preserve"> y el </w:t>
      </w:r>
      <w:r w:rsidRPr="009850C4">
        <w:rPr>
          <w:rStyle w:val="Fuerte"/>
          <w:rFonts w:ascii="Verdana" w:hAnsi="Verdana" w:cs="Segoe UI"/>
          <w:b w:val="0"/>
          <w:bCs w:val="0"/>
        </w:rPr>
        <w:t>derecho al cuidado</w:t>
      </w:r>
      <w:r w:rsidRPr="009850C4">
        <w:rPr>
          <w:rFonts w:ascii="Verdana" w:hAnsi="Verdana" w:cs="Segoe UI"/>
        </w:rPr>
        <w:t xml:space="preserve">. </w:t>
      </w:r>
    </w:p>
    <w:p w14:paraId="699875F9" w14:textId="77777777" w:rsidR="004D389B" w:rsidRPr="007A5474" w:rsidRDefault="004D389B" w:rsidP="004D389B">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 xml:space="preserve">Desde esta perspectiva, </w:t>
      </w:r>
      <w:r w:rsidRPr="00F910BA">
        <w:rPr>
          <w:rFonts w:ascii="Verdana" w:eastAsia="Arial" w:hAnsi="Verdana" w:cs="Arial"/>
          <w:lang w:val="es-ES"/>
        </w:rPr>
        <w:t xml:space="preserve">la especial protección y asistencia a la mujer gestante y lactante se erige como un mandato constitucional y convencional de carácter reforzado, que obliga tanto al Estado como a los particulares a adoptar medidas positivas para garantizar el mínimo vital, la igualdad real y efectiva y la no discriminación. </w:t>
      </w:r>
      <w:r>
        <w:rPr>
          <w:rFonts w:ascii="Verdana" w:eastAsia="Arial" w:hAnsi="Verdana" w:cs="Arial"/>
          <w:lang w:val="es-ES"/>
        </w:rPr>
        <w:t>Así, este mandato, que no solo</w:t>
      </w:r>
      <w:r w:rsidRPr="00F910BA">
        <w:rPr>
          <w:rFonts w:ascii="Verdana" w:eastAsia="Arial" w:hAnsi="Verdana" w:cs="Arial"/>
          <w:lang w:val="es-ES"/>
        </w:rPr>
        <w:t xml:space="preserve"> se restringe</w:t>
      </w:r>
      <w:r>
        <w:rPr>
          <w:rFonts w:ascii="Verdana" w:eastAsia="Arial" w:hAnsi="Verdana" w:cs="Arial"/>
          <w:lang w:val="es-ES"/>
        </w:rPr>
        <w:t xml:space="preserve"> exclusivamente</w:t>
      </w:r>
      <w:r w:rsidRPr="00F910BA">
        <w:rPr>
          <w:rFonts w:ascii="Verdana" w:eastAsia="Arial" w:hAnsi="Verdana" w:cs="Arial"/>
          <w:lang w:val="es-ES"/>
        </w:rPr>
        <w:t xml:space="preserve"> al ámbito laboral, sino que se proyecta sobre todas las esferas de la vida social, </w:t>
      </w:r>
      <w:r>
        <w:rPr>
          <w:rFonts w:ascii="Verdana" w:eastAsia="Arial" w:hAnsi="Verdana" w:cs="Arial"/>
          <w:lang w:val="es-ES"/>
        </w:rPr>
        <w:t>reconoce</w:t>
      </w:r>
      <w:r w:rsidRPr="00F910BA">
        <w:rPr>
          <w:rFonts w:ascii="Verdana" w:eastAsia="Arial" w:hAnsi="Verdana" w:cs="Arial"/>
          <w:lang w:val="es-ES"/>
        </w:rPr>
        <w:t xml:space="preserve"> la vulnerabilidad histórica y estructural de las mujeres en estas condiciones. </w:t>
      </w:r>
    </w:p>
    <w:p w14:paraId="18F2BBC8" w14:textId="77777777" w:rsidR="004D389B" w:rsidRPr="007A5474" w:rsidRDefault="004D389B" w:rsidP="004D389B">
      <w:pPr>
        <w:widowControl w:val="0"/>
        <w:autoSpaceDE w:val="0"/>
        <w:autoSpaceDN w:val="0"/>
        <w:spacing w:after="120" w:line="276" w:lineRule="auto"/>
        <w:ind w:firstLine="709"/>
        <w:jc w:val="both"/>
        <w:rPr>
          <w:rFonts w:ascii="Verdana" w:eastAsia="Arial" w:hAnsi="Verdana" w:cs="Arial"/>
          <w:lang w:val="es-ES"/>
        </w:rPr>
      </w:pPr>
      <w:r w:rsidRPr="007A5474">
        <w:rPr>
          <w:rFonts w:ascii="Verdana" w:eastAsia="Arial" w:hAnsi="Verdana" w:cs="Arial"/>
          <w:lang w:val="es-ES"/>
        </w:rPr>
        <w:t xml:space="preserve">En segundo lugar, </w:t>
      </w:r>
      <w:r>
        <w:rPr>
          <w:rFonts w:ascii="Verdana" w:eastAsia="Arial" w:hAnsi="Verdana" w:cs="Arial"/>
          <w:lang w:val="es-ES"/>
        </w:rPr>
        <w:t>y conforme a la importancia que tiene la lactancia materna, l</w:t>
      </w:r>
      <w:r w:rsidRPr="007A5474">
        <w:rPr>
          <w:rFonts w:ascii="Verdana" w:eastAsia="Arial" w:hAnsi="Verdana" w:cs="Arial"/>
          <w:lang w:val="es-ES"/>
        </w:rPr>
        <w:t xml:space="preserve">a Corte ha señalado que el mecanismo </w:t>
      </w:r>
      <w:r>
        <w:rPr>
          <w:rFonts w:ascii="Verdana" w:eastAsia="Arial" w:hAnsi="Verdana" w:cs="Arial"/>
          <w:lang w:val="es-ES"/>
        </w:rPr>
        <w:t xml:space="preserve">a través del cual se concreta la </w:t>
      </w:r>
      <w:r w:rsidRPr="007A5474">
        <w:rPr>
          <w:rFonts w:ascii="Verdana" w:eastAsia="Arial" w:hAnsi="Verdana" w:cs="Arial"/>
          <w:lang w:val="es-ES"/>
        </w:rPr>
        <w:t xml:space="preserve">protección del derecho fundamental a la estabilidad </w:t>
      </w:r>
      <w:r>
        <w:rPr>
          <w:rFonts w:ascii="Verdana" w:eastAsia="Arial" w:hAnsi="Verdana" w:cs="Arial"/>
          <w:lang w:val="es-ES"/>
        </w:rPr>
        <w:t>ocupacional</w:t>
      </w:r>
      <w:r w:rsidRPr="007A5474">
        <w:rPr>
          <w:rFonts w:ascii="Verdana" w:eastAsia="Arial" w:hAnsi="Verdana" w:cs="Arial"/>
          <w:lang w:val="es-ES"/>
        </w:rPr>
        <w:t xml:space="preserve"> reforzada es el</w:t>
      </w:r>
      <w:r>
        <w:rPr>
          <w:rFonts w:ascii="Verdana" w:eastAsia="Arial" w:hAnsi="Verdana" w:cs="Arial"/>
          <w:lang w:val="es-ES"/>
        </w:rPr>
        <w:t xml:space="preserve"> denominado</w:t>
      </w:r>
      <w:r w:rsidRPr="007A5474">
        <w:rPr>
          <w:rFonts w:ascii="Verdana" w:eastAsia="Arial" w:hAnsi="Verdana" w:cs="Arial"/>
          <w:lang w:val="es-ES"/>
        </w:rPr>
        <w:t xml:space="preserve"> “fuero de maternidad”</w:t>
      </w:r>
      <w:r>
        <w:rPr>
          <w:rStyle w:val="Refdenotaalpie"/>
          <w:rFonts w:ascii="Verdana" w:eastAsia="Arial" w:hAnsi="Verdana" w:cs="Arial"/>
          <w:lang w:val="es-ES"/>
        </w:rPr>
        <w:footnoteReference w:id="16"/>
      </w:r>
      <w:r w:rsidRPr="007A5474">
        <w:rPr>
          <w:rFonts w:ascii="Verdana" w:eastAsia="Arial" w:hAnsi="Verdana" w:cs="Arial"/>
          <w:lang w:val="es-ES"/>
        </w:rPr>
        <w:t xml:space="preserve">, el cual </w:t>
      </w:r>
      <w:r>
        <w:rPr>
          <w:rFonts w:ascii="Verdana" w:eastAsia="Arial" w:hAnsi="Verdana" w:cs="Arial"/>
          <w:lang w:val="es-ES"/>
        </w:rPr>
        <w:t>se compone</w:t>
      </w:r>
      <w:r w:rsidRPr="007A5474">
        <w:rPr>
          <w:rFonts w:ascii="Verdana" w:eastAsia="Arial" w:hAnsi="Verdana" w:cs="Arial"/>
          <w:lang w:val="es-ES"/>
        </w:rPr>
        <w:t xml:space="preserve"> principalmente por tres garantías: (i) la prohibición general de despido por motivos de embarazo y lactancia; (ii) la prohibición específica de despido durante la licencia de maternidad preparto y postparto; y (iii) la presunción de despido discriminatorio. Estas garantías, desarrolladas en los artículos 238, 239, 240 y 241 del C</w:t>
      </w:r>
      <w:r>
        <w:rPr>
          <w:rFonts w:ascii="Verdana" w:eastAsia="Arial" w:hAnsi="Verdana" w:cs="Arial"/>
          <w:lang w:val="es-ES"/>
        </w:rPr>
        <w:t xml:space="preserve">ódigo </w:t>
      </w:r>
      <w:r w:rsidRPr="007A5474">
        <w:rPr>
          <w:rFonts w:ascii="Verdana" w:eastAsia="Arial" w:hAnsi="Verdana" w:cs="Arial"/>
          <w:lang w:val="es-ES"/>
        </w:rPr>
        <w:t>S</w:t>
      </w:r>
      <w:r>
        <w:rPr>
          <w:rFonts w:ascii="Verdana" w:eastAsia="Arial" w:hAnsi="Verdana" w:cs="Arial"/>
          <w:lang w:val="es-ES"/>
        </w:rPr>
        <w:t xml:space="preserve">ustantivo del </w:t>
      </w:r>
      <w:r w:rsidRPr="007A5474">
        <w:rPr>
          <w:rFonts w:ascii="Verdana" w:eastAsia="Arial" w:hAnsi="Verdana" w:cs="Arial"/>
          <w:lang w:val="es-ES"/>
        </w:rPr>
        <w:t>T</w:t>
      </w:r>
      <w:r>
        <w:rPr>
          <w:rFonts w:ascii="Verdana" w:eastAsia="Arial" w:hAnsi="Verdana" w:cs="Arial"/>
          <w:lang w:val="es-ES"/>
        </w:rPr>
        <w:t>rabajo</w:t>
      </w:r>
      <w:r w:rsidRPr="007A5474">
        <w:rPr>
          <w:rFonts w:ascii="Verdana" w:eastAsia="Arial" w:hAnsi="Verdana" w:cs="Arial"/>
          <w:lang w:val="es-ES"/>
        </w:rPr>
        <w:t>, integran el contenido constitucionalmente protegido del derecho fundamental a la estabilidad laboral reforzada de la mujer gestante y lactante.</w:t>
      </w:r>
    </w:p>
    <w:p w14:paraId="331AB7D5" w14:textId="77777777" w:rsidR="004D389B" w:rsidRPr="00873123" w:rsidRDefault="004D389B" w:rsidP="004D389B">
      <w:pPr>
        <w:spacing w:after="120" w:line="276" w:lineRule="auto"/>
        <w:ind w:firstLine="708"/>
        <w:jc w:val="both"/>
        <w:rPr>
          <w:rFonts w:ascii="Verdana" w:hAnsi="Verdana" w:cs="Segoe UI"/>
          <w:i/>
          <w:iCs/>
        </w:rPr>
      </w:pPr>
      <w:r w:rsidRPr="00F154B9">
        <w:rPr>
          <w:rFonts w:ascii="Verdana" w:eastAsia="Arial" w:hAnsi="Verdana" w:cs="Arial"/>
          <w:lang w:val="es-ES"/>
        </w:rPr>
        <w:t>En este marco</w:t>
      </w:r>
      <w:r w:rsidRPr="007A5474">
        <w:rPr>
          <w:rFonts w:ascii="Verdana" w:eastAsia="Arial" w:hAnsi="Verdana" w:cs="Arial"/>
          <w:lang w:val="es-ES"/>
        </w:rPr>
        <w:t xml:space="preserve">, </w:t>
      </w:r>
      <w:r w:rsidRPr="007A5474">
        <w:rPr>
          <w:rFonts w:ascii="Verdana" w:hAnsi="Verdana" w:cs="Segoe UI"/>
        </w:rPr>
        <w:t xml:space="preserve">la Corte ha precisado que el </w:t>
      </w:r>
      <w:r w:rsidRPr="007A5474">
        <w:rPr>
          <w:rStyle w:val="Fuerte"/>
          <w:rFonts w:ascii="Verdana" w:hAnsi="Verdana" w:cs="Segoe UI"/>
          <w:b w:val="0"/>
          <w:bCs w:val="0"/>
        </w:rPr>
        <w:t>fuero de maternidad comprende también el denominado “fuero de lactancia”</w:t>
      </w:r>
      <w:r w:rsidRPr="007A5474">
        <w:rPr>
          <w:rFonts w:ascii="Verdana" w:hAnsi="Verdana" w:cs="Segoe UI"/>
        </w:rPr>
        <w:t xml:space="preserve">, lo cual implica que la estabilidad ocupacional reforzada no se limita al período de gestación, sino que se extiende al período posterior al parto. De esta forma, se protege la </w:t>
      </w:r>
      <w:r w:rsidRPr="007A5474">
        <w:rPr>
          <w:rStyle w:val="Fuerte"/>
          <w:rFonts w:ascii="Verdana" w:hAnsi="Verdana" w:cs="Segoe UI"/>
          <w:b w:val="0"/>
          <w:bCs w:val="0"/>
        </w:rPr>
        <w:t>permanencia y continuidad del vínculo</w:t>
      </w:r>
      <w:r w:rsidRPr="007A5474">
        <w:rPr>
          <w:rFonts w:ascii="Verdana" w:hAnsi="Verdana" w:cs="Segoe UI"/>
        </w:rPr>
        <w:t xml:space="preserve"> y se proscribe el despido, la terminación o la no renovación del contrato </w:t>
      </w:r>
      <w:r w:rsidRPr="00873123">
        <w:rPr>
          <w:rFonts w:ascii="Verdana" w:hAnsi="Verdana" w:cs="Segoe UI"/>
          <w:i/>
          <w:iCs/>
        </w:rPr>
        <w:t>por causa o con ocasión del embarazo o la lactancia.</w:t>
      </w:r>
    </w:p>
    <w:p w14:paraId="230B277E" w14:textId="77777777" w:rsidR="004D389B" w:rsidRPr="007A5474" w:rsidRDefault="004D389B" w:rsidP="004D389B">
      <w:pPr>
        <w:widowControl w:val="0"/>
        <w:autoSpaceDE w:val="0"/>
        <w:autoSpaceDN w:val="0"/>
        <w:spacing w:after="120" w:line="276" w:lineRule="auto"/>
        <w:ind w:firstLine="709"/>
        <w:jc w:val="both"/>
        <w:rPr>
          <w:rFonts w:ascii="Verdana" w:eastAsia="Arial" w:hAnsi="Verdana" w:cs="Arial"/>
          <w:lang w:val="es-ES"/>
        </w:rPr>
      </w:pPr>
      <w:r w:rsidRPr="007A5474">
        <w:rPr>
          <w:rFonts w:ascii="Verdana" w:eastAsia="Arial" w:hAnsi="Verdana" w:cs="Arial"/>
          <w:lang w:val="es-ES"/>
        </w:rPr>
        <w:t xml:space="preserve">Teniendo en cuenta lo anterior, </w:t>
      </w:r>
      <w:r>
        <w:rPr>
          <w:rFonts w:ascii="Verdana" w:eastAsia="Arial" w:hAnsi="Verdana" w:cs="Arial"/>
          <w:lang w:val="es-ES"/>
        </w:rPr>
        <w:t xml:space="preserve">esta Agencia </w:t>
      </w:r>
      <w:r w:rsidRPr="007A5474">
        <w:rPr>
          <w:rFonts w:ascii="Verdana" w:eastAsia="Arial" w:hAnsi="Verdana" w:cs="Arial"/>
          <w:lang w:val="es-ES"/>
        </w:rPr>
        <w:t xml:space="preserve">precisa que la protección derivada del fuero de maternidad, que como se expuso anteriormente se extiende </w:t>
      </w:r>
      <w:r>
        <w:rPr>
          <w:rFonts w:ascii="Verdana" w:eastAsia="Arial" w:hAnsi="Verdana" w:cs="Arial"/>
          <w:lang w:val="es-ES"/>
        </w:rPr>
        <w:t>a</w:t>
      </w:r>
      <w:r w:rsidRPr="007A5474">
        <w:rPr>
          <w:rFonts w:ascii="Verdana" w:eastAsia="Arial" w:hAnsi="Verdana" w:cs="Arial"/>
          <w:lang w:val="es-ES"/>
        </w:rPr>
        <w:t xml:space="preserve">l periodo de lactancia, es aplicable a todas las </w:t>
      </w:r>
      <w:r>
        <w:rPr>
          <w:rFonts w:ascii="Verdana" w:eastAsia="Arial" w:hAnsi="Verdana" w:cs="Arial"/>
          <w:lang w:val="es-ES"/>
        </w:rPr>
        <w:t>madres</w:t>
      </w:r>
      <w:r w:rsidRPr="007A5474">
        <w:rPr>
          <w:rFonts w:ascii="Verdana" w:eastAsia="Arial" w:hAnsi="Verdana" w:cs="Arial"/>
          <w:lang w:val="es-ES"/>
        </w:rPr>
        <w:t xml:space="preserve"> sin importar la </w:t>
      </w:r>
      <w:r w:rsidRPr="007A5474">
        <w:rPr>
          <w:rFonts w:ascii="Verdana" w:eastAsia="Arial" w:hAnsi="Verdana" w:cs="Arial"/>
          <w:lang w:val="es-ES"/>
        </w:rPr>
        <w:lastRenderedPageBreak/>
        <w:t>relación laboral o la modalidad de contrato por medio de la cual hayan sido vinculadas</w:t>
      </w:r>
      <w:r>
        <w:rPr>
          <w:rFonts w:ascii="Verdana" w:eastAsia="Arial" w:hAnsi="Verdana" w:cs="Arial"/>
          <w:lang w:val="es-ES"/>
        </w:rPr>
        <w:t>.</w:t>
      </w:r>
    </w:p>
    <w:p w14:paraId="7DF6E0B1" w14:textId="77777777" w:rsidR="004D389B" w:rsidRDefault="004D389B" w:rsidP="004D389B">
      <w:pPr>
        <w:widowControl w:val="0"/>
        <w:autoSpaceDE w:val="0"/>
        <w:autoSpaceDN w:val="0"/>
        <w:spacing w:after="120" w:line="276" w:lineRule="auto"/>
        <w:ind w:firstLine="709"/>
        <w:jc w:val="both"/>
        <w:rPr>
          <w:rFonts w:ascii="Verdana" w:eastAsia="Arial" w:hAnsi="Verdana" w:cs="Arial"/>
          <w:lang w:val="es-ES"/>
        </w:rPr>
      </w:pPr>
      <w:r w:rsidRPr="007A5474">
        <w:rPr>
          <w:rFonts w:ascii="Verdana" w:eastAsia="Arial" w:hAnsi="Verdana" w:cs="Arial"/>
          <w:lang w:val="es-ES"/>
        </w:rPr>
        <w:t>Ahora</w:t>
      </w:r>
      <w:r w:rsidRPr="00995E1A">
        <w:rPr>
          <w:rFonts w:ascii="Verdana" w:eastAsia="Arial" w:hAnsi="Verdana" w:cs="Arial"/>
          <w:lang w:val="es-ES"/>
        </w:rPr>
        <w:t xml:space="preserve"> bien</w:t>
      </w:r>
      <w:r w:rsidRPr="007A5474">
        <w:rPr>
          <w:rFonts w:ascii="Verdana" w:eastAsia="Arial" w:hAnsi="Verdana" w:cs="Arial"/>
          <w:lang w:val="es-ES"/>
        </w:rPr>
        <w:t xml:space="preserve">, </w:t>
      </w:r>
      <w:r w:rsidRPr="00995E1A">
        <w:rPr>
          <w:rFonts w:ascii="Verdana" w:eastAsia="Arial" w:hAnsi="Verdana" w:cs="Arial"/>
          <w:lang w:val="es-ES"/>
        </w:rPr>
        <w:t>aunque se re</w:t>
      </w:r>
      <w:r w:rsidRPr="006931B0">
        <w:rPr>
          <w:rFonts w:ascii="Verdana" w:eastAsia="Arial" w:hAnsi="Verdana" w:cs="Arial"/>
          <w:lang w:val="es-ES"/>
        </w:rPr>
        <w:t>c</w:t>
      </w:r>
      <w:r w:rsidRPr="00CF4691">
        <w:rPr>
          <w:rFonts w:ascii="Verdana" w:eastAsia="Arial" w:hAnsi="Verdana" w:cs="Arial"/>
          <w:lang w:val="es-ES"/>
        </w:rPr>
        <w:t>onoce que</w:t>
      </w:r>
      <w:r w:rsidRPr="007A5474">
        <w:rPr>
          <w:rFonts w:ascii="Verdana" w:eastAsia="Arial" w:hAnsi="Verdana" w:cs="Arial"/>
          <w:lang w:val="es-ES"/>
        </w:rPr>
        <w:t xml:space="preserve"> el fuero de maternidad protege a la madre</w:t>
      </w:r>
      <w:r w:rsidRPr="00995E1A">
        <w:rPr>
          <w:rFonts w:ascii="Verdana" w:eastAsia="Arial" w:hAnsi="Verdana" w:cs="Arial"/>
          <w:lang w:val="es-ES"/>
        </w:rPr>
        <w:t xml:space="preserve"> durante</w:t>
      </w:r>
      <w:r w:rsidRPr="007A5474">
        <w:rPr>
          <w:rFonts w:ascii="Verdana" w:eastAsia="Arial" w:hAnsi="Verdana" w:cs="Arial"/>
          <w:lang w:val="es-ES"/>
        </w:rPr>
        <w:t xml:space="preserve"> el periodo de lactancia</w:t>
      </w:r>
      <w:r w:rsidRPr="00995E1A">
        <w:rPr>
          <w:rFonts w:ascii="Verdana" w:eastAsia="Arial" w:hAnsi="Verdana" w:cs="Arial"/>
          <w:lang w:val="es-ES"/>
        </w:rPr>
        <w:t xml:space="preserve"> </w:t>
      </w:r>
      <w:r w:rsidRPr="006931B0">
        <w:rPr>
          <w:rFonts w:ascii="Verdana" w:eastAsia="Arial" w:hAnsi="Verdana" w:cs="Arial"/>
          <w:lang w:val="es-ES"/>
        </w:rPr>
        <w:t>–</w:t>
      </w:r>
      <w:r w:rsidRPr="007A5474">
        <w:rPr>
          <w:rFonts w:ascii="Verdana" w:eastAsia="Arial" w:hAnsi="Verdana" w:cs="Arial"/>
          <w:lang w:val="es-ES"/>
        </w:rPr>
        <w:t xml:space="preserve"> el cual</w:t>
      </w:r>
      <w:r w:rsidRPr="00995E1A">
        <w:rPr>
          <w:rFonts w:ascii="Verdana" w:eastAsia="Arial" w:hAnsi="Verdana" w:cs="Arial"/>
          <w:lang w:val="es-ES"/>
        </w:rPr>
        <w:t xml:space="preserve">, tras la </w:t>
      </w:r>
      <w:r>
        <w:rPr>
          <w:rFonts w:ascii="Verdana" w:eastAsia="Arial" w:hAnsi="Verdana" w:cs="Arial"/>
          <w:lang w:val="es-ES"/>
        </w:rPr>
        <w:t xml:space="preserve">expedición de la </w:t>
      </w:r>
      <w:r w:rsidRPr="00995E1A">
        <w:rPr>
          <w:rFonts w:ascii="Verdana" w:eastAsia="Arial" w:hAnsi="Verdana" w:cs="Arial"/>
          <w:lang w:val="es-ES"/>
        </w:rPr>
        <w:t>Ley 2306 de 202</w:t>
      </w:r>
      <w:r w:rsidRPr="006931B0">
        <w:rPr>
          <w:rFonts w:ascii="Verdana" w:eastAsia="Arial" w:hAnsi="Verdana" w:cs="Arial"/>
          <w:lang w:val="es-ES"/>
        </w:rPr>
        <w:t xml:space="preserve">3, puede </w:t>
      </w:r>
      <w:r w:rsidRPr="007A5474">
        <w:rPr>
          <w:rFonts w:ascii="Verdana" w:eastAsia="Arial" w:hAnsi="Verdana" w:cs="Arial"/>
          <w:lang w:val="es-ES"/>
        </w:rPr>
        <w:t>extende</w:t>
      </w:r>
      <w:r w:rsidRPr="00995E1A">
        <w:rPr>
          <w:rFonts w:ascii="Verdana" w:eastAsia="Arial" w:hAnsi="Verdana" w:cs="Arial"/>
          <w:lang w:val="es-ES"/>
        </w:rPr>
        <w:t>rse</w:t>
      </w:r>
      <w:r w:rsidRPr="007A5474">
        <w:rPr>
          <w:rFonts w:ascii="Verdana" w:eastAsia="Arial" w:hAnsi="Verdana" w:cs="Arial"/>
          <w:lang w:val="es-ES"/>
        </w:rPr>
        <w:t xml:space="preserve"> hasta los dos</w:t>
      </w:r>
      <w:r w:rsidRPr="00995E1A">
        <w:rPr>
          <w:rFonts w:ascii="Verdana" w:eastAsia="Arial" w:hAnsi="Verdana" w:cs="Arial"/>
          <w:lang w:val="es-ES"/>
        </w:rPr>
        <w:t xml:space="preserve"> (</w:t>
      </w:r>
      <w:r w:rsidRPr="006931B0">
        <w:rPr>
          <w:rFonts w:ascii="Verdana" w:eastAsia="Arial" w:hAnsi="Verdana" w:cs="Arial"/>
          <w:lang w:val="es-ES"/>
        </w:rPr>
        <w:t>2</w:t>
      </w:r>
      <w:r w:rsidRPr="00CF4691">
        <w:rPr>
          <w:rFonts w:ascii="Verdana" w:eastAsia="Arial" w:hAnsi="Verdana" w:cs="Arial"/>
          <w:lang w:val="es-ES"/>
        </w:rPr>
        <w:t>)</w:t>
      </w:r>
      <w:r w:rsidRPr="007A5474">
        <w:rPr>
          <w:rFonts w:ascii="Verdana" w:eastAsia="Arial" w:hAnsi="Verdana" w:cs="Arial"/>
          <w:lang w:val="es-ES"/>
        </w:rPr>
        <w:t xml:space="preserve"> años, siempre que se cumplan las condiciones </w:t>
      </w:r>
      <w:r w:rsidRPr="00995E1A">
        <w:rPr>
          <w:rFonts w:ascii="Verdana" w:eastAsia="Arial" w:hAnsi="Verdana" w:cs="Arial"/>
          <w:lang w:val="es-ES"/>
        </w:rPr>
        <w:t>establecidas</w:t>
      </w:r>
      <w:r w:rsidRPr="007A5474">
        <w:rPr>
          <w:rFonts w:ascii="Verdana" w:eastAsia="Arial" w:hAnsi="Verdana" w:cs="Arial"/>
          <w:lang w:val="es-ES"/>
        </w:rPr>
        <w:t xml:space="preserve"> en la norma</w:t>
      </w:r>
      <w:r w:rsidRPr="00995E1A">
        <w:rPr>
          <w:rFonts w:ascii="Verdana" w:eastAsia="Arial" w:hAnsi="Verdana" w:cs="Arial"/>
          <w:lang w:val="es-ES"/>
        </w:rPr>
        <w:t xml:space="preserve"> </w:t>
      </w:r>
      <w:r w:rsidRPr="006931B0">
        <w:rPr>
          <w:rFonts w:ascii="Verdana" w:eastAsia="Arial" w:hAnsi="Verdana" w:cs="Arial"/>
          <w:lang w:val="es-ES"/>
        </w:rPr>
        <w:t>–</w:t>
      </w:r>
      <w:r w:rsidRPr="00CF4691">
        <w:rPr>
          <w:rFonts w:ascii="Verdana" w:eastAsia="Arial" w:hAnsi="Verdana" w:cs="Arial"/>
          <w:lang w:val="es-ES"/>
        </w:rPr>
        <w:t xml:space="preserve"> </w:t>
      </w:r>
      <w:r w:rsidRPr="00926644">
        <w:rPr>
          <w:rFonts w:ascii="Verdana" w:eastAsia="Arial" w:hAnsi="Verdana" w:cs="Arial"/>
          <w:lang w:val="es-ES"/>
        </w:rPr>
        <w:t>es necesario precisar que las garant</w:t>
      </w:r>
      <w:r w:rsidRPr="0024114C">
        <w:rPr>
          <w:rFonts w:ascii="Verdana" w:eastAsia="Arial" w:hAnsi="Verdana" w:cs="Arial"/>
          <w:lang w:val="es-ES"/>
        </w:rPr>
        <w:t xml:space="preserve">ías que lo integran no operan de manera uniforme en todas las etapas. </w:t>
      </w:r>
      <w:r w:rsidRPr="00205530">
        <w:rPr>
          <w:rFonts w:ascii="Verdana" w:eastAsia="Arial" w:hAnsi="Verdana" w:cs="Arial"/>
          <w:lang w:val="es-ES"/>
        </w:rPr>
        <w:t>Por ello, s</w:t>
      </w:r>
      <w:r w:rsidRPr="007D66BB">
        <w:rPr>
          <w:rFonts w:ascii="Verdana" w:eastAsia="Arial" w:hAnsi="Verdana" w:cs="Arial"/>
          <w:lang w:val="es-ES"/>
        </w:rPr>
        <w:t xml:space="preserve">e ha distinguido claramente entre el </w:t>
      </w:r>
      <w:r w:rsidRPr="007A5474">
        <w:rPr>
          <w:rFonts w:ascii="Verdana" w:eastAsia="Arial" w:hAnsi="Verdana" w:cs="Arial"/>
          <w:lang w:val="es-ES"/>
        </w:rPr>
        <w:t>periodo de gestación, licencia de maternidad (hasta las dieciocho (18) semanas después del parto)</w:t>
      </w:r>
      <w:r>
        <w:rPr>
          <w:rFonts w:ascii="Verdana" w:eastAsia="Arial" w:hAnsi="Verdana" w:cs="Arial"/>
          <w:lang w:val="es-ES"/>
        </w:rPr>
        <w:t xml:space="preserve"> </w:t>
      </w:r>
      <w:r w:rsidRPr="007A5474">
        <w:rPr>
          <w:rFonts w:ascii="Verdana" w:eastAsia="Arial" w:hAnsi="Verdana" w:cs="Arial"/>
          <w:lang w:val="es-ES"/>
        </w:rPr>
        <w:t xml:space="preserve">y </w:t>
      </w:r>
      <w:r>
        <w:rPr>
          <w:rFonts w:ascii="Verdana" w:eastAsia="Arial" w:hAnsi="Verdana" w:cs="Arial"/>
          <w:lang w:val="es-ES"/>
        </w:rPr>
        <w:t xml:space="preserve">el </w:t>
      </w:r>
      <w:r w:rsidRPr="007A5474">
        <w:rPr>
          <w:rFonts w:ascii="Verdana" w:eastAsia="Arial" w:hAnsi="Verdana" w:cs="Arial"/>
          <w:lang w:val="es-ES"/>
        </w:rPr>
        <w:t xml:space="preserve">periodo de lactancia. </w:t>
      </w:r>
    </w:p>
    <w:p w14:paraId="0316D0EE" w14:textId="77777777" w:rsidR="004D389B" w:rsidRDefault="004D389B" w:rsidP="004D389B">
      <w:pPr>
        <w:spacing w:after="120" w:line="276" w:lineRule="auto"/>
        <w:ind w:firstLine="708"/>
        <w:jc w:val="both"/>
        <w:rPr>
          <w:rFonts w:ascii="Verdana" w:eastAsia="Arial" w:hAnsi="Verdana" w:cs="Arial"/>
          <w:lang w:val="es-ES"/>
        </w:rPr>
      </w:pPr>
      <w:r w:rsidRPr="007A5474">
        <w:rPr>
          <w:rFonts w:ascii="Verdana" w:eastAsia="Arial" w:hAnsi="Verdana" w:cs="Arial"/>
          <w:lang w:val="es-ES"/>
        </w:rPr>
        <w:t xml:space="preserve">De acuerdo con lo establecido en el </w:t>
      </w:r>
      <w:r>
        <w:rPr>
          <w:rFonts w:ascii="Verdana" w:eastAsia="Arial" w:hAnsi="Verdana" w:cs="Arial"/>
          <w:lang w:val="es-ES"/>
        </w:rPr>
        <w:t xml:space="preserve">numeral 2º del </w:t>
      </w:r>
      <w:r w:rsidRPr="007A5474">
        <w:rPr>
          <w:rFonts w:ascii="Verdana" w:eastAsia="Arial" w:hAnsi="Verdana" w:cs="Arial"/>
          <w:lang w:val="es-ES"/>
        </w:rPr>
        <w:t xml:space="preserve">artículo 239 </w:t>
      </w:r>
      <w:r w:rsidRPr="006931B0">
        <w:rPr>
          <w:rFonts w:ascii="Verdana" w:eastAsia="Arial" w:hAnsi="Verdana" w:cs="Arial"/>
          <w:lang w:val="es-ES"/>
        </w:rPr>
        <w:t>del Código Sustantivo del Trabajo,</w:t>
      </w:r>
      <w:r w:rsidRPr="007A5474">
        <w:rPr>
          <w:rFonts w:ascii="Verdana" w:eastAsia="Arial" w:hAnsi="Verdana" w:cs="Arial"/>
          <w:lang w:val="es-ES"/>
        </w:rPr>
        <w:t xml:space="preserve"> se presume que </w:t>
      </w:r>
      <w:r w:rsidRPr="006931B0">
        <w:rPr>
          <w:rFonts w:ascii="Verdana" w:eastAsia="Arial" w:hAnsi="Verdana" w:cs="Arial"/>
          <w:lang w:val="es-ES"/>
        </w:rPr>
        <w:t>el</w:t>
      </w:r>
      <w:r w:rsidRPr="007A5474">
        <w:rPr>
          <w:rFonts w:ascii="Verdana" w:eastAsia="Arial" w:hAnsi="Verdana" w:cs="Arial"/>
          <w:lang w:val="es-ES"/>
        </w:rPr>
        <w:t xml:space="preserve"> despido es discriminatorio cuando </w:t>
      </w:r>
      <w:r w:rsidRPr="006931B0">
        <w:rPr>
          <w:rFonts w:ascii="Verdana" w:eastAsia="Arial" w:hAnsi="Verdana" w:cs="Arial"/>
          <w:lang w:val="es-ES"/>
        </w:rPr>
        <w:t>ocurre durante</w:t>
      </w:r>
      <w:r w:rsidRPr="007A5474">
        <w:rPr>
          <w:rFonts w:ascii="Verdana" w:eastAsia="Arial" w:hAnsi="Verdana" w:cs="Arial"/>
          <w:lang w:val="es-ES"/>
        </w:rPr>
        <w:t xml:space="preserve"> el embarazo </w:t>
      </w:r>
      <w:r w:rsidRPr="006931B0">
        <w:rPr>
          <w:rFonts w:ascii="Verdana" w:eastAsia="Arial" w:hAnsi="Verdana" w:cs="Arial"/>
          <w:lang w:val="es-ES"/>
        </w:rPr>
        <w:t xml:space="preserve">o dentro de </w:t>
      </w:r>
      <w:r w:rsidRPr="007A5474">
        <w:rPr>
          <w:rFonts w:ascii="Verdana" w:eastAsia="Arial" w:hAnsi="Verdana" w:cs="Arial"/>
          <w:lang w:val="es-ES"/>
        </w:rPr>
        <w:t xml:space="preserve">las dieciocho (18) semanas posteriores al parto. </w:t>
      </w:r>
      <w:r w:rsidRPr="007A5474">
        <w:rPr>
          <w:rFonts w:ascii="Verdana" w:hAnsi="Verdana" w:cs="Segoe UI"/>
        </w:rPr>
        <w:t xml:space="preserve">Durante este lapso, el empleador debe contar con </w:t>
      </w:r>
      <w:r w:rsidRPr="007A5474">
        <w:rPr>
          <w:rStyle w:val="Fuerte"/>
          <w:rFonts w:ascii="Verdana" w:hAnsi="Verdana" w:cs="Segoe UI"/>
          <w:b w:val="0"/>
          <w:bCs w:val="0"/>
        </w:rPr>
        <w:t>autorización previa del Inspector del Trabajo</w:t>
      </w:r>
      <w:r w:rsidRPr="007A5474">
        <w:rPr>
          <w:rFonts w:ascii="Verdana" w:hAnsi="Verdana" w:cs="Segoe UI"/>
        </w:rPr>
        <w:t xml:space="preserve"> para terminar el vínculo. </w:t>
      </w:r>
      <w:r>
        <w:rPr>
          <w:rFonts w:ascii="Verdana" w:hAnsi="Verdana" w:cs="Segoe UI"/>
        </w:rPr>
        <w:t xml:space="preserve">En contraste, </w:t>
      </w:r>
      <w:r w:rsidRPr="007A5474">
        <w:rPr>
          <w:rFonts w:ascii="Verdana" w:eastAsia="Arial" w:hAnsi="Verdana" w:cs="Arial"/>
          <w:lang w:val="es-ES"/>
        </w:rPr>
        <w:t xml:space="preserve">durante </w:t>
      </w:r>
      <w:r>
        <w:rPr>
          <w:rFonts w:ascii="Verdana" w:eastAsia="Arial" w:hAnsi="Verdana" w:cs="Arial"/>
          <w:lang w:val="es-ES"/>
        </w:rPr>
        <w:t xml:space="preserve">el periodo de </w:t>
      </w:r>
      <w:r w:rsidRPr="007A5474">
        <w:rPr>
          <w:rFonts w:ascii="Verdana" w:eastAsia="Arial" w:hAnsi="Verdana" w:cs="Arial"/>
          <w:lang w:val="es-ES"/>
        </w:rPr>
        <w:t xml:space="preserve">la lactancia, </w:t>
      </w:r>
      <w:r>
        <w:rPr>
          <w:rFonts w:ascii="Verdana" w:eastAsia="Arial" w:hAnsi="Verdana" w:cs="Arial"/>
          <w:lang w:val="es-ES"/>
        </w:rPr>
        <w:t xml:space="preserve">posterior a las dieciocho (18) semanas, </w:t>
      </w:r>
      <w:r w:rsidRPr="007A5474">
        <w:rPr>
          <w:rFonts w:ascii="Verdana" w:eastAsia="Arial" w:hAnsi="Verdana" w:cs="Arial"/>
          <w:lang w:val="es-ES"/>
        </w:rPr>
        <w:t xml:space="preserve">si bien </w:t>
      </w:r>
      <w:r>
        <w:rPr>
          <w:rFonts w:ascii="Verdana" w:eastAsia="Arial" w:hAnsi="Verdana" w:cs="Arial"/>
          <w:lang w:val="es-ES"/>
        </w:rPr>
        <w:t xml:space="preserve">subsiste el fuero de maternidad, no opera la presunción automática de despido discriminatorio, </w:t>
      </w:r>
      <w:r w:rsidRPr="007A5474">
        <w:rPr>
          <w:rFonts w:ascii="Verdana" w:eastAsia="Arial" w:hAnsi="Verdana" w:cs="Arial"/>
          <w:lang w:val="es-ES"/>
        </w:rPr>
        <w:t xml:space="preserve">y la carga probatoria </w:t>
      </w:r>
      <w:r w:rsidRPr="00805C8A">
        <w:rPr>
          <w:rFonts w:ascii="Verdana" w:eastAsia="Arial" w:hAnsi="Verdana" w:cs="Arial"/>
          <w:lang w:val="es-ES"/>
        </w:rPr>
        <w:t xml:space="preserve">le corresponde </w:t>
      </w:r>
      <w:r w:rsidRPr="007A5474">
        <w:rPr>
          <w:rFonts w:ascii="Verdana" w:eastAsia="Arial" w:hAnsi="Verdana" w:cs="Arial"/>
          <w:lang w:val="es-ES"/>
        </w:rPr>
        <w:t>a la contratista</w:t>
      </w:r>
      <w:r>
        <w:rPr>
          <w:rFonts w:ascii="Verdana" w:eastAsia="Arial" w:hAnsi="Verdana" w:cs="Arial"/>
          <w:lang w:val="es-ES"/>
        </w:rPr>
        <w:t>, quien debe acreditar que la terminación fue discriminatoria</w:t>
      </w:r>
      <w:r>
        <w:rPr>
          <w:rStyle w:val="Refdenotaalpie"/>
          <w:rFonts w:ascii="Verdana" w:eastAsia="Arial" w:hAnsi="Verdana" w:cs="Arial"/>
          <w:lang w:val="es-ES"/>
        </w:rPr>
        <w:footnoteReference w:id="17"/>
      </w:r>
      <w:r w:rsidRPr="007A5474">
        <w:rPr>
          <w:rFonts w:ascii="Verdana" w:eastAsia="Arial" w:hAnsi="Verdana" w:cs="Arial"/>
          <w:lang w:val="es-ES"/>
        </w:rPr>
        <w:t xml:space="preserve">. </w:t>
      </w:r>
    </w:p>
    <w:p w14:paraId="1D59D9DC" w14:textId="77777777" w:rsidR="004D389B" w:rsidRPr="007A5474" w:rsidRDefault="004D389B" w:rsidP="004D389B">
      <w:pPr>
        <w:widowControl w:val="0"/>
        <w:autoSpaceDE w:val="0"/>
        <w:autoSpaceDN w:val="0"/>
        <w:snapToGrid w:val="0"/>
        <w:spacing w:after="120" w:line="276" w:lineRule="auto"/>
        <w:ind w:firstLine="709"/>
        <w:jc w:val="both"/>
        <w:rPr>
          <w:rFonts w:ascii="Verdana" w:eastAsia="Arial" w:hAnsi="Verdana" w:cs="Arial"/>
          <w:lang w:val="es-ES"/>
        </w:rPr>
      </w:pPr>
      <w:r w:rsidRPr="00612D63">
        <w:rPr>
          <w:rFonts w:ascii="Verdana" w:eastAsia="Arial" w:hAnsi="Verdana" w:cs="Arial"/>
          <w:lang w:val="es-ES"/>
        </w:rPr>
        <w:t>Por su parte, el artículo 240 del Código Sustantivo del Trabajo establece de manera expresa que la garantía consistente en contar con autorización previa del Ministerio del Trabajo —destinada a avalar la existencia de una justa causa para el despido— se extiende únicamente durante las dieciocho (18) semanas posteriores al parto. Así, una vez superado ese lapso, el empleador no está obligado a solicitar autorización al Ministerio del Trabajo para la terminación del vínculo laboral</w:t>
      </w:r>
      <w:r>
        <w:rPr>
          <w:rFonts w:ascii="Verdana" w:eastAsia="Arial" w:hAnsi="Verdana" w:cs="Arial"/>
          <w:lang w:val="es-ES"/>
        </w:rPr>
        <w:t>.</w:t>
      </w:r>
      <w:r w:rsidRPr="00612D63">
        <w:rPr>
          <w:rFonts w:ascii="Verdana" w:eastAsia="Arial" w:hAnsi="Verdana" w:cs="Arial"/>
          <w:lang w:val="es-ES"/>
        </w:rPr>
        <w:t xml:space="preserve"> </w:t>
      </w:r>
      <w:r>
        <w:rPr>
          <w:rFonts w:ascii="Verdana" w:eastAsia="Arial" w:hAnsi="Verdana" w:cs="Arial"/>
          <w:lang w:val="es-ES"/>
        </w:rPr>
        <w:t>S</w:t>
      </w:r>
      <w:r w:rsidRPr="00612D63">
        <w:rPr>
          <w:rFonts w:ascii="Verdana" w:eastAsia="Arial" w:hAnsi="Verdana" w:cs="Arial"/>
          <w:lang w:val="es-ES"/>
        </w:rPr>
        <w:t>in embargo, la desvinculación solo será constitucionalmente admisible si se funda en una justa causa debidamente acreditada.</w:t>
      </w:r>
    </w:p>
    <w:p w14:paraId="1B078486" w14:textId="77777777" w:rsidR="004D389B" w:rsidRDefault="004D389B" w:rsidP="004D389B">
      <w:pPr>
        <w:spacing w:after="120" w:line="276" w:lineRule="auto"/>
        <w:ind w:firstLine="708"/>
        <w:jc w:val="both"/>
        <w:rPr>
          <w:rFonts w:ascii="Verdana" w:eastAsia="Arial" w:hAnsi="Verdana" w:cs="Arial"/>
          <w:lang w:val="es-ES"/>
        </w:rPr>
      </w:pPr>
      <w:r>
        <w:rPr>
          <w:rFonts w:ascii="Verdana" w:eastAsia="Arial" w:hAnsi="Verdana" w:cs="Arial"/>
          <w:lang w:val="es-ES"/>
        </w:rPr>
        <w:t xml:space="preserve">Esta diferenciación ha sido reiterada por la Corte Constitucional, que </w:t>
      </w:r>
      <w:r w:rsidRPr="00612D63">
        <w:rPr>
          <w:rFonts w:ascii="Verdana" w:eastAsia="Arial" w:hAnsi="Verdana" w:cs="Arial"/>
          <w:lang w:val="es-ES"/>
        </w:rPr>
        <w:t xml:space="preserve">mantuvo esta regla, después de la entrada en vigor de la Ley 2306 de 2023. En ese sentido, en las Sentencias T-098 de 2024 y T-456 de 2024, la Corte señaló que “en el periodo de lactancia […] no es aplicable la presunción de despido por </w:t>
      </w:r>
      <w:r w:rsidRPr="00612D63">
        <w:rPr>
          <w:rFonts w:ascii="Verdana" w:eastAsia="Arial" w:hAnsi="Verdana" w:cs="Arial"/>
          <w:lang w:val="es-ES"/>
        </w:rPr>
        <w:lastRenderedPageBreak/>
        <w:t xml:space="preserve">causa del embarazo, pese a que permanece la prohibición del despido en razón de la condición de lactancia. Por consiguiente, durante este periodo la trabajadora tiene la carga de probar la ocurrencia de un acto discriminatorio”. </w:t>
      </w:r>
    </w:p>
    <w:p w14:paraId="0A73CA9F" w14:textId="77777777" w:rsidR="004D389B" w:rsidRPr="007A5474" w:rsidRDefault="004D389B" w:rsidP="004D389B">
      <w:pPr>
        <w:spacing w:after="120" w:line="276" w:lineRule="auto"/>
        <w:ind w:firstLine="708"/>
        <w:jc w:val="both"/>
        <w:rPr>
          <w:rFonts w:ascii="Verdana" w:eastAsia="Arial" w:hAnsi="Verdana" w:cs="Arial"/>
          <w:lang w:val="es-ES"/>
        </w:rPr>
      </w:pPr>
      <w:r>
        <w:rPr>
          <w:rFonts w:ascii="Verdana" w:eastAsia="Arial" w:hAnsi="Verdana" w:cs="Arial"/>
          <w:lang w:val="es-ES"/>
        </w:rPr>
        <w:t>Igualmente, en la</w:t>
      </w:r>
      <w:r w:rsidRPr="007A5474">
        <w:rPr>
          <w:rFonts w:ascii="Verdana" w:eastAsia="Arial" w:hAnsi="Verdana" w:cs="Arial"/>
          <w:lang w:val="es-ES"/>
        </w:rPr>
        <w:t xml:space="preserve"> Sentencia T-333 de 2025, </w:t>
      </w:r>
      <w:r>
        <w:rPr>
          <w:rFonts w:ascii="Verdana" w:eastAsia="Arial" w:hAnsi="Verdana" w:cs="Arial"/>
          <w:lang w:val="es-ES"/>
        </w:rPr>
        <w:t>en la cual se</w:t>
      </w:r>
      <w:r w:rsidRPr="007A5474">
        <w:rPr>
          <w:rFonts w:ascii="Verdana" w:eastAsia="Arial" w:hAnsi="Verdana" w:cs="Arial"/>
          <w:lang w:val="es-ES"/>
        </w:rPr>
        <w:t xml:space="preserve"> precisó que el fuero de maternidad no constituye una regla única</w:t>
      </w:r>
      <w:r>
        <w:rPr>
          <w:rFonts w:ascii="Verdana" w:eastAsia="Arial" w:hAnsi="Verdana" w:cs="Arial"/>
          <w:lang w:val="es-ES"/>
        </w:rPr>
        <w:t xml:space="preserve"> e indivisible</w:t>
      </w:r>
      <w:r w:rsidRPr="007A5474">
        <w:rPr>
          <w:rFonts w:ascii="Verdana" w:eastAsia="Arial" w:hAnsi="Verdana" w:cs="Arial"/>
          <w:lang w:val="es-ES"/>
        </w:rPr>
        <w:t xml:space="preserve">, sino un conjunto de garantías, cuyo alcance varía según la etapa de protección. En particular, se aclaró que la presunción de despido discriminatorio y la exigencia de autorización administrativa se limitan temporalmente al embarazo y a las dieciocho </w:t>
      </w:r>
      <w:r>
        <w:rPr>
          <w:rFonts w:ascii="Verdana" w:eastAsia="Arial" w:hAnsi="Verdana" w:cs="Arial"/>
          <w:lang w:val="es-ES"/>
        </w:rPr>
        <w:t xml:space="preserve">(18) </w:t>
      </w:r>
      <w:r w:rsidRPr="007A5474">
        <w:rPr>
          <w:rFonts w:ascii="Verdana" w:eastAsia="Arial" w:hAnsi="Verdana" w:cs="Arial"/>
          <w:lang w:val="es-ES"/>
        </w:rPr>
        <w:t>semanas posteriores al parto, mientras que, con posterioridad, el fuero subsiste de forma parcial, recayendo en la trabajadora</w:t>
      </w:r>
      <w:r>
        <w:rPr>
          <w:rFonts w:ascii="Verdana" w:eastAsia="Arial" w:hAnsi="Verdana" w:cs="Arial"/>
          <w:lang w:val="es-ES"/>
        </w:rPr>
        <w:t xml:space="preserve"> o contratista, según corresponda, </w:t>
      </w:r>
      <w:r w:rsidRPr="007A5474">
        <w:rPr>
          <w:rFonts w:ascii="Verdana" w:eastAsia="Arial" w:hAnsi="Verdana" w:cs="Arial"/>
          <w:lang w:val="es-ES"/>
        </w:rPr>
        <w:t>la carga de acreditar el carácter discriminatorio del despido, con libertad probatoria y a partir de una valoración integral del contexto laboral.</w:t>
      </w:r>
    </w:p>
    <w:p w14:paraId="1730E33F" w14:textId="77777777" w:rsidR="004D389B" w:rsidRPr="007A5474" w:rsidRDefault="004D389B" w:rsidP="004D389B">
      <w:pPr>
        <w:spacing w:after="0" w:line="276" w:lineRule="auto"/>
        <w:ind w:firstLine="709"/>
        <w:jc w:val="both"/>
        <w:rPr>
          <w:rFonts w:ascii="Verdana" w:hAnsi="Verdana" w:cs="Segoe UI"/>
        </w:rPr>
      </w:pPr>
      <w:r w:rsidRPr="007A5474">
        <w:rPr>
          <w:rFonts w:ascii="Verdana" w:hAnsi="Verdana" w:cs="Segoe UI"/>
        </w:rPr>
        <w:t xml:space="preserve">Este entendimiento fue reafirmado en la </w:t>
      </w:r>
      <w:r w:rsidRPr="007A5474">
        <w:rPr>
          <w:rStyle w:val="Fuerte"/>
          <w:rFonts w:ascii="Verdana" w:hAnsi="Verdana" w:cs="Segoe UI"/>
          <w:b w:val="0"/>
          <w:bCs w:val="0"/>
        </w:rPr>
        <w:t>Sentencia T-014 de 2026</w:t>
      </w:r>
      <w:r w:rsidRPr="007A5474">
        <w:rPr>
          <w:rFonts w:ascii="Verdana" w:hAnsi="Verdana" w:cs="Segoe UI"/>
        </w:rPr>
        <w:t xml:space="preserve">, en la cual la Corte analizó de manera conjunta varios expedientes, </w:t>
      </w:r>
      <w:r>
        <w:rPr>
          <w:rFonts w:ascii="Verdana" w:hAnsi="Verdana" w:cs="Segoe UI"/>
        </w:rPr>
        <w:t xml:space="preserve">en los cuales estaban </w:t>
      </w:r>
      <w:r w:rsidRPr="007A5474">
        <w:rPr>
          <w:rFonts w:ascii="Verdana" w:hAnsi="Verdana" w:cs="Segoe UI"/>
        </w:rPr>
        <w:t xml:space="preserve">incluidos casos </w:t>
      </w:r>
      <w:r>
        <w:rPr>
          <w:rFonts w:ascii="Verdana" w:hAnsi="Verdana" w:cs="Segoe UI"/>
        </w:rPr>
        <w:t>referentes a</w:t>
      </w:r>
      <w:r w:rsidRPr="007A5474">
        <w:rPr>
          <w:rFonts w:ascii="Verdana" w:hAnsi="Verdana" w:cs="Segoe UI"/>
        </w:rPr>
        <w:t xml:space="preserve"> </w:t>
      </w:r>
      <w:r w:rsidRPr="007A5474">
        <w:rPr>
          <w:rStyle w:val="Fuerte"/>
          <w:rFonts w:ascii="Verdana" w:hAnsi="Verdana" w:cs="Segoe UI"/>
          <w:b w:val="0"/>
          <w:bCs w:val="0"/>
        </w:rPr>
        <w:t>contratos de prestación de servicios</w:t>
      </w:r>
      <w:r w:rsidRPr="007A5474">
        <w:rPr>
          <w:rFonts w:ascii="Verdana" w:hAnsi="Verdana" w:cs="Segoe UI"/>
        </w:rPr>
        <w:t xml:space="preserve">, y reiteró que el fuero de maternidad protege a la mujer durante el embarazo, el parto y la lactancia, aunque con </w:t>
      </w:r>
      <w:r w:rsidRPr="007A5474">
        <w:rPr>
          <w:rStyle w:val="Fuerte"/>
          <w:rFonts w:ascii="Verdana" w:hAnsi="Verdana" w:cs="Segoe UI"/>
          <w:b w:val="0"/>
          <w:bCs w:val="0"/>
        </w:rPr>
        <w:t>diferencias en las garantías aplicables</w:t>
      </w:r>
      <w:r w:rsidRPr="007A5474">
        <w:rPr>
          <w:rFonts w:ascii="Verdana" w:hAnsi="Verdana" w:cs="Segoe UI"/>
        </w:rPr>
        <w:t xml:space="preserve"> en cada etapa. En dicha providencia, la Corte sistematizó las medidas de protección previstas en los artículos 239, 240 y 241 del Código Sustantivo del Trabajo y aclaró que, si bien la Ley 2306 de 2023 amplió el descanso remunerado por lactancia, </w:t>
      </w:r>
      <w:r w:rsidRPr="007A5474">
        <w:rPr>
          <w:rStyle w:val="Fuerte"/>
          <w:rFonts w:ascii="Verdana" w:hAnsi="Verdana" w:cs="Segoe UI"/>
          <w:b w:val="0"/>
          <w:bCs w:val="0"/>
        </w:rPr>
        <w:t>no modificó el período de la presunción de despido discriminatorio ni el término de autorización previa</w:t>
      </w:r>
      <w:r w:rsidRPr="007A5474">
        <w:rPr>
          <w:rFonts w:ascii="Verdana" w:hAnsi="Verdana" w:cs="Segoe UI"/>
        </w:rPr>
        <w:t>.</w:t>
      </w:r>
      <w:r>
        <w:rPr>
          <w:rFonts w:ascii="Verdana" w:hAnsi="Verdana" w:cs="Segoe UI"/>
        </w:rPr>
        <w:t xml:space="preserve"> Al respecto señaló: </w:t>
      </w:r>
    </w:p>
    <w:p w14:paraId="498AA52E" w14:textId="77777777" w:rsidR="004D389B" w:rsidRPr="007A5474" w:rsidRDefault="004D389B" w:rsidP="004D389B">
      <w:pPr>
        <w:widowControl w:val="0"/>
        <w:autoSpaceDE w:val="0"/>
        <w:autoSpaceDN w:val="0"/>
        <w:spacing w:after="0" w:line="276" w:lineRule="auto"/>
        <w:ind w:firstLine="709"/>
        <w:jc w:val="both"/>
        <w:rPr>
          <w:rFonts w:ascii="Verdana" w:eastAsia="Arial" w:hAnsi="Verdana" w:cs="Arial"/>
          <w:lang w:val="es-ES"/>
        </w:rPr>
      </w:pPr>
    </w:p>
    <w:p w14:paraId="66EF9F83" w14:textId="77777777" w:rsidR="004D389B" w:rsidRPr="007A5474" w:rsidRDefault="004D389B" w:rsidP="004D389B">
      <w:pPr>
        <w:widowControl w:val="0"/>
        <w:autoSpaceDE w:val="0"/>
        <w:autoSpaceDN w:val="0"/>
        <w:spacing w:after="0"/>
        <w:ind w:left="709" w:right="709"/>
        <w:jc w:val="both"/>
        <w:rPr>
          <w:rFonts w:ascii="Verdana" w:eastAsia="Arial" w:hAnsi="Verdana" w:cs="Arial"/>
          <w:sz w:val="20"/>
          <w:szCs w:val="20"/>
          <w:lang w:val="es-ES"/>
        </w:rPr>
      </w:pPr>
      <w:r w:rsidRPr="007A5474">
        <w:rPr>
          <w:rFonts w:ascii="Verdana" w:eastAsia="Arial" w:hAnsi="Verdana" w:cs="Arial"/>
          <w:sz w:val="20"/>
          <w:szCs w:val="20"/>
          <w:lang w:val="es-ES"/>
        </w:rPr>
        <w:t>“De acuerdo con los artículos 239, 240 y 241 del Código Sustantivo del Trabajo y la jurisprudencia constitucional, el fuero de maternidad ofrece a las gestantes las siguientes medidas de protección: (i) impone una prohibición general de despido por motivo de embarazo; (ii) dispone que, para que sea legal el despido de una trabajadora durante el período de embarazo, el empleador necesita a) demostrar una justa causa y b) contar con la autorización del inspector del trabajo; (iii) prevé una indemnización por despido sin autorización del Ministerio del Trabajo, la cual es independiente de los salarios y prestaciones a los cuales tiene derecho la trabajadora de acuerdo con el contrato de trabajo; (iv) garantiza el disfrute de la licencia de maternidad[175]; (v) impone la obligación para el empleador de mantener vinculada a la trabajadora que disfruta de la licencia de maternidad o lactancia. Además, sanciona con la ineficacia “el despido que el empleador comunique a la trabajadora en tales períodos”</w:t>
      </w:r>
      <w:r>
        <w:rPr>
          <w:rFonts w:ascii="Verdana" w:eastAsia="Arial" w:hAnsi="Verdana" w:cs="Arial"/>
          <w:sz w:val="20"/>
          <w:szCs w:val="20"/>
          <w:lang w:val="es-ES"/>
        </w:rPr>
        <w:t>.</w:t>
      </w:r>
    </w:p>
    <w:p w14:paraId="11C76193" w14:textId="77777777" w:rsidR="004D389B" w:rsidRPr="007A5474" w:rsidRDefault="004D389B" w:rsidP="004D389B">
      <w:pPr>
        <w:widowControl w:val="0"/>
        <w:autoSpaceDE w:val="0"/>
        <w:autoSpaceDN w:val="0"/>
        <w:spacing w:after="0" w:line="276" w:lineRule="auto"/>
        <w:ind w:firstLine="709"/>
        <w:jc w:val="both"/>
        <w:rPr>
          <w:rFonts w:ascii="Verdana" w:eastAsia="Arial" w:hAnsi="Verdana" w:cs="Arial"/>
          <w:lang w:val="es-ES"/>
        </w:rPr>
      </w:pPr>
    </w:p>
    <w:p w14:paraId="28F6F6FB" w14:textId="77777777" w:rsidR="004D389B" w:rsidRDefault="004D389B" w:rsidP="004D389B">
      <w:pPr>
        <w:widowControl w:val="0"/>
        <w:autoSpaceDE w:val="0"/>
        <w:autoSpaceDN w:val="0"/>
        <w:snapToGrid w:val="0"/>
        <w:spacing w:after="120" w:line="276" w:lineRule="auto"/>
        <w:ind w:firstLine="709"/>
        <w:jc w:val="both"/>
        <w:rPr>
          <w:rFonts w:ascii="Verdana" w:eastAsia="Arial" w:hAnsi="Verdana" w:cs="Arial"/>
          <w:lang w:val="es-ES"/>
        </w:rPr>
      </w:pPr>
      <w:r>
        <w:rPr>
          <w:rFonts w:ascii="Verdana" w:eastAsia="Arial" w:hAnsi="Verdana" w:cs="Arial"/>
          <w:lang w:val="es-ES"/>
        </w:rPr>
        <w:t>Incluso</w:t>
      </w:r>
      <w:r w:rsidRPr="00612D63">
        <w:rPr>
          <w:rFonts w:ascii="Verdana" w:eastAsia="Arial" w:hAnsi="Verdana" w:cs="Arial"/>
          <w:lang w:val="es-ES"/>
        </w:rPr>
        <w:t xml:space="preserve">, al momento en que se expidió la Sentencia de Unificación 075 de 2018, los artículos 238 y 239 del Código Sustantivo del Trabajo contemplaron períodos distintos para la lactancia y para la presunción de despido discriminatorio, siendo el período de lactancia mayor al fijado para la presunción. Desde aquella oportunidad, la Corte Constitucional ha considerado que el período del fuero de maternidad abarca el estado de gestación y el período de lactancia contemplado en el artículo 238 del Código, pero que la presunción de despido discriminatorio abarca el (menor) tiempo establecido en numeral 2º del artículo 239. </w:t>
      </w:r>
    </w:p>
    <w:p w14:paraId="256DC5F7" w14:textId="77777777" w:rsidR="004D389B" w:rsidRPr="007A5474" w:rsidRDefault="004D389B" w:rsidP="004D389B">
      <w:pPr>
        <w:spacing w:after="120" w:line="276" w:lineRule="auto"/>
        <w:ind w:firstLine="708"/>
        <w:jc w:val="both"/>
        <w:rPr>
          <w:rFonts w:ascii="Verdana" w:hAnsi="Verdana" w:cs="Segoe UI"/>
        </w:rPr>
      </w:pPr>
      <w:r w:rsidRPr="007A5474">
        <w:rPr>
          <w:rFonts w:ascii="Verdana" w:hAnsi="Verdana" w:cs="Segoe UI"/>
        </w:rPr>
        <w:t>En concordancia con esta línea, la Corte ha sostenido —incluso después de la entrada en vigor de la Ley 2306 de 2023— que durante el período de lactancia posterior a las dieciocho</w:t>
      </w:r>
      <w:r>
        <w:rPr>
          <w:rFonts w:ascii="Verdana" w:hAnsi="Verdana" w:cs="Segoe UI"/>
        </w:rPr>
        <w:t xml:space="preserve"> (18)</w:t>
      </w:r>
      <w:r w:rsidRPr="007A5474">
        <w:rPr>
          <w:rFonts w:ascii="Verdana" w:hAnsi="Verdana" w:cs="Segoe UI"/>
        </w:rPr>
        <w:t xml:space="preserve"> semanas </w:t>
      </w:r>
      <w:r w:rsidRPr="007A5474">
        <w:rPr>
          <w:rStyle w:val="Fuerte"/>
          <w:rFonts w:ascii="Verdana" w:hAnsi="Verdana" w:cs="Segoe UI"/>
          <w:b w:val="0"/>
          <w:bCs w:val="0"/>
        </w:rPr>
        <w:t>no es aplicable la presunción de despido por causa del embarazo</w:t>
      </w:r>
      <w:r w:rsidRPr="007A5474">
        <w:rPr>
          <w:rFonts w:ascii="Verdana" w:hAnsi="Verdana" w:cs="Segoe UI"/>
        </w:rPr>
        <w:t>, aunque permanece la prohibición general de despido discriminatorio. En consecuencia, corresponde a la trabajadora o contratista acreditar el carácter discriminatorio de la desvinculación, con libertad probatoria y a partir de una valoración integral del contexto.</w:t>
      </w:r>
      <w:r>
        <w:rPr>
          <w:rFonts w:ascii="Verdana" w:hAnsi="Verdana" w:cs="Segoe UI"/>
        </w:rPr>
        <w:t xml:space="preserve"> </w:t>
      </w:r>
      <w:r w:rsidRPr="007A5474">
        <w:rPr>
          <w:rFonts w:ascii="Verdana" w:eastAsia="Arial" w:hAnsi="Verdana" w:cs="Arial"/>
          <w:lang w:val="es-ES"/>
        </w:rPr>
        <w:t xml:space="preserve">Así mismo, la Corte señaló: </w:t>
      </w:r>
      <w:r>
        <w:rPr>
          <w:rFonts w:ascii="Verdana" w:eastAsia="Arial" w:hAnsi="Verdana" w:cs="Arial"/>
          <w:lang w:val="es-ES"/>
        </w:rPr>
        <w:t>“</w:t>
      </w:r>
      <w:r w:rsidRPr="007A5474">
        <w:rPr>
          <w:rFonts w:ascii="Verdana" w:eastAsia="Arial" w:hAnsi="Verdana" w:cs="Arial"/>
          <w:lang w:val="es-ES"/>
        </w:rPr>
        <w:t>En su ejercicio, mediante la Ley 2306 de 2023, el Legislador decidió ampliar el período que comprende el descanso remunerado por lactancia y, en consecuencia, la extensión general del fuero de maternidad. Sin embargo, decidió mantener intacto el período de la garantía de la presunción de despido discriminatorio</w:t>
      </w:r>
      <w:r>
        <w:rPr>
          <w:rFonts w:ascii="Verdana" w:eastAsia="Arial" w:hAnsi="Verdana" w:cs="Arial"/>
          <w:lang w:val="es-ES"/>
        </w:rPr>
        <w:t>”</w:t>
      </w:r>
      <w:r>
        <w:rPr>
          <w:rStyle w:val="Refdenotaalpie"/>
          <w:rFonts w:ascii="Verdana" w:eastAsia="Arial" w:hAnsi="Verdana" w:cs="Arial"/>
          <w:lang w:val="es-ES"/>
        </w:rPr>
        <w:footnoteReference w:id="18"/>
      </w:r>
      <w:r w:rsidRPr="007A5474">
        <w:rPr>
          <w:rFonts w:ascii="Verdana" w:eastAsia="Arial" w:hAnsi="Verdana" w:cs="Arial"/>
          <w:lang w:val="es-ES"/>
        </w:rPr>
        <w:t>.</w:t>
      </w:r>
    </w:p>
    <w:p w14:paraId="7F5052D8" w14:textId="77777777" w:rsidR="004D389B" w:rsidRPr="007A5474" w:rsidRDefault="004D389B" w:rsidP="004D389B">
      <w:pPr>
        <w:widowControl w:val="0"/>
        <w:autoSpaceDE w:val="0"/>
        <w:autoSpaceDN w:val="0"/>
        <w:snapToGrid w:val="0"/>
        <w:spacing w:after="120" w:line="276" w:lineRule="auto"/>
        <w:ind w:firstLine="708"/>
        <w:jc w:val="both"/>
        <w:rPr>
          <w:rFonts w:ascii="Verdana" w:eastAsia="Arial" w:hAnsi="Verdana" w:cs="Arial"/>
          <w:lang w:val="es-ES"/>
        </w:rPr>
      </w:pPr>
      <w:r w:rsidRPr="00612D63">
        <w:rPr>
          <w:rFonts w:ascii="Verdana" w:eastAsia="Arial" w:hAnsi="Verdana" w:cs="Arial"/>
          <w:lang w:val="es-ES"/>
        </w:rPr>
        <w:t>En este escenario, para acreditar que la desvinculación vulnera la prohibición general de despido discriminatorio, se requiere</w:t>
      </w:r>
      <w:r w:rsidRPr="007A5474">
        <w:rPr>
          <w:rFonts w:ascii="Verdana" w:eastAsia="Arial" w:hAnsi="Verdana" w:cs="Arial"/>
          <w:lang w:val="es-ES"/>
        </w:rPr>
        <w:t>: (i) el contratante conoce el estado de embarazo de la contratista, (ii) subsiste la causa del contrato y (iii) no cuenta con permiso del inspector del trabajo para terminar el contrato-salvo el periodo posterior a las dieciocho</w:t>
      </w:r>
      <w:r>
        <w:rPr>
          <w:rFonts w:ascii="Verdana" w:eastAsia="Arial" w:hAnsi="Verdana" w:cs="Arial"/>
          <w:lang w:val="es-ES"/>
        </w:rPr>
        <w:t xml:space="preserve"> (18)</w:t>
      </w:r>
      <w:r w:rsidRPr="007A5474">
        <w:rPr>
          <w:rFonts w:ascii="Verdana" w:eastAsia="Arial" w:hAnsi="Verdana" w:cs="Arial"/>
          <w:lang w:val="es-ES"/>
        </w:rPr>
        <w:t xml:space="preserve"> semanas del parto y </w:t>
      </w:r>
      <w:r>
        <w:rPr>
          <w:rFonts w:ascii="Verdana" w:eastAsia="Arial" w:hAnsi="Verdana" w:cs="Arial"/>
          <w:lang w:val="es-ES"/>
        </w:rPr>
        <w:t xml:space="preserve">hasta </w:t>
      </w:r>
      <w:r w:rsidRPr="007A5474">
        <w:rPr>
          <w:rFonts w:ascii="Verdana" w:eastAsia="Arial" w:hAnsi="Verdana" w:cs="Arial"/>
          <w:lang w:val="es-ES"/>
        </w:rPr>
        <w:t>los dos (2) años de lactancia, donde no requiere permiso del inspector-.</w:t>
      </w:r>
      <w:r>
        <w:rPr>
          <w:rFonts w:ascii="Verdana" w:eastAsia="Arial" w:hAnsi="Verdana" w:cs="Arial"/>
          <w:lang w:val="es-ES"/>
        </w:rPr>
        <w:t xml:space="preserve"> </w:t>
      </w:r>
      <w:r w:rsidRPr="007A5474">
        <w:rPr>
          <w:rFonts w:ascii="Verdana" w:eastAsia="Arial" w:hAnsi="Verdana" w:cs="Arial"/>
          <w:lang w:val="es-ES"/>
        </w:rPr>
        <w:t>En estos eventos procede la garantía de estabilidad reforzada por lo que la entidad deberá proceder a la renovación de la relación contractual, previo análisis del juez</w:t>
      </w:r>
      <w:r>
        <w:rPr>
          <w:rFonts w:ascii="Verdana" w:eastAsia="Arial" w:hAnsi="Verdana" w:cs="Arial"/>
          <w:lang w:val="es-ES"/>
        </w:rPr>
        <w:t>.</w:t>
      </w:r>
    </w:p>
    <w:p w14:paraId="47871890" w14:textId="77777777" w:rsidR="004D389B" w:rsidRDefault="004D389B" w:rsidP="004D389B">
      <w:pPr>
        <w:spacing w:after="120" w:line="276" w:lineRule="auto"/>
        <w:jc w:val="both"/>
        <w:rPr>
          <w:rFonts w:ascii="Verdana" w:hAnsi="Verdana" w:cs="Segoe UI"/>
        </w:rPr>
      </w:pPr>
      <w:r w:rsidRPr="007A5474">
        <w:rPr>
          <w:rFonts w:ascii="Verdana" w:hAnsi="Verdana" w:cs="Segoe UI"/>
        </w:rPr>
        <w:t xml:space="preserve">En conclusión, se tiene que la </w:t>
      </w:r>
      <w:r w:rsidRPr="007A5474">
        <w:rPr>
          <w:rStyle w:val="Fuerte"/>
          <w:rFonts w:ascii="Verdana" w:hAnsi="Verdana" w:cs="Segoe UI"/>
          <w:b w:val="0"/>
          <w:bCs w:val="0"/>
        </w:rPr>
        <w:t>protección de la estabilidad ocupacional reforzada</w:t>
      </w:r>
      <w:r w:rsidRPr="007A5474">
        <w:rPr>
          <w:rFonts w:ascii="Verdana" w:hAnsi="Verdana" w:cs="Segoe UI"/>
        </w:rPr>
        <w:t xml:space="preserve"> de las mujeres vinculadas mediante contratos de prestación de servicios </w:t>
      </w:r>
      <w:r w:rsidRPr="007A5474">
        <w:rPr>
          <w:rStyle w:val="Fuerte"/>
          <w:rFonts w:ascii="Verdana" w:hAnsi="Verdana" w:cs="Segoe UI"/>
          <w:b w:val="0"/>
          <w:bCs w:val="0"/>
        </w:rPr>
        <w:t xml:space="preserve">opera </w:t>
      </w:r>
      <w:r w:rsidRPr="007A5474">
        <w:rPr>
          <w:rStyle w:val="Fuerte"/>
          <w:rFonts w:ascii="Verdana" w:hAnsi="Verdana" w:cs="Segoe UI"/>
          <w:b w:val="0"/>
          <w:bCs w:val="0"/>
        </w:rPr>
        <w:lastRenderedPageBreak/>
        <w:t>durante el embarazo, la licencia de maternidad y el período de lactancia</w:t>
      </w:r>
      <w:r w:rsidRPr="007A5474">
        <w:rPr>
          <w:rFonts w:ascii="Verdana" w:hAnsi="Verdana" w:cs="Segoe UI"/>
        </w:rPr>
        <w:t xml:space="preserve">, aunque con </w:t>
      </w:r>
      <w:r w:rsidRPr="007A5474">
        <w:rPr>
          <w:rStyle w:val="Fuerte"/>
          <w:rFonts w:ascii="Verdana" w:hAnsi="Verdana" w:cs="Segoe UI"/>
          <w:b w:val="0"/>
          <w:bCs w:val="0"/>
        </w:rPr>
        <w:t>alcances diferenciados</w:t>
      </w:r>
      <w:r w:rsidRPr="007A5474">
        <w:rPr>
          <w:rFonts w:ascii="Verdana" w:hAnsi="Verdana" w:cs="Segoe UI"/>
        </w:rPr>
        <w:t xml:space="preserve"> según la etapa. </w:t>
      </w:r>
      <w:r>
        <w:rPr>
          <w:rFonts w:ascii="Verdana" w:hAnsi="Verdana" w:cs="Segoe UI"/>
        </w:rPr>
        <w:t>Por lo anterior, c</w:t>
      </w:r>
      <w:r w:rsidRPr="007A5474">
        <w:rPr>
          <w:rFonts w:ascii="Verdana" w:hAnsi="Verdana" w:cs="Segoe UI"/>
        </w:rPr>
        <w:t>orresponde a las entidades estatales, en el marco de su autonomía y conforme a los lineamientos jurisprudenciales, garantizar dicha protección, evitando decisiones contractuales discriminatorias y observando los principios que rigen la contratación estatal y la función administrativa</w:t>
      </w:r>
      <w:r>
        <w:rPr>
          <w:rFonts w:ascii="Verdana" w:hAnsi="Verdana" w:cs="Segoe UI"/>
        </w:rPr>
        <w:t xml:space="preserve">. </w:t>
      </w:r>
    </w:p>
    <w:p w14:paraId="24C61BF7" w14:textId="77777777" w:rsidR="004D389B" w:rsidRPr="00BF13E7" w:rsidRDefault="004D389B" w:rsidP="004D389B">
      <w:pPr>
        <w:spacing w:after="120" w:line="276" w:lineRule="auto"/>
        <w:jc w:val="both"/>
        <w:rPr>
          <w:rFonts w:ascii="Verdana" w:eastAsia="Calibri" w:hAnsi="Verdana" w:cs="Arial"/>
          <w:color w:val="000000"/>
          <w:lang w:val="es-ES" w:eastAsia="en-GB"/>
        </w:rPr>
      </w:pPr>
      <w:r>
        <w:rPr>
          <w:rFonts w:ascii="Verdana" w:eastAsia="Calibri" w:hAnsi="Verdana" w:cs="Arial"/>
          <w:color w:val="000000"/>
          <w:lang w:val="es-ES_tradnl"/>
        </w:rPr>
        <w:t xml:space="preserve">ii) En cuanto al segundo problema jurídico planteado, es importante indicar que </w:t>
      </w:r>
      <w:r>
        <w:rPr>
          <w:rFonts w:ascii="Verdana" w:eastAsia="Calibri" w:hAnsi="Verdana" w:cs="Arial"/>
          <w:color w:val="000000" w:themeColor="text1"/>
          <w:lang w:val="es-ES" w:eastAsia="en-GB"/>
        </w:rPr>
        <w:t>e</w:t>
      </w:r>
      <w:r w:rsidRPr="1916222D">
        <w:rPr>
          <w:rFonts w:ascii="Verdana" w:eastAsia="Calibri" w:hAnsi="Verdana" w:cs="Arial"/>
          <w:color w:val="000000" w:themeColor="text1"/>
          <w:lang w:val="es-ES" w:eastAsia="en-GB"/>
        </w:rPr>
        <w:t>l E</w:t>
      </w:r>
      <w:r>
        <w:rPr>
          <w:rFonts w:ascii="Verdana" w:eastAsia="Calibri" w:hAnsi="Verdana" w:cs="Arial"/>
          <w:color w:val="000000" w:themeColor="text1"/>
          <w:lang w:val="es-ES" w:eastAsia="en-GB"/>
        </w:rPr>
        <w:t xml:space="preserve">statuto General de </w:t>
      </w:r>
      <w:r w:rsidRPr="1916222D">
        <w:rPr>
          <w:rFonts w:ascii="Verdana" w:eastAsia="Calibri" w:hAnsi="Verdana" w:cs="Arial"/>
          <w:color w:val="000000" w:themeColor="text1"/>
          <w:lang w:val="es-ES" w:eastAsia="en-GB"/>
        </w:rPr>
        <w:t>C</w:t>
      </w:r>
      <w:r>
        <w:rPr>
          <w:rFonts w:ascii="Verdana" w:eastAsia="Calibri" w:hAnsi="Verdana" w:cs="Arial"/>
          <w:color w:val="000000" w:themeColor="text1"/>
          <w:lang w:val="es-ES" w:eastAsia="en-GB"/>
        </w:rPr>
        <w:t xml:space="preserve">ontratación de la </w:t>
      </w:r>
      <w:r w:rsidRPr="1916222D">
        <w:rPr>
          <w:rFonts w:ascii="Verdana" w:eastAsia="Calibri" w:hAnsi="Verdana" w:cs="Arial"/>
          <w:color w:val="000000" w:themeColor="text1"/>
          <w:lang w:val="es-ES" w:eastAsia="en-GB"/>
        </w:rPr>
        <w:t>A</w:t>
      </w:r>
      <w:r>
        <w:rPr>
          <w:rFonts w:ascii="Verdana" w:eastAsia="Calibri" w:hAnsi="Verdana" w:cs="Arial"/>
          <w:color w:val="000000" w:themeColor="text1"/>
          <w:lang w:val="es-ES" w:eastAsia="en-GB"/>
        </w:rPr>
        <w:t xml:space="preserve">dministración </w:t>
      </w:r>
      <w:r w:rsidRPr="1916222D">
        <w:rPr>
          <w:rFonts w:ascii="Verdana" w:eastAsia="Calibri" w:hAnsi="Verdana" w:cs="Arial"/>
          <w:color w:val="000000" w:themeColor="text1"/>
          <w:lang w:val="es-ES" w:eastAsia="en-GB"/>
        </w:rPr>
        <w:t>P</w:t>
      </w:r>
      <w:r>
        <w:rPr>
          <w:rFonts w:ascii="Verdana" w:eastAsia="Calibri" w:hAnsi="Verdana" w:cs="Arial"/>
          <w:color w:val="000000" w:themeColor="text1"/>
          <w:lang w:val="es-ES" w:eastAsia="en-GB"/>
        </w:rPr>
        <w:t>ública</w:t>
      </w:r>
      <w:r w:rsidRPr="1916222D">
        <w:rPr>
          <w:rFonts w:ascii="Verdana" w:eastAsia="Calibri" w:hAnsi="Verdana" w:cs="Arial"/>
          <w:color w:val="000000" w:themeColor="text1"/>
          <w:lang w:val="es-ES" w:eastAsia="en-GB"/>
        </w:rPr>
        <w:t xml:space="preserve"> prevé dos tipos de exigencias en relación con los contratos estatales: i) las relacionadas con el perfeccionamiento y ii) las que tienen que ver con la ejecución. Si bien ambas se complementan y marcan el origen de la fase contractual –o de ejecución–, es importante distinguirlas, ya que las consecuencias jurídicas que generan son diferentes. </w:t>
      </w:r>
    </w:p>
    <w:p w14:paraId="5F2B896D" w14:textId="77777777" w:rsidR="004D389B" w:rsidRPr="00BF13E7" w:rsidRDefault="004D389B" w:rsidP="004D389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Los </w:t>
      </w:r>
      <w:r w:rsidRPr="1916222D">
        <w:rPr>
          <w:rFonts w:ascii="Verdana" w:eastAsia="Calibri" w:hAnsi="Verdana" w:cs="Arial"/>
          <w:i/>
          <w:iCs/>
          <w:color w:val="000000"/>
          <w:lang w:val="es-ES" w:eastAsia="en-GB"/>
        </w:rPr>
        <w:t>requisitos de perfeccionamiento</w:t>
      </w:r>
      <w:r w:rsidRPr="1916222D">
        <w:rPr>
          <w:rFonts w:ascii="Verdana" w:eastAsia="Calibri" w:hAnsi="Verdana" w:cs="Arial"/>
          <w:color w:val="000000"/>
          <w:lang w:val="es-ES" w:eastAsia="en-GB"/>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w:t>
      </w:r>
      <w:r w:rsidRPr="00BF13E7">
        <w:rPr>
          <w:rStyle w:val="Refdenotaalpie"/>
          <w:rFonts w:ascii="Verdana" w:eastAsia="Calibri" w:hAnsi="Verdana" w:cs="Arial"/>
          <w:color w:val="000000"/>
          <w:lang w:val="es-ES_tradnl" w:eastAsia="en-GB"/>
        </w:rPr>
        <w:footnoteReference w:id="19"/>
      </w:r>
      <w:r w:rsidRPr="1916222D">
        <w:rPr>
          <w:rFonts w:ascii="Verdana" w:eastAsia="Calibri" w:hAnsi="Verdana" w:cs="Arial"/>
          <w:color w:val="000000"/>
          <w:lang w:val="es-ES" w:eastAsia="en-GB"/>
        </w:rPr>
        <w:t>. Los requisitos de perfeccionamiento del contrato estatal ingresan dentro de los elementos de la esencia.</w:t>
      </w:r>
    </w:p>
    <w:p w14:paraId="24440B5E" w14:textId="77777777" w:rsidR="004D389B" w:rsidRPr="00BF13E7" w:rsidRDefault="004D389B" w:rsidP="004D389B">
      <w:pPr>
        <w:spacing w:after="120" w:line="276" w:lineRule="auto"/>
        <w:ind w:firstLine="709"/>
        <w:jc w:val="both"/>
        <w:rPr>
          <w:rFonts w:ascii="Verdana" w:eastAsia="Calibri" w:hAnsi="Verdana" w:cs="Arial"/>
          <w:color w:val="000000"/>
          <w:lang w:val="es-ES" w:eastAsia="en-GB"/>
        </w:rPr>
      </w:pPr>
      <w:r w:rsidRPr="00545DB3">
        <w:rPr>
          <w:rFonts w:ascii="Verdana" w:eastAsia="Calibri" w:hAnsi="Verdana" w:cs="Arial"/>
          <w:color w:val="000000"/>
          <w:lang w:val="es-ES" w:eastAsia="en-GB"/>
        </w:rPr>
        <w:t xml:space="preserve">Por otra parte, los contratos –en términos generales– pueden ser: consensuales, reales o solemnes. Son </w:t>
      </w:r>
      <w:r w:rsidRPr="1916222D">
        <w:rPr>
          <w:rFonts w:ascii="Verdana" w:eastAsia="Calibri" w:hAnsi="Verdana" w:cs="Arial"/>
          <w:i/>
          <w:iCs/>
          <w:color w:val="000000"/>
          <w:lang w:val="es-ES" w:eastAsia="en-GB"/>
        </w:rPr>
        <w:t>consensuales</w:t>
      </w:r>
      <w:r w:rsidRPr="00545DB3">
        <w:rPr>
          <w:rFonts w:ascii="Verdana" w:eastAsia="Calibri" w:hAnsi="Verdana" w:cs="Arial"/>
          <w:color w:val="000000"/>
          <w:lang w:val="es-ES" w:eastAsia="en-GB"/>
        </w:rPr>
        <w:t xml:space="preserve"> los que se perfeccionan con el consentimiento informal, pues no requieren de formalidades especiales. Son </w:t>
      </w:r>
      <w:r w:rsidRPr="1916222D">
        <w:rPr>
          <w:rFonts w:ascii="Verdana" w:eastAsia="Calibri" w:hAnsi="Verdana" w:cs="Arial"/>
          <w:i/>
          <w:iCs/>
          <w:color w:val="000000"/>
          <w:lang w:val="es-ES" w:eastAsia="en-GB"/>
        </w:rPr>
        <w:t>reales</w:t>
      </w:r>
      <w:r w:rsidRPr="00545DB3">
        <w:rPr>
          <w:rFonts w:ascii="Verdana" w:eastAsia="Calibri" w:hAnsi="Verdana" w:cs="Arial"/>
          <w:color w:val="000000"/>
          <w:lang w:val="es-ES" w:eastAsia="en-GB"/>
        </w:rPr>
        <w:t xml:space="preserve"> aquellos que existen solo con la tradición o entrega de una cosa. Por su </w:t>
      </w:r>
      <w:r w:rsidRPr="00545DB3">
        <w:rPr>
          <w:rFonts w:ascii="Verdana" w:eastAsia="Calibri" w:hAnsi="Verdana" w:cs="Arial"/>
          <w:color w:val="000000"/>
          <w:lang w:val="es-ES" w:eastAsia="en-GB"/>
        </w:rPr>
        <w:lastRenderedPageBreak/>
        <w:t xml:space="preserve">parte, son </w:t>
      </w:r>
      <w:r w:rsidRPr="1916222D">
        <w:rPr>
          <w:rFonts w:ascii="Verdana" w:eastAsia="Calibri" w:hAnsi="Verdana" w:cs="Arial"/>
          <w:i/>
          <w:iCs/>
          <w:color w:val="000000"/>
          <w:lang w:val="es-ES" w:eastAsia="en-GB"/>
        </w:rPr>
        <w:t>solemnes</w:t>
      </w:r>
      <w:r w:rsidRPr="00545DB3">
        <w:rPr>
          <w:rFonts w:ascii="Verdana" w:eastAsia="Calibri" w:hAnsi="Verdana" w:cs="Arial"/>
          <w:color w:val="000000"/>
          <w:lang w:val="es-ES" w:eastAsia="en-GB"/>
        </w:rPr>
        <w:t>, en cambio, aquellos contratos cuyo perfeccionamiento está revestido del cumplimiento de exigencias formales o ritualidades específicas</w:t>
      </w:r>
      <w:r w:rsidRPr="00BF13E7">
        <w:rPr>
          <w:rStyle w:val="Refdenotaalpie"/>
          <w:rFonts w:ascii="Verdana" w:eastAsia="Calibri" w:hAnsi="Verdana" w:cs="Arial"/>
          <w:color w:val="000000"/>
          <w:lang w:val="es-ES" w:eastAsia="en-GB"/>
        </w:rPr>
        <w:footnoteReference w:id="20"/>
      </w:r>
      <w:r w:rsidRPr="00545DB3">
        <w:rPr>
          <w:rFonts w:ascii="Verdana" w:eastAsia="Calibri" w:hAnsi="Verdana" w:cs="Arial"/>
          <w:color w:val="000000"/>
          <w:lang w:val="es-ES" w:eastAsia="en-GB"/>
        </w:rPr>
        <w:t xml:space="preserve">. Pues bien, los contratos estatales regulados por el ECGAP, por regla general, son solemnes, ya que solo se entienden celebrados si se cumplen ciertas formalidades. </w:t>
      </w:r>
    </w:p>
    <w:p w14:paraId="6174D6C9" w14:textId="77777777" w:rsidR="004D389B" w:rsidRPr="00BF13E7" w:rsidRDefault="004D389B" w:rsidP="004D389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w:t>
      </w:r>
      <w:r>
        <w:rPr>
          <w:rFonts w:ascii="Verdana" w:eastAsia="Calibri" w:hAnsi="Verdana" w:cs="Arial"/>
          <w:color w:val="000000"/>
          <w:lang w:val="es-ES" w:eastAsia="en-GB"/>
        </w:rPr>
        <w:t>:</w:t>
      </w:r>
      <w:r w:rsidRPr="1916222D">
        <w:rPr>
          <w:rFonts w:ascii="Verdana" w:eastAsia="Calibri" w:hAnsi="Verdana" w:cs="Arial"/>
          <w:color w:val="000000"/>
          <w:lang w:val="es-ES" w:eastAsia="en-GB"/>
        </w:rPr>
        <w:t xml:space="preserve"> “</w:t>
      </w:r>
      <w:r>
        <w:rPr>
          <w:rFonts w:ascii="Verdana" w:eastAsia="Calibri" w:hAnsi="Verdana" w:cs="Arial"/>
          <w:color w:val="000000"/>
          <w:lang w:val="es-ES" w:eastAsia="en-GB"/>
        </w:rPr>
        <w:t xml:space="preserve">(…) </w:t>
      </w:r>
      <w:r w:rsidRPr="1916222D">
        <w:rPr>
          <w:rFonts w:ascii="Verdana" w:eastAsia="Calibri" w:hAnsi="Verdana" w:cs="Arial"/>
          <w:color w:val="000000"/>
          <w:lang w:val="es-ES" w:eastAsia="en-GB"/>
        </w:rPr>
        <w:t xml:space="preserve">principalmente, </w:t>
      </w:r>
      <w:r w:rsidRPr="1916222D">
        <w:rPr>
          <w:rFonts w:ascii="Verdana" w:eastAsia="Calibri" w:hAnsi="Verdana" w:cs="Arial"/>
          <w:i/>
          <w:iCs/>
          <w:color w:val="000000"/>
          <w:lang w:val="es-ES" w:eastAsia="en-GB"/>
        </w:rPr>
        <w:t>solemne,</w:t>
      </w:r>
      <w:r w:rsidRPr="1916222D">
        <w:rPr>
          <w:rFonts w:ascii="Verdana" w:eastAsia="Calibri" w:hAnsi="Verdana" w:cs="Arial"/>
          <w:color w:val="000000"/>
          <w:lang w:val="es-ES" w:eastAsia="en-GB"/>
        </w:rPr>
        <w:t xml:space="preserve"> ya que la manifestación de voluntad, si no se expresa bajo la forma </w:t>
      </w:r>
      <w:r w:rsidRPr="1916222D">
        <w:rPr>
          <w:rFonts w:ascii="Verdana" w:eastAsia="Calibri" w:hAnsi="Verdana" w:cs="Arial"/>
          <w:i/>
          <w:iCs/>
          <w:color w:val="000000"/>
          <w:lang w:val="es-ES" w:eastAsia="en-GB"/>
        </w:rPr>
        <w:t>ad solemnitatem</w:t>
      </w:r>
      <w:r w:rsidRPr="1916222D">
        <w:rPr>
          <w:rFonts w:ascii="Verdana" w:eastAsia="Calibri" w:hAnsi="Verdana" w:cs="Arial"/>
          <w:color w:val="000000"/>
          <w:lang w:val="es-ES" w:eastAsia="en-GB"/>
        </w:rPr>
        <w:t xml:space="preserve"> o </w:t>
      </w:r>
      <w:r w:rsidRPr="1916222D">
        <w:rPr>
          <w:rFonts w:ascii="Verdana" w:eastAsia="Calibri" w:hAnsi="Verdana" w:cs="Arial"/>
          <w:i/>
          <w:iCs/>
          <w:color w:val="000000"/>
          <w:lang w:val="es-ES" w:eastAsia="en-GB"/>
        </w:rPr>
        <w:t>ad substantiam actus</w:t>
      </w:r>
      <w:r w:rsidRPr="1916222D">
        <w:rPr>
          <w:rFonts w:ascii="Verdana" w:eastAsia="Calibri" w:hAnsi="Verdana" w:cs="Arial"/>
          <w:color w:val="000000"/>
          <w:lang w:val="es-ES" w:eastAsia="en-GB"/>
        </w:rPr>
        <w:t xml:space="preserve"> exigida por la ley, es inexistente, es decir, se entiende que el contrato jamás ha sido creado para el mundo jurídico”</w:t>
      </w:r>
      <w:r w:rsidRPr="00BF13E7">
        <w:rPr>
          <w:rStyle w:val="Refdenotaalpie"/>
          <w:rFonts w:ascii="Verdana" w:eastAsia="Calibri" w:hAnsi="Verdana" w:cs="Arial"/>
          <w:color w:val="000000"/>
          <w:lang w:val="es-ES_tradnl" w:eastAsia="en-GB"/>
        </w:rPr>
        <w:footnoteReference w:id="21"/>
      </w:r>
      <w:r w:rsidRPr="1916222D">
        <w:rPr>
          <w:rFonts w:ascii="Verdana" w:eastAsia="Calibri" w:hAnsi="Verdana" w:cs="Arial"/>
          <w:color w:val="000000"/>
          <w:lang w:val="es-ES" w:eastAsia="en-GB"/>
        </w:rPr>
        <w:t xml:space="preserve">. </w:t>
      </w:r>
    </w:p>
    <w:p w14:paraId="5A60BB5A" w14:textId="77777777" w:rsidR="004D389B" w:rsidRPr="00BF13E7" w:rsidRDefault="004D389B" w:rsidP="004D389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La excepción a esta regla se encuentra en el cuarto inciso del mismo artículo, según el cual, “En caso de situaciones de urgencia manifiesta a que se refiere el artículo </w:t>
      </w:r>
      <w:hyperlink r:id="rId10" w:anchor="42" w:history="1">
        <w:r w:rsidRPr="1916222D">
          <w:rPr>
            <w:rFonts w:ascii="Verdana" w:hAnsi="Verdana" w:cs="Arial"/>
            <w:color w:val="000000"/>
            <w:lang w:val="es-ES" w:eastAsia="en-GB"/>
          </w:rPr>
          <w:t>42</w:t>
        </w:r>
      </w:hyperlink>
      <w:r w:rsidRPr="1916222D">
        <w:rPr>
          <w:rFonts w:ascii="Verdana" w:eastAsia="Calibri" w:hAnsi="Verdana" w:cs="Arial"/>
          <w:color w:val="000000"/>
          <w:lang w:val="es-ES" w:eastAsia="en-GB"/>
        </w:rPr>
        <w:t xml:space="preserve"> de esta ley que no permitan la suscripción de contrato escrito, se prescindirá de éste y aún del acuerdo acerca de la remuneración, no obstante, deberá dejarse constancia escrita de la autorización impartida por la entidad estatal contratante”. </w:t>
      </w:r>
      <w:r w:rsidRPr="1916222D">
        <w:rPr>
          <w:rFonts w:ascii="Verdana" w:eastAsia="Calibri" w:hAnsi="Verdana" w:cs="Arial"/>
          <w:color w:val="000000" w:themeColor="text1"/>
          <w:lang w:val="es-ES" w:eastAsia="en-GB"/>
        </w:rPr>
        <w:t>En otras palabras, por regla general, los contratos estatales deben constar por escrito, salvo que se presente una situación de urgencia manifiesta en la que no haya tiempo de cumplir con esta formalidad.</w:t>
      </w:r>
    </w:p>
    <w:p w14:paraId="4C005FD5" w14:textId="77777777" w:rsidR="004D389B" w:rsidRPr="007A7F07" w:rsidRDefault="004D389B" w:rsidP="004D389B">
      <w:pPr>
        <w:spacing w:after="120" w:line="276" w:lineRule="auto"/>
        <w:ind w:firstLine="709"/>
        <w:jc w:val="both"/>
        <w:rPr>
          <w:rFonts w:ascii="Verdana" w:eastAsia="Calibri" w:hAnsi="Verdana" w:cs="Arial"/>
          <w:color w:val="000000" w:themeColor="text1"/>
          <w:lang w:eastAsia="en-GB"/>
        </w:rPr>
      </w:pPr>
      <w:r>
        <w:rPr>
          <w:rFonts w:ascii="Verdana" w:eastAsia="Calibri" w:hAnsi="Verdana" w:cs="Arial"/>
          <w:color w:val="000000" w:themeColor="text1"/>
          <w:lang w:val="es-ES" w:eastAsia="en-GB"/>
        </w:rPr>
        <w:t xml:space="preserve">Por su parte, los requisitos de ejecución del contrato estatal según lo dispuesto en el inciso segundo del artículo 41 de la Ley 80 de 1993 corresponden a: i) la </w:t>
      </w:r>
      <w:r w:rsidRPr="007A7F07">
        <w:rPr>
          <w:rFonts w:ascii="Verdana" w:eastAsia="Calibri" w:hAnsi="Verdana" w:cs="Arial"/>
          <w:color w:val="000000" w:themeColor="text1"/>
          <w:lang w:eastAsia="en-GB"/>
        </w:rPr>
        <w:t>probación de la garantía</w:t>
      </w:r>
      <w:r>
        <w:rPr>
          <w:rFonts w:ascii="Verdana" w:eastAsia="Calibri" w:hAnsi="Verdana" w:cs="Arial"/>
          <w:color w:val="000000" w:themeColor="text1"/>
          <w:lang w:eastAsia="en-GB"/>
        </w:rPr>
        <w:t xml:space="preserve">, ii) </w:t>
      </w:r>
      <w:r w:rsidRPr="007A7F07">
        <w:rPr>
          <w:rFonts w:ascii="Verdana" w:eastAsia="Calibri" w:hAnsi="Verdana" w:cs="Arial"/>
          <w:color w:val="000000" w:themeColor="text1"/>
          <w:lang w:eastAsia="en-GB"/>
        </w:rPr>
        <w:t xml:space="preserve">la existencia de las disponibilidades presupuestales correspondientes, salvo que se trate de la contratación con recursos de vigencias fiscales futuras de conformidad con lo previsto en la ley </w:t>
      </w:r>
      <w:r w:rsidRPr="007A7F07">
        <w:rPr>
          <w:rFonts w:ascii="Verdana" w:eastAsia="Calibri" w:hAnsi="Verdana" w:cs="Arial"/>
          <w:color w:val="000000" w:themeColor="text1"/>
          <w:lang w:eastAsia="en-GB"/>
        </w:rPr>
        <w:lastRenderedPageBreak/>
        <w:t>orgánica del presupuesto</w:t>
      </w:r>
      <w:r>
        <w:rPr>
          <w:rFonts w:ascii="Verdana" w:eastAsia="Calibri" w:hAnsi="Verdana" w:cs="Arial"/>
          <w:color w:val="000000" w:themeColor="text1"/>
          <w:lang w:eastAsia="en-GB"/>
        </w:rPr>
        <w:t xml:space="preserve"> y iii)</w:t>
      </w:r>
      <w:r w:rsidRPr="007A7F07">
        <w:rPr>
          <w:rFonts w:ascii="Verdana" w:eastAsia="Calibri" w:hAnsi="Verdana" w:cs="Arial"/>
          <w:color w:val="000000" w:themeColor="text1"/>
          <w:lang w:eastAsia="en-GB"/>
        </w:rPr>
        <w:t xml:space="preserve"> </w:t>
      </w:r>
      <w:r>
        <w:rPr>
          <w:rFonts w:ascii="Verdana" w:eastAsia="Calibri" w:hAnsi="Verdana" w:cs="Arial"/>
          <w:color w:val="000000" w:themeColor="text1"/>
          <w:lang w:eastAsia="en-GB"/>
        </w:rPr>
        <w:t>la acreditación por parte del contratista del pago de la seguridad social integral.</w:t>
      </w:r>
    </w:p>
    <w:p w14:paraId="45695D0C" w14:textId="77777777" w:rsidR="004D389B" w:rsidRDefault="004D389B" w:rsidP="004D389B">
      <w:pPr>
        <w:widowControl w:val="0"/>
        <w:autoSpaceDE w:val="0"/>
        <w:autoSpaceDN w:val="0"/>
        <w:snapToGrid w:val="0"/>
        <w:spacing w:after="120" w:line="276" w:lineRule="auto"/>
        <w:ind w:firstLine="709"/>
        <w:jc w:val="both"/>
        <w:rPr>
          <w:rFonts w:ascii="Verdana" w:eastAsia="Arial" w:hAnsi="Verdana" w:cs="Arial"/>
        </w:rPr>
      </w:pPr>
      <w:r>
        <w:rPr>
          <w:rFonts w:ascii="Verdana" w:eastAsia="Calibri" w:hAnsi="Verdana" w:cs="Arial"/>
          <w:color w:val="000000"/>
          <w:lang w:val="es-ES_tradnl"/>
        </w:rPr>
        <w:t xml:space="preserve">En concordancia con lo expuesto, </w:t>
      </w:r>
      <w:r w:rsidRPr="00290BA8">
        <w:rPr>
          <w:rFonts w:ascii="Verdana" w:eastAsia="Arial" w:hAnsi="Verdana" w:cs="Arial"/>
        </w:rPr>
        <w:t>resulta pertinente precisar que, con el fin de garantizar la estabilidad ocupacional reforzada de las mujeres vinculadas mediante contratos de prestación de servicios que se encuentren en estado de embarazo, las entidades deberán evaluar, en el marco de su autonomía administrativa y contractual, las medidas que estimen más razonables y proporcionales para armonizar, de una parte, los principios de la gestión fiscal y la adecuada ejecución contractual, y de otra, la correcta aplicación de la normativa presupuestal vigente, sin desconocer la protección de los derechos fundamentales de las contratistas beneficiarias de dicha estabilidad reforzada.</w:t>
      </w:r>
    </w:p>
    <w:p w14:paraId="76237A0F" w14:textId="77777777" w:rsidR="004D389B" w:rsidRPr="003F6C92" w:rsidRDefault="004D389B" w:rsidP="004D389B">
      <w:pPr>
        <w:spacing w:after="120" w:line="276" w:lineRule="auto"/>
        <w:ind w:firstLine="708"/>
        <w:jc w:val="both"/>
        <w:rPr>
          <w:rFonts w:ascii="Verdana" w:eastAsia="Calibri" w:hAnsi="Verdana" w:cs="Arial"/>
          <w:color w:val="000000"/>
          <w:lang w:val="es-ES_tradnl"/>
        </w:rPr>
      </w:pPr>
      <w:r w:rsidRPr="00A06D64">
        <w:rPr>
          <w:rFonts w:ascii="Verdana" w:eastAsia="Calibri" w:hAnsi="Verdana" w:cs="Arial"/>
          <w:color w:val="000000"/>
          <w:lang w:val="es-ES_tradnl"/>
        </w:rPr>
        <w:t>Ahora bien, es importante tener en cuenta que la celebración de un contrato de prestación de servicios conlleva el despliegue de una serie de actuaciones administrativas y contractuales, tales como la elaboración de los estudios previos, la expedición del Certificado de Disponibilidad Presupuestal (CDP), la verificación y revisión de la documentación que acredite las condiciones del potencial contratista, así como la posterior suscripción del contrato, entre otras etapas propias del procedimiento contractual. En ese sentido, el trámite necesario para lograr una contratación no es inmediato y puede implicar varios días, circunstancia que debe ser considerada por las entidades al momento de adoptar decisiones orientadas a garantizar la continuidad en la protección de la contratista durante el período de amparo constitucional.</w:t>
      </w:r>
    </w:p>
    <w:p w14:paraId="4A0E9672" w14:textId="77777777" w:rsidR="004D389B" w:rsidRPr="00290BA8" w:rsidRDefault="004D389B" w:rsidP="004D389B">
      <w:pPr>
        <w:widowControl w:val="0"/>
        <w:autoSpaceDE w:val="0"/>
        <w:autoSpaceDN w:val="0"/>
        <w:snapToGrid w:val="0"/>
        <w:spacing w:after="120" w:line="276" w:lineRule="auto"/>
        <w:ind w:firstLine="709"/>
        <w:jc w:val="both"/>
        <w:rPr>
          <w:rFonts w:ascii="Verdana" w:eastAsia="Arial" w:hAnsi="Verdana" w:cs="Arial"/>
        </w:rPr>
      </w:pPr>
      <w:r w:rsidRPr="00290BA8">
        <w:rPr>
          <w:rFonts w:ascii="Verdana" w:eastAsia="Arial" w:hAnsi="Verdana" w:cs="Arial"/>
        </w:rPr>
        <w:t xml:space="preserve">En aquellos eventos en los que la continuidad contractual se vea limitada por la culminación de la vigencia fiscal, la entidad podrá optar por la celebración de un nuevo contrato de prestación de servicios al inicio de la vigencia fiscal siguiente, procurando en todo caso una mínima solución de continuidad, </w:t>
      </w:r>
      <w:r>
        <w:rPr>
          <w:rFonts w:ascii="Verdana" w:eastAsia="Arial" w:hAnsi="Verdana" w:cs="Arial"/>
        </w:rPr>
        <w:t xml:space="preserve">pero teniendo en cuenta el proceso que se despliega para lograr la celebración del contrato. Esto, </w:t>
      </w:r>
      <w:r w:rsidRPr="00290BA8">
        <w:rPr>
          <w:rFonts w:ascii="Verdana" w:eastAsia="Arial" w:hAnsi="Verdana" w:cs="Arial"/>
        </w:rPr>
        <w:t>con el propósito de garantizar la protección efectiva de los derechos de la contratista durante el período de amparo constitucional</w:t>
      </w:r>
      <w:r>
        <w:rPr>
          <w:rFonts w:ascii="Verdana" w:eastAsia="Arial" w:hAnsi="Verdana" w:cs="Arial"/>
        </w:rPr>
        <w:t xml:space="preserve">. </w:t>
      </w:r>
    </w:p>
    <w:p w14:paraId="2CAE7D24" w14:textId="77777777" w:rsidR="004D389B" w:rsidRPr="009A6F9B" w:rsidRDefault="004D389B" w:rsidP="004D389B">
      <w:pPr>
        <w:spacing w:after="120" w:line="276" w:lineRule="auto"/>
        <w:ind w:firstLine="709"/>
        <w:jc w:val="both"/>
        <w:rPr>
          <w:rFonts w:ascii="Verdana" w:hAnsi="Verdana" w:cs="Arial"/>
          <w:lang w:eastAsia="es-ES"/>
        </w:rPr>
      </w:pPr>
      <w:r w:rsidRPr="009A6F9B">
        <w:rPr>
          <w:rFonts w:ascii="Verdana" w:hAnsi="Verdana" w:cs="Arial"/>
          <w:lang w:eastAsia="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09A6F9B">
        <w:rPr>
          <w:rFonts w:ascii="Verdana" w:hAnsi="Verdana" w:cs="Arial"/>
          <w:lang w:eastAsia="es-ES"/>
        </w:rPr>
        <w:lastRenderedPageBreak/>
        <w:t>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D038CDE" w14:textId="77777777" w:rsidR="004D389B" w:rsidRDefault="004D389B" w:rsidP="004D389B">
      <w:pPr>
        <w:spacing w:after="120" w:line="276" w:lineRule="auto"/>
        <w:ind w:firstLine="708"/>
        <w:jc w:val="both"/>
      </w:pP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4C4002BB" w14:textId="77777777" w:rsidR="004D389B" w:rsidRDefault="004D389B" w:rsidP="004D389B">
      <w:pPr>
        <w:autoSpaceDE w:val="0"/>
        <w:autoSpaceDN w:val="0"/>
        <w:adjustRightInd w:val="0"/>
        <w:spacing w:after="120" w:line="276" w:lineRule="auto"/>
        <w:ind w:firstLine="709"/>
        <w:jc w:val="both"/>
        <w:rPr>
          <w:rFonts w:ascii="Verdana" w:hAnsi="Verdana" w:cs="Arial"/>
        </w:rPr>
      </w:pPr>
      <w:r w:rsidRPr="00EA766F">
        <w:rPr>
          <w:rFonts w:ascii="Verdana" w:eastAsia="Times New Roman" w:hAnsi="Verdana" w:cs="Arial"/>
          <w:color w:val="000000" w:themeColor="text1"/>
          <w:lang w:eastAsia="es-CO"/>
        </w:rPr>
        <w:t>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legalidad, igualdad y buena fe que rigen la función administrativa</w:t>
      </w:r>
      <w:r>
        <w:rPr>
          <w:rFonts w:ascii="Verdana" w:hAnsi="Verdana" w:cs="Arial"/>
        </w:rPr>
        <w:t>.</w:t>
      </w:r>
    </w:p>
    <w:p w14:paraId="4F6E0C52" w14:textId="1D170786" w:rsidR="004D389B" w:rsidRPr="004D389B" w:rsidRDefault="004D389B" w:rsidP="004D389B">
      <w:pPr>
        <w:spacing w:after="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3DD15B3F" w14:textId="77777777" w:rsidR="00C5798E" w:rsidRPr="00D15515" w:rsidRDefault="00C5798E" w:rsidP="00C5798E">
      <w:pPr>
        <w:widowControl w:val="0"/>
        <w:autoSpaceDE w:val="0"/>
        <w:autoSpaceDN w:val="0"/>
        <w:spacing w:after="0" w:line="276" w:lineRule="auto"/>
        <w:jc w:val="both"/>
        <w:rPr>
          <w:rFonts w:ascii="Verdana" w:eastAsia="Calibri" w:hAnsi="Verdana" w:cs="Arial"/>
          <w:color w:val="000000"/>
          <w:shd w:val="clear" w:color="auto" w:fill="FFFFFF"/>
        </w:rPr>
      </w:pPr>
    </w:p>
    <w:bookmarkEnd w:id="4"/>
    <w:bookmarkEnd w:id="5"/>
    <w:p w14:paraId="23A6603F" w14:textId="77777777" w:rsidR="00C5798E" w:rsidRPr="00272372" w:rsidRDefault="00C5798E" w:rsidP="00C5798E">
      <w:pPr>
        <w:tabs>
          <w:tab w:val="left" w:pos="142"/>
          <w:tab w:val="left" w:pos="284"/>
        </w:tabs>
        <w:spacing w:after="0" w:line="276" w:lineRule="auto"/>
        <w:rPr>
          <w:rFonts w:ascii="Verdana" w:eastAsia="Century Gothic" w:hAnsi="Verdana" w:cs="Century Gothic"/>
          <w:b/>
          <w:bCs/>
        </w:rPr>
      </w:pPr>
      <w:r w:rsidRPr="00272372">
        <w:rPr>
          <w:rFonts w:ascii="Verdana" w:eastAsia="Century Gothic" w:hAnsi="Verdana" w:cs="Century Gothic"/>
          <w:b/>
          <w:bCs/>
        </w:rPr>
        <w:t>4. Referencias normativas:</w:t>
      </w:r>
    </w:p>
    <w:bookmarkEnd w:id="6"/>
    <w:p w14:paraId="40C71AFE" w14:textId="77777777" w:rsidR="00C5798E" w:rsidRPr="00272372" w:rsidRDefault="00C5798E" w:rsidP="00C5798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5798E" w:rsidRPr="00272372" w14:paraId="49C38DE0" w14:textId="77777777" w:rsidTr="00226B10">
        <w:trPr>
          <w:trHeight w:val="870"/>
          <w:jc w:val="center"/>
        </w:trPr>
        <w:tc>
          <w:tcPr>
            <w:tcW w:w="8647" w:type="dxa"/>
          </w:tcPr>
          <w:p w14:paraId="437FC67B" w14:textId="77777777" w:rsidR="00FD7B0F" w:rsidRPr="004A4C2E" w:rsidRDefault="00C5798E" w:rsidP="00FD7B0F">
            <w:pPr>
              <w:widowControl w:val="0"/>
              <w:numPr>
                <w:ilvl w:val="0"/>
                <w:numId w:val="8"/>
              </w:numPr>
              <w:autoSpaceDE w:val="0"/>
              <w:autoSpaceDN w:val="0"/>
              <w:spacing w:line="276" w:lineRule="auto"/>
              <w:jc w:val="both"/>
              <w:rPr>
                <w:rFonts w:ascii="Verdana" w:eastAsia="Arial MT" w:hAnsi="Verdana" w:cs="Arial"/>
                <w:lang w:val="es-ES" w:eastAsia="es-ES" w:bidi="es-ES"/>
              </w:rPr>
            </w:pPr>
            <w:r>
              <w:rPr>
                <w:rFonts w:ascii="Verdana" w:eastAsia="Arial" w:hAnsi="Verdana" w:cs="Arial"/>
              </w:rPr>
              <w:t xml:space="preserve"> </w:t>
            </w:r>
            <w:bookmarkStart w:id="7" w:name="_Hlk215586792"/>
            <w:r w:rsidR="00FD7B0F" w:rsidRPr="004A4C2E">
              <w:rPr>
                <w:rFonts w:ascii="Verdana" w:eastAsia="Arial MT" w:hAnsi="Verdana" w:cs="Arial"/>
                <w:lang w:val="es-ES" w:eastAsia="es-ES" w:bidi="es-ES"/>
              </w:rPr>
              <w:t>Código Sustantivo del Trabajo. Artículo</w:t>
            </w:r>
            <w:r w:rsidR="00FD7B0F">
              <w:rPr>
                <w:rFonts w:ascii="Verdana" w:eastAsia="Arial MT" w:hAnsi="Verdana" w:cs="Arial"/>
                <w:lang w:val="es-ES" w:eastAsia="es-ES" w:bidi="es-ES"/>
              </w:rPr>
              <w:t>s</w:t>
            </w:r>
            <w:r w:rsidR="00FD7B0F" w:rsidRPr="004A4C2E">
              <w:rPr>
                <w:rFonts w:ascii="Verdana" w:eastAsia="Arial MT" w:hAnsi="Verdana" w:cs="Arial"/>
                <w:lang w:val="es-ES" w:eastAsia="es-ES" w:bidi="es-ES"/>
              </w:rPr>
              <w:t xml:space="preserve"> 238, 239, 240 y 241A, numeral 1. </w:t>
            </w:r>
          </w:p>
          <w:p w14:paraId="17EE3F24" w14:textId="77777777" w:rsidR="00FD7B0F" w:rsidRPr="004A4C2E" w:rsidRDefault="00FD7B0F" w:rsidP="00FD7B0F">
            <w:pPr>
              <w:widowControl w:val="0"/>
              <w:numPr>
                <w:ilvl w:val="0"/>
                <w:numId w:val="8"/>
              </w:numPr>
              <w:autoSpaceDE w:val="0"/>
              <w:autoSpaceDN w:val="0"/>
              <w:spacing w:line="276" w:lineRule="auto"/>
              <w:jc w:val="both"/>
              <w:rPr>
                <w:rFonts w:ascii="Verdana" w:eastAsia="Arial MT" w:hAnsi="Verdana" w:cs="Arial"/>
                <w:lang w:val="es-ES" w:eastAsia="es-ES" w:bidi="es-ES"/>
              </w:rPr>
            </w:pPr>
            <w:r w:rsidRPr="004A4C2E">
              <w:rPr>
                <w:rFonts w:ascii="Verdana" w:eastAsia="Arial MT" w:hAnsi="Verdana" w:cs="Arial"/>
                <w:lang w:val="es-ES" w:eastAsia="es-ES" w:bidi="es-ES"/>
              </w:rPr>
              <w:t xml:space="preserve">Ley 80 de 1993. Artículo 32 numeral 3. </w:t>
            </w:r>
          </w:p>
          <w:bookmarkEnd w:id="7"/>
          <w:p w14:paraId="29F9157B" w14:textId="77777777" w:rsidR="00FD7B0F" w:rsidRPr="004A4C2E" w:rsidRDefault="00FD7B0F" w:rsidP="00FD7B0F">
            <w:pPr>
              <w:widowControl w:val="0"/>
              <w:numPr>
                <w:ilvl w:val="0"/>
                <w:numId w:val="8"/>
              </w:numPr>
              <w:autoSpaceDE w:val="0"/>
              <w:autoSpaceDN w:val="0"/>
              <w:spacing w:line="276" w:lineRule="auto"/>
              <w:jc w:val="both"/>
              <w:rPr>
                <w:rFonts w:ascii="Verdana" w:eastAsia="Arial MT" w:hAnsi="Verdana" w:cs="Arial"/>
                <w:lang w:val="es-ES" w:eastAsia="es-ES" w:bidi="es-ES"/>
              </w:rPr>
            </w:pPr>
            <w:r w:rsidRPr="004A4C2E">
              <w:rPr>
                <w:rFonts w:ascii="Verdana" w:eastAsia="Arial MT" w:hAnsi="Verdana" w:cs="Arial"/>
                <w:lang w:val="es-ES" w:eastAsia="es-ES" w:bidi="es-ES"/>
              </w:rPr>
              <w:t xml:space="preserve">Ley 1150 de 2007. Artículo 2 numeral 4 literal h). </w:t>
            </w:r>
          </w:p>
          <w:p w14:paraId="53B9DB83" w14:textId="77777777" w:rsidR="00FD7B0F" w:rsidRPr="004A4C2E" w:rsidRDefault="00FD7B0F" w:rsidP="00FD7B0F">
            <w:pPr>
              <w:widowControl w:val="0"/>
              <w:numPr>
                <w:ilvl w:val="0"/>
                <w:numId w:val="8"/>
              </w:numPr>
              <w:autoSpaceDE w:val="0"/>
              <w:autoSpaceDN w:val="0"/>
              <w:spacing w:line="276" w:lineRule="auto"/>
              <w:jc w:val="both"/>
              <w:rPr>
                <w:rFonts w:ascii="Verdana" w:eastAsia="Arial MT" w:hAnsi="Verdana" w:cs="Arial"/>
                <w:lang w:val="es-ES" w:eastAsia="es-ES" w:bidi="es-ES"/>
              </w:rPr>
            </w:pPr>
            <w:r w:rsidRPr="004A4C2E">
              <w:rPr>
                <w:rFonts w:ascii="Verdana" w:eastAsia="Arial MT" w:hAnsi="Verdana" w:cs="Arial"/>
                <w:lang w:val="es-ES" w:eastAsia="es-ES" w:bidi="es-ES"/>
              </w:rPr>
              <w:lastRenderedPageBreak/>
              <w:t>Decreto 1082 de 2015. Artículo 2.2.1.2.1.4.9.</w:t>
            </w:r>
          </w:p>
          <w:p w14:paraId="1C27038A" w14:textId="77777777" w:rsidR="00FD7B0F" w:rsidRPr="004A4C2E" w:rsidRDefault="00FD7B0F" w:rsidP="00FD7B0F">
            <w:pPr>
              <w:widowControl w:val="0"/>
              <w:numPr>
                <w:ilvl w:val="0"/>
                <w:numId w:val="8"/>
              </w:numPr>
              <w:autoSpaceDE w:val="0"/>
              <w:autoSpaceDN w:val="0"/>
              <w:spacing w:line="276" w:lineRule="auto"/>
              <w:jc w:val="both"/>
              <w:rPr>
                <w:rFonts w:ascii="Verdana" w:eastAsia="Arial MT" w:hAnsi="Verdana" w:cs="Arial"/>
                <w:lang w:val="es-ES" w:eastAsia="es-ES" w:bidi="es-ES"/>
              </w:rPr>
            </w:pPr>
            <w:r w:rsidRPr="004A4C2E">
              <w:rPr>
                <w:rFonts w:ascii="Verdana" w:eastAsia="Arial MT" w:hAnsi="Verdana" w:cs="Arial"/>
                <w:lang w:val="es-ES" w:eastAsia="es-ES" w:bidi="es-ES"/>
              </w:rPr>
              <w:t xml:space="preserve">Ley 2306 de 2023. Artículo 6. </w:t>
            </w:r>
          </w:p>
          <w:p w14:paraId="1FBF7B88" w14:textId="77777777" w:rsidR="00FD7B0F" w:rsidRPr="004A4C2E" w:rsidRDefault="00FD7B0F" w:rsidP="00FD7B0F">
            <w:pPr>
              <w:pStyle w:val="Textonotapie"/>
              <w:numPr>
                <w:ilvl w:val="0"/>
                <w:numId w:val="8"/>
              </w:numPr>
              <w:spacing w:line="276" w:lineRule="auto"/>
              <w:jc w:val="both"/>
              <w:rPr>
                <w:rFonts w:ascii="Verdana" w:hAnsi="Verdana"/>
                <w:sz w:val="22"/>
                <w:szCs w:val="22"/>
                <w:lang w:val="pt-BR"/>
              </w:rPr>
            </w:pPr>
            <w:r w:rsidRPr="004A4C2E">
              <w:rPr>
                <w:rFonts w:ascii="Verdana" w:hAnsi="Verdana" w:cs="Arial"/>
                <w:color w:val="000000"/>
                <w:sz w:val="22"/>
                <w:szCs w:val="22"/>
                <w:lang w:val="pt-BR"/>
              </w:rPr>
              <w:t>Corte Constitucional. Sentencia C-154 de 1997. M.P. Hernando Herrera Vergara.</w:t>
            </w:r>
          </w:p>
          <w:p w14:paraId="0FF2E54E" w14:textId="77777777" w:rsidR="00FD7B0F" w:rsidRPr="004A4C2E" w:rsidRDefault="00FD7B0F" w:rsidP="00FD7B0F">
            <w:pPr>
              <w:pStyle w:val="Textonotapie"/>
              <w:numPr>
                <w:ilvl w:val="0"/>
                <w:numId w:val="8"/>
              </w:numPr>
              <w:spacing w:line="276" w:lineRule="auto"/>
              <w:jc w:val="both"/>
              <w:rPr>
                <w:rFonts w:ascii="Verdana" w:hAnsi="Verdana" w:cs="Arial"/>
                <w:color w:val="000000"/>
                <w:sz w:val="22"/>
                <w:szCs w:val="22"/>
                <w:lang w:val="es-ES"/>
              </w:rPr>
            </w:pPr>
            <w:r w:rsidRPr="004A4C2E">
              <w:rPr>
                <w:rFonts w:ascii="Verdana" w:hAnsi="Verdana"/>
                <w:sz w:val="22"/>
                <w:szCs w:val="22"/>
                <w:lang w:val="es-CO"/>
              </w:rPr>
              <w:t>Sentencia</w:t>
            </w:r>
            <w:r w:rsidRPr="004A4C2E">
              <w:rPr>
                <w:rFonts w:ascii="Verdana" w:hAnsi="Verdana"/>
                <w:spacing w:val="-7"/>
                <w:sz w:val="22"/>
                <w:szCs w:val="22"/>
                <w:lang w:val="es-CO"/>
              </w:rPr>
              <w:t xml:space="preserve"> </w:t>
            </w:r>
            <w:r w:rsidRPr="004A4C2E">
              <w:rPr>
                <w:rFonts w:ascii="Verdana" w:hAnsi="Verdana"/>
                <w:sz w:val="22"/>
                <w:szCs w:val="22"/>
                <w:lang w:val="es-CO"/>
              </w:rPr>
              <w:t>SU-070</w:t>
            </w:r>
            <w:r w:rsidRPr="004A4C2E">
              <w:rPr>
                <w:rFonts w:ascii="Verdana" w:hAnsi="Verdana"/>
                <w:spacing w:val="-8"/>
                <w:sz w:val="22"/>
                <w:szCs w:val="22"/>
                <w:lang w:val="es-CO"/>
              </w:rPr>
              <w:t xml:space="preserve"> </w:t>
            </w:r>
            <w:r w:rsidRPr="004A4C2E">
              <w:rPr>
                <w:rFonts w:ascii="Verdana" w:hAnsi="Verdana"/>
                <w:sz w:val="22"/>
                <w:szCs w:val="22"/>
                <w:lang w:val="es-CO"/>
              </w:rPr>
              <w:t>de</w:t>
            </w:r>
            <w:r w:rsidRPr="004A4C2E">
              <w:rPr>
                <w:rFonts w:ascii="Verdana" w:hAnsi="Verdana"/>
                <w:spacing w:val="-7"/>
                <w:sz w:val="22"/>
                <w:szCs w:val="22"/>
                <w:lang w:val="es-CO"/>
              </w:rPr>
              <w:t xml:space="preserve"> </w:t>
            </w:r>
            <w:r w:rsidRPr="004A4C2E">
              <w:rPr>
                <w:rFonts w:ascii="Verdana" w:hAnsi="Verdana"/>
                <w:sz w:val="22"/>
                <w:szCs w:val="22"/>
                <w:lang w:val="es-CO"/>
              </w:rPr>
              <w:t>2013.</w:t>
            </w:r>
            <w:r w:rsidRPr="004A4C2E">
              <w:rPr>
                <w:rFonts w:ascii="Verdana" w:hAnsi="Verdana"/>
                <w:spacing w:val="-7"/>
                <w:sz w:val="22"/>
                <w:szCs w:val="22"/>
                <w:lang w:val="es-CO"/>
              </w:rPr>
              <w:t xml:space="preserve"> </w:t>
            </w:r>
            <w:r w:rsidRPr="004A4C2E">
              <w:rPr>
                <w:rFonts w:ascii="Verdana" w:hAnsi="Verdana"/>
                <w:sz w:val="22"/>
                <w:szCs w:val="22"/>
                <w:lang w:val="es-CO"/>
              </w:rPr>
              <w:t>Fund.</w:t>
            </w:r>
            <w:r w:rsidRPr="004A4C2E">
              <w:rPr>
                <w:rFonts w:ascii="Verdana" w:hAnsi="Verdana"/>
                <w:spacing w:val="-8"/>
                <w:sz w:val="22"/>
                <w:szCs w:val="22"/>
                <w:lang w:val="es-CO"/>
              </w:rPr>
              <w:t xml:space="preserve"> </w:t>
            </w:r>
            <w:r w:rsidRPr="004A4C2E">
              <w:rPr>
                <w:rFonts w:ascii="Verdana" w:hAnsi="Verdana"/>
                <w:sz w:val="22"/>
                <w:szCs w:val="22"/>
                <w:lang w:val="es-CO"/>
              </w:rPr>
              <w:t>6.</w:t>
            </w:r>
            <w:r w:rsidRPr="004A4C2E">
              <w:rPr>
                <w:rFonts w:ascii="Verdana" w:hAnsi="Verdana"/>
                <w:spacing w:val="-7"/>
                <w:sz w:val="22"/>
                <w:szCs w:val="22"/>
                <w:lang w:val="es-CO"/>
              </w:rPr>
              <w:t xml:space="preserve"> </w:t>
            </w:r>
            <w:r w:rsidRPr="004A4C2E">
              <w:rPr>
                <w:rFonts w:ascii="Verdana" w:hAnsi="Verdana"/>
                <w:sz w:val="22"/>
                <w:szCs w:val="22"/>
                <w:lang w:val="es-CO"/>
              </w:rPr>
              <w:t>Reiterado</w:t>
            </w:r>
            <w:r w:rsidRPr="004A4C2E">
              <w:rPr>
                <w:rFonts w:ascii="Verdana" w:hAnsi="Verdana"/>
                <w:spacing w:val="-7"/>
                <w:sz w:val="22"/>
                <w:szCs w:val="22"/>
                <w:lang w:val="es-CO"/>
              </w:rPr>
              <w:t xml:space="preserve"> </w:t>
            </w:r>
            <w:r w:rsidRPr="004A4C2E">
              <w:rPr>
                <w:rFonts w:ascii="Verdana" w:hAnsi="Verdana"/>
                <w:sz w:val="22"/>
                <w:szCs w:val="22"/>
                <w:lang w:val="es-CO"/>
              </w:rPr>
              <w:t>en</w:t>
            </w:r>
            <w:r w:rsidRPr="004A4C2E">
              <w:rPr>
                <w:rFonts w:ascii="Verdana" w:hAnsi="Verdana"/>
                <w:spacing w:val="-8"/>
                <w:sz w:val="22"/>
                <w:szCs w:val="22"/>
                <w:lang w:val="es-CO"/>
              </w:rPr>
              <w:t xml:space="preserve"> </w:t>
            </w:r>
            <w:r w:rsidRPr="004A4C2E">
              <w:rPr>
                <w:rFonts w:ascii="Verdana" w:hAnsi="Verdana"/>
                <w:sz w:val="22"/>
                <w:szCs w:val="22"/>
                <w:lang w:val="es-CO"/>
              </w:rPr>
              <w:t>las</w:t>
            </w:r>
            <w:r w:rsidRPr="004A4C2E">
              <w:rPr>
                <w:rFonts w:ascii="Verdana" w:hAnsi="Verdana"/>
                <w:spacing w:val="1"/>
                <w:sz w:val="22"/>
                <w:szCs w:val="22"/>
                <w:lang w:val="es-CO"/>
              </w:rPr>
              <w:t xml:space="preserve"> </w:t>
            </w:r>
            <w:r w:rsidRPr="004A4C2E">
              <w:rPr>
                <w:rFonts w:ascii="Verdana" w:hAnsi="Verdana"/>
                <w:sz w:val="22"/>
                <w:szCs w:val="22"/>
                <w:lang w:val="es-CO"/>
              </w:rPr>
              <w:t>sentencias</w:t>
            </w:r>
            <w:r w:rsidRPr="004A4C2E">
              <w:rPr>
                <w:rFonts w:ascii="Verdana" w:hAnsi="Verdana"/>
                <w:spacing w:val="-7"/>
                <w:sz w:val="22"/>
                <w:szCs w:val="22"/>
                <w:lang w:val="es-CO"/>
              </w:rPr>
              <w:t xml:space="preserve"> </w:t>
            </w:r>
            <w:r w:rsidRPr="004A4C2E">
              <w:rPr>
                <w:rFonts w:ascii="Verdana" w:hAnsi="Verdana"/>
                <w:sz w:val="22"/>
                <w:szCs w:val="22"/>
                <w:lang w:val="es-CO"/>
              </w:rPr>
              <w:t>SU-040</w:t>
            </w:r>
            <w:r w:rsidRPr="004A4C2E">
              <w:rPr>
                <w:rFonts w:ascii="Verdana" w:hAnsi="Verdana"/>
                <w:spacing w:val="-7"/>
                <w:sz w:val="22"/>
                <w:szCs w:val="22"/>
                <w:lang w:val="es-CO"/>
              </w:rPr>
              <w:t xml:space="preserve"> </w:t>
            </w:r>
            <w:r w:rsidRPr="004A4C2E">
              <w:rPr>
                <w:rFonts w:ascii="Verdana" w:hAnsi="Verdana"/>
                <w:sz w:val="22"/>
                <w:szCs w:val="22"/>
                <w:lang w:val="es-CO"/>
              </w:rPr>
              <w:t>de</w:t>
            </w:r>
            <w:r w:rsidRPr="004A4C2E">
              <w:rPr>
                <w:rFonts w:ascii="Verdana" w:hAnsi="Verdana"/>
                <w:spacing w:val="-8"/>
                <w:sz w:val="22"/>
                <w:szCs w:val="22"/>
                <w:lang w:val="es-CO"/>
              </w:rPr>
              <w:t xml:space="preserve"> </w:t>
            </w:r>
            <w:r w:rsidRPr="004A4C2E">
              <w:rPr>
                <w:rFonts w:ascii="Verdana" w:hAnsi="Verdana"/>
                <w:sz w:val="22"/>
                <w:szCs w:val="22"/>
                <w:lang w:val="es-CO"/>
              </w:rPr>
              <w:t>2018</w:t>
            </w:r>
            <w:r w:rsidRPr="004A4C2E">
              <w:rPr>
                <w:rFonts w:ascii="Verdana" w:hAnsi="Verdana"/>
                <w:spacing w:val="-7"/>
                <w:sz w:val="22"/>
                <w:szCs w:val="22"/>
                <w:lang w:val="es-CO"/>
              </w:rPr>
              <w:t xml:space="preserve"> </w:t>
            </w:r>
            <w:r w:rsidRPr="004A4C2E">
              <w:rPr>
                <w:rFonts w:ascii="Verdana" w:hAnsi="Verdana"/>
                <w:sz w:val="22"/>
                <w:szCs w:val="22"/>
                <w:lang w:val="es-CO"/>
              </w:rPr>
              <w:t>y</w:t>
            </w:r>
            <w:r w:rsidRPr="004A4C2E">
              <w:rPr>
                <w:rFonts w:ascii="Verdana" w:hAnsi="Verdana"/>
                <w:spacing w:val="-7"/>
                <w:sz w:val="22"/>
                <w:szCs w:val="22"/>
                <w:lang w:val="es-CO"/>
              </w:rPr>
              <w:t xml:space="preserve"> </w:t>
            </w:r>
            <w:r w:rsidRPr="004A4C2E">
              <w:rPr>
                <w:rFonts w:ascii="Verdana" w:hAnsi="Verdana"/>
                <w:sz w:val="22"/>
                <w:szCs w:val="22"/>
                <w:lang w:val="es-CO"/>
              </w:rPr>
              <w:t>SU-075</w:t>
            </w:r>
            <w:r w:rsidRPr="004A4C2E">
              <w:rPr>
                <w:rFonts w:ascii="Verdana" w:hAnsi="Verdana"/>
                <w:spacing w:val="-8"/>
                <w:sz w:val="22"/>
                <w:szCs w:val="22"/>
                <w:lang w:val="es-CO"/>
              </w:rPr>
              <w:t xml:space="preserve"> </w:t>
            </w:r>
            <w:r w:rsidRPr="004A4C2E">
              <w:rPr>
                <w:rFonts w:ascii="Verdana" w:hAnsi="Verdana"/>
                <w:sz w:val="22"/>
                <w:szCs w:val="22"/>
                <w:lang w:val="es-CO"/>
              </w:rPr>
              <w:t>de</w:t>
            </w:r>
            <w:r w:rsidRPr="004A4C2E">
              <w:rPr>
                <w:rFonts w:ascii="Verdana" w:hAnsi="Verdana"/>
                <w:spacing w:val="-7"/>
                <w:sz w:val="22"/>
                <w:szCs w:val="22"/>
                <w:lang w:val="es-CO"/>
              </w:rPr>
              <w:t xml:space="preserve"> </w:t>
            </w:r>
            <w:r w:rsidRPr="004A4C2E">
              <w:rPr>
                <w:rFonts w:ascii="Verdana" w:hAnsi="Verdana"/>
                <w:spacing w:val="-2"/>
                <w:sz w:val="22"/>
                <w:szCs w:val="22"/>
                <w:lang w:val="es-CO"/>
              </w:rPr>
              <w:t>2018.</w:t>
            </w:r>
          </w:p>
          <w:p w14:paraId="74538D17" w14:textId="77777777" w:rsidR="00FD7B0F" w:rsidRPr="004A4C2E" w:rsidRDefault="00FD7B0F" w:rsidP="00FD7B0F">
            <w:pPr>
              <w:pStyle w:val="Textonotapie"/>
              <w:numPr>
                <w:ilvl w:val="0"/>
                <w:numId w:val="8"/>
              </w:numPr>
              <w:spacing w:line="276" w:lineRule="auto"/>
              <w:jc w:val="both"/>
              <w:rPr>
                <w:rFonts w:ascii="Verdana" w:hAnsi="Verdana" w:cs="Arial"/>
                <w:sz w:val="22"/>
                <w:szCs w:val="22"/>
              </w:rPr>
            </w:pPr>
            <w:r w:rsidRPr="004A4C2E">
              <w:rPr>
                <w:rFonts w:ascii="Verdana" w:hAnsi="Verdana" w:cs="Arial"/>
                <w:sz w:val="22"/>
                <w:szCs w:val="22"/>
              </w:rPr>
              <w:t xml:space="preserve">Corte Constitucional. Sentencia T-102 de 2016. M.P: María Victoria Calle Correa. </w:t>
            </w:r>
          </w:p>
          <w:p w14:paraId="4458AE8E" w14:textId="77777777" w:rsidR="00FD7B0F" w:rsidRPr="004A4C2E" w:rsidDel="00A37FEF" w:rsidRDefault="00FD7B0F" w:rsidP="00FD7B0F">
            <w:pPr>
              <w:pStyle w:val="Textonotapie"/>
              <w:numPr>
                <w:ilvl w:val="0"/>
                <w:numId w:val="8"/>
              </w:numPr>
              <w:spacing w:line="276" w:lineRule="auto"/>
              <w:jc w:val="both"/>
              <w:rPr>
                <w:rFonts w:ascii="Verdana" w:hAnsi="Verdana" w:cs="Arial"/>
                <w:sz w:val="22"/>
                <w:szCs w:val="22"/>
              </w:rPr>
            </w:pPr>
            <w:r w:rsidRPr="004A4C2E">
              <w:rPr>
                <w:rFonts w:ascii="Verdana" w:hAnsi="Verdana"/>
                <w:sz w:val="22"/>
                <w:szCs w:val="22"/>
                <w:lang w:val="es-CO"/>
              </w:rPr>
              <w:t>Corte Constitucional. Sentencia T-350 del 2016. M.P: María Victoria Calle Correa.</w:t>
            </w:r>
          </w:p>
          <w:p w14:paraId="192D5987" w14:textId="77777777" w:rsidR="00FD7B0F" w:rsidRPr="004A4C2E" w:rsidRDefault="00FD7B0F" w:rsidP="00FD7B0F">
            <w:pPr>
              <w:pStyle w:val="Textonotapie"/>
              <w:numPr>
                <w:ilvl w:val="0"/>
                <w:numId w:val="8"/>
              </w:numPr>
              <w:spacing w:line="276" w:lineRule="auto"/>
              <w:jc w:val="both"/>
              <w:rPr>
                <w:rFonts w:ascii="Verdana" w:hAnsi="Verdana" w:cs="Arial"/>
                <w:color w:val="000000"/>
                <w:sz w:val="22"/>
                <w:szCs w:val="22"/>
                <w:lang w:val="es-ES"/>
              </w:rPr>
            </w:pPr>
            <w:r w:rsidRPr="004A4C2E">
              <w:rPr>
                <w:rFonts w:ascii="Verdana" w:hAnsi="Verdana" w:cs="Arial"/>
                <w:sz w:val="22"/>
                <w:szCs w:val="22"/>
              </w:rPr>
              <w:t>Corte Constitucional, sentencia T-564 de 2017. M.P: Cristina Pardo Schlesinger</w:t>
            </w:r>
          </w:p>
          <w:p w14:paraId="7BD03EA5" w14:textId="77777777" w:rsidR="00FD7B0F" w:rsidRPr="004A4C2E" w:rsidRDefault="00FD7B0F" w:rsidP="00FD7B0F">
            <w:pPr>
              <w:pStyle w:val="Textonotapie"/>
              <w:numPr>
                <w:ilvl w:val="0"/>
                <w:numId w:val="8"/>
              </w:numPr>
              <w:spacing w:line="276" w:lineRule="auto"/>
              <w:jc w:val="both"/>
              <w:rPr>
                <w:rFonts w:ascii="Verdana" w:hAnsi="Verdana"/>
                <w:sz w:val="22"/>
                <w:szCs w:val="22"/>
                <w:lang w:val="es-CO"/>
              </w:rPr>
            </w:pPr>
            <w:r w:rsidRPr="004A4C2E">
              <w:rPr>
                <w:rFonts w:ascii="Verdana" w:hAnsi="Verdana"/>
                <w:sz w:val="22"/>
                <w:szCs w:val="22"/>
                <w:lang w:val="es-CO"/>
              </w:rPr>
              <w:t>Corte Constitucional. Sentencia T-743 de 2017. M.P: Gloria Stella Ortiz Delgado.</w:t>
            </w:r>
          </w:p>
          <w:p w14:paraId="7F003F64" w14:textId="77777777" w:rsidR="00FD7B0F" w:rsidRPr="004A4C2E" w:rsidRDefault="00FD7B0F" w:rsidP="00FD7B0F">
            <w:pPr>
              <w:pStyle w:val="Textonotapie"/>
              <w:numPr>
                <w:ilvl w:val="0"/>
                <w:numId w:val="8"/>
              </w:numPr>
              <w:spacing w:line="276" w:lineRule="auto"/>
              <w:jc w:val="both"/>
              <w:rPr>
                <w:rFonts w:ascii="Verdana" w:hAnsi="Verdana"/>
                <w:sz w:val="22"/>
                <w:szCs w:val="22"/>
                <w:lang w:val="es-CO"/>
              </w:rPr>
            </w:pPr>
            <w:r w:rsidRPr="004A4C2E">
              <w:rPr>
                <w:rFonts w:ascii="Verdana" w:hAnsi="Verdana"/>
                <w:sz w:val="22"/>
                <w:szCs w:val="22"/>
                <w:lang w:val="es-ES"/>
              </w:rPr>
              <w:t xml:space="preserve">Corte Constitucional. Sentencia T-030 de 2018. M.P: </w:t>
            </w:r>
            <w:r w:rsidRPr="004A4C2E">
              <w:rPr>
                <w:rFonts w:ascii="Verdana" w:hAnsi="Verdana"/>
                <w:sz w:val="22"/>
                <w:szCs w:val="22"/>
                <w:lang w:val="es-CO"/>
              </w:rPr>
              <w:t>José Fernando Reyes Cuartas.</w:t>
            </w:r>
          </w:p>
          <w:p w14:paraId="478CDE7B" w14:textId="77777777" w:rsidR="00FD7B0F" w:rsidRPr="004A4C2E" w:rsidRDefault="00FD7B0F" w:rsidP="00FD7B0F">
            <w:pPr>
              <w:pStyle w:val="Textonotapie"/>
              <w:numPr>
                <w:ilvl w:val="0"/>
                <w:numId w:val="8"/>
              </w:numPr>
              <w:spacing w:line="276" w:lineRule="auto"/>
              <w:jc w:val="both"/>
              <w:rPr>
                <w:rFonts w:ascii="Verdana" w:hAnsi="Verdana" w:cs="Arial"/>
                <w:color w:val="000000"/>
                <w:sz w:val="22"/>
                <w:szCs w:val="22"/>
                <w:lang w:val="es-ES"/>
              </w:rPr>
            </w:pPr>
            <w:r w:rsidRPr="004A4C2E">
              <w:rPr>
                <w:rFonts w:ascii="Verdana" w:hAnsi="Verdana"/>
                <w:sz w:val="22"/>
                <w:szCs w:val="22"/>
                <w:lang w:val="es-CO"/>
              </w:rPr>
              <w:t>Corte Constitucional. Sentencia SU-075 de 2018. M.P: Gloria Stella Ortiz Delgado.</w:t>
            </w:r>
          </w:p>
          <w:p w14:paraId="023FF7F8" w14:textId="77777777" w:rsidR="00FD7B0F" w:rsidRPr="004A4C2E" w:rsidRDefault="00FD7B0F" w:rsidP="00FD7B0F">
            <w:pPr>
              <w:pStyle w:val="Textonotapie"/>
              <w:numPr>
                <w:ilvl w:val="0"/>
                <w:numId w:val="8"/>
              </w:numPr>
              <w:spacing w:line="276" w:lineRule="auto"/>
              <w:jc w:val="both"/>
              <w:rPr>
                <w:rFonts w:ascii="Verdana" w:hAnsi="Verdana" w:cs="Arial"/>
                <w:color w:val="000000"/>
                <w:sz w:val="22"/>
                <w:szCs w:val="22"/>
                <w:lang w:val="es-ES"/>
              </w:rPr>
            </w:pPr>
            <w:r w:rsidRPr="004A4C2E">
              <w:rPr>
                <w:rFonts w:ascii="Verdana" w:hAnsi="Verdana"/>
                <w:sz w:val="22"/>
                <w:szCs w:val="22"/>
              </w:rPr>
              <w:t>Corte</w:t>
            </w:r>
            <w:r w:rsidRPr="004A4C2E">
              <w:rPr>
                <w:rFonts w:ascii="Verdana" w:hAnsi="Verdana"/>
                <w:spacing w:val="1"/>
                <w:sz w:val="22"/>
                <w:szCs w:val="22"/>
              </w:rPr>
              <w:t xml:space="preserve"> </w:t>
            </w:r>
            <w:r w:rsidRPr="004A4C2E">
              <w:rPr>
                <w:rFonts w:ascii="Verdana" w:hAnsi="Verdana"/>
                <w:sz w:val="22"/>
                <w:szCs w:val="22"/>
              </w:rPr>
              <w:t>Constitucional.</w:t>
            </w:r>
            <w:r w:rsidRPr="004A4C2E">
              <w:rPr>
                <w:rFonts w:ascii="Verdana" w:hAnsi="Verdana"/>
                <w:spacing w:val="3"/>
                <w:sz w:val="22"/>
                <w:szCs w:val="22"/>
              </w:rPr>
              <w:t xml:space="preserve"> </w:t>
            </w:r>
            <w:r w:rsidRPr="004A4C2E">
              <w:rPr>
                <w:rFonts w:ascii="Verdana" w:hAnsi="Verdana"/>
                <w:sz w:val="22"/>
                <w:szCs w:val="22"/>
              </w:rPr>
              <w:t>Sentencia</w:t>
            </w:r>
            <w:r w:rsidRPr="004A4C2E">
              <w:rPr>
                <w:rFonts w:ascii="Verdana" w:hAnsi="Verdana"/>
                <w:spacing w:val="2"/>
                <w:sz w:val="22"/>
                <w:szCs w:val="22"/>
              </w:rPr>
              <w:t xml:space="preserve"> </w:t>
            </w:r>
            <w:r w:rsidRPr="004A4C2E">
              <w:rPr>
                <w:rFonts w:ascii="Verdana" w:hAnsi="Verdana"/>
                <w:sz w:val="22"/>
                <w:szCs w:val="22"/>
              </w:rPr>
              <w:t>T-329</w:t>
            </w:r>
            <w:r w:rsidRPr="004A4C2E">
              <w:rPr>
                <w:rFonts w:ascii="Verdana" w:hAnsi="Verdana"/>
                <w:spacing w:val="1"/>
                <w:sz w:val="22"/>
                <w:szCs w:val="22"/>
              </w:rPr>
              <w:t xml:space="preserve"> </w:t>
            </w:r>
            <w:r w:rsidRPr="004A4C2E">
              <w:rPr>
                <w:rFonts w:ascii="Verdana" w:hAnsi="Verdana"/>
                <w:sz w:val="22"/>
                <w:szCs w:val="22"/>
              </w:rPr>
              <w:t>del</w:t>
            </w:r>
            <w:r w:rsidRPr="004A4C2E">
              <w:rPr>
                <w:rFonts w:ascii="Verdana" w:hAnsi="Verdana"/>
                <w:spacing w:val="2"/>
                <w:sz w:val="22"/>
                <w:szCs w:val="22"/>
              </w:rPr>
              <w:t xml:space="preserve"> </w:t>
            </w:r>
            <w:r w:rsidRPr="004A4C2E">
              <w:rPr>
                <w:rFonts w:ascii="Verdana" w:hAnsi="Verdana"/>
                <w:sz w:val="22"/>
                <w:szCs w:val="22"/>
              </w:rPr>
              <w:t>19 de septiembre</w:t>
            </w:r>
            <w:r w:rsidRPr="004A4C2E">
              <w:rPr>
                <w:rFonts w:ascii="Verdana" w:hAnsi="Verdana"/>
                <w:spacing w:val="2"/>
                <w:sz w:val="22"/>
                <w:szCs w:val="22"/>
              </w:rPr>
              <w:t xml:space="preserve"> </w:t>
            </w:r>
            <w:r w:rsidRPr="004A4C2E">
              <w:rPr>
                <w:rFonts w:ascii="Verdana" w:hAnsi="Verdana"/>
                <w:sz w:val="22"/>
                <w:szCs w:val="22"/>
              </w:rPr>
              <w:t>de</w:t>
            </w:r>
            <w:r w:rsidRPr="004A4C2E">
              <w:rPr>
                <w:rFonts w:ascii="Verdana" w:hAnsi="Verdana"/>
                <w:spacing w:val="1"/>
                <w:sz w:val="22"/>
                <w:szCs w:val="22"/>
              </w:rPr>
              <w:t xml:space="preserve"> </w:t>
            </w:r>
            <w:r w:rsidRPr="004A4C2E">
              <w:rPr>
                <w:rFonts w:ascii="Verdana" w:hAnsi="Verdana"/>
                <w:sz w:val="22"/>
                <w:szCs w:val="22"/>
              </w:rPr>
              <w:t>2022.</w:t>
            </w:r>
            <w:r w:rsidRPr="004A4C2E">
              <w:rPr>
                <w:rFonts w:ascii="Verdana" w:hAnsi="Verdana"/>
                <w:spacing w:val="1"/>
                <w:sz w:val="22"/>
                <w:szCs w:val="22"/>
              </w:rPr>
              <w:t xml:space="preserve"> </w:t>
            </w:r>
            <w:r w:rsidRPr="004A4C2E">
              <w:rPr>
                <w:rFonts w:ascii="Verdana" w:hAnsi="Verdana"/>
                <w:sz w:val="22"/>
                <w:szCs w:val="22"/>
              </w:rPr>
              <w:t>M.P:</w:t>
            </w:r>
            <w:r w:rsidRPr="004A4C2E">
              <w:rPr>
                <w:rFonts w:ascii="Verdana" w:hAnsi="Verdana"/>
                <w:spacing w:val="1"/>
                <w:sz w:val="22"/>
                <w:szCs w:val="22"/>
              </w:rPr>
              <w:t xml:space="preserve"> </w:t>
            </w:r>
            <w:r w:rsidRPr="004A4C2E">
              <w:rPr>
                <w:rFonts w:ascii="Verdana" w:hAnsi="Verdana"/>
                <w:sz w:val="22"/>
                <w:szCs w:val="22"/>
              </w:rPr>
              <w:t>Natalia</w:t>
            </w:r>
            <w:r w:rsidRPr="004A4C2E">
              <w:rPr>
                <w:rFonts w:ascii="Verdana" w:hAnsi="Verdana"/>
                <w:spacing w:val="1"/>
                <w:sz w:val="22"/>
                <w:szCs w:val="22"/>
              </w:rPr>
              <w:t xml:space="preserve"> </w:t>
            </w:r>
            <w:r w:rsidRPr="004A4C2E">
              <w:rPr>
                <w:rFonts w:ascii="Verdana" w:hAnsi="Verdana"/>
                <w:spacing w:val="-2"/>
                <w:sz w:val="22"/>
                <w:szCs w:val="22"/>
              </w:rPr>
              <w:t>Ángel Cabo.</w:t>
            </w:r>
          </w:p>
          <w:p w14:paraId="6B188C0E" w14:textId="77777777" w:rsidR="00FD7B0F" w:rsidRPr="004A4C2E" w:rsidRDefault="00FD7B0F" w:rsidP="00FD7B0F">
            <w:pPr>
              <w:pStyle w:val="Textonotapie"/>
              <w:numPr>
                <w:ilvl w:val="0"/>
                <w:numId w:val="8"/>
              </w:numPr>
              <w:spacing w:line="276" w:lineRule="auto"/>
              <w:jc w:val="both"/>
              <w:rPr>
                <w:rFonts w:ascii="Verdana" w:hAnsi="Verdana" w:cs="Arial"/>
                <w:color w:val="000000"/>
                <w:sz w:val="22"/>
                <w:szCs w:val="22"/>
                <w:lang w:val="es-ES"/>
              </w:rPr>
            </w:pPr>
            <w:r w:rsidRPr="004A4C2E">
              <w:rPr>
                <w:rFonts w:ascii="Verdana" w:hAnsi="Verdana"/>
                <w:sz w:val="22"/>
                <w:szCs w:val="22"/>
              </w:rPr>
              <w:t xml:space="preserve">Corte Constitucional. </w:t>
            </w:r>
            <w:r w:rsidRPr="004A4C2E">
              <w:rPr>
                <w:rFonts w:ascii="Verdana" w:hAnsi="Verdana"/>
                <w:sz w:val="22"/>
                <w:szCs w:val="22"/>
                <w:lang w:val="es-ES"/>
              </w:rPr>
              <w:t>Sentencia T-014 de 2026.</w:t>
            </w:r>
          </w:p>
          <w:p w14:paraId="31634E67" w14:textId="27C1E050" w:rsidR="00C5798E" w:rsidRPr="0066049E" w:rsidRDefault="00FD7B0F" w:rsidP="00FD7B0F">
            <w:pPr>
              <w:pStyle w:val="Prrafodelista"/>
              <w:numPr>
                <w:ilvl w:val="0"/>
                <w:numId w:val="3"/>
              </w:numPr>
              <w:spacing w:line="276" w:lineRule="auto"/>
              <w:jc w:val="both"/>
              <w:rPr>
                <w:rFonts w:ascii="Verdana" w:hAnsi="Verdana"/>
              </w:rPr>
            </w:pPr>
            <w:r w:rsidRPr="004A4C2E">
              <w:rPr>
                <w:rFonts w:ascii="Verdana" w:hAnsi="Verdana" w:cs="Arial"/>
                <w:color w:val="000000"/>
              </w:rPr>
              <w:t>Consejo de Estado. Sección Tercera. Subsección C. Sentencia del 2 de diciembre de 2013. Exp. 41719. C.P. Jaime Orlando Santofimio Gamboa.</w:t>
            </w:r>
          </w:p>
        </w:tc>
      </w:tr>
    </w:tbl>
    <w:p w14:paraId="6E2696A6" w14:textId="77777777" w:rsidR="00C5798E" w:rsidRPr="00272372" w:rsidRDefault="00C5798E" w:rsidP="00C5798E">
      <w:pPr>
        <w:widowControl w:val="0"/>
        <w:autoSpaceDE w:val="0"/>
        <w:autoSpaceDN w:val="0"/>
        <w:spacing w:after="0" w:line="276" w:lineRule="auto"/>
        <w:jc w:val="both"/>
        <w:rPr>
          <w:rFonts w:ascii="Verdana" w:hAnsi="Verdana" w:cs="Arial"/>
        </w:rPr>
      </w:pPr>
    </w:p>
    <w:p w14:paraId="596E5B0F" w14:textId="77777777" w:rsidR="00C5798E" w:rsidRPr="00272372" w:rsidRDefault="00C5798E" w:rsidP="00C5798E">
      <w:pPr>
        <w:tabs>
          <w:tab w:val="left" w:pos="142"/>
          <w:tab w:val="left" w:pos="284"/>
        </w:tabs>
        <w:spacing w:after="0" w:line="276" w:lineRule="auto"/>
        <w:jc w:val="both"/>
        <w:rPr>
          <w:rFonts w:ascii="Verdana" w:eastAsia="Century Gothic" w:hAnsi="Verdana" w:cs="Century Gothic"/>
          <w:b/>
          <w:bCs/>
        </w:rPr>
      </w:pPr>
      <w:r w:rsidRPr="00272372">
        <w:rPr>
          <w:rFonts w:ascii="Verdana" w:eastAsia="Century Gothic" w:hAnsi="Verdana" w:cs="Century Gothic"/>
          <w:b/>
          <w:bCs/>
        </w:rPr>
        <w:t>5. Doctrina de la Agencia Nacional de Contratación Pública:</w:t>
      </w:r>
    </w:p>
    <w:p w14:paraId="79A838EB" w14:textId="77777777" w:rsidR="00C5798E" w:rsidRDefault="00C5798E" w:rsidP="00C5798E">
      <w:pPr>
        <w:pStyle w:val="Prrafodelista"/>
        <w:tabs>
          <w:tab w:val="left" w:pos="142"/>
          <w:tab w:val="left" w:pos="284"/>
        </w:tabs>
        <w:spacing w:after="0" w:line="276" w:lineRule="auto"/>
        <w:ind w:left="0"/>
        <w:jc w:val="both"/>
        <w:rPr>
          <w:rFonts w:ascii="Verdana" w:hAnsi="Verdana"/>
        </w:rPr>
      </w:pPr>
    </w:p>
    <w:p w14:paraId="459C93D8" w14:textId="77777777" w:rsidR="00C5798E" w:rsidRPr="00A35C49" w:rsidRDefault="00C5798E" w:rsidP="00C5798E">
      <w:pPr>
        <w:pStyle w:val="Prrafodelista"/>
        <w:tabs>
          <w:tab w:val="left" w:pos="142"/>
          <w:tab w:val="left" w:pos="284"/>
        </w:tabs>
        <w:spacing w:after="0" w:line="276" w:lineRule="auto"/>
        <w:ind w:left="0"/>
        <w:jc w:val="both"/>
        <w:rPr>
          <w:rFonts w:ascii="Verdana" w:hAnsi="Verdana"/>
        </w:rPr>
      </w:pPr>
    </w:p>
    <w:p w14:paraId="01D8D50B" w14:textId="77777777" w:rsidR="00440B0B" w:rsidRDefault="00440B0B" w:rsidP="00440B0B">
      <w:pPr>
        <w:widowControl w:val="0"/>
        <w:autoSpaceDE w:val="0"/>
        <w:autoSpaceDN w:val="0"/>
        <w:spacing w:after="0" w:line="276" w:lineRule="auto"/>
        <w:jc w:val="both"/>
        <w:rPr>
          <w:rFonts w:ascii="Verdana" w:hAnsi="Verdana" w:cs="Arial"/>
          <w:color w:val="000000" w:themeColor="text1"/>
          <w:shd w:val="clear" w:color="auto" w:fill="FFFFFF"/>
        </w:rPr>
      </w:pPr>
      <w:r w:rsidRPr="00D56DDB">
        <w:rPr>
          <w:rFonts w:ascii="Verdana" w:hAnsi="Verdana" w:cs="Arial"/>
          <w:bCs/>
          <w:shd w:val="clear" w:color="auto" w:fill="FFFFFF"/>
        </w:rPr>
        <w:t>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w:t>
      </w:r>
      <w:r w:rsidRPr="00D56DDB">
        <w:rPr>
          <w:rFonts w:ascii="Verdana" w:hAnsi="Verdana" w:cs="Arial"/>
          <w:bCs/>
          <w:shd w:val="clear" w:color="auto" w:fill="FFFFFF"/>
        </w:rPr>
        <w:lastRenderedPageBreak/>
        <w:t>142 del 14 de marzo de 2025, C- 192 del 25 de marzo de 2025, C- 414 del 12 de mayo de 2025, C-1271 del 17 de octubre de 2025, C-1848 del 21 de enero de 2026, entre otros</w:t>
      </w:r>
      <w:r w:rsidRPr="00D56DDB">
        <w:rPr>
          <w:rFonts w:ascii="Verdana" w:eastAsia="Calibri" w:hAnsi="Verdana" w:cs="Arial"/>
          <w:shd w:val="clear" w:color="auto" w:fill="FFFFFF"/>
        </w:rPr>
        <w:t>.</w:t>
      </w:r>
      <w:r w:rsidRPr="00D56DDB">
        <w:rPr>
          <w:rFonts w:ascii="Verdana" w:eastAsia="Calibri" w:hAnsi="Verdana" w:cs="Times New Roman"/>
        </w:rPr>
        <w:t xml:space="preserve"> </w:t>
      </w:r>
      <w:r w:rsidRPr="00D56DDB">
        <w:rPr>
          <w:rFonts w:ascii="Verdana" w:eastAsia="Century Gothic" w:hAnsi="Verdana" w:cs="Century Gothic"/>
        </w:rPr>
        <w:t>entre otros</w:t>
      </w:r>
      <w:r w:rsidRPr="00D56DDB">
        <w:rPr>
          <w:rFonts w:ascii="Verdana" w:hAnsi="Verdana" w:cs="Arial"/>
          <w:shd w:val="clear" w:color="auto" w:fill="FFFFFF"/>
          <w:lang w:val="es-ES"/>
        </w:rPr>
        <w:t xml:space="preserve">. </w:t>
      </w:r>
      <w:r w:rsidRPr="00D56DDB">
        <w:rPr>
          <w:rFonts w:ascii="Verdana" w:hAnsi="Verdana" w:cs="Arial"/>
        </w:rPr>
        <w:t xml:space="preserve">Estos y otros </w:t>
      </w:r>
      <w:r w:rsidRPr="00D56DDB">
        <w:rPr>
          <w:rFonts w:ascii="Verdana" w:hAnsi="Verdana"/>
        </w:rPr>
        <w:t>conceptos se encuentran disponibles para consulta en el Sistema de relatoría de la Agencia, al cual se puede acceder a través del siguiente enlace:</w:t>
      </w:r>
      <w:r w:rsidRPr="00D56DDB">
        <w:rPr>
          <w:rFonts w:ascii="Verdana" w:hAnsi="Verdana" w:cs="Arial"/>
          <w:shd w:val="clear" w:color="auto" w:fill="FFFFFF"/>
        </w:rPr>
        <w:t xml:space="preserve"> </w:t>
      </w:r>
      <w:hyperlink r:id="rId11" w:history="1">
        <w:r w:rsidRPr="00D56DDB">
          <w:rPr>
            <w:rStyle w:val="Hipervnculo"/>
            <w:rFonts w:ascii="Verdana" w:hAnsi="Verdana" w:cs="Arial"/>
            <w:shd w:val="clear" w:color="auto" w:fill="FFFFFF"/>
          </w:rPr>
          <w:t>https://relatoria.colombiacompra.gov.co/busqueda/conceptos</w:t>
        </w:r>
      </w:hyperlink>
      <w:r w:rsidRPr="00D56DDB">
        <w:rPr>
          <w:rFonts w:ascii="Verdana" w:hAnsi="Verdana" w:cs="Arial"/>
          <w:shd w:val="clear" w:color="auto" w:fill="FFFFFF"/>
        </w:rPr>
        <w:t>.</w:t>
      </w:r>
      <w:r w:rsidRPr="00D56DDB">
        <w:rPr>
          <w:rFonts w:ascii="Verdana" w:hAnsi="Verdana" w:cs="Arial"/>
          <w:color w:val="FF0000"/>
          <w:shd w:val="clear" w:color="auto" w:fill="FFFFFF"/>
        </w:rPr>
        <w:t xml:space="preserve"> </w:t>
      </w:r>
      <w:r w:rsidRPr="00D56DDB">
        <w:rPr>
          <w:rFonts w:ascii="Verdana" w:hAnsi="Verdana" w:cs="Arial"/>
          <w:color w:val="000000" w:themeColor="text1"/>
          <w:shd w:val="clear" w:color="auto" w:fill="FFFFFF"/>
        </w:rPr>
        <w:t>  </w:t>
      </w:r>
    </w:p>
    <w:p w14:paraId="1F1B6210" w14:textId="77777777" w:rsidR="00C5798E" w:rsidRPr="00076419" w:rsidRDefault="00C5798E" w:rsidP="00C5798E">
      <w:pPr>
        <w:widowControl w:val="0"/>
        <w:autoSpaceDE w:val="0"/>
        <w:autoSpaceDN w:val="0"/>
        <w:spacing w:after="0" w:line="276" w:lineRule="auto"/>
        <w:jc w:val="both"/>
        <w:rPr>
          <w:rFonts w:ascii="Verdana" w:eastAsia="Calibri" w:hAnsi="Verdana" w:cs="Arial"/>
          <w:color w:val="000000" w:themeColor="text1"/>
          <w:lang w:val="es-ES" w:eastAsia="es-ES_tradnl"/>
        </w:rPr>
      </w:pPr>
    </w:p>
    <w:p w14:paraId="788DBD07" w14:textId="77777777" w:rsidR="00C5798E" w:rsidRDefault="00C5798E" w:rsidP="00C5798E">
      <w:pPr>
        <w:spacing w:after="0" w:line="276" w:lineRule="auto"/>
        <w:jc w:val="both"/>
        <w:rPr>
          <w:rFonts w:ascii="Verdana" w:hAnsi="Verdana"/>
        </w:rPr>
      </w:pPr>
      <w:r w:rsidRPr="00272372">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0999EBD" w14:textId="77777777" w:rsidR="00C5798E" w:rsidRPr="00272372" w:rsidRDefault="00C5798E" w:rsidP="00C5798E">
      <w:pPr>
        <w:spacing w:after="0" w:line="276" w:lineRule="auto"/>
        <w:jc w:val="both"/>
        <w:rPr>
          <w:rFonts w:ascii="Verdana" w:eastAsia="Calibri" w:hAnsi="Verdana" w:cs="Times New Roman"/>
        </w:rPr>
      </w:pPr>
    </w:p>
    <w:p w14:paraId="506BB9C3" w14:textId="77777777" w:rsidR="00C5798E" w:rsidRPr="00272372" w:rsidRDefault="00C5798E" w:rsidP="00C5798E">
      <w:pPr>
        <w:pStyle w:val="Prrafodelista"/>
        <w:numPr>
          <w:ilvl w:val="0"/>
          <w:numId w:val="2"/>
        </w:numPr>
        <w:spacing w:after="0" w:line="276" w:lineRule="auto"/>
        <w:contextualSpacing w:val="0"/>
        <w:jc w:val="both"/>
        <w:rPr>
          <w:rFonts w:ascii="Verdana" w:hAnsi="Verdana"/>
        </w:rPr>
      </w:pPr>
      <w:r w:rsidRPr="00272372">
        <w:rPr>
          <w:rFonts w:ascii="Verdana" w:hAnsi="Verdana"/>
        </w:rPr>
        <w:t>Línea nacional gratuita o servicio a la ciudadanía: 01800 0520808</w:t>
      </w:r>
    </w:p>
    <w:p w14:paraId="4FC2467B" w14:textId="77777777" w:rsidR="00C5798E" w:rsidRPr="00272372" w:rsidRDefault="00C5798E" w:rsidP="00C5798E">
      <w:pPr>
        <w:pStyle w:val="Prrafodelista"/>
        <w:numPr>
          <w:ilvl w:val="0"/>
          <w:numId w:val="2"/>
        </w:numPr>
        <w:spacing w:after="0" w:line="276" w:lineRule="auto"/>
        <w:contextualSpacing w:val="0"/>
        <w:jc w:val="both"/>
        <w:rPr>
          <w:rFonts w:ascii="Verdana" w:hAnsi="Verdana"/>
        </w:rPr>
      </w:pPr>
      <w:r w:rsidRPr="00272372">
        <w:rPr>
          <w:rFonts w:ascii="Verdana" w:hAnsi="Verdana"/>
        </w:rPr>
        <w:t>Línea en Bogotá (Mesa de servicio): +57 601 7456788</w:t>
      </w:r>
    </w:p>
    <w:p w14:paraId="6B16B1F3" w14:textId="77777777" w:rsidR="00C5798E" w:rsidRPr="00272372" w:rsidRDefault="00C5798E" w:rsidP="00C5798E">
      <w:pPr>
        <w:pStyle w:val="Prrafodelista"/>
        <w:numPr>
          <w:ilvl w:val="0"/>
          <w:numId w:val="2"/>
        </w:numPr>
        <w:spacing w:after="0" w:line="276" w:lineRule="auto"/>
        <w:contextualSpacing w:val="0"/>
        <w:jc w:val="both"/>
        <w:rPr>
          <w:rFonts w:ascii="Verdana" w:hAnsi="Verdana"/>
        </w:rPr>
      </w:pPr>
      <w:r w:rsidRPr="00272372">
        <w:rPr>
          <w:rFonts w:ascii="Verdana" w:hAnsi="Verdana"/>
        </w:rPr>
        <w:t>Línea de servicio y atención al ciudadano: +57 601 7956600</w:t>
      </w:r>
    </w:p>
    <w:p w14:paraId="60B5AC3D" w14:textId="77777777" w:rsidR="00C5798E" w:rsidRPr="00272372" w:rsidRDefault="00C5798E" w:rsidP="00C5798E">
      <w:pPr>
        <w:pStyle w:val="Prrafodelista"/>
        <w:numPr>
          <w:ilvl w:val="0"/>
          <w:numId w:val="2"/>
        </w:numPr>
        <w:spacing w:after="0" w:line="276" w:lineRule="auto"/>
        <w:contextualSpacing w:val="0"/>
        <w:jc w:val="both"/>
        <w:rPr>
          <w:rFonts w:ascii="Verdana" w:hAnsi="Verdana"/>
        </w:rPr>
      </w:pPr>
      <w:r w:rsidRPr="00272372">
        <w:rPr>
          <w:rFonts w:ascii="Verdana" w:hAnsi="Verdana"/>
        </w:rPr>
        <w:t xml:space="preserve">Página web: </w:t>
      </w:r>
      <w:hyperlink r:id="rId12" w:history="1">
        <w:r w:rsidRPr="00272372">
          <w:rPr>
            <w:rStyle w:val="Hipervnculo"/>
            <w:rFonts w:ascii="Verdana" w:hAnsi="Verdana"/>
          </w:rPr>
          <w:t>www.colombiacompra.gov.co</w:t>
        </w:r>
      </w:hyperlink>
    </w:p>
    <w:p w14:paraId="349D8ED5" w14:textId="77777777" w:rsidR="00C5798E" w:rsidRDefault="00C5798E" w:rsidP="00C5798E">
      <w:pPr>
        <w:spacing w:after="0" w:line="276" w:lineRule="auto"/>
        <w:jc w:val="both"/>
        <w:rPr>
          <w:rFonts w:ascii="Verdana" w:hAnsi="Verdana"/>
        </w:rPr>
      </w:pPr>
    </w:p>
    <w:p w14:paraId="1B7D3FB9" w14:textId="77777777" w:rsidR="00C5798E" w:rsidRPr="00272372" w:rsidRDefault="00C5798E" w:rsidP="00C5798E">
      <w:pPr>
        <w:spacing w:after="0" w:line="276" w:lineRule="auto"/>
        <w:jc w:val="both"/>
        <w:rPr>
          <w:rFonts w:ascii="Verdana" w:hAnsi="Verdana"/>
        </w:rPr>
      </w:pPr>
      <w:r w:rsidRPr="00272372">
        <w:rPr>
          <w:rFonts w:ascii="Verdana" w:hAnsi="Verdana"/>
        </w:rPr>
        <w:t xml:space="preserve">Por último, lo invitamos a seguirnos en las redes sociales en las cuales se difunde información institucional: </w:t>
      </w:r>
    </w:p>
    <w:p w14:paraId="2F02547B" w14:textId="77777777" w:rsidR="00C5798E" w:rsidRPr="00272372" w:rsidRDefault="00C5798E" w:rsidP="00C5798E">
      <w:pPr>
        <w:spacing w:after="0" w:line="276" w:lineRule="auto"/>
        <w:jc w:val="both"/>
        <w:rPr>
          <w:rFonts w:ascii="Verdana" w:hAnsi="Verdana"/>
        </w:rPr>
      </w:pPr>
    </w:p>
    <w:p w14:paraId="076FB5F9" w14:textId="77777777" w:rsidR="00C5798E" w:rsidRPr="00272372" w:rsidRDefault="00C5798E" w:rsidP="00C5798E">
      <w:pPr>
        <w:spacing w:after="0" w:line="276" w:lineRule="auto"/>
        <w:jc w:val="both"/>
        <w:rPr>
          <w:rFonts w:ascii="Verdana" w:hAnsi="Verdana"/>
        </w:rPr>
      </w:pPr>
      <w:r w:rsidRPr="00272372">
        <w:rPr>
          <w:rFonts w:ascii="Verdana" w:hAnsi="Verdana"/>
        </w:rPr>
        <w:t xml:space="preserve">Twitter: </w:t>
      </w:r>
      <w:r w:rsidRPr="00272372">
        <w:rPr>
          <w:rStyle w:val="Hipervnculo"/>
          <w:rFonts w:ascii="Verdana" w:hAnsi="Verdana"/>
        </w:rPr>
        <w:t>@colombiacompra</w:t>
      </w:r>
      <w:r w:rsidRPr="00272372">
        <w:rPr>
          <w:rFonts w:ascii="Verdana" w:hAnsi="Verdana"/>
        </w:rPr>
        <w:t xml:space="preserve"> </w:t>
      </w:r>
    </w:p>
    <w:p w14:paraId="63A4C947" w14:textId="77777777" w:rsidR="00C5798E" w:rsidRPr="00272372" w:rsidRDefault="00C5798E" w:rsidP="00C5798E">
      <w:pPr>
        <w:spacing w:after="0" w:line="276" w:lineRule="auto"/>
        <w:jc w:val="both"/>
        <w:rPr>
          <w:rFonts w:ascii="Verdana" w:hAnsi="Verdana"/>
        </w:rPr>
      </w:pPr>
      <w:r w:rsidRPr="00272372">
        <w:rPr>
          <w:rFonts w:ascii="Verdana" w:hAnsi="Verdana"/>
        </w:rPr>
        <w:t xml:space="preserve">Facebook: </w:t>
      </w:r>
      <w:r w:rsidRPr="00272372">
        <w:rPr>
          <w:rStyle w:val="Hipervnculo"/>
          <w:rFonts w:ascii="Verdana" w:hAnsi="Verdana"/>
        </w:rPr>
        <w:t>ColombiaCompraEficiente</w:t>
      </w:r>
    </w:p>
    <w:p w14:paraId="43CA8EFF" w14:textId="77777777" w:rsidR="00C5798E" w:rsidRPr="00272372" w:rsidRDefault="00C5798E" w:rsidP="00C5798E">
      <w:pPr>
        <w:spacing w:after="0" w:line="276" w:lineRule="auto"/>
        <w:jc w:val="both"/>
        <w:rPr>
          <w:rFonts w:ascii="Verdana" w:hAnsi="Verdana"/>
        </w:rPr>
      </w:pPr>
      <w:r w:rsidRPr="00272372">
        <w:rPr>
          <w:rFonts w:ascii="Verdana" w:hAnsi="Verdana"/>
        </w:rPr>
        <w:t xml:space="preserve">LinkedIn: </w:t>
      </w:r>
      <w:r w:rsidRPr="00272372">
        <w:rPr>
          <w:rStyle w:val="Hipervnculo"/>
          <w:rFonts w:ascii="Verdana" w:hAnsi="Verdana"/>
        </w:rPr>
        <w:t>Agencia Nacional de Contratación Pública - Colombia Compra Eficiente</w:t>
      </w:r>
      <w:r w:rsidRPr="00272372">
        <w:rPr>
          <w:rFonts w:ascii="Verdana" w:hAnsi="Verdana"/>
        </w:rPr>
        <w:t xml:space="preserve"> Instagram: </w:t>
      </w:r>
      <w:r w:rsidRPr="00272372">
        <w:rPr>
          <w:rStyle w:val="Hipervnculo"/>
          <w:rFonts w:ascii="Verdana" w:hAnsi="Verdana"/>
        </w:rPr>
        <w:t>@colombiacompraeficiente_cce</w:t>
      </w:r>
    </w:p>
    <w:p w14:paraId="4CDC9D2F" w14:textId="77777777" w:rsidR="00C5798E" w:rsidRPr="00272372" w:rsidRDefault="00C5798E" w:rsidP="00C5798E">
      <w:pPr>
        <w:spacing w:after="0" w:line="276" w:lineRule="auto"/>
        <w:jc w:val="both"/>
        <w:rPr>
          <w:rFonts w:ascii="Verdana" w:hAnsi="Verdana"/>
        </w:rPr>
      </w:pPr>
    </w:p>
    <w:p w14:paraId="4686F807" w14:textId="77777777" w:rsidR="00C5798E" w:rsidRPr="00272372" w:rsidRDefault="00C5798E" w:rsidP="00C5798E">
      <w:pPr>
        <w:spacing w:after="0" w:line="276" w:lineRule="auto"/>
        <w:jc w:val="both"/>
        <w:rPr>
          <w:rFonts w:ascii="Verdana" w:hAnsi="Verdana"/>
        </w:rPr>
      </w:pPr>
      <w:r w:rsidRPr="00272372">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2E60A39" w14:textId="77777777" w:rsidR="00C5798E" w:rsidRPr="00272372" w:rsidRDefault="00C5798E" w:rsidP="00C5798E">
      <w:pPr>
        <w:spacing w:after="0" w:line="276" w:lineRule="auto"/>
        <w:jc w:val="both"/>
        <w:rPr>
          <w:rFonts w:ascii="Verdana" w:eastAsia="Calibri" w:hAnsi="Verdana" w:cs="Times New Roman"/>
        </w:rPr>
      </w:pPr>
    </w:p>
    <w:p w14:paraId="0E22F2D8" w14:textId="77777777" w:rsidR="00C5798E" w:rsidRPr="002010B2" w:rsidRDefault="00C5798E" w:rsidP="00C5798E">
      <w:pPr>
        <w:spacing w:after="0" w:line="276" w:lineRule="auto"/>
        <w:jc w:val="both"/>
        <w:rPr>
          <w:noProof/>
        </w:rPr>
      </w:pPr>
      <w:r w:rsidRPr="00272372">
        <w:rPr>
          <w:rFonts w:ascii="Verdana" w:eastAsia="Calibri" w:hAnsi="Verdana" w:cs="Times New Roman"/>
        </w:rPr>
        <w:t>Atentamente,</w:t>
      </w:r>
      <w:bookmarkEnd w:id="0"/>
      <w:bookmarkEnd w:id="1"/>
    </w:p>
    <w:p w14:paraId="6DCAFC8B" w14:textId="7709D379" w:rsidR="00C5798E" w:rsidRDefault="00EA1A61" w:rsidP="00C5798E">
      <w:pPr>
        <w:spacing w:after="0"/>
        <w:jc w:val="center"/>
        <w:rPr>
          <w:rFonts w:ascii="Verdana" w:hAnsi="Verdana"/>
        </w:rPr>
      </w:pPr>
      <w:r w:rsidRPr="00003B7F">
        <w:rPr>
          <w:rFonts w:ascii="Verdana" w:hAnsi="Verdana" w:cs="Arial"/>
          <w:noProof/>
          <w:color w:val="000000"/>
          <w:lang w:eastAsia="es-CO"/>
        </w:rPr>
        <w:lastRenderedPageBreak/>
        <w:drawing>
          <wp:inline distT="0" distB="0" distL="0" distR="0" wp14:anchorId="4F02C93C" wp14:editId="38EEDB70">
            <wp:extent cx="3080137" cy="1145977"/>
            <wp:effectExtent l="0" t="0" r="6350" b="0"/>
            <wp:docPr id="157770942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88661" cy="1149148"/>
                    </a:xfrm>
                    <a:prstGeom prst="rect">
                      <a:avLst/>
                    </a:prstGeom>
                    <a:noFill/>
                    <a:ln>
                      <a:noFill/>
                    </a:ln>
                  </pic:spPr>
                </pic:pic>
              </a:graphicData>
            </a:graphic>
          </wp:inline>
        </w:drawing>
      </w:r>
    </w:p>
    <w:p w14:paraId="1F47438E" w14:textId="77777777" w:rsidR="00C5798E" w:rsidRDefault="00C5798E" w:rsidP="00C5798E">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5798E" w:rsidRPr="002423D6" w14:paraId="0D93A3B4" w14:textId="77777777" w:rsidTr="00226B10">
        <w:trPr>
          <w:trHeight w:val="315"/>
        </w:trPr>
        <w:tc>
          <w:tcPr>
            <w:tcW w:w="893" w:type="dxa"/>
            <w:vAlign w:val="center"/>
            <w:hideMark/>
          </w:tcPr>
          <w:p w14:paraId="0BF75729" w14:textId="77777777" w:rsidR="00C5798E" w:rsidRPr="002423D6" w:rsidRDefault="00C5798E" w:rsidP="00226B1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AD778B1" w14:textId="77777777" w:rsidR="00C5798E" w:rsidRPr="002423D6" w:rsidRDefault="00C5798E" w:rsidP="00226B10">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dreina Cerpa Muñoz</w:t>
            </w:r>
          </w:p>
          <w:p w14:paraId="273DEC01" w14:textId="77777777" w:rsidR="00C5798E" w:rsidRPr="002423D6" w:rsidRDefault="00C5798E" w:rsidP="00226B10">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C5798E" w:rsidRPr="002423D6" w14:paraId="2FBC873B" w14:textId="77777777" w:rsidTr="00226B10">
        <w:trPr>
          <w:trHeight w:val="330"/>
        </w:trPr>
        <w:tc>
          <w:tcPr>
            <w:tcW w:w="893" w:type="dxa"/>
            <w:vAlign w:val="center"/>
            <w:hideMark/>
          </w:tcPr>
          <w:p w14:paraId="73FBF2D9" w14:textId="77777777" w:rsidR="00C5798E" w:rsidRPr="002423D6" w:rsidRDefault="00C5798E" w:rsidP="00226B1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A07375" w14:textId="5331A1ED" w:rsidR="00C5798E" w:rsidRPr="00A11861" w:rsidRDefault="00B2768C" w:rsidP="00226B10">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Juan David C</w:t>
            </w:r>
            <w:r w:rsidR="002E0738">
              <w:rPr>
                <w:rFonts w:ascii="Verdana" w:eastAsia="Arial" w:hAnsi="Verdana" w:cs="Arial"/>
                <w:color w:val="000000" w:themeColor="text1"/>
                <w:sz w:val="16"/>
                <w:szCs w:val="16"/>
              </w:rPr>
              <w:t>á</w:t>
            </w:r>
            <w:r>
              <w:rPr>
                <w:rFonts w:ascii="Verdana" w:eastAsia="Arial" w:hAnsi="Verdana" w:cs="Arial"/>
                <w:color w:val="000000" w:themeColor="text1"/>
                <w:sz w:val="16"/>
                <w:szCs w:val="16"/>
              </w:rPr>
              <w:t xml:space="preserve">rdenas Cabeza </w:t>
            </w:r>
          </w:p>
          <w:p w14:paraId="5D7A1676" w14:textId="77777777" w:rsidR="00C5798E" w:rsidRPr="002423D6" w:rsidRDefault="00C5798E" w:rsidP="00226B10">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C5798E" w:rsidRPr="002423D6" w14:paraId="4AF6FF0D" w14:textId="77777777" w:rsidTr="00226B10">
        <w:trPr>
          <w:trHeight w:val="300"/>
        </w:trPr>
        <w:tc>
          <w:tcPr>
            <w:tcW w:w="893" w:type="dxa"/>
            <w:vAlign w:val="center"/>
          </w:tcPr>
          <w:p w14:paraId="6E9CBE85" w14:textId="77777777" w:rsidR="00C5798E" w:rsidRPr="002423D6" w:rsidRDefault="00C5798E" w:rsidP="00226B1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E45D73A" w14:textId="77777777" w:rsidR="00C5798E" w:rsidRPr="002423D6" w:rsidRDefault="00C5798E" w:rsidP="00226B10">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Carolina Quintero Gacharná</w:t>
            </w:r>
          </w:p>
          <w:p w14:paraId="285E768E" w14:textId="77777777" w:rsidR="00C5798E" w:rsidRPr="002423D6" w:rsidRDefault="00C5798E" w:rsidP="00226B10">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Contractual ANCP – CCE</w:t>
            </w:r>
          </w:p>
        </w:tc>
      </w:tr>
    </w:tbl>
    <w:p w14:paraId="00A36AEC" w14:textId="3CE53DC2" w:rsidR="00C5798E" w:rsidRPr="000E094D" w:rsidRDefault="00C5798E" w:rsidP="00C5798E"/>
    <w:p w14:paraId="18498101" w14:textId="77777777" w:rsidR="00C5798E" w:rsidRPr="00114C23" w:rsidRDefault="00C5798E" w:rsidP="00C5798E"/>
    <w:p w14:paraId="56E6CFB7" w14:textId="77777777" w:rsidR="00C5798E" w:rsidRDefault="00C5798E" w:rsidP="00C5798E"/>
    <w:p w14:paraId="6FBB8857" w14:textId="77777777" w:rsidR="00C5798E" w:rsidRDefault="00C5798E" w:rsidP="00C5798E"/>
    <w:p w14:paraId="086A667F" w14:textId="77777777" w:rsidR="00C5798E" w:rsidRDefault="00C5798E" w:rsidP="00C5798E"/>
    <w:p w14:paraId="628FBBC4" w14:textId="77777777" w:rsidR="000F5A42" w:rsidRDefault="000F5A42"/>
    <w:sectPr w:rsidR="000F5A42" w:rsidSect="00C5798E">
      <w:headerReference w:type="default" r:id="rId14"/>
      <w:footerReference w:type="default" r:id="rId15"/>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E74E12" w14:textId="77777777" w:rsidR="009E7CAA" w:rsidRDefault="009E7CAA">
      <w:pPr>
        <w:spacing w:after="0" w:line="240" w:lineRule="auto"/>
      </w:pPr>
      <w:r>
        <w:separator/>
      </w:r>
    </w:p>
  </w:endnote>
  <w:endnote w:type="continuationSeparator" w:id="0">
    <w:p w14:paraId="054FE934" w14:textId="77777777" w:rsidR="009E7CAA" w:rsidRDefault="009E7C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altName w:val="Century Gothic"/>
    <w:panose1 w:val="020B0502020202020204"/>
    <w:charset w:val="00"/>
    <w:family w:val="swiss"/>
    <w:pitch w:val="variable"/>
    <w:sig w:usb0="00000287" w:usb1="00000000" w:usb2="00000000" w:usb3="00000000" w:csb0="0000009F" w:csb1="00000000"/>
  </w:font>
  <w:font w:name="Yu Gothic UI Semibold">
    <w:panose1 w:val="020B0700000000000000"/>
    <w:charset w:val="80"/>
    <w:family w:val="swiss"/>
    <w:pitch w:val="variable"/>
    <w:sig w:usb0="E00002FF" w:usb1="2AC7FDFF" w:usb2="00000016" w:usb3="00000000" w:csb0="0002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EF031" w14:textId="77777777" w:rsidR="00C5798E" w:rsidRDefault="00C5798E">
    <w:pPr>
      <w:spacing w:after="0"/>
      <w:rPr>
        <w:rFonts w:ascii="Verdana" w:hAnsi="Verdana"/>
        <w:b/>
        <w:bCs/>
        <w:sz w:val="20"/>
        <w:szCs w:val="20"/>
      </w:rPr>
    </w:pPr>
  </w:p>
  <w:p w14:paraId="7B014B9C" w14:textId="77777777" w:rsidR="00C5798E" w:rsidRPr="00174B77" w:rsidRDefault="00C5798E">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BBE8845" w14:textId="77777777" w:rsidR="00C5798E" w:rsidRDefault="00C5798E">
    <w:pPr>
      <w:spacing w:after="0"/>
      <w:jc w:val="both"/>
      <w:rPr>
        <w:rFonts w:ascii="Verdana" w:hAnsi="Verdana"/>
        <w:sz w:val="18"/>
        <w:szCs w:val="18"/>
      </w:rPr>
    </w:pPr>
    <w:r w:rsidRPr="00E41027">
      <w:rPr>
        <w:rFonts w:ascii="Verdana" w:hAnsi="Verdana"/>
        <w:sz w:val="18"/>
        <w:szCs w:val="18"/>
      </w:rPr>
      <w:t>Dirección: Carrera 7 # 26 – 20 - Bogotá, Colombia</w:t>
    </w:r>
  </w:p>
  <w:p w14:paraId="577EAEC9" w14:textId="77777777" w:rsidR="00C5798E" w:rsidRPr="00E41027" w:rsidRDefault="00C5798E">
    <w:pPr>
      <w:spacing w:after="0"/>
      <w:jc w:val="both"/>
      <w:rPr>
        <w:rFonts w:ascii="Verdana" w:hAnsi="Verdana"/>
        <w:sz w:val="18"/>
        <w:szCs w:val="18"/>
      </w:rPr>
    </w:pPr>
    <w:r w:rsidRPr="00E41027">
      <w:rPr>
        <w:rFonts w:ascii="Verdana" w:hAnsi="Verdana"/>
        <w:sz w:val="18"/>
        <w:szCs w:val="18"/>
      </w:rPr>
      <w:t>Mesa de servicio: (+57) 601 7456788</w:t>
    </w:r>
  </w:p>
  <w:p w14:paraId="32042844" w14:textId="77777777" w:rsidR="00C5798E" w:rsidRDefault="00C5798E">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64898AF9" w14:textId="77777777" w:rsidR="00C5798E" w:rsidRPr="007D04B2" w:rsidRDefault="00C5798E">
    <w:pPr>
      <w:pStyle w:val="Piedepgina"/>
    </w:pPr>
  </w:p>
  <w:p w14:paraId="0BA55D3C" w14:textId="77777777" w:rsidR="00C5798E" w:rsidRPr="000849D5" w:rsidRDefault="00C5798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36EF2" w14:textId="77777777" w:rsidR="009E7CAA" w:rsidRDefault="009E7CAA">
      <w:pPr>
        <w:spacing w:after="0" w:line="240" w:lineRule="auto"/>
      </w:pPr>
      <w:r>
        <w:separator/>
      </w:r>
    </w:p>
  </w:footnote>
  <w:footnote w:type="continuationSeparator" w:id="0">
    <w:p w14:paraId="0F33DFE0" w14:textId="77777777" w:rsidR="009E7CAA" w:rsidRDefault="009E7CAA">
      <w:pPr>
        <w:spacing w:after="0" w:line="240" w:lineRule="auto"/>
      </w:pPr>
      <w:r>
        <w:continuationSeparator/>
      </w:r>
    </w:p>
  </w:footnote>
  <w:footnote w:id="1">
    <w:p w14:paraId="0AF03E59" w14:textId="77777777" w:rsidR="004D389B" w:rsidRPr="000449AC" w:rsidRDefault="004D389B" w:rsidP="004D389B">
      <w:pPr>
        <w:pStyle w:val="Textonotapie"/>
        <w:ind w:firstLine="709"/>
        <w:jc w:val="both"/>
        <w:rPr>
          <w:rFonts w:ascii="Verdana" w:hAnsi="Verdana"/>
          <w:sz w:val="16"/>
          <w:szCs w:val="16"/>
          <w:lang w:val="es-CO"/>
        </w:rPr>
      </w:pPr>
      <w:r w:rsidRPr="000449AC">
        <w:rPr>
          <w:rStyle w:val="Refdenotaalpie"/>
          <w:rFonts w:ascii="Verdana" w:hAnsi="Verdana"/>
          <w:sz w:val="16"/>
          <w:szCs w:val="16"/>
          <w:lang w:val="es-CO"/>
        </w:rPr>
        <w:footnoteRef/>
      </w:r>
      <w:r w:rsidRPr="000449AC">
        <w:rPr>
          <w:rFonts w:ascii="Verdana" w:hAnsi="Verdana"/>
          <w:sz w:val="16"/>
          <w:szCs w:val="16"/>
          <w:lang w:val="es-CO"/>
        </w:rPr>
        <w:t xml:space="preserve"> Corte Constitucional. Sentencia T-743 de 2017. M.P: Gloria Stella Ortiz Delgado.</w:t>
      </w:r>
    </w:p>
    <w:p w14:paraId="3D94A457" w14:textId="77777777" w:rsidR="004D389B" w:rsidRPr="000449AC" w:rsidRDefault="004D389B" w:rsidP="004D389B">
      <w:pPr>
        <w:pStyle w:val="Textonotapie"/>
        <w:ind w:firstLine="709"/>
        <w:jc w:val="both"/>
        <w:rPr>
          <w:rFonts w:ascii="Verdana" w:hAnsi="Verdana"/>
          <w:sz w:val="16"/>
          <w:szCs w:val="16"/>
          <w:lang w:val="es-CO"/>
        </w:rPr>
      </w:pPr>
    </w:p>
  </w:footnote>
  <w:footnote w:id="2">
    <w:p w14:paraId="0A716670" w14:textId="77777777" w:rsidR="004D389B" w:rsidRPr="000449AC" w:rsidRDefault="004D389B" w:rsidP="004D389B">
      <w:pPr>
        <w:spacing w:after="0" w:line="240" w:lineRule="auto"/>
        <w:ind w:firstLine="709"/>
        <w:jc w:val="both"/>
        <w:rPr>
          <w:rFonts w:ascii="Verdana" w:hAnsi="Verdana" w:cs="Arial"/>
          <w:sz w:val="16"/>
          <w:szCs w:val="16"/>
        </w:rPr>
      </w:pPr>
      <w:r w:rsidRPr="000449AC">
        <w:rPr>
          <w:rStyle w:val="Refdenotaalpie"/>
          <w:rFonts w:ascii="Verdana" w:hAnsi="Verdana" w:cs="Arial"/>
          <w:sz w:val="16"/>
          <w:szCs w:val="16"/>
        </w:rPr>
        <w:footnoteRef/>
      </w:r>
      <w:r w:rsidRPr="000449AC">
        <w:rPr>
          <w:rFonts w:ascii="Verdana" w:hAnsi="Verdana" w:cs="Arial"/>
          <w:sz w:val="16"/>
          <w:szCs w:val="16"/>
        </w:rPr>
        <w:t xml:space="preserve"> La sentencia explica lo siguiente: “En el supuesto de vinculación de la mujer gestante o lactante mediante contrato de prestación de servicios, el juez de tutela deberá analizar las circunstancias fácticas que rodean cada caso, para determinar si bajo dicha figura contractual no se está ocultando la existencia de una auténtica relación laboral.</w:t>
      </w:r>
    </w:p>
    <w:p w14:paraId="3B739F72" w14:textId="77777777" w:rsidR="004D389B" w:rsidRPr="000449AC" w:rsidRDefault="004D389B" w:rsidP="004D389B">
      <w:pPr>
        <w:spacing w:after="0" w:line="240" w:lineRule="auto"/>
        <w:ind w:firstLine="709"/>
        <w:jc w:val="both"/>
        <w:rPr>
          <w:rFonts w:ascii="Verdana" w:hAnsi="Verdana" w:cs="Arial"/>
          <w:sz w:val="16"/>
          <w:szCs w:val="16"/>
        </w:rPr>
      </w:pPr>
      <w:r w:rsidRPr="000449AC">
        <w:rPr>
          <w:rFonts w:ascii="Verdana" w:hAnsi="Verdana" w:cs="Arial"/>
          <w:sz w:val="16"/>
          <w:szCs w:val="16"/>
        </w:rPr>
        <w:t>[…]</w:t>
      </w:r>
    </w:p>
    <w:p w14:paraId="5DB89A33" w14:textId="77777777" w:rsidR="004D389B" w:rsidRPr="000449AC" w:rsidRDefault="004D389B" w:rsidP="004D389B">
      <w:pPr>
        <w:spacing w:after="0" w:line="240" w:lineRule="auto"/>
        <w:ind w:firstLine="709"/>
        <w:jc w:val="both"/>
        <w:rPr>
          <w:rFonts w:ascii="Verdana" w:hAnsi="Verdana" w:cs="Arial"/>
          <w:sz w:val="16"/>
          <w:szCs w:val="16"/>
        </w:rPr>
      </w:pPr>
      <w:r w:rsidRPr="000449AC">
        <w:rPr>
          <w:rFonts w:ascii="Verdana" w:hAnsi="Verdana" w:cs="Arial"/>
          <w:sz w:val="16"/>
          <w:szCs w:val="16"/>
        </w:rPr>
        <w:t>“Bajo esta lógica, deberá verificarse la estructuración material de los elementos fundamentales de un contrato de trabajo, ‘independientemente de la vinculación o denominación que el empleador adopte para el tipo de contrato que suscriba con el trabajador´. Así, la jurisprudencia de la Corte ha reconocido que los elementos que configuran la existencia de un contrato de trabajo son (i) el salario, (ii) la continua subordinación o dependencia y (iii) la prestación personal del servicio. Por lo tanto, si el juez de tutela concluye la concurrencia de estos tres elementos en una vinculación mediante contrato de prestación de servicios de una trabajadora gestante o lactante, podrá concluirse que se está en presencia de un verdadero contrato de</w:t>
      </w:r>
      <w:r w:rsidRPr="000449AC">
        <w:rPr>
          <w:rFonts w:ascii="Verdana" w:hAnsi="Verdana" w:cs="Arial"/>
          <w:spacing w:val="-17"/>
          <w:sz w:val="16"/>
          <w:szCs w:val="16"/>
        </w:rPr>
        <w:t xml:space="preserve"> </w:t>
      </w:r>
      <w:r w:rsidRPr="000449AC">
        <w:rPr>
          <w:rFonts w:ascii="Verdana" w:hAnsi="Verdana" w:cs="Arial"/>
          <w:sz w:val="16"/>
          <w:szCs w:val="16"/>
        </w:rPr>
        <w:t>trabajo”.</w:t>
      </w:r>
    </w:p>
    <w:p w14:paraId="0E0082CD" w14:textId="77777777" w:rsidR="004D389B" w:rsidRPr="000449AC" w:rsidRDefault="004D389B" w:rsidP="004D389B">
      <w:pPr>
        <w:pStyle w:val="Textonotapie"/>
        <w:ind w:firstLine="709"/>
        <w:jc w:val="both"/>
        <w:rPr>
          <w:rFonts w:ascii="Verdana" w:hAnsi="Verdana" w:cs="Arial"/>
          <w:sz w:val="16"/>
          <w:szCs w:val="16"/>
        </w:rPr>
      </w:pPr>
    </w:p>
  </w:footnote>
  <w:footnote w:id="3">
    <w:p w14:paraId="44A6B802" w14:textId="77777777" w:rsidR="004D389B" w:rsidRPr="000449AC" w:rsidRDefault="004D389B" w:rsidP="004D389B">
      <w:pPr>
        <w:spacing w:after="0" w:line="240" w:lineRule="auto"/>
        <w:ind w:firstLine="709"/>
        <w:jc w:val="both"/>
        <w:rPr>
          <w:rFonts w:ascii="Verdana" w:hAnsi="Verdana" w:cs="Arial"/>
          <w:sz w:val="16"/>
          <w:szCs w:val="16"/>
        </w:rPr>
      </w:pPr>
      <w:r w:rsidRPr="000449AC">
        <w:rPr>
          <w:rStyle w:val="Refdenotaalpie"/>
          <w:rFonts w:ascii="Verdana" w:hAnsi="Verdana" w:cs="Arial"/>
          <w:sz w:val="16"/>
          <w:szCs w:val="16"/>
        </w:rPr>
        <w:footnoteRef/>
      </w:r>
      <w:r w:rsidRPr="000449AC">
        <w:rPr>
          <w:rFonts w:ascii="Verdana" w:hAnsi="Verdana" w:cs="Arial"/>
          <w:sz w:val="16"/>
          <w:szCs w:val="16"/>
        </w:rPr>
        <w:t xml:space="preserve"> La Corte Constitucional en la sentencia T-102 del 1 de marzo de 2016 (M.P: María Victoria Calle Correa) protegió el derecho a la estabilidad laboral reforzada a dos mujeres que se encontraban en fuero de maternidad por demostrarse la existencia de un contrato realidad. En el expediente T-5.208.798 la Sala asumió la existencia de un contrato laboral de cara a la subordinación, pues estaba demostrado que la accionante, entre otras, cumplía un horario establecido por el contratante: ´Obsérvese que el empleador no demostró, por ningún medio, la existencia de una causal objetiva relevante que justificara la terminación del contrato, por ejemplo, que la actividad que venía realizando la trabajadora ya no fuera necesaria para la asociación sindical, o de una justa causa de terminación de la relación laboral. Por el contrario, la labor asignada como asistente administrativa hace parte de las tareas cotidianas del sindicato’”.</w:t>
      </w:r>
    </w:p>
    <w:p w14:paraId="4AEDEDC8" w14:textId="77777777" w:rsidR="004D389B" w:rsidRPr="000449AC" w:rsidRDefault="004D389B" w:rsidP="004D389B">
      <w:pPr>
        <w:pStyle w:val="Textonotapie"/>
        <w:ind w:firstLine="709"/>
        <w:jc w:val="both"/>
        <w:rPr>
          <w:rFonts w:ascii="Verdana" w:hAnsi="Verdana" w:cs="Arial"/>
          <w:sz w:val="16"/>
          <w:szCs w:val="16"/>
        </w:rPr>
      </w:pPr>
    </w:p>
  </w:footnote>
  <w:footnote w:id="4">
    <w:p w14:paraId="24C7EF52" w14:textId="77777777" w:rsidR="004D389B" w:rsidRPr="000449AC" w:rsidRDefault="004D389B" w:rsidP="004D389B">
      <w:pPr>
        <w:spacing w:after="0" w:line="240" w:lineRule="auto"/>
        <w:ind w:firstLine="709"/>
        <w:jc w:val="both"/>
        <w:rPr>
          <w:rFonts w:ascii="Verdana" w:hAnsi="Verdana" w:cs="Arial"/>
          <w:sz w:val="16"/>
          <w:szCs w:val="16"/>
        </w:rPr>
      </w:pPr>
      <w:r w:rsidRPr="000449AC">
        <w:rPr>
          <w:rFonts w:ascii="Verdana" w:hAnsi="Verdana" w:cs="Arial"/>
          <w:sz w:val="16"/>
          <w:szCs w:val="16"/>
        </w:rPr>
        <w:t xml:space="preserve">  </w:t>
      </w:r>
      <w:r w:rsidRPr="000449AC">
        <w:rPr>
          <w:rStyle w:val="Refdenotaalpie"/>
          <w:rFonts w:ascii="Verdana" w:hAnsi="Verdana" w:cs="Arial"/>
          <w:sz w:val="16"/>
          <w:szCs w:val="16"/>
        </w:rPr>
        <w:footnoteRef/>
      </w:r>
      <w:r w:rsidRPr="000449AC">
        <w:rPr>
          <w:rFonts w:ascii="Verdana" w:hAnsi="Verdana" w:cs="Arial"/>
          <w:sz w:val="16"/>
          <w:szCs w:val="16"/>
        </w:rPr>
        <w:t xml:space="preserve"> Corte Constitucional, sentencia T-564 del 6 de septiembre de 2017, M.P: Cristina Pardo Schlesinger: “La Sala advierte, que ante las contradicciones respecto a los hechos en las cuales incurren las partes involucradas en el asunto de la referencia, en el presente caso no existen suficientes elementos de juicio para la demostración de la relación de trabajo afirmada por la accionante en el escrito de impugnación. La precariedad de las pruebas, los indicios sobre un contrato realidad encubierto y la validez de los documentos aportados al proceso, son asuntos que necesariamente deben ser estudiados por el juez ordinario</w:t>
      </w:r>
      <w:r w:rsidRPr="000449AC">
        <w:rPr>
          <w:rFonts w:ascii="Verdana" w:hAnsi="Verdana" w:cs="Arial"/>
          <w:spacing w:val="-6"/>
          <w:sz w:val="16"/>
          <w:szCs w:val="16"/>
        </w:rPr>
        <w:t xml:space="preserve"> </w:t>
      </w:r>
      <w:r w:rsidRPr="000449AC">
        <w:rPr>
          <w:rFonts w:ascii="Verdana" w:hAnsi="Verdana" w:cs="Arial"/>
          <w:sz w:val="16"/>
          <w:szCs w:val="16"/>
        </w:rPr>
        <w:t>laboral”.</w:t>
      </w:r>
    </w:p>
    <w:p w14:paraId="2534D237" w14:textId="77777777" w:rsidR="004D389B" w:rsidRPr="000449AC" w:rsidRDefault="004D389B" w:rsidP="004D389B">
      <w:pPr>
        <w:spacing w:after="0" w:line="240" w:lineRule="auto"/>
        <w:ind w:firstLine="709"/>
        <w:jc w:val="both"/>
        <w:rPr>
          <w:rFonts w:ascii="Verdana" w:hAnsi="Verdana" w:cs="Arial"/>
          <w:sz w:val="16"/>
          <w:szCs w:val="16"/>
        </w:rPr>
      </w:pPr>
    </w:p>
    <w:p w14:paraId="76714F02" w14:textId="77777777" w:rsidR="004D389B" w:rsidRPr="000449AC" w:rsidRDefault="004D389B" w:rsidP="004D389B">
      <w:pPr>
        <w:spacing w:after="0" w:line="240" w:lineRule="auto"/>
        <w:ind w:firstLine="709"/>
        <w:jc w:val="both"/>
        <w:rPr>
          <w:rFonts w:ascii="Verdana" w:hAnsi="Verdana" w:cs="Arial"/>
          <w:sz w:val="16"/>
          <w:szCs w:val="16"/>
        </w:rPr>
      </w:pPr>
      <w:r w:rsidRPr="000449AC">
        <w:rPr>
          <w:rFonts w:ascii="Verdana" w:hAnsi="Verdana" w:cs="Arial"/>
          <w:sz w:val="16"/>
          <w:szCs w:val="16"/>
        </w:rPr>
        <w:t>[…]</w:t>
      </w:r>
    </w:p>
    <w:p w14:paraId="73F1076B" w14:textId="77777777" w:rsidR="004D389B" w:rsidRPr="000449AC" w:rsidRDefault="004D389B" w:rsidP="004D389B">
      <w:pPr>
        <w:pStyle w:val="Textoindependiente"/>
        <w:spacing w:before="0" w:after="0"/>
        <w:ind w:firstLine="709"/>
        <w:jc w:val="both"/>
        <w:rPr>
          <w:rFonts w:cs="Arial"/>
          <w:sz w:val="16"/>
          <w:szCs w:val="16"/>
        </w:rPr>
      </w:pPr>
    </w:p>
    <w:p w14:paraId="00B69248" w14:textId="77777777" w:rsidR="004D389B" w:rsidRPr="000449AC" w:rsidRDefault="004D389B" w:rsidP="004D389B">
      <w:pPr>
        <w:spacing w:after="0" w:line="240" w:lineRule="auto"/>
        <w:ind w:firstLine="709"/>
        <w:jc w:val="both"/>
        <w:rPr>
          <w:rFonts w:ascii="Verdana" w:hAnsi="Verdana" w:cs="Arial"/>
          <w:sz w:val="16"/>
          <w:szCs w:val="16"/>
        </w:rPr>
      </w:pPr>
      <w:r w:rsidRPr="000449AC">
        <w:rPr>
          <w:rFonts w:ascii="Verdana" w:hAnsi="Verdana" w:cs="Arial"/>
          <w:sz w:val="16"/>
          <w:szCs w:val="16"/>
        </w:rPr>
        <w:t>“Así las cosas, encuentra la Sala que se cumplen los criterios determinados por la Corporación para proceder al amparo de los derechos fundamentales de la contratista: (i) existió una relación de prestación de servicios entre las partes; (ii) la accionante se encontraba en estado de embarazo y dicha situación fue informada a la accionada en el mes de noviembre de 2016, y (iii) a pocos días de conocerse el estado de gestación de la peticionaria, la relación contractual que había sido continua durante ocho (8) meses aproximadamente, se terminó por decisión de la parte contratante y sin que mediara autorización del inspector del trabajo, requisito necesario  en el  presente  caso concreto,  aun cuando se trate de un contrato de prestación de servicios, pues el amparo constitucional de la estabilidad laboral reforzada de las mujeres embarazadas también es aplicable a este tipo de vinculación contractual, acudiendo a la asimilación de estas alternativas a una relación laboral sin condiciones específicas de</w:t>
      </w:r>
      <w:r w:rsidRPr="000449AC">
        <w:rPr>
          <w:rFonts w:ascii="Verdana" w:hAnsi="Verdana" w:cs="Arial"/>
          <w:spacing w:val="2"/>
          <w:sz w:val="16"/>
          <w:szCs w:val="16"/>
        </w:rPr>
        <w:t xml:space="preserve"> </w:t>
      </w:r>
      <w:r w:rsidRPr="000449AC">
        <w:rPr>
          <w:rFonts w:ascii="Verdana" w:hAnsi="Verdana" w:cs="Arial"/>
          <w:sz w:val="16"/>
          <w:szCs w:val="16"/>
        </w:rPr>
        <w:t>terminación”.</w:t>
      </w:r>
    </w:p>
    <w:p w14:paraId="771671C0" w14:textId="77777777" w:rsidR="004D389B" w:rsidRPr="000449AC" w:rsidRDefault="004D389B" w:rsidP="004D389B">
      <w:pPr>
        <w:pStyle w:val="Textonotapie"/>
        <w:ind w:firstLine="709"/>
        <w:jc w:val="both"/>
        <w:rPr>
          <w:rFonts w:ascii="Verdana" w:hAnsi="Verdana" w:cs="Arial"/>
          <w:sz w:val="16"/>
          <w:szCs w:val="16"/>
        </w:rPr>
      </w:pPr>
    </w:p>
  </w:footnote>
  <w:footnote w:id="5">
    <w:p w14:paraId="3316C94A" w14:textId="77777777" w:rsidR="004D389B" w:rsidRPr="000449AC" w:rsidRDefault="004D389B" w:rsidP="004D389B">
      <w:pPr>
        <w:pStyle w:val="Textonotapie"/>
        <w:ind w:firstLine="709"/>
        <w:rPr>
          <w:rFonts w:ascii="Verdana" w:hAnsi="Verdana"/>
          <w:sz w:val="16"/>
          <w:szCs w:val="16"/>
          <w:lang w:val="es-CO"/>
        </w:rPr>
      </w:pPr>
      <w:r w:rsidRPr="000449AC">
        <w:rPr>
          <w:rStyle w:val="Refdenotaalpie"/>
          <w:rFonts w:ascii="Verdana" w:hAnsi="Verdana"/>
          <w:sz w:val="16"/>
          <w:szCs w:val="16"/>
          <w:lang w:val="es-CO"/>
        </w:rPr>
        <w:footnoteRef/>
      </w:r>
      <w:r w:rsidRPr="000449AC">
        <w:rPr>
          <w:rFonts w:ascii="Verdana" w:hAnsi="Verdana"/>
          <w:sz w:val="16"/>
          <w:szCs w:val="16"/>
          <w:lang w:val="es-CO"/>
        </w:rPr>
        <w:t xml:space="preserve"> Corte Constitucional. Sentencia SU-075 de 2018. M.P: Gloria Stella Ortiz Delgado.</w:t>
      </w:r>
    </w:p>
    <w:p w14:paraId="0C34E88A" w14:textId="77777777" w:rsidR="004D389B" w:rsidRPr="000449AC" w:rsidRDefault="004D389B" w:rsidP="004D389B">
      <w:pPr>
        <w:pStyle w:val="Textonotapie"/>
        <w:ind w:firstLine="709"/>
        <w:rPr>
          <w:rFonts w:ascii="Verdana" w:hAnsi="Verdana"/>
          <w:sz w:val="16"/>
          <w:szCs w:val="16"/>
          <w:lang w:val="es-CO"/>
        </w:rPr>
      </w:pPr>
    </w:p>
  </w:footnote>
  <w:footnote w:id="6">
    <w:p w14:paraId="64C9A2A3" w14:textId="77777777" w:rsidR="004D389B" w:rsidRPr="000449AC" w:rsidRDefault="004D389B" w:rsidP="004D389B">
      <w:pPr>
        <w:pStyle w:val="Textonotapie"/>
        <w:ind w:firstLine="709"/>
        <w:rPr>
          <w:rFonts w:ascii="Verdana" w:hAnsi="Verdana"/>
          <w:sz w:val="16"/>
          <w:szCs w:val="16"/>
          <w:lang w:val="es-CO"/>
        </w:rPr>
      </w:pPr>
      <w:r w:rsidRPr="000449AC">
        <w:rPr>
          <w:rStyle w:val="Refdenotaalpie"/>
          <w:rFonts w:ascii="Verdana" w:hAnsi="Verdana"/>
          <w:sz w:val="16"/>
          <w:szCs w:val="16"/>
        </w:rPr>
        <w:footnoteRef/>
      </w:r>
      <w:r w:rsidRPr="000449AC">
        <w:rPr>
          <w:rFonts w:ascii="Verdana" w:hAnsi="Verdana"/>
          <w:sz w:val="16"/>
          <w:szCs w:val="16"/>
          <w:lang w:val="es-CO"/>
        </w:rPr>
        <w:t xml:space="preserve"> Corte Constitucional. Sentencia T-350 del 2016. M.P: María Victoria Calle Correa. </w:t>
      </w:r>
    </w:p>
  </w:footnote>
  <w:footnote w:id="7">
    <w:p w14:paraId="2671435F" w14:textId="77777777" w:rsidR="004D389B" w:rsidRPr="000449AC" w:rsidRDefault="004D389B" w:rsidP="004D389B">
      <w:pPr>
        <w:pStyle w:val="Textonotapie"/>
        <w:ind w:firstLine="709"/>
        <w:rPr>
          <w:rFonts w:ascii="Verdana" w:hAnsi="Verdana"/>
          <w:sz w:val="16"/>
          <w:szCs w:val="16"/>
        </w:rPr>
      </w:pPr>
    </w:p>
    <w:p w14:paraId="62326C86" w14:textId="77777777" w:rsidR="004D389B" w:rsidRPr="000449AC" w:rsidRDefault="004D389B" w:rsidP="004D389B">
      <w:pPr>
        <w:pStyle w:val="Textonotapie"/>
        <w:ind w:firstLine="709"/>
        <w:rPr>
          <w:rFonts w:ascii="Verdana" w:hAnsi="Verdana"/>
          <w:sz w:val="16"/>
          <w:szCs w:val="16"/>
          <w:lang w:val="es-CO"/>
        </w:rPr>
      </w:pPr>
      <w:r w:rsidRPr="000449AC">
        <w:rPr>
          <w:rStyle w:val="Refdenotaalpie"/>
          <w:rFonts w:ascii="Verdana" w:hAnsi="Verdana"/>
          <w:sz w:val="16"/>
          <w:szCs w:val="16"/>
        </w:rPr>
        <w:footnoteRef/>
      </w:r>
      <w:r w:rsidRPr="000449AC">
        <w:rPr>
          <w:rFonts w:ascii="Verdana" w:hAnsi="Verdana"/>
          <w:sz w:val="16"/>
          <w:szCs w:val="16"/>
        </w:rPr>
        <w:t xml:space="preserve"> </w:t>
      </w:r>
      <w:r w:rsidRPr="000449AC">
        <w:rPr>
          <w:rFonts w:ascii="Verdana" w:hAnsi="Verdana"/>
          <w:sz w:val="16"/>
          <w:szCs w:val="16"/>
          <w:lang w:val="es-ES"/>
        </w:rPr>
        <w:t xml:space="preserve">Corte Constitucional. Sentencia T-030 de 2018. M.P: </w:t>
      </w:r>
      <w:r w:rsidRPr="000449AC">
        <w:rPr>
          <w:rFonts w:ascii="Verdana" w:hAnsi="Verdana"/>
          <w:sz w:val="16"/>
          <w:szCs w:val="16"/>
          <w:lang w:val="es-CO"/>
        </w:rPr>
        <w:t>José Fernando Reyes Cuartas.</w:t>
      </w:r>
    </w:p>
    <w:p w14:paraId="437A48CA" w14:textId="77777777" w:rsidR="004D389B" w:rsidRPr="000449AC" w:rsidRDefault="004D389B" w:rsidP="004D389B">
      <w:pPr>
        <w:pStyle w:val="Textonotapie"/>
        <w:ind w:firstLine="709"/>
        <w:rPr>
          <w:rFonts w:ascii="Verdana" w:hAnsi="Verdana"/>
          <w:sz w:val="16"/>
          <w:szCs w:val="16"/>
          <w:lang w:val="es-CO"/>
        </w:rPr>
      </w:pPr>
    </w:p>
  </w:footnote>
  <w:footnote w:id="8">
    <w:p w14:paraId="45474DBE" w14:textId="77777777" w:rsidR="004D389B" w:rsidRPr="000449AC" w:rsidRDefault="004D389B" w:rsidP="004D389B">
      <w:pPr>
        <w:pStyle w:val="Textonotapie"/>
        <w:ind w:firstLine="709"/>
        <w:rPr>
          <w:rFonts w:ascii="Verdana" w:hAnsi="Verdana"/>
          <w:sz w:val="16"/>
          <w:szCs w:val="16"/>
          <w:lang w:val="es-CO"/>
        </w:rPr>
      </w:pPr>
      <w:r w:rsidRPr="000449AC">
        <w:rPr>
          <w:rStyle w:val="Refdenotaalpie"/>
          <w:rFonts w:ascii="Verdana" w:hAnsi="Verdana"/>
          <w:sz w:val="16"/>
          <w:szCs w:val="16"/>
        </w:rPr>
        <w:footnoteRef/>
      </w:r>
      <w:r w:rsidRPr="000449AC">
        <w:rPr>
          <w:rFonts w:ascii="Verdana" w:hAnsi="Verdana"/>
          <w:sz w:val="16"/>
          <w:szCs w:val="16"/>
        </w:rPr>
        <w:t xml:space="preserve">  </w:t>
      </w:r>
      <w:r w:rsidRPr="000449AC">
        <w:rPr>
          <w:rFonts w:ascii="Verdana" w:hAnsi="Verdana"/>
          <w:sz w:val="16"/>
          <w:szCs w:val="16"/>
          <w:lang w:val="es-CO"/>
        </w:rPr>
        <w:t>Corte Constitucional. Sentencia SU-075 de 2018. M.P: Gloria Stella Ortiz Delgado.</w:t>
      </w:r>
    </w:p>
    <w:p w14:paraId="5B7E3C20" w14:textId="77777777" w:rsidR="004D389B" w:rsidRPr="000449AC" w:rsidRDefault="004D389B" w:rsidP="004D389B">
      <w:pPr>
        <w:pStyle w:val="Textonotapie"/>
        <w:ind w:firstLine="709"/>
        <w:rPr>
          <w:rFonts w:ascii="Verdana" w:hAnsi="Verdana"/>
          <w:sz w:val="16"/>
          <w:szCs w:val="16"/>
          <w:lang w:val="es-CO"/>
        </w:rPr>
      </w:pPr>
    </w:p>
  </w:footnote>
  <w:footnote w:id="9">
    <w:p w14:paraId="14D58A1E" w14:textId="77777777" w:rsidR="004D389B" w:rsidRPr="000449AC" w:rsidRDefault="004D389B" w:rsidP="004D389B">
      <w:pPr>
        <w:spacing w:after="0" w:line="240" w:lineRule="auto"/>
        <w:ind w:firstLine="709"/>
        <w:jc w:val="both"/>
        <w:rPr>
          <w:rFonts w:ascii="Verdana" w:hAnsi="Verdana"/>
          <w:spacing w:val="-2"/>
          <w:sz w:val="16"/>
          <w:szCs w:val="16"/>
        </w:rPr>
      </w:pPr>
      <w:r w:rsidRPr="000449AC">
        <w:rPr>
          <w:rStyle w:val="Refdenotaalpie"/>
          <w:rFonts w:ascii="Verdana" w:hAnsi="Verdana"/>
          <w:sz w:val="16"/>
          <w:szCs w:val="16"/>
        </w:rPr>
        <w:footnoteRef/>
      </w:r>
      <w:r w:rsidRPr="000449AC">
        <w:rPr>
          <w:rFonts w:ascii="Verdana" w:hAnsi="Verdana"/>
          <w:sz w:val="16"/>
          <w:szCs w:val="16"/>
        </w:rPr>
        <w:t xml:space="preserve"> Corte</w:t>
      </w:r>
      <w:r w:rsidRPr="000449AC">
        <w:rPr>
          <w:rFonts w:ascii="Verdana" w:hAnsi="Verdana"/>
          <w:spacing w:val="1"/>
          <w:sz w:val="16"/>
          <w:szCs w:val="16"/>
        </w:rPr>
        <w:t xml:space="preserve"> </w:t>
      </w:r>
      <w:r w:rsidRPr="000449AC">
        <w:rPr>
          <w:rFonts w:ascii="Verdana" w:hAnsi="Verdana"/>
          <w:sz w:val="16"/>
          <w:szCs w:val="16"/>
        </w:rPr>
        <w:t>Constitucional.</w:t>
      </w:r>
      <w:r w:rsidRPr="000449AC">
        <w:rPr>
          <w:rFonts w:ascii="Verdana" w:hAnsi="Verdana"/>
          <w:spacing w:val="3"/>
          <w:sz w:val="16"/>
          <w:szCs w:val="16"/>
        </w:rPr>
        <w:t xml:space="preserve"> </w:t>
      </w:r>
      <w:r w:rsidRPr="000449AC">
        <w:rPr>
          <w:rFonts w:ascii="Verdana" w:hAnsi="Verdana"/>
          <w:sz w:val="16"/>
          <w:szCs w:val="16"/>
        </w:rPr>
        <w:t>Sentencia</w:t>
      </w:r>
      <w:r w:rsidRPr="000449AC">
        <w:rPr>
          <w:rFonts w:ascii="Verdana" w:hAnsi="Verdana"/>
          <w:spacing w:val="2"/>
          <w:sz w:val="16"/>
          <w:szCs w:val="16"/>
        </w:rPr>
        <w:t xml:space="preserve"> </w:t>
      </w:r>
      <w:r w:rsidRPr="000449AC">
        <w:rPr>
          <w:rFonts w:ascii="Verdana" w:hAnsi="Verdana"/>
          <w:sz w:val="16"/>
          <w:szCs w:val="16"/>
        </w:rPr>
        <w:t>T-329</w:t>
      </w:r>
      <w:r w:rsidRPr="000449AC">
        <w:rPr>
          <w:rFonts w:ascii="Verdana" w:hAnsi="Verdana"/>
          <w:spacing w:val="1"/>
          <w:sz w:val="16"/>
          <w:szCs w:val="16"/>
        </w:rPr>
        <w:t xml:space="preserve"> </w:t>
      </w:r>
      <w:r w:rsidRPr="000449AC">
        <w:rPr>
          <w:rFonts w:ascii="Verdana" w:hAnsi="Verdana"/>
          <w:sz w:val="16"/>
          <w:szCs w:val="16"/>
        </w:rPr>
        <w:t>del</w:t>
      </w:r>
      <w:r w:rsidRPr="000449AC">
        <w:rPr>
          <w:rFonts w:ascii="Verdana" w:hAnsi="Verdana"/>
          <w:spacing w:val="2"/>
          <w:sz w:val="16"/>
          <w:szCs w:val="16"/>
        </w:rPr>
        <w:t xml:space="preserve"> </w:t>
      </w:r>
      <w:r w:rsidRPr="000449AC">
        <w:rPr>
          <w:rFonts w:ascii="Verdana" w:hAnsi="Verdana"/>
          <w:sz w:val="16"/>
          <w:szCs w:val="16"/>
        </w:rPr>
        <w:t>19 de septiembre</w:t>
      </w:r>
      <w:r w:rsidRPr="000449AC">
        <w:rPr>
          <w:rFonts w:ascii="Verdana" w:hAnsi="Verdana"/>
          <w:spacing w:val="2"/>
          <w:sz w:val="16"/>
          <w:szCs w:val="16"/>
        </w:rPr>
        <w:t xml:space="preserve"> </w:t>
      </w:r>
      <w:r w:rsidRPr="000449AC">
        <w:rPr>
          <w:rFonts w:ascii="Verdana" w:hAnsi="Verdana"/>
          <w:sz w:val="16"/>
          <w:szCs w:val="16"/>
        </w:rPr>
        <w:t>de</w:t>
      </w:r>
      <w:r w:rsidRPr="000449AC">
        <w:rPr>
          <w:rFonts w:ascii="Verdana" w:hAnsi="Verdana"/>
          <w:spacing w:val="1"/>
          <w:sz w:val="16"/>
          <w:szCs w:val="16"/>
        </w:rPr>
        <w:t xml:space="preserve"> </w:t>
      </w:r>
      <w:r w:rsidRPr="000449AC">
        <w:rPr>
          <w:rFonts w:ascii="Verdana" w:hAnsi="Verdana"/>
          <w:sz w:val="16"/>
          <w:szCs w:val="16"/>
        </w:rPr>
        <w:t>2022.</w:t>
      </w:r>
      <w:r w:rsidRPr="000449AC">
        <w:rPr>
          <w:rFonts w:ascii="Verdana" w:hAnsi="Verdana"/>
          <w:spacing w:val="1"/>
          <w:sz w:val="16"/>
          <w:szCs w:val="16"/>
        </w:rPr>
        <w:t xml:space="preserve"> </w:t>
      </w:r>
      <w:r w:rsidRPr="000449AC">
        <w:rPr>
          <w:rFonts w:ascii="Verdana" w:hAnsi="Verdana"/>
          <w:sz w:val="16"/>
          <w:szCs w:val="16"/>
        </w:rPr>
        <w:t>M.P:</w:t>
      </w:r>
      <w:r w:rsidRPr="000449AC">
        <w:rPr>
          <w:rFonts w:ascii="Verdana" w:hAnsi="Verdana"/>
          <w:spacing w:val="1"/>
          <w:sz w:val="16"/>
          <w:szCs w:val="16"/>
        </w:rPr>
        <w:t xml:space="preserve"> </w:t>
      </w:r>
      <w:r w:rsidRPr="000449AC">
        <w:rPr>
          <w:rFonts w:ascii="Verdana" w:hAnsi="Verdana"/>
          <w:sz w:val="16"/>
          <w:szCs w:val="16"/>
        </w:rPr>
        <w:t>Natalia</w:t>
      </w:r>
      <w:r w:rsidRPr="000449AC">
        <w:rPr>
          <w:rFonts w:ascii="Verdana" w:hAnsi="Verdana"/>
          <w:spacing w:val="1"/>
          <w:sz w:val="16"/>
          <w:szCs w:val="16"/>
        </w:rPr>
        <w:t xml:space="preserve"> </w:t>
      </w:r>
      <w:r w:rsidRPr="000449AC">
        <w:rPr>
          <w:rFonts w:ascii="Verdana" w:hAnsi="Verdana"/>
          <w:spacing w:val="-2"/>
          <w:sz w:val="16"/>
          <w:szCs w:val="16"/>
        </w:rPr>
        <w:t xml:space="preserve">Ángel Cabo. </w:t>
      </w:r>
    </w:p>
    <w:p w14:paraId="5F20695A" w14:textId="77777777" w:rsidR="004D389B" w:rsidRPr="000449AC" w:rsidRDefault="004D389B" w:rsidP="004D389B">
      <w:pPr>
        <w:spacing w:after="0" w:line="240" w:lineRule="auto"/>
        <w:ind w:firstLine="709"/>
        <w:jc w:val="both"/>
        <w:rPr>
          <w:rFonts w:ascii="Verdana" w:hAnsi="Verdana"/>
          <w:spacing w:val="-2"/>
          <w:sz w:val="16"/>
          <w:szCs w:val="16"/>
        </w:rPr>
      </w:pPr>
    </w:p>
  </w:footnote>
  <w:footnote w:id="10">
    <w:p w14:paraId="79769455" w14:textId="77777777" w:rsidR="004D389B" w:rsidRPr="000449AC" w:rsidRDefault="004D389B" w:rsidP="004D389B">
      <w:pPr>
        <w:pStyle w:val="Textonotapie"/>
        <w:ind w:firstLine="709"/>
        <w:jc w:val="both"/>
        <w:rPr>
          <w:rFonts w:ascii="Verdana" w:hAnsi="Verdana"/>
          <w:spacing w:val="-2"/>
          <w:sz w:val="16"/>
          <w:szCs w:val="16"/>
          <w:lang w:val="es-CO"/>
        </w:rPr>
      </w:pPr>
      <w:r w:rsidRPr="000449AC">
        <w:rPr>
          <w:rStyle w:val="Refdenotaalpie"/>
          <w:rFonts w:ascii="Verdana" w:hAnsi="Verdana"/>
          <w:sz w:val="16"/>
          <w:szCs w:val="16"/>
          <w:lang w:val="es-CO"/>
        </w:rPr>
        <w:footnoteRef/>
      </w:r>
      <w:r w:rsidRPr="000449AC">
        <w:rPr>
          <w:rFonts w:ascii="Verdana" w:hAnsi="Verdana"/>
          <w:sz w:val="16"/>
          <w:szCs w:val="16"/>
          <w:lang w:val="es-CO"/>
        </w:rPr>
        <w:t xml:space="preserve"> Sentencia</w:t>
      </w:r>
      <w:r w:rsidRPr="000449AC">
        <w:rPr>
          <w:rFonts w:ascii="Verdana" w:hAnsi="Verdana"/>
          <w:spacing w:val="-7"/>
          <w:sz w:val="16"/>
          <w:szCs w:val="16"/>
          <w:lang w:val="es-CO"/>
        </w:rPr>
        <w:t xml:space="preserve"> </w:t>
      </w:r>
      <w:r w:rsidRPr="000449AC">
        <w:rPr>
          <w:rFonts w:ascii="Verdana" w:hAnsi="Verdana"/>
          <w:sz w:val="16"/>
          <w:szCs w:val="16"/>
          <w:lang w:val="es-CO"/>
        </w:rPr>
        <w:t>SU-070</w:t>
      </w:r>
      <w:r w:rsidRPr="000449AC">
        <w:rPr>
          <w:rFonts w:ascii="Verdana" w:hAnsi="Verdana"/>
          <w:spacing w:val="-8"/>
          <w:sz w:val="16"/>
          <w:szCs w:val="16"/>
          <w:lang w:val="es-CO"/>
        </w:rPr>
        <w:t xml:space="preserve"> </w:t>
      </w:r>
      <w:r w:rsidRPr="000449AC">
        <w:rPr>
          <w:rFonts w:ascii="Verdana" w:hAnsi="Verdana"/>
          <w:sz w:val="16"/>
          <w:szCs w:val="16"/>
          <w:lang w:val="es-CO"/>
        </w:rPr>
        <w:t>de</w:t>
      </w:r>
      <w:r w:rsidRPr="000449AC">
        <w:rPr>
          <w:rFonts w:ascii="Verdana" w:hAnsi="Verdana"/>
          <w:spacing w:val="-7"/>
          <w:sz w:val="16"/>
          <w:szCs w:val="16"/>
          <w:lang w:val="es-CO"/>
        </w:rPr>
        <w:t xml:space="preserve"> </w:t>
      </w:r>
      <w:r w:rsidRPr="000449AC">
        <w:rPr>
          <w:rFonts w:ascii="Verdana" w:hAnsi="Verdana"/>
          <w:sz w:val="16"/>
          <w:szCs w:val="16"/>
          <w:lang w:val="es-CO"/>
        </w:rPr>
        <w:t>2013.</w:t>
      </w:r>
      <w:r w:rsidRPr="000449AC">
        <w:rPr>
          <w:rFonts w:ascii="Verdana" w:hAnsi="Verdana"/>
          <w:spacing w:val="-7"/>
          <w:sz w:val="16"/>
          <w:szCs w:val="16"/>
          <w:lang w:val="es-CO"/>
        </w:rPr>
        <w:t xml:space="preserve"> </w:t>
      </w:r>
      <w:r w:rsidRPr="000449AC">
        <w:rPr>
          <w:rFonts w:ascii="Verdana" w:hAnsi="Verdana"/>
          <w:sz w:val="16"/>
          <w:szCs w:val="16"/>
          <w:lang w:val="es-CO"/>
        </w:rPr>
        <w:t>Fund.</w:t>
      </w:r>
      <w:r w:rsidRPr="000449AC">
        <w:rPr>
          <w:rFonts w:ascii="Verdana" w:hAnsi="Verdana"/>
          <w:spacing w:val="-8"/>
          <w:sz w:val="16"/>
          <w:szCs w:val="16"/>
          <w:lang w:val="es-CO"/>
        </w:rPr>
        <w:t xml:space="preserve"> </w:t>
      </w:r>
      <w:r w:rsidRPr="000449AC">
        <w:rPr>
          <w:rFonts w:ascii="Verdana" w:hAnsi="Verdana"/>
          <w:sz w:val="16"/>
          <w:szCs w:val="16"/>
          <w:lang w:val="es-CO"/>
        </w:rPr>
        <w:t>6.</w:t>
      </w:r>
      <w:r w:rsidRPr="000449AC">
        <w:rPr>
          <w:rFonts w:ascii="Verdana" w:hAnsi="Verdana"/>
          <w:spacing w:val="-7"/>
          <w:sz w:val="16"/>
          <w:szCs w:val="16"/>
          <w:lang w:val="es-CO"/>
        </w:rPr>
        <w:t xml:space="preserve"> </w:t>
      </w:r>
      <w:r w:rsidRPr="000449AC">
        <w:rPr>
          <w:rFonts w:ascii="Verdana" w:hAnsi="Verdana"/>
          <w:sz w:val="16"/>
          <w:szCs w:val="16"/>
          <w:lang w:val="es-CO"/>
        </w:rPr>
        <w:t>Reiterado</w:t>
      </w:r>
      <w:r w:rsidRPr="000449AC">
        <w:rPr>
          <w:rFonts w:ascii="Verdana" w:hAnsi="Verdana"/>
          <w:spacing w:val="-7"/>
          <w:sz w:val="16"/>
          <w:szCs w:val="16"/>
          <w:lang w:val="es-CO"/>
        </w:rPr>
        <w:t xml:space="preserve"> </w:t>
      </w:r>
      <w:r w:rsidRPr="000449AC">
        <w:rPr>
          <w:rFonts w:ascii="Verdana" w:hAnsi="Verdana"/>
          <w:sz w:val="16"/>
          <w:szCs w:val="16"/>
          <w:lang w:val="es-CO"/>
        </w:rPr>
        <w:t>en</w:t>
      </w:r>
      <w:r w:rsidRPr="000449AC">
        <w:rPr>
          <w:rFonts w:ascii="Verdana" w:hAnsi="Verdana"/>
          <w:spacing w:val="-8"/>
          <w:sz w:val="16"/>
          <w:szCs w:val="16"/>
          <w:lang w:val="es-CO"/>
        </w:rPr>
        <w:t xml:space="preserve"> </w:t>
      </w:r>
      <w:r w:rsidRPr="000449AC">
        <w:rPr>
          <w:rFonts w:ascii="Verdana" w:hAnsi="Verdana"/>
          <w:sz w:val="16"/>
          <w:szCs w:val="16"/>
          <w:lang w:val="es-CO"/>
        </w:rPr>
        <w:t>las</w:t>
      </w:r>
      <w:r w:rsidRPr="000449AC">
        <w:rPr>
          <w:rFonts w:ascii="Verdana" w:hAnsi="Verdana"/>
          <w:spacing w:val="1"/>
          <w:sz w:val="16"/>
          <w:szCs w:val="16"/>
          <w:lang w:val="es-CO"/>
        </w:rPr>
        <w:t xml:space="preserve"> </w:t>
      </w:r>
      <w:r w:rsidRPr="000449AC">
        <w:rPr>
          <w:rFonts w:ascii="Verdana" w:hAnsi="Verdana"/>
          <w:sz w:val="16"/>
          <w:szCs w:val="16"/>
          <w:lang w:val="es-CO"/>
        </w:rPr>
        <w:t>sentencias</w:t>
      </w:r>
      <w:r w:rsidRPr="000449AC">
        <w:rPr>
          <w:rFonts w:ascii="Verdana" w:hAnsi="Verdana"/>
          <w:spacing w:val="-7"/>
          <w:sz w:val="16"/>
          <w:szCs w:val="16"/>
          <w:lang w:val="es-CO"/>
        </w:rPr>
        <w:t xml:space="preserve"> </w:t>
      </w:r>
      <w:r w:rsidRPr="000449AC">
        <w:rPr>
          <w:rFonts w:ascii="Verdana" w:hAnsi="Verdana"/>
          <w:sz w:val="16"/>
          <w:szCs w:val="16"/>
          <w:lang w:val="es-CO"/>
        </w:rPr>
        <w:t>SU-040</w:t>
      </w:r>
      <w:r w:rsidRPr="000449AC">
        <w:rPr>
          <w:rFonts w:ascii="Verdana" w:hAnsi="Verdana"/>
          <w:spacing w:val="-7"/>
          <w:sz w:val="16"/>
          <w:szCs w:val="16"/>
          <w:lang w:val="es-CO"/>
        </w:rPr>
        <w:t xml:space="preserve"> </w:t>
      </w:r>
      <w:r w:rsidRPr="000449AC">
        <w:rPr>
          <w:rFonts w:ascii="Verdana" w:hAnsi="Verdana"/>
          <w:sz w:val="16"/>
          <w:szCs w:val="16"/>
          <w:lang w:val="es-CO"/>
        </w:rPr>
        <w:t>de</w:t>
      </w:r>
      <w:r w:rsidRPr="000449AC">
        <w:rPr>
          <w:rFonts w:ascii="Verdana" w:hAnsi="Verdana"/>
          <w:spacing w:val="-8"/>
          <w:sz w:val="16"/>
          <w:szCs w:val="16"/>
          <w:lang w:val="es-CO"/>
        </w:rPr>
        <w:t xml:space="preserve"> </w:t>
      </w:r>
      <w:r w:rsidRPr="000449AC">
        <w:rPr>
          <w:rFonts w:ascii="Verdana" w:hAnsi="Verdana"/>
          <w:sz w:val="16"/>
          <w:szCs w:val="16"/>
          <w:lang w:val="es-CO"/>
        </w:rPr>
        <w:t>2018</w:t>
      </w:r>
      <w:r w:rsidRPr="000449AC">
        <w:rPr>
          <w:rFonts w:ascii="Verdana" w:hAnsi="Verdana"/>
          <w:spacing w:val="-7"/>
          <w:sz w:val="16"/>
          <w:szCs w:val="16"/>
          <w:lang w:val="es-CO"/>
        </w:rPr>
        <w:t xml:space="preserve"> </w:t>
      </w:r>
      <w:r w:rsidRPr="000449AC">
        <w:rPr>
          <w:rFonts w:ascii="Verdana" w:hAnsi="Verdana"/>
          <w:sz w:val="16"/>
          <w:szCs w:val="16"/>
          <w:lang w:val="es-CO"/>
        </w:rPr>
        <w:t>y</w:t>
      </w:r>
      <w:r w:rsidRPr="000449AC">
        <w:rPr>
          <w:rFonts w:ascii="Verdana" w:hAnsi="Verdana"/>
          <w:spacing w:val="-7"/>
          <w:sz w:val="16"/>
          <w:szCs w:val="16"/>
          <w:lang w:val="es-CO"/>
        </w:rPr>
        <w:t xml:space="preserve"> </w:t>
      </w:r>
      <w:r w:rsidRPr="000449AC">
        <w:rPr>
          <w:rFonts w:ascii="Verdana" w:hAnsi="Verdana"/>
          <w:sz w:val="16"/>
          <w:szCs w:val="16"/>
          <w:lang w:val="es-CO"/>
        </w:rPr>
        <w:t>SU-075</w:t>
      </w:r>
      <w:r w:rsidRPr="000449AC">
        <w:rPr>
          <w:rFonts w:ascii="Verdana" w:hAnsi="Verdana"/>
          <w:spacing w:val="-8"/>
          <w:sz w:val="16"/>
          <w:szCs w:val="16"/>
          <w:lang w:val="es-CO"/>
        </w:rPr>
        <w:t xml:space="preserve"> </w:t>
      </w:r>
      <w:r w:rsidRPr="000449AC">
        <w:rPr>
          <w:rFonts w:ascii="Verdana" w:hAnsi="Verdana"/>
          <w:sz w:val="16"/>
          <w:szCs w:val="16"/>
          <w:lang w:val="es-CO"/>
        </w:rPr>
        <w:t>de</w:t>
      </w:r>
      <w:r w:rsidRPr="000449AC">
        <w:rPr>
          <w:rFonts w:ascii="Verdana" w:hAnsi="Verdana"/>
          <w:spacing w:val="-7"/>
          <w:sz w:val="16"/>
          <w:szCs w:val="16"/>
          <w:lang w:val="es-CO"/>
        </w:rPr>
        <w:t xml:space="preserve"> </w:t>
      </w:r>
      <w:r w:rsidRPr="000449AC">
        <w:rPr>
          <w:rFonts w:ascii="Verdana" w:hAnsi="Verdana"/>
          <w:spacing w:val="-2"/>
          <w:sz w:val="16"/>
          <w:szCs w:val="16"/>
          <w:lang w:val="es-CO"/>
        </w:rPr>
        <w:t>2018.</w:t>
      </w:r>
    </w:p>
    <w:p w14:paraId="55257DA2" w14:textId="77777777" w:rsidR="004D389B" w:rsidRPr="000449AC" w:rsidRDefault="004D389B" w:rsidP="004D389B">
      <w:pPr>
        <w:pStyle w:val="Textonotapie"/>
        <w:ind w:firstLine="709"/>
        <w:jc w:val="both"/>
        <w:rPr>
          <w:rFonts w:ascii="Verdana" w:hAnsi="Verdana"/>
          <w:spacing w:val="-2"/>
          <w:sz w:val="16"/>
          <w:szCs w:val="16"/>
          <w:lang w:val="es-CO"/>
        </w:rPr>
      </w:pPr>
    </w:p>
  </w:footnote>
  <w:footnote w:id="11">
    <w:p w14:paraId="1A519A54" w14:textId="77777777" w:rsidR="004D389B" w:rsidRPr="000449AC" w:rsidRDefault="004D389B" w:rsidP="004D389B">
      <w:pPr>
        <w:pStyle w:val="Textonotapie"/>
        <w:ind w:firstLine="709"/>
        <w:jc w:val="both"/>
        <w:rPr>
          <w:rFonts w:ascii="Verdana" w:hAnsi="Verdana"/>
          <w:sz w:val="16"/>
          <w:szCs w:val="16"/>
          <w:lang w:val="es-CO"/>
        </w:rPr>
      </w:pPr>
      <w:r w:rsidRPr="000449AC">
        <w:rPr>
          <w:rStyle w:val="Refdenotaalpie"/>
          <w:rFonts w:ascii="Verdana" w:hAnsi="Verdana"/>
          <w:sz w:val="16"/>
          <w:szCs w:val="16"/>
          <w:lang w:val="es-CO"/>
        </w:rPr>
        <w:footnoteRef/>
      </w:r>
      <w:r w:rsidRPr="000449AC">
        <w:rPr>
          <w:rFonts w:ascii="Verdana" w:hAnsi="Verdana"/>
          <w:sz w:val="16"/>
          <w:szCs w:val="16"/>
          <w:lang w:val="es-CO"/>
        </w:rPr>
        <w:t xml:space="preserve"> Esta indemnización se ha reconocido en contratos de prestación de servicios, entre otras las sentencias T-564 de 2017, T -316 de 2016, T-102 de 2016 y T-346 de 2013. </w:t>
      </w:r>
    </w:p>
    <w:p w14:paraId="479A4043" w14:textId="77777777" w:rsidR="004D389B" w:rsidRPr="000449AC" w:rsidRDefault="004D389B" w:rsidP="004D389B">
      <w:pPr>
        <w:pStyle w:val="Textonotapie"/>
        <w:ind w:firstLine="709"/>
        <w:jc w:val="both"/>
        <w:rPr>
          <w:rFonts w:ascii="Verdana" w:hAnsi="Verdana"/>
          <w:sz w:val="16"/>
          <w:szCs w:val="16"/>
          <w:lang w:val="es-CO"/>
        </w:rPr>
      </w:pPr>
    </w:p>
  </w:footnote>
  <w:footnote w:id="12">
    <w:p w14:paraId="03A02994" w14:textId="77777777" w:rsidR="004D389B" w:rsidRPr="000449AC" w:rsidRDefault="004D389B" w:rsidP="004D389B">
      <w:pPr>
        <w:pStyle w:val="Textonotapie"/>
        <w:ind w:firstLine="709"/>
        <w:jc w:val="both"/>
        <w:rPr>
          <w:rFonts w:ascii="Verdana" w:hAnsi="Verdana"/>
          <w:sz w:val="16"/>
          <w:szCs w:val="16"/>
          <w:lang w:val="es-CO"/>
        </w:rPr>
      </w:pPr>
      <w:r w:rsidRPr="000449AC">
        <w:rPr>
          <w:rStyle w:val="Refdenotaalpie"/>
          <w:rFonts w:ascii="Verdana" w:hAnsi="Verdana"/>
          <w:sz w:val="16"/>
          <w:szCs w:val="16"/>
          <w:lang w:val="es-CO"/>
        </w:rPr>
        <w:footnoteRef/>
      </w:r>
      <w:r w:rsidRPr="000449AC">
        <w:rPr>
          <w:rFonts w:ascii="Verdana" w:hAnsi="Verdana"/>
          <w:sz w:val="16"/>
          <w:szCs w:val="16"/>
          <w:lang w:val="es-CO"/>
        </w:rPr>
        <w:t xml:space="preserve"> En las sentencias T-238 de 2015 y T-350 de 2016 la Corte Constitucional determinó que no procede el pago de la licencia de maternidad cuando en el caso se observe que la licencia de maternidad ya fue disfrutada.</w:t>
      </w:r>
    </w:p>
    <w:p w14:paraId="3267C113" w14:textId="77777777" w:rsidR="004D389B" w:rsidRPr="000449AC" w:rsidRDefault="004D389B" w:rsidP="004D389B">
      <w:pPr>
        <w:pStyle w:val="Textonotapie"/>
        <w:ind w:firstLine="709"/>
        <w:jc w:val="both"/>
        <w:rPr>
          <w:rFonts w:ascii="Verdana" w:hAnsi="Verdana"/>
          <w:sz w:val="16"/>
          <w:szCs w:val="16"/>
          <w:lang w:val="es-CO"/>
        </w:rPr>
      </w:pPr>
    </w:p>
  </w:footnote>
  <w:footnote w:id="13">
    <w:p w14:paraId="5166B31E" w14:textId="77777777" w:rsidR="004D389B" w:rsidRPr="000449AC" w:rsidRDefault="004D389B" w:rsidP="004D389B">
      <w:pPr>
        <w:pStyle w:val="Textonotapie"/>
        <w:ind w:firstLine="709"/>
        <w:jc w:val="both"/>
        <w:rPr>
          <w:rFonts w:ascii="Verdana" w:hAnsi="Verdana"/>
          <w:sz w:val="16"/>
          <w:szCs w:val="16"/>
          <w:lang w:val="es-CO"/>
        </w:rPr>
      </w:pPr>
      <w:r w:rsidRPr="000449AC">
        <w:rPr>
          <w:rStyle w:val="Refdenotaalpie"/>
          <w:rFonts w:ascii="Verdana" w:hAnsi="Verdana"/>
          <w:sz w:val="16"/>
          <w:szCs w:val="16"/>
          <w:lang w:val="es-CO"/>
        </w:rPr>
        <w:footnoteRef/>
      </w:r>
      <w:r w:rsidRPr="000449AC">
        <w:rPr>
          <w:rFonts w:ascii="Verdana" w:hAnsi="Verdana"/>
          <w:sz w:val="16"/>
          <w:szCs w:val="16"/>
          <w:lang w:val="es-CO"/>
        </w:rPr>
        <w:t xml:space="preserve"> Esta</w:t>
      </w:r>
      <w:r w:rsidRPr="000449AC">
        <w:rPr>
          <w:rFonts w:ascii="Verdana" w:hAnsi="Verdana"/>
          <w:spacing w:val="-9"/>
          <w:sz w:val="16"/>
          <w:szCs w:val="16"/>
          <w:lang w:val="es-CO"/>
        </w:rPr>
        <w:t xml:space="preserve"> </w:t>
      </w:r>
      <w:r w:rsidRPr="000449AC">
        <w:rPr>
          <w:rFonts w:ascii="Verdana" w:hAnsi="Verdana"/>
          <w:sz w:val="16"/>
          <w:szCs w:val="16"/>
          <w:lang w:val="es-CO"/>
        </w:rPr>
        <w:t>media</w:t>
      </w:r>
      <w:r w:rsidRPr="000449AC">
        <w:rPr>
          <w:rFonts w:ascii="Verdana" w:hAnsi="Verdana"/>
          <w:spacing w:val="-8"/>
          <w:sz w:val="16"/>
          <w:szCs w:val="16"/>
          <w:lang w:val="es-CO"/>
        </w:rPr>
        <w:t xml:space="preserve"> </w:t>
      </w:r>
      <w:r w:rsidRPr="000449AC">
        <w:rPr>
          <w:rFonts w:ascii="Verdana" w:hAnsi="Verdana"/>
          <w:sz w:val="16"/>
          <w:szCs w:val="16"/>
          <w:lang w:val="es-CO"/>
        </w:rPr>
        <w:t>fue</w:t>
      </w:r>
      <w:r w:rsidRPr="000449AC">
        <w:rPr>
          <w:rFonts w:ascii="Verdana" w:hAnsi="Verdana"/>
          <w:spacing w:val="-8"/>
          <w:sz w:val="16"/>
          <w:szCs w:val="16"/>
          <w:lang w:val="es-CO"/>
        </w:rPr>
        <w:t xml:space="preserve"> </w:t>
      </w:r>
      <w:r w:rsidRPr="000449AC">
        <w:rPr>
          <w:rFonts w:ascii="Verdana" w:hAnsi="Verdana"/>
          <w:sz w:val="16"/>
          <w:szCs w:val="16"/>
          <w:lang w:val="es-CO"/>
        </w:rPr>
        <w:t>aplicada</w:t>
      </w:r>
      <w:r w:rsidRPr="000449AC">
        <w:rPr>
          <w:rFonts w:ascii="Verdana" w:hAnsi="Verdana"/>
          <w:spacing w:val="-8"/>
          <w:sz w:val="16"/>
          <w:szCs w:val="16"/>
          <w:lang w:val="es-CO"/>
        </w:rPr>
        <w:t xml:space="preserve"> </w:t>
      </w:r>
      <w:r w:rsidRPr="000449AC">
        <w:rPr>
          <w:rFonts w:ascii="Verdana" w:hAnsi="Verdana"/>
          <w:sz w:val="16"/>
          <w:szCs w:val="16"/>
          <w:lang w:val="es-CO"/>
        </w:rPr>
        <w:t>en</w:t>
      </w:r>
      <w:r w:rsidRPr="000449AC">
        <w:rPr>
          <w:rFonts w:ascii="Verdana" w:hAnsi="Verdana"/>
          <w:spacing w:val="-8"/>
          <w:sz w:val="16"/>
          <w:szCs w:val="16"/>
          <w:lang w:val="es-CO"/>
        </w:rPr>
        <w:t xml:space="preserve"> </w:t>
      </w:r>
      <w:r w:rsidRPr="000449AC">
        <w:rPr>
          <w:rFonts w:ascii="Verdana" w:hAnsi="Verdana"/>
          <w:sz w:val="16"/>
          <w:szCs w:val="16"/>
          <w:lang w:val="es-CO"/>
        </w:rPr>
        <w:t>la</w:t>
      </w:r>
      <w:r w:rsidRPr="000449AC">
        <w:rPr>
          <w:rFonts w:ascii="Verdana" w:hAnsi="Verdana"/>
          <w:spacing w:val="-8"/>
          <w:sz w:val="16"/>
          <w:szCs w:val="16"/>
          <w:lang w:val="es-CO"/>
        </w:rPr>
        <w:t xml:space="preserve"> </w:t>
      </w:r>
      <w:r w:rsidRPr="000449AC">
        <w:rPr>
          <w:rFonts w:ascii="Verdana" w:hAnsi="Verdana"/>
          <w:sz w:val="16"/>
          <w:szCs w:val="16"/>
          <w:lang w:val="es-CO"/>
        </w:rPr>
        <w:t xml:space="preserve">Sentencia de la Corte Constitucional </w:t>
      </w:r>
      <w:r w:rsidRPr="000449AC">
        <w:rPr>
          <w:rFonts w:ascii="Verdana" w:hAnsi="Verdana"/>
          <w:spacing w:val="-8"/>
          <w:sz w:val="16"/>
          <w:szCs w:val="16"/>
          <w:lang w:val="es-CO"/>
        </w:rPr>
        <w:t>T</w:t>
      </w:r>
      <w:r w:rsidRPr="000449AC">
        <w:rPr>
          <w:rFonts w:ascii="Verdana" w:hAnsi="Verdana"/>
          <w:sz w:val="16"/>
          <w:szCs w:val="16"/>
          <w:lang w:val="es-CO"/>
        </w:rPr>
        <w:t>-030</w:t>
      </w:r>
      <w:r w:rsidRPr="000449AC">
        <w:rPr>
          <w:rFonts w:ascii="Verdana" w:hAnsi="Verdana"/>
          <w:spacing w:val="-8"/>
          <w:sz w:val="16"/>
          <w:szCs w:val="16"/>
          <w:lang w:val="es-CO"/>
        </w:rPr>
        <w:t xml:space="preserve"> </w:t>
      </w:r>
      <w:r w:rsidRPr="000449AC">
        <w:rPr>
          <w:rFonts w:ascii="Verdana" w:hAnsi="Verdana"/>
          <w:sz w:val="16"/>
          <w:szCs w:val="16"/>
          <w:lang w:val="es-CO"/>
        </w:rPr>
        <w:t>de</w:t>
      </w:r>
      <w:r w:rsidRPr="000449AC">
        <w:rPr>
          <w:rFonts w:ascii="Verdana" w:hAnsi="Verdana"/>
          <w:spacing w:val="-8"/>
          <w:sz w:val="16"/>
          <w:szCs w:val="16"/>
          <w:lang w:val="es-CO"/>
        </w:rPr>
        <w:t xml:space="preserve"> </w:t>
      </w:r>
      <w:r w:rsidRPr="000449AC">
        <w:rPr>
          <w:rFonts w:ascii="Verdana" w:hAnsi="Verdana"/>
          <w:sz w:val="16"/>
          <w:szCs w:val="16"/>
          <w:lang w:val="es-CO"/>
        </w:rPr>
        <w:t>2018.</w:t>
      </w:r>
    </w:p>
    <w:p w14:paraId="6BF26F18" w14:textId="77777777" w:rsidR="004D389B" w:rsidRPr="000449AC" w:rsidRDefault="004D389B" w:rsidP="004D389B">
      <w:pPr>
        <w:pStyle w:val="Textonotapie"/>
        <w:ind w:firstLine="709"/>
        <w:jc w:val="both"/>
        <w:rPr>
          <w:rFonts w:ascii="Verdana" w:hAnsi="Verdana"/>
          <w:sz w:val="16"/>
          <w:szCs w:val="16"/>
          <w:lang w:val="es-CO"/>
        </w:rPr>
      </w:pPr>
    </w:p>
  </w:footnote>
  <w:footnote w:id="14">
    <w:p w14:paraId="4E9CECD2" w14:textId="77777777" w:rsidR="004D389B" w:rsidRPr="000449AC" w:rsidRDefault="004D389B" w:rsidP="004D389B">
      <w:pPr>
        <w:pStyle w:val="Textonotapie"/>
        <w:ind w:firstLine="709"/>
        <w:jc w:val="both"/>
        <w:rPr>
          <w:rFonts w:ascii="Verdana" w:hAnsi="Verdana"/>
          <w:sz w:val="16"/>
          <w:szCs w:val="16"/>
          <w:lang w:val="es-CO"/>
        </w:rPr>
      </w:pPr>
      <w:r w:rsidRPr="000449AC">
        <w:rPr>
          <w:rStyle w:val="Refdenotaalpie"/>
          <w:rFonts w:ascii="Verdana" w:hAnsi="Verdana"/>
          <w:sz w:val="16"/>
          <w:szCs w:val="16"/>
          <w:lang w:val="es-CO"/>
        </w:rPr>
        <w:footnoteRef/>
      </w:r>
      <w:r w:rsidRPr="000449AC">
        <w:rPr>
          <w:rFonts w:ascii="Verdana" w:hAnsi="Verdana"/>
          <w:sz w:val="16"/>
          <w:szCs w:val="16"/>
          <w:lang w:val="es-CO"/>
        </w:rPr>
        <w:t xml:space="preserve"> En algunas oportunidades las salas de revisión han reconocido el pago de las prestaciones en materia de seguridad social en salud como en la sentencia T-305 de 2020. M.P: Alberto Rojas Ríos. </w:t>
      </w:r>
    </w:p>
    <w:p w14:paraId="75360CED" w14:textId="77777777" w:rsidR="004D389B" w:rsidRPr="000449AC" w:rsidRDefault="004D389B" w:rsidP="004D389B">
      <w:pPr>
        <w:pStyle w:val="Textonotapie"/>
        <w:ind w:firstLine="709"/>
        <w:jc w:val="both"/>
        <w:rPr>
          <w:rFonts w:ascii="Verdana" w:hAnsi="Verdana"/>
          <w:sz w:val="16"/>
          <w:szCs w:val="16"/>
          <w:lang w:val="es-CO"/>
        </w:rPr>
      </w:pPr>
    </w:p>
  </w:footnote>
  <w:footnote w:id="15">
    <w:p w14:paraId="359ADBBB" w14:textId="77777777" w:rsidR="004D389B" w:rsidRPr="000449AC" w:rsidRDefault="004D389B" w:rsidP="004D389B">
      <w:pPr>
        <w:pStyle w:val="Textonotapie"/>
        <w:ind w:firstLine="709"/>
        <w:rPr>
          <w:rFonts w:ascii="Verdana" w:hAnsi="Verdana"/>
          <w:sz w:val="16"/>
          <w:szCs w:val="16"/>
          <w:lang w:val="es-ES"/>
        </w:rPr>
      </w:pPr>
      <w:r w:rsidRPr="000449AC">
        <w:rPr>
          <w:rStyle w:val="Refdenotaalpie"/>
          <w:rFonts w:ascii="Verdana" w:hAnsi="Verdana"/>
          <w:sz w:val="16"/>
          <w:szCs w:val="16"/>
        </w:rPr>
        <w:footnoteRef/>
      </w:r>
      <w:r w:rsidRPr="000449AC">
        <w:rPr>
          <w:rFonts w:ascii="Verdana" w:hAnsi="Verdana"/>
          <w:sz w:val="16"/>
          <w:szCs w:val="16"/>
        </w:rPr>
        <w:t xml:space="preserve"> Corte Constitucional. </w:t>
      </w:r>
      <w:r w:rsidRPr="000449AC">
        <w:rPr>
          <w:rFonts w:ascii="Verdana" w:hAnsi="Verdana"/>
          <w:sz w:val="16"/>
          <w:szCs w:val="16"/>
          <w:lang w:val="es-ES"/>
        </w:rPr>
        <w:t xml:space="preserve">Sentencia T-014 de 2026. </w:t>
      </w:r>
    </w:p>
    <w:p w14:paraId="10EC63B0" w14:textId="77777777" w:rsidR="004D389B" w:rsidRPr="000449AC" w:rsidRDefault="004D389B" w:rsidP="004D389B">
      <w:pPr>
        <w:pStyle w:val="Textonotapie"/>
        <w:ind w:firstLine="709"/>
        <w:rPr>
          <w:rFonts w:ascii="Verdana" w:hAnsi="Verdana"/>
          <w:sz w:val="16"/>
          <w:szCs w:val="16"/>
          <w:lang w:val="es-ES"/>
        </w:rPr>
      </w:pPr>
    </w:p>
  </w:footnote>
  <w:footnote w:id="16">
    <w:p w14:paraId="57B906BE" w14:textId="77777777" w:rsidR="004D389B" w:rsidRPr="000449AC" w:rsidRDefault="004D389B" w:rsidP="004D389B">
      <w:pPr>
        <w:spacing w:after="0" w:line="240" w:lineRule="auto"/>
        <w:ind w:firstLine="709"/>
        <w:rPr>
          <w:rFonts w:ascii="Verdana" w:hAnsi="Verdana"/>
          <w:sz w:val="16"/>
          <w:szCs w:val="16"/>
        </w:rPr>
      </w:pPr>
      <w:r w:rsidRPr="000449AC">
        <w:rPr>
          <w:rStyle w:val="Refdenotaalpie"/>
          <w:rFonts w:ascii="Verdana" w:hAnsi="Verdana"/>
          <w:sz w:val="16"/>
          <w:szCs w:val="16"/>
        </w:rPr>
        <w:footnoteRef/>
      </w:r>
      <w:r w:rsidRPr="000449AC">
        <w:rPr>
          <w:rFonts w:ascii="Verdana" w:hAnsi="Verdana"/>
          <w:sz w:val="16"/>
          <w:szCs w:val="16"/>
        </w:rPr>
        <w:t xml:space="preserve"> </w:t>
      </w:r>
      <w:r w:rsidRPr="000449AC">
        <w:rPr>
          <w:rFonts w:ascii="Verdana" w:hAnsi="Verdana" w:cs="Arial"/>
          <w:color w:val="000000"/>
          <w:sz w:val="16"/>
          <w:szCs w:val="16"/>
          <w:shd w:val="clear" w:color="auto" w:fill="FFFFFF"/>
        </w:rPr>
        <w:t>Corte Constitucional, Sentencia C-118 de 2020. Ver también, Sentencias T-438 de 2020, SU-075 de 2018, y SU-070 de 2013.</w:t>
      </w:r>
    </w:p>
    <w:p w14:paraId="70447C84" w14:textId="77777777" w:rsidR="004D389B" w:rsidRPr="000449AC" w:rsidRDefault="004D389B" w:rsidP="004D389B">
      <w:pPr>
        <w:pStyle w:val="Textonotapie"/>
        <w:ind w:firstLine="709"/>
        <w:rPr>
          <w:rFonts w:ascii="Verdana" w:hAnsi="Verdana"/>
          <w:sz w:val="16"/>
          <w:szCs w:val="16"/>
          <w:lang w:val="es-ES"/>
        </w:rPr>
      </w:pPr>
    </w:p>
  </w:footnote>
  <w:footnote w:id="17">
    <w:p w14:paraId="0E69B776" w14:textId="77777777" w:rsidR="004D389B" w:rsidRPr="009B78FB" w:rsidRDefault="004D389B" w:rsidP="004D389B">
      <w:pPr>
        <w:widowControl w:val="0"/>
        <w:autoSpaceDE w:val="0"/>
        <w:autoSpaceDN w:val="0"/>
        <w:spacing w:after="0" w:line="240" w:lineRule="auto"/>
        <w:ind w:firstLine="709"/>
        <w:jc w:val="both"/>
        <w:rPr>
          <w:rFonts w:ascii="Verdana" w:eastAsia="Arial" w:hAnsi="Verdana" w:cs="Arial"/>
          <w:sz w:val="14"/>
          <w:szCs w:val="14"/>
          <w:lang w:val="es-ES"/>
        </w:rPr>
      </w:pPr>
      <w:r w:rsidRPr="009B78FB">
        <w:rPr>
          <w:rStyle w:val="Refdenotaalpie"/>
          <w:rFonts w:ascii="Verdana" w:hAnsi="Verdana"/>
          <w:sz w:val="14"/>
          <w:szCs w:val="14"/>
        </w:rPr>
        <w:footnoteRef/>
      </w:r>
      <w:r w:rsidRPr="009B78FB">
        <w:rPr>
          <w:rFonts w:ascii="Verdana" w:hAnsi="Verdana"/>
          <w:sz w:val="14"/>
          <w:szCs w:val="14"/>
        </w:rPr>
        <w:t xml:space="preserve"> </w:t>
      </w:r>
      <w:r w:rsidRPr="009B78FB">
        <w:rPr>
          <w:rFonts w:ascii="Verdana" w:eastAsia="Arial" w:hAnsi="Verdana" w:cs="Arial"/>
          <w:sz w:val="14"/>
          <w:szCs w:val="14"/>
          <w:lang w:val="es-ES"/>
        </w:rPr>
        <w:t>Al respecto, el numeral 2º del citado artículo 239 establece que “[s]e presume el despido efectuado por motivo de embarazo o lactancia, cuando este haya tenido lugar dentro del período de embarazo y/o dentro de las dieciocho (18) semanas posteriores al parto”. Por su parte, el artículo 240 consagra que “[p]ara poder despedir a una trabajadora durante el período de embarazo o las dieciocho (18) semanas posteriores al parto, el empleador necesita la autorización del Inspector del Trabajo, o del Alcalde Municipal en los lugares donde no existiere aquel funcionario […]”</w:t>
      </w:r>
    </w:p>
    <w:p w14:paraId="08AFE5BD" w14:textId="77777777" w:rsidR="004D389B" w:rsidRPr="000449AC" w:rsidRDefault="004D389B" w:rsidP="004D389B">
      <w:pPr>
        <w:pStyle w:val="Textonotapie"/>
        <w:ind w:firstLine="709"/>
        <w:rPr>
          <w:rFonts w:ascii="Verdana" w:hAnsi="Verdana"/>
          <w:sz w:val="16"/>
          <w:szCs w:val="16"/>
          <w:lang w:val="es-ES"/>
        </w:rPr>
      </w:pPr>
    </w:p>
  </w:footnote>
  <w:footnote w:id="18">
    <w:p w14:paraId="5F0D3C28" w14:textId="77777777" w:rsidR="004D389B" w:rsidRPr="000449AC" w:rsidRDefault="004D389B" w:rsidP="004D389B">
      <w:pPr>
        <w:pStyle w:val="Textonotapie"/>
        <w:ind w:firstLine="709"/>
        <w:rPr>
          <w:rFonts w:ascii="Verdana" w:hAnsi="Verdana"/>
          <w:sz w:val="16"/>
          <w:szCs w:val="16"/>
          <w:lang w:val="es-ES"/>
        </w:rPr>
      </w:pPr>
      <w:r w:rsidRPr="000449AC">
        <w:rPr>
          <w:rStyle w:val="Refdenotaalpie"/>
          <w:rFonts w:ascii="Verdana" w:hAnsi="Verdana"/>
          <w:sz w:val="16"/>
          <w:szCs w:val="16"/>
        </w:rPr>
        <w:footnoteRef/>
      </w:r>
      <w:r w:rsidRPr="000449AC">
        <w:rPr>
          <w:rFonts w:ascii="Verdana" w:hAnsi="Verdana"/>
          <w:sz w:val="16"/>
          <w:szCs w:val="16"/>
        </w:rPr>
        <w:t xml:space="preserve"> Corte Constitucional. </w:t>
      </w:r>
      <w:r w:rsidRPr="000449AC">
        <w:rPr>
          <w:rFonts w:ascii="Verdana" w:hAnsi="Verdana"/>
          <w:sz w:val="16"/>
          <w:szCs w:val="16"/>
          <w:lang w:val="es-ES"/>
        </w:rPr>
        <w:t>Sentencia T-014-2026.</w:t>
      </w:r>
    </w:p>
    <w:p w14:paraId="19C9A2B9" w14:textId="77777777" w:rsidR="004D389B" w:rsidRPr="000449AC" w:rsidRDefault="004D389B" w:rsidP="004D389B">
      <w:pPr>
        <w:pStyle w:val="Textonotapie"/>
        <w:ind w:firstLine="709"/>
        <w:rPr>
          <w:rFonts w:ascii="Verdana" w:hAnsi="Verdana"/>
          <w:sz w:val="16"/>
          <w:szCs w:val="16"/>
          <w:lang w:val="es-ES"/>
        </w:rPr>
      </w:pPr>
    </w:p>
  </w:footnote>
  <w:footnote w:id="19">
    <w:p w14:paraId="67746507" w14:textId="77777777" w:rsidR="004D389B" w:rsidRPr="00B2768C" w:rsidRDefault="004D389B" w:rsidP="004D389B">
      <w:pPr>
        <w:spacing w:after="0" w:line="240" w:lineRule="auto"/>
        <w:ind w:firstLine="709"/>
        <w:jc w:val="both"/>
        <w:rPr>
          <w:rFonts w:ascii="Verdana" w:hAnsi="Verdana" w:cs="Arial"/>
          <w:sz w:val="14"/>
          <w:szCs w:val="14"/>
          <w:lang w:val="es-ES"/>
        </w:rPr>
      </w:pPr>
      <w:r w:rsidRPr="00B2768C">
        <w:rPr>
          <w:rStyle w:val="Refdenotaalpie"/>
          <w:rFonts w:ascii="Verdana" w:hAnsi="Verdana" w:cs="Arial"/>
          <w:sz w:val="14"/>
          <w:szCs w:val="14"/>
        </w:rPr>
        <w:footnoteRef/>
      </w:r>
      <w:r w:rsidRPr="00B2768C">
        <w:rPr>
          <w:rFonts w:ascii="Verdana" w:hAnsi="Verdana" w:cs="Arial"/>
          <w:sz w:val="14"/>
          <w:szCs w:val="14"/>
        </w:rPr>
        <w:t xml:space="preserve"> </w:t>
      </w:r>
      <w:r w:rsidRPr="00B2768C">
        <w:rPr>
          <w:rFonts w:ascii="Verdana" w:hAnsi="Verdana" w:cs="Arial"/>
          <w:sz w:val="14"/>
          <w:szCs w:val="14"/>
          <w:lang w:val="es-ES"/>
        </w:rPr>
        <w:t>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p w14:paraId="7754A4DE" w14:textId="77777777" w:rsidR="004D389B" w:rsidRPr="00B2768C" w:rsidRDefault="004D389B" w:rsidP="004D389B">
      <w:pPr>
        <w:pStyle w:val="Textonotapie"/>
        <w:ind w:firstLine="709"/>
        <w:jc w:val="both"/>
        <w:rPr>
          <w:rFonts w:ascii="Verdana" w:hAnsi="Verdana" w:cs="Arial"/>
          <w:sz w:val="14"/>
          <w:szCs w:val="14"/>
          <w:lang w:val="es-CO"/>
        </w:rPr>
      </w:pPr>
    </w:p>
  </w:footnote>
  <w:footnote w:id="20">
    <w:p w14:paraId="0545C500" w14:textId="77777777" w:rsidR="004D389B" w:rsidRPr="00B2768C" w:rsidRDefault="004D389B" w:rsidP="004D389B">
      <w:pPr>
        <w:spacing w:after="0" w:line="240" w:lineRule="auto"/>
        <w:ind w:firstLine="709"/>
        <w:jc w:val="both"/>
        <w:rPr>
          <w:rFonts w:ascii="Verdana" w:hAnsi="Verdana" w:cs="Arial"/>
          <w:sz w:val="14"/>
          <w:szCs w:val="14"/>
          <w:lang w:val="es-ES"/>
        </w:rPr>
      </w:pPr>
      <w:r w:rsidRPr="00B2768C">
        <w:rPr>
          <w:rStyle w:val="Refdenotaalpie"/>
          <w:rFonts w:ascii="Verdana" w:hAnsi="Verdana" w:cs="Arial"/>
          <w:sz w:val="14"/>
          <w:szCs w:val="14"/>
        </w:rPr>
        <w:footnoteRef/>
      </w:r>
      <w:r w:rsidRPr="00B2768C">
        <w:rPr>
          <w:rFonts w:ascii="Verdana" w:hAnsi="Verdana" w:cs="Arial"/>
          <w:sz w:val="14"/>
          <w:szCs w:val="14"/>
        </w:rPr>
        <w:t xml:space="preserve"> </w:t>
      </w:r>
      <w:r w:rsidRPr="00B2768C">
        <w:rPr>
          <w:rFonts w:ascii="Verdana" w:hAnsi="Verdana" w:cs="Arial"/>
          <w:sz w:val="14"/>
          <w:szCs w:val="14"/>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60A33749" w14:textId="77777777" w:rsidR="004D389B" w:rsidRPr="000449AC" w:rsidRDefault="004D389B" w:rsidP="004D389B">
      <w:pPr>
        <w:pStyle w:val="Textonotapie"/>
        <w:ind w:firstLine="709"/>
        <w:jc w:val="both"/>
        <w:rPr>
          <w:rFonts w:ascii="Verdana" w:hAnsi="Verdana" w:cs="Arial"/>
          <w:sz w:val="16"/>
          <w:szCs w:val="16"/>
          <w:lang w:val="es-CO"/>
        </w:rPr>
      </w:pPr>
    </w:p>
  </w:footnote>
  <w:footnote w:id="21">
    <w:p w14:paraId="708CE4C0" w14:textId="77777777" w:rsidR="004D389B" w:rsidRPr="00B2768C" w:rsidRDefault="004D389B" w:rsidP="004D389B">
      <w:pPr>
        <w:pStyle w:val="Textonotapie"/>
        <w:ind w:firstLine="709"/>
        <w:jc w:val="both"/>
        <w:rPr>
          <w:rFonts w:ascii="Verdana" w:hAnsi="Verdana" w:cs="Arial"/>
          <w:sz w:val="14"/>
          <w:szCs w:val="14"/>
          <w:lang w:val="es-ES"/>
        </w:rPr>
      </w:pPr>
      <w:r w:rsidRPr="00B2768C">
        <w:rPr>
          <w:rStyle w:val="Refdenotaalpie"/>
          <w:rFonts w:ascii="Verdana" w:hAnsi="Verdana" w:cs="Arial"/>
          <w:sz w:val="14"/>
          <w:szCs w:val="14"/>
        </w:rPr>
        <w:footnoteRef/>
      </w:r>
      <w:r w:rsidRPr="00B2768C">
        <w:rPr>
          <w:rFonts w:ascii="Verdana" w:hAnsi="Verdana" w:cs="Arial"/>
          <w:sz w:val="14"/>
          <w:szCs w:val="14"/>
        </w:rPr>
        <w:t xml:space="preserve"> </w:t>
      </w:r>
      <w:r w:rsidRPr="00B2768C">
        <w:rPr>
          <w:rFonts w:ascii="Verdana" w:hAnsi="Verdana" w:cs="Arial"/>
          <w:sz w:val="14"/>
          <w:szCs w:val="14"/>
          <w:lang w:val="es-ES"/>
        </w:rPr>
        <w:t>EXPÓSITO VÉLEZ, Juan Carlos. Forma y contenido del contrato estatal. Bogotá: Universidad Externado de Colombia, 2013. pp. 28-29.</w:t>
      </w:r>
    </w:p>
    <w:p w14:paraId="683095E7" w14:textId="77777777" w:rsidR="004D389B" w:rsidRPr="00A06D64" w:rsidRDefault="004D389B" w:rsidP="004D389B">
      <w:pPr>
        <w:pStyle w:val="Textonotapie"/>
        <w:ind w:firstLine="709"/>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B926B" w14:textId="77777777" w:rsidR="00C5798E" w:rsidRDefault="00C5798E">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41F49255" wp14:editId="5E9E9B2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5B3CE17" wp14:editId="5DF5F96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ADD0895" w14:textId="77777777" w:rsidR="00C5798E" w:rsidRDefault="00C5798E">
    <w:pPr>
      <w:pStyle w:val="Encabezado"/>
    </w:pPr>
  </w:p>
  <w:p w14:paraId="3C9F23AE" w14:textId="77777777" w:rsidR="00C5798E" w:rsidRDefault="00C5798E">
    <w:pPr>
      <w:pStyle w:val="Encabezado"/>
    </w:pPr>
  </w:p>
  <w:p w14:paraId="4028A540" w14:textId="77777777" w:rsidR="00C5798E" w:rsidRPr="00515FB5" w:rsidRDefault="00C5798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865AFA"/>
    <w:multiLevelType w:val="hybridMultilevel"/>
    <w:tmpl w:val="F8AC60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5632A62"/>
    <w:multiLevelType w:val="hybridMultilevel"/>
    <w:tmpl w:val="5C768B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4"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5"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7"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341274352">
    <w:abstractNumId w:val="0"/>
  </w:num>
  <w:num w:numId="2" w16cid:durableId="390349800">
    <w:abstractNumId w:val="6"/>
  </w:num>
  <w:num w:numId="3" w16cid:durableId="1755054466">
    <w:abstractNumId w:val="2"/>
  </w:num>
  <w:num w:numId="4" w16cid:durableId="1484198391">
    <w:abstractNumId w:val="3"/>
  </w:num>
  <w:num w:numId="5" w16cid:durableId="264581773">
    <w:abstractNumId w:val="7"/>
  </w:num>
  <w:num w:numId="6" w16cid:durableId="1924289987">
    <w:abstractNumId w:val="5"/>
  </w:num>
  <w:num w:numId="7" w16cid:durableId="1075124638">
    <w:abstractNumId w:val="4"/>
  </w:num>
  <w:num w:numId="8" w16cid:durableId="14448069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98E"/>
    <w:rsid w:val="00004F59"/>
    <w:rsid w:val="0001300D"/>
    <w:rsid w:val="000E6858"/>
    <w:rsid w:val="000F5A42"/>
    <w:rsid w:val="001304DD"/>
    <w:rsid w:val="001469C2"/>
    <w:rsid w:val="001B0626"/>
    <w:rsid w:val="0021042A"/>
    <w:rsid w:val="00291088"/>
    <w:rsid w:val="002B580E"/>
    <w:rsid w:val="002C1409"/>
    <w:rsid w:val="002E0738"/>
    <w:rsid w:val="00340BC1"/>
    <w:rsid w:val="00367E07"/>
    <w:rsid w:val="00426CDB"/>
    <w:rsid w:val="00440B0B"/>
    <w:rsid w:val="0048738B"/>
    <w:rsid w:val="004B5B1A"/>
    <w:rsid w:val="004C3471"/>
    <w:rsid w:val="004D389B"/>
    <w:rsid w:val="005254EA"/>
    <w:rsid w:val="00624687"/>
    <w:rsid w:val="00636449"/>
    <w:rsid w:val="006427E3"/>
    <w:rsid w:val="007A692D"/>
    <w:rsid w:val="007D1F66"/>
    <w:rsid w:val="007D5CEA"/>
    <w:rsid w:val="007E39CA"/>
    <w:rsid w:val="00805B75"/>
    <w:rsid w:val="00835B16"/>
    <w:rsid w:val="008472D5"/>
    <w:rsid w:val="00850DB5"/>
    <w:rsid w:val="00916297"/>
    <w:rsid w:val="00931609"/>
    <w:rsid w:val="0096216E"/>
    <w:rsid w:val="00983BD8"/>
    <w:rsid w:val="009B78FB"/>
    <w:rsid w:val="009D2DD2"/>
    <w:rsid w:val="009D50D8"/>
    <w:rsid w:val="009E7CAA"/>
    <w:rsid w:val="00A12218"/>
    <w:rsid w:val="00A90678"/>
    <w:rsid w:val="00AC2FBB"/>
    <w:rsid w:val="00B2768C"/>
    <w:rsid w:val="00B6516F"/>
    <w:rsid w:val="00C32FD0"/>
    <w:rsid w:val="00C5798E"/>
    <w:rsid w:val="00C70020"/>
    <w:rsid w:val="00D37675"/>
    <w:rsid w:val="00D945ED"/>
    <w:rsid w:val="00DD7688"/>
    <w:rsid w:val="00DF159D"/>
    <w:rsid w:val="00DF5330"/>
    <w:rsid w:val="00EA1A61"/>
    <w:rsid w:val="00EF4536"/>
    <w:rsid w:val="00F10E04"/>
    <w:rsid w:val="00F65963"/>
    <w:rsid w:val="00FD4670"/>
    <w:rsid w:val="00FD7B0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A70E2"/>
  <w15:chartTrackingRefBased/>
  <w15:docId w15:val="{8787C8C9-1123-41D0-9E6D-3C5FF5240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98E"/>
    <w:rPr>
      <w:kern w:val="0"/>
      <w14:ligatures w14:val="none"/>
    </w:rPr>
  </w:style>
  <w:style w:type="paragraph" w:styleId="Ttulo1">
    <w:name w:val="heading 1"/>
    <w:basedOn w:val="Normal"/>
    <w:next w:val="Normal"/>
    <w:link w:val="Ttulo1Car"/>
    <w:uiPriority w:val="9"/>
    <w:qFormat/>
    <w:rsid w:val="00C579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579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5798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5798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5798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5798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5798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5798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5798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5798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5798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5798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5798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5798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5798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5798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5798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5798E"/>
    <w:rPr>
      <w:rFonts w:eastAsiaTheme="majorEastAsia" w:cstheme="majorBidi"/>
      <w:color w:val="272727" w:themeColor="text1" w:themeTint="D8"/>
    </w:rPr>
  </w:style>
  <w:style w:type="paragraph" w:styleId="Ttulo">
    <w:name w:val="Title"/>
    <w:basedOn w:val="Normal"/>
    <w:next w:val="Normal"/>
    <w:link w:val="TtuloCar"/>
    <w:uiPriority w:val="10"/>
    <w:qFormat/>
    <w:rsid w:val="00C579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5798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5798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5798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5798E"/>
    <w:pPr>
      <w:spacing w:before="160"/>
      <w:jc w:val="center"/>
    </w:pPr>
    <w:rPr>
      <w:i/>
      <w:iCs/>
      <w:color w:val="404040" w:themeColor="text1" w:themeTint="BF"/>
    </w:rPr>
  </w:style>
  <w:style w:type="character" w:customStyle="1" w:styleId="CitaCar">
    <w:name w:val="Cita Car"/>
    <w:basedOn w:val="Fuentedeprrafopredeter"/>
    <w:link w:val="Cita"/>
    <w:uiPriority w:val="29"/>
    <w:rsid w:val="00C5798E"/>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C5798E"/>
    <w:pPr>
      <w:ind w:left="720"/>
      <w:contextualSpacing/>
    </w:pPr>
  </w:style>
  <w:style w:type="character" w:styleId="nfasisintenso">
    <w:name w:val="Intense Emphasis"/>
    <w:basedOn w:val="Fuentedeprrafopredeter"/>
    <w:uiPriority w:val="21"/>
    <w:qFormat/>
    <w:rsid w:val="00C5798E"/>
    <w:rPr>
      <w:i/>
      <w:iCs/>
      <w:color w:val="0F4761" w:themeColor="accent1" w:themeShade="BF"/>
    </w:rPr>
  </w:style>
  <w:style w:type="paragraph" w:styleId="Citadestacada">
    <w:name w:val="Intense Quote"/>
    <w:basedOn w:val="Normal"/>
    <w:next w:val="Normal"/>
    <w:link w:val="CitadestacadaCar"/>
    <w:uiPriority w:val="30"/>
    <w:qFormat/>
    <w:rsid w:val="00C579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5798E"/>
    <w:rPr>
      <w:i/>
      <w:iCs/>
      <w:color w:val="0F4761" w:themeColor="accent1" w:themeShade="BF"/>
    </w:rPr>
  </w:style>
  <w:style w:type="character" w:styleId="Referenciaintensa">
    <w:name w:val="Intense Reference"/>
    <w:basedOn w:val="Fuentedeprrafopredeter"/>
    <w:uiPriority w:val="32"/>
    <w:qFormat/>
    <w:rsid w:val="00C5798E"/>
    <w:rPr>
      <w:b/>
      <w:bCs/>
      <w:smallCaps/>
      <w:color w:val="0F4761" w:themeColor="accent1" w:themeShade="BF"/>
      <w:spacing w:val="5"/>
    </w:rPr>
  </w:style>
  <w:style w:type="paragraph" w:styleId="Encabezado">
    <w:name w:val="header"/>
    <w:basedOn w:val="Normal"/>
    <w:link w:val="EncabezadoCar"/>
    <w:uiPriority w:val="99"/>
    <w:unhideWhenUsed/>
    <w:rsid w:val="00C5798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5798E"/>
    <w:rPr>
      <w:kern w:val="0"/>
      <w14:ligatures w14:val="none"/>
    </w:rPr>
  </w:style>
  <w:style w:type="paragraph" w:styleId="Piedepgina">
    <w:name w:val="footer"/>
    <w:basedOn w:val="Normal"/>
    <w:link w:val="PiedepginaCar"/>
    <w:uiPriority w:val="99"/>
    <w:unhideWhenUsed/>
    <w:rsid w:val="00C5798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5798E"/>
    <w:rPr>
      <w:kern w:val="0"/>
      <w14:ligatures w14:val="none"/>
    </w:rPr>
  </w:style>
  <w:style w:type="table" w:styleId="Tablaconcuadrcula">
    <w:name w:val="Table Grid"/>
    <w:basedOn w:val="Tablanormal"/>
    <w:uiPriority w:val="39"/>
    <w:qFormat/>
    <w:rsid w:val="00C5798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5798E"/>
    <w:rPr>
      <w:color w:val="467886" w:themeColor="hyperlink"/>
      <w:u w:val="single"/>
    </w:rPr>
  </w:style>
  <w:style w:type="character" w:customStyle="1" w:styleId="normaltextrun">
    <w:name w:val="normaltextrun"/>
    <w:basedOn w:val="Fuentedeprrafopredeter"/>
    <w:rsid w:val="00C5798E"/>
  </w:style>
  <w:style w:type="character" w:customStyle="1" w:styleId="eop">
    <w:name w:val="eop"/>
    <w:basedOn w:val="Fuentedeprrafopredeter"/>
    <w:rsid w:val="00C5798E"/>
  </w:style>
  <w:style w:type="paragraph" w:customStyle="1" w:styleId="paragraph">
    <w:name w:val="paragraph"/>
    <w:basedOn w:val="Normal"/>
    <w:rsid w:val="00C5798E"/>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5798E"/>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004F5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004F5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004F5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004F59"/>
    <w:rPr>
      <w:vertAlign w:val="superscript"/>
    </w:rPr>
  </w:style>
  <w:style w:type="paragraph" w:customStyle="1" w:styleId="Appelnotedebasde">
    <w:name w:val="Appel note de bas de..."/>
    <w:basedOn w:val="Normal"/>
    <w:link w:val="Refdenotaalpie"/>
    <w:uiPriority w:val="99"/>
    <w:rsid w:val="00004F59"/>
    <w:pPr>
      <w:spacing w:line="240" w:lineRule="exact"/>
    </w:pPr>
    <w:rPr>
      <w:kern w:val="2"/>
      <w:vertAlign w:val="superscript"/>
      <w14:ligatures w14:val="standardContextual"/>
    </w:rPr>
  </w:style>
  <w:style w:type="character" w:styleId="Mencinsinresolver">
    <w:name w:val="Unresolved Mention"/>
    <w:basedOn w:val="Fuentedeprrafopredeter"/>
    <w:uiPriority w:val="99"/>
    <w:semiHidden/>
    <w:unhideWhenUsed/>
    <w:rsid w:val="00340BC1"/>
    <w:rPr>
      <w:color w:val="605E5C"/>
      <w:shd w:val="clear" w:color="auto" w:fill="E1DFDD"/>
    </w:rPr>
  </w:style>
  <w:style w:type="paragraph" w:styleId="Textoindependiente">
    <w:name w:val="Body Text"/>
    <w:basedOn w:val="Normal"/>
    <w:link w:val="TextoindependienteCar"/>
    <w:qFormat/>
    <w:rsid w:val="004D389B"/>
    <w:pPr>
      <w:spacing w:before="180" w:after="180" w:line="240" w:lineRule="auto"/>
    </w:pPr>
    <w:rPr>
      <w:sz w:val="24"/>
      <w:szCs w:val="24"/>
    </w:rPr>
  </w:style>
  <w:style w:type="character" w:customStyle="1" w:styleId="TextoindependienteCar">
    <w:name w:val="Texto independiente Car"/>
    <w:basedOn w:val="Fuentedeprrafopredeter"/>
    <w:link w:val="Textoindependiente"/>
    <w:rsid w:val="004D389B"/>
    <w:rPr>
      <w:kern w:val="0"/>
      <w:sz w:val="24"/>
      <w:szCs w:val="24"/>
      <w14:ligatures w14:val="none"/>
    </w:rPr>
  </w:style>
  <w:style w:type="table" w:customStyle="1" w:styleId="TableNormal1">
    <w:name w:val="Table Normal1"/>
    <w:uiPriority w:val="2"/>
    <w:semiHidden/>
    <w:unhideWhenUsed/>
    <w:qFormat/>
    <w:rsid w:val="004D389B"/>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character" w:styleId="Fuerte">
    <w:name w:val="Strong"/>
    <w:basedOn w:val="Fuentedeprrafopredeter"/>
    <w:uiPriority w:val="22"/>
    <w:qFormat/>
    <w:rsid w:val="004D389B"/>
    <w:rPr>
      <w:b/>
      <w:bCs/>
    </w:rPr>
  </w:style>
  <w:style w:type="paragraph" w:styleId="NormalWeb">
    <w:name w:val="Normal (Web)"/>
    <w:basedOn w:val="Normal"/>
    <w:uiPriority w:val="99"/>
    <w:semiHidden/>
    <w:unhideWhenUsed/>
    <w:rsid w:val="0096216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uisg.acosta@correo.policia.gov.co" TargetMode="External"/><Relationship Id="rId13" Type="http://schemas.openxmlformats.org/officeDocument/2006/relationships/image" Target="media/image3.png"/><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www.colombiacompra.gov.co"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busqueda/conceptos"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secretariasenado.gov.co/senado/basedoc/ley_0080_1993.html"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www.alcaldiabogota.gov.co/sisjur/normas/Norma1.jsp?i=33104&amp;238"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26ECAC9-F8E9-43A2-AB34-6AFB141E91A4}"/>
</file>

<file path=customXml/itemProps2.xml><?xml version="1.0" encoding="utf-8"?>
<ds:datastoreItem xmlns:ds="http://schemas.openxmlformats.org/officeDocument/2006/customXml" ds:itemID="{110CF882-FF35-47D6-B588-41E94411261D}"/>
</file>

<file path=customXml/itemProps3.xml><?xml version="1.0" encoding="utf-8"?>
<ds:datastoreItem xmlns:ds="http://schemas.openxmlformats.org/officeDocument/2006/customXml" ds:itemID="{8B75DCF9-D339-45DA-B305-D1C35B7C08FE}"/>
</file>

<file path=docProps/app.xml><?xml version="1.0" encoding="utf-8"?>
<Properties xmlns="http://schemas.openxmlformats.org/officeDocument/2006/extended-properties" xmlns:vt="http://schemas.openxmlformats.org/officeDocument/2006/docPropsVTypes">
  <Template>Normal</Template>
  <TotalTime>134</TotalTime>
  <Pages>31</Pages>
  <Words>9872</Words>
  <Characters>54299</Characters>
  <Application>Microsoft Office Word</Application>
  <DocSecurity>0</DocSecurity>
  <Lines>452</Lines>
  <Paragraphs>128</Paragraphs>
  <ScaleCrop>false</ScaleCrop>
  <Company/>
  <LinksUpToDate>false</LinksUpToDate>
  <CharactersWithSpaces>64043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51</cp:revision>
  <dcterms:created xsi:type="dcterms:W3CDTF">2026-06-18T21:21:00Z</dcterms:created>
  <dcterms:modified xsi:type="dcterms:W3CDTF">2026-07-02T13:07:00Z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