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294F0" w14:textId="77777777" w:rsidR="00123F6C" w:rsidRPr="00652E3D" w:rsidRDefault="00123F6C" w:rsidP="00123F6C">
      <w:pPr>
        <w:spacing w:after="0" w:line="240" w:lineRule="auto"/>
        <w:rPr>
          <w:rFonts w:ascii="Verdana" w:eastAsia="Calibri" w:hAnsi="Verdana" w:cs="Times New Roman"/>
          <w:b/>
          <w:bCs/>
          <w:lang w:val="es-ES"/>
        </w:rPr>
      </w:pPr>
      <w:bookmarkStart w:id="0" w:name="_Hlk143780582"/>
      <w:r w:rsidRPr="00652E3D">
        <w:rPr>
          <w:rFonts w:ascii="Verdana" w:eastAsia="Calibri" w:hAnsi="Verdana" w:cs="Times New Roman"/>
          <w:b/>
          <w:bCs/>
          <w:lang w:val="es-ES"/>
        </w:rPr>
        <w:t>DOCUMENTOS TIPO – Inalterabilidad – Alcance</w:t>
      </w:r>
    </w:p>
    <w:p w14:paraId="779896E6" w14:textId="77777777" w:rsidR="00123F6C" w:rsidRPr="00652E3D" w:rsidRDefault="00123F6C" w:rsidP="00123F6C">
      <w:pPr>
        <w:spacing w:after="0" w:line="240" w:lineRule="auto"/>
        <w:rPr>
          <w:rFonts w:ascii="Verdana" w:eastAsia="Calibri" w:hAnsi="Verdana" w:cs="Times New Roman"/>
          <w:b/>
          <w:bCs/>
          <w:lang w:val="es-ES"/>
        </w:rPr>
      </w:pPr>
    </w:p>
    <w:p w14:paraId="33E1DBFC" w14:textId="77777777" w:rsidR="00123F6C" w:rsidRPr="00652E3D" w:rsidRDefault="00123F6C" w:rsidP="00123F6C">
      <w:pPr>
        <w:tabs>
          <w:tab w:val="center" w:pos="4419"/>
          <w:tab w:val="right" w:pos="8838"/>
        </w:tabs>
        <w:spacing w:after="0" w:line="240" w:lineRule="auto"/>
        <w:jc w:val="both"/>
        <w:rPr>
          <w:rFonts w:ascii="Verdana" w:eastAsia="Calibri" w:hAnsi="Verdana" w:cs="Arial"/>
          <w:sz w:val="20"/>
          <w:szCs w:val="20"/>
          <w:lang w:val="es-ES"/>
        </w:rPr>
      </w:pPr>
      <w:r w:rsidRPr="00652E3D">
        <w:rPr>
          <w:rFonts w:ascii="Verdana" w:eastAsia="Calibri" w:hAnsi="Verdana" w:cs="Arial"/>
          <w:sz w:val="20"/>
          <w:szCs w:val="20"/>
          <w:lang w:val="es-ES"/>
        </w:rPr>
        <w:t xml:space="preserve">Todas las resoluciones expedidas por la Agencia Nacional de Contratación Pública – Colombia Compra Eficiente, mediante las cuales se adoptaron los documentos tipo, consagran la regla de la inalterabilidad. Esta prohibición consiste en que las entidades estatales no pueden incluir o modificar en los </w:t>
      </w:r>
      <w:r w:rsidRPr="00652E3D">
        <w:rPr>
          <w:rFonts w:ascii="Verdana" w:eastAsia="Calibri" w:hAnsi="Verdana" w:cs="Arial"/>
          <w:i/>
          <w:iCs/>
          <w:sz w:val="20"/>
          <w:szCs w:val="20"/>
          <w:lang w:val="es-ES"/>
        </w:rPr>
        <w:t>Documentos del Proceso</w:t>
      </w:r>
      <w:r w:rsidRPr="00652E3D">
        <w:rPr>
          <w:rFonts w:ascii="Verdana" w:eastAsia="Calibri" w:hAnsi="Verdana" w:cs="Arial"/>
          <w:sz w:val="20"/>
          <w:szCs w:val="20"/>
          <w:lang w:val="es-ES"/>
        </w:rPr>
        <w:t xml:space="preserve"> las condiciones habilitantes, los factores técnicos y económicos de escogencia y los sistemas de ponderación distintos a los señalados en los documentos tipo. En consecuencia, las condiciones establecidas en los documentos tipo son de obligatorio cumplimiento para las entidades sometidas al Estatuto General de Contratación de la Administración Pública que adelanten procesos que deban regirse por su contenido, y no pueden variarse los requisitos fijados en ellos. Por lo tanto, las entidades estatales, al realizar sus procedimientos de selección, solo podrán modificarlos en los aspectos en que los documentos tipo lo permitan.</w:t>
      </w:r>
    </w:p>
    <w:p w14:paraId="7AC111B5" w14:textId="77777777" w:rsidR="00123F6C" w:rsidRPr="00652E3D" w:rsidRDefault="00123F6C" w:rsidP="00123F6C">
      <w:pPr>
        <w:tabs>
          <w:tab w:val="center" w:pos="4419"/>
          <w:tab w:val="right" w:pos="8838"/>
        </w:tabs>
        <w:spacing w:after="0" w:line="240" w:lineRule="auto"/>
        <w:jc w:val="both"/>
        <w:rPr>
          <w:rFonts w:ascii="Verdana" w:eastAsia="Calibri" w:hAnsi="Verdana" w:cs="Arial"/>
          <w:sz w:val="20"/>
          <w:szCs w:val="20"/>
          <w:lang w:val="es-ES"/>
        </w:rPr>
      </w:pPr>
    </w:p>
    <w:p w14:paraId="5BD151AD" w14:textId="77777777" w:rsidR="00123F6C" w:rsidRPr="00652E3D" w:rsidRDefault="00123F6C" w:rsidP="00123F6C">
      <w:pPr>
        <w:spacing w:after="0" w:line="240" w:lineRule="auto"/>
        <w:jc w:val="both"/>
        <w:rPr>
          <w:rFonts w:ascii="Verdana" w:eastAsia="Calibri" w:hAnsi="Verdana" w:cs="Arial"/>
          <w:sz w:val="20"/>
          <w:szCs w:val="20"/>
          <w:lang w:val="es-ES_tradnl"/>
        </w:rPr>
      </w:pPr>
      <w:r w:rsidRPr="00652E3D">
        <w:rPr>
          <w:rFonts w:ascii="Verdana" w:eastAsia="Calibri" w:hAnsi="Verdana" w:cs="Arial"/>
          <w:sz w:val="20"/>
          <w:szCs w:val="20"/>
          <w:lang w:val="es-ES_tradnl"/>
        </w:rPr>
        <w:t>(…)</w:t>
      </w:r>
    </w:p>
    <w:p w14:paraId="08373C88" w14:textId="77777777" w:rsidR="00123F6C" w:rsidRPr="00652E3D" w:rsidRDefault="00123F6C" w:rsidP="00123F6C">
      <w:pPr>
        <w:spacing w:after="0" w:line="240" w:lineRule="auto"/>
        <w:jc w:val="both"/>
        <w:rPr>
          <w:rFonts w:ascii="Verdana" w:eastAsia="Calibri" w:hAnsi="Verdana" w:cs="Arial"/>
          <w:sz w:val="20"/>
          <w:szCs w:val="20"/>
          <w:lang w:val="es-ES_tradnl"/>
        </w:rPr>
      </w:pPr>
    </w:p>
    <w:p w14:paraId="4A19E959" w14:textId="77777777" w:rsidR="00123F6C" w:rsidRPr="00652E3D" w:rsidRDefault="00123F6C" w:rsidP="00123F6C">
      <w:pPr>
        <w:spacing w:after="0" w:line="240" w:lineRule="auto"/>
        <w:jc w:val="both"/>
        <w:rPr>
          <w:rFonts w:ascii="Verdana" w:eastAsia="Calibri" w:hAnsi="Verdana" w:cs="Arial"/>
          <w:sz w:val="20"/>
          <w:szCs w:val="20"/>
          <w:lang w:val="es-ES"/>
        </w:rPr>
      </w:pPr>
      <w:r w:rsidRPr="00652E3D">
        <w:rPr>
          <w:rFonts w:ascii="Verdana" w:eastAsia="Calibri" w:hAnsi="Verdana" w:cs="Arial"/>
          <w:sz w:val="20"/>
          <w:szCs w:val="20"/>
          <w:lang w:val="es-ES"/>
        </w:rPr>
        <w:t xml:space="preserve">Otro aspecto sobre el principio que inalterabilidad que debe destacarse es que, sin mínimos inalterables, los documentos tipo, estándar o normalizados, sencillamente, perderían sus características. Bajo riesgo de señalar una obviedad, se debe decir que la definición del término estándar es “Que sirve como tipo, modelo, norma, patrón o referencia”. Si las autoridades pudiesen agregar, eliminar o modificar todos y cada uno de los aspectos contenidos en los pliegos tipo, estos documentos, llanamente, no podrían ser llamados pliegos tipo. </w:t>
      </w:r>
    </w:p>
    <w:p w14:paraId="5F19E128" w14:textId="77777777" w:rsidR="00123F6C" w:rsidRDefault="00123F6C" w:rsidP="00123F6C">
      <w:pPr>
        <w:spacing w:after="0" w:line="240" w:lineRule="auto"/>
        <w:jc w:val="both"/>
        <w:rPr>
          <w:rFonts w:ascii="Verdana" w:eastAsia="Calibri" w:hAnsi="Verdana" w:cs="Arial"/>
          <w:sz w:val="20"/>
          <w:szCs w:val="20"/>
          <w:lang w:val="es-ES"/>
        </w:rPr>
      </w:pPr>
    </w:p>
    <w:p w14:paraId="485E9B41" w14:textId="77777777" w:rsidR="004D5065" w:rsidRPr="00652E3D" w:rsidRDefault="004D5065" w:rsidP="00F33DDB">
      <w:pPr>
        <w:spacing w:after="0" w:line="276" w:lineRule="auto"/>
        <w:jc w:val="both"/>
        <w:rPr>
          <w:rFonts w:ascii="Verdana" w:eastAsia="Calibri" w:hAnsi="Verdana" w:cs="Arial"/>
          <w:b/>
          <w:bCs/>
          <w:lang w:val="es-ES_tradnl"/>
        </w:rPr>
      </w:pPr>
    </w:p>
    <w:p w14:paraId="7076E3E7" w14:textId="040FDEED" w:rsidR="004D5065" w:rsidRPr="00652E3D" w:rsidRDefault="004D5065" w:rsidP="00F33DDB">
      <w:pPr>
        <w:spacing w:after="0" w:line="240" w:lineRule="auto"/>
        <w:jc w:val="both"/>
        <w:rPr>
          <w:rFonts w:ascii="Verdana" w:eastAsia="Calibri" w:hAnsi="Verdana" w:cs="Times New Roman"/>
          <w:b/>
          <w:bCs/>
          <w:lang w:val="es-ES"/>
        </w:rPr>
      </w:pPr>
      <w:r w:rsidRPr="00652E3D">
        <w:rPr>
          <w:rFonts w:ascii="Verdana" w:eastAsia="Calibri" w:hAnsi="Verdana" w:cs="Times New Roman"/>
          <w:b/>
          <w:bCs/>
          <w:lang w:val="es-ES"/>
        </w:rPr>
        <w:t xml:space="preserve">DOCUMENTOS TIPO </w:t>
      </w:r>
      <w:r w:rsidR="008B2DFA" w:rsidRPr="00652E3D">
        <w:rPr>
          <w:rFonts w:ascii="Verdana" w:eastAsia="Calibri" w:hAnsi="Verdana" w:cs="Times New Roman"/>
          <w:b/>
          <w:bCs/>
          <w:lang w:val="es-ES"/>
        </w:rPr>
        <w:t xml:space="preserve">– </w:t>
      </w:r>
      <w:r w:rsidRPr="00652E3D">
        <w:rPr>
          <w:rFonts w:ascii="Verdana" w:eastAsia="Calibri" w:hAnsi="Verdana" w:cs="Times New Roman"/>
          <w:b/>
          <w:bCs/>
          <w:lang w:val="es-ES"/>
        </w:rPr>
        <w:t xml:space="preserve">Inalterabilidad </w:t>
      </w:r>
      <w:r w:rsidR="008B2DFA" w:rsidRPr="00652E3D">
        <w:rPr>
          <w:rFonts w:ascii="Verdana" w:eastAsia="Calibri" w:hAnsi="Verdana" w:cs="Times New Roman"/>
          <w:b/>
          <w:bCs/>
          <w:lang w:val="es-ES"/>
        </w:rPr>
        <w:t>–</w:t>
      </w:r>
      <w:r w:rsidR="008B2DFA">
        <w:rPr>
          <w:rFonts w:ascii="Verdana" w:eastAsia="Calibri" w:hAnsi="Verdana" w:cs="Times New Roman"/>
          <w:b/>
          <w:bCs/>
          <w:lang w:val="es-ES"/>
        </w:rPr>
        <w:t xml:space="preserve"> </w:t>
      </w:r>
      <w:r w:rsidR="008B2DFA">
        <w:rPr>
          <w:rFonts w:ascii="Verdana" w:eastAsia="Calibri" w:hAnsi="Verdana" w:cs="Times New Roman"/>
          <w:b/>
          <w:bCs/>
        </w:rPr>
        <w:t>E</w:t>
      </w:r>
      <w:r w:rsidR="008B2DFA" w:rsidRPr="008B2DFA">
        <w:rPr>
          <w:rFonts w:ascii="Verdana" w:eastAsia="Calibri" w:hAnsi="Verdana" w:cs="Times New Roman"/>
          <w:b/>
          <w:bCs/>
        </w:rPr>
        <w:t>standarización</w:t>
      </w:r>
      <w:r w:rsidR="008B2DFA">
        <w:rPr>
          <w:rFonts w:ascii="Verdana" w:eastAsia="Calibri" w:hAnsi="Verdana" w:cs="Times New Roman"/>
          <w:b/>
          <w:bCs/>
        </w:rPr>
        <w:t xml:space="preserve"> – T</w:t>
      </w:r>
      <w:r w:rsidR="008B2DFA" w:rsidRPr="008B2DFA">
        <w:rPr>
          <w:rFonts w:ascii="Verdana" w:eastAsia="Calibri" w:hAnsi="Verdana" w:cs="Times New Roman"/>
          <w:b/>
          <w:bCs/>
        </w:rPr>
        <w:t>ransparencia</w:t>
      </w:r>
      <w:r w:rsidR="008B2DFA">
        <w:rPr>
          <w:rFonts w:ascii="Verdana" w:eastAsia="Calibri" w:hAnsi="Verdana" w:cs="Times New Roman"/>
          <w:b/>
          <w:bCs/>
        </w:rPr>
        <w:t xml:space="preserve"> </w:t>
      </w:r>
      <w:r w:rsidR="00C755CC" w:rsidRPr="00C755CC">
        <w:rPr>
          <w:rFonts w:ascii="Verdana" w:eastAsia="Calibri" w:hAnsi="Verdana" w:cs="Times New Roman"/>
          <w:b/>
          <w:bCs/>
          <w:lang w:val="es-ES"/>
        </w:rPr>
        <w:t>–</w:t>
      </w:r>
      <w:r w:rsidR="008B2DFA">
        <w:rPr>
          <w:rFonts w:ascii="Verdana" w:eastAsia="Calibri" w:hAnsi="Verdana" w:cs="Times New Roman"/>
          <w:b/>
          <w:bCs/>
        </w:rPr>
        <w:t xml:space="preserve"> </w:t>
      </w:r>
      <w:r w:rsidR="008B2DFA" w:rsidRPr="008B2DFA">
        <w:rPr>
          <w:rFonts w:ascii="Verdana" w:eastAsia="Calibri" w:hAnsi="Verdana" w:cs="Times New Roman"/>
          <w:b/>
          <w:bCs/>
        </w:rPr>
        <w:t xml:space="preserve">Pliegos </w:t>
      </w:r>
      <w:r w:rsidR="00F33DDB">
        <w:rPr>
          <w:rFonts w:ascii="Verdana" w:eastAsia="Calibri" w:hAnsi="Verdana" w:cs="Times New Roman"/>
          <w:b/>
          <w:bCs/>
        </w:rPr>
        <w:t>s</w:t>
      </w:r>
      <w:r w:rsidR="008B2DFA" w:rsidRPr="008B2DFA">
        <w:rPr>
          <w:rFonts w:ascii="Verdana" w:eastAsia="Calibri" w:hAnsi="Verdana" w:cs="Times New Roman"/>
          <w:b/>
          <w:bCs/>
        </w:rPr>
        <w:t>astre</w:t>
      </w:r>
      <w:r w:rsidR="008B2DFA">
        <w:rPr>
          <w:rFonts w:ascii="Verdana" w:eastAsia="Calibri" w:hAnsi="Verdana" w:cs="Times New Roman"/>
          <w:b/>
          <w:bCs/>
        </w:rPr>
        <w:t xml:space="preserve"> </w:t>
      </w:r>
      <w:r w:rsidR="00C755CC" w:rsidRPr="00C755CC">
        <w:rPr>
          <w:rFonts w:ascii="Verdana" w:eastAsia="Calibri" w:hAnsi="Verdana" w:cs="Times New Roman"/>
          <w:b/>
          <w:bCs/>
          <w:lang w:val="es-ES"/>
        </w:rPr>
        <w:t>–</w:t>
      </w:r>
      <w:r w:rsidR="008B2DFA">
        <w:rPr>
          <w:rFonts w:ascii="Verdana" w:eastAsia="Calibri" w:hAnsi="Verdana" w:cs="Times New Roman"/>
          <w:b/>
          <w:bCs/>
        </w:rPr>
        <w:t xml:space="preserve"> D</w:t>
      </w:r>
      <w:r w:rsidR="008B2DFA" w:rsidRPr="008B2DFA">
        <w:rPr>
          <w:rFonts w:ascii="Verdana" w:eastAsia="Calibri" w:hAnsi="Verdana" w:cs="Times New Roman"/>
          <w:b/>
          <w:bCs/>
        </w:rPr>
        <w:t xml:space="preserve">iligenciamiento </w:t>
      </w:r>
      <w:r w:rsidR="00F33DDB">
        <w:rPr>
          <w:rFonts w:ascii="Verdana" w:eastAsia="Calibri" w:hAnsi="Verdana" w:cs="Times New Roman"/>
          <w:b/>
          <w:bCs/>
        </w:rPr>
        <w:t>d</w:t>
      </w:r>
      <w:r w:rsidR="008B2DFA" w:rsidRPr="008B2DFA">
        <w:rPr>
          <w:rFonts w:ascii="Verdana" w:eastAsia="Calibri" w:hAnsi="Verdana" w:cs="Times New Roman"/>
          <w:b/>
          <w:bCs/>
        </w:rPr>
        <w:t xml:space="preserve">e </w:t>
      </w:r>
      <w:r w:rsidR="00F33DDB">
        <w:rPr>
          <w:rFonts w:ascii="Verdana" w:eastAsia="Calibri" w:hAnsi="Verdana" w:cs="Times New Roman"/>
          <w:b/>
          <w:bCs/>
        </w:rPr>
        <w:t>d</w:t>
      </w:r>
      <w:r w:rsidR="008B2DFA" w:rsidRPr="008B2DFA">
        <w:rPr>
          <w:rFonts w:ascii="Verdana" w:eastAsia="Calibri" w:hAnsi="Verdana" w:cs="Times New Roman"/>
          <w:b/>
          <w:bCs/>
        </w:rPr>
        <w:t>ocumentos</w:t>
      </w:r>
    </w:p>
    <w:p w14:paraId="4F7E1C0A" w14:textId="77777777" w:rsidR="004D5065" w:rsidRPr="00652E3D" w:rsidRDefault="004D5065" w:rsidP="00123F6C">
      <w:pPr>
        <w:spacing w:after="0" w:line="240" w:lineRule="auto"/>
        <w:jc w:val="both"/>
        <w:rPr>
          <w:rFonts w:ascii="Verdana" w:eastAsia="Calibri" w:hAnsi="Verdana" w:cs="Arial"/>
          <w:sz w:val="20"/>
          <w:szCs w:val="20"/>
          <w:lang w:val="es-ES"/>
        </w:rPr>
      </w:pPr>
    </w:p>
    <w:p w14:paraId="7EDFB5F6" w14:textId="77777777" w:rsidR="00123F6C" w:rsidRPr="00652E3D" w:rsidRDefault="00123F6C" w:rsidP="00123F6C">
      <w:pPr>
        <w:spacing w:after="0" w:line="240" w:lineRule="auto"/>
        <w:jc w:val="both"/>
        <w:rPr>
          <w:rFonts w:ascii="Verdana" w:eastAsia="Calibri" w:hAnsi="Verdana" w:cs="Arial"/>
          <w:sz w:val="20"/>
          <w:szCs w:val="20"/>
          <w:lang w:val="es-ES"/>
        </w:rPr>
      </w:pPr>
      <w:r w:rsidRPr="00652E3D">
        <w:rPr>
          <w:rFonts w:ascii="Verdana" w:eastAsia="Calibri" w:hAnsi="Verdana" w:cs="Arial"/>
          <w:sz w:val="20"/>
          <w:szCs w:val="20"/>
          <w:lang w:val="es-ES"/>
        </w:rPr>
        <w:t xml:space="preserve">De otra parte, a la luz de los objetivos perseguidos, si la normativa permitiera la alteración de todo el documento tipo, sería imposible verificar en la práctica las ventajas perseguidas por el legislador. Así, por ejemplo, si cada autoridad pudiese rediseñar por completo el documento, la transparencia del sistema de compras públicas no sería mayor con la introducción de la estandarización de documentos. De similar manera, bajo la hipótesis de trabajo referida, las entidades podrían modificar todo el contenido del pliego, retornando a una de las prácticas que se buscó eliminar: la elaboración de “pliegos sastre”, que eliminan la competencia. En ese orden, si se permite ilimitadamente introducir ajustes, las entidades estatales podrían reintroducir los sesgos interpretativos incorrectos que se buscó erradicar con la introducción de la herramienta analizada. </w:t>
      </w:r>
    </w:p>
    <w:p w14:paraId="675496ED" w14:textId="77777777" w:rsidR="00123F6C" w:rsidRPr="00652E3D" w:rsidRDefault="00123F6C" w:rsidP="00123F6C">
      <w:pPr>
        <w:spacing w:after="0" w:line="240" w:lineRule="auto"/>
        <w:jc w:val="both"/>
        <w:rPr>
          <w:rFonts w:ascii="Verdana" w:eastAsia="Calibri" w:hAnsi="Verdana" w:cs="Arial"/>
          <w:sz w:val="20"/>
          <w:szCs w:val="20"/>
          <w:lang w:val="es-ES"/>
        </w:rPr>
      </w:pPr>
    </w:p>
    <w:p w14:paraId="332EE5FA" w14:textId="77777777" w:rsidR="00123F6C" w:rsidRPr="00652E3D" w:rsidRDefault="00123F6C" w:rsidP="00123F6C">
      <w:pPr>
        <w:spacing w:after="0" w:line="240" w:lineRule="auto"/>
        <w:jc w:val="both"/>
        <w:rPr>
          <w:rFonts w:ascii="Verdana" w:eastAsia="Calibri" w:hAnsi="Verdana" w:cs="Arial"/>
          <w:sz w:val="20"/>
          <w:szCs w:val="20"/>
          <w:lang w:val="es-ES"/>
        </w:rPr>
      </w:pPr>
      <w:r w:rsidRPr="00652E3D">
        <w:rPr>
          <w:rFonts w:ascii="Verdana" w:eastAsia="Calibri" w:hAnsi="Verdana" w:cs="Arial"/>
          <w:sz w:val="20"/>
          <w:szCs w:val="20"/>
          <w:lang w:val="es-ES"/>
        </w:rPr>
        <w:t>(…)</w:t>
      </w:r>
    </w:p>
    <w:p w14:paraId="29398688" w14:textId="77777777" w:rsidR="00123F6C" w:rsidRPr="00652E3D" w:rsidRDefault="00123F6C" w:rsidP="00123F6C">
      <w:pPr>
        <w:spacing w:after="0" w:line="240" w:lineRule="auto"/>
        <w:jc w:val="both"/>
        <w:rPr>
          <w:rFonts w:ascii="Verdana" w:eastAsia="Calibri" w:hAnsi="Verdana" w:cs="Arial"/>
          <w:sz w:val="20"/>
          <w:szCs w:val="20"/>
          <w:lang w:val="es-ES"/>
        </w:rPr>
      </w:pPr>
    </w:p>
    <w:p w14:paraId="1EEAD9AA" w14:textId="77777777" w:rsidR="00123F6C" w:rsidRPr="00652E3D" w:rsidRDefault="00123F6C" w:rsidP="00123F6C">
      <w:pPr>
        <w:spacing w:after="0" w:line="240" w:lineRule="auto"/>
        <w:jc w:val="both"/>
        <w:rPr>
          <w:rFonts w:ascii="Verdana" w:eastAsia="Calibri" w:hAnsi="Verdana" w:cs="Arial"/>
          <w:sz w:val="20"/>
          <w:szCs w:val="20"/>
          <w:lang w:val="es-ES"/>
        </w:rPr>
      </w:pPr>
      <w:r w:rsidRPr="00652E3D">
        <w:rPr>
          <w:rFonts w:ascii="Verdana" w:eastAsia="Calibri" w:hAnsi="Verdana" w:cs="Arial"/>
          <w:sz w:val="20"/>
          <w:szCs w:val="20"/>
          <w:lang w:val="es-MX"/>
        </w:rPr>
        <w:t xml:space="preserve">No obstante, la parte introductoria de los documentos base de los documentos tipo disponen que los aspectos incluidos en corchetes y resaltados en gris </w:t>
      </w:r>
      <w:r w:rsidRPr="00652E3D">
        <w:rPr>
          <w:rFonts w:ascii="Verdana" w:eastAsia="Aptos" w:hAnsi="Verdana" w:cs="Arial"/>
          <w:sz w:val="20"/>
          <w:szCs w:val="20"/>
        </w:rPr>
        <w:t xml:space="preserve">–[texto de </w:t>
      </w:r>
      <w:r w:rsidRPr="00652E3D">
        <w:rPr>
          <w:rFonts w:ascii="Verdana" w:eastAsia="Aptos" w:hAnsi="Verdana" w:cs="Arial"/>
          <w:sz w:val="20"/>
          <w:szCs w:val="20"/>
        </w:rPr>
        <w:lastRenderedPageBreak/>
        <w:t xml:space="preserve">ejemplo]– </w:t>
      </w:r>
      <w:r w:rsidRPr="00652E3D">
        <w:rPr>
          <w:rFonts w:ascii="Verdana" w:eastAsia="Calibri" w:hAnsi="Verdana" w:cs="Arial"/>
          <w:sz w:val="20"/>
          <w:szCs w:val="20"/>
          <w:lang w:val="es-MX"/>
        </w:rPr>
        <w:t xml:space="preserve">deben ser diligenciados por la entidad. Excepcionalmente le corresponde al proponente consignar la información incluida en corchetes y resaltada en gris, como, por ejemplo, los formatos que requieren de la firma del proponente o su representante legal. De todos modos, en cada acápite que esté resaltado en gris la entidad tendrá la libertad de determinar la información que se diligenciará en los documentos tipo, de acuerdo con su necesidad y las instrucciones de los mismos documentos tipo. </w:t>
      </w:r>
    </w:p>
    <w:p w14:paraId="32AD0276" w14:textId="77777777" w:rsidR="00123F6C" w:rsidRDefault="00123F6C" w:rsidP="00123F6C">
      <w:pPr>
        <w:spacing w:after="0"/>
        <w:jc w:val="both"/>
        <w:rPr>
          <w:rFonts w:ascii="Verdana" w:eastAsia="Times New Roman" w:hAnsi="Verdana" w:cs="Arial"/>
          <w:b/>
          <w:bCs/>
          <w:color w:val="000000"/>
          <w:kern w:val="2"/>
          <w:lang w:val="es-ES" w:eastAsia="es-CO"/>
        </w:rPr>
      </w:pPr>
    </w:p>
    <w:p w14:paraId="32442915" w14:textId="77777777" w:rsidR="00123F6C" w:rsidRPr="00C669A7" w:rsidRDefault="00123F6C" w:rsidP="00123F6C">
      <w:pPr>
        <w:spacing w:after="0"/>
        <w:jc w:val="both"/>
        <w:rPr>
          <w:rFonts w:ascii="Verdana" w:eastAsia="Times New Roman" w:hAnsi="Verdana" w:cs="Times New Roman"/>
        </w:rPr>
      </w:pPr>
      <w:r w:rsidRPr="00C669A7">
        <w:rPr>
          <w:rFonts w:ascii="Verdana" w:eastAsia="Times New Roman" w:hAnsi="Verdana" w:cs="Arial"/>
          <w:b/>
          <w:bCs/>
          <w:color w:val="000000"/>
          <w:kern w:val="2"/>
          <w:lang w:val="es-ES" w:eastAsia="es-CO"/>
        </w:rPr>
        <w:t xml:space="preserve">INDUSTRIA NACIONAL – Puntaje adicional – Decreto 680 de 2021 </w:t>
      </w:r>
    </w:p>
    <w:p w14:paraId="7BE8D7A7" w14:textId="77777777" w:rsidR="00123F6C" w:rsidRPr="00C669A7" w:rsidRDefault="00123F6C" w:rsidP="00123F6C">
      <w:pPr>
        <w:snapToGrid w:val="0"/>
        <w:spacing w:after="0" w:line="240" w:lineRule="auto"/>
        <w:jc w:val="both"/>
        <w:rPr>
          <w:rFonts w:ascii="Verdana" w:eastAsia="Times New Roman" w:hAnsi="Verdana" w:cs="Arial"/>
          <w:b/>
          <w:bCs/>
          <w:color w:val="000000"/>
          <w:kern w:val="2"/>
          <w:lang w:val="es-ES" w:eastAsia="es-CO"/>
        </w:rPr>
      </w:pPr>
    </w:p>
    <w:p w14:paraId="2EA61762" w14:textId="77777777" w:rsidR="00123F6C" w:rsidRPr="00C669A7" w:rsidRDefault="00123F6C" w:rsidP="00123F6C">
      <w:pPr>
        <w:snapToGrid w:val="0"/>
        <w:spacing w:after="0" w:line="240" w:lineRule="auto"/>
        <w:jc w:val="both"/>
        <w:rPr>
          <w:rFonts w:ascii="Verdana" w:eastAsia="Times New Roman" w:hAnsi="Verdana" w:cs="Arial"/>
          <w:color w:val="000000"/>
          <w:kern w:val="2"/>
          <w:sz w:val="20"/>
          <w:szCs w:val="20"/>
          <w:lang w:val="es-ES"/>
        </w:rPr>
      </w:pPr>
      <w:r w:rsidRPr="00C669A7">
        <w:rPr>
          <w:rFonts w:ascii="Verdana" w:eastAsia="Times New Roman" w:hAnsi="Verdana" w:cs="Arial"/>
          <w:color w:val="000000"/>
          <w:kern w:val="2"/>
          <w:sz w:val="20"/>
          <w:szCs w:val="20"/>
          <w:lang w:val="es-ES"/>
        </w:rPr>
        <w:t xml:space="preserve">La entrada en vigencia del Decreto 680 de 2021, al modificar la noción de </w:t>
      </w:r>
      <w:r w:rsidRPr="00C669A7">
        <w:rPr>
          <w:rFonts w:ascii="Verdana" w:eastAsia="Times New Roman" w:hAnsi="Verdana" w:cs="Arial"/>
          <w:i/>
          <w:color w:val="000000"/>
          <w:kern w:val="2"/>
          <w:sz w:val="20"/>
          <w:szCs w:val="20"/>
          <w:lang w:val="es-ES"/>
        </w:rPr>
        <w:t xml:space="preserve">Servicios Nacionales </w:t>
      </w:r>
      <w:r w:rsidRPr="00C669A7">
        <w:rPr>
          <w:rFonts w:ascii="Verdana" w:eastAsia="Times New Roman" w:hAnsi="Verdana" w:cs="Arial"/>
          <w:color w:val="000000"/>
          <w:kern w:val="2"/>
          <w:sz w:val="20"/>
          <w:szCs w:val="20"/>
          <w:lang w:val="es-ES"/>
        </w:rPr>
        <w:t>contenida en el Decreto 1082 de 2015, generó la necesidad de adecuar los Documentos Tipo expedidos por la Agencia Nacional de Contratación Pública – Colombia Compra Eficiente, en ejercicio de las potestades conferidas por la Ley 2022 de 2020. Esto como quiera que, en los documentos vigentes antes de la expedición de dicho Decreto, el puntaje por apoyo a la industria nacional y la verificación de la procedencia del trato nacional se encontraban desarrolladas conforme con la antigua concepción de servicio nacional, por lo que para acceder al máximo puntaje bastaba con acreditar ser una persona natural colombiana o una persona jurídica de acuerdo con la ley colombiana. Debido a esto, el parágrafo 2 del artículo 3 del referido Decreto, contempló un plazo de tres (3) meses para que esta Agencia realizara la adecuación de los Documentos Tipo.</w:t>
      </w:r>
    </w:p>
    <w:p w14:paraId="34DBCBDD" w14:textId="77777777" w:rsidR="00123F6C" w:rsidRPr="00C669A7" w:rsidRDefault="00123F6C" w:rsidP="00123F6C">
      <w:pPr>
        <w:snapToGrid w:val="0"/>
        <w:spacing w:after="0" w:line="240" w:lineRule="auto"/>
        <w:jc w:val="both"/>
        <w:rPr>
          <w:rFonts w:ascii="Verdana" w:eastAsia="Times New Roman" w:hAnsi="Verdana" w:cs="Arial"/>
          <w:b/>
          <w:bCs/>
          <w:color w:val="000000"/>
          <w:kern w:val="2"/>
          <w:lang w:val="es-ES" w:eastAsia="es-CO"/>
        </w:rPr>
      </w:pPr>
    </w:p>
    <w:p w14:paraId="6F28BF24" w14:textId="77777777" w:rsidR="00123F6C" w:rsidRPr="00C669A7" w:rsidRDefault="00123F6C" w:rsidP="00123F6C">
      <w:pPr>
        <w:snapToGrid w:val="0"/>
        <w:spacing w:after="0" w:line="276" w:lineRule="auto"/>
        <w:jc w:val="both"/>
        <w:rPr>
          <w:rFonts w:ascii="Verdana" w:eastAsia="Times New Roman" w:hAnsi="Verdana" w:cs="Arial"/>
          <w:b/>
          <w:bCs/>
          <w:color w:val="000000"/>
          <w:kern w:val="2"/>
          <w:lang w:val="es-ES" w:eastAsia="es-CO"/>
        </w:rPr>
      </w:pPr>
      <w:r w:rsidRPr="00C669A7">
        <w:rPr>
          <w:rFonts w:ascii="Verdana" w:eastAsia="Times New Roman" w:hAnsi="Verdana" w:cs="Arial"/>
          <w:b/>
          <w:bCs/>
          <w:color w:val="000000"/>
          <w:kern w:val="2"/>
          <w:lang w:val="es-ES" w:eastAsia="es-CO"/>
        </w:rPr>
        <w:t xml:space="preserve">DOCUMENTOS TIPO DE LICITACIÓN – Infraestructura de transporte – Industria nacional – Formato 9A – Acreditación del puntaje por servicios nacionales o con trato nacional </w:t>
      </w:r>
    </w:p>
    <w:p w14:paraId="0939AA76" w14:textId="77777777" w:rsidR="00123F6C" w:rsidRPr="00C669A7" w:rsidRDefault="00123F6C" w:rsidP="00123F6C">
      <w:pPr>
        <w:snapToGrid w:val="0"/>
        <w:spacing w:after="0" w:line="240" w:lineRule="auto"/>
        <w:jc w:val="both"/>
        <w:rPr>
          <w:rFonts w:ascii="Verdana" w:eastAsia="Times New Roman" w:hAnsi="Verdana" w:cs="Arial"/>
          <w:b/>
          <w:bCs/>
          <w:color w:val="000000"/>
          <w:kern w:val="2"/>
          <w:lang w:val="es-ES" w:eastAsia="es-CO"/>
        </w:rPr>
      </w:pPr>
    </w:p>
    <w:p w14:paraId="044D3761" w14:textId="77777777" w:rsidR="00123F6C" w:rsidRPr="00C669A7" w:rsidRDefault="00123F6C" w:rsidP="00123F6C">
      <w:pPr>
        <w:tabs>
          <w:tab w:val="left" w:pos="709"/>
        </w:tabs>
        <w:spacing w:after="0" w:line="240" w:lineRule="auto"/>
        <w:jc w:val="both"/>
        <w:rPr>
          <w:rFonts w:ascii="Verdana" w:eastAsia="Times New Roman" w:hAnsi="Verdana" w:cs="Arial"/>
          <w:bCs/>
          <w:color w:val="000000"/>
          <w:kern w:val="2"/>
          <w:sz w:val="20"/>
          <w:szCs w:val="20"/>
          <w:lang w:val="es-ES_tradnl"/>
        </w:rPr>
      </w:pPr>
      <w:r w:rsidRPr="00C669A7">
        <w:rPr>
          <w:rFonts w:ascii="Verdana" w:eastAsia="Times New Roman" w:hAnsi="Verdana" w:cs="Arial"/>
          <w:bCs/>
          <w:color w:val="000000"/>
          <w:kern w:val="2"/>
          <w:sz w:val="20"/>
          <w:szCs w:val="20"/>
          <w:lang w:val="es-ES_tradnl"/>
        </w:rPr>
        <w:t xml:space="preserve">Así pues, para el otorgamiento del puntaje por apoyo a la industria nacional, un proponente nacional tendrá que presentar los documentos anteriormente enunciados, acompañados del “Formato 9A”, tal y como se indica en el Documento Base de los Documentos Tipo de licitación de obra pública de infraestructura de transporte – versión 4. Este formato, junto con los documentos señalados, deben presentarse con la oferta. </w:t>
      </w:r>
    </w:p>
    <w:p w14:paraId="215234CB" w14:textId="77777777" w:rsidR="00123F6C" w:rsidRPr="00C669A7" w:rsidRDefault="00123F6C" w:rsidP="00123F6C">
      <w:pPr>
        <w:tabs>
          <w:tab w:val="left" w:pos="709"/>
        </w:tabs>
        <w:spacing w:after="0" w:line="240" w:lineRule="auto"/>
        <w:jc w:val="both"/>
        <w:rPr>
          <w:rFonts w:ascii="Verdana" w:eastAsia="Times New Roman" w:hAnsi="Verdana" w:cs="Arial"/>
          <w:bCs/>
          <w:color w:val="000000"/>
          <w:kern w:val="2"/>
          <w:sz w:val="20"/>
          <w:szCs w:val="20"/>
          <w:lang w:val="es-ES_tradnl"/>
        </w:rPr>
      </w:pPr>
    </w:p>
    <w:p w14:paraId="69C01E32" w14:textId="77777777" w:rsidR="00123F6C" w:rsidRPr="00C669A7" w:rsidRDefault="00123F6C" w:rsidP="00123F6C">
      <w:pPr>
        <w:tabs>
          <w:tab w:val="left" w:pos="709"/>
        </w:tabs>
        <w:spacing w:after="0" w:line="240" w:lineRule="auto"/>
        <w:jc w:val="both"/>
        <w:rPr>
          <w:rFonts w:ascii="Verdana" w:eastAsia="Times New Roman" w:hAnsi="Verdana" w:cs="Arial"/>
          <w:bCs/>
          <w:color w:val="000000"/>
          <w:kern w:val="2"/>
          <w:sz w:val="20"/>
          <w:szCs w:val="20"/>
          <w:lang w:val="es-ES_tradnl"/>
        </w:rPr>
      </w:pPr>
      <w:r w:rsidRPr="00C669A7">
        <w:rPr>
          <w:rFonts w:ascii="Verdana" w:eastAsia="Times New Roman" w:hAnsi="Verdana" w:cs="Arial"/>
          <w:bCs/>
          <w:color w:val="000000"/>
          <w:kern w:val="2"/>
          <w:sz w:val="20"/>
          <w:szCs w:val="20"/>
          <w:lang w:val="es-ES_tradnl"/>
        </w:rPr>
        <w:t xml:space="preserve">El “Formato 9A – Promoción de Servicios Nacionales o con Trato Nacional” comienza con una nota aclaratoria con relación a su alcance, en la cual dispone que: </w:t>
      </w:r>
    </w:p>
    <w:p w14:paraId="0A5344D3" w14:textId="77777777" w:rsidR="00123F6C" w:rsidRPr="00C669A7" w:rsidRDefault="00123F6C" w:rsidP="00123F6C">
      <w:pPr>
        <w:tabs>
          <w:tab w:val="left" w:pos="709"/>
        </w:tabs>
        <w:snapToGrid w:val="0"/>
        <w:spacing w:after="0" w:line="240" w:lineRule="auto"/>
        <w:jc w:val="both"/>
        <w:rPr>
          <w:rFonts w:ascii="Verdana" w:eastAsia="Times New Roman" w:hAnsi="Verdana" w:cs="Arial"/>
          <w:bCs/>
          <w:color w:val="000000"/>
          <w:kern w:val="2"/>
          <w:sz w:val="20"/>
          <w:szCs w:val="20"/>
          <w:lang w:val="es-ES_tradnl"/>
        </w:rPr>
      </w:pPr>
      <w:r w:rsidRPr="00C669A7">
        <w:rPr>
          <w:rFonts w:ascii="Verdana" w:eastAsia="Times New Roman" w:hAnsi="Verdana" w:cs="Arial"/>
          <w:bCs/>
          <w:color w:val="000000"/>
          <w:kern w:val="2"/>
          <w:sz w:val="20"/>
          <w:szCs w:val="20"/>
          <w:lang w:val="es-ES_tradnl"/>
        </w:rPr>
        <w:t>[…]</w:t>
      </w:r>
    </w:p>
    <w:p w14:paraId="37841244" w14:textId="77777777" w:rsidR="00123F6C" w:rsidRPr="00C669A7" w:rsidRDefault="00123F6C" w:rsidP="00123F6C">
      <w:pPr>
        <w:tabs>
          <w:tab w:val="left" w:pos="709"/>
        </w:tabs>
        <w:adjustRightInd w:val="0"/>
        <w:snapToGrid w:val="0"/>
        <w:spacing w:after="0" w:line="240" w:lineRule="auto"/>
        <w:jc w:val="both"/>
        <w:rPr>
          <w:rFonts w:ascii="Verdana" w:eastAsia="Times New Roman" w:hAnsi="Verdana" w:cs="Arial"/>
          <w:bCs/>
          <w:color w:val="000000"/>
          <w:kern w:val="2"/>
          <w:sz w:val="20"/>
          <w:szCs w:val="20"/>
          <w:lang w:val="es-ES_tradnl"/>
        </w:rPr>
      </w:pPr>
      <w:r w:rsidRPr="00C669A7">
        <w:rPr>
          <w:rFonts w:ascii="Verdana" w:eastAsia="Times New Roman" w:hAnsi="Verdana" w:cs="Arial"/>
          <w:bCs/>
          <w:color w:val="000000"/>
          <w:kern w:val="2"/>
          <w:sz w:val="20"/>
          <w:szCs w:val="20"/>
          <w:lang w:val="es-ES_tradnl"/>
        </w:rPr>
        <w:t xml:space="preserve">De acuerdo con el ámbito de aplicación de la primera franja del puntaje por apoyo a la industria nacional, el “Formato 9A” solo debe ser diligenciado por proponentes nacionales o extranjeros con derecho a trato nacional, al igual que por los proponentes plurales que estos conformen. Lo anterior comoquiera que son estos los sujetos habilitados para acceder al puntaje al que se refiere el primer inciso del artículo 2 de la Ley 816 de 2003.  </w:t>
      </w:r>
    </w:p>
    <w:p w14:paraId="60BD9CB5" w14:textId="77777777" w:rsidR="00123F6C" w:rsidRPr="00C669A7" w:rsidRDefault="00123F6C" w:rsidP="00123F6C">
      <w:pPr>
        <w:tabs>
          <w:tab w:val="left" w:pos="709"/>
        </w:tabs>
        <w:adjustRightInd w:val="0"/>
        <w:snapToGrid w:val="0"/>
        <w:spacing w:after="0" w:line="240" w:lineRule="auto"/>
        <w:jc w:val="both"/>
        <w:rPr>
          <w:rFonts w:ascii="Verdana" w:eastAsia="Times New Roman" w:hAnsi="Verdana" w:cs="Arial"/>
          <w:bCs/>
          <w:color w:val="000000"/>
          <w:kern w:val="2"/>
          <w:sz w:val="20"/>
          <w:szCs w:val="20"/>
          <w:lang w:val="es-ES_tradnl"/>
        </w:rPr>
      </w:pPr>
    </w:p>
    <w:p w14:paraId="6531BC12" w14:textId="77777777" w:rsidR="00123F6C" w:rsidRPr="00C669A7" w:rsidRDefault="00123F6C" w:rsidP="00123F6C">
      <w:pPr>
        <w:tabs>
          <w:tab w:val="left" w:pos="709"/>
        </w:tabs>
        <w:spacing w:after="0" w:line="240" w:lineRule="auto"/>
        <w:jc w:val="both"/>
        <w:rPr>
          <w:rFonts w:ascii="Verdana" w:eastAsia="Times New Roman" w:hAnsi="Verdana" w:cs="Arial"/>
          <w:bCs/>
          <w:color w:val="000000"/>
          <w:kern w:val="2"/>
          <w:sz w:val="20"/>
          <w:szCs w:val="20"/>
          <w:lang w:val="es-ES_tradnl"/>
        </w:rPr>
      </w:pPr>
    </w:p>
    <w:p w14:paraId="4008E318" w14:textId="77777777" w:rsidR="00123F6C" w:rsidRPr="00C669A7" w:rsidRDefault="00123F6C" w:rsidP="00123F6C">
      <w:pPr>
        <w:snapToGrid w:val="0"/>
        <w:spacing w:after="0" w:line="276" w:lineRule="auto"/>
        <w:jc w:val="both"/>
        <w:rPr>
          <w:rFonts w:ascii="Verdana" w:eastAsia="Times New Roman" w:hAnsi="Verdana" w:cs="Arial"/>
          <w:b/>
          <w:bCs/>
          <w:color w:val="000000"/>
          <w:kern w:val="2"/>
          <w:lang w:val="es-ES" w:eastAsia="es-CO"/>
        </w:rPr>
      </w:pPr>
      <w:r w:rsidRPr="00C669A7">
        <w:rPr>
          <w:rFonts w:ascii="Verdana" w:eastAsia="Times New Roman" w:hAnsi="Verdana" w:cs="Arial"/>
          <w:b/>
          <w:bCs/>
          <w:color w:val="000000"/>
          <w:kern w:val="2"/>
          <w:lang w:val="es-ES" w:eastAsia="es-CO"/>
        </w:rPr>
        <w:t xml:space="preserve">DOCUMENTOS TIPO DE LICITACIÓN – Infraestructura </w:t>
      </w:r>
      <w:r>
        <w:rPr>
          <w:rFonts w:ascii="Verdana" w:eastAsia="Times New Roman" w:hAnsi="Verdana" w:cs="Arial"/>
          <w:b/>
          <w:bCs/>
          <w:color w:val="000000"/>
          <w:kern w:val="2"/>
          <w:lang w:val="es-ES" w:eastAsia="es-CO"/>
        </w:rPr>
        <w:t>social</w:t>
      </w:r>
      <w:r w:rsidRPr="00C669A7">
        <w:rPr>
          <w:rFonts w:ascii="Verdana" w:eastAsia="Times New Roman" w:hAnsi="Verdana" w:cs="Arial"/>
          <w:b/>
          <w:bCs/>
          <w:color w:val="000000"/>
          <w:kern w:val="2"/>
          <w:lang w:val="es-ES" w:eastAsia="es-CO"/>
        </w:rPr>
        <w:t xml:space="preserve"> – Industria nacional – Formato 9A – Acreditación del puntaje por servicios nacionales o con trato nacional </w:t>
      </w:r>
      <w:r>
        <w:rPr>
          <w:rFonts w:ascii="Verdana" w:eastAsia="Times New Roman" w:hAnsi="Verdana" w:cs="Arial"/>
          <w:b/>
          <w:bCs/>
          <w:color w:val="000000"/>
          <w:kern w:val="2"/>
          <w:lang w:val="es-ES" w:eastAsia="es-CO"/>
        </w:rPr>
        <w:t>– Matriz 4</w:t>
      </w:r>
    </w:p>
    <w:p w14:paraId="2FFCE06B" w14:textId="77777777" w:rsidR="00123F6C" w:rsidRPr="007A6448" w:rsidRDefault="00123F6C" w:rsidP="00123F6C">
      <w:pPr>
        <w:tabs>
          <w:tab w:val="left" w:pos="709"/>
        </w:tabs>
        <w:adjustRightInd w:val="0"/>
        <w:snapToGrid w:val="0"/>
        <w:spacing w:after="0" w:line="240" w:lineRule="auto"/>
        <w:jc w:val="both"/>
        <w:rPr>
          <w:rFonts w:ascii="Verdana" w:eastAsia="Times New Roman" w:hAnsi="Verdana" w:cs="Arial"/>
          <w:kern w:val="2"/>
          <w:sz w:val="20"/>
          <w:szCs w:val="20"/>
          <w:lang w:val="es-ES"/>
        </w:rPr>
      </w:pPr>
    </w:p>
    <w:p w14:paraId="133A3467" w14:textId="77777777" w:rsidR="00123F6C" w:rsidRPr="00055752" w:rsidRDefault="00123F6C" w:rsidP="00123F6C">
      <w:pPr>
        <w:spacing w:after="0"/>
        <w:jc w:val="both"/>
        <w:rPr>
          <w:rFonts w:ascii="Verdana" w:eastAsia="Calibri" w:hAnsi="Verdana" w:cs="Arial"/>
          <w:bCs/>
          <w:sz w:val="20"/>
          <w:szCs w:val="20"/>
          <w:lang w:eastAsia="es-ES"/>
        </w:rPr>
      </w:pPr>
      <w:r w:rsidRPr="007A6448">
        <w:rPr>
          <w:rFonts w:ascii="Verdana" w:eastAsia="Calibri" w:hAnsi="Verdana" w:cs="Arial"/>
          <w:bCs/>
          <w:sz w:val="20"/>
          <w:szCs w:val="20"/>
          <w:lang w:eastAsia="es-ES"/>
        </w:rPr>
        <w:t>Lo expuesto anteriormente, evidencia que es el proponente quien manifiesta su compromiso de incorporar dichos bienes en la ejecución del contrato, conforme a la metodología establecida en la Matriz 4, esto se convierte en una obligación contractual que será objeto de control por parte de la interventoría o supervisión designada. Ahora bien, para acreditar lo anterior, se deberá diligenciar el formato y aportar los soportes documentales correspondientes que acrediten y utilización de bienes nacionales relevantes, garantizando que se cumplan con todos requisitos exigidos.</w:t>
      </w:r>
    </w:p>
    <w:p w14:paraId="3AF90A7E" w14:textId="77777777" w:rsidR="00123F6C" w:rsidRPr="00652E3D" w:rsidRDefault="00123F6C" w:rsidP="00123F6C">
      <w:pPr>
        <w:spacing w:after="0" w:line="240" w:lineRule="auto"/>
        <w:rPr>
          <w:rFonts w:ascii="Verdana" w:eastAsia="Calibri" w:hAnsi="Verdana" w:cs="Times New Roman"/>
          <w:b/>
          <w:bCs/>
          <w:lang w:val="es-ES"/>
        </w:rPr>
      </w:pPr>
    </w:p>
    <w:p w14:paraId="7F144AA7" w14:textId="77777777" w:rsidR="00123F6C" w:rsidRPr="00652E3D" w:rsidRDefault="00123F6C" w:rsidP="00123F6C">
      <w:pPr>
        <w:spacing w:after="0" w:line="240" w:lineRule="auto"/>
        <w:rPr>
          <w:rFonts w:ascii="Verdana" w:eastAsia="Calibri" w:hAnsi="Verdana" w:cs="Times New Roman"/>
          <w:b/>
          <w:bCs/>
          <w:lang w:val="es-ES"/>
        </w:rPr>
      </w:pPr>
      <w:r w:rsidRPr="00652E3D">
        <w:rPr>
          <w:rFonts w:ascii="Verdana" w:eastAsia="Calibri" w:hAnsi="Verdana" w:cs="Times New Roman"/>
          <w:b/>
          <w:bCs/>
          <w:lang w:val="es-ES"/>
        </w:rPr>
        <w:t>DECRETO 287 DE 2026 – Incidencia – Documentos tipo</w:t>
      </w:r>
    </w:p>
    <w:p w14:paraId="4880E26D" w14:textId="77777777" w:rsidR="00123F6C" w:rsidRPr="00652E3D" w:rsidRDefault="00123F6C" w:rsidP="00123F6C">
      <w:pPr>
        <w:spacing w:after="0" w:line="240" w:lineRule="auto"/>
        <w:rPr>
          <w:rFonts w:ascii="Verdana" w:eastAsia="Calibri" w:hAnsi="Verdana" w:cs="Times New Roman"/>
          <w:b/>
          <w:bCs/>
          <w:lang w:val="es-ES"/>
        </w:rPr>
      </w:pPr>
    </w:p>
    <w:p w14:paraId="137B4FE2" w14:textId="77777777" w:rsidR="00123F6C" w:rsidRPr="00652E3D" w:rsidRDefault="00123F6C" w:rsidP="00123F6C">
      <w:pPr>
        <w:widowControl w:val="0"/>
        <w:autoSpaceDE w:val="0"/>
        <w:autoSpaceDN w:val="0"/>
        <w:spacing w:after="0" w:line="240" w:lineRule="auto"/>
        <w:jc w:val="both"/>
        <w:rPr>
          <w:rFonts w:ascii="Verdana" w:eastAsia="Aptos" w:hAnsi="Verdana" w:cs="Times New Roman"/>
          <w:kern w:val="2"/>
          <w:sz w:val="20"/>
          <w:szCs w:val="20"/>
          <w14:ligatures w14:val="standardContextual"/>
        </w:rPr>
      </w:pPr>
      <w:r w:rsidRPr="00652E3D">
        <w:rPr>
          <w:rFonts w:ascii="Verdana" w:eastAsia="Aptos" w:hAnsi="Verdana" w:cs="Times New Roman"/>
          <w:kern w:val="2"/>
          <w:sz w:val="20"/>
          <w:szCs w:val="20"/>
          <w14:ligatures w14:val="standardContextual"/>
        </w:rPr>
        <w:t xml:space="preserve">Esta situación resulta particularmente relevante teniendo en cuenta que, los documentos tipo, al fijar reglas uniformes para las entidades estatales sometidas al estatuto general de contratación de la administración pública y otros sujetos obligados a su aplicación, pueden convertirse en barreras estructurales de acceso cuando no incorporan enfoques diferenciales, afectando la participación de poblaciones históricamente excluidas. </w:t>
      </w:r>
    </w:p>
    <w:p w14:paraId="7CB4543C" w14:textId="77777777" w:rsidR="00123F6C" w:rsidRPr="00652E3D" w:rsidRDefault="00123F6C" w:rsidP="00123F6C">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2D107869" w14:textId="77777777" w:rsidR="00123F6C" w:rsidRPr="00652E3D" w:rsidRDefault="00123F6C" w:rsidP="00123F6C">
      <w:pPr>
        <w:widowControl w:val="0"/>
        <w:autoSpaceDE w:val="0"/>
        <w:autoSpaceDN w:val="0"/>
        <w:spacing w:after="0" w:line="240" w:lineRule="auto"/>
        <w:jc w:val="both"/>
        <w:rPr>
          <w:rFonts w:ascii="Verdana" w:eastAsia="Calibri" w:hAnsi="Verdana" w:cs="Times New Roman"/>
          <w:b/>
          <w:bCs/>
          <w:lang w:val="es-ES"/>
        </w:rPr>
      </w:pPr>
      <w:r w:rsidRPr="00652E3D">
        <w:rPr>
          <w:rFonts w:ascii="Verdana" w:eastAsia="Calibri" w:hAnsi="Verdana" w:cs="Times New Roman"/>
          <w:b/>
          <w:bCs/>
          <w:lang w:val="es-ES"/>
        </w:rPr>
        <w:t xml:space="preserve">DOCUMENTOS TIPO – Decreto 287 de 2026 – Aplicación </w:t>
      </w:r>
    </w:p>
    <w:p w14:paraId="6BE81C4C" w14:textId="77777777" w:rsidR="00123F6C" w:rsidRPr="00652E3D" w:rsidRDefault="00123F6C" w:rsidP="00123F6C">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42928CBD" w14:textId="77777777" w:rsidR="00123F6C" w:rsidRPr="00652E3D" w:rsidRDefault="00123F6C" w:rsidP="00123F6C">
      <w:pPr>
        <w:widowControl w:val="0"/>
        <w:autoSpaceDE w:val="0"/>
        <w:autoSpaceDN w:val="0"/>
        <w:spacing w:after="0" w:line="240" w:lineRule="auto"/>
        <w:jc w:val="both"/>
        <w:rPr>
          <w:rFonts w:ascii="Verdana" w:eastAsia="Aptos" w:hAnsi="Verdana" w:cs="Times New Roman"/>
          <w:kern w:val="2"/>
          <w:sz w:val="20"/>
          <w:szCs w:val="20"/>
          <w14:ligatures w14:val="standardContextual"/>
        </w:rPr>
      </w:pPr>
      <w:r w:rsidRPr="00652E3D">
        <w:rPr>
          <w:rFonts w:ascii="Verdana" w:eastAsia="Aptos" w:hAnsi="Verdana" w:cs="Times New Roman"/>
          <w:kern w:val="2"/>
          <w:sz w:val="20"/>
          <w:szCs w:val="20"/>
          <w14:ligatures w14:val="standardContextual"/>
        </w:rPr>
        <w:t>Considerando lo anterior, si bien es cierto que, el Decreto 287 de 2026 establece que rige a partir del día siguiente a su publicación, lo que determina su vigencia inmediata, su aplicación en el ámbito de los procesos sometidos a documentos tipo debe interpretarse de manera sistemática y armónica con el régimen legal que regula dichos instrumentos, esto es, lo señalado en el artículo 1 de la Ley 2022 de 2020 y su desarrollo reglamentario a través de cada una de las Resoluciones expedidas por la Agencia Nacional de Contratación Pública – Colombia Compra Eficiente mediante las cuales, se han implementados documentos tipo. En efecto, dado que los documentos tipo contienen de manera obligatoria los requisitos habilitantes, los factores de evaluación y los criterios de escogencia, las entidades estatales no cuentan con competencia para modificarlos o complementarlos de manera autónoma con el fin de incorporar directamente las disposiciones del Decreto en mención.</w:t>
      </w:r>
    </w:p>
    <w:p w14:paraId="0B2E158A" w14:textId="77777777" w:rsidR="00123F6C" w:rsidRPr="00652E3D" w:rsidRDefault="00123F6C" w:rsidP="00123F6C">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01FD11AC" w14:textId="77777777" w:rsidR="00123F6C" w:rsidRPr="00652E3D" w:rsidRDefault="00123F6C" w:rsidP="00123F6C">
      <w:pPr>
        <w:widowControl w:val="0"/>
        <w:autoSpaceDE w:val="0"/>
        <w:autoSpaceDN w:val="0"/>
        <w:spacing w:after="0" w:line="240" w:lineRule="auto"/>
        <w:jc w:val="both"/>
        <w:rPr>
          <w:rFonts w:ascii="Verdana" w:eastAsia="Aptos" w:hAnsi="Verdana" w:cs="Times New Roman"/>
          <w:kern w:val="2"/>
          <w:sz w:val="20"/>
          <w:szCs w:val="20"/>
          <w14:ligatures w14:val="standardContextual"/>
        </w:rPr>
      </w:pPr>
      <w:r w:rsidRPr="00652E3D">
        <w:rPr>
          <w:rFonts w:ascii="Verdana" w:eastAsia="Aptos" w:hAnsi="Verdana" w:cs="Times New Roman"/>
          <w:kern w:val="2"/>
          <w:sz w:val="20"/>
          <w:szCs w:val="20"/>
          <w14:ligatures w14:val="standardContextual"/>
        </w:rPr>
        <w:t>Permitir que cada entidad introduzca ajustes a los documentos tipo para dar aplicación inmediata al Decreto 287 de 2026 implicaría desconocer la competencia exclusiva atribuida por el legislador a la Agencia Nacional de Contratación Pública – Colombia Compra Eficiente mediante la expedición de la Ley 2022 de 2020, así como la regla de inalterabilidad que rige estos documentos. Además, generaría una fragmentación del sistema de compra pública, afectando los principios de igualdad, transparencia y selección objetiva, en la medida en que procesos contractuales similares podrían regirse por condiciones distintas, dependiendo de la entidad que los adelante y la forma como incorporó las previsiones contenidas en el Decreto 287 de 2026 a los procesos de selección regidos por documentos tipo.</w:t>
      </w:r>
    </w:p>
    <w:p w14:paraId="649BB259" w14:textId="77777777" w:rsidR="00123F6C" w:rsidRPr="00652E3D" w:rsidRDefault="00123F6C" w:rsidP="00123F6C">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4415E962" w14:textId="77777777" w:rsidR="00123F6C" w:rsidRPr="00652E3D" w:rsidRDefault="00123F6C" w:rsidP="00123F6C">
      <w:pPr>
        <w:widowControl w:val="0"/>
        <w:autoSpaceDE w:val="0"/>
        <w:autoSpaceDN w:val="0"/>
        <w:spacing w:after="0" w:line="240" w:lineRule="auto"/>
        <w:jc w:val="both"/>
        <w:rPr>
          <w:rFonts w:ascii="Verdana" w:eastAsia="Aptos" w:hAnsi="Verdana" w:cs="Times New Roman"/>
          <w:kern w:val="2"/>
          <w:sz w:val="20"/>
          <w:szCs w:val="20"/>
          <w14:ligatures w14:val="standardContextual"/>
        </w:rPr>
      </w:pPr>
      <w:r w:rsidRPr="00652E3D">
        <w:rPr>
          <w:rFonts w:ascii="Verdana" w:eastAsia="Aptos" w:hAnsi="Verdana" w:cs="Times New Roman"/>
          <w:kern w:val="2"/>
          <w:sz w:val="20"/>
          <w:szCs w:val="20"/>
          <w14:ligatures w14:val="standardContextual"/>
        </w:rPr>
        <w:t>(…)</w:t>
      </w:r>
    </w:p>
    <w:p w14:paraId="17A73869" w14:textId="77777777" w:rsidR="00123F6C" w:rsidRPr="00652E3D" w:rsidRDefault="00123F6C" w:rsidP="00123F6C">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052BC587" w14:textId="77777777" w:rsidR="00123F6C" w:rsidRPr="00652E3D" w:rsidRDefault="00123F6C" w:rsidP="00123F6C">
      <w:pPr>
        <w:widowControl w:val="0"/>
        <w:autoSpaceDE w:val="0"/>
        <w:autoSpaceDN w:val="0"/>
        <w:spacing w:after="0" w:line="240" w:lineRule="auto"/>
        <w:jc w:val="both"/>
        <w:rPr>
          <w:rFonts w:ascii="Verdana" w:eastAsia="Aptos" w:hAnsi="Verdana" w:cs="Times New Roman"/>
          <w:kern w:val="2"/>
          <w:sz w:val="20"/>
          <w:szCs w:val="20"/>
          <w14:ligatures w14:val="standardContextual"/>
        </w:rPr>
      </w:pPr>
      <w:r w:rsidRPr="00652E3D">
        <w:rPr>
          <w:rFonts w:ascii="Verdana" w:eastAsia="Aptos" w:hAnsi="Verdana" w:cs="Times New Roman"/>
          <w:kern w:val="2"/>
          <w:sz w:val="20"/>
          <w:szCs w:val="20"/>
          <w14:ligatures w14:val="standardContextual"/>
        </w:rPr>
        <w:lastRenderedPageBreak/>
        <w:t xml:space="preserve">Adicionalmente, el propio Decreto 287 de 2026 en el artículo 1 que modifica el artículo 2.2.1.2.4.2.7.8 al Decreto 1082 de 2015, reconoce esta necesidad al disponer que la Agencia Nacional de Contratación Pública – Colombia Compra Eficiente “(…) garantizará la adopción permanente de las acciones necesarias para que las medidas señaladas en esta subsección se incorporen a los documentos e instrumentos que genera”, lo cual confirma que la operatividad de dichas disposiciones en el ámbito de los documentos tipo depende de su desarrollo por parte de esta entidad. </w:t>
      </w:r>
    </w:p>
    <w:p w14:paraId="7B45740D" w14:textId="77777777" w:rsidR="00123F6C" w:rsidRPr="00652E3D" w:rsidRDefault="00123F6C" w:rsidP="00123F6C">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328216C7" w14:textId="77777777" w:rsidR="00123F6C" w:rsidRPr="00652E3D" w:rsidRDefault="00123F6C" w:rsidP="00123F6C">
      <w:pPr>
        <w:widowControl w:val="0"/>
        <w:autoSpaceDE w:val="0"/>
        <w:autoSpaceDN w:val="0"/>
        <w:spacing w:after="0" w:line="240" w:lineRule="auto"/>
        <w:jc w:val="both"/>
        <w:rPr>
          <w:rFonts w:ascii="Verdana" w:eastAsia="Aptos" w:hAnsi="Verdana" w:cs="Times New Roman"/>
          <w:kern w:val="2"/>
          <w:sz w:val="20"/>
          <w:szCs w:val="20"/>
          <w14:ligatures w14:val="standardContextual"/>
        </w:rPr>
      </w:pPr>
      <w:r w:rsidRPr="00652E3D">
        <w:rPr>
          <w:rFonts w:ascii="Verdana" w:eastAsia="Aptos" w:hAnsi="Verdana" w:cs="Times New Roman"/>
          <w:kern w:val="2"/>
          <w:sz w:val="20"/>
          <w:szCs w:val="20"/>
          <w14:ligatures w14:val="standardContextual"/>
        </w:rPr>
        <w:t xml:space="preserve">Lo anterior es consecuente con lo dispuesto en el ABC del Decreto 0287 de 2026 “Contratación pública inclusiva para personas con discapacidad” en donde se establece que “La aplicación del Decreto 0287 de 2026 en los documentos tipo está sujeta a que Colombia Compra Eficiente realice los ajustes correspondientes en estos instrumentos”, esto considerando que “(…) los documentos tipo requieren una adecuación técnica y normativa previa para incorporar las medidas del sistema de preferencias”. </w:t>
      </w:r>
    </w:p>
    <w:p w14:paraId="43B0941A" w14:textId="77777777" w:rsidR="00123F6C" w:rsidRPr="001949D3" w:rsidRDefault="00123F6C" w:rsidP="00123F6C">
      <w:pPr>
        <w:widowControl w:val="0"/>
        <w:autoSpaceDE w:val="0"/>
        <w:autoSpaceDN w:val="0"/>
        <w:spacing w:after="0" w:line="240" w:lineRule="auto"/>
        <w:jc w:val="both"/>
        <w:rPr>
          <w:rFonts w:ascii="Verdana" w:eastAsia="Aptos" w:hAnsi="Verdana" w:cs="Times New Roman"/>
          <w:b/>
          <w:bCs/>
          <w:kern w:val="2"/>
          <w:sz w:val="20"/>
          <w:szCs w:val="20"/>
          <w14:ligatures w14:val="standardContextual"/>
        </w:rPr>
      </w:pPr>
    </w:p>
    <w:p w14:paraId="682E920B" w14:textId="77777777" w:rsidR="00123F6C" w:rsidRPr="001949D3" w:rsidRDefault="00123F6C" w:rsidP="00123F6C">
      <w:pPr>
        <w:widowControl w:val="0"/>
        <w:autoSpaceDE w:val="0"/>
        <w:autoSpaceDN w:val="0"/>
        <w:spacing w:after="0" w:line="240" w:lineRule="auto"/>
        <w:jc w:val="both"/>
        <w:rPr>
          <w:rFonts w:ascii="Verdana" w:eastAsia="Calibri" w:hAnsi="Verdana" w:cs="Times New Roman"/>
          <w:b/>
          <w:bCs/>
          <w:lang w:val="es-ES"/>
        </w:rPr>
      </w:pPr>
      <w:r w:rsidRPr="001949D3">
        <w:rPr>
          <w:rFonts w:ascii="Verdana" w:eastAsia="Calibri" w:hAnsi="Verdana" w:cs="Times New Roman"/>
          <w:b/>
          <w:bCs/>
          <w:lang w:val="es-ES"/>
        </w:rPr>
        <w:t xml:space="preserve">DOCUMENTOS TIPO – Decreto 287 de 2026 – Modificación – </w:t>
      </w:r>
      <w:r w:rsidRPr="001949D3">
        <w:rPr>
          <w:rFonts w:ascii="Verdana" w:eastAsia="Aptos" w:hAnsi="Verdana" w:cs="Times New Roman"/>
          <w:b/>
          <w:bCs/>
        </w:rPr>
        <w:t xml:space="preserve">ABC del Decreto 0287 de 2026 </w:t>
      </w:r>
    </w:p>
    <w:p w14:paraId="5DA59FB6" w14:textId="77777777" w:rsidR="00123F6C" w:rsidRPr="00652E3D" w:rsidRDefault="00123F6C" w:rsidP="00123F6C">
      <w:pPr>
        <w:widowControl w:val="0"/>
        <w:autoSpaceDE w:val="0"/>
        <w:autoSpaceDN w:val="0"/>
        <w:spacing w:after="0" w:line="240" w:lineRule="auto"/>
        <w:jc w:val="both"/>
        <w:rPr>
          <w:rFonts w:ascii="Verdana" w:eastAsia="Aptos" w:hAnsi="Verdana" w:cs="Times New Roman"/>
          <w:kern w:val="2"/>
          <w:sz w:val="20"/>
          <w:szCs w:val="20"/>
          <w14:ligatures w14:val="standardContextual"/>
        </w:rPr>
      </w:pPr>
    </w:p>
    <w:p w14:paraId="35ED02A7" w14:textId="77777777" w:rsidR="00123F6C" w:rsidRDefault="00123F6C" w:rsidP="00123F6C">
      <w:pPr>
        <w:widowControl w:val="0"/>
        <w:autoSpaceDE w:val="0"/>
        <w:autoSpaceDN w:val="0"/>
        <w:spacing w:after="120" w:line="240" w:lineRule="auto"/>
        <w:jc w:val="both"/>
        <w:rPr>
          <w:rFonts w:ascii="Verdana" w:eastAsia="Aptos" w:hAnsi="Verdana" w:cs="Times New Roman"/>
          <w:kern w:val="2"/>
          <w:sz w:val="20"/>
          <w:szCs w:val="20"/>
          <w14:ligatures w14:val="standardContextual"/>
        </w:rPr>
      </w:pPr>
      <w:r w:rsidRPr="00652E3D">
        <w:rPr>
          <w:rFonts w:ascii="Verdana" w:eastAsia="Aptos" w:hAnsi="Verdana" w:cs="Times New Roman"/>
          <w:kern w:val="2"/>
          <w:sz w:val="20"/>
          <w:szCs w:val="20"/>
          <w14:ligatures w14:val="standardContextual"/>
        </w:rPr>
        <w:t>Lo anterior es consecuente con lo dispuesto en el ABC del Decreto 0287 de 2026 “Contratación pública inclusiva para personas con discapacidad”. en donde se establece que “La aplicación del Decreto 0287 de 2026 en los documentos tipo está sujeta a que Colombia Compra Eficiente realice los ajustes correspondientes en estos instrumentos”, esto considerando que “(…) los documentos tipo requieren una adecuación técnica y normativa previa para incorporar las medidas del sistema de preferencias”.</w:t>
      </w:r>
    </w:p>
    <w:p w14:paraId="608B8BF8" w14:textId="77777777" w:rsidR="00123F6C" w:rsidRDefault="00123F6C" w:rsidP="00123F6C">
      <w:pPr>
        <w:spacing w:after="0"/>
        <w:rPr>
          <w:rFonts w:ascii="Verdana" w:eastAsia="Calibri" w:hAnsi="Verdana" w:cs="Arial"/>
          <w:lang w:val="es-ES" w:eastAsia="es-ES"/>
        </w:rPr>
      </w:pPr>
    </w:p>
    <w:p w14:paraId="648597FC" w14:textId="77777777" w:rsidR="00123F6C" w:rsidRDefault="00123F6C" w:rsidP="00123F6C">
      <w:pPr>
        <w:spacing w:after="0"/>
        <w:rPr>
          <w:rFonts w:ascii="Verdana" w:eastAsia="Calibri" w:hAnsi="Verdana" w:cs="Arial"/>
          <w:lang w:val="es-ES" w:eastAsia="es-ES"/>
        </w:rPr>
      </w:pPr>
    </w:p>
    <w:p w14:paraId="74249827" w14:textId="77777777" w:rsidR="00123F6C" w:rsidRDefault="00123F6C" w:rsidP="00123F6C">
      <w:pPr>
        <w:spacing w:after="0"/>
        <w:rPr>
          <w:rFonts w:ascii="Verdana" w:eastAsia="Calibri" w:hAnsi="Verdana" w:cs="Arial"/>
          <w:lang w:val="es-ES" w:eastAsia="es-ES"/>
        </w:rPr>
      </w:pPr>
    </w:p>
    <w:p w14:paraId="1B69CE24" w14:textId="77777777" w:rsidR="00EC64A6" w:rsidRDefault="00EC64A6" w:rsidP="00123F6C">
      <w:pPr>
        <w:spacing w:after="0"/>
        <w:rPr>
          <w:rFonts w:ascii="Verdana" w:eastAsia="Calibri" w:hAnsi="Verdana" w:cs="Arial"/>
          <w:lang w:val="es-ES" w:eastAsia="es-ES"/>
        </w:rPr>
      </w:pPr>
    </w:p>
    <w:p w14:paraId="77B51500" w14:textId="77777777" w:rsidR="00EC64A6" w:rsidRDefault="00EC64A6" w:rsidP="00123F6C">
      <w:pPr>
        <w:spacing w:after="0"/>
        <w:rPr>
          <w:rFonts w:ascii="Verdana" w:eastAsia="Calibri" w:hAnsi="Verdana" w:cs="Arial"/>
          <w:lang w:val="es-ES" w:eastAsia="es-ES"/>
        </w:rPr>
      </w:pPr>
    </w:p>
    <w:p w14:paraId="36876D89" w14:textId="77777777" w:rsidR="00EC64A6" w:rsidRDefault="00EC64A6" w:rsidP="00123F6C">
      <w:pPr>
        <w:spacing w:after="0"/>
        <w:rPr>
          <w:rFonts w:ascii="Verdana" w:eastAsia="Calibri" w:hAnsi="Verdana" w:cs="Arial"/>
          <w:lang w:val="es-ES" w:eastAsia="es-ES"/>
        </w:rPr>
      </w:pPr>
    </w:p>
    <w:p w14:paraId="09780459" w14:textId="77777777" w:rsidR="00EC64A6" w:rsidRDefault="00EC64A6" w:rsidP="00123F6C">
      <w:pPr>
        <w:spacing w:after="0"/>
        <w:rPr>
          <w:rFonts w:ascii="Verdana" w:eastAsia="Calibri" w:hAnsi="Verdana" w:cs="Arial"/>
          <w:lang w:val="es-ES" w:eastAsia="es-ES"/>
        </w:rPr>
      </w:pPr>
    </w:p>
    <w:p w14:paraId="571500A5" w14:textId="77777777" w:rsidR="00EC64A6" w:rsidRDefault="00EC64A6" w:rsidP="00123F6C">
      <w:pPr>
        <w:spacing w:after="0"/>
        <w:rPr>
          <w:rFonts w:ascii="Verdana" w:eastAsia="Calibri" w:hAnsi="Verdana" w:cs="Arial"/>
          <w:lang w:val="es-ES" w:eastAsia="es-ES"/>
        </w:rPr>
      </w:pPr>
    </w:p>
    <w:p w14:paraId="6FC3876D" w14:textId="77777777" w:rsidR="00EC64A6" w:rsidRDefault="00EC64A6" w:rsidP="00123F6C">
      <w:pPr>
        <w:spacing w:after="0"/>
        <w:rPr>
          <w:rFonts w:ascii="Verdana" w:eastAsia="Calibri" w:hAnsi="Verdana" w:cs="Arial"/>
          <w:lang w:val="es-ES" w:eastAsia="es-ES"/>
        </w:rPr>
      </w:pPr>
    </w:p>
    <w:p w14:paraId="1EEFE048" w14:textId="77777777" w:rsidR="00EC64A6" w:rsidRDefault="00EC64A6" w:rsidP="00123F6C">
      <w:pPr>
        <w:spacing w:after="0"/>
        <w:rPr>
          <w:rFonts w:ascii="Verdana" w:eastAsia="Calibri" w:hAnsi="Verdana" w:cs="Arial"/>
          <w:lang w:val="es-ES" w:eastAsia="es-ES"/>
        </w:rPr>
      </w:pPr>
    </w:p>
    <w:p w14:paraId="725CBCBC" w14:textId="77777777" w:rsidR="00EC64A6" w:rsidRDefault="00EC64A6" w:rsidP="00123F6C">
      <w:pPr>
        <w:spacing w:after="0"/>
        <w:rPr>
          <w:rFonts w:ascii="Verdana" w:eastAsia="Calibri" w:hAnsi="Verdana" w:cs="Arial"/>
          <w:lang w:val="es-ES" w:eastAsia="es-ES"/>
        </w:rPr>
      </w:pPr>
    </w:p>
    <w:p w14:paraId="1B4F9737" w14:textId="77777777" w:rsidR="00EC64A6" w:rsidRDefault="00EC64A6" w:rsidP="00123F6C">
      <w:pPr>
        <w:spacing w:after="0"/>
        <w:rPr>
          <w:rFonts w:ascii="Verdana" w:eastAsia="Calibri" w:hAnsi="Verdana" w:cs="Arial"/>
          <w:lang w:val="es-ES" w:eastAsia="es-ES"/>
        </w:rPr>
      </w:pPr>
    </w:p>
    <w:p w14:paraId="3AEE08CE" w14:textId="77777777" w:rsidR="00123F6C" w:rsidRDefault="00123F6C" w:rsidP="00123F6C">
      <w:pPr>
        <w:spacing w:after="0"/>
        <w:rPr>
          <w:rFonts w:ascii="Verdana" w:eastAsia="Calibri" w:hAnsi="Verdana" w:cs="Arial"/>
          <w:lang w:val="es-ES" w:eastAsia="es-ES"/>
        </w:rPr>
      </w:pPr>
    </w:p>
    <w:p w14:paraId="58D48B3F" w14:textId="77777777" w:rsidR="00123F6C" w:rsidRDefault="00123F6C" w:rsidP="00123F6C">
      <w:pPr>
        <w:spacing w:after="0"/>
        <w:rPr>
          <w:rFonts w:ascii="Verdana" w:eastAsia="Calibri" w:hAnsi="Verdana" w:cs="Arial"/>
          <w:lang w:val="es-ES" w:eastAsia="es-ES"/>
        </w:rPr>
      </w:pPr>
    </w:p>
    <w:p w14:paraId="6CEEC381" w14:textId="0D1A2F33" w:rsidR="00123F6C" w:rsidRDefault="00123F6C" w:rsidP="00123F6C">
      <w:pPr>
        <w:spacing w:after="0"/>
        <w:rPr>
          <w:rFonts w:ascii="Verdana" w:eastAsia="Calibri" w:hAnsi="Verdana" w:cs="Arial"/>
          <w:lang w:val="es-ES" w:eastAsia="es-ES"/>
        </w:rPr>
      </w:pPr>
    </w:p>
    <w:p w14:paraId="2BBC32A1" w14:textId="77777777" w:rsidR="00C755CC" w:rsidRDefault="00C755CC" w:rsidP="00123F6C">
      <w:pPr>
        <w:spacing w:after="0" w:line="240" w:lineRule="auto"/>
        <w:jc w:val="both"/>
        <w:rPr>
          <w:rFonts w:ascii="Verdana" w:eastAsia="Calibri" w:hAnsi="Verdana" w:cs="Arial"/>
          <w:color w:val="000000" w:themeColor="text1"/>
          <w:lang w:eastAsia="es-ES"/>
        </w:rPr>
      </w:pPr>
    </w:p>
    <w:p w14:paraId="08D60D43" w14:textId="77777777" w:rsidR="00C755CC" w:rsidRDefault="00C755CC" w:rsidP="00123F6C">
      <w:pPr>
        <w:spacing w:after="0" w:line="240" w:lineRule="auto"/>
        <w:jc w:val="both"/>
        <w:rPr>
          <w:rFonts w:ascii="Verdana" w:eastAsia="Calibri" w:hAnsi="Verdana" w:cs="Arial"/>
          <w:color w:val="000000" w:themeColor="text1"/>
          <w:lang w:eastAsia="es-ES"/>
        </w:rPr>
      </w:pPr>
    </w:p>
    <w:p w14:paraId="7E22F637" w14:textId="77777777" w:rsidR="00C755CC" w:rsidRDefault="00C755CC" w:rsidP="00123F6C">
      <w:pPr>
        <w:spacing w:after="0" w:line="240" w:lineRule="auto"/>
        <w:jc w:val="both"/>
        <w:rPr>
          <w:rFonts w:ascii="Verdana" w:eastAsia="Calibri" w:hAnsi="Verdana" w:cs="Arial"/>
          <w:color w:val="000000" w:themeColor="text1"/>
          <w:lang w:eastAsia="es-ES"/>
        </w:rPr>
      </w:pPr>
    </w:p>
    <w:p w14:paraId="1ECF20FB" w14:textId="0D6CA96E" w:rsidR="00123F6C" w:rsidRPr="00FE167C" w:rsidRDefault="00123F6C" w:rsidP="00123F6C">
      <w:pPr>
        <w:spacing w:after="0" w:line="240" w:lineRule="auto"/>
        <w:jc w:val="both"/>
        <w:rPr>
          <w:rFonts w:ascii="Verdana" w:hAnsi="Verdana"/>
          <w:color w:val="000000" w:themeColor="text1"/>
        </w:rPr>
      </w:pPr>
      <w:r w:rsidRPr="00FE167C">
        <w:rPr>
          <w:rFonts w:ascii="Verdana" w:eastAsia="Calibri" w:hAnsi="Verdana" w:cs="Arial"/>
          <w:color w:val="000000" w:themeColor="text1"/>
          <w:lang w:eastAsia="es-ES"/>
        </w:rPr>
        <w:lastRenderedPageBreak/>
        <w:t xml:space="preserve">Bogotá D.C, </w:t>
      </w:r>
      <w:r w:rsidR="001B31B6" w:rsidRPr="001B31B6">
        <w:rPr>
          <w:rFonts w:ascii="Verdana" w:eastAsia="Calibri" w:hAnsi="Verdana" w:cs="Arial"/>
          <w:color w:val="000000" w:themeColor="text1"/>
          <w:lang w:eastAsia="es-ES"/>
        </w:rPr>
        <w:t xml:space="preserve">08 </w:t>
      </w:r>
      <w:r w:rsidR="00C755CC">
        <w:rPr>
          <w:rFonts w:ascii="Verdana" w:eastAsia="Calibri" w:hAnsi="Verdana" w:cs="Arial"/>
          <w:color w:val="000000" w:themeColor="text1"/>
          <w:lang w:eastAsia="es-ES"/>
        </w:rPr>
        <w:t xml:space="preserve">de </w:t>
      </w:r>
      <w:r w:rsidR="001B31B6" w:rsidRPr="001B31B6">
        <w:rPr>
          <w:rFonts w:ascii="Verdana" w:eastAsia="Calibri" w:hAnsi="Verdana" w:cs="Arial"/>
          <w:color w:val="000000" w:themeColor="text1"/>
          <w:lang w:eastAsia="es-ES"/>
        </w:rPr>
        <w:t>Julio</w:t>
      </w:r>
      <w:r w:rsidR="00C755CC">
        <w:rPr>
          <w:rFonts w:ascii="Verdana" w:eastAsia="Calibri" w:hAnsi="Verdana" w:cs="Arial"/>
          <w:color w:val="000000" w:themeColor="text1"/>
          <w:lang w:eastAsia="es-ES"/>
        </w:rPr>
        <w:t xml:space="preserve"> de</w:t>
      </w:r>
      <w:r w:rsidR="001B31B6" w:rsidRPr="001B31B6">
        <w:rPr>
          <w:rFonts w:ascii="Verdana" w:eastAsia="Calibri" w:hAnsi="Verdana" w:cs="Arial"/>
          <w:color w:val="000000" w:themeColor="text1"/>
          <w:lang w:eastAsia="es-ES"/>
        </w:rPr>
        <w:t xml:space="preserve"> 2026 </w:t>
      </w:r>
    </w:p>
    <w:p w14:paraId="0B30ED11" w14:textId="05F0B664" w:rsidR="00123F6C" w:rsidRPr="0067220C" w:rsidRDefault="00F83B76" w:rsidP="00123F6C">
      <w:pPr>
        <w:spacing w:after="0"/>
        <w:rPr>
          <w:rFonts w:ascii="Verdana" w:hAnsi="Verdana"/>
        </w:rPr>
      </w:pPr>
      <w:r w:rsidRPr="00F83B76">
        <w:rPr>
          <w:rFonts w:ascii="Verdana" w:eastAsia="Calibri" w:hAnsi="Verdana" w:cs="Arial"/>
          <w:b/>
          <w:bCs/>
          <w:noProof/>
          <w:lang w:eastAsia="es-ES"/>
        </w:rPr>
        <w:drawing>
          <wp:anchor distT="0" distB="0" distL="114300" distR="114300" simplePos="0" relativeHeight="251658240" behindDoc="0" locked="0" layoutInCell="1" allowOverlap="1" wp14:anchorId="40D956C9" wp14:editId="1CAC9F01">
            <wp:simplePos x="0" y="0"/>
            <wp:positionH relativeFrom="margin">
              <wp:posOffset>3485388</wp:posOffset>
            </wp:positionH>
            <wp:positionV relativeFrom="margin">
              <wp:posOffset>459740</wp:posOffset>
            </wp:positionV>
            <wp:extent cx="2118360" cy="672465"/>
            <wp:effectExtent l="0" t="0" r="0" b="0"/>
            <wp:wrapSquare wrapText="bothSides"/>
            <wp:docPr id="6258347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83471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18360" cy="672465"/>
                    </a:xfrm>
                    <a:prstGeom prst="rect">
                      <a:avLst/>
                    </a:prstGeom>
                  </pic:spPr>
                </pic:pic>
              </a:graphicData>
            </a:graphic>
            <wp14:sizeRelH relativeFrom="margin">
              <wp14:pctWidth>0</wp14:pctWidth>
            </wp14:sizeRelH>
            <wp14:sizeRelV relativeFrom="margin">
              <wp14:pctHeight>0</wp14:pctHeight>
            </wp14:sizeRelV>
          </wp:anchor>
        </w:drawing>
      </w:r>
    </w:p>
    <w:p w14:paraId="6F035B45" w14:textId="77777777" w:rsidR="00123F6C" w:rsidRPr="00351531" w:rsidRDefault="00123F6C" w:rsidP="00123F6C">
      <w:pPr>
        <w:spacing w:after="0" w:line="240" w:lineRule="auto"/>
        <w:jc w:val="both"/>
        <w:rPr>
          <w:rFonts w:ascii="Verdana" w:eastAsia="Calibri" w:hAnsi="Verdana" w:cs="Arial"/>
          <w:lang w:eastAsia="es-ES"/>
        </w:rPr>
      </w:pPr>
      <w:r w:rsidRPr="00351531">
        <w:rPr>
          <w:rFonts w:ascii="Verdana" w:eastAsia="Calibri" w:hAnsi="Verdana" w:cs="Arial"/>
          <w:lang w:eastAsia="es-ES"/>
        </w:rPr>
        <w:t>Señora</w:t>
      </w:r>
    </w:p>
    <w:p w14:paraId="6ED16BD0" w14:textId="3737718D" w:rsidR="00123F6C" w:rsidRPr="00351531" w:rsidRDefault="00123F6C" w:rsidP="00123F6C">
      <w:pPr>
        <w:spacing w:after="0" w:line="240" w:lineRule="auto"/>
        <w:jc w:val="both"/>
        <w:rPr>
          <w:rFonts w:ascii="Verdana" w:eastAsia="Calibri" w:hAnsi="Verdana" w:cs="Arial"/>
          <w:b/>
          <w:bCs/>
          <w:lang w:eastAsia="es-ES"/>
        </w:rPr>
      </w:pPr>
      <w:r w:rsidRPr="00351531">
        <w:rPr>
          <w:rFonts w:ascii="Verdana" w:eastAsia="Calibri" w:hAnsi="Verdana" w:cs="Arial"/>
          <w:b/>
          <w:bCs/>
          <w:lang w:eastAsia="es-ES"/>
        </w:rPr>
        <w:t>Yina Maritza Londoño Muñoz</w:t>
      </w:r>
    </w:p>
    <w:p w14:paraId="7321ED3E" w14:textId="77777777" w:rsidR="00123F6C" w:rsidRPr="00351531" w:rsidRDefault="00123F6C" w:rsidP="00123F6C">
      <w:pPr>
        <w:pStyle w:val="Ttulo2"/>
        <w:rPr>
          <w:rFonts w:ascii="Verdana" w:eastAsia="Calibri" w:hAnsi="Verdana" w:cs="Arial"/>
          <w:color w:val="auto"/>
          <w:sz w:val="22"/>
          <w:szCs w:val="22"/>
          <w:lang w:eastAsia="es-ES"/>
        </w:rPr>
      </w:pPr>
      <w:hyperlink r:id="rId11" w:history="1">
        <w:r w:rsidRPr="00351531">
          <w:rPr>
            <w:rStyle w:val="Hipervnculo"/>
            <w:rFonts w:ascii="Verdana" w:eastAsia="Calibri" w:hAnsi="Verdana" w:cs="Arial"/>
            <w:sz w:val="22"/>
            <w:szCs w:val="22"/>
            <w:lang w:eastAsia="es-ES"/>
          </w:rPr>
          <w:t>ginnamaria83@gmail.com</w:t>
        </w:r>
      </w:hyperlink>
    </w:p>
    <w:p w14:paraId="779745E7" w14:textId="1E67A207" w:rsidR="00123F6C" w:rsidRDefault="00123F6C" w:rsidP="00123F6C">
      <w:pPr>
        <w:rPr>
          <w:rFonts w:ascii="Verdana" w:hAnsi="Verdana"/>
          <w:lang w:eastAsia="es-ES"/>
        </w:rPr>
      </w:pPr>
      <w:r w:rsidRPr="00351531">
        <w:rPr>
          <w:rFonts w:ascii="Verdana" w:hAnsi="Verdana"/>
          <w:lang w:eastAsia="es-ES"/>
        </w:rPr>
        <w:t>Subachoque</w:t>
      </w:r>
      <w:r>
        <w:rPr>
          <w:rFonts w:ascii="Verdana" w:hAnsi="Verdana"/>
          <w:lang w:eastAsia="es-ES"/>
        </w:rPr>
        <w:t>, Cundinamarca</w:t>
      </w:r>
    </w:p>
    <w:p w14:paraId="01619BCB" w14:textId="77777777" w:rsidR="00123F6C" w:rsidRPr="005C5558" w:rsidRDefault="00123F6C" w:rsidP="00123F6C">
      <w:pPr>
        <w:rPr>
          <w:rFonts w:ascii="Verdana" w:hAnsi="Verdana"/>
          <w:lang w:eastAsia="es-ES"/>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123F6C" w:rsidRPr="0067220C" w14:paraId="40D63F28" w14:textId="77777777" w:rsidTr="008873B2">
        <w:trPr>
          <w:trHeight w:val="162"/>
        </w:trPr>
        <w:tc>
          <w:tcPr>
            <w:tcW w:w="3119" w:type="dxa"/>
          </w:tcPr>
          <w:p w14:paraId="18A26B61" w14:textId="77777777" w:rsidR="00123F6C" w:rsidRPr="0067220C" w:rsidRDefault="00123F6C" w:rsidP="008873B2">
            <w:pPr>
              <w:jc w:val="both"/>
              <w:rPr>
                <w:rFonts w:ascii="Verdana" w:eastAsia="Calibri" w:hAnsi="Verdana" w:cs="Arial"/>
                <w:b/>
                <w:bCs/>
                <w:lang w:val="it-CH" w:eastAsia="es-ES_tradnl"/>
              </w:rPr>
            </w:pPr>
          </w:p>
        </w:tc>
        <w:tc>
          <w:tcPr>
            <w:tcW w:w="5670" w:type="dxa"/>
          </w:tcPr>
          <w:p w14:paraId="29FE174C" w14:textId="77777777" w:rsidR="00123F6C" w:rsidRPr="0067220C" w:rsidRDefault="00123F6C" w:rsidP="008873B2">
            <w:pPr>
              <w:jc w:val="both"/>
              <w:rPr>
                <w:rFonts w:ascii="Verdana" w:eastAsia="Calibri" w:hAnsi="Verdana" w:cs="Arial"/>
                <w:b/>
                <w:bCs/>
                <w:lang w:eastAsia="es-ES"/>
              </w:rPr>
            </w:pPr>
            <w:r w:rsidRPr="1FAF2E19">
              <w:rPr>
                <w:rFonts w:ascii="Verdana" w:eastAsia="Calibri" w:hAnsi="Verdana" w:cs="Arial"/>
                <w:b/>
                <w:bCs/>
                <w:lang w:eastAsia="es-ES"/>
              </w:rPr>
              <w:t xml:space="preserve">Concepto C- </w:t>
            </w:r>
            <w:r>
              <w:rPr>
                <w:rFonts w:ascii="Verdana" w:eastAsia="Calibri" w:hAnsi="Verdana" w:cs="Arial"/>
                <w:b/>
                <w:bCs/>
                <w:lang w:eastAsia="es-ES"/>
              </w:rPr>
              <w:t>914</w:t>
            </w:r>
            <w:r w:rsidRPr="1FAF2E19">
              <w:rPr>
                <w:rFonts w:ascii="Verdana" w:eastAsia="Calibri" w:hAnsi="Verdana" w:cs="Arial"/>
                <w:b/>
                <w:bCs/>
                <w:lang w:eastAsia="es-ES"/>
              </w:rPr>
              <w:t xml:space="preserve"> de 2026</w:t>
            </w:r>
          </w:p>
          <w:p w14:paraId="13D08049" w14:textId="77777777" w:rsidR="00123F6C" w:rsidRPr="0067220C" w:rsidRDefault="00123F6C" w:rsidP="008873B2">
            <w:pPr>
              <w:jc w:val="both"/>
              <w:rPr>
                <w:rFonts w:ascii="Verdana" w:eastAsia="Calibri" w:hAnsi="Verdana" w:cs="Arial"/>
                <w:b/>
                <w:bCs/>
                <w:lang w:eastAsia="es-ES"/>
              </w:rPr>
            </w:pPr>
          </w:p>
        </w:tc>
      </w:tr>
      <w:tr w:rsidR="00123F6C" w:rsidRPr="00055752" w14:paraId="22D071C4" w14:textId="77777777" w:rsidTr="008873B2">
        <w:trPr>
          <w:trHeight w:val="884"/>
        </w:trPr>
        <w:tc>
          <w:tcPr>
            <w:tcW w:w="3119" w:type="dxa"/>
          </w:tcPr>
          <w:p w14:paraId="7641C06D" w14:textId="77777777" w:rsidR="00123F6C" w:rsidRPr="0067220C" w:rsidRDefault="00123F6C" w:rsidP="008873B2">
            <w:pPr>
              <w:jc w:val="both"/>
              <w:rPr>
                <w:rFonts w:ascii="Verdana" w:eastAsia="Calibri" w:hAnsi="Verdana" w:cs="Arial"/>
                <w:lang w:eastAsia="es-ES_tradnl"/>
              </w:rPr>
            </w:pPr>
            <w:r w:rsidRPr="0067220C">
              <w:rPr>
                <w:rFonts w:ascii="Verdana" w:eastAsia="Calibri" w:hAnsi="Verdana" w:cs="Arial"/>
                <w:b/>
                <w:lang w:eastAsia="es-ES_tradnl"/>
              </w:rPr>
              <w:t>Temas:</w:t>
            </w:r>
            <w:r w:rsidRPr="0067220C">
              <w:rPr>
                <w:rFonts w:ascii="Verdana" w:eastAsia="Calibri" w:hAnsi="Verdana" w:cs="Arial"/>
                <w:lang w:eastAsia="es-ES_tradnl"/>
              </w:rPr>
              <w:t xml:space="preserve">                  </w:t>
            </w:r>
          </w:p>
        </w:tc>
        <w:tc>
          <w:tcPr>
            <w:tcW w:w="5670" w:type="dxa"/>
          </w:tcPr>
          <w:p w14:paraId="39FF3A2D" w14:textId="77777777" w:rsidR="00EC64A6" w:rsidRPr="009154A7" w:rsidRDefault="00EC64A6" w:rsidP="00EC64A6">
            <w:pPr>
              <w:spacing w:line="276" w:lineRule="auto"/>
              <w:jc w:val="both"/>
              <w:rPr>
                <w:rFonts w:ascii="Verdana" w:eastAsia="Calibri" w:hAnsi="Verdana" w:cs="Arial"/>
                <w:lang w:val="es-ES_tradnl"/>
              </w:rPr>
            </w:pPr>
            <w:r w:rsidRPr="009154A7">
              <w:rPr>
                <w:rFonts w:ascii="Verdana" w:eastAsia="Calibri" w:hAnsi="Verdana" w:cs="Times New Roman"/>
                <w:lang w:val="es-ES"/>
              </w:rPr>
              <w:t>DOCUMENTOS TIPO – Inalterabilidad – Alcance /</w:t>
            </w:r>
          </w:p>
          <w:p w14:paraId="0F67A937" w14:textId="77777777" w:rsidR="00EC64A6" w:rsidRPr="009154A7" w:rsidRDefault="00EC64A6" w:rsidP="00EC64A6">
            <w:pPr>
              <w:jc w:val="both"/>
              <w:rPr>
                <w:rFonts w:ascii="Verdana" w:eastAsia="Calibri" w:hAnsi="Verdana" w:cs="Times New Roman"/>
                <w:lang w:val="es-ES"/>
              </w:rPr>
            </w:pPr>
            <w:r w:rsidRPr="009154A7">
              <w:rPr>
                <w:rFonts w:ascii="Verdana" w:eastAsia="Calibri" w:hAnsi="Verdana" w:cs="Times New Roman"/>
                <w:lang w:val="es-ES"/>
              </w:rPr>
              <w:t xml:space="preserve">DOCUMENTOS TIPO – Inalterabilidad – </w:t>
            </w:r>
            <w:r w:rsidRPr="009154A7">
              <w:rPr>
                <w:rFonts w:ascii="Verdana" w:eastAsia="Calibri" w:hAnsi="Verdana" w:cs="Times New Roman"/>
              </w:rPr>
              <w:t>Estandarización. – Transparencia - Pliegos sastre - Diligenciamiento de documentos /</w:t>
            </w:r>
            <w:r w:rsidRPr="009154A7">
              <w:rPr>
                <w:rFonts w:ascii="Verdana" w:eastAsia="Calibri" w:hAnsi="Verdana" w:cs="Times New Roman"/>
              </w:rPr>
              <w:br/>
            </w:r>
            <w:r w:rsidRPr="009154A7">
              <w:rPr>
                <w:rFonts w:ascii="Verdana" w:eastAsia="Calibri" w:hAnsi="Verdana" w:cs="Arial"/>
                <w:lang w:eastAsia="es-ES"/>
              </w:rPr>
              <w:t xml:space="preserve"> </w:t>
            </w:r>
            <w:r w:rsidRPr="009154A7">
              <w:rPr>
                <w:rFonts w:ascii="Verdana" w:eastAsia="Calibri" w:hAnsi="Verdana" w:cs="Arial"/>
                <w:lang w:val="es-ES" w:eastAsia="es-ES"/>
              </w:rPr>
              <w:t xml:space="preserve">INDUSTRIA NACIONAL – Puntaje adicional – Decreto 680 de 2021 / DOCUMENTOS TIPO DE LICITACIÓN – Infraestructura de transporte – Industria nacional – Formato 9A – Acreditación del puntaje por servicios nacionales o con trato nacional / DOCUMENTOS TIPO DE LICITACIÓN – Infraestructura social – Industria nacional – Formato 9A – Acreditación del puntaje por servicios nacionales o con trato nacional – Matriz 4 /  DECRETO 287 DE 2026 – Incidencia – Documentos tipo / DOCUMENTOS TIPO – Decreto 287 de 2026 – Aplicación / </w:t>
            </w:r>
            <w:r w:rsidRPr="009154A7">
              <w:rPr>
                <w:rFonts w:ascii="Verdana" w:eastAsia="Calibri" w:hAnsi="Verdana" w:cs="Times New Roman"/>
                <w:lang w:val="es-ES"/>
              </w:rPr>
              <w:t xml:space="preserve">DOCUMENTOS TIPO – Decreto 287 de 2026 – Modificación – </w:t>
            </w:r>
            <w:r w:rsidRPr="009154A7">
              <w:rPr>
                <w:rFonts w:ascii="Verdana" w:eastAsia="Aptos" w:hAnsi="Verdana" w:cs="Times New Roman"/>
              </w:rPr>
              <w:t xml:space="preserve">ABC del Decreto 0287 de 2026 </w:t>
            </w:r>
          </w:p>
          <w:p w14:paraId="16D366CB" w14:textId="77777777" w:rsidR="00EC64A6" w:rsidRPr="009154A7" w:rsidRDefault="00EC64A6" w:rsidP="00EC64A6">
            <w:pPr>
              <w:jc w:val="both"/>
              <w:rPr>
                <w:rFonts w:ascii="Verdana" w:eastAsia="Calibri" w:hAnsi="Verdana" w:cs="Arial"/>
                <w:lang w:val="es-ES" w:eastAsia="es-ES"/>
              </w:rPr>
            </w:pPr>
          </w:p>
          <w:p w14:paraId="38E77717" w14:textId="77777777" w:rsidR="00123F6C" w:rsidRPr="00055752" w:rsidRDefault="00123F6C" w:rsidP="008873B2">
            <w:pPr>
              <w:spacing w:line="276" w:lineRule="auto"/>
              <w:jc w:val="both"/>
              <w:rPr>
                <w:rFonts w:ascii="Verdana" w:eastAsia="Calibri" w:hAnsi="Verdana" w:cs="Arial"/>
                <w:lang w:val="es-ES" w:eastAsia="es-ES"/>
              </w:rPr>
            </w:pPr>
          </w:p>
        </w:tc>
      </w:tr>
      <w:tr w:rsidR="00123F6C" w:rsidRPr="0067220C" w14:paraId="6F6F170D" w14:textId="77777777" w:rsidTr="008873B2">
        <w:tc>
          <w:tcPr>
            <w:tcW w:w="3119" w:type="dxa"/>
          </w:tcPr>
          <w:p w14:paraId="31A93FD3" w14:textId="77777777" w:rsidR="00123F6C" w:rsidRPr="0067220C" w:rsidRDefault="00123F6C" w:rsidP="008873B2">
            <w:pPr>
              <w:jc w:val="both"/>
              <w:rPr>
                <w:rFonts w:ascii="Verdana" w:eastAsia="Calibri" w:hAnsi="Verdana" w:cs="Arial"/>
                <w:b/>
                <w:lang w:eastAsia="es-ES_tradnl"/>
              </w:rPr>
            </w:pPr>
            <w:r w:rsidRPr="0067220C">
              <w:rPr>
                <w:rFonts w:ascii="Verdana" w:eastAsia="Calibri" w:hAnsi="Verdana" w:cs="Arial"/>
                <w:b/>
                <w:lang w:eastAsia="es-ES_tradnl"/>
              </w:rPr>
              <w:t>Radicación:</w:t>
            </w:r>
            <w:r w:rsidRPr="0067220C">
              <w:rPr>
                <w:rFonts w:ascii="Verdana" w:eastAsia="Calibri" w:hAnsi="Verdana" w:cs="Arial"/>
                <w:lang w:eastAsia="es-ES_tradnl"/>
              </w:rPr>
              <w:t xml:space="preserve">               </w:t>
            </w:r>
          </w:p>
        </w:tc>
        <w:tc>
          <w:tcPr>
            <w:tcW w:w="5670" w:type="dxa"/>
          </w:tcPr>
          <w:p w14:paraId="45025067" w14:textId="77777777" w:rsidR="00123F6C" w:rsidRPr="00BD0D4C" w:rsidRDefault="00123F6C" w:rsidP="008873B2">
            <w:pPr>
              <w:jc w:val="both"/>
              <w:rPr>
                <w:rFonts w:ascii="Verdana" w:eastAsia="Calibri" w:hAnsi="Verdana" w:cs="Arial"/>
                <w:lang w:eastAsia="es-ES_tradnl"/>
              </w:rPr>
            </w:pPr>
            <w:r w:rsidRPr="0067220C">
              <w:rPr>
                <w:rFonts w:ascii="Verdana" w:eastAsia="Calibri" w:hAnsi="Verdana" w:cs="Arial"/>
                <w:lang w:eastAsia="es-ES_tradnl"/>
              </w:rPr>
              <w:t xml:space="preserve">Respuesta a consultas con radicado No. </w:t>
            </w:r>
            <w:r w:rsidRPr="00BD0D4C">
              <w:rPr>
                <w:rFonts w:ascii="Verdana" w:eastAsia="Calibri" w:hAnsi="Verdana" w:cs="Arial"/>
                <w:lang w:eastAsia="es-ES_tradnl"/>
              </w:rPr>
              <w:t>1_2026_05_29_007258</w:t>
            </w:r>
          </w:p>
          <w:p w14:paraId="04D35597" w14:textId="77777777" w:rsidR="00123F6C" w:rsidRPr="0067220C" w:rsidRDefault="00123F6C" w:rsidP="008873B2">
            <w:pPr>
              <w:jc w:val="both"/>
              <w:rPr>
                <w:rFonts w:ascii="Verdana" w:eastAsia="Calibri" w:hAnsi="Verdana" w:cs="Arial"/>
                <w:lang w:eastAsia="es-ES_tradnl"/>
              </w:rPr>
            </w:pPr>
          </w:p>
          <w:p w14:paraId="3A8730FC" w14:textId="77777777" w:rsidR="00123F6C" w:rsidRPr="0067220C" w:rsidRDefault="00123F6C" w:rsidP="008873B2">
            <w:pPr>
              <w:jc w:val="both"/>
              <w:rPr>
                <w:rFonts w:ascii="Verdana" w:eastAsia="Calibri" w:hAnsi="Verdana" w:cs="Arial"/>
                <w:lang w:eastAsia="es-ES_tradnl"/>
              </w:rPr>
            </w:pPr>
          </w:p>
        </w:tc>
      </w:tr>
    </w:tbl>
    <w:p w14:paraId="4E408293" w14:textId="77777777" w:rsidR="00123F6C" w:rsidRPr="0067220C" w:rsidRDefault="00123F6C" w:rsidP="00123F6C">
      <w:pPr>
        <w:spacing w:after="0" w:line="276" w:lineRule="auto"/>
        <w:jc w:val="both"/>
        <w:rPr>
          <w:rFonts w:ascii="Verdana" w:eastAsia="Calibri" w:hAnsi="Verdana" w:cs="Arial"/>
          <w:lang w:eastAsia="es-ES"/>
        </w:rPr>
      </w:pPr>
    </w:p>
    <w:p w14:paraId="1BDE2090" w14:textId="77777777" w:rsidR="00123F6C" w:rsidRPr="0067220C" w:rsidRDefault="00123F6C" w:rsidP="00123F6C">
      <w:pPr>
        <w:spacing w:after="0" w:line="276" w:lineRule="auto"/>
        <w:jc w:val="both"/>
        <w:rPr>
          <w:rFonts w:ascii="Verdana" w:eastAsia="Calibri" w:hAnsi="Verdana" w:cs="Arial"/>
          <w:lang w:eastAsia="es-ES"/>
        </w:rPr>
      </w:pPr>
      <w:r w:rsidRPr="0067220C">
        <w:rPr>
          <w:rFonts w:ascii="Verdana" w:eastAsia="Calibri" w:hAnsi="Verdana" w:cs="Arial"/>
          <w:lang w:eastAsia="es-ES"/>
        </w:rPr>
        <w:t>Estimad</w:t>
      </w:r>
      <w:r>
        <w:rPr>
          <w:rFonts w:ascii="Verdana" w:eastAsia="Calibri" w:hAnsi="Verdana" w:cs="Arial"/>
          <w:lang w:eastAsia="es-ES"/>
        </w:rPr>
        <w:t>a</w:t>
      </w:r>
      <w:r w:rsidRPr="0067220C">
        <w:rPr>
          <w:rFonts w:ascii="Verdana" w:eastAsia="Calibri" w:hAnsi="Verdana" w:cs="Arial"/>
          <w:lang w:eastAsia="es-ES"/>
        </w:rPr>
        <w:t xml:space="preserve"> señor</w:t>
      </w:r>
      <w:r>
        <w:rPr>
          <w:rFonts w:ascii="Verdana" w:eastAsia="Calibri" w:hAnsi="Verdana" w:cs="Arial"/>
          <w:lang w:eastAsia="es-ES"/>
        </w:rPr>
        <w:t xml:space="preserve">a Yina Maritza, </w:t>
      </w:r>
      <w:r w:rsidRPr="0067220C">
        <w:rPr>
          <w:rFonts w:ascii="Verdana" w:eastAsia="Calibri" w:hAnsi="Verdana" w:cs="Arial"/>
          <w:lang w:eastAsia="es-ES"/>
        </w:rPr>
        <w:t xml:space="preserve">cordial Saludo: </w:t>
      </w:r>
    </w:p>
    <w:p w14:paraId="33940204" w14:textId="77777777" w:rsidR="00123F6C" w:rsidRPr="0067220C" w:rsidRDefault="00123F6C" w:rsidP="00123F6C">
      <w:pPr>
        <w:tabs>
          <w:tab w:val="left" w:pos="3768"/>
        </w:tabs>
        <w:spacing w:after="0" w:line="240" w:lineRule="auto"/>
        <w:jc w:val="both"/>
        <w:rPr>
          <w:rFonts w:ascii="Verdana" w:eastAsia="Calibri" w:hAnsi="Verdana" w:cs="Arial"/>
          <w:lang w:eastAsia="es-ES"/>
        </w:rPr>
      </w:pPr>
    </w:p>
    <w:p w14:paraId="6AFA3983" w14:textId="71DFFFBA" w:rsidR="00123F6C" w:rsidRPr="008873B2" w:rsidRDefault="00123F6C" w:rsidP="008873B2">
      <w:pPr>
        <w:tabs>
          <w:tab w:val="left" w:pos="3768"/>
        </w:tabs>
        <w:spacing w:after="0" w:line="276" w:lineRule="auto"/>
        <w:jc w:val="both"/>
        <w:rPr>
          <w:rFonts w:ascii="Verdana" w:eastAsia="Calibri" w:hAnsi="Verdana" w:cs="Arial"/>
          <w:lang w:eastAsia="es-ES"/>
        </w:rPr>
      </w:pPr>
      <w:r w:rsidRPr="0067220C">
        <w:rPr>
          <w:rFonts w:ascii="Verdana" w:eastAsia="Calibri" w:hAnsi="Verdana" w:cs="Arial"/>
          <w:lang w:eastAsia="es-ES"/>
        </w:rPr>
        <w:t>En ejercicio de la competencia otorgada por los artículos 3, numeral 5º, y 11, numeral 8º, del Decreto Ley 4170 de 2011,</w:t>
      </w:r>
      <w:r w:rsidRPr="0067220C">
        <w:rPr>
          <w:rFonts w:ascii="Verdana" w:eastAsia="Arial MT" w:hAnsi="Verdana" w:cs="Arial MT"/>
          <w:lang w:eastAsia="es-ES"/>
        </w:rPr>
        <w:t xml:space="preserve"> </w:t>
      </w:r>
      <w:r w:rsidRPr="0067220C">
        <w:rPr>
          <w:rFonts w:ascii="Verdana" w:hAnsi="Verdana" w:cs="Arial"/>
        </w:rPr>
        <w:t xml:space="preserve">así como lo establecido en la Resolución 469 de 2025 expedida por esta Entidad, </w:t>
      </w:r>
      <w:r w:rsidRPr="0067220C">
        <w:rPr>
          <w:rFonts w:ascii="Verdana" w:eastAsia="Calibri" w:hAnsi="Verdana" w:cs="Arial"/>
          <w:lang w:eastAsia="es-ES"/>
        </w:rPr>
        <w:t xml:space="preserve">la Agencia Nacional de </w:t>
      </w:r>
      <w:r w:rsidRPr="0067220C">
        <w:rPr>
          <w:rFonts w:ascii="Verdana" w:eastAsia="Calibri" w:hAnsi="Verdana" w:cs="Arial"/>
          <w:lang w:eastAsia="es-ES"/>
        </w:rPr>
        <w:lastRenderedPageBreak/>
        <w:t xml:space="preserve">Contratación Pública – Colombia Compra Eficiente– responde su solicitud de consulta de fecha </w:t>
      </w:r>
      <w:r>
        <w:rPr>
          <w:rFonts w:ascii="Verdana" w:eastAsia="Calibri" w:hAnsi="Verdana" w:cs="Arial"/>
          <w:lang w:eastAsia="es-ES"/>
        </w:rPr>
        <w:t>29</w:t>
      </w:r>
      <w:r w:rsidRPr="0067220C">
        <w:rPr>
          <w:rFonts w:ascii="Verdana" w:eastAsia="Calibri" w:hAnsi="Verdana" w:cs="Arial"/>
          <w:lang w:eastAsia="es-ES"/>
        </w:rPr>
        <w:t xml:space="preserve"> de </w:t>
      </w:r>
      <w:r>
        <w:rPr>
          <w:rFonts w:ascii="Verdana" w:eastAsia="Calibri" w:hAnsi="Verdana" w:cs="Arial"/>
          <w:lang w:eastAsia="es-ES"/>
        </w:rPr>
        <w:t>may</w:t>
      </w:r>
      <w:r w:rsidRPr="0067220C">
        <w:rPr>
          <w:rFonts w:ascii="Verdana" w:eastAsia="Calibri" w:hAnsi="Verdana" w:cs="Arial"/>
          <w:lang w:eastAsia="es-ES"/>
        </w:rPr>
        <w:t xml:space="preserve">o de 2026, en la cual manifiesta lo siguiente: </w:t>
      </w:r>
    </w:p>
    <w:p w14:paraId="1C7D43C3" w14:textId="77777777" w:rsidR="00123F6C" w:rsidRPr="0067220C" w:rsidRDefault="00123F6C" w:rsidP="00123F6C">
      <w:pPr>
        <w:pStyle w:val="Prrafodelista"/>
        <w:tabs>
          <w:tab w:val="left" w:pos="142"/>
          <w:tab w:val="left" w:pos="284"/>
        </w:tabs>
        <w:spacing w:after="0" w:line="276" w:lineRule="auto"/>
        <w:ind w:left="142"/>
        <w:contextualSpacing w:val="0"/>
        <w:jc w:val="both"/>
        <w:rPr>
          <w:rFonts w:ascii="Verdana" w:eastAsia="Century Gothic" w:hAnsi="Verdana" w:cs="Century Gothic"/>
          <w:b/>
          <w:i/>
          <w:sz w:val="20"/>
          <w:szCs w:val="20"/>
        </w:rPr>
      </w:pPr>
    </w:p>
    <w:p w14:paraId="0C9D5C58" w14:textId="77777777" w:rsidR="00123F6C" w:rsidRPr="0067220C" w:rsidRDefault="00123F6C" w:rsidP="00123F6C">
      <w:pPr>
        <w:spacing w:after="0" w:line="240" w:lineRule="auto"/>
        <w:ind w:left="709" w:right="709"/>
        <w:jc w:val="both"/>
        <w:rPr>
          <w:rFonts w:ascii="Verdana" w:eastAsia="Century Gothic" w:hAnsi="Verdana" w:cs="Century Gothic"/>
          <w:i/>
          <w:sz w:val="20"/>
          <w:szCs w:val="20"/>
        </w:rPr>
      </w:pPr>
      <w:bookmarkStart w:id="1" w:name="_Hlk192699624"/>
      <w:bookmarkStart w:id="2" w:name="_Hlk199394899"/>
      <w:r w:rsidRPr="0067220C">
        <w:rPr>
          <w:rFonts w:ascii="Verdana" w:eastAsia="Century Gothic" w:hAnsi="Verdana" w:cs="Century Gothic"/>
          <w:i/>
          <w:sz w:val="20"/>
          <w:szCs w:val="20"/>
        </w:rPr>
        <w:t>“</w:t>
      </w:r>
      <w:bookmarkEnd w:id="1"/>
      <w:bookmarkEnd w:id="2"/>
      <w:r w:rsidRPr="0067220C">
        <w:rPr>
          <w:rFonts w:ascii="Verdana" w:eastAsia="Century Gothic" w:hAnsi="Verdana" w:cs="Century Gothic"/>
          <w:i/>
          <w:sz w:val="20"/>
          <w:szCs w:val="20"/>
        </w:rPr>
        <w:t>Solicito</w:t>
      </w:r>
      <w:r w:rsidRPr="00634EC5">
        <w:rPr>
          <w:rFonts w:ascii="Verdana" w:eastAsia="Century Gothic" w:hAnsi="Verdana" w:cs="Century Gothic"/>
          <w:i/>
          <w:sz w:val="20"/>
          <w:szCs w:val="20"/>
        </w:rPr>
        <w:t xml:space="preserve"> informacion sobre la posiblidad de modificar el formato 9 -</w:t>
      </w:r>
      <w:r>
        <w:rPr>
          <w:rFonts w:ascii="Verdana" w:eastAsia="Century Gothic" w:hAnsi="Verdana" w:cs="Century Gothic"/>
          <w:i/>
          <w:sz w:val="20"/>
          <w:szCs w:val="20"/>
        </w:rPr>
        <w:t xml:space="preserve"> </w:t>
      </w:r>
      <w:r w:rsidRPr="00634EC5">
        <w:rPr>
          <w:rFonts w:ascii="Verdana" w:eastAsia="Century Gothic" w:hAnsi="Verdana" w:cs="Century Gothic"/>
          <w:i/>
          <w:sz w:val="20"/>
          <w:szCs w:val="20"/>
        </w:rPr>
        <w:t>Porteccion a la industrita nacional, por cuanto en la herramienta VUCE, no aparece la fecha de</w:t>
      </w:r>
      <w:r>
        <w:rPr>
          <w:rFonts w:ascii="Verdana" w:eastAsia="Century Gothic" w:hAnsi="Verdana" w:cs="Century Gothic"/>
          <w:i/>
          <w:sz w:val="20"/>
          <w:szCs w:val="20"/>
        </w:rPr>
        <w:t xml:space="preserve"> </w:t>
      </w:r>
      <w:r w:rsidRPr="00634EC5">
        <w:rPr>
          <w:rFonts w:ascii="Verdana" w:eastAsia="Century Gothic" w:hAnsi="Verdana" w:cs="Century Gothic"/>
          <w:i/>
          <w:sz w:val="20"/>
          <w:szCs w:val="20"/>
        </w:rPr>
        <w:t xml:space="preserve">inscripcion de los bienes relevantes nacionales identificados en el marco del proceso AMS-LP001-2026, la modificacion consiste en la eliminacion del la colimna 'fecha de inscripcion'. </w:t>
      </w:r>
      <w:r>
        <w:rPr>
          <w:rFonts w:ascii="Verdana" w:eastAsia="Century Gothic" w:hAnsi="Verdana" w:cs="Century Gothic"/>
          <w:i/>
          <w:sz w:val="20"/>
          <w:szCs w:val="20"/>
        </w:rPr>
        <w:t xml:space="preserve">Así </w:t>
      </w:r>
      <w:r w:rsidRPr="00634EC5">
        <w:rPr>
          <w:rFonts w:ascii="Verdana" w:eastAsia="Century Gothic" w:hAnsi="Verdana" w:cs="Century Gothic"/>
          <w:i/>
          <w:sz w:val="20"/>
          <w:szCs w:val="20"/>
        </w:rPr>
        <w:t>mismo solicito validar si es posible incorporar en los factores de evaluacion el criterio de</w:t>
      </w:r>
      <w:r>
        <w:rPr>
          <w:rFonts w:ascii="Verdana" w:eastAsia="Century Gothic" w:hAnsi="Verdana" w:cs="Century Gothic"/>
          <w:i/>
          <w:sz w:val="20"/>
          <w:szCs w:val="20"/>
        </w:rPr>
        <w:t xml:space="preserve"> </w:t>
      </w:r>
      <w:r w:rsidRPr="00634EC5">
        <w:rPr>
          <w:rFonts w:ascii="Verdana" w:eastAsia="Century Gothic" w:hAnsi="Verdana" w:cs="Century Gothic"/>
          <w:i/>
          <w:sz w:val="20"/>
          <w:szCs w:val="20"/>
        </w:rPr>
        <w:t>emprendimientos y empresas de personas con discapacidad, establecido en el Decreto 287 de</w:t>
      </w:r>
      <w:r>
        <w:rPr>
          <w:rFonts w:ascii="Verdana" w:eastAsia="Century Gothic" w:hAnsi="Verdana" w:cs="Century Gothic"/>
          <w:i/>
          <w:sz w:val="20"/>
          <w:szCs w:val="20"/>
        </w:rPr>
        <w:t xml:space="preserve"> </w:t>
      </w:r>
      <w:r w:rsidRPr="00634EC5">
        <w:rPr>
          <w:rFonts w:ascii="Verdana" w:eastAsia="Century Gothic" w:hAnsi="Verdana" w:cs="Century Gothic"/>
          <w:i/>
          <w:sz w:val="20"/>
          <w:szCs w:val="20"/>
        </w:rPr>
        <w:t>2026 Información del solicitante:</w:t>
      </w:r>
      <w:r w:rsidRPr="0067220C">
        <w:rPr>
          <w:rFonts w:ascii="Verdana" w:eastAsia="Century Gothic" w:hAnsi="Verdana" w:cs="Century Gothic"/>
          <w:i/>
          <w:sz w:val="20"/>
          <w:szCs w:val="20"/>
        </w:rPr>
        <w:t xml:space="preserve">” </w:t>
      </w:r>
    </w:p>
    <w:p w14:paraId="0BEC60E8" w14:textId="77777777" w:rsidR="00123F6C" w:rsidRPr="008E4F36" w:rsidRDefault="00123F6C" w:rsidP="00123F6C">
      <w:pPr>
        <w:spacing w:after="0" w:line="240" w:lineRule="auto"/>
        <w:ind w:right="709"/>
        <w:jc w:val="both"/>
        <w:rPr>
          <w:rFonts w:ascii="Verdana" w:hAnsi="Verdana"/>
          <w:color w:val="218BFC"/>
          <w:sz w:val="20"/>
          <w:szCs w:val="20"/>
        </w:rPr>
      </w:pPr>
    </w:p>
    <w:p w14:paraId="064E5BF5" w14:textId="77777777" w:rsidR="00123F6C" w:rsidRPr="00D21468" w:rsidRDefault="00123F6C" w:rsidP="00123F6C">
      <w:pPr>
        <w:spacing w:before="120" w:after="0" w:line="276" w:lineRule="auto"/>
        <w:ind w:firstLine="709"/>
        <w:jc w:val="both"/>
        <w:rPr>
          <w:rFonts w:ascii="Verdana" w:eastAsia="Calibri" w:hAnsi="Verdana" w:cs="Arial"/>
          <w:lang w:eastAsia="es-ES"/>
        </w:rPr>
      </w:pPr>
      <w:r w:rsidRPr="00D21468">
        <w:rPr>
          <w:rFonts w:ascii="Verdana" w:eastAsia="Calibri" w:hAnsi="Verdana" w:cs="Arial"/>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072A77E9" w14:textId="77777777" w:rsidR="00123F6C" w:rsidRPr="00D21468" w:rsidRDefault="00123F6C" w:rsidP="00123F6C">
      <w:pPr>
        <w:spacing w:before="120" w:after="0" w:line="276" w:lineRule="auto"/>
        <w:ind w:firstLine="709"/>
        <w:jc w:val="both"/>
        <w:rPr>
          <w:rFonts w:ascii="Verdana" w:eastAsia="Calibri" w:hAnsi="Verdana" w:cs="Arial"/>
          <w:lang w:eastAsia="es-ES"/>
        </w:rPr>
      </w:pPr>
      <w:r w:rsidRPr="00D21468">
        <w:rPr>
          <w:rFonts w:ascii="Verdana" w:eastAsia="Calibri" w:hAnsi="Verdana" w:cs="Arial"/>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con el problema jurídico de su consulta.  </w:t>
      </w:r>
    </w:p>
    <w:p w14:paraId="0346D813" w14:textId="77777777" w:rsidR="00123F6C" w:rsidRPr="00D21468" w:rsidRDefault="00123F6C" w:rsidP="00123F6C">
      <w:pPr>
        <w:spacing w:after="0"/>
        <w:ind w:firstLine="709"/>
        <w:jc w:val="both"/>
        <w:rPr>
          <w:rFonts w:ascii="Verdana" w:eastAsia="Calibri" w:hAnsi="Verdana" w:cs="Arial"/>
          <w:lang w:eastAsia="es-ES"/>
        </w:rPr>
      </w:pPr>
    </w:p>
    <w:p w14:paraId="4FDC0DBE" w14:textId="77777777" w:rsidR="00123F6C" w:rsidRPr="00D21468" w:rsidRDefault="00123F6C" w:rsidP="00123F6C">
      <w:pPr>
        <w:spacing w:after="0"/>
        <w:ind w:firstLine="709"/>
        <w:jc w:val="both"/>
        <w:rPr>
          <w:rFonts w:ascii="Verdana" w:eastAsia="Calibri" w:hAnsi="Verdana" w:cs="Arial"/>
          <w:lang w:eastAsia="es-ES"/>
        </w:rPr>
      </w:pPr>
    </w:p>
    <w:p w14:paraId="48081EBF" w14:textId="77777777" w:rsidR="00123F6C" w:rsidRPr="007A337D" w:rsidRDefault="00123F6C" w:rsidP="00123F6C">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rPr>
      </w:pPr>
      <w:r w:rsidRPr="007A337D">
        <w:rPr>
          <w:rFonts w:ascii="Verdana" w:eastAsia="Century Gothic" w:hAnsi="Verdana" w:cs="Century Gothic"/>
          <w:b/>
        </w:rPr>
        <w:t>Problema planteado:</w:t>
      </w:r>
    </w:p>
    <w:p w14:paraId="7A90655E" w14:textId="77777777" w:rsidR="00123F6C" w:rsidRPr="007A337D" w:rsidRDefault="00123F6C" w:rsidP="00123F6C">
      <w:pPr>
        <w:spacing w:after="0" w:line="276" w:lineRule="auto"/>
        <w:jc w:val="both"/>
        <w:rPr>
          <w:rFonts w:ascii="Verdana" w:eastAsia="Calibri" w:hAnsi="Verdana" w:cs="Arial"/>
          <w:highlight w:val="yellow"/>
          <w:lang w:eastAsia="es-ES"/>
        </w:rPr>
      </w:pPr>
    </w:p>
    <w:p w14:paraId="108DBB24" w14:textId="77777777" w:rsidR="00123F6C" w:rsidRPr="00746D21" w:rsidRDefault="00123F6C" w:rsidP="00123F6C">
      <w:pPr>
        <w:spacing w:after="0" w:line="276" w:lineRule="auto"/>
        <w:jc w:val="both"/>
        <w:rPr>
          <w:rFonts w:ascii="Verdana" w:eastAsia="Calibri" w:hAnsi="Verdana" w:cs="Arial"/>
          <w:lang w:eastAsia="es-ES"/>
        </w:rPr>
      </w:pPr>
      <w:r w:rsidRPr="007A337D">
        <w:rPr>
          <w:rFonts w:ascii="Verdana" w:eastAsia="Calibri" w:hAnsi="Verdana" w:cs="Arial"/>
          <w:lang w:eastAsia="es-ES"/>
        </w:rPr>
        <w:t xml:space="preserve">De acuerdo con el contenido de su solicitud, esta Agencia resolverá el siguiente problema jurídico: </w:t>
      </w:r>
      <w:r>
        <w:rPr>
          <w:rFonts w:ascii="Verdana" w:eastAsia="Calibri" w:hAnsi="Verdana" w:cs="Arial"/>
          <w:lang w:eastAsia="es-ES"/>
        </w:rPr>
        <w:t xml:space="preserve">I). </w:t>
      </w:r>
      <w:r w:rsidRPr="00910E71">
        <w:rPr>
          <w:rFonts w:ascii="Verdana" w:eastAsia="Century Gothic" w:hAnsi="Verdana" w:cs="Century Gothic"/>
        </w:rPr>
        <w:t>¿cuál es el alcance de la regla de inalterabilidad frente a los formatos de los documentos tipo?</w:t>
      </w:r>
      <w:r>
        <w:rPr>
          <w:rFonts w:ascii="Verdana" w:eastAsia="Century Gothic" w:hAnsi="Verdana" w:cs="Century Gothic"/>
        </w:rPr>
        <w:t xml:space="preserve">, II). </w:t>
      </w:r>
      <w:r w:rsidRPr="007A337D">
        <w:rPr>
          <w:rFonts w:ascii="Verdana" w:eastAsia="Calibri" w:hAnsi="Verdana" w:cs="Arial"/>
          <w:lang w:eastAsia="es-ES"/>
        </w:rPr>
        <w:t xml:space="preserve">¿Qué se debe tener en cuenta para el diligenciamiento del </w:t>
      </w:r>
      <w:r w:rsidRPr="00356235">
        <w:rPr>
          <w:rFonts w:ascii="Verdana" w:eastAsia="Calibri" w:hAnsi="Verdana" w:cs="Arial"/>
          <w:lang w:eastAsia="es-ES"/>
        </w:rPr>
        <w:t>FORMATO 9 – PUNTAJE DE INDUSTRIA NACIONAL</w:t>
      </w:r>
      <w:r w:rsidRPr="007A337D">
        <w:rPr>
          <w:rFonts w:ascii="Verdana" w:eastAsia="Calibri" w:hAnsi="Verdana" w:cs="Arial"/>
          <w:lang w:eastAsia="es-ES"/>
        </w:rPr>
        <w:t>?</w:t>
      </w:r>
      <w:r>
        <w:rPr>
          <w:rFonts w:ascii="Verdana" w:eastAsia="Calibri" w:hAnsi="Verdana" w:cs="Arial"/>
          <w:lang w:eastAsia="es-ES"/>
        </w:rPr>
        <w:t xml:space="preserve"> y III). </w:t>
      </w:r>
      <w:r w:rsidRPr="00746D21">
        <w:rPr>
          <w:rFonts w:ascii="Verdana" w:eastAsia="Calibri" w:hAnsi="Verdana" w:cs="Arial"/>
          <w:lang w:eastAsia="es-ES"/>
        </w:rPr>
        <w:t> </w:t>
      </w:r>
      <w:r w:rsidRPr="00746D21">
        <w:rPr>
          <w:rFonts w:ascii="Verdana" w:eastAsia="Calibri" w:hAnsi="Verdana" w:cs="Arial"/>
          <w:lang w:val="es-ES" w:eastAsia="es-ES"/>
        </w:rPr>
        <w:t xml:space="preserve">¿Pueden las entidades estatales que adelantan procedimientos de selección </w:t>
      </w:r>
      <w:r w:rsidRPr="00746D21">
        <w:rPr>
          <w:rFonts w:ascii="Verdana" w:eastAsia="Calibri" w:hAnsi="Verdana" w:cs="Arial"/>
          <w:lang w:val="es-ES" w:eastAsia="es-ES"/>
        </w:rPr>
        <w:lastRenderedPageBreak/>
        <w:t>con los documentos tipo expedidos por la Agencia Nacional de Contratación Pública – Colombia Compra Eficiente incorporar las previsiones contenidas en el Decreto 287 de 2026 en estos documentos o deben esperar a que la Agencia realice su incorporación? </w:t>
      </w:r>
      <w:r w:rsidRPr="00746D21">
        <w:rPr>
          <w:rFonts w:ascii="Verdana" w:eastAsia="Calibri" w:hAnsi="Verdana" w:cs="Arial"/>
          <w:lang w:eastAsia="es-ES"/>
        </w:rPr>
        <w:t> </w:t>
      </w:r>
    </w:p>
    <w:p w14:paraId="28510E73" w14:textId="77777777" w:rsidR="00123F6C" w:rsidRPr="004B6352" w:rsidRDefault="00123F6C" w:rsidP="00123F6C">
      <w:pPr>
        <w:spacing w:after="0" w:line="276" w:lineRule="auto"/>
        <w:jc w:val="both"/>
        <w:rPr>
          <w:rFonts w:ascii="Verdana" w:eastAsia="Calibri" w:hAnsi="Verdana" w:cs="Arial"/>
          <w:lang w:eastAsia="es-ES"/>
        </w:rPr>
      </w:pPr>
      <w:r w:rsidRPr="00746D21">
        <w:rPr>
          <w:rFonts w:ascii="Verdana" w:eastAsia="Calibri" w:hAnsi="Verdana" w:cs="Arial"/>
          <w:lang w:eastAsia="es-ES"/>
        </w:rPr>
        <w:t> </w:t>
      </w:r>
    </w:p>
    <w:p w14:paraId="48A4185C" w14:textId="77777777" w:rsidR="00123F6C" w:rsidRPr="007A337D" w:rsidRDefault="00123F6C" w:rsidP="00123F6C">
      <w:pPr>
        <w:spacing w:after="0" w:line="276" w:lineRule="auto"/>
        <w:jc w:val="both"/>
        <w:rPr>
          <w:rFonts w:ascii="Verdana" w:eastAsia="Century Gothic" w:hAnsi="Verdana" w:cs="Century Gothic"/>
          <w:b/>
        </w:rPr>
      </w:pPr>
      <w:r w:rsidRPr="007A337D">
        <w:rPr>
          <w:rFonts w:ascii="Verdana" w:eastAsia="Century Gothic" w:hAnsi="Verdana" w:cs="Century Gothic"/>
          <w:b/>
        </w:rPr>
        <w:t>2. Respuesta:</w:t>
      </w:r>
    </w:p>
    <w:p w14:paraId="5A475F4E" w14:textId="77777777" w:rsidR="00123F6C" w:rsidRPr="008E4F36" w:rsidRDefault="00123F6C" w:rsidP="00123F6C">
      <w:pPr>
        <w:tabs>
          <w:tab w:val="left" w:pos="142"/>
          <w:tab w:val="left" w:pos="284"/>
        </w:tabs>
        <w:spacing w:after="0" w:line="276" w:lineRule="auto"/>
        <w:jc w:val="both"/>
        <w:rPr>
          <w:rFonts w:ascii="Verdana" w:eastAsia="Century Gothic" w:hAnsi="Verdana" w:cs="Century Gothic"/>
          <w:b/>
          <w:color w:val="218BFC"/>
        </w:rPr>
      </w:pPr>
    </w:p>
    <w:tbl>
      <w:tblPr>
        <w:tblStyle w:val="Tablaconcuadrcula"/>
        <w:tblW w:w="0" w:type="auto"/>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123F6C" w:rsidRPr="008E4F36" w14:paraId="6AB26E63" w14:textId="77777777" w:rsidTr="008873B2">
        <w:tc>
          <w:tcPr>
            <w:tcW w:w="8828" w:type="dxa"/>
          </w:tcPr>
          <w:p w14:paraId="7F202406" w14:textId="77777777" w:rsidR="00123F6C" w:rsidRPr="00910E71" w:rsidRDefault="00123F6C" w:rsidP="008873B2">
            <w:pPr>
              <w:tabs>
                <w:tab w:val="center" w:pos="4419"/>
                <w:tab w:val="right" w:pos="8838"/>
              </w:tabs>
              <w:snapToGrid w:val="0"/>
              <w:spacing w:after="120" w:line="276" w:lineRule="auto"/>
              <w:jc w:val="both"/>
              <w:rPr>
                <w:rFonts w:ascii="Verdana" w:eastAsia="Calibri" w:hAnsi="Verdana" w:cs="Arial"/>
                <w:color w:val="000000"/>
                <w:lang w:val="es-ES"/>
              </w:rPr>
            </w:pPr>
            <w:r>
              <w:rPr>
                <w:rFonts w:ascii="Verdana" w:hAnsi="Verdana" w:cs="Arial"/>
                <w:color w:val="000000" w:themeColor="text1"/>
                <w:lang w:val="es-ES"/>
              </w:rPr>
              <w:t xml:space="preserve">I). </w:t>
            </w:r>
            <w:r w:rsidRPr="00910E71">
              <w:rPr>
                <w:rFonts w:ascii="Verdana" w:eastAsia="Calibri" w:hAnsi="Verdana" w:cs="Arial"/>
                <w:color w:val="000000"/>
                <w:lang w:val="es-ES"/>
              </w:rPr>
              <w:t xml:space="preserve">Todas las resoluciones expedidas por la Agencia Nacional de Contratación Pública – Colombia Compra Eficiente, mediante las cuales se adoptaron los documentos tipo, consagran la regla de la inalterabilidad. Esta prohibición consiste en que las entidades estatales no pueden incluir o modificar en los </w:t>
            </w:r>
            <w:r w:rsidRPr="00910E71">
              <w:rPr>
                <w:rFonts w:ascii="Verdana" w:eastAsia="Calibri" w:hAnsi="Verdana" w:cs="Arial"/>
                <w:i/>
                <w:iCs/>
                <w:color w:val="000000"/>
                <w:lang w:val="es-ES"/>
              </w:rPr>
              <w:t>Documentos del Proceso</w:t>
            </w:r>
            <w:r w:rsidRPr="00910E71">
              <w:rPr>
                <w:rFonts w:ascii="Verdana" w:eastAsia="Calibri" w:hAnsi="Verdana" w:cs="Arial"/>
                <w:color w:val="000000"/>
                <w:lang w:val="es-ES"/>
              </w:rPr>
              <w:t xml:space="preserve"> las condiciones habilitantes, los factores técnicos y económicos de escogencia y los sistemas de ponderación distintos a los señalados en los documentos tipo. En consecuencia, las condiciones establecidas en los documentos tipo son de obligatorio cumplimiento para las entidades sometidas al Estatuto General de Contratación de la Administración Pública que adelanten procesos que deban regirse por su contenido, y no pueden variarse los requisitos fijados en ellos. Por lo tanto, las entidades estatales, al realizar sus procedimientos de selección, solo podrán modificarlos en los aspectos en que los documentos tipo lo permitan.</w:t>
            </w:r>
          </w:p>
          <w:p w14:paraId="0F130194" w14:textId="77777777" w:rsidR="00123F6C" w:rsidRPr="00910E71" w:rsidRDefault="00123F6C" w:rsidP="008873B2">
            <w:pPr>
              <w:snapToGrid w:val="0"/>
              <w:spacing w:after="120" w:line="276" w:lineRule="auto"/>
              <w:ind w:firstLine="709"/>
              <w:jc w:val="both"/>
              <w:rPr>
                <w:rFonts w:ascii="Verdana" w:eastAsia="Calibri" w:hAnsi="Verdana" w:cs="Arial"/>
                <w:lang w:val="es-ES_tradnl"/>
              </w:rPr>
            </w:pPr>
            <w:r w:rsidRPr="00910E71">
              <w:rPr>
                <w:rFonts w:ascii="Verdana" w:eastAsia="Calibri" w:hAnsi="Verdana" w:cs="Arial"/>
                <w:lang w:val="es-ES_tradnl"/>
              </w:rPr>
              <w:t xml:space="preserve">El fundamento legal vigente de la regla de la inalterabilidad está en el artículo 1 de la Ley 2022 de 2020, según el cual “(…) serán de obligatorio cumplimiento en la actividad contractual de todas las entidades sometidas al Estatuto General de Contratación de la Administración Pública”. En esta línea, las entidades públicas deberán sujetarse de forma irrestricta a las reglas establecidas en los documentos tipo, dispuestas en las diferentes resoluciones expedidas por la Agencia, por lo que no pueden hacer excepciones bajo una supuesta discrecionalidad a estas reglas que son obligatorias. </w:t>
            </w:r>
          </w:p>
          <w:p w14:paraId="673046EE" w14:textId="77777777" w:rsidR="00123F6C" w:rsidRPr="00910E71" w:rsidRDefault="00123F6C" w:rsidP="008873B2">
            <w:pPr>
              <w:snapToGrid w:val="0"/>
              <w:spacing w:after="120" w:line="276" w:lineRule="auto"/>
              <w:ind w:firstLine="709"/>
              <w:jc w:val="both"/>
              <w:rPr>
                <w:rFonts w:ascii="Verdana" w:eastAsia="Calibri" w:hAnsi="Verdana" w:cs="Arial"/>
                <w:lang w:val="es-ES_tradnl"/>
              </w:rPr>
            </w:pPr>
            <w:r w:rsidRPr="00910E71">
              <w:rPr>
                <w:rFonts w:ascii="Verdana" w:eastAsia="Calibri" w:hAnsi="Verdana" w:cs="Arial"/>
                <w:lang w:val="es-ES_tradnl"/>
              </w:rPr>
              <w:t xml:space="preserve">La inalterabilidad de los documentos tipo es una manifestación en mayor grado de las potestades regladas, lo cual implica una reducción de la discrecionalidad de la Administración en el momento de tomar una decisión en el proceso de contratación. Cada entidad pública sujeta a los documentos tipo deberá hacer una aplicación o constatación irrestricta de las reglas y condiciones dispuestas en estos, salvo que las mismas posibilitan la discrecionalidad en determinados aspectos. </w:t>
            </w:r>
          </w:p>
          <w:p w14:paraId="421E1332" w14:textId="77777777" w:rsidR="00123F6C" w:rsidRPr="00910E71" w:rsidRDefault="00123F6C" w:rsidP="008873B2">
            <w:pPr>
              <w:snapToGrid w:val="0"/>
              <w:spacing w:after="120" w:line="276" w:lineRule="auto"/>
              <w:ind w:firstLine="709"/>
              <w:jc w:val="both"/>
              <w:rPr>
                <w:rFonts w:ascii="Verdana" w:eastAsia="Calibri" w:hAnsi="Verdana" w:cs="Arial"/>
                <w:lang w:val="es-ES"/>
              </w:rPr>
            </w:pPr>
            <w:r w:rsidRPr="00910E71">
              <w:rPr>
                <w:rFonts w:ascii="Verdana" w:eastAsia="Calibri" w:hAnsi="Verdana" w:cs="Arial"/>
                <w:lang w:val="es-ES"/>
              </w:rPr>
              <w:lastRenderedPageBreak/>
              <w:t xml:space="preserve">Además, las entidades estatales deben garantizar el </w:t>
            </w:r>
            <w:r w:rsidRPr="00910E71">
              <w:rPr>
                <w:rFonts w:ascii="Verdana" w:eastAsia="Calibri" w:hAnsi="Verdana" w:cs="Arial"/>
                <w:i/>
                <w:iCs/>
                <w:lang w:val="es-ES"/>
              </w:rPr>
              <w:t>principio de economía</w:t>
            </w:r>
            <w:r w:rsidRPr="00910E71">
              <w:rPr>
                <w:rFonts w:ascii="Verdana" w:eastAsia="Calibri" w:hAnsi="Verdana" w:cs="Arial"/>
                <w:lang w:val="es-ES"/>
              </w:rPr>
              <w:t>, del cual se desprende que no pueden exigir documentos o requisitos más allá de los que permitan la Constitución, la ley y los reglamentos. Este postulado ha sido recogido no solo en la contratación estatal sino además en la normativa antitrámites; pues se inscribe dentro de la tendencia de simplificación y racionalización de los procedimientos administrativos. De ahí que cuando las autoridades solicitan la entrega de documentación innecesaria, desconocen el principio de economía.</w:t>
            </w:r>
          </w:p>
          <w:p w14:paraId="16D32CE0" w14:textId="77777777" w:rsidR="00123F6C" w:rsidRPr="00910E71" w:rsidRDefault="00123F6C" w:rsidP="008873B2">
            <w:pPr>
              <w:snapToGrid w:val="0"/>
              <w:spacing w:after="120" w:line="276" w:lineRule="auto"/>
              <w:ind w:firstLine="708"/>
              <w:jc w:val="both"/>
              <w:rPr>
                <w:rFonts w:ascii="Verdana" w:eastAsia="Calibri" w:hAnsi="Verdana" w:cs="Arial"/>
                <w:color w:val="000000"/>
                <w:lang w:val="es-ES"/>
              </w:rPr>
            </w:pPr>
            <w:r w:rsidRPr="00910E71">
              <w:rPr>
                <w:rFonts w:ascii="Verdana" w:eastAsia="Calibri" w:hAnsi="Verdana" w:cs="Arial"/>
                <w:color w:val="000000"/>
                <w:lang w:val="es-ES"/>
              </w:rPr>
              <w:t>Otro aspecto sobre el principio que inalterabilidad que debe destacarse es que, sin mínimos inalterables, los documentos tipo, estándar o normalizados, sencillamente, perderían sus características. Bajo riesgo de señalar una obviedad, se debe decir que la definición del término estándar es “Que sirve como tipo, modelo, norma, patrón o referencia”</w:t>
            </w:r>
            <w:r w:rsidRPr="00910E71">
              <w:rPr>
                <w:rFonts w:ascii="Verdana" w:eastAsia="Calibri" w:hAnsi="Verdana" w:cs="Arial"/>
                <w:color w:val="000000"/>
                <w:vertAlign w:val="superscript"/>
                <w:lang w:val="es-ES"/>
              </w:rPr>
              <w:footnoteReference w:id="2"/>
            </w:r>
            <w:r w:rsidRPr="00910E71">
              <w:rPr>
                <w:rFonts w:ascii="Verdana" w:eastAsia="Calibri" w:hAnsi="Verdana" w:cs="Arial"/>
                <w:color w:val="000000"/>
                <w:lang w:val="es-ES"/>
              </w:rPr>
              <w:t xml:space="preserve">. Si las autoridades pudiesen agregar, eliminar o modificar todos y cada uno de los aspectos contenidos en los pliegos tipo, estos documentos, llanamente, no podrían ser llamados pliegos tipo. </w:t>
            </w:r>
          </w:p>
          <w:p w14:paraId="3E6D3A55" w14:textId="77777777" w:rsidR="00123F6C" w:rsidRPr="00910E71" w:rsidRDefault="00123F6C" w:rsidP="008873B2">
            <w:pPr>
              <w:snapToGrid w:val="0"/>
              <w:spacing w:after="120" w:line="276" w:lineRule="auto"/>
              <w:ind w:firstLine="708"/>
              <w:jc w:val="both"/>
              <w:rPr>
                <w:rFonts w:ascii="Verdana" w:eastAsia="Calibri" w:hAnsi="Verdana" w:cs="Arial"/>
                <w:color w:val="000000"/>
                <w:lang w:val="es-ES"/>
              </w:rPr>
            </w:pPr>
            <w:r w:rsidRPr="00910E71">
              <w:rPr>
                <w:rFonts w:ascii="Verdana" w:eastAsia="Calibri" w:hAnsi="Verdana" w:cs="Arial"/>
                <w:lang w:val="es-MX"/>
              </w:rPr>
              <w:t xml:space="preserve">La parte introductoria de los documentos base de los documentos tipo disponen que los aspectos incluidos en corchetes y resaltados en gris </w:t>
            </w:r>
            <w:r w:rsidRPr="00910E71">
              <w:rPr>
                <w:rFonts w:ascii="Verdana" w:eastAsia="Aptos" w:hAnsi="Verdana" w:cs="Arial"/>
              </w:rPr>
              <w:t>–[</w:t>
            </w:r>
            <w:r w:rsidRPr="00910E71">
              <w:rPr>
                <w:rFonts w:ascii="Verdana" w:eastAsia="Aptos" w:hAnsi="Verdana" w:cs="Arial"/>
                <w:highlight w:val="lightGray"/>
              </w:rPr>
              <w:t>texto de ejemplo</w:t>
            </w:r>
            <w:r w:rsidRPr="00910E71">
              <w:rPr>
                <w:rFonts w:ascii="Verdana" w:eastAsia="Aptos" w:hAnsi="Verdana" w:cs="Arial"/>
              </w:rPr>
              <w:t xml:space="preserve">]– </w:t>
            </w:r>
            <w:r w:rsidRPr="00910E71">
              <w:rPr>
                <w:rFonts w:ascii="Verdana" w:eastAsia="Calibri" w:hAnsi="Verdana" w:cs="Arial"/>
                <w:lang w:val="es-MX"/>
              </w:rPr>
              <w:t xml:space="preserve">deben ser diligenciados por la entidad. Excepcionalmente le corresponde al proponente consignar la información incluida en corchetes y resaltada en gris, como, por ejemplo, los formatos que requieren de la firma del proponente o su representante legal. De todos modos, en cada acápite que esté resaltado en gris la entidad tendrá la libertad de determinar la información que se diligenciará en los documentos tipo, de acuerdo con su necesidad y las instrucciones de los mismos documentos tipo. </w:t>
            </w:r>
          </w:p>
          <w:p w14:paraId="7F63A81D" w14:textId="77777777" w:rsidR="00123F6C" w:rsidRPr="00910E71" w:rsidRDefault="00123F6C" w:rsidP="008873B2">
            <w:pPr>
              <w:spacing w:line="276" w:lineRule="auto"/>
              <w:ind w:firstLine="709"/>
              <w:jc w:val="both"/>
              <w:rPr>
                <w:rFonts w:ascii="Verdana" w:eastAsia="Calibri" w:hAnsi="Verdana" w:cs="Arial"/>
                <w:bCs/>
                <w:lang w:val="es-MX"/>
              </w:rPr>
            </w:pPr>
            <w:r w:rsidRPr="00910E71">
              <w:rPr>
                <w:rFonts w:ascii="Verdana" w:eastAsia="Calibri" w:hAnsi="Verdana" w:cs="Arial"/>
                <w:bCs/>
                <w:lang w:val="es-MX"/>
              </w:rPr>
              <w:t>En suma, la regla general frente la aplicación de los documentos tipo es su inalterabilidad, y no podrán incluirse o modificarse en los documentos del proceso las condiciones habilitantes, los factores técnicos y económicos de escogencia y los sistemas de ponderación distintos a los señalados en los documentos tipo. En tal sentido, estos solo se podrán modificar respecto a aquellos contenidos que el mismo documento tipo lo permita.</w:t>
            </w:r>
          </w:p>
          <w:p w14:paraId="2D356D8D" w14:textId="77777777" w:rsidR="00123F6C" w:rsidRPr="00E873B0" w:rsidRDefault="00123F6C" w:rsidP="008873B2">
            <w:pPr>
              <w:spacing w:before="120" w:after="120" w:line="276" w:lineRule="auto"/>
              <w:ind w:firstLine="709"/>
              <w:jc w:val="both"/>
              <w:rPr>
                <w:rFonts w:ascii="Verdana" w:eastAsia="Calibri" w:hAnsi="Verdana" w:cs="Arial"/>
                <w:bCs/>
                <w:lang w:val="es-MX"/>
              </w:rPr>
            </w:pPr>
            <w:r w:rsidRPr="00910E71">
              <w:rPr>
                <w:rFonts w:ascii="Verdana" w:eastAsia="Calibri" w:hAnsi="Verdana" w:cs="Arial"/>
                <w:bCs/>
                <w:lang w:val="es-MX"/>
              </w:rPr>
              <w:lastRenderedPageBreak/>
              <w:t xml:space="preserve">Esta regla de inalterabilidad </w:t>
            </w:r>
            <w:r w:rsidRPr="00910E71">
              <w:rPr>
                <w:rFonts w:ascii="Verdana" w:eastAsia="Calibri" w:hAnsi="Verdana" w:cs="Arial"/>
                <w:bCs/>
                <w:i/>
                <w:iCs/>
                <w:lang w:val="es-MX"/>
              </w:rPr>
              <w:t>también aplica a los formatos, formularios, anexos y matrices</w:t>
            </w:r>
            <w:r w:rsidRPr="00910E71">
              <w:rPr>
                <w:rFonts w:ascii="Verdana" w:eastAsia="Calibri" w:hAnsi="Verdana" w:cs="Arial"/>
                <w:bCs/>
                <w:lang w:val="es-MX"/>
              </w:rPr>
              <w:t xml:space="preserve"> implementados junto con el “Documento Base”, los cuales deben usarse en el procedimiento de contratación. Estos, al igual que el “Documento Base”, contienen apartes entre corchetes y resaltados en gris, los cuales deben ser diligenciados por la entidad, al igual que otros aspectos relativos a información que debe ser completada por los oferentes al hacer uso del formato. </w:t>
            </w:r>
            <w:r>
              <w:rPr>
                <w:rFonts w:ascii="Verdana" w:eastAsia="Calibri" w:hAnsi="Verdana" w:cs="Arial"/>
                <w:bCs/>
                <w:lang w:val="es-MX"/>
              </w:rPr>
              <w:t xml:space="preserve"> </w:t>
            </w:r>
          </w:p>
          <w:p w14:paraId="75B88E37" w14:textId="77777777" w:rsidR="00123F6C" w:rsidRPr="00D32EEB" w:rsidRDefault="00123F6C" w:rsidP="008873B2">
            <w:pPr>
              <w:spacing w:after="120" w:line="276" w:lineRule="auto"/>
              <w:jc w:val="both"/>
              <w:rPr>
                <w:rFonts w:ascii="Verdana" w:hAnsi="Verdana" w:cs="Arial"/>
                <w:color w:val="000000" w:themeColor="text1"/>
              </w:rPr>
            </w:pPr>
            <w:r w:rsidRPr="00D32EEB">
              <w:rPr>
                <w:rFonts w:ascii="Verdana" w:hAnsi="Verdana" w:cs="Arial"/>
                <w:color w:val="000000" w:themeColor="text1"/>
                <w:lang w:val="es-ES"/>
              </w:rPr>
              <w:t>II). Para el diligenciamiento del FORMATO 9A – Promoción de Servicios Nacionales o con Trato Nacional, se deben tener en cuenta, de manera general, los siguientes aspectos:</w:t>
            </w:r>
          </w:p>
          <w:p w14:paraId="4434C592" w14:textId="77777777" w:rsidR="00123F6C" w:rsidRPr="00D32EEB" w:rsidRDefault="00123F6C" w:rsidP="008873B2">
            <w:pPr>
              <w:spacing w:after="120" w:line="276" w:lineRule="auto"/>
              <w:ind w:firstLine="709"/>
              <w:jc w:val="both"/>
              <w:rPr>
                <w:rFonts w:ascii="Verdana" w:hAnsi="Verdana" w:cs="Arial"/>
                <w:color w:val="000000" w:themeColor="text1"/>
                <w:lang w:val="es-ES"/>
              </w:rPr>
            </w:pPr>
            <w:r w:rsidRPr="00D32EEB">
              <w:rPr>
                <w:rFonts w:ascii="Verdana" w:hAnsi="Verdana" w:cs="Arial"/>
                <w:color w:val="000000" w:themeColor="text1"/>
                <w:lang w:val="es-ES"/>
              </w:rPr>
              <w:t>En primer lugar, es importante considerar que este formato hace parte integral de la oferta y su diligenciamiento es obligatorio únicamente para aquellos proponentes que decidan optar por el puntaje de apoyo a la industria nacional, ya sea mediante la prestación de Servicios Nacionales o Servicios con Trato Nacional. En consecuencia, la información allí consignada debe ser clara, completa y coherente con los demás documentos que integran la propuesta.</w:t>
            </w:r>
          </w:p>
          <w:p w14:paraId="378C59F7" w14:textId="77777777" w:rsidR="00123F6C" w:rsidRPr="00D32EEB" w:rsidRDefault="00123F6C" w:rsidP="008873B2">
            <w:pPr>
              <w:spacing w:after="120" w:line="276" w:lineRule="auto"/>
              <w:ind w:firstLine="709"/>
              <w:jc w:val="both"/>
              <w:rPr>
                <w:rFonts w:ascii="Verdana" w:hAnsi="Verdana" w:cs="Arial"/>
                <w:color w:val="000000" w:themeColor="text1"/>
                <w:lang w:val="es-ES"/>
              </w:rPr>
            </w:pPr>
            <w:r w:rsidRPr="00D32EEB">
              <w:rPr>
                <w:rFonts w:ascii="Verdana" w:hAnsi="Verdana" w:cs="Arial"/>
                <w:color w:val="000000" w:themeColor="text1"/>
                <w:lang w:val="es-ES"/>
              </w:rPr>
              <w:t>Adicionalmente, el proponente deberá identificar correctamente la opción aplicable, atendiendo a las condiciones definidas por la Entidad Estatal en el Pliego de Condiciones y en el Documento Base, teniendo en cuenta la naturaleza del proponente —</w:t>
            </w:r>
            <w:r w:rsidRPr="00D32EEB">
              <w:rPr>
                <w:rFonts w:ascii="Verdana" w:hAnsi="Verdana" w:cs="Arial"/>
                <w:i/>
                <w:iCs/>
                <w:color w:val="000000" w:themeColor="text1"/>
              </w:rPr>
              <w:t xml:space="preserve"> </w:t>
            </w:r>
            <w:r w:rsidRPr="00D32EEB">
              <w:rPr>
                <w:rFonts w:ascii="Verdana" w:hAnsi="Verdana" w:cs="Arial"/>
                <w:i/>
                <w:iCs/>
                <w:color w:val="000000" w:themeColor="text1"/>
                <w:lang w:val="es-ES"/>
              </w:rPr>
              <w:t xml:space="preserve">nacional, extranjero con derecho a trato nacional o proponente plural </w:t>
            </w:r>
            <w:r w:rsidRPr="00D32EEB">
              <w:rPr>
                <w:rFonts w:ascii="Verdana" w:hAnsi="Verdana" w:cs="Arial"/>
                <w:i/>
                <w:iCs/>
                <w:color w:val="000000" w:themeColor="text1"/>
              </w:rPr>
              <w:t>—</w:t>
            </w:r>
            <w:r w:rsidRPr="00D32EEB">
              <w:rPr>
                <w:color w:val="000000" w:themeColor="text1"/>
                <w:lang w:val="es-ES"/>
              </w:rPr>
              <w:t xml:space="preserve"> </w:t>
            </w:r>
            <w:r w:rsidRPr="00D32EEB">
              <w:rPr>
                <w:rFonts w:ascii="Verdana" w:hAnsi="Verdana" w:cs="Arial"/>
                <w:color w:val="000000" w:themeColor="text1"/>
                <w:lang w:val="es-ES"/>
              </w:rPr>
              <w:t>y la existencia o no de bienes nacionales relevantes en el Registro de Productores de Bienes Nacionales.</w:t>
            </w:r>
          </w:p>
          <w:p w14:paraId="1E643019" w14:textId="77777777" w:rsidR="00123F6C" w:rsidRPr="00D32EEB" w:rsidRDefault="00123F6C" w:rsidP="008873B2">
            <w:pPr>
              <w:spacing w:after="120" w:line="276" w:lineRule="auto"/>
              <w:ind w:firstLine="709"/>
              <w:jc w:val="both"/>
              <w:rPr>
                <w:rFonts w:ascii="Verdana" w:hAnsi="Verdana" w:cs="Arial"/>
                <w:color w:val="000000" w:themeColor="text1"/>
                <w:lang w:val="es-ES"/>
              </w:rPr>
            </w:pPr>
            <w:r w:rsidRPr="00D32EEB">
              <w:rPr>
                <w:rFonts w:ascii="Verdana" w:hAnsi="Verdana" w:cs="Arial"/>
                <w:color w:val="000000" w:themeColor="text1"/>
                <w:lang w:val="es-ES"/>
              </w:rPr>
              <w:t>Asimismo, se debe verificar que los soportes exigidos para cada opción se adjunten de manera oportuna junto con el formato, tales como certificaciones, documentos de acreditación de la nacionalidad del personal, registros de bienes nacionales relevantes o documentos que acrediten el origen de los servicios, según corresponda. Estos documentos serán determinantes para la validación del puntaje solicitado.</w:t>
            </w:r>
          </w:p>
          <w:p w14:paraId="049600FC" w14:textId="77777777" w:rsidR="00123F6C" w:rsidRPr="00D32EEB" w:rsidRDefault="00123F6C" w:rsidP="008873B2">
            <w:pPr>
              <w:spacing w:after="120" w:line="276" w:lineRule="auto"/>
              <w:ind w:firstLine="709"/>
              <w:jc w:val="both"/>
              <w:rPr>
                <w:rFonts w:ascii="Verdana" w:hAnsi="Verdana" w:cs="Arial"/>
                <w:color w:val="000000" w:themeColor="text1"/>
                <w:lang w:val="es-ES"/>
              </w:rPr>
            </w:pPr>
            <w:r w:rsidRPr="00D32EEB">
              <w:rPr>
                <w:rFonts w:ascii="Verdana" w:hAnsi="Verdana" w:cs="Arial"/>
                <w:color w:val="000000" w:themeColor="text1"/>
                <w:lang w:val="es-ES"/>
              </w:rPr>
              <w:t xml:space="preserve">Finalmente, el proponente debe tener presente que la información declarada en el Formato 9A se entiende rendida bajo la gravedad del juramento y que su cumplimiento será objeto de verificación durante la ejecución del contrato, por parte de la interventoría o supervisión. Cualquier inconsistencia, omisión o incumplimiento podrá dar lugar a la pérdida del </w:t>
            </w:r>
            <w:r w:rsidRPr="00D32EEB">
              <w:rPr>
                <w:rFonts w:ascii="Verdana" w:hAnsi="Verdana" w:cs="Arial"/>
                <w:color w:val="000000" w:themeColor="text1"/>
                <w:lang w:val="es-ES"/>
              </w:rPr>
              <w:lastRenderedPageBreak/>
              <w:t>puntaje otorgado y a las demás consecuencias previstas en la normativa aplicable y en los documentos del proceso de contratación.</w:t>
            </w:r>
          </w:p>
          <w:p w14:paraId="09B0651E" w14:textId="77777777" w:rsidR="00123F6C" w:rsidRDefault="00123F6C" w:rsidP="008873B2">
            <w:pPr>
              <w:spacing w:after="120" w:line="276" w:lineRule="auto"/>
              <w:ind w:firstLine="709"/>
              <w:jc w:val="both"/>
              <w:rPr>
                <w:rFonts w:ascii="Verdana" w:hAnsi="Verdana" w:cs="Arial"/>
                <w:color w:val="00B0F0"/>
                <w:lang w:val="es-ES"/>
              </w:rPr>
            </w:pPr>
          </w:p>
          <w:p w14:paraId="4F23F1C3" w14:textId="77777777" w:rsidR="00123F6C" w:rsidRPr="008D5BDE" w:rsidRDefault="00123F6C" w:rsidP="008873B2">
            <w:pPr>
              <w:spacing w:after="120" w:line="276" w:lineRule="auto"/>
              <w:jc w:val="both"/>
              <w:rPr>
                <w:rFonts w:ascii="Verdana" w:hAnsi="Verdana" w:cs="Arial"/>
                <w:color w:val="000000" w:themeColor="text1"/>
                <w:lang w:val="es-ES"/>
              </w:rPr>
            </w:pPr>
            <w:r w:rsidRPr="008D5BDE">
              <w:rPr>
                <w:rFonts w:ascii="Verdana" w:hAnsi="Verdana" w:cs="Arial"/>
                <w:color w:val="000000" w:themeColor="text1"/>
                <w:lang w:val="es-ES"/>
              </w:rPr>
              <w:t>III). Las resoluciones expedidas por la Agencia Nacional de Contratación Pública – Colombia Compra Eficiente, mediante las cuales se adoptaron los documentos tipo, consagran la regla de la inalterabilidad. Esta prohibición consiste en que las entidades estatales no pueden incluir o modificar en los Documentos del Proceso las condiciones habilitantes, los factores técnicos y económicos de escogencia y los sistemas de ponderación distintos a los señalados en los documentos tipo. En consecuencia, las condiciones establecidas en los documentos tipo son de obligatorio cumplimiento para las entidades sometidas al Estatuto General de Contratación de la Administración Pública que adelanten procesos que deban regirse por su contenido, y no pueden variarse los requisitos fijados en ellos. Por lo tanto, las entidades estatales, al realizar sus procedimientos de selección, solo podrán modificarlos en los aspectos en que los documentos tipo lo permitan.</w:t>
            </w:r>
          </w:p>
          <w:p w14:paraId="30FE92B8" w14:textId="77777777" w:rsidR="00123F6C" w:rsidRPr="00D32EEB" w:rsidRDefault="00123F6C" w:rsidP="008873B2">
            <w:pPr>
              <w:spacing w:after="120" w:line="276" w:lineRule="auto"/>
              <w:ind w:firstLine="709"/>
              <w:jc w:val="both"/>
              <w:rPr>
                <w:rFonts w:ascii="Verdana" w:hAnsi="Verdana" w:cs="Arial"/>
                <w:color w:val="000000" w:themeColor="text1"/>
                <w:lang w:val="es-ES"/>
              </w:rPr>
            </w:pPr>
            <w:r w:rsidRPr="00D32EEB">
              <w:rPr>
                <w:rFonts w:ascii="Verdana" w:hAnsi="Verdana" w:cs="Arial"/>
                <w:color w:val="000000" w:themeColor="text1"/>
                <w:lang w:val="es-ES"/>
              </w:rPr>
              <w:t>La existencia de mínimos inalterables resulta esencial para preservar la naturaleza misma de los documentos tipo como instrumentos estandarizados de contratación. Permitir que las entidades estatales agreguen, eliminen o modifiquen libremente las condiciones previstas en estos documentos desnaturalizaría su función y frustraría los objetivos perseguidos por el legislador. En efecto, la posibilidad de rediseñar integralmente los pliegos afectaría la uniformidad, transparencia y selección objetiva del sistema de compras públicas, además de propiciar el retorno de prácticas que precisamente se buscó eliminar, como la elaboración de “pliegos sastre”, que restringen la competencia y favorecen interpretaciones subjetivas o sesgadas.</w:t>
            </w:r>
          </w:p>
          <w:p w14:paraId="314F5E42" w14:textId="77777777" w:rsidR="00123F6C" w:rsidRPr="00D32EEB" w:rsidRDefault="00123F6C" w:rsidP="008873B2">
            <w:pPr>
              <w:spacing w:after="120" w:line="276" w:lineRule="auto"/>
              <w:ind w:firstLine="709"/>
              <w:jc w:val="both"/>
              <w:rPr>
                <w:rFonts w:ascii="Verdana" w:hAnsi="Verdana" w:cs="Arial"/>
                <w:color w:val="000000" w:themeColor="text1"/>
                <w:lang w:val="es-ES"/>
              </w:rPr>
            </w:pPr>
            <w:r w:rsidRPr="00D32EEB">
              <w:rPr>
                <w:rFonts w:ascii="Verdana" w:hAnsi="Verdana" w:cs="Arial"/>
                <w:color w:val="000000" w:themeColor="text1"/>
                <w:lang w:val="es-ES"/>
              </w:rPr>
              <w:t xml:space="preserve">No obstante, la parte introductoria de los documentos base de los documentos tipo disponen que los aspectos incluidos en corchetes y resaltados en gris –[texto de ejemplo]– deben ser diligenciados por la entidad. Excepcionalmente le corresponde al proponente consignar la información incluida en corchetes y resaltada en gris, como, por ejemplo, los formatos que requieren de la firma del proponente o su representante legal. De todos modos, en cada acápite que esté resaltado en gris la entidad tendrá la libertad </w:t>
            </w:r>
            <w:r w:rsidRPr="00D32EEB">
              <w:rPr>
                <w:rFonts w:ascii="Verdana" w:hAnsi="Verdana" w:cs="Arial"/>
                <w:color w:val="000000" w:themeColor="text1"/>
                <w:lang w:val="es-ES"/>
              </w:rPr>
              <w:lastRenderedPageBreak/>
              <w:t xml:space="preserve">de determinar la información que se diligenciará en los documentos tipo, de acuerdo con su necesidad y las instrucciones de los mismos documentos tipo. </w:t>
            </w:r>
          </w:p>
          <w:p w14:paraId="4CDFD368" w14:textId="77777777" w:rsidR="00123F6C" w:rsidRPr="00D32EEB" w:rsidRDefault="00123F6C" w:rsidP="008873B2">
            <w:pPr>
              <w:spacing w:after="120" w:line="276" w:lineRule="auto"/>
              <w:ind w:firstLine="709"/>
              <w:jc w:val="both"/>
              <w:rPr>
                <w:rFonts w:ascii="Verdana" w:hAnsi="Verdana" w:cs="Arial"/>
                <w:color w:val="000000" w:themeColor="text1"/>
                <w:lang w:val="es-ES"/>
              </w:rPr>
            </w:pPr>
            <w:r w:rsidRPr="00D32EEB">
              <w:rPr>
                <w:rFonts w:ascii="Verdana" w:hAnsi="Verdana" w:cs="Arial"/>
                <w:color w:val="000000" w:themeColor="text1"/>
                <w:lang w:val="es-ES"/>
              </w:rPr>
              <w:t>Considerando lo anterior, si bien es cierto que, el Decreto 287 de 2026 establece que rige a partir del día siguiente a su publicación, lo que determina su vigencia inmediata, su aplicación en el ámbito de los procesos sometidos a documentos tipo debe interpretarse de manera sistemática y armónica con el régimen legal que regula dichos instrumentos, esto es, lo señalado en el artículo 1 de la Ley 2022 de 2020 y su desarrollo reglamentario a través de cada una de las Resoluciones expedidas por la Agencia Nacional de Contratación Pública – Colombia Compra Eficiente mediante las cuales, se han implementados documentos tipo. En efecto, dado que los documentos tipo contienen de manera obligatoria los requisitos habilitantes, los factores de evaluación y los criterios de escogencia, las entidades estatales no cuentan con competencia para modificarlos o complementarlos de manera autónoma con el fin de incorporar directamente las disposiciones del Decreto en mención.</w:t>
            </w:r>
          </w:p>
          <w:p w14:paraId="41BE16EC" w14:textId="77777777" w:rsidR="00123F6C" w:rsidRPr="00D32EEB" w:rsidRDefault="00123F6C" w:rsidP="008873B2">
            <w:pPr>
              <w:spacing w:after="120" w:line="276" w:lineRule="auto"/>
              <w:ind w:firstLine="709"/>
              <w:jc w:val="both"/>
              <w:rPr>
                <w:rFonts w:ascii="Verdana" w:hAnsi="Verdana" w:cs="Arial"/>
                <w:color w:val="000000" w:themeColor="text1"/>
                <w:lang w:val="es-ES"/>
              </w:rPr>
            </w:pPr>
            <w:r w:rsidRPr="00D32EEB">
              <w:rPr>
                <w:rFonts w:ascii="Verdana" w:hAnsi="Verdana" w:cs="Arial"/>
                <w:color w:val="000000" w:themeColor="text1"/>
                <w:lang w:val="es-ES"/>
              </w:rPr>
              <w:t>Permitir que cada entidad introduzca ajustes a los documentos tipo para dar aplicación inmediata al Decreto 287 de 2026 implicaría desconocer la competencia exclusiva atribuida por el legislador a la Agencia Nacional de Contratación Pública – Colombia Compra Eficiente mediante la expedición de la Ley 2022 de 2020, así como la regla de inalterabilidad que rige estos documentos. Además, generaría una fragmentación del sistema de compra pública, afectando los principios de igualdad, transparencia y selección objetiva, en la medida en que procesos contractuales similares podrían regirse por condiciones distintas, dependiendo de la entidad que los adelante y la forma como incorporó las previsiones contenidas en el Decreto 287 de 2026 a los procesos de selección regidos por documentos tipo.</w:t>
            </w:r>
          </w:p>
          <w:p w14:paraId="348222EB" w14:textId="77777777" w:rsidR="00123F6C" w:rsidRPr="00D32EEB" w:rsidRDefault="00123F6C" w:rsidP="008873B2">
            <w:pPr>
              <w:spacing w:after="120" w:line="276" w:lineRule="auto"/>
              <w:ind w:firstLine="709"/>
              <w:jc w:val="both"/>
              <w:rPr>
                <w:rFonts w:ascii="Verdana" w:hAnsi="Verdana" w:cs="Arial"/>
                <w:color w:val="000000" w:themeColor="text1"/>
                <w:lang w:val="es-ES"/>
              </w:rPr>
            </w:pPr>
            <w:r w:rsidRPr="00D32EEB">
              <w:rPr>
                <w:rFonts w:ascii="Verdana" w:hAnsi="Verdana" w:cs="Arial"/>
                <w:color w:val="000000" w:themeColor="text1"/>
                <w:lang w:val="es-ES"/>
              </w:rPr>
              <w:t xml:space="preserve">Desde una perspectiva técnica, los documentos tipo constituyen un sistema integral y articulado, en el cual los requisitos habilitantes, los factores de evaluación y las condiciones contractuales se encuentran interrelacionados. En consecuencia, la incorporación aislada de modificaciones podría generar inconsistencias o desajustes en su aplicación, afectando la coherencia del proceso contractual. Por esta razón, la Ley 2022 de 2020 prevé que su adopción y actualización se realice mediante procedimientos estructurados, coordinados y participativos, a cargo de la Agencia Nacional de Contratación Pública – Colombia Compra Eficiente, quien cuenta con la capacidad técnica </w:t>
            </w:r>
            <w:r w:rsidRPr="00D32EEB">
              <w:rPr>
                <w:rFonts w:ascii="Verdana" w:hAnsi="Verdana" w:cs="Arial"/>
                <w:color w:val="000000" w:themeColor="text1"/>
                <w:lang w:val="es-ES"/>
              </w:rPr>
              <w:lastRenderedPageBreak/>
              <w:t xml:space="preserve">para garantizar la adecuada integración de las nuevas disposiciones, como por ejemplo el Decreto 287 de 2026. </w:t>
            </w:r>
          </w:p>
          <w:p w14:paraId="7F825A46" w14:textId="77777777" w:rsidR="00123F6C" w:rsidRPr="00D32EEB" w:rsidRDefault="00123F6C" w:rsidP="008873B2">
            <w:pPr>
              <w:spacing w:after="120" w:line="276" w:lineRule="auto"/>
              <w:ind w:firstLine="709"/>
              <w:jc w:val="both"/>
              <w:rPr>
                <w:rFonts w:ascii="Verdana" w:hAnsi="Verdana" w:cs="Arial"/>
                <w:color w:val="000000" w:themeColor="text1"/>
                <w:lang w:val="es-ES"/>
              </w:rPr>
            </w:pPr>
            <w:r w:rsidRPr="00D32EEB">
              <w:rPr>
                <w:rFonts w:ascii="Verdana" w:hAnsi="Verdana" w:cs="Arial"/>
                <w:color w:val="000000" w:themeColor="text1"/>
                <w:lang w:val="es-ES"/>
              </w:rPr>
              <w:t xml:space="preserve">En este sentido, el propio Decreto 287 de 2026 reconoce dicha necesidad al establecer, mediante la modificación del artículo 2.2.1.2.4.2.7.8 del Decreto 1082 de 2015, que la Agencia Nacional de Contratación Pública – Colombia Compra Eficiente “(…) garantizará la adopción permanente de las acciones necesarias para que las medidas señaladas en esta subsección se incorporen a los documentos e instrumentos que genera”, lo cual confirma que la operatividad de dichas disposiciones en el ámbito de los documentos tipo depende de su desarrollo por parte de esta entidad. </w:t>
            </w:r>
          </w:p>
          <w:p w14:paraId="46CE2584" w14:textId="77777777" w:rsidR="00123F6C" w:rsidRPr="00D32EEB" w:rsidRDefault="00123F6C" w:rsidP="008873B2">
            <w:pPr>
              <w:spacing w:after="120" w:line="276" w:lineRule="auto"/>
              <w:ind w:firstLine="709"/>
              <w:jc w:val="both"/>
              <w:rPr>
                <w:rFonts w:ascii="Verdana" w:hAnsi="Verdana" w:cs="Arial"/>
                <w:color w:val="000000" w:themeColor="text1"/>
                <w:lang w:val="es-ES"/>
              </w:rPr>
            </w:pPr>
            <w:r w:rsidRPr="00D32EEB">
              <w:rPr>
                <w:rFonts w:ascii="Verdana" w:hAnsi="Verdana" w:cs="Arial"/>
                <w:color w:val="000000" w:themeColor="text1"/>
                <w:lang w:val="es-ES"/>
              </w:rPr>
              <w:t>En consecuencia, aunque de acuerdo con el artículo 2 del Decreto 287 de 2026, este “(…) rige a partir del día siguiente a su publicación (…)”, su aplicación en los procesos contracción regidos por documentos tipo se encuentra condicionada a su incorporación formal en dichos instrumentos por parte de la Agencia Nacional de Contratación Pública – Colombia Compra Eficiente. Así, solo a partir de dicha incorporación mediante la modificación a los documentos tipo, es posible garantizar una aplicación uniforme, coherente y jurídicamente válida de las medidas afirmativas previstas, sin desconocer la distribución de competencias establecida por el legislador ni la estructura normativa del sistema de compras y contratación pública.</w:t>
            </w:r>
          </w:p>
          <w:p w14:paraId="6D821CFB" w14:textId="77777777" w:rsidR="00123F6C" w:rsidRPr="00D32EEB" w:rsidRDefault="00123F6C" w:rsidP="008873B2">
            <w:pPr>
              <w:spacing w:after="120" w:line="276" w:lineRule="auto"/>
              <w:ind w:firstLine="709"/>
              <w:jc w:val="both"/>
              <w:rPr>
                <w:rFonts w:ascii="Verdana" w:hAnsi="Verdana" w:cs="Arial"/>
                <w:color w:val="000000" w:themeColor="text1"/>
                <w:lang w:val="es-ES"/>
              </w:rPr>
            </w:pPr>
            <w:r w:rsidRPr="00D32EEB">
              <w:rPr>
                <w:rFonts w:ascii="Verdana" w:hAnsi="Verdana" w:cs="Arial"/>
                <w:color w:val="000000" w:themeColor="text1"/>
                <w:lang w:val="es-ES"/>
              </w:rPr>
              <w:t xml:space="preserve">En conclusión, la implementación de las disposiciones del Decreto 287 de 2026 en relación con los documentos tipo no puede realizarse de manera directa por las entidades estatales que obligatoriamente deben aplicarlos, sino que, requiere necesariamente su desarrollo e incorporación por parte de la Agencia Nacional de Contratación Pública – Colombia Compra Eficiente, en ejercicio de la competencia que le fue atribuida por la Ley 2022 de 2020, garantizando así la coherencia del sistema, el respeto por la jerarquía normativa y la efectividad de las medidas orientadas a la inclusión de las personas con discapacidad en el sistema de compras y contratación pública. </w:t>
            </w:r>
          </w:p>
          <w:p w14:paraId="339EB5D5" w14:textId="77777777" w:rsidR="00123F6C" w:rsidRPr="00055752" w:rsidRDefault="00123F6C" w:rsidP="008873B2">
            <w:pPr>
              <w:spacing w:after="120" w:line="276" w:lineRule="auto"/>
              <w:ind w:firstLine="709"/>
              <w:jc w:val="both"/>
              <w:rPr>
                <w:rFonts w:ascii="Verdana" w:hAnsi="Verdana" w:cs="Arial"/>
                <w:color w:val="000000" w:themeColor="text1"/>
                <w:lang w:val="es-ES"/>
              </w:rPr>
            </w:pPr>
            <w:r w:rsidRPr="00D32EEB">
              <w:rPr>
                <w:rFonts w:ascii="Verdana" w:hAnsi="Verdana" w:cs="Arial"/>
                <w:color w:val="000000" w:themeColor="text1"/>
                <w:lang w:val="es-ES"/>
              </w:rPr>
              <w:t xml:space="preserve">Finalmente, debe indicarse que, la Agencia Nacional de Contratación Pública – Colombia Compra Eficiente se encuentra trabajando en la incorporación de los criterios establecidos en el Decreto 287 de 2026 en los documentos tipo, lo que implica agotar el procedimiento previsto en la Resolución 160 de 2020 que establece el sistema para su revisión de estos documentos y la adopción de las modificaciones a que haya lugar mediante </w:t>
            </w:r>
            <w:r w:rsidRPr="00D32EEB">
              <w:rPr>
                <w:rFonts w:ascii="Verdana" w:hAnsi="Verdana" w:cs="Arial"/>
                <w:color w:val="000000" w:themeColor="text1"/>
                <w:lang w:val="es-ES"/>
              </w:rPr>
              <w:lastRenderedPageBreak/>
              <w:t>acto administrativo motivado. Mediante el agotamiento de una serie de actuaciones que implican, el análisis del Decreto en comento desde un perspectiva técnica, financiera y jurídica, generar versiones previas para comentarios de ciudadanos, entidades y grupos de interés, respuesta a las observaciones y un informe global, entre otras etapas, esta Agencia adoptará las modificaciones a los documentos tipo para adecuarlos al contenido del Decreto 287 de 2026 que modifica el 1082 de 2015. Este trabajo ya fue iniciado por la Agencia Nacional de Contratación Pública – Colombia Compra Eficiente y finalizará con la adopción del acto administrativo que modifica los documentos tipo luego de surtir el procedimiento señalado.</w:t>
            </w:r>
          </w:p>
        </w:tc>
      </w:tr>
    </w:tbl>
    <w:p w14:paraId="5A41CD24" w14:textId="77777777" w:rsidR="00123F6C" w:rsidRPr="006A31B9" w:rsidRDefault="00123F6C" w:rsidP="00123F6C">
      <w:pPr>
        <w:tabs>
          <w:tab w:val="left" w:pos="142"/>
          <w:tab w:val="left" w:pos="284"/>
        </w:tabs>
        <w:spacing w:after="0" w:line="276" w:lineRule="auto"/>
        <w:jc w:val="both"/>
        <w:rPr>
          <w:rFonts w:ascii="Verdana" w:eastAsia="Century Gothic" w:hAnsi="Verdana" w:cs="Century Gothic"/>
          <w:b/>
        </w:rPr>
      </w:pPr>
    </w:p>
    <w:p w14:paraId="2967BD9D" w14:textId="77777777" w:rsidR="00123F6C" w:rsidRDefault="00123F6C" w:rsidP="00123F6C">
      <w:pPr>
        <w:tabs>
          <w:tab w:val="left" w:pos="142"/>
          <w:tab w:val="left" w:pos="284"/>
        </w:tabs>
        <w:spacing w:after="0" w:line="276" w:lineRule="auto"/>
        <w:jc w:val="both"/>
        <w:rPr>
          <w:rFonts w:ascii="Verdana" w:eastAsia="Century Gothic" w:hAnsi="Verdana" w:cs="Century Gothic"/>
          <w:b/>
        </w:rPr>
      </w:pPr>
      <w:r w:rsidRPr="006A31B9">
        <w:rPr>
          <w:rFonts w:ascii="Verdana" w:eastAsia="Century Gothic" w:hAnsi="Verdana" w:cs="Century Gothic"/>
          <w:b/>
        </w:rPr>
        <w:t>3. Razones de la respuesta:</w:t>
      </w:r>
    </w:p>
    <w:p w14:paraId="0BE1FA38" w14:textId="77777777" w:rsidR="00123F6C" w:rsidRDefault="00123F6C" w:rsidP="00123F6C">
      <w:pPr>
        <w:tabs>
          <w:tab w:val="left" w:pos="142"/>
          <w:tab w:val="left" w:pos="284"/>
        </w:tabs>
        <w:spacing w:after="0" w:line="276" w:lineRule="auto"/>
        <w:jc w:val="both"/>
        <w:rPr>
          <w:rFonts w:ascii="Verdana" w:eastAsia="Century Gothic" w:hAnsi="Verdana" w:cs="Century Gothic"/>
          <w:b/>
        </w:rPr>
      </w:pPr>
    </w:p>
    <w:p w14:paraId="7748E313" w14:textId="77777777" w:rsidR="00123F6C" w:rsidRPr="00910E71" w:rsidRDefault="00123F6C" w:rsidP="00123F6C">
      <w:pPr>
        <w:tabs>
          <w:tab w:val="center" w:pos="4419"/>
          <w:tab w:val="right" w:pos="8838"/>
        </w:tabs>
        <w:spacing w:after="120" w:line="276" w:lineRule="auto"/>
        <w:jc w:val="both"/>
        <w:rPr>
          <w:rFonts w:ascii="Verdana" w:eastAsia="Calibri" w:hAnsi="Verdana" w:cs="Arial"/>
          <w:color w:val="000000"/>
          <w:lang w:val="es-ES"/>
        </w:rPr>
      </w:pPr>
      <w:r>
        <w:rPr>
          <w:rFonts w:ascii="Verdana" w:eastAsia="Century Gothic" w:hAnsi="Verdana" w:cs="Century Gothic"/>
          <w:b/>
        </w:rPr>
        <w:t xml:space="preserve">I). </w:t>
      </w:r>
      <w:r w:rsidRPr="00910E71">
        <w:rPr>
          <w:rFonts w:ascii="Verdana" w:eastAsia="Calibri" w:hAnsi="Verdana" w:cs="Arial"/>
          <w:color w:val="000000"/>
          <w:lang w:val="es-ES"/>
        </w:rPr>
        <w:t>Todas las resoluciones</w:t>
      </w:r>
      <w:r w:rsidRPr="00910E71">
        <w:rPr>
          <w:rFonts w:ascii="Verdana" w:eastAsia="Calibri" w:hAnsi="Verdana" w:cs="Arial"/>
          <w:color w:val="000000"/>
          <w:vertAlign w:val="superscript"/>
          <w:lang w:val="es-ES"/>
        </w:rPr>
        <w:footnoteReference w:id="3"/>
      </w:r>
      <w:r w:rsidRPr="00910E71">
        <w:rPr>
          <w:rFonts w:ascii="Verdana" w:eastAsia="Calibri" w:hAnsi="Verdana" w:cs="Arial"/>
          <w:color w:val="000000"/>
          <w:lang w:val="es-ES"/>
        </w:rPr>
        <w:t xml:space="preserve"> expedidas por la Agencia Nacional de Contratación Pública – Colombia Compra Eficiente, mediante las cuales se adoptaron los documentos tipo, consagran la regla de la inalterabilidad. Esta prohibición consiste en que las entidades estatales no pueden incluir o modificar en los </w:t>
      </w:r>
      <w:r w:rsidRPr="00910E71">
        <w:rPr>
          <w:rFonts w:ascii="Verdana" w:eastAsia="Calibri" w:hAnsi="Verdana" w:cs="Arial"/>
          <w:i/>
          <w:iCs/>
          <w:color w:val="000000"/>
          <w:lang w:val="es-ES"/>
        </w:rPr>
        <w:t>Documentos del Proceso</w:t>
      </w:r>
      <w:r w:rsidRPr="00910E71">
        <w:rPr>
          <w:rFonts w:ascii="Verdana" w:eastAsia="Calibri" w:hAnsi="Verdana" w:cs="Arial"/>
          <w:color w:val="000000"/>
          <w:lang w:val="es-ES"/>
        </w:rPr>
        <w:t xml:space="preserve"> las condiciones habilitantes, los factores técnicos y económicos de escogencia y los sistemas de ponderación distintos a los señalados en los documentos tipo. En consecuencia, las condiciones establecidas en los documentos tipo son de obligatorio cumplimiento para las entidades sometidas al Estatuto General de Contratación de la Administración Pública que adelanten procesos que deban regirse por su contenido, y no pueden variarse los requisitos fijados en ellos. Por lo tanto, las entidades estatales, al realizar sus procedimientos de selección, solo podrán modificarlos en los aspectos en que los documentos tipo lo permitan.</w:t>
      </w:r>
    </w:p>
    <w:p w14:paraId="423C3A9A" w14:textId="77777777" w:rsidR="00123F6C" w:rsidRPr="00910E71" w:rsidRDefault="00123F6C" w:rsidP="00123F6C">
      <w:pPr>
        <w:spacing w:before="120" w:after="120" w:line="276" w:lineRule="auto"/>
        <w:ind w:firstLine="709"/>
        <w:jc w:val="both"/>
        <w:rPr>
          <w:rFonts w:ascii="Verdana" w:eastAsia="Calibri" w:hAnsi="Verdana" w:cs="Arial"/>
          <w:lang w:val="es-ES_tradnl"/>
        </w:rPr>
      </w:pPr>
      <w:r w:rsidRPr="00910E71">
        <w:rPr>
          <w:rFonts w:ascii="Verdana" w:eastAsia="Calibri" w:hAnsi="Verdana" w:cs="Arial"/>
          <w:lang w:val="es-ES_tradnl"/>
        </w:rPr>
        <w:t xml:space="preserve">El fundamento legal vigente de la regla de la inalterabilidad está en el artículo 1 de la Ley 2022 de 2020, según el cual “(…) serán de obligatorio cumplimiento en la actividad contractual de todas las entidades sometidas al Estatuto General de Contratación de la Administración Pública”. Pero eso no </w:t>
      </w:r>
      <w:r w:rsidRPr="00910E71">
        <w:rPr>
          <w:rFonts w:ascii="Verdana" w:eastAsia="Calibri" w:hAnsi="Verdana" w:cs="Arial"/>
          <w:lang w:val="es-ES_tradnl"/>
        </w:rPr>
        <w:lastRenderedPageBreak/>
        <w:t xml:space="preserve">significa que antes no rigiera, pues así también lo disponía el artículo 4 de la Ley 1882 de 2018. Por vía reglamentaria, también quedó consignado en su momento el carácter inmodificable de los pliegos tipo en el artículo 1 de los Decretos 342 de 2019, Decreto 2096 de 2019 y 594 de 2020, que adicionaron, respectivamente, los artículos 2.2.1.2.6.1.4, 2.2.1.2.6.2.3 y 2.2.1.2.6.3.4 al Decreto 1082 de 2015. En esta línea, las entidades públicas deberán sujetarse de forma irrestricta a las reglas establecidas en los documentos tipo, dispuestas en las diferentes resoluciones expedidas por la Agencia, por lo que no pueden hacer excepciones bajo una supuesta discrecionalidad a estas reglas que son obligatorias. </w:t>
      </w:r>
    </w:p>
    <w:p w14:paraId="1BA0F299" w14:textId="77777777" w:rsidR="00123F6C" w:rsidRPr="00910E71" w:rsidRDefault="00123F6C" w:rsidP="00123F6C">
      <w:pPr>
        <w:spacing w:before="120" w:after="120" w:line="276" w:lineRule="auto"/>
        <w:ind w:firstLine="709"/>
        <w:jc w:val="both"/>
        <w:rPr>
          <w:rFonts w:ascii="Verdana" w:eastAsia="Calibri" w:hAnsi="Verdana" w:cs="Arial"/>
          <w:lang w:val="es-ES_tradnl"/>
        </w:rPr>
      </w:pPr>
      <w:r w:rsidRPr="00910E71">
        <w:rPr>
          <w:rFonts w:ascii="Verdana" w:eastAsia="Calibri" w:hAnsi="Verdana" w:cs="Arial"/>
          <w:lang w:val="es-ES_tradnl"/>
        </w:rPr>
        <w:t>La inalterabilidad de los documentos tipo es una manifestación en mayor grado de las potestades regladas, lo cual implica una reducción de la discrecionalidad de la Administración en el momento de tomar una decisión en el proceso de contratación</w:t>
      </w:r>
      <w:r w:rsidRPr="00910E71">
        <w:rPr>
          <w:rFonts w:ascii="Verdana" w:eastAsia="Calibri" w:hAnsi="Verdana" w:cs="Arial"/>
          <w:vertAlign w:val="superscript"/>
          <w:lang w:val="es-ES_tradnl"/>
        </w:rPr>
        <w:footnoteReference w:id="4"/>
      </w:r>
      <w:r w:rsidRPr="00910E71">
        <w:rPr>
          <w:rFonts w:ascii="Verdana" w:eastAsia="Calibri" w:hAnsi="Verdana" w:cs="Arial"/>
          <w:lang w:val="es-ES_tradnl"/>
        </w:rPr>
        <w:t xml:space="preserve">. Cada entidad pública sujeta a los documentos tipo deberá hacer una aplicación o constatación irrestricta de las reglas y condiciones dispuestas en estos, salvo que las mismas posibilitan la discrecionalidad en determinados aspectos. </w:t>
      </w:r>
    </w:p>
    <w:p w14:paraId="0887AA75" w14:textId="77777777" w:rsidR="00123F6C" w:rsidRPr="00910E71" w:rsidRDefault="00123F6C" w:rsidP="00123F6C">
      <w:pPr>
        <w:spacing w:before="120" w:after="120" w:line="276" w:lineRule="auto"/>
        <w:ind w:firstLine="709"/>
        <w:jc w:val="both"/>
        <w:rPr>
          <w:rFonts w:ascii="Verdana" w:eastAsia="Calibri" w:hAnsi="Verdana" w:cs="Arial"/>
          <w:lang w:val="es-ES"/>
        </w:rPr>
      </w:pPr>
      <w:r w:rsidRPr="00910E71">
        <w:rPr>
          <w:rFonts w:ascii="Verdana" w:eastAsia="Calibri" w:hAnsi="Verdana" w:cs="Arial"/>
          <w:lang w:val="es-ES"/>
        </w:rPr>
        <w:t xml:space="preserve">Además, las entidades estatales deben garantizar el </w:t>
      </w:r>
      <w:r w:rsidRPr="00910E71">
        <w:rPr>
          <w:rFonts w:ascii="Verdana" w:eastAsia="Calibri" w:hAnsi="Verdana" w:cs="Arial"/>
          <w:i/>
          <w:iCs/>
          <w:lang w:val="es-ES"/>
        </w:rPr>
        <w:t>principio de economía</w:t>
      </w:r>
      <w:r w:rsidRPr="00910E71">
        <w:rPr>
          <w:rFonts w:ascii="Verdana" w:eastAsia="Calibri" w:hAnsi="Verdana" w:cs="Arial"/>
          <w:lang w:val="es-ES"/>
        </w:rPr>
        <w:t>, del cual se desprende que no pueden exigir documentos o requisitos más allá de los que permitan la Constitución, la ley y los reglamentos. Este postulado ha sido recogido no solo en la contratación estatal</w:t>
      </w:r>
      <w:r w:rsidRPr="00910E71">
        <w:rPr>
          <w:rFonts w:ascii="Verdana" w:eastAsia="Calibri" w:hAnsi="Verdana" w:cs="Arial"/>
          <w:vertAlign w:val="superscript"/>
          <w:lang w:val="es-ES"/>
        </w:rPr>
        <w:footnoteReference w:id="5"/>
      </w:r>
      <w:r w:rsidRPr="00910E71">
        <w:rPr>
          <w:rFonts w:ascii="Verdana" w:eastAsia="Calibri" w:hAnsi="Verdana" w:cs="Arial"/>
          <w:lang w:val="es-ES"/>
        </w:rPr>
        <w:t xml:space="preserve"> sino además en la </w:t>
      </w:r>
      <w:r w:rsidRPr="00910E71">
        <w:rPr>
          <w:rFonts w:ascii="Verdana" w:eastAsia="Calibri" w:hAnsi="Verdana" w:cs="Arial"/>
          <w:lang w:val="es-ES"/>
        </w:rPr>
        <w:lastRenderedPageBreak/>
        <w:t>normativa antitrámites</w:t>
      </w:r>
      <w:r w:rsidRPr="00910E71">
        <w:rPr>
          <w:rFonts w:ascii="Verdana" w:eastAsia="Calibri" w:hAnsi="Verdana" w:cs="Arial"/>
          <w:vertAlign w:val="superscript"/>
          <w:lang w:val="es-ES"/>
        </w:rPr>
        <w:footnoteReference w:id="6"/>
      </w:r>
      <w:r w:rsidRPr="00910E71">
        <w:rPr>
          <w:rFonts w:ascii="Verdana" w:eastAsia="Calibri" w:hAnsi="Verdana" w:cs="Arial"/>
          <w:lang w:val="es-ES"/>
        </w:rPr>
        <w:t>; pues se inscribe dentro de la tendencia de simplificación y racionalización de los procedimientos administrativos. De ahí que cuando las autoridades solicitan la entrega de documentación innecesaria, desconocen el principio de economía.</w:t>
      </w:r>
    </w:p>
    <w:p w14:paraId="57A2F9EF" w14:textId="77777777" w:rsidR="00123F6C" w:rsidRPr="00910E71" w:rsidRDefault="00123F6C" w:rsidP="00123F6C">
      <w:pPr>
        <w:spacing w:after="120" w:line="276" w:lineRule="auto"/>
        <w:ind w:firstLine="708"/>
        <w:jc w:val="both"/>
        <w:rPr>
          <w:rFonts w:ascii="Verdana" w:eastAsia="Calibri" w:hAnsi="Verdana" w:cs="Arial"/>
          <w:color w:val="000000"/>
          <w:lang w:val="es-ES"/>
        </w:rPr>
      </w:pPr>
      <w:r w:rsidRPr="00910E71">
        <w:rPr>
          <w:rFonts w:ascii="Verdana" w:eastAsia="Calibri" w:hAnsi="Verdana" w:cs="Arial"/>
          <w:color w:val="000000"/>
          <w:lang w:val="es-ES"/>
        </w:rPr>
        <w:t>Otro aspecto sobre el principio que inalterabilidad que debe destacarse es que, sin mínimos inalterables, los documentos tipo, estándar o normalizados, sencillamente, perderían sus características. Bajo riesgo de señalar una obviedad, se debe decir que la definición del término estándar es “Que sirve como tipo, modelo, norma, patrón o referencia”</w:t>
      </w:r>
      <w:r w:rsidRPr="00910E71">
        <w:rPr>
          <w:rFonts w:ascii="Verdana" w:eastAsia="Calibri" w:hAnsi="Verdana" w:cs="Arial"/>
          <w:color w:val="000000"/>
          <w:vertAlign w:val="superscript"/>
          <w:lang w:val="es-ES"/>
        </w:rPr>
        <w:footnoteReference w:id="7"/>
      </w:r>
      <w:r w:rsidRPr="00910E71">
        <w:rPr>
          <w:rFonts w:ascii="Verdana" w:eastAsia="Calibri" w:hAnsi="Verdana" w:cs="Arial"/>
          <w:color w:val="000000"/>
          <w:lang w:val="es-ES"/>
        </w:rPr>
        <w:t xml:space="preserve">. Si las autoridades pudiesen agregar, eliminar o modificar todos y cada uno de los aspectos contenidos en los pliegos tipo, estos documentos, llanamente, no podrían ser llamados pliegos tipo. </w:t>
      </w:r>
    </w:p>
    <w:p w14:paraId="225B1ED7" w14:textId="77777777" w:rsidR="00123F6C" w:rsidRPr="00910E71" w:rsidRDefault="00123F6C" w:rsidP="00123F6C">
      <w:pPr>
        <w:spacing w:after="120" w:line="276" w:lineRule="auto"/>
        <w:ind w:firstLine="708"/>
        <w:jc w:val="both"/>
        <w:rPr>
          <w:rFonts w:ascii="Verdana" w:eastAsia="Calibri" w:hAnsi="Verdana" w:cs="Arial"/>
          <w:color w:val="000000"/>
          <w:lang w:val="es-ES"/>
        </w:rPr>
      </w:pPr>
      <w:r w:rsidRPr="00910E71">
        <w:rPr>
          <w:rFonts w:ascii="Verdana" w:eastAsia="Calibri" w:hAnsi="Verdana" w:cs="Arial"/>
          <w:color w:val="000000"/>
          <w:lang w:val="es-ES"/>
        </w:rPr>
        <w:t xml:space="preserve">De otra parte, a la luz de los objetivos perseguidos, si la normativa permitiera la alteración de todo el documento tipo, sería imposible verificar en la práctica las ventajas perseguidas por el legislador. Así, por ejemplo, si cada autoridad pudiese rediseñar por completo el documento, la transparencia del sistema de compras públicas no sería mayor con la introducción de la estandarización de documentos. De similar manera, bajo la hipótesis de trabajo referida, las entidades podrían modificar todo el contenido del pliego, retornando a una de las prácticas que se buscó eliminar: la elaboración de “pliegos sastre”, que eliminan la competencia. En ese orden, si se permite ilimitadamente introducir ajustes, las entidades estatales podrían reintroducir los sesgos interpretativos incorrectos que se buscó erradicar con la introducción de la herramienta analizada. </w:t>
      </w:r>
    </w:p>
    <w:p w14:paraId="1CBAEFDB" w14:textId="77777777" w:rsidR="00123F6C" w:rsidRPr="00910E71" w:rsidRDefault="00123F6C" w:rsidP="00123F6C">
      <w:pPr>
        <w:spacing w:after="120" w:line="276" w:lineRule="auto"/>
        <w:ind w:firstLine="708"/>
        <w:jc w:val="both"/>
        <w:rPr>
          <w:rFonts w:ascii="Verdana" w:eastAsia="Calibri" w:hAnsi="Verdana" w:cs="Arial"/>
          <w:color w:val="000000"/>
          <w:lang w:val="es-ES"/>
        </w:rPr>
      </w:pPr>
      <w:r w:rsidRPr="00910E71">
        <w:rPr>
          <w:rFonts w:ascii="Verdana" w:eastAsia="Calibri" w:hAnsi="Verdana" w:cs="Arial"/>
          <w:color w:val="000000"/>
          <w:lang w:val="es-ES"/>
        </w:rPr>
        <w:t xml:space="preserve">Con base en lo dicho, se observa con toda claridad la necesidad de que existan unos mínimos inalterables que permitan, de un lado, que los pliegos tipo </w:t>
      </w:r>
      <w:r w:rsidRPr="00910E71">
        <w:rPr>
          <w:rFonts w:ascii="Verdana" w:eastAsia="Calibri" w:hAnsi="Verdana" w:cs="Arial"/>
          <w:color w:val="000000"/>
          <w:lang w:val="es-ES"/>
        </w:rPr>
        <w:lastRenderedPageBreak/>
        <w:t>sean propiamente tales y, del otro, que se garanticen los fines expresamente perseguidos por el legislador con su introducción al ordenamiento nacional.</w:t>
      </w:r>
    </w:p>
    <w:p w14:paraId="4A905E8E" w14:textId="77777777" w:rsidR="00123F6C" w:rsidRPr="00910E71" w:rsidRDefault="00123F6C" w:rsidP="00123F6C">
      <w:pPr>
        <w:spacing w:after="120" w:line="276" w:lineRule="auto"/>
        <w:ind w:firstLine="708"/>
        <w:jc w:val="both"/>
        <w:rPr>
          <w:rFonts w:ascii="Verdana" w:eastAsia="Calibri" w:hAnsi="Verdana" w:cs="Arial"/>
          <w:color w:val="000000"/>
          <w:lang w:val="es-ES"/>
        </w:rPr>
      </w:pPr>
      <w:r w:rsidRPr="00910E71">
        <w:rPr>
          <w:rFonts w:ascii="Verdana" w:eastAsia="Calibri" w:hAnsi="Verdana" w:cs="Arial"/>
          <w:lang w:val="es-MX"/>
        </w:rPr>
        <w:t xml:space="preserve">No obstante, la parte introductoria de los documentos base de los documentos tipo disponen que los aspectos incluidos en corchetes y resaltados en gris </w:t>
      </w:r>
      <w:r w:rsidRPr="00910E71">
        <w:rPr>
          <w:rFonts w:ascii="Verdana" w:eastAsia="Aptos" w:hAnsi="Verdana" w:cs="Arial"/>
        </w:rPr>
        <w:t>–[</w:t>
      </w:r>
      <w:r w:rsidRPr="00910E71">
        <w:rPr>
          <w:rFonts w:ascii="Verdana" w:eastAsia="Aptos" w:hAnsi="Verdana" w:cs="Arial"/>
          <w:highlight w:val="lightGray"/>
        </w:rPr>
        <w:t>texto de ejemplo</w:t>
      </w:r>
      <w:r w:rsidRPr="00910E71">
        <w:rPr>
          <w:rFonts w:ascii="Verdana" w:eastAsia="Aptos" w:hAnsi="Verdana" w:cs="Arial"/>
        </w:rPr>
        <w:t xml:space="preserve">]– </w:t>
      </w:r>
      <w:r w:rsidRPr="00910E71">
        <w:rPr>
          <w:rFonts w:ascii="Verdana" w:eastAsia="Calibri" w:hAnsi="Verdana" w:cs="Arial"/>
          <w:lang w:val="es-MX"/>
        </w:rPr>
        <w:t xml:space="preserve">deben ser diligenciados por la entidad. Excepcionalmente le corresponde al proponente consignar la información incluida en corchetes y resaltada en gris, como, por ejemplo, los formatos que requieren de la firma del proponente o su representante legal. De todos modos, en cada acápite que esté resaltado en gris la entidad tendrá la libertad de determinar la información que se diligenciará en los documentos tipo, de acuerdo con su necesidad y las instrucciones de los mismos documentos tipo. </w:t>
      </w:r>
    </w:p>
    <w:p w14:paraId="1F8837B1" w14:textId="77777777" w:rsidR="00123F6C" w:rsidRPr="00910E71" w:rsidRDefault="00123F6C" w:rsidP="00123F6C">
      <w:pPr>
        <w:spacing w:after="120" w:line="276" w:lineRule="auto"/>
        <w:ind w:firstLine="708"/>
        <w:jc w:val="both"/>
        <w:rPr>
          <w:rFonts w:ascii="Aptos" w:eastAsia="Aptos" w:hAnsi="Aptos" w:cs="Times New Roman"/>
          <w:kern w:val="2"/>
          <w:sz w:val="24"/>
          <w:szCs w:val="24"/>
          <w:lang w:val="es-MX"/>
          <w14:ligatures w14:val="standardContextual"/>
        </w:rPr>
      </w:pPr>
      <w:r w:rsidRPr="00910E71">
        <w:rPr>
          <w:rFonts w:ascii="Verdana" w:eastAsia="Calibri" w:hAnsi="Verdana" w:cs="Arial"/>
          <w:lang w:val="es-MX"/>
        </w:rPr>
        <w:t xml:space="preserve">Debe indicarse que, la regla de inalterabilidad que recae sobre los documentos tipo, también se encuentra consagrada de forma expresa en el documento base. Así, en el aparte sobre las normas de interpretación del pliego de condiciones, el literal I del numeral 1.17 del pliego tipo de los documentos tipo de licitación de obra pública de infraestructura de transporte dispone lo siguiente: </w:t>
      </w:r>
      <w:r w:rsidRPr="00910E71">
        <w:rPr>
          <w:rFonts w:ascii="Verdana" w:eastAsia="Calibri" w:hAnsi="Verdana" w:cs="Arial"/>
          <w:i/>
          <w:iCs/>
          <w:lang w:val="es-MX"/>
        </w:rPr>
        <w:t>“</w:t>
      </w:r>
      <w:r w:rsidRPr="00910E71">
        <w:rPr>
          <w:rFonts w:ascii="Verdana" w:eastAsia="Aptos" w:hAnsi="Verdana" w:cs="Times New Roman"/>
          <w:i/>
          <w:iCs/>
          <w:kern w:val="2"/>
          <w:lang w:val="es-MX"/>
          <w14:ligatures w14:val="standardContextual"/>
        </w:rPr>
        <w:t>Los Documentos Tipo son inalterables y no se podrán incluir o modificar los Anexos, Formatos y Formularios, ni exigir soportes o requisitos adicionales; salvo cuando se permita en forma expresa, es decir, en los aspectos incluidos en corchetes y resaltados en gris”.</w:t>
      </w:r>
      <w:r w:rsidRPr="00910E71">
        <w:rPr>
          <w:rFonts w:ascii="Aptos" w:eastAsia="Aptos" w:hAnsi="Aptos" w:cs="Times New Roman"/>
          <w:kern w:val="2"/>
          <w:sz w:val="24"/>
          <w:szCs w:val="24"/>
          <w:lang w:val="es-MX"/>
          <w14:ligatures w14:val="standardContextual"/>
        </w:rPr>
        <w:t xml:space="preserve"> </w:t>
      </w:r>
    </w:p>
    <w:p w14:paraId="47CD4D6E" w14:textId="77777777" w:rsidR="00123F6C" w:rsidRPr="00626727" w:rsidRDefault="00123F6C" w:rsidP="00123F6C">
      <w:pPr>
        <w:spacing w:before="120" w:after="120" w:line="276" w:lineRule="auto"/>
        <w:ind w:firstLine="709"/>
        <w:jc w:val="both"/>
        <w:rPr>
          <w:rFonts w:ascii="Verdana" w:eastAsia="Calibri" w:hAnsi="Verdana" w:cs="Arial"/>
          <w:bCs/>
          <w:lang w:val="es-MX"/>
        </w:rPr>
      </w:pPr>
      <w:r w:rsidRPr="00910E71">
        <w:rPr>
          <w:rFonts w:ascii="Verdana" w:eastAsia="Calibri" w:hAnsi="Verdana" w:cs="Arial"/>
          <w:bCs/>
          <w:lang w:val="es-MX"/>
        </w:rPr>
        <w:t>En suma, la regla general frente la aplicación de los documentos tipo es su inalterabilidad, y no podrán incluirse o modificarse en los documentos del proceso las condiciones habilitantes, los factores técnicos y económicos de escogencia y los sistemas de ponderación distintos a los señalados en los documentos tipo. En tal sentido, estos solo se podrán modificar respecto a aquellos contenidos que el mismo documento tipo lo permita.</w:t>
      </w:r>
    </w:p>
    <w:p w14:paraId="2A203D6B" w14:textId="77777777" w:rsidR="00123F6C" w:rsidRPr="00910E71" w:rsidRDefault="00123F6C" w:rsidP="00123F6C">
      <w:pPr>
        <w:spacing w:before="120" w:after="120" w:line="276" w:lineRule="auto"/>
        <w:ind w:firstLine="709"/>
        <w:jc w:val="both"/>
        <w:rPr>
          <w:rFonts w:ascii="Verdana" w:eastAsia="Calibri" w:hAnsi="Verdana" w:cs="Arial"/>
          <w:bCs/>
          <w:lang w:val="es-MX"/>
        </w:rPr>
      </w:pPr>
      <w:bookmarkStart w:id="4" w:name="_Hlk204854194"/>
      <w:r w:rsidRPr="00910E71">
        <w:rPr>
          <w:rFonts w:ascii="Verdana" w:eastAsia="Calibri" w:hAnsi="Verdana" w:cs="Arial"/>
          <w:bCs/>
          <w:lang w:val="es-MX"/>
        </w:rPr>
        <w:t xml:space="preserve">Esta regla de inalterabilidad </w:t>
      </w:r>
      <w:r w:rsidRPr="00910E71">
        <w:rPr>
          <w:rFonts w:ascii="Verdana" w:eastAsia="Calibri" w:hAnsi="Verdana" w:cs="Arial"/>
          <w:bCs/>
          <w:i/>
          <w:iCs/>
          <w:lang w:val="es-MX"/>
        </w:rPr>
        <w:t>también aplica a los formatos, formularios, anexos y matrices</w:t>
      </w:r>
      <w:r w:rsidRPr="00910E71">
        <w:rPr>
          <w:rFonts w:ascii="Verdana" w:eastAsia="Calibri" w:hAnsi="Verdana" w:cs="Arial"/>
          <w:bCs/>
          <w:lang w:val="es-MX"/>
        </w:rPr>
        <w:t xml:space="preserve"> implementados junto con el “Documento Base”, los cuales deben usarse en el procedimiento de contratación. Estos, al igual que el “Documento Base”, contienen apartes entre corchetes y resaltados en gris, los cuales deben ser diligenciados por la entidad, al igual que otros aspectos relativos a información que debe ser completada por los oferentes al hacer uso del formato. </w:t>
      </w:r>
    </w:p>
    <w:p w14:paraId="31E0FE26" w14:textId="77777777" w:rsidR="00123F6C" w:rsidRPr="00910E71" w:rsidRDefault="00123F6C" w:rsidP="00123F6C">
      <w:pPr>
        <w:spacing w:before="120" w:after="120" w:line="276" w:lineRule="auto"/>
        <w:ind w:firstLine="709"/>
        <w:jc w:val="both"/>
        <w:rPr>
          <w:rFonts w:ascii="Verdana" w:eastAsia="Calibri" w:hAnsi="Verdana" w:cs="Arial"/>
          <w:lang w:val="es-MX"/>
        </w:rPr>
      </w:pPr>
      <w:r w:rsidRPr="00910E71">
        <w:rPr>
          <w:rFonts w:ascii="Verdana" w:eastAsia="Calibri" w:hAnsi="Verdana" w:cs="Arial"/>
          <w:lang w:val="es-MX"/>
        </w:rPr>
        <w:lastRenderedPageBreak/>
        <w:t xml:space="preserve">Con todo, la regla de inalterabilidad de los documentos tipo debe armonizarse con principios de orden constitucional, especialmente con el de prevalencia del derecho sustancial, consagrado en el artículo 228 de la Constitución Política. La interpretación armónica de tales principios, a juicio de la Agencia Nacional de Contratación Pública, impide que la entidad que adelanta el proceso contractual le rinda culto a las “formas”, pues, en últimas, el deber que le asiste es el de tener en cuenta y aplicar los aspectos sustanciales de los documentos tipo, sin distingo de la formalidad de la que se sirva para ello los actores de la contratación pública. </w:t>
      </w:r>
    </w:p>
    <w:p w14:paraId="1F82CE33" w14:textId="77777777" w:rsidR="00123F6C" w:rsidRPr="00910E71" w:rsidRDefault="00123F6C" w:rsidP="00123F6C">
      <w:pPr>
        <w:spacing w:before="120" w:after="120" w:line="276" w:lineRule="auto"/>
        <w:ind w:firstLine="709"/>
        <w:jc w:val="both"/>
        <w:rPr>
          <w:rFonts w:ascii="Verdana" w:eastAsia="Aptos" w:hAnsi="Verdana" w:cs="Arial"/>
        </w:rPr>
      </w:pPr>
      <w:r w:rsidRPr="00910E71">
        <w:rPr>
          <w:rFonts w:ascii="Verdana" w:eastAsia="Aptos" w:hAnsi="Verdana" w:cs="Arial"/>
        </w:rPr>
        <w:t xml:space="preserve">En relación con el principio constitucional </w:t>
      </w:r>
      <w:r w:rsidRPr="00910E71">
        <w:rPr>
          <w:rFonts w:ascii="Verdana" w:eastAsia="Aptos" w:hAnsi="Verdana" w:cs="Arial"/>
          <w:i/>
          <w:iCs/>
        </w:rPr>
        <w:t>sub examine</w:t>
      </w:r>
      <w:r w:rsidRPr="00910E71">
        <w:rPr>
          <w:rFonts w:ascii="Verdana" w:eastAsia="Aptos" w:hAnsi="Verdana" w:cs="Arial"/>
        </w:rPr>
        <w:t>, la Corte Constitucional explica que “(…) por disposición del artículo 228 Superior, las formas no deben convertirse en un obstáculo para la efectividad del derecho sustancial, sino que deben propender por su realización. Es decir, que las normas procesales son un medio para lograr la efectividad de los derechos subjetivos y no fines en sí mismas”</w:t>
      </w:r>
      <w:r w:rsidRPr="00910E71">
        <w:rPr>
          <w:rFonts w:ascii="Verdana" w:eastAsia="Aptos" w:hAnsi="Verdana" w:cs="Arial"/>
          <w:vertAlign w:val="superscript"/>
        </w:rPr>
        <w:footnoteReference w:id="8"/>
      </w:r>
      <w:r w:rsidRPr="00910E71">
        <w:rPr>
          <w:rFonts w:ascii="Verdana" w:eastAsia="Aptos" w:hAnsi="Verdana" w:cs="Arial"/>
        </w:rPr>
        <w:t xml:space="preserve">. </w:t>
      </w:r>
    </w:p>
    <w:p w14:paraId="782D3E8F" w14:textId="77777777" w:rsidR="00123F6C" w:rsidRPr="00910E71" w:rsidRDefault="00123F6C" w:rsidP="00123F6C">
      <w:pPr>
        <w:snapToGrid w:val="0"/>
        <w:spacing w:before="120" w:after="120" w:line="276" w:lineRule="auto"/>
        <w:ind w:firstLine="709"/>
        <w:jc w:val="both"/>
        <w:rPr>
          <w:rFonts w:ascii="Verdana" w:eastAsia="Calibri" w:hAnsi="Verdana" w:cs="Arial"/>
          <w:lang w:val="es-MX"/>
        </w:rPr>
      </w:pPr>
      <w:r w:rsidRPr="00910E71">
        <w:rPr>
          <w:rFonts w:ascii="Verdana" w:eastAsia="Calibri" w:hAnsi="Verdana" w:cs="Arial"/>
          <w:lang w:val="es-MX"/>
        </w:rPr>
        <w:t>El carácter inalterable de los documentos tipo no puede, por tanto, hacerse extensivo a los aspectos meramente formales de tales documentos, esto es, el tamaño y tipo de letra, las márgenes o las expresiones que pretenden hacer más comprensible el documento, como es el caso de aquellas que informan que una expresión larga será referida con otra similar pero más corta. Lo anterior considerando que estos aspectos en nada afectan la aplicación y alcance de los documentos tipos, es decir, no afectan su contenido esencial y, mucho menos, las obligaciones, deberes y derechos que se derivan para las partes contratantes.</w:t>
      </w:r>
    </w:p>
    <w:p w14:paraId="7AC5F173" w14:textId="77777777" w:rsidR="00123F6C" w:rsidRPr="00910E71" w:rsidRDefault="00123F6C" w:rsidP="00123F6C">
      <w:pPr>
        <w:snapToGrid w:val="0"/>
        <w:spacing w:before="120" w:after="0" w:line="276" w:lineRule="auto"/>
        <w:ind w:firstLine="709"/>
        <w:jc w:val="both"/>
        <w:rPr>
          <w:rFonts w:ascii="Verdana" w:eastAsia="Calibri" w:hAnsi="Verdana" w:cs="Arial"/>
          <w:color w:val="000000"/>
          <w:kern w:val="2"/>
          <w:lang w:val="es-ES"/>
          <w14:ligatures w14:val="standardContextual"/>
        </w:rPr>
      </w:pPr>
      <w:r w:rsidRPr="3C852C9B">
        <w:rPr>
          <w:rFonts w:ascii="Verdana" w:eastAsia="Calibri" w:hAnsi="Verdana" w:cs="Arial"/>
          <w:kern w:val="2"/>
          <w:lang w:val="es-ES"/>
          <w14:ligatures w14:val="standardContextual"/>
        </w:rPr>
        <w:t xml:space="preserve">En todo caso, bajo este entendimiento principialístico, el análisis en torno a los aspectos meramente formales de los formatos deberá hacerse en cada caso, de acuerdo con el alcance, el contenido y la finalidad de cada documento, sin perjuicio de las reglas de subsanabilidad de las ofertas establecidas en los documentos base y en el artículo 5 de la Ley 1882 de 2018. </w:t>
      </w:r>
    </w:p>
    <w:p w14:paraId="16CCD293" w14:textId="77777777" w:rsidR="00123F6C" w:rsidRPr="00816666" w:rsidRDefault="00123F6C" w:rsidP="00123F6C">
      <w:pPr>
        <w:snapToGrid w:val="0"/>
        <w:spacing w:after="0" w:line="276" w:lineRule="auto"/>
        <w:jc w:val="both"/>
        <w:rPr>
          <w:rFonts w:ascii="Verdana" w:eastAsia="Century Gothic" w:hAnsi="Verdana" w:cs="Century Gothic"/>
          <w:lang w:val="es-ES_tradnl"/>
        </w:rPr>
      </w:pPr>
    </w:p>
    <w:p w14:paraId="4AB70660" w14:textId="77777777" w:rsidR="00123F6C" w:rsidRPr="00816666" w:rsidRDefault="00123F6C" w:rsidP="00123F6C">
      <w:pPr>
        <w:snapToGrid w:val="0"/>
        <w:spacing w:after="0" w:line="276" w:lineRule="auto"/>
        <w:jc w:val="both"/>
        <w:rPr>
          <w:rFonts w:ascii="Verdana" w:eastAsia="Times New Roman" w:hAnsi="Verdana" w:cs="Arial"/>
          <w:kern w:val="2"/>
          <w:lang w:val="es-ES"/>
        </w:rPr>
      </w:pPr>
      <w:r w:rsidRPr="00816666">
        <w:rPr>
          <w:rFonts w:ascii="Verdana" w:eastAsia="Century Gothic" w:hAnsi="Verdana" w:cs="Century Gothic"/>
          <w:lang w:val="es-ES_tradnl"/>
        </w:rPr>
        <w:t xml:space="preserve">II). </w:t>
      </w:r>
      <w:r w:rsidRPr="00816666">
        <w:rPr>
          <w:rFonts w:ascii="Verdana" w:eastAsia="Times New Roman" w:hAnsi="Verdana" w:cs="Arial"/>
          <w:kern w:val="2"/>
          <w:lang w:val="es-ES"/>
        </w:rPr>
        <w:t xml:space="preserve">La entrada en vigencia del Decreto 680 de 2021, al modificar la noción de </w:t>
      </w:r>
      <w:r w:rsidRPr="00816666">
        <w:rPr>
          <w:rFonts w:ascii="Verdana" w:eastAsia="Times New Roman" w:hAnsi="Verdana" w:cs="Arial"/>
          <w:i/>
          <w:kern w:val="2"/>
          <w:lang w:val="es-ES"/>
        </w:rPr>
        <w:t xml:space="preserve">Servicios Nacionales </w:t>
      </w:r>
      <w:r w:rsidRPr="00816666">
        <w:rPr>
          <w:rFonts w:ascii="Verdana" w:eastAsia="Times New Roman" w:hAnsi="Verdana" w:cs="Arial"/>
          <w:kern w:val="2"/>
          <w:lang w:val="es-ES"/>
        </w:rPr>
        <w:t xml:space="preserve">contenida en el Decreto 1082 de 2015, generó la necesidad </w:t>
      </w:r>
      <w:r w:rsidRPr="00816666">
        <w:rPr>
          <w:rFonts w:ascii="Verdana" w:eastAsia="Times New Roman" w:hAnsi="Verdana" w:cs="Arial"/>
          <w:kern w:val="2"/>
          <w:lang w:val="es-ES"/>
        </w:rPr>
        <w:lastRenderedPageBreak/>
        <w:t>de adecuar los Documentos Tipo expedidos por la Agencia Nacional de Contratación Pública – Colombia Compra Eficiente, en ejercicio de las potestades conferidas por la Ley 2022 de 2020. Esto como quiera que, en los documentos vigentes antes de la expedición de dicho Decreto, el puntaje por apoyo a la industria nacional y la verificación de la procedencia del trato nacional se encontraban desarrolladas conforme con la antigua concepción de servicio nacional, por lo que para acceder al máximo puntaje bastaba con acreditar ser una persona natural colombiana o una persona jurídica de acuerdo con la ley colombiana. Debido a esto, el parágrafo 2 del artículo 3 del referido Decreto, contempló un plazo de tres (3) meses para que esta Agencia realizara la adecuación de los Documentos Tipo.</w:t>
      </w:r>
    </w:p>
    <w:p w14:paraId="6A7C7AD2" w14:textId="77777777" w:rsidR="00123F6C" w:rsidRPr="00001518" w:rsidRDefault="00123F6C" w:rsidP="00123F6C">
      <w:pPr>
        <w:spacing w:before="120" w:after="120" w:line="276" w:lineRule="auto"/>
        <w:jc w:val="both"/>
        <w:rPr>
          <w:rFonts w:ascii="Verdana" w:eastAsia="Times New Roman" w:hAnsi="Verdana" w:cs="Arial"/>
          <w:kern w:val="2"/>
          <w:lang w:val="es-ES_tradnl"/>
        </w:rPr>
      </w:pPr>
      <w:r w:rsidRPr="00001518">
        <w:rPr>
          <w:rFonts w:ascii="Verdana" w:eastAsia="Times New Roman" w:hAnsi="Verdana" w:cs="Arial"/>
          <w:kern w:val="2"/>
          <w:lang w:val="es-ES_tradnl"/>
        </w:rPr>
        <w:tab/>
        <w:t>En atención a este mandato, la Agencia Nacional de Contratación Pública, en desarrollo del procedimiento de actualización regulado por la Resolución 160 de 2020, expidió la Resolución 304 de 2021 “</w:t>
      </w:r>
      <w:r w:rsidRPr="00001518">
        <w:rPr>
          <w:rFonts w:ascii="Verdana" w:eastAsia="Times New Roman" w:hAnsi="Verdana" w:cs="Arial"/>
          <w:i/>
          <w:iCs/>
          <w:kern w:val="2"/>
          <w:lang w:val="es-ES_tradnl"/>
        </w:rPr>
        <w:t>Por la cual se modifican los Documentos Tipo adoptados por la Agencia Nacional de Contratación Pública – Colombia Compra Eficiente”</w:t>
      </w:r>
      <w:r w:rsidRPr="00001518">
        <w:rPr>
          <w:rFonts w:ascii="Verdana" w:eastAsia="Times New Roman" w:hAnsi="Verdana" w:cs="Arial"/>
          <w:kern w:val="2"/>
          <w:lang w:val="es-ES_tradnl"/>
        </w:rPr>
        <w:t xml:space="preserve">. Asimismo, los nuevos documentos tipo que se han expedido contemplan, en lo pertinente y aplicable, los cambios implementados con la modificación. </w:t>
      </w:r>
    </w:p>
    <w:p w14:paraId="4480C459" w14:textId="77777777" w:rsidR="00123F6C" w:rsidRPr="00467B41" w:rsidRDefault="00123F6C" w:rsidP="00123F6C">
      <w:pPr>
        <w:spacing w:after="0" w:line="276" w:lineRule="auto"/>
        <w:ind w:firstLine="708"/>
        <w:jc w:val="both"/>
        <w:rPr>
          <w:rFonts w:ascii="Verdana" w:eastAsia="Times New Roman" w:hAnsi="Verdana" w:cs="Arial"/>
          <w:kern w:val="2"/>
          <w:lang w:val="es-ES_tradnl"/>
        </w:rPr>
      </w:pPr>
      <w:r w:rsidRPr="00467B41">
        <w:rPr>
          <w:rFonts w:ascii="Verdana" w:eastAsia="Times New Roman" w:hAnsi="Verdana" w:cs="Arial"/>
          <w:kern w:val="2"/>
          <w:lang w:val="es-ES_tradnl"/>
        </w:rPr>
        <w:t>De esta manera, el numeral 4.3 “APOYO A LA INDUSTRIA NACIONAL” del Documento Base de los documentos tipo de licitación de obra pública de infraestructura social –versión 2–, establece dos (2) alternativas para la obtención del puntaje de apoyo a la industria nacional, así:</w:t>
      </w:r>
    </w:p>
    <w:p w14:paraId="1AF9600D" w14:textId="77777777" w:rsidR="00123F6C" w:rsidRPr="003D66CB" w:rsidRDefault="00123F6C" w:rsidP="00123F6C">
      <w:pPr>
        <w:adjustRightInd w:val="0"/>
        <w:spacing w:after="0" w:line="240" w:lineRule="auto"/>
        <w:ind w:left="709" w:right="709" w:firstLine="708"/>
        <w:jc w:val="both"/>
        <w:rPr>
          <w:rFonts w:ascii="Verdana" w:eastAsia="Times New Roman" w:hAnsi="Verdana" w:cs="Arial"/>
          <w:color w:val="00B0F0"/>
          <w:kern w:val="2"/>
          <w:lang w:val="es-ES_tradnl"/>
        </w:rPr>
      </w:pPr>
    </w:p>
    <w:p w14:paraId="6BE6A4C4" w14:textId="77777777" w:rsidR="00123F6C" w:rsidRPr="008A1196" w:rsidRDefault="00123F6C" w:rsidP="00123F6C">
      <w:pPr>
        <w:spacing w:line="240" w:lineRule="auto"/>
        <w:ind w:left="709" w:right="709"/>
        <w:jc w:val="both"/>
        <w:rPr>
          <w:rFonts w:ascii="Verdana" w:hAnsi="Verdana"/>
          <w:color w:val="000000" w:themeColor="text1"/>
          <w:lang w:val="es-MX"/>
        </w:rPr>
      </w:pPr>
      <w:r w:rsidRPr="008A1196">
        <w:rPr>
          <w:rFonts w:ascii="Verdana" w:hAnsi="Verdana"/>
          <w:color w:val="000000" w:themeColor="text1"/>
          <w:lang w:val="es-MX"/>
        </w:rPr>
        <w:t xml:space="preserve">Los </w:t>
      </w:r>
      <w:r w:rsidRPr="008A1196" w:rsidDel="57736099">
        <w:rPr>
          <w:rFonts w:ascii="Verdana" w:hAnsi="Verdana"/>
          <w:color w:val="000000" w:themeColor="text1"/>
          <w:lang w:val="es-MX"/>
        </w:rPr>
        <w:t>P</w:t>
      </w:r>
      <w:r w:rsidRPr="008A1196">
        <w:rPr>
          <w:rFonts w:ascii="Verdana" w:hAnsi="Verdana"/>
          <w:color w:val="000000" w:themeColor="text1"/>
          <w:lang w:val="es-MX"/>
        </w:rPr>
        <w:t xml:space="preserve">roponentes pueden obtener puntaje de apoyo a la industria nacional por: i) Servicios Nacionales o con Trato Nacional o por ii) la incorporación de componente nacional en servicios extranjeros. La </w:t>
      </w:r>
      <w:r w:rsidRPr="008A1196" w:rsidDel="57736099">
        <w:rPr>
          <w:rFonts w:ascii="Verdana" w:hAnsi="Verdana"/>
          <w:color w:val="000000" w:themeColor="text1"/>
          <w:lang w:val="es-MX"/>
        </w:rPr>
        <w:t>E</w:t>
      </w:r>
      <w:r w:rsidRPr="008A1196">
        <w:rPr>
          <w:rFonts w:ascii="Verdana" w:hAnsi="Verdana"/>
          <w:color w:val="000000" w:themeColor="text1"/>
          <w:lang w:val="es-MX"/>
        </w:rPr>
        <w:t>ntidad en ningún caso otorgará simultáneamente el puntaje por ambos aspectos.</w:t>
      </w:r>
    </w:p>
    <w:p w14:paraId="0A4BEF70" w14:textId="77777777" w:rsidR="00123F6C" w:rsidRDefault="00123F6C" w:rsidP="00123F6C">
      <w:pPr>
        <w:spacing w:line="240" w:lineRule="auto"/>
        <w:ind w:left="709" w:right="709"/>
        <w:jc w:val="both"/>
        <w:rPr>
          <w:rFonts w:ascii="Verdana" w:hAnsi="Verdana"/>
          <w:color w:val="000000" w:themeColor="text1"/>
          <w:lang w:val="es-MX"/>
        </w:rPr>
      </w:pPr>
      <w:r w:rsidRPr="008A1196">
        <w:rPr>
          <w:rFonts w:ascii="Verdana" w:hAnsi="Verdana"/>
          <w:color w:val="000000" w:themeColor="text1"/>
          <w:lang w:val="es-MX"/>
        </w:rPr>
        <w:t>Los puntajes para estimular a la industria nacional se relacionan en la siguiente tabla:</w:t>
      </w:r>
    </w:p>
    <w:tbl>
      <w:tblPr>
        <w:tblW w:w="453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3140"/>
        <w:gridCol w:w="1398"/>
      </w:tblGrid>
      <w:tr w:rsidR="00123F6C" w:rsidRPr="00934212" w14:paraId="2FBDA1E3" w14:textId="77777777" w:rsidTr="008873B2">
        <w:trPr>
          <w:trHeight w:val="340"/>
          <w:tblHeader/>
          <w:jc w:val="center"/>
        </w:trPr>
        <w:tc>
          <w:tcPr>
            <w:tcW w:w="3140" w:type="dxa"/>
            <w:tcBorders>
              <w:top w:val="double" w:sz="4" w:space="0" w:color="auto"/>
              <w:left w:val="double" w:sz="4" w:space="0" w:color="auto"/>
              <w:bottom w:val="single" w:sz="6" w:space="0" w:color="auto"/>
              <w:right w:val="single" w:sz="6" w:space="0" w:color="auto"/>
            </w:tcBorders>
            <w:shd w:val="clear" w:color="auto" w:fill="3B3838" w:themeFill="background2" w:themeFillShade="40"/>
            <w:vAlign w:val="center"/>
            <w:hideMark/>
          </w:tcPr>
          <w:p w14:paraId="1E2D554F" w14:textId="77777777" w:rsidR="00123F6C" w:rsidRPr="00934212" w:rsidRDefault="00123F6C" w:rsidP="008873B2">
            <w:pPr>
              <w:spacing w:after="0" w:line="240" w:lineRule="auto"/>
              <w:jc w:val="center"/>
              <w:rPr>
                <w:rFonts w:ascii="Verdana" w:eastAsia="Times New Roman" w:hAnsi="Verdana" w:cs="Arial"/>
                <w:b/>
                <w:caps/>
                <w:noProof/>
                <w:color w:val="AEAAAA" w:themeColor="background2" w:themeShade="BF"/>
                <w:lang w:val="es-ES"/>
              </w:rPr>
            </w:pPr>
            <w:r w:rsidRPr="00934212">
              <w:rPr>
                <w:rFonts w:ascii="Verdana" w:hAnsi="Verdana" w:cs="Arial"/>
                <w:b/>
                <w:bCs/>
                <w:noProof/>
                <w:color w:val="AEAAAA" w:themeColor="background2" w:themeShade="BF"/>
                <w:lang w:val="es-ES"/>
              </w:rPr>
              <w:t>Concepto</w:t>
            </w:r>
          </w:p>
        </w:tc>
        <w:tc>
          <w:tcPr>
            <w:tcW w:w="1398" w:type="dxa"/>
            <w:tcBorders>
              <w:top w:val="double" w:sz="4" w:space="0" w:color="auto"/>
              <w:left w:val="single" w:sz="6" w:space="0" w:color="auto"/>
              <w:bottom w:val="single" w:sz="6" w:space="0" w:color="auto"/>
              <w:right w:val="double" w:sz="4" w:space="0" w:color="auto"/>
            </w:tcBorders>
            <w:shd w:val="clear" w:color="auto" w:fill="3B3838" w:themeFill="background2" w:themeFillShade="40"/>
            <w:vAlign w:val="center"/>
            <w:hideMark/>
          </w:tcPr>
          <w:p w14:paraId="4C2E8553" w14:textId="77777777" w:rsidR="00123F6C" w:rsidRPr="00934212" w:rsidRDefault="00123F6C" w:rsidP="008873B2">
            <w:pPr>
              <w:spacing w:after="0" w:line="240" w:lineRule="auto"/>
              <w:jc w:val="center"/>
              <w:rPr>
                <w:rFonts w:ascii="Verdana" w:eastAsia="Times New Roman" w:hAnsi="Verdana" w:cs="Arial"/>
                <w:b/>
                <w:caps/>
                <w:noProof/>
                <w:color w:val="AEAAAA" w:themeColor="background2" w:themeShade="BF"/>
                <w:lang w:val="es-ES"/>
              </w:rPr>
            </w:pPr>
            <w:r w:rsidRPr="00934212">
              <w:rPr>
                <w:rFonts w:ascii="Verdana" w:hAnsi="Verdana" w:cs="Arial"/>
                <w:b/>
                <w:bCs/>
                <w:noProof/>
                <w:color w:val="AEAAAA" w:themeColor="background2" w:themeShade="BF"/>
                <w:lang w:val="es-ES"/>
              </w:rPr>
              <w:t>Puntaje</w:t>
            </w:r>
          </w:p>
        </w:tc>
      </w:tr>
      <w:tr w:rsidR="00123F6C" w:rsidRPr="00934212" w14:paraId="3CBE8537" w14:textId="77777777" w:rsidTr="008873B2">
        <w:trPr>
          <w:trHeight w:val="20"/>
          <w:jc w:val="center"/>
        </w:trPr>
        <w:tc>
          <w:tcPr>
            <w:tcW w:w="3140" w:type="dxa"/>
            <w:tcBorders>
              <w:top w:val="single" w:sz="6" w:space="0" w:color="auto"/>
              <w:left w:val="double" w:sz="4" w:space="0" w:color="auto"/>
              <w:bottom w:val="single" w:sz="6" w:space="0" w:color="auto"/>
              <w:right w:val="single" w:sz="6" w:space="0" w:color="auto"/>
            </w:tcBorders>
            <w:vAlign w:val="center"/>
            <w:hideMark/>
          </w:tcPr>
          <w:p w14:paraId="18F8480D" w14:textId="77777777" w:rsidR="00123F6C" w:rsidRPr="00934212" w:rsidRDefault="00123F6C" w:rsidP="008873B2">
            <w:pPr>
              <w:spacing w:after="0" w:line="240" w:lineRule="auto"/>
              <w:jc w:val="both"/>
              <w:rPr>
                <w:rFonts w:ascii="Verdana" w:eastAsia="Times New Roman" w:hAnsi="Verdana" w:cs="Arial"/>
                <w:caps/>
                <w:lang w:val="es-ES"/>
              </w:rPr>
            </w:pPr>
            <w:r w:rsidRPr="00934212">
              <w:rPr>
                <w:rFonts w:ascii="Verdana" w:eastAsia="Times New Roman" w:hAnsi="Verdana" w:cs="Arial"/>
                <w:lang w:val="es-ES"/>
              </w:rPr>
              <w:t>Promoción de Servicios Nacionales o con Trato Nacional</w:t>
            </w:r>
          </w:p>
        </w:tc>
        <w:tc>
          <w:tcPr>
            <w:tcW w:w="1398" w:type="dxa"/>
            <w:tcBorders>
              <w:top w:val="single" w:sz="6" w:space="0" w:color="auto"/>
              <w:left w:val="single" w:sz="6" w:space="0" w:color="auto"/>
              <w:bottom w:val="single" w:sz="6" w:space="0" w:color="auto"/>
              <w:right w:val="double" w:sz="4" w:space="0" w:color="auto"/>
            </w:tcBorders>
            <w:vAlign w:val="center"/>
            <w:hideMark/>
          </w:tcPr>
          <w:p w14:paraId="07F0D240" w14:textId="77777777" w:rsidR="00123F6C" w:rsidRPr="00934212" w:rsidRDefault="00123F6C" w:rsidP="008873B2">
            <w:pPr>
              <w:spacing w:after="0" w:line="240" w:lineRule="auto"/>
              <w:jc w:val="center"/>
              <w:rPr>
                <w:rFonts w:ascii="Verdana" w:eastAsia="Times New Roman" w:hAnsi="Verdana" w:cs="Arial"/>
                <w:caps/>
                <w:lang w:val="es-ES"/>
              </w:rPr>
            </w:pPr>
            <w:r w:rsidRPr="00934212">
              <w:rPr>
                <w:rFonts w:ascii="Verdana" w:eastAsia="Times New Roman" w:hAnsi="Verdana" w:cs="Arial"/>
                <w:lang w:val="es-ES"/>
              </w:rPr>
              <w:t>20</w:t>
            </w:r>
          </w:p>
        </w:tc>
      </w:tr>
      <w:tr w:rsidR="00123F6C" w:rsidRPr="00934212" w14:paraId="0CB09944" w14:textId="77777777" w:rsidTr="008873B2">
        <w:trPr>
          <w:trHeight w:val="20"/>
          <w:jc w:val="center"/>
        </w:trPr>
        <w:tc>
          <w:tcPr>
            <w:tcW w:w="3140" w:type="dxa"/>
            <w:tcBorders>
              <w:top w:val="single" w:sz="6" w:space="0" w:color="auto"/>
              <w:left w:val="double" w:sz="4" w:space="0" w:color="auto"/>
              <w:bottom w:val="double" w:sz="4" w:space="0" w:color="auto"/>
              <w:right w:val="single" w:sz="6" w:space="0" w:color="auto"/>
            </w:tcBorders>
            <w:vAlign w:val="center"/>
            <w:hideMark/>
          </w:tcPr>
          <w:p w14:paraId="74097002" w14:textId="77777777" w:rsidR="00123F6C" w:rsidRPr="00934212" w:rsidRDefault="00123F6C" w:rsidP="008873B2">
            <w:pPr>
              <w:spacing w:after="0" w:line="240" w:lineRule="auto"/>
              <w:jc w:val="both"/>
              <w:rPr>
                <w:rFonts w:ascii="Verdana" w:eastAsia="Times New Roman" w:hAnsi="Verdana" w:cs="Arial"/>
                <w:caps/>
                <w:noProof/>
                <w:lang w:val="es-ES"/>
              </w:rPr>
            </w:pPr>
            <w:r w:rsidRPr="00934212">
              <w:rPr>
                <w:rFonts w:ascii="Verdana" w:eastAsia="Times New Roman" w:hAnsi="Verdana" w:cs="Arial"/>
                <w:noProof/>
                <w:lang w:val="es-ES"/>
              </w:rPr>
              <w:lastRenderedPageBreak/>
              <w:t>Incorporación de componente nacional en servicios extranjeros</w:t>
            </w:r>
          </w:p>
        </w:tc>
        <w:tc>
          <w:tcPr>
            <w:tcW w:w="1398" w:type="dxa"/>
            <w:tcBorders>
              <w:top w:val="single" w:sz="6" w:space="0" w:color="auto"/>
              <w:left w:val="single" w:sz="6" w:space="0" w:color="auto"/>
              <w:bottom w:val="double" w:sz="4" w:space="0" w:color="auto"/>
              <w:right w:val="double" w:sz="4" w:space="0" w:color="auto"/>
            </w:tcBorders>
            <w:vAlign w:val="center"/>
            <w:hideMark/>
          </w:tcPr>
          <w:p w14:paraId="291B058C" w14:textId="77777777" w:rsidR="00123F6C" w:rsidRPr="00934212" w:rsidRDefault="00123F6C" w:rsidP="008873B2">
            <w:pPr>
              <w:spacing w:after="0" w:line="240" w:lineRule="auto"/>
              <w:jc w:val="center"/>
              <w:rPr>
                <w:rFonts w:ascii="Verdana" w:eastAsia="Times New Roman" w:hAnsi="Verdana" w:cs="Arial"/>
                <w:caps/>
                <w:noProof/>
                <w:lang w:val="es-ES"/>
              </w:rPr>
            </w:pPr>
            <w:r w:rsidRPr="00934212">
              <w:rPr>
                <w:rFonts w:ascii="Verdana" w:eastAsia="Times New Roman" w:hAnsi="Verdana" w:cs="Arial"/>
                <w:noProof/>
                <w:lang w:val="es-ES"/>
              </w:rPr>
              <w:t>5</w:t>
            </w:r>
          </w:p>
        </w:tc>
      </w:tr>
    </w:tbl>
    <w:p w14:paraId="6DF46B2A" w14:textId="77777777" w:rsidR="00123F6C" w:rsidRPr="003D66CB" w:rsidRDefault="00123F6C" w:rsidP="00123F6C">
      <w:pPr>
        <w:tabs>
          <w:tab w:val="left" w:pos="709"/>
        </w:tabs>
        <w:spacing w:after="0" w:line="276" w:lineRule="auto"/>
        <w:jc w:val="both"/>
        <w:rPr>
          <w:rFonts w:ascii="Verdana" w:eastAsia="Times New Roman" w:hAnsi="Verdana" w:cs="Arial"/>
          <w:bCs/>
          <w:color w:val="00B0F0"/>
          <w:kern w:val="2"/>
          <w:lang w:val="es-ES_tradnl"/>
        </w:rPr>
      </w:pPr>
    </w:p>
    <w:p w14:paraId="54C02391" w14:textId="77777777" w:rsidR="00123F6C" w:rsidRPr="003D66CB" w:rsidRDefault="00123F6C" w:rsidP="00123F6C">
      <w:pPr>
        <w:tabs>
          <w:tab w:val="left" w:pos="709"/>
        </w:tabs>
        <w:spacing w:after="0" w:line="276" w:lineRule="auto"/>
        <w:ind w:firstLine="709"/>
        <w:jc w:val="both"/>
        <w:rPr>
          <w:rFonts w:ascii="Verdana" w:eastAsia="Times New Roman" w:hAnsi="Verdana" w:cs="Arial"/>
          <w:color w:val="00B0F0"/>
          <w:kern w:val="2"/>
          <w:lang w:val="es-ES"/>
        </w:rPr>
      </w:pPr>
      <w:r w:rsidRPr="00405537">
        <w:rPr>
          <w:rFonts w:ascii="Verdana" w:eastAsia="Times New Roman" w:hAnsi="Verdana" w:cs="Arial"/>
          <w:kern w:val="2"/>
          <w:lang w:val="es-ES"/>
        </w:rPr>
        <w:t xml:space="preserve">Así mismo, el numeral 4.3.1 </w:t>
      </w:r>
      <w:r w:rsidRPr="00405537">
        <w:rPr>
          <w:rFonts w:ascii="Verdana" w:eastAsia="Times New Roman" w:hAnsi="Verdana" w:cs="Arial"/>
          <w:i/>
          <w:kern w:val="2"/>
          <w:lang w:val="es-ES"/>
        </w:rPr>
        <w:t>ibidem</w:t>
      </w:r>
      <w:r w:rsidRPr="00405537">
        <w:rPr>
          <w:rFonts w:ascii="Verdana" w:eastAsia="Times New Roman" w:hAnsi="Verdana" w:cs="Arial"/>
          <w:kern w:val="2"/>
          <w:lang w:val="es-ES"/>
        </w:rPr>
        <w:t>, explica cómo el proponente se hace acreedor para el otorgamiento del puntaje por “Promoción de Servicios Nacionales o con Trato Nacional” y las reglas que las entidades deben tener en cuenta para definir el porcentaje de empleados o contratistas por prestación de servicios colombianos. De igual forma, para la acreditación del puntaje por servicios nacionales o con trato nacional, el numeral 4.3.</w:t>
      </w:r>
      <w:r>
        <w:rPr>
          <w:rFonts w:ascii="Verdana" w:eastAsia="Times New Roman" w:hAnsi="Verdana" w:cs="Arial"/>
          <w:kern w:val="2"/>
          <w:lang w:val="es-ES"/>
        </w:rPr>
        <w:t>1.1.</w:t>
      </w:r>
      <w:r w:rsidRPr="00405537">
        <w:rPr>
          <w:rFonts w:ascii="Verdana" w:eastAsia="Times New Roman" w:hAnsi="Verdana" w:cs="Arial"/>
          <w:kern w:val="2"/>
          <w:lang w:val="es-ES"/>
        </w:rPr>
        <w:t xml:space="preserve"> prevé que: </w:t>
      </w:r>
    </w:p>
    <w:p w14:paraId="6A214E82" w14:textId="77777777" w:rsidR="00123F6C" w:rsidRPr="003D66CB" w:rsidRDefault="00123F6C" w:rsidP="00123F6C">
      <w:pPr>
        <w:tabs>
          <w:tab w:val="left" w:pos="709"/>
        </w:tabs>
        <w:spacing w:after="0" w:line="276" w:lineRule="auto"/>
        <w:ind w:left="709" w:right="709"/>
        <w:jc w:val="both"/>
        <w:rPr>
          <w:rFonts w:ascii="Verdana" w:eastAsia="Times New Roman" w:hAnsi="Verdana" w:cs="Arial"/>
          <w:bCs/>
          <w:color w:val="00B0F0"/>
          <w:kern w:val="2"/>
          <w:lang w:val="es-ES_tradnl"/>
        </w:rPr>
      </w:pPr>
    </w:p>
    <w:p w14:paraId="1ACDD374" w14:textId="77777777" w:rsidR="00123F6C" w:rsidRPr="00EF45BD" w:rsidRDefault="00123F6C" w:rsidP="00123F6C">
      <w:pPr>
        <w:adjustRightInd w:val="0"/>
        <w:snapToGrid w:val="0"/>
        <w:spacing w:after="0" w:line="240" w:lineRule="auto"/>
        <w:ind w:left="709" w:right="709"/>
        <w:jc w:val="both"/>
        <w:rPr>
          <w:rFonts w:ascii="Verdana" w:eastAsia="Times New Roman" w:hAnsi="Verdana" w:cs="Arial"/>
          <w:iCs/>
          <w:sz w:val="21"/>
          <w:szCs w:val="21"/>
        </w:rPr>
      </w:pPr>
      <w:r w:rsidRPr="00EF45BD">
        <w:rPr>
          <w:rFonts w:ascii="Verdana" w:eastAsia="Times New Roman" w:hAnsi="Verdana" w:cs="Arial"/>
          <w:iCs/>
          <w:sz w:val="21"/>
          <w:szCs w:val="21"/>
        </w:rPr>
        <w:t>“[…]</w:t>
      </w:r>
    </w:p>
    <w:p w14:paraId="6535D724" w14:textId="77777777" w:rsidR="00123F6C" w:rsidRPr="00EF45BD" w:rsidRDefault="00123F6C" w:rsidP="00123F6C">
      <w:pPr>
        <w:adjustRightInd w:val="0"/>
        <w:snapToGrid w:val="0"/>
        <w:spacing w:after="0" w:line="240" w:lineRule="auto"/>
        <w:ind w:left="709" w:right="709"/>
        <w:jc w:val="both"/>
        <w:rPr>
          <w:rFonts w:ascii="Verdana" w:eastAsia="Times New Roman" w:hAnsi="Verdana" w:cs="Arial"/>
          <w:iCs/>
          <w:sz w:val="21"/>
          <w:szCs w:val="21"/>
        </w:rPr>
      </w:pPr>
    </w:p>
    <w:p w14:paraId="5D8B5D4A" w14:textId="77777777" w:rsidR="00123F6C" w:rsidRPr="00656B75" w:rsidRDefault="00123F6C" w:rsidP="00123F6C">
      <w:pPr>
        <w:adjustRightInd w:val="0"/>
        <w:snapToGrid w:val="0"/>
        <w:spacing w:after="0" w:line="240" w:lineRule="auto"/>
        <w:ind w:left="709" w:right="709"/>
        <w:jc w:val="both"/>
        <w:rPr>
          <w:rFonts w:ascii="Verdana" w:hAnsi="Verdana" w:cs="Arial"/>
          <w:sz w:val="21"/>
          <w:szCs w:val="21"/>
        </w:rPr>
      </w:pPr>
      <w:r w:rsidRPr="00656B75">
        <w:rPr>
          <w:rFonts w:ascii="Verdana" w:hAnsi="Verdana" w:cs="Arial"/>
          <w:sz w:val="21"/>
          <w:szCs w:val="21"/>
        </w:rPr>
        <w:t xml:space="preserve">Para que el </w:t>
      </w:r>
      <w:r w:rsidRPr="00656B75" w:rsidDel="054D2261">
        <w:rPr>
          <w:rFonts w:ascii="Verdana" w:hAnsi="Verdana" w:cs="Arial"/>
          <w:sz w:val="21"/>
          <w:szCs w:val="21"/>
        </w:rPr>
        <w:t>P</w:t>
      </w:r>
      <w:r w:rsidRPr="00656B75">
        <w:rPr>
          <w:rFonts w:ascii="Verdana" w:hAnsi="Verdana" w:cs="Arial"/>
          <w:sz w:val="21"/>
          <w:szCs w:val="21"/>
        </w:rPr>
        <w:t xml:space="preserve">roponente nacional obtenga puntaje por Servicios Nacionales debe presentar, además del Formato 9 A – Promoción de Servicios Nacionales o con Trato Nacional, alguno de los siguientes documentos, según corresponda: </w:t>
      </w:r>
    </w:p>
    <w:p w14:paraId="4686B839" w14:textId="77777777" w:rsidR="00123F6C" w:rsidRPr="00656B75" w:rsidRDefault="00123F6C" w:rsidP="00123F6C">
      <w:pPr>
        <w:adjustRightInd w:val="0"/>
        <w:snapToGrid w:val="0"/>
        <w:spacing w:after="0" w:line="240" w:lineRule="auto"/>
        <w:ind w:left="709" w:right="709"/>
        <w:jc w:val="both"/>
        <w:rPr>
          <w:rFonts w:ascii="Verdana" w:eastAsia="Times New Roman" w:hAnsi="Verdana" w:cs="Arial"/>
          <w:iCs/>
          <w:sz w:val="21"/>
          <w:szCs w:val="21"/>
        </w:rPr>
      </w:pPr>
    </w:p>
    <w:p w14:paraId="39564277" w14:textId="77777777" w:rsidR="00123F6C" w:rsidRPr="00656B75" w:rsidRDefault="00123F6C" w:rsidP="00123F6C">
      <w:pPr>
        <w:numPr>
          <w:ilvl w:val="0"/>
          <w:numId w:val="17"/>
        </w:numPr>
        <w:spacing w:line="240" w:lineRule="auto"/>
        <w:ind w:left="709" w:right="758" w:firstLine="0"/>
        <w:contextualSpacing/>
        <w:jc w:val="both"/>
        <w:rPr>
          <w:rFonts w:ascii="Verdana" w:hAnsi="Verdana" w:cs="Arial"/>
          <w:sz w:val="21"/>
          <w:szCs w:val="21"/>
        </w:rPr>
      </w:pPr>
      <w:r w:rsidRPr="00656B75">
        <w:rPr>
          <w:rFonts w:ascii="Verdana" w:hAnsi="Verdana" w:cs="Arial"/>
          <w:sz w:val="21"/>
          <w:szCs w:val="21"/>
        </w:rPr>
        <w:t xml:space="preserve">Persona natural colombiana: La cédula de ciudadanía del </w:t>
      </w:r>
      <w:r w:rsidRPr="00656B75" w:rsidDel="054D2261">
        <w:rPr>
          <w:rFonts w:ascii="Verdana" w:hAnsi="Verdana" w:cs="Arial"/>
          <w:sz w:val="21"/>
          <w:szCs w:val="21"/>
        </w:rPr>
        <w:t>P</w:t>
      </w:r>
      <w:r w:rsidRPr="00656B75">
        <w:rPr>
          <w:rFonts w:ascii="Verdana" w:hAnsi="Verdana" w:cs="Arial"/>
          <w:sz w:val="21"/>
          <w:szCs w:val="21"/>
        </w:rPr>
        <w:t>roponente.</w:t>
      </w:r>
      <w:bookmarkStart w:id="5" w:name="_Hlk80648891"/>
    </w:p>
    <w:p w14:paraId="3D40AE51" w14:textId="77777777" w:rsidR="00123F6C" w:rsidRPr="00656B75" w:rsidRDefault="00123F6C" w:rsidP="00123F6C">
      <w:pPr>
        <w:numPr>
          <w:ilvl w:val="0"/>
          <w:numId w:val="17"/>
        </w:numPr>
        <w:spacing w:line="240" w:lineRule="auto"/>
        <w:ind w:left="709" w:right="758" w:firstLine="0"/>
        <w:contextualSpacing/>
        <w:jc w:val="both"/>
        <w:rPr>
          <w:rFonts w:ascii="Verdana" w:hAnsi="Verdana" w:cs="Arial"/>
          <w:sz w:val="21"/>
          <w:szCs w:val="21"/>
        </w:rPr>
      </w:pPr>
      <w:r w:rsidRPr="00656B75">
        <w:rPr>
          <w:rFonts w:ascii="Verdana" w:hAnsi="Verdana" w:cs="Arial"/>
          <w:iCs/>
          <w:sz w:val="21"/>
          <w:szCs w:val="21"/>
        </w:rPr>
        <w:t xml:space="preserve">Persona natural extranjera residente en Colombia: La visa de residencia que le permita la ejecución del objeto contractual de conformidad con la ley. </w:t>
      </w:r>
      <w:bookmarkEnd w:id="5"/>
    </w:p>
    <w:p w14:paraId="756C2028" w14:textId="77777777" w:rsidR="00123F6C" w:rsidRPr="00656B75" w:rsidRDefault="00123F6C" w:rsidP="00123F6C">
      <w:pPr>
        <w:numPr>
          <w:ilvl w:val="0"/>
          <w:numId w:val="17"/>
        </w:numPr>
        <w:spacing w:line="240" w:lineRule="auto"/>
        <w:ind w:left="709" w:right="758" w:firstLine="0"/>
        <w:contextualSpacing/>
        <w:jc w:val="both"/>
        <w:rPr>
          <w:rFonts w:ascii="Verdana" w:hAnsi="Verdana" w:cs="Arial"/>
          <w:sz w:val="21"/>
          <w:szCs w:val="21"/>
        </w:rPr>
      </w:pPr>
      <w:r w:rsidRPr="00656B75">
        <w:rPr>
          <w:rFonts w:ascii="Verdana" w:hAnsi="Verdana" w:cs="Arial"/>
          <w:iCs/>
          <w:sz w:val="21"/>
          <w:szCs w:val="21"/>
        </w:rPr>
        <w:t>Persona jurídica constituida en Colombia: El certificado de existencia y representación legal emitido por alguna de las cámaras de comercio del país</w:t>
      </w:r>
    </w:p>
    <w:p w14:paraId="501A8A5A" w14:textId="77777777" w:rsidR="00123F6C" w:rsidRDefault="00123F6C" w:rsidP="00123F6C">
      <w:pPr>
        <w:spacing w:line="240" w:lineRule="auto"/>
        <w:ind w:left="709" w:right="758"/>
        <w:contextualSpacing/>
        <w:jc w:val="both"/>
        <w:rPr>
          <w:rFonts w:ascii="Verdana" w:hAnsi="Verdana" w:cs="Arial"/>
        </w:rPr>
      </w:pPr>
    </w:p>
    <w:p w14:paraId="253A8739" w14:textId="77777777" w:rsidR="00123F6C" w:rsidRPr="00EF45BD" w:rsidRDefault="00123F6C" w:rsidP="00123F6C">
      <w:pPr>
        <w:spacing w:line="240" w:lineRule="auto"/>
        <w:ind w:left="709" w:right="758"/>
        <w:contextualSpacing/>
        <w:jc w:val="both"/>
        <w:rPr>
          <w:rFonts w:ascii="Verdana" w:hAnsi="Verdana" w:cs="Arial"/>
        </w:rPr>
      </w:pPr>
      <w:r w:rsidRPr="00EF45BD">
        <w:rPr>
          <w:rFonts w:ascii="Verdana" w:eastAsia="Times New Roman" w:hAnsi="Verdana" w:cs="Arial"/>
          <w:iCs/>
          <w:sz w:val="21"/>
          <w:szCs w:val="21"/>
        </w:rPr>
        <w:t xml:space="preserve">[…]” </w:t>
      </w:r>
    </w:p>
    <w:p w14:paraId="51625818" w14:textId="77777777" w:rsidR="00123F6C" w:rsidRPr="00EF45BD" w:rsidRDefault="00123F6C" w:rsidP="00123F6C">
      <w:pPr>
        <w:tabs>
          <w:tab w:val="left" w:pos="709"/>
        </w:tabs>
        <w:spacing w:after="0" w:line="276" w:lineRule="auto"/>
        <w:jc w:val="both"/>
        <w:rPr>
          <w:rFonts w:ascii="Verdana" w:eastAsia="Times New Roman" w:hAnsi="Verdana" w:cs="Arial"/>
          <w:bCs/>
          <w:kern w:val="2"/>
          <w:lang w:val="es-ES_tradnl"/>
        </w:rPr>
      </w:pPr>
    </w:p>
    <w:p w14:paraId="44DA6803" w14:textId="77777777" w:rsidR="00123F6C" w:rsidRPr="00754D84" w:rsidRDefault="00123F6C" w:rsidP="00123F6C">
      <w:pPr>
        <w:tabs>
          <w:tab w:val="left" w:pos="709"/>
        </w:tabs>
        <w:spacing w:after="120" w:line="276" w:lineRule="auto"/>
        <w:jc w:val="both"/>
        <w:rPr>
          <w:rFonts w:ascii="Verdana" w:eastAsia="Times New Roman" w:hAnsi="Verdana" w:cs="Arial"/>
          <w:bCs/>
          <w:kern w:val="2"/>
          <w:lang w:val="es-ES_tradnl"/>
        </w:rPr>
      </w:pPr>
      <w:r w:rsidRPr="00754D84">
        <w:rPr>
          <w:rFonts w:ascii="Verdana" w:eastAsia="Times New Roman" w:hAnsi="Verdana" w:cs="Arial"/>
          <w:bCs/>
          <w:kern w:val="2"/>
          <w:lang w:val="es-ES_tradnl"/>
        </w:rPr>
        <w:tab/>
        <w:t xml:space="preserve">Así pues, para el otorgamiento del puntaje por apoyo a la industria nacional, un proponente nacional tendrá que presentar los documentos anteriormente enunciados, acompañados del “Formato 9A”, tal y como se indica en el Documento Base de los Documentos Tipo de licitación de obra pública de infraestructura social – versión 2. Este formato, junto con los documentos señalados, deben presentarse con la oferta. </w:t>
      </w:r>
    </w:p>
    <w:p w14:paraId="09D50606" w14:textId="77777777" w:rsidR="00123F6C" w:rsidRPr="00761A50" w:rsidRDefault="00123F6C" w:rsidP="00123F6C">
      <w:pPr>
        <w:tabs>
          <w:tab w:val="left" w:pos="709"/>
        </w:tabs>
        <w:spacing w:after="0" w:line="276" w:lineRule="auto"/>
        <w:ind w:firstLine="709"/>
        <w:jc w:val="both"/>
        <w:rPr>
          <w:rFonts w:ascii="Verdana" w:eastAsia="Times New Roman" w:hAnsi="Verdana" w:cs="Arial"/>
          <w:bCs/>
          <w:kern w:val="2"/>
          <w:lang w:val="es-ES_tradnl"/>
        </w:rPr>
      </w:pPr>
      <w:r w:rsidRPr="00761A50">
        <w:rPr>
          <w:rFonts w:ascii="Verdana" w:eastAsia="Times New Roman" w:hAnsi="Verdana" w:cs="Arial"/>
          <w:bCs/>
          <w:kern w:val="2"/>
          <w:lang w:val="es-ES_tradnl"/>
        </w:rPr>
        <w:t>El “Formato 9A – Promoción de Servicios Nacionales o con Trato Nacional” comienza con una nota aclaratoria con relación a su alcance, en la cual dispone que:</w:t>
      </w:r>
    </w:p>
    <w:p w14:paraId="4C54B9DE" w14:textId="77777777" w:rsidR="00123F6C" w:rsidRPr="00761A50" w:rsidRDefault="00123F6C" w:rsidP="00123F6C">
      <w:pPr>
        <w:tabs>
          <w:tab w:val="left" w:pos="-142"/>
        </w:tabs>
        <w:autoSpaceDE w:val="0"/>
        <w:autoSpaceDN w:val="0"/>
        <w:adjustRightInd w:val="0"/>
        <w:snapToGrid w:val="0"/>
        <w:spacing w:after="0" w:line="240" w:lineRule="auto"/>
        <w:ind w:left="709" w:right="709"/>
        <w:jc w:val="both"/>
        <w:outlineLvl w:val="0"/>
        <w:rPr>
          <w:rFonts w:ascii="Verdana" w:eastAsia="Times New Roman" w:hAnsi="Verdana" w:cs="Arial"/>
          <w:kern w:val="2"/>
          <w:sz w:val="21"/>
          <w:szCs w:val="21"/>
          <w:lang w:val="es-ES_tradnl" w:eastAsia="es-ES"/>
        </w:rPr>
      </w:pPr>
      <w:r w:rsidRPr="00761A50">
        <w:rPr>
          <w:rFonts w:ascii="Verdana" w:eastAsia="Times New Roman" w:hAnsi="Verdana" w:cs="Arial"/>
          <w:kern w:val="2"/>
          <w:sz w:val="21"/>
          <w:szCs w:val="21"/>
          <w:highlight w:val="lightGray"/>
          <w:lang w:val="es-ES_tradnl" w:eastAsia="es-ES"/>
        </w:rPr>
        <w:lastRenderedPageBreak/>
        <w:t>“</w:t>
      </w:r>
      <w:r w:rsidRPr="00761A50" w:rsidDel="00E3109C">
        <w:rPr>
          <w:rFonts w:ascii="Verdana" w:eastAsia="Times New Roman" w:hAnsi="Verdana" w:cs="Arial"/>
          <w:kern w:val="2"/>
          <w:sz w:val="21"/>
          <w:szCs w:val="21"/>
          <w:highlight w:val="lightGray"/>
          <w:lang w:val="es-ES_tradnl" w:eastAsia="es-ES"/>
        </w:rPr>
        <w:t>[</w:t>
      </w:r>
      <w:r w:rsidRPr="00761A50">
        <w:rPr>
          <w:rFonts w:ascii="Verdana" w:eastAsia="Times New Roman" w:hAnsi="Verdana" w:cs="Arial"/>
          <w:kern w:val="2"/>
          <w:sz w:val="21"/>
          <w:szCs w:val="21"/>
          <w:highlight w:val="lightGray"/>
          <w:lang w:val="es-ES_tradnl" w:eastAsia="es-ES"/>
        </w:rPr>
        <w:t>Este Formato ÚNICAMENTE debe ser diligenciado por los Proponentes nacionales o extranjeros con trato nacional, o los Proponentes Plurales integrados por estos. En ningún caso el Formato debe diligenciarse por los Proponentes extranjeros sin derecho a trato nacional que opten por el puntaje correspondiente a la incorporación de componente nacional en servicios extranjeros]”</w:t>
      </w:r>
    </w:p>
    <w:p w14:paraId="696B617F" w14:textId="77777777" w:rsidR="00123F6C" w:rsidRPr="003D66CB" w:rsidRDefault="00123F6C" w:rsidP="00123F6C">
      <w:pPr>
        <w:tabs>
          <w:tab w:val="left" w:pos="709"/>
        </w:tabs>
        <w:spacing w:after="0" w:line="276" w:lineRule="auto"/>
        <w:ind w:firstLine="709"/>
        <w:jc w:val="both"/>
        <w:rPr>
          <w:rFonts w:ascii="Verdana" w:eastAsia="Times New Roman" w:hAnsi="Verdana" w:cs="Arial"/>
          <w:bCs/>
          <w:color w:val="00B0F0"/>
          <w:kern w:val="2"/>
          <w:lang w:val="es-ES_tradnl"/>
        </w:rPr>
      </w:pPr>
    </w:p>
    <w:p w14:paraId="57883BE6" w14:textId="77777777" w:rsidR="00123F6C" w:rsidRPr="00F84AB7" w:rsidRDefault="00123F6C" w:rsidP="00123F6C">
      <w:pPr>
        <w:tabs>
          <w:tab w:val="left" w:pos="709"/>
        </w:tabs>
        <w:adjustRightInd w:val="0"/>
        <w:snapToGrid w:val="0"/>
        <w:spacing w:after="120" w:line="276" w:lineRule="auto"/>
        <w:ind w:firstLine="709"/>
        <w:jc w:val="both"/>
        <w:rPr>
          <w:rFonts w:ascii="Verdana" w:eastAsia="Times New Roman" w:hAnsi="Verdana" w:cs="Arial"/>
          <w:bCs/>
          <w:kern w:val="2"/>
          <w:lang w:val="es-ES_tradnl"/>
        </w:rPr>
      </w:pPr>
      <w:r w:rsidRPr="00F84AB7">
        <w:rPr>
          <w:rFonts w:ascii="Verdana" w:eastAsia="Times New Roman" w:hAnsi="Verdana" w:cs="Arial"/>
          <w:bCs/>
          <w:kern w:val="2"/>
          <w:lang w:val="es-ES_tradnl"/>
        </w:rPr>
        <w:t xml:space="preserve">De acuerdo con el ámbito de aplicación de la primera franja del puntaje por apoyo a la industria nacional, el “Formato 9A” solo debe ser diligenciado por proponentes nacionales o extranjeros con derecho a trato nacional, al igual que por los proponentes plurales que estos conformen. Lo anterior comoquiera que son estos los sujetos habilitados para acceder al puntaje al que se refiere el primer inciso del artículo 2 de la Ley 816 de 2003.  </w:t>
      </w:r>
    </w:p>
    <w:p w14:paraId="206EBC93" w14:textId="77777777" w:rsidR="00123F6C" w:rsidRPr="00EC1B85" w:rsidRDefault="00123F6C" w:rsidP="00123F6C">
      <w:pPr>
        <w:tabs>
          <w:tab w:val="left" w:pos="709"/>
        </w:tabs>
        <w:adjustRightInd w:val="0"/>
        <w:snapToGrid w:val="0"/>
        <w:spacing w:after="0" w:line="276" w:lineRule="auto"/>
        <w:ind w:firstLine="709"/>
        <w:jc w:val="both"/>
        <w:rPr>
          <w:rFonts w:ascii="Verdana" w:eastAsia="Times New Roman" w:hAnsi="Verdana" w:cs="Arial"/>
          <w:bCs/>
          <w:kern w:val="2"/>
          <w:lang w:val="es-ES_tradnl"/>
        </w:rPr>
      </w:pPr>
      <w:r w:rsidRPr="00EC1B85">
        <w:rPr>
          <w:rFonts w:ascii="Verdana" w:eastAsia="Times New Roman" w:hAnsi="Verdana" w:cs="Arial"/>
          <w:bCs/>
          <w:kern w:val="2"/>
          <w:lang w:val="es-ES_tradnl"/>
        </w:rPr>
        <w:t>Teniendo en cuenta su consulta, es importante señalar que el “FORMATO 9A – PROMOCIÓN DE SERVICIOS NACIONALES O CON TRATO NACIONAL” contempla lo siguiente:</w:t>
      </w:r>
    </w:p>
    <w:p w14:paraId="53451AF5" w14:textId="77777777" w:rsidR="00123F6C" w:rsidRPr="003D66CB" w:rsidRDefault="00123F6C" w:rsidP="00123F6C">
      <w:pPr>
        <w:tabs>
          <w:tab w:val="left" w:pos="-142"/>
        </w:tabs>
        <w:autoSpaceDE w:val="0"/>
        <w:autoSpaceDN w:val="0"/>
        <w:adjustRightInd w:val="0"/>
        <w:spacing w:after="0" w:line="240" w:lineRule="auto"/>
        <w:ind w:left="708"/>
        <w:jc w:val="both"/>
        <w:outlineLvl w:val="0"/>
        <w:rPr>
          <w:rFonts w:ascii="Arial" w:eastAsia="Times New Roman" w:hAnsi="Arial" w:cs="Arial"/>
          <w:color w:val="00B0F0"/>
          <w:sz w:val="20"/>
          <w:szCs w:val="20"/>
          <w:lang w:eastAsia="es-ES"/>
        </w:rPr>
      </w:pPr>
    </w:p>
    <w:p w14:paraId="1D2814C1" w14:textId="77777777" w:rsidR="00123F6C" w:rsidRPr="001C34A0" w:rsidRDefault="00123F6C" w:rsidP="00123F6C">
      <w:pPr>
        <w:pStyle w:val="InviasNormal"/>
        <w:spacing w:before="0" w:after="0"/>
        <w:ind w:left="709" w:right="709"/>
        <w:rPr>
          <w:rFonts w:ascii="Verdana" w:hAnsi="Verdana"/>
          <w:sz w:val="21"/>
          <w:szCs w:val="21"/>
        </w:rPr>
      </w:pPr>
      <w:r w:rsidRPr="001C34A0">
        <w:rPr>
          <w:rFonts w:ascii="Verdana" w:hAnsi="Verdana"/>
          <w:sz w:val="21"/>
          <w:szCs w:val="21"/>
        </w:rPr>
        <w:t>“Señores</w:t>
      </w:r>
    </w:p>
    <w:p w14:paraId="25B0EB3C" w14:textId="77777777" w:rsidR="00123F6C" w:rsidRPr="001C34A0" w:rsidRDefault="00123F6C" w:rsidP="00123F6C">
      <w:pPr>
        <w:tabs>
          <w:tab w:val="left" w:pos="-142"/>
        </w:tabs>
        <w:autoSpaceDE w:val="0"/>
        <w:autoSpaceDN w:val="0"/>
        <w:adjustRightInd w:val="0"/>
        <w:spacing w:after="0" w:line="240" w:lineRule="auto"/>
        <w:ind w:left="709" w:right="709"/>
        <w:jc w:val="both"/>
        <w:rPr>
          <w:rFonts w:ascii="Verdana" w:eastAsia="Times New Roman" w:hAnsi="Verdana" w:cs="Arial"/>
          <w:b/>
          <w:bCs/>
          <w:sz w:val="21"/>
          <w:szCs w:val="21"/>
          <w:lang w:eastAsia="es-ES"/>
        </w:rPr>
      </w:pPr>
      <w:r w:rsidRPr="001C34A0">
        <w:rPr>
          <w:rFonts w:ascii="Verdana" w:eastAsia="Times New Roman" w:hAnsi="Verdana" w:cs="Arial"/>
          <w:b/>
          <w:bCs/>
          <w:sz w:val="21"/>
          <w:szCs w:val="21"/>
          <w:highlight w:val="lightGray"/>
          <w:lang w:eastAsia="es-ES"/>
        </w:rPr>
        <w:t>[NOMBRE DE LA ENTIDAD]</w:t>
      </w:r>
    </w:p>
    <w:p w14:paraId="0F3D1C57" w14:textId="77777777" w:rsidR="00123F6C" w:rsidRPr="001C34A0" w:rsidRDefault="00123F6C" w:rsidP="00123F6C">
      <w:pPr>
        <w:tabs>
          <w:tab w:val="left" w:pos="-142"/>
          <w:tab w:val="center" w:pos="4419"/>
        </w:tabs>
        <w:autoSpaceDE w:val="0"/>
        <w:autoSpaceDN w:val="0"/>
        <w:adjustRightInd w:val="0"/>
        <w:spacing w:after="0" w:line="240" w:lineRule="auto"/>
        <w:ind w:left="709" w:right="709"/>
        <w:jc w:val="both"/>
        <w:rPr>
          <w:rFonts w:ascii="Verdana" w:eastAsia="Times New Roman" w:hAnsi="Verdana" w:cs="Arial"/>
          <w:sz w:val="21"/>
          <w:szCs w:val="21"/>
          <w:highlight w:val="lightGray"/>
          <w:lang w:eastAsia="es-ES"/>
        </w:rPr>
      </w:pPr>
      <w:r w:rsidRPr="001C34A0">
        <w:rPr>
          <w:rFonts w:ascii="Verdana" w:eastAsia="Times New Roman" w:hAnsi="Verdana" w:cs="Arial"/>
          <w:sz w:val="21"/>
          <w:szCs w:val="21"/>
          <w:highlight w:val="lightGray"/>
          <w:lang w:eastAsia="es-ES"/>
        </w:rPr>
        <w:t xml:space="preserve">[Dirección de la Entidad] </w:t>
      </w:r>
    </w:p>
    <w:p w14:paraId="3674EA48" w14:textId="77777777" w:rsidR="00123F6C" w:rsidRPr="001C34A0" w:rsidRDefault="00123F6C" w:rsidP="00123F6C">
      <w:pPr>
        <w:tabs>
          <w:tab w:val="left" w:pos="-142"/>
        </w:tabs>
        <w:autoSpaceDE w:val="0"/>
        <w:autoSpaceDN w:val="0"/>
        <w:adjustRightInd w:val="0"/>
        <w:spacing w:after="0" w:line="240" w:lineRule="auto"/>
        <w:ind w:left="709" w:right="709"/>
        <w:jc w:val="both"/>
        <w:rPr>
          <w:rFonts w:ascii="Verdana" w:eastAsia="Times New Roman" w:hAnsi="Verdana" w:cs="Arial"/>
          <w:sz w:val="21"/>
          <w:szCs w:val="21"/>
          <w:lang w:eastAsia="es-ES"/>
        </w:rPr>
      </w:pPr>
      <w:r w:rsidRPr="001C34A0">
        <w:rPr>
          <w:rFonts w:ascii="Verdana" w:eastAsia="Times New Roman" w:hAnsi="Verdana" w:cs="Arial"/>
          <w:sz w:val="21"/>
          <w:szCs w:val="21"/>
          <w:highlight w:val="lightGray"/>
          <w:lang w:eastAsia="es-ES"/>
        </w:rPr>
        <w:t>[Ciudad]</w:t>
      </w:r>
      <w:r w:rsidRPr="001C34A0">
        <w:rPr>
          <w:rFonts w:ascii="Verdana" w:eastAsia="Times New Roman" w:hAnsi="Verdana" w:cs="Arial"/>
          <w:sz w:val="21"/>
          <w:szCs w:val="21"/>
          <w:lang w:eastAsia="es-ES"/>
        </w:rPr>
        <w:t xml:space="preserve"> </w:t>
      </w:r>
    </w:p>
    <w:p w14:paraId="3E4C9A3B" w14:textId="77777777" w:rsidR="00123F6C" w:rsidRPr="001C34A0" w:rsidRDefault="00123F6C" w:rsidP="00123F6C">
      <w:pPr>
        <w:numPr>
          <w:ilvl w:val="12"/>
          <w:numId w:val="0"/>
        </w:numPr>
        <w:spacing w:before="120" w:after="120" w:line="240" w:lineRule="auto"/>
        <w:ind w:left="709" w:right="709"/>
        <w:jc w:val="both"/>
        <w:rPr>
          <w:rFonts w:ascii="Verdana" w:eastAsia="Times New Roman" w:hAnsi="Verdana" w:cs="Arial"/>
          <w:b/>
          <w:sz w:val="21"/>
          <w:szCs w:val="21"/>
          <w:lang w:eastAsia="es-ES"/>
        </w:rPr>
      </w:pPr>
    </w:p>
    <w:p w14:paraId="1BC5AD9E" w14:textId="77777777" w:rsidR="00123F6C" w:rsidRPr="001C34A0" w:rsidRDefault="00123F6C" w:rsidP="00123F6C">
      <w:pPr>
        <w:tabs>
          <w:tab w:val="left" w:pos="-142"/>
        </w:tabs>
        <w:autoSpaceDE w:val="0"/>
        <w:autoSpaceDN w:val="0"/>
        <w:adjustRightInd w:val="0"/>
        <w:spacing w:after="0" w:line="240" w:lineRule="auto"/>
        <w:ind w:left="709" w:right="709"/>
        <w:jc w:val="both"/>
        <w:rPr>
          <w:rFonts w:ascii="Verdana" w:eastAsia="Times New Roman" w:hAnsi="Verdana" w:cs="Arial"/>
          <w:b/>
          <w:bCs/>
          <w:sz w:val="21"/>
          <w:szCs w:val="21"/>
          <w:u w:val="single"/>
          <w:lang w:eastAsia="es-ES"/>
        </w:rPr>
      </w:pPr>
      <w:r w:rsidRPr="001C34A0">
        <w:rPr>
          <w:rFonts w:ascii="Verdana" w:eastAsia="Times New Roman" w:hAnsi="Verdana" w:cs="Arial"/>
          <w:b/>
          <w:bCs/>
          <w:sz w:val="21"/>
          <w:szCs w:val="21"/>
          <w:lang w:eastAsia="es-ES"/>
        </w:rPr>
        <w:t>REFERENCIA:</w:t>
      </w:r>
      <w:r w:rsidRPr="001C34A0">
        <w:rPr>
          <w:rFonts w:ascii="Verdana" w:eastAsia="Times New Roman" w:hAnsi="Verdana" w:cs="Arial"/>
          <w:sz w:val="21"/>
          <w:szCs w:val="21"/>
          <w:lang w:eastAsia="es-ES"/>
        </w:rPr>
        <w:t xml:space="preserve"> Proceso de Contratación </w:t>
      </w:r>
      <w:r w:rsidRPr="001C34A0">
        <w:rPr>
          <w:rFonts w:ascii="Verdana" w:eastAsia="Times New Roman" w:hAnsi="Verdana" w:cs="Arial"/>
          <w:sz w:val="21"/>
          <w:szCs w:val="21"/>
          <w:highlight w:val="lightGray"/>
          <w:lang w:eastAsia="es-ES" w:bidi="en-US"/>
        </w:rPr>
        <w:t>[Incluir número del Proceso de Contratación]</w:t>
      </w:r>
      <w:r w:rsidRPr="001C34A0">
        <w:rPr>
          <w:rFonts w:ascii="Verdana" w:eastAsia="Times New Roman" w:hAnsi="Verdana" w:cs="Arial"/>
          <w:sz w:val="21"/>
          <w:szCs w:val="21"/>
          <w:lang w:eastAsia="es-ES"/>
        </w:rPr>
        <w:t xml:space="preserve">, en adelante el “Proceso de contratación” </w:t>
      </w:r>
    </w:p>
    <w:p w14:paraId="09A23442" w14:textId="77777777" w:rsidR="00123F6C" w:rsidRPr="001C34A0" w:rsidRDefault="00123F6C" w:rsidP="00123F6C">
      <w:pPr>
        <w:spacing w:after="0" w:line="240" w:lineRule="auto"/>
        <w:ind w:left="709" w:right="709"/>
        <w:rPr>
          <w:rFonts w:ascii="Verdana" w:eastAsia="Times New Roman" w:hAnsi="Verdana" w:cs="Arial"/>
          <w:sz w:val="21"/>
          <w:szCs w:val="21"/>
          <w:lang w:eastAsia="es-ES"/>
        </w:rPr>
      </w:pPr>
      <w:r w:rsidRPr="001C34A0">
        <w:rPr>
          <w:rFonts w:ascii="Verdana" w:eastAsia="Times New Roman" w:hAnsi="Verdana" w:cs="Arial"/>
          <w:sz w:val="21"/>
          <w:szCs w:val="21"/>
          <w:lang w:eastAsia="es-ES"/>
        </w:rPr>
        <w:t xml:space="preserve">Objeto: </w:t>
      </w:r>
    </w:p>
    <w:p w14:paraId="2EBB81BF" w14:textId="77777777" w:rsidR="00123F6C" w:rsidRPr="001C34A0" w:rsidRDefault="00123F6C" w:rsidP="00123F6C">
      <w:pPr>
        <w:spacing w:after="0" w:line="240" w:lineRule="auto"/>
        <w:ind w:left="709" w:right="709"/>
        <w:jc w:val="both"/>
        <w:rPr>
          <w:rFonts w:ascii="Verdana" w:eastAsia="Times New Roman" w:hAnsi="Verdana" w:cs="Arial"/>
          <w:sz w:val="21"/>
          <w:szCs w:val="21"/>
          <w:lang w:eastAsia="es-ES" w:bidi="en-US"/>
        </w:rPr>
      </w:pPr>
      <w:r w:rsidRPr="001C34A0">
        <w:rPr>
          <w:rFonts w:ascii="Verdana" w:eastAsia="Times New Roman" w:hAnsi="Verdana" w:cs="Arial"/>
          <w:sz w:val="21"/>
          <w:szCs w:val="21"/>
          <w:highlight w:val="lightGray"/>
          <w:lang w:eastAsia="es-ES" w:bidi="en-US"/>
        </w:rPr>
        <w:t>[Incluir cuando el proceso es estructurado por lotes o grupos]</w:t>
      </w:r>
      <w:r w:rsidRPr="001C34A0">
        <w:rPr>
          <w:rFonts w:ascii="Verdana" w:eastAsia="Times New Roman" w:hAnsi="Verdana" w:cs="Arial"/>
          <w:sz w:val="21"/>
          <w:szCs w:val="21"/>
          <w:lang w:eastAsia="es-ES"/>
        </w:rPr>
        <w:t xml:space="preserve"> Lote: </w:t>
      </w:r>
      <w:r w:rsidRPr="001C34A0">
        <w:rPr>
          <w:rFonts w:ascii="Verdana" w:eastAsia="Times New Roman" w:hAnsi="Verdana" w:cs="Arial"/>
          <w:sz w:val="21"/>
          <w:szCs w:val="21"/>
          <w:highlight w:val="lightGray"/>
          <w:lang w:eastAsia="es-ES" w:bidi="en-US"/>
        </w:rPr>
        <w:t>[Indicar el lote o lotes a los cuales se presenta oferta.]</w:t>
      </w:r>
    </w:p>
    <w:p w14:paraId="6A6D57F2" w14:textId="77777777" w:rsidR="00123F6C" w:rsidRPr="001C34A0" w:rsidRDefault="00123F6C" w:rsidP="00123F6C">
      <w:pPr>
        <w:spacing w:after="0" w:line="240" w:lineRule="auto"/>
        <w:ind w:left="709" w:right="709"/>
        <w:jc w:val="both"/>
        <w:rPr>
          <w:rFonts w:ascii="Verdana" w:eastAsia="Times New Roman" w:hAnsi="Verdana" w:cs="Arial"/>
          <w:sz w:val="21"/>
          <w:szCs w:val="21"/>
          <w:lang w:eastAsia="es-ES"/>
        </w:rPr>
      </w:pPr>
    </w:p>
    <w:p w14:paraId="7FD3DDC4" w14:textId="77777777" w:rsidR="00123F6C" w:rsidRPr="001C34A0" w:rsidRDefault="00123F6C" w:rsidP="00123F6C">
      <w:pPr>
        <w:autoSpaceDE w:val="0"/>
        <w:autoSpaceDN w:val="0"/>
        <w:adjustRightInd w:val="0"/>
        <w:spacing w:before="120" w:after="240" w:line="240" w:lineRule="auto"/>
        <w:ind w:left="709" w:right="709"/>
        <w:jc w:val="both"/>
        <w:rPr>
          <w:rFonts w:ascii="Verdana" w:eastAsiaTheme="minorEastAsia" w:hAnsi="Verdana" w:cs="Arial"/>
          <w:sz w:val="21"/>
          <w:szCs w:val="21"/>
          <w:lang w:eastAsia="es-ES"/>
        </w:rPr>
      </w:pPr>
      <w:r w:rsidRPr="001C34A0">
        <w:rPr>
          <w:rFonts w:ascii="Verdana" w:eastAsiaTheme="minorEastAsia" w:hAnsi="Verdana" w:cs="Arial"/>
          <w:sz w:val="21"/>
          <w:szCs w:val="21"/>
          <w:lang w:eastAsia="es-ES"/>
        </w:rPr>
        <w:t>Estimados señores:</w:t>
      </w:r>
    </w:p>
    <w:p w14:paraId="7DEF95E5" w14:textId="77777777" w:rsidR="00123F6C" w:rsidRDefault="00123F6C" w:rsidP="00123F6C">
      <w:pPr>
        <w:spacing w:before="240" w:after="120" w:line="240" w:lineRule="auto"/>
        <w:ind w:left="709" w:right="709"/>
        <w:jc w:val="both"/>
        <w:rPr>
          <w:rFonts w:ascii="Verdana" w:eastAsia="Times New Roman" w:hAnsi="Verdana" w:cs="Arial"/>
          <w:sz w:val="21"/>
          <w:szCs w:val="21"/>
          <w:lang w:eastAsia="es-ES" w:bidi="en-US"/>
        </w:rPr>
      </w:pPr>
      <w:r w:rsidRPr="001C34A0">
        <w:rPr>
          <w:rFonts w:ascii="Verdana" w:eastAsia="Times New Roman" w:hAnsi="Verdana" w:cs="Arial"/>
          <w:sz w:val="21"/>
          <w:szCs w:val="21"/>
          <w:highlight w:val="lightGray"/>
          <w:lang w:eastAsia="es-ES"/>
        </w:rPr>
        <w:fldChar w:fldCharType="begin"/>
      </w:r>
      <w:r w:rsidRPr="001C34A0">
        <w:rPr>
          <w:rFonts w:ascii="Verdana" w:eastAsia="Times New Roman" w:hAnsi="Verdana" w:cs="Arial"/>
          <w:sz w:val="21"/>
          <w:szCs w:val="21"/>
          <w:highlight w:val="lightGray"/>
          <w:lang w:eastAsia="es-ES" w:bidi="en-US"/>
        </w:rPr>
        <w:instrText xml:space="preserve"> MACROBUTTON  AbrirEspacioPárrafo "[Nombre del representante legal del Proponente]" </w:instrText>
      </w:r>
      <w:r w:rsidRPr="001C34A0">
        <w:rPr>
          <w:rFonts w:ascii="Verdana" w:eastAsia="Times New Roman" w:hAnsi="Verdana" w:cs="Arial"/>
          <w:sz w:val="21"/>
          <w:szCs w:val="21"/>
          <w:highlight w:val="lightGray"/>
          <w:lang w:eastAsia="es-ES" w:bidi="en-US"/>
        </w:rPr>
        <w:fldChar w:fldCharType="end"/>
      </w:r>
      <w:r w:rsidRPr="001C34A0">
        <w:rPr>
          <w:rFonts w:ascii="Verdana" w:eastAsia="Times New Roman" w:hAnsi="Verdana" w:cs="Arial"/>
          <w:sz w:val="21"/>
          <w:szCs w:val="21"/>
          <w:lang w:eastAsia="es-ES" w:bidi="en-US"/>
        </w:rPr>
        <w:t>e</w:t>
      </w:r>
      <w:r w:rsidRPr="001C34A0">
        <w:rPr>
          <w:rFonts w:ascii="Verdana" w:eastAsiaTheme="minorEastAsia" w:hAnsi="Verdana" w:cs="Arial"/>
          <w:sz w:val="21"/>
          <w:szCs w:val="21"/>
          <w:lang w:eastAsia="es-ES"/>
        </w:rPr>
        <w:t xml:space="preserve">n mi calidad de representante legal de </w:t>
      </w:r>
      <w:r w:rsidRPr="001C34A0">
        <w:rPr>
          <w:rFonts w:ascii="Verdana" w:eastAsiaTheme="minorEastAsia" w:hAnsi="Verdana" w:cs="Arial"/>
          <w:sz w:val="21"/>
          <w:szCs w:val="21"/>
          <w:highlight w:val="lightGray"/>
          <w:lang w:eastAsia="es-ES"/>
        </w:rPr>
        <w:t>[Nombre del Proponente - persona jurídica]</w:t>
      </w:r>
      <w:r w:rsidRPr="001C34A0">
        <w:rPr>
          <w:rFonts w:ascii="Verdana" w:eastAsiaTheme="minorEastAsia" w:hAnsi="Verdana" w:cs="Arial"/>
          <w:sz w:val="21"/>
          <w:szCs w:val="21"/>
          <w:lang w:eastAsia="es-ES"/>
        </w:rPr>
        <w:t xml:space="preserve"> </w:t>
      </w:r>
      <w:r w:rsidRPr="001C34A0">
        <w:rPr>
          <w:rFonts w:ascii="Verdana" w:eastAsia="Times New Roman" w:hAnsi="Verdana" w:cs="Arial"/>
          <w:sz w:val="21"/>
          <w:szCs w:val="21"/>
          <w:lang w:eastAsia="es-ES" w:bidi="en-US"/>
        </w:rPr>
        <w:t xml:space="preserve">o </w:t>
      </w:r>
      <w:r w:rsidRPr="001C34A0">
        <w:rPr>
          <w:rFonts w:ascii="Verdana" w:eastAsia="Times New Roman" w:hAnsi="Verdana" w:cs="Arial"/>
          <w:sz w:val="21"/>
          <w:szCs w:val="21"/>
          <w:highlight w:val="lightGray"/>
          <w:lang w:eastAsia="es-ES"/>
        </w:rPr>
        <w:t>[Nombre del Proponente- persona natural]</w:t>
      </w:r>
      <w:r w:rsidRPr="001C34A0">
        <w:rPr>
          <w:rFonts w:ascii="Verdana" w:eastAsia="Times New Roman" w:hAnsi="Verdana" w:cs="Arial"/>
          <w:sz w:val="21"/>
          <w:szCs w:val="21"/>
          <w:lang w:eastAsia="es-ES"/>
        </w:rPr>
        <w:t xml:space="preserve"> o </w:t>
      </w:r>
      <w:r w:rsidRPr="001C34A0">
        <w:rPr>
          <w:rFonts w:ascii="Verdana" w:eastAsia="Times New Roman" w:hAnsi="Verdana" w:cs="Arial"/>
          <w:sz w:val="21"/>
          <w:szCs w:val="21"/>
          <w:highlight w:val="lightGray"/>
          <w:lang w:eastAsia="es-ES"/>
        </w:rPr>
        <w:t>[Nombre del representante del Proponente Plural]</w:t>
      </w:r>
      <w:r w:rsidRPr="001C34A0">
        <w:rPr>
          <w:rFonts w:ascii="Verdana" w:eastAsia="Times New Roman" w:hAnsi="Verdana" w:cs="Arial"/>
          <w:sz w:val="21"/>
          <w:szCs w:val="21"/>
          <w:lang w:eastAsia="es-ES"/>
        </w:rPr>
        <w:t xml:space="preserve"> </w:t>
      </w:r>
      <w:r w:rsidRPr="001C34A0">
        <w:rPr>
          <w:rFonts w:ascii="Verdana" w:eastAsia="Times New Roman" w:hAnsi="Verdana" w:cs="Arial"/>
          <w:sz w:val="21"/>
          <w:szCs w:val="21"/>
          <w:lang w:eastAsia="es-ES" w:bidi="en-US"/>
        </w:rPr>
        <w:t>en adelante el “Proponente”, presento ofrecimiento optando por el puntaje por apoyo a la industria nacional</w:t>
      </w:r>
      <w:r w:rsidRPr="001C34A0" w:rsidDel="001445B9">
        <w:rPr>
          <w:rFonts w:ascii="Verdana" w:eastAsia="Times New Roman" w:hAnsi="Verdana" w:cs="Arial"/>
          <w:sz w:val="21"/>
          <w:szCs w:val="21"/>
          <w:lang w:eastAsia="es-ES" w:bidi="en-US"/>
        </w:rPr>
        <w:t xml:space="preserve"> por la prestación de </w:t>
      </w:r>
      <w:r w:rsidRPr="001C34A0">
        <w:rPr>
          <w:rFonts w:ascii="Verdana" w:eastAsia="Times New Roman" w:hAnsi="Verdana" w:cs="Arial"/>
          <w:sz w:val="21"/>
          <w:szCs w:val="21"/>
          <w:lang w:eastAsia="es-ES" w:bidi="en-US"/>
        </w:rPr>
        <w:t>Servicios N</w:t>
      </w:r>
      <w:r w:rsidRPr="001C34A0" w:rsidDel="001445B9">
        <w:rPr>
          <w:rFonts w:ascii="Verdana" w:eastAsia="Times New Roman" w:hAnsi="Verdana" w:cs="Arial"/>
          <w:sz w:val="21"/>
          <w:szCs w:val="21"/>
          <w:lang w:eastAsia="es-ES" w:bidi="en-US"/>
        </w:rPr>
        <w:t xml:space="preserve">acionales o con </w:t>
      </w:r>
      <w:r w:rsidRPr="001C34A0">
        <w:rPr>
          <w:rFonts w:ascii="Verdana" w:eastAsia="Times New Roman" w:hAnsi="Verdana" w:cs="Arial"/>
          <w:sz w:val="21"/>
          <w:szCs w:val="21"/>
          <w:lang w:eastAsia="es-ES" w:bidi="en-US"/>
        </w:rPr>
        <w:t>T</w:t>
      </w:r>
      <w:r w:rsidRPr="001C34A0" w:rsidDel="001445B9">
        <w:rPr>
          <w:rFonts w:ascii="Verdana" w:eastAsia="Times New Roman" w:hAnsi="Verdana" w:cs="Arial"/>
          <w:sz w:val="21"/>
          <w:szCs w:val="21"/>
          <w:lang w:eastAsia="es-ES" w:bidi="en-US"/>
        </w:rPr>
        <w:t xml:space="preserve">rato </w:t>
      </w:r>
      <w:r w:rsidRPr="001C34A0">
        <w:rPr>
          <w:rFonts w:ascii="Verdana" w:eastAsia="Times New Roman" w:hAnsi="Verdana" w:cs="Arial"/>
          <w:sz w:val="21"/>
          <w:szCs w:val="21"/>
          <w:lang w:eastAsia="es-ES" w:bidi="en-US"/>
        </w:rPr>
        <w:t>N</w:t>
      </w:r>
      <w:r w:rsidRPr="001C34A0" w:rsidDel="001445B9">
        <w:rPr>
          <w:rFonts w:ascii="Verdana" w:eastAsia="Times New Roman" w:hAnsi="Verdana" w:cs="Arial"/>
          <w:sz w:val="21"/>
          <w:szCs w:val="21"/>
          <w:lang w:eastAsia="es-ES" w:bidi="en-US"/>
        </w:rPr>
        <w:t xml:space="preserve">acional. </w:t>
      </w:r>
    </w:p>
    <w:p w14:paraId="6B566F65" w14:textId="77777777" w:rsidR="00123F6C" w:rsidRPr="00EF45BD" w:rsidRDefault="00123F6C" w:rsidP="00123F6C">
      <w:pPr>
        <w:spacing w:line="240" w:lineRule="auto"/>
        <w:ind w:left="709" w:right="758"/>
        <w:contextualSpacing/>
        <w:jc w:val="both"/>
        <w:rPr>
          <w:rFonts w:ascii="Verdana" w:hAnsi="Verdana" w:cs="Arial"/>
        </w:rPr>
      </w:pPr>
      <w:r w:rsidRPr="00EF45BD">
        <w:rPr>
          <w:rFonts w:ascii="Verdana" w:eastAsia="Times New Roman" w:hAnsi="Verdana" w:cs="Arial"/>
          <w:iCs/>
          <w:sz w:val="21"/>
          <w:szCs w:val="21"/>
        </w:rPr>
        <w:t xml:space="preserve">[…]” </w:t>
      </w:r>
    </w:p>
    <w:p w14:paraId="6DFC639C" w14:textId="77777777" w:rsidR="00123F6C" w:rsidRPr="001C34A0" w:rsidRDefault="00123F6C" w:rsidP="00123F6C">
      <w:pPr>
        <w:spacing w:before="240" w:after="120" w:line="240" w:lineRule="auto"/>
        <w:ind w:left="709" w:right="709"/>
        <w:jc w:val="both"/>
        <w:rPr>
          <w:rFonts w:ascii="Verdana" w:eastAsia="Times New Roman" w:hAnsi="Verdana" w:cs="Arial"/>
          <w:sz w:val="21"/>
          <w:szCs w:val="21"/>
          <w:lang w:eastAsia="es-ES" w:bidi="en-US"/>
        </w:rPr>
      </w:pPr>
    </w:p>
    <w:p w14:paraId="0686437F" w14:textId="77777777" w:rsidR="00123F6C" w:rsidRPr="001C34A0" w:rsidRDefault="00123F6C" w:rsidP="00123F6C">
      <w:pPr>
        <w:tabs>
          <w:tab w:val="left" w:pos="709"/>
        </w:tabs>
        <w:adjustRightInd w:val="0"/>
        <w:snapToGrid w:val="0"/>
        <w:spacing w:after="0" w:line="276" w:lineRule="auto"/>
        <w:ind w:firstLine="709"/>
        <w:jc w:val="both"/>
      </w:pPr>
      <w:r w:rsidRPr="001C34A0">
        <w:rPr>
          <w:rFonts w:ascii="Verdana" w:eastAsia="Times New Roman" w:hAnsi="Verdana" w:cs="Arial"/>
          <w:bCs/>
          <w:kern w:val="2"/>
          <w:lang w:val="es-ES_tradnl"/>
        </w:rPr>
        <w:lastRenderedPageBreak/>
        <w:t xml:space="preserve">De lo anterior, se puede destacar que este formato, hace parte de la oferta por lo que es diligenciada por el proponente que opta por recibir el puntuaje por apoyo a </w:t>
      </w:r>
      <w:r w:rsidRPr="001C34A0">
        <w:rPr>
          <w:rFonts w:ascii="Verdana" w:eastAsia="Times New Roman" w:hAnsi="Verdana" w:cs="Arial"/>
          <w:bCs/>
          <w:kern w:val="2"/>
        </w:rPr>
        <w:t>la industria nacional</w:t>
      </w:r>
      <w:r w:rsidRPr="001C34A0" w:rsidDel="001445B9">
        <w:rPr>
          <w:rFonts w:ascii="Verdana" w:eastAsia="Times New Roman" w:hAnsi="Verdana" w:cs="Arial"/>
          <w:bCs/>
          <w:kern w:val="2"/>
        </w:rPr>
        <w:t xml:space="preserve"> por la prestación de </w:t>
      </w:r>
      <w:r w:rsidRPr="001C34A0">
        <w:rPr>
          <w:rFonts w:ascii="Verdana" w:eastAsia="Times New Roman" w:hAnsi="Verdana" w:cs="Arial"/>
          <w:bCs/>
          <w:kern w:val="2"/>
        </w:rPr>
        <w:t>Servicios N</w:t>
      </w:r>
      <w:r w:rsidRPr="001C34A0" w:rsidDel="001445B9">
        <w:rPr>
          <w:rFonts w:ascii="Verdana" w:eastAsia="Times New Roman" w:hAnsi="Verdana" w:cs="Arial"/>
          <w:bCs/>
          <w:kern w:val="2"/>
        </w:rPr>
        <w:t xml:space="preserve">acionales o con </w:t>
      </w:r>
      <w:r w:rsidRPr="001C34A0">
        <w:rPr>
          <w:rFonts w:ascii="Verdana" w:eastAsia="Times New Roman" w:hAnsi="Verdana" w:cs="Arial"/>
          <w:bCs/>
          <w:kern w:val="2"/>
        </w:rPr>
        <w:t>T</w:t>
      </w:r>
      <w:r w:rsidRPr="001C34A0" w:rsidDel="001445B9">
        <w:rPr>
          <w:rFonts w:ascii="Verdana" w:eastAsia="Times New Roman" w:hAnsi="Verdana" w:cs="Arial"/>
          <w:bCs/>
          <w:kern w:val="2"/>
        </w:rPr>
        <w:t xml:space="preserve">rato </w:t>
      </w:r>
      <w:r w:rsidRPr="001C34A0">
        <w:rPr>
          <w:rFonts w:ascii="Verdana" w:eastAsia="Times New Roman" w:hAnsi="Verdana" w:cs="Arial"/>
          <w:bCs/>
          <w:kern w:val="2"/>
        </w:rPr>
        <w:t>N</w:t>
      </w:r>
      <w:r w:rsidRPr="001C34A0" w:rsidDel="001445B9">
        <w:rPr>
          <w:rFonts w:ascii="Verdana" w:eastAsia="Times New Roman" w:hAnsi="Verdana" w:cs="Arial"/>
          <w:bCs/>
          <w:kern w:val="2"/>
        </w:rPr>
        <w:t xml:space="preserve">acional. </w:t>
      </w:r>
      <w:r w:rsidRPr="001C34A0">
        <w:rPr>
          <w:rFonts w:ascii="Verdana" w:eastAsia="Times New Roman" w:hAnsi="Verdana" w:cs="Arial"/>
          <w:bCs/>
          <w:kern w:val="2"/>
        </w:rPr>
        <w:t>Ahora bien, en línea con lo anterior, el documento en mención plantea tres opciones para recibir dicho puntaje, las cuales se desarrollan a continuación:</w:t>
      </w:r>
    </w:p>
    <w:p w14:paraId="67D8214C" w14:textId="77777777" w:rsidR="00123F6C" w:rsidRPr="00A56ACA" w:rsidRDefault="00123F6C" w:rsidP="00123F6C">
      <w:pPr>
        <w:jc w:val="both"/>
        <w:rPr>
          <w:color w:val="00B0F0"/>
          <w:sz w:val="21"/>
          <w:szCs w:val="21"/>
        </w:rPr>
      </w:pPr>
    </w:p>
    <w:p w14:paraId="6982495B" w14:textId="77777777" w:rsidR="00123F6C" w:rsidRPr="00A56ACA" w:rsidRDefault="00123F6C" w:rsidP="00123F6C">
      <w:pPr>
        <w:ind w:leftChars="322" w:left="708" w:right="758" w:firstLine="1"/>
        <w:jc w:val="both"/>
        <w:rPr>
          <w:rFonts w:ascii="Verdana" w:eastAsia="Times New Roman" w:hAnsi="Verdana" w:cs="Arial"/>
          <w:sz w:val="21"/>
          <w:szCs w:val="21"/>
          <w:lang w:eastAsia="es-ES"/>
        </w:rPr>
      </w:pPr>
      <w:r w:rsidRPr="00A56ACA">
        <w:rPr>
          <w:rFonts w:ascii="Verdana" w:eastAsia="Times New Roman" w:hAnsi="Verdana" w:cs="Arial"/>
          <w:bCs/>
          <w:kern w:val="2"/>
          <w:sz w:val="21"/>
          <w:szCs w:val="21"/>
        </w:rPr>
        <w:t>“</w:t>
      </w:r>
      <w:r w:rsidRPr="00A56ACA">
        <w:rPr>
          <w:rFonts w:ascii="Verdana" w:eastAsia="Times New Roman" w:hAnsi="Verdana" w:cs="Arial"/>
          <w:b/>
          <w:bCs/>
          <w:sz w:val="21"/>
          <w:szCs w:val="21"/>
          <w:highlight w:val="lightGray"/>
          <w:lang w:eastAsia="es-ES"/>
        </w:rPr>
        <w:t>Opción 1.</w:t>
      </w:r>
      <w:r w:rsidRPr="00A56ACA">
        <w:rPr>
          <w:rFonts w:ascii="Verdana" w:eastAsia="Times New Roman" w:hAnsi="Verdana" w:cs="Arial"/>
          <w:sz w:val="21"/>
          <w:szCs w:val="21"/>
          <w:highlight w:val="lightGray"/>
          <w:lang w:eastAsia="es-ES"/>
        </w:rPr>
        <w:t xml:space="preserve"> Incorporar si la Entidad Estatal determina que existe al menos un bien nacional relevante contenido en el Registro de Productores de Bienes Nacionales, aplicando la definición de Servicios Nacionales del artículo 2.2.1.1.1.3.1 del Decreto 1082 de 2015 y la metodología definida en la Matriz 3- Bienes nacionales relevantes para la obra pública del sector de infraestructura social]</w:t>
      </w:r>
    </w:p>
    <w:p w14:paraId="464525B7" w14:textId="77777777" w:rsidR="00123F6C" w:rsidRPr="00A56ACA" w:rsidRDefault="00123F6C" w:rsidP="00123F6C">
      <w:pPr>
        <w:spacing w:before="120" w:after="120" w:line="240" w:lineRule="auto"/>
        <w:ind w:leftChars="322" w:left="708" w:right="1041" w:firstLine="1"/>
        <w:jc w:val="both"/>
        <w:rPr>
          <w:rFonts w:ascii="Verdana" w:eastAsia="Times New Roman" w:hAnsi="Verdana" w:cs="Arial"/>
          <w:sz w:val="21"/>
          <w:szCs w:val="21"/>
          <w:highlight w:val="lightGray"/>
          <w:lang w:eastAsia="es-ES" w:bidi="en-US"/>
        </w:rPr>
      </w:pPr>
      <w:r w:rsidRPr="00A56ACA">
        <w:rPr>
          <w:rFonts w:ascii="Verdana" w:eastAsia="Times New Roman" w:hAnsi="Verdana" w:cs="Arial"/>
          <w:sz w:val="21"/>
          <w:szCs w:val="21"/>
          <w:lang w:eastAsia="es-ES" w:bidi="en-US"/>
        </w:rPr>
        <w:t>Manifiesto bajo la gravedad del juramento que en caso de resultar adjudicatario incorporaré a la ejecución del contrato los bienes nacionales relevantes establecidos por la Entidad Estatal en el Pliego de Condiciones:</w:t>
      </w:r>
      <w:r w:rsidRPr="00A56ACA">
        <w:rPr>
          <w:rFonts w:ascii="Verdana" w:eastAsia="Times New Roman" w:hAnsi="Verdana" w:cs="Arial"/>
          <w:sz w:val="21"/>
          <w:szCs w:val="21"/>
          <w:highlight w:val="lightGray"/>
          <w:lang w:eastAsia="es-ES" w:bidi="en-US"/>
        </w:rPr>
        <w:t xml:space="preserve"> </w:t>
      </w:r>
    </w:p>
    <w:p w14:paraId="65C4A868" w14:textId="77777777" w:rsidR="00123F6C" w:rsidRPr="00A56ACA" w:rsidRDefault="00123F6C" w:rsidP="00123F6C">
      <w:pPr>
        <w:spacing w:before="120" w:after="120" w:line="240" w:lineRule="auto"/>
        <w:ind w:leftChars="322" w:left="708" w:right="1041" w:firstLine="1"/>
        <w:jc w:val="both"/>
        <w:rPr>
          <w:rFonts w:ascii="Verdana" w:eastAsia="Times New Roman" w:hAnsi="Verdana" w:cs="Arial"/>
          <w:sz w:val="21"/>
          <w:szCs w:val="21"/>
          <w:highlight w:val="lightGray"/>
          <w:lang w:eastAsia="es-ES" w:bidi="en-US"/>
        </w:rPr>
      </w:pPr>
    </w:p>
    <w:tbl>
      <w:tblPr>
        <w:tblW w:w="6868" w:type="dxa"/>
        <w:tblInd w:w="77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538"/>
        <w:gridCol w:w="1257"/>
        <w:gridCol w:w="1422"/>
        <w:gridCol w:w="1120"/>
        <w:gridCol w:w="1467"/>
        <w:gridCol w:w="1671"/>
      </w:tblGrid>
      <w:tr w:rsidR="00123F6C" w:rsidRPr="00A56ACA" w14:paraId="5978F94E" w14:textId="77777777" w:rsidTr="008873B2">
        <w:trPr>
          <w:trHeight w:val="603"/>
          <w:tblHeader/>
        </w:trPr>
        <w:tc>
          <w:tcPr>
            <w:tcW w:w="498" w:type="dxa"/>
            <w:tcBorders>
              <w:top w:val="double" w:sz="4" w:space="0" w:color="auto"/>
              <w:left w:val="double" w:sz="4" w:space="0" w:color="auto"/>
              <w:bottom w:val="single" w:sz="6" w:space="0" w:color="auto"/>
              <w:right w:val="single" w:sz="6" w:space="0" w:color="auto"/>
            </w:tcBorders>
            <w:shd w:val="clear" w:color="auto" w:fill="AEAAAA" w:themeFill="background2" w:themeFillShade="BF"/>
            <w:vAlign w:val="center"/>
            <w:hideMark/>
          </w:tcPr>
          <w:p w14:paraId="447D9032" w14:textId="77777777" w:rsidR="00123F6C" w:rsidRPr="00A56ACA" w:rsidRDefault="00123F6C" w:rsidP="008873B2">
            <w:pPr>
              <w:spacing w:after="0" w:line="276" w:lineRule="auto"/>
              <w:rPr>
                <w:rFonts w:ascii="Verdana" w:hAnsi="Verdana" w:cs="Arial"/>
                <w:b/>
                <w:i/>
                <w:iCs/>
                <w:caps/>
                <w:noProof/>
                <w:sz w:val="21"/>
                <w:szCs w:val="21"/>
                <w:lang w:val="es-ES"/>
              </w:rPr>
            </w:pPr>
            <w:r w:rsidRPr="00A56ACA">
              <w:rPr>
                <w:rFonts w:ascii="Verdana" w:hAnsi="Verdana" w:cs="Arial"/>
                <w:b/>
                <w:bCs/>
                <w:i/>
                <w:iCs/>
                <w:noProof/>
                <w:sz w:val="21"/>
                <w:szCs w:val="21"/>
                <w:lang w:val="es-ES"/>
              </w:rPr>
              <w:t>No.</w:t>
            </w:r>
          </w:p>
        </w:tc>
        <w:tc>
          <w:tcPr>
            <w:tcW w:w="1155" w:type="dxa"/>
            <w:tcBorders>
              <w:top w:val="double" w:sz="4" w:space="0" w:color="auto"/>
              <w:left w:val="single" w:sz="6" w:space="0" w:color="auto"/>
              <w:bottom w:val="single" w:sz="6" w:space="0" w:color="auto"/>
              <w:right w:val="double" w:sz="4" w:space="0" w:color="auto"/>
            </w:tcBorders>
            <w:shd w:val="clear" w:color="auto" w:fill="AEAAAA" w:themeFill="background2" w:themeFillShade="BF"/>
            <w:vAlign w:val="center"/>
            <w:hideMark/>
          </w:tcPr>
          <w:p w14:paraId="2011B604" w14:textId="77777777" w:rsidR="00123F6C" w:rsidRPr="00A56ACA" w:rsidRDefault="00123F6C" w:rsidP="008873B2">
            <w:pPr>
              <w:spacing w:after="0" w:line="276" w:lineRule="auto"/>
              <w:rPr>
                <w:rFonts w:ascii="Verdana" w:hAnsi="Verdana" w:cs="Arial"/>
                <w:b/>
                <w:caps/>
                <w:sz w:val="21"/>
                <w:szCs w:val="21"/>
                <w:lang w:val="es-ES"/>
              </w:rPr>
            </w:pPr>
            <w:r w:rsidRPr="00A56ACA">
              <w:rPr>
                <w:rFonts w:ascii="Verdana" w:hAnsi="Verdana" w:cs="Arial"/>
                <w:b/>
                <w:bCs/>
                <w:sz w:val="21"/>
                <w:szCs w:val="21"/>
                <w:lang w:val="es-ES"/>
              </w:rPr>
              <w:t>Bien nacional relevante</w:t>
            </w:r>
          </w:p>
        </w:tc>
        <w:tc>
          <w:tcPr>
            <w:tcW w:w="1306" w:type="dxa"/>
            <w:tcBorders>
              <w:top w:val="double" w:sz="4" w:space="0" w:color="auto"/>
              <w:left w:val="single" w:sz="6" w:space="0" w:color="auto"/>
              <w:bottom w:val="single" w:sz="6" w:space="0" w:color="auto"/>
              <w:right w:val="double" w:sz="4" w:space="0" w:color="auto"/>
            </w:tcBorders>
            <w:shd w:val="clear" w:color="auto" w:fill="AEAAAA" w:themeFill="background2" w:themeFillShade="BF"/>
          </w:tcPr>
          <w:p w14:paraId="628087D9" w14:textId="77777777" w:rsidR="00123F6C" w:rsidRPr="00A56ACA" w:rsidRDefault="00123F6C" w:rsidP="008873B2">
            <w:pPr>
              <w:spacing w:after="0" w:line="276" w:lineRule="auto"/>
              <w:rPr>
                <w:rFonts w:ascii="Verdana" w:hAnsi="Verdana" w:cs="Arial"/>
                <w:b/>
                <w:bCs/>
                <w:sz w:val="21"/>
                <w:szCs w:val="21"/>
                <w:lang w:val="es-ES"/>
              </w:rPr>
            </w:pPr>
            <w:r w:rsidRPr="00A56ACA">
              <w:rPr>
                <w:rFonts w:ascii="Verdana" w:hAnsi="Verdana" w:cs="Arial"/>
                <w:b/>
                <w:bCs/>
                <w:sz w:val="21"/>
                <w:szCs w:val="21"/>
                <w:lang w:val="es-ES"/>
              </w:rPr>
              <w:t>Fecha de inscripción</w:t>
            </w:r>
          </w:p>
        </w:tc>
        <w:tc>
          <w:tcPr>
            <w:tcW w:w="1030" w:type="dxa"/>
            <w:tcBorders>
              <w:top w:val="double" w:sz="4" w:space="0" w:color="auto"/>
              <w:left w:val="single" w:sz="6" w:space="0" w:color="auto"/>
              <w:bottom w:val="single" w:sz="6" w:space="0" w:color="auto"/>
              <w:right w:val="double" w:sz="4" w:space="0" w:color="auto"/>
            </w:tcBorders>
            <w:shd w:val="clear" w:color="auto" w:fill="AEAAAA" w:themeFill="background2" w:themeFillShade="BF"/>
          </w:tcPr>
          <w:p w14:paraId="77E88C36" w14:textId="77777777" w:rsidR="00123F6C" w:rsidRPr="00A56ACA" w:rsidRDefault="00123F6C" w:rsidP="008873B2">
            <w:pPr>
              <w:spacing w:after="0" w:line="276" w:lineRule="auto"/>
              <w:rPr>
                <w:rFonts w:ascii="Verdana" w:hAnsi="Verdana" w:cs="Arial"/>
                <w:b/>
                <w:bCs/>
                <w:sz w:val="21"/>
                <w:szCs w:val="21"/>
                <w:lang w:val="es-ES"/>
              </w:rPr>
            </w:pPr>
            <w:r w:rsidRPr="00A56ACA">
              <w:rPr>
                <w:rFonts w:ascii="Verdana" w:hAnsi="Verdana" w:cs="Arial"/>
                <w:b/>
                <w:bCs/>
                <w:sz w:val="21"/>
                <w:szCs w:val="21"/>
                <w:lang w:val="es-ES"/>
              </w:rPr>
              <w:t>Fecha de vigencia</w:t>
            </w:r>
          </w:p>
        </w:tc>
        <w:tc>
          <w:tcPr>
            <w:tcW w:w="1346" w:type="dxa"/>
            <w:tcBorders>
              <w:top w:val="double" w:sz="4" w:space="0" w:color="auto"/>
              <w:left w:val="single" w:sz="6" w:space="0" w:color="auto"/>
              <w:bottom w:val="single" w:sz="6" w:space="0" w:color="auto"/>
              <w:right w:val="double" w:sz="4" w:space="0" w:color="auto"/>
            </w:tcBorders>
            <w:shd w:val="clear" w:color="auto" w:fill="AEAAAA" w:themeFill="background2" w:themeFillShade="BF"/>
          </w:tcPr>
          <w:p w14:paraId="2F57E18A" w14:textId="77777777" w:rsidR="00123F6C" w:rsidRPr="00A56ACA" w:rsidRDefault="00123F6C" w:rsidP="008873B2">
            <w:pPr>
              <w:spacing w:after="0" w:line="276" w:lineRule="auto"/>
              <w:jc w:val="center"/>
              <w:rPr>
                <w:rFonts w:ascii="Verdana" w:hAnsi="Verdana" w:cs="Arial"/>
                <w:b/>
                <w:bCs/>
                <w:sz w:val="21"/>
                <w:szCs w:val="21"/>
                <w:lang w:val="es-ES"/>
              </w:rPr>
            </w:pPr>
            <w:r w:rsidRPr="00A56ACA">
              <w:rPr>
                <w:rFonts w:ascii="Verdana" w:hAnsi="Verdana" w:cs="Arial"/>
                <w:b/>
                <w:bCs/>
                <w:sz w:val="21"/>
                <w:szCs w:val="21"/>
                <w:lang w:val="es-ES"/>
              </w:rPr>
              <w:t>No. de partida arancelaria</w:t>
            </w:r>
          </w:p>
        </w:tc>
        <w:tc>
          <w:tcPr>
            <w:tcW w:w="1533" w:type="dxa"/>
            <w:tcBorders>
              <w:top w:val="double" w:sz="4" w:space="0" w:color="auto"/>
              <w:left w:val="single" w:sz="6" w:space="0" w:color="auto"/>
              <w:bottom w:val="single" w:sz="6" w:space="0" w:color="auto"/>
              <w:right w:val="double" w:sz="4" w:space="0" w:color="auto"/>
            </w:tcBorders>
            <w:shd w:val="clear" w:color="auto" w:fill="AEAAAA" w:themeFill="background2" w:themeFillShade="BF"/>
          </w:tcPr>
          <w:p w14:paraId="59743097" w14:textId="77777777" w:rsidR="00123F6C" w:rsidRPr="00A56ACA" w:rsidRDefault="00123F6C" w:rsidP="008873B2">
            <w:pPr>
              <w:spacing w:after="0" w:line="276" w:lineRule="auto"/>
              <w:jc w:val="center"/>
              <w:rPr>
                <w:rFonts w:ascii="Verdana" w:hAnsi="Verdana" w:cs="Arial"/>
                <w:b/>
                <w:bCs/>
                <w:sz w:val="21"/>
                <w:szCs w:val="21"/>
                <w:lang w:val="es-ES"/>
              </w:rPr>
            </w:pPr>
            <w:r w:rsidRPr="00A56ACA">
              <w:rPr>
                <w:rFonts w:ascii="Verdana" w:hAnsi="Verdana" w:cs="Arial"/>
                <w:b/>
                <w:bCs/>
                <w:sz w:val="21"/>
                <w:szCs w:val="21"/>
                <w:lang w:val="es-ES"/>
              </w:rPr>
              <w:t xml:space="preserve">% de participación </w:t>
            </w:r>
          </w:p>
        </w:tc>
      </w:tr>
      <w:tr w:rsidR="00123F6C" w:rsidRPr="00A56ACA" w14:paraId="0C856438" w14:textId="77777777" w:rsidTr="008873B2">
        <w:trPr>
          <w:trHeight w:val="14"/>
        </w:trPr>
        <w:tc>
          <w:tcPr>
            <w:tcW w:w="498" w:type="dxa"/>
            <w:tcBorders>
              <w:top w:val="single" w:sz="6" w:space="0" w:color="auto"/>
              <w:left w:val="double" w:sz="4" w:space="0" w:color="auto"/>
              <w:bottom w:val="single" w:sz="6" w:space="0" w:color="auto"/>
              <w:right w:val="single" w:sz="6" w:space="0" w:color="auto"/>
            </w:tcBorders>
            <w:vAlign w:val="center"/>
          </w:tcPr>
          <w:p w14:paraId="1101071F" w14:textId="77777777" w:rsidR="00123F6C" w:rsidRPr="00A56ACA" w:rsidRDefault="00123F6C" w:rsidP="008873B2">
            <w:pPr>
              <w:spacing w:after="0" w:line="276" w:lineRule="auto"/>
              <w:jc w:val="center"/>
              <w:rPr>
                <w:rFonts w:ascii="Verdana" w:hAnsi="Verdana" w:cs="Arial"/>
                <w:i/>
                <w:iCs/>
                <w:caps/>
                <w:sz w:val="21"/>
                <w:szCs w:val="21"/>
                <w:lang w:val="es-ES"/>
              </w:rPr>
            </w:pPr>
            <w:r w:rsidRPr="00A56ACA">
              <w:rPr>
                <w:rFonts w:ascii="Verdana" w:hAnsi="Verdana" w:cs="Arial"/>
                <w:i/>
                <w:iCs/>
                <w:caps/>
                <w:sz w:val="21"/>
                <w:szCs w:val="21"/>
                <w:lang w:val="es-ES"/>
              </w:rPr>
              <w:t>1.</w:t>
            </w:r>
          </w:p>
        </w:tc>
        <w:tc>
          <w:tcPr>
            <w:tcW w:w="1155" w:type="dxa"/>
            <w:tcBorders>
              <w:top w:val="single" w:sz="6" w:space="0" w:color="auto"/>
              <w:left w:val="single" w:sz="6" w:space="0" w:color="auto"/>
              <w:bottom w:val="single" w:sz="6" w:space="0" w:color="auto"/>
              <w:right w:val="double" w:sz="4" w:space="0" w:color="auto"/>
            </w:tcBorders>
            <w:vAlign w:val="center"/>
          </w:tcPr>
          <w:p w14:paraId="6F7AE54F" w14:textId="77777777" w:rsidR="00123F6C" w:rsidRPr="00A56ACA" w:rsidRDefault="00123F6C" w:rsidP="008873B2">
            <w:pPr>
              <w:spacing w:after="0" w:line="276" w:lineRule="auto"/>
              <w:ind w:left="284"/>
              <w:jc w:val="center"/>
              <w:rPr>
                <w:rFonts w:ascii="Verdana" w:hAnsi="Verdana" w:cs="Arial"/>
                <w:caps/>
                <w:sz w:val="21"/>
                <w:szCs w:val="21"/>
                <w:lang w:val="es-ES"/>
              </w:rPr>
            </w:pPr>
          </w:p>
        </w:tc>
        <w:tc>
          <w:tcPr>
            <w:tcW w:w="1306" w:type="dxa"/>
            <w:tcBorders>
              <w:top w:val="single" w:sz="6" w:space="0" w:color="auto"/>
              <w:left w:val="single" w:sz="6" w:space="0" w:color="auto"/>
              <w:bottom w:val="single" w:sz="6" w:space="0" w:color="auto"/>
              <w:right w:val="double" w:sz="4" w:space="0" w:color="auto"/>
            </w:tcBorders>
          </w:tcPr>
          <w:p w14:paraId="58BBF89D" w14:textId="77777777" w:rsidR="00123F6C" w:rsidRPr="00A56ACA" w:rsidRDefault="00123F6C" w:rsidP="008873B2">
            <w:pPr>
              <w:spacing w:after="0" w:line="276" w:lineRule="auto"/>
              <w:ind w:left="284"/>
              <w:jc w:val="center"/>
              <w:rPr>
                <w:rFonts w:ascii="Verdana" w:hAnsi="Verdana" w:cs="Arial"/>
                <w:sz w:val="21"/>
                <w:szCs w:val="21"/>
                <w:highlight w:val="lightGray"/>
                <w:lang w:val="es-ES"/>
              </w:rPr>
            </w:pPr>
          </w:p>
        </w:tc>
        <w:tc>
          <w:tcPr>
            <w:tcW w:w="1030" w:type="dxa"/>
            <w:tcBorders>
              <w:top w:val="single" w:sz="6" w:space="0" w:color="auto"/>
              <w:left w:val="single" w:sz="6" w:space="0" w:color="auto"/>
              <w:bottom w:val="single" w:sz="6" w:space="0" w:color="auto"/>
              <w:right w:val="double" w:sz="4" w:space="0" w:color="auto"/>
            </w:tcBorders>
          </w:tcPr>
          <w:p w14:paraId="3E3D950C" w14:textId="77777777" w:rsidR="00123F6C" w:rsidRPr="00A56ACA" w:rsidRDefault="00123F6C" w:rsidP="008873B2">
            <w:pPr>
              <w:spacing w:after="0" w:line="276" w:lineRule="auto"/>
              <w:ind w:left="284"/>
              <w:jc w:val="center"/>
              <w:rPr>
                <w:rFonts w:ascii="Verdana" w:hAnsi="Verdana" w:cs="Arial"/>
                <w:sz w:val="21"/>
                <w:szCs w:val="21"/>
                <w:lang w:val="es-ES"/>
              </w:rPr>
            </w:pPr>
          </w:p>
        </w:tc>
        <w:tc>
          <w:tcPr>
            <w:tcW w:w="1346" w:type="dxa"/>
            <w:tcBorders>
              <w:top w:val="single" w:sz="6" w:space="0" w:color="auto"/>
              <w:left w:val="single" w:sz="6" w:space="0" w:color="auto"/>
              <w:bottom w:val="single" w:sz="6" w:space="0" w:color="auto"/>
              <w:right w:val="double" w:sz="4" w:space="0" w:color="auto"/>
            </w:tcBorders>
          </w:tcPr>
          <w:p w14:paraId="5B8BCA6B" w14:textId="77777777" w:rsidR="00123F6C" w:rsidRPr="00A56ACA" w:rsidRDefault="00123F6C" w:rsidP="008873B2">
            <w:pPr>
              <w:spacing w:after="0" w:line="276" w:lineRule="auto"/>
              <w:ind w:left="284"/>
              <w:jc w:val="center"/>
              <w:rPr>
                <w:rFonts w:ascii="Verdana" w:hAnsi="Verdana" w:cs="Arial"/>
                <w:sz w:val="21"/>
                <w:szCs w:val="21"/>
                <w:lang w:val="es-ES"/>
              </w:rPr>
            </w:pPr>
          </w:p>
        </w:tc>
        <w:tc>
          <w:tcPr>
            <w:tcW w:w="1533" w:type="dxa"/>
            <w:tcBorders>
              <w:top w:val="single" w:sz="6" w:space="0" w:color="auto"/>
              <w:left w:val="single" w:sz="6" w:space="0" w:color="auto"/>
              <w:bottom w:val="single" w:sz="6" w:space="0" w:color="auto"/>
              <w:right w:val="double" w:sz="4" w:space="0" w:color="auto"/>
            </w:tcBorders>
          </w:tcPr>
          <w:p w14:paraId="1CE15BA4" w14:textId="77777777" w:rsidR="00123F6C" w:rsidRPr="00A56ACA" w:rsidRDefault="00123F6C" w:rsidP="008873B2">
            <w:pPr>
              <w:spacing w:after="0" w:line="276" w:lineRule="auto"/>
              <w:ind w:left="284"/>
              <w:jc w:val="center"/>
              <w:rPr>
                <w:rFonts w:ascii="Verdana" w:hAnsi="Verdana" w:cs="Arial"/>
                <w:sz w:val="21"/>
                <w:szCs w:val="21"/>
                <w:lang w:val="es-ES"/>
              </w:rPr>
            </w:pPr>
          </w:p>
        </w:tc>
      </w:tr>
      <w:tr w:rsidR="00123F6C" w:rsidRPr="00A56ACA" w14:paraId="394D8939" w14:textId="77777777" w:rsidTr="008873B2">
        <w:trPr>
          <w:trHeight w:val="14"/>
        </w:trPr>
        <w:tc>
          <w:tcPr>
            <w:tcW w:w="498" w:type="dxa"/>
            <w:tcBorders>
              <w:top w:val="single" w:sz="6" w:space="0" w:color="auto"/>
              <w:left w:val="double" w:sz="4" w:space="0" w:color="auto"/>
              <w:bottom w:val="double" w:sz="4" w:space="0" w:color="auto"/>
              <w:right w:val="single" w:sz="6" w:space="0" w:color="auto"/>
            </w:tcBorders>
            <w:vAlign w:val="center"/>
          </w:tcPr>
          <w:p w14:paraId="74627050" w14:textId="77777777" w:rsidR="00123F6C" w:rsidRPr="00A56ACA" w:rsidRDefault="00123F6C" w:rsidP="008873B2">
            <w:pPr>
              <w:spacing w:after="0" w:line="276" w:lineRule="auto"/>
              <w:rPr>
                <w:rFonts w:ascii="Verdana" w:hAnsi="Verdana" w:cs="Arial"/>
                <w:i/>
                <w:iCs/>
                <w:caps/>
                <w:noProof/>
                <w:sz w:val="21"/>
                <w:szCs w:val="21"/>
                <w:lang w:val="es-ES"/>
              </w:rPr>
            </w:pPr>
            <w:r w:rsidRPr="00A56ACA">
              <w:rPr>
                <w:rFonts w:ascii="Verdana" w:hAnsi="Verdana" w:cs="Arial"/>
                <w:i/>
                <w:iCs/>
                <w:caps/>
                <w:noProof/>
                <w:sz w:val="21"/>
                <w:szCs w:val="21"/>
                <w:lang w:val="es-ES"/>
              </w:rPr>
              <w:t>2.</w:t>
            </w:r>
          </w:p>
        </w:tc>
        <w:tc>
          <w:tcPr>
            <w:tcW w:w="1155" w:type="dxa"/>
            <w:tcBorders>
              <w:top w:val="single" w:sz="6" w:space="0" w:color="auto"/>
              <w:left w:val="single" w:sz="6" w:space="0" w:color="auto"/>
              <w:bottom w:val="double" w:sz="4" w:space="0" w:color="auto"/>
              <w:right w:val="double" w:sz="4" w:space="0" w:color="auto"/>
            </w:tcBorders>
            <w:vAlign w:val="center"/>
          </w:tcPr>
          <w:p w14:paraId="7F7BA133" w14:textId="77777777" w:rsidR="00123F6C" w:rsidRPr="00A56ACA" w:rsidRDefault="00123F6C" w:rsidP="008873B2">
            <w:pPr>
              <w:spacing w:after="0" w:line="276" w:lineRule="auto"/>
              <w:ind w:left="284"/>
              <w:jc w:val="center"/>
              <w:rPr>
                <w:rFonts w:ascii="Verdana" w:hAnsi="Verdana" w:cs="Arial"/>
                <w:caps/>
                <w:sz w:val="21"/>
                <w:szCs w:val="21"/>
                <w:lang w:val="es-ES"/>
              </w:rPr>
            </w:pPr>
          </w:p>
        </w:tc>
        <w:tc>
          <w:tcPr>
            <w:tcW w:w="1306" w:type="dxa"/>
            <w:tcBorders>
              <w:top w:val="single" w:sz="6" w:space="0" w:color="auto"/>
              <w:left w:val="single" w:sz="6" w:space="0" w:color="auto"/>
              <w:bottom w:val="double" w:sz="4" w:space="0" w:color="auto"/>
              <w:right w:val="double" w:sz="4" w:space="0" w:color="auto"/>
            </w:tcBorders>
          </w:tcPr>
          <w:p w14:paraId="44E41032" w14:textId="77777777" w:rsidR="00123F6C" w:rsidRPr="00A56ACA" w:rsidRDefault="00123F6C" w:rsidP="008873B2">
            <w:pPr>
              <w:spacing w:after="0" w:line="276" w:lineRule="auto"/>
              <w:ind w:left="284"/>
              <w:jc w:val="center"/>
              <w:rPr>
                <w:rFonts w:ascii="Verdana" w:hAnsi="Verdana" w:cs="Arial"/>
                <w:sz w:val="21"/>
                <w:szCs w:val="21"/>
                <w:lang w:val="es-ES"/>
              </w:rPr>
            </w:pPr>
          </w:p>
        </w:tc>
        <w:tc>
          <w:tcPr>
            <w:tcW w:w="1030" w:type="dxa"/>
            <w:tcBorders>
              <w:top w:val="single" w:sz="6" w:space="0" w:color="auto"/>
              <w:left w:val="single" w:sz="6" w:space="0" w:color="auto"/>
              <w:bottom w:val="double" w:sz="4" w:space="0" w:color="auto"/>
              <w:right w:val="double" w:sz="4" w:space="0" w:color="auto"/>
            </w:tcBorders>
          </w:tcPr>
          <w:p w14:paraId="7C4E32F0" w14:textId="77777777" w:rsidR="00123F6C" w:rsidRPr="00A56ACA" w:rsidRDefault="00123F6C" w:rsidP="008873B2">
            <w:pPr>
              <w:spacing w:after="0" w:line="276" w:lineRule="auto"/>
              <w:ind w:left="284"/>
              <w:jc w:val="center"/>
              <w:rPr>
                <w:rFonts w:ascii="Verdana" w:hAnsi="Verdana" w:cs="Arial"/>
                <w:sz w:val="21"/>
                <w:szCs w:val="21"/>
                <w:lang w:val="es-ES"/>
              </w:rPr>
            </w:pPr>
          </w:p>
        </w:tc>
        <w:tc>
          <w:tcPr>
            <w:tcW w:w="1346" w:type="dxa"/>
            <w:tcBorders>
              <w:top w:val="single" w:sz="6" w:space="0" w:color="auto"/>
              <w:left w:val="single" w:sz="6" w:space="0" w:color="auto"/>
              <w:bottom w:val="double" w:sz="4" w:space="0" w:color="auto"/>
              <w:right w:val="double" w:sz="4" w:space="0" w:color="auto"/>
            </w:tcBorders>
          </w:tcPr>
          <w:p w14:paraId="5F052D27" w14:textId="77777777" w:rsidR="00123F6C" w:rsidRPr="00A56ACA" w:rsidRDefault="00123F6C" w:rsidP="008873B2">
            <w:pPr>
              <w:spacing w:after="0" w:line="276" w:lineRule="auto"/>
              <w:ind w:left="284"/>
              <w:jc w:val="center"/>
              <w:rPr>
                <w:rFonts w:ascii="Verdana" w:hAnsi="Verdana" w:cs="Arial"/>
                <w:sz w:val="21"/>
                <w:szCs w:val="21"/>
                <w:lang w:val="es-ES"/>
              </w:rPr>
            </w:pPr>
          </w:p>
        </w:tc>
        <w:tc>
          <w:tcPr>
            <w:tcW w:w="1533" w:type="dxa"/>
            <w:tcBorders>
              <w:top w:val="single" w:sz="6" w:space="0" w:color="auto"/>
              <w:left w:val="single" w:sz="6" w:space="0" w:color="auto"/>
              <w:bottom w:val="double" w:sz="4" w:space="0" w:color="auto"/>
              <w:right w:val="double" w:sz="4" w:space="0" w:color="auto"/>
            </w:tcBorders>
          </w:tcPr>
          <w:p w14:paraId="64A216B2" w14:textId="77777777" w:rsidR="00123F6C" w:rsidRPr="00A56ACA" w:rsidRDefault="00123F6C" w:rsidP="008873B2">
            <w:pPr>
              <w:spacing w:after="0" w:line="276" w:lineRule="auto"/>
              <w:ind w:left="284"/>
              <w:jc w:val="center"/>
              <w:rPr>
                <w:rFonts w:ascii="Verdana" w:hAnsi="Verdana" w:cs="Arial"/>
                <w:sz w:val="21"/>
                <w:szCs w:val="21"/>
                <w:lang w:val="es-ES"/>
              </w:rPr>
            </w:pPr>
          </w:p>
        </w:tc>
      </w:tr>
    </w:tbl>
    <w:p w14:paraId="6E963263" w14:textId="77777777" w:rsidR="00123F6C" w:rsidRPr="00A56ACA" w:rsidRDefault="00123F6C" w:rsidP="00123F6C">
      <w:pPr>
        <w:spacing w:before="120" w:after="120" w:line="240" w:lineRule="auto"/>
        <w:ind w:right="1041"/>
        <w:jc w:val="both"/>
        <w:rPr>
          <w:rFonts w:ascii="Verdana" w:eastAsia="Times New Roman" w:hAnsi="Verdana" w:cs="Arial"/>
          <w:sz w:val="21"/>
          <w:szCs w:val="21"/>
          <w:highlight w:val="lightGray"/>
          <w:lang w:eastAsia="es-ES" w:bidi="en-US"/>
        </w:rPr>
      </w:pPr>
    </w:p>
    <w:p w14:paraId="1317E246" w14:textId="77777777" w:rsidR="00123F6C" w:rsidRPr="00A56ACA" w:rsidRDefault="00123F6C" w:rsidP="00123F6C">
      <w:pPr>
        <w:spacing w:before="120" w:after="120" w:line="240" w:lineRule="auto"/>
        <w:ind w:leftChars="322" w:left="708" w:right="1041" w:firstLine="1"/>
        <w:jc w:val="both"/>
        <w:rPr>
          <w:rFonts w:ascii="Verdana" w:eastAsia="Times New Roman" w:hAnsi="Verdana" w:cs="Arial"/>
          <w:sz w:val="21"/>
          <w:szCs w:val="21"/>
          <w:lang w:eastAsia="es-ES" w:bidi="en-US"/>
        </w:rPr>
      </w:pPr>
      <w:r w:rsidRPr="00A56ACA">
        <w:rPr>
          <w:rFonts w:ascii="Verdana" w:eastAsia="Times New Roman" w:hAnsi="Verdana" w:cs="Arial"/>
          <w:sz w:val="21"/>
          <w:szCs w:val="21"/>
          <w:lang w:eastAsia="es-ES" w:bidi="en-US"/>
        </w:rPr>
        <w:t xml:space="preserve">El cumplimiento de esta obligación será verificado por la interventoría o la supervisión, según corresponda, durante la ejecución del contrato. A tales efectos, se deberán presentar facturas, órdenes de compras, certificaciones y cualquier otro documento que permita establecer que los bienes empleados para el desarrollo de la obra efectivamente fueron adquiridos a proveedores inscritos en el Registro de Productores de Bienes Nacionales y que fueron obtenidos durante la vigencia del registro de los respectivos bienes.” </w:t>
      </w:r>
    </w:p>
    <w:p w14:paraId="165056E6" w14:textId="77777777" w:rsidR="00123F6C" w:rsidRPr="005B287F" w:rsidRDefault="00123F6C" w:rsidP="00123F6C">
      <w:pPr>
        <w:tabs>
          <w:tab w:val="left" w:pos="709"/>
        </w:tabs>
        <w:adjustRightInd w:val="0"/>
        <w:snapToGrid w:val="0"/>
        <w:spacing w:after="0" w:line="276" w:lineRule="auto"/>
        <w:jc w:val="both"/>
        <w:rPr>
          <w:rFonts w:ascii="Verdana" w:eastAsia="Times New Roman" w:hAnsi="Verdana" w:cs="Arial"/>
          <w:bCs/>
          <w:kern w:val="2"/>
          <w:sz w:val="20"/>
          <w:szCs w:val="20"/>
        </w:rPr>
      </w:pPr>
    </w:p>
    <w:p w14:paraId="23226343" w14:textId="77777777" w:rsidR="00123F6C" w:rsidRPr="005A3713" w:rsidRDefault="00123F6C" w:rsidP="00123F6C">
      <w:pPr>
        <w:tabs>
          <w:tab w:val="left" w:pos="709"/>
        </w:tabs>
        <w:adjustRightInd w:val="0"/>
        <w:snapToGrid w:val="0"/>
        <w:spacing w:after="0" w:line="276" w:lineRule="auto"/>
        <w:jc w:val="both"/>
        <w:rPr>
          <w:rFonts w:ascii="Verdana" w:eastAsia="Times New Roman" w:hAnsi="Verdana" w:cs="Arial"/>
          <w:bCs/>
          <w:kern w:val="2"/>
          <w:sz w:val="20"/>
          <w:szCs w:val="20"/>
        </w:rPr>
      </w:pPr>
      <w:r w:rsidRPr="00B05D61">
        <w:rPr>
          <w:rFonts w:ascii="Verdana" w:eastAsia="Times New Roman" w:hAnsi="Verdana" w:cs="Arial"/>
          <w:bCs/>
          <w:kern w:val="2"/>
          <w:sz w:val="20"/>
          <w:szCs w:val="20"/>
        </w:rPr>
        <w:t xml:space="preserve">Lo expuesto anteriormente, evidencia que es el proponente quien manifiesta su compromiso de incorporar dichos bienes en la ejecución del contrato, conforme a la metodología establecida en la Matriz 4, esto se convierte en una obligación contractual </w:t>
      </w:r>
      <w:r w:rsidRPr="00B05D61">
        <w:rPr>
          <w:rFonts w:ascii="Verdana" w:eastAsia="Times New Roman" w:hAnsi="Verdana" w:cs="Arial"/>
          <w:bCs/>
          <w:kern w:val="2"/>
          <w:sz w:val="20"/>
          <w:szCs w:val="20"/>
        </w:rPr>
        <w:lastRenderedPageBreak/>
        <w:t>que será objeto de control por parte de la interventoría o supervisión designada. Ahora bien, para acreditar lo anterior, se deberá diligenciar el formato y aportar los soportes documentales correspondientes que acrediten y utilización de bienes nacionales relevantes, garantizando que se cumplan con todos requisitos exigidos.</w:t>
      </w:r>
    </w:p>
    <w:p w14:paraId="7946D388" w14:textId="77777777" w:rsidR="00123F6C" w:rsidRPr="005A3713" w:rsidRDefault="00123F6C" w:rsidP="00123F6C">
      <w:pPr>
        <w:tabs>
          <w:tab w:val="left" w:pos="709"/>
        </w:tabs>
        <w:adjustRightInd w:val="0"/>
        <w:snapToGrid w:val="0"/>
        <w:spacing w:after="0" w:line="276" w:lineRule="auto"/>
        <w:jc w:val="both"/>
        <w:rPr>
          <w:rFonts w:ascii="Verdana" w:eastAsia="Times New Roman" w:hAnsi="Verdana" w:cs="Arial"/>
          <w:bCs/>
          <w:kern w:val="2"/>
          <w:sz w:val="20"/>
          <w:szCs w:val="20"/>
        </w:rPr>
      </w:pPr>
    </w:p>
    <w:p w14:paraId="2D2E1293" w14:textId="77777777" w:rsidR="00123F6C" w:rsidRPr="005A3713" w:rsidRDefault="00123F6C" w:rsidP="00123F6C">
      <w:pPr>
        <w:tabs>
          <w:tab w:val="left" w:pos="709"/>
        </w:tabs>
        <w:adjustRightInd w:val="0"/>
        <w:snapToGrid w:val="0"/>
        <w:spacing w:after="0" w:line="276" w:lineRule="auto"/>
        <w:jc w:val="both"/>
        <w:rPr>
          <w:rFonts w:ascii="Verdana" w:hAnsi="Verdana" w:cs="Arial"/>
          <w:bCs/>
          <w:kern w:val="2"/>
          <w:sz w:val="20"/>
          <w:szCs w:val="20"/>
        </w:rPr>
      </w:pPr>
      <w:r w:rsidRPr="005A3713">
        <w:rPr>
          <w:rFonts w:ascii="Verdana" w:eastAsia="Times New Roman" w:hAnsi="Verdana" w:cs="Arial"/>
          <w:bCs/>
          <w:kern w:val="2"/>
          <w:sz w:val="20"/>
          <w:szCs w:val="20"/>
        </w:rPr>
        <w:t xml:space="preserve">En relación con la segunda opción, la misma se presenta en casos en los que </w:t>
      </w:r>
      <w:r w:rsidRPr="005A3713">
        <w:rPr>
          <w:rFonts w:ascii="Verdana" w:hAnsi="Verdana" w:cs="Arial"/>
          <w:bCs/>
          <w:kern w:val="2"/>
          <w:sz w:val="20"/>
          <w:szCs w:val="20"/>
        </w:rPr>
        <w:t>la Entidad Estatal ha determinado que no existen bienes nacionales relevantes incluidos en el Registro de Productores de Bienes Nacionales, de conformidad con la definición de Servicios Nacionales establecida en el artículo 2.2.1.1.1.3.1 del Decreto 1082 de 2015. En este contexto, el apoyo a la industria nacional se materializa mediante la vinculación de personal colombiano, garantizando un porcentaje mínimo de participación nacional en la ejecución del contrato, según lo previsto en el Documento Base y en los pliegos de condiciones. La misma se encuentra desarrollada en el formato en los siguientes términos:</w:t>
      </w:r>
    </w:p>
    <w:p w14:paraId="5B8B6924" w14:textId="77777777" w:rsidR="00123F6C" w:rsidRPr="005A3713" w:rsidRDefault="00123F6C" w:rsidP="00123F6C">
      <w:pPr>
        <w:tabs>
          <w:tab w:val="left" w:pos="709"/>
        </w:tabs>
        <w:adjustRightInd w:val="0"/>
        <w:snapToGrid w:val="0"/>
        <w:spacing w:after="0" w:line="276" w:lineRule="auto"/>
        <w:jc w:val="both"/>
        <w:rPr>
          <w:rFonts w:ascii="Verdana" w:hAnsi="Verdana" w:cs="Arial"/>
          <w:bCs/>
          <w:kern w:val="2"/>
          <w:sz w:val="20"/>
          <w:szCs w:val="20"/>
        </w:rPr>
      </w:pPr>
    </w:p>
    <w:p w14:paraId="0E4D7ED2" w14:textId="77777777" w:rsidR="00123F6C" w:rsidRPr="00A56ACA" w:rsidRDefault="00123F6C" w:rsidP="00123F6C">
      <w:pPr>
        <w:spacing w:before="120" w:after="120" w:line="240" w:lineRule="auto"/>
        <w:ind w:left="709" w:right="709"/>
        <w:jc w:val="both"/>
        <w:rPr>
          <w:rFonts w:ascii="Verdana" w:eastAsia="Times New Roman" w:hAnsi="Verdana" w:cs="Arial"/>
          <w:color w:val="000000" w:themeColor="text1"/>
          <w:sz w:val="21"/>
          <w:szCs w:val="21"/>
          <w:highlight w:val="lightGray"/>
          <w:lang w:eastAsia="es-ES"/>
        </w:rPr>
      </w:pPr>
      <w:r w:rsidRPr="00A56ACA">
        <w:rPr>
          <w:rFonts w:ascii="Verdana" w:eastAsia="Times New Roman" w:hAnsi="Verdana" w:cs="Arial"/>
          <w:color w:val="000000" w:themeColor="text1"/>
          <w:sz w:val="21"/>
          <w:szCs w:val="21"/>
          <w:highlight w:val="lightGray"/>
          <w:lang w:eastAsia="es-ES"/>
        </w:rPr>
        <w:t>“[</w:t>
      </w:r>
      <w:r w:rsidRPr="00A56ACA">
        <w:rPr>
          <w:rFonts w:ascii="Verdana" w:eastAsia="Times New Roman" w:hAnsi="Verdana" w:cs="Arial"/>
          <w:b/>
          <w:bCs/>
          <w:color w:val="000000" w:themeColor="text1"/>
          <w:sz w:val="21"/>
          <w:szCs w:val="21"/>
          <w:highlight w:val="lightGray"/>
          <w:lang w:eastAsia="es-ES"/>
        </w:rPr>
        <w:t>Opción 2.</w:t>
      </w:r>
      <w:r w:rsidRPr="00A56ACA">
        <w:rPr>
          <w:rFonts w:ascii="Verdana" w:eastAsia="Times New Roman" w:hAnsi="Verdana" w:cs="Arial"/>
          <w:color w:val="000000" w:themeColor="text1"/>
          <w:sz w:val="21"/>
          <w:szCs w:val="21"/>
          <w:highlight w:val="lightGray"/>
          <w:lang w:eastAsia="es-ES"/>
        </w:rPr>
        <w:t xml:space="preserve"> Incorporar si la Entidad determina que no existen bienes nacionales relevantes incluidos en el Registro de Productores de Bienes Nacionales, aplicando la definición de Servicios Nacionales del artículo 2.2.1.1.1.3.1 del Decreto 1082 de 2015]  </w:t>
      </w:r>
    </w:p>
    <w:p w14:paraId="4E06F19D" w14:textId="77777777" w:rsidR="00123F6C" w:rsidRPr="00A56ACA" w:rsidRDefault="00123F6C" w:rsidP="00123F6C">
      <w:pPr>
        <w:spacing w:before="120" w:after="240" w:line="240" w:lineRule="auto"/>
        <w:ind w:left="709" w:right="709"/>
        <w:jc w:val="both"/>
        <w:rPr>
          <w:rFonts w:ascii="Verdana" w:eastAsia="Times New Roman" w:hAnsi="Verdana" w:cs="Arial"/>
          <w:sz w:val="21"/>
          <w:szCs w:val="21"/>
          <w:lang w:eastAsia="es-ES" w:bidi="en-US"/>
        </w:rPr>
      </w:pPr>
      <w:r w:rsidRPr="00A56ACA">
        <w:rPr>
          <w:rFonts w:ascii="Verdana" w:eastAsia="Times New Roman" w:hAnsi="Verdana" w:cs="Arial"/>
          <w:color w:val="000000" w:themeColor="text1"/>
          <w:sz w:val="21"/>
          <w:szCs w:val="21"/>
          <w:lang w:eastAsia="es-ES"/>
        </w:rPr>
        <w:t>Manifiesto bajo la gravedad del juramento que en caso de</w:t>
      </w:r>
      <w:r w:rsidRPr="00A56ACA">
        <w:rPr>
          <w:rFonts w:ascii="Verdana" w:eastAsia="Times New Roman" w:hAnsi="Verdana" w:cs="Arial"/>
          <w:sz w:val="21"/>
          <w:szCs w:val="21"/>
          <w:lang w:eastAsia="es-ES" w:bidi="en-US"/>
        </w:rPr>
        <w:t xml:space="preserve"> resultar adjudicatario para la ejecución del objeto contractual destinaré un porcentaje de empleados o contratistas por prestación de servicios colombianos, de al menos el </w:t>
      </w:r>
      <w:r w:rsidRPr="00A56ACA">
        <w:rPr>
          <w:rFonts w:ascii="Verdana" w:eastAsia="Times New Roman" w:hAnsi="Verdana" w:cs="Arial"/>
          <w:sz w:val="21"/>
          <w:szCs w:val="21"/>
          <w:highlight w:val="lightGray"/>
          <w:lang w:eastAsia="es-ES" w:bidi="en-US"/>
        </w:rPr>
        <w:t>[el Proponente</w:t>
      </w:r>
      <w:r w:rsidRPr="00A56ACA">
        <w:rPr>
          <w:rFonts w:ascii="Verdana" w:hAnsi="Verdana" w:cs="Arial"/>
          <w:color w:val="000000"/>
          <w:sz w:val="21"/>
          <w:szCs w:val="21"/>
          <w:highlight w:val="lightGray"/>
          <w:lang w:val="es-ES" w:eastAsia="es-ES"/>
        </w:rPr>
        <w:t xml:space="preserve"> incluirá el porcentaje definido por la Entidad Estatal en el numeral 4.4.1 del documento base que sea por lo menos del cuarenta por ciento (40 %)</w:t>
      </w:r>
      <w:r w:rsidRPr="00A56ACA">
        <w:rPr>
          <w:rFonts w:ascii="Verdana" w:hAnsi="Verdana" w:cs="Arial"/>
          <w:i/>
          <w:color w:val="000000"/>
          <w:sz w:val="21"/>
          <w:szCs w:val="21"/>
          <w:highlight w:val="lightGray"/>
          <w:lang w:eastAsia="es-ES"/>
        </w:rPr>
        <w:t xml:space="preserve">, </w:t>
      </w:r>
      <w:r w:rsidRPr="00A56ACA">
        <w:rPr>
          <w:rFonts w:ascii="Verdana" w:hAnsi="Verdana" w:cs="Arial"/>
          <w:iCs/>
          <w:color w:val="000000"/>
          <w:sz w:val="21"/>
          <w:szCs w:val="21"/>
          <w:highlight w:val="lightGray"/>
          <w:lang w:eastAsia="es-ES"/>
        </w:rPr>
        <w:t>sin perjuicio de incluir uno superior</w:t>
      </w:r>
      <w:r w:rsidRPr="00A56ACA">
        <w:rPr>
          <w:rFonts w:ascii="Verdana" w:hAnsi="Verdana" w:cs="Arial"/>
          <w:color w:val="000000"/>
          <w:sz w:val="21"/>
          <w:szCs w:val="21"/>
          <w:highlight w:val="lightGray"/>
          <w:lang w:val="es-ES" w:eastAsia="es-ES"/>
        </w:rPr>
        <w:t>]</w:t>
      </w:r>
      <w:r w:rsidRPr="00A56ACA">
        <w:rPr>
          <w:rFonts w:ascii="Verdana" w:hAnsi="Verdana" w:cs="Times New Roman"/>
          <w:color w:val="000000"/>
          <w:sz w:val="21"/>
          <w:szCs w:val="21"/>
          <w:lang w:val="es-ES" w:eastAsia="es-ES"/>
        </w:rPr>
        <w:t xml:space="preserve"> </w:t>
      </w:r>
      <w:r w:rsidRPr="00A56ACA">
        <w:rPr>
          <w:rFonts w:ascii="Verdana" w:eastAsia="Times New Roman" w:hAnsi="Verdana" w:cs="Arial"/>
          <w:sz w:val="21"/>
          <w:szCs w:val="21"/>
          <w:lang w:eastAsia="es-ES" w:bidi="en-US"/>
        </w:rPr>
        <w:t>del total del personal requerido para el cumplimiento del contrato.</w:t>
      </w:r>
    </w:p>
    <w:p w14:paraId="7B6FFE21" w14:textId="77777777" w:rsidR="00123F6C" w:rsidRPr="00C23CBA" w:rsidRDefault="00123F6C" w:rsidP="00123F6C">
      <w:pPr>
        <w:spacing w:before="120" w:after="240" w:line="240" w:lineRule="auto"/>
        <w:ind w:left="709" w:right="709"/>
        <w:jc w:val="both"/>
        <w:rPr>
          <w:rFonts w:ascii="Verdana" w:eastAsia="Times New Roman" w:hAnsi="Verdana" w:cs="Arial"/>
          <w:color w:val="000000"/>
          <w:sz w:val="21"/>
          <w:szCs w:val="21"/>
          <w:highlight w:val="lightGray"/>
          <w:lang w:eastAsia="es-ES"/>
        </w:rPr>
      </w:pPr>
      <w:r w:rsidRPr="00A56ACA">
        <w:rPr>
          <w:rFonts w:ascii="Verdana" w:eastAsia="Times New Roman" w:hAnsi="Verdana" w:cs="Arial"/>
          <w:sz w:val="21"/>
          <w:szCs w:val="21"/>
          <w:lang w:eastAsia="es-ES" w:bidi="en-US"/>
        </w:rPr>
        <w:t xml:space="preserve">Para el cumplimiento de esta obligación, tendrá que verificarse la nacionalidad del personal, para lo que deberá presentarse alguno de los documentos previstos en el numeral 4.4.1.1 del documento base de las personas con las cuales se cumple el porcentaje de personal no inferior al </w:t>
      </w:r>
      <w:r w:rsidRPr="00A56ACA">
        <w:rPr>
          <w:rFonts w:ascii="Verdana" w:eastAsia="Times New Roman" w:hAnsi="Verdana" w:cs="Arial"/>
          <w:sz w:val="21"/>
          <w:szCs w:val="21"/>
          <w:highlight w:val="lightGray"/>
          <w:lang w:eastAsia="es-ES" w:bidi="en-US"/>
        </w:rPr>
        <w:t>[el Proponente incluirá el porcentaje definido por la Entidad Estatal en el numeral 4.4.1 del documento base que sea por lo menos del cuarenta por ciento (40 %)</w:t>
      </w:r>
      <w:r w:rsidRPr="00A56ACA">
        <w:rPr>
          <w:rFonts w:ascii="Verdana" w:hAnsi="Verdana" w:cs="Arial"/>
          <w:i/>
          <w:color w:val="000000"/>
          <w:sz w:val="21"/>
          <w:szCs w:val="21"/>
          <w:highlight w:val="lightGray"/>
          <w:lang w:eastAsia="es-ES"/>
        </w:rPr>
        <w:t xml:space="preserve">, </w:t>
      </w:r>
      <w:r w:rsidRPr="00A56ACA">
        <w:rPr>
          <w:rFonts w:ascii="Verdana" w:hAnsi="Verdana" w:cs="Arial"/>
          <w:iCs/>
          <w:color w:val="000000"/>
          <w:sz w:val="21"/>
          <w:szCs w:val="21"/>
          <w:highlight w:val="lightGray"/>
          <w:lang w:eastAsia="es-ES"/>
        </w:rPr>
        <w:t>sin perjuicio de incluir uno superior</w:t>
      </w:r>
      <w:r w:rsidRPr="00A56ACA">
        <w:rPr>
          <w:rFonts w:ascii="Verdana" w:eastAsia="Times New Roman" w:hAnsi="Verdana" w:cs="Arial"/>
          <w:sz w:val="21"/>
          <w:szCs w:val="21"/>
          <w:highlight w:val="lightGray"/>
          <w:lang w:eastAsia="es-ES" w:bidi="en-US"/>
        </w:rPr>
        <w:t>]</w:t>
      </w:r>
      <w:r w:rsidRPr="00A56ACA">
        <w:rPr>
          <w:rFonts w:ascii="Verdana" w:eastAsia="Times New Roman" w:hAnsi="Verdana" w:cs="Arial"/>
          <w:sz w:val="21"/>
          <w:szCs w:val="21"/>
          <w:lang w:eastAsia="es-ES" w:bidi="en-US"/>
        </w:rPr>
        <w:t xml:space="preserve">. Adicionalmente, el Contratista, a partir de iniciar la ejecución del contrato, deberá allegar mensualmente una declaración expedida por su representante legal en la que conste que mantiene el porcentaje de personal nacional y adjuntar el soporte de la vinculación laboral o por prestación de servicios de ese personal”. </w:t>
      </w:r>
    </w:p>
    <w:p w14:paraId="12753FFC" w14:textId="77777777" w:rsidR="00123F6C" w:rsidRPr="00C23CBA" w:rsidRDefault="00123F6C" w:rsidP="00123F6C">
      <w:pPr>
        <w:tabs>
          <w:tab w:val="left" w:pos="709"/>
        </w:tabs>
        <w:adjustRightInd w:val="0"/>
        <w:snapToGrid w:val="0"/>
        <w:spacing w:after="120" w:line="276" w:lineRule="auto"/>
        <w:ind w:firstLine="709"/>
        <w:jc w:val="both"/>
        <w:rPr>
          <w:rFonts w:ascii="Verdana" w:eastAsia="Times New Roman" w:hAnsi="Verdana" w:cs="Arial"/>
          <w:bCs/>
          <w:i/>
          <w:iCs/>
          <w:kern w:val="2"/>
          <w:lang w:val="es-ES_tradnl"/>
        </w:rPr>
      </w:pPr>
      <w:r w:rsidRPr="00C23CBA">
        <w:rPr>
          <w:rFonts w:ascii="Verdana" w:eastAsia="Times New Roman" w:hAnsi="Verdana" w:cs="Arial"/>
          <w:bCs/>
          <w:kern w:val="2"/>
          <w:lang w:val="es-ES_tradnl"/>
        </w:rPr>
        <w:lastRenderedPageBreak/>
        <w:t>En virtud de lo anterior, resulta claro que, para el cumplimiento de la obligación citada, el proponente deberá presentar alguno de los documentos descritos en el numeral 4.</w:t>
      </w:r>
      <w:r>
        <w:rPr>
          <w:rFonts w:ascii="Verdana" w:eastAsia="Times New Roman" w:hAnsi="Verdana" w:cs="Arial"/>
          <w:bCs/>
          <w:kern w:val="2"/>
          <w:lang w:val="es-ES_tradnl"/>
        </w:rPr>
        <w:t>4</w:t>
      </w:r>
      <w:r w:rsidRPr="00C23CBA">
        <w:rPr>
          <w:rFonts w:ascii="Verdana" w:eastAsia="Times New Roman" w:hAnsi="Verdana" w:cs="Arial"/>
          <w:bCs/>
          <w:kern w:val="2"/>
          <w:lang w:val="es-ES_tradnl"/>
        </w:rPr>
        <w:t xml:space="preserve">.1.1 del Documento Base, junto con la oferta y el Formato 9A, con el fin de acreditar la nacionalidad del personal, teniendo en cuenta si se trata de </w:t>
      </w:r>
      <w:r w:rsidRPr="00C23CBA">
        <w:rPr>
          <w:rFonts w:ascii="Verdana" w:eastAsia="Times New Roman" w:hAnsi="Verdana" w:cs="Arial"/>
          <w:bCs/>
          <w:i/>
          <w:iCs/>
          <w:kern w:val="2"/>
          <w:lang w:val="es-ES_tradnl"/>
        </w:rPr>
        <w:t>persona natural colombiana, persona natural extranjera residente en Colombia</w:t>
      </w:r>
      <w:r w:rsidRPr="00C23CBA">
        <w:rPr>
          <w:rFonts w:ascii="Verdana" w:eastAsia="Times New Roman" w:hAnsi="Verdana" w:cs="Arial"/>
          <w:bCs/>
          <w:kern w:val="2"/>
          <w:lang w:val="es-ES_tradnl"/>
        </w:rPr>
        <w:t xml:space="preserve"> o </w:t>
      </w:r>
      <w:r w:rsidRPr="00C23CBA">
        <w:rPr>
          <w:rFonts w:ascii="Verdana" w:eastAsia="Times New Roman" w:hAnsi="Verdana" w:cs="Arial"/>
          <w:bCs/>
          <w:i/>
          <w:iCs/>
          <w:kern w:val="2"/>
          <w:lang w:val="es-ES_tradnl"/>
        </w:rPr>
        <w:t>persona jurídica constituida en Colombia.</w:t>
      </w:r>
    </w:p>
    <w:p w14:paraId="37247419" w14:textId="77777777" w:rsidR="00123F6C" w:rsidRPr="00C23CBA" w:rsidRDefault="00123F6C" w:rsidP="00123F6C">
      <w:pPr>
        <w:tabs>
          <w:tab w:val="left" w:pos="709"/>
        </w:tabs>
        <w:adjustRightInd w:val="0"/>
        <w:snapToGrid w:val="0"/>
        <w:spacing w:after="120" w:line="276" w:lineRule="auto"/>
        <w:ind w:firstLine="709"/>
        <w:jc w:val="both"/>
        <w:rPr>
          <w:rFonts w:ascii="Verdana" w:eastAsia="Times New Roman" w:hAnsi="Verdana" w:cs="Arial"/>
          <w:bCs/>
          <w:kern w:val="2"/>
          <w:lang w:val="es-ES_tradnl"/>
        </w:rPr>
      </w:pPr>
      <w:r w:rsidRPr="00C23CBA">
        <w:rPr>
          <w:rFonts w:ascii="Verdana" w:eastAsia="Times New Roman" w:hAnsi="Verdana" w:cs="Arial"/>
          <w:bCs/>
          <w:kern w:val="2"/>
          <w:lang w:val="es-ES_tradnl"/>
        </w:rPr>
        <w:t xml:space="preserve">Finalmente, se plantea como tercera opción, en este caso dirigida </w:t>
      </w:r>
      <w:r w:rsidRPr="00C23CBA">
        <w:rPr>
          <w:rFonts w:ascii="Verdana" w:hAnsi="Verdana" w:cs="Arial"/>
          <w:bCs/>
          <w:kern w:val="2"/>
        </w:rPr>
        <w:t>exclusivamente a proponentes extranjeros con derecho a trato nacional, así como a proponentes plurales conformados por estos, que manifiesten su voluntad de acogerse a la regla de origen de su país. Lo siguiente:</w:t>
      </w:r>
    </w:p>
    <w:p w14:paraId="0C86BCD9" w14:textId="77777777" w:rsidR="00123F6C" w:rsidRDefault="00123F6C" w:rsidP="00123F6C">
      <w:pPr>
        <w:spacing w:after="0" w:line="240" w:lineRule="auto"/>
        <w:ind w:left="709" w:right="709"/>
        <w:jc w:val="both"/>
        <w:rPr>
          <w:rFonts w:ascii="Verdana" w:hAnsi="Verdana" w:cs="Arial"/>
          <w:color w:val="000000"/>
          <w:sz w:val="21"/>
          <w:szCs w:val="21"/>
        </w:rPr>
      </w:pPr>
      <w:r w:rsidRPr="00955315">
        <w:rPr>
          <w:rFonts w:ascii="Verdana" w:hAnsi="Verdana" w:cs="Arial"/>
          <w:color w:val="000000"/>
          <w:sz w:val="21"/>
          <w:szCs w:val="21"/>
          <w:highlight w:val="lightGray"/>
        </w:rPr>
        <w:t>[</w:t>
      </w:r>
      <w:r w:rsidRPr="00955315">
        <w:rPr>
          <w:rFonts w:ascii="Verdana" w:hAnsi="Verdana" w:cs="Arial"/>
          <w:b/>
          <w:bCs/>
          <w:color w:val="000000"/>
          <w:sz w:val="21"/>
          <w:szCs w:val="21"/>
          <w:highlight w:val="lightGray"/>
        </w:rPr>
        <w:t>Opción 3.</w:t>
      </w:r>
      <w:r w:rsidRPr="00955315">
        <w:rPr>
          <w:rFonts w:ascii="Verdana" w:hAnsi="Verdana" w:cs="Arial"/>
          <w:color w:val="000000"/>
          <w:sz w:val="21"/>
          <w:szCs w:val="21"/>
          <w:highlight w:val="lightGray"/>
        </w:rPr>
        <w:t xml:space="preserve"> Esta opción ÚNICAMENTE puede ser diligenciada por los proponentes extranjeros con derecho a trato nacional o Proponentes Plurales conformados por estos, que manifiesten su voluntad de acogerse a la regla de origen de su país]</w:t>
      </w:r>
      <w:r w:rsidRPr="00955315">
        <w:rPr>
          <w:rFonts w:ascii="Verdana" w:hAnsi="Verdana" w:cs="Arial"/>
          <w:color w:val="000000"/>
          <w:sz w:val="21"/>
          <w:szCs w:val="21"/>
        </w:rPr>
        <w:t xml:space="preserve">  </w:t>
      </w:r>
    </w:p>
    <w:p w14:paraId="28079B8A" w14:textId="77777777" w:rsidR="00123F6C" w:rsidRPr="00955315" w:rsidRDefault="00123F6C" w:rsidP="00123F6C">
      <w:pPr>
        <w:spacing w:after="0" w:line="240" w:lineRule="auto"/>
        <w:ind w:left="709" w:right="709"/>
        <w:jc w:val="both"/>
        <w:rPr>
          <w:rFonts w:ascii="Verdana" w:hAnsi="Verdana" w:cs="Arial"/>
          <w:color w:val="000000"/>
          <w:sz w:val="21"/>
          <w:szCs w:val="21"/>
        </w:rPr>
      </w:pPr>
    </w:p>
    <w:p w14:paraId="46E6B448" w14:textId="77777777" w:rsidR="00123F6C" w:rsidRPr="00955315" w:rsidRDefault="00123F6C" w:rsidP="00123F6C">
      <w:pPr>
        <w:spacing w:after="120" w:line="240" w:lineRule="auto"/>
        <w:ind w:left="709" w:right="709"/>
        <w:jc w:val="both"/>
        <w:rPr>
          <w:rFonts w:ascii="Verdana" w:hAnsi="Verdana" w:cs="Arial"/>
          <w:sz w:val="21"/>
          <w:szCs w:val="21"/>
          <w:lang w:bidi="en-US"/>
        </w:rPr>
      </w:pPr>
      <w:r w:rsidRPr="00955315">
        <w:rPr>
          <w:rFonts w:ascii="Verdana" w:hAnsi="Verdana" w:cs="Arial"/>
          <w:sz w:val="21"/>
          <w:szCs w:val="21"/>
          <w:lang w:bidi="en-US"/>
        </w:rPr>
        <w:t xml:space="preserve">Manifiesto que los servicios ofrecidos para la eventual ejecución del objeto contractual son originarios de </w:t>
      </w:r>
      <w:r w:rsidRPr="00955315">
        <w:rPr>
          <w:rFonts w:ascii="Verdana" w:hAnsi="Verdana" w:cs="Arial"/>
          <w:sz w:val="21"/>
          <w:szCs w:val="21"/>
          <w:highlight w:val="lightGray"/>
          <w:lang w:bidi="en-US"/>
        </w:rPr>
        <w:t>[indicar nombre del país de origen de los servicios</w:t>
      </w:r>
      <w:r w:rsidRPr="00955315">
        <w:rPr>
          <w:rFonts w:ascii="Verdana" w:hAnsi="Verdana" w:cs="Arial"/>
          <w:sz w:val="21"/>
          <w:szCs w:val="21"/>
          <w:lang w:bidi="en-US"/>
        </w:rPr>
        <w:t xml:space="preserve">], país con el que la República de Colombia </w:t>
      </w:r>
      <w:r w:rsidRPr="00955315">
        <w:rPr>
          <w:rFonts w:ascii="Verdana" w:hAnsi="Verdana" w:cs="Arial"/>
          <w:sz w:val="21"/>
          <w:szCs w:val="21"/>
          <w:highlight w:val="lightGray"/>
          <w:lang w:bidi="en-US"/>
        </w:rPr>
        <w:t>[indicar si: A) tiene vigente un Acuerdo Comercial, en los términos del Capítulo VI del documento base; B) ha certificado Trato Nacional por reciprocidad; o C) se trata de un país miembro de la Comunidad Andina de Naciones]</w:t>
      </w:r>
      <w:r w:rsidRPr="00955315">
        <w:rPr>
          <w:rFonts w:ascii="Verdana" w:hAnsi="Verdana" w:cs="Arial"/>
          <w:sz w:val="21"/>
          <w:szCs w:val="21"/>
          <w:lang w:bidi="en-US"/>
        </w:rPr>
        <w:t>.</w:t>
      </w:r>
    </w:p>
    <w:p w14:paraId="1B9EFC02" w14:textId="77777777" w:rsidR="00123F6C" w:rsidRPr="00955315" w:rsidRDefault="00123F6C" w:rsidP="00123F6C">
      <w:pPr>
        <w:spacing w:after="120" w:line="240" w:lineRule="auto"/>
        <w:ind w:left="709" w:right="709"/>
        <w:jc w:val="both"/>
        <w:rPr>
          <w:rFonts w:ascii="Verdana" w:hAnsi="Verdana" w:cs="Arial"/>
          <w:sz w:val="21"/>
          <w:szCs w:val="21"/>
          <w:highlight w:val="lightGray"/>
          <w:lang w:bidi="en-US"/>
        </w:rPr>
      </w:pPr>
      <w:r w:rsidRPr="00955315">
        <w:rPr>
          <w:rFonts w:ascii="Verdana" w:hAnsi="Verdana" w:cs="Arial"/>
          <w:sz w:val="21"/>
          <w:szCs w:val="21"/>
          <w:lang w:bidi="en-US"/>
        </w:rPr>
        <w:t xml:space="preserve">A efectos de demostrar el origen de los servicios, me acojo a la regla de origen prevista en </w:t>
      </w:r>
      <w:r w:rsidRPr="00955315">
        <w:rPr>
          <w:rFonts w:ascii="Verdana" w:hAnsi="Verdana" w:cs="Arial"/>
          <w:sz w:val="21"/>
          <w:szCs w:val="21"/>
          <w:highlight w:val="lightGray"/>
          <w:lang w:bidi="en-US"/>
        </w:rPr>
        <w:t>[Indicar el instrumento jurídico o comercial en el que se regula la regla de origen del correspondiente país]</w:t>
      </w:r>
      <w:r w:rsidRPr="00955315">
        <w:rPr>
          <w:rFonts w:ascii="Verdana" w:hAnsi="Verdana" w:cs="Arial"/>
          <w:sz w:val="21"/>
          <w:szCs w:val="21"/>
          <w:lang w:bidi="en-US"/>
        </w:rPr>
        <w:t xml:space="preserve">, para lo cual adjunto la siguiente documentación: </w:t>
      </w:r>
      <w:r w:rsidRPr="00955315">
        <w:rPr>
          <w:rFonts w:ascii="Verdana" w:hAnsi="Verdana" w:cs="Arial"/>
          <w:sz w:val="21"/>
          <w:szCs w:val="21"/>
          <w:highlight w:val="lightGray"/>
          <w:lang w:bidi="en-US"/>
        </w:rPr>
        <w:t>[Señalar anexos al Formato 9, requeridos para demostrar el origen de los servicios en el correspondiente país]</w:t>
      </w:r>
      <w:r w:rsidRPr="00955315">
        <w:rPr>
          <w:rFonts w:ascii="Verdana" w:hAnsi="Verdana" w:cs="Arial"/>
          <w:sz w:val="21"/>
          <w:szCs w:val="21"/>
          <w:lang w:bidi="en-US"/>
        </w:rPr>
        <w:t xml:space="preserve">. </w:t>
      </w:r>
    </w:p>
    <w:p w14:paraId="3D36A800" w14:textId="77777777" w:rsidR="00123F6C" w:rsidRPr="00E859CC" w:rsidRDefault="00123F6C" w:rsidP="00123F6C">
      <w:pPr>
        <w:tabs>
          <w:tab w:val="left" w:pos="709"/>
        </w:tabs>
        <w:adjustRightInd w:val="0"/>
        <w:snapToGrid w:val="0"/>
        <w:spacing w:after="0" w:line="276" w:lineRule="auto"/>
        <w:ind w:firstLine="709"/>
        <w:jc w:val="both"/>
        <w:rPr>
          <w:rFonts w:ascii="Verdana" w:eastAsia="Times New Roman" w:hAnsi="Verdana" w:cs="Arial"/>
          <w:bCs/>
          <w:color w:val="000000" w:themeColor="text1"/>
          <w:kern w:val="2"/>
        </w:rPr>
      </w:pPr>
      <w:r w:rsidRPr="00E859CC">
        <w:rPr>
          <w:rFonts w:ascii="Verdana" w:eastAsia="Times New Roman" w:hAnsi="Verdana" w:cs="Arial"/>
          <w:bCs/>
          <w:color w:val="000000" w:themeColor="text1"/>
          <w:kern w:val="2"/>
        </w:rPr>
        <w:t xml:space="preserve">En este caso, el reconocimiento del puntaje por apoyo a la industria nacional se fundamenta en el origen de los servicios ofrecidos, siempre que estos provengan de un país con el cual la República de Colombia tenga vigente un Acuerdo Comercial, haya certificado Trato Nacional por reciprocidad o sea miembro de la Comunidad Andina de Naciones. En virtud de lo anterior, el proponente deberá demostrar el origen de los servicios ofrecidos conforme a la regla de origen aplicable, prevista en el instrumento jurídico o comercial correspondiente. Para tal fin, se deberán adjuntar al Formato 9 los documentos que acrediten de manera suficiente el cumplimiento de dicha regla, permitiendo </w:t>
      </w:r>
      <w:r w:rsidRPr="00E859CC">
        <w:rPr>
          <w:rFonts w:ascii="Verdana" w:eastAsia="Times New Roman" w:hAnsi="Verdana" w:cs="Arial"/>
          <w:bCs/>
          <w:color w:val="000000" w:themeColor="text1"/>
          <w:kern w:val="2"/>
        </w:rPr>
        <w:lastRenderedPageBreak/>
        <w:t>a la Entidad Estatal verificar que los servicios cumplen con los requisitos exigidos para el otorgamiento del puntaje por apoyo a la industria nacional.</w:t>
      </w:r>
    </w:p>
    <w:p w14:paraId="74D7E894" w14:textId="77777777" w:rsidR="00123F6C" w:rsidRDefault="00123F6C" w:rsidP="00123F6C">
      <w:pPr>
        <w:snapToGrid w:val="0"/>
        <w:spacing w:after="0" w:line="276" w:lineRule="auto"/>
        <w:jc w:val="both"/>
        <w:rPr>
          <w:rFonts w:ascii="Verdana" w:eastAsia="Times New Roman" w:hAnsi="Verdana" w:cs="Arial"/>
          <w:lang w:val="es-ES_tradnl"/>
        </w:rPr>
      </w:pPr>
    </w:p>
    <w:p w14:paraId="1A027B24" w14:textId="77777777" w:rsidR="00123F6C" w:rsidRDefault="00123F6C" w:rsidP="00123F6C">
      <w:pPr>
        <w:widowControl w:val="0"/>
        <w:autoSpaceDE w:val="0"/>
        <w:autoSpaceDN w:val="0"/>
        <w:spacing w:after="12" w:line="276" w:lineRule="auto"/>
        <w:jc w:val="both"/>
        <w:rPr>
          <w:rFonts w:ascii="Verdana" w:eastAsia="Aptos" w:hAnsi="Verdana" w:cs="Times New Roman"/>
          <w:color w:val="000000" w:themeColor="text1"/>
          <w:kern w:val="2"/>
          <w14:ligatures w14:val="standardContextual"/>
        </w:rPr>
      </w:pPr>
      <w:r>
        <w:rPr>
          <w:rFonts w:ascii="Verdana" w:eastAsia="Times New Roman" w:hAnsi="Verdana" w:cs="Arial"/>
          <w:lang w:val="es-ES_tradnl"/>
        </w:rPr>
        <w:t xml:space="preserve">III). A efectos de dar respuesta al último interrogante planteado, es pertinente mencionar que </w:t>
      </w:r>
      <w:r>
        <w:rPr>
          <w:rFonts w:ascii="Verdana" w:eastAsia="Aptos" w:hAnsi="Verdana" w:cs="AppleSystemUIFont"/>
          <w:color w:val="000000" w:themeColor="text1"/>
          <w:lang w:val="es-ES_tradnl"/>
          <w14:ligatures w14:val="standardContextual"/>
        </w:rPr>
        <w:t xml:space="preserve">la </w:t>
      </w:r>
      <w:r>
        <w:rPr>
          <w:rFonts w:ascii="Verdana" w:eastAsia="Aptos" w:hAnsi="Verdana" w:cs="AppleSystemUIFont"/>
          <w:color w:val="000000" w:themeColor="text1"/>
          <w:lang w:val="es-MX"/>
          <w14:ligatures w14:val="standardContextual"/>
        </w:rPr>
        <w:t>e</w:t>
      </w:r>
      <w:r w:rsidRPr="00AD59FA">
        <w:rPr>
          <w:rFonts w:ascii="Verdana" w:eastAsia="Aptos" w:hAnsi="Verdana" w:cs="AppleSystemUIFont"/>
          <w:color w:val="000000" w:themeColor="text1"/>
          <w:lang w:val="es-MX"/>
          <w14:ligatures w14:val="standardContextual"/>
        </w:rPr>
        <w:t xml:space="preserve">xpedición del Decreto 287 de 2026 introduce un conjunto de prerrogativas dirigidas a garantizar la igualdad material de las personas con discapacidad, en desarrollo de la Ley 1618 de 2013 y del mandato constitucional de no discriminación, lo que impone la necesidad de una adecuación de los documentos tipo expedidos por la Agencia Nacional </w:t>
      </w:r>
      <w:r w:rsidRPr="00AD59FA">
        <w:rPr>
          <w:rFonts w:ascii="Verdana" w:eastAsia="Aptos" w:hAnsi="Verdana" w:cs="Times New Roman"/>
          <w:color w:val="000000" w:themeColor="text1"/>
          <w:kern w:val="2"/>
          <w14:ligatures w14:val="standardContextual"/>
        </w:rPr>
        <w:t>de Contratación Pública – Colombia Compra Eficiente.</w:t>
      </w:r>
    </w:p>
    <w:p w14:paraId="6C3AD3D7" w14:textId="77777777" w:rsidR="00123F6C" w:rsidRPr="00AD59FA" w:rsidRDefault="00123F6C" w:rsidP="00123F6C">
      <w:pPr>
        <w:widowControl w:val="0"/>
        <w:autoSpaceDE w:val="0"/>
        <w:autoSpaceDN w:val="0"/>
        <w:spacing w:after="12" w:line="276" w:lineRule="auto"/>
        <w:jc w:val="both"/>
        <w:rPr>
          <w:rFonts w:ascii="Verdana" w:eastAsia="Aptos" w:hAnsi="Verdana" w:cs="Times New Roman"/>
          <w:color w:val="000000" w:themeColor="text1"/>
          <w:kern w:val="2"/>
          <w14:ligatures w14:val="standardContextual"/>
        </w:rPr>
      </w:pPr>
    </w:p>
    <w:p w14:paraId="27DDCF0D" w14:textId="77777777" w:rsidR="00123F6C" w:rsidRPr="00AD59FA" w:rsidRDefault="00123F6C" w:rsidP="00123F6C">
      <w:pPr>
        <w:widowControl w:val="0"/>
        <w:autoSpaceDE w:val="0"/>
        <w:autoSpaceDN w:val="0"/>
        <w:spacing w:after="120" w:line="276" w:lineRule="auto"/>
        <w:ind w:firstLine="708"/>
        <w:jc w:val="both"/>
        <w:rPr>
          <w:rFonts w:ascii="Verdana" w:eastAsia="Aptos" w:hAnsi="Verdana" w:cs="Times New Roman"/>
          <w:color w:val="000000" w:themeColor="text1"/>
          <w:kern w:val="2"/>
          <w14:ligatures w14:val="standardContextual"/>
        </w:rPr>
      </w:pPr>
      <w:r w:rsidRPr="00AD59FA">
        <w:rPr>
          <w:rFonts w:ascii="Verdana" w:eastAsia="Aptos" w:hAnsi="Verdana" w:cs="Times New Roman"/>
          <w:color w:val="000000" w:themeColor="text1"/>
          <w:kern w:val="2"/>
          <w14:ligatures w14:val="standardContextual"/>
        </w:rPr>
        <w:t xml:space="preserve">Esta situación resulta particularmente relevante teniendo en cuenta que, los documentos tipo, al fijar reglas uniformes para las entidades estatales sometidas al estatuto general de contratación de la administración pública y otros sujetos obligados a su aplicación, pueden convertirse en barreras estructurales de acceso cuando no incorporan enfoques diferenciales, afectando la participación de poblaciones históricamente excluidas. </w:t>
      </w:r>
    </w:p>
    <w:p w14:paraId="035CE770" w14:textId="77777777" w:rsidR="00123F6C" w:rsidRPr="00AD59FA" w:rsidRDefault="00123F6C" w:rsidP="00123F6C">
      <w:pPr>
        <w:widowControl w:val="0"/>
        <w:autoSpaceDE w:val="0"/>
        <w:autoSpaceDN w:val="0"/>
        <w:spacing w:after="120" w:line="276" w:lineRule="auto"/>
        <w:ind w:firstLine="708"/>
        <w:jc w:val="both"/>
        <w:rPr>
          <w:rFonts w:ascii="Verdana" w:eastAsia="Aptos" w:hAnsi="Verdana" w:cs="Times New Roman"/>
          <w:color w:val="000000" w:themeColor="text1"/>
          <w:kern w:val="2"/>
          <w14:ligatures w14:val="standardContextual"/>
        </w:rPr>
      </w:pPr>
      <w:r w:rsidRPr="00AD59FA">
        <w:rPr>
          <w:rFonts w:ascii="Verdana" w:eastAsia="Aptos" w:hAnsi="Verdana" w:cs="Times New Roman"/>
          <w:color w:val="000000" w:themeColor="text1"/>
          <w:kern w:val="2"/>
          <w14:ligatures w14:val="standardContextual"/>
        </w:rPr>
        <w:t>Desde el punto de vista jurídico, uno de los aspectos que exige la modificación de los documentos tipo de licitación pública, selección abreviada de menor cuantía y concurso de méritos en los sectores en los que estos han sido adoptados, corresponde a los requisitos habilitantes, los cuales han sido tradicionalmente diseñados bajo parámetros homogéneos que no consideran las condiciones particulares de los emprendimientos y empresas de personas con discapacidad. Tal como se señaló, el Decreto 287 de 2026 reconoce que la rigidez de estos requisitos puede impedir su participación efectiva, al punto de tornar inocuas otras medidas como el otorgamiento de puntajes adicionales. En consecuencia, los documentos tipo en las modalidades señaladas y en los sectores implementados, deben incorporar “(…) requisitos habilitantes diferenciales o ajustados en materia de experiencia, capacidad financiera u organizacional, o el valor de la garantía de seriedad de la oferta, con el fin de promover la participación de emprendimientos y empresas de personas con discapacidad con domicilio en el territorio nacional”</w:t>
      </w:r>
      <w:r w:rsidRPr="00AD59FA">
        <w:rPr>
          <w:rFonts w:ascii="Verdana" w:eastAsia="Aptos" w:hAnsi="Verdana" w:cs="Times New Roman"/>
          <w:color w:val="000000" w:themeColor="text1"/>
          <w:kern w:val="2"/>
          <w:vertAlign w:val="superscript"/>
          <w14:ligatures w14:val="standardContextual"/>
        </w:rPr>
        <w:footnoteReference w:id="9"/>
      </w:r>
      <w:r w:rsidRPr="00AD59FA">
        <w:rPr>
          <w:rFonts w:ascii="Verdana" w:eastAsia="Aptos" w:hAnsi="Verdana" w:cs="Times New Roman"/>
          <w:color w:val="000000" w:themeColor="text1"/>
          <w:kern w:val="2"/>
          <w14:ligatures w14:val="standardContextual"/>
        </w:rPr>
        <w:t xml:space="preserve">, de tal manera que se </w:t>
      </w:r>
      <w:r w:rsidRPr="00AD59FA">
        <w:rPr>
          <w:rFonts w:ascii="Verdana" w:eastAsia="Aptos" w:hAnsi="Verdana" w:cs="Times New Roman"/>
          <w:color w:val="000000" w:themeColor="text1"/>
          <w:kern w:val="2"/>
          <w14:ligatures w14:val="standardContextual"/>
        </w:rPr>
        <w:lastRenderedPageBreak/>
        <w:t>eliminen barreras de entrada injustificadas sin comprometer la idoneidad del contratista, en aplicación del principio de igualdad material.</w:t>
      </w:r>
    </w:p>
    <w:p w14:paraId="1E2772A1" w14:textId="77777777" w:rsidR="00123F6C" w:rsidRPr="00AD59FA" w:rsidRDefault="00123F6C" w:rsidP="00123F6C">
      <w:pPr>
        <w:widowControl w:val="0"/>
        <w:autoSpaceDE w:val="0"/>
        <w:autoSpaceDN w:val="0"/>
        <w:spacing w:after="120" w:line="276" w:lineRule="auto"/>
        <w:ind w:firstLine="708"/>
        <w:jc w:val="both"/>
        <w:rPr>
          <w:rFonts w:ascii="Verdana" w:eastAsia="Aptos" w:hAnsi="Verdana" w:cs="Times New Roman"/>
          <w:color w:val="000000" w:themeColor="text1"/>
          <w:kern w:val="2"/>
          <w14:ligatures w14:val="standardContextual"/>
        </w:rPr>
      </w:pPr>
      <w:r w:rsidRPr="00AD59FA">
        <w:rPr>
          <w:rFonts w:ascii="Verdana" w:eastAsia="Aptos" w:hAnsi="Verdana" w:cs="Times New Roman"/>
          <w:color w:val="000000" w:themeColor="text1"/>
          <w:kern w:val="2"/>
          <w14:ligatures w14:val="standardContextual"/>
        </w:rPr>
        <w:t>Así, los documentos tipo de licitación pública, selección abreviada de menor cuantía y concurso de méritos deben ser modificados por la Agencia Nacional de Contratación Pública – Colombia Compra Eficiente para incluir la reciente modificación al artículo 2.2.1.2.4.2.7.3 del Decreto 1082 de 2015. Lo anterior implica que, además de los requisitos habilitantes diferenciales previstos para Mipymes y emprendimientos y empresas de mujeres, se incluyan los dispuestos en el Decreto 287 de 2026 en favor de los emprendimientos y empresas de personas con discapacidad.</w:t>
      </w:r>
    </w:p>
    <w:p w14:paraId="6A655424" w14:textId="77777777" w:rsidR="00123F6C" w:rsidRPr="00AD59FA" w:rsidRDefault="00123F6C" w:rsidP="00123F6C">
      <w:pPr>
        <w:widowControl w:val="0"/>
        <w:autoSpaceDE w:val="0"/>
        <w:autoSpaceDN w:val="0"/>
        <w:spacing w:after="120" w:line="276" w:lineRule="auto"/>
        <w:ind w:firstLine="708"/>
        <w:jc w:val="both"/>
        <w:rPr>
          <w:rFonts w:ascii="Verdana" w:eastAsia="Aptos" w:hAnsi="Verdana" w:cs="Times New Roman"/>
          <w:color w:val="000000" w:themeColor="text1"/>
          <w:kern w:val="2"/>
          <w14:ligatures w14:val="standardContextual"/>
        </w:rPr>
      </w:pPr>
      <w:r w:rsidRPr="00AD59FA">
        <w:rPr>
          <w:rFonts w:ascii="Verdana" w:eastAsia="Aptos" w:hAnsi="Verdana" w:cs="Times New Roman"/>
          <w:color w:val="000000" w:themeColor="text1"/>
          <w:kern w:val="2"/>
          <w14:ligatures w14:val="standardContextual"/>
        </w:rPr>
        <w:t xml:space="preserve">De igual forma, resulta necesario ajustar los factores de evaluación para incluir el puntaje adicional previsto en el Decreto 287 de 2026, en favor de los empleadores de personas con discapacidad y de los emprendimientos y empresas conformados por esta población. Esto, considerando que el artículo 2.2.1.2.4.2.7.4 del Decreto 1082 de 2015, modificado por el artículo 1 del Decreto 287 de 2026 establece que “(…) en los procedimientos de licitación pública y concurso de méritos, las Entidades Estatales otorgaran un puntaje adicional máximo del dos por cuento (2%) del valor total de los puntos establecidos en los Pliegos de condiciones o documentos equivalentes” cuando se configuren las situaciones que allí se establecen, pero que “(…) en todo caso el puntaje adicional total y único a otorgar por este criterio será del dos por ciento (2%), sin que sean acumulables a afecto de la evaluación de la oferta (…)”. </w:t>
      </w:r>
    </w:p>
    <w:p w14:paraId="4C59D81F" w14:textId="77777777" w:rsidR="00123F6C" w:rsidRPr="00AD59FA" w:rsidRDefault="00123F6C" w:rsidP="00123F6C">
      <w:pPr>
        <w:widowControl w:val="0"/>
        <w:autoSpaceDE w:val="0"/>
        <w:autoSpaceDN w:val="0"/>
        <w:spacing w:after="120" w:line="276" w:lineRule="auto"/>
        <w:ind w:firstLine="708"/>
        <w:jc w:val="both"/>
        <w:rPr>
          <w:rFonts w:ascii="Verdana" w:eastAsia="Aptos" w:hAnsi="Verdana" w:cs="Times New Roman"/>
          <w:color w:val="000000" w:themeColor="text1"/>
          <w:kern w:val="2"/>
          <w14:ligatures w14:val="standardContextual"/>
        </w:rPr>
      </w:pPr>
      <w:r w:rsidRPr="00AD59FA">
        <w:rPr>
          <w:rFonts w:ascii="Verdana" w:eastAsia="Aptos" w:hAnsi="Verdana" w:cs="Times New Roman"/>
          <w:color w:val="000000" w:themeColor="text1"/>
          <w:kern w:val="2"/>
          <w14:ligatures w14:val="standardContextual"/>
        </w:rPr>
        <w:t xml:space="preserve">Adicionalmente, en cuanto a la ejecución contractual, el artículo </w:t>
      </w:r>
      <w:r w:rsidRPr="00AD59FA">
        <w:rPr>
          <w:rFonts w:ascii="Verdana" w:eastAsia="Aptos" w:hAnsi="Verdana" w:cs="Times New Roman"/>
          <w:color w:val="000000" w:themeColor="text1"/>
          <w:kern w:val="2"/>
          <w14:ligatures w14:val="standardContextual"/>
        </w:rPr>
        <w:lastRenderedPageBreak/>
        <w:t>2.2.1.2.4.2.7.5 del Decreto 1082 de 2015, modificado por el artículo 1 del Decreto 287 de 2026, prevé la incorporación de condiciones especiales de sujeción orientadas a promover la inclusión laboral y la participación de personas con discapacidad y/o emprendimientos y empresas de estas personas. En consecuencia, los documentos tipo deben contemplar cláusulas contractuales específicas que desarrollen estas obligaciones, previa evaluación de oportunidad y conveniencia, permitiendo que la política pública de inclusión se materialice durante la ejecución del contrato.</w:t>
      </w:r>
    </w:p>
    <w:p w14:paraId="2DC4FE72" w14:textId="77777777" w:rsidR="00123F6C" w:rsidRDefault="00123F6C" w:rsidP="00123F6C">
      <w:pPr>
        <w:widowControl w:val="0"/>
        <w:autoSpaceDE w:val="0"/>
        <w:autoSpaceDN w:val="0"/>
        <w:spacing w:after="0" w:line="276" w:lineRule="auto"/>
        <w:ind w:firstLine="708"/>
        <w:jc w:val="both"/>
        <w:rPr>
          <w:rFonts w:ascii="Verdana" w:eastAsia="Aptos" w:hAnsi="Verdana" w:cs="Times New Roman"/>
          <w:color w:val="000000" w:themeColor="text1"/>
          <w:kern w:val="2"/>
          <w14:ligatures w14:val="standardContextual"/>
        </w:rPr>
      </w:pPr>
      <w:r w:rsidRPr="00AD59FA">
        <w:rPr>
          <w:rFonts w:ascii="Verdana" w:eastAsia="Aptos" w:hAnsi="Verdana" w:cs="Times New Roman"/>
          <w:color w:val="000000" w:themeColor="text1"/>
          <w:kern w:val="2"/>
          <w14:ligatures w14:val="standardContextual"/>
        </w:rPr>
        <w:t>Conforme con lo anterior, la implementación efectiva del Decreto 287 de 2026 depende de la incorporación integral y coherente de sus disposiciones en los documentos tipo por parte de la Agencia Nacional de Contratación Pública – Colombia Compra Eficiente, de manera que las acciones afirmativas previstas se traduzcan en transformaciones reales en el sistema de contratación pública y en la garantía del derecho a la igualdad material de las personas con discapacidad.</w:t>
      </w:r>
    </w:p>
    <w:p w14:paraId="79622571" w14:textId="77777777" w:rsidR="00123F6C" w:rsidRPr="00AD59FA" w:rsidRDefault="00123F6C" w:rsidP="00123F6C">
      <w:pPr>
        <w:widowControl w:val="0"/>
        <w:autoSpaceDE w:val="0"/>
        <w:autoSpaceDN w:val="0"/>
        <w:spacing w:after="0" w:line="276" w:lineRule="auto"/>
        <w:ind w:firstLine="708"/>
        <w:jc w:val="both"/>
        <w:rPr>
          <w:rFonts w:ascii="Verdana" w:eastAsia="Aptos" w:hAnsi="Verdana" w:cs="Times New Roman"/>
          <w:color w:val="000000" w:themeColor="text1"/>
          <w:kern w:val="2"/>
          <w14:ligatures w14:val="standardContextual"/>
        </w:rPr>
      </w:pPr>
      <w:r w:rsidRPr="00AD59FA">
        <w:rPr>
          <w:rFonts w:ascii="Verdana" w:eastAsia="Aptos" w:hAnsi="Verdana" w:cs="Times New Roman"/>
          <w:color w:val="000000" w:themeColor="text1"/>
          <w:kern w:val="2"/>
          <w14:ligatures w14:val="standardContextual"/>
        </w:rPr>
        <w:t>Los documentos tipo expedidos por la Agencia Nacional de Contratación Pública – Colombia Compra Eficiente constituyen instrumentos de obligatorio cumplimiento que estructuran de manera integral los procesos de selección contractual. Tal como se estableció en el punto i. de este concepto, esta naturaleza vinculante tiene fundamento directo en el artículo 1 de la Ley 2022 de 2020, en la que se establece que, los documentos tipo serán obligatorios para las entidades estatales sometidas al Estatuto General de Contratación de la Administración Pública – EGCAP.</w:t>
      </w:r>
    </w:p>
    <w:p w14:paraId="45434B93" w14:textId="77777777" w:rsidR="00123F6C" w:rsidRPr="00AD59FA" w:rsidRDefault="00123F6C" w:rsidP="00123F6C">
      <w:pPr>
        <w:widowControl w:val="0"/>
        <w:autoSpaceDE w:val="0"/>
        <w:autoSpaceDN w:val="0"/>
        <w:spacing w:after="120" w:line="276" w:lineRule="auto"/>
        <w:ind w:firstLine="708"/>
        <w:jc w:val="both"/>
        <w:rPr>
          <w:rFonts w:ascii="Verdana" w:eastAsia="Aptos" w:hAnsi="Verdana" w:cs="Times New Roman"/>
          <w:color w:val="000000" w:themeColor="text1"/>
          <w:kern w:val="2"/>
          <w14:ligatures w14:val="standardContextual"/>
        </w:rPr>
      </w:pPr>
      <w:r w:rsidRPr="00AD59FA">
        <w:rPr>
          <w:rFonts w:ascii="Verdana" w:eastAsia="Aptos" w:hAnsi="Verdana" w:cs="Times New Roman"/>
          <w:color w:val="000000" w:themeColor="text1"/>
          <w:kern w:val="2"/>
          <w14:ligatures w14:val="standardContextual"/>
        </w:rPr>
        <w:t xml:space="preserve">En este sentido, la Ley 2022 de 2020 no solo atribuye la competencia a la Agencia Nacional de Contratación Pública – Colombia Compra Eficiente para adoptar documentos tipo, sino que define expresamente su contenido, al disponer que en estos </w:t>
      </w:r>
      <w:r w:rsidRPr="00AD59FA">
        <w:rPr>
          <w:rFonts w:ascii="Verdana" w:eastAsia="Aptos" w:hAnsi="Verdana" w:cs="Times New Roman"/>
          <w:i/>
          <w:iCs/>
          <w:color w:val="000000" w:themeColor="text1"/>
          <w:kern w:val="2"/>
          <w14:ligatures w14:val="standardContextual"/>
        </w:rPr>
        <w:t>“(…) se establecerán los requisitos habilitantes, factores técnicos, económicos y otros factores de escogencia, así como aquellos requisitos que, previa justificación, representen buenas prácticas contractuales”.</w:t>
      </w:r>
      <w:r w:rsidRPr="00AD59FA">
        <w:rPr>
          <w:rFonts w:ascii="Verdana" w:eastAsia="Aptos" w:hAnsi="Verdana" w:cs="Times New Roman"/>
          <w:color w:val="000000" w:themeColor="text1"/>
          <w:kern w:val="2"/>
          <w14:ligatures w14:val="standardContextual"/>
        </w:rPr>
        <w:t xml:space="preserve"> De esta manera, el legislador concentró en la Agencia Nacional de Contratación Pública – Colombia Compra Eficiente la definición de los elementos estructurales de los procesos de selección, con el propósito de garantizar la estandarización, la transparencia, la selección objetiva y la eficiencia en el uso de los recursos públicos. Esta competencia se ejerce mediante la expedición de actos administrativos de carácter general –resoluciones– a través de las cuales, la Agencia Nacional de Contratación Pública – Colombia Compra Eficiente adopta los documentos tipo.</w:t>
      </w:r>
    </w:p>
    <w:p w14:paraId="41B7130E" w14:textId="77777777" w:rsidR="00123F6C" w:rsidRPr="00AD59FA" w:rsidRDefault="00123F6C" w:rsidP="00123F6C">
      <w:pPr>
        <w:widowControl w:val="0"/>
        <w:autoSpaceDE w:val="0"/>
        <w:autoSpaceDN w:val="0"/>
        <w:spacing w:after="120" w:line="276" w:lineRule="auto"/>
        <w:ind w:firstLine="708"/>
        <w:jc w:val="both"/>
        <w:rPr>
          <w:rFonts w:ascii="Verdana" w:eastAsia="Aptos" w:hAnsi="Verdana" w:cs="Times New Roman"/>
          <w:color w:val="000000" w:themeColor="text1"/>
          <w:kern w:val="2"/>
          <w14:ligatures w14:val="standardContextual"/>
        </w:rPr>
      </w:pPr>
      <w:r w:rsidRPr="00AD59FA">
        <w:rPr>
          <w:rFonts w:ascii="Verdana" w:eastAsia="Aptos" w:hAnsi="Verdana" w:cs="Times New Roman"/>
          <w:color w:val="000000" w:themeColor="text1"/>
          <w:kern w:val="2"/>
          <w14:ligatures w14:val="standardContextual"/>
        </w:rPr>
        <w:lastRenderedPageBreak/>
        <w:t>Conforme con el contenido de la Ley 2022 de 2020, la jurisprudencia ha determinado que, la Agencia Nacional de Contratación Pública – Colombia Compra Eficiente ejerce una potestad regulatoria de naturaleza subordinada (secundum legem) de carácter técnico especializado, que le permite desarrollar, implementar y actualizar instrumentos como los documentos tipo, con el fin de concretar la voluntad del legislador en aspectos técnicos de la contratación pública. No obstante, dicha potestad debe ejercerse en armonía con la Constitución, la ley y los decretos reglamentarios, sin invadir competencias superiores ni desbordar los límites de la regulación técnica.</w:t>
      </w:r>
    </w:p>
    <w:p w14:paraId="2762D2F5" w14:textId="77777777" w:rsidR="00123F6C" w:rsidRPr="00AD59FA" w:rsidRDefault="00123F6C" w:rsidP="00123F6C">
      <w:pPr>
        <w:widowControl w:val="0"/>
        <w:autoSpaceDE w:val="0"/>
        <w:autoSpaceDN w:val="0"/>
        <w:spacing w:after="120" w:line="276" w:lineRule="auto"/>
        <w:ind w:firstLine="708"/>
        <w:jc w:val="both"/>
        <w:rPr>
          <w:rFonts w:ascii="Verdana" w:eastAsia="Aptos" w:hAnsi="Verdana" w:cs="Times New Roman"/>
          <w:color w:val="000000" w:themeColor="text1"/>
          <w:kern w:val="2"/>
          <w14:ligatures w14:val="standardContextual"/>
        </w:rPr>
      </w:pPr>
      <w:r w:rsidRPr="00AD59FA">
        <w:rPr>
          <w:rFonts w:ascii="Verdana" w:eastAsia="Aptos" w:hAnsi="Verdana" w:cs="Times New Roman"/>
          <w:color w:val="000000" w:themeColor="text1"/>
          <w:kern w:val="2"/>
          <w14:ligatures w14:val="standardContextual"/>
        </w:rPr>
        <w:t xml:space="preserve">Concretamente, la competencia prevista en el artículo 1 de la Ley 2022 de 2020, se ejerció mediante la expedición de la Resolución 160 de 2020 del 15 de septiembre de 2020 “Por la cual se adopta el procedimiento para implementar los documentos tipo y se define el sistema para su revisión”, así como con la expedición de múltiples resoluciones –señaladas en el numeral i de este concepto– mediante las cuales se adoptaron documentos tipo por parte de la Agencia Nacional de Contratación Pública – Colombia Compra Eficiente en diferentes modalidades de selección y sectores, en las cuales, además, se reitera el carácter obligatorio de estos documentos y se establecen reglas específicas para su aplicación. </w:t>
      </w:r>
    </w:p>
    <w:p w14:paraId="1543D6CD" w14:textId="77777777" w:rsidR="00123F6C" w:rsidRPr="00AD59FA" w:rsidRDefault="00123F6C" w:rsidP="00123F6C">
      <w:pPr>
        <w:widowControl w:val="0"/>
        <w:autoSpaceDE w:val="0"/>
        <w:autoSpaceDN w:val="0"/>
        <w:spacing w:after="120" w:line="276" w:lineRule="auto"/>
        <w:ind w:firstLine="708"/>
        <w:jc w:val="both"/>
        <w:rPr>
          <w:rFonts w:ascii="Verdana" w:eastAsia="Aptos" w:hAnsi="Verdana" w:cs="Times New Roman"/>
          <w:color w:val="000000" w:themeColor="text1"/>
          <w:kern w:val="2"/>
          <w14:ligatures w14:val="standardContextual"/>
        </w:rPr>
      </w:pPr>
      <w:r w:rsidRPr="00AD59FA">
        <w:rPr>
          <w:rFonts w:ascii="Verdana" w:eastAsia="Aptos" w:hAnsi="Verdana" w:cs="Times New Roman"/>
          <w:color w:val="000000" w:themeColor="text1"/>
          <w:kern w:val="2"/>
          <w14:ligatures w14:val="standardContextual"/>
        </w:rPr>
        <w:t>En este sentido, las resoluciones mediante las cuales la Agencia Nacional de Contratación Pública – Colombia Compra Eficiente adoptó documentos tipo, consolidan un sistema de contratación estandarizado –en las modalidades y sectores adoptados– en el que las entidades estatales obligadas a la aplicación deben sujetarse de manera estricta a las condiciones definidas en dichos instrumentos, particularmente en lo relacionado con requisitos habilitantes, factores de evaluación y sistemas de ponderación.</w:t>
      </w:r>
    </w:p>
    <w:p w14:paraId="6694291F" w14:textId="77777777" w:rsidR="00123F6C" w:rsidRPr="00AD59FA" w:rsidRDefault="00123F6C" w:rsidP="00123F6C">
      <w:pPr>
        <w:widowControl w:val="0"/>
        <w:autoSpaceDE w:val="0"/>
        <w:autoSpaceDN w:val="0"/>
        <w:spacing w:after="120" w:line="276" w:lineRule="auto"/>
        <w:ind w:firstLine="708"/>
        <w:jc w:val="both"/>
        <w:rPr>
          <w:rFonts w:ascii="Verdana" w:eastAsia="Aptos" w:hAnsi="Verdana" w:cs="Times New Roman"/>
          <w:color w:val="000000" w:themeColor="text1"/>
          <w:kern w:val="2"/>
          <w14:ligatures w14:val="standardContextual"/>
        </w:rPr>
      </w:pPr>
      <w:r w:rsidRPr="00AD59FA">
        <w:rPr>
          <w:rFonts w:ascii="Verdana" w:eastAsia="Aptos" w:hAnsi="Verdana" w:cs="Times New Roman"/>
          <w:color w:val="000000" w:themeColor="text1"/>
          <w:kern w:val="2"/>
          <w14:ligatures w14:val="standardContextual"/>
        </w:rPr>
        <w:t xml:space="preserve">Lo dispuesto en el párrafo precedente, es consecuente con lo desarrollado en el punto tres (iii) de este concepto. En este se indicó que, sobre los documentos tipo expedidos por la Agencia Nacional de Contratación Pública – Colombia Compra Eficiente, recae la regla de inalterabilidad, en virtud de la cual, las entidades estatales obligadas a su aplicación no pueden modificar ni adicionar los requisitos habilitantes, los factores técnicos y económicos de escogencia ni los criterios de evaluación previstos en ellos, salvo en aquellos aspectos expresamente habilitados entre corchetes y resaltados en gris. Esta regla encuentra sustento tanto en el mandato legal de obligatoriedad contenido en la </w:t>
      </w:r>
      <w:r w:rsidRPr="00AD59FA">
        <w:rPr>
          <w:rFonts w:ascii="Verdana" w:eastAsia="Aptos" w:hAnsi="Verdana" w:cs="Times New Roman"/>
          <w:color w:val="000000" w:themeColor="text1"/>
          <w:kern w:val="2"/>
          <w14:ligatures w14:val="standardContextual"/>
        </w:rPr>
        <w:lastRenderedPageBreak/>
        <w:t>Ley 2022 de 2020, como en su desarrollo reglamentario y en las disposiciones contenidas en los propios documentos tipo, y constituye una manifestación del carácter reglado de la actividad contractual, limitando la discrecionalidad de las entidades con el fin de evitar prácticas restrictivas de la competencia, como los denominados “pliegos sastre”, y garantizar la uniformidad del sistema.</w:t>
      </w:r>
    </w:p>
    <w:p w14:paraId="5CFA825F" w14:textId="77777777" w:rsidR="00123F6C" w:rsidRPr="00AD59FA" w:rsidRDefault="00123F6C" w:rsidP="00123F6C">
      <w:pPr>
        <w:widowControl w:val="0"/>
        <w:autoSpaceDE w:val="0"/>
        <w:autoSpaceDN w:val="0"/>
        <w:spacing w:after="120" w:line="276" w:lineRule="auto"/>
        <w:ind w:firstLine="708"/>
        <w:jc w:val="both"/>
        <w:rPr>
          <w:rFonts w:ascii="Verdana" w:eastAsia="Aptos" w:hAnsi="Verdana" w:cs="Times New Roman"/>
          <w:color w:val="000000" w:themeColor="text1"/>
          <w:kern w:val="2"/>
          <w14:ligatures w14:val="standardContextual"/>
        </w:rPr>
      </w:pPr>
      <w:r w:rsidRPr="00AD59FA">
        <w:rPr>
          <w:rFonts w:ascii="Verdana" w:eastAsia="Aptos" w:hAnsi="Verdana" w:cs="Times New Roman"/>
          <w:color w:val="000000" w:themeColor="text1"/>
          <w:kern w:val="2"/>
          <w14:ligatures w14:val="standardContextual"/>
        </w:rPr>
        <w:t>Considerando lo anterior, si bien es cierto que, el Decreto 287 de 2026 establece que rige a partir del día siguiente a su publicación, lo que determina su vigencia inmediata, su aplicación en el ámbito de los procesos sometidos a documentos tipo debe interpretarse de manera sistemática y armónica con el régimen legal que regula dichos instrumentos, esto es, lo señalado en el artículo 1 de la Ley 2022 de 2020 y su desarrollo reglamentario a través de cada una de las Resoluciones expedidas por la Agencia Nacional de Contratación Pública – Colombia Compra Eficiente mediante las cuales, se han implementados documentos tipo. En efecto, dado que los documentos tipo contienen de manera obligatoria los requisitos habilitantes, los factores de evaluación y los criterios de escogencia, las entidades estatales no cuentan con competencia para modificarlos o complementarlos de manera autónoma con el fin de incorporar directamente las disposiciones del Decreto en mención.</w:t>
      </w:r>
    </w:p>
    <w:p w14:paraId="116856DF" w14:textId="77777777" w:rsidR="00123F6C" w:rsidRPr="00AD59FA" w:rsidRDefault="00123F6C" w:rsidP="00123F6C">
      <w:pPr>
        <w:widowControl w:val="0"/>
        <w:autoSpaceDE w:val="0"/>
        <w:autoSpaceDN w:val="0"/>
        <w:spacing w:after="120" w:line="276" w:lineRule="auto"/>
        <w:ind w:firstLine="708"/>
        <w:jc w:val="both"/>
        <w:rPr>
          <w:rFonts w:ascii="Verdana" w:eastAsia="Aptos" w:hAnsi="Verdana" w:cs="Times New Roman"/>
          <w:color w:val="000000" w:themeColor="text1"/>
          <w:kern w:val="2"/>
          <w14:ligatures w14:val="standardContextual"/>
        </w:rPr>
      </w:pPr>
      <w:r w:rsidRPr="00AD59FA">
        <w:rPr>
          <w:rFonts w:ascii="Verdana" w:eastAsia="Aptos" w:hAnsi="Verdana" w:cs="Times New Roman"/>
          <w:color w:val="000000" w:themeColor="text1"/>
          <w:kern w:val="2"/>
          <w14:ligatures w14:val="standardContextual"/>
        </w:rPr>
        <w:t>Permitir que cada entidad introduzca ajustes a los documentos tipo para dar aplicación inmediata al Decreto 287 de 2026 implicaría desconocer la competencia exclusiva atribuida por el legislador a la Agencia Nacional de Contratación Pública – Colombia Compra Eficiente mediante la expedición de la Ley 2022 de 2020, así como la regla de inalterabilidad que rige estos documentos. Además, generaría una fragmentación del sistema de compra pública, afectando los principios de igualdad, transparencia y selección objetiva, en la medida en que procesos contractuales similares podrían regirse por condiciones distintas, dependiendo de la entidad que los adelante y la forma como incorporó las previsiones contenidas en el Decreto 287 de 2026 a los procesos de selección regidos por documentos tipo.</w:t>
      </w:r>
    </w:p>
    <w:p w14:paraId="6AD9731D" w14:textId="77777777" w:rsidR="00123F6C" w:rsidRPr="00AD59FA" w:rsidRDefault="00123F6C" w:rsidP="00123F6C">
      <w:pPr>
        <w:widowControl w:val="0"/>
        <w:autoSpaceDE w:val="0"/>
        <w:autoSpaceDN w:val="0"/>
        <w:spacing w:after="120" w:line="276" w:lineRule="auto"/>
        <w:ind w:firstLine="708"/>
        <w:jc w:val="both"/>
        <w:rPr>
          <w:rFonts w:ascii="Verdana" w:eastAsia="Aptos" w:hAnsi="Verdana" w:cs="Times New Roman"/>
          <w:color w:val="000000" w:themeColor="text1"/>
          <w:kern w:val="2"/>
          <w14:ligatures w14:val="standardContextual"/>
        </w:rPr>
      </w:pPr>
      <w:r w:rsidRPr="00AD59FA">
        <w:rPr>
          <w:rFonts w:ascii="Verdana" w:eastAsia="Aptos" w:hAnsi="Verdana" w:cs="Times New Roman"/>
          <w:color w:val="000000" w:themeColor="text1"/>
          <w:kern w:val="2"/>
          <w14:ligatures w14:val="standardContextual"/>
        </w:rPr>
        <w:t xml:space="preserve">Desde una perspectiva técnica, los documentos tipo constituyen un sistema integral y articulado, en el cual los requisitos habilitantes, los factores de evaluación y las condiciones contractuales se encuentran interrelacionados. En consecuencia, la incorporación aislada de modificaciones podría generar inconsistencias o desajustes en su aplicación, afectando la coherencia del proceso contractual. Por esta razón, la Ley 2022 de 2020 prevé que su adopción </w:t>
      </w:r>
      <w:r w:rsidRPr="00AD59FA">
        <w:rPr>
          <w:rFonts w:ascii="Verdana" w:eastAsia="Aptos" w:hAnsi="Verdana" w:cs="Times New Roman"/>
          <w:color w:val="000000" w:themeColor="text1"/>
          <w:kern w:val="2"/>
          <w14:ligatures w14:val="standardContextual"/>
        </w:rPr>
        <w:lastRenderedPageBreak/>
        <w:t>y actualización se realice mediante procedimientos estructurados, coordinados y participativos, a cargo de la Agencia Nacional de Contratación Pública – Colombia Compra Eficiente</w:t>
      </w:r>
      <w:r w:rsidRPr="00AD59FA">
        <w:rPr>
          <w:rFonts w:ascii="Verdana" w:eastAsia="Aptos" w:hAnsi="Verdana" w:cs="Times New Roman"/>
          <w:color w:val="000000" w:themeColor="text1"/>
          <w:kern w:val="2"/>
          <w:vertAlign w:val="superscript"/>
          <w14:ligatures w14:val="standardContextual"/>
        </w:rPr>
        <w:footnoteReference w:id="10"/>
      </w:r>
      <w:r w:rsidRPr="00AD59FA">
        <w:rPr>
          <w:rFonts w:ascii="Verdana" w:eastAsia="Aptos" w:hAnsi="Verdana" w:cs="Times New Roman"/>
          <w:color w:val="000000" w:themeColor="text1"/>
          <w:kern w:val="2"/>
          <w14:ligatures w14:val="standardContextual"/>
        </w:rPr>
        <w:t xml:space="preserve">, quien cuenta con la capacidad técnica para garantizar la adecuada integración de las nuevas disposiciones, como por ejemplo el Decreto 287 de 2026. </w:t>
      </w:r>
    </w:p>
    <w:p w14:paraId="33221207" w14:textId="77777777" w:rsidR="00123F6C" w:rsidRPr="00AD59FA" w:rsidRDefault="00123F6C" w:rsidP="00123F6C">
      <w:pPr>
        <w:widowControl w:val="0"/>
        <w:autoSpaceDE w:val="0"/>
        <w:autoSpaceDN w:val="0"/>
        <w:spacing w:after="120" w:line="276" w:lineRule="auto"/>
        <w:ind w:firstLine="708"/>
        <w:jc w:val="both"/>
        <w:rPr>
          <w:rFonts w:ascii="Verdana" w:eastAsia="Aptos" w:hAnsi="Verdana" w:cs="Times New Roman"/>
          <w:color w:val="000000" w:themeColor="text1"/>
          <w:kern w:val="2"/>
          <w14:ligatures w14:val="standardContextual"/>
        </w:rPr>
      </w:pPr>
      <w:r w:rsidRPr="00AD59FA">
        <w:rPr>
          <w:rFonts w:ascii="Verdana" w:eastAsia="Aptos" w:hAnsi="Verdana" w:cs="Times New Roman"/>
          <w:color w:val="000000" w:themeColor="text1"/>
          <w:kern w:val="2"/>
          <w14:ligatures w14:val="standardContextual"/>
        </w:rPr>
        <w:t>Adicionalmente, el propio Decreto 287 de 2026 en el artículo 1 que modifica el artículo 2.2.1.2.4.2.7.8 al Decreto 1082 de 2015</w:t>
      </w:r>
      <w:r w:rsidRPr="00AD59FA">
        <w:rPr>
          <w:rFonts w:ascii="Verdana" w:eastAsia="Aptos" w:hAnsi="Verdana" w:cs="Times New Roman"/>
          <w:color w:val="000000" w:themeColor="text1"/>
          <w:kern w:val="2"/>
          <w:vertAlign w:val="superscript"/>
          <w14:ligatures w14:val="standardContextual"/>
        </w:rPr>
        <w:footnoteReference w:id="11"/>
      </w:r>
      <w:r w:rsidRPr="00AD59FA">
        <w:rPr>
          <w:rFonts w:ascii="Verdana" w:eastAsia="Aptos" w:hAnsi="Verdana" w:cs="Times New Roman"/>
          <w:color w:val="000000" w:themeColor="text1"/>
          <w:kern w:val="2"/>
          <w14:ligatures w14:val="standardContextual"/>
        </w:rPr>
        <w:t>, reconoce esta necesidad al disponer que la Agencia Nacional de Contratación Pública – Colombia Compra Eficiente “(…) garantizará la adopción permanente de las acciones necesarias para que las medidas señaladas en esta subsección se incorporen a los documentos e instrumentos que genera</w:t>
      </w:r>
      <w:r w:rsidRPr="00AD59FA">
        <w:rPr>
          <w:rFonts w:ascii="Aptos" w:eastAsia="Aptos" w:hAnsi="Aptos" w:cs="Times New Roman"/>
          <w:color w:val="000000" w:themeColor="text1"/>
          <w:kern w:val="2"/>
          <w:sz w:val="24"/>
          <w:szCs w:val="24"/>
          <w14:ligatures w14:val="standardContextual"/>
        </w:rPr>
        <w:t>”</w:t>
      </w:r>
      <w:r w:rsidRPr="00AD59FA">
        <w:rPr>
          <w:rFonts w:ascii="Aptos" w:eastAsia="Aptos" w:hAnsi="Aptos" w:cs="Times New Roman"/>
          <w:color w:val="000000" w:themeColor="text1"/>
          <w:kern w:val="2"/>
          <w:sz w:val="24"/>
          <w:szCs w:val="24"/>
          <w:vertAlign w:val="superscript"/>
          <w14:ligatures w14:val="standardContextual"/>
        </w:rPr>
        <w:footnoteReference w:id="12"/>
      </w:r>
      <w:r w:rsidRPr="00AD59FA">
        <w:rPr>
          <w:rFonts w:ascii="Verdana" w:eastAsia="Aptos" w:hAnsi="Verdana" w:cs="Times New Roman"/>
          <w:color w:val="000000" w:themeColor="text1"/>
          <w:kern w:val="2"/>
          <w14:ligatures w14:val="standardContextual"/>
        </w:rPr>
        <w:t xml:space="preserve">, lo cual confirma que la operatividad de dichas disposiciones en el ámbito de los documentos tipo depende de su desarrollo por parte de esta entidad. </w:t>
      </w:r>
    </w:p>
    <w:p w14:paraId="3D1A5F00" w14:textId="77777777" w:rsidR="00123F6C" w:rsidRDefault="00123F6C" w:rsidP="00123F6C">
      <w:pPr>
        <w:widowControl w:val="0"/>
        <w:autoSpaceDE w:val="0"/>
        <w:autoSpaceDN w:val="0"/>
        <w:spacing w:after="120" w:line="276" w:lineRule="auto"/>
        <w:ind w:firstLine="708"/>
        <w:jc w:val="both"/>
        <w:rPr>
          <w:rFonts w:ascii="Verdana" w:eastAsia="Aptos" w:hAnsi="Verdana" w:cs="Times New Roman"/>
          <w:color w:val="000000" w:themeColor="text1"/>
          <w:kern w:val="2"/>
          <w14:ligatures w14:val="standardContextual"/>
        </w:rPr>
      </w:pPr>
      <w:r w:rsidRPr="00AD59FA">
        <w:rPr>
          <w:rFonts w:ascii="Verdana" w:eastAsia="Aptos" w:hAnsi="Verdana" w:cs="Times New Roman"/>
          <w:color w:val="000000" w:themeColor="text1"/>
          <w:kern w:val="2"/>
          <w14:ligatures w14:val="standardContextual"/>
        </w:rPr>
        <w:t>Lo anterior es consecuente con lo dispuesto en el ABC del Decreto 0287 de 2026 “Contratación pública inclusiva para personas con discapacidad”</w:t>
      </w:r>
      <w:r w:rsidRPr="00AD59FA">
        <w:rPr>
          <w:rFonts w:ascii="Verdana" w:eastAsia="Aptos" w:hAnsi="Verdana" w:cs="Times New Roman"/>
          <w:color w:val="000000" w:themeColor="text1"/>
          <w:kern w:val="2"/>
          <w:vertAlign w:val="superscript"/>
          <w14:ligatures w14:val="standardContextual"/>
        </w:rPr>
        <w:footnoteReference w:id="13"/>
      </w:r>
      <w:r w:rsidRPr="00AD59FA">
        <w:rPr>
          <w:rFonts w:ascii="Verdana" w:eastAsia="Aptos" w:hAnsi="Verdana" w:cs="Times New Roman"/>
          <w:color w:val="000000" w:themeColor="text1"/>
          <w:kern w:val="2"/>
          <w14:ligatures w14:val="standardContextual"/>
        </w:rPr>
        <w:t xml:space="preserve"> en donde se establece que “La aplicación del Decreto 0287 de 2026 en los documentos tipo está sujeta a que Colombia Compra Eficiente realice los ajustes correspondientes en estos instrumentos”, esto considerando que “(…) los documentos tipo requieren una adecuación técnica y normativa previa para </w:t>
      </w:r>
      <w:r w:rsidRPr="00AD59FA">
        <w:rPr>
          <w:rFonts w:ascii="Verdana" w:eastAsia="Aptos" w:hAnsi="Verdana" w:cs="Times New Roman"/>
          <w:color w:val="000000" w:themeColor="text1"/>
          <w:kern w:val="2"/>
          <w14:ligatures w14:val="standardContextual"/>
        </w:rPr>
        <w:lastRenderedPageBreak/>
        <w:t xml:space="preserve">incorporar las medidas del sistema de preferencias”. </w:t>
      </w:r>
    </w:p>
    <w:p w14:paraId="37BB4F47" w14:textId="77777777" w:rsidR="00123F6C" w:rsidRPr="00F653BA" w:rsidRDefault="00123F6C" w:rsidP="00123F6C">
      <w:pPr>
        <w:widowControl w:val="0"/>
        <w:autoSpaceDE w:val="0"/>
        <w:autoSpaceDN w:val="0"/>
        <w:spacing w:after="120" w:line="276" w:lineRule="auto"/>
        <w:ind w:firstLine="708"/>
        <w:jc w:val="both"/>
        <w:rPr>
          <w:rFonts w:ascii="Verdana" w:eastAsia="Aptos" w:hAnsi="Verdana" w:cs="Times New Roman"/>
          <w:color w:val="000000" w:themeColor="text1"/>
          <w:kern w:val="2"/>
          <w:lang w:val="es-ES"/>
          <w14:ligatures w14:val="standardContextual"/>
        </w:rPr>
      </w:pPr>
      <w:r w:rsidRPr="00F653BA">
        <w:rPr>
          <w:rFonts w:ascii="Verdana" w:eastAsia="Aptos" w:hAnsi="Verdana" w:cs="Times New Roman"/>
          <w:color w:val="000000" w:themeColor="text1"/>
          <w:kern w:val="2"/>
          <w:lang w:val="es-ES"/>
          <w14:ligatures w14:val="standardContextual"/>
        </w:rPr>
        <w:t>En el mismo sentido, la ANCP–CCE, mediante la Circular Externa No. 003 de 2026</w:t>
      </w:r>
      <w:r>
        <w:rPr>
          <w:rStyle w:val="Refdenotaalpie"/>
          <w:rFonts w:ascii="Verdana" w:eastAsia="Aptos" w:hAnsi="Verdana" w:cs="Times New Roman"/>
          <w:color w:val="000000" w:themeColor="text1"/>
          <w:kern w:val="2"/>
          <w:lang w:val="es-ES"/>
          <w14:ligatures w14:val="standardContextual"/>
        </w:rPr>
        <w:footnoteReference w:id="14"/>
      </w:r>
      <w:r w:rsidRPr="00F653BA">
        <w:rPr>
          <w:rFonts w:ascii="Verdana" w:eastAsia="Aptos" w:hAnsi="Verdana" w:cs="Times New Roman"/>
          <w:color w:val="000000" w:themeColor="text1"/>
          <w:kern w:val="2"/>
          <w:lang w:val="es-ES"/>
          <w14:ligatures w14:val="standardContextual"/>
        </w:rPr>
        <w:t xml:space="preserve">, expedida en Bogotá D. C., 12 de mayo de 2026, dirigida a </w:t>
      </w:r>
      <w:r w:rsidRPr="00F653BA">
        <w:rPr>
          <w:rFonts w:ascii="Verdana" w:eastAsia="Aptos" w:hAnsi="Verdana" w:cs="Times New Roman"/>
          <w:i/>
          <w:iCs/>
          <w:color w:val="000000" w:themeColor="text1"/>
          <w:kern w:val="2"/>
          <w:lang w:val="es-ES"/>
          <w14:ligatures w14:val="standardContextual"/>
        </w:rPr>
        <w:t>“Entidades Estatales indistintamente de su régimen de contratación, los patrimonios autónomos constituidos por Entidades Estatales y los particulares que ejecuten recursos públicos”</w:t>
      </w:r>
      <w:r w:rsidRPr="00F653BA">
        <w:rPr>
          <w:rFonts w:ascii="Verdana" w:eastAsia="Aptos" w:hAnsi="Verdana" w:cs="Times New Roman"/>
          <w:color w:val="000000" w:themeColor="text1"/>
          <w:kern w:val="2"/>
          <w:lang w:val="es-ES"/>
          <w14:ligatures w14:val="standardContextual"/>
        </w:rPr>
        <w:t xml:space="preserve">, bajo el asunto </w:t>
      </w:r>
      <w:r w:rsidRPr="00F653BA">
        <w:rPr>
          <w:rFonts w:ascii="Verdana" w:eastAsia="Aptos" w:hAnsi="Verdana" w:cs="Times New Roman"/>
          <w:i/>
          <w:iCs/>
          <w:color w:val="000000" w:themeColor="text1"/>
          <w:kern w:val="2"/>
          <w:lang w:val="es-ES"/>
          <w14:ligatures w14:val="standardContextual"/>
        </w:rPr>
        <w:t>“Orientaciones para la aplicación del Decreto 287 del 19 de marzo de 2026 – Sistema Integral de Preferencias en la contratación pública en favor de personas con discapacidad”</w:t>
      </w:r>
      <w:r w:rsidRPr="00F653BA">
        <w:rPr>
          <w:rFonts w:ascii="Verdana" w:eastAsia="Aptos" w:hAnsi="Verdana" w:cs="Times New Roman"/>
          <w:color w:val="000000" w:themeColor="text1"/>
          <w:kern w:val="2"/>
          <w:lang w:val="es-ES"/>
          <w14:ligatures w14:val="standardContextual"/>
        </w:rPr>
        <w:t>, precisó expresamente que la ANCP-CCE tiene la obligación de garantizar la incorporación permanente de las medidas del sistema de preferencias en los documentos tipo, mecanismos de agregación de demanda —entendidos como acuerdos marco de precios o instrumentos de agregación de demanda— y, en general, en todos los instrumentos, herramientas, documentos y plataformas a su cargo, realizando los ajustes técnicos necesarios, siendo obligatoria su aplicación una vez estas medidas hayan sido incorporadas formalmente.</w:t>
      </w:r>
    </w:p>
    <w:p w14:paraId="27DD2D30" w14:textId="77777777" w:rsidR="00123F6C" w:rsidRDefault="00123F6C" w:rsidP="00123F6C">
      <w:pPr>
        <w:widowControl w:val="0"/>
        <w:autoSpaceDE w:val="0"/>
        <w:autoSpaceDN w:val="0"/>
        <w:spacing w:after="120" w:line="276" w:lineRule="auto"/>
        <w:ind w:firstLine="708"/>
        <w:jc w:val="both"/>
        <w:rPr>
          <w:rFonts w:ascii="Verdana" w:eastAsia="Aptos" w:hAnsi="Verdana" w:cs="Times New Roman"/>
          <w:color w:val="000000" w:themeColor="text1"/>
          <w:kern w:val="2"/>
          <w:lang w:val="es-ES"/>
          <w14:ligatures w14:val="standardContextual"/>
        </w:rPr>
      </w:pPr>
      <w:r w:rsidRPr="00F653BA">
        <w:rPr>
          <w:rFonts w:ascii="Verdana" w:eastAsia="Aptos" w:hAnsi="Verdana" w:cs="Times New Roman"/>
          <w:color w:val="000000" w:themeColor="text1"/>
          <w:kern w:val="2"/>
          <w:lang w:val="es-ES"/>
          <w14:ligatures w14:val="standardContextual"/>
        </w:rPr>
        <w:t>Particularmente, respecto de los documentos tipo, la Circular señala que la incorporación de las medidas del Decreto 287 de 2026 corresponde exclusivamente a la ANCP-CCE y que, mientras dichos ajustes no sean incorporados y adoptados mediante la expedición de las resoluciones correspondientes, las entidades obligadas al uso de documentos tipo deberán continuar aplicando la versión vigente, en salvaguarda del principio de inalterabilidad que los rige. Asimismo, precisa que será responsabilidad de la Agencia incorporar las medidas del sistema de preferencias en el menor tiempo posible y que las entidades contratantes deberán revisar y acatar las actualizaciones que se expidan.</w:t>
      </w:r>
    </w:p>
    <w:p w14:paraId="6B1B4E78" w14:textId="77777777" w:rsidR="00123F6C" w:rsidRPr="00F653BA" w:rsidRDefault="00123F6C" w:rsidP="00123F6C">
      <w:pPr>
        <w:widowControl w:val="0"/>
        <w:autoSpaceDE w:val="0"/>
        <w:autoSpaceDN w:val="0"/>
        <w:spacing w:after="120" w:line="276" w:lineRule="auto"/>
        <w:ind w:firstLine="708"/>
        <w:jc w:val="both"/>
        <w:rPr>
          <w:rFonts w:ascii="Verdana" w:eastAsia="Aptos" w:hAnsi="Verdana" w:cs="Times New Roman"/>
          <w:color w:val="000000" w:themeColor="text1"/>
          <w:kern w:val="2"/>
          <w:lang w:val="es-ES"/>
          <w14:ligatures w14:val="standardContextual"/>
        </w:rPr>
      </w:pPr>
      <w:r w:rsidRPr="007A2CA0">
        <w:rPr>
          <w:rFonts w:ascii="Verdana" w:eastAsia="Aptos" w:hAnsi="Verdana" w:cs="Times New Roman"/>
          <w:color w:val="000000" w:themeColor="text1"/>
          <w:kern w:val="2"/>
          <w:lang w:val="es-ES"/>
          <w14:ligatures w14:val="standardContextual"/>
        </w:rPr>
        <w:t xml:space="preserve">Asimismo, en el marco del régimen de transición </w:t>
      </w:r>
      <w:r>
        <w:rPr>
          <w:rFonts w:ascii="Verdana" w:eastAsia="Aptos" w:hAnsi="Verdana" w:cs="Times New Roman"/>
          <w:color w:val="000000" w:themeColor="text1"/>
          <w:kern w:val="2"/>
          <w:lang w:val="es-ES"/>
          <w14:ligatures w14:val="standardContextual"/>
        </w:rPr>
        <w:t xml:space="preserve">desarrollado por la circular y </w:t>
      </w:r>
      <w:r w:rsidRPr="007A2CA0">
        <w:rPr>
          <w:rFonts w:ascii="Verdana" w:eastAsia="Aptos" w:hAnsi="Verdana" w:cs="Times New Roman"/>
          <w:color w:val="000000" w:themeColor="text1"/>
          <w:kern w:val="2"/>
          <w:lang w:val="es-ES"/>
          <w14:ligatures w14:val="standardContextual"/>
        </w:rPr>
        <w:t>previsto para la implementación del Decreto 287 de 2026, la Agencia reiteró que, tratándose de procesos de contratación regidos por documentos tipo, las entidades deben abstenerse de realizar modificaciones no autorizadas y esperar las actualizaciones oficiales que expida la ANCP-CCE, garantizando así una implementación uniforme y jurídicamente válida de las medidas del sistema de preferencias.</w:t>
      </w:r>
    </w:p>
    <w:p w14:paraId="119E4F1A" w14:textId="77777777" w:rsidR="00123F6C" w:rsidRPr="00AD59FA" w:rsidRDefault="00123F6C" w:rsidP="00123F6C">
      <w:pPr>
        <w:widowControl w:val="0"/>
        <w:autoSpaceDE w:val="0"/>
        <w:autoSpaceDN w:val="0"/>
        <w:spacing w:after="120" w:line="276" w:lineRule="auto"/>
        <w:ind w:firstLine="708"/>
        <w:jc w:val="both"/>
        <w:rPr>
          <w:rFonts w:ascii="Verdana" w:eastAsia="Aptos" w:hAnsi="Verdana" w:cs="Times New Roman"/>
          <w:color w:val="000000" w:themeColor="text1"/>
          <w:kern w:val="2"/>
          <w14:ligatures w14:val="standardContextual"/>
        </w:rPr>
      </w:pPr>
      <w:r w:rsidRPr="00AD59FA">
        <w:rPr>
          <w:rFonts w:ascii="Verdana" w:eastAsia="Aptos" w:hAnsi="Verdana" w:cs="Times New Roman"/>
          <w:color w:val="000000" w:themeColor="text1"/>
          <w:kern w:val="2"/>
          <w14:ligatures w14:val="standardContextual"/>
        </w:rPr>
        <w:lastRenderedPageBreak/>
        <w:t>En consecuencia, aunque de acuerdo con el artículo 2 del Decreto 287 de 2026, este “(…) rige a partir del día siguiente a su publicación (…)”, su aplicación en los procesos contracción regidos por documentos tipo se encuentra condicionada a su incorporación formal en dichos instrumentos por parte de la Agencia Nacional de Contratación Pública – Colombia Compra Eficiente. Así, solo a partir de dicha incorporación mediante la modificación a los documentos tipo, es posible garantizar una aplicación uniforme, coherente y jurídicamente válida de las medidas afirmativas previstas, sin desconocer la distribución de competencias establecida por el legislador ni la estructura normativa del sistema de compras y contratación pública.</w:t>
      </w:r>
    </w:p>
    <w:p w14:paraId="014D5584" w14:textId="77777777" w:rsidR="00123F6C" w:rsidRPr="00AD59FA" w:rsidRDefault="00123F6C" w:rsidP="00123F6C">
      <w:pPr>
        <w:widowControl w:val="0"/>
        <w:autoSpaceDE w:val="0"/>
        <w:autoSpaceDN w:val="0"/>
        <w:spacing w:after="120" w:line="276" w:lineRule="auto"/>
        <w:ind w:firstLine="708"/>
        <w:jc w:val="both"/>
        <w:rPr>
          <w:rFonts w:ascii="Verdana" w:eastAsia="Aptos" w:hAnsi="Verdana" w:cs="Times New Roman"/>
          <w:color w:val="000000" w:themeColor="text1"/>
          <w:kern w:val="2"/>
          <w14:ligatures w14:val="standardContextual"/>
        </w:rPr>
      </w:pPr>
      <w:r w:rsidRPr="00AD59FA">
        <w:rPr>
          <w:rFonts w:ascii="Verdana" w:eastAsia="Aptos" w:hAnsi="Verdana" w:cs="Times New Roman"/>
          <w:color w:val="000000" w:themeColor="text1"/>
          <w:kern w:val="2"/>
          <w14:ligatures w14:val="standardContextual"/>
        </w:rPr>
        <w:t xml:space="preserve">En conclusión, la implementación de las disposiciones del Decreto 287 de 2026 en relación con los documentos tipo no puede realizarse de manera directa por las entidades estatales que obligatoriamente deben aplicarlos, sino que, requiere necesariamente su desarrollo e incorporación por parte de la Agencia Nacional de Contratación Pública – Colombia Compra Eficiente, en ejercicio de la competencia que le fue atribuida por la Ley 2022 de 2020, garantizando así la coherencia del sistema, el respeto por la jerarquía normativa y la efectividad de las medidas orientadas a la inclusión de las personas con discapacidad en el sistema de compras y contratación pública. </w:t>
      </w:r>
    </w:p>
    <w:p w14:paraId="0ED65DDB" w14:textId="77777777" w:rsidR="00123F6C" w:rsidRPr="00AD59FA" w:rsidRDefault="00123F6C" w:rsidP="00123F6C">
      <w:pPr>
        <w:widowControl w:val="0"/>
        <w:autoSpaceDE w:val="0"/>
        <w:autoSpaceDN w:val="0"/>
        <w:spacing w:after="120" w:line="276" w:lineRule="auto"/>
        <w:ind w:firstLine="708"/>
        <w:jc w:val="both"/>
        <w:rPr>
          <w:rFonts w:ascii="Verdana" w:eastAsia="Aptos" w:hAnsi="Verdana" w:cs="Times New Roman"/>
          <w:color w:val="000000" w:themeColor="text1"/>
          <w:kern w:val="2"/>
          <w14:ligatures w14:val="standardContextual"/>
        </w:rPr>
      </w:pPr>
      <w:r w:rsidRPr="00AD59FA">
        <w:rPr>
          <w:rFonts w:ascii="Verdana" w:eastAsia="Aptos" w:hAnsi="Verdana" w:cs="Times New Roman"/>
          <w:color w:val="000000" w:themeColor="text1"/>
          <w:kern w:val="2"/>
          <w14:ligatures w14:val="standardContextual"/>
        </w:rPr>
        <w:t>Finalmente, debe indicarse que, la Agencia Nacional de Contratación Pública – Colombia Compra Eficiente se encuentra trabajando en la incorporación de los criterios establecidos en el Decreto 287 de 2026 en los documentos tipo, lo que implica agotar el procedimiento previsto en la Resolución 160 de 2020 que establece el sistema para su revisión de estos documentos y la adopción de las modificaciones a que haya lugar mediante acto administrativo motivado.</w:t>
      </w:r>
    </w:p>
    <w:p w14:paraId="50DB572D" w14:textId="77777777" w:rsidR="00123F6C" w:rsidRPr="000303A0" w:rsidRDefault="00123F6C" w:rsidP="00123F6C">
      <w:pPr>
        <w:snapToGrid w:val="0"/>
        <w:spacing w:after="0" w:line="276" w:lineRule="auto"/>
        <w:jc w:val="both"/>
        <w:rPr>
          <w:rFonts w:ascii="Verdana" w:eastAsia="Times New Roman" w:hAnsi="Verdana" w:cs="Arial"/>
          <w:lang w:val="es-ES_tradnl"/>
        </w:rPr>
      </w:pPr>
      <w:r w:rsidRPr="00AD59FA">
        <w:rPr>
          <w:rFonts w:ascii="Verdana" w:eastAsia="Aptos" w:hAnsi="Verdana" w:cs="Times New Roman"/>
          <w:color w:val="000000" w:themeColor="text1"/>
          <w:kern w:val="2"/>
          <w14:ligatures w14:val="standardContextual"/>
        </w:rPr>
        <w:t>Mediante el agotamiento de una serie de actuaciones que implican, el análisis del Decreto en comento desde un perspectiva técnica, financiera y jurídica, generar versiones previas para comentarios de ciudadanos, entidades y grupos de interés, respuesta a las observaciones y un informe global, entre otras etapas, esta Agencia adoptará las modificaciones a los documentos tipo para adecuarlos al contenido del Decreto 287 de 2026 que modifica el 1082 de 2015. Este trabajo ya fue iniciado por la Agencia Nacional de Contratación Pública – Colombia Compra Eficiente y finalizará con la adopción del acto administrativo que modifica los documentos tipo luego de surtir el procedimiento señalado.</w:t>
      </w:r>
    </w:p>
    <w:p w14:paraId="09AC3CAB" w14:textId="77777777" w:rsidR="00123F6C" w:rsidRPr="007A61DE" w:rsidRDefault="00123F6C" w:rsidP="00123F6C">
      <w:pPr>
        <w:tabs>
          <w:tab w:val="left" w:pos="142"/>
          <w:tab w:val="left" w:pos="284"/>
        </w:tabs>
        <w:spacing w:after="0" w:line="276" w:lineRule="auto"/>
        <w:rPr>
          <w:rFonts w:ascii="Verdana" w:eastAsia="Century Gothic" w:hAnsi="Verdana" w:cs="Century Gothic"/>
          <w:b/>
        </w:rPr>
      </w:pPr>
      <w:r w:rsidRPr="007A61DE">
        <w:rPr>
          <w:rFonts w:ascii="Verdana" w:eastAsia="Century Gothic" w:hAnsi="Verdana" w:cs="Century Gothic"/>
          <w:b/>
        </w:rPr>
        <w:t>4. Referencias normativas:</w:t>
      </w:r>
      <w:bookmarkEnd w:id="4"/>
    </w:p>
    <w:p w14:paraId="2FA029CA" w14:textId="77777777" w:rsidR="00123F6C" w:rsidRPr="00593A5F" w:rsidRDefault="00123F6C" w:rsidP="00123F6C">
      <w:pPr>
        <w:widowControl w:val="0"/>
        <w:autoSpaceDE w:val="0"/>
        <w:autoSpaceDN w:val="0"/>
        <w:spacing w:after="0" w:line="276" w:lineRule="auto"/>
        <w:jc w:val="both"/>
        <w:rPr>
          <w:rFonts w:ascii="Verdana" w:hAnsi="Verdana" w:cs="Arial"/>
          <w:color w:val="218BFC"/>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23F6C" w:rsidRPr="002407CE" w14:paraId="2E283B0A" w14:textId="77777777" w:rsidTr="008873B2">
        <w:trPr>
          <w:trHeight w:val="870"/>
          <w:jc w:val="center"/>
        </w:trPr>
        <w:tc>
          <w:tcPr>
            <w:tcW w:w="8647" w:type="dxa"/>
          </w:tcPr>
          <w:p w14:paraId="2E6FF0AB" w14:textId="77777777" w:rsidR="00123F6C" w:rsidRPr="00EB781F" w:rsidRDefault="00123F6C" w:rsidP="008873B2">
            <w:pPr>
              <w:widowControl w:val="0"/>
              <w:numPr>
                <w:ilvl w:val="0"/>
                <w:numId w:val="18"/>
              </w:numPr>
              <w:autoSpaceDE w:val="0"/>
              <w:autoSpaceDN w:val="0"/>
              <w:spacing w:after="120" w:line="276" w:lineRule="auto"/>
              <w:jc w:val="both"/>
              <w:rPr>
                <w:rFonts w:ascii="Verdana" w:eastAsia="Calibri" w:hAnsi="Verdana" w:cs="Arial"/>
                <w:lang w:val="es-ES_tradnl"/>
              </w:rPr>
            </w:pPr>
            <w:r w:rsidRPr="00910E71">
              <w:rPr>
                <w:rFonts w:ascii="Verdana" w:eastAsia="Calibri" w:hAnsi="Verdana" w:cs="Arial"/>
                <w:lang w:val="es-ES_tradnl"/>
              </w:rPr>
              <w:t>Ley 80 de 1993, artículo 25.</w:t>
            </w:r>
          </w:p>
          <w:p w14:paraId="17709223" w14:textId="77777777" w:rsidR="00123F6C" w:rsidRPr="00C34874" w:rsidRDefault="00123F6C" w:rsidP="008873B2">
            <w:pPr>
              <w:pStyle w:val="NormalWeb"/>
              <w:numPr>
                <w:ilvl w:val="0"/>
                <w:numId w:val="18"/>
              </w:numPr>
              <w:spacing w:before="0" w:beforeAutospacing="0" w:after="240" w:afterAutospacing="0"/>
              <w:rPr>
                <w:rFonts w:ascii="Verdana" w:hAnsi="Verdana" w:cs="Arial"/>
                <w:color w:val="000000" w:themeColor="text1"/>
                <w:sz w:val="22"/>
                <w:szCs w:val="22"/>
                <w:lang w:val="es-ES_tradnl"/>
              </w:rPr>
            </w:pPr>
            <w:r w:rsidRPr="00C34874">
              <w:rPr>
                <w:rFonts w:ascii="Verdana" w:hAnsi="Verdana" w:cs="Arial"/>
                <w:color w:val="000000" w:themeColor="text1"/>
                <w:sz w:val="22"/>
                <w:szCs w:val="22"/>
                <w:lang w:val="es-ES_tradnl"/>
              </w:rPr>
              <w:t xml:space="preserve">Ley 2022 de 2020, artículo 1. </w:t>
            </w:r>
          </w:p>
          <w:p w14:paraId="54A2FD2A" w14:textId="77777777" w:rsidR="00123F6C" w:rsidRPr="00C34874" w:rsidRDefault="00123F6C" w:rsidP="008873B2">
            <w:pPr>
              <w:pStyle w:val="NormalWeb"/>
              <w:numPr>
                <w:ilvl w:val="0"/>
                <w:numId w:val="18"/>
              </w:numPr>
              <w:spacing w:before="0" w:beforeAutospacing="0" w:after="240" w:afterAutospacing="0"/>
              <w:rPr>
                <w:rFonts w:ascii="Verdana" w:hAnsi="Verdana" w:cs="Arial"/>
                <w:color w:val="000000" w:themeColor="text1"/>
                <w:sz w:val="22"/>
                <w:szCs w:val="22"/>
                <w:lang w:val="es-ES_tradnl"/>
              </w:rPr>
            </w:pPr>
            <w:r w:rsidRPr="00C34874">
              <w:rPr>
                <w:rFonts w:ascii="Verdana" w:hAnsi="Verdana" w:cs="Arial"/>
                <w:color w:val="000000" w:themeColor="text1"/>
                <w:sz w:val="22"/>
                <w:szCs w:val="22"/>
              </w:rPr>
              <w:t>Ley 1150 de 2007, artículo 2.</w:t>
            </w:r>
          </w:p>
          <w:p w14:paraId="0BD713CB" w14:textId="77777777" w:rsidR="00123F6C" w:rsidRPr="00C34874" w:rsidRDefault="00123F6C" w:rsidP="008873B2">
            <w:pPr>
              <w:widowControl w:val="0"/>
              <w:numPr>
                <w:ilvl w:val="0"/>
                <w:numId w:val="18"/>
              </w:numPr>
              <w:autoSpaceDE w:val="0"/>
              <w:autoSpaceDN w:val="0"/>
              <w:spacing w:after="120" w:line="276" w:lineRule="auto"/>
              <w:jc w:val="both"/>
              <w:rPr>
                <w:rFonts w:ascii="Verdana" w:eastAsia="Calibri" w:hAnsi="Verdana" w:cs="Arial"/>
                <w:lang w:val="es-ES_tradnl"/>
              </w:rPr>
            </w:pPr>
            <w:r w:rsidRPr="00C34874">
              <w:rPr>
                <w:rFonts w:ascii="Verdana" w:eastAsia="Aptos" w:hAnsi="Verdana" w:cs="Arial"/>
                <w:lang w:val="es-ES"/>
              </w:rPr>
              <w:t>Decreto 019 de 2012, artículo 5.</w:t>
            </w:r>
          </w:p>
          <w:p w14:paraId="551F1CED" w14:textId="77777777" w:rsidR="00123F6C" w:rsidRPr="00C34874" w:rsidRDefault="00123F6C" w:rsidP="008873B2">
            <w:pPr>
              <w:widowControl w:val="0"/>
              <w:numPr>
                <w:ilvl w:val="0"/>
                <w:numId w:val="18"/>
              </w:numPr>
              <w:autoSpaceDE w:val="0"/>
              <w:autoSpaceDN w:val="0"/>
              <w:spacing w:after="120" w:line="276" w:lineRule="auto"/>
              <w:jc w:val="both"/>
              <w:rPr>
                <w:rFonts w:ascii="Verdana" w:eastAsia="Calibri" w:hAnsi="Verdana" w:cs="Arial"/>
                <w:lang w:val="es-ES_tradnl"/>
              </w:rPr>
            </w:pPr>
            <w:r w:rsidRPr="00C34874">
              <w:rPr>
                <w:rFonts w:ascii="Verdana" w:eastAsia="Calibri" w:hAnsi="Verdana" w:cs="Arial"/>
                <w:lang w:val="es-ES_tradnl"/>
              </w:rPr>
              <w:t>Decreto 1082 de 2015,</w:t>
            </w:r>
            <w:r w:rsidRPr="00C34874">
              <w:rPr>
                <w:rFonts w:ascii="Verdana" w:hAnsi="Verdana"/>
              </w:rPr>
              <w:t xml:space="preserve"> artículo 2.2.1.2.4.2.7.8.</w:t>
            </w:r>
          </w:p>
          <w:p w14:paraId="25A58332" w14:textId="77777777" w:rsidR="00123F6C" w:rsidRPr="00C34874" w:rsidRDefault="00123F6C" w:rsidP="008873B2">
            <w:pPr>
              <w:widowControl w:val="0"/>
              <w:numPr>
                <w:ilvl w:val="0"/>
                <w:numId w:val="18"/>
              </w:numPr>
              <w:autoSpaceDE w:val="0"/>
              <w:autoSpaceDN w:val="0"/>
              <w:spacing w:after="120" w:line="276" w:lineRule="auto"/>
              <w:jc w:val="both"/>
              <w:rPr>
                <w:rFonts w:ascii="Verdana" w:eastAsia="Calibri" w:hAnsi="Verdana" w:cs="Arial"/>
                <w:lang w:val="es-ES_tradnl"/>
              </w:rPr>
            </w:pPr>
            <w:r w:rsidRPr="00C34874">
              <w:rPr>
                <w:rFonts w:ascii="Verdana" w:eastAsia="Calibri" w:hAnsi="Verdana" w:cs="Arial"/>
                <w:lang w:val="es-ES_tradnl"/>
              </w:rPr>
              <w:t>Decreto 287 de 2026, artículo 1.</w:t>
            </w:r>
          </w:p>
          <w:p w14:paraId="59A6D97F" w14:textId="77777777" w:rsidR="00123F6C" w:rsidRPr="00C34874" w:rsidRDefault="00123F6C" w:rsidP="008873B2">
            <w:pPr>
              <w:widowControl w:val="0"/>
              <w:numPr>
                <w:ilvl w:val="0"/>
                <w:numId w:val="18"/>
              </w:numPr>
              <w:autoSpaceDE w:val="0"/>
              <w:autoSpaceDN w:val="0"/>
              <w:spacing w:after="120" w:line="276" w:lineRule="auto"/>
              <w:jc w:val="both"/>
              <w:rPr>
                <w:rFonts w:ascii="Verdana" w:eastAsia="Calibri" w:hAnsi="Verdana" w:cs="Arial"/>
              </w:rPr>
            </w:pPr>
            <w:r w:rsidRPr="00910E71">
              <w:rPr>
                <w:rFonts w:ascii="Verdana" w:eastAsia="Aptos" w:hAnsi="Verdana" w:cs="Arial"/>
                <w:lang w:val="es-ES_tradnl"/>
              </w:rPr>
              <w:t>Consejo de Estado. Sección Tercera. Subsección A, providencia del 20 de febrero de 2020, dentro del expediente 47001-23-33-000-2018-00035-01 (63.854), C.P. Marta Nubia Velásquez Rico.</w:t>
            </w:r>
          </w:p>
          <w:p w14:paraId="70F2D026" w14:textId="77777777" w:rsidR="00123F6C" w:rsidRPr="00764C67" w:rsidRDefault="00123F6C" w:rsidP="008873B2">
            <w:pPr>
              <w:pStyle w:val="NormalWeb"/>
              <w:numPr>
                <w:ilvl w:val="0"/>
                <w:numId w:val="18"/>
              </w:numPr>
              <w:spacing w:before="0" w:beforeAutospacing="0" w:after="240" w:afterAutospacing="0"/>
              <w:rPr>
                <w:rFonts w:ascii="Verdana" w:hAnsi="Verdana" w:cs="Arial"/>
                <w:color w:val="000000" w:themeColor="text1"/>
                <w:sz w:val="22"/>
                <w:szCs w:val="22"/>
                <w:lang w:val="es-ES_tradnl"/>
              </w:rPr>
            </w:pPr>
            <w:r w:rsidRPr="00605624">
              <w:rPr>
                <w:rFonts w:ascii="Verdana" w:hAnsi="Verdana" w:cs="Arial"/>
                <w:color w:val="000000" w:themeColor="text1"/>
                <w:sz w:val="22"/>
                <w:szCs w:val="22"/>
                <w:lang w:val="es-ES_tradnl"/>
              </w:rPr>
              <w:t xml:space="preserve">Documentos Tipo. Disponibles en: </w:t>
            </w:r>
            <w:hyperlink r:id="rId12" w:history="1">
              <w:r w:rsidRPr="00605624">
                <w:rPr>
                  <w:rStyle w:val="Hipervnculo"/>
                  <w:rFonts w:ascii="Verdana" w:hAnsi="Verdana" w:cs="Arial"/>
                  <w:sz w:val="22"/>
                  <w:szCs w:val="22"/>
                  <w:lang w:val="es-ES_tradnl"/>
                </w:rPr>
                <w:t>https://www.colombiacompra.gov.co/documentos-tipo/documentos-tipo</w:t>
              </w:r>
            </w:hyperlink>
            <w:r w:rsidRPr="00605624">
              <w:rPr>
                <w:rFonts w:ascii="Verdana" w:hAnsi="Verdana" w:cs="Arial"/>
                <w:color w:val="000000" w:themeColor="text1"/>
                <w:sz w:val="22"/>
                <w:szCs w:val="22"/>
                <w:lang w:val="es-ES_tradnl"/>
              </w:rPr>
              <w:t>.</w:t>
            </w:r>
          </w:p>
        </w:tc>
      </w:tr>
    </w:tbl>
    <w:p w14:paraId="586DC46D" w14:textId="77777777" w:rsidR="00123F6C" w:rsidRDefault="00123F6C" w:rsidP="00123F6C">
      <w:pPr>
        <w:widowControl w:val="0"/>
        <w:autoSpaceDE w:val="0"/>
        <w:autoSpaceDN w:val="0"/>
        <w:spacing w:after="0" w:line="276" w:lineRule="auto"/>
        <w:jc w:val="both"/>
        <w:rPr>
          <w:rFonts w:ascii="Verdana" w:hAnsi="Verdana" w:cs="Arial"/>
        </w:rPr>
      </w:pPr>
    </w:p>
    <w:p w14:paraId="0615629E" w14:textId="77777777" w:rsidR="00123F6C" w:rsidRPr="00B536D9" w:rsidRDefault="00123F6C" w:rsidP="00123F6C">
      <w:pPr>
        <w:widowControl w:val="0"/>
        <w:autoSpaceDE w:val="0"/>
        <w:autoSpaceDN w:val="0"/>
        <w:spacing w:after="0" w:line="276" w:lineRule="auto"/>
        <w:jc w:val="both"/>
        <w:rPr>
          <w:rFonts w:ascii="Verdana" w:hAnsi="Verdana" w:cs="Arial"/>
        </w:rPr>
      </w:pPr>
    </w:p>
    <w:p w14:paraId="7D74F2C7" w14:textId="77777777" w:rsidR="00123F6C" w:rsidRPr="00B536D9" w:rsidRDefault="00123F6C" w:rsidP="00123F6C">
      <w:pPr>
        <w:tabs>
          <w:tab w:val="left" w:pos="142"/>
          <w:tab w:val="left" w:pos="284"/>
        </w:tabs>
        <w:spacing w:after="0" w:line="276" w:lineRule="auto"/>
        <w:jc w:val="both"/>
        <w:rPr>
          <w:rFonts w:ascii="Verdana" w:eastAsia="Century Gothic" w:hAnsi="Verdana" w:cs="Century Gothic"/>
          <w:b/>
        </w:rPr>
      </w:pPr>
      <w:r w:rsidRPr="00B536D9">
        <w:rPr>
          <w:rFonts w:ascii="Verdana" w:eastAsia="Century Gothic" w:hAnsi="Verdana" w:cs="Century Gothic"/>
          <w:b/>
        </w:rPr>
        <w:t>5. Doctrina de la Agencia Nacional de Contratación Pública:</w:t>
      </w:r>
    </w:p>
    <w:p w14:paraId="0A92C305" w14:textId="77777777" w:rsidR="00123F6C" w:rsidRPr="00B536D9" w:rsidRDefault="00123F6C" w:rsidP="00123F6C">
      <w:pPr>
        <w:widowControl w:val="0"/>
        <w:autoSpaceDE w:val="0"/>
        <w:autoSpaceDN w:val="0"/>
        <w:spacing w:after="0" w:line="276" w:lineRule="auto"/>
        <w:jc w:val="both"/>
        <w:rPr>
          <w:rStyle w:val="normaltextrun"/>
          <w:rFonts w:ascii="Verdana" w:hAnsi="Verdana" w:cs="Arial"/>
          <w:highlight w:val="yellow"/>
          <w:shd w:val="clear" w:color="auto" w:fill="FFFFFF"/>
          <w:lang w:val="es-ES"/>
        </w:rPr>
      </w:pPr>
    </w:p>
    <w:p w14:paraId="3B503A8F" w14:textId="77777777" w:rsidR="00123F6C" w:rsidRDefault="00123F6C" w:rsidP="00123F6C">
      <w:pPr>
        <w:widowControl w:val="0"/>
        <w:autoSpaceDE w:val="0"/>
        <w:autoSpaceDN w:val="0"/>
        <w:spacing w:after="0" w:line="276" w:lineRule="auto"/>
        <w:jc w:val="both"/>
        <w:rPr>
          <w:rFonts w:ascii="Verdana" w:eastAsia="Aptos" w:hAnsi="Verdana" w:cs="Arial"/>
          <w:shd w:val="clear" w:color="auto" w:fill="FFFFFF"/>
          <w:lang w:val="es-ES"/>
        </w:rPr>
      </w:pPr>
      <w:r w:rsidRPr="00C97BCF">
        <w:rPr>
          <w:rFonts w:ascii="Verdana" w:eastAsia="Aptos" w:hAnsi="Verdana" w:cs="Arial"/>
          <w:shd w:val="clear" w:color="auto" w:fill="FFFFFF"/>
        </w:rPr>
        <w:t>L</w:t>
      </w:r>
      <w:r w:rsidRPr="00C97BCF">
        <w:rPr>
          <w:rFonts w:ascii="Verdana" w:eastAsia="Aptos" w:hAnsi="Verdana" w:cs="Arial"/>
          <w:shd w:val="clear" w:color="auto" w:fill="FFFFFF"/>
          <w:lang w:val="es-ES"/>
        </w:rPr>
        <w:t>a Agencia Nacional de Contratación Pública – Colombia Compra Eficiente, se ha pronunciado sobre la regla de la inalterabilidad de los documentos tipo en los siguiente conceptos: C-058 del 8 de marzo de 2022, C-657 del 11 de octubre de 2022, C-051 del 28 de abril de 2023, C-513 del 7 de octubre de 2024, C-730 del 27 de noviembre de 2024, C-870 del 15 de diciembre de 2024, C-092 del 4 de marzo de 2025, C-110 del 7 de marzo de 2025, C-133 del 10 de marzo de 2025, C-241 del 14 de marzo de 2025, C-283 del 14 de abril de 2025, C-302 del 21 de abril de 2025, C-386 del 22 de abril de 2025, C-322 del 25 de abril de 2025, C-325 del 25 de abril de 2025, C-342 del 25 de abril de 2025, C-365 del 2 de mayo de 2025, C-382 del 6 de mayo de 2025, C497 del 5 de junio de 2025, C-522 del 9 de junio de 2025, C-562 del 19 de junio de 2025, C-582 del 25 de junio de 2025, C-043 del 13 de febrero de 2026, C-246 del 12 de marzo de 2026, C-467 del 21 de abril de 2026,</w:t>
      </w:r>
      <w:r w:rsidRPr="001B21F2">
        <w:rPr>
          <w:rFonts w:ascii="Verdana" w:eastAsia="Aptos" w:hAnsi="Verdana" w:cs="Arial"/>
          <w:shd w:val="clear" w:color="auto" w:fill="FFFFFF"/>
          <w:lang w:val="es-ES"/>
        </w:rPr>
        <w:t xml:space="preserve"> </w:t>
      </w:r>
      <w:r w:rsidRPr="001B21F2">
        <w:rPr>
          <w:rFonts w:ascii="Verdana" w:eastAsia="Aptos" w:hAnsi="Verdana" w:cs="Arial"/>
          <w:shd w:val="clear" w:color="auto" w:fill="FFFFFF"/>
        </w:rPr>
        <w:t xml:space="preserve">C – 794 del 24 de junio 2026, </w:t>
      </w:r>
      <w:r w:rsidRPr="00C97BCF">
        <w:rPr>
          <w:rFonts w:ascii="Verdana" w:eastAsia="Aptos" w:hAnsi="Verdana" w:cs="Arial"/>
          <w:shd w:val="clear" w:color="auto" w:fill="FFFFFF"/>
          <w:lang w:val="es-ES"/>
        </w:rPr>
        <w:t>entre otros.  </w:t>
      </w:r>
    </w:p>
    <w:p w14:paraId="0FE34C14" w14:textId="77777777" w:rsidR="00123F6C" w:rsidRPr="00C97BCF" w:rsidRDefault="00123F6C" w:rsidP="00123F6C">
      <w:pPr>
        <w:widowControl w:val="0"/>
        <w:autoSpaceDE w:val="0"/>
        <w:autoSpaceDN w:val="0"/>
        <w:spacing w:after="0" w:line="276" w:lineRule="auto"/>
        <w:jc w:val="both"/>
        <w:rPr>
          <w:rFonts w:ascii="Verdana" w:eastAsia="Aptos" w:hAnsi="Verdana" w:cs="Arial"/>
          <w:shd w:val="clear" w:color="auto" w:fill="FFFFFF"/>
          <w:lang w:val="es-ES"/>
        </w:rPr>
      </w:pPr>
    </w:p>
    <w:p w14:paraId="1DEA63B9" w14:textId="77777777" w:rsidR="00123F6C" w:rsidRDefault="00123F6C" w:rsidP="00123F6C">
      <w:pPr>
        <w:widowControl w:val="0"/>
        <w:autoSpaceDE w:val="0"/>
        <w:autoSpaceDN w:val="0"/>
        <w:spacing w:after="0" w:line="276" w:lineRule="auto"/>
        <w:jc w:val="both"/>
        <w:rPr>
          <w:rFonts w:ascii="Verdana" w:eastAsia="Aptos" w:hAnsi="Verdana" w:cs="Arial"/>
          <w:shd w:val="clear" w:color="auto" w:fill="FFFFFF"/>
          <w:lang w:val="es-ES"/>
        </w:rPr>
      </w:pPr>
      <w:r>
        <w:rPr>
          <w:rFonts w:ascii="Verdana" w:eastAsia="Aptos" w:hAnsi="Verdana" w:cs="Arial"/>
          <w:shd w:val="clear" w:color="auto" w:fill="FFFFFF"/>
          <w:lang w:val="es-ES"/>
        </w:rPr>
        <w:t xml:space="preserve">En relación </w:t>
      </w:r>
      <w:r w:rsidRPr="00B536D9">
        <w:rPr>
          <w:rFonts w:ascii="Verdana" w:eastAsia="Aptos" w:hAnsi="Verdana" w:cs="Arial"/>
          <w:shd w:val="clear" w:color="auto" w:fill="FFFFFF"/>
          <w:lang w:val="es-ES"/>
        </w:rPr>
        <w:t xml:space="preserve">aplicación del Decreto 680 de 2021 y el otorgamiento del puntaje por apoyo a la industria nacional en los procedimientos de selección </w:t>
      </w:r>
      <w:r>
        <w:rPr>
          <w:rFonts w:ascii="Verdana" w:eastAsia="Aptos" w:hAnsi="Verdana" w:cs="Arial"/>
          <w:shd w:val="clear" w:color="auto" w:fill="FFFFFF"/>
          <w:lang w:val="es-ES"/>
        </w:rPr>
        <w:t xml:space="preserve">esta agencia </w:t>
      </w:r>
      <w:r>
        <w:rPr>
          <w:rFonts w:ascii="Verdana" w:eastAsia="Aptos" w:hAnsi="Verdana" w:cs="Arial"/>
          <w:shd w:val="clear" w:color="auto" w:fill="FFFFFF"/>
          <w:lang w:val="es-ES"/>
        </w:rPr>
        <w:lastRenderedPageBreak/>
        <w:t xml:space="preserve">se pronuncio </w:t>
      </w:r>
      <w:r w:rsidRPr="00B536D9">
        <w:rPr>
          <w:rFonts w:ascii="Verdana" w:eastAsia="Aptos" w:hAnsi="Verdana" w:cs="Arial"/>
          <w:shd w:val="clear" w:color="auto" w:fill="FFFFFF"/>
          <w:lang w:val="es-ES"/>
        </w:rPr>
        <w:t xml:space="preserve">en los conceptos C-527 del 08 de agosto de 2022, C-528 del 17 de agosto de 2022, C-600 del 21 de septiembre de 2022, C-291 de 21 de julio de 2023, C-467 del 5 de diciembre de 2023, C-382 del 6 de mayo de 2025, </w:t>
      </w:r>
      <w:r>
        <w:rPr>
          <w:rFonts w:ascii="Verdana" w:eastAsia="Aptos" w:hAnsi="Verdana" w:cs="Arial"/>
          <w:shd w:val="clear" w:color="auto" w:fill="FFFFFF"/>
          <w:lang w:val="es-ES"/>
        </w:rPr>
        <w:t xml:space="preserve">C -1482 del  </w:t>
      </w:r>
      <w:r w:rsidRPr="00B94603">
        <w:rPr>
          <w:rFonts w:ascii="Verdana" w:eastAsia="Aptos" w:hAnsi="Verdana" w:cs="Arial"/>
          <w:shd w:val="clear" w:color="auto" w:fill="FFFFFF"/>
        </w:rPr>
        <w:t xml:space="preserve">24 </w:t>
      </w:r>
      <w:r>
        <w:rPr>
          <w:rFonts w:ascii="Verdana" w:eastAsia="Aptos" w:hAnsi="Verdana" w:cs="Arial"/>
          <w:shd w:val="clear" w:color="auto" w:fill="FFFFFF"/>
        </w:rPr>
        <w:t xml:space="preserve">de </w:t>
      </w:r>
      <w:r w:rsidRPr="00B94603">
        <w:rPr>
          <w:rFonts w:ascii="Verdana" w:eastAsia="Aptos" w:hAnsi="Verdana" w:cs="Arial"/>
          <w:shd w:val="clear" w:color="auto" w:fill="FFFFFF"/>
        </w:rPr>
        <w:t xml:space="preserve">Noviembre </w:t>
      </w:r>
      <w:r>
        <w:rPr>
          <w:rFonts w:ascii="Verdana" w:eastAsia="Aptos" w:hAnsi="Verdana" w:cs="Arial"/>
          <w:shd w:val="clear" w:color="auto" w:fill="FFFFFF"/>
        </w:rPr>
        <w:t xml:space="preserve">de </w:t>
      </w:r>
      <w:r w:rsidRPr="00B94603">
        <w:rPr>
          <w:rFonts w:ascii="Verdana" w:eastAsia="Aptos" w:hAnsi="Verdana" w:cs="Arial"/>
          <w:shd w:val="clear" w:color="auto" w:fill="FFFFFF"/>
        </w:rPr>
        <w:t>2025</w:t>
      </w:r>
      <w:r>
        <w:rPr>
          <w:rFonts w:ascii="Verdana" w:eastAsia="Aptos" w:hAnsi="Verdana" w:cs="Arial"/>
          <w:shd w:val="clear" w:color="auto" w:fill="FFFFFF"/>
          <w:lang w:val="es-ES_tradnl"/>
        </w:rPr>
        <w:t xml:space="preserve"> </w:t>
      </w:r>
      <w:r w:rsidRPr="00B536D9">
        <w:rPr>
          <w:rFonts w:ascii="Verdana" w:eastAsia="Aptos" w:hAnsi="Verdana" w:cs="Arial"/>
          <w:shd w:val="clear" w:color="auto" w:fill="FFFFFF"/>
          <w:lang w:val="es-ES"/>
        </w:rPr>
        <w:t xml:space="preserve">entre otros conceptos. </w:t>
      </w:r>
    </w:p>
    <w:p w14:paraId="44007C7C" w14:textId="77777777" w:rsidR="00123F6C" w:rsidRDefault="00123F6C" w:rsidP="00123F6C">
      <w:pPr>
        <w:widowControl w:val="0"/>
        <w:autoSpaceDE w:val="0"/>
        <w:autoSpaceDN w:val="0"/>
        <w:spacing w:after="0" w:line="276" w:lineRule="auto"/>
        <w:jc w:val="both"/>
        <w:rPr>
          <w:rFonts w:ascii="Verdana" w:eastAsia="Aptos" w:hAnsi="Verdana" w:cs="Arial"/>
          <w:shd w:val="clear" w:color="auto" w:fill="FFFFFF"/>
          <w:lang w:val="es-ES"/>
        </w:rPr>
      </w:pPr>
    </w:p>
    <w:p w14:paraId="61B47770" w14:textId="77777777" w:rsidR="00123F6C" w:rsidRPr="00671828" w:rsidRDefault="00123F6C" w:rsidP="00123F6C">
      <w:pPr>
        <w:jc w:val="both"/>
        <w:rPr>
          <w:rFonts w:ascii="Verdana" w:eastAsia="Calibri" w:hAnsi="Verdana" w:cs="Arial"/>
          <w:b/>
          <w:bCs/>
          <w:lang w:val="es-ES" w:eastAsia="es-ES"/>
        </w:rPr>
      </w:pPr>
      <w:r>
        <w:rPr>
          <w:rFonts w:ascii="Verdana" w:eastAsia="Aptos" w:hAnsi="Verdana" w:cs="Arial"/>
          <w:shd w:val="clear" w:color="auto" w:fill="FFFFFF"/>
          <w:lang w:val="es-ES"/>
        </w:rPr>
        <w:t xml:space="preserve">Frente a la aplicación del </w:t>
      </w:r>
      <w:r w:rsidRPr="00F653BA">
        <w:rPr>
          <w:rFonts w:ascii="Verdana" w:eastAsia="Aptos" w:hAnsi="Verdana" w:cs="Times New Roman"/>
          <w:color w:val="000000" w:themeColor="text1"/>
          <w:kern w:val="2"/>
          <w:lang w:val="es-ES"/>
          <w14:ligatures w14:val="standardContextual"/>
        </w:rPr>
        <w:t>Decreto 287 de 2026</w:t>
      </w:r>
      <w:r>
        <w:rPr>
          <w:rFonts w:ascii="Verdana" w:eastAsia="Aptos" w:hAnsi="Verdana" w:cs="Times New Roman"/>
          <w:color w:val="000000" w:themeColor="text1"/>
          <w:kern w:val="2"/>
          <w:lang w:val="es-ES"/>
          <w14:ligatures w14:val="standardContextual"/>
        </w:rPr>
        <w:t xml:space="preserve"> esta agencia se ha pronunciado en los conceptos </w:t>
      </w:r>
      <w:r w:rsidRPr="00A36CAE">
        <w:rPr>
          <w:rFonts w:ascii="Verdana" w:eastAsia="Calibri" w:hAnsi="Verdana" w:cs="Arial"/>
          <w:kern w:val="2"/>
          <w:shd w:val="clear" w:color="auto" w:fill="FFFFFF"/>
          <w:lang w:val="es-ES"/>
          <w14:ligatures w14:val="standardContextual"/>
        </w:rPr>
        <w:t>C497 del 5 de junio de 2025, C-522 del 9 de junio de 2025, C-562 del 19 de junio de 2025, C-582 del 25 de junio de 2025, C-043 del 13 de febrero de 2026, C-246 del 12 de marzo de 2026, C-467 del 21 de abril de 2026, C – 508 del 26 de abril de 2026</w:t>
      </w:r>
      <w:r w:rsidRPr="00A36CAE">
        <w:rPr>
          <w:rFonts w:ascii="Verdana" w:eastAsia="Calibri" w:hAnsi="Verdana" w:cs="Arial"/>
          <w:kern w:val="2"/>
          <w:shd w:val="clear" w:color="auto" w:fill="FFFFFF"/>
          <w14:ligatures w14:val="standardContextual"/>
        </w:rPr>
        <w:t xml:space="preserve">, </w:t>
      </w:r>
      <w:r w:rsidRPr="00A36CAE">
        <w:rPr>
          <w:rFonts w:ascii="Verdana" w:eastAsia="Calibri" w:hAnsi="Verdana" w:cs="Arial"/>
          <w:kern w:val="2"/>
          <w:shd w:val="clear" w:color="auto" w:fill="FFFFFF"/>
          <w:lang w:val="es-ES"/>
          <w14:ligatures w14:val="standardContextual"/>
        </w:rPr>
        <w:t xml:space="preserve">C – 376 del </w:t>
      </w:r>
      <w:r w:rsidRPr="00A36CAE">
        <w:rPr>
          <w:rFonts w:ascii="Verdana" w:eastAsia="Calibri" w:hAnsi="Verdana" w:cs="Arial"/>
          <w:kern w:val="2"/>
          <w:shd w:val="clear" w:color="auto" w:fill="FFFFFF"/>
          <w14:ligatures w14:val="standardContextual"/>
        </w:rPr>
        <w:t xml:space="preserve">06 Mayo de 2026, </w:t>
      </w:r>
      <w:r w:rsidRPr="00A36CAE">
        <w:rPr>
          <w:rFonts w:ascii="Verdana" w:eastAsia="Calibri" w:hAnsi="Verdana" w:cs="Arial"/>
          <w:kern w:val="2"/>
          <w:shd w:val="clear" w:color="auto" w:fill="FFFFFF"/>
          <w:lang w:val="es-ES"/>
          <w14:ligatures w14:val="standardContextual"/>
        </w:rPr>
        <w:t xml:space="preserve">C – 523 del </w:t>
      </w:r>
      <w:r w:rsidRPr="00A36CAE">
        <w:rPr>
          <w:rFonts w:ascii="Verdana" w:eastAsia="Calibri" w:hAnsi="Verdana" w:cs="Arial"/>
          <w:kern w:val="2"/>
          <w:shd w:val="clear" w:color="auto" w:fill="FFFFFF"/>
          <w14:ligatures w14:val="standardContextual"/>
        </w:rPr>
        <w:t xml:space="preserve">06 Mayo de 2026, </w:t>
      </w:r>
      <w:r w:rsidRPr="00A36CAE">
        <w:rPr>
          <w:rFonts w:ascii="Verdana" w:eastAsia="Calibri" w:hAnsi="Verdana" w:cs="Arial"/>
          <w:kern w:val="2"/>
          <w:shd w:val="clear" w:color="auto" w:fill="FFFFFF"/>
          <w:lang w:val="es-ES"/>
          <w14:ligatures w14:val="standardContextual"/>
        </w:rPr>
        <w:t xml:space="preserve">C – 483 del </w:t>
      </w:r>
      <w:r w:rsidRPr="00A36CAE">
        <w:rPr>
          <w:rFonts w:ascii="Verdana" w:eastAsia="Calibri" w:hAnsi="Verdana" w:cs="Arial"/>
          <w:kern w:val="2"/>
          <w:shd w:val="clear" w:color="auto" w:fill="FFFFFF"/>
          <w14:ligatures w14:val="standardContextual"/>
        </w:rPr>
        <w:t xml:space="preserve">07 Mayo de 2026, </w:t>
      </w:r>
      <w:r w:rsidRPr="00A36CAE">
        <w:rPr>
          <w:rFonts w:ascii="Verdana" w:eastAsia="Calibri" w:hAnsi="Verdana" w:cs="Arial"/>
          <w:kern w:val="2"/>
          <w:shd w:val="clear" w:color="auto" w:fill="FFFFFF"/>
          <w:lang w:val="es-ES"/>
          <w14:ligatures w14:val="standardContextual"/>
        </w:rPr>
        <w:t xml:space="preserve">C – 512 del </w:t>
      </w:r>
      <w:r w:rsidRPr="00A36CAE">
        <w:rPr>
          <w:rFonts w:ascii="Verdana" w:eastAsia="Calibri" w:hAnsi="Verdana" w:cs="Arial"/>
          <w:kern w:val="2"/>
          <w:shd w:val="clear" w:color="auto" w:fill="FFFFFF"/>
          <w14:ligatures w14:val="standardContextual"/>
        </w:rPr>
        <w:t xml:space="preserve">07 Mayo de 2026, </w:t>
      </w:r>
      <w:r w:rsidRPr="00A36CAE">
        <w:rPr>
          <w:rFonts w:ascii="Verdana" w:eastAsia="Calibri" w:hAnsi="Verdana" w:cs="Arial"/>
          <w:kern w:val="2"/>
          <w:shd w:val="clear" w:color="auto" w:fill="FFFFFF"/>
          <w:lang w:val="es-ES"/>
          <w14:ligatures w14:val="standardContextual"/>
        </w:rPr>
        <w:t xml:space="preserve">C – 564 del </w:t>
      </w:r>
      <w:r w:rsidRPr="00A36CAE">
        <w:rPr>
          <w:rFonts w:ascii="Verdana" w:eastAsia="Calibri" w:hAnsi="Verdana" w:cs="Arial"/>
          <w:kern w:val="2"/>
          <w:shd w:val="clear" w:color="auto" w:fill="FFFFFF"/>
          <w14:ligatures w14:val="standardContextual"/>
        </w:rPr>
        <w:t>07 del Mayo de 2026</w:t>
      </w:r>
      <w:r w:rsidRPr="00A36CAE">
        <w:rPr>
          <w:rFonts w:ascii="Verdana" w:eastAsia="Calibri" w:hAnsi="Verdana" w:cs="Arial"/>
          <w:kern w:val="2"/>
          <w:shd w:val="clear" w:color="auto" w:fill="FFFFFF"/>
          <w:lang w:val="es-ES"/>
          <w14:ligatures w14:val="standardContextual"/>
        </w:rPr>
        <w:t xml:space="preserve">, C-524 del 11 de mayo de 2026, C-476 del 25 </w:t>
      </w:r>
      <w:r w:rsidRPr="00671828">
        <w:rPr>
          <w:rFonts w:ascii="Verdana" w:eastAsia="Calibri" w:hAnsi="Verdana" w:cs="Arial"/>
          <w:kern w:val="2"/>
          <w:shd w:val="clear" w:color="auto" w:fill="FFFFFF"/>
          <w:lang w:val="es-ES"/>
          <w14:ligatures w14:val="standardContextual"/>
        </w:rPr>
        <w:t xml:space="preserve">de mayo del 2026, C-638 del 26 de mayo del 2026, C-657 del 26 de mayo del 2026, </w:t>
      </w:r>
      <w:r w:rsidRPr="00671828">
        <w:rPr>
          <w:rFonts w:ascii="Verdana" w:eastAsia="Calibri" w:hAnsi="Verdana" w:cs="Arial"/>
          <w:lang w:val="es-ES" w:eastAsia="es-ES"/>
        </w:rPr>
        <w:t xml:space="preserve">C–741 de 2026, </w:t>
      </w:r>
      <w:r w:rsidRPr="00671828">
        <w:rPr>
          <w:rFonts w:ascii="Verdana" w:eastAsia="Calibri" w:hAnsi="Verdana" w:cs="Arial"/>
          <w:kern w:val="2"/>
          <w:shd w:val="clear" w:color="auto" w:fill="FFFFFF"/>
          <w:lang w:val="es-ES"/>
          <w14:ligatures w14:val="standardContextual"/>
        </w:rPr>
        <w:t>entre otros</w:t>
      </w:r>
    </w:p>
    <w:p w14:paraId="6356EE15" w14:textId="77777777" w:rsidR="00123F6C" w:rsidRDefault="00123F6C" w:rsidP="00123F6C">
      <w:pPr>
        <w:widowControl w:val="0"/>
        <w:autoSpaceDE w:val="0"/>
        <w:autoSpaceDN w:val="0"/>
        <w:spacing w:after="0" w:line="276" w:lineRule="auto"/>
        <w:jc w:val="both"/>
        <w:rPr>
          <w:rFonts w:ascii="Verdana" w:eastAsia="Aptos" w:hAnsi="Verdana" w:cs="Arial"/>
          <w:shd w:val="clear" w:color="auto" w:fill="FFFFFF"/>
          <w:lang w:val="es-ES"/>
        </w:rPr>
      </w:pPr>
    </w:p>
    <w:p w14:paraId="18F89923" w14:textId="77777777" w:rsidR="00123F6C" w:rsidRPr="00B94603" w:rsidRDefault="00123F6C" w:rsidP="00123F6C">
      <w:pPr>
        <w:widowControl w:val="0"/>
        <w:autoSpaceDE w:val="0"/>
        <w:autoSpaceDN w:val="0"/>
        <w:spacing w:after="0" w:line="276" w:lineRule="auto"/>
        <w:jc w:val="both"/>
        <w:rPr>
          <w:rFonts w:ascii="Verdana" w:eastAsia="Aptos" w:hAnsi="Verdana" w:cs="Arial"/>
          <w:shd w:val="clear" w:color="auto" w:fill="FFFFFF"/>
          <w:lang w:val="es-ES_tradnl"/>
        </w:rPr>
      </w:pPr>
      <w:r w:rsidRPr="00B536D9">
        <w:rPr>
          <w:rFonts w:ascii="Verdana" w:eastAsia="Aptos" w:hAnsi="Verdana" w:cs="Arial"/>
          <w:shd w:val="clear" w:color="auto" w:fill="FFFFFF"/>
          <w:lang w:val="es-ES"/>
        </w:rPr>
        <w:t>Esos y otros conceptos se encuentran disponibles para consulta en el Sistema de Relatoría de la Agencia, en el cual también podrá encontrar jurisprudencia del Consejo de Estado, laudos arbitrales y la normativa de la contratación concordada con la doctrina de la Subdirección de Gestión Contractual. Acceda a través del siguiente enlace</w:t>
      </w:r>
      <w:r w:rsidRPr="00B536D9">
        <w:rPr>
          <w:rFonts w:ascii="Verdana" w:eastAsia="Aptos" w:hAnsi="Verdana" w:cs="Arial"/>
          <w:color w:val="218BFC"/>
          <w:shd w:val="clear" w:color="auto" w:fill="FFFFFF"/>
          <w:lang w:val="es-ES"/>
        </w:rPr>
        <w:t>: </w:t>
      </w:r>
      <w:hyperlink r:id="rId13" w:tgtFrame="_blank" w:tooltip="Dirección URL original: https://relatoria.colombiacompra.gov.co/. Haga clic o pulse si confía en este vínculo." w:history="1">
        <w:r w:rsidRPr="00B536D9">
          <w:rPr>
            <w:rStyle w:val="Hipervnculo"/>
            <w:rFonts w:ascii="Verdana" w:eastAsia="Aptos" w:hAnsi="Verdana" w:cs="Arial"/>
            <w:shd w:val="clear" w:color="auto" w:fill="FFFFFF"/>
            <w:lang w:val="es-ES"/>
          </w:rPr>
          <w:t>https://relatoria.colombiacompra.gov.co/</w:t>
        </w:r>
      </w:hyperlink>
      <w:r w:rsidRPr="00B536D9">
        <w:rPr>
          <w:rFonts w:ascii="Verdana" w:eastAsia="Aptos" w:hAnsi="Verdana" w:cs="Arial"/>
          <w:color w:val="218BFC"/>
          <w:shd w:val="clear" w:color="auto" w:fill="FFFFFF"/>
          <w:lang w:val="es-ES"/>
        </w:rPr>
        <w:t>.</w:t>
      </w:r>
    </w:p>
    <w:p w14:paraId="141790B6" w14:textId="77777777" w:rsidR="00123F6C" w:rsidRPr="00B536D9" w:rsidRDefault="00123F6C" w:rsidP="00123F6C">
      <w:pPr>
        <w:widowControl w:val="0"/>
        <w:autoSpaceDE w:val="0"/>
        <w:autoSpaceDN w:val="0"/>
        <w:spacing w:after="0" w:line="276" w:lineRule="auto"/>
        <w:jc w:val="both"/>
        <w:rPr>
          <w:rFonts w:ascii="Verdana" w:eastAsia="Aptos" w:hAnsi="Verdana" w:cs="Arial"/>
          <w:color w:val="218BFC"/>
          <w:shd w:val="clear" w:color="auto" w:fill="FFFFFF"/>
          <w:lang w:val="es-ES_tradnl"/>
        </w:rPr>
      </w:pPr>
    </w:p>
    <w:p w14:paraId="6717440C" w14:textId="77777777" w:rsidR="00123F6C" w:rsidRPr="00B536D9" w:rsidRDefault="00123F6C" w:rsidP="00123F6C">
      <w:pPr>
        <w:widowControl w:val="0"/>
        <w:autoSpaceDE w:val="0"/>
        <w:autoSpaceDN w:val="0"/>
        <w:spacing w:after="0" w:line="276" w:lineRule="auto"/>
        <w:jc w:val="both"/>
        <w:rPr>
          <w:rFonts w:ascii="Verdana" w:eastAsia="Aptos" w:hAnsi="Verdana" w:cs="Arial"/>
          <w:shd w:val="clear" w:color="auto" w:fill="FFFFFF"/>
          <w:lang w:val="es-ES_tradnl"/>
        </w:rPr>
      </w:pPr>
      <w:r w:rsidRPr="00B536D9">
        <w:rPr>
          <w:rFonts w:ascii="Verdana" w:eastAsia="Aptos" w:hAnsi="Verdana" w:cs="Arial"/>
          <w:shd w:val="clear" w:color="auto" w:fill="FFFFFF"/>
          <w:lang w:val="es-ES_tradnl"/>
        </w:rPr>
        <w:t>La</w:t>
      </w:r>
      <w:r w:rsidRPr="00B536D9">
        <w:rPr>
          <w:rFonts w:ascii="Verdana" w:eastAsia="Aptos" w:hAnsi="Verdana" w:cs="Arial"/>
          <w:b/>
          <w:bCs/>
          <w:shd w:val="clear" w:color="auto" w:fill="FFFFFF"/>
          <w:lang w:val="es-ES_tradnl"/>
        </w:rPr>
        <w:t xml:space="preserve"> Agencia Nacional de Contratación Pública - Colombia Compra Eficiente</w:t>
      </w:r>
      <w:r w:rsidRPr="00B536D9">
        <w:rPr>
          <w:rFonts w:ascii="Verdana" w:eastAsia="Aptos" w:hAnsi="Verdana" w:cs="Arial"/>
          <w:shd w:val="clear" w:color="auto" w:fill="FFFFFF"/>
          <w:lang w:val="es-ES_tradnl"/>
        </w:rPr>
        <w:t> recomienda a todas las entidades públicas, independientemente de su naturaleza, que gestionan recursos públicos, la aplicación de los </w:t>
      </w:r>
      <w:r w:rsidRPr="00B536D9">
        <w:rPr>
          <w:rFonts w:ascii="Verdana" w:eastAsia="Aptos" w:hAnsi="Verdana" w:cs="Arial"/>
          <w:b/>
          <w:bCs/>
          <w:shd w:val="clear" w:color="auto" w:fill="FFFFFF"/>
          <w:lang w:val="es-ES_tradnl"/>
        </w:rPr>
        <w:t>Documentos Tipo</w:t>
      </w:r>
      <w:r w:rsidRPr="00B536D9">
        <w:rPr>
          <w:rFonts w:ascii="Verdana" w:eastAsia="Aptos" w:hAnsi="Verdana" w:cs="Arial"/>
          <w:shd w:val="clear" w:color="auto" w:fill="FFFFFF"/>
          <w:lang w:val="es-ES_tradnl"/>
        </w:rPr>
        <w:t>. Esta recomendación es válida tanto para su uso obligatorio, cuando así lo establezca la normatividad vigente, como para su implementación como una buena práctica. El objetivo es garantizar la </w:t>
      </w:r>
      <w:r w:rsidRPr="00B536D9">
        <w:rPr>
          <w:rFonts w:ascii="Verdana" w:eastAsia="Aptos" w:hAnsi="Verdana" w:cs="Arial"/>
          <w:b/>
          <w:bCs/>
          <w:shd w:val="clear" w:color="auto" w:fill="FFFFFF"/>
          <w:lang w:val="es-ES_tradnl"/>
        </w:rPr>
        <w:t>transparencia</w:t>
      </w:r>
      <w:r w:rsidRPr="00B536D9">
        <w:rPr>
          <w:rFonts w:ascii="Verdana" w:eastAsia="Aptos" w:hAnsi="Verdana" w:cs="Arial"/>
          <w:shd w:val="clear" w:color="auto" w:fill="FFFFFF"/>
          <w:lang w:val="es-ES_tradnl"/>
        </w:rPr>
        <w:t> y promover un proceso de </w:t>
      </w:r>
      <w:r w:rsidRPr="00B536D9">
        <w:rPr>
          <w:rFonts w:ascii="Verdana" w:eastAsia="Aptos" w:hAnsi="Verdana" w:cs="Arial"/>
          <w:b/>
          <w:bCs/>
          <w:shd w:val="clear" w:color="auto" w:fill="FFFFFF"/>
          <w:lang w:val="es-ES_tradnl"/>
        </w:rPr>
        <w:t>selección objetiva</w:t>
      </w:r>
      <w:r w:rsidRPr="00B536D9">
        <w:rPr>
          <w:rFonts w:ascii="Verdana" w:eastAsia="Aptos" w:hAnsi="Verdana" w:cs="Arial"/>
          <w:shd w:val="clear" w:color="auto" w:fill="FFFFFF"/>
          <w:lang w:val="es-ES_tradnl"/>
        </w:rPr>
        <w:t> en la contratación pública, contribuyendo así a mejorar la eficiencia, la competencia y la confianza en el manejo de los recursos del Estado.</w:t>
      </w:r>
    </w:p>
    <w:p w14:paraId="029A6777" w14:textId="77777777" w:rsidR="00123F6C" w:rsidRDefault="00123F6C" w:rsidP="00123F6C">
      <w:pPr>
        <w:widowControl w:val="0"/>
        <w:autoSpaceDE w:val="0"/>
        <w:autoSpaceDN w:val="0"/>
        <w:spacing w:after="0" w:line="276" w:lineRule="auto"/>
        <w:jc w:val="both"/>
        <w:rPr>
          <w:rFonts w:ascii="Verdana" w:eastAsia="Aptos" w:hAnsi="Verdana" w:cs="Arial"/>
          <w:shd w:val="clear" w:color="auto" w:fill="FFFFFF"/>
          <w:lang w:val="es-ES"/>
        </w:rPr>
      </w:pPr>
    </w:p>
    <w:p w14:paraId="787FF14E" w14:textId="77777777" w:rsidR="00123F6C" w:rsidRDefault="00123F6C" w:rsidP="00123F6C">
      <w:pPr>
        <w:widowControl w:val="0"/>
        <w:autoSpaceDE w:val="0"/>
        <w:autoSpaceDN w:val="0"/>
        <w:spacing w:after="0" w:line="276" w:lineRule="auto"/>
        <w:jc w:val="both"/>
        <w:rPr>
          <w:rFonts w:ascii="Verdana" w:hAnsi="Verdana" w:cs="Arial"/>
          <w:shd w:val="clear" w:color="auto" w:fill="FFFFFF"/>
        </w:rPr>
      </w:pPr>
      <w:r w:rsidRPr="007F13BA">
        <w:rPr>
          <w:rFonts w:ascii="Verdana" w:hAnsi="Verdana" w:cs="Arial"/>
          <w:shd w:val="clear" w:color="auto" w:fill="FFFFFF"/>
        </w:rPr>
        <w:t>Por último, lo invitamos a seguirnos en las redes sociales en las cuales se difunde información institucional:  </w:t>
      </w:r>
    </w:p>
    <w:p w14:paraId="5F593C91" w14:textId="77777777" w:rsidR="00123F6C" w:rsidRPr="007F13BA" w:rsidRDefault="00123F6C" w:rsidP="00123F6C">
      <w:pPr>
        <w:widowControl w:val="0"/>
        <w:autoSpaceDE w:val="0"/>
        <w:autoSpaceDN w:val="0"/>
        <w:spacing w:after="0" w:line="276" w:lineRule="auto"/>
        <w:jc w:val="both"/>
        <w:rPr>
          <w:rFonts w:ascii="Verdana" w:hAnsi="Verdana" w:cs="Arial"/>
          <w:shd w:val="clear" w:color="auto" w:fill="FFFFFF"/>
        </w:rPr>
      </w:pPr>
    </w:p>
    <w:p w14:paraId="7D756169" w14:textId="77777777" w:rsidR="00123F6C" w:rsidRPr="007F13BA" w:rsidRDefault="00123F6C" w:rsidP="00123F6C">
      <w:pPr>
        <w:widowControl w:val="0"/>
        <w:autoSpaceDE w:val="0"/>
        <w:autoSpaceDN w:val="0"/>
        <w:spacing w:after="0" w:line="276" w:lineRule="auto"/>
        <w:jc w:val="both"/>
        <w:rPr>
          <w:rFonts w:ascii="Verdana" w:hAnsi="Verdana" w:cs="Arial"/>
          <w:shd w:val="clear" w:color="auto" w:fill="FFFFFF"/>
        </w:rPr>
      </w:pPr>
      <w:r w:rsidRPr="007F13BA">
        <w:rPr>
          <w:rFonts w:ascii="Verdana" w:hAnsi="Verdana" w:cs="Arial"/>
          <w:shd w:val="clear" w:color="auto" w:fill="FFFFFF"/>
        </w:rPr>
        <w:t>Twitter: </w:t>
      </w:r>
      <w:r w:rsidRPr="007F13BA">
        <w:rPr>
          <w:rFonts w:ascii="Verdana" w:hAnsi="Verdana" w:cs="Arial"/>
          <w:u w:val="single"/>
          <w:shd w:val="clear" w:color="auto" w:fill="FFFFFF"/>
        </w:rPr>
        <w:t>@colombiacompra</w:t>
      </w:r>
      <w:r w:rsidRPr="007F13BA">
        <w:rPr>
          <w:rFonts w:ascii="Verdana" w:hAnsi="Verdana" w:cs="Arial"/>
          <w:shd w:val="clear" w:color="auto" w:fill="FFFFFF"/>
        </w:rPr>
        <w:t>  </w:t>
      </w:r>
    </w:p>
    <w:p w14:paraId="1B26F813" w14:textId="77777777" w:rsidR="00123F6C" w:rsidRDefault="00123F6C" w:rsidP="00123F6C">
      <w:pPr>
        <w:widowControl w:val="0"/>
        <w:autoSpaceDE w:val="0"/>
        <w:autoSpaceDN w:val="0"/>
        <w:spacing w:after="0" w:line="276" w:lineRule="auto"/>
        <w:jc w:val="both"/>
        <w:rPr>
          <w:rFonts w:ascii="Verdana" w:hAnsi="Verdana" w:cs="Arial"/>
          <w:shd w:val="clear" w:color="auto" w:fill="FFFFFF"/>
        </w:rPr>
      </w:pPr>
      <w:r w:rsidRPr="00911583">
        <w:rPr>
          <w:rFonts w:ascii="Verdana" w:hAnsi="Verdana" w:cs="Arial"/>
          <w:shd w:val="clear" w:color="auto" w:fill="FFFFFF"/>
        </w:rPr>
        <w:t>Facebook: </w:t>
      </w:r>
      <w:r w:rsidRPr="00911583">
        <w:rPr>
          <w:rFonts w:ascii="Verdana" w:hAnsi="Verdana" w:cs="Arial"/>
          <w:u w:val="single"/>
          <w:shd w:val="clear" w:color="auto" w:fill="FFFFFF"/>
        </w:rPr>
        <w:t>ColombiaCompraEficiente</w:t>
      </w:r>
      <w:r w:rsidRPr="00146A73">
        <w:rPr>
          <w:rFonts w:ascii="Verdana" w:hAnsi="Verdana" w:cs="Arial"/>
          <w:shd w:val="clear" w:color="auto" w:fill="FFFFFF"/>
        </w:rPr>
        <w:t> </w:t>
      </w:r>
    </w:p>
    <w:p w14:paraId="4107BF34" w14:textId="77777777" w:rsidR="00123F6C" w:rsidRPr="00146A73" w:rsidRDefault="00123F6C" w:rsidP="00123F6C">
      <w:pPr>
        <w:widowControl w:val="0"/>
        <w:autoSpaceDE w:val="0"/>
        <w:autoSpaceDN w:val="0"/>
        <w:spacing w:after="0" w:line="276" w:lineRule="auto"/>
        <w:jc w:val="both"/>
        <w:rPr>
          <w:rFonts w:ascii="Verdana" w:hAnsi="Verdana" w:cs="Arial"/>
          <w:shd w:val="clear" w:color="auto" w:fill="FFFFFF"/>
        </w:rPr>
      </w:pPr>
      <w:r w:rsidRPr="00833F05">
        <w:rPr>
          <w:rFonts w:ascii="Verdana" w:hAnsi="Verdana" w:cs="Arial"/>
          <w:shd w:val="clear" w:color="auto" w:fill="FFFFFF"/>
        </w:rPr>
        <w:lastRenderedPageBreak/>
        <w:t>LinkedIn: Agencia Nacional de Contratación Pública - Colombia Compra Eficiente</w:t>
      </w:r>
    </w:p>
    <w:p w14:paraId="613F009C" w14:textId="77777777" w:rsidR="00123F6C" w:rsidRDefault="00123F6C" w:rsidP="00123F6C">
      <w:pPr>
        <w:widowControl w:val="0"/>
        <w:autoSpaceDE w:val="0"/>
        <w:autoSpaceDN w:val="0"/>
        <w:spacing w:after="0" w:line="276" w:lineRule="auto"/>
        <w:jc w:val="both"/>
        <w:rPr>
          <w:rFonts w:ascii="Verdana" w:hAnsi="Verdana" w:cs="Arial"/>
          <w:u w:val="single"/>
          <w:shd w:val="clear" w:color="auto" w:fill="FFFFFF"/>
        </w:rPr>
      </w:pPr>
      <w:r w:rsidRPr="007F13BA">
        <w:rPr>
          <w:rFonts w:ascii="Verdana" w:hAnsi="Verdana" w:cs="Arial"/>
          <w:shd w:val="clear" w:color="auto" w:fill="FFFFFF"/>
        </w:rPr>
        <w:t>Instagram: </w:t>
      </w:r>
      <w:r w:rsidRPr="007F13BA">
        <w:rPr>
          <w:rFonts w:ascii="Verdana" w:hAnsi="Verdana" w:cs="Arial"/>
          <w:u w:val="single"/>
          <w:shd w:val="clear" w:color="auto" w:fill="FFFFFF"/>
        </w:rPr>
        <w:t>@colombiacompraeficiente_cce</w:t>
      </w:r>
    </w:p>
    <w:p w14:paraId="49074EE4" w14:textId="77777777" w:rsidR="00123F6C" w:rsidRPr="00764C67" w:rsidRDefault="00123F6C" w:rsidP="00123F6C">
      <w:pPr>
        <w:widowControl w:val="0"/>
        <w:autoSpaceDE w:val="0"/>
        <w:autoSpaceDN w:val="0"/>
        <w:spacing w:after="0" w:line="276" w:lineRule="auto"/>
        <w:jc w:val="both"/>
        <w:rPr>
          <w:rFonts w:ascii="Verdana" w:hAnsi="Verdana" w:cs="Arial"/>
          <w:u w:val="single"/>
          <w:shd w:val="clear" w:color="auto" w:fill="FFFFFF"/>
        </w:rPr>
      </w:pPr>
    </w:p>
    <w:p w14:paraId="386A6216" w14:textId="77777777" w:rsidR="00123F6C" w:rsidRPr="0067177D" w:rsidRDefault="00123F6C" w:rsidP="00123F6C">
      <w:pPr>
        <w:widowControl w:val="0"/>
        <w:autoSpaceDE w:val="0"/>
        <w:autoSpaceDN w:val="0"/>
        <w:spacing w:after="0" w:line="276" w:lineRule="auto"/>
        <w:jc w:val="both"/>
        <w:rPr>
          <w:rFonts w:ascii="Verdana" w:hAnsi="Verdana" w:cs="Arial"/>
          <w:shd w:val="clear" w:color="auto" w:fill="FFFFFF"/>
        </w:rPr>
      </w:pPr>
    </w:p>
    <w:p w14:paraId="6441B6FD" w14:textId="69A73A00" w:rsidR="00123F6C" w:rsidRPr="00146A73" w:rsidRDefault="00123F6C" w:rsidP="00123F6C">
      <w:pPr>
        <w:spacing w:after="0" w:line="276" w:lineRule="auto"/>
        <w:jc w:val="both"/>
        <w:rPr>
          <w:rFonts w:ascii="Verdana" w:hAnsi="Verdana"/>
        </w:rPr>
      </w:pPr>
      <w:r w:rsidRPr="007F13BA">
        <w:rPr>
          <w:rFonts w:ascii="Verdana" w:hAnsi="Verdana"/>
        </w:rPr>
        <w:t>Este concepto tiene el alcance previsto en el artículo 28 del Código de Procedimiento Administrativo y de lo Contencioso Administrativo y las expresiones utilizadas con mayúscula inicial de</w:t>
      </w:r>
      <w:r w:rsidRPr="00911583">
        <w:rPr>
          <w:rFonts w:ascii="Verdana" w:hAnsi="Verdana"/>
        </w:rPr>
        <w:t>ben ser entendidas con el significado que les otorga el artículo 2.2.1.1.1.3.1 del Decreto 1082 de 2015.</w:t>
      </w:r>
    </w:p>
    <w:p w14:paraId="4815EF50" w14:textId="03BE73B6" w:rsidR="00123F6C" w:rsidRPr="007F13BA" w:rsidRDefault="00123F6C" w:rsidP="00123F6C">
      <w:pPr>
        <w:spacing w:after="0" w:line="276" w:lineRule="auto"/>
        <w:jc w:val="both"/>
        <w:rPr>
          <w:rFonts w:ascii="Verdana" w:eastAsia="Calibri" w:hAnsi="Verdana" w:cs="Times New Roman"/>
        </w:rPr>
      </w:pPr>
    </w:p>
    <w:p w14:paraId="0C8A9D04" w14:textId="6B6329A7" w:rsidR="00123F6C" w:rsidRPr="007F13BA" w:rsidRDefault="00123F6C" w:rsidP="00123F6C">
      <w:pPr>
        <w:spacing w:after="0" w:line="276" w:lineRule="auto"/>
        <w:jc w:val="both"/>
        <w:rPr>
          <w:rFonts w:ascii="Verdana" w:eastAsia="Calibri" w:hAnsi="Verdana" w:cs="Times New Roman"/>
        </w:rPr>
      </w:pPr>
      <w:r w:rsidRPr="007F13BA">
        <w:rPr>
          <w:rFonts w:ascii="Verdana" w:eastAsia="Calibri" w:hAnsi="Verdana" w:cs="Times New Roman"/>
        </w:rPr>
        <w:t>Atentamente,</w:t>
      </w:r>
    </w:p>
    <w:p w14:paraId="3CB66AD6" w14:textId="5641DE62" w:rsidR="00123F6C" w:rsidRDefault="001B31B6" w:rsidP="00123F6C">
      <w:pPr>
        <w:spacing w:after="0" w:line="276" w:lineRule="auto"/>
        <w:jc w:val="both"/>
        <w:rPr>
          <w:rFonts w:ascii="Verdana" w:eastAsia="Calibri" w:hAnsi="Verdana" w:cs="Times New Roman"/>
        </w:rPr>
      </w:pPr>
      <w:r>
        <w:rPr>
          <w:rFonts w:ascii="Verdana" w:eastAsia="Verdana" w:hAnsi="Verdana" w:cs="Verdana"/>
          <w:noProof/>
          <w:lang w:eastAsia="es-CO"/>
        </w:rPr>
        <w:drawing>
          <wp:anchor distT="0" distB="0" distL="114300" distR="114300" simplePos="0" relativeHeight="251659264" behindDoc="0" locked="0" layoutInCell="1" allowOverlap="1" wp14:anchorId="5BCC358C" wp14:editId="2962A23B">
            <wp:simplePos x="0" y="0"/>
            <wp:positionH relativeFrom="margin">
              <wp:posOffset>870204</wp:posOffset>
            </wp:positionH>
            <wp:positionV relativeFrom="margin">
              <wp:posOffset>1960245</wp:posOffset>
            </wp:positionV>
            <wp:extent cx="3493311" cy="1298561"/>
            <wp:effectExtent l="0" t="0" r="0" b="0"/>
            <wp:wrapSquare wrapText="bothSides"/>
            <wp:docPr id="21413099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09906" name="Imagen 2141309906"/>
                    <pic:cNvPicPr/>
                  </pic:nvPicPr>
                  <pic:blipFill>
                    <a:blip r:embed="rId14">
                      <a:extLst>
                        <a:ext uri="{28A0092B-C50C-407E-A947-70E740481C1C}">
                          <a14:useLocalDpi xmlns:a14="http://schemas.microsoft.com/office/drawing/2010/main" val="0"/>
                        </a:ext>
                      </a:extLst>
                    </a:blip>
                    <a:stretch>
                      <a:fillRect/>
                    </a:stretch>
                  </pic:blipFill>
                  <pic:spPr>
                    <a:xfrm>
                      <a:off x="0" y="0"/>
                      <a:ext cx="3493311" cy="1298561"/>
                    </a:xfrm>
                    <a:prstGeom prst="rect">
                      <a:avLst/>
                    </a:prstGeom>
                  </pic:spPr>
                </pic:pic>
              </a:graphicData>
            </a:graphic>
            <wp14:sizeRelH relativeFrom="margin">
              <wp14:pctWidth>0</wp14:pctWidth>
            </wp14:sizeRelH>
            <wp14:sizeRelV relativeFrom="margin">
              <wp14:pctHeight>0</wp14:pctHeight>
            </wp14:sizeRelV>
          </wp:anchor>
        </w:drawing>
      </w:r>
    </w:p>
    <w:p w14:paraId="3D2D590D" w14:textId="51A650A3" w:rsidR="00123F6C" w:rsidRDefault="00123F6C" w:rsidP="00123F6C">
      <w:pPr>
        <w:spacing w:after="0" w:line="276" w:lineRule="auto"/>
        <w:jc w:val="center"/>
        <w:rPr>
          <w:rFonts w:ascii="Verdana" w:eastAsia="Calibri" w:hAnsi="Verdana" w:cs="Times New Roman"/>
        </w:rPr>
      </w:pPr>
    </w:p>
    <w:p w14:paraId="0FBE223D" w14:textId="5E23AE00" w:rsidR="00123F6C" w:rsidRDefault="00123F6C" w:rsidP="00123F6C">
      <w:pPr>
        <w:spacing w:after="0" w:line="276" w:lineRule="auto"/>
        <w:jc w:val="center"/>
        <w:rPr>
          <w:rFonts w:ascii="Verdana" w:eastAsia="Calibri" w:hAnsi="Verdana" w:cs="Times New Roman"/>
        </w:rPr>
      </w:pPr>
    </w:p>
    <w:p w14:paraId="58A2EA17" w14:textId="77777777" w:rsidR="001B31B6" w:rsidRDefault="001B31B6" w:rsidP="00123F6C">
      <w:pPr>
        <w:spacing w:after="0" w:line="276" w:lineRule="auto"/>
        <w:jc w:val="center"/>
        <w:rPr>
          <w:rFonts w:ascii="Verdana" w:eastAsia="Calibri" w:hAnsi="Verdana" w:cs="Times New Roman"/>
        </w:rPr>
      </w:pPr>
    </w:p>
    <w:p w14:paraId="53BC5A41" w14:textId="77777777" w:rsidR="001B31B6" w:rsidRDefault="001B31B6" w:rsidP="00123F6C">
      <w:pPr>
        <w:spacing w:after="0" w:line="276" w:lineRule="auto"/>
        <w:jc w:val="center"/>
        <w:rPr>
          <w:rFonts w:ascii="Verdana" w:eastAsia="Calibri" w:hAnsi="Verdana" w:cs="Times New Roman"/>
        </w:rPr>
      </w:pPr>
    </w:p>
    <w:p w14:paraId="3EDB46C8" w14:textId="77777777" w:rsidR="001B31B6" w:rsidRDefault="001B31B6" w:rsidP="00123F6C">
      <w:pPr>
        <w:spacing w:after="0" w:line="276" w:lineRule="auto"/>
        <w:jc w:val="center"/>
        <w:rPr>
          <w:rFonts w:ascii="Verdana" w:eastAsia="Calibri" w:hAnsi="Verdana" w:cs="Times New Roman"/>
        </w:rPr>
      </w:pPr>
    </w:p>
    <w:p w14:paraId="495C34B5" w14:textId="77777777" w:rsidR="001B31B6" w:rsidRDefault="001B31B6" w:rsidP="00123F6C">
      <w:pPr>
        <w:spacing w:after="0" w:line="276" w:lineRule="auto"/>
        <w:jc w:val="center"/>
        <w:rPr>
          <w:rFonts w:ascii="Verdana" w:eastAsia="Calibri" w:hAnsi="Verdana" w:cs="Times New Roman"/>
        </w:rPr>
      </w:pPr>
    </w:p>
    <w:p w14:paraId="61564BA5" w14:textId="77777777" w:rsidR="001B31B6" w:rsidRPr="00902D8C" w:rsidRDefault="001B31B6" w:rsidP="00123F6C">
      <w:pPr>
        <w:spacing w:after="0" w:line="276" w:lineRule="auto"/>
        <w:jc w:val="center"/>
        <w:rPr>
          <w:rFonts w:ascii="Verdana" w:eastAsia="Calibri" w:hAnsi="Verdana" w:cs="Times New Roman"/>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123F6C" w:rsidRPr="00FA01CB" w14:paraId="2FB63795" w14:textId="77777777" w:rsidTr="008873B2">
        <w:trPr>
          <w:trHeight w:val="315"/>
        </w:trPr>
        <w:tc>
          <w:tcPr>
            <w:tcW w:w="893" w:type="dxa"/>
            <w:vAlign w:val="center"/>
            <w:hideMark/>
          </w:tcPr>
          <w:p w14:paraId="0C3441D3" w14:textId="77777777" w:rsidR="00123F6C" w:rsidRPr="00FA01CB" w:rsidRDefault="00123F6C" w:rsidP="008873B2">
            <w:pPr>
              <w:contextualSpacing/>
              <w:rPr>
                <w:rFonts w:ascii="Verdana" w:hAnsi="Verdana" w:cs="Arial"/>
                <w:sz w:val="16"/>
                <w:szCs w:val="16"/>
                <w:lang w:eastAsia="es-ES"/>
              </w:rPr>
            </w:pPr>
            <w:r w:rsidRPr="00FA01CB">
              <w:rPr>
                <w:rFonts w:ascii="Verdana" w:hAnsi="Verdana" w:cs="Arial"/>
                <w:sz w:val="16"/>
                <w:szCs w:val="16"/>
                <w:lang w:eastAsia="es-ES"/>
              </w:rPr>
              <w:t>Elaboró:</w:t>
            </w:r>
          </w:p>
        </w:tc>
        <w:tc>
          <w:tcPr>
            <w:tcW w:w="5628" w:type="dxa"/>
            <w:tcBorders>
              <w:top w:val="nil"/>
              <w:left w:val="nil"/>
              <w:bottom w:val="dotted" w:sz="4" w:space="0" w:color="7F7F7F" w:themeColor="text1" w:themeTint="80"/>
              <w:right w:val="nil"/>
            </w:tcBorders>
            <w:vAlign w:val="center"/>
            <w:hideMark/>
          </w:tcPr>
          <w:p w14:paraId="4BCDEFF4" w14:textId="2FF9373B" w:rsidR="00123F6C" w:rsidRPr="00FA01CB" w:rsidRDefault="00123F6C" w:rsidP="008873B2">
            <w:pPr>
              <w:contextualSpacing/>
              <w:rPr>
                <w:rFonts w:ascii="Verdana" w:hAnsi="Verdana"/>
                <w:sz w:val="16"/>
                <w:szCs w:val="16"/>
              </w:rPr>
            </w:pPr>
            <w:r w:rsidRPr="00FA01CB">
              <w:rPr>
                <w:rFonts w:ascii="Verdana" w:hAnsi="Verdana"/>
                <w:sz w:val="16"/>
                <w:szCs w:val="16"/>
              </w:rPr>
              <w:t>Denis Andrea Cárdenas Hernández</w:t>
            </w:r>
          </w:p>
          <w:p w14:paraId="367B353D" w14:textId="77777777" w:rsidR="00123F6C" w:rsidRPr="00FA01CB" w:rsidRDefault="00123F6C" w:rsidP="008873B2">
            <w:pPr>
              <w:contextualSpacing/>
              <w:rPr>
                <w:rFonts w:ascii="Verdana" w:eastAsia="Arial" w:hAnsi="Verdana" w:cs="Arial"/>
                <w:sz w:val="16"/>
                <w:szCs w:val="16"/>
              </w:rPr>
            </w:pPr>
            <w:r w:rsidRPr="00FA01CB">
              <w:rPr>
                <w:rFonts w:ascii="Verdana" w:hAnsi="Verdana"/>
                <w:sz w:val="16"/>
                <w:szCs w:val="16"/>
              </w:rPr>
              <w:t xml:space="preserve">Analista </w:t>
            </w:r>
            <w:r w:rsidRPr="00FA01CB">
              <w:rPr>
                <w:rFonts w:ascii="Verdana" w:hAnsi="Verdana" w:cs="Arial"/>
                <w:sz w:val="16"/>
                <w:szCs w:val="16"/>
                <w:lang w:val="es-ES_tradnl"/>
              </w:rPr>
              <w:t>T2 ‒ 1 de la Subdirección de Gestión Contractual</w:t>
            </w:r>
          </w:p>
        </w:tc>
      </w:tr>
      <w:tr w:rsidR="00123F6C" w:rsidRPr="00FA01CB" w14:paraId="3743742B" w14:textId="77777777" w:rsidTr="008873B2">
        <w:trPr>
          <w:trHeight w:val="330"/>
        </w:trPr>
        <w:tc>
          <w:tcPr>
            <w:tcW w:w="893" w:type="dxa"/>
            <w:vAlign w:val="center"/>
            <w:hideMark/>
          </w:tcPr>
          <w:p w14:paraId="7C7F2179" w14:textId="77777777" w:rsidR="00123F6C" w:rsidRPr="00FA01CB" w:rsidRDefault="00123F6C" w:rsidP="008873B2">
            <w:pPr>
              <w:contextualSpacing/>
              <w:rPr>
                <w:rFonts w:ascii="Verdana" w:hAnsi="Verdana" w:cs="Arial"/>
                <w:sz w:val="16"/>
                <w:szCs w:val="16"/>
                <w:lang w:eastAsia="es-ES"/>
              </w:rPr>
            </w:pPr>
            <w:r w:rsidRPr="00FA01CB">
              <w:rPr>
                <w:rFonts w:ascii="Verdana" w:hAnsi="Verdana" w:cs="Arial"/>
                <w:sz w:val="16"/>
                <w:szCs w:val="16"/>
                <w:lang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343410B3" w14:textId="295B1D91" w:rsidR="00123F6C" w:rsidRPr="006C0D39" w:rsidRDefault="00123F6C" w:rsidP="008873B2">
            <w:pPr>
              <w:textAlignment w:val="baseline"/>
              <w:rPr>
                <w:rFonts w:ascii="Verdana" w:hAnsi="Verdana" w:cs="Segoe UI"/>
                <w:sz w:val="16"/>
                <w:szCs w:val="16"/>
                <w:lang w:val="es-ES_tradnl" w:eastAsia="es-ES_tradnl"/>
              </w:rPr>
            </w:pPr>
            <w:r>
              <w:rPr>
                <w:rFonts w:ascii="Verdana" w:hAnsi="Verdana" w:cs="Segoe UI"/>
                <w:sz w:val="16"/>
                <w:szCs w:val="16"/>
                <w:lang w:val="es-ES_tradnl" w:eastAsia="es-ES_tradnl"/>
              </w:rPr>
              <w:t xml:space="preserve">Adriana </w:t>
            </w:r>
            <w:r w:rsidR="00686C40">
              <w:rPr>
                <w:rFonts w:ascii="Verdana" w:hAnsi="Verdana" w:cs="Segoe UI"/>
                <w:sz w:val="16"/>
                <w:szCs w:val="16"/>
                <w:lang w:val="es-ES_tradnl" w:eastAsia="es-ES_tradnl"/>
              </w:rPr>
              <w:t>Katherine</w:t>
            </w:r>
            <w:r>
              <w:rPr>
                <w:rFonts w:ascii="Verdana" w:hAnsi="Verdana" w:cs="Segoe UI"/>
                <w:sz w:val="16"/>
                <w:szCs w:val="16"/>
                <w:lang w:val="es-ES_tradnl" w:eastAsia="es-ES_tradnl"/>
              </w:rPr>
              <w:t xml:space="preserve"> López </w:t>
            </w:r>
            <w:r w:rsidR="00686C40">
              <w:rPr>
                <w:rFonts w:ascii="Verdana" w:hAnsi="Verdana" w:cs="Segoe UI"/>
                <w:sz w:val="16"/>
                <w:szCs w:val="16"/>
                <w:lang w:val="es-ES_tradnl" w:eastAsia="es-ES_tradnl"/>
              </w:rPr>
              <w:t>Rodríguez</w:t>
            </w:r>
          </w:p>
          <w:p w14:paraId="4C717287" w14:textId="77777777" w:rsidR="00123F6C" w:rsidRPr="00FA01CB" w:rsidRDefault="00123F6C" w:rsidP="008873B2">
            <w:pPr>
              <w:contextualSpacing/>
              <w:textAlignment w:val="baseline"/>
              <w:rPr>
                <w:rFonts w:ascii="Verdana" w:eastAsia="Times New Roman" w:hAnsi="Verdana" w:cs="Segoe UI"/>
                <w:sz w:val="16"/>
                <w:szCs w:val="16"/>
                <w:lang w:eastAsia="es-ES_tradnl"/>
              </w:rPr>
            </w:pPr>
            <w:r w:rsidRPr="006C0D39">
              <w:rPr>
                <w:rFonts w:ascii="Verdana" w:hAnsi="Verdana" w:cs="Arial"/>
                <w:sz w:val="16"/>
                <w:szCs w:val="16"/>
                <w:lang w:val="es-ES_tradnl" w:eastAsia="es-ES_tradnl"/>
              </w:rPr>
              <w:t>Contratista de la Subdirección de Gestión Contractual </w:t>
            </w:r>
          </w:p>
        </w:tc>
      </w:tr>
      <w:tr w:rsidR="00123F6C" w:rsidRPr="00FA01CB" w14:paraId="2FE38571" w14:textId="77777777" w:rsidTr="008873B2">
        <w:trPr>
          <w:trHeight w:val="300"/>
        </w:trPr>
        <w:tc>
          <w:tcPr>
            <w:tcW w:w="893" w:type="dxa"/>
            <w:vAlign w:val="center"/>
          </w:tcPr>
          <w:p w14:paraId="31CC6845" w14:textId="77777777" w:rsidR="00123F6C" w:rsidRPr="00FA01CB" w:rsidRDefault="00123F6C" w:rsidP="008873B2">
            <w:pPr>
              <w:contextualSpacing/>
              <w:rPr>
                <w:rFonts w:ascii="Verdana" w:hAnsi="Verdana" w:cs="Arial"/>
                <w:sz w:val="16"/>
                <w:szCs w:val="16"/>
                <w:lang w:eastAsia="es-ES"/>
              </w:rPr>
            </w:pPr>
            <w:r w:rsidRPr="00FA01CB">
              <w:rPr>
                <w:rFonts w:ascii="Verdana" w:hAnsi="Verdana" w:cs="Arial"/>
                <w:sz w:val="16"/>
                <w:szCs w:val="16"/>
                <w:lang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09C8DFF5" w14:textId="77777777" w:rsidR="00123F6C" w:rsidRPr="00FA01CB" w:rsidRDefault="00123F6C" w:rsidP="008873B2">
            <w:pPr>
              <w:contextualSpacing/>
              <w:rPr>
                <w:rFonts w:ascii="Verdana" w:eastAsia="Calibri" w:hAnsi="Verdana" w:cs="Arial"/>
                <w:sz w:val="16"/>
                <w:szCs w:val="16"/>
                <w:lang w:eastAsia="es-ES"/>
              </w:rPr>
            </w:pPr>
            <w:r w:rsidRPr="00FA01CB">
              <w:rPr>
                <w:rFonts w:ascii="Verdana" w:eastAsia="Calibri" w:hAnsi="Verdana" w:cs="Arial"/>
                <w:sz w:val="16"/>
                <w:szCs w:val="16"/>
                <w:lang w:eastAsia="es-ES"/>
              </w:rPr>
              <w:t>Carolina Quintero Gacharná</w:t>
            </w:r>
          </w:p>
          <w:p w14:paraId="7A447904" w14:textId="77777777" w:rsidR="00123F6C" w:rsidRPr="00FA01CB" w:rsidRDefault="00123F6C" w:rsidP="008873B2">
            <w:pPr>
              <w:contextualSpacing/>
              <w:rPr>
                <w:rFonts w:ascii="Verdana" w:eastAsia="Calibri" w:hAnsi="Verdana" w:cs="Arial"/>
                <w:sz w:val="16"/>
                <w:szCs w:val="16"/>
                <w:lang w:eastAsia="es-ES"/>
              </w:rPr>
            </w:pPr>
            <w:r w:rsidRPr="00FA01CB">
              <w:rPr>
                <w:rFonts w:ascii="Verdana" w:eastAsia="Calibri" w:hAnsi="Verdana" w:cs="Arial"/>
                <w:sz w:val="16"/>
                <w:szCs w:val="16"/>
                <w:lang w:eastAsia="es-ES"/>
              </w:rPr>
              <w:t>Subdirectora de Gestión Contractual ANCP – CCE</w:t>
            </w:r>
          </w:p>
        </w:tc>
      </w:tr>
    </w:tbl>
    <w:p w14:paraId="7C9026E2" w14:textId="122AD9FA" w:rsidR="002A0DD0" w:rsidRPr="00E02524" w:rsidRDefault="002A0DD0" w:rsidP="30821638">
      <w:pPr>
        <w:spacing w:after="0" w:line="240" w:lineRule="auto"/>
        <w:jc w:val="both"/>
        <w:rPr>
          <w:rFonts w:ascii="Verdana" w:eastAsia="Verdana" w:hAnsi="Verdana" w:cs="Verdana"/>
          <w:b/>
          <w:bCs/>
          <w:lang w:val="es-MX"/>
        </w:rPr>
      </w:pPr>
    </w:p>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6E5C17AA"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AF702" w14:textId="77777777" w:rsidR="00B15BD4" w:rsidRDefault="00B15BD4" w:rsidP="004A1847">
      <w:pPr>
        <w:spacing w:after="0" w:line="240" w:lineRule="auto"/>
      </w:pPr>
      <w:r>
        <w:separator/>
      </w:r>
    </w:p>
  </w:endnote>
  <w:endnote w:type="continuationSeparator" w:id="0">
    <w:p w14:paraId="63AA3058" w14:textId="77777777" w:rsidR="00B15BD4" w:rsidRDefault="00B15BD4" w:rsidP="004A1847">
      <w:pPr>
        <w:spacing w:after="0" w:line="240" w:lineRule="auto"/>
      </w:pPr>
      <w:r>
        <w:continuationSeparator/>
      </w:r>
    </w:p>
  </w:endnote>
  <w:endnote w:type="continuationNotice" w:id="1">
    <w:p w14:paraId="0C8FEC1E" w14:textId="77777777" w:rsidR="00B15BD4" w:rsidRDefault="00B15B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pleSystemUIFon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0AD60" w14:textId="77777777" w:rsidR="00B15BD4" w:rsidRDefault="00B15BD4" w:rsidP="004A1847">
      <w:pPr>
        <w:spacing w:after="0" w:line="240" w:lineRule="auto"/>
      </w:pPr>
      <w:r>
        <w:separator/>
      </w:r>
    </w:p>
  </w:footnote>
  <w:footnote w:type="continuationSeparator" w:id="0">
    <w:p w14:paraId="145F98A2" w14:textId="77777777" w:rsidR="00B15BD4" w:rsidRDefault="00B15BD4" w:rsidP="004A1847">
      <w:pPr>
        <w:spacing w:after="0" w:line="240" w:lineRule="auto"/>
      </w:pPr>
      <w:r>
        <w:continuationSeparator/>
      </w:r>
    </w:p>
  </w:footnote>
  <w:footnote w:type="continuationNotice" w:id="1">
    <w:p w14:paraId="6FC7E83A" w14:textId="77777777" w:rsidR="00B15BD4" w:rsidRDefault="00B15BD4">
      <w:pPr>
        <w:spacing w:after="0" w:line="240" w:lineRule="auto"/>
      </w:pPr>
    </w:p>
  </w:footnote>
  <w:footnote w:id="2">
    <w:p w14:paraId="31B89927" w14:textId="77777777" w:rsidR="00123F6C" w:rsidRPr="002206B9" w:rsidRDefault="00123F6C" w:rsidP="00123F6C">
      <w:pPr>
        <w:pStyle w:val="Textonotapie"/>
        <w:ind w:firstLine="708"/>
        <w:jc w:val="both"/>
        <w:rPr>
          <w:rFonts w:ascii="Verdana" w:hAnsi="Verdana" w:cs="Arial"/>
          <w:sz w:val="18"/>
          <w:szCs w:val="18"/>
          <w:lang w:val="es-ES"/>
        </w:rPr>
      </w:pPr>
      <w:r w:rsidRPr="002206B9">
        <w:rPr>
          <w:rStyle w:val="Refdenotaalpie"/>
          <w:rFonts w:ascii="Verdana" w:hAnsi="Verdana" w:cs="Arial"/>
          <w:sz w:val="18"/>
          <w:szCs w:val="18"/>
        </w:rPr>
        <w:footnoteRef/>
      </w:r>
      <w:r w:rsidRPr="002206B9">
        <w:rPr>
          <w:rFonts w:ascii="Verdana" w:hAnsi="Verdana" w:cs="Arial"/>
          <w:sz w:val="18"/>
          <w:szCs w:val="18"/>
        </w:rPr>
        <w:t xml:space="preserve"> Diccionario de la Real Academia Española, versión online disponible en: </w:t>
      </w:r>
      <w:hyperlink r:id="rId1" w:history="1">
        <w:r w:rsidRPr="002206B9">
          <w:rPr>
            <w:rStyle w:val="Hipervnculo"/>
            <w:rFonts w:ascii="Verdana" w:hAnsi="Verdana" w:cs="Arial"/>
            <w:color w:val="auto"/>
            <w:sz w:val="18"/>
            <w:szCs w:val="18"/>
          </w:rPr>
          <w:t>https://dle.rae.es/est%C3%A1ndar</w:t>
        </w:r>
      </w:hyperlink>
      <w:r w:rsidRPr="002206B9">
        <w:rPr>
          <w:rFonts w:ascii="Verdana" w:hAnsi="Verdana" w:cs="Arial"/>
          <w:sz w:val="18"/>
          <w:szCs w:val="18"/>
        </w:rPr>
        <w:t>, consultado</w:t>
      </w:r>
      <w:r>
        <w:rPr>
          <w:rFonts w:ascii="Verdana" w:hAnsi="Verdana" w:cs="Arial"/>
          <w:sz w:val="18"/>
          <w:szCs w:val="18"/>
        </w:rPr>
        <w:t xml:space="preserve"> el</w:t>
      </w:r>
      <w:r w:rsidRPr="002206B9">
        <w:rPr>
          <w:rFonts w:ascii="Verdana" w:hAnsi="Verdana" w:cs="Arial"/>
          <w:sz w:val="18"/>
          <w:szCs w:val="18"/>
        </w:rPr>
        <w:t xml:space="preserve"> 23 de abril de 2026</w:t>
      </w:r>
      <w:r>
        <w:rPr>
          <w:rFonts w:ascii="Verdana" w:hAnsi="Verdana" w:cs="Arial"/>
          <w:sz w:val="18"/>
          <w:szCs w:val="18"/>
        </w:rPr>
        <w:t>.</w:t>
      </w:r>
    </w:p>
  </w:footnote>
  <w:footnote w:id="3">
    <w:p w14:paraId="11D82AB0" w14:textId="77777777" w:rsidR="00123F6C" w:rsidRPr="002206B9" w:rsidRDefault="00123F6C" w:rsidP="00123F6C">
      <w:pPr>
        <w:pStyle w:val="Textonotapie"/>
        <w:jc w:val="both"/>
        <w:rPr>
          <w:rFonts w:ascii="Verdana" w:hAnsi="Verdana" w:cs="Arial"/>
          <w:sz w:val="18"/>
          <w:szCs w:val="18"/>
        </w:rPr>
      </w:pPr>
    </w:p>
    <w:p w14:paraId="2CEA5A49" w14:textId="77777777" w:rsidR="00123F6C" w:rsidRPr="002206B9" w:rsidRDefault="00123F6C" w:rsidP="00123F6C">
      <w:pPr>
        <w:pStyle w:val="Textonotapie"/>
        <w:ind w:firstLine="709"/>
        <w:jc w:val="both"/>
        <w:rPr>
          <w:rFonts w:ascii="Verdana" w:hAnsi="Verdana" w:cs="Arial"/>
          <w:sz w:val="18"/>
          <w:szCs w:val="18"/>
          <w:lang w:val="es-ES"/>
        </w:rPr>
      </w:pPr>
      <w:r w:rsidRPr="002206B9">
        <w:rPr>
          <w:rStyle w:val="Refdenotaalpie"/>
          <w:rFonts w:ascii="Verdana" w:hAnsi="Verdana" w:cs="Arial"/>
          <w:sz w:val="18"/>
          <w:szCs w:val="18"/>
        </w:rPr>
        <w:footnoteRef/>
      </w:r>
      <w:r w:rsidRPr="002206B9">
        <w:rPr>
          <w:rFonts w:ascii="Verdana" w:hAnsi="Verdana" w:cs="Arial"/>
          <w:sz w:val="18"/>
          <w:szCs w:val="18"/>
        </w:rPr>
        <w:t xml:space="preserve"> </w:t>
      </w:r>
      <w:r w:rsidRPr="002206B9">
        <w:rPr>
          <w:rFonts w:ascii="Verdana" w:hAnsi="Verdana" w:cs="Arial"/>
          <w:sz w:val="18"/>
          <w:szCs w:val="18"/>
          <w:lang w:val="es-ES"/>
        </w:rPr>
        <w:t>En cuanto a las resoluciones vigentes, dicha regla se observa en el artículo 3 de las Resoluciones</w:t>
      </w:r>
      <w:bookmarkStart w:id="3" w:name="_Hlk82363077"/>
      <w:r w:rsidRPr="002206B9">
        <w:rPr>
          <w:rFonts w:ascii="Verdana" w:hAnsi="Verdana" w:cs="Arial"/>
          <w:sz w:val="18"/>
          <w:szCs w:val="18"/>
          <w:lang w:val="es-ES"/>
        </w:rPr>
        <w:t xml:space="preserve"> 248 de 2020, 249 de 2020, 269 de 2020, 219 de 2021, 220 de 2021, 392 de 2021, 454 de 2021, 333 de 2022, 358 de 2023, 798 de 2023, 456 de 2024, 463 de 2024, 464 de 2024, 725 de 2024, 726 de 2024, entre otras</w:t>
      </w:r>
      <w:bookmarkEnd w:id="3"/>
      <w:r w:rsidRPr="002206B9">
        <w:rPr>
          <w:rFonts w:ascii="Verdana" w:hAnsi="Verdana" w:cs="Arial"/>
          <w:sz w:val="18"/>
          <w:szCs w:val="18"/>
          <w:lang w:val="es-ES"/>
        </w:rPr>
        <w:t xml:space="preserve">. </w:t>
      </w:r>
    </w:p>
    <w:p w14:paraId="35966CC6" w14:textId="77777777" w:rsidR="00123F6C" w:rsidRPr="002206B9" w:rsidRDefault="00123F6C" w:rsidP="00123F6C">
      <w:pPr>
        <w:pStyle w:val="Textonotapie"/>
        <w:ind w:firstLine="709"/>
        <w:jc w:val="both"/>
        <w:rPr>
          <w:rFonts w:ascii="Verdana" w:hAnsi="Verdana" w:cs="Arial"/>
          <w:sz w:val="18"/>
          <w:szCs w:val="18"/>
          <w:lang w:val="es-ES"/>
        </w:rPr>
      </w:pPr>
    </w:p>
  </w:footnote>
  <w:footnote w:id="4">
    <w:p w14:paraId="66D7C1FE" w14:textId="77777777" w:rsidR="00123F6C" w:rsidRPr="002206B9" w:rsidRDefault="00123F6C" w:rsidP="00123F6C">
      <w:pPr>
        <w:pStyle w:val="Textonotapie"/>
        <w:ind w:firstLine="708"/>
        <w:jc w:val="both"/>
        <w:rPr>
          <w:rFonts w:ascii="Verdana" w:hAnsi="Verdana" w:cs="Arial"/>
          <w:sz w:val="18"/>
          <w:szCs w:val="18"/>
        </w:rPr>
      </w:pPr>
      <w:r w:rsidRPr="002206B9">
        <w:rPr>
          <w:rStyle w:val="Refdenotaalpie"/>
          <w:rFonts w:ascii="Verdana" w:hAnsi="Verdana" w:cs="Arial"/>
          <w:sz w:val="18"/>
          <w:szCs w:val="18"/>
        </w:rPr>
        <w:footnoteRef/>
      </w:r>
      <w:r w:rsidRPr="002206B9">
        <w:rPr>
          <w:rFonts w:ascii="Verdana" w:hAnsi="Verdana" w:cs="Arial"/>
          <w:sz w:val="18"/>
          <w:szCs w:val="18"/>
        </w:rPr>
        <w:t xml:space="preserve"> En torno a las potestades regladas, García de Enterría y Ramón Fernández manifiestan: “El ejercicio de las potestades regladas reduce a la Administración a la constatación (accertamento, en el expresivo concepto italiano) del supuesto de hecho legalmente definido de manera completa y aplicar en presencia del mismo lo que la propia Ley ha determinado también agotadoramente […] La decisión en que consista el ejercicio de la potestad es obligatoria en presencia de dicho supuesto y su contenido no puede ser configurado libremente por la Administración, sino que ha de limitarse a lo que la propia Ley ha previsto sobre ese contenido de modo preciso y completo” (GARCÍA DE ENTERRÍA, Eduardo; y RAMÓN FERNÁNDEZ, Tomas. Curso de derecho administrativo. Tomo I. Madrid: Civitas, 1997. pp. 444-445).</w:t>
      </w:r>
    </w:p>
    <w:p w14:paraId="7E3A13D9" w14:textId="77777777" w:rsidR="00123F6C" w:rsidRPr="002206B9" w:rsidRDefault="00123F6C" w:rsidP="00123F6C">
      <w:pPr>
        <w:pStyle w:val="Textonotapie"/>
        <w:ind w:firstLine="708"/>
        <w:jc w:val="both"/>
        <w:rPr>
          <w:rFonts w:ascii="Verdana" w:hAnsi="Verdana" w:cs="Arial"/>
          <w:sz w:val="18"/>
          <w:szCs w:val="18"/>
        </w:rPr>
      </w:pPr>
    </w:p>
  </w:footnote>
  <w:footnote w:id="5">
    <w:p w14:paraId="15185F39" w14:textId="77777777" w:rsidR="00123F6C" w:rsidRPr="002206B9" w:rsidRDefault="00123F6C" w:rsidP="00123F6C">
      <w:pPr>
        <w:pStyle w:val="Textonotapie"/>
        <w:ind w:firstLine="709"/>
        <w:jc w:val="both"/>
        <w:rPr>
          <w:rFonts w:ascii="Verdana" w:hAnsi="Verdana" w:cs="Arial"/>
          <w:sz w:val="18"/>
          <w:szCs w:val="18"/>
        </w:rPr>
      </w:pPr>
      <w:r w:rsidRPr="002206B9">
        <w:rPr>
          <w:rStyle w:val="Refdenotaalpie"/>
          <w:rFonts w:ascii="Verdana" w:hAnsi="Verdana" w:cs="Arial"/>
          <w:sz w:val="18"/>
          <w:szCs w:val="18"/>
        </w:rPr>
        <w:footnoteRef/>
      </w:r>
      <w:r w:rsidRPr="002206B9">
        <w:rPr>
          <w:rFonts w:ascii="Verdana" w:hAnsi="Verdana" w:cs="Arial"/>
          <w:sz w:val="18"/>
          <w:szCs w:val="18"/>
        </w:rPr>
        <w:t xml:space="preserve"> El artículo 25, numeral 1º de la Ley 80 de 1993 establece que “En las normas de selección y en los pliegos de condiciones para la escogencia de contratistas, se cumplirán y establecerán los procedimientos y etapas estrictamente necesarios para asegurar la selección objetiva de la propuesta más favorable. Para este propósito, se señalarán términos preclusivos y perentorios para las diferentes etapas de la selección y las autoridades darán impulso oficioso a las actuaciones”.</w:t>
      </w:r>
    </w:p>
    <w:p w14:paraId="6309DD0E" w14:textId="77777777" w:rsidR="00123F6C" w:rsidRPr="002206B9" w:rsidRDefault="00123F6C" w:rsidP="00123F6C">
      <w:pPr>
        <w:pStyle w:val="Textonotapie"/>
        <w:ind w:firstLine="709"/>
        <w:jc w:val="both"/>
        <w:rPr>
          <w:rFonts w:ascii="Verdana" w:hAnsi="Verdana" w:cs="Arial"/>
          <w:sz w:val="18"/>
          <w:szCs w:val="18"/>
        </w:rPr>
      </w:pPr>
    </w:p>
  </w:footnote>
  <w:footnote w:id="6">
    <w:p w14:paraId="0C7249A4" w14:textId="77777777" w:rsidR="00123F6C" w:rsidRPr="002206B9" w:rsidRDefault="00123F6C" w:rsidP="00123F6C">
      <w:pPr>
        <w:spacing w:after="0" w:line="240" w:lineRule="auto"/>
        <w:ind w:firstLine="709"/>
        <w:jc w:val="both"/>
        <w:rPr>
          <w:rFonts w:ascii="Verdana" w:hAnsi="Verdana" w:cs="Arial"/>
          <w:sz w:val="18"/>
          <w:szCs w:val="18"/>
          <w:lang w:val="es-ES"/>
        </w:rPr>
      </w:pPr>
      <w:r w:rsidRPr="002206B9">
        <w:rPr>
          <w:rStyle w:val="Refdenotaalpie"/>
          <w:rFonts w:ascii="Verdana" w:hAnsi="Verdana" w:cs="Arial"/>
          <w:sz w:val="18"/>
          <w:szCs w:val="18"/>
        </w:rPr>
        <w:footnoteRef/>
      </w:r>
      <w:r w:rsidRPr="002206B9">
        <w:rPr>
          <w:rFonts w:ascii="Verdana" w:hAnsi="Verdana" w:cs="Arial"/>
          <w:sz w:val="18"/>
          <w:szCs w:val="18"/>
        </w:rPr>
        <w:t xml:space="preserve"> </w:t>
      </w:r>
      <w:r w:rsidRPr="002206B9">
        <w:rPr>
          <w:rFonts w:ascii="Verdana" w:hAnsi="Verdana" w:cs="Arial"/>
          <w:sz w:val="18"/>
          <w:szCs w:val="18"/>
          <w:lang w:val="es-ES"/>
        </w:rPr>
        <w:t>En efecto, el artículo 5 del Decreto 019 de 2012 prevé lo siguiente: “Las normas de procedimiento administrativo deben ser utilizadas para agilizar las decisiones; los procedimientos se deben adelantar en el menor tiempo y con la menor cantidad de gastos de quienes intervienen en ellos; las autoridades administrativas y los particulares que cumplen funciones administrativas no deben exigir más documentos y copias que los estrictamente necesarios, ni autenticaciones ni notas de presentación personal sino cuando la ley lo ordene en forma expresa, o tratándose de poderes especiales. En tal virtud, las autoridades deberán proceder con austeridad y eficiencia, optimizar el uso del tiempo y de los demás recursos, procurando el más alto nivel de calidad en sus actuaciones y la protección de los derechos de las personas”.</w:t>
      </w:r>
    </w:p>
    <w:p w14:paraId="177FCD1B" w14:textId="77777777" w:rsidR="00123F6C" w:rsidRPr="002206B9" w:rsidRDefault="00123F6C" w:rsidP="00123F6C">
      <w:pPr>
        <w:spacing w:after="0" w:line="240" w:lineRule="auto"/>
        <w:ind w:firstLine="709"/>
        <w:jc w:val="both"/>
        <w:rPr>
          <w:rFonts w:ascii="Verdana" w:hAnsi="Verdana" w:cs="Arial"/>
          <w:sz w:val="18"/>
          <w:szCs w:val="18"/>
          <w:lang w:val="es-ES"/>
        </w:rPr>
      </w:pPr>
    </w:p>
  </w:footnote>
  <w:footnote w:id="7">
    <w:p w14:paraId="1CEC44F3" w14:textId="77777777" w:rsidR="00123F6C" w:rsidRPr="002206B9" w:rsidRDefault="00123F6C" w:rsidP="00123F6C">
      <w:pPr>
        <w:pStyle w:val="Textonotapie"/>
        <w:ind w:firstLine="708"/>
        <w:jc w:val="both"/>
        <w:rPr>
          <w:rFonts w:ascii="Verdana" w:hAnsi="Verdana" w:cs="Arial"/>
          <w:sz w:val="18"/>
          <w:szCs w:val="18"/>
          <w:lang w:val="es-ES"/>
        </w:rPr>
      </w:pPr>
      <w:r w:rsidRPr="002206B9">
        <w:rPr>
          <w:rStyle w:val="Refdenotaalpie"/>
          <w:rFonts w:ascii="Verdana" w:hAnsi="Verdana" w:cs="Arial"/>
          <w:sz w:val="18"/>
          <w:szCs w:val="18"/>
        </w:rPr>
        <w:footnoteRef/>
      </w:r>
      <w:r w:rsidRPr="002206B9">
        <w:rPr>
          <w:rFonts w:ascii="Verdana" w:hAnsi="Verdana" w:cs="Arial"/>
          <w:sz w:val="18"/>
          <w:szCs w:val="18"/>
        </w:rPr>
        <w:t xml:space="preserve"> Diccionario de la Real Academia Española, versión online disponible en: </w:t>
      </w:r>
      <w:hyperlink r:id="rId2" w:history="1">
        <w:r w:rsidRPr="002206B9">
          <w:rPr>
            <w:rStyle w:val="Hipervnculo"/>
            <w:rFonts w:ascii="Verdana" w:hAnsi="Verdana" w:cs="Arial"/>
            <w:color w:val="auto"/>
            <w:sz w:val="18"/>
            <w:szCs w:val="18"/>
          </w:rPr>
          <w:t>https://dle.rae.es/est%C3%A1ndar</w:t>
        </w:r>
      </w:hyperlink>
      <w:r w:rsidRPr="002206B9">
        <w:rPr>
          <w:rFonts w:ascii="Verdana" w:hAnsi="Verdana" w:cs="Arial"/>
          <w:sz w:val="18"/>
          <w:szCs w:val="18"/>
        </w:rPr>
        <w:t xml:space="preserve">, consultado el 23 de abril de 2026. </w:t>
      </w:r>
    </w:p>
  </w:footnote>
  <w:footnote w:id="8">
    <w:p w14:paraId="2F1DE456" w14:textId="77777777" w:rsidR="00123F6C" w:rsidRPr="002206B9" w:rsidRDefault="00123F6C" w:rsidP="00123F6C">
      <w:pPr>
        <w:spacing w:after="0" w:line="240" w:lineRule="auto"/>
        <w:ind w:firstLine="708"/>
        <w:jc w:val="both"/>
        <w:rPr>
          <w:rFonts w:ascii="Verdana" w:hAnsi="Verdana" w:cs="Arial"/>
          <w:sz w:val="18"/>
          <w:szCs w:val="18"/>
        </w:rPr>
      </w:pPr>
      <w:r w:rsidRPr="002206B9">
        <w:rPr>
          <w:rStyle w:val="Refdenotaalpie"/>
          <w:rFonts w:ascii="Verdana" w:hAnsi="Verdana" w:cs="Arial"/>
          <w:sz w:val="18"/>
          <w:szCs w:val="18"/>
        </w:rPr>
        <w:footnoteRef/>
      </w:r>
      <w:r w:rsidRPr="002206B9">
        <w:rPr>
          <w:rFonts w:ascii="Verdana" w:hAnsi="Verdana" w:cs="Arial"/>
          <w:sz w:val="18"/>
          <w:szCs w:val="18"/>
        </w:rPr>
        <w:t xml:space="preserve"> Cita tomada de la providencia del 20 de febrero de 2020, dictada por el Consejo de Estado. Sección Tercera. Subsección A, dentro del expediente 47001-23-33-000-2018-00035-01 (63.854), cuya ponente fue Marta Nubia Velásquez Rico.</w:t>
      </w:r>
    </w:p>
    <w:p w14:paraId="28CD8AB7" w14:textId="77777777" w:rsidR="00123F6C" w:rsidRPr="002206B9" w:rsidRDefault="00123F6C" w:rsidP="00123F6C">
      <w:pPr>
        <w:spacing w:after="0" w:line="240" w:lineRule="auto"/>
        <w:ind w:firstLine="708"/>
        <w:jc w:val="both"/>
        <w:rPr>
          <w:rFonts w:ascii="Verdana" w:hAnsi="Verdana" w:cs="Arial"/>
          <w:sz w:val="18"/>
          <w:szCs w:val="18"/>
        </w:rPr>
      </w:pPr>
    </w:p>
  </w:footnote>
  <w:footnote w:id="9">
    <w:p w14:paraId="704F4F4A" w14:textId="77777777" w:rsidR="00123F6C" w:rsidRPr="00861BF3" w:rsidRDefault="00123F6C" w:rsidP="00123F6C">
      <w:pPr>
        <w:pStyle w:val="Textonotapie"/>
        <w:ind w:firstLine="708"/>
        <w:jc w:val="both"/>
        <w:rPr>
          <w:rFonts w:ascii="Verdana" w:hAnsi="Verdana"/>
          <w:sz w:val="19"/>
          <w:szCs w:val="19"/>
        </w:rPr>
      </w:pPr>
      <w:r w:rsidRPr="00861BF3">
        <w:rPr>
          <w:rStyle w:val="Refdenotaalpie"/>
          <w:rFonts w:ascii="Verdana" w:hAnsi="Verdana"/>
          <w:sz w:val="19"/>
          <w:szCs w:val="19"/>
        </w:rPr>
        <w:footnoteRef/>
      </w:r>
      <w:r w:rsidRPr="00861BF3">
        <w:rPr>
          <w:rFonts w:ascii="Verdana" w:hAnsi="Verdana"/>
          <w:sz w:val="19"/>
          <w:szCs w:val="19"/>
        </w:rPr>
        <w:t xml:space="preserve"> Artículo 2.2.1.2.4.2.7.3. del Decreto 1082 de 2015, modificado por el artículo 1 del Decreto 287 de 2026: “Incorporación de criterios habilitantes diferenciales en favor de los emprendimientos y empresas de personas con discapacidad. En los procesos de licitación pública, selección abreviada y concurso de méritos, así como en los procesos competitivos adelantados por entidades no sometidas al Estatuto General de Contratación de la Administración Pública, deberán establecer requisitos habilitantes diferenciales o ajustados en materia de experiencia, capacidad financiera u organizacional, o el valor de la garantía de seriedad de la oferta, con el fin de promover la participación de emprendimientos y empresas de personas con discapacidad con domicilio en el territorio nacional. </w:t>
      </w:r>
    </w:p>
    <w:p w14:paraId="2DA1CEA8" w14:textId="77777777" w:rsidR="00123F6C" w:rsidRPr="00861BF3" w:rsidRDefault="00123F6C" w:rsidP="00123F6C">
      <w:pPr>
        <w:pStyle w:val="Textonotapie"/>
        <w:ind w:firstLine="708"/>
        <w:jc w:val="both"/>
        <w:rPr>
          <w:rFonts w:ascii="Verdana" w:hAnsi="Verdana"/>
          <w:sz w:val="19"/>
          <w:szCs w:val="19"/>
        </w:rPr>
      </w:pPr>
    </w:p>
    <w:p w14:paraId="3381D7C7" w14:textId="77777777" w:rsidR="00123F6C" w:rsidRPr="00861BF3" w:rsidRDefault="00123F6C" w:rsidP="00123F6C">
      <w:pPr>
        <w:pStyle w:val="Textonotapie"/>
        <w:ind w:firstLine="708"/>
        <w:jc w:val="both"/>
        <w:rPr>
          <w:rFonts w:ascii="Verdana" w:hAnsi="Verdana"/>
          <w:sz w:val="19"/>
          <w:szCs w:val="19"/>
        </w:rPr>
      </w:pPr>
      <w:r w:rsidRPr="00861BF3">
        <w:rPr>
          <w:rFonts w:ascii="Verdana" w:hAnsi="Verdana"/>
          <w:sz w:val="19"/>
          <w:szCs w:val="19"/>
        </w:rPr>
        <w:t>Estos requisitos deberán estructurarse garantizando el cumplimiento adecuado del objeto contractual, teniendo en cuenta el alcance de las obligaciones y el principio de proporcionalidad. En desarrollo de lo anterior, se deberán establecer condiciones habilitantes diferenciadas o ajustadas que, sin comprometer los fines del contrato, faciliten el acceso de los emprendimientos y empresas de personas con discapacidad.</w:t>
      </w:r>
    </w:p>
    <w:p w14:paraId="173FB17B" w14:textId="77777777" w:rsidR="00123F6C" w:rsidRPr="00861BF3" w:rsidRDefault="00123F6C" w:rsidP="00123F6C">
      <w:pPr>
        <w:pStyle w:val="Textonotapie"/>
        <w:ind w:firstLine="708"/>
        <w:jc w:val="both"/>
        <w:rPr>
          <w:rFonts w:ascii="Verdana" w:hAnsi="Verdana"/>
          <w:sz w:val="19"/>
          <w:szCs w:val="19"/>
        </w:rPr>
      </w:pPr>
    </w:p>
    <w:p w14:paraId="01887A67" w14:textId="77777777" w:rsidR="00123F6C" w:rsidRPr="00861BF3" w:rsidRDefault="00123F6C" w:rsidP="00123F6C">
      <w:pPr>
        <w:pStyle w:val="Textonotapie"/>
        <w:ind w:firstLine="708"/>
        <w:jc w:val="both"/>
        <w:rPr>
          <w:rFonts w:ascii="Verdana" w:hAnsi="Verdana"/>
          <w:sz w:val="19"/>
          <w:szCs w:val="19"/>
          <w:lang w:val="es-ES_tradnl"/>
        </w:rPr>
      </w:pPr>
      <w:r w:rsidRPr="00861BF3">
        <w:rPr>
          <w:rFonts w:ascii="Verdana" w:hAnsi="Verdana"/>
          <w:sz w:val="19"/>
          <w:szCs w:val="19"/>
        </w:rPr>
        <w:t xml:space="preserve">(…)”. </w:t>
      </w:r>
    </w:p>
  </w:footnote>
  <w:footnote w:id="10">
    <w:p w14:paraId="6BCC762A" w14:textId="77777777" w:rsidR="00123F6C" w:rsidRPr="00861BF3" w:rsidRDefault="00123F6C" w:rsidP="00123F6C">
      <w:pPr>
        <w:shd w:val="clear" w:color="auto" w:fill="FFFFFF"/>
        <w:spacing w:after="0" w:line="240" w:lineRule="auto"/>
        <w:ind w:firstLine="708"/>
        <w:jc w:val="both"/>
        <w:rPr>
          <w:rFonts w:ascii="Verdana" w:eastAsia="Times New Roman" w:hAnsi="Verdana" w:cs="Times New Roman"/>
          <w:color w:val="333333"/>
          <w:sz w:val="19"/>
          <w:szCs w:val="19"/>
          <w:lang w:eastAsia="es-MX"/>
        </w:rPr>
      </w:pPr>
      <w:r w:rsidRPr="00861BF3">
        <w:rPr>
          <w:rStyle w:val="Refdenotaalpie"/>
          <w:rFonts w:ascii="Verdana" w:hAnsi="Verdana"/>
          <w:sz w:val="19"/>
          <w:szCs w:val="19"/>
        </w:rPr>
        <w:footnoteRef/>
      </w:r>
      <w:r w:rsidRPr="00861BF3">
        <w:rPr>
          <w:rFonts w:ascii="Verdana" w:hAnsi="Verdana"/>
          <w:sz w:val="19"/>
          <w:szCs w:val="19"/>
        </w:rPr>
        <w:t xml:space="preserve"> Al respecto el artículo 1 de la Ley 2022 de 2020 señala: “(…) </w:t>
      </w:r>
      <w:r w:rsidRPr="00861BF3">
        <w:rPr>
          <w:rFonts w:ascii="Verdana" w:eastAsia="Times New Roman" w:hAnsi="Verdana" w:cs="Times New Roman"/>
          <w:color w:val="333333"/>
          <w:sz w:val="19"/>
          <w:szCs w:val="19"/>
          <w:lang w:eastAsia="es-MX"/>
        </w:rPr>
        <w:t>La Agencia Nacional de Contratación Pública Colombia Compra Eficiente fijará un cronograma, y definirá en coordinación con las entidades técnicas o especializadas correspondientes el procedimiento para implementar gradualmente los documentos tipo, con el propósito de facilitar la incorporación de estos en el sistema de compra pública y deberá establecer el procedimiento para recibir y revisar comentarios de los interesados, así como un sistema para la revisión constante de los documentos tipo que expida”.</w:t>
      </w:r>
    </w:p>
    <w:p w14:paraId="1DDE24AB" w14:textId="77777777" w:rsidR="00123F6C" w:rsidRPr="00861BF3" w:rsidRDefault="00123F6C" w:rsidP="00123F6C">
      <w:pPr>
        <w:pStyle w:val="Textonotapie"/>
        <w:jc w:val="both"/>
        <w:rPr>
          <w:rFonts w:ascii="Verdana" w:hAnsi="Verdana"/>
          <w:sz w:val="19"/>
          <w:szCs w:val="19"/>
          <w:lang w:val="es-CO"/>
        </w:rPr>
      </w:pPr>
    </w:p>
  </w:footnote>
  <w:footnote w:id="11">
    <w:p w14:paraId="6E317947" w14:textId="77777777" w:rsidR="00123F6C" w:rsidRPr="00861BF3" w:rsidRDefault="00123F6C" w:rsidP="00123F6C">
      <w:pPr>
        <w:pStyle w:val="Textonotapie"/>
        <w:ind w:firstLine="708"/>
        <w:jc w:val="both"/>
        <w:rPr>
          <w:rFonts w:ascii="Verdana" w:hAnsi="Verdana"/>
          <w:sz w:val="19"/>
          <w:szCs w:val="19"/>
        </w:rPr>
      </w:pPr>
      <w:r w:rsidRPr="00861BF3">
        <w:rPr>
          <w:rStyle w:val="Refdenotaalpie"/>
          <w:rFonts w:ascii="Verdana" w:hAnsi="Verdana"/>
          <w:sz w:val="19"/>
          <w:szCs w:val="19"/>
        </w:rPr>
        <w:footnoteRef/>
      </w:r>
      <w:r w:rsidRPr="00861BF3">
        <w:rPr>
          <w:rFonts w:ascii="Verdana" w:hAnsi="Verdana"/>
          <w:sz w:val="19"/>
          <w:szCs w:val="19"/>
        </w:rPr>
        <w:t xml:space="preserve"> Artículo 1 Decreto 287 de 2026: “Artículo 2.2.1.2.4.2.7.8. Pliegos tipo, instrumentos de agregación de demanda y acuerdos marco de precios. La Agencia Nacional de Contratación Pública - Colombia Compra Eficiente garantizará la adopción permanente de las acciones necesarias para que las medidas señaladas en esta subsección se incorporen a los documentos e instrumentos que genera”. </w:t>
      </w:r>
    </w:p>
    <w:p w14:paraId="7B068BBB" w14:textId="77777777" w:rsidR="00123F6C" w:rsidRPr="00861BF3" w:rsidRDefault="00123F6C" w:rsidP="00123F6C">
      <w:pPr>
        <w:pStyle w:val="Textonotapie"/>
        <w:ind w:firstLine="708"/>
        <w:jc w:val="both"/>
        <w:rPr>
          <w:rFonts w:ascii="Verdana" w:hAnsi="Verdana"/>
          <w:sz w:val="19"/>
          <w:szCs w:val="19"/>
          <w:lang w:val="es-ES_tradnl"/>
        </w:rPr>
      </w:pPr>
    </w:p>
  </w:footnote>
  <w:footnote w:id="12">
    <w:p w14:paraId="452B7733" w14:textId="77777777" w:rsidR="00123F6C" w:rsidRPr="00861BF3" w:rsidRDefault="00123F6C" w:rsidP="00123F6C">
      <w:pPr>
        <w:pStyle w:val="Textonotapie"/>
        <w:ind w:firstLine="708"/>
        <w:jc w:val="both"/>
        <w:rPr>
          <w:rFonts w:ascii="Verdana" w:hAnsi="Verdana"/>
          <w:sz w:val="19"/>
          <w:szCs w:val="19"/>
        </w:rPr>
      </w:pPr>
      <w:r w:rsidRPr="00861BF3">
        <w:rPr>
          <w:rStyle w:val="Refdenotaalpie"/>
          <w:rFonts w:ascii="Verdana" w:hAnsi="Verdana"/>
          <w:sz w:val="19"/>
          <w:szCs w:val="19"/>
        </w:rPr>
        <w:footnoteRef/>
      </w:r>
      <w:r w:rsidRPr="00861BF3">
        <w:rPr>
          <w:rFonts w:ascii="Verdana" w:hAnsi="Verdana"/>
          <w:sz w:val="19"/>
          <w:szCs w:val="19"/>
        </w:rPr>
        <w:t xml:space="preserve"> Artículo 2.2.1.2.4.2.7.8. del Decreto 1082 de 2015, modificado por el artículo 1 del Decreto 287 de 2026.</w:t>
      </w:r>
    </w:p>
    <w:p w14:paraId="2F88B984" w14:textId="77777777" w:rsidR="00123F6C" w:rsidRPr="00861BF3" w:rsidRDefault="00123F6C" w:rsidP="00123F6C">
      <w:pPr>
        <w:pStyle w:val="Textonotapie"/>
        <w:ind w:firstLine="708"/>
        <w:jc w:val="both"/>
        <w:rPr>
          <w:rFonts w:ascii="Verdana" w:hAnsi="Verdana"/>
          <w:sz w:val="19"/>
          <w:szCs w:val="19"/>
          <w:lang w:val="es-ES_tradnl"/>
        </w:rPr>
      </w:pPr>
    </w:p>
  </w:footnote>
  <w:footnote w:id="13">
    <w:p w14:paraId="2B41DC90" w14:textId="77777777" w:rsidR="00123F6C" w:rsidRPr="00861BF3" w:rsidRDefault="00123F6C" w:rsidP="00123F6C">
      <w:pPr>
        <w:pStyle w:val="Textonotapie"/>
        <w:ind w:firstLine="708"/>
        <w:jc w:val="both"/>
        <w:rPr>
          <w:rFonts w:ascii="Verdana" w:hAnsi="Verdana"/>
          <w:sz w:val="19"/>
          <w:szCs w:val="19"/>
          <w:lang w:val="es-ES_tradnl"/>
        </w:rPr>
      </w:pPr>
      <w:r w:rsidRPr="00861BF3">
        <w:rPr>
          <w:rStyle w:val="Refdenotaalpie"/>
          <w:rFonts w:ascii="Verdana" w:hAnsi="Verdana"/>
          <w:sz w:val="19"/>
          <w:szCs w:val="19"/>
        </w:rPr>
        <w:footnoteRef/>
      </w:r>
      <w:r w:rsidRPr="00861BF3">
        <w:rPr>
          <w:rFonts w:ascii="Verdana" w:hAnsi="Verdana"/>
          <w:sz w:val="19"/>
          <w:szCs w:val="19"/>
        </w:rPr>
        <w:t xml:space="preserve"> Documento disponible en el siguiente enlace: </w:t>
      </w:r>
      <w:hyperlink r:id="rId3" w:history="1">
        <w:r w:rsidRPr="00861BF3">
          <w:rPr>
            <w:rStyle w:val="Hipervnculo"/>
            <w:rFonts w:ascii="Verdana" w:hAnsi="Verdana"/>
            <w:sz w:val="19"/>
            <w:szCs w:val="19"/>
          </w:rPr>
          <w:t>https://www.colombiacompra.gov.co/wp-content/uploads/2026/04/ABC-Decreto-0287-de-2026-1.pdf</w:t>
        </w:r>
      </w:hyperlink>
      <w:r w:rsidRPr="00861BF3">
        <w:rPr>
          <w:rFonts w:ascii="Verdana" w:hAnsi="Verdana"/>
          <w:sz w:val="19"/>
          <w:szCs w:val="19"/>
        </w:rPr>
        <w:t xml:space="preserve"> </w:t>
      </w:r>
    </w:p>
  </w:footnote>
  <w:footnote w:id="14">
    <w:p w14:paraId="18B75176" w14:textId="77777777" w:rsidR="00123F6C" w:rsidRDefault="00123F6C" w:rsidP="00123F6C">
      <w:pPr>
        <w:pStyle w:val="Textonotapie"/>
      </w:pPr>
      <w:r>
        <w:rPr>
          <w:rStyle w:val="Refdenotaalpie"/>
        </w:rPr>
        <w:footnoteRef/>
      </w:r>
      <w:r>
        <w:t xml:space="preserve"> </w:t>
      </w:r>
      <w:r w:rsidRPr="00EF0177">
        <w:rPr>
          <w:rFonts w:ascii="Verdana" w:hAnsi="Verdana"/>
          <w:sz w:val="16"/>
          <w:szCs w:val="16"/>
        </w:rPr>
        <w:t xml:space="preserve">Documento disponible en el siguiente enlace: </w:t>
      </w:r>
      <w:hyperlink r:id="rId4" w:history="1">
        <w:r w:rsidRPr="00EF0177">
          <w:rPr>
            <w:rStyle w:val="Hipervnculo"/>
            <w:rFonts w:ascii="Verdana" w:hAnsi="Verdana"/>
            <w:sz w:val="16"/>
            <w:szCs w:val="16"/>
          </w:rPr>
          <w:t>https://www.colombiacompra.gov.co/archivos/circular/circular-externa-003-de-2026</w:t>
        </w:r>
      </w:hyperlink>
    </w:p>
    <w:p w14:paraId="4BBCEAD7" w14:textId="77777777" w:rsidR="00123F6C" w:rsidRPr="00BF02B5" w:rsidRDefault="00123F6C" w:rsidP="00123F6C">
      <w:pPr>
        <w:pStyle w:val="Textonotapie"/>
        <w:rPr>
          <w:lang w:val="es-ES_trad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0"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1"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2566D79"/>
    <w:multiLevelType w:val="hybridMultilevel"/>
    <w:tmpl w:val="FFFFFFFF"/>
    <w:lvl w:ilvl="0" w:tplc="240A0015">
      <w:start w:val="1"/>
      <w:numFmt w:val="upperLetter"/>
      <w:lvlText w:val="%1."/>
      <w:lvlJc w:val="left"/>
      <w:pPr>
        <w:ind w:left="786" w:hanging="360"/>
      </w:pPr>
      <w:rPr>
        <w:rFonts w:cs="Times New Roman"/>
      </w:rPr>
    </w:lvl>
    <w:lvl w:ilvl="1" w:tplc="240A0019" w:tentative="1">
      <w:start w:val="1"/>
      <w:numFmt w:val="lowerLetter"/>
      <w:lvlText w:val="%2."/>
      <w:lvlJc w:val="left"/>
      <w:pPr>
        <w:ind w:left="1506" w:hanging="360"/>
      </w:pPr>
      <w:rPr>
        <w:rFonts w:cs="Times New Roman"/>
      </w:rPr>
    </w:lvl>
    <w:lvl w:ilvl="2" w:tplc="240A001B" w:tentative="1">
      <w:start w:val="1"/>
      <w:numFmt w:val="lowerRoman"/>
      <w:lvlText w:val="%3."/>
      <w:lvlJc w:val="right"/>
      <w:pPr>
        <w:ind w:left="2226" w:hanging="180"/>
      </w:pPr>
      <w:rPr>
        <w:rFonts w:cs="Times New Roman"/>
      </w:rPr>
    </w:lvl>
    <w:lvl w:ilvl="3" w:tplc="240A000F" w:tentative="1">
      <w:start w:val="1"/>
      <w:numFmt w:val="decimal"/>
      <w:lvlText w:val="%4."/>
      <w:lvlJc w:val="left"/>
      <w:pPr>
        <w:ind w:left="2946" w:hanging="360"/>
      </w:pPr>
      <w:rPr>
        <w:rFonts w:cs="Times New Roman"/>
      </w:rPr>
    </w:lvl>
    <w:lvl w:ilvl="4" w:tplc="240A0019" w:tentative="1">
      <w:start w:val="1"/>
      <w:numFmt w:val="lowerLetter"/>
      <w:lvlText w:val="%5."/>
      <w:lvlJc w:val="left"/>
      <w:pPr>
        <w:ind w:left="3666" w:hanging="360"/>
      </w:pPr>
      <w:rPr>
        <w:rFonts w:cs="Times New Roman"/>
      </w:rPr>
    </w:lvl>
    <w:lvl w:ilvl="5" w:tplc="240A001B" w:tentative="1">
      <w:start w:val="1"/>
      <w:numFmt w:val="lowerRoman"/>
      <w:lvlText w:val="%6."/>
      <w:lvlJc w:val="right"/>
      <w:pPr>
        <w:ind w:left="4386" w:hanging="180"/>
      </w:pPr>
      <w:rPr>
        <w:rFonts w:cs="Times New Roman"/>
      </w:rPr>
    </w:lvl>
    <w:lvl w:ilvl="6" w:tplc="240A000F" w:tentative="1">
      <w:start w:val="1"/>
      <w:numFmt w:val="decimal"/>
      <w:lvlText w:val="%7."/>
      <w:lvlJc w:val="left"/>
      <w:pPr>
        <w:ind w:left="5106" w:hanging="360"/>
      </w:pPr>
      <w:rPr>
        <w:rFonts w:cs="Times New Roman"/>
      </w:rPr>
    </w:lvl>
    <w:lvl w:ilvl="7" w:tplc="240A0019" w:tentative="1">
      <w:start w:val="1"/>
      <w:numFmt w:val="lowerLetter"/>
      <w:lvlText w:val="%8."/>
      <w:lvlJc w:val="left"/>
      <w:pPr>
        <w:ind w:left="5826" w:hanging="360"/>
      </w:pPr>
      <w:rPr>
        <w:rFonts w:cs="Times New Roman"/>
      </w:rPr>
    </w:lvl>
    <w:lvl w:ilvl="8" w:tplc="240A001B" w:tentative="1">
      <w:start w:val="1"/>
      <w:numFmt w:val="lowerRoman"/>
      <w:lvlText w:val="%9."/>
      <w:lvlJc w:val="right"/>
      <w:pPr>
        <w:ind w:left="6546" w:hanging="180"/>
      </w:pPr>
      <w:rPr>
        <w:rFonts w:cs="Times New Roman"/>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EC3F8E"/>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6"/>
  </w:num>
  <w:num w:numId="8" w16cid:durableId="152644682">
    <w:abstractNumId w:val="13"/>
  </w:num>
  <w:num w:numId="9" w16cid:durableId="1317221377">
    <w:abstractNumId w:val="8"/>
  </w:num>
  <w:num w:numId="10" w16cid:durableId="1471245386">
    <w:abstractNumId w:val="12"/>
  </w:num>
  <w:num w:numId="11" w16cid:durableId="289172385">
    <w:abstractNumId w:val="9"/>
  </w:num>
  <w:num w:numId="12" w16cid:durableId="1470781324">
    <w:abstractNumId w:val="1"/>
  </w:num>
  <w:num w:numId="13" w16cid:durableId="1512908409">
    <w:abstractNumId w:val="4"/>
  </w:num>
  <w:num w:numId="14" w16cid:durableId="895897244">
    <w:abstractNumId w:val="15"/>
  </w:num>
  <w:num w:numId="15" w16cid:durableId="390349800">
    <w:abstractNumId w:val="11"/>
  </w:num>
  <w:num w:numId="16" w16cid:durableId="560793310">
    <w:abstractNumId w:val="0"/>
  </w:num>
  <w:num w:numId="17" w16cid:durableId="2081096499">
    <w:abstractNumId w:val="3"/>
  </w:num>
  <w:num w:numId="18" w16cid:durableId="8282504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63933"/>
    <w:rsid w:val="00082362"/>
    <w:rsid w:val="000959C9"/>
    <w:rsid w:val="000A021C"/>
    <w:rsid w:val="000A327C"/>
    <w:rsid w:val="000A3DBD"/>
    <w:rsid w:val="000A683E"/>
    <w:rsid w:val="000B19B9"/>
    <w:rsid w:val="000C5C53"/>
    <w:rsid w:val="000D0334"/>
    <w:rsid w:val="000D18AC"/>
    <w:rsid w:val="000D5DA7"/>
    <w:rsid w:val="000E04AD"/>
    <w:rsid w:val="000F6486"/>
    <w:rsid w:val="00100555"/>
    <w:rsid w:val="00104585"/>
    <w:rsid w:val="00113438"/>
    <w:rsid w:val="00116940"/>
    <w:rsid w:val="00123F6C"/>
    <w:rsid w:val="00125105"/>
    <w:rsid w:val="00127233"/>
    <w:rsid w:val="00134287"/>
    <w:rsid w:val="0013633B"/>
    <w:rsid w:val="00142736"/>
    <w:rsid w:val="0015699B"/>
    <w:rsid w:val="00167BC7"/>
    <w:rsid w:val="00174D22"/>
    <w:rsid w:val="00190175"/>
    <w:rsid w:val="001A33BF"/>
    <w:rsid w:val="001B31B6"/>
    <w:rsid w:val="001E4177"/>
    <w:rsid w:val="001E7CCE"/>
    <w:rsid w:val="001F0B24"/>
    <w:rsid w:val="001F7DC6"/>
    <w:rsid w:val="00201578"/>
    <w:rsid w:val="0022400B"/>
    <w:rsid w:val="002240D1"/>
    <w:rsid w:val="002421BB"/>
    <w:rsid w:val="00244686"/>
    <w:rsid w:val="0025796E"/>
    <w:rsid w:val="002707A2"/>
    <w:rsid w:val="00287955"/>
    <w:rsid w:val="002951A0"/>
    <w:rsid w:val="002962BC"/>
    <w:rsid w:val="002A093D"/>
    <w:rsid w:val="002A0DD0"/>
    <w:rsid w:val="002A49AC"/>
    <w:rsid w:val="002A64FD"/>
    <w:rsid w:val="002B04C2"/>
    <w:rsid w:val="002C0D6B"/>
    <w:rsid w:val="002C14DE"/>
    <w:rsid w:val="002C7A84"/>
    <w:rsid w:val="002E2BF8"/>
    <w:rsid w:val="002E4FD9"/>
    <w:rsid w:val="002F34BC"/>
    <w:rsid w:val="0030657A"/>
    <w:rsid w:val="00317415"/>
    <w:rsid w:val="00322A85"/>
    <w:rsid w:val="00324168"/>
    <w:rsid w:val="00326038"/>
    <w:rsid w:val="00327343"/>
    <w:rsid w:val="00330834"/>
    <w:rsid w:val="0033163B"/>
    <w:rsid w:val="003448F4"/>
    <w:rsid w:val="00374F5E"/>
    <w:rsid w:val="00377E3E"/>
    <w:rsid w:val="003A0C31"/>
    <w:rsid w:val="003A664D"/>
    <w:rsid w:val="003A779E"/>
    <w:rsid w:val="003D0F4D"/>
    <w:rsid w:val="003D5B0D"/>
    <w:rsid w:val="003E0499"/>
    <w:rsid w:val="003E4F80"/>
    <w:rsid w:val="003E6439"/>
    <w:rsid w:val="003E76C6"/>
    <w:rsid w:val="003F2BBC"/>
    <w:rsid w:val="003F3941"/>
    <w:rsid w:val="00406575"/>
    <w:rsid w:val="00414C74"/>
    <w:rsid w:val="0042722E"/>
    <w:rsid w:val="00434EA7"/>
    <w:rsid w:val="00442223"/>
    <w:rsid w:val="0044528D"/>
    <w:rsid w:val="00463088"/>
    <w:rsid w:val="00466E39"/>
    <w:rsid w:val="004761BA"/>
    <w:rsid w:val="00481AD4"/>
    <w:rsid w:val="004A1847"/>
    <w:rsid w:val="004A305D"/>
    <w:rsid w:val="004C6DF1"/>
    <w:rsid w:val="004D5065"/>
    <w:rsid w:val="004F21C4"/>
    <w:rsid w:val="004F685F"/>
    <w:rsid w:val="005073FE"/>
    <w:rsid w:val="00527403"/>
    <w:rsid w:val="00553ED3"/>
    <w:rsid w:val="005566E8"/>
    <w:rsid w:val="00574867"/>
    <w:rsid w:val="0057739A"/>
    <w:rsid w:val="00591460"/>
    <w:rsid w:val="005A65E0"/>
    <w:rsid w:val="005C3777"/>
    <w:rsid w:val="005C5CDC"/>
    <w:rsid w:val="005D476C"/>
    <w:rsid w:val="005D6076"/>
    <w:rsid w:val="00601CEA"/>
    <w:rsid w:val="006200BF"/>
    <w:rsid w:val="006219F8"/>
    <w:rsid w:val="00625E3B"/>
    <w:rsid w:val="006302F7"/>
    <w:rsid w:val="00635C37"/>
    <w:rsid w:val="00646B9F"/>
    <w:rsid w:val="00647046"/>
    <w:rsid w:val="00653B8E"/>
    <w:rsid w:val="0065439D"/>
    <w:rsid w:val="00665D70"/>
    <w:rsid w:val="00686C40"/>
    <w:rsid w:val="006900D9"/>
    <w:rsid w:val="006B507E"/>
    <w:rsid w:val="006C3F02"/>
    <w:rsid w:val="006D0AE9"/>
    <w:rsid w:val="00706C16"/>
    <w:rsid w:val="00716C2A"/>
    <w:rsid w:val="007340C3"/>
    <w:rsid w:val="00746A44"/>
    <w:rsid w:val="0075235A"/>
    <w:rsid w:val="0075467B"/>
    <w:rsid w:val="00756841"/>
    <w:rsid w:val="00764421"/>
    <w:rsid w:val="007649AB"/>
    <w:rsid w:val="00771D0C"/>
    <w:rsid w:val="007827E4"/>
    <w:rsid w:val="007833AC"/>
    <w:rsid w:val="007977F0"/>
    <w:rsid w:val="007A1E2F"/>
    <w:rsid w:val="007B268C"/>
    <w:rsid w:val="007B7171"/>
    <w:rsid w:val="007C0C0F"/>
    <w:rsid w:val="007C3DC2"/>
    <w:rsid w:val="007E4DF7"/>
    <w:rsid w:val="007E5497"/>
    <w:rsid w:val="00806F5F"/>
    <w:rsid w:val="00820278"/>
    <w:rsid w:val="008258C9"/>
    <w:rsid w:val="008414C3"/>
    <w:rsid w:val="00844AE9"/>
    <w:rsid w:val="00857F01"/>
    <w:rsid w:val="00866E0A"/>
    <w:rsid w:val="00867F95"/>
    <w:rsid w:val="008830A4"/>
    <w:rsid w:val="008843B6"/>
    <w:rsid w:val="008873B2"/>
    <w:rsid w:val="00891928"/>
    <w:rsid w:val="008A446D"/>
    <w:rsid w:val="008B25F1"/>
    <w:rsid w:val="008B2DFA"/>
    <w:rsid w:val="008B4031"/>
    <w:rsid w:val="008D180B"/>
    <w:rsid w:val="008E0DEE"/>
    <w:rsid w:val="008E407C"/>
    <w:rsid w:val="008E7579"/>
    <w:rsid w:val="008F0EA7"/>
    <w:rsid w:val="008F6DA5"/>
    <w:rsid w:val="00900528"/>
    <w:rsid w:val="00923EEF"/>
    <w:rsid w:val="009419F9"/>
    <w:rsid w:val="00944B06"/>
    <w:rsid w:val="0095685E"/>
    <w:rsid w:val="00961B09"/>
    <w:rsid w:val="00965334"/>
    <w:rsid w:val="00966561"/>
    <w:rsid w:val="009677E9"/>
    <w:rsid w:val="0097093E"/>
    <w:rsid w:val="0097374B"/>
    <w:rsid w:val="0099527A"/>
    <w:rsid w:val="009A0DFA"/>
    <w:rsid w:val="009A1C6F"/>
    <w:rsid w:val="009B2D26"/>
    <w:rsid w:val="009C37FB"/>
    <w:rsid w:val="009C71FA"/>
    <w:rsid w:val="009C72E7"/>
    <w:rsid w:val="009C7F7E"/>
    <w:rsid w:val="009D0E75"/>
    <w:rsid w:val="009D3058"/>
    <w:rsid w:val="009F25DC"/>
    <w:rsid w:val="009F3A13"/>
    <w:rsid w:val="00A02398"/>
    <w:rsid w:val="00A122D3"/>
    <w:rsid w:val="00A14468"/>
    <w:rsid w:val="00A17F13"/>
    <w:rsid w:val="00A20739"/>
    <w:rsid w:val="00A23AF9"/>
    <w:rsid w:val="00A27AF2"/>
    <w:rsid w:val="00A32D0A"/>
    <w:rsid w:val="00A33C78"/>
    <w:rsid w:val="00A44573"/>
    <w:rsid w:val="00A662AA"/>
    <w:rsid w:val="00A7043E"/>
    <w:rsid w:val="00A8361E"/>
    <w:rsid w:val="00AB0ADB"/>
    <w:rsid w:val="00AD3D4F"/>
    <w:rsid w:val="00B00C0E"/>
    <w:rsid w:val="00B01B1A"/>
    <w:rsid w:val="00B0381D"/>
    <w:rsid w:val="00B13DD8"/>
    <w:rsid w:val="00B15BD4"/>
    <w:rsid w:val="00B44A47"/>
    <w:rsid w:val="00B55699"/>
    <w:rsid w:val="00B72CD3"/>
    <w:rsid w:val="00B72FFF"/>
    <w:rsid w:val="00B92370"/>
    <w:rsid w:val="00BC3D36"/>
    <w:rsid w:val="00BD54A6"/>
    <w:rsid w:val="00BD7F72"/>
    <w:rsid w:val="00BF7425"/>
    <w:rsid w:val="00C04FB3"/>
    <w:rsid w:val="00C11D8B"/>
    <w:rsid w:val="00C15139"/>
    <w:rsid w:val="00C17DE5"/>
    <w:rsid w:val="00C330EB"/>
    <w:rsid w:val="00C50D69"/>
    <w:rsid w:val="00C51A2C"/>
    <w:rsid w:val="00C5365C"/>
    <w:rsid w:val="00C5489C"/>
    <w:rsid w:val="00C72D9D"/>
    <w:rsid w:val="00C754BE"/>
    <w:rsid w:val="00C755CC"/>
    <w:rsid w:val="00C76B1C"/>
    <w:rsid w:val="00C925AC"/>
    <w:rsid w:val="00C9750E"/>
    <w:rsid w:val="00CB6357"/>
    <w:rsid w:val="00CC1B26"/>
    <w:rsid w:val="00CD47F0"/>
    <w:rsid w:val="00D16C36"/>
    <w:rsid w:val="00D177AE"/>
    <w:rsid w:val="00D24915"/>
    <w:rsid w:val="00D361FD"/>
    <w:rsid w:val="00D423A2"/>
    <w:rsid w:val="00D44E26"/>
    <w:rsid w:val="00D51E77"/>
    <w:rsid w:val="00D520D8"/>
    <w:rsid w:val="00D63AC2"/>
    <w:rsid w:val="00D7383B"/>
    <w:rsid w:val="00D7788A"/>
    <w:rsid w:val="00D842D0"/>
    <w:rsid w:val="00D86E59"/>
    <w:rsid w:val="00D965A7"/>
    <w:rsid w:val="00DA231B"/>
    <w:rsid w:val="00DC39FC"/>
    <w:rsid w:val="00DC6CDC"/>
    <w:rsid w:val="00DF5254"/>
    <w:rsid w:val="00E02524"/>
    <w:rsid w:val="00E15650"/>
    <w:rsid w:val="00E16408"/>
    <w:rsid w:val="00E20894"/>
    <w:rsid w:val="00E245AB"/>
    <w:rsid w:val="00E2764C"/>
    <w:rsid w:val="00E27F2E"/>
    <w:rsid w:val="00E50AFE"/>
    <w:rsid w:val="00E51A6E"/>
    <w:rsid w:val="00E75C92"/>
    <w:rsid w:val="00E771DC"/>
    <w:rsid w:val="00E8772A"/>
    <w:rsid w:val="00E90F6B"/>
    <w:rsid w:val="00E92C27"/>
    <w:rsid w:val="00EA0E3D"/>
    <w:rsid w:val="00EA53C7"/>
    <w:rsid w:val="00EC38A7"/>
    <w:rsid w:val="00EC4938"/>
    <w:rsid w:val="00EC64A6"/>
    <w:rsid w:val="00ED77E9"/>
    <w:rsid w:val="00EE1AA8"/>
    <w:rsid w:val="00EF112A"/>
    <w:rsid w:val="00F23FEA"/>
    <w:rsid w:val="00F31EDC"/>
    <w:rsid w:val="00F33DDB"/>
    <w:rsid w:val="00F462B3"/>
    <w:rsid w:val="00F5664F"/>
    <w:rsid w:val="00F666C4"/>
    <w:rsid w:val="00F731F0"/>
    <w:rsid w:val="00F7504E"/>
    <w:rsid w:val="00F76AFC"/>
    <w:rsid w:val="00F83B76"/>
    <w:rsid w:val="00F97461"/>
    <w:rsid w:val="00FA47C0"/>
    <w:rsid w:val="00FB5DD1"/>
    <w:rsid w:val="00FB73F4"/>
    <w:rsid w:val="00FC2B5D"/>
    <w:rsid w:val="00FD32D6"/>
    <w:rsid w:val="00FE41C1"/>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37EB9A1-44AF-B845-A230-E03FFCDB1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paragraph" w:styleId="Ttulo2">
    <w:name w:val="heading 2"/>
    <w:basedOn w:val="Normal"/>
    <w:next w:val="Normal"/>
    <w:link w:val="Ttulo2Car"/>
    <w:uiPriority w:val="9"/>
    <w:unhideWhenUsed/>
    <w:qFormat/>
    <w:rsid w:val="00123F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Ttulo2Car">
    <w:name w:val="Título 2 Car"/>
    <w:basedOn w:val="Fuentedeprrafopredeter"/>
    <w:link w:val="Ttulo2"/>
    <w:uiPriority w:val="9"/>
    <w:rsid w:val="00123F6C"/>
    <w:rPr>
      <w:rFonts w:asciiTheme="majorHAnsi" w:eastAsiaTheme="majorEastAsia" w:hAnsiTheme="majorHAnsi" w:cstheme="majorBidi"/>
      <w:color w:val="2F5496" w:themeColor="accent1" w:themeShade="BF"/>
      <w:sz w:val="26"/>
      <w:szCs w:val="26"/>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123F6C"/>
    <w:rPr>
      <w:rFonts w:ascii="Geomanist Light" w:hAnsi="Geomanist Light"/>
      <w:lang w:val="es-ES"/>
    </w:rPr>
  </w:style>
  <w:style w:type="character" w:customStyle="1" w:styleId="NormalWebCar">
    <w:name w:val="Normal (Web) Car"/>
    <w:link w:val="NormalWeb"/>
    <w:uiPriority w:val="99"/>
    <w:locked/>
    <w:rsid w:val="00123F6C"/>
    <w:rPr>
      <w:rFonts w:ascii="Times New Roman" w:eastAsia="Times New Roman" w:hAnsi="Times New Roman" w:cs="Times New Roman"/>
      <w:sz w:val="24"/>
      <w:szCs w:val="24"/>
      <w:lang w:eastAsia="es-CO"/>
    </w:rPr>
  </w:style>
  <w:style w:type="paragraph" w:customStyle="1" w:styleId="Appelnotedebasde">
    <w:name w:val="Appel note de bas de..."/>
    <w:basedOn w:val="Normal"/>
    <w:link w:val="Refdenotaalpie"/>
    <w:uiPriority w:val="99"/>
    <w:rsid w:val="00123F6C"/>
    <w:pPr>
      <w:spacing w:line="240" w:lineRule="exact"/>
    </w:pPr>
    <w:rPr>
      <w:vertAlign w:val="superscript"/>
    </w:rPr>
  </w:style>
  <w:style w:type="paragraph" w:customStyle="1" w:styleId="InviasNormal">
    <w:name w:val="Invias Normal"/>
    <w:basedOn w:val="Normal"/>
    <w:link w:val="InviasNormalCar"/>
    <w:qFormat/>
    <w:rsid w:val="00123F6C"/>
    <w:pPr>
      <w:tabs>
        <w:tab w:val="left" w:pos="-142"/>
      </w:tabs>
      <w:autoSpaceDE w:val="0"/>
      <w:autoSpaceDN w:val="0"/>
      <w:adjustRightInd w:val="0"/>
      <w:spacing w:before="120" w:after="240" w:line="240" w:lineRule="auto"/>
      <w:jc w:val="both"/>
    </w:pPr>
    <w:rPr>
      <w:rFonts w:ascii="Arial" w:eastAsia="Times New Roman" w:hAnsi="Arial" w:cs="Arial"/>
      <w:szCs w:val="24"/>
      <w:lang w:eastAsia="es-ES"/>
    </w:rPr>
  </w:style>
  <w:style w:type="character" w:customStyle="1" w:styleId="InviasNormalCar">
    <w:name w:val="Invias Normal Car"/>
    <w:link w:val="InviasNormal"/>
    <w:rsid w:val="00123F6C"/>
    <w:rPr>
      <w:rFonts w:ascii="Arial" w:eastAsia="Times New Roman" w:hAnsi="Arial" w:cs="Arial"/>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olombiacompra.gov.co/documentos-tipo/documentos-tip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innamaria83@gmail.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colombiacompra.gov.co/wp-content/uploads/2026/04/ABC-Decreto-0287-de-2026-1.pdf" TargetMode="External"/><Relationship Id="rId2" Type="http://schemas.openxmlformats.org/officeDocument/2006/relationships/hyperlink" Target="https://dle.rae.es/est%C3%A1ndar" TargetMode="External"/><Relationship Id="rId1" Type="http://schemas.openxmlformats.org/officeDocument/2006/relationships/hyperlink" Target="https://dle.rae.es/est%C3%A1ndar" TargetMode="External"/><Relationship Id="rId4" Type="http://schemas.openxmlformats.org/officeDocument/2006/relationships/hyperlink" Target="https://www.colombiacompra.gov.co/archivos/circular/circular-externa-003-de-202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C0D73-D6DF-4F4A-A68B-12EBCCAA9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11</TotalTime>
  <Pages>34</Pages>
  <Words>11323</Words>
  <Characters>62278</Characters>
  <Application>Microsoft Office Word</Application>
  <DocSecurity>0</DocSecurity>
  <Lines>518</Lines>
  <Paragraphs>146</Paragraphs>
  <ScaleCrop>false</ScaleCrop>
  <Company/>
  <LinksUpToDate>false</LinksUpToDate>
  <CharactersWithSpaces>73455</CharactersWithSpaces>
  <SharedDoc>false</SharedDoc>
  <HLinks>
    <vt:vector size="42" baseType="variant">
      <vt:variant>
        <vt:i4>2162739</vt:i4>
      </vt:variant>
      <vt:variant>
        <vt:i4>8</vt:i4>
      </vt:variant>
      <vt:variant>
        <vt:i4>0</vt:i4>
      </vt:variant>
      <vt:variant>
        <vt:i4>5</vt:i4>
      </vt:variant>
      <vt:variant>
        <vt:lpwstr>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vt:lpwstr>
      </vt:variant>
      <vt:variant>
        <vt:lpwstr/>
      </vt:variant>
      <vt:variant>
        <vt:i4>4653144</vt:i4>
      </vt:variant>
      <vt:variant>
        <vt:i4>5</vt:i4>
      </vt:variant>
      <vt:variant>
        <vt:i4>0</vt:i4>
      </vt:variant>
      <vt:variant>
        <vt:i4>5</vt:i4>
      </vt:variant>
      <vt:variant>
        <vt:lpwstr>https://www.colombiacompra.gov.co/documentos-tipo/documentos-tipo</vt:lpwstr>
      </vt:variant>
      <vt:variant>
        <vt:lpwstr/>
      </vt:variant>
      <vt:variant>
        <vt:i4>4128777</vt:i4>
      </vt:variant>
      <vt:variant>
        <vt:i4>0</vt:i4>
      </vt:variant>
      <vt:variant>
        <vt:i4>0</vt:i4>
      </vt:variant>
      <vt:variant>
        <vt:i4>5</vt:i4>
      </vt:variant>
      <vt:variant>
        <vt:lpwstr>mailto:ginnamaria83@gmail.com</vt:lpwstr>
      </vt:variant>
      <vt:variant>
        <vt:lpwstr/>
      </vt:variant>
      <vt:variant>
        <vt:i4>458758</vt:i4>
      </vt:variant>
      <vt:variant>
        <vt:i4>9</vt:i4>
      </vt:variant>
      <vt:variant>
        <vt:i4>0</vt:i4>
      </vt:variant>
      <vt:variant>
        <vt:i4>5</vt:i4>
      </vt:variant>
      <vt:variant>
        <vt:lpwstr>https://www.colombiacompra.gov.co/archivos/circular/circular-externa-003-de-2026</vt:lpwstr>
      </vt:variant>
      <vt:variant>
        <vt:lpwstr/>
      </vt:variant>
      <vt:variant>
        <vt:i4>3932272</vt:i4>
      </vt:variant>
      <vt:variant>
        <vt:i4>6</vt:i4>
      </vt:variant>
      <vt:variant>
        <vt:i4>0</vt:i4>
      </vt:variant>
      <vt:variant>
        <vt:i4>5</vt:i4>
      </vt:variant>
      <vt:variant>
        <vt:lpwstr>https://www.colombiacompra.gov.co/wp-content/uploads/2026/04/ABC-Decreto-0287-de-2026-1.pdf</vt:lpwstr>
      </vt:variant>
      <vt:variant>
        <vt:lpwstr/>
      </vt:variant>
      <vt:variant>
        <vt:i4>2031639</vt:i4>
      </vt:variant>
      <vt:variant>
        <vt:i4>3</vt:i4>
      </vt:variant>
      <vt:variant>
        <vt:i4>0</vt:i4>
      </vt:variant>
      <vt:variant>
        <vt:i4>5</vt:i4>
      </vt:variant>
      <vt:variant>
        <vt:lpwstr>https://dle.rae.es/est%C3%A1ndar</vt:lpwstr>
      </vt:variant>
      <vt:variant>
        <vt:lpwstr/>
      </vt:variant>
      <vt:variant>
        <vt:i4>2031639</vt:i4>
      </vt:variant>
      <vt:variant>
        <vt:i4>0</vt:i4>
      </vt:variant>
      <vt:variant>
        <vt:i4>0</vt:i4>
      </vt:variant>
      <vt:variant>
        <vt:i4>5</vt:i4>
      </vt:variant>
      <vt:variant>
        <vt:lpwstr>https://dle.rae.es/est%C3%A1ndar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2026-07-10T15:07:00Z</dcterms:created>
  <dcterms:modified xsi:type="dcterms:W3CDTF">2026-07-15T00:55:00Z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