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E349E" w14:textId="77777777" w:rsidR="00C63CCE" w:rsidRPr="00C63CCE" w:rsidRDefault="00C63CCE" w:rsidP="00C63CCE">
      <w:pPr>
        <w:spacing w:after="0" w:line="240" w:lineRule="auto"/>
        <w:rPr>
          <w:rFonts w:ascii="Verdana" w:eastAsia="Verdana" w:hAnsi="Verdana" w:cs="Verdana"/>
          <w:b/>
          <w:bCs/>
          <w:lang w:val="es-ES_tradnl"/>
        </w:rPr>
      </w:pPr>
      <w:bookmarkStart w:id="0" w:name="_Hlk143780582"/>
      <w:r w:rsidRPr="00C63CCE">
        <w:rPr>
          <w:rFonts w:ascii="Verdana" w:eastAsia="Verdana" w:hAnsi="Verdana" w:cs="Verdana"/>
          <w:b/>
          <w:bCs/>
          <w:lang w:val="es-ES_tradnl"/>
        </w:rPr>
        <w:t xml:space="preserve">PRECIO – Elemento – Contrato Estatal </w:t>
      </w:r>
    </w:p>
    <w:p w14:paraId="79BCF4F5" w14:textId="77777777" w:rsidR="00C63CCE" w:rsidRPr="00C63CCE" w:rsidRDefault="00C63CCE" w:rsidP="00C63CCE">
      <w:pPr>
        <w:spacing w:after="0" w:line="240" w:lineRule="auto"/>
        <w:rPr>
          <w:rFonts w:ascii="Verdana" w:eastAsia="Verdana" w:hAnsi="Verdana" w:cs="Verdana"/>
          <w:b/>
          <w:bCs/>
          <w:lang w:val="es-ES_tradnl"/>
        </w:rPr>
      </w:pPr>
    </w:p>
    <w:p w14:paraId="217487F9" w14:textId="77777777" w:rsidR="00E14D66" w:rsidRPr="00CC106A" w:rsidRDefault="00E14D66" w:rsidP="00E14D66">
      <w:pPr>
        <w:spacing w:after="0" w:line="240" w:lineRule="auto"/>
        <w:jc w:val="both"/>
        <w:rPr>
          <w:rFonts w:ascii="Verdana" w:eastAsia="Verdana" w:hAnsi="Verdana" w:cs="Verdana"/>
          <w:sz w:val="20"/>
          <w:szCs w:val="20"/>
          <w:lang w:val="es-ES_tradnl"/>
        </w:rPr>
      </w:pPr>
      <w:r w:rsidRPr="00CC106A">
        <w:rPr>
          <w:rFonts w:ascii="Verdana" w:eastAsia="Verdana" w:hAnsi="Verdana" w:cs="Verdana"/>
          <w:sz w:val="20"/>
          <w:szCs w:val="20"/>
          <w:lang w:val="es-ES_tradnl"/>
        </w:rPr>
        <w:t>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7F5AAB96" w14:textId="77777777" w:rsidR="00C63CCE" w:rsidRPr="00C63CCE" w:rsidRDefault="00C63CCE" w:rsidP="00C63CCE">
      <w:pPr>
        <w:spacing w:after="0" w:line="240" w:lineRule="auto"/>
        <w:rPr>
          <w:rFonts w:ascii="Verdana" w:eastAsia="Verdana" w:hAnsi="Verdana" w:cs="Verdana"/>
          <w:b/>
          <w:bCs/>
          <w:lang w:val="es-ES_tradnl"/>
        </w:rPr>
      </w:pPr>
    </w:p>
    <w:p w14:paraId="6DC6F344" w14:textId="77777777" w:rsidR="00C63CCE" w:rsidRPr="00C63CCE" w:rsidRDefault="00C63CCE" w:rsidP="00C63CCE">
      <w:pPr>
        <w:spacing w:after="0" w:line="240" w:lineRule="auto"/>
        <w:rPr>
          <w:rFonts w:ascii="Verdana" w:eastAsia="Verdana" w:hAnsi="Verdana" w:cs="Verdana"/>
          <w:b/>
          <w:bCs/>
          <w:lang w:val="es-ES"/>
        </w:rPr>
      </w:pPr>
      <w:r w:rsidRPr="00C63CCE">
        <w:rPr>
          <w:rFonts w:ascii="Verdana" w:eastAsia="Verdana" w:hAnsi="Verdana" w:cs="Verdana"/>
          <w:b/>
          <w:bCs/>
          <w:lang w:val="es-ES"/>
        </w:rPr>
        <w:t>PRECIOS UNITARIOS – Estructuración del precio – Cantidades de obra</w:t>
      </w:r>
    </w:p>
    <w:p w14:paraId="4104CBB9" w14:textId="77777777" w:rsidR="00C63CCE" w:rsidRPr="00C53AAF" w:rsidRDefault="00C63CCE" w:rsidP="00C53AAF">
      <w:pPr>
        <w:spacing w:after="0" w:line="240" w:lineRule="auto"/>
        <w:jc w:val="both"/>
        <w:rPr>
          <w:rFonts w:ascii="Verdana" w:eastAsia="Verdana" w:hAnsi="Verdana" w:cs="Verdana"/>
          <w:sz w:val="20"/>
          <w:szCs w:val="20"/>
          <w:lang w:val="es-ES"/>
        </w:rPr>
      </w:pPr>
    </w:p>
    <w:p w14:paraId="25DC8A4B" w14:textId="48EB65B7" w:rsidR="004B440B" w:rsidRPr="00CC106A" w:rsidRDefault="004B440B" w:rsidP="004B440B">
      <w:pPr>
        <w:spacing w:after="0" w:line="240" w:lineRule="auto"/>
        <w:jc w:val="both"/>
        <w:rPr>
          <w:rFonts w:ascii="Verdana" w:eastAsia="Verdana" w:hAnsi="Verdana" w:cs="Verdana"/>
          <w:sz w:val="20"/>
          <w:szCs w:val="20"/>
          <w:lang w:val="es-ES"/>
        </w:rPr>
      </w:pPr>
      <w:r w:rsidRPr="00CC106A">
        <w:rPr>
          <w:rFonts w:ascii="Verdana" w:eastAsia="Verdana" w:hAnsi="Verdana" w:cs="Verdana"/>
          <w:sz w:val="20"/>
          <w:szCs w:val="20"/>
          <w:lang w:val="es-ES"/>
        </w:rPr>
        <w:t>Al respecto, la jurisprudencia de la Sección Tercera del Consejo de Estado ha explicado que,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p>
    <w:p w14:paraId="57CCBE9B" w14:textId="77777777" w:rsidR="004B440B" w:rsidRPr="00CC106A" w:rsidRDefault="004B440B" w:rsidP="004B440B">
      <w:pPr>
        <w:spacing w:after="0" w:line="240" w:lineRule="auto"/>
        <w:jc w:val="both"/>
        <w:rPr>
          <w:rFonts w:ascii="Verdana" w:eastAsia="Verdana" w:hAnsi="Verdana" w:cs="Verdana"/>
          <w:sz w:val="20"/>
          <w:szCs w:val="20"/>
          <w:lang w:val="es-ES"/>
        </w:rPr>
      </w:pPr>
    </w:p>
    <w:p w14:paraId="18B22B73" w14:textId="3085636E" w:rsidR="004B440B" w:rsidRPr="00CC106A" w:rsidRDefault="004B440B" w:rsidP="004B440B">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t>En consecuencia, debe distinguirse entre el valor estimado del contrato y el valor real o ejecutado, determinado este último por las mayores o menores cantidades de obra que el contratista efectivamente ejecute para cumplir el objeto pactado. En los contratos de obra pública con pago a precios unitarios, el valor contractual definitivo corresponde al resultado de multiplicar las cantidades de obra realmente ejecutadas por los precios unitarios establecidos en el contrato. No obstante, para la celebración de este tipo de contratos se requiere expresar un valor estimado inicial, calculado a partir de las cantidades de obra previstas y los precios unitarios que sirvieron de base para la adjudicación. Este valor tiene un carácter meramente referencial y operativo, pues el monto final del contrato solo se determina con la ejecución real y la correspondiente liquidación de las cantidades de obra.</w:t>
      </w:r>
    </w:p>
    <w:p w14:paraId="3BE7ACD0" w14:textId="77777777" w:rsidR="004B440B" w:rsidRPr="00CC106A" w:rsidRDefault="004B440B" w:rsidP="004B440B">
      <w:pPr>
        <w:spacing w:after="0" w:line="240" w:lineRule="auto"/>
        <w:jc w:val="both"/>
        <w:rPr>
          <w:rFonts w:ascii="Verdana" w:eastAsia="Verdana" w:hAnsi="Verdana" w:cs="Verdana"/>
          <w:sz w:val="20"/>
          <w:szCs w:val="20"/>
        </w:rPr>
      </w:pPr>
    </w:p>
    <w:p w14:paraId="0639AA35" w14:textId="77777777" w:rsidR="004B440B" w:rsidRPr="00CC106A" w:rsidRDefault="004B440B" w:rsidP="004B440B">
      <w:pPr>
        <w:spacing w:after="0" w:line="240" w:lineRule="auto"/>
        <w:jc w:val="both"/>
        <w:rPr>
          <w:rFonts w:ascii="Verdana" w:eastAsia="Verdana" w:hAnsi="Verdana" w:cs="Verdana"/>
          <w:sz w:val="20"/>
          <w:szCs w:val="20"/>
        </w:rPr>
      </w:pPr>
      <w:r w:rsidRPr="00CC106A">
        <w:rPr>
          <w:rFonts w:ascii="Verdana" w:eastAsia="Verdana" w:hAnsi="Verdana" w:cs="Verdana"/>
          <w:sz w:val="20"/>
          <w:szCs w:val="20"/>
          <w:lang w:val="es-ES"/>
        </w:rPr>
        <w:t xml:space="preserve">Así las cosas, durante la etapa de planeación las entidades públicas son responsables de estimar y determinar las prestaciones que demanda la satisfacción del interés colectivo, conforme al análisis de los estudios y diseños previos. No obstante, teniendo en cuenta que en la modalidad de precios unitarios las cantidades son estimativas, es factible que, durante la ejecución del contrato, las partes puedan identificar situaciones en las que se genera la necesidad de mayores cantidades de bienes o actividades inicialmente previstas, a lo que se le conoce como mayores cantidades de obra, o adición de ítems contractuales. De esta forma, </w:t>
      </w:r>
      <w:r w:rsidRPr="00CC106A">
        <w:rPr>
          <w:rFonts w:ascii="Verdana" w:eastAsia="Verdana" w:hAnsi="Verdana" w:cs="Verdana"/>
          <w:sz w:val="20"/>
          <w:szCs w:val="20"/>
        </w:rPr>
        <w:t xml:space="preserve">si bien la responsabilidad inicial en la definición de las cantidades recae en la entidad estatal en la fase de planeación, durante la ejecución del contrato tanto la entidad contratante como el contratista están obligados a identificar, advertir y gestionar oportunamente las situaciones que puedan afectar la adecuada ejecución del contrato. </w:t>
      </w:r>
    </w:p>
    <w:p w14:paraId="0B8AF92A" w14:textId="77777777" w:rsidR="00C63CCE" w:rsidRPr="00C53AAF" w:rsidRDefault="00C63CCE" w:rsidP="00C53AAF">
      <w:pPr>
        <w:spacing w:after="0" w:line="240" w:lineRule="auto"/>
        <w:jc w:val="both"/>
        <w:rPr>
          <w:rFonts w:ascii="Verdana" w:eastAsia="Verdana" w:hAnsi="Verdana" w:cs="Verdana"/>
          <w:sz w:val="20"/>
          <w:szCs w:val="20"/>
        </w:rPr>
      </w:pPr>
    </w:p>
    <w:p w14:paraId="607BF48C" w14:textId="77777777" w:rsidR="00C63CCE" w:rsidRPr="00C63CCE" w:rsidRDefault="00C63CCE" w:rsidP="004B440B">
      <w:pPr>
        <w:spacing w:after="0" w:line="240" w:lineRule="auto"/>
        <w:jc w:val="both"/>
        <w:rPr>
          <w:rFonts w:ascii="Verdana" w:eastAsia="Verdana" w:hAnsi="Verdana" w:cs="Verdana"/>
          <w:b/>
          <w:bCs/>
          <w:lang w:val="es-ES"/>
        </w:rPr>
      </w:pPr>
      <w:r w:rsidRPr="00C63CCE">
        <w:rPr>
          <w:rFonts w:ascii="Verdana" w:eastAsia="Verdana" w:hAnsi="Verdana" w:cs="Verdana"/>
          <w:b/>
          <w:bCs/>
          <w:lang w:val="es-ES"/>
        </w:rPr>
        <w:lastRenderedPageBreak/>
        <w:t>PRECIOS UNITARIOS – Diferencias – Mayores cantidades de obra – ítems no previstos</w:t>
      </w:r>
    </w:p>
    <w:p w14:paraId="4F7C78E0" w14:textId="77777777" w:rsidR="00C63CCE" w:rsidRPr="00C63CCE" w:rsidRDefault="00C63CCE" w:rsidP="00C63CCE">
      <w:pPr>
        <w:spacing w:after="0" w:line="240" w:lineRule="auto"/>
        <w:rPr>
          <w:rFonts w:ascii="Verdana" w:eastAsia="Verdana" w:hAnsi="Verdana" w:cs="Verdana"/>
          <w:b/>
          <w:bCs/>
          <w:lang w:val="es-ES"/>
        </w:rPr>
      </w:pPr>
    </w:p>
    <w:p w14:paraId="6426A3F9" w14:textId="77777777" w:rsidR="002E680D" w:rsidRPr="00CC106A" w:rsidRDefault="002E680D" w:rsidP="002E680D">
      <w:pPr>
        <w:spacing w:after="0" w:line="240" w:lineRule="auto"/>
        <w:jc w:val="both"/>
        <w:rPr>
          <w:rFonts w:ascii="Verdana" w:eastAsia="Verdana" w:hAnsi="Verdana" w:cs="Verdana"/>
          <w:sz w:val="20"/>
          <w:szCs w:val="20"/>
          <w:lang w:val="es-ES" w:bidi="es-ES"/>
        </w:rPr>
      </w:pPr>
      <w:r w:rsidRPr="00CC106A">
        <w:rPr>
          <w:rFonts w:ascii="Verdana" w:eastAsia="Verdana" w:hAnsi="Verdana" w:cs="Verdana"/>
          <w:sz w:val="20"/>
          <w:szCs w:val="20"/>
        </w:rPr>
        <w:t>Una vez expuestas las diferencias entre las nociones de “mayores cantidades de obra” y de “obras extras o adicionales”, es necesario adentrarse al estudio sobre la posibilidad de introducir modificación a los contratos estatales y el límite dicha posibilidad. Al respecto, debe señalarse que, e</w:t>
      </w:r>
      <w:r w:rsidRPr="00CC106A">
        <w:rPr>
          <w:rFonts w:ascii="Verdana" w:eastAsia="Verdana" w:hAnsi="Verdana" w:cs="Verdana"/>
          <w:sz w:val="20"/>
          <w:szCs w:val="20"/>
          <w:lang w:val="es-ES" w:bidi="es-ES"/>
        </w:rPr>
        <w:t>n principio, los contratos deben ejecutarse en las condiciones pactadas inicialmente, pues tales condiciones fueron convenidas luego de que la Entidad Pública surtiera todos los procedimientos previstos para la selección de su contratista y definiera los aspectos, técnicos, legales y financieros propios de cada caso. No obstante, es posible que, durante la ejecución del contrato, se evidencie la necesidad de suscribir documentos de modificación en los cuales se cambie parte de las estipulaciones pactadas en un comienzo, para lograr su finalidad y en aras de la realización de los fines del Estado, a los cuales sirve el contrato.</w:t>
      </w:r>
    </w:p>
    <w:p w14:paraId="73EF6A5C" w14:textId="77777777" w:rsidR="002E680D" w:rsidRPr="00CC106A" w:rsidRDefault="002E680D" w:rsidP="002E680D">
      <w:pPr>
        <w:spacing w:after="0" w:line="240" w:lineRule="auto"/>
        <w:jc w:val="both"/>
        <w:rPr>
          <w:rFonts w:ascii="Verdana" w:eastAsia="Verdana" w:hAnsi="Verdana" w:cs="Verdana"/>
          <w:sz w:val="20"/>
          <w:szCs w:val="20"/>
          <w:lang w:val="es-ES" w:bidi="es-ES"/>
        </w:rPr>
      </w:pPr>
    </w:p>
    <w:p w14:paraId="396D67BE" w14:textId="77777777" w:rsidR="002E680D" w:rsidRPr="00CC106A" w:rsidRDefault="002E680D" w:rsidP="002E680D">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t xml:space="preserve">En consideración, se concluye que, en los contratos de obra suscritos a precios unitarios, la mayor cantidad de obra ejecutada consiste en aquella que fue contratada pero que su estimativo inicial fue sobrepasado durante la ejecución del contrato. La mayor cantidad de obra por encima del valor estimativo inicial en los contratos a precios unitarios no implica en forma alguna un cambio de objeto o en su valor. Por tal razón, el reconocimiento de mayores cantidades de obra, previamente autorizadas y recibidas por la entidad contratante, realmente no se está adicionando el contrato, sino procediendo, conforme a lo previsto en el mismo. En consecuencia, las cantidades de obra que resulten de las mediciones de los ítems de obra pertinentes no requiere contrato adicional y, por tanto, no les aplica el límite cuantitativo establecido en el artículo 40 de la Ley 80 de 1993. </w:t>
      </w:r>
    </w:p>
    <w:p w14:paraId="357C3743" w14:textId="77777777" w:rsidR="00C63CCE" w:rsidRPr="002E680D" w:rsidRDefault="00C63CCE" w:rsidP="00C63CCE">
      <w:pPr>
        <w:spacing w:after="0" w:line="240" w:lineRule="auto"/>
        <w:rPr>
          <w:rFonts w:ascii="Verdana" w:eastAsia="Verdana" w:hAnsi="Verdana" w:cs="Verdana"/>
          <w:b/>
          <w:bCs/>
        </w:rPr>
      </w:pPr>
    </w:p>
    <w:p w14:paraId="3D8F325E" w14:textId="77777777" w:rsidR="00C63CCE" w:rsidRPr="00C63CCE" w:rsidRDefault="00C63CCE" w:rsidP="00C63CCE">
      <w:pPr>
        <w:spacing w:after="0" w:line="240" w:lineRule="auto"/>
        <w:rPr>
          <w:rFonts w:ascii="Verdana" w:eastAsia="Verdana" w:hAnsi="Verdana" w:cs="Verdana"/>
          <w:b/>
          <w:bCs/>
          <w:lang w:val="es-ES"/>
        </w:rPr>
      </w:pPr>
      <w:r w:rsidRPr="00C63CCE">
        <w:rPr>
          <w:rFonts w:ascii="Verdana" w:eastAsia="Verdana" w:hAnsi="Verdana" w:cs="Verdana"/>
          <w:b/>
          <w:bCs/>
          <w:lang w:val="es-ES"/>
        </w:rPr>
        <w:t>PRECIOS UNITARIOS – APU – Obras adicionales – ítems no previstos</w:t>
      </w:r>
    </w:p>
    <w:p w14:paraId="4D1BC41C" w14:textId="77777777" w:rsidR="00C63CCE" w:rsidRPr="006866E7" w:rsidRDefault="00C63CCE" w:rsidP="006866E7">
      <w:pPr>
        <w:spacing w:after="0" w:line="240" w:lineRule="auto"/>
        <w:jc w:val="both"/>
        <w:rPr>
          <w:rFonts w:ascii="Verdana" w:eastAsia="Verdana" w:hAnsi="Verdana" w:cs="Verdana"/>
          <w:sz w:val="20"/>
          <w:szCs w:val="20"/>
          <w:lang w:val="es-ES"/>
        </w:rPr>
      </w:pPr>
    </w:p>
    <w:p w14:paraId="65E167D9" w14:textId="77777777" w:rsidR="006866E7" w:rsidRPr="00CC106A" w:rsidRDefault="006866E7" w:rsidP="00982782">
      <w:pPr>
        <w:spacing w:after="0" w:line="240" w:lineRule="auto"/>
        <w:jc w:val="both"/>
        <w:rPr>
          <w:rFonts w:ascii="Verdana" w:eastAsia="Verdana" w:hAnsi="Verdana" w:cs="Verdana"/>
          <w:iCs/>
          <w:sz w:val="20"/>
          <w:szCs w:val="20"/>
          <w:lang w:val="es-ES"/>
        </w:rPr>
      </w:pPr>
      <w:r w:rsidRPr="00CC106A">
        <w:rPr>
          <w:rFonts w:ascii="Verdana" w:eastAsia="Verdana" w:hAnsi="Verdana" w:cs="Verdana"/>
          <w:iCs/>
          <w:sz w:val="20"/>
          <w:szCs w:val="20"/>
          <w:lang w:val="es-ES"/>
        </w:rPr>
        <w:t xml:space="preserve">En este sentido, para la determinación de los precios unitarios correspondientes a obras adicionales o ítems no previstos, la Agencia Nacional de Contratación Pública – Colombia Compra Eficiente considera que, dado que este procedimiento no cuenta con una regulación normativa específica en materia contractual, el primer paso que debe seguir la Entidad consiste en remitirse al texto contractual. Ello con el fin de verificar si las partes establecieron un procedimiento aplicable para fijar el valor de actividades o ítems no contemplados inicialmente. Con base en esta revisión, se podrá elaborar el correspondiente análisis de precios unitarios y, proceder con la celebración de un contrato adicional o modificatorio del inicial. </w:t>
      </w:r>
    </w:p>
    <w:p w14:paraId="6E447E0B" w14:textId="77777777" w:rsidR="006866E7" w:rsidRPr="00CC106A" w:rsidRDefault="006866E7" w:rsidP="00982782">
      <w:pPr>
        <w:spacing w:after="0" w:line="240" w:lineRule="auto"/>
        <w:jc w:val="both"/>
        <w:rPr>
          <w:rFonts w:ascii="Verdana" w:eastAsia="Verdana" w:hAnsi="Verdana" w:cs="Verdana"/>
          <w:iCs/>
          <w:sz w:val="20"/>
          <w:szCs w:val="20"/>
          <w:lang w:val="es-ES"/>
        </w:rPr>
      </w:pPr>
    </w:p>
    <w:p w14:paraId="3FBB16ED" w14:textId="754B6C4D" w:rsidR="00C63CCE" w:rsidRPr="00CC106A" w:rsidRDefault="006866E7" w:rsidP="00982782">
      <w:pPr>
        <w:spacing w:after="0" w:line="240" w:lineRule="auto"/>
        <w:jc w:val="both"/>
        <w:rPr>
          <w:rFonts w:ascii="Verdana" w:eastAsia="Verdana" w:hAnsi="Verdana" w:cs="Verdana"/>
          <w:sz w:val="20"/>
          <w:szCs w:val="20"/>
          <w:lang w:val="es-ES"/>
        </w:rPr>
      </w:pPr>
      <w:r w:rsidRPr="00CC106A">
        <w:rPr>
          <w:rFonts w:ascii="Verdana" w:eastAsia="Verdana" w:hAnsi="Verdana" w:cs="Verdana"/>
          <w:iCs/>
          <w:sz w:val="20"/>
          <w:szCs w:val="20"/>
          <w:lang w:val="es-ES"/>
        </w:rPr>
        <w:t>Sin perjuicio de lo anterior, es pertinente señalar que esta Agencia ha considerado en su doctrina, en especial, en el Concepto C-1325 del 27 de octubre de 2025 que, para la determinación de esos “nuevos precios”, además de atender lo previsto en el contrato -y en caso de que este no contemple un procedimiento específico-.</w:t>
      </w:r>
    </w:p>
    <w:p w14:paraId="0D9E8F45" w14:textId="30A69657" w:rsidR="00982782" w:rsidRPr="00CC106A" w:rsidRDefault="00982782" w:rsidP="00982782">
      <w:pPr>
        <w:spacing w:after="0" w:line="240" w:lineRule="auto"/>
        <w:jc w:val="both"/>
        <w:rPr>
          <w:rFonts w:ascii="Verdana" w:eastAsia="Verdana" w:hAnsi="Verdana" w:cs="Verdana"/>
          <w:sz w:val="20"/>
          <w:szCs w:val="20"/>
          <w:lang w:val="es-ES"/>
        </w:rPr>
      </w:pPr>
      <w:r w:rsidRPr="00CC106A">
        <w:rPr>
          <w:rFonts w:ascii="Verdana" w:eastAsia="Verdana" w:hAnsi="Verdana" w:cs="Verdana"/>
          <w:sz w:val="20"/>
          <w:szCs w:val="20"/>
          <w:lang w:val="es-ES"/>
        </w:rPr>
        <w:t>[…]</w:t>
      </w:r>
    </w:p>
    <w:p w14:paraId="08C95FE0" w14:textId="77777777" w:rsidR="00982782" w:rsidRPr="00CC106A" w:rsidRDefault="00982782" w:rsidP="00982782">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lastRenderedPageBreak/>
        <w:t xml:space="preserve">Los contratos, así como cualquiera de sus modificaciones, deben estar respaldados de manera previa y suficiente por las correspondientes disponibilidades y compromisos presupuestales, en cumplimiento del principio de legalidad del gasto y de la estricta sujeción a la planeación financiera de la entidad. En consecuencia, ninguna entidad puede asumir obligaciones sin contar con dichos soportes, pues ello implicaría comprometer recursos inexistentes, desconocer los límites fijados en el presupuesto y vulnerar las reglas que garantizan la sostenibilidad fiscal y la adecuada ejecución de los recursos públicos. </w:t>
      </w:r>
    </w:p>
    <w:p w14:paraId="6A940CF5" w14:textId="77777777" w:rsidR="00982782" w:rsidRPr="00CC106A" w:rsidRDefault="00982782" w:rsidP="00982782">
      <w:pPr>
        <w:spacing w:after="0" w:line="240" w:lineRule="auto"/>
        <w:jc w:val="both"/>
        <w:rPr>
          <w:rFonts w:ascii="Verdana" w:eastAsia="Verdana" w:hAnsi="Verdana" w:cs="Verdana"/>
          <w:sz w:val="20"/>
          <w:szCs w:val="20"/>
        </w:rPr>
      </w:pPr>
    </w:p>
    <w:p w14:paraId="306FCAA0" w14:textId="77777777" w:rsidR="00982782" w:rsidRPr="00CC106A" w:rsidRDefault="00982782" w:rsidP="00982782">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t>Asimismo, es indispensable que la entidad documente de manera completa y transparente la justificación técnica y financiera que sustenta la incorporación de los nuevos ítems, según lo expuesto en consideraciones anteriores, y la reasignación de recursos desde los ítems iniciales. Esta documentación debe incluir los estudios, memorias de cálculo, análisis de cantidades, soportes presupuestales y las decisiones adoptadas por la supervisión o interventoría. Su incorporación al expediente contractual garantiza la trazabilidad de las actuaciones, facilita el control fiscal y disciplinario, y asegura que la entidad actúa conforme al principio de planeación y a las reglas del sistema de precios unitarios.</w:t>
      </w:r>
    </w:p>
    <w:p w14:paraId="64344A6C" w14:textId="77777777" w:rsidR="00982782" w:rsidRPr="00982782" w:rsidRDefault="00982782" w:rsidP="00C63CCE">
      <w:pPr>
        <w:spacing w:after="0" w:line="240" w:lineRule="auto"/>
        <w:rPr>
          <w:rFonts w:ascii="Verdana" w:eastAsia="Verdana" w:hAnsi="Verdana" w:cs="Verdana"/>
          <w:b/>
          <w:bCs/>
        </w:rPr>
      </w:pPr>
    </w:p>
    <w:p w14:paraId="5004A610" w14:textId="199D9115" w:rsidR="00C63CCE" w:rsidRPr="00C63CCE" w:rsidRDefault="00C63CCE" w:rsidP="00C63CCE">
      <w:pPr>
        <w:spacing w:after="0" w:line="240" w:lineRule="auto"/>
        <w:rPr>
          <w:rFonts w:ascii="Verdana" w:eastAsia="Verdana" w:hAnsi="Verdana" w:cs="Verdana"/>
          <w:b/>
          <w:bCs/>
          <w:lang w:val="es-ES_tradnl"/>
        </w:rPr>
      </w:pPr>
      <w:r w:rsidRPr="00C63CCE">
        <w:rPr>
          <w:rFonts w:ascii="Verdana" w:eastAsia="Verdana" w:hAnsi="Verdana" w:cs="Verdana"/>
          <w:b/>
          <w:bCs/>
          <w:lang w:val="es-ES"/>
        </w:rPr>
        <w:t>MODIFICACIÓN CONTRACTUAL – Condiciones</w:t>
      </w:r>
    </w:p>
    <w:p w14:paraId="4E9EAD49" w14:textId="77777777" w:rsidR="00C63CCE" w:rsidRPr="00C63CCE" w:rsidRDefault="00C63CCE" w:rsidP="00E73E8C">
      <w:pPr>
        <w:spacing w:after="0" w:line="240" w:lineRule="auto"/>
        <w:rPr>
          <w:rFonts w:ascii="Verdana" w:eastAsia="Verdana" w:hAnsi="Verdana" w:cs="Verdana"/>
          <w:lang w:val="es-ES_tradnl"/>
        </w:rPr>
      </w:pPr>
    </w:p>
    <w:p w14:paraId="7F41A2EF" w14:textId="686242B5" w:rsidR="009D0542" w:rsidRPr="00CC106A" w:rsidRDefault="009D0542" w:rsidP="00344F1C">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t xml:space="preserve">Sin perjuicio de lo expuesto, fuera de los límites cuantitativos señalados en el parágrafo del artículo 40 de la Ley 80 de 1993 y de la cláusula excepcional de modificación de los contratos estatales, no existe un desarrollo legal o reglamentario sobre las reglas aplicables a la modificación del contrato estatales. Han sido los aportes de la jurisprudencia, de la función consultiva del Consejo de Estado, y de la doctrina comparada, los que han permitido estructurar los límites y requisitos de orden temporal, formal, material y axiológico para la modificación de un contrato estatal. Estos límites deben ser respetados por la entidad contratante a preservar los principios de origen legal como es el principio de planeación, de selección objetiva de libertad de concurrencia, de transparencia, de igualdad, entre otros, tal y como se explicará a continuación. </w:t>
      </w:r>
    </w:p>
    <w:p w14:paraId="2A500869" w14:textId="77777777" w:rsidR="00344F1C" w:rsidRPr="00CC106A" w:rsidRDefault="00344F1C" w:rsidP="00344F1C">
      <w:pPr>
        <w:spacing w:after="0" w:line="240" w:lineRule="auto"/>
        <w:jc w:val="both"/>
        <w:rPr>
          <w:rFonts w:ascii="Verdana" w:eastAsia="Verdana" w:hAnsi="Verdana" w:cs="Verdana"/>
          <w:sz w:val="20"/>
          <w:szCs w:val="20"/>
        </w:rPr>
      </w:pPr>
    </w:p>
    <w:p w14:paraId="1414A4A9" w14:textId="77777777" w:rsidR="009D0542" w:rsidRPr="00CC106A" w:rsidRDefault="009D0542" w:rsidP="00344F1C">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t>Dentro de los límites de orden temporal se comprenden dos restricciones fundamentales. Primero, la vigencia del contrato, en la medida en que resulta jurídicamente imposible modificar un contrato cuyo plazo ha expirado; una vez finalizado, el vínculo obligacional se extingue y la administración carece de competencia para introducir variaciones al contenido prestacional originalmente pactado. Segundo, la prohibición de establecer prórrogas automáticas, sucesivas o indefinidas, por cuanto tales mecanismos desconocen el derecho esencial a la libertad de competencia y afectan la transparencia en la contratación estatal. La continuidad del contrato solo puede darse mediante decisiones expresas, motivadas y adoptadas dentro del término de ejecución, nunca por efectos automáticos que perpetúen la relación contractual sin un nuevo análisis de conveniencia y oportunidad.</w:t>
      </w:r>
    </w:p>
    <w:p w14:paraId="78E4248D" w14:textId="77777777" w:rsidR="00344F1C" w:rsidRPr="00CC106A" w:rsidRDefault="00344F1C" w:rsidP="00344F1C">
      <w:pPr>
        <w:spacing w:after="0" w:line="240" w:lineRule="auto"/>
        <w:jc w:val="both"/>
        <w:rPr>
          <w:rFonts w:ascii="Verdana" w:eastAsia="Verdana" w:hAnsi="Verdana" w:cs="Verdana"/>
          <w:sz w:val="20"/>
          <w:szCs w:val="20"/>
        </w:rPr>
      </w:pPr>
    </w:p>
    <w:p w14:paraId="0BB2DCA9" w14:textId="21EA0ACF" w:rsidR="009D0542" w:rsidRPr="00CC106A" w:rsidRDefault="009D0542" w:rsidP="00344F1C">
      <w:pPr>
        <w:spacing w:after="0" w:line="240" w:lineRule="auto"/>
        <w:jc w:val="both"/>
        <w:rPr>
          <w:rFonts w:ascii="Verdana" w:eastAsia="Verdana" w:hAnsi="Verdana" w:cs="Verdana"/>
          <w:sz w:val="20"/>
          <w:szCs w:val="20"/>
        </w:rPr>
      </w:pPr>
      <w:r w:rsidRPr="00CC106A">
        <w:rPr>
          <w:rFonts w:ascii="Verdana" w:eastAsia="Verdana" w:hAnsi="Verdana" w:cs="Verdana"/>
          <w:sz w:val="20"/>
          <w:szCs w:val="20"/>
        </w:rPr>
        <w:t xml:space="preserve">En torno a los límites de </w:t>
      </w:r>
      <w:r w:rsidRPr="00CC106A">
        <w:rPr>
          <w:rFonts w:ascii="Verdana" w:eastAsia="Verdana" w:hAnsi="Verdana" w:cs="Verdana"/>
          <w:i/>
          <w:sz w:val="20"/>
          <w:szCs w:val="20"/>
        </w:rPr>
        <w:t>orden formal</w:t>
      </w:r>
      <w:r w:rsidRPr="00CC106A">
        <w:rPr>
          <w:rFonts w:ascii="Verdana" w:eastAsia="Verdana" w:hAnsi="Verdana" w:cs="Verdana"/>
          <w:sz w:val="20"/>
          <w:szCs w:val="20"/>
        </w:rPr>
        <w:t xml:space="preserve">, debe señalarse que, por un lado, es necesario que, la </w:t>
      </w:r>
      <w:r w:rsidRPr="00CC106A">
        <w:rPr>
          <w:rFonts w:ascii="Verdana" w:eastAsia="Verdana" w:hAnsi="Verdana" w:cs="Verdana"/>
          <w:sz w:val="20"/>
          <w:szCs w:val="20"/>
          <w:lang w:val="es-MX"/>
        </w:rPr>
        <w:t xml:space="preserve">modificación de los contratos conste por escrito, dado el carácter solemne del </w:t>
      </w:r>
      <w:r w:rsidRPr="00CC106A">
        <w:rPr>
          <w:rFonts w:ascii="Verdana" w:eastAsia="Verdana" w:hAnsi="Verdana" w:cs="Verdana"/>
          <w:sz w:val="20"/>
          <w:szCs w:val="20"/>
          <w:lang w:val="es-MX"/>
        </w:rPr>
        <w:lastRenderedPageBreak/>
        <w:t xml:space="preserve">contrato estatal y que sea suscrito por el jefe o representante legal o su delegado, de conformidad con los artículos 11 y 12 de la Ley 80 de 1993, así como el deber de la existencia de las disponibilidades presupuestales para el cumplimiento de las obligaciones. Por otro lado, </w:t>
      </w:r>
      <w:r w:rsidRPr="00CC106A">
        <w:rPr>
          <w:rFonts w:ascii="Verdana" w:eastAsia="Verdana" w:hAnsi="Verdana" w:cs="Verdana"/>
          <w:sz w:val="20"/>
          <w:szCs w:val="20"/>
        </w:rPr>
        <w:t xml:space="preserve">la entidad debe motivar y justificar la modificación. </w:t>
      </w:r>
    </w:p>
    <w:p w14:paraId="67C7F63E" w14:textId="77777777" w:rsidR="009D0542" w:rsidRPr="00CC106A" w:rsidRDefault="009D0542" w:rsidP="00344F1C">
      <w:pPr>
        <w:spacing w:after="0" w:line="240" w:lineRule="auto"/>
        <w:jc w:val="both"/>
        <w:rPr>
          <w:rFonts w:ascii="Verdana" w:eastAsia="Verdana" w:hAnsi="Verdana" w:cs="Verdana"/>
          <w:sz w:val="20"/>
          <w:szCs w:val="20"/>
        </w:rPr>
      </w:pPr>
    </w:p>
    <w:p w14:paraId="65549A54" w14:textId="4CD39C95" w:rsidR="009D0542" w:rsidRPr="00CC106A" w:rsidRDefault="009D0542" w:rsidP="00344F1C">
      <w:pPr>
        <w:spacing w:after="0" w:line="240" w:lineRule="auto"/>
        <w:jc w:val="both"/>
        <w:rPr>
          <w:rFonts w:ascii="Verdana" w:eastAsia="Verdana" w:hAnsi="Verdana" w:cs="Verdana"/>
          <w:i/>
          <w:sz w:val="20"/>
          <w:szCs w:val="20"/>
          <w:lang w:val="es-MX"/>
        </w:rPr>
      </w:pPr>
      <w:r w:rsidRPr="00CC106A">
        <w:rPr>
          <w:rFonts w:ascii="Verdana" w:eastAsia="Verdana" w:hAnsi="Verdana" w:cs="Verdana"/>
          <w:sz w:val="20"/>
          <w:szCs w:val="20"/>
        </w:rPr>
        <w:t xml:space="preserve">Los límites materiales </w:t>
      </w:r>
      <w:r w:rsidRPr="00CC106A">
        <w:rPr>
          <w:rFonts w:ascii="Verdana" w:eastAsia="Verdana" w:hAnsi="Verdana" w:cs="Verdana"/>
          <w:sz w:val="20"/>
          <w:szCs w:val="20"/>
          <w:lang w:val="es-MX"/>
        </w:rPr>
        <w:t xml:space="preserve">corresponden a la prohibición de modificar las condiciones sustanciales del contrato, que se presentará en los casos en que se incluyan elementos que, </w:t>
      </w:r>
      <w:r w:rsidRPr="00CC106A">
        <w:rPr>
          <w:rFonts w:ascii="Verdana" w:eastAsia="Verdana" w:hAnsi="Verdana" w:cs="Verdana"/>
          <w:i/>
          <w:sz w:val="20"/>
          <w:szCs w:val="20"/>
          <w:lang w:val="es-MX"/>
        </w:rPr>
        <w:t xml:space="preserve">“habiendo figurado en el procedimiento inicial, hubiera permitido la participación de otros interesados aparte de los inicialmente admitidos, o seleccionar una oferta distinta de la inicialmente seleccionada”. </w:t>
      </w:r>
      <w:r w:rsidRPr="00CC106A">
        <w:rPr>
          <w:rFonts w:ascii="Verdana" w:eastAsia="Verdana" w:hAnsi="Verdana" w:cs="Verdana"/>
          <w:sz w:val="20"/>
          <w:szCs w:val="20"/>
          <w:lang w:val="es-MX"/>
        </w:rPr>
        <w:t>Finalmente, se encuentran los límites axiológicos, los cuales atienen a la necesidad de preservar los principios de igualdad, transparencia, libertad de concurrencia, selección objetiva y planeación</w:t>
      </w:r>
      <w:r w:rsidR="004F671E">
        <w:rPr>
          <w:rFonts w:ascii="Verdana" w:eastAsia="Verdana" w:hAnsi="Verdana" w:cs="Verdana"/>
          <w:sz w:val="20"/>
          <w:szCs w:val="20"/>
          <w:lang w:val="es-MX"/>
        </w:rPr>
        <w:t>.</w:t>
      </w:r>
      <w:r w:rsidRPr="00CC106A">
        <w:rPr>
          <w:rFonts w:ascii="Verdana" w:eastAsia="Verdana" w:hAnsi="Verdana" w:cs="Verdana"/>
          <w:sz w:val="20"/>
          <w:szCs w:val="20"/>
        </w:rPr>
        <w:t xml:space="preserve"> </w:t>
      </w:r>
    </w:p>
    <w:p w14:paraId="70B31371" w14:textId="77777777" w:rsidR="00C63CCE" w:rsidRPr="00344F1C" w:rsidRDefault="00C63CCE" w:rsidP="00344F1C">
      <w:pPr>
        <w:spacing w:after="0" w:line="240" w:lineRule="auto"/>
        <w:jc w:val="both"/>
        <w:rPr>
          <w:rFonts w:ascii="Verdana" w:eastAsia="Verdana" w:hAnsi="Verdana" w:cs="Verdana"/>
          <w:sz w:val="20"/>
          <w:szCs w:val="20"/>
        </w:rPr>
      </w:pPr>
    </w:p>
    <w:p w14:paraId="425C8C9A" w14:textId="77777777" w:rsidR="00C63CCE" w:rsidRDefault="00C63CCE" w:rsidP="00E73E8C">
      <w:pPr>
        <w:spacing w:after="0" w:line="240" w:lineRule="auto"/>
        <w:rPr>
          <w:rFonts w:ascii="Verdana" w:eastAsia="Verdana" w:hAnsi="Verdana" w:cs="Verdana"/>
        </w:rPr>
      </w:pPr>
    </w:p>
    <w:p w14:paraId="5748B2D9" w14:textId="77777777" w:rsidR="00943E51" w:rsidRDefault="00943E51" w:rsidP="00E73E8C">
      <w:pPr>
        <w:spacing w:after="0" w:line="240" w:lineRule="auto"/>
        <w:rPr>
          <w:rFonts w:ascii="Verdana" w:eastAsia="Verdana" w:hAnsi="Verdana" w:cs="Verdana"/>
        </w:rPr>
      </w:pPr>
    </w:p>
    <w:p w14:paraId="37A08555" w14:textId="77777777" w:rsidR="00943E51" w:rsidRDefault="00943E51" w:rsidP="00E73E8C">
      <w:pPr>
        <w:spacing w:after="0" w:line="240" w:lineRule="auto"/>
        <w:rPr>
          <w:rFonts w:ascii="Verdana" w:eastAsia="Verdana" w:hAnsi="Verdana" w:cs="Verdana"/>
        </w:rPr>
      </w:pPr>
    </w:p>
    <w:p w14:paraId="25D53EDA" w14:textId="77777777" w:rsidR="00943E51" w:rsidRDefault="00943E51" w:rsidP="00E73E8C">
      <w:pPr>
        <w:spacing w:after="0" w:line="240" w:lineRule="auto"/>
        <w:rPr>
          <w:rFonts w:ascii="Verdana" w:eastAsia="Verdana" w:hAnsi="Verdana" w:cs="Verdana"/>
        </w:rPr>
      </w:pPr>
    </w:p>
    <w:p w14:paraId="1D89D7FC" w14:textId="77777777" w:rsidR="00943E51" w:rsidRDefault="00943E51" w:rsidP="00E73E8C">
      <w:pPr>
        <w:spacing w:after="0" w:line="240" w:lineRule="auto"/>
        <w:rPr>
          <w:rFonts w:ascii="Verdana" w:eastAsia="Verdana" w:hAnsi="Verdana" w:cs="Verdana"/>
        </w:rPr>
      </w:pPr>
    </w:p>
    <w:p w14:paraId="5954FE17" w14:textId="77777777" w:rsidR="00943E51" w:rsidRDefault="00943E51" w:rsidP="00E73E8C">
      <w:pPr>
        <w:spacing w:after="0" w:line="240" w:lineRule="auto"/>
        <w:rPr>
          <w:rFonts w:ascii="Verdana" w:eastAsia="Verdana" w:hAnsi="Verdana" w:cs="Verdana"/>
        </w:rPr>
      </w:pPr>
    </w:p>
    <w:p w14:paraId="4485CBED" w14:textId="77777777" w:rsidR="00943E51" w:rsidRDefault="00943E51" w:rsidP="00E73E8C">
      <w:pPr>
        <w:spacing w:after="0" w:line="240" w:lineRule="auto"/>
        <w:rPr>
          <w:rFonts w:ascii="Verdana" w:eastAsia="Verdana" w:hAnsi="Verdana" w:cs="Verdana"/>
        </w:rPr>
      </w:pPr>
    </w:p>
    <w:p w14:paraId="31A45E8F" w14:textId="77777777" w:rsidR="00943E51" w:rsidRDefault="00943E51" w:rsidP="00E73E8C">
      <w:pPr>
        <w:spacing w:after="0" w:line="240" w:lineRule="auto"/>
        <w:rPr>
          <w:rFonts w:ascii="Verdana" w:eastAsia="Verdana" w:hAnsi="Verdana" w:cs="Verdana"/>
        </w:rPr>
      </w:pPr>
    </w:p>
    <w:p w14:paraId="02DECD16" w14:textId="77777777" w:rsidR="00943E51" w:rsidRDefault="00943E51" w:rsidP="00E73E8C">
      <w:pPr>
        <w:spacing w:after="0" w:line="240" w:lineRule="auto"/>
        <w:rPr>
          <w:rFonts w:ascii="Verdana" w:eastAsia="Verdana" w:hAnsi="Verdana" w:cs="Verdana"/>
        </w:rPr>
      </w:pPr>
    </w:p>
    <w:p w14:paraId="7E4A6535" w14:textId="77777777" w:rsidR="00943E51" w:rsidRDefault="00943E51" w:rsidP="00E73E8C">
      <w:pPr>
        <w:spacing w:after="0" w:line="240" w:lineRule="auto"/>
        <w:rPr>
          <w:rFonts w:ascii="Verdana" w:eastAsia="Verdana" w:hAnsi="Verdana" w:cs="Verdana"/>
        </w:rPr>
      </w:pPr>
    </w:p>
    <w:p w14:paraId="7E2C6C3B" w14:textId="77777777" w:rsidR="00943E51" w:rsidRDefault="00943E51" w:rsidP="00E73E8C">
      <w:pPr>
        <w:spacing w:after="0" w:line="240" w:lineRule="auto"/>
        <w:rPr>
          <w:rFonts w:ascii="Verdana" w:eastAsia="Verdana" w:hAnsi="Verdana" w:cs="Verdana"/>
        </w:rPr>
      </w:pPr>
    </w:p>
    <w:p w14:paraId="1DC9A65A" w14:textId="77777777" w:rsidR="00943E51" w:rsidRDefault="00943E51" w:rsidP="00E73E8C">
      <w:pPr>
        <w:spacing w:after="0" w:line="240" w:lineRule="auto"/>
        <w:rPr>
          <w:rFonts w:ascii="Verdana" w:eastAsia="Verdana" w:hAnsi="Verdana" w:cs="Verdana"/>
        </w:rPr>
      </w:pPr>
    </w:p>
    <w:p w14:paraId="735052E3" w14:textId="77777777" w:rsidR="00943E51" w:rsidRDefault="00943E51" w:rsidP="00E73E8C">
      <w:pPr>
        <w:spacing w:after="0" w:line="240" w:lineRule="auto"/>
        <w:rPr>
          <w:rFonts w:ascii="Verdana" w:eastAsia="Verdana" w:hAnsi="Verdana" w:cs="Verdana"/>
        </w:rPr>
      </w:pPr>
    </w:p>
    <w:p w14:paraId="788D3D63" w14:textId="77777777" w:rsidR="00943E51" w:rsidRDefault="00943E51" w:rsidP="00E73E8C">
      <w:pPr>
        <w:spacing w:after="0" w:line="240" w:lineRule="auto"/>
        <w:rPr>
          <w:rFonts w:ascii="Verdana" w:eastAsia="Verdana" w:hAnsi="Verdana" w:cs="Verdana"/>
        </w:rPr>
      </w:pPr>
    </w:p>
    <w:p w14:paraId="057A6B07" w14:textId="77777777" w:rsidR="00943E51" w:rsidRDefault="00943E51" w:rsidP="00E73E8C">
      <w:pPr>
        <w:spacing w:after="0" w:line="240" w:lineRule="auto"/>
        <w:rPr>
          <w:rFonts w:ascii="Verdana" w:eastAsia="Verdana" w:hAnsi="Verdana" w:cs="Verdana"/>
        </w:rPr>
      </w:pPr>
    </w:p>
    <w:p w14:paraId="7CDFF207" w14:textId="77777777" w:rsidR="00943E51" w:rsidRDefault="00943E51" w:rsidP="00E73E8C">
      <w:pPr>
        <w:spacing w:after="0" w:line="240" w:lineRule="auto"/>
        <w:rPr>
          <w:rFonts w:ascii="Verdana" w:eastAsia="Verdana" w:hAnsi="Verdana" w:cs="Verdana"/>
        </w:rPr>
      </w:pPr>
    </w:p>
    <w:p w14:paraId="743D328C" w14:textId="77777777" w:rsidR="00943E51" w:rsidRDefault="00943E51" w:rsidP="00E73E8C">
      <w:pPr>
        <w:spacing w:after="0" w:line="240" w:lineRule="auto"/>
        <w:rPr>
          <w:rFonts w:ascii="Verdana" w:eastAsia="Verdana" w:hAnsi="Verdana" w:cs="Verdana"/>
        </w:rPr>
      </w:pPr>
    </w:p>
    <w:p w14:paraId="40FBD002" w14:textId="77777777" w:rsidR="00943E51" w:rsidRDefault="00943E51" w:rsidP="00E73E8C">
      <w:pPr>
        <w:spacing w:after="0" w:line="240" w:lineRule="auto"/>
        <w:rPr>
          <w:rFonts w:ascii="Verdana" w:eastAsia="Verdana" w:hAnsi="Verdana" w:cs="Verdana"/>
        </w:rPr>
      </w:pPr>
    </w:p>
    <w:p w14:paraId="7DD14D01" w14:textId="77777777" w:rsidR="00943E51" w:rsidRDefault="00943E51" w:rsidP="00E73E8C">
      <w:pPr>
        <w:spacing w:after="0" w:line="240" w:lineRule="auto"/>
        <w:rPr>
          <w:rFonts w:ascii="Verdana" w:eastAsia="Verdana" w:hAnsi="Verdana" w:cs="Verdana"/>
        </w:rPr>
      </w:pPr>
    </w:p>
    <w:p w14:paraId="23741E2B" w14:textId="77777777" w:rsidR="00943E51" w:rsidRDefault="00943E51" w:rsidP="00E73E8C">
      <w:pPr>
        <w:spacing w:after="0" w:line="240" w:lineRule="auto"/>
        <w:rPr>
          <w:rFonts w:ascii="Verdana" w:eastAsia="Verdana" w:hAnsi="Verdana" w:cs="Verdana"/>
        </w:rPr>
      </w:pPr>
    </w:p>
    <w:p w14:paraId="3D38D435" w14:textId="77777777" w:rsidR="00943E51" w:rsidRDefault="00943E51" w:rsidP="00E73E8C">
      <w:pPr>
        <w:spacing w:after="0" w:line="240" w:lineRule="auto"/>
        <w:rPr>
          <w:rFonts w:ascii="Verdana" w:eastAsia="Verdana" w:hAnsi="Verdana" w:cs="Verdana"/>
        </w:rPr>
      </w:pPr>
    </w:p>
    <w:p w14:paraId="3A80B647" w14:textId="77777777" w:rsidR="00943E51" w:rsidRDefault="00943E51" w:rsidP="00E73E8C">
      <w:pPr>
        <w:spacing w:after="0" w:line="240" w:lineRule="auto"/>
        <w:rPr>
          <w:rFonts w:ascii="Verdana" w:eastAsia="Verdana" w:hAnsi="Verdana" w:cs="Verdana"/>
        </w:rPr>
      </w:pPr>
    </w:p>
    <w:p w14:paraId="2F1E4239" w14:textId="77777777" w:rsidR="00943E51" w:rsidRDefault="00943E51" w:rsidP="00E73E8C">
      <w:pPr>
        <w:spacing w:after="0" w:line="240" w:lineRule="auto"/>
        <w:rPr>
          <w:rFonts w:ascii="Verdana" w:eastAsia="Verdana" w:hAnsi="Verdana" w:cs="Verdana"/>
        </w:rPr>
      </w:pPr>
    </w:p>
    <w:p w14:paraId="2FD98DF3" w14:textId="77777777" w:rsidR="00943E51" w:rsidRDefault="00943E51" w:rsidP="00E73E8C">
      <w:pPr>
        <w:spacing w:after="0" w:line="240" w:lineRule="auto"/>
        <w:rPr>
          <w:rFonts w:ascii="Verdana" w:eastAsia="Verdana" w:hAnsi="Verdana" w:cs="Verdana"/>
        </w:rPr>
      </w:pPr>
    </w:p>
    <w:p w14:paraId="2C990959" w14:textId="77777777" w:rsidR="00943E51" w:rsidRDefault="00943E51" w:rsidP="00E73E8C">
      <w:pPr>
        <w:spacing w:after="0" w:line="240" w:lineRule="auto"/>
        <w:rPr>
          <w:rFonts w:ascii="Verdana" w:eastAsia="Verdana" w:hAnsi="Verdana" w:cs="Verdana"/>
        </w:rPr>
      </w:pPr>
    </w:p>
    <w:p w14:paraId="0E0DE474" w14:textId="77777777" w:rsidR="00943E51" w:rsidRDefault="00943E51" w:rsidP="00E73E8C">
      <w:pPr>
        <w:spacing w:after="0" w:line="240" w:lineRule="auto"/>
        <w:rPr>
          <w:rFonts w:ascii="Verdana" w:eastAsia="Verdana" w:hAnsi="Verdana" w:cs="Verdana"/>
        </w:rPr>
      </w:pPr>
    </w:p>
    <w:p w14:paraId="5174EF31" w14:textId="77777777" w:rsidR="00943E51" w:rsidRDefault="00943E51" w:rsidP="00E73E8C">
      <w:pPr>
        <w:spacing w:after="0" w:line="240" w:lineRule="auto"/>
        <w:rPr>
          <w:rFonts w:ascii="Verdana" w:eastAsia="Verdana" w:hAnsi="Verdana" w:cs="Verdana"/>
        </w:rPr>
      </w:pPr>
    </w:p>
    <w:p w14:paraId="0C514A40" w14:textId="77777777" w:rsidR="00943E51" w:rsidRDefault="00943E51" w:rsidP="00E73E8C">
      <w:pPr>
        <w:spacing w:after="0" w:line="240" w:lineRule="auto"/>
        <w:rPr>
          <w:rFonts w:ascii="Verdana" w:eastAsia="Verdana" w:hAnsi="Verdana" w:cs="Verdana"/>
        </w:rPr>
      </w:pPr>
    </w:p>
    <w:p w14:paraId="1A2AA3B4" w14:textId="21F98D83" w:rsidR="00943E51" w:rsidRDefault="00943E51" w:rsidP="00E73E8C">
      <w:pPr>
        <w:spacing w:after="0" w:line="240" w:lineRule="auto"/>
        <w:rPr>
          <w:rFonts w:ascii="Verdana" w:eastAsia="Verdana" w:hAnsi="Verdana" w:cs="Verdana"/>
        </w:rPr>
      </w:pPr>
    </w:p>
    <w:p w14:paraId="788A7B7F" w14:textId="5F70D1A0" w:rsidR="00E73E8C" w:rsidRPr="006921BC" w:rsidRDefault="00E73E8C" w:rsidP="00E73E8C">
      <w:pPr>
        <w:spacing w:after="0" w:line="240" w:lineRule="auto"/>
        <w:rPr>
          <w:rFonts w:ascii="Verdana" w:eastAsia="Calibri" w:hAnsi="Verdana" w:cs="Arial"/>
          <w:color w:val="000000"/>
          <w:lang w:val="es-ES"/>
        </w:rPr>
      </w:pPr>
      <w:r w:rsidRPr="30821638">
        <w:rPr>
          <w:rFonts w:ascii="Verdana" w:eastAsia="Verdana" w:hAnsi="Verdana" w:cs="Verdana"/>
        </w:rPr>
        <w:lastRenderedPageBreak/>
        <w:t>Bogotá D.C.,</w:t>
      </w:r>
      <w:r w:rsidR="00C63CCE">
        <w:rPr>
          <w:rFonts w:ascii="Verdana" w:eastAsia="Verdana" w:hAnsi="Verdana" w:cs="Verdana"/>
        </w:rPr>
        <w:t xml:space="preserve"> 15 de julio de 2026</w:t>
      </w:r>
      <w:r>
        <w:tab/>
      </w:r>
      <w:r>
        <w:br/>
      </w:r>
    </w:p>
    <w:p w14:paraId="73B0BE4E" w14:textId="0626CD42" w:rsidR="00E73E8C" w:rsidRPr="006921BC" w:rsidRDefault="004F671E" w:rsidP="00E73E8C">
      <w:pPr>
        <w:spacing w:after="0" w:line="240" w:lineRule="auto"/>
        <w:rPr>
          <w:rFonts w:ascii="Verdana" w:eastAsia="Calibri" w:hAnsi="Verdana" w:cs="Arial"/>
          <w:color w:val="000000"/>
          <w:lang w:val="es-ES"/>
        </w:rPr>
      </w:pPr>
      <w:r w:rsidRPr="003C380A">
        <w:rPr>
          <w:noProof/>
        </w:rPr>
        <w:drawing>
          <wp:anchor distT="0" distB="0" distL="114300" distR="114300" simplePos="0" relativeHeight="251658240" behindDoc="0" locked="0" layoutInCell="1" allowOverlap="1" wp14:anchorId="7301365D" wp14:editId="199D0032">
            <wp:simplePos x="0" y="0"/>
            <wp:positionH relativeFrom="margin">
              <wp:align>right</wp:align>
            </wp:positionH>
            <wp:positionV relativeFrom="paragraph">
              <wp:posOffset>14522</wp:posOffset>
            </wp:positionV>
            <wp:extent cx="2519045" cy="697230"/>
            <wp:effectExtent l="0" t="0" r="0" b="7620"/>
            <wp:wrapSquare wrapText="bothSides"/>
            <wp:docPr id="4560477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9045" cy="697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81AA40" w14:textId="77777777" w:rsidR="00E73E8C" w:rsidRPr="006921BC" w:rsidRDefault="00E73E8C" w:rsidP="00E73E8C">
      <w:pPr>
        <w:spacing w:after="0" w:line="240" w:lineRule="auto"/>
        <w:jc w:val="both"/>
        <w:rPr>
          <w:rFonts w:ascii="Verdana" w:eastAsia="Calibri" w:hAnsi="Verdana" w:cs="Arial"/>
          <w:b/>
          <w:lang w:val="es-ES" w:eastAsia="es-ES"/>
        </w:rPr>
      </w:pPr>
      <w:r w:rsidRPr="006921BC">
        <w:rPr>
          <w:rFonts w:ascii="Verdana" w:eastAsia="Calibri" w:hAnsi="Verdana" w:cs="Arial"/>
          <w:lang w:val="es-ES" w:eastAsia="es-ES"/>
        </w:rPr>
        <w:t>Señor</w:t>
      </w:r>
    </w:p>
    <w:p w14:paraId="2F6D3317" w14:textId="77777777" w:rsidR="00E73E8C" w:rsidRPr="006921BC" w:rsidRDefault="00E73E8C" w:rsidP="00E73E8C">
      <w:pPr>
        <w:spacing w:after="0" w:line="240" w:lineRule="auto"/>
        <w:rPr>
          <w:rFonts w:ascii="Verdana" w:eastAsia="Calibri" w:hAnsi="Verdana" w:cs="Arial"/>
          <w:b/>
          <w:lang w:eastAsia="es-ES"/>
        </w:rPr>
      </w:pPr>
      <w:r w:rsidRPr="006921BC">
        <w:rPr>
          <w:rFonts w:ascii="Verdana" w:eastAsia="Calibri" w:hAnsi="Verdana" w:cs="Arial"/>
          <w:b/>
          <w:lang w:eastAsia="es-ES"/>
        </w:rPr>
        <w:t>Héctor Estiven Patiño Barrera</w:t>
      </w:r>
    </w:p>
    <w:p w14:paraId="0B4DCB08" w14:textId="77777777" w:rsidR="00E73E8C" w:rsidRPr="006921BC" w:rsidRDefault="00E73E8C" w:rsidP="00E73E8C">
      <w:pPr>
        <w:spacing w:after="0" w:line="240" w:lineRule="auto"/>
        <w:rPr>
          <w:rFonts w:ascii="Verdana" w:hAnsi="Verdana"/>
        </w:rPr>
      </w:pPr>
      <w:hyperlink r:id="rId12" w:history="1">
        <w:r w:rsidRPr="006921BC">
          <w:rPr>
            <w:rStyle w:val="Hipervnculo"/>
            <w:rFonts w:ascii="Verdana" w:hAnsi="Verdana"/>
          </w:rPr>
          <w:t>hector.patino@aerocivil.gov.co</w:t>
        </w:r>
      </w:hyperlink>
      <w:r w:rsidRPr="006921BC">
        <w:rPr>
          <w:rFonts w:ascii="Verdana" w:hAnsi="Verdana"/>
        </w:rPr>
        <w:t xml:space="preserve"> </w:t>
      </w:r>
    </w:p>
    <w:p w14:paraId="4272A4EF" w14:textId="77777777" w:rsidR="00E73E8C" w:rsidRPr="006921BC" w:rsidRDefault="00E73E8C" w:rsidP="00E73E8C">
      <w:pPr>
        <w:spacing w:after="0" w:line="240" w:lineRule="auto"/>
        <w:rPr>
          <w:rFonts w:ascii="Verdana" w:eastAsia="Calibri" w:hAnsi="Verdana" w:cs="Arial"/>
          <w:lang w:eastAsia="es-ES"/>
        </w:rPr>
      </w:pPr>
      <w:r w:rsidRPr="006921BC">
        <w:rPr>
          <w:rFonts w:ascii="Verdana" w:eastAsia="Calibri" w:hAnsi="Verdana" w:cs="Arial"/>
          <w:lang w:eastAsia="es-ES"/>
        </w:rPr>
        <w:t>Bogotá D.C.</w:t>
      </w:r>
    </w:p>
    <w:p w14:paraId="432E330D" w14:textId="77777777" w:rsidR="00E73E8C" w:rsidRPr="006921BC" w:rsidRDefault="00E73E8C" w:rsidP="00E73E8C">
      <w:pPr>
        <w:spacing w:after="0" w:line="240" w:lineRule="auto"/>
        <w:rPr>
          <w:rFonts w:ascii="Verdana" w:eastAsia="Calibri" w:hAnsi="Verdana" w:cs="Arial"/>
          <w:b/>
          <w:bCs/>
          <w:color w:val="000000"/>
          <w:lang w:eastAsia="es-ES_tradnl"/>
        </w:rPr>
      </w:pPr>
    </w:p>
    <w:p w14:paraId="5E694579" w14:textId="77777777" w:rsidR="00E73E8C" w:rsidRPr="00DA61E0" w:rsidRDefault="00E73E8C" w:rsidP="00E73E8C">
      <w:pPr>
        <w:spacing w:after="0" w:line="240" w:lineRule="auto"/>
        <w:rPr>
          <w:rFonts w:ascii="Verdana" w:eastAsia="Calibri" w:hAnsi="Verdana" w:cs="Arial"/>
          <w:b/>
          <w:bCs/>
          <w:color w:val="000000"/>
          <w:lang w:eastAsia="es-ES_tradnl"/>
        </w:rPr>
      </w:pPr>
    </w:p>
    <w:tbl>
      <w:tblPr>
        <w:tblStyle w:val="Tablaconcuadrcula11"/>
        <w:tblW w:w="88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38"/>
        <w:gridCol w:w="6100"/>
      </w:tblGrid>
      <w:tr w:rsidR="00E73E8C" w:rsidRPr="00DA61E0" w14:paraId="70D24DE3" w14:textId="77777777" w:rsidTr="00084BCA">
        <w:trPr>
          <w:trHeight w:val="194"/>
        </w:trPr>
        <w:tc>
          <w:tcPr>
            <w:tcW w:w="2738" w:type="dxa"/>
          </w:tcPr>
          <w:p w14:paraId="079B254D" w14:textId="77777777" w:rsidR="00E73E8C" w:rsidRPr="00DA61E0" w:rsidRDefault="00E73E8C" w:rsidP="00084BCA">
            <w:pPr>
              <w:jc w:val="both"/>
              <w:rPr>
                <w:rFonts w:ascii="Verdana" w:hAnsi="Verdana" w:cs="Arial"/>
                <w:b/>
                <w:bCs/>
                <w:color w:val="7030A0"/>
                <w:lang w:eastAsia="es-ES_tradnl"/>
              </w:rPr>
            </w:pPr>
          </w:p>
        </w:tc>
        <w:tc>
          <w:tcPr>
            <w:tcW w:w="6100" w:type="dxa"/>
          </w:tcPr>
          <w:p w14:paraId="65F2B57D" w14:textId="4AFA749B" w:rsidR="00E73E8C" w:rsidRPr="00DA61E0" w:rsidRDefault="00E73E8C" w:rsidP="00084BCA">
            <w:pPr>
              <w:jc w:val="both"/>
              <w:rPr>
                <w:rFonts w:ascii="Verdana" w:hAnsi="Verdana" w:cs="Arial"/>
                <w:b/>
                <w:bCs/>
                <w:lang w:val="es-ES" w:eastAsia="es-ES"/>
              </w:rPr>
            </w:pPr>
            <w:r w:rsidRPr="00DA61E0">
              <w:rPr>
                <w:rFonts w:ascii="Verdana" w:hAnsi="Verdana" w:cs="Arial"/>
                <w:b/>
                <w:bCs/>
                <w:lang w:val="es-ES" w:eastAsia="es-ES"/>
              </w:rPr>
              <w:t>Concepto C</w:t>
            </w:r>
            <w:r w:rsidR="004F671E">
              <w:rPr>
                <w:rFonts w:ascii="Verdana" w:hAnsi="Verdana" w:cs="Arial"/>
                <w:b/>
                <w:bCs/>
                <w:lang w:val="es-ES" w:eastAsia="es-ES"/>
              </w:rPr>
              <w:t>-</w:t>
            </w:r>
            <w:r>
              <w:rPr>
                <w:rFonts w:ascii="Verdana" w:hAnsi="Verdana" w:cs="Arial"/>
                <w:b/>
                <w:bCs/>
                <w:lang w:val="es-ES" w:eastAsia="es-ES"/>
              </w:rPr>
              <w:t>915 de 2026</w:t>
            </w:r>
          </w:p>
          <w:p w14:paraId="2B29774B" w14:textId="77777777" w:rsidR="00E73E8C" w:rsidRPr="00DA61E0" w:rsidRDefault="00E73E8C" w:rsidP="00084BCA">
            <w:pPr>
              <w:jc w:val="both"/>
              <w:rPr>
                <w:rFonts w:ascii="Verdana" w:hAnsi="Verdana" w:cs="Arial"/>
                <w:b/>
                <w:bCs/>
                <w:color w:val="7030A0"/>
                <w:lang w:val="es-ES" w:eastAsia="es-ES"/>
              </w:rPr>
            </w:pPr>
          </w:p>
        </w:tc>
      </w:tr>
      <w:tr w:rsidR="00E73E8C" w:rsidRPr="00DA61E0" w14:paraId="55881904" w14:textId="77777777" w:rsidTr="00084BCA">
        <w:trPr>
          <w:trHeight w:val="884"/>
        </w:trPr>
        <w:tc>
          <w:tcPr>
            <w:tcW w:w="2738" w:type="dxa"/>
            <w:hideMark/>
          </w:tcPr>
          <w:p w14:paraId="4F02EEE8" w14:textId="77777777" w:rsidR="00E73E8C" w:rsidRPr="00DA61E0" w:rsidRDefault="00E73E8C" w:rsidP="00084BCA">
            <w:pPr>
              <w:spacing w:line="276" w:lineRule="auto"/>
              <w:jc w:val="both"/>
              <w:rPr>
                <w:rFonts w:ascii="Verdana" w:hAnsi="Verdana" w:cs="Arial"/>
                <w:color w:val="000000"/>
                <w:lang w:val="es-ES_tradnl" w:eastAsia="es-ES_tradnl"/>
              </w:rPr>
            </w:pPr>
            <w:r w:rsidRPr="00DA61E0">
              <w:rPr>
                <w:rFonts w:ascii="Verdana" w:hAnsi="Verdana" w:cs="Arial"/>
                <w:b/>
                <w:color w:val="000000"/>
                <w:lang w:val="es-ES_tradnl" w:eastAsia="es-ES_tradnl"/>
              </w:rPr>
              <w:t>Temas:</w:t>
            </w:r>
            <w:r w:rsidRPr="00DA61E0">
              <w:rPr>
                <w:rFonts w:ascii="Verdana" w:hAnsi="Verdana" w:cs="Arial"/>
                <w:color w:val="000000"/>
                <w:lang w:val="es-ES_tradnl" w:eastAsia="es-ES_tradnl"/>
              </w:rPr>
              <w:t xml:space="preserve">                   </w:t>
            </w:r>
          </w:p>
        </w:tc>
        <w:tc>
          <w:tcPr>
            <w:tcW w:w="6100" w:type="dxa"/>
          </w:tcPr>
          <w:p w14:paraId="3E94146C" w14:textId="2668C4B8" w:rsidR="00E73E8C" w:rsidRPr="00813563" w:rsidRDefault="00E73E8C" w:rsidP="00084BCA">
            <w:pPr>
              <w:spacing w:line="276" w:lineRule="auto"/>
              <w:jc w:val="both"/>
              <w:rPr>
                <w:rFonts w:ascii="Verdana" w:hAnsi="Verdana" w:cs="Arial"/>
                <w:bCs/>
                <w:lang w:val="es-ES_tradnl" w:eastAsia="es-ES"/>
              </w:rPr>
            </w:pPr>
            <w:r>
              <w:rPr>
                <w:rFonts w:ascii="Verdana" w:hAnsi="Verdana" w:cs="Arial"/>
                <w:lang w:val="es-ES_tradnl" w:eastAsia="es-ES"/>
              </w:rPr>
              <w:t xml:space="preserve">PRECIO – Elemento – Contrato Estatal / </w:t>
            </w:r>
            <w:r w:rsidRPr="0037636C">
              <w:rPr>
                <w:rFonts w:ascii="Verdana" w:hAnsi="Verdana" w:cs="Arial"/>
                <w:lang w:val="es-ES" w:eastAsia="es-ES"/>
              </w:rPr>
              <w:t>PRECIOS UNITARIOS –</w:t>
            </w:r>
            <w:r>
              <w:rPr>
                <w:rFonts w:ascii="Verdana" w:hAnsi="Verdana" w:cs="Arial"/>
                <w:lang w:val="es-ES" w:eastAsia="es-ES"/>
              </w:rPr>
              <w:t xml:space="preserve"> Estructuración del precio </w:t>
            </w:r>
            <w:r w:rsidRPr="0037636C">
              <w:rPr>
                <w:rFonts w:ascii="Verdana" w:hAnsi="Verdana" w:cs="Arial"/>
                <w:lang w:val="es-ES" w:eastAsia="es-ES"/>
              </w:rPr>
              <w:t>– C</w:t>
            </w:r>
            <w:r>
              <w:rPr>
                <w:rFonts w:ascii="Verdana" w:hAnsi="Verdana" w:cs="Arial"/>
                <w:lang w:val="es-ES" w:eastAsia="es-ES"/>
              </w:rPr>
              <w:t xml:space="preserve">antidades de obra </w:t>
            </w:r>
            <w:r w:rsidRPr="0037636C">
              <w:rPr>
                <w:rFonts w:ascii="Verdana" w:hAnsi="Verdana" w:cs="Arial"/>
                <w:lang w:val="es-ES" w:eastAsia="es-ES"/>
              </w:rPr>
              <w:t xml:space="preserve">/ </w:t>
            </w:r>
            <w:r>
              <w:rPr>
                <w:rFonts w:ascii="Verdana" w:hAnsi="Verdana" w:cs="Arial"/>
                <w:lang w:val="es-ES" w:eastAsia="es-ES"/>
              </w:rPr>
              <w:t xml:space="preserve">PRECIOS UNITARIOS – Diferencias – Mayores cantidades de obra – ítems no previstos / </w:t>
            </w:r>
            <w:r w:rsidRPr="00813563">
              <w:rPr>
                <w:rFonts w:ascii="Verdana" w:hAnsi="Verdana" w:cs="Arial"/>
                <w:bCs/>
                <w:lang w:val="es-ES" w:eastAsia="es-ES"/>
              </w:rPr>
              <w:t>PRECIOS UNITARIOS – APU – Obras adicionales – ítems no previstos</w:t>
            </w:r>
            <w:r>
              <w:rPr>
                <w:rFonts w:ascii="Verdana" w:hAnsi="Verdana" w:cs="Arial"/>
                <w:bCs/>
                <w:lang w:val="es-ES" w:eastAsia="es-ES"/>
              </w:rPr>
              <w:t xml:space="preserve"> / MODIFICACIÓN CONTRACTUAL – Condiciones</w:t>
            </w:r>
          </w:p>
          <w:p w14:paraId="51E03A6A" w14:textId="77777777" w:rsidR="00E73E8C" w:rsidRPr="00DA61E0" w:rsidRDefault="00E73E8C" w:rsidP="00084BCA">
            <w:pPr>
              <w:spacing w:line="276" w:lineRule="auto"/>
              <w:jc w:val="both"/>
              <w:rPr>
                <w:rFonts w:ascii="Verdana" w:hAnsi="Verdana" w:cs="Arial"/>
                <w:lang w:val="es-ES" w:eastAsia="es-ES"/>
              </w:rPr>
            </w:pPr>
          </w:p>
          <w:p w14:paraId="222DE3C7" w14:textId="77777777" w:rsidR="00E73E8C" w:rsidRPr="00DA61E0" w:rsidRDefault="00E73E8C" w:rsidP="00084BCA">
            <w:pPr>
              <w:spacing w:line="276" w:lineRule="auto"/>
              <w:jc w:val="both"/>
              <w:rPr>
                <w:rFonts w:ascii="Verdana" w:hAnsi="Verdana" w:cs="Arial"/>
                <w:lang w:val="es-ES" w:eastAsia="es-ES"/>
              </w:rPr>
            </w:pPr>
          </w:p>
        </w:tc>
      </w:tr>
      <w:tr w:rsidR="00E73E8C" w:rsidRPr="00DA61E0" w14:paraId="2D102FE4" w14:textId="77777777" w:rsidTr="00084BCA">
        <w:trPr>
          <w:trHeight w:val="644"/>
        </w:trPr>
        <w:tc>
          <w:tcPr>
            <w:tcW w:w="2738" w:type="dxa"/>
            <w:hideMark/>
          </w:tcPr>
          <w:p w14:paraId="6134927B" w14:textId="77777777" w:rsidR="00E73E8C" w:rsidRPr="00DA61E0" w:rsidRDefault="00E73E8C" w:rsidP="00084BCA">
            <w:pPr>
              <w:jc w:val="both"/>
              <w:rPr>
                <w:rFonts w:ascii="Verdana" w:hAnsi="Verdana" w:cs="Arial"/>
                <w:b/>
                <w:lang w:val="es-ES_tradnl" w:eastAsia="es-ES_tradnl"/>
              </w:rPr>
            </w:pPr>
            <w:r w:rsidRPr="00DA61E0">
              <w:rPr>
                <w:rFonts w:ascii="Verdana" w:hAnsi="Verdana" w:cs="Arial"/>
                <w:b/>
                <w:lang w:val="es-ES_tradnl" w:eastAsia="es-ES_tradnl"/>
              </w:rPr>
              <w:t>Radicación:</w:t>
            </w:r>
            <w:r w:rsidRPr="00DA61E0">
              <w:rPr>
                <w:rFonts w:ascii="Verdana" w:hAnsi="Verdana" w:cs="Arial"/>
                <w:lang w:val="es-ES_tradnl" w:eastAsia="es-ES_tradnl"/>
              </w:rPr>
              <w:t xml:space="preserve">               </w:t>
            </w:r>
          </w:p>
        </w:tc>
        <w:tc>
          <w:tcPr>
            <w:tcW w:w="6100" w:type="dxa"/>
            <w:hideMark/>
          </w:tcPr>
          <w:p w14:paraId="38E46555" w14:textId="77777777" w:rsidR="00E73E8C" w:rsidRPr="00DA61E0" w:rsidRDefault="00E73E8C" w:rsidP="00084BCA">
            <w:pPr>
              <w:jc w:val="both"/>
              <w:rPr>
                <w:rFonts w:ascii="Verdana" w:hAnsi="Verdana" w:cs="Arial"/>
                <w:lang w:eastAsia="es-ES_tradnl"/>
              </w:rPr>
            </w:pPr>
            <w:r w:rsidRPr="00DA61E0">
              <w:rPr>
                <w:rFonts w:ascii="Verdana" w:hAnsi="Verdana" w:cs="Arial"/>
                <w:lang w:val="es-ES_tradnl" w:eastAsia="es-ES_tradnl"/>
              </w:rPr>
              <w:t xml:space="preserve">Respuesta a la consulta con radicado No. </w:t>
            </w:r>
            <w:r w:rsidRPr="006F25A2">
              <w:rPr>
                <w:rFonts w:ascii="Verdana" w:hAnsi="Verdana" w:cs="Arial"/>
                <w:lang w:eastAsia="es-ES_tradnl"/>
              </w:rPr>
              <w:t>1_2026_06_01_007399</w:t>
            </w:r>
          </w:p>
        </w:tc>
      </w:tr>
    </w:tbl>
    <w:p w14:paraId="610A18A4" w14:textId="77777777" w:rsidR="00E73E8C" w:rsidRPr="00DA61E0" w:rsidRDefault="00E73E8C" w:rsidP="00E73E8C">
      <w:pPr>
        <w:spacing w:after="0" w:line="240" w:lineRule="auto"/>
        <w:jc w:val="both"/>
        <w:rPr>
          <w:rFonts w:ascii="Verdana" w:eastAsia="Calibri" w:hAnsi="Verdana" w:cs="Arial"/>
          <w:color w:val="000000"/>
          <w:lang w:val="es-ES_tradnl" w:eastAsia="es-ES_tradnl"/>
        </w:rPr>
      </w:pPr>
    </w:p>
    <w:p w14:paraId="5B602B1C" w14:textId="77777777" w:rsidR="00E73E8C" w:rsidRPr="00DA61E0" w:rsidRDefault="00E73E8C" w:rsidP="00E73E8C">
      <w:pPr>
        <w:spacing w:after="0" w:line="276" w:lineRule="auto"/>
        <w:jc w:val="both"/>
        <w:rPr>
          <w:rFonts w:ascii="Verdana" w:eastAsia="Calibri" w:hAnsi="Verdana" w:cs="Arial"/>
          <w:lang w:val="es-ES" w:eastAsia="es-ES"/>
        </w:rPr>
      </w:pPr>
      <w:r w:rsidRPr="00DA61E0">
        <w:rPr>
          <w:rFonts w:ascii="Verdana" w:eastAsia="Calibri" w:hAnsi="Verdana" w:cs="Arial"/>
          <w:lang w:val="es-ES" w:eastAsia="es-ES"/>
        </w:rPr>
        <w:t>Estima</w:t>
      </w:r>
      <w:r>
        <w:rPr>
          <w:rFonts w:ascii="Verdana" w:eastAsia="Calibri" w:hAnsi="Verdana" w:cs="Arial"/>
          <w:lang w:val="es-ES" w:eastAsia="es-ES"/>
        </w:rPr>
        <w:t>do Señor Patiño</w:t>
      </w:r>
      <w:r w:rsidRPr="00DA61E0">
        <w:rPr>
          <w:rFonts w:ascii="Verdana" w:eastAsia="Calibri" w:hAnsi="Verdana" w:cs="Arial"/>
          <w:lang w:val="es-ES" w:eastAsia="es-ES"/>
        </w:rPr>
        <w:t xml:space="preserve">: </w:t>
      </w:r>
    </w:p>
    <w:p w14:paraId="1362C1B8" w14:textId="77777777" w:rsidR="00E73E8C" w:rsidRPr="00DA61E0" w:rsidRDefault="00E73E8C" w:rsidP="00E73E8C">
      <w:pPr>
        <w:spacing w:after="0" w:line="276" w:lineRule="auto"/>
        <w:jc w:val="both"/>
        <w:rPr>
          <w:rFonts w:ascii="Verdana" w:eastAsia="Calibri" w:hAnsi="Verdana" w:cs="Arial"/>
          <w:lang w:val="es-ES" w:eastAsia="es-ES"/>
        </w:rPr>
      </w:pPr>
    </w:p>
    <w:p w14:paraId="4EAE5C93" w14:textId="77777777" w:rsidR="00E73E8C" w:rsidRDefault="00E73E8C" w:rsidP="00E73E8C">
      <w:pPr>
        <w:spacing w:after="0" w:line="276" w:lineRule="auto"/>
        <w:jc w:val="both"/>
        <w:rPr>
          <w:rFonts w:ascii="Verdana" w:eastAsia="Calibri" w:hAnsi="Verdana" w:cs="Arial"/>
          <w:bCs/>
          <w:color w:val="000000" w:themeColor="text1"/>
          <w:lang w:val="es-ES" w:eastAsia="es-ES" w:bidi="es-ES"/>
        </w:rPr>
      </w:pPr>
      <w:r w:rsidRPr="005C48CB">
        <w:rPr>
          <w:rFonts w:ascii="Verdana" w:eastAsia="Calibri" w:hAnsi="Verdana" w:cs="Arial"/>
          <w:bCs/>
          <w:color w:val="000000" w:themeColor="text1"/>
          <w:lang w:val="es-ES" w:eastAsia="es-ES" w:bidi="es-ES"/>
        </w:rPr>
        <w:t xml:space="preserve">En ejercicio de la competencia otorgada por los artículos 3, numeral 5º, y 11, numeral 8º, del Decreto Ley 4170 de 2011, </w:t>
      </w:r>
      <w:r w:rsidRPr="005C48CB">
        <w:rPr>
          <w:rFonts w:ascii="Verdana" w:eastAsia="Calibri" w:hAnsi="Verdana" w:cs="Arial"/>
          <w:bCs/>
          <w:color w:val="000000" w:themeColor="text1"/>
          <w:lang w:eastAsia="es-ES"/>
        </w:rPr>
        <w:t xml:space="preserve">así como lo establecido por la Resolución 469 de 2025 expedida por esta Entidad, </w:t>
      </w:r>
      <w:r>
        <w:rPr>
          <w:rFonts w:ascii="Verdana" w:eastAsia="Calibri" w:hAnsi="Verdana" w:cs="Arial"/>
          <w:bCs/>
          <w:color w:val="000000" w:themeColor="text1"/>
          <w:lang w:eastAsia="es-ES"/>
        </w:rPr>
        <w:t>l</w:t>
      </w:r>
      <w:r w:rsidRPr="00A230CE">
        <w:rPr>
          <w:rFonts w:ascii="Verdana" w:eastAsia="Calibri" w:hAnsi="Verdana" w:cs="Arial"/>
          <w:bCs/>
          <w:color w:val="000000" w:themeColor="text1"/>
          <w:lang w:eastAsia="es-ES"/>
        </w:rPr>
        <w:t xml:space="preserve">a Agencia Nacional de Contratación Pública –Colombia Compra Eficiente– da respuesta a la solicitud de consulta presentada el </w:t>
      </w:r>
      <w:r>
        <w:rPr>
          <w:rFonts w:ascii="Verdana" w:eastAsia="Calibri" w:hAnsi="Verdana" w:cs="Arial"/>
          <w:bCs/>
          <w:color w:val="000000" w:themeColor="text1"/>
          <w:lang w:eastAsia="es-ES"/>
        </w:rPr>
        <w:t>1 de junio</w:t>
      </w:r>
      <w:r w:rsidRPr="00A230CE">
        <w:rPr>
          <w:rFonts w:ascii="Verdana" w:eastAsia="Calibri" w:hAnsi="Verdana" w:cs="Arial"/>
          <w:bCs/>
          <w:color w:val="000000" w:themeColor="text1"/>
          <w:lang w:eastAsia="es-ES"/>
        </w:rPr>
        <w:t xml:space="preserve"> de 2026, en el </w:t>
      </w:r>
      <w:r>
        <w:rPr>
          <w:rFonts w:ascii="Verdana" w:eastAsia="Calibri" w:hAnsi="Verdana" w:cs="Arial"/>
          <w:bCs/>
          <w:color w:val="000000" w:themeColor="text1"/>
          <w:lang w:eastAsia="es-ES"/>
        </w:rPr>
        <w:t xml:space="preserve">cual manifiesta: </w:t>
      </w:r>
    </w:p>
    <w:p w14:paraId="12225E1A" w14:textId="77777777" w:rsidR="00E73E8C" w:rsidRDefault="00E73E8C" w:rsidP="00E73E8C">
      <w:pPr>
        <w:spacing w:after="0" w:line="276" w:lineRule="auto"/>
        <w:jc w:val="both"/>
        <w:rPr>
          <w:rFonts w:ascii="Verdana" w:eastAsia="Calibri" w:hAnsi="Verdana" w:cs="Arial"/>
          <w:bCs/>
          <w:color w:val="000000" w:themeColor="text1"/>
          <w:lang w:eastAsia="es-ES" w:bidi="es-ES"/>
        </w:rPr>
      </w:pPr>
    </w:p>
    <w:p w14:paraId="4B80D819" w14:textId="77777777" w:rsidR="00E73E8C" w:rsidRPr="008D3F30" w:rsidRDefault="00E73E8C" w:rsidP="00E73E8C">
      <w:pPr>
        <w:spacing w:after="0" w:line="240" w:lineRule="auto"/>
        <w:ind w:left="709" w:right="709"/>
        <w:jc w:val="both"/>
        <w:rPr>
          <w:rFonts w:ascii="Verdana" w:eastAsia="Calibri" w:hAnsi="Verdana" w:cs="Arial"/>
          <w:bCs/>
          <w:color w:val="000000" w:themeColor="text1"/>
          <w:sz w:val="20"/>
          <w:szCs w:val="20"/>
          <w:lang w:eastAsia="es-ES" w:bidi="es-ES"/>
        </w:rPr>
      </w:pPr>
      <w:r w:rsidRPr="008D3F30">
        <w:rPr>
          <w:rFonts w:ascii="Verdana" w:eastAsia="Calibri" w:hAnsi="Verdana" w:cs="Arial"/>
          <w:bCs/>
          <w:color w:val="000000" w:themeColor="text1"/>
          <w:sz w:val="20"/>
          <w:szCs w:val="20"/>
          <w:lang w:eastAsia="es-ES" w:bidi="es-ES"/>
        </w:rPr>
        <w:t>1. ¿Es procedente incluir ítems no previstos mediante modificación del contrato sin solicitar recursos (sin RP adicional)? Esto, mediante un balance de mayores y menores cantidades, disminuyendo cantidades iniciales y asignando ese valor a los ítems no previstos.</w:t>
      </w:r>
    </w:p>
    <w:p w14:paraId="28EF09F4" w14:textId="77777777" w:rsidR="00E73E8C" w:rsidRPr="008D3F30" w:rsidRDefault="00E73E8C" w:rsidP="00E73E8C">
      <w:pPr>
        <w:spacing w:after="0" w:line="240" w:lineRule="auto"/>
        <w:ind w:left="709" w:right="709"/>
        <w:jc w:val="both"/>
        <w:rPr>
          <w:rFonts w:ascii="Verdana" w:eastAsia="Calibri" w:hAnsi="Verdana" w:cs="Arial"/>
          <w:bCs/>
          <w:color w:val="000000" w:themeColor="text1"/>
          <w:sz w:val="20"/>
          <w:szCs w:val="20"/>
          <w:lang w:eastAsia="es-ES" w:bidi="es-ES"/>
        </w:rPr>
      </w:pPr>
    </w:p>
    <w:p w14:paraId="755DAB6E" w14:textId="77777777" w:rsidR="00E73E8C" w:rsidRPr="008D3F30" w:rsidRDefault="00E73E8C" w:rsidP="00E73E8C">
      <w:pPr>
        <w:spacing w:after="0" w:line="240" w:lineRule="auto"/>
        <w:ind w:left="709" w:right="709"/>
        <w:jc w:val="both"/>
        <w:rPr>
          <w:rFonts w:ascii="Verdana" w:eastAsia="Calibri" w:hAnsi="Verdana" w:cs="Arial"/>
          <w:bCs/>
          <w:color w:val="000000" w:themeColor="text1"/>
          <w:sz w:val="20"/>
          <w:szCs w:val="20"/>
          <w:lang w:eastAsia="es-ES" w:bidi="es-ES"/>
        </w:rPr>
      </w:pPr>
      <w:r w:rsidRPr="008D3F30">
        <w:rPr>
          <w:rFonts w:ascii="Verdana" w:eastAsia="Calibri" w:hAnsi="Verdana" w:cs="Arial"/>
          <w:bCs/>
          <w:color w:val="000000" w:themeColor="text1"/>
          <w:sz w:val="20"/>
          <w:szCs w:val="20"/>
          <w:lang w:eastAsia="es-ES" w:bidi="es-ES"/>
        </w:rPr>
        <w:t xml:space="preserve">2. ¿Es posible realizar un balance de mayores y menores cantidades entre ítems del contrato inicial e ítems no previstos que fueron incorporados al contrato mediante una modificación? </w:t>
      </w:r>
    </w:p>
    <w:p w14:paraId="25869A57" w14:textId="77777777" w:rsidR="00E73E8C" w:rsidRPr="005A7490" w:rsidRDefault="00E73E8C" w:rsidP="00E73E8C">
      <w:pPr>
        <w:spacing w:after="120" w:line="276" w:lineRule="auto"/>
        <w:jc w:val="both"/>
        <w:rPr>
          <w:rFonts w:ascii="Verdana" w:eastAsia="Calibri" w:hAnsi="Verdana" w:cs="Arial"/>
          <w:bCs/>
          <w:color w:val="000000" w:themeColor="text1"/>
          <w:lang w:eastAsia="es-ES" w:bidi="es-ES"/>
        </w:rPr>
      </w:pPr>
    </w:p>
    <w:p w14:paraId="37DBCD5A" w14:textId="77777777" w:rsidR="00E73E8C" w:rsidRPr="00DA61E0" w:rsidRDefault="00E73E8C" w:rsidP="00E73E8C">
      <w:pPr>
        <w:spacing w:after="120" w:line="276" w:lineRule="auto"/>
        <w:ind w:firstLine="709"/>
        <w:jc w:val="both"/>
        <w:rPr>
          <w:rFonts w:ascii="Verdana" w:eastAsia="Calibri" w:hAnsi="Verdana" w:cs="Arial"/>
          <w:color w:val="000000"/>
          <w:lang w:val="es-ES" w:eastAsia="es-ES"/>
        </w:rPr>
      </w:pPr>
      <w:r w:rsidRPr="00DA61E0">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A61E0">
        <w:rPr>
          <w:rFonts w:ascii="Verdana" w:eastAsia="Calibri" w:hAnsi="Verdana" w:cs="Arial"/>
          <w:color w:val="000000"/>
          <w:szCs w:val="24"/>
          <w:lang w:val="es-ES_tradnl" w:eastAsia="es-ES_tradnl"/>
        </w:rPr>
        <w:tab/>
      </w:r>
    </w:p>
    <w:p w14:paraId="0661D60F" w14:textId="77777777" w:rsidR="00E73E8C" w:rsidRPr="00DA61E0" w:rsidRDefault="00E73E8C" w:rsidP="00E73E8C">
      <w:pPr>
        <w:spacing w:after="0" w:line="276" w:lineRule="auto"/>
        <w:ind w:firstLine="708"/>
        <w:jc w:val="both"/>
        <w:rPr>
          <w:rFonts w:ascii="Verdana" w:eastAsia="Calibri" w:hAnsi="Verdana" w:cs="Arial"/>
          <w:lang w:val="es-ES" w:eastAsia="es-ES"/>
        </w:rPr>
      </w:pPr>
      <w:r w:rsidRPr="00DA61E0">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específicas que la hayan motivado, pero señalando algunas consideraciones sobre las normas generales relacionadas con</w:t>
      </w:r>
      <w:r>
        <w:rPr>
          <w:rFonts w:ascii="Verdana" w:eastAsia="Calibri" w:hAnsi="Verdana" w:cs="Arial"/>
          <w:color w:val="000000"/>
          <w:lang w:val="es-ES" w:eastAsia="es-ES"/>
        </w:rPr>
        <w:t xml:space="preserve"> el problema jurídico de su consulta. </w:t>
      </w:r>
    </w:p>
    <w:p w14:paraId="725DA130" w14:textId="77777777" w:rsidR="00E73E8C" w:rsidRPr="00DA61E0" w:rsidRDefault="00E73E8C" w:rsidP="00E73E8C">
      <w:pPr>
        <w:spacing w:after="0" w:line="276" w:lineRule="auto"/>
        <w:jc w:val="both"/>
        <w:rPr>
          <w:rFonts w:ascii="Verdana" w:eastAsia="Calibri" w:hAnsi="Verdana" w:cs="Arial"/>
          <w:color w:val="000000"/>
          <w:lang w:val="es-ES" w:eastAsia="es-ES"/>
        </w:rPr>
      </w:pPr>
    </w:p>
    <w:p w14:paraId="0CFDA0EE" w14:textId="77777777" w:rsidR="00E73E8C" w:rsidRPr="00DA61E0" w:rsidRDefault="00E73E8C" w:rsidP="00E73E8C">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 xml:space="preserve"> Problema planteado:</w:t>
      </w:r>
    </w:p>
    <w:p w14:paraId="791392EA" w14:textId="77777777" w:rsidR="00E73E8C" w:rsidRPr="00DA61E0" w:rsidRDefault="00E73E8C" w:rsidP="00E73E8C">
      <w:pPr>
        <w:tabs>
          <w:tab w:val="left" w:pos="426"/>
        </w:tabs>
        <w:spacing w:after="0" w:line="276" w:lineRule="auto"/>
        <w:jc w:val="both"/>
        <w:rPr>
          <w:rFonts w:ascii="Verdana" w:eastAsia="Century Gothic" w:hAnsi="Verdana" w:cs="Century Gothic"/>
          <w:lang w:val="es-ES"/>
        </w:rPr>
      </w:pPr>
    </w:p>
    <w:p w14:paraId="7EF80DA5" w14:textId="77777777" w:rsidR="00E73E8C" w:rsidRPr="00F11282" w:rsidRDefault="00E73E8C" w:rsidP="00E73E8C">
      <w:pPr>
        <w:spacing w:after="0" w:line="276" w:lineRule="auto"/>
        <w:jc w:val="both"/>
        <w:rPr>
          <w:rFonts w:ascii="Verdana" w:eastAsia="Century Gothic" w:hAnsi="Verdana" w:cs="Century Gothic"/>
        </w:rPr>
      </w:pPr>
      <w:r w:rsidRPr="00DA61E0">
        <w:rPr>
          <w:rFonts w:ascii="Verdana" w:eastAsia="Century Gothic" w:hAnsi="Verdana" w:cs="Century Gothic"/>
        </w:rPr>
        <w:t>De acuerdo con el contenido de su solicitud, esta Agencia</w:t>
      </w:r>
      <w:r>
        <w:rPr>
          <w:rFonts w:ascii="Verdana" w:eastAsia="Century Gothic" w:hAnsi="Verdana" w:cs="Century Gothic"/>
        </w:rPr>
        <w:t xml:space="preserve"> resolverá los siguientes problemas jurídicos</w:t>
      </w:r>
      <w:r w:rsidRPr="00DA61E0">
        <w:rPr>
          <w:rFonts w:ascii="Verdana" w:eastAsia="Century Gothic" w:hAnsi="Verdana" w:cs="Century Gothic"/>
        </w:rPr>
        <w:t>:</w:t>
      </w:r>
      <w:r w:rsidRPr="00F11282">
        <w:rPr>
          <w:rFonts w:ascii="Segoe UI" w:eastAsia="Times New Roman" w:hAnsi="Segoe UI" w:cs="Segoe UI"/>
          <w:sz w:val="18"/>
          <w:szCs w:val="18"/>
          <w:lang w:eastAsia="es-CO"/>
        </w:rPr>
        <w:t xml:space="preserve"> </w:t>
      </w:r>
      <w:r w:rsidRPr="00F11282">
        <w:rPr>
          <w:rFonts w:ascii="Verdana" w:eastAsia="Century Gothic" w:hAnsi="Verdana" w:cs="Century Gothic"/>
        </w:rPr>
        <w:t xml:space="preserve">i) ¿es jurídicamente procedente incorporar ítems no previstos a un contrato estatal pactado bajo el sistema de precios unitarios, mediante la suscripción de un contrato modificatorio, financiando su ejecución con el valor liberado por la disminución de cantidades de ítems inicialmente pactados, sin que ello exija apropiación presupuestal adicional ni la expedición de un nuevo registro presupuestal?; y (ii) una vez incorporados al contrato los ítems no previstos, ¿pueden estos ser objeto de balances de mayores y menores cantidades junto con los ítems inicialmente pactados, en aplicación del sistema de precios unitarios? </w:t>
      </w:r>
    </w:p>
    <w:p w14:paraId="0D306FDA" w14:textId="77777777" w:rsidR="00E73E8C" w:rsidRPr="00DA61E0" w:rsidRDefault="00E73E8C" w:rsidP="00E73E8C">
      <w:pPr>
        <w:spacing w:after="0" w:line="276" w:lineRule="auto"/>
        <w:jc w:val="both"/>
        <w:rPr>
          <w:rFonts w:ascii="Verdana" w:eastAsia="Calibri" w:hAnsi="Verdana" w:cs="Arial"/>
          <w:color w:val="7030A0"/>
        </w:rPr>
      </w:pPr>
    </w:p>
    <w:p w14:paraId="163FA9E2" w14:textId="77777777" w:rsidR="00E73E8C" w:rsidRPr="00DA61E0" w:rsidRDefault="00E73E8C" w:rsidP="00E73E8C">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 xml:space="preserve"> Respuesta:</w:t>
      </w:r>
    </w:p>
    <w:p w14:paraId="2364F29C" w14:textId="77777777" w:rsidR="00E73E8C" w:rsidRPr="00DA61E0" w:rsidRDefault="00E73E8C" w:rsidP="00E73E8C">
      <w:pPr>
        <w:tabs>
          <w:tab w:val="left" w:pos="142"/>
          <w:tab w:val="left" w:pos="284"/>
        </w:tabs>
        <w:spacing w:after="0" w:line="276" w:lineRule="auto"/>
        <w:jc w:val="both"/>
        <w:rPr>
          <w:rFonts w:ascii="Verdana" w:eastAsia="Century Gothic" w:hAnsi="Verdana" w:cs="Century Gothic"/>
          <w:b/>
          <w:bCs/>
          <w:lang w:val="es-ES"/>
        </w:rPr>
      </w:pPr>
    </w:p>
    <w:tbl>
      <w:tblPr>
        <w:tblStyle w:val="Tablaconcuadrcula11"/>
        <w:tblW w:w="0" w:type="auto"/>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73E8C" w:rsidRPr="00DA61E0" w14:paraId="5D11469F" w14:textId="77777777" w:rsidTr="00084BCA">
        <w:trPr>
          <w:jc w:val="center"/>
        </w:trPr>
        <w:tc>
          <w:tcPr>
            <w:tcW w:w="8828" w:type="dxa"/>
            <w:tcBorders>
              <w:top w:val="dotted" w:sz="4" w:space="0" w:color="auto"/>
              <w:left w:val="dotted" w:sz="4" w:space="0" w:color="auto"/>
              <w:bottom w:val="dotted" w:sz="4" w:space="0" w:color="auto"/>
              <w:right w:val="dotted" w:sz="4" w:space="0" w:color="auto"/>
            </w:tcBorders>
            <w:hideMark/>
          </w:tcPr>
          <w:p w14:paraId="72BC044A" w14:textId="77777777" w:rsidR="00E73E8C" w:rsidRPr="00D94515" w:rsidRDefault="00E73E8C" w:rsidP="00084BCA">
            <w:pPr>
              <w:widowControl w:val="0"/>
              <w:autoSpaceDE w:val="0"/>
              <w:autoSpaceDN w:val="0"/>
              <w:spacing w:after="120" w:line="276" w:lineRule="auto"/>
              <w:jc w:val="both"/>
              <w:rPr>
                <w:rFonts w:ascii="Verdana" w:hAnsi="Verdana" w:cs="Arial"/>
                <w:bCs/>
              </w:rPr>
            </w:pPr>
            <w:r w:rsidRPr="00725BF4">
              <w:rPr>
                <w:rFonts w:ascii="Verdana" w:hAnsi="Verdana" w:cs="Arial"/>
              </w:rPr>
              <w:lastRenderedPageBreak/>
              <w:t>En relación con el primer problema jurídico</w:t>
            </w:r>
            <w:r w:rsidRPr="00D94515">
              <w:rPr>
                <w:rFonts w:ascii="Verdana" w:hAnsi="Verdana" w:cs="Arial"/>
              </w:rPr>
              <w:t>,</w:t>
            </w:r>
            <w:r w:rsidRPr="00D94515">
              <w:rPr>
                <w:rFonts w:ascii="Verdana" w:hAnsi="Verdana" w:cs="Arial"/>
                <w:bCs/>
              </w:rPr>
              <w:t xml:space="preserve"> la incorporación de ítems no previstos a un contrato estatal pactado bajo el sistema de precios unitarios exige, en todos los casos, la suscripción de un contrato modificatorio por cuanto implica una variación del alcance de las prestaciones inicialmente convenidas y la fijación de nuevos precios unitarios, conforme a la jurisprudencia del Consejo de Estado y a la doctrina de esta Agencia expuesta en las razones de la respuesta.</w:t>
            </w:r>
          </w:p>
          <w:p w14:paraId="31FD7EDF" w14:textId="77777777" w:rsidR="00E73E8C" w:rsidRPr="00D94515" w:rsidRDefault="00E73E8C" w:rsidP="00084BCA">
            <w:pPr>
              <w:widowControl w:val="0"/>
              <w:autoSpaceDE w:val="0"/>
              <w:autoSpaceDN w:val="0"/>
              <w:spacing w:after="120" w:line="276" w:lineRule="auto"/>
              <w:ind w:firstLine="709"/>
              <w:jc w:val="both"/>
              <w:rPr>
                <w:rFonts w:ascii="Verdana" w:hAnsi="Verdana" w:cs="Arial"/>
                <w:bCs/>
              </w:rPr>
            </w:pPr>
            <w:r w:rsidRPr="00D94515">
              <w:rPr>
                <w:rFonts w:ascii="Verdana" w:hAnsi="Verdana" w:cs="Arial"/>
                <w:bCs/>
              </w:rPr>
              <w:t>Ahora bien, dicha modificación puede financiarse con el valor liberado por la disminución de cantidades de ítems inicialmente pactados, siempre que el valor total del contrato permanezca inalterado. En este escenario, comoquiera que no se genera un incremento del valor del compromiso adquirido, la operación no exige apropiación presupuestal adicional ni la expedición de un nuevo registro presupuestal, pues el registro existente —que ampara el compromiso por su valor total y no por la desagregación interna de sus ítems— continúa respaldando la ejecución del contrato modificado. Con todo, la entidad deberá verificar, con el acompañamiento de su área financiera o presupuestal, que el compromiso vigente cubre íntegramente las obligaciones resultantes de la modificación y dejar constancia de ello en el expediente contractual, en garantía del principio de legalidad del gasto.</w:t>
            </w:r>
          </w:p>
          <w:p w14:paraId="64F911BE" w14:textId="77777777" w:rsidR="00E73E8C" w:rsidRPr="00D94515" w:rsidRDefault="00E73E8C" w:rsidP="00084BCA">
            <w:pPr>
              <w:widowControl w:val="0"/>
              <w:autoSpaceDE w:val="0"/>
              <w:autoSpaceDN w:val="0"/>
              <w:spacing w:after="120" w:line="276" w:lineRule="auto"/>
              <w:ind w:firstLine="709"/>
              <w:jc w:val="both"/>
              <w:rPr>
                <w:rFonts w:ascii="Verdana" w:hAnsi="Verdana" w:cs="Arial"/>
                <w:bCs/>
              </w:rPr>
            </w:pPr>
            <w:r w:rsidRPr="00D94515">
              <w:rPr>
                <w:rFonts w:ascii="Verdana" w:hAnsi="Verdana" w:cs="Arial"/>
                <w:bCs/>
              </w:rPr>
              <w:t xml:space="preserve">La procedencia de esta operación se encuentra condicionada, en cada caso, al cumplimiento de las siguientes cargas por parte de la entidad contratante: </w:t>
            </w:r>
            <w:r w:rsidRPr="00725BF4">
              <w:rPr>
                <w:rFonts w:ascii="Verdana" w:hAnsi="Verdana" w:cs="Arial"/>
                <w:bCs/>
              </w:rPr>
              <w:t>(i)</w:t>
            </w:r>
            <w:r w:rsidRPr="00D94515">
              <w:rPr>
                <w:rFonts w:ascii="Verdana" w:hAnsi="Verdana" w:cs="Arial"/>
                <w:bCs/>
              </w:rPr>
              <w:t xml:space="preserve"> una evaluación técnica integral que determine la naturaleza de los nuevos ítems, su relación con el objeto contractual —pues deben ser indispensables para su cabal cumplimiento, sin que puedan emplearse para ampliar o sustituir el objeto pactado— y la suficiencia del valor liberado por la disminución de cantidades para financiar su incorporación; </w:t>
            </w:r>
            <w:r w:rsidRPr="00725BF4">
              <w:rPr>
                <w:rFonts w:ascii="Verdana" w:hAnsi="Verdana" w:cs="Arial"/>
                <w:bCs/>
              </w:rPr>
              <w:t>(ii)</w:t>
            </w:r>
            <w:r w:rsidRPr="00D94515">
              <w:rPr>
                <w:rFonts w:ascii="Verdana" w:hAnsi="Verdana" w:cs="Arial"/>
                <w:bCs/>
              </w:rPr>
              <w:t xml:space="preserve"> la fijación de los precios unitarios de los nuevos ítems mediante el procedimiento pactado en el contrato o, en su defecto, conforme a las orientaciones señaladas en las razones de la respuesta; </w:t>
            </w:r>
            <w:r w:rsidRPr="00725BF4">
              <w:rPr>
                <w:rFonts w:ascii="Verdana" w:hAnsi="Verdana" w:cs="Arial"/>
                <w:bCs/>
              </w:rPr>
              <w:t>(iii)</w:t>
            </w:r>
            <w:r w:rsidRPr="00D94515">
              <w:rPr>
                <w:rFonts w:ascii="Verdana" w:hAnsi="Verdana" w:cs="Arial"/>
                <w:bCs/>
              </w:rPr>
              <w:t xml:space="preserve"> un análisis financiero que confirme que el valor total del contrato permanece inalterado y que la reasignación interna no genera obligaciones sin respaldo presupuestal; y </w:t>
            </w:r>
            <w:r w:rsidRPr="00725BF4">
              <w:rPr>
                <w:rFonts w:ascii="Verdana" w:hAnsi="Verdana" w:cs="Arial"/>
                <w:bCs/>
              </w:rPr>
              <w:t>(iv)</w:t>
            </w:r>
            <w:r w:rsidRPr="00D94515">
              <w:rPr>
                <w:rFonts w:ascii="Verdana" w:hAnsi="Verdana" w:cs="Arial"/>
                <w:bCs/>
              </w:rPr>
              <w:t xml:space="preserve"> la documentación completa de la justificación técnica y financiera —estudios, memorias de cálculo, análisis de cantidades, soportes presupuestales y decisiones de la supervisión o interventoría—, cuya incorporación al expediente garantiza la trazabilidad de la actuación y facilita el control fiscal y disciplinario.</w:t>
            </w:r>
          </w:p>
          <w:p w14:paraId="422A92F8" w14:textId="77777777" w:rsidR="00E73E8C" w:rsidRPr="00D94515" w:rsidRDefault="00E73E8C" w:rsidP="00084BCA">
            <w:pPr>
              <w:widowControl w:val="0"/>
              <w:autoSpaceDE w:val="0"/>
              <w:autoSpaceDN w:val="0"/>
              <w:spacing w:after="120" w:line="276" w:lineRule="auto"/>
              <w:ind w:firstLine="709"/>
              <w:jc w:val="both"/>
              <w:rPr>
                <w:rFonts w:ascii="Verdana" w:hAnsi="Verdana" w:cs="Arial"/>
                <w:bCs/>
              </w:rPr>
            </w:pPr>
            <w:r w:rsidRPr="00725BF4">
              <w:rPr>
                <w:rFonts w:ascii="Verdana" w:hAnsi="Verdana" w:cs="Arial"/>
              </w:rPr>
              <w:lastRenderedPageBreak/>
              <w:t>En relación con el segundo problema jurídico</w:t>
            </w:r>
            <w:r w:rsidRPr="00D94515">
              <w:rPr>
                <w:rFonts w:ascii="Verdana" w:hAnsi="Verdana" w:cs="Arial"/>
              </w:rPr>
              <w:t>,</w:t>
            </w:r>
            <w:r w:rsidRPr="00D94515">
              <w:rPr>
                <w:rFonts w:ascii="Verdana" w:hAnsi="Verdana" w:cs="Arial"/>
                <w:bCs/>
              </w:rPr>
              <w:t xml:space="preserve"> una vez perfeccionado el contrato modificatorio, los ítems no previstos incorporados se integran al contenido prestacional del contrato y quedan sometidos al mismo régimen del sistema de precios unitarios que gobierna los ítems inicialmente pactados. En consecuencia, sus cantidades tienen también carácter estimativo y, por tanto, es procedente que sean objeto de balances de mayores y menores cantidades junto con los demás ítems del contrato, pues lo vinculante en esta modalidad no son las cantidades estimadas sino los precios unitarios acordados, de manera que el valor final del contrato corresponderá a las cantidades efectivamente ejecutadas multiplicadas por dichos precios. Lo anterior, sin perjuicio de que las mayores cantidades deban ser previamente autorizadas y verificadas por la entidad, en cuanto indispensables para el cumplimiento del objeto, y de que su reconocimiento observe las gestiones presupuestales a que haya lugar.</w:t>
            </w:r>
          </w:p>
          <w:p w14:paraId="765511FA" w14:textId="77777777" w:rsidR="00E73E8C" w:rsidRPr="00D94515" w:rsidRDefault="00E73E8C" w:rsidP="00084BCA">
            <w:pPr>
              <w:widowControl w:val="0"/>
              <w:autoSpaceDE w:val="0"/>
              <w:autoSpaceDN w:val="0"/>
              <w:spacing w:after="120" w:line="276" w:lineRule="auto"/>
              <w:ind w:firstLine="709"/>
              <w:jc w:val="both"/>
              <w:rPr>
                <w:rFonts w:ascii="Verdana" w:hAnsi="Verdana" w:cs="Arial"/>
                <w:bCs/>
              </w:rPr>
            </w:pPr>
            <w:r w:rsidRPr="00D94515">
              <w:rPr>
                <w:rFonts w:ascii="Verdana" w:hAnsi="Verdana" w:cs="Arial"/>
                <w:bCs/>
              </w:rPr>
              <w:t>Finalmente, debe advertirse que, aunque la operación descrita es procedente, su aplicación comporta un riesgo operativo y presupuestal: si durante la ejecución se requieren mayores cantidades en los ítems inicialmente previstos cuyas cantidades fueron disminuidas, la entidad podría no contar con disponibilidad suficiente, dado que parte de esos recursos fue destinada a financiar los nuevos ítems. Por ello, esta práctica debe ser excepcional, precedida de un análisis técnico y financiero robusto que anticipe escenarios futuros, y no puede convertirse en un mecanismo para suplir deficiencias de planeación ni para alterar las condiciones esenciales del contrato.</w:t>
            </w:r>
          </w:p>
          <w:p w14:paraId="389F9483" w14:textId="77777777" w:rsidR="00E73E8C" w:rsidRPr="005E547A" w:rsidRDefault="00E73E8C" w:rsidP="00084BCA">
            <w:pPr>
              <w:widowControl w:val="0"/>
              <w:autoSpaceDE w:val="0"/>
              <w:autoSpaceDN w:val="0"/>
              <w:spacing w:after="120" w:line="276" w:lineRule="auto"/>
              <w:ind w:firstLine="709"/>
              <w:jc w:val="both"/>
              <w:rPr>
                <w:rFonts w:ascii="Verdana" w:hAnsi="Verdana" w:cs="Arial"/>
                <w:bCs/>
              </w:rPr>
            </w:pPr>
            <w:r w:rsidRPr="00D94515">
              <w:rPr>
                <w:rFonts w:ascii="Verdana" w:hAnsi="Verdana" w:cs="Arial"/>
                <w:bC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7ACF2437" w14:textId="77777777" w:rsidR="00E73E8C" w:rsidRPr="00DA61E0" w:rsidRDefault="00E73E8C" w:rsidP="00E73E8C">
      <w:pPr>
        <w:tabs>
          <w:tab w:val="left" w:pos="142"/>
          <w:tab w:val="left" w:pos="284"/>
        </w:tabs>
        <w:spacing w:after="0" w:line="276" w:lineRule="auto"/>
        <w:jc w:val="both"/>
        <w:rPr>
          <w:rFonts w:ascii="Verdana" w:eastAsia="Century Gothic" w:hAnsi="Verdana" w:cs="Century Gothic"/>
          <w:b/>
          <w:bCs/>
          <w:lang w:val="es-ES"/>
        </w:rPr>
      </w:pPr>
    </w:p>
    <w:p w14:paraId="77AD45BE" w14:textId="77777777" w:rsidR="00E73E8C" w:rsidRPr="00DA61E0" w:rsidRDefault="00E73E8C" w:rsidP="00E73E8C">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Razones de la respuesta:</w:t>
      </w:r>
    </w:p>
    <w:p w14:paraId="4D597C4A" w14:textId="77777777" w:rsidR="00E73E8C" w:rsidRPr="00DA61E0" w:rsidRDefault="00E73E8C" w:rsidP="00E73E8C">
      <w:pPr>
        <w:spacing w:after="0" w:line="276" w:lineRule="auto"/>
        <w:jc w:val="both"/>
        <w:rPr>
          <w:rFonts w:ascii="Verdana" w:eastAsia="Calibri" w:hAnsi="Verdana" w:cs="Arial"/>
          <w:color w:val="7030A0"/>
          <w:lang w:val="es-ES"/>
        </w:rPr>
      </w:pPr>
    </w:p>
    <w:p w14:paraId="7D01FCDE" w14:textId="77777777" w:rsidR="00E73E8C" w:rsidRPr="00DA61E0" w:rsidRDefault="00E73E8C" w:rsidP="00E73E8C">
      <w:pPr>
        <w:spacing w:after="0" w:line="276" w:lineRule="auto"/>
        <w:jc w:val="both"/>
        <w:rPr>
          <w:rFonts w:ascii="Verdana" w:eastAsia="Calibri" w:hAnsi="Verdana" w:cs="Arial"/>
          <w:lang w:val="es-ES"/>
        </w:rPr>
      </w:pPr>
      <w:r w:rsidRPr="00DA61E0">
        <w:rPr>
          <w:rFonts w:ascii="Verdana" w:eastAsia="Calibri" w:hAnsi="Verdana" w:cs="Arial"/>
          <w:lang w:val="es-ES"/>
        </w:rPr>
        <w:t>Lo anterior se sustenta en las siguientes consideraciones:</w:t>
      </w:r>
    </w:p>
    <w:p w14:paraId="504ED69F" w14:textId="77777777" w:rsidR="00E73E8C" w:rsidRDefault="00E73E8C" w:rsidP="00E73E8C">
      <w:pPr>
        <w:spacing w:after="0" w:line="276" w:lineRule="auto"/>
        <w:jc w:val="both"/>
        <w:rPr>
          <w:rFonts w:ascii="Verdana" w:eastAsia="Calibri" w:hAnsi="Verdana" w:cs="Arial"/>
          <w:bCs/>
          <w:lang w:val="es-ES_tradnl"/>
        </w:rPr>
      </w:pPr>
    </w:p>
    <w:p w14:paraId="7B8C62E8" w14:textId="77777777" w:rsidR="00E73E8C" w:rsidRPr="00AA633E" w:rsidRDefault="00E73E8C" w:rsidP="00E73E8C">
      <w:pPr>
        <w:spacing w:after="0" w:line="276" w:lineRule="auto"/>
        <w:jc w:val="both"/>
        <w:rPr>
          <w:rFonts w:ascii="Verdana" w:hAnsi="Verdana" w:cs="Arial"/>
          <w:bCs/>
          <w:szCs w:val="24"/>
          <w:lang w:val="es-ES_tradnl" w:eastAsia="es-ES_tradnl"/>
        </w:rPr>
      </w:pPr>
      <w:r w:rsidRPr="00AA633E">
        <w:rPr>
          <w:rFonts w:ascii="Verdana" w:hAnsi="Verdana" w:cs="Arial"/>
          <w:bCs/>
          <w:szCs w:val="24"/>
          <w:lang w:val="es-ES_tradnl" w:eastAsia="es-ES_tradnl"/>
        </w:rPr>
        <w:t>i. 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53BB539E" w14:textId="77777777" w:rsidR="00E73E8C" w:rsidRPr="00AA633E" w:rsidRDefault="00E73E8C" w:rsidP="00E73E8C">
      <w:pPr>
        <w:spacing w:before="120" w:after="120" w:line="276" w:lineRule="auto"/>
        <w:ind w:firstLine="709"/>
        <w:jc w:val="both"/>
        <w:rPr>
          <w:rFonts w:ascii="Verdana" w:hAnsi="Verdana" w:cs="Arial"/>
          <w:lang w:val="es-ES" w:eastAsia="es-ES"/>
        </w:rPr>
      </w:pPr>
      <w:r w:rsidRPr="00AA633E">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AA633E">
        <w:rPr>
          <w:rFonts w:ascii="Verdana" w:hAnsi="Verdana" w:cs="Arial"/>
          <w:vertAlign w:val="superscript"/>
          <w:lang w:val="es-ES" w:eastAsia="es-ES"/>
        </w:rPr>
        <w:footnoteReference w:id="1"/>
      </w:r>
      <w:r w:rsidRPr="00AA633E">
        <w:rPr>
          <w:rFonts w:ascii="Verdana" w:hAnsi="Verdana" w:cs="Arial"/>
          <w:lang w:val="es-ES" w:eastAsia="es-ES"/>
        </w:rPr>
        <w:t xml:space="preserve">.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w:t>
      </w:r>
      <w:r w:rsidRPr="00AA633E">
        <w:rPr>
          <w:rFonts w:ascii="Verdana" w:hAnsi="Verdana" w:cs="Arial"/>
          <w:lang w:val="es-ES" w:eastAsia="es-ES"/>
        </w:rPr>
        <w:lastRenderedPageBreak/>
        <w:t>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14:paraId="5483BF9F" w14:textId="77777777" w:rsidR="00E73E8C" w:rsidRDefault="00E73E8C" w:rsidP="00E73E8C">
      <w:pPr>
        <w:spacing w:after="120" w:line="276" w:lineRule="auto"/>
        <w:ind w:firstLine="709"/>
        <w:jc w:val="both"/>
        <w:rPr>
          <w:rFonts w:ascii="Verdana" w:hAnsi="Verdana"/>
          <w:lang w:val="es-ES"/>
        </w:rPr>
      </w:pPr>
      <w:r>
        <w:rPr>
          <w:rFonts w:ascii="Verdana" w:hAnsi="Verdana"/>
          <w:lang w:val="es-ES"/>
        </w:rPr>
        <w:t>El precio pactado a precios unitarios implica individualizar el valor de cada uno de los ítems requeridos para llevar a cabo la obra o el proyecto. Así mismo, el precio se deriva de apreciar todos los componentes necesarios para la ejecución de la unidad de medida del ítem correspondiente (metro lineal, metro cúbico, metro cuadrado, entre otros). Por lo mismo, el precio será el resultado de multiplicar la cantidad finalmente ejecutada por el valor unitario respectivo</w:t>
      </w:r>
      <w:r>
        <w:rPr>
          <w:rStyle w:val="Refdenotaalpie"/>
          <w:rFonts w:ascii="Verdana" w:hAnsi="Verdana"/>
          <w:lang w:val="es-ES"/>
        </w:rPr>
        <w:footnoteReference w:id="2"/>
      </w:r>
      <w:r>
        <w:rPr>
          <w:rFonts w:ascii="Verdana" w:hAnsi="Verdana"/>
          <w:lang w:val="es-ES"/>
        </w:rPr>
        <w:t>.</w:t>
      </w:r>
    </w:p>
    <w:p w14:paraId="5D5B0DD4" w14:textId="77777777" w:rsidR="00E73E8C" w:rsidRDefault="00E73E8C" w:rsidP="00E73E8C">
      <w:pPr>
        <w:spacing w:after="120" w:line="276" w:lineRule="auto"/>
        <w:ind w:firstLine="709"/>
        <w:jc w:val="both"/>
        <w:rPr>
          <w:rFonts w:ascii="Verdana" w:hAnsi="Verdana"/>
          <w:lang w:val="es-ES"/>
        </w:rPr>
      </w:pPr>
      <w:r>
        <w:rPr>
          <w:rFonts w:ascii="Verdana" w:hAnsi="Verdana" w:cs="Arial"/>
          <w:bCs/>
          <w:szCs w:val="24"/>
          <w:lang w:val="es-ES" w:eastAsia="es-ES_tradnl"/>
        </w:rPr>
        <w:t>En esta modalidad se establecen unas estimaciones de cantidades de obra, según los estudios y diseños, los estudios previos y unos precios unitarios de los respectivos ítems de obra</w:t>
      </w:r>
      <w:r>
        <w:rPr>
          <w:rStyle w:val="Refdenotaalpie"/>
          <w:rFonts w:ascii="Verdana" w:hAnsi="Verdana" w:cs="Arial"/>
          <w:bCs/>
          <w:szCs w:val="24"/>
          <w:lang w:val="es-ES" w:eastAsia="es-ES_tradnl"/>
        </w:rPr>
        <w:footnoteReference w:id="3"/>
      </w:r>
      <w:r>
        <w:rPr>
          <w:rFonts w:ascii="Verdana" w:hAnsi="Verdana" w:cs="Arial"/>
          <w:bCs/>
          <w:szCs w:val="24"/>
          <w:lang w:val="es-ES" w:eastAsia="es-ES_tradnl"/>
        </w:rPr>
        <w:t xml:space="preserve">. </w:t>
      </w:r>
      <w:r>
        <w:rPr>
          <w:rFonts w:ascii="Verdana" w:hAnsi="Verdana"/>
          <w:lang w:val="es-ES"/>
        </w:rPr>
        <w:t>Al respecto, la jurisprudencia de la Sección Tercera del Consejo de Estado ha explicado que,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r>
        <w:rPr>
          <w:rStyle w:val="Refdenotaalpie"/>
          <w:rFonts w:ascii="Verdana" w:hAnsi="Verdana"/>
          <w:lang w:val="es-ES"/>
        </w:rPr>
        <w:footnoteReference w:id="4"/>
      </w:r>
      <w:r>
        <w:rPr>
          <w:rFonts w:ascii="Verdana" w:hAnsi="Verdana"/>
          <w:lang w:val="es-ES"/>
        </w:rPr>
        <w:t>.</w:t>
      </w:r>
    </w:p>
    <w:p w14:paraId="092E5A68" w14:textId="77777777" w:rsidR="00E73E8C" w:rsidRPr="00DE6B08" w:rsidRDefault="00E73E8C" w:rsidP="00E73E8C">
      <w:pPr>
        <w:spacing w:after="120" w:line="276" w:lineRule="auto"/>
        <w:ind w:firstLine="709"/>
        <w:jc w:val="both"/>
        <w:rPr>
          <w:rFonts w:ascii="Verdana" w:eastAsia="Calibri" w:hAnsi="Verdana" w:cs="Arial"/>
          <w:szCs w:val="24"/>
          <w:lang w:eastAsia="es-ES_tradnl"/>
        </w:rPr>
      </w:pPr>
      <w:r w:rsidRPr="00747773">
        <w:rPr>
          <w:rFonts w:ascii="Verdana" w:eastAsia="Calibri" w:hAnsi="Verdana" w:cs="Arial"/>
          <w:szCs w:val="24"/>
          <w:lang w:eastAsia="es-ES_tradnl"/>
        </w:rPr>
        <w:t>En consecuencia, debe distinguirse entre el valor estimado del contrato y el valor real o ejecutado, determinado este último por las mayores o menores cantidades de obra que el contratista efectivamente ejecute para cumplir el objeto pactado. En los contratos de obra pública con pago a precios unitarios, el valor contractual definitivo corresponde al resultado de multiplicar las cantidades de obra realmente ejecutadas por los precios unitarios establecidos en el contrato.</w:t>
      </w:r>
      <w:r w:rsidRPr="00747773">
        <w:rPr>
          <w:rFonts w:ascii="Verdana" w:hAnsi="Verdana" w:cs="Arial"/>
          <w:szCs w:val="24"/>
          <w:lang w:eastAsia="es-ES_tradnl"/>
        </w:rPr>
        <w:t xml:space="preserve"> </w:t>
      </w:r>
      <w:r w:rsidRPr="00747773">
        <w:rPr>
          <w:rFonts w:ascii="Verdana" w:eastAsia="Calibri" w:hAnsi="Verdana" w:cs="Arial"/>
          <w:szCs w:val="24"/>
          <w:lang w:eastAsia="es-ES_tradnl"/>
        </w:rPr>
        <w:t>No obstante, para la celebración de este tipo de contratos se requiere expresar un valor estimado inicial,</w:t>
      </w:r>
      <w:r w:rsidRPr="00DE6B08">
        <w:rPr>
          <w:rFonts w:ascii="Verdana" w:eastAsia="Calibri" w:hAnsi="Verdana" w:cs="Arial"/>
          <w:szCs w:val="24"/>
          <w:lang w:eastAsia="es-ES_tradnl"/>
        </w:rPr>
        <w:t xml:space="preserve"> calculado a partir de las cantidades de obra previstas y los precios unitarios que sirvieron de base para la adjudicación. Este </w:t>
      </w:r>
      <w:r w:rsidRPr="00DE6B08">
        <w:rPr>
          <w:rFonts w:ascii="Verdana" w:eastAsia="Calibri" w:hAnsi="Verdana" w:cs="Arial"/>
          <w:szCs w:val="24"/>
          <w:lang w:eastAsia="es-ES_tradnl"/>
        </w:rPr>
        <w:lastRenderedPageBreak/>
        <w:t>valor tiene un carácter meramente referencial y operativo, pues el monto final del contrato solo se determina con la ejecución real y la correspondiente liquidación de las cantidades de obra.</w:t>
      </w:r>
    </w:p>
    <w:p w14:paraId="524EF9D5" w14:textId="77777777" w:rsidR="00E73E8C" w:rsidRDefault="00E73E8C" w:rsidP="00E73E8C">
      <w:pPr>
        <w:spacing w:after="120" w:line="276" w:lineRule="auto"/>
        <w:ind w:firstLine="708"/>
        <w:jc w:val="both"/>
        <w:rPr>
          <w:rFonts w:ascii="Verdana" w:eastAsia="Times New Roman" w:hAnsi="Verdana" w:cs="Arial"/>
          <w:color w:val="000000" w:themeColor="text1"/>
          <w:lang w:eastAsia="es-ES"/>
        </w:rPr>
      </w:pPr>
      <w:r>
        <w:rPr>
          <w:rFonts w:ascii="Verdana" w:eastAsia="Times New Roman" w:hAnsi="Verdana" w:cs="Arial"/>
          <w:color w:val="000000" w:themeColor="text1"/>
          <w:lang w:val="es-ES" w:eastAsia="es-ES"/>
        </w:rPr>
        <w:t xml:space="preserve">Así las cosas, durante la etapa de planeación las entidades públicas son responsables de estimar y determinar las prestaciones que demanda la satisfacción del interés colectivo, conforme al análisis de los estudios y diseños previos. No obstante, teniendo en cuenta que en la modalidad de precios unitarios las cantidades son estimativas, es factible que, durante la ejecución del contrato, </w:t>
      </w:r>
      <w:r w:rsidRPr="00E1280F">
        <w:rPr>
          <w:rFonts w:ascii="Verdana" w:eastAsia="Times New Roman" w:hAnsi="Verdana" w:cs="Arial"/>
          <w:color w:val="000000" w:themeColor="text1"/>
          <w:lang w:val="es-ES" w:eastAsia="es-ES"/>
        </w:rPr>
        <w:t>las partes</w:t>
      </w:r>
      <w:r>
        <w:rPr>
          <w:rFonts w:ascii="Verdana" w:eastAsia="Times New Roman" w:hAnsi="Verdana" w:cs="Arial"/>
          <w:color w:val="000000" w:themeColor="text1"/>
          <w:lang w:val="es-ES" w:eastAsia="es-ES"/>
        </w:rPr>
        <w:t xml:space="preserve"> puedan identificar situaciones en las que se genera la necesidad de mayores cantidades de bienes o actividades inicialmente previstas, a lo que se le conoce como mayores cantidades de obra, o adición de ítems contractuales. De esta forma, </w:t>
      </w:r>
      <w:r>
        <w:rPr>
          <w:rFonts w:ascii="Verdana" w:eastAsia="Times New Roman" w:hAnsi="Verdana" w:cs="Arial"/>
          <w:color w:val="000000" w:themeColor="text1"/>
          <w:lang w:eastAsia="es-ES"/>
        </w:rPr>
        <w:t xml:space="preserve">si bien la responsabilidad inicial en la definición de las cantidades recae en la entidad estatal en la fase de planeación, durante la ejecución del contrato tanto la entidad contratante como el contratista están obligados a identificar, advertir y gestionar oportunamente las situaciones que puedan afectar la adecuada ejecución del contrato. </w:t>
      </w:r>
    </w:p>
    <w:p w14:paraId="3AD3471B" w14:textId="77777777" w:rsidR="00E73E8C" w:rsidRPr="00266623" w:rsidRDefault="00E73E8C" w:rsidP="00E73E8C">
      <w:pPr>
        <w:spacing w:after="120" w:line="276" w:lineRule="auto"/>
        <w:ind w:firstLine="708"/>
        <w:jc w:val="both"/>
        <w:rPr>
          <w:rFonts w:ascii="Verdana" w:eastAsia="Calibri" w:hAnsi="Verdana" w:cs="Arial"/>
          <w:color w:val="7030A0"/>
        </w:rPr>
      </w:pPr>
      <w:r w:rsidRPr="00CD2603">
        <w:rPr>
          <w:rFonts w:ascii="Verdana" w:hAnsi="Verdana" w:cs="Arial"/>
          <w:bCs/>
          <w:szCs w:val="24"/>
          <w:lang w:eastAsia="es-ES_tradnl"/>
        </w:rPr>
        <w:t xml:space="preserve">Otro aspecto importante a tener en cuenta respecto a los contratos cuyo precio se estructura a partir del sistema de precios unitarios es que, ha hecho parte de la práctica de los negocios que el contratante le solicite al potencial contratista que separe en su propuesta los costos directos –es decir, los que están directamente implicados en la ejecución del objeto–, de los costos indirectos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costos directos se evidencian en el análisis de precios unitarios –APU–, como la sumatoria de los valores de los </w:t>
      </w:r>
      <w:r w:rsidRPr="00CD2603">
        <w:rPr>
          <w:rFonts w:ascii="Verdana" w:hAnsi="Verdana" w:cs="Arial"/>
          <w:bCs/>
          <w:i/>
          <w:iCs/>
          <w:szCs w:val="24"/>
          <w:lang w:eastAsia="es-ES_tradnl"/>
        </w:rPr>
        <w:t>ítems</w:t>
      </w:r>
      <w:r w:rsidRPr="00CD2603">
        <w:rPr>
          <w:rFonts w:ascii="Verdana" w:hAnsi="Verdana" w:cs="Arial"/>
          <w:bCs/>
          <w:szCs w:val="24"/>
          <w:lang w:eastAsia="es-ES_tradnl"/>
        </w:rPr>
        <w:t xml:space="preserve"> según su unidad de medida, los costos indirectos se suelen abreviar en las variables que integran el acrónimo AIU –Administración, Imprevistos y Utilidad–, que se calcula como un porcentaje aplicado a los costos indirectos</w:t>
      </w:r>
      <w:r w:rsidRPr="00CD2603">
        <w:rPr>
          <w:rFonts w:ascii="Verdana" w:hAnsi="Verdana" w:cs="Arial"/>
          <w:szCs w:val="24"/>
          <w:vertAlign w:val="superscript"/>
          <w:lang w:eastAsia="es-ES_tradnl"/>
        </w:rPr>
        <w:footnoteReference w:id="5"/>
      </w:r>
      <w:r w:rsidRPr="00CD2603">
        <w:rPr>
          <w:rFonts w:ascii="Verdana" w:hAnsi="Verdana" w:cs="Arial"/>
          <w:szCs w:val="24"/>
          <w:lang w:eastAsia="es-ES_tradnl"/>
        </w:rPr>
        <w:t>.</w:t>
      </w:r>
    </w:p>
    <w:p w14:paraId="565BB1C5" w14:textId="77777777" w:rsidR="00E73E8C" w:rsidRPr="00CD2603" w:rsidRDefault="00E73E8C" w:rsidP="00E73E8C">
      <w:pPr>
        <w:spacing w:after="120" w:line="276" w:lineRule="auto"/>
        <w:ind w:firstLine="708"/>
        <w:jc w:val="both"/>
        <w:rPr>
          <w:rFonts w:ascii="Verdana" w:hAnsi="Verdana"/>
          <w:i/>
        </w:rPr>
      </w:pPr>
      <w:r w:rsidRPr="00CD2603">
        <w:rPr>
          <w:rFonts w:ascii="Verdana" w:hAnsi="Verdana"/>
        </w:rPr>
        <w:t xml:space="preserve">Conforme a lo expuesto en líneas precedentes, el valor del contrato en el sistema a precios unitarios es indicativo o estimativo, motivo por el cual el valor real dependerá de las cantidades que final y efectivamente sean ejecutadas, </w:t>
      </w:r>
      <w:r w:rsidRPr="00CD2603">
        <w:rPr>
          <w:rFonts w:ascii="Verdana" w:hAnsi="Verdana"/>
        </w:rPr>
        <w:lastRenderedPageBreak/>
        <w:t xml:space="preserve">multiplicadas por los precios unitarios que hayan sido pactados. </w:t>
      </w:r>
      <w:r w:rsidRPr="005F54D8">
        <w:rPr>
          <w:rFonts w:ascii="Verdana" w:hAnsi="Verdana"/>
        </w:rPr>
        <w:t>Por lo mismo, el reconocimiento de las mayores cantidades de obra corresponde, en esencia, a la aplicación de la modalidad de precio y del mecanismo de pago previstos en el contrato; esto es, la ejecución del procedimiento acordado por las partes para determinar el valor final del negocio jurídico, consistente en multiplicar las cantidades efectivamente ejecutadas por el valor del ítem pactado.</w:t>
      </w:r>
    </w:p>
    <w:p w14:paraId="16BFC00A" w14:textId="77777777" w:rsidR="00E73E8C" w:rsidRPr="00CD2603" w:rsidRDefault="00E73E8C" w:rsidP="00E73E8C">
      <w:pPr>
        <w:spacing w:after="120" w:line="276" w:lineRule="auto"/>
        <w:ind w:firstLine="708"/>
        <w:jc w:val="both"/>
        <w:rPr>
          <w:rFonts w:ascii="Verdana" w:hAnsi="Verdana"/>
          <w:i/>
        </w:rPr>
      </w:pPr>
      <w:r w:rsidRPr="00CD2603">
        <w:rPr>
          <w:rFonts w:ascii="Verdana" w:hAnsi="Verdana"/>
        </w:rPr>
        <w:t>En línea con lo anterior, es pertinente tener en cuenta que, justamente, la modalidad de pago a precios unitarios se caracteriza porque su determinación final impone establecer las cantidades verdaderamente ejecutadas, multiplicándolas por los precios unitarios. De ahí que, lo vinculante en estos casos no sea propiamente el valor total inicialmente estimado, ni las cantidades inicialmente previstas, sino los valores unitarios que las partes acordaron aplicar a cada uno de los ítems.</w:t>
      </w:r>
    </w:p>
    <w:p w14:paraId="55370192" w14:textId="77777777" w:rsidR="00E73E8C" w:rsidRPr="00CD2603" w:rsidRDefault="00E73E8C" w:rsidP="00E73E8C">
      <w:pPr>
        <w:spacing w:after="120" w:line="276" w:lineRule="auto"/>
        <w:ind w:firstLine="708"/>
        <w:jc w:val="both"/>
        <w:rPr>
          <w:rFonts w:ascii="Verdana" w:hAnsi="Verdana"/>
          <w:i/>
        </w:rPr>
      </w:pPr>
      <w:r w:rsidRPr="00CD2603">
        <w:rPr>
          <w:rFonts w:ascii="Verdana" w:hAnsi="Verdana"/>
        </w:rPr>
        <w:t>Lo anterior, no significa que el contratista pueda adelantar cualquier mayor cantidad de obra sin ningún tipo de límite, debido a que solamente podrá construir aquello que sea imprescindible para cumplir con el objeto. En estos casos, la entidad deberá ejercer un riguroso control, en atención a las cantidades que se están ejecutando, puesto que deberá verificar, antes de proceder con el pago, que las mismas sí eran indispensables para finiquitar o culminar con las obligaciones a cargo del contratista. De cualquier manera, las partes podrán estructurar, en ejercicio de la autonomía de la voluntad, mecanismos de control adicionales, como autorizaciones con requisitos especiales, en aquellos eventos en que, por ejemplo, las cantidades superen el valor inicialmente estimado.</w:t>
      </w:r>
    </w:p>
    <w:p w14:paraId="3A4411E2" w14:textId="77777777" w:rsidR="00E73E8C" w:rsidRPr="00CD2603" w:rsidRDefault="00E73E8C" w:rsidP="00E73E8C">
      <w:pPr>
        <w:spacing w:after="120" w:line="276" w:lineRule="auto"/>
        <w:ind w:firstLine="709"/>
        <w:jc w:val="both"/>
        <w:rPr>
          <w:rFonts w:ascii="Verdana" w:hAnsi="Verdana" w:cs="Arial"/>
          <w:lang w:eastAsia="es-ES"/>
        </w:rPr>
      </w:pPr>
      <w:r w:rsidRPr="00CD2603">
        <w:rPr>
          <w:rFonts w:ascii="Verdana" w:hAnsi="Verdana" w:cs="Arial"/>
          <w:lang w:eastAsia="es-ES"/>
        </w:rPr>
        <w:t xml:space="preserve">Ahora bien, 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pueden identificar alguna de las siguientes situaciones: i) la necesidad de mayores cantidades de bienes o actividades a las inicialmente previstas, a lo que se le conoce como “mayores cantidades de obra”, “obras adicionales” o adición de “ítems contractuales”; y ii)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w:t>
      </w:r>
    </w:p>
    <w:p w14:paraId="606EEEC1" w14:textId="77777777" w:rsidR="00E73E8C" w:rsidRPr="00CD2603" w:rsidRDefault="00E73E8C" w:rsidP="00E73E8C">
      <w:pPr>
        <w:spacing w:after="120" w:line="276" w:lineRule="auto"/>
        <w:ind w:firstLine="709"/>
        <w:jc w:val="both"/>
        <w:rPr>
          <w:rFonts w:ascii="Verdana" w:hAnsi="Verdana" w:cs="Arial"/>
          <w:lang w:eastAsia="es-ES_tradnl"/>
        </w:rPr>
      </w:pPr>
      <w:r w:rsidRPr="00CD2603">
        <w:rPr>
          <w:rFonts w:ascii="Verdana" w:hAnsi="Verdana" w:cs="Arial"/>
          <w:lang w:eastAsia="es-ES_tradnl"/>
        </w:rPr>
        <w:lastRenderedPageBreak/>
        <w:t>Este último término tiene origen en el artículo 58 del Decreto-Ley 222 de 1983</w:t>
      </w:r>
      <w:r w:rsidRPr="00CD2603">
        <w:rPr>
          <w:rStyle w:val="Refdenotaalpie"/>
          <w:rFonts w:ascii="Verdana" w:hAnsi="Verdana" w:cs="Arial"/>
          <w:lang w:eastAsia="es-ES_tradnl"/>
        </w:rPr>
        <w:footnoteReference w:id="6"/>
      </w:r>
      <w:r w:rsidRPr="00CD2603">
        <w:rPr>
          <w:rFonts w:ascii="Verdana" w:hAnsi="Verdana" w:cs="Arial"/>
          <w:lang w:eastAsia="es-ES_tradnl"/>
        </w:rPr>
        <w:t xml:space="preserve">, el cual establecía el “contrato adicional” como el mecanismo a utilizar cuando existiere la “necesidad de modificar el plazo o el valor convenido y no se tratare de la revisión de precios” regulada por dicho estatuto. Sin embargo, dicha </w:t>
      </w:r>
      <w:r>
        <w:rPr>
          <w:rFonts w:ascii="Verdana" w:hAnsi="Verdana" w:cs="Arial"/>
          <w:lang w:eastAsia="es-ES_tradnl"/>
        </w:rPr>
        <w:t xml:space="preserve">institución </w:t>
      </w:r>
      <w:r w:rsidRPr="00CD2603">
        <w:rPr>
          <w:rFonts w:ascii="Verdana" w:hAnsi="Verdana" w:cs="Arial"/>
          <w:lang w:eastAsia="es-ES_tradnl"/>
        </w:rPr>
        <w:t xml:space="preserve">fue abandonada por la Ley 80 de 1993, estatuto que, fuera de lo dispuesto en relación con la potestad de modificación unilateral, solo aludió a </w:t>
      </w:r>
      <w:bookmarkStart w:id="1" w:name="_Hlk176963734"/>
      <w:r w:rsidRPr="00CD2603">
        <w:rPr>
          <w:rFonts w:ascii="Verdana" w:hAnsi="Verdana" w:cs="Arial"/>
          <w:lang w:eastAsia="es-ES_tradnl"/>
        </w:rPr>
        <w:t>la posibilidad de adicionar valor de los contratos estatales dentro de un límite dado por el cincuenta por ciento (50%) de su valor inicial expresado</w:t>
      </w:r>
      <w:bookmarkEnd w:id="1"/>
      <w:r w:rsidRPr="00CD2603">
        <w:rPr>
          <w:rFonts w:ascii="Verdana" w:hAnsi="Verdana" w:cs="Arial"/>
          <w:lang w:eastAsia="es-ES_tradnl"/>
        </w:rPr>
        <w:t>, pero sin establecer una limitación expresa sobre otros elementos sobre los que recae la adición</w:t>
      </w:r>
      <w:r w:rsidRPr="00CD2603">
        <w:rPr>
          <w:rStyle w:val="Refdenotaalpie"/>
          <w:rFonts w:ascii="Verdana" w:hAnsi="Verdana" w:cs="Arial"/>
          <w:lang w:eastAsia="es-ES_tradnl"/>
        </w:rPr>
        <w:footnoteReference w:id="7"/>
      </w:r>
      <w:r w:rsidRPr="00CD2603">
        <w:rPr>
          <w:rFonts w:ascii="Verdana" w:hAnsi="Verdana" w:cs="Arial"/>
          <w:lang w:eastAsia="es-ES_tradnl"/>
        </w:rPr>
        <w:t>.</w:t>
      </w:r>
    </w:p>
    <w:p w14:paraId="1ACA5249" w14:textId="77777777" w:rsidR="00E73E8C" w:rsidRPr="00CD2603" w:rsidRDefault="00E73E8C" w:rsidP="00E73E8C">
      <w:pPr>
        <w:spacing w:after="120" w:line="276" w:lineRule="auto"/>
        <w:ind w:firstLine="709"/>
        <w:jc w:val="both"/>
        <w:rPr>
          <w:rFonts w:ascii="Verdana" w:hAnsi="Verdana" w:cs="Arial"/>
          <w:lang w:eastAsia="es-ES"/>
        </w:rPr>
      </w:pPr>
      <w:r w:rsidRPr="00CD2603">
        <w:rPr>
          <w:rFonts w:ascii="Verdana" w:hAnsi="Verdana" w:cs="Arial"/>
          <w:szCs w:val="24"/>
          <w:lang w:eastAsia="es-ES_tradnl"/>
        </w:rPr>
        <w:t>No obstante, la expresión “contrato adicional” al igual que las otras nociones doctrinarias y jurisprudenciales arriba señaladas entre comillas son de uso común en la práctica contractual por las Entidades Estatales.</w:t>
      </w:r>
      <w:r w:rsidRPr="00CD2603">
        <w:rPr>
          <w:rFonts w:ascii="Verdana" w:hAnsi="Verdana" w:cs="Arial"/>
          <w:lang w:eastAsia="es-ES"/>
        </w:rPr>
        <w:t xml:space="preserve"> </w:t>
      </w:r>
      <w:r w:rsidRPr="00CD2603">
        <w:rPr>
          <w:rFonts w:ascii="Verdana" w:hAnsi="Verdana" w:cs="Arial"/>
          <w:szCs w:val="24"/>
          <w:lang w:eastAsia="es-ES_tradnl"/>
        </w:rPr>
        <w:t xml:space="preserve">En ese sentido, </w:t>
      </w:r>
      <w:r w:rsidRPr="00CD2603">
        <w:rPr>
          <w:rFonts w:ascii="Verdana" w:hAnsi="Verdana"/>
        </w:rPr>
        <w:t>dada la naturaleza de este sistema de precios, que contempla la posibilidad de variar las cantidades e ítems originalmente previstos entre las partes, tanto la jurisprudencia como la doctrina han desarrollado los conceptos de “mayores cantidades de obra” y de “obras extras o adicionales”, nociones que no corresponden a la misma</w:t>
      </w:r>
      <w:r>
        <w:rPr>
          <w:rFonts w:ascii="Verdana" w:hAnsi="Verdana"/>
        </w:rPr>
        <w:t xml:space="preserve"> institución jurídica</w:t>
      </w:r>
      <w:r w:rsidRPr="00CD2603">
        <w:rPr>
          <w:rFonts w:ascii="Verdana" w:hAnsi="Verdana"/>
        </w:rPr>
        <w:t xml:space="preserve">, tal y como se procede a explicar. Mientras que las “mayores cantidades de obra” implica aumentar las cantidades de los ítems pactados desde el comienzo, la noción de “obras extras o </w:t>
      </w:r>
      <w:r w:rsidRPr="00CD2603">
        <w:rPr>
          <w:rFonts w:ascii="Verdana" w:hAnsi="Verdana"/>
        </w:rPr>
        <w:lastRenderedPageBreak/>
        <w:t>adicionales” exige incluir obras o actividades que no habían sido convenidas, pero que, de todos modos, son indispensables para el cumplimiento del objeto.</w:t>
      </w:r>
    </w:p>
    <w:p w14:paraId="5EC36AC6" w14:textId="77777777" w:rsidR="00E73E8C" w:rsidRPr="00CD2603" w:rsidRDefault="00E73E8C" w:rsidP="00E73E8C">
      <w:pPr>
        <w:spacing w:after="120" w:line="276" w:lineRule="auto"/>
        <w:ind w:firstLine="709"/>
        <w:jc w:val="both"/>
        <w:rPr>
          <w:rFonts w:ascii="Verdana" w:hAnsi="Verdana"/>
        </w:rPr>
      </w:pPr>
      <w:r w:rsidRPr="00CD2603">
        <w:rPr>
          <w:rFonts w:ascii="Verdana" w:hAnsi="Verdana"/>
        </w:rPr>
        <w:t>Por un lado, las mayores cantidades de obra se presentan cuando las partes deben aumentar las cantidades de algunos ítems que sí estaban contemplados en el contrato, pero que su cálculo preliminar resultó insuficiente. Así, por ejemplo, si en un contrato de obra se habían previsto y contratado cien metros cúbicos (100</w:t>
      </w:r>
      <w:r>
        <w:rPr>
          <w:rFonts w:ascii="Verdana" w:hAnsi="Verdana"/>
        </w:rPr>
        <w:t xml:space="preserve"> m</w:t>
      </w:r>
      <w:r w:rsidRPr="00CD2603">
        <w:rPr>
          <w:rFonts w:ascii="Verdana" w:hAnsi="Verdana"/>
          <w:vertAlign w:val="superscript"/>
        </w:rPr>
        <w:t>3</w:t>
      </w:r>
      <w:r w:rsidRPr="00CD2603">
        <w:rPr>
          <w:rFonts w:ascii="Verdana" w:hAnsi="Verdana"/>
        </w:rPr>
        <w:t>) de excavación, pero, en la etapa de ejecución, se determinó que este número no era suficiente, las partes pueden incrementar los metros que deberán excavarse, en atención a que dicho aumento resulta esencial para cumplir la finalidad pública que se perseguía con la contratación</w:t>
      </w:r>
      <w:r w:rsidRPr="00CD2603">
        <w:rPr>
          <w:rStyle w:val="Refdenotaalpie"/>
          <w:rFonts w:ascii="Verdana" w:hAnsi="Verdana"/>
        </w:rPr>
        <w:footnoteReference w:id="8"/>
      </w:r>
      <w:r w:rsidRPr="00CD2603">
        <w:rPr>
          <w:rFonts w:ascii="Verdana" w:hAnsi="Verdana"/>
        </w:rPr>
        <w:t xml:space="preserve">. </w:t>
      </w:r>
    </w:p>
    <w:p w14:paraId="09E406E0" w14:textId="77777777" w:rsidR="00E73E8C" w:rsidRPr="00CD2603" w:rsidRDefault="00E73E8C" w:rsidP="00E73E8C">
      <w:pPr>
        <w:spacing w:after="120" w:line="276" w:lineRule="auto"/>
        <w:ind w:firstLine="709"/>
        <w:jc w:val="both"/>
        <w:rPr>
          <w:rFonts w:ascii="Verdana" w:hAnsi="Verdana"/>
        </w:rPr>
      </w:pPr>
      <w:r w:rsidRPr="00CD2603">
        <w:rPr>
          <w:rFonts w:ascii="Verdana" w:hAnsi="Verdana"/>
        </w:rPr>
        <w:t xml:space="preserve">Por otro lado, las obras adicionales o extras son aquellas que no estaban convenidas en el contrato, y que, por lo tanto, implican una modificación del mismo, que debe </w:t>
      </w:r>
      <w:r>
        <w:rPr>
          <w:rFonts w:ascii="Verdana" w:hAnsi="Verdana"/>
        </w:rPr>
        <w:t xml:space="preserve">estipularse </w:t>
      </w:r>
      <w:r w:rsidRPr="00CD2603">
        <w:rPr>
          <w:rFonts w:ascii="Verdana" w:hAnsi="Verdana"/>
        </w:rPr>
        <w:t>por las partes. El Consejo de Estado ha definido las obras adicionales como</w:t>
      </w:r>
      <w:r w:rsidRPr="00CD2603">
        <w:rPr>
          <w:rFonts w:ascii="Verdana" w:hAnsi="Verdana"/>
          <w:i/>
        </w:rPr>
        <w:t xml:space="preserve"> “aquellas obras distintas de las inicialmente previstas en el objeto contractual, o ítems no previstos pero cuya ejecución se torna necesaria para cumplirlo a cabalidad, en tal sentido su reconocimiento implica variación del contrato”</w:t>
      </w:r>
      <w:r w:rsidRPr="00CD2603">
        <w:rPr>
          <w:rStyle w:val="Refdenotaalpie"/>
          <w:rFonts w:ascii="Verdana" w:hAnsi="Verdana"/>
        </w:rPr>
        <w:footnoteReference w:id="9"/>
      </w:r>
      <w:r w:rsidRPr="00CD2603">
        <w:rPr>
          <w:rFonts w:ascii="Verdana" w:hAnsi="Verdana"/>
          <w:i/>
        </w:rPr>
        <w:t xml:space="preserve">. </w:t>
      </w:r>
      <w:r w:rsidRPr="00CD2603">
        <w:rPr>
          <w:rFonts w:ascii="Verdana" w:hAnsi="Verdana"/>
        </w:rPr>
        <w:t>Igualmente, la mencionada Corporación ha señalado que, cuando las partes estimen necesario incluir una obra adicional o extra que comprenda aumentar el valor del contrato, deberá suscribir</w:t>
      </w:r>
      <w:r>
        <w:rPr>
          <w:rFonts w:ascii="Verdana" w:hAnsi="Verdana"/>
        </w:rPr>
        <w:t>se</w:t>
      </w:r>
      <w:r w:rsidRPr="00CD2603">
        <w:rPr>
          <w:rFonts w:ascii="Verdana" w:hAnsi="Verdana"/>
        </w:rPr>
        <w:t xml:space="preserve"> un contrato adicional, que formalice tal modificación, dado que, de lo contrario, no podrá reconocerse su pago</w:t>
      </w:r>
      <w:r w:rsidRPr="00CD2603">
        <w:rPr>
          <w:rStyle w:val="Refdenotaalpie"/>
          <w:rFonts w:ascii="Verdana" w:hAnsi="Verdana"/>
        </w:rPr>
        <w:footnoteReference w:id="10"/>
      </w:r>
      <w:r>
        <w:rPr>
          <w:rFonts w:ascii="Verdana" w:hAnsi="Verdana"/>
        </w:rPr>
        <w:t>.</w:t>
      </w:r>
    </w:p>
    <w:p w14:paraId="0BE863CB" w14:textId="77777777" w:rsidR="00E73E8C" w:rsidRDefault="00E73E8C" w:rsidP="00E73E8C">
      <w:pPr>
        <w:spacing w:after="120" w:line="276" w:lineRule="auto"/>
        <w:ind w:firstLine="709"/>
        <w:jc w:val="both"/>
        <w:rPr>
          <w:rFonts w:ascii="Verdana" w:eastAsia="Arial" w:hAnsi="Verdana" w:cs="Arial"/>
          <w:lang w:val="es-ES" w:eastAsia="es-ES" w:bidi="es-ES"/>
        </w:rPr>
      </w:pPr>
      <w:r w:rsidRPr="00CD2603">
        <w:rPr>
          <w:rFonts w:ascii="Verdana" w:hAnsi="Verdana"/>
        </w:rPr>
        <w:t>Una vez expuestas las diferencias entre las nociones de “mayores cantidades de obra” y de “obras extras o adicionales”, es necesario adentrarse al estudio sobre la posibilidad de introducir modificación a los contratos estatales y el límite dicha posibilidad. Al respecto, debe señalarse que, e</w:t>
      </w:r>
      <w:r w:rsidRPr="00CD2603">
        <w:rPr>
          <w:rFonts w:ascii="Verdana" w:eastAsia="Arial" w:hAnsi="Verdana" w:cs="Arial"/>
          <w:lang w:val="es-ES" w:eastAsia="es-ES" w:bidi="es-ES"/>
        </w:rPr>
        <w:t xml:space="preserve">n principio, los contratos deben ejecutarse en las condiciones pactadas inicialmente, pues tales condiciones fueron convenidas luego de que la Entidad Pública surtiera todos los procedimientos previstos para la selección de su contratista y definiera los aspectos, técnicos, legales y financieros propios de cada caso. No obstante, es posible que, durante la ejecución del contrato, se evidencie la necesidad de </w:t>
      </w:r>
      <w:r w:rsidRPr="00CD2603">
        <w:rPr>
          <w:rFonts w:ascii="Verdana" w:eastAsia="Arial" w:hAnsi="Verdana" w:cs="Arial"/>
          <w:lang w:val="es-ES" w:eastAsia="es-ES" w:bidi="es-ES"/>
        </w:rPr>
        <w:lastRenderedPageBreak/>
        <w:t>suscribir documentos de modificación en los cuales se cambie parte de las estipulaciones pactadas en un comienzo, para lograr su finalidad y en aras de la realización de los fines del Estado, a los cuales sirve el contrato.</w:t>
      </w:r>
    </w:p>
    <w:p w14:paraId="6D4920DC" w14:textId="77777777" w:rsidR="00E73E8C" w:rsidRDefault="00E73E8C" w:rsidP="00E73E8C">
      <w:pPr>
        <w:widowControl w:val="0"/>
        <w:autoSpaceDE w:val="0"/>
        <w:autoSpaceDN w:val="0"/>
        <w:spacing w:after="120" w:line="276" w:lineRule="auto"/>
        <w:ind w:firstLine="708"/>
        <w:jc w:val="both"/>
        <w:rPr>
          <w:rFonts w:ascii="Verdana" w:hAnsi="Verdana"/>
        </w:rPr>
      </w:pPr>
      <w:r w:rsidRPr="00CD2603">
        <w:rPr>
          <w:rFonts w:ascii="Verdana" w:eastAsia="Calibri" w:hAnsi="Verdana" w:cs="Arial"/>
        </w:rPr>
        <w:t xml:space="preserve">En consideración, </w:t>
      </w:r>
      <w:r>
        <w:rPr>
          <w:rFonts w:ascii="Verdana" w:eastAsia="Calibri" w:hAnsi="Verdana" w:cs="Arial"/>
        </w:rPr>
        <w:t xml:space="preserve">se concluye </w:t>
      </w:r>
      <w:r w:rsidRPr="00CD2603">
        <w:rPr>
          <w:rFonts w:ascii="Verdana" w:eastAsia="Calibri" w:hAnsi="Verdana" w:cs="Arial"/>
        </w:rPr>
        <w:t>que,</w:t>
      </w:r>
      <w:r w:rsidRPr="00CD2603">
        <w:rPr>
          <w:rFonts w:ascii="Verdana" w:hAnsi="Verdana"/>
        </w:rPr>
        <w:t xml:space="preserve"> en los contratos de obra suscritos a precios unitarios, la mayor cantidad de obra ejecutada consiste en aquella que fue contratada pero que su estimativo inicial fue sobrepasado durante la ejecución del contrato. La mayor cantidad de obra por encima del valor estimativo inicial en los contratos a precios unitarios no implica en forma alguna un cambio de objeto o en su valor. Por tal razón, el reconocimiento de mayores cantidades de obra, previamente autorizadas y recibidas por la entidad contratante, realmente no se está adicionando el contrato, sino procediendo, conforme a lo previsto en el mismo. En consecuencia, las cantidades de obra que resulten de las mediciones de los ítems de obra pertinentes no requiere contrato adicional y, por tanto, no les aplica el límite cuantitativo establecido en el artículo 40 de la Ley 80 de 1993. </w:t>
      </w:r>
    </w:p>
    <w:p w14:paraId="297E8804" w14:textId="77777777" w:rsidR="00E73E8C" w:rsidRPr="001D2B00" w:rsidRDefault="00E73E8C" w:rsidP="00E73E8C">
      <w:pPr>
        <w:widowControl w:val="0"/>
        <w:autoSpaceDE w:val="0"/>
        <w:autoSpaceDN w:val="0"/>
        <w:spacing w:after="120" w:line="276" w:lineRule="auto"/>
        <w:jc w:val="both"/>
        <w:rPr>
          <w:rFonts w:ascii="Verdana" w:hAnsi="Verdana"/>
        </w:rPr>
      </w:pPr>
      <w:r>
        <w:rPr>
          <w:rFonts w:ascii="Verdana" w:hAnsi="Verdana"/>
        </w:rPr>
        <w:tab/>
      </w:r>
      <w:r w:rsidRPr="000A44B7">
        <w:rPr>
          <w:rFonts w:ascii="Verdana" w:hAnsi="Verdana"/>
        </w:rPr>
        <w:t>En este contexto, el reconocimiento de mayores cantidades de obra no configura una adición al contrato, pues no implica ampliar el objeto ni alterar el alcance inicialmente pactado, sino aplicar la metodología de remuneración prevista por las partes para determinar el valor final de lo efectivamente ejecutado. Ello, sin embargo, no excluye la obligación de adelantar las gestiones presupuestales necesarias para garantizar la disponibilidad de recursos y efectuar la correspondiente erogación, en cumplimiento de los principios de legalidad del gasto</w:t>
      </w:r>
      <w:r>
        <w:rPr>
          <w:rFonts w:ascii="Verdana" w:hAnsi="Verdana"/>
        </w:rPr>
        <w:t xml:space="preserve"> y los principios de la gestión fiscal</w:t>
      </w:r>
      <w:r w:rsidRPr="000A44B7">
        <w:rPr>
          <w:rFonts w:ascii="Verdana" w:hAnsi="Verdana"/>
        </w:rPr>
        <w:t>. En suma, aunque no se trate de una adición contractual en sentido jurídico, sí se requiere la actuación presupuestal pertinente para honrar los compromisos derivados de la ejecución real de las cantidades de obra.</w:t>
      </w:r>
      <w:r>
        <w:rPr>
          <w:rFonts w:ascii="Verdana" w:hAnsi="Verdana" w:cs="Arial"/>
          <w:shd w:val="clear" w:color="auto" w:fill="FFFFFF"/>
        </w:rPr>
        <w:t xml:space="preserve"> </w:t>
      </w:r>
    </w:p>
    <w:p w14:paraId="7634D119" w14:textId="77777777" w:rsidR="00E73E8C" w:rsidRPr="00CD2603" w:rsidRDefault="00E73E8C" w:rsidP="00E73E8C">
      <w:pPr>
        <w:widowControl w:val="0"/>
        <w:autoSpaceDE w:val="0"/>
        <w:autoSpaceDN w:val="0"/>
        <w:spacing w:after="120" w:line="276" w:lineRule="auto"/>
        <w:ind w:firstLine="708"/>
        <w:jc w:val="both"/>
        <w:rPr>
          <w:rFonts w:ascii="Verdana" w:hAnsi="Verdana"/>
        </w:rPr>
      </w:pPr>
      <w:r>
        <w:rPr>
          <w:rFonts w:ascii="Verdana" w:hAnsi="Verdana"/>
        </w:rPr>
        <w:t>Ahora bien, con respecto a</w:t>
      </w:r>
      <w:r w:rsidRPr="00CD2603">
        <w:rPr>
          <w:rFonts w:ascii="Verdana" w:hAnsi="Verdana"/>
        </w:rPr>
        <w:t xml:space="preserve"> las adiciones </w:t>
      </w:r>
      <w:r>
        <w:rPr>
          <w:rFonts w:ascii="Verdana" w:hAnsi="Verdana"/>
        </w:rPr>
        <w:t xml:space="preserve">se refieren </w:t>
      </w:r>
      <w:r w:rsidRPr="00CD2603">
        <w:rPr>
          <w:rFonts w:ascii="Verdana" w:hAnsi="Verdana"/>
        </w:rPr>
        <w:t>a aumentos en el valor del contrato relacionadas con ítems o actividades no contempladas o previstas dentro del contrato que requieren ser ejecutadas para la obtención y cumplimiento del objeto contractual, por tal motivo, para su reconocimiento se requiere de la suscripción de un contrato adicional o modificatorio del contrato inicial</w:t>
      </w:r>
      <w:r>
        <w:rPr>
          <w:rFonts w:ascii="Verdana" w:hAnsi="Verdana"/>
        </w:rPr>
        <w:t>, como lo señala la Agencia en el Concepto C-563 del 21 de octubre de 2026</w:t>
      </w:r>
      <w:r w:rsidRPr="00CD2603">
        <w:rPr>
          <w:rFonts w:ascii="Verdana" w:hAnsi="Verdana"/>
        </w:rPr>
        <w:t xml:space="preserve">. En ese sentido, comoquiera que esta obra implica modificación al contrato, será necesario, en forma previa, el perfeccionamiento de contrato adicional o modificatorio. En este caso, si se torna aplicable el límite establecido en el </w:t>
      </w:r>
      <w:r w:rsidRPr="00CD2603">
        <w:rPr>
          <w:rFonts w:ascii="Verdana" w:hAnsi="Verdana"/>
        </w:rPr>
        <w:lastRenderedPageBreak/>
        <w:t>parágrafo del artículo 40 de la Ley 80 de 1993, lo cual indica que estos negocios jurídicos no podrán adicionarse en más del cincuenta por ciento (50%) de su valor inicial, expresado en salarios mínimos legales mensuales.</w:t>
      </w:r>
    </w:p>
    <w:p w14:paraId="6346AF81" w14:textId="77777777" w:rsidR="00E73E8C" w:rsidRPr="008D68BF" w:rsidRDefault="00E73E8C" w:rsidP="00E73E8C">
      <w:pPr>
        <w:spacing w:after="0" w:line="276" w:lineRule="auto"/>
        <w:jc w:val="both"/>
        <w:rPr>
          <w:rFonts w:ascii="Verdana" w:eastAsia="Times New Roman" w:hAnsi="Verdana" w:cs="Arial"/>
          <w:color w:val="000000" w:themeColor="text1"/>
          <w:lang w:eastAsia="es-ES"/>
        </w:rPr>
      </w:pPr>
    </w:p>
    <w:p w14:paraId="29C7D8C8" w14:textId="77777777" w:rsidR="00E73E8C" w:rsidRPr="00A40FE7" w:rsidRDefault="00E73E8C" w:rsidP="00E73E8C">
      <w:pPr>
        <w:widowControl w:val="0"/>
        <w:autoSpaceDE w:val="0"/>
        <w:autoSpaceDN w:val="0"/>
        <w:spacing w:after="120" w:line="276" w:lineRule="auto"/>
        <w:jc w:val="both"/>
        <w:rPr>
          <w:rFonts w:ascii="Verdana" w:hAnsi="Verdana" w:cs="Arial"/>
          <w:lang w:eastAsia="es-ES_tradnl"/>
        </w:rPr>
      </w:pPr>
      <w:r>
        <w:rPr>
          <w:rFonts w:ascii="Verdana" w:hAnsi="Verdana" w:cs="Arial"/>
          <w:szCs w:val="24"/>
          <w:lang w:val="es-ES_tradnl" w:eastAsia="es-ES_tradnl"/>
        </w:rPr>
        <w:t xml:space="preserve">ii. </w:t>
      </w:r>
      <w:r w:rsidRPr="009202B7">
        <w:rPr>
          <w:rFonts w:ascii="Verdana" w:hAnsi="Verdana" w:cs="Arial"/>
          <w:lang w:eastAsia="es-ES_tradnl"/>
        </w:rPr>
        <w:t>Dentro del marco general del análisis de precios unitarios en los contratos de obra, para abordar el problema jurídico planteado es preciso señalar que el Consejo de Estado ha caracterizado las obras adicionales como aquellas actividades o ítems no previstos originalmente en el objeto contractual, pero cuya ejecución resulta indispensable para garantizar el cumplimiento integral de la obra</w:t>
      </w:r>
      <w:r>
        <w:rPr>
          <w:rStyle w:val="Refdenotaalpie"/>
          <w:rFonts w:ascii="Verdana" w:hAnsi="Verdana" w:cs="Arial"/>
          <w:lang w:eastAsia="es-ES_tradnl"/>
        </w:rPr>
        <w:footnoteReference w:id="11"/>
      </w:r>
      <w:r w:rsidRPr="009202B7">
        <w:rPr>
          <w:rFonts w:ascii="Verdana" w:hAnsi="Verdana" w:cs="Arial"/>
          <w:lang w:eastAsia="es-ES_tradnl"/>
        </w:rPr>
        <w:t xml:space="preserve">. Debido a su naturaleza, su reconocimiento implica necesariamente una modificación del contrato. </w:t>
      </w:r>
      <w:r w:rsidRPr="009202B7">
        <w:rPr>
          <w:rFonts w:ascii="Verdana" w:hAnsi="Verdana" w:cs="Arial"/>
          <w:szCs w:val="24"/>
          <w:lang w:eastAsia="es-ES_tradnl"/>
        </w:rPr>
        <w:t>Asimismo, la Corporación ha reiterado que cuando las partes adviertan la necesidad de incorporar obras adicionales o extras que comporten incremento del valor contractual, es obligatorio formalizar dicha variación mediante un contrato adicional. La ausencia de este instrumento impide el reconocimiento y pago de las prestaciones ejecutadas por fuera del alcance inicialmente pactado</w:t>
      </w:r>
      <w:r>
        <w:rPr>
          <w:rStyle w:val="Refdenotaalpie"/>
          <w:rFonts w:ascii="Verdana" w:hAnsi="Verdana" w:cs="Arial"/>
          <w:szCs w:val="24"/>
          <w:lang w:eastAsia="es-ES_tradnl"/>
        </w:rPr>
        <w:footnoteReference w:id="12"/>
      </w:r>
      <w:r w:rsidRPr="009202B7">
        <w:rPr>
          <w:rFonts w:ascii="Verdana" w:hAnsi="Verdana" w:cs="Arial"/>
          <w:szCs w:val="24"/>
          <w:lang w:eastAsia="es-ES_tradnl"/>
        </w:rPr>
        <w:t>.</w:t>
      </w:r>
    </w:p>
    <w:p w14:paraId="72D4403A" w14:textId="77777777" w:rsidR="00E73E8C" w:rsidRPr="001278F6" w:rsidRDefault="00E73E8C" w:rsidP="00E73E8C">
      <w:pPr>
        <w:spacing w:before="120" w:after="120" w:line="276" w:lineRule="auto"/>
        <w:ind w:firstLine="709"/>
        <w:jc w:val="both"/>
        <w:rPr>
          <w:rFonts w:ascii="Verdana" w:eastAsia="Aptos" w:hAnsi="Verdana" w:cs="Arial"/>
          <w:kern w:val="2"/>
          <w:lang w:val="es-ES" w:eastAsia="es-ES"/>
          <w14:ligatures w14:val="standardContextual"/>
        </w:rPr>
      </w:pPr>
      <w:r w:rsidRPr="001278F6">
        <w:rPr>
          <w:rFonts w:ascii="Verdana" w:eastAsia="Calibri" w:hAnsi="Verdana" w:cs="Arial"/>
          <w:iCs/>
          <w:color w:val="000000"/>
          <w:lang w:val="es-ES"/>
        </w:rPr>
        <w:t>El contrato adicional consiste esencialmente en la inclusión de nuevos elementos (bienes, obras, servicios o suministros) al objeto del negocio jurídico, que</w:t>
      </w:r>
      <w:r>
        <w:rPr>
          <w:rFonts w:ascii="Verdana" w:eastAsia="Calibri" w:hAnsi="Verdana" w:cs="Arial"/>
          <w:iCs/>
          <w:color w:val="000000"/>
          <w:lang w:val="es-ES"/>
        </w:rPr>
        <w:t>,</w:t>
      </w:r>
      <w:r w:rsidRPr="001278F6">
        <w:rPr>
          <w:rFonts w:ascii="Verdana" w:eastAsia="Calibri" w:hAnsi="Verdana" w:cs="Arial"/>
          <w:iCs/>
          <w:color w:val="000000"/>
          <w:lang w:val="es-ES"/>
        </w:rPr>
        <w:t xml:space="preserve"> pese a no estar previstos en él, guardan una estrecha relación y se requieren para lograr la correcta ejecución del acuerdo de voluntades pactado. En este sentido, este instrumento es una herramienta que permite adaptar el negocio a las necesidades administrativas e implica la inclusión de nuevas obras, bienes, servicios o suministros en el negocio original, los cuales son indispensables para que el objeto contractual cumpla la finalidad buscada por la entidad estatal contratante</w:t>
      </w:r>
      <w:r w:rsidRPr="001278F6">
        <w:rPr>
          <w:rFonts w:ascii="Verdana" w:eastAsia="Calibri" w:hAnsi="Verdana" w:cs="Arial"/>
          <w:iCs/>
          <w:color w:val="000000"/>
          <w:vertAlign w:val="superscript"/>
          <w:lang w:val="es-ES"/>
        </w:rPr>
        <w:footnoteReference w:id="13"/>
      </w:r>
      <w:r w:rsidRPr="001278F6">
        <w:rPr>
          <w:rFonts w:ascii="Verdana" w:eastAsia="Calibri" w:hAnsi="Verdana" w:cs="Arial"/>
          <w:iCs/>
          <w:color w:val="000000"/>
          <w:lang w:val="es-ES"/>
        </w:rPr>
        <w:t xml:space="preserve">. </w:t>
      </w:r>
    </w:p>
    <w:p w14:paraId="53B0ED86" w14:textId="77777777" w:rsidR="00E73E8C" w:rsidRPr="001278F6" w:rsidRDefault="00E73E8C" w:rsidP="00E73E8C">
      <w:pPr>
        <w:widowControl w:val="0"/>
        <w:autoSpaceDE w:val="0"/>
        <w:autoSpaceDN w:val="0"/>
        <w:spacing w:after="120" w:line="276" w:lineRule="auto"/>
        <w:ind w:firstLine="708"/>
        <w:jc w:val="both"/>
        <w:rPr>
          <w:rFonts w:ascii="Verdana" w:eastAsia="Calibri" w:hAnsi="Verdana" w:cs="Arial"/>
          <w:iCs/>
          <w:color w:val="000000"/>
          <w:lang w:val="es-ES"/>
        </w:rPr>
      </w:pPr>
      <w:r>
        <w:rPr>
          <w:rFonts w:ascii="Verdana" w:eastAsia="Calibri" w:hAnsi="Verdana" w:cs="Arial"/>
          <w:iCs/>
          <w:color w:val="000000"/>
          <w:lang w:val="es-ES"/>
        </w:rPr>
        <w:t xml:space="preserve">Durante </w:t>
      </w:r>
      <w:r w:rsidRPr="001278F6">
        <w:rPr>
          <w:rFonts w:ascii="Verdana" w:eastAsia="Calibri" w:hAnsi="Verdana" w:cs="Arial"/>
          <w:iCs/>
          <w:color w:val="000000"/>
          <w:lang w:val="es-ES"/>
        </w:rPr>
        <w:t xml:space="preserve">la etapa de ejecución, se reconoce la necesidad de incorporar una o varias prestaciones a la relación obligacional, para colmar el interés colectivo que justifica la existencia misma del acuerdo de voluntades. En este sentido, las prestaciones adicionales, pueden incidir en la modificación del precio global del contrato y de los precios unitarios, siempre que no se trate de la aplicación de </w:t>
      </w:r>
      <w:r w:rsidRPr="001278F6">
        <w:rPr>
          <w:rFonts w:ascii="Verdana" w:eastAsia="Calibri" w:hAnsi="Verdana" w:cs="Arial"/>
          <w:iCs/>
          <w:color w:val="000000"/>
          <w:lang w:val="es-ES"/>
        </w:rPr>
        <w:lastRenderedPageBreak/>
        <w:t>fórmulas o cálculos de actualización</w:t>
      </w:r>
      <w:r w:rsidRPr="001278F6">
        <w:rPr>
          <w:rFonts w:ascii="Verdana" w:eastAsia="Calibri" w:hAnsi="Verdana" w:cs="Arial"/>
          <w:iCs/>
          <w:color w:val="000000"/>
          <w:vertAlign w:val="superscript"/>
          <w:lang w:val="es-ES"/>
        </w:rPr>
        <w:footnoteReference w:id="14"/>
      </w:r>
      <w:r w:rsidRPr="001278F6">
        <w:rPr>
          <w:rFonts w:ascii="Verdana" w:eastAsia="Calibri" w:hAnsi="Verdana" w:cs="Arial"/>
          <w:iCs/>
          <w:color w:val="000000"/>
          <w:lang w:val="es-ES"/>
        </w:rPr>
        <w:t>. En este sentido, el Consejo de Estado en relación con las obras adicionales, precisó que se trata de “(…) aquellas carentes de consagración en el contrato y para las cuales resulta necesario establecer nuevos precios unitarios (…)”</w:t>
      </w:r>
      <w:r w:rsidRPr="001278F6">
        <w:rPr>
          <w:rFonts w:ascii="Verdana" w:eastAsia="Calibri" w:hAnsi="Verdana" w:cs="Arial"/>
          <w:iCs/>
          <w:color w:val="000000"/>
          <w:vertAlign w:val="superscript"/>
          <w:lang w:val="es-ES"/>
        </w:rPr>
        <w:footnoteReference w:id="15"/>
      </w:r>
      <w:r w:rsidRPr="001278F6">
        <w:rPr>
          <w:rFonts w:ascii="Verdana" w:eastAsia="Calibri" w:hAnsi="Verdana" w:cs="Arial"/>
          <w:iCs/>
          <w:color w:val="000000"/>
          <w:lang w:val="es-ES"/>
        </w:rPr>
        <w:t>, por lo tanto, la ejecución de obras adicionales o ítems no previstos implica fijar nuevos precios unitarios para poder reconocer y pagar esos trabajos.</w:t>
      </w:r>
    </w:p>
    <w:p w14:paraId="459522A5" w14:textId="77777777" w:rsidR="00E73E8C" w:rsidRPr="001278F6" w:rsidRDefault="00E73E8C" w:rsidP="00E73E8C">
      <w:pPr>
        <w:widowControl w:val="0"/>
        <w:autoSpaceDE w:val="0"/>
        <w:autoSpaceDN w:val="0"/>
        <w:spacing w:after="120" w:line="276" w:lineRule="auto"/>
        <w:ind w:firstLine="708"/>
        <w:jc w:val="both"/>
        <w:rPr>
          <w:rFonts w:ascii="Verdana" w:eastAsia="Calibri" w:hAnsi="Verdana" w:cs="Arial"/>
          <w:iCs/>
          <w:color w:val="000000"/>
          <w:lang w:val="es-ES"/>
        </w:rPr>
      </w:pPr>
      <w:r w:rsidRPr="001278F6">
        <w:rPr>
          <w:rFonts w:ascii="Verdana" w:eastAsia="Calibri" w:hAnsi="Verdana" w:cs="Arial"/>
          <w:iCs/>
          <w:color w:val="000000"/>
          <w:lang w:val="es-ES"/>
        </w:rPr>
        <w:t xml:space="preserve">La incorporación de obras adicionales o de ítems no contemplados en el contrato de obra implica la modificación del objeto contractual, lo que genera para la Entidad la obligación de establecer precios unitarios correspondientes a dichos nuevos elementos. En estos casos, la Entidad contratante deberá definir tales precios con base en un análisis técnico-económico que refleje la estructura de costos vigentes, manteniendo la coherencia con los criterios aplicados en la contratación inicial. Para ello la administración cuenta con autonomía técnica y administrativa para fijar los precios unitarios, siempre que se respeten los principios de economía, transparencia y responsabilidad, sin que ello implique la imposición arbitraria de condiciones económicas ajenas a la realidad del mercado o a los costos razonables de la ejecución. </w:t>
      </w:r>
    </w:p>
    <w:p w14:paraId="055EDC2D" w14:textId="77777777" w:rsidR="00E73E8C" w:rsidRPr="001278F6" w:rsidRDefault="00E73E8C" w:rsidP="00E73E8C">
      <w:pPr>
        <w:widowControl w:val="0"/>
        <w:autoSpaceDE w:val="0"/>
        <w:autoSpaceDN w:val="0"/>
        <w:spacing w:after="120" w:line="276" w:lineRule="auto"/>
        <w:ind w:firstLine="708"/>
        <w:jc w:val="both"/>
        <w:rPr>
          <w:rFonts w:ascii="Verdana" w:eastAsia="Calibri" w:hAnsi="Verdana" w:cs="Arial"/>
          <w:iCs/>
          <w:color w:val="000000"/>
          <w:lang w:val="es-ES"/>
        </w:rPr>
      </w:pPr>
      <w:r w:rsidRPr="001278F6">
        <w:rPr>
          <w:rFonts w:ascii="Verdana" w:eastAsia="Calibri" w:hAnsi="Verdana" w:cs="Arial"/>
          <w:iCs/>
          <w:color w:val="000000"/>
          <w:lang w:val="es-ES"/>
        </w:rPr>
        <w:t xml:space="preserve">En este sentido, para la determinación de los precios unitarios correspondientes a obras adicionales o ítems no previstos, la Agencia Nacional de Contratación Pública – Colombia Compra Eficiente considera que, dado que este procedimiento no cuenta con una regulación normativa específica en materia contractual, el primer paso que debe seguir la Entidad consiste en remitirse al texto contractual. Ello con el fin de verificar si las partes establecieron un procedimiento aplicable para fijar el valor de actividades o ítems no contemplados inicialmente. Con base en esta revisión, se podrá elaborar el correspondiente análisis de precios unitarios y, proceder con la celebración de un contrato adicional o modificatorio del inicial. </w:t>
      </w:r>
    </w:p>
    <w:p w14:paraId="233161B9" w14:textId="77777777" w:rsidR="00E73E8C" w:rsidRPr="001278F6" w:rsidRDefault="00E73E8C" w:rsidP="00E73E8C">
      <w:pPr>
        <w:widowControl w:val="0"/>
        <w:autoSpaceDE w:val="0"/>
        <w:autoSpaceDN w:val="0"/>
        <w:spacing w:after="0" w:line="276" w:lineRule="auto"/>
        <w:ind w:firstLine="708"/>
        <w:jc w:val="both"/>
        <w:rPr>
          <w:rFonts w:ascii="Verdana" w:eastAsia="Calibri" w:hAnsi="Verdana" w:cs="Arial"/>
          <w:iCs/>
          <w:color w:val="000000"/>
          <w:lang w:val="es-ES"/>
        </w:rPr>
      </w:pPr>
      <w:r w:rsidRPr="001278F6">
        <w:rPr>
          <w:rFonts w:ascii="Verdana" w:eastAsia="Calibri" w:hAnsi="Verdana" w:cs="Arial"/>
          <w:iCs/>
          <w:color w:val="000000"/>
          <w:lang w:val="es-ES"/>
        </w:rPr>
        <w:t xml:space="preserve">Sin perjuicio de lo anterior, es pertinente señalar que esta Agencia </w:t>
      </w:r>
      <w:r>
        <w:rPr>
          <w:rFonts w:ascii="Verdana" w:eastAsia="Calibri" w:hAnsi="Verdana" w:cs="Arial"/>
          <w:iCs/>
          <w:color w:val="000000"/>
          <w:lang w:val="es-ES"/>
        </w:rPr>
        <w:t>ha considerado en su doctrina, en especial, en el Concepto C-1325 del 27 de octubre de 2025</w:t>
      </w:r>
      <w:r w:rsidRPr="001278F6">
        <w:rPr>
          <w:rFonts w:ascii="Verdana" w:eastAsia="Calibri" w:hAnsi="Verdana" w:cs="Arial"/>
          <w:iCs/>
          <w:color w:val="000000"/>
          <w:lang w:val="es-ES"/>
        </w:rPr>
        <w:t xml:space="preserve"> que, para la determinación de esos “nuevos precios”, además de atender lo previsto en el contrato -y en caso de que este no contemple un procedimiento específico-, pueden tenerse en cuenta los siguientes aspectos:</w:t>
      </w:r>
    </w:p>
    <w:p w14:paraId="387EB29A" w14:textId="77777777" w:rsidR="00E73E8C" w:rsidRPr="001278F6" w:rsidRDefault="00E73E8C" w:rsidP="00E73E8C">
      <w:pPr>
        <w:widowControl w:val="0"/>
        <w:autoSpaceDE w:val="0"/>
        <w:autoSpaceDN w:val="0"/>
        <w:spacing w:after="0" w:line="276" w:lineRule="auto"/>
        <w:ind w:left="850" w:firstLine="708"/>
        <w:jc w:val="both"/>
        <w:rPr>
          <w:rFonts w:ascii="Verdana" w:eastAsia="Calibri" w:hAnsi="Verdana" w:cs="Arial"/>
          <w:iCs/>
          <w:color w:val="000000"/>
          <w:lang w:val="es-ES"/>
        </w:rPr>
      </w:pPr>
    </w:p>
    <w:p w14:paraId="6F9680DB" w14:textId="77777777" w:rsidR="00E73E8C" w:rsidRPr="001278F6" w:rsidRDefault="00E73E8C" w:rsidP="00E73E8C">
      <w:pPr>
        <w:widowControl w:val="0"/>
        <w:numPr>
          <w:ilvl w:val="0"/>
          <w:numId w:val="20"/>
        </w:numPr>
        <w:autoSpaceDE w:val="0"/>
        <w:autoSpaceDN w:val="0"/>
        <w:spacing w:after="0" w:line="276" w:lineRule="auto"/>
        <w:ind w:left="850"/>
        <w:contextualSpacing/>
        <w:jc w:val="both"/>
        <w:rPr>
          <w:rFonts w:ascii="Verdana" w:eastAsia="Calibri" w:hAnsi="Verdana" w:cs="Arial"/>
          <w:iCs/>
          <w:color w:val="000000"/>
        </w:rPr>
      </w:pPr>
      <w:r w:rsidRPr="001278F6">
        <w:rPr>
          <w:rFonts w:ascii="Verdana" w:eastAsia="Calibri" w:hAnsi="Verdana" w:cs="Arial"/>
          <w:iCs/>
          <w:color w:val="000000"/>
        </w:rPr>
        <w:t>La interventoría o supervisión del contrato debe identificar el ítem no previsto y justificar técnicamente la necesidad de establecer el o los precios unitarios adicionales que se requieran pactar.</w:t>
      </w:r>
    </w:p>
    <w:p w14:paraId="7BDA3343" w14:textId="77777777" w:rsidR="00E73E8C" w:rsidRPr="001278F6" w:rsidRDefault="00E73E8C" w:rsidP="00E73E8C">
      <w:pPr>
        <w:widowControl w:val="0"/>
        <w:numPr>
          <w:ilvl w:val="0"/>
          <w:numId w:val="20"/>
        </w:numPr>
        <w:autoSpaceDE w:val="0"/>
        <w:autoSpaceDN w:val="0"/>
        <w:spacing w:after="0" w:line="276" w:lineRule="auto"/>
        <w:ind w:left="850"/>
        <w:contextualSpacing/>
        <w:jc w:val="both"/>
        <w:rPr>
          <w:rFonts w:ascii="Verdana" w:eastAsia="Calibri" w:hAnsi="Verdana" w:cs="Arial"/>
          <w:iCs/>
          <w:color w:val="000000"/>
        </w:rPr>
      </w:pPr>
      <w:r w:rsidRPr="001278F6">
        <w:rPr>
          <w:rFonts w:ascii="Verdana" w:eastAsia="Calibri" w:hAnsi="Verdana" w:cs="Arial"/>
          <w:iCs/>
          <w:color w:val="000000"/>
        </w:rPr>
        <w:t>Para la elaboración del Análisis de Precios Unitarios (APU), el contratista debe presentar el desglose de los costos directos —materiales, mano de obra, herramienta menor, transporte, equipos, entre otros— con su respectivo soporte técnico, así como los costos indirectos, aplicando la metodología establecida en el contrato o en los manuales de contratación, en los cuales se define el procedimiento interno para la fijación de precios unitarios de ítems no previstos.</w:t>
      </w:r>
    </w:p>
    <w:p w14:paraId="7CED8C25" w14:textId="77777777" w:rsidR="00E73E8C" w:rsidRPr="001278F6" w:rsidRDefault="00E73E8C" w:rsidP="00E73E8C">
      <w:pPr>
        <w:widowControl w:val="0"/>
        <w:numPr>
          <w:ilvl w:val="0"/>
          <w:numId w:val="20"/>
        </w:numPr>
        <w:autoSpaceDE w:val="0"/>
        <w:autoSpaceDN w:val="0"/>
        <w:spacing w:after="0" w:line="276" w:lineRule="auto"/>
        <w:ind w:left="850"/>
        <w:contextualSpacing/>
        <w:jc w:val="both"/>
        <w:rPr>
          <w:rFonts w:ascii="Verdana" w:eastAsia="Calibri" w:hAnsi="Verdana" w:cs="Arial"/>
          <w:iCs/>
          <w:color w:val="000000"/>
        </w:rPr>
      </w:pPr>
      <w:r w:rsidRPr="001278F6">
        <w:rPr>
          <w:rFonts w:ascii="Verdana" w:eastAsia="Calibri" w:hAnsi="Verdana" w:cs="Arial"/>
          <w:iCs/>
          <w:color w:val="000000"/>
        </w:rPr>
        <w:t>El interventor, y posteriormente la entidad contratante, deben revisar que los valores y cantidades presentados por el contratista para los precios unitarios adicionales sean razonables y se ajusten a las condiciones del mercado. Asimismo, deberán solicitar los soportes que consideren necesarios para respaldar los nuevos precios. Entre estos soportes se puede requerir la presentación de cotizaciones de mercado que justifiquen los valores de materiales, equipos o insumos no contemplados inicialmente.</w:t>
      </w:r>
    </w:p>
    <w:p w14:paraId="40265C8E" w14:textId="77777777" w:rsidR="00E73E8C" w:rsidRPr="001278F6" w:rsidRDefault="00E73E8C" w:rsidP="00E73E8C">
      <w:pPr>
        <w:widowControl w:val="0"/>
        <w:numPr>
          <w:ilvl w:val="0"/>
          <w:numId w:val="20"/>
        </w:numPr>
        <w:autoSpaceDE w:val="0"/>
        <w:autoSpaceDN w:val="0"/>
        <w:spacing w:after="0" w:line="276" w:lineRule="auto"/>
        <w:ind w:left="850"/>
        <w:contextualSpacing/>
        <w:jc w:val="both"/>
        <w:rPr>
          <w:rFonts w:ascii="Verdana" w:eastAsia="Calibri" w:hAnsi="Verdana" w:cs="Arial"/>
          <w:iCs/>
          <w:color w:val="000000"/>
        </w:rPr>
      </w:pPr>
      <w:r w:rsidRPr="001278F6">
        <w:rPr>
          <w:rFonts w:ascii="Verdana" w:eastAsia="Calibri" w:hAnsi="Verdana" w:cs="Arial"/>
          <w:iCs/>
          <w:color w:val="000000"/>
        </w:rPr>
        <w:t>La exigencia de cotizaciones surge como una medida de garantía por parte de la interventoría o la supervisión, con el fin de mantener el equilibrio económico del contrato, asegurar la transparencia, la razonabilidad de los costos y, al mismo tiempo, garantizar que el contratista reciba un pago justo por las obras adicionales pactadas, evitando sobrecostos o pagos sin soporte.</w:t>
      </w:r>
    </w:p>
    <w:p w14:paraId="1AB989D5" w14:textId="77777777" w:rsidR="00E73E8C" w:rsidRPr="001278F6" w:rsidRDefault="00E73E8C" w:rsidP="00E73E8C">
      <w:pPr>
        <w:widowControl w:val="0"/>
        <w:numPr>
          <w:ilvl w:val="0"/>
          <w:numId w:val="20"/>
        </w:numPr>
        <w:autoSpaceDE w:val="0"/>
        <w:autoSpaceDN w:val="0"/>
        <w:spacing w:after="0" w:line="276" w:lineRule="auto"/>
        <w:ind w:left="850"/>
        <w:contextualSpacing/>
        <w:jc w:val="both"/>
        <w:rPr>
          <w:rFonts w:ascii="Verdana" w:eastAsia="Calibri" w:hAnsi="Verdana" w:cs="Arial"/>
          <w:iCs/>
          <w:color w:val="000000"/>
        </w:rPr>
      </w:pPr>
      <w:r w:rsidRPr="001278F6">
        <w:rPr>
          <w:rFonts w:ascii="Verdana" w:eastAsia="Calibri" w:hAnsi="Verdana" w:cs="Arial"/>
          <w:iCs/>
          <w:color w:val="000000"/>
        </w:rPr>
        <w:t xml:space="preserve">Las partes deben suscribir el “Acta de fijación de precios no previstos”, la cual deberá estar </w:t>
      </w:r>
      <w:r>
        <w:rPr>
          <w:rFonts w:ascii="Verdana" w:eastAsia="Calibri" w:hAnsi="Verdana" w:cs="Arial"/>
          <w:iCs/>
          <w:color w:val="000000"/>
        </w:rPr>
        <w:t xml:space="preserve">suscrita </w:t>
      </w:r>
      <w:r w:rsidRPr="001278F6">
        <w:rPr>
          <w:rFonts w:ascii="Verdana" w:eastAsia="Calibri" w:hAnsi="Verdana" w:cs="Arial"/>
          <w:iCs/>
          <w:color w:val="000000"/>
        </w:rPr>
        <w:t xml:space="preserve">por la entidad contratante, el contratista y contar con el aval del interventor o supervisor. </w:t>
      </w:r>
    </w:p>
    <w:p w14:paraId="5AE9667A" w14:textId="77777777" w:rsidR="00E73E8C" w:rsidRPr="001278F6" w:rsidRDefault="00E73E8C" w:rsidP="00E73E8C">
      <w:pPr>
        <w:widowControl w:val="0"/>
        <w:autoSpaceDE w:val="0"/>
        <w:autoSpaceDN w:val="0"/>
        <w:spacing w:after="0" w:line="276" w:lineRule="auto"/>
        <w:ind w:left="709"/>
        <w:jc w:val="both"/>
        <w:rPr>
          <w:rFonts w:ascii="Verdana" w:eastAsia="Calibri" w:hAnsi="Verdana" w:cs="Arial"/>
          <w:iCs/>
          <w:color w:val="000000"/>
        </w:rPr>
      </w:pPr>
    </w:p>
    <w:p w14:paraId="470D35B4" w14:textId="77777777" w:rsidR="00E73E8C" w:rsidRPr="001278F6" w:rsidRDefault="00E73E8C" w:rsidP="00E73E8C">
      <w:pPr>
        <w:widowControl w:val="0"/>
        <w:autoSpaceDE w:val="0"/>
        <w:autoSpaceDN w:val="0"/>
        <w:spacing w:after="0" w:line="276" w:lineRule="auto"/>
        <w:ind w:firstLine="708"/>
        <w:jc w:val="both"/>
        <w:rPr>
          <w:rFonts w:ascii="Verdana" w:eastAsia="Calibri" w:hAnsi="Verdana" w:cs="Arial"/>
          <w:iCs/>
          <w:color w:val="000000"/>
        </w:rPr>
      </w:pPr>
      <w:r w:rsidRPr="001278F6">
        <w:rPr>
          <w:rFonts w:ascii="Verdana" w:eastAsia="Calibri" w:hAnsi="Verdana" w:cs="Arial"/>
          <w:iCs/>
          <w:color w:val="000000"/>
          <w:lang w:val="es-ES"/>
        </w:rPr>
        <w:t xml:space="preserve">Debe indicarse que, </w:t>
      </w:r>
      <w:r w:rsidRPr="001278F6">
        <w:rPr>
          <w:rFonts w:ascii="Verdana" w:eastAsia="Calibri" w:hAnsi="Verdana" w:cs="Arial"/>
          <w:iCs/>
          <w:color w:val="000000"/>
        </w:rPr>
        <w:t>el interventor tiene la responsabilidad de verificar y controlar la correcta ejecución de las actividades pactadas en el contrato. Sin embargo, no le está permitido modificar el clausulado del contrato, ya que dicha facultad recae exclusivamente en las partes que celebraron el negocio jurídico. En este sentido, según lo señalado por la jurisprudencia del Consejo de Estado:</w:t>
      </w:r>
    </w:p>
    <w:p w14:paraId="60D21CFF" w14:textId="77777777" w:rsidR="00E73E8C" w:rsidRPr="001278F6" w:rsidRDefault="00E73E8C" w:rsidP="00E73E8C">
      <w:pPr>
        <w:widowControl w:val="0"/>
        <w:autoSpaceDE w:val="0"/>
        <w:autoSpaceDN w:val="0"/>
        <w:spacing w:after="0" w:line="276" w:lineRule="auto"/>
        <w:ind w:firstLine="708"/>
        <w:jc w:val="both"/>
        <w:rPr>
          <w:rFonts w:ascii="Verdana" w:eastAsia="Calibri" w:hAnsi="Verdana" w:cs="Arial"/>
          <w:iCs/>
          <w:color w:val="000000"/>
        </w:rPr>
      </w:pPr>
    </w:p>
    <w:p w14:paraId="77AF3DF9" w14:textId="77777777" w:rsidR="00E73E8C" w:rsidRPr="00D41132" w:rsidRDefault="00E73E8C" w:rsidP="00E73E8C">
      <w:pPr>
        <w:widowControl w:val="0"/>
        <w:autoSpaceDE w:val="0"/>
        <w:autoSpaceDN w:val="0"/>
        <w:spacing w:after="0" w:line="240" w:lineRule="auto"/>
        <w:ind w:left="709" w:right="709"/>
        <w:jc w:val="both"/>
        <w:rPr>
          <w:rFonts w:ascii="Verdana" w:eastAsia="Calibri" w:hAnsi="Verdana" w:cs="Arial"/>
          <w:iCs/>
          <w:color w:val="000000"/>
          <w:sz w:val="20"/>
          <w:szCs w:val="20"/>
        </w:rPr>
      </w:pPr>
      <w:r w:rsidRPr="00D41132">
        <w:rPr>
          <w:rFonts w:ascii="Verdana" w:eastAsia="Calibri" w:hAnsi="Verdana" w:cs="Arial"/>
          <w:iCs/>
          <w:color w:val="000000"/>
          <w:sz w:val="20"/>
          <w:szCs w:val="20"/>
        </w:rPr>
        <w:t xml:space="preserve">“(…) al interventor no le corresponde concertar modificación a las estipulaciones del acuerdo de voluntades objeto de su control y vigilancia, </w:t>
      </w:r>
      <w:r w:rsidRPr="00D41132">
        <w:rPr>
          <w:rFonts w:ascii="Verdana" w:eastAsia="Calibri" w:hAnsi="Verdana" w:cs="Arial"/>
          <w:i/>
          <w:color w:val="000000"/>
          <w:sz w:val="20"/>
          <w:szCs w:val="20"/>
        </w:rPr>
        <w:lastRenderedPageBreak/>
        <w:t>como lo es, ciertamente, convenir el precio de actividades no previstas.</w:t>
      </w:r>
      <w:r w:rsidRPr="00D41132">
        <w:rPr>
          <w:rFonts w:ascii="Verdana" w:eastAsia="Calibri" w:hAnsi="Verdana" w:cs="Arial"/>
          <w:iCs/>
          <w:color w:val="000000"/>
          <w:sz w:val="20"/>
          <w:szCs w:val="20"/>
        </w:rPr>
        <w:t xml:space="preserve"> En otras palabras, el interventor del contrato no puede obligar a la entidad, porque no ostenta su representación para suscribir contratos adicionales”</w:t>
      </w:r>
      <w:r w:rsidRPr="00D41132">
        <w:rPr>
          <w:rFonts w:ascii="Verdana" w:eastAsia="Calibri" w:hAnsi="Verdana" w:cs="Arial"/>
          <w:iCs/>
          <w:color w:val="000000"/>
          <w:sz w:val="20"/>
          <w:szCs w:val="20"/>
          <w:vertAlign w:val="superscript"/>
        </w:rPr>
        <w:footnoteReference w:id="16"/>
      </w:r>
      <w:r w:rsidRPr="00D41132">
        <w:rPr>
          <w:rFonts w:ascii="Verdana" w:eastAsia="Calibri" w:hAnsi="Verdana" w:cs="Arial"/>
          <w:iCs/>
          <w:color w:val="000000"/>
          <w:sz w:val="20"/>
          <w:szCs w:val="20"/>
        </w:rPr>
        <w:t>.(énfasis fuera del texto original)</w:t>
      </w:r>
    </w:p>
    <w:p w14:paraId="18E96369" w14:textId="77777777" w:rsidR="00E73E8C" w:rsidRPr="001278F6" w:rsidRDefault="00E73E8C" w:rsidP="00E73E8C">
      <w:pPr>
        <w:widowControl w:val="0"/>
        <w:autoSpaceDE w:val="0"/>
        <w:autoSpaceDN w:val="0"/>
        <w:spacing w:after="0" w:line="276" w:lineRule="auto"/>
        <w:jc w:val="both"/>
        <w:rPr>
          <w:rFonts w:ascii="Verdana" w:eastAsia="Calibri" w:hAnsi="Verdana" w:cs="Arial"/>
          <w:iCs/>
          <w:color w:val="000000"/>
          <w:lang w:val="es-ES"/>
        </w:rPr>
      </w:pPr>
    </w:p>
    <w:p w14:paraId="4C9760A0" w14:textId="77777777" w:rsidR="00E73E8C" w:rsidRPr="00683944" w:rsidRDefault="00E73E8C" w:rsidP="00E73E8C">
      <w:pPr>
        <w:widowControl w:val="0"/>
        <w:autoSpaceDE w:val="0"/>
        <w:autoSpaceDN w:val="0"/>
        <w:spacing w:after="120" w:line="276" w:lineRule="auto"/>
        <w:jc w:val="both"/>
        <w:rPr>
          <w:rFonts w:ascii="Verdana" w:eastAsia="Calibri" w:hAnsi="Verdana" w:cs="Arial"/>
          <w:iCs/>
          <w:color w:val="000000"/>
        </w:rPr>
      </w:pPr>
      <w:r w:rsidRPr="001278F6">
        <w:rPr>
          <w:rFonts w:ascii="Verdana" w:eastAsia="Calibri" w:hAnsi="Verdana" w:cs="Arial"/>
          <w:iCs/>
          <w:color w:val="000000"/>
          <w:lang w:val="es-ES"/>
        </w:rPr>
        <w:tab/>
        <w:t>En la misma línea, otras providencias del Consejo de Estado señalaron que, salvo que las partes del contrato de interventoría establezcan de manera expresa un alcance distinto para su objeto, no le corresponde al interventor “</w:t>
      </w:r>
      <w:r>
        <w:rPr>
          <w:rFonts w:ascii="Verdana" w:eastAsia="Calibri" w:hAnsi="Verdana" w:cs="Arial"/>
          <w:iCs/>
          <w:color w:val="000000"/>
          <w:lang w:val="es-ES"/>
        </w:rPr>
        <w:t>[</w:t>
      </w:r>
      <w:r w:rsidRPr="001278F6">
        <w:rPr>
          <w:rFonts w:ascii="Verdana" w:eastAsia="Calibri" w:hAnsi="Verdana" w:cs="Arial"/>
          <w:iCs/>
          <w:color w:val="000000"/>
          <w:lang w:val="es-ES"/>
        </w:rPr>
        <w:t>…</w:t>
      </w:r>
      <w:r>
        <w:rPr>
          <w:rFonts w:ascii="Verdana" w:eastAsia="Calibri" w:hAnsi="Verdana" w:cs="Arial"/>
          <w:iCs/>
          <w:color w:val="000000"/>
          <w:lang w:val="es-ES"/>
        </w:rPr>
        <w:t>]</w:t>
      </w:r>
      <w:r w:rsidRPr="001278F6">
        <w:rPr>
          <w:rFonts w:ascii="Verdana" w:eastAsia="Calibri" w:hAnsi="Verdana" w:cs="Arial"/>
          <w:iCs/>
          <w:color w:val="000000"/>
          <w:lang w:val="es-ES"/>
        </w:rPr>
        <w:t xml:space="preserve"> </w:t>
      </w:r>
      <w:r w:rsidRPr="001278F6">
        <w:rPr>
          <w:rFonts w:ascii="Verdana" w:eastAsia="Calibri" w:hAnsi="Verdana" w:cs="Arial"/>
          <w:iCs/>
          <w:color w:val="000000"/>
        </w:rPr>
        <w:t xml:space="preserve">concertar modificación a la normativa del contrato objeto de su control o fiscalización, como, por ejemplo </w:t>
      </w:r>
      <w:r>
        <w:rPr>
          <w:rFonts w:ascii="Verdana" w:eastAsia="Calibri" w:hAnsi="Verdana" w:cs="Arial"/>
          <w:iCs/>
          <w:color w:val="000000"/>
        </w:rPr>
        <w:t>[</w:t>
      </w:r>
      <w:r w:rsidRPr="001278F6">
        <w:rPr>
          <w:rFonts w:ascii="Verdana" w:eastAsia="Calibri" w:hAnsi="Verdana" w:cs="Arial"/>
          <w:iCs/>
          <w:color w:val="000000"/>
        </w:rPr>
        <w:t>…</w:t>
      </w:r>
      <w:r>
        <w:rPr>
          <w:rFonts w:ascii="Verdana" w:eastAsia="Calibri" w:hAnsi="Verdana" w:cs="Arial"/>
          <w:iCs/>
          <w:color w:val="000000"/>
        </w:rPr>
        <w:t>]</w:t>
      </w:r>
      <w:r w:rsidRPr="001278F6">
        <w:rPr>
          <w:rFonts w:ascii="Verdana" w:eastAsia="Calibri" w:hAnsi="Verdana" w:cs="Arial"/>
          <w:iCs/>
          <w:color w:val="000000"/>
        </w:rPr>
        <w:t xml:space="preserve"> convenir el precio de actividades no </w:t>
      </w:r>
      <w:r w:rsidRPr="00683944">
        <w:rPr>
          <w:rFonts w:ascii="Verdana" w:eastAsia="Calibri" w:hAnsi="Verdana" w:cs="Arial"/>
          <w:iCs/>
          <w:color w:val="000000"/>
        </w:rPr>
        <w:t>previstas”</w:t>
      </w:r>
      <w:r w:rsidRPr="00683944">
        <w:rPr>
          <w:rFonts w:ascii="Verdana" w:eastAsia="Calibri" w:hAnsi="Verdana" w:cs="Arial"/>
          <w:iCs/>
          <w:color w:val="000000"/>
          <w:vertAlign w:val="superscript"/>
        </w:rPr>
        <w:footnoteReference w:id="17"/>
      </w:r>
      <w:r w:rsidRPr="00683944">
        <w:rPr>
          <w:rFonts w:ascii="Verdana" w:eastAsia="Calibri" w:hAnsi="Verdana" w:cs="Arial"/>
          <w:iCs/>
          <w:color w:val="000000"/>
        </w:rPr>
        <w:t xml:space="preserve">. </w:t>
      </w:r>
    </w:p>
    <w:p w14:paraId="6662BDC7" w14:textId="77777777" w:rsidR="00E73E8C" w:rsidRPr="00683944" w:rsidRDefault="00E73E8C" w:rsidP="00E73E8C">
      <w:pPr>
        <w:widowControl w:val="0"/>
        <w:autoSpaceDE w:val="0"/>
        <w:autoSpaceDN w:val="0"/>
        <w:spacing w:after="120" w:line="276" w:lineRule="auto"/>
        <w:ind w:firstLine="708"/>
        <w:jc w:val="both"/>
        <w:rPr>
          <w:rFonts w:ascii="Verdana" w:eastAsia="Calibri" w:hAnsi="Verdana" w:cs="Arial"/>
          <w:iCs/>
          <w:color w:val="000000"/>
          <w:kern w:val="2"/>
          <w:lang w:val="es-ES"/>
          <w14:ligatures w14:val="standardContextual"/>
        </w:rPr>
      </w:pPr>
      <w:r w:rsidRPr="00683944">
        <w:rPr>
          <w:rFonts w:ascii="Verdana" w:eastAsia="Calibri" w:hAnsi="Verdana" w:cs="Arial"/>
          <w:iCs/>
          <w:color w:val="000000"/>
          <w:kern w:val="2"/>
          <w14:ligatures w14:val="standardContextual"/>
        </w:rPr>
        <w:t>Ahora bien, de acuerdo con el procedimiento que esta Agencia considera que pueden seguir las entidades para establecer el análisis de precios unitarios de los ítems no previstos, debe señalarse que conforme con los numerales iii) y iv) previamente señalados, la entidad deberá solicitar los soportes que consideren necesarios para respaldar los nuevos precios de esas obras adicionales o ítems no previstos. Para tal efecto, podrá requerir la presentación de cotizaciones que justifiquen los valores de materiales, equipos o insumos no contemplados inicialmente.</w:t>
      </w:r>
      <w:r w:rsidRPr="00683944">
        <w:rPr>
          <w:rFonts w:ascii="Verdana" w:eastAsia="Calibri" w:hAnsi="Verdana" w:cs="Arial"/>
          <w:iCs/>
          <w:color w:val="000000"/>
          <w:kern w:val="2"/>
          <w:lang w:val="es-ES"/>
          <w14:ligatures w14:val="standardContextual"/>
        </w:rPr>
        <w:t xml:space="preserve"> Sin embargo, este supuesto aplicaría en el caso de que las partes no hayan establecido un procedimiento específico en el contrato, considerando que, si existe acuerdo sobre este aspecto (análisis de precios unitarios sobre obras adicionales o ítems no previstos), deberá darse aplicación a los términos establecidos por las partes. En este sentido, lo acordado prevalecerá, y solo en ausencia de disposición expresa podrá acudirse al procedimiento general previsto por esta Agencia. </w:t>
      </w:r>
    </w:p>
    <w:p w14:paraId="75176B75" w14:textId="77777777" w:rsidR="00E73E8C" w:rsidRDefault="00E73E8C" w:rsidP="00E73E8C">
      <w:pPr>
        <w:widowControl w:val="0"/>
        <w:autoSpaceDE w:val="0"/>
        <w:autoSpaceDN w:val="0"/>
        <w:spacing w:after="120" w:line="276" w:lineRule="auto"/>
        <w:jc w:val="both"/>
        <w:rPr>
          <w:rFonts w:ascii="Verdana" w:eastAsia="Calibri" w:hAnsi="Verdana" w:cs="Arial"/>
          <w:iCs/>
          <w:color w:val="000000"/>
        </w:rPr>
      </w:pPr>
      <w:r w:rsidRPr="00683944">
        <w:rPr>
          <w:rFonts w:ascii="Verdana" w:eastAsia="Calibri" w:hAnsi="Verdana" w:cs="Arial"/>
          <w:iCs/>
          <w:color w:val="000000"/>
        </w:rPr>
        <w:tab/>
        <w:t xml:space="preserve">Bajo los supuestos previamente expuestos, corresponde a las partes del contrato, de común intención, pactar el precio de cada uno de los ítems de obra no previstos, dentro del respectivo contrato adicional o modificatorio del contrato inicial. Para ello, deberán incorporar de manera detallada los ítems acordados, especificando, en relación con cada uno de ellos, la descripción de la actividad correspondiente, la unidad de medida y el valor unitario, este último determinado conforme con al procedimiento que las partes hayan previsto para tal efecto. </w:t>
      </w:r>
      <w:r w:rsidRPr="00683944">
        <w:rPr>
          <w:rFonts w:ascii="Verdana" w:eastAsia="Calibri" w:hAnsi="Verdana" w:cs="Arial"/>
          <w:iCs/>
          <w:color w:val="000000"/>
          <w:lang w:val="es-ES"/>
        </w:rPr>
        <w:t xml:space="preserve">El procedimiento señalado, se ha establecido con base en la práctica </w:t>
      </w:r>
      <w:r w:rsidRPr="00683944">
        <w:rPr>
          <w:rFonts w:ascii="Verdana" w:eastAsia="Calibri" w:hAnsi="Verdana" w:cs="Arial"/>
          <w:iCs/>
          <w:color w:val="000000"/>
          <w:lang w:val="es-ES"/>
        </w:rPr>
        <w:lastRenderedPageBreak/>
        <w:t>contractual observada en algunas entidades del sector, funcionando como guía operativa para la inclusión y fijación de obras adicionales o ítems no previstos. Sin embargo, es importante aclarar que dicho procedimiento no constituye norma jurídica de carácter obligatorio, por lo que las partes contratantes conservan plena autonomía para acordar mecanismos distintos conforme a su voluntad, pud</w:t>
      </w:r>
      <w:r w:rsidRPr="00683944">
        <w:rPr>
          <w:rFonts w:ascii="Verdana" w:eastAsia="Calibri" w:hAnsi="Verdana" w:cs="Arial"/>
          <w:iCs/>
          <w:color w:val="000000"/>
        </w:rPr>
        <w:t>iendo adoptar procedimientos alternativos.</w:t>
      </w:r>
    </w:p>
    <w:p w14:paraId="1E82647D" w14:textId="77777777" w:rsidR="00E73E8C" w:rsidRPr="00A568B1" w:rsidRDefault="00E73E8C" w:rsidP="00E73E8C">
      <w:pPr>
        <w:widowControl w:val="0"/>
        <w:autoSpaceDE w:val="0"/>
        <w:autoSpaceDN w:val="0"/>
        <w:spacing w:after="120" w:line="276" w:lineRule="auto"/>
        <w:jc w:val="both"/>
        <w:rPr>
          <w:rFonts w:ascii="Verdana" w:eastAsia="Calibri" w:hAnsi="Verdana" w:cs="Arial"/>
          <w:lang w:eastAsia="es-ES"/>
        </w:rPr>
      </w:pPr>
      <w:r>
        <w:rPr>
          <w:rFonts w:ascii="Verdana" w:eastAsia="Calibri" w:hAnsi="Verdana" w:cs="Arial"/>
          <w:iCs/>
          <w:color w:val="000000"/>
        </w:rPr>
        <w:tab/>
      </w:r>
      <w:r w:rsidRPr="00696AB5">
        <w:rPr>
          <w:rFonts w:ascii="Verdana" w:eastAsia="Calibri" w:hAnsi="Verdana" w:cs="Arial"/>
          <w:iCs/>
          <w:color w:val="000000"/>
        </w:rPr>
        <w:t>Teniendo en cuenta lo expuesto,</w:t>
      </w:r>
      <w:r>
        <w:rPr>
          <w:rFonts w:ascii="Verdana" w:eastAsia="Calibri" w:hAnsi="Verdana" w:cs="Arial"/>
          <w:iCs/>
          <w:color w:val="000000"/>
        </w:rPr>
        <w:t xml:space="preserve"> es evidente que ítems no previstos implica una modificación contractual, el cual debe cumplir con las condiciones para ello. Ahora bien,</w:t>
      </w:r>
      <w:r w:rsidRPr="00696AB5">
        <w:rPr>
          <w:rFonts w:ascii="Verdana" w:eastAsia="Calibri" w:hAnsi="Verdana" w:cs="Arial"/>
          <w:iCs/>
          <w:color w:val="000000"/>
        </w:rPr>
        <w:t xml:space="preserve"> e</w:t>
      </w:r>
      <w:r>
        <w:rPr>
          <w:rFonts w:ascii="Verdana" w:eastAsia="Calibri" w:hAnsi="Verdana" w:cs="Arial"/>
          <w:iCs/>
          <w:color w:val="000000"/>
        </w:rPr>
        <w:t xml:space="preserve">s posible que dentro de las particularidades dentro de la modificación contractual de ítems no previstos no se requiera disponibilidad o registro presupuestal. Esto, puede ocurrir en que </w:t>
      </w:r>
      <w:r w:rsidRPr="00696AB5">
        <w:rPr>
          <w:rFonts w:ascii="Verdana" w:eastAsia="Calibri" w:hAnsi="Verdana" w:cs="Arial"/>
          <w:iCs/>
          <w:color w:val="000000"/>
        </w:rPr>
        <w:t>se presente un balance de mayores y menores cantidades entre los ítems del contrato inicial y los ítems no previstos incorporados mediante modificación contractual —sin requerir recursos adicionales ni un nuevo registro presupuestal, y asignando valores disminuidos de ítems iniciales para financiar los nuevos ítems— resulta indispensable que la entidad adelante una evaluación técnica integral que determine con precisión la naturaleza de los nuevos ítems, su correspondencia con el objeto contractual y la suficiencia de las cantidades reducidas en los ítems originales para soportar su incorporación.</w:t>
      </w:r>
      <w:r>
        <w:rPr>
          <w:rFonts w:ascii="Verdana" w:eastAsia="Calibri" w:hAnsi="Verdana" w:cs="Arial"/>
          <w:iCs/>
          <w:color w:val="000000"/>
        </w:rPr>
        <w:tab/>
      </w:r>
      <w:r w:rsidRPr="001278F6">
        <w:rPr>
          <w:rFonts w:ascii="Verdana" w:eastAsia="Calibri" w:hAnsi="Verdana" w:cs="Arial"/>
          <w:lang w:eastAsia="es-ES"/>
        </w:rPr>
        <w:t xml:space="preserve"> </w:t>
      </w:r>
      <w:r w:rsidRPr="00A568B1">
        <w:rPr>
          <w:rFonts w:ascii="Verdana" w:eastAsia="Calibri" w:hAnsi="Verdana" w:cs="Arial"/>
          <w:lang w:eastAsia="es-ES"/>
        </w:rPr>
        <w:t xml:space="preserve">En este escenario, es indispensable que la entidad realice una </w:t>
      </w:r>
      <w:r w:rsidRPr="00D34E73">
        <w:rPr>
          <w:rFonts w:ascii="Verdana" w:eastAsia="Calibri" w:hAnsi="Verdana" w:cs="Arial"/>
          <w:lang w:eastAsia="es-ES"/>
        </w:rPr>
        <w:t>evaluación técnica integral</w:t>
      </w:r>
      <w:r w:rsidRPr="00A568B1">
        <w:rPr>
          <w:rFonts w:ascii="Verdana" w:eastAsia="Calibri" w:hAnsi="Verdana" w:cs="Arial"/>
          <w:lang w:eastAsia="es-ES"/>
        </w:rPr>
        <w:t xml:space="preserve"> que permita determinar con precisión la naturaleza de los nuevos ítems, su relación con el objeto contractual y la suficiencia de las cantidades disminuidas en los ítems iniciales para financiar su incorporación. Este análisis debe considerar la estructura del sistema de precios unitarios, la metodología de medición de cantidades y la incidencia que los nuevos ítems puedan tener en la programación, secuencia y alcance de la obra. Solo a partir de esta verificación técnica es posible concluir que el balance interno entre ítems no afecta la correcta ejecución del contrato ni altera las condiciones esenciales pactadas.</w:t>
      </w:r>
    </w:p>
    <w:p w14:paraId="0B55C1FE" w14:textId="77777777" w:rsidR="00E73E8C" w:rsidRDefault="00E73E8C" w:rsidP="00E73E8C">
      <w:pPr>
        <w:widowControl w:val="0"/>
        <w:autoSpaceDE w:val="0"/>
        <w:autoSpaceDN w:val="0"/>
        <w:spacing w:after="120" w:line="276" w:lineRule="auto"/>
        <w:ind w:firstLine="709"/>
        <w:jc w:val="both"/>
        <w:rPr>
          <w:rFonts w:ascii="Verdana" w:eastAsia="Calibri" w:hAnsi="Verdana" w:cs="Arial"/>
          <w:lang w:eastAsia="es-ES"/>
        </w:rPr>
      </w:pPr>
      <w:r>
        <w:rPr>
          <w:rFonts w:ascii="Verdana" w:eastAsia="Calibri" w:hAnsi="Verdana" w:cs="Arial"/>
          <w:lang w:eastAsia="es-ES"/>
        </w:rPr>
        <w:t xml:space="preserve">La entidad debe </w:t>
      </w:r>
      <w:r w:rsidRPr="00C72D40">
        <w:rPr>
          <w:rFonts w:ascii="Verdana" w:eastAsia="Calibri" w:hAnsi="Verdana" w:cs="Arial"/>
          <w:lang w:eastAsia="es-ES"/>
        </w:rPr>
        <w:t>adelantar un análisis financiero riguroso, orientado a confirmar que el valor total del contrato permanece inalterado y que la reasignación de recursos entre ítems no compromete la disponibilidad ni el compromiso presupuestal previamente registrado. Es</w:t>
      </w:r>
      <w:r>
        <w:rPr>
          <w:rFonts w:ascii="Verdana" w:eastAsia="Calibri" w:hAnsi="Verdana" w:cs="Arial"/>
          <w:lang w:eastAsia="es-ES"/>
        </w:rPr>
        <w:t xml:space="preserve"> decir, este</w:t>
      </w:r>
      <w:r w:rsidRPr="00C72D40">
        <w:rPr>
          <w:rFonts w:ascii="Verdana" w:eastAsia="Calibri" w:hAnsi="Verdana" w:cs="Arial"/>
          <w:lang w:eastAsia="es-ES"/>
        </w:rPr>
        <w:t xml:space="preserve"> análisis debe garantizar que la reasignación interna respeta las obligaciones contractuales con la respectiva disponibilidad y compromiso presupuest</w:t>
      </w:r>
      <w:r>
        <w:rPr>
          <w:rFonts w:ascii="Verdana" w:eastAsia="Calibri" w:hAnsi="Verdana" w:cs="Arial"/>
          <w:lang w:eastAsia="es-ES"/>
        </w:rPr>
        <w:t>al</w:t>
      </w:r>
      <w:r w:rsidRPr="00C72D40">
        <w:rPr>
          <w:rFonts w:ascii="Verdana" w:eastAsia="Calibri" w:hAnsi="Verdana" w:cs="Arial"/>
          <w:lang w:eastAsia="es-ES"/>
        </w:rPr>
        <w:t xml:space="preserve">, esto es. que no se generan obligaciones sin respaldo presupuestal y que la modificación contractual se ajusta a los límites y condiciones establecidos por el régimen de contratación </w:t>
      </w:r>
      <w:r w:rsidRPr="00C72D40">
        <w:rPr>
          <w:rFonts w:ascii="Verdana" w:eastAsia="Calibri" w:hAnsi="Verdana" w:cs="Arial"/>
          <w:lang w:eastAsia="es-ES"/>
        </w:rPr>
        <w:lastRenderedPageBreak/>
        <w:t xml:space="preserve">estatal. </w:t>
      </w:r>
    </w:p>
    <w:p w14:paraId="73FFD1B0" w14:textId="77777777" w:rsidR="00E73E8C" w:rsidRPr="00F6797D" w:rsidRDefault="00E73E8C" w:rsidP="00E73E8C">
      <w:pPr>
        <w:spacing w:after="120" w:line="276" w:lineRule="auto"/>
        <w:ind w:firstLine="709"/>
        <w:jc w:val="both"/>
        <w:rPr>
          <w:rFonts w:ascii="Verdana" w:eastAsia="Calibri" w:hAnsi="Verdana" w:cs="Arial"/>
          <w:bCs/>
          <w:color w:val="000000" w:themeColor="text1"/>
          <w:lang w:val="es-ES"/>
        </w:rPr>
      </w:pPr>
      <w:r>
        <w:rPr>
          <w:rFonts w:ascii="Verdana" w:eastAsia="Calibri" w:hAnsi="Verdana" w:cs="Arial"/>
          <w:iCs/>
          <w:color w:val="000000"/>
        </w:rPr>
        <w:t xml:space="preserve">En este aspecto es importante que </w:t>
      </w:r>
      <w:r w:rsidRPr="00F6797D">
        <w:rPr>
          <w:rFonts w:ascii="Verdana" w:eastAsia="Calibri" w:hAnsi="Verdana" w:cs="Arial"/>
          <w:color w:val="000000" w:themeColor="text1"/>
        </w:rPr>
        <w:t xml:space="preserve">cada entidad </w:t>
      </w:r>
      <w:r>
        <w:rPr>
          <w:rFonts w:ascii="Verdana" w:eastAsia="Calibri" w:hAnsi="Verdana" w:cs="Arial"/>
          <w:color w:val="000000" w:themeColor="text1"/>
        </w:rPr>
        <w:t xml:space="preserve">estatal se sujeta a lo prescrito a </w:t>
      </w:r>
      <w:r w:rsidRPr="00F6797D">
        <w:rPr>
          <w:rFonts w:ascii="Verdana" w:eastAsia="Arial MT" w:hAnsi="Verdana" w:cs="Arial"/>
          <w:color w:val="000000" w:themeColor="text1"/>
          <w:sz w:val="21"/>
          <w:szCs w:val="21"/>
          <w:lang w:val="es-ES"/>
        </w:rPr>
        <w:t>la Ley 80 de 1993</w:t>
      </w:r>
      <w:r w:rsidRPr="00F6797D">
        <w:rPr>
          <w:rStyle w:val="Refdenotaalpie"/>
          <w:rFonts w:ascii="Verdana" w:eastAsia="Arial MT" w:hAnsi="Verdana" w:cs="Arial"/>
          <w:color w:val="000000" w:themeColor="text1"/>
          <w:sz w:val="21"/>
          <w:szCs w:val="21"/>
          <w:lang w:val="es-ES"/>
        </w:rPr>
        <w:footnoteReference w:id="18"/>
      </w:r>
      <w:r w:rsidRPr="00F6797D">
        <w:rPr>
          <w:rFonts w:ascii="Verdana" w:eastAsia="Arial MT" w:hAnsi="Verdana" w:cs="Arial"/>
          <w:color w:val="000000" w:themeColor="text1"/>
          <w:sz w:val="21"/>
          <w:szCs w:val="21"/>
          <w:lang w:val="es-ES"/>
        </w:rPr>
        <w:t xml:space="preserve"> y el Estatuto Orgánico de Presupuesto</w:t>
      </w:r>
      <w:r w:rsidRPr="00F6797D">
        <w:rPr>
          <w:rStyle w:val="Refdenotaalpie"/>
          <w:rFonts w:ascii="Verdana" w:eastAsia="Arial MT" w:hAnsi="Verdana" w:cs="Arial"/>
          <w:color w:val="000000" w:themeColor="text1"/>
          <w:sz w:val="21"/>
          <w:szCs w:val="21"/>
          <w:lang w:val="es-ES"/>
        </w:rPr>
        <w:footnoteReference w:id="19"/>
      </w:r>
      <w:r w:rsidRPr="00F6797D">
        <w:rPr>
          <w:rFonts w:ascii="Verdana" w:eastAsia="Arial MT" w:hAnsi="Verdana" w:cs="Arial"/>
          <w:color w:val="000000" w:themeColor="text1"/>
          <w:sz w:val="21"/>
          <w:szCs w:val="21"/>
          <w:lang w:val="es-ES"/>
        </w:rPr>
        <w:t>,</w:t>
      </w:r>
      <w:r w:rsidRPr="00F6797D">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 xml:space="preserve">que implica que tengan </w:t>
      </w:r>
      <w:r w:rsidRPr="00F6797D">
        <w:rPr>
          <w:rFonts w:ascii="Verdana" w:eastAsia="Calibri" w:hAnsi="Verdana" w:cs="Arial"/>
          <w:bCs/>
          <w:color w:val="000000" w:themeColor="text1"/>
          <w:lang w:val="es-ES"/>
        </w:rPr>
        <w:t>el deber de contar con la disponibilidad de recursos para asumir gastos u obligaciones. Esta obligación es una expresión del principio de legalidad del gasto público que se enmarca en el mandato constitucional de la legalidad de las actuaciones públicas y que permea todo el régimen regulado por el</w:t>
      </w:r>
      <w:r w:rsidRPr="00F6797D">
        <w:rPr>
          <w:rFonts w:ascii="Verdana" w:eastAsia="Calibri" w:hAnsi="Verdana" w:cs="Arial"/>
          <w:color w:val="000000" w:themeColor="text1"/>
          <w:lang w:val="es-ES"/>
        </w:rPr>
        <w:t xml:space="preserve"> Estatuto Orgánico del Presupuesto</w:t>
      </w:r>
      <w:r w:rsidRPr="00F6797D">
        <w:rPr>
          <w:rFonts w:ascii="Verdana" w:eastAsia="Calibri" w:hAnsi="Verdana" w:cs="Arial"/>
          <w:bCs/>
          <w:color w:val="000000" w:themeColor="text1"/>
          <w:lang w:val="es-ES"/>
        </w:rPr>
        <w:t xml:space="preserve">. </w:t>
      </w:r>
    </w:p>
    <w:p w14:paraId="381C316B" w14:textId="77777777" w:rsidR="00E73E8C" w:rsidRDefault="00E73E8C" w:rsidP="00E73E8C">
      <w:pPr>
        <w:spacing w:after="120" w:line="276" w:lineRule="auto"/>
        <w:ind w:firstLine="709"/>
        <w:jc w:val="both"/>
        <w:rPr>
          <w:rFonts w:ascii="Verdana" w:eastAsia="Calibri" w:hAnsi="Verdana" w:cs="Arial"/>
        </w:rPr>
      </w:pPr>
      <w:r w:rsidRPr="00F6797D">
        <w:rPr>
          <w:rFonts w:ascii="Verdana" w:eastAsia="Calibri" w:hAnsi="Verdana" w:cs="Arial"/>
          <w:bCs/>
          <w:color w:val="000000" w:themeColor="text1"/>
          <w:lang w:val="es-ES"/>
        </w:rPr>
        <w:t xml:space="preserve">En materia contractual, su cumplimiento se refleja necesariamente mediante la expedición del </w:t>
      </w:r>
      <w:r w:rsidRPr="00F6797D">
        <w:rPr>
          <w:rFonts w:ascii="Verdana" w:eastAsia="Calibri" w:hAnsi="Verdana" w:cs="Arial"/>
          <w:color w:val="000000" w:themeColor="text1"/>
          <w:lang w:val="es-ES"/>
        </w:rPr>
        <w:t xml:space="preserve">Certificado de Disponibilidad Presupuestal </w:t>
      </w:r>
      <w:r w:rsidRPr="00F6797D">
        <w:rPr>
          <w:rFonts w:ascii="Verdana" w:eastAsia="Times New Roman" w:hAnsi="Verdana" w:cs="Arial"/>
          <w:color w:val="000000" w:themeColor="text1"/>
          <w:lang w:val="es-ES" w:eastAsia="es-ES_tradnl"/>
        </w:rPr>
        <w:t>(CDP)</w:t>
      </w:r>
      <w:r w:rsidRPr="00F6797D">
        <w:rPr>
          <w:rFonts w:ascii="Verdana" w:eastAsia="Calibri" w:hAnsi="Verdana" w:cs="Arial"/>
          <w:color w:val="000000" w:themeColor="text1"/>
          <w:lang w:val="es-ES"/>
        </w:rPr>
        <w:t xml:space="preserve"> de forma previa a que la entidad asuma obligaciones o compromisos de este tipo, como una garantía de la existencia de recursos suficientes para atender los gastos que serán asumidos por el Estado durante la ejecución</w:t>
      </w:r>
      <w:r>
        <w:rPr>
          <w:rStyle w:val="Refdenotaalpie"/>
          <w:rFonts w:ascii="Verdana" w:eastAsia="Calibri" w:hAnsi="Verdana" w:cs="Arial"/>
          <w:color w:val="000000" w:themeColor="text1"/>
          <w:lang w:val="es-ES"/>
        </w:rPr>
        <w:footnoteReference w:id="20"/>
      </w:r>
      <w:r w:rsidRPr="00F6797D">
        <w:rPr>
          <w:rFonts w:ascii="Verdana" w:eastAsia="Calibri" w:hAnsi="Verdana" w:cs="Arial"/>
          <w:color w:val="000000" w:themeColor="text1"/>
          <w:lang w:val="es-ES"/>
        </w:rPr>
        <w:t xml:space="preserve">. Para </w:t>
      </w:r>
      <w:r w:rsidRPr="00F6797D">
        <w:rPr>
          <w:rFonts w:ascii="Verdana" w:eastAsia="Calibri" w:hAnsi="Verdana" w:cs="Arial"/>
          <w:color w:val="000000" w:themeColor="text1"/>
        </w:rPr>
        <w:t xml:space="preserve">la ejecución del contrato se exige a la entidad estatal contar con un Registro Presupuestal (RP) que consiste en la certificación de apropiación de presupuesto con destino al cumplimiento de las obligaciones pecuniarias del contrato. </w:t>
      </w:r>
    </w:p>
    <w:p w14:paraId="2CA09FAD" w14:textId="77777777" w:rsidR="00E73E8C" w:rsidRPr="00E46D6F" w:rsidRDefault="00E73E8C" w:rsidP="00E73E8C">
      <w:pPr>
        <w:widowControl w:val="0"/>
        <w:autoSpaceDE w:val="0"/>
        <w:autoSpaceDN w:val="0"/>
        <w:spacing w:after="120" w:line="276" w:lineRule="auto"/>
        <w:ind w:firstLine="708"/>
        <w:jc w:val="both"/>
        <w:rPr>
          <w:rFonts w:ascii="Verdana" w:eastAsia="Calibri" w:hAnsi="Verdana" w:cs="Arial"/>
          <w:lang w:eastAsia="es-ES"/>
        </w:rPr>
      </w:pPr>
      <w:r w:rsidRPr="00E46D6F">
        <w:rPr>
          <w:rFonts w:ascii="Verdana" w:eastAsia="Calibri" w:hAnsi="Verdana" w:cs="Arial"/>
          <w:lang w:eastAsia="es-ES"/>
        </w:rPr>
        <w:t xml:space="preserve">Los contratos, así como cualquiera de sus modificaciones, deben estar </w:t>
      </w:r>
      <w:r w:rsidRPr="00E46D6F">
        <w:rPr>
          <w:rFonts w:ascii="Verdana" w:eastAsia="Calibri" w:hAnsi="Verdana" w:cs="Arial"/>
          <w:lang w:eastAsia="es-ES"/>
        </w:rPr>
        <w:lastRenderedPageBreak/>
        <w:t xml:space="preserve">respaldados de manera previa y suficiente por las </w:t>
      </w:r>
      <w:r w:rsidRPr="000360C7">
        <w:rPr>
          <w:rFonts w:ascii="Verdana" w:eastAsia="Calibri" w:hAnsi="Verdana" w:cs="Arial"/>
          <w:lang w:eastAsia="es-ES"/>
        </w:rPr>
        <w:t>correspondientes disponibilidades y compromisos presupuestales</w:t>
      </w:r>
      <w:r w:rsidRPr="00E46D6F">
        <w:rPr>
          <w:rFonts w:ascii="Verdana" w:eastAsia="Calibri" w:hAnsi="Verdana" w:cs="Arial"/>
          <w:lang w:eastAsia="es-ES"/>
        </w:rPr>
        <w:t xml:space="preserve">, en cumplimiento del principio de legalidad del gasto y de la estricta sujeción a la planeación financiera de la entidad. En consecuencia, </w:t>
      </w:r>
      <w:r w:rsidRPr="000360C7">
        <w:rPr>
          <w:rFonts w:ascii="Verdana" w:eastAsia="Calibri" w:hAnsi="Verdana" w:cs="Arial"/>
          <w:lang w:eastAsia="es-ES"/>
        </w:rPr>
        <w:t>ninguna entidad puede asumir obligaciones sin contar con dichos soportes</w:t>
      </w:r>
      <w:r w:rsidRPr="00E46D6F">
        <w:rPr>
          <w:rFonts w:ascii="Verdana" w:eastAsia="Calibri" w:hAnsi="Verdana" w:cs="Arial"/>
          <w:lang w:eastAsia="es-ES"/>
        </w:rPr>
        <w:t>, pues ello implicaría comprometer recursos inexistentes, desconocer los límites fijados en el presupuesto y vulnerar las reglas que garantizan la sostenibilidad fiscal y la adecuada ejecución de los recursos públicos.</w:t>
      </w:r>
      <w:r>
        <w:rPr>
          <w:rFonts w:ascii="Verdana" w:eastAsia="Calibri" w:hAnsi="Verdana" w:cs="Arial"/>
          <w:lang w:eastAsia="es-ES"/>
        </w:rPr>
        <w:t xml:space="preserve"> </w:t>
      </w:r>
    </w:p>
    <w:p w14:paraId="291A8677" w14:textId="77777777" w:rsidR="00E73E8C" w:rsidRPr="00C72D40" w:rsidRDefault="00E73E8C" w:rsidP="00E73E8C">
      <w:pPr>
        <w:widowControl w:val="0"/>
        <w:autoSpaceDE w:val="0"/>
        <w:autoSpaceDN w:val="0"/>
        <w:spacing w:after="120" w:line="276" w:lineRule="auto"/>
        <w:ind w:firstLine="708"/>
        <w:jc w:val="both"/>
        <w:rPr>
          <w:rFonts w:ascii="Verdana" w:eastAsia="Calibri" w:hAnsi="Verdana" w:cs="Arial"/>
          <w:lang w:eastAsia="es-ES"/>
        </w:rPr>
      </w:pPr>
      <w:r w:rsidRPr="00C72D40">
        <w:rPr>
          <w:rFonts w:ascii="Verdana" w:eastAsia="Calibri" w:hAnsi="Verdana" w:cs="Arial"/>
          <w:lang w:eastAsia="es-ES"/>
        </w:rPr>
        <w:t xml:space="preserve">Asimismo, es </w:t>
      </w:r>
      <w:r>
        <w:rPr>
          <w:rFonts w:ascii="Verdana" w:eastAsia="Calibri" w:hAnsi="Verdana" w:cs="Arial"/>
          <w:lang w:eastAsia="es-ES"/>
        </w:rPr>
        <w:t xml:space="preserve">indispensable </w:t>
      </w:r>
      <w:r w:rsidRPr="00C72D40">
        <w:rPr>
          <w:rFonts w:ascii="Verdana" w:eastAsia="Calibri" w:hAnsi="Verdana" w:cs="Arial"/>
          <w:lang w:eastAsia="es-ES"/>
        </w:rPr>
        <w:t>que la entidad documente de manera completa y transparente la justificación técnica y financiera que sustenta la incorporación de los nuevos ítems, según lo expuesto en consideraciones anteriores, y la reasignación de recursos desde los ítems iniciales. Esta documentación debe incluir los estudios, memorias de cálculo, análisis de cantidades, soportes presupuestales y las decisiones adoptadas por la supervisión o interventoría. Su incorporación al expediente contractual garantiza la trazabilidad de las actuaciones, facilita el control fiscal y disciplinario, y asegura que la entidad actúa conforme al principio de planeación y a las reglas del sistema de precios unitarios.</w:t>
      </w:r>
    </w:p>
    <w:p w14:paraId="79A55C2B" w14:textId="77777777" w:rsidR="00E73E8C" w:rsidRDefault="00E73E8C" w:rsidP="00E73E8C">
      <w:pPr>
        <w:widowControl w:val="0"/>
        <w:autoSpaceDE w:val="0"/>
        <w:autoSpaceDN w:val="0"/>
        <w:spacing w:after="0" w:line="276" w:lineRule="auto"/>
        <w:ind w:firstLine="708"/>
        <w:jc w:val="both"/>
        <w:rPr>
          <w:rFonts w:ascii="Verdana" w:eastAsia="Calibri" w:hAnsi="Verdana" w:cs="Arial"/>
          <w:lang w:eastAsia="es-ES"/>
        </w:rPr>
      </w:pPr>
      <w:r w:rsidRPr="00C72D40">
        <w:rPr>
          <w:rFonts w:ascii="Verdana" w:eastAsia="Calibri" w:hAnsi="Verdana" w:cs="Arial"/>
          <w:lang w:eastAsia="es-ES"/>
        </w:rPr>
        <w:t>Finalmente, debe advertirse que, aunque el balance es jurídicamente viable, su aplicación implica un riesgo operativo y presupuestal: si en el curso de la ejecución se requieren mayores cantidades de obra en los ítems inicialmente previstos, la entidad podría no contar con la disponibilidad presupuestal suficiente, dado que parte de esos recursos fueron trasladados para financiar los nuevos ítems. Por ello, esta práctica debe ser excepcional y sustentada en un análisis técnico y financiero robusto, que permita anticipar escenarios futuros y evitar afectaciones en la ejecución contractual o la necesidad de adiciones presupuestales no previstas.</w:t>
      </w:r>
    </w:p>
    <w:p w14:paraId="57CDCEC3" w14:textId="77777777" w:rsidR="00E73E8C" w:rsidRDefault="00E73E8C" w:rsidP="00E73E8C">
      <w:pPr>
        <w:widowControl w:val="0"/>
        <w:autoSpaceDE w:val="0"/>
        <w:autoSpaceDN w:val="0"/>
        <w:spacing w:after="0" w:line="276" w:lineRule="auto"/>
        <w:jc w:val="both"/>
        <w:rPr>
          <w:rFonts w:ascii="Verdana" w:eastAsia="Calibri" w:hAnsi="Verdana" w:cs="Arial"/>
          <w:lang w:eastAsia="es-ES"/>
        </w:rPr>
      </w:pPr>
    </w:p>
    <w:p w14:paraId="0D81F379" w14:textId="50FA4A5C" w:rsidR="00E73E8C" w:rsidRPr="00CD2603" w:rsidRDefault="00E73E8C" w:rsidP="00E73E8C">
      <w:pPr>
        <w:widowControl w:val="0"/>
        <w:autoSpaceDE w:val="0"/>
        <w:autoSpaceDN w:val="0"/>
        <w:spacing w:after="120" w:line="276" w:lineRule="auto"/>
        <w:jc w:val="both"/>
        <w:rPr>
          <w:rFonts w:ascii="Verdana" w:hAnsi="Verdana"/>
        </w:rPr>
      </w:pPr>
      <w:r>
        <w:rPr>
          <w:rFonts w:ascii="Verdana" w:eastAsia="Calibri" w:hAnsi="Verdana" w:cs="Arial"/>
          <w:lang w:eastAsia="es-ES"/>
        </w:rPr>
        <w:t xml:space="preserve">iii. </w:t>
      </w:r>
      <w:r>
        <w:rPr>
          <w:rFonts w:ascii="Verdana" w:hAnsi="Verdana"/>
        </w:rPr>
        <w:t>Ahora bien, con respecto a</w:t>
      </w:r>
      <w:r w:rsidRPr="00CD2603">
        <w:rPr>
          <w:rFonts w:ascii="Verdana" w:hAnsi="Verdana"/>
        </w:rPr>
        <w:t xml:space="preserve"> las adiciones </w:t>
      </w:r>
      <w:r>
        <w:rPr>
          <w:rFonts w:ascii="Verdana" w:hAnsi="Verdana"/>
        </w:rPr>
        <w:t xml:space="preserve">se refieren </w:t>
      </w:r>
      <w:r w:rsidRPr="00CD2603">
        <w:rPr>
          <w:rFonts w:ascii="Verdana" w:hAnsi="Verdana"/>
        </w:rPr>
        <w:t>a aumentos en el valor del contrato relacionadas con ítems o actividades no contempladas o previstas dentro del contrato que requieren ser ejecutadas para la obtención y cumplimiento del objeto contractual, por tal motivo, para su reconocimiento se requiere de la suscripción de un contrato adicional o modificatorio del contrato inicial</w:t>
      </w:r>
      <w:r>
        <w:rPr>
          <w:rFonts w:ascii="Verdana" w:hAnsi="Verdana"/>
        </w:rPr>
        <w:t>, como lo señala la Agencia en el Concepto</w:t>
      </w:r>
      <w:r w:rsidR="000D6452">
        <w:rPr>
          <w:rFonts w:ascii="Verdana" w:hAnsi="Verdana"/>
        </w:rPr>
        <w:t xml:space="preserve"> </w:t>
      </w:r>
      <w:r w:rsidR="009D0542">
        <w:rPr>
          <w:rFonts w:ascii="Verdana" w:hAnsi="Verdana"/>
        </w:rPr>
        <w:t>C-563 del 27 de octubre de 2024</w:t>
      </w:r>
      <w:r w:rsidRPr="00CD2603">
        <w:rPr>
          <w:rFonts w:ascii="Verdana" w:hAnsi="Verdana"/>
        </w:rPr>
        <w:t xml:space="preserve">. En ese sentido, comoquiera que esta obra implica modificación al contrato, será necesario, en forma previa, el perfeccionamiento de contrato adicional o </w:t>
      </w:r>
      <w:r w:rsidRPr="00CD2603">
        <w:rPr>
          <w:rFonts w:ascii="Verdana" w:hAnsi="Verdana"/>
        </w:rPr>
        <w:lastRenderedPageBreak/>
        <w:t>modificatorio. En este caso, si se torna aplicable el límite establecido en el parágrafo del artículo 40 de la Ley 80 de 1993, lo cual indica que estos negocios jurídicos no podrán adicionarse en más del cincuenta por ciento (50%) de su valor inicial, expresado en salarios mínimos legales mensuales.</w:t>
      </w:r>
    </w:p>
    <w:p w14:paraId="4D661A42" w14:textId="77777777" w:rsidR="00E73E8C" w:rsidRPr="0096549B" w:rsidRDefault="00E73E8C" w:rsidP="00E73E8C">
      <w:pPr>
        <w:widowControl w:val="0"/>
        <w:autoSpaceDE w:val="0"/>
        <w:autoSpaceDN w:val="0"/>
        <w:spacing w:after="120" w:line="276" w:lineRule="auto"/>
        <w:ind w:firstLine="708"/>
        <w:jc w:val="both"/>
        <w:rPr>
          <w:rFonts w:ascii="Verdana" w:eastAsia="Calibri" w:hAnsi="Verdana" w:cs="Arial"/>
        </w:rPr>
      </w:pPr>
      <w:r w:rsidRPr="0096549B">
        <w:rPr>
          <w:rFonts w:ascii="Verdana" w:eastAsia="Calibri" w:hAnsi="Verdana" w:cs="Arial"/>
        </w:rPr>
        <w:t>Sin perjuicio de lo expuesto, fuera de los límites cuantitativos señalados en el parágrafo del artículo 40 de la Ley 80 de 1993 y de la cláusula excepcional de modificación de los contratos estatales, no existe un desarrollo legal o reglamentario sobre las reglas aplicables a la modificación del contrato estatales. Han sido los aportes de la jurisprudencia, de la función consultiva del Consejo de Estado, y de la doctrina comparada, los que han permitido estructurar los límites y requisitos de orden temporal, formal, material y axiológico para la modificación de un contrato estatal. Estos límites deben ser respetados por la entidad contratante a preservar los principios de origen legal como es el principio de planeación, de selección objetiva de libertad de concurrencia, de transparencia, de igualdad, entre otros, tal y como se explicará a continuación</w:t>
      </w:r>
      <w:r w:rsidRPr="0096549B">
        <w:rPr>
          <w:rFonts w:ascii="Verdana" w:eastAsia="Calibri" w:hAnsi="Verdana" w:cs="Arial"/>
          <w:vertAlign w:val="superscript"/>
        </w:rPr>
        <w:footnoteReference w:id="21"/>
      </w:r>
      <w:r w:rsidRPr="0096549B">
        <w:rPr>
          <w:rFonts w:ascii="Verdana" w:eastAsia="Calibri" w:hAnsi="Verdana" w:cs="Arial"/>
        </w:rPr>
        <w:t xml:space="preserve">. </w:t>
      </w:r>
    </w:p>
    <w:p w14:paraId="610A43BF" w14:textId="77777777" w:rsidR="00E73E8C" w:rsidRPr="00CB1564" w:rsidRDefault="00E73E8C" w:rsidP="00E73E8C">
      <w:pPr>
        <w:widowControl w:val="0"/>
        <w:autoSpaceDE w:val="0"/>
        <w:autoSpaceDN w:val="0"/>
        <w:spacing w:after="120" w:line="276" w:lineRule="auto"/>
        <w:ind w:firstLine="708"/>
        <w:jc w:val="both"/>
        <w:rPr>
          <w:rFonts w:ascii="Verdana" w:hAnsi="Verdana"/>
        </w:rPr>
      </w:pPr>
      <w:r w:rsidRPr="00CB1564">
        <w:rPr>
          <w:rFonts w:ascii="Verdana" w:hAnsi="Verdana"/>
        </w:rPr>
        <w:t>Dentro de los límites de orden temporal se comprenden dos restricciones fundamentales. Primero, la vigencia del contrato, en la medida en que resulta jurídicamente imposible modificar un contrato cuyo plazo ha expirado; una vez finalizado, el vínculo obligacional se extingue y la administración carece de competencia para introducir variaciones al contenido prestacional originalmente pactado. Segundo, la prohibición de establecer prórrogas automáticas, sucesivas o indefinidas, por cuanto tales mecanismos desconocen el derecho esencial a la libertad de competencia y afectan la transparencia en la contratación estatal. La continuidad del contrato solo puede darse mediante decisiones expresas, motivadas y adoptadas dentro del término de ejecución, nunca por efectos automáticos que perpetúen la relación contractual sin un nuevo análisis de conveniencia y oportunidad.</w:t>
      </w:r>
    </w:p>
    <w:p w14:paraId="61D5D432" w14:textId="77777777" w:rsidR="00E73E8C" w:rsidRPr="009A3A0F" w:rsidRDefault="00E73E8C" w:rsidP="00E73E8C">
      <w:pPr>
        <w:widowControl w:val="0"/>
        <w:autoSpaceDE w:val="0"/>
        <w:autoSpaceDN w:val="0"/>
        <w:spacing w:after="0" w:line="276" w:lineRule="auto"/>
        <w:ind w:firstLine="709"/>
        <w:jc w:val="both"/>
        <w:rPr>
          <w:rFonts w:ascii="Verdana" w:eastAsia="Calibri" w:hAnsi="Verdana" w:cs="Arial"/>
          <w:b/>
          <w:i/>
        </w:rPr>
      </w:pPr>
      <w:r w:rsidRPr="009A3A0F">
        <w:rPr>
          <w:rFonts w:ascii="Verdana" w:eastAsia="Calibri" w:hAnsi="Verdana" w:cs="Arial"/>
        </w:rPr>
        <w:t xml:space="preserve">En torno a los límites de </w:t>
      </w:r>
      <w:r w:rsidRPr="009A3A0F">
        <w:rPr>
          <w:rFonts w:ascii="Verdana" w:eastAsia="Calibri" w:hAnsi="Verdana" w:cs="Arial"/>
          <w:i/>
        </w:rPr>
        <w:t>orden formal</w:t>
      </w:r>
      <w:r w:rsidRPr="009A3A0F">
        <w:rPr>
          <w:rFonts w:ascii="Verdana" w:eastAsia="Calibri" w:hAnsi="Verdana" w:cs="Arial"/>
        </w:rPr>
        <w:t xml:space="preserve">, debe señalarse que, por un lado, es necesario que, la </w:t>
      </w:r>
      <w:r w:rsidRPr="009A3A0F">
        <w:rPr>
          <w:rFonts w:ascii="Verdana" w:eastAsia="Calibri" w:hAnsi="Verdana" w:cs="Arial"/>
          <w:lang w:val="es-MX"/>
        </w:rPr>
        <w:t>modificación de los contratos conste por escrito, dado el carácter solemne del contrato estatal y que sea suscrito por el jefe o representante legal o su delegado, de conformidad con los artículos 11</w:t>
      </w:r>
      <w:r w:rsidRPr="009A3A0F">
        <w:rPr>
          <w:rFonts w:ascii="Verdana" w:eastAsia="Calibri" w:hAnsi="Verdana" w:cs="Arial"/>
          <w:vertAlign w:val="superscript"/>
          <w:lang w:val="es-MX"/>
        </w:rPr>
        <w:footnoteReference w:id="22"/>
      </w:r>
      <w:r w:rsidRPr="009A3A0F">
        <w:rPr>
          <w:rFonts w:ascii="Verdana" w:eastAsia="Calibri" w:hAnsi="Verdana" w:cs="Arial"/>
          <w:lang w:val="es-MX"/>
        </w:rPr>
        <w:t xml:space="preserve"> y 12 de </w:t>
      </w:r>
      <w:r w:rsidRPr="009A3A0F">
        <w:rPr>
          <w:rFonts w:ascii="Verdana" w:eastAsia="Calibri" w:hAnsi="Verdana" w:cs="Arial"/>
          <w:lang w:val="es-MX"/>
        </w:rPr>
        <w:lastRenderedPageBreak/>
        <w:t>la Ley 80 de 1993</w:t>
      </w:r>
      <w:r w:rsidRPr="009A3A0F">
        <w:rPr>
          <w:rFonts w:ascii="Verdana" w:eastAsia="Calibri" w:hAnsi="Verdana" w:cs="Arial"/>
          <w:vertAlign w:val="superscript"/>
          <w:lang w:val="es-MX"/>
        </w:rPr>
        <w:footnoteReference w:id="23"/>
      </w:r>
      <w:r w:rsidRPr="009A3A0F">
        <w:rPr>
          <w:rFonts w:ascii="Verdana" w:eastAsia="Calibri" w:hAnsi="Verdana" w:cs="Arial"/>
          <w:lang w:val="es-MX"/>
        </w:rPr>
        <w:t xml:space="preserve">, así como el deber de la existencia de las disponibilidades presupuestales para el cumplimiento de las obligaciones. Por otro lado, </w:t>
      </w:r>
      <w:r w:rsidRPr="009A3A0F">
        <w:rPr>
          <w:rFonts w:ascii="Verdana" w:eastAsia="Calibri" w:hAnsi="Verdana" w:cs="Arial"/>
        </w:rPr>
        <w:t>la entidad debe motivar y justificar la modificación. Al respecto el Consejo de Estado ha señalado:</w:t>
      </w:r>
    </w:p>
    <w:p w14:paraId="633A6BE3" w14:textId="77777777" w:rsidR="00E73E8C" w:rsidRPr="00CD2603" w:rsidRDefault="00E73E8C" w:rsidP="00E73E8C">
      <w:pPr>
        <w:spacing w:after="0" w:line="276" w:lineRule="auto"/>
        <w:jc w:val="both"/>
        <w:rPr>
          <w:rFonts w:ascii="Verdana" w:hAnsi="Verdana"/>
          <w:i/>
        </w:rPr>
      </w:pPr>
    </w:p>
    <w:p w14:paraId="5349C89E" w14:textId="77777777" w:rsidR="00E73E8C" w:rsidRPr="00CD2603" w:rsidRDefault="00E73E8C" w:rsidP="00E73E8C">
      <w:pPr>
        <w:spacing w:after="0" w:line="240" w:lineRule="auto"/>
        <w:ind w:left="709" w:right="709"/>
        <w:jc w:val="both"/>
        <w:rPr>
          <w:rFonts w:ascii="Verdana" w:hAnsi="Verdana"/>
          <w:sz w:val="20"/>
          <w:szCs w:val="20"/>
        </w:rPr>
      </w:pPr>
      <w:r w:rsidRPr="00CD2603">
        <w:rPr>
          <w:rFonts w:ascii="Verdana" w:hAnsi="Verdana"/>
          <w:sz w:val="20"/>
          <w:szCs w:val="20"/>
        </w:rPr>
        <w:t xml:space="preserve">“El expediente de contratación y la actuación administrativa inicial que comprende los estudios previos, el análisis de riesgos y el presupuesto oficial o estimativo de costos necesario para la modificación del contrato, deberán dar cuenta de las razones de interés público que hacen necesario afectar lo inicialmente pactado. Como regla general, las mismas razones del deber de planeación para el contrato inicial se imponen como requisito previo del contrato modificatorio. </w:t>
      </w:r>
    </w:p>
    <w:p w14:paraId="50A2377B" w14:textId="77777777" w:rsidR="00E73E8C" w:rsidRPr="00CD2603" w:rsidRDefault="00E73E8C" w:rsidP="00E73E8C">
      <w:pPr>
        <w:spacing w:after="0" w:line="240" w:lineRule="auto"/>
        <w:ind w:left="709" w:right="709"/>
        <w:jc w:val="both"/>
        <w:rPr>
          <w:rFonts w:ascii="Verdana" w:hAnsi="Verdana"/>
          <w:sz w:val="20"/>
          <w:szCs w:val="20"/>
        </w:rPr>
      </w:pPr>
    </w:p>
    <w:p w14:paraId="7A373A9A" w14:textId="77777777" w:rsidR="00E73E8C" w:rsidRPr="00CD2603" w:rsidRDefault="00E73E8C" w:rsidP="00E73E8C">
      <w:pPr>
        <w:spacing w:after="0" w:line="240" w:lineRule="auto"/>
        <w:ind w:left="709" w:right="709"/>
        <w:jc w:val="both"/>
        <w:rPr>
          <w:rFonts w:ascii="Verdana" w:hAnsi="Verdana"/>
          <w:sz w:val="20"/>
          <w:szCs w:val="20"/>
        </w:rPr>
      </w:pPr>
      <w:r w:rsidRPr="00CD2603">
        <w:rPr>
          <w:rFonts w:ascii="Verdana" w:hAnsi="Verdana"/>
          <w:sz w:val="20"/>
          <w:szCs w:val="20"/>
        </w:rPr>
        <w:t>La motivación del contrato modificatorio resulta un elemento esencial que permita determinar su juridicidad, la justificación de su necesidad, su racionalidad y la proporcionalidad de su contenido, en especial cuando se alteran los aspectos técnicos y financieros iniciales. Se trata de un requisito indispensable para el control de legalidad del contrato o del acto de modificación.</w:t>
      </w:r>
    </w:p>
    <w:p w14:paraId="33D02CBE" w14:textId="77777777" w:rsidR="00E73E8C" w:rsidRPr="00CD2603" w:rsidRDefault="00E73E8C" w:rsidP="00E73E8C">
      <w:pPr>
        <w:spacing w:after="0" w:line="240" w:lineRule="auto"/>
        <w:ind w:left="709" w:right="709"/>
        <w:jc w:val="both"/>
        <w:rPr>
          <w:rFonts w:ascii="Verdana" w:hAnsi="Verdana"/>
          <w:sz w:val="20"/>
          <w:szCs w:val="20"/>
        </w:rPr>
      </w:pPr>
    </w:p>
    <w:p w14:paraId="5451462B" w14:textId="77777777" w:rsidR="00E73E8C" w:rsidRPr="00CD2603" w:rsidRDefault="00E73E8C" w:rsidP="00E73E8C">
      <w:pPr>
        <w:spacing w:after="0" w:line="240" w:lineRule="auto"/>
        <w:ind w:left="709" w:right="709"/>
        <w:jc w:val="both"/>
        <w:rPr>
          <w:rFonts w:ascii="Verdana" w:hAnsi="Verdana"/>
          <w:sz w:val="20"/>
          <w:szCs w:val="20"/>
        </w:rPr>
      </w:pPr>
      <w:r w:rsidRPr="00CD2603">
        <w:rPr>
          <w:rFonts w:ascii="Verdana" w:hAnsi="Verdana"/>
          <w:sz w:val="20"/>
          <w:szCs w:val="20"/>
        </w:rPr>
        <w:t xml:space="preserve">La modificación no es una facultad discrecional, cuyo ejercicio penda de criterios de mera conveniencia o de utilidad para la entidad estatal o para su contratista, ni puede servir como instrumento ilegal para mejorar o hacer más favorables las condiciones económicas del adjudicatario. A </w:t>
      </w:r>
      <w:r w:rsidRPr="00CD2603">
        <w:rPr>
          <w:rFonts w:ascii="Verdana" w:hAnsi="Verdana"/>
          <w:sz w:val="20"/>
          <w:szCs w:val="20"/>
        </w:rPr>
        <w:lastRenderedPageBreak/>
        <w:t>diferencia del contrato privado, solo procederá por necesidades de interés general que sustenten y justifiquen la legalidad de la modificación”</w:t>
      </w:r>
      <w:r w:rsidRPr="00CD2603">
        <w:rPr>
          <w:rStyle w:val="Refdenotaalpie"/>
          <w:rFonts w:ascii="Verdana" w:hAnsi="Verdana"/>
          <w:sz w:val="20"/>
          <w:szCs w:val="20"/>
        </w:rPr>
        <w:footnoteReference w:id="24"/>
      </w:r>
      <w:r w:rsidRPr="00CD2603">
        <w:rPr>
          <w:rFonts w:ascii="Verdana" w:hAnsi="Verdana"/>
          <w:sz w:val="20"/>
          <w:szCs w:val="20"/>
        </w:rPr>
        <w:t>.</w:t>
      </w:r>
    </w:p>
    <w:p w14:paraId="4CFDD4F5" w14:textId="77777777" w:rsidR="00E73E8C" w:rsidRDefault="00E73E8C" w:rsidP="00E73E8C">
      <w:pPr>
        <w:widowControl w:val="0"/>
        <w:autoSpaceDE w:val="0"/>
        <w:autoSpaceDN w:val="0"/>
        <w:spacing w:after="0" w:line="276" w:lineRule="auto"/>
        <w:jc w:val="both"/>
        <w:rPr>
          <w:rFonts w:ascii="Verdana" w:eastAsia="Calibri" w:hAnsi="Verdana" w:cs="Arial"/>
        </w:rPr>
      </w:pPr>
    </w:p>
    <w:p w14:paraId="40DFA614" w14:textId="77777777" w:rsidR="00E73E8C" w:rsidRPr="00CD2603" w:rsidRDefault="00E73E8C" w:rsidP="00E73E8C">
      <w:pPr>
        <w:widowControl w:val="0"/>
        <w:autoSpaceDE w:val="0"/>
        <w:autoSpaceDN w:val="0"/>
        <w:spacing w:after="120" w:line="276" w:lineRule="auto"/>
        <w:ind w:firstLine="708"/>
        <w:jc w:val="both"/>
        <w:rPr>
          <w:rFonts w:ascii="Verdana" w:eastAsia="Arial" w:hAnsi="Verdana" w:cs="Arial"/>
          <w:i/>
          <w:lang w:val="es-MX" w:eastAsia="es-ES" w:bidi="es-ES"/>
        </w:rPr>
      </w:pPr>
      <w:r w:rsidRPr="00CD2603">
        <w:rPr>
          <w:rFonts w:ascii="Verdana" w:eastAsia="Calibri" w:hAnsi="Verdana" w:cs="Arial"/>
        </w:rPr>
        <w:t xml:space="preserve">Los límites materiales </w:t>
      </w:r>
      <w:r w:rsidRPr="00CD2603">
        <w:rPr>
          <w:rFonts w:ascii="Verdana" w:eastAsia="Arial" w:hAnsi="Verdana" w:cs="Arial"/>
          <w:lang w:val="es-MX" w:eastAsia="es-ES" w:bidi="es-ES"/>
        </w:rPr>
        <w:t xml:space="preserve">corresponden a la prohibición de modificar las condiciones sustanciales del contrato, que se presentará en los casos en que se incluyan elementos que, </w:t>
      </w:r>
      <w:r w:rsidRPr="00CD2603">
        <w:rPr>
          <w:rFonts w:ascii="Verdana" w:eastAsia="Arial" w:hAnsi="Verdana" w:cs="Arial"/>
          <w:i/>
          <w:lang w:val="es-MX" w:eastAsia="es-ES" w:bidi="es-ES"/>
        </w:rPr>
        <w:t>“habiendo figurado en el procedimiento inicial, hubiera permitido la participación de otros interesados aparte de los inicialmente admitidos, o seleccionar una oferta distinta de la inicialmente seleccionada”</w:t>
      </w:r>
      <w:r w:rsidRPr="00CD2603">
        <w:rPr>
          <w:rStyle w:val="Refdenotaalpie"/>
          <w:rFonts w:ascii="Verdana" w:eastAsia="Arial" w:hAnsi="Verdana" w:cs="Arial"/>
          <w:i/>
          <w:lang w:val="es-MX" w:eastAsia="es-ES" w:bidi="es-ES"/>
        </w:rPr>
        <w:footnoteReference w:id="25"/>
      </w:r>
      <w:r w:rsidRPr="00CD2603">
        <w:rPr>
          <w:rFonts w:ascii="Verdana" w:eastAsia="Arial" w:hAnsi="Verdana" w:cs="Arial"/>
          <w:i/>
          <w:lang w:val="es-MX" w:eastAsia="es-ES" w:bidi="es-ES"/>
        </w:rPr>
        <w:t xml:space="preserve">. </w:t>
      </w:r>
    </w:p>
    <w:p w14:paraId="5EF31665" w14:textId="77777777" w:rsidR="00E73E8C" w:rsidRPr="00CD2603" w:rsidRDefault="00E73E8C" w:rsidP="00E73E8C">
      <w:pPr>
        <w:widowControl w:val="0"/>
        <w:autoSpaceDE w:val="0"/>
        <w:autoSpaceDN w:val="0"/>
        <w:spacing w:after="120" w:line="276" w:lineRule="auto"/>
        <w:ind w:firstLine="708"/>
        <w:jc w:val="both"/>
        <w:rPr>
          <w:rFonts w:ascii="Verdana" w:eastAsia="Calibri" w:hAnsi="Verdana" w:cs="Arial"/>
        </w:rPr>
      </w:pPr>
      <w:r w:rsidRPr="00CD2603">
        <w:rPr>
          <w:rFonts w:ascii="Verdana" w:eastAsia="Arial" w:hAnsi="Verdana" w:cs="Arial"/>
          <w:lang w:val="es-MX" w:eastAsia="es-ES" w:bidi="es-ES"/>
        </w:rPr>
        <w:t xml:space="preserve">Finalmente, se encuentran los límites axiológicos, los cuales atienen a la necesidad de preservar los principios de igualdad, transparencia, libertad de concurrencia, selección objetiva y planeación. </w:t>
      </w:r>
      <w:r w:rsidRPr="00CD2603">
        <w:rPr>
          <w:rFonts w:ascii="Verdana" w:eastAsia="Calibri" w:hAnsi="Verdana" w:cs="Arial"/>
          <w:lang w:eastAsia="es-ES_tradnl"/>
        </w:rPr>
        <w:t>Lo anterior, con la finalidad de realizar la escogencia diligente de la mejor oferta, para beneficiar los intereses y fines públicos inmersos en la contratación de las Entidades Estatales. Así las cosas, l</w:t>
      </w:r>
      <w:r w:rsidRPr="00CD2603">
        <w:rPr>
          <w:rFonts w:ascii="Verdana" w:eastAsia="Calibri" w:hAnsi="Verdana" w:cs="Arial"/>
        </w:rPr>
        <w:t xml:space="preserve">a concepción de mayores cantidades de obra, como expresión del contrato original sin valor determinado, aunque determinable, no puede dar lugar a una ampliación ilimitada de estos contratos, pues no se encuentran exentos de la aplicación de los principios de la contratación estatal. </w:t>
      </w:r>
    </w:p>
    <w:p w14:paraId="2EAF0552" w14:textId="77777777" w:rsidR="00E73E8C" w:rsidRPr="00CD2603" w:rsidRDefault="00E73E8C" w:rsidP="00E73E8C">
      <w:pPr>
        <w:widowControl w:val="0"/>
        <w:autoSpaceDE w:val="0"/>
        <w:autoSpaceDN w:val="0"/>
        <w:spacing w:after="120" w:line="276" w:lineRule="auto"/>
        <w:ind w:firstLine="708"/>
        <w:jc w:val="both"/>
        <w:rPr>
          <w:rFonts w:ascii="Verdana" w:eastAsia="Calibri" w:hAnsi="Verdana" w:cs="Arial"/>
          <w:lang w:val="es-MX" w:eastAsia="es-ES_tradnl"/>
        </w:rPr>
      </w:pPr>
      <w:r w:rsidRPr="00CD2603">
        <w:rPr>
          <w:rFonts w:ascii="Verdana" w:eastAsia="Arial" w:hAnsi="Verdana" w:cs="Arial"/>
          <w:lang w:val="es-MX" w:eastAsia="es-ES" w:bidi="es-ES"/>
        </w:rPr>
        <w:t>Este límite encuentra sustento en el hecho de que, para celebrar contratos estatales las Entidades Públicas eligen, dentro de un “régimen de concurrencia y de igualdad, las mejores condiciones de costo, calidad e idoneidad de la prestación requerida</w:t>
      </w:r>
      <w:r w:rsidRPr="00CD2603">
        <w:rPr>
          <w:rFonts w:ascii="Verdana" w:eastAsia="Arial" w:hAnsi="Verdana" w:cs="Arial"/>
          <w:lang w:val="es-ES_tradnl" w:eastAsia="es-ES" w:bidi="es-ES"/>
        </w:rPr>
        <w:t>”</w:t>
      </w:r>
      <w:r w:rsidRPr="00CD2603">
        <w:rPr>
          <w:rFonts w:ascii="Verdana" w:eastAsia="Arial" w:hAnsi="Verdana" w:cs="Arial"/>
          <w:lang w:val="es-MX" w:eastAsia="es-ES" w:bidi="es-ES"/>
        </w:rPr>
        <w:t>. Esto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r w:rsidRPr="00CD2603">
        <w:rPr>
          <w:rFonts w:ascii="Verdana" w:eastAsia="Calibri" w:hAnsi="Verdana" w:cs="Arial"/>
          <w:lang w:val="es-MX" w:eastAsia="es-ES_tradnl"/>
        </w:rPr>
        <w:t xml:space="preserve"> </w:t>
      </w:r>
    </w:p>
    <w:p w14:paraId="0B6BF275" w14:textId="77777777" w:rsidR="00E73E8C" w:rsidRPr="00CD2603" w:rsidRDefault="00E73E8C" w:rsidP="00E73E8C">
      <w:pPr>
        <w:widowControl w:val="0"/>
        <w:autoSpaceDE w:val="0"/>
        <w:autoSpaceDN w:val="0"/>
        <w:spacing w:after="120" w:line="276" w:lineRule="auto"/>
        <w:ind w:firstLine="708"/>
        <w:jc w:val="both"/>
        <w:rPr>
          <w:rFonts w:ascii="Verdana" w:eastAsia="Calibri" w:hAnsi="Verdana" w:cs="Arial"/>
          <w:bCs/>
          <w:lang w:val="es-MX" w:eastAsia="es-ES_tradnl"/>
        </w:rPr>
      </w:pPr>
      <w:r w:rsidRPr="00CD2603">
        <w:rPr>
          <w:rFonts w:ascii="Verdana" w:eastAsia="Calibri" w:hAnsi="Verdana" w:cs="Arial"/>
          <w:lang w:val="es-MX" w:eastAsia="es-ES_tradnl"/>
        </w:rPr>
        <w:t>E</w:t>
      </w:r>
      <w:r w:rsidRPr="00CD2603">
        <w:rPr>
          <w:rFonts w:ascii="Verdana" w:eastAsia="Arial" w:hAnsi="Verdana" w:cs="Arial"/>
          <w:lang w:val="es-MX" w:eastAsia="es-ES" w:bidi="es-ES"/>
        </w:rPr>
        <w:t xml:space="preserve">n virtud de la aplicación de los principios de transparencia, libertad de concurrencia e igualdad, consagrados en el EGCAP, y las reglas sustanciales del Pliego de Condiciones, que permitieron elegir la mejor oferta, previo cumplimiento de unos requisitos con base en los cuales la oferta del contratista fue considerada la más favorable, estos deben ser de estricta observancia y deben mantenerse durante la ejecución del contrato y en su liquidación, como garantía de inalterabilidad de lo pactado y de acatamiento a la legalidad de las </w:t>
      </w:r>
      <w:r w:rsidRPr="00CD2603">
        <w:rPr>
          <w:rFonts w:ascii="Verdana" w:eastAsia="Arial" w:hAnsi="Verdana" w:cs="Arial"/>
          <w:lang w:val="es-MX" w:eastAsia="es-ES" w:bidi="es-ES"/>
        </w:rPr>
        <w:lastRenderedPageBreak/>
        <w:t>reglas aplicadas en la actuación previa</w:t>
      </w:r>
      <w:r w:rsidRPr="00CD2603">
        <w:rPr>
          <w:rFonts w:ascii="Verdana" w:eastAsia="Arial" w:hAnsi="Verdana" w:cs="Arial"/>
          <w:lang w:val="es-ES_tradnl" w:eastAsia="es-ES" w:bidi="es-ES"/>
        </w:rPr>
        <w:t>.</w:t>
      </w:r>
      <w:r w:rsidRPr="00CD2603">
        <w:rPr>
          <w:rFonts w:ascii="Verdana" w:eastAsia="Calibri" w:hAnsi="Verdana" w:cs="Arial"/>
          <w:bCs/>
          <w:lang w:eastAsia="es-ES_tradnl"/>
        </w:rPr>
        <w:t xml:space="preserve"> </w:t>
      </w:r>
    </w:p>
    <w:p w14:paraId="474139E9" w14:textId="77777777" w:rsidR="00E73E8C" w:rsidRPr="00CD2603" w:rsidRDefault="00E73E8C" w:rsidP="00E73E8C">
      <w:pPr>
        <w:widowControl w:val="0"/>
        <w:tabs>
          <w:tab w:val="left" w:pos="709"/>
        </w:tabs>
        <w:autoSpaceDE w:val="0"/>
        <w:autoSpaceDN w:val="0"/>
        <w:spacing w:after="120" w:line="276" w:lineRule="auto"/>
        <w:jc w:val="both"/>
        <w:rPr>
          <w:rFonts w:ascii="Verdana" w:eastAsia="Calibri" w:hAnsi="Verdana" w:cs="Arial"/>
          <w:lang w:eastAsia="es-ES_tradnl"/>
        </w:rPr>
      </w:pPr>
      <w:r w:rsidRPr="00CD2603">
        <w:rPr>
          <w:rFonts w:ascii="Verdana" w:eastAsia="Calibri" w:hAnsi="Verdana" w:cs="Arial"/>
          <w:bCs/>
          <w:lang w:eastAsia="es-ES_tradnl"/>
        </w:rPr>
        <w:tab/>
      </w:r>
      <w:r w:rsidRPr="00CD2603">
        <w:rPr>
          <w:rFonts w:ascii="Verdana" w:eastAsia="Calibri" w:hAnsi="Verdana" w:cs="Arial"/>
          <w:lang w:eastAsia="es-ES_tradnl"/>
        </w:rPr>
        <w:t>Sumado a lo anterior, la posibilidad de ejecutar por encima del valor inicialmente estimado un contrato estructurado en el marco del sistema precios unitarios no puede usarse para inaplicar o desconocer la modalidad de selección aplicable al caso, de acuerdo con la cuantía del Proceso de Contratación, con miras a garantizar la transparencia, la selección objetiva y el principio de planeación en la actividad contractual.</w:t>
      </w:r>
    </w:p>
    <w:p w14:paraId="2C577D75" w14:textId="77777777" w:rsidR="00E73E8C" w:rsidRPr="00CD2603" w:rsidRDefault="00E73E8C" w:rsidP="00E73E8C">
      <w:pPr>
        <w:widowControl w:val="0"/>
        <w:autoSpaceDE w:val="0"/>
        <w:autoSpaceDN w:val="0"/>
        <w:spacing w:after="120" w:line="276" w:lineRule="auto"/>
        <w:ind w:firstLine="708"/>
        <w:jc w:val="both"/>
        <w:rPr>
          <w:rFonts w:ascii="Verdana" w:hAnsi="Verdana"/>
        </w:rPr>
      </w:pPr>
      <w:r w:rsidRPr="00CD2603">
        <w:rPr>
          <w:rFonts w:ascii="Verdana" w:eastAsia="Calibri" w:hAnsi="Verdana" w:cs="Arial"/>
        </w:rPr>
        <w:t xml:space="preserve">Lo anterior además considerando que, si bien en los contratos pactados en la </w:t>
      </w:r>
      <w:r w:rsidRPr="00CD2603">
        <w:rPr>
          <w:rFonts w:ascii="Verdana" w:hAnsi="Verdana"/>
        </w:rPr>
        <w:t xml:space="preserve">modalidad de precios unitarios el valor inicial es estimativo, mientras que el valor real es el que resulta una vez se ha terminado la ejecución del contrato, lo cierto es que el valor estimado debe obedecer a estudios previos que determinen de la manera más exacta posible las cantidades de obra. Esto además es el presupuesto sobre el cual la Entidad Estatal contratante genera las apropiaciones presupuestales para ejecutar el contrato. </w:t>
      </w:r>
    </w:p>
    <w:p w14:paraId="3374B4DE" w14:textId="77777777" w:rsidR="00E73E8C" w:rsidRPr="00CD2603" w:rsidRDefault="00E73E8C" w:rsidP="00E73E8C">
      <w:pPr>
        <w:widowControl w:val="0"/>
        <w:autoSpaceDE w:val="0"/>
        <w:autoSpaceDN w:val="0"/>
        <w:spacing w:after="120" w:line="276" w:lineRule="auto"/>
        <w:ind w:firstLine="708"/>
        <w:jc w:val="both"/>
        <w:rPr>
          <w:rFonts w:ascii="Verdana" w:hAnsi="Verdana"/>
        </w:rPr>
      </w:pPr>
      <w:r w:rsidRPr="00CD2603">
        <w:rPr>
          <w:rFonts w:ascii="Verdana" w:hAnsi="Verdana"/>
        </w:rPr>
        <w:t>En consideración a lo anterior, y en atención a los principios que rigen la contratación estatal, estima esta Subdirección que no pueden pactarse cantidades de obra de manera indeterminadas sin fijar las reglas claras para determinarlas. Además, las variaciones del valor estimado respecto del valor final deben ser mínimas.</w:t>
      </w:r>
      <w:r w:rsidRPr="00CD2603">
        <w:rPr>
          <w:rFonts w:ascii="Verdana" w:eastAsia="Calibri" w:hAnsi="Verdana" w:cs="Arial"/>
        </w:rPr>
        <w:t xml:space="preserve"> Al respecto, l</w:t>
      </w:r>
      <w:r w:rsidRPr="00CD2603">
        <w:rPr>
          <w:rFonts w:ascii="Verdana" w:hAnsi="Verdana"/>
        </w:rPr>
        <w:t>a doctrina ha señalado respecto a los contratos de obra a precios unitarios que, el número de unidades debe estar dentro de ciertos límites, porque de lo contrario el contrato quedaría de valor indeterminado</w:t>
      </w:r>
      <w:r w:rsidRPr="00CD2603">
        <w:rPr>
          <w:rStyle w:val="Refdenotaalpie"/>
          <w:rFonts w:ascii="Verdana" w:hAnsi="Verdana"/>
        </w:rPr>
        <w:footnoteReference w:id="26"/>
      </w:r>
      <w:r w:rsidRPr="00CD2603">
        <w:rPr>
          <w:rFonts w:ascii="Verdana" w:hAnsi="Verdana"/>
        </w:rPr>
        <w:t>. En el mismo sentido, el Consejo de Estado ha señalado que, el hecho de no fijar reglas claras dentro del contrato estatal que permitan de forma cierta y concreta definir el valor final del contrato, violaría el deber de planeación y los principios de la contratación administrativa de transparencia, selección objetiva, igualdad, imparcialidad, economía, libre concurrencia, pues se estaría permitiendo el aumento del valor inicial del contrato sin criterios objetivos. Además, se transgrediría la obligación legal de tener estudios previos definidos, claros y objetivos</w:t>
      </w:r>
      <w:r w:rsidRPr="00CD2603">
        <w:rPr>
          <w:rStyle w:val="Refdenotaalpie"/>
          <w:rFonts w:ascii="Verdana" w:hAnsi="Verdana"/>
        </w:rPr>
        <w:footnoteReference w:id="27"/>
      </w:r>
      <w:r w:rsidRPr="00CD2603">
        <w:rPr>
          <w:rFonts w:ascii="Verdana" w:hAnsi="Verdana"/>
        </w:rPr>
        <w:t>.</w:t>
      </w:r>
    </w:p>
    <w:p w14:paraId="1F4B6771" w14:textId="77777777" w:rsidR="00E73E8C" w:rsidRPr="00CD2603" w:rsidRDefault="00E73E8C" w:rsidP="00E73E8C">
      <w:pPr>
        <w:widowControl w:val="0"/>
        <w:autoSpaceDE w:val="0"/>
        <w:autoSpaceDN w:val="0"/>
        <w:spacing w:after="120" w:line="276" w:lineRule="auto"/>
        <w:ind w:firstLine="708"/>
        <w:jc w:val="both"/>
        <w:rPr>
          <w:rFonts w:ascii="Verdana" w:hAnsi="Verdana"/>
        </w:rPr>
      </w:pPr>
      <w:r w:rsidRPr="00CD2603">
        <w:rPr>
          <w:rFonts w:ascii="Verdana" w:eastAsia="Calibri" w:hAnsi="Verdana" w:cs="Arial"/>
        </w:rPr>
        <w:t xml:space="preserve">Por consiguiente, pese a la posibilidad de que se varíen de las cantidades de obra, los contratos a precios unitarios tienen un valor inicial que obedece a </w:t>
      </w:r>
      <w:r w:rsidRPr="00CD2603">
        <w:rPr>
          <w:rFonts w:ascii="Verdana" w:eastAsia="Calibri" w:hAnsi="Verdana" w:cs="Arial"/>
        </w:rPr>
        <w:lastRenderedPageBreak/>
        <w:t>la estructuración y planificación que los procede</w:t>
      </w:r>
      <w:r w:rsidRPr="00CD2603">
        <w:rPr>
          <w:rStyle w:val="Refdenotaalpie"/>
          <w:rFonts w:ascii="Verdana" w:eastAsia="Calibri" w:hAnsi="Verdana" w:cs="Arial"/>
        </w:rPr>
        <w:footnoteReference w:id="28"/>
      </w:r>
      <w:r w:rsidRPr="00CD2603">
        <w:rPr>
          <w:rFonts w:ascii="Verdana" w:eastAsia="Calibri" w:hAnsi="Verdana" w:cs="Arial"/>
        </w:rPr>
        <w:t>. En ese sentido, aun cuando el Consejo de Estado ha considerado la posibilidad de ejecutar incluso en valores mayores al cincuenta por ciento (50%) en el sistema de precios unitarios, lo cierto es que, situaciones en las que se ejecuta de manera desproporcionada el valor inicial de un contrato estatal, pueden ser sintomáticas de falencias en la planeación del contrato.</w:t>
      </w:r>
    </w:p>
    <w:p w14:paraId="2ACC15C5" w14:textId="77777777" w:rsidR="00E73E8C" w:rsidRPr="00CD2603" w:rsidRDefault="00E73E8C" w:rsidP="00E73E8C">
      <w:pPr>
        <w:widowControl w:val="0"/>
        <w:autoSpaceDE w:val="0"/>
        <w:autoSpaceDN w:val="0"/>
        <w:spacing w:after="120" w:line="276" w:lineRule="auto"/>
        <w:ind w:firstLine="708"/>
        <w:jc w:val="both"/>
        <w:rPr>
          <w:rFonts w:ascii="Verdana" w:eastAsia="Calibri" w:hAnsi="Verdana" w:cs="Arial"/>
        </w:rPr>
      </w:pPr>
      <w:r w:rsidRPr="00CD2603">
        <w:rPr>
          <w:rFonts w:ascii="Verdana" w:eastAsia="Calibri" w:hAnsi="Verdana" w:cs="Arial"/>
        </w:rPr>
        <w:t xml:space="preserve"> El principio de planeación exige a las entidades </w:t>
      </w:r>
      <w:r w:rsidRPr="00CD2603">
        <w:rPr>
          <w:rFonts w:ascii="Verdana" w:eastAsia="Calibri" w:hAnsi="Verdana" w:cs="Arial"/>
          <w:lang w:eastAsia="es-ES_tradnl"/>
        </w:rPr>
        <w:t xml:space="preserve">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w:t>
      </w:r>
      <w:r w:rsidRPr="00CD2603">
        <w:rPr>
          <w:rFonts w:ascii="Verdana" w:eastAsia="Calibri" w:hAnsi="Verdana" w:cs="Arial"/>
          <w:i/>
          <w:lang w:eastAsia="es-ES_tradnl"/>
        </w:rPr>
        <w:t>precios</w:t>
      </w:r>
      <w:r w:rsidRPr="00CD2603">
        <w:rPr>
          <w:rFonts w:ascii="Verdana" w:eastAsia="Calibri" w:hAnsi="Verdana" w:cs="Arial"/>
          <w:lang w:eastAsia="es-ES_tradnl"/>
        </w:rPr>
        <w:t>, costos, riesgos, garantías, disponibilidad, oferentes, e</w:t>
      </w:r>
      <w:r>
        <w:rPr>
          <w:rFonts w:ascii="Verdana" w:eastAsia="Calibri" w:hAnsi="Verdana" w:cs="Arial"/>
          <w:lang w:eastAsia="es-ES_tradnl"/>
        </w:rPr>
        <w:t>ntre otros</w:t>
      </w:r>
      <w:r w:rsidRPr="00CD2603">
        <w:rPr>
          <w:rFonts w:ascii="Verdana" w:eastAsia="Calibri" w:hAnsi="Verdana" w:cs="Arial"/>
          <w:lang w:eastAsia="es-ES_tradnl"/>
        </w:rPr>
        <w:t xml:space="preserve">. </w:t>
      </w:r>
      <w:r w:rsidRPr="00CD2603">
        <w:rPr>
          <w:rFonts w:ascii="Verdana" w:eastAsia="Calibri" w:hAnsi="Verdana" w:cs="Arial"/>
        </w:rPr>
        <w:t xml:space="preserve"> La planeación del contrato estatal se configura como un presupuesto esencial, según el cual la selección de contratistas, la celebración de contratos, la ejecución y liquidación de los mismos no pueden ser, de ninguna manera, producto de la improvisación</w:t>
      </w:r>
      <w:r w:rsidRPr="00CD2603">
        <w:rPr>
          <w:rStyle w:val="Refdenotaalpie"/>
          <w:rFonts w:ascii="Verdana" w:eastAsia="Calibri" w:hAnsi="Verdana" w:cs="Arial"/>
        </w:rPr>
        <w:footnoteReference w:id="29"/>
      </w:r>
      <w:r w:rsidRPr="00CD2603">
        <w:rPr>
          <w:rFonts w:ascii="Verdana" w:eastAsia="Calibri" w:hAnsi="Verdana" w:cs="Arial"/>
        </w:rPr>
        <w:t>. En consecuencia, debe hacerse un plan detallado de lo que se quiere contratar y de los medios técnicos y económicos con los que se cuenta para alcanzarlo, para con base en ello realizar un procedimiento legalmente idóneo a fin de escoger al particular o Entidad Pública que colaborara en la consecución de la obra, bien o servicio determinado, realizar las previsiones técnicas, legales y económicas a que haya lugar para afrontar las contingencias previsibles que puedan afectar el desarrollo del contrato, y contar con elementos en lo posible suficientes para actuar ante situaciones inesperadas.</w:t>
      </w:r>
    </w:p>
    <w:p w14:paraId="726BF77C" w14:textId="77777777" w:rsidR="00E73E8C" w:rsidRPr="00C72D40" w:rsidRDefault="00E73E8C" w:rsidP="00E73E8C">
      <w:pPr>
        <w:widowControl w:val="0"/>
        <w:autoSpaceDE w:val="0"/>
        <w:autoSpaceDN w:val="0"/>
        <w:spacing w:after="0" w:line="276" w:lineRule="auto"/>
        <w:ind w:firstLine="708"/>
        <w:jc w:val="both"/>
        <w:rPr>
          <w:rFonts w:ascii="Verdana" w:eastAsia="Calibri" w:hAnsi="Verdana" w:cs="Arial"/>
        </w:rPr>
      </w:pPr>
      <w:r w:rsidRPr="00CD2603">
        <w:rPr>
          <w:rFonts w:ascii="Verdana" w:eastAsia="Calibri" w:hAnsi="Verdana" w:cs="Arial"/>
        </w:rPr>
        <w:t>Por otro lado, también es importante señalar que la planeación, como herramienta para la gestión contractual pública, implica que todo proyecto que pretenda adelantar las Entidades Estatales esté precedido de estudios encaminados a determinar su viabilidad económica, con ello se pretende dar racionalidad del gasto público, en concordancia con las necesidades públicas en un momento determinado, razón por la cual, previo a la ejecución del contrato, la Administración debe realizar los estudios del valor aproximado, de acuerdo con la fluctuación y estado del mercado</w:t>
      </w:r>
      <w:r w:rsidRPr="00CD2603">
        <w:rPr>
          <w:rStyle w:val="Refdenotaalpie"/>
          <w:rFonts w:ascii="Verdana" w:eastAsia="Calibri" w:hAnsi="Verdana" w:cs="Arial"/>
        </w:rPr>
        <w:footnoteReference w:id="30"/>
      </w:r>
      <w:r w:rsidRPr="00CD2603">
        <w:rPr>
          <w:rFonts w:ascii="Verdana" w:eastAsia="Calibri" w:hAnsi="Verdana" w:cs="Arial"/>
        </w:rPr>
        <w:t xml:space="preserve">. Las omisiones o errores que cometan </w:t>
      </w:r>
      <w:r w:rsidRPr="00CD2603">
        <w:rPr>
          <w:rFonts w:ascii="Verdana" w:eastAsia="Calibri" w:hAnsi="Verdana" w:cs="Arial"/>
        </w:rPr>
        <w:lastRenderedPageBreak/>
        <w:t>las Entidades Públicas en esta etapa podrán verse reflejadas en la ejecución del contrato, provocando incluso la nulidad absoluta del mismo o la necesidad de ajustar el contrato a la realidad del bien, obra o servicio, contratada, el reconocimiento de mayores costos en los eventos en los que haya lugar y, en el caso más extremo, el rompimiento del equilibrio económico.</w:t>
      </w:r>
    </w:p>
    <w:p w14:paraId="330256D8" w14:textId="77777777" w:rsidR="00E73E8C" w:rsidRPr="00AA633E" w:rsidRDefault="00E73E8C" w:rsidP="00E73E8C">
      <w:pPr>
        <w:spacing w:after="0" w:line="276" w:lineRule="auto"/>
        <w:jc w:val="both"/>
        <w:rPr>
          <w:rFonts w:ascii="Verdana" w:hAnsi="Verdana" w:cs="Arial"/>
          <w:lang w:val="es-ES"/>
        </w:rPr>
      </w:pPr>
    </w:p>
    <w:p w14:paraId="7BCA6D9D" w14:textId="77777777" w:rsidR="00E73E8C" w:rsidRPr="00383A39" w:rsidRDefault="00E73E8C" w:rsidP="00E73E8C">
      <w:pPr>
        <w:spacing w:after="120" w:line="276" w:lineRule="auto"/>
        <w:jc w:val="both"/>
        <w:rPr>
          <w:rFonts w:ascii="Verdana" w:hAnsi="Verdana" w:cs="Arial"/>
          <w:color w:val="000000" w:themeColor="text1"/>
        </w:rPr>
      </w:pPr>
      <w:r w:rsidRPr="00AA633E">
        <w:rPr>
          <w:rFonts w:ascii="Verdana" w:hAnsi="Verdana" w:cs="Arial"/>
          <w:lang w:val="es-ES"/>
        </w:rPr>
        <w:t>i</w:t>
      </w:r>
      <w:r>
        <w:rPr>
          <w:rFonts w:ascii="Verdana" w:hAnsi="Verdana" w:cs="Arial"/>
          <w:lang w:val="es-ES"/>
        </w:rPr>
        <w:t>v</w:t>
      </w:r>
      <w:r w:rsidRPr="00AA633E">
        <w:rPr>
          <w:rFonts w:ascii="Verdana" w:hAnsi="Verdana" w:cs="Arial"/>
          <w:lang w:val="es-ES"/>
        </w:rPr>
        <w:t xml:space="preserve">. </w:t>
      </w:r>
      <w:r w:rsidRPr="00DA61E0">
        <w:rPr>
          <w:rFonts w:ascii="Verdana" w:eastAsia="Calibri" w:hAnsi="Verdana" w:cs="Arial"/>
          <w:color w:val="000000" w:themeColor="text1"/>
          <w:lang w:val="es-ES"/>
        </w:rPr>
        <w:t xml:space="preserve">Al </w:t>
      </w:r>
      <w:r w:rsidRPr="00DA61E0">
        <w:rPr>
          <w:rFonts w:ascii="Verdana" w:eastAsia="Calibri" w:hAnsi="Verdana" w:cs="Arial"/>
          <w:lang w:val="es-ES_tradnl" w:eastAsia="es-ES"/>
        </w:rPr>
        <w:t>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FDC1560" w14:textId="77777777" w:rsidR="00E73E8C" w:rsidRPr="00DA61E0" w:rsidRDefault="00E73E8C" w:rsidP="00E73E8C">
      <w:pPr>
        <w:spacing w:after="0" w:line="276" w:lineRule="auto"/>
        <w:ind w:firstLine="709"/>
        <w:jc w:val="both"/>
        <w:rPr>
          <w:rFonts w:ascii="Verdana" w:eastAsia="Calibri" w:hAnsi="Verdana" w:cs="Arial"/>
          <w:lang w:val="es-ES" w:eastAsia="es-ES"/>
        </w:rPr>
      </w:pPr>
      <w:r w:rsidRPr="00DA61E0">
        <w:rPr>
          <w:rFonts w:ascii="Verdana" w:eastAsia="Calibri"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592CC8BC" w14:textId="77777777" w:rsidR="00E73E8C" w:rsidRPr="00DA61E0" w:rsidRDefault="00E73E8C" w:rsidP="00E73E8C">
      <w:pPr>
        <w:spacing w:after="0" w:line="276" w:lineRule="auto"/>
        <w:jc w:val="both"/>
        <w:rPr>
          <w:rFonts w:ascii="Verdana" w:eastAsia="Calibri" w:hAnsi="Verdana" w:cs="Arial"/>
          <w:bCs/>
          <w:color w:val="000000" w:themeColor="text1"/>
          <w:lang w:val="es-ES"/>
        </w:rPr>
      </w:pPr>
    </w:p>
    <w:p w14:paraId="261DAB5E" w14:textId="77777777" w:rsidR="00E73E8C" w:rsidRPr="00DA61E0" w:rsidRDefault="00E73E8C" w:rsidP="00E73E8C">
      <w:pPr>
        <w:numPr>
          <w:ilvl w:val="0"/>
          <w:numId w:val="16"/>
        </w:numPr>
        <w:tabs>
          <w:tab w:val="left" w:pos="142"/>
          <w:tab w:val="left" w:pos="284"/>
        </w:tabs>
        <w:spacing w:after="0" w:line="276" w:lineRule="auto"/>
        <w:ind w:left="426"/>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Referencias normativas:</w:t>
      </w:r>
    </w:p>
    <w:p w14:paraId="5B43EB2C" w14:textId="77777777" w:rsidR="00E73E8C" w:rsidRPr="00DA61E0" w:rsidRDefault="00E73E8C" w:rsidP="00E73E8C">
      <w:pPr>
        <w:widowControl w:val="0"/>
        <w:autoSpaceDE w:val="0"/>
        <w:autoSpaceDN w:val="0"/>
        <w:spacing w:after="0" w:line="276" w:lineRule="auto"/>
        <w:jc w:val="both"/>
        <w:rPr>
          <w:rFonts w:ascii="Verdana" w:eastAsia="Calibri" w:hAnsi="Verdana" w:cs="Arial"/>
        </w:rPr>
      </w:pPr>
      <w:r w:rsidRPr="00DA61E0">
        <w:rPr>
          <w:rFonts w:ascii="Verdana" w:eastAsia="Calibri" w:hAnsi="Verdana" w:cs="Arial"/>
          <w:lang w:val="es-ES"/>
        </w:rPr>
        <w:t xml:space="preserve"> </w:t>
      </w:r>
    </w:p>
    <w:tbl>
      <w:tblPr>
        <w:tblStyle w:val="Tablaconcuadrcula2"/>
        <w:tblW w:w="8640" w:type="dxa"/>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73E8C" w:rsidRPr="00DA61E0" w14:paraId="58406D9E" w14:textId="77777777" w:rsidTr="00084BCA">
        <w:trPr>
          <w:trHeight w:val="870"/>
          <w:jc w:val="center"/>
        </w:trPr>
        <w:tc>
          <w:tcPr>
            <w:tcW w:w="8647" w:type="dxa"/>
            <w:tcBorders>
              <w:top w:val="dotted" w:sz="4" w:space="0" w:color="auto"/>
              <w:left w:val="dotted" w:sz="4" w:space="0" w:color="auto"/>
              <w:bottom w:val="dotted" w:sz="4" w:space="0" w:color="auto"/>
              <w:right w:val="dotted" w:sz="4" w:space="0" w:color="auto"/>
            </w:tcBorders>
            <w:hideMark/>
          </w:tcPr>
          <w:p w14:paraId="57A1CF66" w14:textId="77777777" w:rsidR="00E73E8C" w:rsidRDefault="00E73E8C" w:rsidP="00084BCA">
            <w:pPr>
              <w:numPr>
                <w:ilvl w:val="0"/>
                <w:numId w:val="17"/>
              </w:numPr>
              <w:spacing w:before="120" w:after="120" w:line="276" w:lineRule="auto"/>
              <w:ind w:left="714" w:hanging="357"/>
              <w:jc w:val="both"/>
              <w:rPr>
                <w:rFonts w:ascii="Verdana" w:hAnsi="Verdana" w:cs="Arial"/>
              </w:rPr>
            </w:pPr>
            <w:r>
              <w:rPr>
                <w:rFonts w:ascii="Verdana" w:hAnsi="Verdana" w:cs="Arial"/>
              </w:rPr>
              <w:t>Ley 80 de 1993, artículos 13, 32, 40, 41.</w:t>
            </w:r>
          </w:p>
          <w:p w14:paraId="759E62C7" w14:textId="77777777" w:rsidR="00E73E8C" w:rsidRPr="005E547A" w:rsidRDefault="00E73E8C" w:rsidP="00084BCA">
            <w:pPr>
              <w:numPr>
                <w:ilvl w:val="0"/>
                <w:numId w:val="17"/>
              </w:numPr>
              <w:spacing w:before="120" w:after="120" w:line="276" w:lineRule="auto"/>
              <w:ind w:left="714" w:hanging="357"/>
              <w:jc w:val="both"/>
              <w:rPr>
                <w:rFonts w:ascii="Verdana" w:hAnsi="Verdana" w:cs="Arial"/>
              </w:rPr>
            </w:pPr>
            <w:r>
              <w:rPr>
                <w:rFonts w:ascii="Verdana" w:hAnsi="Verdana" w:cs="Arial"/>
              </w:rPr>
              <w:t xml:space="preserve">Estatuto Orgánico de Presupuesto, artículo 71.  </w:t>
            </w:r>
            <w:r w:rsidRPr="005E547A">
              <w:rPr>
                <w:rFonts w:ascii="Verdana" w:hAnsi="Verdana" w:cs="Arial"/>
              </w:rPr>
              <w:t xml:space="preserve"> </w:t>
            </w:r>
          </w:p>
        </w:tc>
      </w:tr>
    </w:tbl>
    <w:p w14:paraId="3ABA3405" w14:textId="77777777" w:rsidR="00E73E8C" w:rsidRPr="00DA61E0" w:rsidRDefault="00E73E8C" w:rsidP="00E73E8C">
      <w:pPr>
        <w:spacing w:after="0" w:line="276" w:lineRule="auto"/>
        <w:jc w:val="both"/>
        <w:rPr>
          <w:rFonts w:ascii="Verdana" w:eastAsia="Calibri" w:hAnsi="Verdana" w:cs="Arial"/>
          <w:color w:val="000000"/>
          <w:lang w:eastAsia="es-ES"/>
        </w:rPr>
      </w:pPr>
    </w:p>
    <w:p w14:paraId="146A73B1" w14:textId="77777777" w:rsidR="00E73E8C" w:rsidRPr="00DA61E0" w:rsidRDefault="00E73E8C" w:rsidP="00E73E8C">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DA61E0">
        <w:rPr>
          <w:rFonts w:ascii="Verdana" w:eastAsia="Century Gothic" w:hAnsi="Verdana" w:cs="Century Gothic"/>
          <w:b/>
          <w:bCs/>
          <w:lang w:val="es-ES"/>
        </w:rPr>
        <w:t>Doctrina de la Agencia Nacional de Contratación Pública:</w:t>
      </w:r>
    </w:p>
    <w:p w14:paraId="52E518E7" w14:textId="77777777" w:rsidR="00E73E8C" w:rsidRPr="00DA61E0" w:rsidRDefault="00E73E8C" w:rsidP="00E73E8C">
      <w:pPr>
        <w:widowControl w:val="0"/>
        <w:autoSpaceDE w:val="0"/>
        <w:autoSpaceDN w:val="0"/>
        <w:spacing w:after="0" w:line="276" w:lineRule="auto"/>
        <w:jc w:val="both"/>
        <w:rPr>
          <w:rFonts w:ascii="Verdana" w:eastAsia="Calibri" w:hAnsi="Verdana" w:cs="Arial"/>
        </w:rPr>
      </w:pPr>
    </w:p>
    <w:p w14:paraId="39F93A53" w14:textId="77777777" w:rsidR="00E73E8C" w:rsidRPr="00DA61E0" w:rsidRDefault="00E73E8C" w:rsidP="00E73E8C">
      <w:pPr>
        <w:spacing w:after="0" w:line="276" w:lineRule="auto"/>
        <w:jc w:val="both"/>
        <w:rPr>
          <w:rFonts w:ascii="Verdana" w:eastAsia="Calibri" w:hAnsi="Verdana" w:cs="Arial"/>
          <w:bCs/>
          <w:color w:val="000000" w:themeColor="text1"/>
          <w:lang w:val="es-ES"/>
        </w:rPr>
      </w:pPr>
      <w:r w:rsidRPr="00C764B7">
        <w:rPr>
          <w:rFonts w:ascii="Verdana" w:eastAsia="Calibri" w:hAnsi="Verdana" w:cs="Arial"/>
          <w:bCs/>
          <w:shd w:val="clear" w:color="auto" w:fill="FFFFFF"/>
        </w:rPr>
        <w:t xml:space="preserve">La Agencia Nacional de Contratación Pública – Colombia Compra Eficiente se ha pronunciado en varias ocasiones sobre los precios unitarios en los Conceptos 4201714000005136 del 14 de noviembre de 2017; 4201714000006401 del 23 </w:t>
      </w:r>
      <w:r w:rsidRPr="00C764B7">
        <w:rPr>
          <w:rFonts w:ascii="Verdana" w:eastAsia="Calibri" w:hAnsi="Verdana" w:cs="Arial"/>
          <w:bCs/>
          <w:shd w:val="clear" w:color="auto" w:fill="FFFFFF"/>
        </w:rPr>
        <w:lastRenderedPageBreak/>
        <w:t>de noviembre de 2017; 4201813000004155 del 9 de mayo de 2018; 4201814000008069 del 27 de septiembre de 2018; 4201814000007383 del 18 de octubre de 2018; 4201814000008069 del 13 de noviembre de 2018; 4201912000004214 del 26 de junio de 2019; 4201912000006455 y 4201912000006463 del 19 de septiembre de 2019; 4201912000007375 del 28 de octubre de 2019;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el C-401 del 27 de septiembre de 2023</w:t>
      </w:r>
      <w:r>
        <w:rPr>
          <w:rFonts w:ascii="Verdana" w:eastAsia="Calibri" w:hAnsi="Verdana" w:cs="Arial"/>
          <w:bCs/>
          <w:shd w:val="clear" w:color="auto" w:fill="FFFFFF"/>
        </w:rPr>
        <w:t xml:space="preserve">, </w:t>
      </w:r>
      <w:r w:rsidRPr="00C764B7">
        <w:rPr>
          <w:rFonts w:ascii="Verdana" w:eastAsia="Calibri" w:hAnsi="Verdana" w:cs="Arial"/>
          <w:bCs/>
          <w:shd w:val="clear" w:color="auto" w:fill="FFFFFF"/>
        </w:rPr>
        <w:t>C-1000 del 13 de enero del 2025</w:t>
      </w:r>
      <w:r>
        <w:rPr>
          <w:rFonts w:ascii="Verdana" w:eastAsia="Calibri" w:hAnsi="Verdana" w:cs="Arial"/>
          <w:bCs/>
          <w:shd w:val="clear" w:color="auto" w:fill="FFFFFF"/>
          <w:lang w:val="es-ES_tradnl"/>
        </w:rPr>
        <w:t>, C-133 del 16 de marzo de 2026, C-510 del 11 de mayo de 2026, C-731 del 16 de junio de 2026,</w:t>
      </w:r>
      <w:r w:rsidRPr="00DA61E0">
        <w:rPr>
          <w:rFonts w:ascii="Verdana" w:eastAsia="Calibri" w:hAnsi="Verdana" w:cs="Arial"/>
          <w:bCs/>
          <w:shd w:val="clear" w:color="auto" w:fill="FFFFFF"/>
          <w:lang w:val="es-ES_tradnl"/>
        </w:rPr>
        <w:t xml:space="preserve"> entre otros.</w:t>
      </w:r>
      <w:r w:rsidRPr="00DA61E0">
        <w:rPr>
          <w:rFonts w:ascii="Verdana" w:eastAsia="Calibri" w:hAnsi="Verdana" w:cs="Times New Roman"/>
        </w:rPr>
        <w:t xml:space="preserve"> </w:t>
      </w:r>
      <w:r>
        <w:rPr>
          <w:rFonts w:ascii="Verdana" w:eastAsia="Calibri" w:hAnsi="Verdana" w:cs="Times New Roman"/>
        </w:rPr>
        <w:t xml:space="preserve">En torno a items no previstos, la Subdirección se ha pronunciado sobre los conceptos C-1078 del 21 de octubre de 2025 y C-1325 del 27 de octubre de 2025. </w:t>
      </w:r>
      <w:r w:rsidRPr="00DA61E0">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93F44EA" w14:textId="77777777" w:rsidR="00E73E8C" w:rsidRPr="00DA61E0" w:rsidRDefault="00E73E8C" w:rsidP="00E73E8C">
      <w:pPr>
        <w:spacing w:after="0" w:line="276" w:lineRule="auto"/>
        <w:jc w:val="both"/>
        <w:rPr>
          <w:rFonts w:ascii="Verdana" w:eastAsia="Calibri" w:hAnsi="Verdana" w:cs="Times New Roman"/>
        </w:rPr>
      </w:pPr>
      <w:hyperlink r:id="rId13" w:history="1">
        <w:r w:rsidRPr="00DA61E0">
          <w:rPr>
            <w:rFonts w:ascii="Verdana" w:eastAsia="Calibri" w:hAnsi="Verdana" w:cs="Times New Roman"/>
            <w:color w:val="0000FF"/>
            <w:u w:val="single"/>
          </w:rPr>
          <w:t>https://www.colombiacompra.gov.co/normativa-y-relatoria/conoce-la-relatoria</w:t>
        </w:r>
      </w:hyperlink>
      <w:r w:rsidRPr="00DA61E0">
        <w:rPr>
          <w:rFonts w:ascii="Verdana" w:eastAsia="Calibri" w:hAnsi="Verdana" w:cs="Times New Roman"/>
        </w:rPr>
        <w:t xml:space="preserve"> </w:t>
      </w:r>
    </w:p>
    <w:p w14:paraId="7B4398C6" w14:textId="77777777" w:rsidR="00E73E8C" w:rsidRPr="00DA61E0" w:rsidRDefault="00E73E8C" w:rsidP="00E73E8C">
      <w:pPr>
        <w:spacing w:after="0" w:line="276" w:lineRule="auto"/>
        <w:jc w:val="both"/>
        <w:rPr>
          <w:rFonts w:ascii="Verdana" w:eastAsia="Verdana" w:hAnsi="Verdana" w:cs="Verdana"/>
          <w:bCs/>
        </w:rPr>
      </w:pPr>
    </w:p>
    <w:p w14:paraId="6B48E6FA"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DA61E0">
        <w:rPr>
          <w:rFonts w:ascii="Verdana" w:eastAsia="Calibri" w:hAnsi="Verdana" w:cs="Times New Roman"/>
          <w:b/>
          <w:bCs/>
        </w:rPr>
        <w:t>Curso de Contratación Pública Sostenible y Socialmente Responsable</w:t>
      </w:r>
      <w:r w:rsidRPr="00DA61E0">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A61E0">
        <w:rPr>
          <w:rFonts w:ascii="Verdana" w:eastAsia="Calibri" w:hAnsi="Verdana" w:cs="Times New Roman"/>
        </w:rPr>
        <w:br/>
      </w:r>
      <w:hyperlink r:id="rId14" w:tgtFrame="_new" w:history="1">
        <w:r w:rsidRPr="00DA61E0">
          <w:rPr>
            <w:rFonts w:ascii="Verdana" w:eastAsia="Calibri" w:hAnsi="Verdana" w:cs="Times New Roman"/>
            <w:color w:val="0000FF"/>
            <w:u w:val="single"/>
          </w:rPr>
          <w:t>https://formacionvirtual.colombiacompra.gov.co/mod/page/view.php?id=3718</w:t>
        </w:r>
      </w:hyperlink>
    </w:p>
    <w:p w14:paraId="66D1F92F" w14:textId="77777777" w:rsidR="00E73E8C" w:rsidRPr="00DA61E0" w:rsidRDefault="00E73E8C" w:rsidP="00E73E8C">
      <w:pPr>
        <w:spacing w:after="0" w:line="276" w:lineRule="auto"/>
        <w:jc w:val="both"/>
        <w:rPr>
          <w:rFonts w:ascii="Verdana" w:eastAsia="Calibri" w:hAnsi="Verdana" w:cs="Times New Roman"/>
        </w:rPr>
      </w:pPr>
    </w:p>
    <w:p w14:paraId="20515D5D"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De otro lado, te contamos que esta Agencia ha da un paso decisivo en la estandarización y modernización del </w:t>
      </w:r>
      <w:r w:rsidRPr="00DA61E0">
        <w:rPr>
          <w:rFonts w:ascii="Verdana" w:eastAsia="Calibri" w:hAnsi="Verdana" w:cs="Times New Roman"/>
          <w:b/>
          <w:bCs/>
        </w:rPr>
        <w:t>sector  social</w:t>
      </w:r>
      <w:r w:rsidRPr="00DA61E0">
        <w:rPr>
          <w:rFonts w:ascii="Verdana" w:eastAsia="Calibri" w:hAnsi="Verdana" w:cs="Times New Roman"/>
        </w:rPr>
        <w:t xml:space="preserve"> con la expedición de las </w:t>
      </w:r>
      <w:r w:rsidRPr="00DA61E0">
        <w:rPr>
          <w:rFonts w:ascii="Verdana" w:eastAsia="Calibri" w:hAnsi="Verdana" w:cs="Times New Roman"/>
          <w:b/>
          <w:bCs/>
        </w:rPr>
        <w:t>Resoluciones 539, 540, 541, 952 y 953 de 2025</w:t>
      </w:r>
      <w:r w:rsidRPr="00DA61E0">
        <w:rPr>
          <w:rFonts w:ascii="Verdana" w:eastAsia="Calibri" w:hAnsi="Verdana" w:cs="Times New Roman"/>
        </w:rPr>
        <w:t xml:space="preserve">, </w:t>
      </w:r>
      <w:r w:rsidRPr="00DA61E0">
        <w:rPr>
          <w:rFonts w:ascii="Verdana" w:eastAsia="Calibri" w:hAnsi="Verdana" w:cs="Times New Roman"/>
          <w:b/>
          <w:bCs/>
        </w:rPr>
        <w:t>mediante las cuales adoptó Documentos Tipo</w:t>
      </w:r>
      <w:r w:rsidRPr="00DA61E0">
        <w:rPr>
          <w:rFonts w:ascii="Verdana" w:eastAsia="Calibri" w:hAnsi="Verdana" w:cs="Times New Roman"/>
        </w:rPr>
        <w:t xml:space="preserve"> para las modalidades de selección de</w:t>
      </w:r>
      <w:r w:rsidRPr="00DA61E0">
        <w:rPr>
          <w:rFonts w:ascii="Verdana" w:eastAsia="Calibri" w:hAnsi="Verdana" w:cs="Times New Roman"/>
          <w:b/>
          <w:bCs/>
        </w:rPr>
        <w:t xml:space="preserve"> licitación </w:t>
      </w:r>
      <w:r w:rsidRPr="00DA61E0">
        <w:rPr>
          <w:rFonts w:ascii="Verdana" w:eastAsia="Calibri" w:hAnsi="Verdana" w:cs="Times New Roman"/>
          <w:b/>
          <w:bCs/>
        </w:rPr>
        <w:lastRenderedPageBreak/>
        <w:t>pública (versión 2), selección abreviada de menor cuantía, mínima cuantía, consultoría e interventoría</w:t>
      </w:r>
      <w:r w:rsidRPr="00DA61E0">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DA61E0">
          <w:rPr>
            <w:rFonts w:ascii="Verdana" w:eastAsia="Calibri" w:hAnsi="Verdana" w:cs="Times New Roman"/>
            <w:color w:val="0000FF"/>
            <w:u w:val="single"/>
          </w:rPr>
          <w:t>https://www.colombiacompra.gov.co/normativa-y-relatoria/documentos-tipo</w:t>
        </w:r>
      </w:hyperlink>
    </w:p>
    <w:p w14:paraId="6C7771BA" w14:textId="77777777" w:rsidR="00E73E8C" w:rsidRPr="00DA61E0" w:rsidRDefault="00E73E8C" w:rsidP="00E73E8C">
      <w:pPr>
        <w:spacing w:after="0" w:line="276" w:lineRule="auto"/>
        <w:jc w:val="both"/>
        <w:rPr>
          <w:rFonts w:ascii="Verdana" w:eastAsia="Calibri" w:hAnsi="Verdana" w:cs="Times New Roman"/>
        </w:rPr>
      </w:pPr>
    </w:p>
    <w:p w14:paraId="3D52EE92"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Si quieres conocer más sobre la aplicación de Documentos Tipo puedes consultar la última versión de la </w:t>
      </w:r>
      <w:r w:rsidRPr="00DA61E0">
        <w:rPr>
          <w:rFonts w:ascii="Verdana" w:eastAsia="Calibri" w:hAnsi="Verdana" w:cs="Times New Roman"/>
          <w:b/>
          <w:bCs/>
        </w:rPr>
        <w:t>Guía para la comprensión e implementación de los Documentos Tipo de obra pública de infraestructura de transporte</w:t>
      </w:r>
      <w:r w:rsidRPr="00DA61E0">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DA61E0">
        <w:rPr>
          <w:rFonts w:ascii="Verdana" w:eastAsia="Calibri" w:hAnsi="Verdana" w:cs="Times New Roman"/>
        </w:rPr>
        <w:br/>
      </w:r>
      <w:hyperlink r:id="rId16" w:tgtFrame="_new" w:history="1">
        <w:r w:rsidRPr="00DA61E0">
          <w:rPr>
            <w:rFonts w:ascii="Verdana" w:eastAsia="Calibri"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31973693" w14:textId="77777777" w:rsidR="00E73E8C" w:rsidRPr="00DA61E0" w:rsidRDefault="00E73E8C" w:rsidP="00E73E8C">
      <w:pPr>
        <w:spacing w:after="0" w:line="276" w:lineRule="auto"/>
        <w:jc w:val="both"/>
        <w:rPr>
          <w:rFonts w:ascii="Verdana" w:eastAsia="Calibri" w:hAnsi="Verdana" w:cs="Times New Roman"/>
        </w:rPr>
      </w:pPr>
    </w:p>
    <w:p w14:paraId="11156F96"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7E667A39" w14:textId="77777777" w:rsidR="00E73E8C" w:rsidRPr="00DA61E0" w:rsidRDefault="00E73E8C" w:rsidP="00E73E8C">
      <w:pPr>
        <w:spacing w:after="0" w:line="276" w:lineRule="auto"/>
        <w:jc w:val="both"/>
        <w:rPr>
          <w:rFonts w:ascii="Verdana" w:eastAsia="Calibri" w:hAnsi="Verdana" w:cs="Times New Roman"/>
        </w:rPr>
      </w:pPr>
    </w:p>
    <w:p w14:paraId="3C6BC768" w14:textId="77777777" w:rsidR="00E73E8C" w:rsidRPr="00DA61E0" w:rsidRDefault="00E73E8C" w:rsidP="00E73E8C">
      <w:pPr>
        <w:numPr>
          <w:ilvl w:val="0"/>
          <w:numId w:val="15"/>
        </w:numPr>
        <w:spacing w:after="0" w:line="276" w:lineRule="auto"/>
        <w:jc w:val="both"/>
        <w:rPr>
          <w:rFonts w:ascii="Verdana" w:eastAsia="Verdana" w:hAnsi="Verdana" w:cs="Verdana"/>
          <w:color w:val="4472C4" w:themeColor="accent1"/>
          <w:u w:val="single"/>
          <w:lang w:val="es-MX"/>
        </w:rPr>
      </w:pPr>
      <w:r w:rsidRPr="00DA61E0">
        <w:rPr>
          <w:rFonts w:ascii="Verdana" w:eastAsia="Verdana" w:hAnsi="Verdana" w:cs="Verdana"/>
          <w:lang w:val="es-MX"/>
        </w:rPr>
        <w:t xml:space="preserve">Línea nacional gratuita o servicio a la ciudadanía (Mesa de servicio): </w:t>
      </w:r>
      <w:r w:rsidRPr="00DA61E0">
        <w:rPr>
          <w:rFonts w:ascii="Verdana" w:eastAsia="Calibri" w:hAnsi="Verdana" w:cs="Times New Roman"/>
          <w:color w:val="0000FF"/>
          <w:u w:val="single"/>
          <w:lang w:val="es-ES"/>
        </w:rPr>
        <w:t>01800 0520808</w:t>
      </w:r>
    </w:p>
    <w:p w14:paraId="0DCDAD70" w14:textId="77777777" w:rsidR="00E73E8C" w:rsidRPr="00DA61E0" w:rsidRDefault="00E73E8C" w:rsidP="00E73E8C">
      <w:pPr>
        <w:numPr>
          <w:ilvl w:val="0"/>
          <w:numId w:val="15"/>
        </w:numPr>
        <w:spacing w:after="0" w:line="276" w:lineRule="auto"/>
        <w:jc w:val="both"/>
        <w:rPr>
          <w:rFonts w:ascii="Verdana" w:eastAsia="Verdana" w:hAnsi="Verdana" w:cs="Verdana"/>
          <w:color w:val="4472C4" w:themeColor="accent1"/>
          <w:u w:val="single"/>
          <w:lang w:val="es-MX"/>
        </w:rPr>
      </w:pPr>
      <w:r w:rsidRPr="00DA61E0">
        <w:rPr>
          <w:rFonts w:ascii="Verdana" w:eastAsia="Verdana" w:hAnsi="Verdana" w:cs="Verdana"/>
          <w:lang w:val="es-MX"/>
        </w:rPr>
        <w:t>Línea en Bogotá (Mesa de servicio):</w:t>
      </w:r>
      <w:r w:rsidRPr="00DA61E0">
        <w:rPr>
          <w:rFonts w:ascii="Verdana" w:eastAsia="Calibri" w:hAnsi="Verdana" w:cs="Times New Roman"/>
          <w:color w:val="0000FF"/>
          <w:u w:val="single"/>
          <w:lang w:val="es-ES"/>
        </w:rPr>
        <w:t>+57 601 7456788</w:t>
      </w:r>
    </w:p>
    <w:p w14:paraId="26834E32" w14:textId="77777777" w:rsidR="00E73E8C" w:rsidRPr="00DA61E0" w:rsidRDefault="00E73E8C" w:rsidP="00E73E8C">
      <w:pPr>
        <w:numPr>
          <w:ilvl w:val="0"/>
          <w:numId w:val="15"/>
        </w:numPr>
        <w:spacing w:after="0" w:line="276" w:lineRule="auto"/>
        <w:jc w:val="both"/>
        <w:rPr>
          <w:rFonts w:ascii="Verdana" w:eastAsia="Verdana" w:hAnsi="Verdana" w:cs="Verdana"/>
          <w:color w:val="0000FF"/>
          <w:u w:val="single"/>
          <w:lang w:val="es-MX"/>
        </w:rPr>
      </w:pPr>
      <w:r w:rsidRPr="00DA61E0">
        <w:rPr>
          <w:rFonts w:ascii="Verdana" w:eastAsia="Verdana" w:hAnsi="Verdana" w:cs="Verdana"/>
          <w:lang w:val="es-MX"/>
        </w:rPr>
        <w:t xml:space="preserve">Correo de radicación de correspondencia: </w:t>
      </w:r>
      <w:hyperlink r:id="rId17" w:history="1">
        <w:r w:rsidRPr="00DA61E0">
          <w:rPr>
            <w:rFonts w:ascii="Verdana" w:eastAsia="Verdana" w:hAnsi="Verdana" w:cs="Verdana"/>
            <w:color w:val="0000FF"/>
            <w:u w:val="single"/>
            <w:lang w:val="es-MX"/>
          </w:rPr>
          <w:t>ventanilladeradicacion@colombiacompra.gov.co</w:t>
        </w:r>
      </w:hyperlink>
    </w:p>
    <w:p w14:paraId="165BA9F6" w14:textId="77777777" w:rsidR="00E73E8C" w:rsidRPr="00DA61E0" w:rsidRDefault="00E73E8C" w:rsidP="00E73E8C">
      <w:pPr>
        <w:numPr>
          <w:ilvl w:val="0"/>
          <w:numId w:val="15"/>
        </w:numPr>
        <w:spacing w:after="0" w:line="276" w:lineRule="auto"/>
        <w:jc w:val="both"/>
        <w:rPr>
          <w:rFonts w:ascii="Verdana" w:eastAsia="Verdana" w:hAnsi="Verdana" w:cs="Verdana"/>
          <w:color w:val="0000FF"/>
          <w:u w:val="single"/>
          <w:lang w:val="es-MX"/>
        </w:rPr>
      </w:pPr>
      <w:r w:rsidRPr="00DA61E0">
        <w:rPr>
          <w:rFonts w:ascii="Verdana" w:eastAsia="Verdana" w:hAnsi="Verdana" w:cs="Verdana"/>
          <w:lang w:val="es-ES"/>
        </w:rPr>
        <w:t xml:space="preserve">Formulario web para PQRSD: </w:t>
      </w:r>
      <w:hyperlink r:id="rId18" w:history="1">
        <w:r w:rsidRPr="00DA61E0">
          <w:rPr>
            <w:rFonts w:ascii="Verdana" w:eastAsia="Verdana" w:hAnsi="Verdana" w:cs="Verdana"/>
            <w:color w:val="0000FF"/>
            <w:u w:val="single"/>
            <w:lang w:val="es-MX"/>
          </w:rPr>
          <w:t>https://www.colombiacompra.gov.co/pqrsd/informacion-importante-antes-de-formular-una-pqrsd</w:t>
        </w:r>
      </w:hyperlink>
    </w:p>
    <w:p w14:paraId="5593F505" w14:textId="77777777" w:rsidR="00E73E8C" w:rsidRPr="00DA61E0" w:rsidRDefault="00E73E8C" w:rsidP="00E73E8C">
      <w:pPr>
        <w:spacing w:after="0" w:line="276" w:lineRule="auto"/>
        <w:ind w:left="720"/>
        <w:jc w:val="both"/>
        <w:rPr>
          <w:rFonts w:ascii="Verdana" w:eastAsia="Calibri" w:hAnsi="Verdana" w:cs="Times New Roman"/>
        </w:rPr>
      </w:pPr>
    </w:p>
    <w:p w14:paraId="282B9291"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lastRenderedPageBreak/>
        <w:t>Evalúa el servicio que ofrece la Agencia por el canal de atención de PQRSD en el siguiente enlace :</w:t>
      </w:r>
      <w:hyperlink r:id="rId19" w:tgtFrame="_blank" w:tooltip="https://forms.office.com/r/pphywvs2sz" w:history="1">
        <w:r w:rsidRPr="00DA61E0">
          <w:rPr>
            <w:rFonts w:ascii="Verdana" w:eastAsia="Calibri" w:hAnsi="Verdana" w:cs="Times New Roman"/>
            <w:color w:val="0000FF"/>
            <w:u w:val="single"/>
          </w:rPr>
          <w:t>https://forms.office.com/r/pPHyWVs2SZ</w:t>
        </w:r>
      </w:hyperlink>
      <w:r w:rsidRPr="00DA61E0">
        <w:rPr>
          <w:rFonts w:ascii="Verdana" w:eastAsia="Calibri" w:hAnsi="Verdana" w:cs="Times New Roman"/>
        </w:rPr>
        <w:t xml:space="preserve"> .¡Ayúdanos a mejorar porque el compromiso es de todos!</w:t>
      </w:r>
    </w:p>
    <w:p w14:paraId="2AA27EAC" w14:textId="77777777" w:rsidR="00E73E8C" w:rsidRPr="00DA61E0" w:rsidRDefault="00E73E8C" w:rsidP="00E73E8C">
      <w:pPr>
        <w:spacing w:after="0" w:line="276" w:lineRule="auto"/>
        <w:jc w:val="both"/>
        <w:rPr>
          <w:rFonts w:ascii="Verdana" w:eastAsia="Calibri" w:hAnsi="Verdana" w:cs="Times New Roman"/>
        </w:rPr>
      </w:pPr>
    </w:p>
    <w:p w14:paraId="36E25697"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Por último, lo invitamos a seguirnos en las redes sociales en las cuales se difunde información institucional: </w:t>
      </w:r>
    </w:p>
    <w:p w14:paraId="2420AAFC" w14:textId="77777777" w:rsidR="00E73E8C" w:rsidRPr="00DA61E0" w:rsidRDefault="00E73E8C" w:rsidP="00E73E8C">
      <w:pPr>
        <w:spacing w:after="0" w:line="276" w:lineRule="auto"/>
        <w:jc w:val="both"/>
        <w:rPr>
          <w:rFonts w:ascii="Verdana" w:eastAsia="Calibri" w:hAnsi="Verdana" w:cs="Times New Roman"/>
        </w:rPr>
      </w:pPr>
    </w:p>
    <w:p w14:paraId="144C4E01"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Twitter: </w:t>
      </w:r>
      <w:r w:rsidRPr="00DA61E0">
        <w:rPr>
          <w:rFonts w:ascii="Verdana" w:eastAsia="Calibri" w:hAnsi="Verdana" w:cs="Times New Roman"/>
          <w:color w:val="0000FF"/>
          <w:u w:val="single"/>
        </w:rPr>
        <w:t>@colombiacompra</w:t>
      </w:r>
      <w:r w:rsidRPr="00DA61E0">
        <w:rPr>
          <w:rFonts w:ascii="Verdana" w:eastAsia="Calibri" w:hAnsi="Verdana" w:cs="Times New Roman"/>
        </w:rPr>
        <w:t xml:space="preserve"> </w:t>
      </w:r>
    </w:p>
    <w:p w14:paraId="4E5948A4"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Facebook: </w:t>
      </w:r>
      <w:r w:rsidRPr="00DA61E0">
        <w:rPr>
          <w:rFonts w:ascii="Verdana" w:eastAsia="Calibri" w:hAnsi="Verdana" w:cs="Times New Roman"/>
          <w:color w:val="0000FF"/>
          <w:u w:val="single"/>
        </w:rPr>
        <w:t>ColombiaCompraEficiente</w:t>
      </w:r>
    </w:p>
    <w:p w14:paraId="524491F8"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 xml:space="preserve">LinkedIn: </w:t>
      </w:r>
      <w:r w:rsidRPr="00DA61E0">
        <w:rPr>
          <w:rFonts w:ascii="Verdana" w:eastAsia="Calibri" w:hAnsi="Verdana" w:cs="Times New Roman"/>
          <w:color w:val="0000FF"/>
          <w:u w:val="single"/>
        </w:rPr>
        <w:t>Agencia Nacional de Contratación Pública - Colombia Compra Eficiente</w:t>
      </w:r>
      <w:r w:rsidRPr="00DA61E0">
        <w:rPr>
          <w:rFonts w:ascii="Verdana" w:eastAsia="Calibri" w:hAnsi="Verdana" w:cs="Times New Roman"/>
        </w:rPr>
        <w:t xml:space="preserve"> Instagram: </w:t>
      </w:r>
      <w:r w:rsidRPr="00DA61E0">
        <w:rPr>
          <w:rFonts w:ascii="Verdana" w:eastAsia="Calibri" w:hAnsi="Verdana" w:cs="Times New Roman"/>
          <w:color w:val="0000FF"/>
          <w:u w:val="single"/>
        </w:rPr>
        <w:t>@colombiacompraeficiente_cce</w:t>
      </w:r>
    </w:p>
    <w:p w14:paraId="2BA0C17E" w14:textId="77777777" w:rsidR="00E73E8C" w:rsidRPr="00DA61E0" w:rsidRDefault="00E73E8C" w:rsidP="00E73E8C">
      <w:pPr>
        <w:spacing w:after="0" w:line="276" w:lineRule="auto"/>
        <w:jc w:val="both"/>
        <w:rPr>
          <w:rFonts w:ascii="Verdana" w:eastAsia="Calibri" w:hAnsi="Verdana" w:cs="Times New Roman"/>
        </w:rPr>
      </w:pPr>
    </w:p>
    <w:p w14:paraId="512BD5EA" w14:textId="77777777" w:rsidR="00E73E8C" w:rsidRPr="00DA61E0" w:rsidRDefault="00E73E8C" w:rsidP="00E73E8C">
      <w:pPr>
        <w:spacing w:after="0" w:line="276" w:lineRule="auto"/>
        <w:jc w:val="both"/>
        <w:rPr>
          <w:rFonts w:ascii="Verdana" w:eastAsia="Calibri" w:hAnsi="Verdana" w:cs="Times New Roman"/>
          <w:bCs/>
          <w:lang w:val="es-ES_tradnl"/>
        </w:rPr>
      </w:pPr>
      <w:r w:rsidRPr="00DA61E0">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9BA555E" w14:textId="77777777" w:rsidR="00E73E8C" w:rsidRPr="00DA61E0" w:rsidRDefault="00E73E8C" w:rsidP="00E73E8C">
      <w:pPr>
        <w:spacing w:after="0" w:line="276" w:lineRule="auto"/>
        <w:jc w:val="both"/>
        <w:rPr>
          <w:rFonts w:ascii="Verdana" w:eastAsia="Calibri" w:hAnsi="Verdana" w:cs="Times New Roman"/>
          <w:lang w:val="es-ES_tradnl"/>
        </w:rPr>
      </w:pPr>
    </w:p>
    <w:p w14:paraId="1C69A515" w14:textId="77777777" w:rsidR="00E73E8C" w:rsidRPr="00DA61E0" w:rsidRDefault="00E73E8C" w:rsidP="00E73E8C">
      <w:pPr>
        <w:spacing w:after="0" w:line="276" w:lineRule="auto"/>
        <w:jc w:val="both"/>
        <w:rPr>
          <w:rFonts w:ascii="Verdana" w:eastAsia="Calibri" w:hAnsi="Verdana" w:cs="Times New Roman"/>
        </w:rPr>
      </w:pPr>
      <w:r w:rsidRPr="00DA61E0">
        <w:rPr>
          <w:rFonts w:ascii="Verdana" w:eastAsia="Calibri" w:hAnsi="Verdana" w:cs="Times New Roman"/>
        </w:rPr>
        <w:t>Atentamente,</w:t>
      </w:r>
    </w:p>
    <w:p w14:paraId="1BEED75F" w14:textId="29A5EF6E" w:rsidR="00E73E8C" w:rsidRPr="00DA61E0" w:rsidRDefault="001300D4" w:rsidP="00E73E8C">
      <w:pPr>
        <w:spacing w:after="0" w:line="254" w:lineRule="auto"/>
        <w:jc w:val="center"/>
        <w:rPr>
          <w:rFonts w:ascii="Century Gothic" w:eastAsia="Calibri" w:hAnsi="Century Gothic" w:cs="Times New Roman"/>
          <w:noProof/>
          <w:lang w:val="en-US"/>
        </w:rPr>
      </w:pPr>
      <w:r w:rsidRPr="002C3AD6">
        <w:rPr>
          <w:rFonts w:ascii="Century Gothic" w:hAnsi="Century Gothic"/>
          <w:noProof/>
          <w:lang w:val="en-US"/>
        </w:rPr>
        <w:drawing>
          <wp:inline distT="0" distB="0" distL="0" distR="0" wp14:anchorId="5DDF1312" wp14:editId="51EB77A6">
            <wp:extent cx="3279697" cy="1217463"/>
            <wp:effectExtent l="0" t="0" r="0" b="1905"/>
            <wp:docPr id="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312722" cy="1229722"/>
                    </a:xfrm>
                    <a:prstGeom prst="rect">
                      <a:avLst/>
                    </a:prstGeom>
                  </pic:spPr>
                </pic:pic>
              </a:graphicData>
            </a:graphic>
          </wp:inline>
        </w:drawing>
      </w:r>
    </w:p>
    <w:p w14:paraId="34C90897" w14:textId="77777777" w:rsidR="00E73E8C" w:rsidRPr="00DA61E0" w:rsidRDefault="00E73E8C" w:rsidP="00E73E8C">
      <w:pPr>
        <w:spacing w:after="0" w:line="254" w:lineRule="auto"/>
        <w:rPr>
          <w:rFonts w:ascii="Century Gothic" w:eastAsia="Calibri" w:hAnsi="Century Gothic" w:cs="Times New Roman"/>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E73E8C" w:rsidRPr="00DA61E0" w14:paraId="5DE72670" w14:textId="77777777" w:rsidTr="00084BCA">
        <w:trPr>
          <w:trHeight w:val="409"/>
        </w:trPr>
        <w:tc>
          <w:tcPr>
            <w:tcW w:w="817" w:type="dxa"/>
            <w:tcBorders>
              <w:top w:val="nil"/>
              <w:left w:val="nil"/>
              <w:bottom w:val="nil"/>
              <w:right w:val="nil"/>
            </w:tcBorders>
            <w:vAlign w:val="center"/>
            <w:hideMark/>
          </w:tcPr>
          <w:p w14:paraId="1F5B61B9"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0FC0BA05"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José Luis Sánchez Cardona</w:t>
            </w:r>
          </w:p>
          <w:p w14:paraId="6FAD140D"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Contratista de la Subdirección de Gestión Contractual</w:t>
            </w:r>
          </w:p>
        </w:tc>
      </w:tr>
      <w:tr w:rsidR="00E73E8C" w:rsidRPr="00DA61E0" w14:paraId="2E64BC36" w14:textId="77777777" w:rsidTr="00084BCA">
        <w:trPr>
          <w:trHeight w:val="409"/>
        </w:trPr>
        <w:tc>
          <w:tcPr>
            <w:tcW w:w="817" w:type="dxa"/>
            <w:tcBorders>
              <w:top w:val="nil"/>
              <w:left w:val="nil"/>
              <w:bottom w:val="nil"/>
              <w:right w:val="nil"/>
            </w:tcBorders>
            <w:vAlign w:val="center"/>
            <w:hideMark/>
          </w:tcPr>
          <w:p w14:paraId="07BA904D"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B3E85E2"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Alejandro R. Sarmiento Cantillo</w:t>
            </w:r>
          </w:p>
          <w:p w14:paraId="48A2F383"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Gestor T1-15 de la Subdirección de Gestión Contractual </w:t>
            </w:r>
          </w:p>
        </w:tc>
      </w:tr>
      <w:tr w:rsidR="00E73E8C" w:rsidRPr="00DA61E0" w14:paraId="396B78E0" w14:textId="77777777" w:rsidTr="00084BCA">
        <w:trPr>
          <w:trHeight w:val="389"/>
        </w:trPr>
        <w:tc>
          <w:tcPr>
            <w:tcW w:w="817" w:type="dxa"/>
            <w:tcBorders>
              <w:top w:val="nil"/>
              <w:left w:val="nil"/>
              <w:bottom w:val="nil"/>
              <w:right w:val="nil"/>
            </w:tcBorders>
            <w:vAlign w:val="center"/>
            <w:hideMark/>
          </w:tcPr>
          <w:p w14:paraId="6995325D"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BBA1652"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Carolina Quintero Gacharná</w:t>
            </w:r>
          </w:p>
          <w:p w14:paraId="4CF6F6EB" w14:textId="77777777" w:rsidR="00E73E8C" w:rsidRPr="00DA61E0" w:rsidRDefault="00E73E8C" w:rsidP="00084BCA">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Subdirectora de Gestión Contractual ANCP – CCE</w:t>
            </w:r>
          </w:p>
        </w:tc>
      </w:tr>
    </w:tbl>
    <w:p w14:paraId="6B090B9B" w14:textId="77777777" w:rsidR="00E73E8C" w:rsidRPr="000E2B93" w:rsidRDefault="00E73E8C" w:rsidP="00E73E8C">
      <w:pPr>
        <w:spacing w:after="0" w:line="240" w:lineRule="auto"/>
        <w:jc w:val="both"/>
        <w:textAlignment w:val="baseline"/>
        <w:rPr>
          <w:rFonts w:ascii="Verdana" w:eastAsia="Verdana" w:hAnsi="Verdana" w:cs="Verdana"/>
          <w:lang w:eastAsia="es-CO"/>
        </w:rPr>
      </w:pPr>
    </w:p>
    <w:p w14:paraId="550F182B" w14:textId="305754F9" w:rsidR="00E73E8C" w:rsidRPr="000E2B93" w:rsidRDefault="00E73E8C" w:rsidP="00E73E8C">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69BC4D14" w14:textId="6BF7DD72" w:rsidR="00C15139" w:rsidRPr="00E73E8C" w:rsidRDefault="00C15139" w:rsidP="00E73E8C"/>
    <w:sectPr w:rsidR="00C15139" w:rsidRPr="00E73E8C"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B8F2" w14:textId="77777777" w:rsidR="00F82D35" w:rsidRDefault="00F82D35" w:rsidP="004A1847">
      <w:pPr>
        <w:spacing w:after="0" w:line="240" w:lineRule="auto"/>
      </w:pPr>
      <w:r>
        <w:separator/>
      </w:r>
    </w:p>
  </w:endnote>
  <w:endnote w:type="continuationSeparator" w:id="0">
    <w:p w14:paraId="5993F8B9" w14:textId="77777777" w:rsidR="00F82D35" w:rsidRDefault="00F82D3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Open Sans">
    <w:charset w:val="00"/>
    <w:family w:val="swiss"/>
    <w:pitch w:val="variable"/>
    <w:sig w:usb0="E00002EF" w:usb1="4000205B" w:usb2="00000028"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A10DB" w14:textId="77777777" w:rsidR="00F82D35" w:rsidRDefault="00F82D35" w:rsidP="004A1847">
      <w:pPr>
        <w:spacing w:after="0" w:line="240" w:lineRule="auto"/>
      </w:pPr>
      <w:r>
        <w:separator/>
      </w:r>
    </w:p>
  </w:footnote>
  <w:footnote w:type="continuationSeparator" w:id="0">
    <w:p w14:paraId="1C08842F" w14:textId="77777777" w:rsidR="00F82D35" w:rsidRDefault="00F82D35" w:rsidP="004A1847">
      <w:pPr>
        <w:spacing w:after="0" w:line="240" w:lineRule="auto"/>
      </w:pPr>
      <w:r>
        <w:continuationSeparator/>
      </w:r>
    </w:p>
  </w:footnote>
  <w:footnote w:id="1">
    <w:p w14:paraId="5839C8A7" w14:textId="77777777" w:rsidR="00E73E8C" w:rsidRPr="005E547A" w:rsidRDefault="00E73E8C" w:rsidP="00E73E8C">
      <w:pPr>
        <w:pStyle w:val="Textonotapie"/>
        <w:ind w:firstLine="709"/>
        <w:jc w:val="both"/>
        <w:rPr>
          <w:rFonts w:ascii="Verdana" w:eastAsia="Calibri" w:hAnsi="Verdana" w:cs="Arial"/>
          <w:sz w:val="16"/>
          <w:szCs w:val="16"/>
          <w:lang w:val="es-ES_tradnl" w:eastAsia="es-ES_tradnl"/>
        </w:rPr>
      </w:pPr>
      <w:r w:rsidRPr="005E547A">
        <w:rPr>
          <w:rStyle w:val="Refdenotaalpie"/>
          <w:rFonts w:ascii="Verdana" w:hAnsi="Verdana" w:cs="Arial"/>
          <w:sz w:val="16"/>
          <w:szCs w:val="16"/>
        </w:rPr>
        <w:footnoteRef/>
      </w:r>
      <w:r w:rsidRPr="005E547A">
        <w:rPr>
          <w:rFonts w:ascii="Verdana" w:hAnsi="Verdana" w:cs="Arial"/>
          <w:sz w:val="16"/>
          <w:szCs w:val="16"/>
        </w:rPr>
        <w:t xml:space="preserve"> </w:t>
      </w:r>
      <w:r w:rsidRPr="005E547A">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3BD39732" w14:textId="77777777" w:rsidR="00E73E8C" w:rsidRPr="005E547A" w:rsidRDefault="00E73E8C" w:rsidP="00E73E8C">
      <w:pPr>
        <w:pStyle w:val="Textonotapie"/>
        <w:ind w:firstLine="709"/>
        <w:jc w:val="both"/>
        <w:rPr>
          <w:rFonts w:ascii="Verdana" w:hAnsi="Verdana" w:cs="Arial"/>
          <w:sz w:val="16"/>
          <w:szCs w:val="16"/>
          <w:lang w:val="es-ES"/>
        </w:rPr>
      </w:pPr>
      <w:r w:rsidRPr="005E547A">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2">
    <w:p w14:paraId="3F5C1B8D" w14:textId="77777777" w:rsidR="00E73E8C" w:rsidRPr="005E547A" w:rsidRDefault="00E73E8C" w:rsidP="00E73E8C">
      <w:pPr>
        <w:spacing w:after="0" w:line="240" w:lineRule="auto"/>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Subsección A. Sentencia del 22 de agosto de 2023. Exp. 58.634. C.P. María Adriana Marín. </w:t>
      </w:r>
    </w:p>
  </w:footnote>
  <w:footnote w:id="3">
    <w:p w14:paraId="4B99C784" w14:textId="77777777" w:rsidR="00E73E8C" w:rsidRPr="005E547A" w:rsidRDefault="00E73E8C" w:rsidP="00E73E8C">
      <w:pPr>
        <w:pStyle w:val="Textonotapie"/>
        <w:ind w:firstLine="708"/>
        <w:jc w:val="both"/>
        <w:rPr>
          <w:rFonts w:ascii="Verdana" w:hAnsi="Verdana"/>
          <w:sz w:val="16"/>
          <w:szCs w:val="16"/>
          <w:lang w:val="es-CO"/>
        </w:rPr>
      </w:pPr>
      <w:r w:rsidRPr="005E547A">
        <w:rPr>
          <w:rStyle w:val="Refdenotaalpie"/>
          <w:rFonts w:ascii="Verdana" w:hAnsi="Verdana"/>
          <w:sz w:val="16"/>
          <w:szCs w:val="16"/>
        </w:rPr>
        <w:footnoteRef/>
      </w:r>
      <w:r w:rsidRPr="005E547A">
        <w:rPr>
          <w:rFonts w:ascii="Verdana" w:hAnsi="Verdana"/>
          <w:sz w:val="16"/>
          <w:szCs w:val="16"/>
        </w:rPr>
        <w:t xml:space="preserve"> </w:t>
      </w:r>
      <w:r w:rsidRPr="005E547A">
        <w:rPr>
          <w:rFonts w:ascii="Verdana" w:hAnsi="Verdana"/>
          <w:sz w:val="16"/>
          <w:szCs w:val="16"/>
          <w:lang w:val="es-CO"/>
        </w:rPr>
        <w:t xml:space="preserve">Consejo de Estado. Sala de Consulta y Servicio Civil.. Concepto del 5 de septiembre de 2018. Expediente: 2386. C.P: Édgar González López. </w:t>
      </w:r>
    </w:p>
  </w:footnote>
  <w:footnote w:id="4">
    <w:p w14:paraId="6587DDE1" w14:textId="77777777" w:rsidR="00E73E8C" w:rsidRPr="005E547A" w:rsidRDefault="00E73E8C" w:rsidP="00E73E8C">
      <w:pPr>
        <w:pStyle w:val="Textonotapie"/>
        <w:ind w:firstLine="708"/>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Subsección A. Sentencia del 29 de julio de 2015. Exp. 41.008. C.P.: Hernán Andrade Rincón (E).</w:t>
      </w:r>
    </w:p>
    <w:p w14:paraId="2857F328" w14:textId="77777777" w:rsidR="00E73E8C" w:rsidRPr="005E547A" w:rsidRDefault="00E73E8C" w:rsidP="00E73E8C">
      <w:pPr>
        <w:pStyle w:val="Textonotapie"/>
        <w:jc w:val="both"/>
        <w:rPr>
          <w:rFonts w:ascii="Verdana" w:hAnsi="Verdana"/>
          <w:sz w:val="16"/>
          <w:szCs w:val="16"/>
        </w:rPr>
      </w:pPr>
    </w:p>
  </w:footnote>
  <w:footnote w:id="5">
    <w:p w14:paraId="51180705" w14:textId="77777777" w:rsidR="00E73E8C" w:rsidRPr="005E547A" w:rsidRDefault="00E73E8C" w:rsidP="00E73E8C">
      <w:pPr>
        <w:pStyle w:val="Textonotapie"/>
        <w:ind w:firstLine="709"/>
        <w:contextualSpacing/>
        <w:jc w:val="both"/>
        <w:rPr>
          <w:rFonts w:ascii="Verdana" w:hAnsi="Verdana" w:cs="Arial"/>
          <w:color w:val="000000" w:themeColor="text1"/>
          <w:sz w:val="16"/>
          <w:szCs w:val="16"/>
        </w:rPr>
      </w:pPr>
      <w:r w:rsidRPr="005E547A">
        <w:rPr>
          <w:rStyle w:val="Refdenotaalpie"/>
          <w:rFonts w:ascii="Verdana" w:hAnsi="Verdana" w:cs="Arial"/>
          <w:sz w:val="16"/>
          <w:szCs w:val="16"/>
        </w:rPr>
        <w:footnoteRef/>
      </w:r>
      <w:r w:rsidRPr="005E547A">
        <w:rPr>
          <w:rFonts w:ascii="Verdana" w:hAnsi="Verdana" w:cs="Arial"/>
          <w:sz w:val="16"/>
          <w:szCs w:val="16"/>
        </w:rPr>
        <w:t xml:space="preserve"> </w:t>
      </w:r>
      <w:r w:rsidRPr="005E547A">
        <w:rPr>
          <w:rFonts w:ascii="Verdana" w:hAnsi="Verdana" w:cs="Arial"/>
          <w:color w:val="000000" w:themeColor="text1"/>
          <w:sz w:val="16"/>
          <w:szCs w:val="16"/>
        </w:rPr>
        <w:t xml:space="preserve">Consejo de Estado. </w:t>
      </w:r>
      <w:r w:rsidRPr="005E547A">
        <w:rPr>
          <w:rFonts w:ascii="Verdana" w:hAnsi="Verdana"/>
          <w:sz w:val="16"/>
          <w:szCs w:val="16"/>
        </w:rPr>
        <w:t xml:space="preserve">Sala de lo Contencioso Administrativo. </w:t>
      </w:r>
      <w:r w:rsidRPr="005E547A">
        <w:rPr>
          <w:rFonts w:ascii="Verdana" w:hAnsi="Verdana" w:cs="Arial"/>
          <w:color w:val="000000" w:themeColor="text1"/>
          <w:sz w:val="16"/>
          <w:szCs w:val="16"/>
        </w:rPr>
        <w:t xml:space="preserve">Sección Tercera. Subsección B. Sentencia del 14 de octubre de 2011. </w:t>
      </w:r>
      <w:r w:rsidRPr="005E547A">
        <w:rPr>
          <w:rFonts w:ascii="Verdana" w:hAnsi="Verdana"/>
          <w:sz w:val="16"/>
          <w:szCs w:val="16"/>
          <w:lang w:val="es-CO"/>
        </w:rPr>
        <w:t xml:space="preserve">C.P: </w:t>
      </w:r>
      <w:r w:rsidRPr="005E547A">
        <w:rPr>
          <w:rFonts w:ascii="Verdana" w:hAnsi="Verdana" w:cs="Arial"/>
          <w:color w:val="000000" w:themeColor="text1"/>
          <w:sz w:val="16"/>
          <w:szCs w:val="16"/>
        </w:rPr>
        <w:t>Ruth Stella Correa Palacio. Exp. 20811.</w:t>
      </w:r>
    </w:p>
  </w:footnote>
  <w:footnote w:id="6">
    <w:p w14:paraId="21D21B37" w14:textId="77777777" w:rsidR="00E73E8C" w:rsidRPr="005E547A" w:rsidRDefault="00E73E8C" w:rsidP="00E73E8C">
      <w:pPr>
        <w:pStyle w:val="Textonotapie"/>
        <w:ind w:firstLine="709"/>
        <w:contextualSpacing/>
        <w:jc w:val="both"/>
        <w:rPr>
          <w:rFonts w:ascii="Verdana" w:hAnsi="Verdana" w:cs="Arial"/>
          <w:sz w:val="16"/>
          <w:szCs w:val="16"/>
        </w:rPr>
      </w:pPr>
      <w:r w:rsidRPr="005E547A">
        <w:rPr>
          <w:rStyle w:val="Refdenotaalpie"/>
          <w:rFonts w:ascii="Verdana" w:hAnsi="Verdana" w:cs="Arial"/>
          <w:sz w:val="16"/>
          <w:szCs w:val="16"/>
        </w:rPr>
        <w:footnoteRef/>
      </w:r>
      <w:r w:rsidRPr="005E547A">
        <w:rPr>
          <w:rFonts w:ascii="Verdana" w:hAnsi="Verdana" w:cs="Arial"/>
          <w:sz w:val="16"/>
          <w:szCs w:val="16"/>
        </w:rPr>
        <w:t xml:space="preserve"> Decreto Ley 222 de 1983: “Artículo 58. De los contratos adicionales. Salvo lo dispuesto en el título IV, cuando haya necesidad de modificar el plazo o el valor convenido y no se tratare de la revisión de precios prevista en este estatuto, se suscribirá un contrato adicional que no podrá exceder la cifra resultante de sumar la mitad de la cuantía originalmente pactada más el valor de los reajustes que se hubieren efectuado a la fecha de acordarse la suscripción del contrato adicional. </w:t>
      </w:r>
    </w:p>
    <w:p w14:paraId="146AE300" w14:textId="77777777" w:rsidR="00E73E8C" w:rsidRPr="005E547A" w:rsidRDefault="00E73E8C" w:rsidP="00E73E8C">
      <w:pPr>
        <w:pStyle w:val="Textonotapie"/>
        <w:ind w:firstLine="709"/>
        <w:contextualSpacing/>
        <w:jc w:val="both"/>
        <w:rPr>
          <w:rFonts w:ascii="Verdana" w:hAnsi="Verdana" w:cs="Arial"/>
          <w:sz w:val="16"/>
          <w:szCs w:val="16"/>
        </w:rPr>
      </w:pPr>
      <w:r w:rsidRPr="005E547A">
        <w:rPr>
          <w:rFonts w:ascii="Verdana" w:hAnsi="Verdana" w:cs="Arial"/>
          <w:sz w:val="16"/>
          <w:szCs w:val="16"/>
        </w:rPr>
        <w:t xml:space="preserve">Las adiciones relacionadas con el valor quedarán perfeccionadas una vez suscrito el contrato y efectuado el registro presupuestal. Las relaciones con el plazo sólo requerirán firma del jefe de la entidad contratante y prórroga de las garantías. </w:t>
      </w:r>
    </w:p>
    <w:p w14:paraId="63933E8E" w14:textId="77777777" w:rsidR="00E73E8C" w:rsidRPr="005E547A" w:rsidRDefault="00E73E8C" w:rsidP="00E73E8C">
      <w:pPr>
        <w:pStyle w:val="Textonotapie"/>
        <w:ind w:firstLine="709"/>
        <w:contextualSpacing/>
        <w:jc w:val="both"/>
        <w:rPr>
          <w:rFonts w:ascii="Verdana" w:hAnsi="Verdana" w:cs="Arial"/>
          <w:sz w:val="16"/>
          <w:szCs w:val="16"/>
        </w:rPr>
      </w:pPr>
      <w:r w:rsidRPr="005E547A">
        <w:rPr>
          <w:rFonts w:ascii="Verdana" w:hAnsi="Verdana" w:cs="Arial"/>
          <w:sz w:val="16"/>
          <w:szCs w:val="16"/>
        </w:rPr>
        <w:t xml:space="preserve">Serán requisitos para que pueda iniciarse la ejecución del contrato, la adición y prórroga de las garantías y el pago de los impuestos correspondientes. </w:t>
      </w:r>
    </w:p>
    <w:p w14:paraId="22D3B956" w14:textId="77777777" w:rsidR="00E73E8C" w:rsidRPr="005E547A" w:rsidRDefault="00E73E8C" w:rsidP="00E73E8C">
      <w:pPr>
        <w:pStyle w:val="Textonotapie"/>
        <w:ind w:firstLine="709"/>
        <w:contextualSpacing/>
        <w:jc w:val="both"/>
        <w:rPr>
          <w:rFonts w:ascii="Verdana" w:hAnsi="Verdana" w:cs="Arial"/>
          <w:sz w:val="16"/>
          <w:szCs w:val="16"/>
        </w:rPr>
      </w:pPr>
      <w:r w:rsidRPr="005E547A">
        <w:rPr>
          <w:rFonts w:ascii="Verdana" w:hAnsi="Verdana" w:cs="Arial"/>
          <w:sz w:val="16"/>
          <w:szCs w:val="16"/>
        </w:rPr>
        <w:t xml:space="preserve">Los contratos de interventoría, administración delegada, y consultoría previstos en este estatuto, podrán adicionarse sin el límite fijado en el presente artículo. </w:t>
      </w:r>
    </w:p>
    <w:p w14:paraId="2F79D35D" w14:textId="77777777" w:rsidR="00E73E8C" w:rsidRPr="005E547A" w:rsidRDefault="00E73E8C" w:rsidP="00E73E8C">
      <w:pPr>
        <w:pStyle w:val="Textonotapie"/>
        <w:ind w:firstLine="709"/>
        <w:contextualSpacing/>
        <w:jc w:val="both"/>
        <w:rPr>
          <w:rFonts w:ascii="Verdana" w:hAnsi="Verdana" w:cs="Arial"/>
          <w:sz w:val="16"/>
          <w:szCs w:val="16"/>
        </w:rPr>
      </w:pPr>
      <w:r w:rsidRPr="005E547A">
        <w:rPr>
          <w:rFonts w:ascii="Verdana" w:hAnsi="Verdana" w:cs="Arial"/>
          <w:sz w:val="16"/>
          <w:szCs w:val="16"/>
        </w:rPr>
        <w:t xml:space="preserve">Las adiciones deberán publicarse en el Diario oficial. </w:t>
      </w:r>
    </w:p>
    <w:p w14:paraId="6FAE5652" w14:textId="77777777" w:rsidR="00E73E8C" w:rsidRPr="005E547A" w:rsidRDefault="00E73E8C" w:rsidP="00E73E8C">
      <w:pPr>
        <w:pStyle w:val="Textonotapie"/>
        <w:ind w:firstLine="709"/>
        <w:contextualSpacing/>
        <w:jc w:val="both"/>
        <w:rPr>
          <w:rFonts w:ascii="Verdana" w:hAnsi="Verdana" w:cs="Arial"/>
          <w:sz w:val="16"/>
          <w:szCs w:val="16"/>
        </w:rPr>
      </w:pPr>
      <w:r w:rsidRPr="005E547A">
        <w:rPr>
          <w:rFonts w:ascii="Verdana" w:hAnsi="Verdana" w:cs="Arial"/>
          <w:sz w:val="16"/>
          <w:szCs w:val="16"/>
        </w:rPr>
        <w:t xml:space="preserve">En ningún caso podrá modificarse el objeto de los contratos, ni prorrogarse su plazo si estuviere vencido, so pretexto de la celebración de contratos adicionales, ni pactarse prórrogas automáticas. </w:t>
      </w:r>
    </w:p>
    <w:p w14:paraId="0E328932" w14:textId="77777777" w:rsidR="00E73E8C" w:rsidRPr="005E547A" w:rsidRDefault="00E73E8C" w:rsidP="00E73E8C">
      <w:pPr>
        <w:pStyle w:val="Textonotapie"/>
        <w:ind w:firstLine="708"/>
        <w:contextualSpacing/>
        <w:jc w:val="both"/>
        <w:rPr>
          <w:rFonts w:ascii="Verdana" w:hAnsi="Verdana" w:cs="Arial"/>
          <w:sz w:val="16"/>
          <w:szCs w:val="16"/>
        </w:rPr>
      </w:pPr>
      <w:r w:rsidRPr="005E547A">
        <w:rPr>
          <w:rFonts w:ascii="Verdana" w:hAnsi="Verdana" w:cs="Arial"/>
          <w:sz w:val="16"/>
          <w:szCs w:val="16"/>
        </w:rPr>
        <w:t>Parágrafo. Los contratos de empréstito distintos a los créditos de proveedores, no se someterán a lo dispuesto en este artículo”.</w:t>
      </w:r>
    </w:p>
  </w:footnote>
  <w:footnote w:id="7">
    <w:p w14:paraId="43C5EAF3" w14:textId="77777777" w:rsidR="00E73E8C" w:rsidRPr="005E547A" w:rsidRDefault="00E73E8C" w:rsidP="00E73E8C">
      <w:pPr>
        <w:pStyle w:val="Textonotapie"/>
        <w:ind w:firstLine="708"/>
        <w:contextualSpacing/>
        <w:jc w:val="both"/>
        <w:rPr>
          <w:rFonts w:ascii="Verdana" w:hAnsi="Verdana" w:cs="Arial"/>
          <w:sz w:val="16"/>
          <w:szCs w:val="16"/>
        </w:rPr>
      </w:pPr>
      <w:r w:rsidRPr="005E547A">
        <w:rPr>
          <w:rStyle w:val="Refdenotaalpie"/>
          <w:rFonts w:ascii="Verdana" w:hAnsi="Verdana" w:cs="Arial"/>
          <w:sz w:val="16"/>
          <w:szCs w:val="16"/>
        </w:rPr>
        <w:footnoteRef/>
      </w:r>
      <w:r w:rsidRPr="005E547A">
        <w:rPr>
          <w:rFonts w:ascii="Verdana" w:hAnsi="Verdana" w:cs="Arial"/>
          <w:sz w:val="16"/>
          <w:szCs w:val="16"/>
        </w:rPr>
        <w:t xml:space="preserve"> La Sala de Consulta y Servicio Civil del Consejo de Estado ha explicado que: “[…] son diferentes el contrato adicional y la adición de contratos. Aquel es un nuevo contrato, mientras esta es una modificación de un contrato en ejecución. La Ley 80 de 1993 abandonó el concepto de contrato adicional e introdujo el de «adición de los contratos», sin especificar los elementos sobre los cuales puede hacerse la adición, mantuvo sí un límite: no más del cincuenta por ciento (50%) de su valor inicial, expresado este en salarios mínimos legales mensuales […]”.  Concepto 1128 del 26 de agosto de 1998, C.P. César Hoyos Salazar. </w:t>
      </w:r>
    </w:p>
  </w:footnote>
  <w:footnote w:id="8">
    <w:p w14:paraId="1AD3576D" w14:textId="77777777" w:rsidR="00E73E8C" w:rsidRPr="005E547A" w:rsidRDefault="00E73E8C" w:rsidP="00E73E8C">
      <w:pPr>
        <w:spacing w:after="0" w:line="240" w:lineRule="auto"/>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Subsección A. Sentencia del 22 de agosto de 2023. C.P.: María Adriana Marín. Exp. 58.634.</w:t>
      </w:r>
    </w:p>
  </w:footnote>
  <w:footnote w:id="9">
    <w:p w14:paraId="38CDC0B2"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Subsección B Sentencia del 4 de junio de 2019. </w:t>
      </w:r>
      <w:r w:rsidRPr="005E547A">
        <w:rPr>
          <w:rFonts w:ascii="Verdana" w:hAnsi="Verdana"/>
          <w:sz w:val="16"/>
          <w:szCs w:val="16"/>
          <w:lang w:val="es-CO"/>
        </w:rPr>
        <w:t xml:space="preserve">. C.P.: Ramiro Pazos Guerrero. Exp. </w:t>
      </w:r>
      <w:r w:rsidRPr="005E547A">
        <w:rPr>
          <w:rFonts w:ascii="Verdana" w:hAnsi="Verdana"/>
          <w:sz w:val="16"/>
          <w:szCs w:val="16"/>
        </w:rPr>
        <w:t>39.974.</w:t>
      </w:r>
    </w:p>
  </w:footnote>
  <w:footnote w:id="10">
    <w:p w14:paraId="48664D2C"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Sentencia del 18 de noviembre de 2021. </w:t>
      </w:r>
      <w:r w:rsidRPr="005E547A">
        <w:rPr>
          <w:rFonts w:ascii="Verdana" w:hAnsi="Verdana"/>
          <w:sz w:val="16"/>
          <w:szCs w:val="16"/>
          <w:lang w:val="es-CO"/>
        </w:rPr>
        <w:t xml:space="preserve">Subsección B. C.P.: Alberto Montaña Plata. Exp. </w:t>
      </w:r>
      <w:r w:rsidRPr="005E547A">
        <w:rPr>
          <w:rFonts w:ascii="Verdana" w:hAnsi="Verdana"/>
          <w:sz w:val="16"/>
          <w:szCs w:val="16"/>
        </w:rPr>
        <w:t>61.641.</w:t>
      </w:r>
    </w:p>
  </w:footnote>
  <w:footnote w:id="11">
    <w:p w14:paraId="17AB6907"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Subsección B Sentencia del 4 de junio de 2019. </w:t>
      </w:r>
      <w:r w:rsidRPr="005E547A">
        <w:rPr>
          <w:rFonts w:ascii="Verdana" w:hAnsi="Verdana"/>
          <w:sz w:val="16"/>
          <w:szCs w:val="16"/>
          <w:lang w:val="es-CO"/>
        </w:rPr>
        <w:t xml:space="preserve">. C.P.: Ramiro Pazos Guerrero. Exp. </w:t>
      </w:r>
      <w:r w:rsidRPr="005E547A">
        <w:rPr>
          <w:rFonts w:ascii="Verdana" w:hAnsi="Verdana"/>
          <w:sz w:val="16"/>
          <w:szCs w:val="16"/>
        </w:rPr>
        <w:t>39.974.</w:t>
      </w:r>
    </w:p>
  </w:footnote>
  <w:footnote w:id="12">
    <w:p w14:paraId="25E8F56E" w14:textId="77777777" w:rsidR="00E73E8C" w:rsidRPr="005E547A" w:rsidRDefault="00E73E8C" w:rsidP="00E73E8C">
      <w:pPr>
        <w:pStyle w:val="Textonotapie"/>
        <w:ind w:firstLine="708"/>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w:t>
      </w:r>
      <w:r w:rsidRPr="005E547A">
        <w:rPr>
          <w:rFonts w:ascii="Verdana" w:hAnsi="Verdana"/>
          <w:sz w:val="16"/>
          <w:szCs w:val="16"/>
          <w:lang w:val="es-CO"/>
        </w:rPr>
        <w:t>Consejo de Estado. Sala de lo Contencioso Administrativo. Sección Tercera. Sentencia del 18 de noviembre de 2021. Subsección B. C.P.: Alberto Montaña Plata. Exp. 61.641.</w:t>
      </w:r>
    </w:p>
  </w:footnote>
  <w:footnote w:id="13">
    <w:p w14:paraId="751C462A" w14:textId="77777777" w:rsidR="00E73E8C" w:rsidRPr="005E547A" w:rsidRDefault="00E73E8C" w:rsidP="00E73E8C">
      <w:pPr>
        <w:pStyle w:val="Sinespaciado1"/>
        <w:ind w:firstLine="708"/>
        <w:jc w:val="both"/>
        <w:rPr>
          <w:rFonts w:ascii="Verdana" w:hAnsi="Verdana" w:cs="Arial"/>
          <w:iCs/>
          <w:sz w:val="16"/>
          <w:szCs w:val="16"/>
        </w:rPr>
      </w:pPr>
      <w:r w:rsidRPr="005E547A">
        <w:rPr>
          <w:rFonts w:ascii="Verdana" w:hAnsi="Verdana" w:cs="Arial"/>
          <w:iCs/>
          <w:sz w:val="16"/>
          <w:szCs w:val="16"/>
          <w:vertAlign w:val="superscript"/>
        </w:rPr>
        <w:footnoteRef/>
      </w:r>
      <w:r w:rsidRPr="005E547A">
        <w:rPr>
          <w:rFonts w:ascii="Verdana" w:hAnsi="Verdana" w:cs="Arial"/>
          <w:iCs/>
          <w:sz w:val="16"/>
          <w:szCs w:val="16"/>
        </w:rPr>
        <w:t xml:space="preserve"> Consejo de Estado, Sala de Consulta y Servicio Civil, Concepto 1920 del 9 de septiembre de 2008 y ponencia de Enrique José Arboleda Perdomo.</w:t>
      </w:r>
    </w:p>
  </w:footnote>
  <w:footnote w:id="14">
    <w:p w14:paraId="58BCA4DB" w14:textId="77777777" w:rsidR="00E73E8C" w:rsidRPr="005E547A" w:rsidRDefault="00E73E8C" w:rsidP="00E73E8C">
      <w:pPr>
        <w:pStyle w:val="Textonotapie"/>
        <w:ind w:firstLine="708"/>
        <w:jc w:val="both"/>
        <w:rPr>
          <w:rFonts w:ascii="Verdana" w:hAnsi="Verdana" w:cs="Arial"/>
          <w:iCs/>
          <w:sz w:val="16"/>
          <w:szCs w:val="16"/>
        </w:rPr>
      </w:pPr>
      <w:r w:rsidRPr="005E547A">
        <w:rPr>
          <w:rFonts w:ascii="Verdana" w:hAnsi="Verdana" w:cs="Arial"/>
          <w:iCs/>
          <w:sz w:val="16"/>
          <w:szCs w:val="16"/>
          <w:vertAlign w:val="superscript"/>
        </w:rPr>
        <w:footnoteRef/>
      </w:r>
      <w:r w:rsidRPr="005E547A">
        <w:rPr>
          <w:rFonts w:ascii="Verdana" w:hAnsi="Verdana" w:cs="Arial"/>
          <w:iCs/>
          <w:sz w:val="16"/>
          <w:szCs w:val="16"/>
          <w:vertAlign w:val="superscript"/>
        </w:rPr>
        <w:t xml:space="preserve"> </w:t>
      </w:r>
      <w:r w:rsidRPr="005E547A">
        <w:rPr>
          <w:rFonts w:ascii="Verdana" w:hAnsi="Verdana" w:cs="Arial"/>
          <w:iCs/>
          <w:sz w:val="16"/>
          <w:szCs w:val="16"/>
        </w:rPr>
        <w:t>Véase al respecto el Concepto de la Sala de Consulta y Servicio Civil del 23 de agosto de 2013, radicado 2148 y ponencia de William Zambrano Cetina.</w:t>
      </w:r>
    </w:p>
  </w:footnote>
  <w:footnote w:id="15">
    <w:p w14:paraId="580D391A" w14:textId="77777777" w:rsidR="00E73E8C" w:rsidRPr="005E547A" w:rsidRDefault="00E73E8C" w:rsidP="00E73E8C">
      <w:pPr>
        <w:pStyle w:val="Textonotapie"/>
        <w:ind w:firstLine="708"/>
        <w:jc w:val="both"/>
        <w:rPr>
          <w:rFonts w:ascii="Verdana" w:hAnsi="Verdana"/>
          <w:i/>
          <w:iCs/>
          <w:sz w:val="16"/>
          <w:szCs w:val="16"/>
        </w:rPr>
      </w:pPr>
      <w:r w:rsidRPr="005E547A">
        <w:rPr>
          <w:rStyle w:val="Refdenotaalpie"/>
          <w:rFonts w:ascii="Verdana" w:hAnsi="Verdana"/>
          <w:sz w:val="16"/>
          <w:szCs w:val="16"/>
        </w:rPr>
        <w:footnoteRef/>
      </w:r>
      <w:r w:rsidRPr="005E547A">
        <w:rPr>
          <w:rFonts w:ascii="Verdana" w:hAnsi="Verdana"/>
          <w:sz w:val="16"/>
          <w:szCs w:val="16"/>
        </w:rPr>
        <w:t xml:space="preserve"> </w:t>
      </w:r>
      <w:r w:rsidRPr="005E547A">
        <w:rPr>
          <w:rFonts w:ascii="Verdana" w:hAnsi="Verdana"/>
          <w:i/>
          <w:iCs/>
          <w:sz w:val="16"/>
          <w:szCs w:val="16"/>
        </w:rPr>
        <w:t xml:space="preserve">Ibidem </w:t>
      </w:r>
    </w:p>
  </w:footnote>
  <w:footnote w:id="16">
    <w:p w14:paraId="0E548898" w14:textId="77777777" w:rsidR="00E73E8C" w:rsidRPr="005E547A" w:rsidRDefault="00E73E8C" w:rsidP="00E73E8C">
      <w:pPr>
        <w:pStyle w:val="Textonotapie"/>
        <w:ind w:firstLine="708"/>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Ibidem </w:t>
      </w:r>
    </w:p>
  </w:footnote>
  <w:footnote w:id="17">
    <w:p w14:paraId="5C08E325"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lo Contencioso Administrativo. Sección Tercera. Subsección C. C.P.: Jaime Enrique Rodríguez Navas. Sentencia del 1 de julio de 2020. Radicación número.: </w:t>
      </w:r>
      <w:r w:rsidRPr="005E547A">
        <w:rPr>
          <w:rFonts w:ascii="Verdana" w:hAnsi="Verdana"/>
          <w:sz w:val="16"/>
          <w:szCs w:val="16"/>
          <w:lang w:val="es-CO"/>
        </w:rPr>
        <w:t>05001-23-31-000-2000-03439-01(47101)</w:t>
      </w:r>
    </w:p>
  </w:footnote>
  <w:footnote w:id="18">
    <w:p w14:paraId="5BFED78F" w14:textId="77777777" w:rsidR="00E73E8C" w:rsidRPr="005E547A" w:rsidRDefault="00E73E8C" w:rsidP="00E73E8C">
      <w:pPr>
        <w:pStyle w:val="Textonotapie"/>
        <w:ind w:firstLine="709"/>
        <w:jc w:val="both"/>
        <w:rPr>
          <w:rFonts w:ascii="Verdana" w:hAnsi="Verdana" w:cs="Open Sans"/>
          <w:color w:val="000000" w:themeColor="text1"/>
          <w:sz w:val="16"/>
          <w:szCs w:val="16"/>
        </w:rPr>
      </w:pPr>
      <w:r w:rsidRPr="005E547A">
        <w:rPr>
          <w:rStyle w:val="Refdenotaalpie"/>
          <w:rFonts w:ascii="Verdana" w:hAnsi="Verdana"/>
          <w:sz w:val="16"/>
          <w:szCs w:val="16"/>
        </w:rPr>
        <w:footnoteRef/>
      </w:r>
      <w:r w:rsidRPr="005E547A">
        <w:rPr>
          <w:rFonts w:ascii="Verdana" w:hAnsi="Verdana"/>
          <w:sz w:val="16"/>
          <w:szCs w:val="16"/>
        </w:rPr>
        <w:t xml:space="preserve"> </w:t>
      </w:r>
      <w:r w:rsidRPr="005E547A">
        <w:rPr>
          <w:rFonts w:ascii="Verdana" w:hAnsi="Verdana"/>
          <w:color w:val="000000" w:themeColor="text1"/>
          <w:sz w:val="16"/>
          <w:szCs w:val="16"/>
        </w:rPr>
        <w:t xml:space="preserve">El </w:t>
      </w:r>
      <w:r w:rsidRPr="005E547A">
        <w:rPr>
          <w:rFonts w:ascii="Verdana" w:eastAsia="Times New Roman" w:hAnsi="Verdana" w:cs="Arial"/>
          <w:color w:val="000000" w:themeColor="text1"/>
          <w:sz w:val="16"/>
          <w:szCs w:val="16"/>
          <w:lang w:val="es-ES" w:eastAsia="es-ES_tradnl"/>
        </w:rPr>
        <w:t xml:space="preserve">numeral 6° del artículo 25 de la Ley 80 de 1993 dispone que: </w:t>
      </w:r>
      <w:r w:rsidRPr="005E547A">
        <w:rPr>
          <w:rFonts w:ascii="Verdana" w:hAnsi="Verdana" w:cs="Open Sans"/>
          <w:color w:val="000000" w:themeColor="text1"/>
          <w:sz w:val="16"/>
          <w:szCs w:val="16"/>
        </w:rPr>
        <w:t>Las entidades estatales abrirán licitaciones e iniciarán procesos de suscripción de contratos, cuando existan las respectivas partidas o disponibilidades presupuestales.</w:t>
      </w:r>
    </w:p>
    <w:p w14:paraId="5AA06FF9" w14:textId="77777777" w:rsidR="00E73E8C" w:rsidRPr="005E547A" w:rsidRDefault="00E73E8C" w:rsidP="00E73E8C">
      <w:pPr>
        <w:pStyle w:val="Textonotapie"/>
        <w:ind w:firstLine="709"/>
        <w:jc w:val="both"/>
        <w:rPr>
          <w:rFonts w:ascii="Verdana" w:hAnsi="Verdana" w:cs="Open Sans"/>
          <w:color w:val="000000" w:themeColor="text1"/>
          <w:sz w:val="16"/>
          <w:szCs w:val="16"/>
          <w:lang w:val="es-CO"/>
        </w:rPr>
      </w:pPr>
      <w:r w:rsidRPr="005E547A">
        <w:rPr>
          <w:rFonts w:ascii="Verdana" w:hAnsi="Verdana" w:cs="Open Sans"/>
          <w:color w:val="000000" w:themeColor="text1"/>
          <w:sz w:val="16"/>
          <w:szCs w:val="16"/>
        </w:rPr>
        <w:t xml:space="preserve">Así mismo, el artículo 41 de la Ley 80 de 1993 prescribe: </w:t>
      </w:r>
      <w:r w:rsidRPr="005E547A">
        <w:rPr>
          <w:rFonts w:ascii="Verdana" w:hAnsi="Verdana" w:cs="Open Sans"/>
          <w:color w:val="000000" w:themeColor="text1"/>
          <w:sz w:val="16"/>
          <w:szCs w:val="16"/>
          <w:lang w:val="es-CO"/>
        </w:rPr>
        <w:t>ARTICULO 41. DEL PERFECCIONAMIENTO DEL CONTRATO. Los contratos del Estado se perfeccionan cuando se logre acuerdo sobre el objeto y la contraprestación y éste se eleve a escrito. </w:t>
      </w:r>
    </w:p>
    <w:p w14:paraId="57F49A4B" w14:textId="77777777" w:rsidR="00E73E8C" w:rsidRPr="005E547A" w:rsidRDefault="00E73E8C" w:rsidP="00E73E8C">
      <w:pPr>
        <w:pStyle w:val="Textonotapie"/>
        <w:jc w:val="both"/>
        <w:rPr>
          <w:rFonts w:ascii="Verdana" w:hAnsi="Verdana"/>
          <w:color w:val="000000" w:themeColor="text1"/>
          <w:sz w:val="16"/>
          <w:szCs w:val="16"/>
          <w:lang w:val="es-CO"/>
        </w:rPr>
      </w:pPr>
      <w:r w:rsidRPr="005E547A">
        <w:rPr>
          <w:rFonts w:ascii="Verdana" w:hAnsi="Verdana" w:cs="Open Sans"/>
          <w:color w:val="000000" w:themeColor="text1"/>
          <w:sz w:val="16"/>
          <w:szCs w:val="16"/>
          <w:lang w:val="es-CO"/>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 </w:t>
      </w:r>
    </w:p>
  </w:footnote>
  <w:footnote w:id="19">
    <w:p w14:paraId="5DD00C3B" w14:textId="77777777" w:rsidR="00E73E8C" w:rsidRPr="005E547A" w:rsidRDefault="00E73E8C" w:rsidP="00E73E8C">
      <w:pPr>
        <w:pStyle w:val="Textonotapie"/>
        <w:ind w:firstLine="709"/>
        <w:jc w:val="both"/>
        <w:rPr>
          <w:rFonts w:ascii="Verdana" w:hAnsi="Verdana" w:cs="Arial"/>
          <w:color w:val="000000" w:themeColor="text1"/>
          <w:sz w:val="16"/>
          <w:szCs w:val="16"/>
          <w:lang w:val="es-CO" w:eastAsia="es-ES_tradnl"/>
        </w:rPr>
      </w:pPr>
      <w:r w:rsidRPr="005E547A">
        <w:rPr>
          <w:rStyle w:val="Refdenotaalpie"/>
          <w:rFonts w:ascii="Verdana" w:hAnsi="Verdana"/>
          <w:color w:val="000000" w:themeColor="text1"/>
          <w:sz w:val="16"/>
          <w:szCs w:val="16"/>
        </w:rPr>
        <w:footnoteRef/>
      </w:r>
      <w:r w:rsidRPr="005E547A">
        <w:rPr>
          <w:rFonts w:ascii="Verdana" w:hAnsi="Verdana"/>
          <w:color w:val="000000" w:themeColor="text1"/>
          <w:sz w:val="16"/>
          <w:szCs w:val="16"/>
        </w:rPr>
        <w:t xml:space="preserve"> El </w:t>
      </w:r>
      <w:r w:rsidRPr="005E547A">
        <w:rPr>
          <w:rFonts w:ascii="Verdana" w:eastAsia="Times New Roman" w:hAnsi="Verdana" w:cs="Arial"/>
          <w:color w:val="000000" w:themeColor="text1"/>
          <w:sz w:val="16"/>
          <w:szCs w:val="16"/>
          <w:lang w:val="es-ES" w:eastAsia="es-ES_tradnl"/>
        </w:rPr>
        <w:t>artículo 71 del Decreto 111 de 1996 –Estatuto Orgánico del Presupuesto- establece que: “</w:t>
      </w:r>
      <w:r w:rsidRPr="005E547A">
        <w:rPr>
          <w:rFonts w:ascii="Verdana" w:hAnsi="Verdana" w:cs="Arial"/>
          <w:color w:val="000000" w:themeColor="text1"/>
          <w:sz w:val="16"/>
          <w:szCs w:val="16"/>
          <w:lang w:val="es-CO" w:eastAsia="es-ES_tradnl"/>
        </w:rPr>
        <w:t>Todos los actos administrativos que afecten las apropiaciones presupuestales deberán contar con certificados de disponibilidad previos que garanticen la existencia de apropiación suficiente para atender estos gastos.</w:t>
      </w:r>
    </w:p>
    <w:p w14:paraId="11721D3C" w14:textId="77777777" w:rsidR="00E73E8C" w:rsidRPr="005E547A" w:rsidRDefault="00E73E8C" w:rsidP="00E73E8C">
      <w:pPr>
        <w:pStyle w:val="Textonotapie"/>
        <w:ind w:firstLine="709"/>
        <w:jc w:val="both"/>
        <w:rPr>
          <w:rFonts w:ascii="Verdana" w:eastAsia="Times New Roman" w:hAnsi="Verdana" w:cs="Arial"/>
          <w:color w:val="1A1A1A" w:themeColor="background1" w:themeShade="1A"/>
          <w:sz w:val="16"/>
          <w:szCs w:val="16"/>
          <w:lang w:val="es-CO" w:eastAsia="es-ES_tradnl"/>
        </w:rPr>
      </w:pPr>
      <w:r w:rsidRPr="005E547A">
        <w:rPr>
          <w:rFonts w:ascii="Verdana" w:eastAsia="Times New Roman" w:hAnsi="Verdana" w:cs="Arial"/>
          <w:color w:val="000000" w:themeColor="text1"/>
          <w:sz w:val="16"/>
          <w:szCs w:val="16"/>
          <w:lang w:val="es-CO" w:eastAsia="es-ES_tradnl"/>
        </w:rPr>
        <w:t xml:space="preserve">Igualmente, estos compromisos deberán contar con registro presupuestal para que los recursos con él financiados no sean desviados a ningún otro fin </w:t>
      </w:r>
      <w:r w:rsidRPr="005E547A">
        <w:rPr>
          <w:rFonts w:ascii="Verdana" w:eastAsia="Times New Roman" w:hAnsi="Verdana" w:cs="Arial"/>
          <w:color w:val="000000" w:themeColor="text1"/>
          <w:sz w:val="16"/>
          <w:szCs w:val="16"/>
          <w:lang w:val="es-ES" w:eastAsia="es-ES_tradnl"/>
        </w:rPr>
        <w:t>[…]</w:t>
      </w:r>
      <w:r w:rsidRPr="005E547A">
        <w:rPr>
          <w:rFonts w:ascii="Verdana" w:eastAsia="Times New Roman" w:hAnsi="Verdana" w:cs="Arial"/>
          <w:color w:val="000000" w:themeColor="text1"/>
          <w:sz w:val="16"/>
          <w:szCs w:val="16"/>
          <w:lang w:val="es-CO" w:eastAsia="es-ES_tradnl"/>
        </w:rPr>
        <w:t>”</w:t>
      </w:r>
      <w:r w:rsidRPr="005E547A">
        <w:rPr>
          <w:rFonts w:ascii="Verdana" w:eastAsia="Times New Roman" w:hAnsi="Verdana" w:cs="Arial"/>
          <w:color w:val="1A1A1A" w:themeColor="background1" w:themeShade="1A"/>
          <w:sz w:val="16"/>
          <w:szCs w:val="16"/>
          <w:lang w:val="es-CO" w:eastAsia="es-ES_tradnl"/>
        </w:rPr>
        <w:t>.</w:t>
      </w:r>
    </w:p>
  </w:footnote>
  <w:footnote w:id="20">
    <w:p w14:paraId="61D84C8E" w14:textId="77777777" w:rsidR="00E73E8C" w:rsidRPr="005E547A" w:rsidRDefault="00E73E8C" w:rsidP="00E73E8C">
      <w:pPr>
        <w:pStyle w:val="Textonotapie"/>
        <w:ind w:firstLine="708"/>
        <w:jc w:val="both"/>
        <w:rPr>
          <w:rFonts w:ascii="Verdana" w:hAnsi="Verdana"/>
          <w:sz w:val="16"/>
          <w:szCs w:val="16"/>
          <w:lang w:val="es-CO"/>
        </w:rPr>
      </w:pPr>
      <w:r w:rsidRPr="005E547A">
        <w:rPr>
          <w:rStyle w:val="Refdenotaalpie"/>
          <w:rFonts w:ascii="Verdana" w:hAnsi="Verdana"/>
          <w:sz w:val="16"/>
          <w:szCs w:val="16"/>
        </w:rPr>
        <w:footnoteRef/>
      </w:r>
      <w:r w:rsidRPr="005E547A">
        <w:rPr>
          <w:rFonts w:ascii="Verdana" w:hAnsi="Verdana"/>
          <w:sz w:val="16"/>
          <w:szCs w:val="16"/>
        </w:rPr>
        <w:t xml:space="preserve"> En este aspecto, el Consejo de Estado ha expresado: “El propósito de la disponibilidad presupuestal es garantizar que los recursos del Estado se administren con responsabilidad, en este caso evitando que los administradores públicos -como cualquier persona irresponsable-, asuman obligaciones sin capacidad de pago. De admitir ese comportamiento se abrirían licitaciones sin contar con recursos suficientes, dirigidos por la necesidad política o administrativa de hacer obras, recibir estudios o contar con servicios. Por actuar así, rápidamente se incumplen las obligaciones, y la mora produce financieramente un desastre económico para quien incurre en ella. Por estas razones pragmáticas la ley prohíbe “contratar con las ganas pero sin plata”, es decir, si lo que se quiere comprar se puede pagar la ley autoriza contratarlo; pero si no hay recursos hay que esperar a tenerlos para comprometer económicamente al Estado” (Consejo de Estado. Sala de lo Contencioso Administrativo. Sección Tercera. Subsección C. Sentencia del 12 de agosto de 2014. C.P. Enrique Gil Botero. Exp. 28.565). </w:t>
      </w:r>
    </w:p>
  </w:footnote>
  <w:footnote w:id="21">
    <w:p w14:paraId="41FDC18C" w14:textId="77777777" w:rsidR="00E73E8C" w:rsidRPr="005E547A" w:rsidRDefault="00E73E8C" w:rsidP="00E73E8C">
      <w:pPr>
        <w:spacing w:after="0" w:line="240" w:lineRule="auto"/>
        <w:ind w:firstLine="709"/>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Consulta y Servicio Civil.</w:t>
      </w:r>
      <w:r w:rsidRPr="005E547A">
        <w:rPr>
          <w:rFonts w:ascii="Verdana" w:hAnsi="Verdana"/>
          <w:i/>
          <w:iCs/>
          <w:sz w:val="16"/>
          <w:szCs w:val="16"/>
        </w:rPr>
        <w:t xml:space="preserve"> </w:t>
      </w:r>
      <w:r w:rsidRPr="005E547A">
        <w:rPr>
          <w:rFonts w:ascii="Verdana" w:hAnsi="Verdana"/>
          <w:sz w:val="16"/>
          <w:szCs w:val="16"/>
        </w:rPr>
        <w:t>C.P.: Óscar Daría Amaya Navas. Concepto del 06 de junio 2018. Radicación número: 2369.</w:t>
      </w:r>
    </w:p>
  </w:footnote>
  <w:footnote w:id="22">
    <w:p w14:paraId="3EF6E928" w14:textId="77777777" w:rsidR="00E73E8C" w:rsidRPr="005E547A" w:rsidRDefault="00E73E8C" w:rsidP="00E73E8C">
      <w:pPr>
        <w:pStyle w:val="Textonotapie"/>
        <w:ind w:firstLine="709"/>
        <w:jc w:val="both"/>
        <w:rPr>
          <w:rFonts w:ascii="Verdana" w:hAnsi="Verdana"/>
          <w:sz w:val="16"/>
          <w:szCs w:val="16"/>
          <w:lang w:val="es-CO"/>
        </w:rPr>
      </w:pPr>
      <w:r w:rsidRPr="005E547A">
        <w:rPr>
          <w:rStyle w:val="Refdenotaalpie"/>
          <w:rFonts w:ascii="Verdana" w:hAnsi="Verdana"/>
          <w:sz w:val="16"/>
          <w:szCs w:val="16"/>
        </w:rPr>
        <w:footnoteRef/>
      </w:r>
      <w:r w:rsidRPr="005E547A">
        <w:rPr>
          <w:rFonts w:ascii="Verdana" w:hAnsi="Verdana"/>
          <w:sz w:val="16"/>
          <w:szCs w:val="16"/>
        </w:rPr>
        <w:t xml:space="preserve"> </w:t>
      </w:r>
      <w:r w:rsidRPr="005E547A">
        <w:rPr>
          <w:rFonts w:ascii="Verdana" w:hAnsi="Verdana"/>
          <w:bCs/>
          <w:sz w:val="16"/>
          <w:szCs w:val="16"/>
          <w:lang w:val="es-CO"/>
        </w:rPr>
        <w:t>ARTICULO 11. DE LA COMPETENCIA PARA DIRIGIR LICITACIONES O CONCURSOS Y PARA CELEBRAR CONTRATOS ESTATALES. </w:t>
      </w:r>
      <w:r w:rsidRPr="005E547A">
        <w:rPr>
          <w:rFonts w:ascii="Verdana" w:hAnsi="Verdana"/>
          <w:sz w:val="16"/>
          <w:szCs w:val="16"/>
          <w:lang w:val="es-CO"/>
        </w:rPr>
        <w:t>En las entidades estatales a que se refiere el artículo 2o.: </w:t>
      </w:r>
    </w:p>
    <w:p w14:paraId="215B8072"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1o. La competencia para ordenar y dirigir la celebración de licitaciones o concursos y para escoger contratistas será del jefe o representante de la entidad, según el caso. </w:t>
      </w:r>
    </w:p>
    <w:p w14:paraId="4E5B51E1"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2o. Tiene competencia para celebrar contratos a nombre de la Nación, el Presidente de la República. </w:t>
      </w:r>
    </w:p>
    <w:p w14:paraId="206114FC"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3o. Tienen competencia para celebrar contratos a nombre de la entidad respectiva: </w:t>
      </w:r>
    </w:p>
    <w:p w14:paraId="476EBEC5"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a) Los ministros del despacho, los directores de departamentos administrativos, los superintendentes, los jefes de unidades administrativas especiales, el Presidente del Senado de la República, el Presidente de la Cámara de Representantes, los Presidentes de la Sala Administrativa del Consejo Superior de la Judicatura y de sus Consejos Seccionales, el Fiscal General de la Nación, el Contralor General de la República, el Procurador General de la Nación, y el Registrador Nacional del Estado Civil. </w:t>
      </w:r>
    </w:p>
    <w:p w14:paraId="7E996062"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b) A nivel territorial, los gobernadores de los departamentos, los alcaldes municipales y de los distritos capital y especiales, los contralores departamentales, distritales y municipales, y los representantes legales de las regiones, las provincias, las áreas metropolitanas, los territorios indígenas y las asociaciones de municipios, en los términos y condiciones de las normas legales que regulen la organización y el funcionamiento de dichas entidades. </w:t>
      </w:r>
    </w:p>
    <w:p w14:paraId="5D13811E"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c) Los representantes legales de las entidades descentralizadas en todos los órdenes y niveles. </w:t>
      </w:r>
      <w:bookmarkStart w:id="2" w:name="ver_30161404"/>
      <w:bookmarkStart w:id="3" w:name="ver_1790120"/>
      <w:bookmarkEnd w:id="2"/>
      <w:bookmarkEnd w:id="3"/>
    </w:p>
  </w:footnote>
  <w:footnote w:id="23">
    <w:p w14:paraId="504D3CEE" w14:textId="77777777" w:rsidR="00E73E8C" w:rsidRPr="005E547A" w:rsidRDefault="00E73E8C" w:rsidP="00E73E8C">
      <w:pPr>
        <w:pStyle w:val="Textonotapie"/>
        <w:ind w:firstLine="709"/>
        <w:jc w:val="both"/>
        <w:rPr>
          <w:rFonts w:ascii="Verdana" w:hAnsi="Verdana"/>
          <w:sz w:val="16"/>
          <w:szCs w:val="16"/>
          <w:lang w:val="es-CO"/>
        </w:rPr>
      </w:pPr>
      <w:r w:rsidRPr="005E547A">
        <w:rPr>
          <w:rStyle w:val="Refdenotaalpie"/>
          <w:rFonts w:ascii="Verdana" w:hAnsi="Verdana"/>
          <w:sz w:val="16"/>
          <w:szCs w:val="16"/>
        </w:rPr>
        <w:footnoteRef/>
      </w:r>
      <w:r w:rsidRPr="005E547A">
        <w:rPr>
          <w:rFonts w:ascii="Verdana" w:hAnsi="Verdana"/>
          <w:sz w:val="16"/>
          <w:szCs w:val="16"/>
        </w:rPr>
        <w:t xml:space="preserve"> </w:t>
      </w:r>
      <w:r w:rsidRPr="005E547A">
        <w:rPr>
          <w:rFonts w:ascii="Verdana" w:hAnsi="Verdana"/>
          <w:bCs/>
          <w:sz w:val="16"/>
          <w:szCs w:val="16"/>
          <w:lang w:val="es-CO"/>
        </w:rPr>
        <w:t>ARTICULO 12. DE LA DELEGACION PARA CONTRATAR.</w:t>
      </w:r>
      <w:r w:rsidRPr="005E547A">
        <w:rPr>
          <w:rFonts w:ascii="Verdana" w:hAnsi="Verdana"/>
          <w:sz w:val="16"/>
          <w:szCs w:val="16"/>
          <w:lang w:val="es-CO"/>
        </w:rPr>
        <w:t> Los jefes y los representantes legales de las entidades estatales podrán delegar total o parcialmente la competencia para celebrar contratos y desconcentrar la realización de licitaciones o concursos en los servidores públicos que desempeñen cargos del nivel directivo o ejecutivo o en sus equivalentes. </w:t>
      </w:r>
    </w:p>
    <w:p w14:paraId="3E2758EB" w14:textId="77777777" w:rsidR="00E73E8C" w:rsidRPr="005E547A" w:rsidRDefault="00E73E8C" w:rsidP="00E73E8C">
      <w:pPr>
        <w:pStyle w:val="Textonotapie"/>
        <w:ind w:firstLine="709"/>
        <w:jc w:val="both"/>
        <w:rPr>
          <w:rFonts w:ascii="Verdana" w:hAnsi="Verdana"/>
          <w:sz w:val="16"/>
          <w:szCs w:val="16"/>
          <w:lang w:val="es-CO"/>
        </w:rPr>
      </w:pPr>
      <w:r w:rsidRPr="005E547A">
        <w:rPr>
          <w:rFonts w:ascii="Verdana" w:hAnsi="Verdana"/>
          <w:sz w:val="16"/>
          <w:szCs w:val="16"/>
          <w:lang w:val="es-CO"/>
        </w:rPr>
        <w:t>En ningún caso, los jefes y representantes legales de las entidades estatales quedarán exonerados por virtud de la delegación de sus deberes de control y vigilancia de la actividad precontractual y contractual</w:t>
      </w:r>
      <w:r>
        <w:rPr>
          <w:rFonts w:ascii="Verdana" w:hAnsi="Verdana"/>
          <w:sz w:val="16"/>
          <w:szCs w:val="16"/>
          <w:lang w:val="es-CO"/>
        </w:rPr>
        <w:t xml:space="preserve"> […]</w:t>
      </w:r>
    </w:p>
  </w:footnote>
  <w:footnote w:id="24">
    <w:p w14:paraId="068AFCC7" w14:textId="77777777" w:rsidR="00E73E8C" w:rsidRPr="005E547A" w:rsidRDefault="00E73E8C" w:rsidP="00E73E8C">
      <w:pPr>
        <w:spacing w:after="0" w:line="240" w:lineRule="auto"/>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Consulta y Servicio Civil. C.P.: Óscar Daría Amaya Navas. Concepto del 6 de junio de 2018. Radicación número: 2369. </w:t>
      </w:r>
    </w:p>
  </w:footnote>
  <w:footnote w:id="25">
    <w:p w14:paraId="1D1003C2"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Ibidem. </w:t>
      </w:r>
    </w:p>
  </w:footnote>
  <w:footnote w:id="26">
    <w:p w14:paraId="0A6CFC6D"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FRANCO GUTIÉRREZ, Omar. La Contratación Administrativa. Quinta Ed. Bogotá. Leyer, 2010. Páginas 552-553.</w:t>
      </w:r>
    </w:p>
  </w:footnote>
  <w:footnote w:id="27">
    <w:p w14:paraId="121C9800" w14:textId="77777777" w:rsidR="00E73E8C" w:rsidRPr="005E547A" w:rsidRDefault="00E73E8C" w:rsidP="00E73E8C">
      <w:pPr>
        <w:spacing w:after="0" w:line="240" w:lineRule="auto"/>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Consejo de Estado. Sala de Consulta y del Servicio Civil. C.P: Óscar Daría Amaya Navas. Concepto del 06 de junio de2018. Radicación número: 2369</w:t>
      </w:r>
    </w:p>
  </w:footnote>
  <w:footnote w:id="28">
    <w:p w14:paraId="6DFFE687" w14:textId="77777777" w:rsidR="00E73E8C" w:rsidRPr="005E547A"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BENAVIDES, José Luis. Contratos Públicos. Estudios. Temas de Derecho Administrativo No. 5. Universidad Externado de Colombia. 2014.</w:t>
      </w:r>
    </w:p>
  </w:footnote>
  <w:footnote w:id="29">
    <w:p w14:paraId="0D3BC188" w14:textId="77777777" w:rsidR="00E73E8C" w:rsidRPr="00803210" w:rsidRDefault="00E73E8C" w:rsidP="00E73E8C">
      <w:pPr>
        <w:pStyle w:val="Textonotapie"/>
        <w:ind w:firstLine="708"/>
        <w:contextualSpacing/>
        <w:jc w:val="both"/>
        <w:rPr>
          <w:rFonts w:ascii="Verdana" w:hAnsi="Verdana"/>
          <w:sz w:val="16"/>
          <w:szCs w:val="16"/>
        </w:rPr>
      </w:pPr>
      <w:r w:rsidRPr="005E547A">
        <w:rPr>
          <w:rStyle w:val="Refdenotaalpie"/>
          <w:rFonts w:ascii="Verdana" w:hAnsi="Verdana"/>
          <w:sz w:val="16"/>
          <w:szCs w:val="16"/>
        </w:rPr>
        <w:footnoteRef/>
      </w:r>
      <w:r w:rsidRPr="005E547A">
        <w:rPr>
          <w:rFonts w:ascii="Verdana" w:hAnsi="Verdana"/>
          <w:sz w:val="16"/>
          <w:szCs w:val="16"/>
        </w:rPr>
        <w:t xml:space="preserve"> EXPOSITO Velez, Juan Carlos. La planeación y validez del contrato estatal. En: Contratos Públicos: Problemas, perspectivas y prospectivas. XVIII Jornadas Internacionales de Derecho Administrativo, Universidad Externado de Colombia. Agosto. 2017. </w:t>
      </w:r>
    </w:p>
  </w:footnote>
  <w:footnote w:id="30">
    <w:p w14:paraId="487C34E1" w14:textId="77777777" w:rsidR="00E73E8C" w:rsidRPr="00803210" w:rsidRDefault="00E73E8C" w:rsidP="00E73E8C">
      <w:pPr>
        <w:pStyle w:val="Textonotapie"/>
        <w:ind w:firstLine="708"/>
        <w:contextualSpacing/>
        <w:jc w:val="both"/>
        <w:rPr>
          <w:rFonts w:ascii="Verdana" w:hAnsi="Verdana"/>
          <w:sz w:val="16"/>
          <w:szCs w:val="16"/>
        </w:rPr>
      </w:pPr>
      <w:r w:rsidRPr="00803210">
        <w:rPr>
          <w:rStyle w:val="Refdenotaalpie"/>
          <w:rFonts w:ascii="Verdana" w:hAnsi="Verdana"/>
          <w:sz w:val="16"/>
          <w:szCs w:val="16"/>
        </w:rPr>
        <w:footnoteRef/>
      </w:r>
      <w:r w:rsidRPr="00803210">
        <w:rPr>
          <w:rFonts w:ascii="Verdana" w:hAnsi="Verdana"/>
          <w:sz w:val="16"/>
          <w:szCs w:val="16"/>
        </w:rPr>
        <w:t xml:space="preserve"> Ibidem.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736BA"/>
    <w:multiLevelType w:val="hybridMultilevel"/>
    <w:tmpl w:val="8B64E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07321D"/>
    <w:multiLevelType w:val="multilevel"/>
    <w:tmpl w:val="880A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E1691C"/>
    <w:multiLevelType w:val="hybridMultilevel"/>
    <w:tmpl w:val="E048A90C"/>
    <w:lvl w:ilvl="0" w:tplc="FFFFFFFF">
      <w:start w:val="1"/>
      <w:numFmt w:val="lowerRoman"/>
      <w:lvlText w:val="%1)"/>
      <w:lvlJc w:val="left"/>
      <w:pPr>
        <w:ind w:left="1429" w:hanging="72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59535900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6301168">
    <w:abstractNumId w:val="4"/>
  </w:num>
  <w:num w:numId="18" w16cid:durableId="20710620">
    <w:abstractNumId w:val="10"/>
  </w:num>
  <w:num w:numId="19" w16cid:durableId="1679652629">
    <w:abstractNumId w:val="11"/>
  </w:num>
  <w:num w:numId="20" w16cid:durableId="8957466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3E7"/>
    <w:rsid w:val="00003EF5"/>
    <w:rsid w:val="00014CE5"/>
    <w:rsid w:val="00016F78"/>
    <w:rsid w:val="00017E23"/>
    <w:rsid w:val="000444D0"/>
    <w:rsid w:val="00046945"/>
    <w:rsid w:val="000613B0"/>
    <w:rsid w:val="00061B2A"/>
    <w:rsid w:val="00082362"/>
    <w:rsid w:val="00084037"/>
    <w:rsid w:val="00093936"/>
    <w:rsid w:val="000A2947"/>
    <w:rsid w:val="000A683E"/>
    <w:rsid w:val="000B19B9"/>
    <w:rsid w:val="000C3669"/>
    <w:rsid w:val="000C6EB9"/>
    <w:rsid w:val="000D0334"/>
    <w:rsid w:val="000D45F2"/>
    <w:rsid w:val="000D5DA7"/>
    <w:rsid w:val="000D6452"/>
    <w:rsid w:val="000E0331"/>
    <w:rsid w:val="000E71FF"/>
    <w:rsid w:val="000F1F04"/>
    <w:rsid w:val="000F51A8"/>
    <w:rsid w:val="000F6486"/>
    <w:rsid w:val="001022DB"/>
    <w:rsid w:val="00114775"/>
    <w:rsid w:val="001167F7"/>
    <w:rsid w:val="00116940"/>
    <w:rsid w:val="00122A0A"/>
    <w:rsid w:val="00125105"/>
    <w:rsid w:val="00127233"/>
    <w:rsid w:val="001300D4"/>
    <w:rsid w:val="00134D87"/>
    <w:rsid w:val="0015699B"/>
    <w:rsid w:val="0015744B"/>
    <w:rsid w:val="0016090D"/>
    <w:rsid w:val="00170DA9"/>
    <w:rsid w:val="00182887"/>
    <w:rsid w:val="00187720"/>
    <w:rsid w:val="00192083"/>
    <w:rsid w:val="00196BF6"/>
    <w:rsid w:val="001A0698"/>
    <w:rsid w:val="001A33BF"/>
    <w:rsid w:val="001A4CC8"/>
    <w:rsid w:val="001A4E22"/>
    <w:rsid w:val="001C4E97"/>
    <w:rsid w:val="001D2B00"/>
    <w:rsid w:val="001D3C81"/>
    <w:rsid w:val="001E4177"/>
    <w:rsid w:val="001F0B24"/>
    <w:rsid w:val="001F7D13"/>
    <w:rsid w:val="001F7DC6"/>
    <w:rsid w:val="0020135C"/>
    <w:rsid w:val="0022400B"/>
    <w:rsid w:val="00237B9F"/>
    <w:rsid w:val="002421BB"/>
    <w:rsid w:val="0025796E"/>
    <w:rsid w:val="00264E31"/>
    <w:rsid w:val="002707A2"/>
    <w:rsid w:val="00281F88"/>
    <w:rsid w:val="00294CD8"/>
    <w:rsid w:val="002951A0"/>
    <w:rsid w:val="002962BC"/>
    <w:rsid w:val="002A093D"/>
    <w:rsid w:val="002A0DD0"/>
    <w:rsid w:val="002A26FA"/>
    <w:rsid w:val="002A2825"/>
    <w:rsid w:val="002A49AC"/>
    <w:rsid w:val="002A64FD"/>
    <w:rsid w:val="002B74BE"/>
    <w:rsid w:val="002C4AE0"/>
    <w:rsid w:val="002C7A84"/>
    <w:rsid w:val="002E2BF8"/>
    <w:rsid w:val="002E4FD9"/>
    <w:rsid w:val="002E680D"/>
    <w:rsid w:val="002E7F06"/>
    <w:rsid w:val="002F0873"/>
    <w:rsid w:val="002F5F6B"/>
    <w:rsid w:val="0030031B"/>
    <w:rsid w:val="0030657A"/>
    <w:rsid w:val="003074E7"/>
    <w:rsid w:val="00310417"/>
    <w:rsid w:val="00313729"/>
    <w:rsid w:val="00322A85"/>
    <w:rsid w:val="00324168"/>
    <w:rsid w:val="00326B7F"/>
    <w:rsid w:val="00330834"/>
    <w:rsid w:val="00342262"/>
    <w:rsid w:val="003448F4"/>
    <w:rsid w:val="00344F1C"/>
    <w:rsid w:val="00373D9F"/>
    <w:rsid w:val="00374F5E"/>
    <w:rsid w:val="00377E3E"/>
    <w:rsid w:val="00382901"/>
    <w:rsid w:val="00383A39"/>
    <w:rsid w:val="00395097"/>
    <w:rsid w:val="003A4A9F"/>
    <w:rsid w:val="003A779E"/>
    <w:rsid w:val="003A7F15"/>
    <w:rsid w:val="003B38A2"/>
    <w:rsid w:val="003B4B39"/>
    <w:rsid w:val="003C380A"/>
    <w:rsid w:val="003C5341"/>
    <w:rsid w:val="003D0F4D"/>
    <w:rsid w:val="003D5B0D"/>
    <w:rsid w:val="003E0499"/>
    <w:rsid w:val="003E42D9"/>
    <w:rsid w:val="003E4F80"/>
    <w:rsid w:val="003E6439"/>
    <w:rsid w:val="003E6F7B"/>
    <w:rsid w:val="003F3941"/>
    <w:rsid w:val="003F6102"/>
    <w:rsid w:val="00406575"/>
    <w:rsid w:val="00414C74"/>
    <w:rsid w:val="00417246"/>
    <w:rsid w:val="0042722E"/>
    <w:rsid w:val="00433729"/>
    <w:rsid w:val="004353D4"/>
    <w:rsid w:val="00444F4B"/>
    <w:rsid w:val="0044528D"/>
    <w:rsid w:val="00445BFB"/>
    <w:rsid w:val="00450868"/>
    <w:rsid w:val="004533BE"/>
    <w:rsid w:val="004614C6"/>
    <w:rsid w:val="00466E39"/>
    <w:rsid w:val="00490758"/>
    <w:rsid w:val="00491367"/>
    <w:rsid w:val="004914BB"/>
    <w:rsid w:val="00495EB6"/>
    <w:rsid w:val="004A1847"/>
    <w:rsid w:val="004A305D"/>
    <w:rsid w:val="004A3BBD"/>
    <w:rsid w:val="004B42F5"/>
    <w:rsid w:val="004B440B"/>
    <w:rsid w:val="004B6BA7"/>
    <w:rsid w:val="004C34D2"/>
    <w:rsid w:val="004D76FA"/>
    <w:rsid w:val="004F21C4"/>
    <w:rsid w:val="004F671E"/>
    <w:rsid w:val="004F685F"/>
    <w:rsid w:val="00517E82"/>
    <w:rsid w:val="0052579F"/>
    <w:rsid w:val="00527A72"/>
    <w:rsid w:val="005433F7"/>
    <w:rsid w:val="00554BF9"/>
    <w:rsid w:val="005566E8"/>
    <w:rsid w:val="00574867"/>
    <w:rsid w:val="00581C14"/>
    <w:rsid w:val="00581D73"/>
    <w:rsid w:val="00591460"/>
    <w:rsid w:val="00591848"/>
    <w:rsid w:val="005A64E2"/>
    <w:rsid w:val="005A65E0"/>
    <w:rsid w:val="005A7490"/>
    <w:rsid w:val="005B1661"/>
    <w:rsid w:val="005C3777"/>
    <w:rsid w:val="005C48CB"/>
    <w:rsid w:val="005C5CDC"/>
    <w:rsid w:val="005D0028"/>
    <w:rsid w:val="005D476C"/>
    <w:rsid w:val="005F4C88"/>
    <w:rsid w:val="00606999"/>
    <w:rsid w:val="0061366B"/>
    <w:rsid w:val="006178B1"/>
    <w:rsid w:val="006200BF"/>
    <w:rsid w:val="006219F8"/>
    <w:rsid w:val="006302F7"/>
    <w:rsid w:val="00646B9F"/>
    <w:rsid w:val="00665D70"/>
    <w:rsid w:val="00667F4F"/>
    <w:rsid w:val="0067690F"/>
    <w:rsid w:val="006800DD"/>
    <w:rsid w:val="00683944"/>
    <w:rsid w:val="006866E7"/>
    <w:rsid w:val="006900D9"/>
    <w:rsid w:val="006921BC"/>
    <w:rsid w:val="006932D7"/>
    <w:rsid w:val="006961B1"/>
    <w:rsid w:val="00696AB5"/>
    <w:rsid w:val="006A078A"/>
    <w:rsid w:val="006A21CB"/>
    <w:rsid w:val="006B0F30"/>
    <w:rsid w:val="006B7C99"/>
    <w:rsid w:val="006C0C93"/>
    <w:rsid w:val="006C15DC"/>
    <w:rsid w:val="006D4464"/>
    <w:rsid w:val="006E0EB8"/>
    <w:rsid w:val="006E49B2"/>
    <w:rsid w:val="006F1487"/>
    <w:rsid w:val="006F25A2"/>
    <w:rsid w:val="0070425B"/>
    <w:rsid w:val="00706C16"/>
    <w:rsid w:val="007148EE"/>
    <w:rsid w:val="00714E8D"/>
    <w:rsid w:val="00720C7B"/>
    <w:rsid w:val="00721E69"/>
    <w:rsid w:val="007340C3"/>
    <w:rsid w:val="00736615"/>
    <w:rsid w:val="00747773"/>
    <w:rsid w:val="0075235A"/>
    <w:rsid w:val="00756841"/>
    <w:rsid w:val="007649AB"/>
    <w:rsid w:val="00771D0C"/>
    <w:rsid w:val="007833AC"/>
    <w:rsid w:val="007B268C"/>
    <w:rsid w:val="007B4E94"/>
    <w:rsid w:val="007B7171"/>
    <w:rsid w:val="007B7BFF"/>
    <w:rsid w:val="007C0C0F"/>
    <w:rsid w:val="007C3DC2"/>
    <w:rsid w:val="007D3C26"/>
    <w:rsid w:val="007E5497"/>
    <w:rsid w:val="007F6CE0"/>
    <w:rsid w:val="00806F5F"/>
    <w:rsid w:val="00813563"/>
    <w:rsid w:val="00813A63"/>
    <w:rsid w:val="00820278"/>
    <w:rsid w:val="008207FE"/>
    <w:rsid w:val="008258C9"/>
    <w:rsid w:val="00844AE9"/>
    <w:rsid w:val="00852240"/>
    <w:rsid w:val="008620DD"/>
    <w:rsid w:val="00864E09"/>
    <w:rsid w:val="00865D21"/>
    <w:rsid w:val="00867F95"/>
    <w:rsid w:val="00871DF8"/>
    <w:rsid w:val="008843B6"/>
    <w:rsid w:val="00891928"/>
    <w:rsid w:val="008A446D"/>
    <w:rsid w:val="008B0A88"/>
    <w:rsid w:val="008B25F1"/>
    <w:rsid w:val="008C1FCD"/>
    <w:rsid w:val="008C46CF"/>
    <w:rsid w:val="008C4848"/>
    <w:rsid w:val="008D180B"/>
    <w:rsid w:val="008D233F"/>
    <w:rsid w:val="008D2D86"/>
    <w:rsid w:val="008D3F30"/>
    <w:rsid w:val="008D68BF"/>
    <w:rsid w:val="008E4E07"/>
    <w:rsid w:val="008F0EA7"/>
    <w:rsid w:val="008F0EDB"/>
    <w:rsid w:val="008F5672"/>
    <w:rsid w:val="009202B7"/>
    <w:rsid w:val="00923EEF"/>
    <w:rsid w:val="009247CA"/>
    <w:rsid w:val="009419F9"/>
    <w:rsid w:val="00943E51"/>
    <w:rsid w:val="009469AA"/>
    <w:rsid w:val="009506A9"/>
    <w:rsid w:val="009525CA"/>
    <w:rsid w:val="0095685E"/>
    <w:rsid w:val="009612EB"/>
    <w:rsid w:val="00961B09"/>
    <w:rsid w:val="00965334"/>
    <w:rsid w:val="0097093E"/>
    <w:rsid w:val="00982782"/>
    <w:rsid w:val="009947E3"/>
    <w:rsid w:val="009A08ED"/>
    <w:rsid w:val="009A0DFA"/>
    <w:rsid w:val="009A1C6F"/>
    <w:rsid w:val="009A3C38"/>
    <w:rsid w:val="009A55FE"/>
    <w:rsid w:val="009B2D26"/>
    <w:rsid w:val="009B6CC5"/>
    <w:rsid w:val="009C181C"/>
    <w:rsid w:val="009C71FA"/>
    <w:rsid w:val="009C72E7"/>
    <w:rsid w:val="009C7F7E"/>
    <w:rsid w:val="009D0542"/>
    <w:rsid w:val="009D3058"/>
    <w:rsid w:val="009D4C6B"/>
    <w:rsid w:val="009D5AFD"/>
    <w:rsid w:val="009F3A13"/>
    <w:rsid w:val="00A0522A"/>
    <w:rsid w:val="00A11058"/>
    <w:rsid w:val="00A122D3"/>
    <w:rsid w:val="00A14468"/>
    <w:rsid w:val="00A17F13"/>
    <w:rsid w:val="00A20739"/>
    <w:rsid w:val="00A230CE"/>
    <w:rsid w:val="00A23AF9"/>
    <w:rsid w:val="00A256AB"/>
    <w:rsid w:val="00A27392"/>
    <w:rsid w:val="00A30A42"/>
    <w:rsid w:val="00A31940"/>
    <w:rsid w:val="00A33C78"/>
    <w:rsid w:val="00A35B29"/>
    <w:rsid w:val="00A40242"/>
    <w:rsid w:val="00A40FE7"/>
    <w:rsid w:val="00A42FF4"/>
    <w:rsid w:val="00A4398C"/>
    <w:rsid w:val="00A5609B"/>
    <w:rsid w:val="00A568B1"/>
    <w:rsid w:val="00A60632"/>
    <w:rsid w:val="00A61C40"/>
    <w:rsid w:val="00A70D66"/>
    <w:rsid w:val="00A726DA"/>
    <w:rsid w:val="00A80A0E"/>
    <w:rsid w:val="00AA3AE2"/>
    <w:rsid w:val="00AB0ADB"/>
    <w:rsid w:val="00AC2A7E"/>
    <w:rsid w:val="00AC5470"/>
    <w:rsid w:val="00AC5922"/>
    <w:rsid w:val="00AE7106"/>
    <w:rsid w:val="00AE7489"/>
    <w:rsid w:val="00AF51D4"/>
    <w:rsid w:val="00B0027A"/>
    <w:rsid w:val="00B00C0E"/>
    <w:rsid w:val="00B01B1A"/>
    <w:rsid w:val="00B0381D"/>
    <w:rsid w:val="00B05588"/>
    <w:rsid w:val="00B245DF"/>
    <w:rsid w:val="00B266D6"/>
    <w:rsid w:val="00B44A47"/>
    <w:rsid w:val="00B62B32"/>
    <w:rsid w:val="00B72393"/>
    <w:rsid w:val="00B72CD3"/>
    <w:rsid w:val="00B72FFF"/>
    <w:rsid w:val="00B759F6"/>
    <w:rsid w:val="00B77406"/>
    <w:rsid w:val="00BA042F"/>
    <w:rsid w:val="00BA4D31"/>
    <w:rsid w:val="00BC2B88"/>
    <w:rsid w:val="00BC3D36"/>
    <w:rsid w:val="00BC44C3"/>
    <w:rsid w:val="00BD5311"/>
    <w:rsid w:val="00BD54A6"/>
    <w:rsid w:val="00BD7F72"/>
    <w:rsid w:val="00BE3D81"/>
    <w:rsid w:val="00BF4C1F"/>
    <w:rsid w:val="00BF7425"/>
    <w:rsid w:val="00C01ED1"/>
    <w:rsid w:val="00C04FB3"/>
    <w:rsid w:val="00C11D8B"/>
    <w:rsid w:val="00C1477A"/>
    <w:rsid w:val="00C15139"/>
    <w:rsid w:val="00C17FA6"/>
    <w:rsid w:val="00C23CB6"/>
    <w:rsid w:val="00C32902"/>
    <w:rsid w:val="00C330EB"/>
    <w:rsid w:val="00C41251"/>
    <w:rsid w:val="00C50D69"/>
    <w:rsid w:val="00C5365C"/>
    <w:rsid w:val="00C53AAF"/>
    <w:rsid w:val="00C57EA8"/>
    <w:rsid w:val="00C63CCE"/>
    <w:rsid w:val="00C725B6"/>
    <w:rsid w:val="00C72D40"/>
    <w:rsid w:val="00C754BE"/>
    <w:rsid w:val="00C764B7"/>
    <w:rsid w:val="00C76B1C"/>
    <w:rsid w:val="00C76CE9"/>
    <w:rsid w:val="00C80119"/>
    <w:rsid w:val="00C86AF7"/>
    <w:rsid w:val="00C925AC"/>
    <w:rsid w:val="00C969F6"/>
    <w:rsid w:val="00CB5F1A"/>
    <w:rsid w:val="00CB6357"/>
    <w:rsid w:val="00CC106A"/>
    <w:rsid w:val="00CC1B26"/>
    <w:rsid w:val="00CC3B37"/>
    <w:rsid w:val="00D0232A"/>
    <w:rsid w:val="00D16C38"/>
    <w:rsid w:val="00D24A35"/>
    <w:rsid w:val="00D34E73"/>
    <w:rsid w:val="00D361FD"/>
    <w:rsid w:val="00D41132"/>
    <w:rsid w:val="00D423A2"/>
    <w:rsid w:val="00D431EC"/>
    <w:rsid w:val="00D44E26"/>
    <w:rsid w:val="00D520D8"/>
    <w:rsid w:val="00D628F7"/>
    <w:rsid w:val="00D63AC2"/>
    <w:rsid w:val="00D7383B"/>
    <w:rsid w:val="00D7788A"/>
    <w:rsid w:val="00D870DB"/>
    <w:rsid w:val="00D93D74"/>
    <w:rsid w:val="00DA231B"/>
    <w:rsid w:val="00DA5A44"/>
    <w:rsid w:val="00DA61E0"/>
    <w:rsid w:val="00DC26B3"/>
    <w:rsid w:val="00DC39FC"/>
    <w:rsid w:val="00DD2960"/>
    <w:rsid w:val="00DE6B08"/>
    <w:rsid w:val="00DF4744"/>
    <w:rsid w:val="00DF5254"/>
    <w:rsid w:val="00E015EE"/>
    <w:rsid w:val="00E02524"/>
    <w:rsid w:val="00E11575"/>
    <w:rsid w:val="00E14D66"/>
    <w:rsid w:val="00E16408"/>
    <w:rsid w:val="00E20894"/>
    <w:rsid w:val="00E245AB"/>
    <w:rsid w:val="00E2764C"/>
    <w:rsid w:val="00E27F2E"/>
    <w:rsid w:val="00E4054F"/>
    <w:rsid w:val="00E43816"/>
    <w:rsid w:val="00E50AFE"/>
    <w:rsid w:val="00E539B7"/>
    <w:rsid w:val="00E60154"/>
    <w:rsid w:val="00E7004D"/>
    <w:rsid w:val="00E73E8C"/>
    <w:rsid w:val="00E75C92"/>
    <w:rsid w:val="00E76C53"/>
    <w:rsid w:val="00E771DC"/>
    <w:rsid w:val="00E771DF"/>
    <w:rsid w:val="00E8772A"/>
    <w:rsid w:val="00E87D3B"/>
    <w:rsid w:val="00E90F6B"/>
    <w:rsid w:val="00E92C27"/>
    <w:rsid w:val="00EA0E3D"/>
    <w:rsid w:val="00EA159F"/>
    <w:rsid w:val="00EA5B51"/>
    <w:rsid w:val="00EC38A7"/>
    <w:rsid w:val="00EC4068"/>
    <w:rsid w:val="00ED03B7"/>
    <w:rsid w:val="00ED4C52"/>
    <w:rsid w:val="00ED7B37"/>
    <w:rsid w:val="00EE10F3"/>
    <w:rsid w:val="00EE1AA8"/>
    <w:rsid w:val="00EE7F71"/>
    <w:rsid w:val="00F02ADD"/>
    <w:rsid w:val="00F20193"/>
    <w:rsid w:val="00F23FEA"/>
    <w:rsid w:val="00F31EDC"/>
    <w:rsid w:val="00F34248"/>
    <w:rsid w:val="00F462B3"/>
    <w:rsid w:val="00F5664F"/>
    <w:rsid w:val="00F56BF9"/>
    <w:rsid w:val="00F64CEA"/>
    <w:rsid w:val="00F666C4"/>
    <w:rsid w:val="00F66795"/>
    <w:rsid w:val="00F72FB5"/>
    <w:rsid w:val="00F74111"/>
    <w:rsid w:val="00F76AFC"/>
    <w:rsid w:val="00F82D35"/>
    <w:rsid w:val="00F95CAE"/>
    <w:rsid w:val="00FA290C"/>
    <w:rsid w:val="00FA47C0"/>
    <w:rsid w:val="00FB275B"/>
    <w:rsid w:val="00FB5DD1"/>
    <w:rsid w:val="00FB60DD"/>
    <w:rsid w:val="00FC2B5D"/>
    <w:rsid w:val="00FC3ADE"/>
    <w:rsid w:val="00FD2F84"/>
    <w:rsid w:val="00FE463E"/>
    <w:rsid w:val="00FF1449"/>
    <w:rsid w:val="00FF31A3"/>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50F90D6-54A6-415A-9E31-9B0154B8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A61E0"/>
    <w:pPr>
      <w:spacing w:line="240" w:lineRule="exact"/>
    </w:pPr>
    <w:rPr>
      <w:vertAlign w:val="superscript"/>
    </w:rPr>
  </w:style>
  <w:style w:type="table" w:customStyle="1" w:styleId="Tablaconcuadrcula2">
    <w:name w:val="Tabla con cuadrícula2"/>
    <w:basedOn w:val="Tablanormal"/>
    <w:uiPriority w:val="39"/>
    <w:qFormat/>
    <w:rsid w:val="00DA61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qFormat/>
    <w:rsid w:val="00DA61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next w:val="Sinespaciado"/>
    <w:uiPriority w:val="1"/>
    <w:qFormat/>
    <w:rsid w:val="000444D0"/>
    <w:pPr>
      <w:spacing w:after="0" w:line="240" w:lineRule="auto"/>
    </w:pPr>
    <w:rPr>
      <w:kern w:val="2"/>
      <w:sz w:val="24"/>
      <w:szCs w:val="24"/>
      <w14:ligatures w14:val="standardContextual"/>
    </w:rPr>
  </w:style>
  <w:style w:type="paragraph" w:styleId="Sinespaciado">
    <w:name w:val="No Spacing"/>
    <w:uiPriority w:val="1"/>
    <w:qFormat/>
    <w:rsid w:val="000444D0"/>
    <w:pPr>
      <w:spacing w:after="0" w:line="240" w:lineRule="auto"/>
    </w:pPr>
  </w:style>
  <w:style w:type="character" w:styleId="Fuerte">
    <w:name w:val="Strong"/>
    <w:basedOn w:val="Fuentedeprrafopredeter"/>
    <w:uiPriority w:val="22"/>
    <w:qFormat/>
    <w:rsid w:val="00C329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conoce-la-relatoria"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hector.patino@aerocivil.gov.co"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C7238137-FCA7-4E10-9EB2-B4A059C75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1D365623-6D62-4EF9-A73F-475DE954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10601</Words>
  <Characters>58311</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23</cp:revision>
  <cp:lastPrinted>2023-01-11T06:18:00Z</cp:lastPrinted>
  <dcterms:created xsi:type="dcterms:W3CDTF">2026-07-15T19:20:00Z</dcterms:created>
  <dcterms:modified xsi:type="dcterms:W3CDTF">2026-07-16T21:21:00Z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