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7C44A" w14:textId="77777777" w:rsidR="00487D2D" w:rsidRPr="007810AE" w:rsidRDefault="00487D2D" w:rsidP="00451A0E">
      <w:pPr>
        <w:spacing w:after="0" w:line="240" w:lineRule="auto"/>
        <w:jc w:val="both"/>
        <w:rPr>
          <w:rFonts w:ascii="Verdana" w:eastAsia="Verdana" w:hAnsi="Verdana" w:cs="Verdana"/>
          <w:b/>
          <w:bCs/>
          <w:lang w:val="es-ES_tradnl"/>
        </w:rPr>
      </w:pPr>
      <w:bookmarkStart w:id="0" w:name="_Hlk143780582"/>
      <w:r w:rsidRPr="007810AE">
        <w:rPr>
          <w:rFonts w:ascii="Verdana" w:eastAsia="Verdana" w:hAnsi="Verdana" w:cs="Verdana"/>
          <w:b/>
          <w:bCs/>
          <w:lang w:val="es-ES_tradnl"/>
        </w:rPr>
        <w:t>PRECIO – Elemento – Contrato Estatal</w:t>
      </w:r>
    </w:p>
    <w:p w14:paraId="26FE8D4B" w14:textId="77777777" w:rsidR="00487D2D" w:rsidRPr="007810AE" w:rsidRDefault="00487D2D" w:rsidP="00451A0E">
      <w:pPr>
        <w:spacing w:after="0" w:line="240" w:lineRule="auto"/>
        <w:jc w:val="both"/>
        <w:rPr>
          <w:rFonts w:ascii="Verdana" w:eastAsia="Verdana" w:hAnsi="Verdana" w:cs="Verdana"/>
          <w:b/>
          <w:bCs/>
          <w:lang w:val="es-ES_tradnl"/>
        </w:rPr>
      </w:pPr>
    </w:p>
    <w:p w14:paraId="6FACC36F" w14:textId="77777777" w:rsidR="00F23E1F" w:rsidRPr="00F23E1F" w:rsidRDefault="00F23E1F" w:rsidP="00451A0E">
      <w:pPr>
        <w:spacing w:after="0" w:line="240" w:lineRule="auto"/>
        <w:jc w:val="both"/>
        <w:rPr>
          <w:rFonts w:ascii="Verdana" w:eastAsia="Verdana" w:hAnsi="Verdana" w:cs="Verdana"/>
          <w:sz w:val="20"/>
          <w:szCs w:val="20"/>
          <w:lang w:val="es-ES_tradnl"/>
        </w:rPr>
      </w:pPr>
      <w:r w:rsidRPr="00F23E1F">
        <w:rPr>
          <w:rFonts w:ascii="Verdana" w:eastAsia="Verdana" w:hAnsi="Verdana" w:cs="Verdana"/>
          <w:sz w:val="20"/>
          <w:szCs w:val="20"/>
          <w:lang w:val="es-ES_tradnl"/>
        </w:rPr>
        <w:t xml:space="preserve">Como es sabido, uno de los elementos más comunes en los contratos estatales es el precio, también conocido como valor. Aunque no todo contrato lo incluye –pues también existen negocios gratuitos– lo usual es que los contratos estatales se perfeccionen como onerosos y, la mayoría de las veces, como conmutativos. </w:t>
      </w:r>
      <w:r w:rsidRPr="00F23E1F">
        <w:rPr>
          <w:rFonts w:ascii="Verdana" w:eastAsia="Verdana" w:hAnsi="Verdana" w:cs="Verdana"/>
          <w:sz w:val="20"/>
          <w:szCs w:val="20"/>
        </w:rPr>
        <w:t>Adicionalmente, el precio suele constituir el factor de mayor relevancia para el contratista, en tanto representa la remuneración que la entidad contratante le reconocerá por la ejecución del contrato estatal.</w:t>
      </w:r>
    </w:p>
    <w:p w14:paraId="419E16CA" w14:textId="77777777" w:rsidR="00487D2D" w:rsidRPr="007810AE" w:rsidRDefault="00487D2D" w:rsidP="00451A0E">
      <w:pPr>
        <w:spacing w:after="0" w:line="240" w:lineRule="auto"/>
        <w:jc w:val="both"/>
        <w:rPr>
          <w:rFonts w:ascii="Verdana" w:eastAsia="Verdana" w:hAnsi="Verdana" w:cs="Verdana"/>
          <w:b/>
          <w:bCs/>
          <w:lang w:val="es-ES_tradnl"/>
        </w:rPr>
      </w:pPr>
    </w:p>
    <w:p w14:paraId="5DF6251F" w14:textId="77777777" w:rsidR="00487D2D" w:rsidRPr="007810AE" w:rsidRDefault="00487D2D" w:rsidP="00451A0E">
      <w:pPr>
        <w:spacing w:after="0" w:line="240" w:lineRule="auto"/>
        <w:jc w:val="both"/>
        <w:rPr>
          <w:rFonts w:ascii="Verdana" w:eastAsia="Verdana" w:hAnsi="Verdana" w:cs="Verdana"/>
          <w:b/>
          <w:bCs/>
          <w:lang w:val="es-ES"/>
        </w:rPr>
      </w:pPr>
      <w:r w:rsidRPr="007810AE">
        <w:rPr>
          <w:rFonts w:ascii="Verdana" w:eastAsia="Verdana" w:hAnsi="Verdana" w:cs="Verdana"/>
          <w:b/>
          <w:bCs/>
          <w:lang w:val="es-ES"/>
        </w:rPr>
        <w:t>PRECIOS UNITARIOS – Estructuración del precio – Cantidades de obra</w:t>
      </w:r>
    </w:p>
    <w:p w14:paraId="279FBBAA" w14:textId="77777777" w:rsidR="00487D2D" w:rsidRPr="007810AE" w:rsidRDefault="00487D2D" w:rsidP="00451A0E">
      <w:pPr>
        <w:spacing w:after="0" w:line="240" w:lineRule="auto"/>
        <w:jc w:val="both"/>
        <w:rPr>
          <w:rFonts w:ascii="Verdana" w:eastAsia="Verdana" w:hAnsi="Verdana" w:cs="Verdana"/>
          <w:b/>
          <w:bCs/>
          <w:lang w:val="es-ES"/>
        </w:rPr>
      </w:pPr>
    </w:p>
    <w:p w14:paraId="39BB60C1" w14:textId="7961BC5B" w:rsidR="00506B6E" w:rsidRDefault="00506B6E" w:rsidP="00451A0E">
      <w:pPr>
        <w:spacing w:after="0" w:line="240" w:lineRule="auto"/>
        <w:jc w:val="both"/>
        <w:rPr>
          <w:rFonts w:ascii="Verdana" w:eastAsia="Verdana" w:hAnsi="Verdana" w:cs="Verdana"/>
          <w:sz w:val="20"/>
          <w:szCs w:val="20"/>
          <w:lang w:val="es-ES"/>
        </w:rPr>
      </w:pPr>
      <w:r w:rsidRPr="00261E3C">
        <w:rPr>
          <w:rFonts w:ascii="Verdana" w:eastAsia="Verdana" w:hAnsi="Verdana" w:cs="Verdana"/>
          <w:sz w:val="20"/>
          <w:szCs w:val="20"/>
          <w:lang w:val="es-ES"/>
        </w:rPr>
        <w:t>En esta modalidad se establecen unas estimaciones de cantidades de obra, según los estudios y diseños, los estudios previos y unos precios unitarios de los respectivos ítems de obra. Al respecto, la jurisprudencia de la Sección Tercera del Consejo de Estado ha explicado que, en los contratos pactados mediante precios unitarios, ante la imposibilidad de establecer con exactitud los montos totales que resultarán de realizar la obra contratada, la entidad aproxima un cálculo estimado de la cantidad o unidades de obra que se requerirá ejecutar previo a la ejecución del negocio jurídico, es decir, en los pliegos de condiciones o documento equivalente y en el contrato. Esto, con el propósito de que el proponente establezca en su propuesta unos valores unitarios respecto de cada unidad de obra prevista por la entidad contratante.</w:t>
      </w:r>
    </w:p>
    <w:p w14:paraId="1FDDE1EB" w14:textId="77777777" w:rsidR="00261E3C" w:rsidRPr="00261E3C" w:rsidRDefault="00261E3C" w:rsidP="00451A0E">
      <w:pPr>
        <w:spacing w:after="0" w:line="240" w:lineRule="auto"/>
        <w:jc w:val="both"/>
        <w:rPr>
          <w:rFonts w:ascii="Verdana" w:eastAsia="Verdana" w:hAnsi="Verdana" w:cs="Verdana"/>
          <w:sz w:val="20"/>
          <w:szCs w:val="20"/>
          <w:lang w:val="es-ES"/>
        </w:rPr>
      </w:pPr>
    </w:p>
    <w:p w14:paraId="647BA2F4" w14:textId="77777777" w:rsidR="00506B6E" w:rsidRDefault="00506B6E" w:rsidP="00451A0E">
      <w:pPr>
        <w:spacing w:after="0" w:line="240" w:lineRule="auto"/>
        <w:jc w:val="both"/>
        <w:rPr>
          <w:rFonts w:ascii="Verdana" w:eastAsia="Verdana" w:hAnsi="Verdana" w:cs="Verdana"/>
          <w:sz w:val="20"/>
          <w:szCs w:val="20"/>
        </w:rPr>
      </w:pPr>
      <w:r w:rsidRPr="00261E3C">
        <w:rPr>
          <w:rFonts w:ascii="Verdana" w:eastAsia="Verdana" w:hAnsi="Verdana" w:cs="Verdana"/>
          <w:sz w:val="20"/>
          <w:szCs w:val="20"/>
        </w:rPr>
        <w:t>En consecuencia, debe distinguirse entre el valor estimado del contrato y el valor real o ejecutado, determinado este último por las mayores o menores cantidades de obra que el contratista efectivamente ejecute para cumplir el objeto pactado. En los contratos de obra pública con pago a precios unitarios, el valor contractual definitivo corresponde al resultado de multiplicar las cantidades de obra realmente ejecutadas por los precios unitarios establecidos en el contrato. No obstante, para la celebración de este tipo de contratos se requiere expresar un valor estimado inicial, calculado a partir de las cantidades de obra previstas y los precios unitarios que sirvieron de base para la adjudicación. Este valor tiene un carácter meramente referencial y operativo, pues el monto final del contrato solo se determina con la ejecución real y la correspondiente liquidación de las cantidades de obra.</w:t>
      </w:r>
    </w:p>
    <w:p w14:paraId="363F803D" w14:textId="4363E94E" w:rsidR="00487D2D" w:rsidRPr="00261E3C" w:rsidRDefault="00487D2D" w:rsidP="00451A0E">
      <w:pPr>
        <w:spacing w:after="0" w:line="240" w:lineRule="auto"/>
        <w:jc w:val="both"/>
        <w:rPr>
          <w:rFonts w:ascii="Verdana" w:eastAsia="Verdana" w:hAnsi="Verdana" w:cs="Verdana"/>
          <w:sz w:val="20"/>
          <w:szCs w:val="20"/>
        </w:rPr>
      </w:pPr>
    </w:p>
    <w:p w14:paraId="656950D8" w14:textId="77777777" w:rsidR="00487D2D" w:rsidRPr="007810AE" w:rsidRDefault="00487D2D" w:rsidP="00451A0E">
      <w:pPr>
        <w:spacing w:after="0" w:line="240" w:lineRule="auto"/>
        <w:jc w:val="both"/>
        <w:rPr>
          <w:rFonts w:ascii="Verdana" w:eastAsia="Verdana" w:hAnsi="Verdana" w:cs="Verdana"/>
          <w:b/>
          <w:bCs/>
        </w:rPr>
      </w:pPr>
      <w:r w:rsidRPr="007810AE">
        <w:rPr>
          <w:rFonts w:ascii="Verdana" w:eastAsia="Verdana" w:hAnsi="Verdana" w:cs="Verdana"/>
          <w:b/>
          <w:bCs/>
        </w:rPr>
        <w:t xml:space="preserve">ADICIÓN – Concepto – Distintos supuestos – Prohibición – Adición en más del 50% </w:t>
      </w:r>
    </w:p>
    <w:p w14:paraId="444D4590" w14:textId="77777777" w:rsidR="00487D2D" w:rsidRPr="0040403C" w:rsidRDefault="00487D2D" w:rsidP="00451A0E">
      <w:pPr>
        <w:spacing w:after="0" w:line="240" w:lineRule="auto"/>
        <w:jc w:val="both"/>
        <w:rPr>
          <w:rFonts w:ascii="Verdana" w:eastAsia="Verdana" w:hAnsi="Verdana" w:cs="Verdana"/>
          <w:sz w:val="18"/>
          <w:szCs w:val="18"/>
        </w:rPr>
      </w:pPr>
    </w:p>
    <w:p w14:paraId="392AD1EF" w14:textId="516C3A25" w:rsidR="009175BA" w:rsidRDefault="009175BA" w:rsidP="00451A0E">
      <w:pPr>
        <w:spacing w:after="0" w:line="240" w:lineRule="auto"/>
        <w:jc w:val="both"/>
        <w:rPr>
          <w:rFonts w:ascii="Verdana" w:eastAsia="Verdana" w:hAnsi="Verdana" w:cs="Verdana"/>
          <w:sz w:val="20"/>
          <w:szCs w:val="20"/>
        </w:rPr>
      </w:pPr>
      <w:r w:rsidRPr="009175BA">
        <w:rPr>
          <w:rFonts w:ascii="Verdana" w:eastAsia="Verdana" w:hAnsi="Verdana" w:cs="Verdana"/>
          <w:sz w:val="20"/>
          <w:szCs w:val="20"/>
        </w:rPr>
        <w:t>Por un lado, las mayores cantidades de obra se presentan cuando las partes deben aumentar las cantidades de algunos ítems que sí estaban contemplados en el contrato, pero que su cálculo preliminar resultó insuficiente. Así, por ejemplo, si en un contrato de obra se habían previsto y contratado cien metros cúbicos (100 m</w:t>
      </w:r>
      <w:r w:rsidRPr="009175BA">
        <w:rPr>
          <w:rFonts w:ascii="Verdana" w:eastAsia="Verdana" w:hAnsi="Verdana" w:cs="Verdana"/>
          <w:sz w:val="20"/>
          <w:szCs w:val="20"/>
          <w:vertAlign w:val="superscript"/>
        </w:rPr>
        <w:t>3</w:t>
      </w:r>
      <w:r w:rsidRPr="009175BA">
        <w:rPr>
          <w:rFonts w:ascii="Verdana" w:eastAsia="Verdana" w:hAnsi="Verdana" w:cs="Verdana"/>
          <w:sz w:val="20"/>
          <w:szCs w:val="20"/>
        </w:rPr>
        <w:t xml:space="preserve">) de excavación, pero, en la etapa de ejecución, se determinó que este número no era suficiente, las partes pueden incrementar los metros que deberán excavarse, en atención a que dicho </w:t>
      </w:r>
      <w:r w:rsidRPr="009175BA">
        <w:rPr>
          <w:rFonts w:ascii="Verdana" w:eastAsia="Verdana" w:hAnsi="Verdana" w:cs="Verdana"/>
          <w:sz w:val="20"/>
          <w:szCs w:val="20"/>
        </w:rPr>
        <w:lastRenderedPageBreak/>
        <w:t xml:space="preserve">aumento resulta esencial para cumplir la finalidad pública que se perseguía con la contratación. </w:t>
      </w:r>
    </w:p>
    <w:p w14:paraId="5C850E4F" w14:textId="77777777" w:rsidR="009175BA" w:rsidRPr="009175BA" w:rsidRDefault="009175BA" w:rsidP="00451A0E">
      <w:pPr>
        <w:spacing w:after="0" w:line="240" w:lineRule="auto"/>
        <w:jc w:val="both"/>
        <w:rPr>
          <w:rFonts w:ascii="Verdana" w:eastAsia="Verdana" w:hAnsi="Verdana" w:cs="Verdana"/>
          <w:sz w:val="20"/>
          <w:szCs w:val="20"/>
        </w:rPr>
      </w:pPr>
    </w:p>
    <w:p w14:paraId="3AC48708" w14:textId="5EA0AB86" w:rsidR="009175BA" w:rsidRPr="009175BA" w:rsidRDefault="009175BA" w:rsidP="00451A0E">
      <w:pPr>
        <w:spacing w:after="0" w:line="240" w:lineRule="auto"/>
        <w:jc w:val="both"/>
        <w:rPr>
          <w:rFonts w:ascii="Verdana" w:eastAsia="Verdana" w:hAnsi="Verdana" w:cs="Verdana"/>
          <w:sz w:val="20"/>
          <w:szCs w:val="20"/>
        </w:rPr>
      </w:pPr>
      <w:r w:rsidRPr="009175BA">
        <w:rPr>
          <w:rFonts w:ascii="Verdana" w:eastAsia="Verdana" w:hAnsi="Verdana" w:cs="Verdana"/>
          <w:sz w:val="20"/>
          <w:szCs w:val="20"/>
        </w:rPr>
        <w:t>Por otro lado, las obras adicionales o extras son aquellas que no estaban convenidas en el contrato, y que, por lo tanto, implican una modificación del mismo, que debe estipularse por las partes. El Consejo de Estado ha definido las obras adicionales como</w:t>
      </w:r>
      <w:r w:rsidRPr="009175BA">
        <w:rPr>
          <w:rFonts w:ascii="Verdana" w:eastAsia="Verdana" w:hAnsi="Verdana" w:cs="Verdana"/>
          <w:i/>
          <w:sz w:val="20"/>
          <w:szCs w:val="20"/>
        </w:rPr>
        <w:t xml:space="preserve"> “aquellas obras distintas de las inicialmente previstas en el objeto contractual, o ítems no previstos pero cuya ejecución se torna necesaria para cumplirlo a cabalidad, en tal sentido su reconocimiento implica variación del contrato”. </w:t>
      </w:r>
      <w:r w:rsidRPr="009175BA">
        <w:rPr>
          <w:rFonts w:ascii="Verdana" w:eastAsia="Verdana" w:hAnsi="Verdana" w:cs="Verdana"/>
          <w:sz w:val="20"/>
          <w:szCs w:val="20"/>
        </w:rPr>
        <w:t>Igualmente, la mencionada Corporación ha señalado que, cuando las partes estimen necesario incluir una obra adicional o extra que comprenda aumentar el valor del contrato, deberá suscribirse un contrato adicional, que formalice tal modificación, dado que, de lo contrario, no podrá reconocerse su pago.</w:t>
      </w:r>
    </w:p>
    <w:p w14:paraId="3D001042" w14:textId="77777777" w:rsidR="00487D2D" w:rsidRPr="0040403C" w:rsidRDefault="00487D2D" w:rsidP="00451A0E">
      <w:pPr>
        <w:spacing w:after="0" w:line="240" w:lineRule="auto"/>
        <w:jc w:val="both"/>
        <w:rPr>
          <w:rFonts w:ascii="Verdana" w:eastAsia="Verdana" w:hAnsi="Verdana" w:cs="Verdana"/>
          <w:sz w:val="20"/>
          <w:szCs w:val="20"/>
        </w:rPr>
      </w:pPr>
    </w:p>
    <w:p w14:paraId="4D7E0530" w14:textId="77777777" w:rsidR="00487D2D" w:rsidRPr="007810AE" w:rsidRDefault="00487D2D" w:rsidP="00451A0E">
      <w:pPr>
        <w:spacing w:after="0" w:line="240" w:lineRule="auto"/>
        <w:jc w:val="both"/>
        <w:rPr>
          <w:rFonts w:ascii="Verdana" w:eastAsia="Verdana" w:hAnsi="Verdana" w:cs="Verdana"/>
          <w:b/>
          <w:bCs/>
        </w:rPr>
      </w:pPr>
      <w:r w:rsidRPr="007810AE">
        <w:rPr>
          <w:rFonts w:ascii="Verdana" w:eastAsia="Verdana" w:hAnsi="Verdana" w:cs="Verdana"/>
          <w:b/>
          <w:bCs/>
        </w:rPr>
        <w:t>ADICIÓN – Prohibición – Monto – Cálculo – Parágrafo artículo 40 – Ley 80 de 1993</w:t>
      </w:r>
    </w:p>
    <w:p w14:paraId="0A170546" w14:textId="77777777" w:rsidR="00487D2D" w:rsidRPr="00231322" w:rsidRDefault="00487D2D" w:rsidP="00451A0E">
      <w:pPr>
        <w:spacing w:after="0" w:line="240" w:lineRule="auto"/>
        <w:jc w:val="both"/>
        <w:rPr>
          <w:rFonts w:ascii="Verdana" w:eastAsia="Verdana" w:hAnsi="Verdana" w:cs="Verdana"/>
          <w:sz w:val="20"/>
          <w:szCs w:val="20"/>
        </w:rPr>
      </w:pPr>
    </w:p>
    <w:p w14:paraId="7B6843C0" w14:textId="77777777" w:rsidR="00231322" w:rsidRPr="00231322" w:rsidRDefault="00231322" w:rsidP="00451A0E">
      <w:pPr>
        <w:spacing w:after="0" w:line="240" w:lineRule="auto"/>
        <w:jc w:val="both"/>
        <w:rPr>
          <w:rFonts w:ascii="Verdana" w:eastAsia="Verdana" w:hAnsi="Verdana" w:cs="Verdana"/>
          <w:sz w:val="20"/>
          <w:szCs w:val="20"/>
        </w:rPr>
      </w:pPr>
      <w:r w:rsidRPr="00231322">
        <w:rPr>
          <w:rFonts w:ascii="Verdana" w:eastAsia="Verdana" w:hAnsi="Verdana" w:cs="Verdana"/>
          <w:sz w:val="20"/>
          <w:szCs w:val="20"/>
        </w:rPr>
        <w:t>En la doctrina expuesta en dichos conceptos esta Agencia ha sostenido respecto del artículo 40 de la Ley 80 de 1993 lo siguiente: “Dicha norma además de consagrar una prohibición trae implícita una autorización, consistente en la posibilidad de adicionar los contratos estatales, siempre que no se supere el tope establecido. La regla establecida en el parágrafo del artículo 40 de la Ley 80 de 1993 aplica a todos los contratos estatales regidos por el EGCAP, independientemente de la modalidad de selección, de la tipología contractual del negocio jurídico que se considere necesario adicionar o del sistema de precios pactados”.</w:t>
      </w:r>
    </w:p>
    <w:p w14:paraId="69FC293D" w14:textId="77777777" w:rsidR="00231322" w:rsidRPr="00231322" w:rsidRDefault="00231322" w:rsidP="00451A0E">
      <w:pPr>
        <w:spacing w:after="0" w:line="240" w:lineRule="auto"/>
        <w:jc w:val="both"/>
        <w:rPr>
          <w:rFonts w:ascii="Verdana" w:eastAsia="Verdana" w:hAnsi="Verdana" w:cs="Verdana"/>
          <w:sz w:val="20"/>
          <w:szCs w:val="20"/>
        </w:rPr>
      </w:pPr>
      <w:r w:rsidRPr="00231322">
        <w:rPr>
          <w:rFonts w:ascii="Verdana" w:eastAsia="Verdana" w:hAnsi="Verdana" w:cs="Verdana"/>
          <w:sz w:val="20"/>
          <w:szCs w:val="20"/>
        </w:rPr>
        <w:t xml:space="preserve"> </w:t>
      </w:r>
    </w:p>
    <w:p w14:paraId="09C6F92E" w14:textId="77777777" w:rsidR="00231322" w:rsidRPr="00231322" w:rsidRDefault="00231322" w:rsidP="00451A0E">
      <w:pPr>
        <w:spacing w:after="0" w:line="240" w:lineRule="auto"/>
        <w:jc w:val="both"/>
        <w:rPr>
          <w:rFonts w:ascii="Verdana" w:eastAsia="Verdana" w:hAnsi="Verdana" w:cs="Verdana"/>
          <w:sz w:val="20"/>
          <w:szCs w:val="20"/>
        </w:rPr>
      </w:pPr>
      <w:r w:rsidRPr="00231322">
        <w:rPr>
          <w:rFonts w:ascii="Verdana" w:eastAsia="Verdana" w:hAnsi="Verdana" w:cs="Verdana"/>
          <w:sz w:val="20"/>
          <w:szCs w:val="20"/>
        </w:rPr>
        <w:t xml:space="preserve"> La postura expuesta previamente por la Subdirección de Gestión Contractual, en torno al tope de la adición de los contratos, no ha sido pacifica, por el contrario, ni la doctrina ni la jurisprudencia del Consejo de Estado han sido uniformes en la caracterización de las instituciones. En razón a ello, resulta relevante, a efectos de atender la consulta planteada exponer las diferentes posturas en relación con el tope establecido para adicionar los contratos, especialmente, frente a aquellos en los que el precio se ha pactado bajo la modalidad de precios unitarios. Dicha exposición se realiza con el fin de explicar las razones por las cuales esta Agencia considera necesario hacer un cambio en su línea doctrinal sobre el tema analizado en los contratos cuya estructuración y pago se realiza por precios unitarios. </w:t>
      </w:r>
    </w:p>
    <w:p w14:paraId="0CC74D32" w14:textId="77777777" w:rsidR="00487D2D" w:rsidRPr="007810AE" w:rsidRDefault="00487D2D" w:rsidP="00451A0E">
      <w:pPr>
        <w:spacing w:after="0" w:line="240" w:lineRule="auto"/>
        <w:jc w:val="both"/>
        <w:rPr>
          <w:rFonts w:ascii="Verdana" w:eastAsia="Verdana" w:hAnsi="Verdana" w:cs="Verdana"/>
          <w:b/>
          <w:bCs/>
        </w:rPr>
      </w:pPr>
    </w:p>
    <w:p w14:paraId="4024AD26" w14:textId="77777777" w:rsidR="007810AE" w:rsidRDefault="00487D2D" w:rsidP="00451A0E">
      <w:pPr>
        <w:spacing w:after="0" w:line="240" w:lineRule="auto"/>
        <w:jc w:val="both"/>
        <w:rPr>
          <w:rFonts w:ascii="Verdana" w:eastAsia="Verdana" w:hAnsi="Verdana" w:cs="Verdana"/>
          <w:b/>
          <w:bCs/>
        </w:rPr>
      </w:pPr>
      <w:r w:rsidRPr="007810AE">
        <w:rPr>
          <w:rFonts w:ascii="Verdana" w:eastAsia="Verdana" w:hAnsi="Verdana" w:cs="Verdana"/>
          <w:b/>
          <w:bCs/>
        </w:rPr>
        <w:t>ADICIÓN – Mayores cantidades – Límites – Posturas</w:t>
      </w:r>
    </w:p>
    <w:p w14:paraId="5160609F" w14:textId="77777777" w:rsidR="00482875" w:rsidRPr="007810AE" w:rsidRDefault="00482875" w:rsidP="00451A0E">
      <w:pPr>
        <w:spacing w:after="0" w:line="240" w:lineRule="auto"/>
        <w:jc w:val="both"/>
        <w:rPr>
          <w:rFonts w:ascii="Verdana" w:eastAsia="Verdana" w:hAnsi="Verdana" w:cs="Verdana"/>
          <w:b/>
          <w:bCs/>
        </w:rPr>
      </w:pPr>
    </w:p>
    <w:p w14:paraId="3AA52DF5" w14:textId="77777777" w:rsidR="00482875" w:rsidRPr="00882348" w:rsidRDefault="00482875" w:rsidP="00451A0E">
      <w:pPr>
        <w:spacing w:after="0" w:line="240" w:lineRule="auto"/>
        <w:jc w:val="both"/>
        <w:rPr>
          <w:rFonts w:ascii="Verdana" w:eastAsia="Verdana" w:hAnsi="Verdana" w:cs="Verdana"/>
          <w:sz w:val="20"/>
          <w:szCs w:val="20"/>
          <w:lang w:bidi="es-ES"/>
        </w:rPr>
      </w:pPr>
      <w:r w:rsidRPr="00882348">
        <w:rPr>
          <w:rFonts w:ascii="Verdana" w:eastAsia="Verdana" w:hAnsi="Verdana" w:cs="Verdana"/>
          <w:sz w:val="20"/>
          <w:szCs w:val="20"/>
          <w:lang w:bidi="es-ES"/>
        </w:rPr>
        <w:t xml:space="preserve">El Estatuto General de Contratación de la Administración Pública – en adelante EGCAP –, contenido en las Leyes 80 de 1993, 1150 de 2007 y 1474 de 2011, así como en las normas que las han modificado y las reglamentan, no consagra una regulación expresa sobre la posibilidad de modificar los contratos celebrados por las Entidades Estatales. De igual forma, tampoco existe ninguna restricción expresa para modificar los contratos estatales. La regulación expresa contenida en el ordenamiento jurídico se limita a fijar </w:t>
      </w:r>
      <w:r w:rsidRPr="00882348">
        <w:rPr>
          <w:rFonts w:ascii="Verdana" w:eastAsia="Verdana" w:hAnsi="Verdana" w:cs="Verdana"/>
          <w:sz w:val="20"/>
          <w:szCs w:val="20"/>
          <w:lang w:bidi="es-ES"/>
        </w:rPr>
        <w:lastRenderedPageBreak/>
        <w:t xml:space="preserve">los porcentajes límite para adicionar los valores inicialmente pactados, como lo hace el artículo 40 de la Ley 80 de 1993, el cual dispone que, </w:t>
      </w:r>
      <w:r w:rsidRPr="00882348">
        <w:rPr>
          <w:rFonts w:ascii="Verdana" w:eastAsia="Verdana" w:hAnsi="Verdana" w:cs="Verdana"/>
          <w:sz w:val="20"/>
          <w:szCs w:val="20"/>
        </w:rPr>
        <w:t>los contratos no podrán adicionarse en más del cincuenta por ciento (50%) de su valor inicial, expresado en SMLMV.</w:t>
      </w:r>
    </w:p>
    <w:p w14:paraId="0DA39C16" w14:textId="7BDE8B02" w:rsidR="00482875" w:rsidRPr="00882348" w:rsidRDefault="005A6D41" w:rsidP="00451A0E">
      <w:pPr>
        <w:spacing w:after="0" w:line="240" w:lineRule="auto"/>
        <w:jc w:val="both"/>
        <w:rPr>
          <w:rFonts w:ascii="Verdana" w:eastAsia="Verdana" w:hAnsi="Verdana" w:cs="Verdana"/>
          <w:sz w:val="20"/>
          <w:szCs w:val="20"/>
        </w:rPr>
      </w:pPr>
      <w:r>
        <w:rPr>
          <w:rFonts w:ascii="Verdana" w:eastAsia="Verdana" w:hAnsi="Verdana" w:cs="Verdana"/>
          <w:sz w:val="20"/>
          <w:szCs w:val="20"/>
        </w:rPr>
        <w:t>[…]</w:t>
      </w:r>
    </w:p>
    <w:p w14:paraId="714A9F9E" w14:textId="46759C00" w:rsidR="00482875" w:rsidRPr="00882348" w:rsidRDefault="00482875" w:rsidP="00451A0E">
      <w:pPr>
        <w:spacing w:after="0" w:line="240" w:lineRule="auto"/>
        <w:jc w:val="both"/>
        <w:rPr>
          <w:rFonts w:ascii="Verdana" w:eastAsia="Verdana" w:hAnsi="Verdana" w:cs="Verdana"/>
          <w:sz w:val="20"/>
          <w:szCs w:val="20"/>
        </w:rPr>
      </w:pPr>
      <w:r w:rsidRPr="00882348">
        <w:rPr>
          <w:rFonts w:ascii="Verdana" w:eastAsia="Verdana" w:hAnsi="Verdana" w:cs="Verdana"/>
          <w:sz w:val="20"/>
          <w:szCs w:val="20"/>
        </w:rPr>
        <w:t>La primera postura, que fue señalada por la Sala de Consulta y Servicio Civil del Consejo de Estado, y adoptada por el Consejo de Estado en otros pronunciamientos, parte de considerar que solo hay lugar a la celebración de un contrato adicional y, por tanto, que se encuentre sometido al parágrafo del artículo 40 de la Ley 80 de 1993, cuando se trate de adicionar una obra u actividad que no estaba contemplada en el alcance inicial del contrato.</w:t>
      </w:r>
      <w:r w:rsidR="00451A0E">
        <w:rPr>
          <w:rFonts w:ascii="Verdana" w:eastAsia="Verdana" w:hAnsi="Verdana" w:cs="Verdana"/>
          <w:sz w:val="20"/>
          <w:szCs w:val="20"/>
        </w:rPr>
        <w:t xml:space="preserve"> </w:t>
      </w:r>
      <w:r w:rsidRPr="00882348">
        <w:rPr>
          <w:rFonts w:ascii="Verdana" w:eastAsia="Verdana" w:hAnsi="Verdana" w:cs="Verdana"/>
          <w:sz w:val="20"/>
          <w:szCs w:val="20"/>
        </w:rPr>
        <w:t xml:space="preserve">En tal sentido, y según dicha postura, a otros aumentos del valor originados, por ejemplo, en mayores cantidades de obra, no les aplica la prohibición, ya que, bajo dicha tesis, el valor inicial del contrato, en el sistema de precios unitarios, solo consiste en un estimativo del costo que tendrá el contrato, que solo logra determinarse una vez termine la ejecución, de manera que con las mayores cantidades de obra no se presentaría una modificación del precio, sino que simplemente se determinará el valor final del contrato, que no será diferente del precio acordado inicialmente que se mantendrá invariable, precisándose, al final, el monto real del estimativo. </w:t>
      </w:r>
    </w:p>
    <w:p w14:paraId="33FBAFD6" w14:textId="77777777" w:rsidR="007810AE" w:rsidRPr="007810AE" w:rsidRDefault="007810AE" w:rsidP="00451A0E">
      <w:pPr>
        <w:spacing w:after="0" w:line="240" w:lineRule="auto"/>
        <w:jc w:val="both"/>
        <w:rPr>
          <w:rFonts w:ascii="Verdana" w:eastAsia="Verdana" w:hAnsi="Verdana" w:cs="Verdana"/>
          <w:b/>
          <w:bCs/>
        </w:rPr>
      </w:pPr>
    </w:p>
    <w:p w14:paraId="501B263E" w14:textId="77777777" w:rsidR="007810AE" w:rsidRPr="007810AE" w:rsidRDefault="00487D2D" w:rsidP="00451A0E">
      <w:pPr>
        <w:spacing w:after="0" w:line="240" w:lineRule="auto"/>
        <w:jc w:val="both"/>
        <w:rPr>
          <w:rFonts w:ascii="Verdana" w:eastAsia="Verdana" w:hAnsi="Verdana" w:cs="Verdana"/>
          <w:b/>
          <w:bCs/>
        </w:rPr>
      </w:pPr>
      <w:r w:rsidRPr="007810AE">
        <w:rPr>
          <w:rFonts w:ascii="Verdana" w:eastAsia="Verdana" w:hAnsi="Verdana" w:cs="Verdana"/>
          <w:b/>
          <w:bCs/>
        </w:rPr>
        <w:t>MODIFICACIÓN DE LOS CONTRATOS ESTATALES – Procedencia – Límites</w:t>
      </w:r>
    </w:p>
    <w:p w14:paraId="072A1C76" w14:textId="77777777" w:rsidR="007810AE" w:rsidRPr="00991C76" w:rsidRDefault="007810AE" w:rsidP="00451A0E">
      <w:pPr>
        <w:spacing w:after="0" w:line="240" w:lineRule="auto"/>
        <w:jc w:val="both"/>
        <w:rPr>
          <w:rFonts w:ascii="Verdana" w:eastAsia="Verdana" w:hAnsi="Verdana" w:cs="Verdana"/>
          <w:sz w:val="20"/>
          <w:szCs w:val="20"/>
        </w:rPr>
      </w:pPr>
    </w:p>
    <w:p w14:paraId="21A3D4D8" w14:textId="1E9BF425" w:rsidR="00991C76" w:rsidRDefault="00991C76" w:rsidP="00451A0E">
      <w:pPr>
        <w:spacing w:after="0" w:line="240" w:lineRule="auto"/>
        <w:jc w:val="both"/>
        <w:rPr>
          <w:rFonts w:ascii="Verdana" w:eastAsia="Verdana" w:hAnsi="Verdana" w:cs="Verdana"/>
          <w:sz w:val="20"/>
          <w:szCs w:val="20"/>
        </w:rPr>
      </w:pPr>
      <w:r w:rsidRPr="00991C76">
        <w:rPr>
          <w:rFonts w:ascii="Verdana" w:eastAsia="Verdana" w:hAnsi="Verdana" w:cs="Verdana"/>
          <w:sz w:val="20"/>
          <w:szCs w:val="20"/>
        </w:rPr>
        <w:t xml:space="preserve">Sin perjuicio de lo expuesto, fuera de los límites cuantitativos señalados en el parágrafo del artículo 40 de la Ley 80 de 1993 y de la cláusula excepcional de modificación de los contratos estatales, no existe un desarrollo legal o reglamentario sobre las reglas aplicables a la modificación del contrato estatales. Han sido los aportes de la jurisprudencia, de la función consultiva del Consejo de Estado, y de la doctrina comparada, los que han permitido estructurar los límites y requisitos de orden temporal, formal, material y axiológico para la modificación de un contrato estatal. Estos límites deben ser respetados por la entidad contratante a preservar los principios de origen legal como es el principio de planeación, de selección objetiva de libertad de concurrencia, de transparencia, de igualdad, entre otros, tal y como se explicará a continuación. </w:t>
      </w:r>
    </w:p>
    <w:p w14:paraId="71E01C73" w14:textId="77777777" w:rsidR="00991C76" w:rsidRPr="00991C76" w:rsidRDefault="00991C76" w:rsidP="00451A0E">
      <w:pPr>
        <w:spacing w:after="0" w:line="240" w:lineRule="auto"/>
        <w:jc w:val="both"/>
        <w:rPr>
          <w:rFonts w:ascii="Verdana" w:eastAsia="Verdana" w:hAnsi="Verdana" w:cs="Verdana"/>
          <w:sz w:val="20"/>
          <w:szCs w:val="20"/>
        </w:rPr>
      </w:pPr>
    </w:p>
    <w:p w14:paraId="25293172" w14:textId="77777777" w:rsidR="00991C76" w:rsidRDefault="00991C76" w:rsidP="00451A0E">
      <w:pPr>
        <w:spacing w:after="0" w:line="240" w:lineRule="auto"/>
        <w:jc w:val="both"/>
        <w:rPr>
          <w:rFonts w:ascii="Verdana" w:eastAsia="Verdana" w:hAnsi="Verdana" w:cs="Verdana"/>
          <w:sz w:val="20"/>
          <w:szCs w:val="20"/>
        </w:rPr>
      </w:pPr>
      <w:r w:rsidRPr="00991C76">
        <w:rPr>
          <w:rFonts w:ascii="Verdana" w:eastAsia="Verdana" w:hAnsi="Verdana" w:cs="Verdana"/>
          <w:sz w:val="20"/>
          <w:szCs w:val="20"/>
        </w:rPr>
        <w:t>Dentro de los límites de orden temporal se comprenden dos restricciones fundamentales. Primero, la vigencia del contrato, en la medida en que resulta jurídicamente imposible modificar un contrato cuyo plazo ha expirado; una vez finalizado, el vínculo obligacional se extingue y la administración carece de competencia para introducir variaciones al contenido prestacional originalmente pactado. Segundo, la prohibición de establecer prórrogas automáticas, sucesivas o indefinidas, por cuanto tales mecanismos desconocen el derecho esencial a la libertad de competencia y afectan la transparencia en la contratación estatal. La continuidad del contrato solo puede darse mediante decisiones expresas, motivadas y adoptadas dentro del término de ejecución, nunca por efectos automáticos que perpetúen la relación contractual sin un nuevo análisis de conveniencia y oportunidad.</w:t>
      </w:r>
    </w:p>
    <w:p w14:paraId="5EDC99F1" w14:textId="77777777" w:rsidR="00451A0E" w:rsidRPr="00991C76" w:rsidRDefault="00451A0E" w:rsidP="00451A0E">
      <w:pPr>
        <w:spacing w:after="0" w:line="240" w:lineRule="auto"/>
        <w:jc w:val="both"/>
        <w:rPr>
          <w:rFonts w:ascii="Verdana" w:eastAsia="Verdana" w:hAnsi="Verdana" w:cs="Verdana"/>
          <w:sz w:val="20"/>
          <w:szCs w:val="20"/>
        </w:rPr>
      </w:pPr>
    </w:p>
    <w:p w14:paraId="6A8D8F09" w14:textId="73236A9A" w:rsidR="00991C76" w:rsidRPr="00991C76" w:rsidRDefault="00991C76" w:rsidP="00451A0E">
      <w:pPr>
        <w:spacing w:after="0" w:line="240" w:lineRule="auto"/>
        <w:jc w:val="both"/>
        <w:rPr>
          <w:rFonts w:ascii="Verdana" w:eastAsia="Verdana" w:hAnsi="Verdana" w:cs="Verdana"/>
          <w:sz w:val="20"/>
          <w:szCs w:val="20"/>
        </w:rPr>
      </w:pPr>
      <w:r w:rsidRPr="00991C76">
        <w:rPr>
          <w:rFonts w:ascii="Verdana" w:eastAsia="Verdana" w:hAnsi="Verdana" w:cs="Verdana"/>
          <w:sz w:val="20"/>
          <w:szCs w:val="20"/>
        </w:rPr>
        <w:t xml:space="preserve">En torno a los límites de </w:t>
      </w:r>
      <w:r w:rsidRPr="00991C76">
        <w:rPr>
          <w:rFonts w:ascii="Verdana" w:eastAsia="Verdana" w:hAnsi="Verdana" w:cs="Verdana"/>
          <w:i/>
          <w:sz w:val="20"/>
          <w:szCs w:val="20"/>
        </w:rPr>
        <w:t>orden formal</w:t>
      </w:r>
      <w:r w:rsidRPr="00991C76">
        <w:rPr>
          <w:rFonts w:ascii="Verdana" w:eastAsia="Verdana" w:hAnsi="Verdana" w:cs="Verdana"/>
          <w:sz w:val="20"/>
          <w:szCs w:val="20"/>
        </w:rPr>
        <w:t xml:space="preserve">, debe señalarse que, por un lado, es necesario que, la </w:t>
      </w:r>
      <w:r w:rsidRPr="00991C76">
        <w:rPr>
          <w:rFonts w:ascii="Verdana" w:eastAsia="Verdana" w:hAnsi="Verdana" w:cs="Verdana"/>
          <w:sz w:val="20"/>
          <w:szCs w:val="20"/>
          <w:lang w:val="es-MX"/>
        </w:rPr>
        <w:t xml:space="preserve">modificación de los contratos conste por escrito, dado el carácter solemne del </w:t>
      </w:r>
      <w:r w:rsidRPr="00991C76">
        <w:rPr>
          <w:rFonts w:ascii="Verdana" w:eastAsia="Verdana" w:hAnsi="Verdana" w:cs="Verdana"/>
          <w:sz w:val="20"/>
          <w:szCs w:val="20"/>
          <w:lang w:val="es-MX"/>
        </w:rPr>
        <w:lastRenderedPageBreak/>
        <w:t xml:space="preserve">contrato estatal y que sea suscrito por el jefe o representante legal o su delegado, de conformidad con los artículos 11 y 12 de la Ley 80 de 1993, así como el deber de la existencia de las disponibilidades presupuestales para el cumplimiento de las obligaciones. Por otro lado, </w:t>
      </w:r>
      <w:r w:rsidRPr="00991C76">
        <w:rPr>
          <w:rFonts w:ascii="Verdana" w:eastAsia="Verdana" w:hAnsi="Verdana" w:cs="Verdana"/>
          <w:sz w:val="20"/>
          <w:szCs w:val="20"/>
        </w:rPr>
        <w:t xml:space="preserve">la entidad debe motivar y justificar la modificación. </w:t>
      </w:r>
    </w:p>
    <w:p w14:paraId="53B5316C" w14:textId="77777777" w:rsidR="00991C76" w:rsidRPr="00991C76" w:rsidRDefault="00991C76" w:rsidP="00451A0E">
      <w:pPr>
        <w:spacing w:after="0" w:line="240" w:lineRule="auto"/>
        <w:jc w:val="both"/>
        <w:rPr>
          <w:rFonts w:ascii="Verdana" w:eastAsia="Verdana" w:hAnsi="Verdana" w:cs="Verdana"/>
          <w:sz w:val="20"/>
          <w:szCs w:val="20"/>
        </w:rPr>
      </w:pPr>
    </w:p>
    <w:p w14:paraId="529E9A59" w14:textId="6AA07874" w:rsidR="00991C76" w:rsidRPr="00991C76" w:rsidRDefault="00991C76" w:rsidP="00451A0E">
      <w:pPr>
        <w:spacing w:after="0" w:line="240" w:lineRule="auto"/>
        <w:jc w:val="both"/>
        <w:rPr>
          <w:rFonts w:ascii="Verdana" w:eastAsia="Verdana" w:hAnsi="Verdana" w:cs="Verdana"/>
          <w:i/>
          <w:sz w:val="20"/>
          <w:szCs w:val="20"/>
          <w:lang w:val="es-MX"/>
        </w:rPr>
      </w:pPr>
      <w:r w:rsidRPr="00991C76">
        <w:rPr>
          <w:rFonts w:ascii="Verdana" w:eastAsia="Verdana" w:hAnsi="Verdana" w:cs="Verdana"/>
          <w:sz w:val="20"/>
          <w:szCs w:val="20"/>
        </w:rPr>
        <w:t xml:space="preserve">Los límites materiales </w:t>
      </w:r>
      <w:r w:rsidRPr="00991C76">
        <w:rPr>
          <w:rFonts w:ascii="Verdana" w:eastAsia="Verdana" w:hAnsi="Verdana" w:cs="Verdana"/>
          <w:sz w:val="20"/>
          <w:szCs w:val="20"/>
          <w:lang w:val="es-MX"/>
        </w:rPr>
        <w:t xml:space="preserve">corresponden a la prohibición de modificar las condiciones sustanciales del contrato, que se presentará en los casos en que se incluyan elementos que, </w:t>
      </w:r>
      <w:r w:rsidRPr="00991C76">
        <w:rPr>
          <w:rFonts w:ascii="Verdana" w:eastAsia="Verdana" w:hAnsi="Verdana" w:cs="Verdana"/>
          <w:i/>
          <w:sz w:val="20"/>
          <w:szCs w:val="20"/>
          <w:lang w:val="es-MX"/>
        </w:rPr>
        <w:t xml:space="preserve">“habiendo figurado en el procedimiento inicial, hubiera permitido la participación de otros interesados aparte de los inicialmente admitidos, o seleccionar una oferta distinta de la inicialmente seleccionada”. </w:t>
      </w:r>
      <w:r w:rsidRPr="00991C76">
        <w:rPr>
          <w:rFonts w:ascii="Verdana" w:eastAsia="Verdana" w:hAnsi="Verdana" w:cs="Verdana"/>
          <w:sz w:val="20"/>
          <w:szCs w:val="20"/>
          <w:lang w:val="es-MX"/>
        </w:rPr>
        <w:t xml:space="preserve">Finalmente, se encuentran los límites axiológicos, los cuales atienen a la necesidad de preservar los principios de igualdad, transparencia, libertad de concurrencia, selección objetiva y planeación. </w:t>
      </w:r>
      <w:r w:rsidRPr="00991C76">
        <w:rPr>
          <w:rFonts w:ascii="Verdana" w:eastAsia="Verdana" w:hAnsi="Verdana" w:cs="Verdana"/>
          <w:sz w:val="20"/>
          <w:szCs w:val="20"/>
        </w:rPr>
        <w:t xml:space="preserve">Lo anterior, con la finalidad de realizar la escogencia diligente de la mejor oferta, para beneficiar los intereses y fines públicos inmersos en la contratación de las Entidades Estatales. </w:t>
      </w:r>
    </w:p>
    <w:p w14:paraId="0FB3F6F1" w14:textId="77777777" w:rsidR="007810AE" w:rsidRPr="007810AE" w:rsidRDefault="007810AE" w:rsidP="00451A0E">
      <w:pPr>
        <w:spacing w:after="0" w:line="240" w:lineRule="auto"/>
        <w:jc w:val="both"/>
        <w:rPr>
          <w:rFonts w:ascii="Verdana" w:eastAsia="Verdana" w:hAnsi="Verdana" w:cs="Verdana"/>
          <w:b/>
          <w:bCs/>
        </w:rPr>
      </w:pPr>
    </w:p>
    <w:p w14:paraId="1F8BFF84" w14:textId="2C83B642" w:rsidR="00487D2D" w:rsidRPr="007810AE" w:rsidRDefault="00487D2D" w:rsidP="00451A0E">
      <w:pPr>
        <w:spacing w:after="0" w:line="240" w:lineRule="auto"/>
        <w:jc w:val="both"/>
        <w:rPr>
          <w:rFonts w:ascii="Verdana" w:eastAsia="Verdana" w:hAnsi="Verdana" w:cs="Verdana"/>
          <w:b/>
          <w:bCs/>
        </w:rPr>
      </w:pPr>
      <w:r w:rsidRPr="007810AE">
        <w:rPr>
          <w:rFonts w:ascii="Verdana" w:eastAsia="Verdana" w:hAnsi="Verdana" w:cs="Verdana"/>
          <w:b/>
          <w:bCs/>
        </w:rPr>
        <w:t>MODIFICACIÓN DE LOS CONTRATOS ESTATALES –Principio de planeación – Deber</w:t>
      </w:r>
    </w:p>
    <w:p w14:paraId="290117A5" w14:textId="77777777" w:rsidR="00487D2D" w:rsidRDefault="00487D2D" w:rsidP="00451A0E">
      <w:pPr>
        <w:spacing w:after="0" w:line="240" w:lineRule="auto"/>
        <w:rPr>
          <w:rFonts w:ascii="Verdana" w:eastAsia="Verdana" w:hAnsi="Verdana" w:cs="Verdana"/>
        </w:rPr>
      </w:pPr>
    </w:p>
    <w:p w14:paraId="41CB92EF" w14:textId="1BFCA867" w:rsidR="00881E86" w:rsidRDefault="00881E86" w:rsidP="00451A0E">
      <w:pPr>
        <w:spacing w:after="0" w:line="240" w:lineRule="auto"/>
        <w:jc w:val="both"/>
        <w:rPr>
          <w:rFonts w:ascii="Verdana" w:eastAsia="Verdana" w:hAnsi="Verdana" w:cs="Verdana"/>
          <w:sz w:val="20"/>
          <w:szCs w:val="20"/>
        </w:rPr>
      </w:pPr>
      <w:r w:rsidRPr="00881E86">
        <w:rPr>
          <w:rFonts w:ascii="Verdana" w:eastAsia="Verdana" w:hAnsi="Verdana" w:cs="Verdana"/>
          <w:sz w:val="20"/>
          <w:szCs w:val="20"/>
        </w:rPr>
        <w:t xml:space="preserve">El principio de planeación exige a las entidades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w:t>
      </w:r>
      <w:r w:rsidRPr="00881E86">
        <w:rPr>
          <w:rFonts w:ascii="Verdana" w:eastAsia="Verdana" w:hAnsi="Verdana" w:cs="Verdana"/>
          <w:i/>
          <w:sz w:val="20"/>
          <w:szCs w:val="20"/>
        </w:rPr>
        <w:t>precios</w:t>
      </w:r>
      <w:r w:rsidRPr="00881E86">
        <w:rPr>
          <w:rFonts w:ascii="Verdana" w:eastAsia="Verdana" w:hAnsi="Verdana" w:cs="Verdana"/>
          <w:sz w:val="20"/>
          <w:szCs w:val="20"/>
        </w:rPr>
        <w:t>, costos, riesgos, garantías, disponibilidad, oferentes, entre otros.  La planeación del contrato estatal se configura como un presupuesto esencial, según el cual la selección de contratistas, la celebración de contratos, la ejecución y liquidación de los mismos no pueden ser, de ninguna manera, producto de la improvisación. En consecuencia, debe hacerse un plan detallado de lo que se quiere contratar y de los medios técnicos y económicos con los que se cuenta para alcanzarlo, para con base en ello realizar un procedimiento legalmente idóneo a fin de escoger al particular o Entidad Pública que colaborara en la consecución de la obra, bien o servicio determinado, realizar las previsiones técnicas, legales y económicas a que haya lugar para afrontar las contingencias previsibles que puedan afectar el desarrollo del contrato, y contar con elementos en lo posible suficientes para actuar ante situaciones inesperadas.</w:t>
      </w:r>
    </w:p>
    <w:p w14:paraId="7C3A1515" w14:textId="77777777" w:rsidR="00881E86" w:rsidRPr="00881E86" w:rsidRDefault="00881E86" w:rsidP="00451A0E">
      <w:pPr>
        <w:spacing w:after="0" w:line="240" w:lineRule="auto"/>
        <w:jc w:val="both"/>
        <w:rPr>
          <w:rFonts w:ascii="Verdana" w:eastAsia="Verdana" w:hAnsi="Verdana" w:cs="Verdana"/>
          <w:sz w:val="20"/>
          <w:szCs w:val="20"/>
        </w:rPr>
      </w:pPr>
    </w:p>
    <w:p w14:paraId="308E0D77" w14:textId="4024D009" w:rsidR="00487D2D" w:rsidRPr="00881E86" w:rsidRDefault="00881E86" w:rsidP="00451A0E">
      <w:pPr>
        <w:spacing w:after="0" w:line="240" w:lineRule="auto"/>
        <w:jc w:val="both"/>
        <w:rPr>
          <w:rFonts w:ascii="Verdana" w:eastAsia="Verdana" w:hAnsi="Verdana" w:cs="Verdana"/>
          <w:sz w:val="20"/>
          <w:szCs w:val="20"/>
        </w:rPr>
      </w:pPr>
      <w:r w:rsidRPr="00881E86">
        <w:rPr>
          <w:rFonts w:ascii="Verdana" w:eastAsia="Verdana" w:hAnsi="Verdana" w:cs="Verdana"/>
          <w:sz w:val="20"/>
          <w:szCs w:val="20"/>
        </w:rPr>
        <w:t>Por otro lado, también es importante señalar que la planeación, como herramienta para la gestión contractual pública, implica que todo proyecto que pretenda adelantar las Entidades Estatales esté precedido de estudios encaminados a determinar su viabilidad económica, con ello se pretende dar racionalidad del gasto público, en concordancia con las necesidades públicas en un momento determinado, razón por la cual, previo a la ejecución del contrato, la Administración debe realizar los estudios del valor aproximado, de acuerdo con la fluctuación y estado del mercado.</w:t>
      </w:r>
    </w:p>
    <w:p w14:paraId="3250CEBE" w14:textId="77777777" w:rsidR="00487D2D" w:rsidRDefault="00487D2D" w:rsidP="00EB3B48">
      <w:pPr>
        <w:spacing w:after="0"/>
        <w:rPr>
          <w:rFonts w:ascii="Verdana" w:eastAsia="Verdana" w:hAnsi="Verdana" w:cs="Verdana"/>
        </w:rPr>
      </w:pPr>
    </w:p>
    <w:p w14:paraId="2438AB63" w14:textId="54A75410" w:rsidR="00EB3B48" w:rsidRPr="00C2707A" w:rsidRDefault="006A425E" w:rsidP="00EB3B48">
      <w:pPr>
        <w:spacing w:after="0"/>
        <w:rPr>
          <w:rFonts w:ascii="Verdana" w:eastAsia="Verdana" w:hAnsi="Verdana" w:cs="Verdana"/>
        </w:rPr>
      </w:pPr>
      <w:r w:rsidRPr="006A425E">
        <w:rPr>
          <w:rFonts w:ascii="Verdana" w:eastAsia="Verdana" w:hAnsi="Verdana" w:cs="Verdana"/>
          <w:noProof/>
        </w:rPr>
        <w:lastRenderedPageBreak/>
        <w:drawing>
          <wp:anchor distT="0" distB="0" distL="114300" distR="114300" simplePos="0" relativeHeight="251658240" behindDoc="0" locked="0" layoutInCell="1" allowOverlap="1" wp14:anchorId="061707F6" wp14:editId="7056DD80">
            <wp:simplePos x="0" y="0"/>
            <wp:positionH relativeFrom="column">
              <wp:posOffset>2762054</wp:posOffset>
            </wp:positionH>
            <wp:positionV relativeFrom="paragraph">
              <wp:posOffset>222396</wp:posOffset>
            </wp:positionV>
            <wp:extent cx="2857500" cy="791210"/>
            <wp:effectExtent l="0" t="0" r="0" b="8890"/>
            <wp:wrapSquare wrapText="bothSides"/>
            <wp:docPr id="10505631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791210"/>
                    </a:xfrm>
                    <a:prstGeom prst="rect">
                      <a:avLst/>
                    </a:prstGeom>
                    <a:noFill/>
                    <a:ln>
                      <a:noFill/>
                    </a:ln>
                  </pic:spPr>
                </pic:pic>
              </a:graphicData>
            </a:graphic>
          </wp:anchor>
        </w:drawing>
      </w:r>
      <w:r w:rsidR="00EB3B48" w:rsidRPr="30821638">
        <w:rPr>
          <w:rFonts w:ascii="Verdana" w:eastAsia="Verdana" w:hAnsi="Verdana" w:cs="Verdana"/>
        </w:rPr>
        <w:t xml:space="preserve">Bogotá D.C., </w:t>
      </w:r>
      <w:r w:rsidR="002C1625">
        <w:rPr>
          <w:rFonts w:ascii="Verdana" w:eastAsia="Verdana" w:hAnsi="Verdana" w:cs="Verdana"/>
        </w:rPr>
        <w:t>17 de julio de 2026</w:t>
      </w:r>
      <w:r w:rsidR="00EB3B48">
        <w:tab/>
      </w:r>
      <w:r w:rsidR="00EB3B48" w:rsidRPr="00C2750B">
        <w:rPr>
          <w:rFonts w:ascii="Verdana" w:hAnsi="Verdana"/>
        </w:rPr>
        <w:br/>
      </w:r>
    </w:p>
    <w:p w14:paraId="2D13B3E8" w14:textId="77777777" w:rsidR="00EB3B48" w:rsidRPr="00C2750B" w:rsidRDefault="00EB3B48" w:rsidP="00EB3B48">
      <w:pPr>
        <w:spacing w:after="0" w:line="240" w:lineRule="auto"/>
        <w:rPr>
          <w:rFonts w:ascii="Verdana" w:eastAsia="Calibri" w:hAnsi="Verdana" w:cs="Arial"/>
          <w:color w:val="000000"/>
          <w:lang w:val="es-ES"/>
        </w:rPr>
      </w:pPr>
    </w:p>
    <w:p w14:paraId="67E994EF" w14:textId="77777777" w:rsidR="00EB3B48" w:rsidRPr="00C2750B" w:rsidRDefault="00EB3B48" w:rsidP="00EB3B48">
      <w:pPr>
        <w:spacing w:after="0" w:line="240" w:lineRule="auto"/>
        <w:jc w:val="both"/>
        <w:rPr>
          <w:rFonts w:ascii="Verdana" w:eastAsia="Calibri" w:hAnsi="Verdana" w:cs="Arial"/>
          <w:b/>
          <w:lang w:val="es-ES" w:eastAsia="es-ES"/>
        </w:rPr>
      </w:pPr>
      <w:r w:rsidRPr="00C2750B">
        <w:rPr>
          <w:rFonts w:ascii="Verdana" w:eastAsia="Calibri" w:hAnsi="Verdana" w:cs="Arial"/>
          <w:lang w:val="es-ES" w:eastAsia="es-ES"/>
        </w:rPr>
        <w:t>Señor</w:t>
      </w:r>
    </w:p>
    <w:p w14:paraId="070383DF" w14:textId="77777777" w:rsidR="00EB3B48" w:rsidRPr="00C2750B" w:rsidRDefault="00EB3B48" w:rsidP="00EB3B48">
      <w:pPr>
        <w:spacing w:after="0" w:line="240" w:lineRule="auto"/>
        <w:rPr>
          <w:rFonts w:ascii="Verdana" w:eastAsia="Calibri" w:hAnsi="Verdana" w:cs="Arial"/>
          <w:b/>
          <w:lang w:eastAsia="es-ES"/>
        </w:rPr>
      </w:pPr>
      <w:r w:rsidRPr="00C2750B">
        <w:rPr>
          <w:rFonts w:ascii="Verdana" w:eastAsia="Calibri" w:hAnsi="Verdana" w:cs="Arial"/>
          <w:b/>
          <w:lang w:eastAsia="es-ES"/>
        </w:rPr>
        <w:t>Juan Esteban Oliver Ortíz</w:t>
      </w:r>
    </w:p>
    <w:p w14:paraId="2CE6BCD5" w14:textId="77777777" w:rsidR="00EB3B48" w:rsidRPr="00C2750B" w:rsidRDefault="00EB3B48" w:rsidP="00EB3B48">
      <w:pPr>
        <w:spacing w:after="0" w:line="240" w:lineRule="auto"/>
        <w:rPr>
          <w:rFonts w:ascii="Verdana" w:hAnsi="Verdana"/>
        </w:rPr>
      </w:pPr>
      <w:hyperlink r:id="rId12" w:history="1">
        <w:r w:rsidRPr="00495D8E">
          <w:rPr>
            <w:rStyle w:val="Hipervnculo"/>
            <w:rFonts w:ascii="Verdana" w:hAnsi="Verdana"/>
          </w:rPr>
          <w:t>juanestebanoliver@gmail.com</w:t>
        </w:r>
      </w:hyperlink>
      <w:r>
        <w:rPr>
          <w:rFonts w:ascii="Verdana" w:hAnsi="Verdana"/>
        </w:rPr>
        <w:t xml:space="preserve"> </w:t>
      </w:r>
    </w:p>
    <w:p w14:paraId="2AE70169" w14:textId="77777777" w:rsidR="00EB3B48" w:rsidRPr="00C2750B" w:rsidRDefault="00EB3B48" w:rsidP="00EB3B48">
      <w:pPr>
        <w:spacing w:after="0" w:line="240" w:lineRule="auto"/>
        <w:rPr>
          <w:rFonts w:ascii="Verdana" w:eastAsia="Calibri" w:hAnsi="Verdana" w:cs="Arial"/>
          <w:lang w:eastAsia="es-ES"/>
        </w:rPr>
      </w:pPr>
      <w:r w:rsidRPr="00C2750B">
        <w:rPr>
          <w:rFonts w:ascii="Verdana" w:eastAsia="Calibri" w:hAnsi="Verdana" w:cs="Arial"/>
          <w:lang w:eastAsia="es-ES"/>
        </w:rPr>
        <w:t>Medellín, Antioquia</w:t>
      </w:r>
    </w:p>
    <w:p w14:paraId="7B2DDE4D" w14:textId="77777777" w:rsidR="00EB3B48" w:rsidRPr="00C2750B" w:rsidRDefault="00EB3B48" w:rsidP="00EB3B48">
      <w:pPr>
        <w:spacing w:after="0" w:line="240" w:lineRule="auto"/>
        <w:rPr>
          <w:rFonts w:ascii="Verdana" w:eastAsia="Calibri" w:hAnsi="Verdana" w:cs="Arial"/>
          <w:b/>
          <w:bCs/>
          <w:color w:val="000000"/>
          <w:lang w:eastAsia="es-ES_tradnl"/>
        </w:rPr>
      </w:pPr>
    </w:p>
    <w:p w14:paraId="29B622EA" w14:textId="77777777" w:rsidR="00EB3B48" w:rsidRPr="00DA61E0" w:rsidRDefault="00EB3B48" w:rsidP="00EB3B48">
      <w:pPr>
        <w:spacing w:after="0" w:line="240" w:lineRule="auto"/>
        <w:rPr>
          <w:rFonts w:ascii="Verdana" w:eastAsia="Calibri" w:hAnsi="Verdana" w:cs="Arial"/>
          <w:b/>
          <w:bCs/>
          <w:color w:val="000000"/>
          <w:lang w:eastAsia="es-ES_tradnl"/>
        </w:rPr>
      </w:pPr>
    </w:p>
    <w:tbl>
      <w:tblPr>
        <w:tblStyle w:val="Tablaconcuadrcula11"/>
        <w:tblW w:w="883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38"/>
        <w:gridCol w:w="6100"/>
      </w:tblGrid>
      <w:tr w:rsidR="00EB3B48" w:rsidRPr="00DA61E0" w14:paraId="40F77688" w14:textId="77777777" w:rsidTr="00120312">
        <w:trPr>
          <w:trHeight w:val="194"/>
        </w:trPr>
        <w:tc>
          <w:tcPr>
            <w:tcW w:w="2738" w:type="dxa"/>
          </w:tcPr>
          <w:p w14:paraId="4B66370F" w14:textId="77777777" w:rsidR="00EB3B48" w:rsidRPr="00DA61E0" w:rsidRDefault="00EB3B48" w:rsidP="00120312">
            <w:pPr>
              <w:jc w:val="both"/>
              <w:rPr>
                <w:rFonts w:ascii="Verdana" w:hAnsi="Verdana" w:cs="Arial"/>
                <w:b/>
                <w:bCs/>
                <w:color w:val="7030A0"/>
                <w:lang w:eastAsia="es-ES_tradnl"/>
              </w:rPr>
            </w:pPr>
          </w:p>
        </w:tc>
        <w:tc>
          <w:tcPr>
            <w:tcW w:w="6100" w:type="dxa"/>
          </w:tcPr>
          <w:p w14:paraId="2B5B224D" w14:textId="315E5C05" w:rsidR="00EB3B48" w:rsidRPr="00DA61E0" w:rsidRDefault="00EB3B48" w:rsidP="00120312">
            <w:pPr>
              <w:jc w:val="both"/>
              <w:rPr>
                <w:rFonts w:ascii="Verdana" w:hAnsi="Verdana" w:cs="Arial"/>
                <w:b/>
                <w:bCs/>
                <w:lang w:val="es-ES" w:eastAsia="es-ES"/>
              </w:rPr>
            </w:pPr>
            <w:r w:rsidRPr="00DA61E0">
              <w:rPr>
                <w:rFonts w:ascii="Verdana" w:hAnsi="Verdana" w:cs="Arial"/>
                <w:b/>
                <w:bCs/>
                <w:lang w:val="es-ES" w:eastAsia="es-ES"/>
              </w:rPr>
              <w:t>Concepto C</w:t>
            </w:r>
            <w:r w:rsidR="00C22106">
              <w:rPr>
                <w:rFonts w:ascii="Verdana" w:hAnsi="Verdana" w:cs="Arial"/>
                <w:b/>
                <w:bCs/>
                <w:lang w:val="es-ES" w:eastAsia="es-ES"/>
              </w:rPr>
              <w:t>-</w:t>
            </w:r>
            <w:r>
              <w:rPr>
                <w:rFonts w:ascii="Verdana" w:hAnsi="Verdana" w:cs="Arial"/>
                <w:b/>
                <w:bCs/>
                <w:lang w:val="es-ES" w:eastAsia="es-ES"/>
              </w:rPr>
              <w:t>916 de 2026</w:t>
            </w:r>
          </w:p>
          <w:p w14:paraId="623FB45E" w14:textId="77777777" w:rsidR="00EB3B48" w:rsidRPr="00DA61E0" w:rsidRDefault="00EB3B48" w:rsidP="00120312">
            <w:pPr>
              <w:jc w:val="both"/>
              <w:rPr>
                <w:rFonts w:ascii="Verdana" w:hAnsi="Verdana" w:cs="Arial"/>
                <w:b/>
                <w:bCs/>
                <w:color w:val="7030A0"/>
                <w:lang w:val="es-ES" w:eastAsia="es-ES"/>
              </w:rPr>
            </w:pPr>
          </w:p>
        </w:tc>
      </w:tr>
      <w:tr w:rsidR="00EB3B48" w:rsidRPr="00DA61E0" w14:paraId="33ABD1E1" w14:textId="77777777" w:rsidTr="00120312">
        <w:trPr>
          <w:trHeight w:val="884"/>
        </w:trPr>
        <w:tc>
          <w:tcPr>
            <w:tcW w:w="2738" w:type="dxa"/>
            <w:hideMark/>
          </w:tcPr>
          <w:p w14:paraId="708B06F6" w14:textId="77777777" w:rsidR="00EB3B48" w:rsidRPr="00DA61E0" w:rsidRDefault="00EB3B48" w:rsidP="00120312">
            <w:pPr>
              <w:spacing w:line="276" w:lineRule="auto"/>
              <w:jc w:val="both"/>
              <w:rPr>
                <w:rFonts w:ascii="Verdana" w:hAnsi="Verdana" w:cs="Arial"/>
                <w:color w:val="000000"/>
                <w:lang w:val="es-ES_tradnl" w:eastAsia="es-ES_tradnl"/>
              </w:rPr>
            </w:pPr>
            <w:r w:rsidRPr="00DA61E0">
              <w:rPr>
                <w:rFonts w:ascii="Verdana" w:hAnsi="Verdana" w:cs="Arial"/>
                <w:b/>
                <w:color w:val="000000"/>
                <w:lang w:val="es-ES_tradnl" w:eastAsia="es-ES_tradnl"/>
              </w:rPr>
              <w:t>Temas:</w:t>
            </w:r>
            <w:r w:rsidRPr="00DA61E0">
              <w:rPr>
                <w:rFonts w:ascii="Verdana" w:hAnsi="Verdana" w:cs="Arial"/>
                <w:color w:val="000000"/>
                <w:lang w:val="es-ES_tradnl" w:eastAsia="es-ES_tradnl"/>
              </w:rPr>
              <w:t xml:space="preserve">                   </w:t>
            </w:r>
          </w:p>
        </w:tc>
        <w:tc>
          <w:tcPr>
            <w:tcW w:w="6100" w:type="dxa"/>
          </w:tcPr>
          <w:p w14:paraId="2096F71E" w14:textId="00D873FC" w:rsidR="00EB3B48" w:rsidRDefault="00EB3B48" w:rsidP="00120312">
            <w:pPr>
              <w:spacing w:line="276" w:lineRule="auto"/>
              <w:jc w:val="both"/>
              <w:rPr>
                <w:rFonts w:ascii="Verdana" w:hAnsi="Verdana"/>
                <w:bCs/>
              </w:rPr>
            </w:pPr>
            <w:r>
              <w:rPr>
                <w:rFonts w:ascii="Verdana" w:hAnsi="Verdana" w:cs="Arial"/>
                <w:lang w:val="es-ES_tradnl" w:eastAsia="es-ES"/>
              </w:rPr>
              <w:t xml:space="preserve">PRECIO – Elemento – Contrato Estatal / </w:t>
            </w:r>
            <w:r w:rsidRPr="0037636C">
              <w:rPr>
                <w:rFonts w:ascii="Verdana" w:hAnsi="Verdana" w:cs="Arial"/>
                <w:lang w:val="es-ES" w:eastAsia="es-ES"/>
              </w:rPr>
              <w:t>PRECIOS UNITARIOS –</w:t>
            </w:r>
            <w:r>
              <w:rPr>
                <w:rFonts w:ascii="Verdana" w:hAnsi="Verdana" w:cs="Arial"/>
                <w:lang w:val="es-ES" w:eastAsia="es-ES"/>
              </w:rPr>
              <w:t xml:space="preserve"> Estructuración del precio </w:t>
            </w:r>
            <w:r w:rsidRPr="0037636C">
              <w:rPr>
                <w:rFonts w:ascii="Verdana" w:hAnsi="Verdana" w:cs="Arial"/>
                <w:lang w:val="es-ES" w:eastAsia="es-ES"/>
              </w:rPr>
              <w:t>– C</w:t>
            </w:r>
            <w:r>
              <w:rPr>
                <w:rFonts w:ascii="Verdana" w:hAnsi="Verdana" w:cs="Arial"/>
                <w:lang w:val="es-ES" w:eastAsia="es-ES"/>
              </w:rPr>
              <w:t xml:space="preserve">antidades de obra </w:t>
            </w:r>
            <w:r w:rsidRPr="0037636C">
              <w:rPr>
                <w:rFonts w:ascii="Verdana" w:hAnsi="Verdana" w:cs="Arial"/>
                <w:lang w:val="es-ES" w:eastAsia="es-ES"/>
              </w:rPr>
              <w:t xml:space="preserve">/ </w:t>
            </w:r>
            <w:r w:rsidRPr="00CD2603">
              <w:rPr>
                <w:rFonts w:ascii="Verdana" w:hAnsi="Verdana" w:cs="Arial"/>
                <w:bCs/>
                <w:szCs w:val="24"/>
                <w:lang w:eastAsia="es-ES_tradnl"/>
              </w:rPr>
              <w:t>ADICIÓN – Concepto – Distintos supuestos – Prohibición – Adición en más del 50% / ADICIÓN – Prohibición – Monto – Cálculo – Parágrafo artículo 40 – Ley 80 de 1993 / ADICIÓN – Mayores cantidades – Límites – Posturas /</w:t>
            </w:r>
            <w:r w:rsidRPr="00CD2603">
              <w:rPr>
                <w:rFonts w:ascii="Verdana" w:hAnsi="Verdana" w:cs="Arial"/>
                <w:bCs/>
                <w:szCs w:val="24"/>
                <w:lang w:eastAsia="es-ES_tradnl" w:bidi="es-ES"/>
              </w:rPr>
              <w:t xml:space="preserve"> MODIFICACIÓN DE LOS CONTRATOS ESTATALES – Procedencia – Límites</w:t>
            </w:r>
            <w:r w:rsidRPr="00CD2603">
              <w:rPr>
                <w:rFonts w:ascii="Verdana" w:hAnsi="Verdana" w:cs="Arial"/>
                <w:bCs/>
                <w:szCs w:val="24"/>
                <w:lang w:eastAsia="es-ES_tradnl"/>
              </w:rPr>
              <w:t xml:space="preserve"> / </w:t>
            </w:r>
            <w:r w:rsidRPr="00CD2603">
              <w:rPr>
                <w:rFonts w:ascii="Verdana" w:hAnsi="Verdana"/>
                <w:bCs/>
              </w:rPr>
              <w:t>MODIFICACIÓN DE LOS CONTRATOS ESTATALES –Principio de planeación</w:t>
            </w:r>
            <w:r>
              <w:rPr>
                <w:rFonts w:ascii="Verdana" w:hAnsi="Verdana"/>
                <w:bCs/>
              </w:rPr>
              <w:t xml:space="preserve"> – Deber</w:t>
            </w:r>
          </w:p>
          <w:p w14:paraId="5A92F52A" w14:textId="77777777" w:rsidR="00EB3B48" w:rsidRPr="00762492" w:rsidRDefault="00EB3B48" w:rsidP="00120312">
            <w:pPr>
              <w:jc w:val="both"/>
              <w:rPr>
                <w:rFonts w:ascii="Verdana" w:hAnsi="Verdana"/>
                <w:bCs/>
              </w:rPr>
            </w:pPr>
          </w:p>
          <w:p w14:paraId="52D44019" w14:textId="77777777" w:rsidR="00EB3B48" w:rsidRPr="00DA61E0" w:rsidRDefault="00EB3B48" w:rsidP="00120312">
            <w:pPr>
              <w:spacing w:line="276" w:lineRule="auto"/>
              <w:jc w:val="both"/>
              <w:rPr>
                <w:rFonts w:ascii="Verdana" w:hAnsi="Verdana" w:cs="Arial"/>
                <w:lang w:val="es-ES" w:eastAsia="es-ES"/>
              </w:rPr>
            </w:pPr>
          </w:p>
        </w:tc>
      </w:tr>
      <w:tr w:rsidR="00EB3B48" w:rsidRPr="00DA61E0" w14:paraId="3E7F6526" w14:textId="77777777" w:rsidTr="00120312">
        <w:trPr>
          <w:trHeight w:val="644"/>
        </w:trPr>
        <w:tc>
          <w:tcPr>
            <w:tcW w:w="2738" w:type="dxa"/>
            <w:hideMark/>
          </w:tcPr>
          <w:p w14:paraId="619F7390" w14:textId="77777777" w:rsidR="00EB3B48" w:rsidRPr="00DA61E0" w:rsidRDefault="00EB3B48" w:rsidP="00120312">
            <w:pPr>
              <w:jc w:val="both"/>
              <w:rPr>
                <w:rFonts w:ascii="Verdana" w:hAnsi="Verdana" w:cs="Arial"/>
                <w:b/>
                <w:lang w:val="es-ES_tradnl" w:eastAsia="es-ES_tradnl"/>
              </w:rPr>
            </w:pPr>
            <w:r w:rsidRPr="00DA61E0">
              <w:rPr>
                <w:rFonts w:ascii="Verdana" w:hAnsi="Verdana" w:cs="Arial"/>
                <w:b/>
                <w:lang w:val="es-ES_tradnl" w:eastAsia="es-ES_tradnl"/>
              </w:rPr>
              <w:t>Radicación:</w:t>
            </w:r>
            <w:r w:rsidRPr="00DA61E0">
              <w:rPr>
                <w:rFonts w:ascii="Verdana" w:hAnsi="Verdana" w:cs="Arial"/>
                <w:lang w:val="es-ES_tradnl" w:eastAsia="es-ES_tradnl"/>
              </w:rPr>
              <w:t xml:space="preserve">               </w:t>
            </w:r>
          </w:p>
        </w:tc>
        <w:tc>
          <w:tcPr>
            <w:tcW w:w="6100" w:type="dxa"/>
            <w:hideMark/>
          </w:tcPr>
          <w:p w14:paraId="3D213873" w14:textId="77777777" w:rsidR="00EB3B48" w:rsidRPr="00DA61E0" w:rsidRDefault="00EB3B48" w:rsidP="00120312">
            <w:pPr>
              <w:jc w:val="both"/>
              <w:rPr>
                <w:rFonts w:ascii="Verdana" w:hAnsi="Verdana" w:cs="Arial"/>
                <w:lang w:eastAsia="es-ES_tradnl"/>
              </w:rPr>
            </w:pPr>
            <w:r w:rsidRPr="00DA61E0">
              <w:rPr>
                <w:rFonts w:ascii="Verdana" w:hAnsi="Verdana" w:cs="Arial"/>
                <w:lang w:val="es-ES_tradnl" w:eastAsia="es-ES_tradnl"/>
              </w:rPr>
              <w:t xml:space="preserve">Respuesta a la consulta con radicado No. </w:t>
            </w:r>
            <w:r w:rsidRPr="002D61CD">
              <w:rPr>
                <w:rFonts w:ascii="Verdana" w:hAnsi="Verdana" w:cs="Arial"/>
                <w:lang w:eastAsia="es-ES_tradnl"/>
              </w:rPr>
              <w:t>1_2026_06_02_007440</w:t>
            </w:r>
          </w:p>
        </w:tc>
      </w:tr>
    </w:tbl>
    <w:p w14:paraId="385846AF" w14:textId="77777777" w:rsidR="00EB3B48" w:rsidRPr="00DA61E0" w:rsidRDefault="00EB3B48" w:rsidP="00EB3B48">
      <w:pPr>
        <w:spacing w:after="0" w:line="240" w:lineRule="auto"/>
        <w:jc w:val="both"/>
        <w:rPr>
          <w:rFonts w:ascii="Verdana" w:eastAsia="Calibri" w:hAnsi="Verdana" w:cs="Arial"/>
          <w:color w:val="000000"/>
          <w:lang w:eastAsia="es-ES_tradnl"/>
        </w:rPr>
      </w:pPr>
    </w:p>
    <w:p w14:paraId="2D9C8649" w14:textId="77777777" w:rsidR="00EB3B48" w:rsidRPr="00DA61E0" w:rsidRDefault="00EB3B48" w:rsidP="00EB3B48">
      <w:pPr>
        <w:spacing w:after="0" w:line="240" w:lineRule="auto"/>
        <w:jc w:val="both"/>
        <w:rPr>
          <w:rFonts w:ascii="Verdana" w:eastAsia="Calibri" w:hAnsi="Verdana" w:cs="Arial"/>
          <w:color w:val="000000"/>
          <w:lang w:val="es-ES_tradnl" w:eastAsia="es-ES_tradnl"/>
        </w:rPr>
      </w:pPr>
    </w:p>
    <w:p w14:paraId="68D868C5" w14:textId="77777777" w:rsidR="00EB3B48" w:rsidRPr="00DA61E0" w:rsidRDefault="00EB3B48" w:rsidP="00EB3B48">
      <w:pPr>
        <w:spacing w:after="0" w:line="276" w:lineRule="auto"/>
        <w:jc w:val="both"/>
        <w:rPr>
          <w:rFonts w:ascii="Verdana" w:eastAsia="Calibri" w:hAnsi="Verdana" w:cs="Arial"/>
          <w:lang w:val="es-ES" w:eastAsia="es-ES"/>
        </w:rPr>
      </w:pPr>
      <w:r w:rsidRPr="00DA61E0">
        <w:rPr>
          <w:rFonts w:ascii="Verdana" w:eastAsia="Calibri" w:hAnsi="Verdana" w:cs="Arial"/>
          <w:lang w:val="es-ES" w:eastAsia="es-ES"/>
        </w:rPr>
        <w:t>Estima</w:t>
      </w:r>
      <w:r>
        <w:rPr>
          <w:rFonts w:ascii="Verdana" w:eastAsia="Calibri" w:hAnsi="Verdana" w:cs="Arial"/>
          <w:lang w:val="es-ES" w:eastAsia="es-ES"/>
        </w:rPr>
        <w:t>do Señor Oliver</w:t>
      </w:r>
      <w:r w:rsidRPr="00DA61E0">
        <w:rPr>
          <w:rFonts w:ascii="Verdana" w:eastAsia="Calibri" w:hAnsi="Verdana" w:cs="Arial"/>
          <w:lang w:val="es-ES" w:eastAsia="es-ES"/>
        </w:rPr>
        <w:t xml:space="preserve">: </w:t>
      </w:r>
    </w:p>
    <w:p w14:paraId="51384DFE" w14:textId="77777777" w:rsidR="00EB3B48" w:rsidRPr="00DA61E0" w:rsidRDefault="00EB3B48" w:rsidP="00EB3B48">
      <w:pPr>
        <w:spacing w:after="0" w:line="276" w:lineRule="auto"/>
        <w:jc w:val="both"/>
        <w:rPr>
          <w:rFonts w:ascii="Verdana" w:eastAsia="Calibri" w:hAnsi="Verdana" w:cs="Arial"/>
          <w:lang w:val="es-ES" w:eastAsia="es-ES"/>
        </w:rPr>
      </w:pPr>
    </w:p>
    <w:p w14:paraId="7814EFD9" w14:textId="6A1D4982" w:rsidR="00EB3B48" w:rsidRDefault="00EB3B48" w:rsidP="00EB3B48">
      <w:pPr>
        <w:spacing w:after="0" w:line="276" w:lineRule="auto"/>
        <w:jc w:val="both"/>
        <w:rPr>
          <w:rFonts w:ascii="Verdana" w:eastAsia="Calibri" w:hAnsi="Verdana" w:cs="Arial"/>
          <w:bCs/>
          <w:color w:val="000000" w:themeColor="text1"/>
          <w:lang w:val="es-ES" w:eastAsia="es-ES" w:bidi="es-ES"/>
        </w:rPr>
      </w:pPr>
      <w:r w:rsidRPr="005C48CB">
        <w:rPr>
          <w:rFonts w:ascii="Verdana" w:eastAsia="Calibri" w:hAnsi="Verdana" w:cs="Arial"/>
          <w:bCs/>
          <w:color w:val="000000" w:themeColor="text1"/>
          <w:lang w:val="es-ES" w:eastAsia="es-ES" w:bidi="es-ES"/>
        </w:rPr>
        <w:t xml:space="preserve">En ejercicio de la competencia otorgada por los artículos 3, numeral 5º, y 11, numeral 8º, del Decreto Ley 4170 de 2011, </w:t>
      </w:r>
      <w:r w:rsidRPr="005C48CB">
        <w:rPr>
          <w:rFonts w:ascii="Verdana" w:eastAsia="Calibri" w:hAnsi="Verdana" w:cs="Arial"/>
          <w:bCs/>
          <w:color w:val="000000" w:themeColor="text1"/>
          <w:lang w:eastAsia="es-ES"/>
        </w:rPr>
        <w:t xml:space="preserve">así como lo establecido por la Resolución 469 de 2025 expedida por esta Entidad, </w:t>
      </w:r>
      <w:r>
        <w:rPr>
          <w:rFonts w:ascii="Verdana" w:eastAsia="Calibri" w:hAnsi="Verdana" w:cs="Arial"/>
          <w:bCs/>
          <w:color w:val="000000" w:themeColor="text1"/>
          <w:lang w:eastAsia="es-ES"/>
        </w:rPr>
        <w:t>l</w:t>
      </w:r>
      <w:r w:rsidRPr="00A230CE">
        <w:rPr>
          <w:rFonts w:ascii="Verdana" w:eastAsia="Calibri" w:hAnsi="Verdana" w:cs="Arial"/>
          <w:bCs/>
          <w:color w:val="000000" w:themeColor="text1"/>
          <w:lang w:eastAsia="es-ES"/>
        </w:rPr>
        <w:t>a Agencia Nacional de Contratación Pública –Colombia Compra Eficiente– da respuesta a la solicitud de consulta presentada el</w:t>
      </w:r>
      <w:r w:rsidR="000A6C1D">
        <w:rPr>
          <w:rFonts w:ascii="Verdana" w:eastAsia="Calibri" w:hAnsi="Verdana" w:cs="Arial"/>
          <w:bCs/>
          <w:color w:val="000000" w:themeColor="text1"/>
          <w:lang w:eastAsia="es-ES"/>
        </w:rPr>
        <w:t xml:space="preserve"> 2 de junio</w:t>
      </w:r>
      <w:r w:rsidRPr="00A230CE">
        <w:rPr>
          <w:rFonts w:ascii="Verdana" w:eastAsia="Calibri" w:hAnsi="Verdana" w:cs="Arial"/>
          <w:bCs/>
          <w:color w:val="000000" w:themeColor="text1"/>
          <w:lang w:eastAsia="es-ES"/>
        </w:rPr>
        <w:t>, en el ámbito de sus competencias</w:t>
      </w:r>
      <w:r w:rsidRPr="005C48CB">
        <w:rPr>
          <w:rFonts w:ascii="Verdana" w:eastAsia="Calibri" w:hAnsi="Verdana" w:cs="Arial"/>
          <w:bCs/>
          <w:color w:val="000000" w:themeColor="text1"/>
          <w:lang w:val="es-ES" w:eastAsia="es-ES" w:bidi="es-ES"/>
        </w:rPr>
        <w:t xml:space="preserve">: </w:t>
      </w:r>
    </w:p>
    <w:p w14:paraId="56424B38" w14:textId="77777777" w:rsidR="00EB3B48" w:rsidRDefault="00EB3B48" w:rsidP="00EB3B48">
      <w:pPr>
        <w:spacing w:after="0" w:line="276" w:lineRule="auto"/>
        <w:jc w:val="both"/>
        <w:rPr>
          <w:rFonts w:ascii="Verdana" w:eastAsia="Calibri" w:hAnsi="Verdana" w:cs="Arial"/>
          <w:bCs/>
          <w:color w:val="000000" w:themeColor="text1"/>
          <w:lang w:eastAsia="es-ES" w:bidi="es-ES"/>
        </w:rPr>
      </w:pPr>
    </w:p>
    <w:p w14:paraId="484C990E" w14:textId="77777777" w:rsidR="00EB3B48" w:rsidRPr="004915C1" w:rsidRDefault="00EB3B48" w:rsidP="00EB3B48">
      <w:pPr>
        <w:spacing w:after="0" w:line="240" w:lineRule="auto"/>
        <w:ind w:left="709" w:right="709"/>
        <w:jc w:val="both"/>
        <w:rPr>
          <w:rFonts w:ascii="Verdana" w:eastAsia="Calibri" w:hAnsi="Verdana" w:cs="Arial"/>
          <w:bCs/>
          <w:color w:val="000000" w:themeColor="text1"/>
          <w:sz w:val="20"/>
          <w:szCs w:val="20"/>
          <w:lang w:eastAsia="es-ES" w:bidi="es-ES"/>
        </w:rPr>
      </w:pPr>
      <w:r w:rsidRPr="004915C1">
        <w:rPr>
          <w:rFonts w:ascii="Verdana" w:eastAsia="Calibri" w:hAnsi="Verdana" w:cs="Arial"/>
          <w:bCs/>
          <w:color w:val="000000" w:themeColor="text1"/>
          <w:sz w:val="20"/>
          <w:szCs w:val="20"/>
          <w:lang w:eastAsia="es-ES" w:bidi="es-ES"/>
        </w:rPr>
        <w:t xml:space="preserve">1.- ¿La inyección, apropiación, disponibilidad o incorporación de recursos a un contrato estatal pactado a precios unitarios, destinada exclusivamente a pagar mayores cantidades de ítems originalmente previstos, constituye una adición contractual en los términos del parágrafo </w:t>
      </w:r>
      <w:r w:rsidRPr="004915C1">
        <w:rPr>
          <w:rFonts w:ascii="Verdana" w:eastAsia="Calibri" w:hAnsi="Verdana" w:cs="Arial"/>
          <w:bCs/>
          <w:color w:val="000000" w:themeColor="text1"/>
          <w:sz w:val="20"/>
          <w:szCs w:val="20"/>
          <w:lang w:eastAsia="es-ES" w:bidi="es-ES"/>
        </w:rPr>
        <w:lastRenderedPageBreak/>
        <w:t xml:space="preserve">del artículo 40 de la Ley 80 de 1993, cuando el alcance y objeto del contrato no han sido modificados? </w:t>
      </w:r>
    </w:p>
    <w:p w14:paraId="3D9895A3" w14:textId="77777777" w:rsidR="00EB3B48" w:rsidRPr="004915C1" w:rsidRDefault="00EB3B48" w:rsidP="00EB3B48">
      <w:pPr>
        <w:spacing w:after="0" w:line="240" w:lineRule="auto"/>
        <w:ind w:left="709" w:right="709"/>
        <w:jc w:val="both"/>
        <w:rPr>
          <w:rFonts w:ascii="Verdana" w:eastAsia="Calibri" w:hAnsi="Verdana" w:cs="Arial"/>
          <w:bCs/>
          <w:color w:val="000000" w:themeColor="text1"/>
          <w:sz w:val="20"/>
          <w:szCs w:val="20"/>
          <w:lang w:eastAsia="es-ES" w:bidi="es-ES"/>
        </w:rPr>
      </w:pPr>
      <w:r w:rsidRPr="004915C1">
        <w:rPr>
          <w:rFonts w:ascii="Verdana" w:eastAsia="Calibri" w:hAnsi="Verdana" w:cs="Arial"/>
          <w:bCs/>
          <w:color w:val="000000" w:themeColor="text1"/>
          <w:sz w:val="20"/>
          <w:szCs w:val="20"/>
          <w:lang w:eastAsia="es-ES" w:bidi="es-ES"/>
        </w:rPr>
        <w:t xml:space="preserve">2.- ¿En los contratos a precios unitarios, el valor inicial debe entenderse como una estimación presupuestal, de manera que el valor final pueda ser superior cuando las cantidades efectivamente ejecutadas superen las inicialmente previstas, siempre que se mantengan los ítems y precios unitarios pactados? </w:t>
      </w:r>
    </w:p>
    <w:p w14:paraId="21B1691B" w14:textId="77777777" w:rsidR="00EB3B48" w:rsidRPr="004915C1" w:rsidRDefault="00EB3B48" w:rsidP="00EB3B48">
      <w:pPr>
        <w:spacing w:after="0" w:line="240" w:lineRule="auto"/>
        <w:ind w:left="709" w:right="709"/>
        <w:jc w:val="both"/>
        <w:rPr>
          <w:rFonts w:ascii="Verdana" w:eastAsia="Calibri" w:hAnsi="Verdana" w:cs="Arial"/>
          <w:bCs/>
          <w:color w:val="000000" w:themeColor="text1"/>
          <w:sz w:val="20"/>
          <w:szCs w:val="20"/>
          <w:lang w:eastAsia="es-ES" w:bidi="es-ES"/>
        </w:rPr>
      </w:pPr>
      <w:r w:rsidRPr="004915C1">
        <w:rPr>
          <w:rFonts w:ascii="Verdana" w:eastAsia="Calibri" w:hAnsi="Verdana" w:cs="Arial"/>
          <w:bCs/>
          <w:color w:val="000000" w:themeColor="text1"/>
          <w:sz w:val="20"/>
          <w:szCs w:val="20"/>
          <w:lang w:eastAsia="es-ES" w:bidi="es-ES"/>
        </w:rPr>
        <w:t xml:space="preserve">3.- ¿La ejecución de mayores cantidades de actividades originalmente pactadas y remuneradas con precios unitarios previamente convenidos implica modificación del contrato estatal, o constituye únicamente la determinación del precio final conforme a la fórmula económica acordada? </w:t>
      </w:r>
    </w:p>
    <w:p w14:paraId="2E19F0F3" w14:textId="77777777" w:rsidR="00EB3B48" w:rsidRPr="004915C1" w:rsidRDefault="00EB3B48" w:rsidP="00EB3B48">
      <w:pPr>
        <w:spacing w:after="0" w:line="240" w:lineRule="auto"/>
        <w:ind w:left="709" w:right="709"/>
        <w:jc w:val="both"/>
        <w:rPr>
          <w:rFonts w:ascii="Verdana" w:eastAsia="Calibri" w:hAnsi="Verdana" w:cs="Arial"/>
          <w:bCs/>
          <w:color w:val="000000" w:themeColor="text1"/>
          <w:sz w:val="20"/>
          <w:szCs w:val="20"/>
          <w:lang w:eastAsia="es-ES" w:bidi="es-ES"/>
        </w:rPr>
      </w:pPr>
      <w:r w:rsidRPr="004915C1">
        <w:rPr>
          <w:rFonts w:ascii="Verdana" w:eastAsia="Calibri" w:hAnsi="Verdana" w:cs="Arial"/>
          <w:bCs/>
          <w:color w:val="000000" w:themeColor="text1"/>
          <w:sz w:val="20"/>
          <w:szCs w:val="20"/>
          <w:lang w:eastAsia="es-ES" w:bidi="es-ES"/>
        </w:rPr>
        <w:t xml:space="preserve">4.- ¿El límite del cincuenta por ciento (50%) previsto en el parágrafo del artículo 40 de la Ley 80 de 1993 resulta aplicable a la incorporación de recursos destinada a pagar mayores cantidades de obra, bienes o servicios incluidos en el alcance inicial del contrato y pagaderos a precios unitarios? </w:t>
      </w:r>
    </w:p>
    <w:p w14:paraId="343D6056" w14:textId="77777777" w:rsidR="00EB3B48" w:rsidRPr="004915C1" w:rsidRDefault="00EB3B48" w:rsidP="00EB3B48">
      <w:pPr>
        <w:spacing w:after="0" w:line="240" w:lineRule="auto"/>
        <w:ind w:left="709" w:right="709"/>
        <w:jc w:val="both"/>
        <w:rPr>
          <w:rFonts w:ascii="Verdana" w:eastAsia="Calibri" w:hAnsi="Verdana" w:cs="Arial"/>
          <w:bCs/>
          <w:color w:val="000000" w:themeColor="text1"/>
          <w:sz w:val="20"/>
          <w:szCs w:val="20"/>
          <w:lang w:eastAsia="es-ES" w:bidi="es-ES"/>
        </w:rPr>
      </w:pPr>
      <w:r w:rsidRPr="004915C1">
        <w:rPr>
          <w:rFonts w:ascii="Verdana" w:eastAsia="Calibri" w:hAnsi="Verdana" w:cs="Arial"/>
          <w:bCs/>
          <w:color w:val="000000" w:themeColor="text1"/>
          <w:sz w:val="20"/>
          <w:szCs w:val="20"/>
          <w:lang w:eastAsia="es-ES" w:bidi="es-ES"/>
        </w:rPr>
        <w:t xml:space="preserve">5.- ¿Cuál es la diferencia jurídica y práctica entre: (i) mayores cantidades de ítems pactados a precios unitarios; (ii) obras, bienes o servicios adicionales no previstos en el alcance contractual; y (iii) modificaciones contractuales que incorporan nuevos ítems o nuevos precios unitarios que no implican obras o servicios adicionales? </w:t>
      </w:r>
    </w:p>
    <w:p w14:paraId="31A596B7" w14:textId="77777777" w:rsidR="00EB3B48" w:rsidRPr="004915C1" w:rsidRDefault="00EB3B48" w:rsidP="00EB3B48">
      <w:pPr>
        <w:spacing w:after="0" w:line="240" w:lineRule="auto"/>
        <w:ind w:left="709" w:right="709"/>
        <w:jc w:val="both"/>
        <w:rPr>
          <w:rFonts w:ascii="Verdana" w:eastAsia="Calibri" w:hAnsi="Verdana" w:cs="Arial"/>
          <w:bCs/>
          <w:color w:val="000000" w:themeColor="text1"/>
          <w:sz w:val="20"/>
          <w:szCs w:val="20"/>
          <w:lang w:eastAsia="es-ES" w:bidi="es-ES"/>
        </w:rPr>
      </w:pPr>
      <w:r w:rsidRPr="004915C1">
        <w:rPr>
          <w:rFonts w:ascii="Verdana" w:eastAsia="Calibri" w:hAnsi="Verdana" w:cs="Arial"/>
          <w:bCs/>
          <w:color w:val="000000" w:themeColor="text1"/>
          <w:sz w:val="20"/>
          <w:szCs w:val="20"/>
          <w:lang w:eastAsia="es-ES" w:bidi="es-ES"/>
        </w:rPr>
        <w:t xml:space="preserve">6.- ¿Qué requisitos contractuales, presupuestales, técnicos y de control debe observar una entidad estatal para reconocer y pagar mayores cantidades en contratos a precios unitarios sin que ello se configure como una adición contractual? </w:t>
      </w:r>
    </w:p>
    <w:p w14:paraId="3893AB4B" w14:textId="77777777" w:rsidR="00EB3B48" w:rsidRPr="004915C1" w:rsidRDefault="00EB3B48" w:rsidP="00EB3B48">
      <w:pPr>
        <w:spacing w:after="0" w:line="240" w:lineRule="auto"/>
        <w:ind w:left="709" w:right="709"/>
        <w:jc w:val="both"/>
        <w:rPr>
          <w:rFonts w:ascii="Verdana" w:eastAsia="Calibri" w:hAnsi="Verdana" w:cs="Arial"/>
          <w:bCs/>
          <w:color w:val="000000" w:themeColor="text1"/>
          <w:sz w:val="20"/>
          <w:szCs w:val="20"/>
          <w:lang w:eastAsia="es-ES" w:bidi="es-ES"/>
        </w:rPr>
      </w:pPr>
      <w:r w:rsidRPr="004915C1">
        <w:rPr>
          <w:rFonts w:ascii="Verdana" w:eastAsia="Calibri" w:hAnsi="Verdana" w:cs="Arial"/>
          <w:bCs/>
          <w:color w:val="000000" w:themeColor="text1"/>
          <w:sz w:val="20"/>
          <w:szCs w:val="20"/>
          <w:lang w:eastAsia="es-ES" w:bidi="es-ES"/>
        </w:rPr>
        <w:t xml:space="preserve">7.- ¿La entidad debe suscribir un otrosí de adición contractual para inyectar recursos en estos eventos, o basta con adelantar los actos, certificaciones, registros, disponibilidades y soportes presupuestales necesarios para atender el pago de las cantidades ejecutadas dentro del alcance inicialmente contratado? </w:t>
      </w:r>
    </w:p>
    <w:p w14:paraId="141F3AA9" w14:textId="77777777" w:rsidR="00EB3B48" w:rsidRPr="004915C1" w:rsidRDefault="00EB3B48" w:rsidP="00EB3B48">
      <w:pPr>
        <w:spacing w:after="0" w:line="240" w:lineRule="auto"/>
        <w:ind w:left="709" w:right="709"/>
        <w:jc w:val="both"/>
        <w:rPr>
          <w:rFonts w:ascii="Verdana" w:eastAsia="Calibri" w:hAnsi="Verdana" w:cs="Arial"/>
          <w:bCs/>
          <w:color w:val="000000" w:themeColor="text1"/>
          <w:sz w:val="20"/>
          <w:szCs w:val="20"/>
          <w:lang w:eastAsia="es-ES" w:bidi="es-ES"/>
        </w:rPr>
      </w:pPr>
      <w:r w:rsidRPr="004915C1">
        <w:rPr>
          <w:rFonts w:ascii="Verdana" w:eastAsia="Calibri" w:hAnsi="Verdana" w:cs="Arial"/>
          <w:bCs/>
          <w:color w:val="000000" w:themeColor="text1"/>
          <w:sz w:val="20"/>
          <w:szCs w:val="20"/>
          <w:lang w:eastAsia="es-ES" w:bidi="es-ES"/>
        </w:rPr>
        <w:t xml:space="preserve">8.- ¿La respuesta varía si la necesidad de recursos se identifica durante la ejecución contractual, frente a los casos en que se advierte en la etapa de cierre o liquidación del contrato? </w:t>
      </w:r>
    </w:p>
    <w:p w14:paraId="0D1A13C7" w14:textId="77777777" w:rsidR="00EB3B48" w:rsidRPr="004915C1" w:rsidRDefault="00EB3B48" w:rsidP="00EB3B48">
      <w:pPr>
        <w:spacing w:after="0" w:line="240" w:lineRule="auto"/>
        <w:ind w:left="709" w:right="709"/>
        <w:jc w:val="both"/>
        <w:rPr>
          <w:rFonts w:ascii="Verdana" w:eastAsia="Calibri" w:hAnsi="Verdana" w:cs="Arial"/>
          <w:bCs/>
          <w:color w:val="000000" w:themeColor="text1"/>
          <w:sz w:val="20"/>
          <w:szCs w:val="20"/>
          <w:lang w:eastAsia="es-ES" w:bidi="es-ES"/>
        </w:rPr>
      </w:pPr>
      <w:r w:rsidRPr="004915C1">
        <w:rPr>
          <w:rFonts w:ascii="Verdana" w:eastAsia="Calibri" w:hAnsi="Verdana" w:cs="Arial"/>
          <w:bCs/>
          <w:color w:val="000000" w:themeColor="text1"/>
          <w:sz w:val="20"/>
          <w:szCs w:val="20"/>
          <w:lang w:eastAsia="es-ES" w:bidi="es-ES"/>
        </w:rPr>
        <w:t xml:space="preserve">9.- ¿Qué tratamiento debe darse a la publicación, registro y soporte documental en SECOP cuando la entidad requiere incorporar recursos para pagar mayores cantidades de ítems ya pactados en un contrato a precios unitarios, sin modificar el objeto ni el alcance contractual? </w:t>
      </w:r>
    </w:p>
    <w:p w14:paraId="3C757D7A" w14:textId="77777777" w:rsidR="00EB3B48" w:rsidRPr="004915C1" w:rsidRDefault="00EB3B48" w:rsidP="00EB3B48">
      <w:pPr>
        <w:spacing w:after="0" w:line="240" w:lineRule="auto"/>
        <w:ind w:left="709" w:right="709"/>
        <w:jc w:val="both"/>
        <w:rPr>
          <w:rFonts w:ascii="Verdana" w:eastAsia="Calibri" w:hAnsi="Verdana" w:cs="Arial"/>
          <w:bCs/>
          <w:color w:val="000000" w:themeColor="text1"/>
          <w:sz w:val="20"/>
          <w:szCs w:val="20"/>
          <w:lang w:eastAsia="es-ES" w:bidi="es-ES"/>
        </w:rPr>
      </w:pPr>
      <w:r w:rsidRPr="004915C1">
        <w:rPr>
          <w:rFonts w:ascii="Verdana" w:eastAsia="Calibri" w:hAnsi="Verdana" w:cs="Arial"/>
          <w:bCs/>
          <w:color w:val="000000" w:themeColor="text1"/>
          <w:sz w:val="20"/>
          <w:szCs w:val="20"/>
          <w:lang w:eastAsia="es-ES" w:bidi="es-ES"/>
        </w:rPr>
        <w:t xml:space="preserve">10.- Desde el principio de planeación, ¿es jurídicamente admisible entender que un contrato estatal de obra pactado a precios unitarios se desarrolla en función del presupuesto estimado y no en función del objeto y alcance contractual definidos en los estudios previos, pliegos, propuesta y contrato? </w:t>
      </w:r>
    </w:p>
    <w:p w14:paraId="025B9667" w14:textId="77777777" w:rsidR="00EB3B48" w:rsidRPr="004915C1" w:rsidRDefault="00EB3B48" w:rsidP="00EB3B48">
      <w:pPr>
        <w:spacing w:after="0" w:line="240" w:lineRule="auto"/>
        <w:ind w:left="709" w:right="709"/>
        <w:jc w:val="both"/>
        <w:rPr>
          <w:rFonts w:ascii="Verdana" w:eastAsia="Calibri" w:hAnsi="Verdana" w:cs="Arial"/>
          <w:bCs/>
          <w:color w:val="000000" w:themeColor="text1"/>
          <w:sz w:val="20"/>
          <w:szCs w:val="20"/>
          <w:lang w:eastAsia="es-ES" w:bidi="es-ES"/>
        </w:rPr>
      </w:pPr>
      <w:r w:rsidRPr="004915C1">
        <w:rPr>
          <w:rFonts w:ascii="Verdana" w:eastAsia="Calibri" w:hAnsi="Verdana" w:cs="Arial"/>
          <w:bCs/>
          <w:color w:val="000000" w:themeColor="text1"/>
          <w:sz w:val="20"/>
          <w:szCs w:val="20"/>
          <w:lang w:eastAsia="es-ES" w:bidi="es-ES"/>
        </w:rPr>
        <w:t xml:space="preserve">11.- ¿Resulta compatible con los principios de eficacia, economía, responsabilidad, planeación, selección objetiva y satisfacción del interés general limitar la ejecución de un contrato de obra pactado a precios unitarios al agotamiento del presupuesto estimado, aun cuando subsistan actividades comprendidas dentro del objeto y alcance inicialmente </w:t>
      </w:r>
      <w:r w:rsidRPr="004915C1">
        <w:rPr>
          <w:rFonts w:ascii="Verdana" w:eastAsia="Calibri" w:hAnsi="Verdana" w:cs="Arial"/>
          <w:bCs/>
          <w:color w:val="000000" w:themeColor="text1"/>
          <w:sz w:val="20"/>
          <w:szCs w:val="20"/>
          <w:lang w:eastAsia="es-ES" w:bidi="es-ES"/>
        </w:rPr>
        <w:lastRenderedPageBreak/>
        <w:t>contratados y existan precios unitarios previamente pactados para remunerarlas?</w:t>
      </w:r>
    </w:p>
    <w:p w14:paraId="0EA5A22C" w14:textId="77777777" w:rsidR="00EB3B48" w:rsidRPr="004915C1" w:rsidRDefault="00EB3B48" w:rsidP="00EB3B48">
      <w:pPr>
        <w:spacing w:after="0" w:line="240" w:lineRule="auto"/>
        <w:ind w:left="709" w:right="709"/>
        <w:jc w:val="both"/>
        <w:rPr>
          <w:rFonts w:ascii="Verdana" w:eastAsia="Calibri" w:hAnsi="Verdana" w:cs="Arial"/>
          <w:bCs/>
          <w:color w:val="000000" w:themeColor="text1"/>
          <w:sz w:val="20"/>
          <w:szCs w:val="20"/>
          <w:lang w:eastAsia="es-ES" w:bidi="es-ES"/>
        </w:rPr>
      </w:pPr>
      <w:r w:rsidRPr="004915C1">
        <w:rPr>
          <w:rFonts w:ascii="Verdana" w:eastAsia="Calibri" w:hAnsi="Verdana" w:cs="Arial"/>
          <w:bCs/>
          <w:color w:val="000000" w:themeColor="text1"/>
          <w:sz w:val="20"/>
          <w:szCs w:val="20"/>
          <w:lang w:eastAsia="es-ES" w:bidi="es-ES"/>
        </w:rPr>
        <w:t xml:space="preserve">12.- Si el valor inicial de un contrato a precios unitarios es una estimación derivada de cantidades aproximadas, ¿puede sostenerse jurídicamente que la entidad cumple el principio de planeación ejecutando únicamente hasta el monto presupuestal inicial, aunque ello impida desarrollar integralmente el objeto y alcance contractual originalmente definidos? </w:t>
      </w:r>
    </w:p>
    <w:p w14:paraId="034B20AC" w14:textId="77777777" w:rsidR="00EB3B48" w:rsidRPr="004915C1" w:rsidRDefault="00EB3B48" w:rsidP="00EB3B48">
      <w:pPr>
        <w:spacing w:after="0" w:line="240" w:lineRule="auto"/>
        <w:ind w:left="709" w:right="709"/>
        <w:jc w:val="both"/>
        <w:rPr>
          <w:rFonts w:ascii="Verdana" w:eastAsia="Calibri" w:hAnsi="Verdana" w:cs="Arial"/>
          <w:bCs/>
          <w:color w:val="000000" w:themeColor="text1"/>
          <w:sz w:val="20"/>
          <w:szCs w:val="20"/>
          <w:lang w:eastAsia="es-ES" w:bidi="es-ES"/>
        </w:rPr>
      </w:pPr>
      <w:r w:rsidRPr="004915C1">
        <w:rPr>
          <w:rFonts w:ascii="Verdana" w:eastAsia="Calibri" w:hAnsi="Verdana" w:cs="Arial"/>
          <w:bCs/>
          <w:color w:val="000000" w:themeColor="text1"/>
          <w:sz w:val="20"/>
          <w:szCs w:val="20"/>
          <w:lang w:eastAsia="es-ES" w:bidi="es-ES"/>
        </w:rPr>
        <w:t xml:space="preserve">13.- ¿La necesidad de incorporar recursos para pagar mayores cantidades de ítems incluidos en el alcance inicial puede entenderse como una consecuencia propia de la metodología de precios unitarios y de la ejecución del objeto contractual, siempre que no se incorporen prestaciones nuevas ni se modifique el alcance? </w:t>
      </w:r>
    </w:p>
    <w:p w14:paraId="743110D1" w14:textId="77777777" w:rsidR="00EB3B48" w:rsidRDefault="00EB3B48" w:rsidP="00EB3B48">
      <w:pPr>
        <w:spacing w:after="0" w:line="240" w:lineRule="auto"/>
        <w:ind w:left="709" w:right="709"/>
        <w:jc w:val="both"/>
        <w:rPr>
          <w:rFonts w:ascii="Verdana" w:eastAsia="Calibri" w:hAnsi="Verdana" w:cs="Arial"/>
          <w:bCs/>
          <w:color w:val="000000" w:themeColor="text1"/>
          <w:sz w:val="20"/>
          <w:szCs w:val="20"/>
          <w:lang w:eastAsia="es-ES" w:bidi="es-ES"/>
        </w:rPr>
      </w:pPr>
      <w:r w:rsidRPr="004915C1">
        <w:rPr>
          <w:rFonts w:ascii="Verdana" w:eastAsia="Calibri" w:hAnsi="Verdana" w:cs="Arial"/>
          <w:bCs/>
          <w:color w:val="000000" w:themeColor="text1"/>
          <w:sz w:val="20"/>
          <w:szCs w:val="20"/>
          <w:lang w:eastAsia="es-ES" w:bidi="es-ES"/>
        </w:rPr>
        <w:t>14.- ¿Qué criterios deben aplicar las entidades estatales para armonizar: (i) la disponibilidad y programación presupuestal; (ii) el deber de planeación; (iii) la obligación de ejecutar el objeto y alcance contractual; y (iv) la metodología de remuneración por precios unitarios?</w:t>
      </w:r>
    </w:p>
    <w:p w14:paraId="195F13D2" w14:textId="77777777" w:rsidR="00EB3B48" w:rsidRPr="004915C1" w:rsidRDefault="00EB3B48" w:rsidP="00EB3B48">
      <w:pPr>
        <w:spacing w:after="0" w:line="240" w:lineRule="auto"/>
        <w:ind w:left="709" w:right="709"/>
        <w:jc w:val="both"/>
        <w:rPr>
          <w:rFonts w:ascii="Verdana" w:eastAsia="Calibri" w:hAnsi="Verdana" w:cs="Arial"/>
          <w:bCs/>
          <w:color w:val="000000" w:themeColor="text1"/>
          <w:sz w:val="20"/>
          <w:szCs w:val="20"/>
          <w:lang w:eastAsia="es-ES" w:bidi="es-ES"/>
        </w:rPr>
      </w:pPr>
    </w:p>
    <w:p w14:paraId="6F882D70" w14:textId="77777777" w:rsidR="00EB3B48" w:rsidRPr="00DA61E0" w:rsidRDefault="00EB3B48" w:rsidP="00EB3B48">
      <w:pPr>
        <w:spacing w:after="120" w:line="276" w:lineRule="auto"/>
        <w:ind w:firstLine="709"/>
        <w:jc w:val="both"/>
        <w:rPr>
          <w:rFonts w:ascii="Verdana" w:eastAsia="Calibri" w:hAnsi="Verdana" w:cs="Arial"/>
          <w:color w:val="000000"/>
          <w:lang w:val="es-ES" w:eastAsia="es-ES"/>
        </w:rPr>
      </w:pPr>
      <w:r w:rsidRPr="00DA61E0">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concretos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A61E0">
        <w:rPr>
          <w:rFonts w:ascii="Verdana" w:eastAsia="Calibri" w:hAnsi="Verdana" w:cs="Arial"/>
          <w:color w:val="000000"/>
          <w:szCs w:val="24"/>
          <w:lang w:val="es-ES_tradnl" w:eastAsia="es-ES_tradnl"/>
        </w:rPr>
        <w:tab/>
      </w:r>
    </w:p>
    <w:p w14:paraId="56440CD5" w14:textId="77777777" w:rsidR="00EB3B48" w:rsidRPr="00DA61E0" w:rsidRDefault="00EB3B48" w:rsidP="00EB3B48">
      <w:pPr>
        <w:spacing w:after="0" w:line="276" w:lineRule="auto"/>
        <w:ind w:firstLine="708"/>
        <w:jc w:val="both"/>
        <w:rPr>
          <w:rFonts w:ascii="Verdana" w:eastAsia="Calibri" w:hAnsi="Verdana" w:cs="Arial"/>
          <w:lang w:val="es-ES" w:eastAsia="es-ES"/>
        </w:rPr>
      </w:pPr>
      <w:r w:rsidRPr="00DA61E0">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específicas que la hayan motivado, pero señalando algunas consideraciones sobre las normas generales relacionadas con</w:t>
      </w:r>
      <w:r>
        <w:rPr>
          <w:rFonts w:ascii="Verdana" w:eastAsia="Calibri" w:hAnsi="Verdana" w:cs="Arial"/>
          <w:color w:val="000000"/>
          <w:lang w:val="es-ES" w:eastAsia="es-ES"/>
        </w:rPr>
        <w:t xml:space="preserve"> los problemas jurídicos de su consulta. </w:t>
      </w:r>
    </w:p>
    <w:p w14:paraId="0BAD3DFE" w14:textId="77777777" w:rsidR="00EB3B48" w:rsidRPr="00DA61E0" w:rsidRDefault="00EB3B48" w:rsidP="00EB3B48">
      <w:pPr>
        <w:spacing w:after="0" w:line="276" w:lineRule="auto"/>
        <w:jc w:val="both"/>
        <w:rPr>
          <w:rFonts w:ascii="Verdana" w:eastAsia="Calibri" w:hAnsi="Verdana" w:cs="Arial"/>
          <w:color w:val="000000"/>
          <w:lang w:val="es-ES" w:eastAsia="es-ES"/>
        </w:rPr>
      </w:pPr>
    </w:p>
    <w:p w14:paraId="1030015C" w14:textId="77777777" w:rsidR="00EB3B48" w:rsidRPr="00DA61E0" w:rsidRDefault="00EB3B48" w:rsidP="00EB3B48">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DA61E0">
        <w:rPr>
          <w:rFonts w:ascii="Verdana" w:eastAsia="Century Gothic" w:hAnsi="Verdana" w:cs="Century Gothic"/>
          <w:b/>
          <w:bCs/>
          <w:lang w:val="es-ES"/>
        </w:rPr>
        <w:t xml:space="preserve"> Problema planteado:</w:t>
      </w:r>
    </w:p>
    <w:p w14:paraId="1CB0CFDC" w14:textId="77777777" w:rsidR="00EB3B48" w:rsidRPr="00DA61E0" w:rsidRDefault="00EB3B48" w:rsidP="00EB3B48">
      <w:pPr>
        <w:tabs>
          <w:tab w:val="left" w:pos="426"/>
        </w:tabs>
        <w:spacing w:after="0" w:line="276" w:lineRule="auto"/>
        <w:jc w:val="both"/>
        <w:rPr>
          <w:rFonts w:ascii="Verdana" w:eastAsia="Century Gothic" w:hAnsi="Verdana" w:cs="Century Gothic"/>
          <w:lang w:val="es-ES"/>
        </w:rPr>
      </w:pPr>
    </w:p>
    <w:p w14:paraId="4622EF8E" w14:textId="77777777" w:rsidR="00EB3B48" w:rsidRPr="00E56DB3" w:rsidRDefault="00EB3B48" w:rsidP="00EB3B48">
      <w:pPr>
        <w:spacing w:after="0" w:line="276" w:lineRule="auto"/>
        <w:jc w:val="both"/>
        <w:rPr>
          <w:rFonts w:ascii="Verdana" w:eastAsia="Century Gothic" w:hAnsi="Verdana" w:cs="Century Gothic"/>
        </w:rPr>
      </w:pPr>
      <w:r w:rsidRPr="00DA61E0">
        <w:rPr>
          <w:rFonts w:ascii="Verdana" w:eastAsia="Century Gothic" w:hAnsi="Verdana" w:cs="Century Gothic"/>
        </w:rPr>
        <w:lastRenderedPageBreak/>
        <w:t>De acuerdo con el contenido de s</w:t>
      </w:r>
      <w:r>
        <w:rPr>
          <w:rFonts w:ascii="Verdana" w:eastAsia="Century Gothic" w:hAnsi="Verdana" w:cs="Century Gothic"/>
        </w:rPr>
        <w:t>us inquietudes</w:t>
      </w:r>
      <w:r w:rsidRPr="00DA61E0">
        <w:rPr>
          <w:rFonts w:ascii="Verdana" w:eastAsia="Century Gothic" w:hAnsi="Verdana" w:cs="Century Gothic"/>
        </w:rPr>
        <w:t>, esta Agencia</w:t>
      </w:r>
      <w:r>
        <w:rPr>
          <w:rFonts w:ascii="Verdana" w:eastAsia="Century Gothic" w:hAnsi="Verdana" w:cs="Century Gothic"/>
        </w:rPr>
        <w:t xml:space="preserve"> las condensa y resolverá en los siguientes problemas jurídicos</w:t>
      </w:r>
      <w:r w:rsidRPr="00DA61E0">
        <w:rPr>
          <w:rFonts w:ascii="Verdana" w:eastAsia="Century Gothic" w:hAnsi="Verdana" w:cs="Century Gothic"/>
        </w:rPr>
        <w:t xml:space="preserve">: </w:t>
      </w:r>
      <w:r w:rsidRPr="00957096">
        <w:rPr>
          <w:rFonts w:ascii="Verdana" w:eastAsia="Century Gothic" w:hAnsi="Verdana" w:cs="Century Gothic"/>
        </w:rPr>
        <w:t>i)</w:t>
      </w:r>
      <w:r w:rsidRPr="00B00AFC">
        <w:rPr>
          <w:rFonts w:ascii="Verdana" w:eastAsia="Century Gothic" w:hAnsi="Verdana" w:cs="Century Gothic"/>
        </w:rPr>
        <w:t xml:space="preserve"> ¿El reconocimiento y pago de mayores cantidades de ítems previstos en un contrato pactado a precios unitarios —remunerados con los precios convenidos y sin alteración del objeto ni del alcance— constituye una adición contractual en l</w:t>
      </w:r>
      <w:r>
        <w:rPr>
          <w:rFonts w:ascii="Verdana" w:eastAsia="Century Gothic" w:hAnsi="Verdana" w:cs="Century Gothic"/>
        </w:rPr>
        <w:t xml:space="preserve">as condiciones </w:t>
      </w:r>
      <w:r w:rsidRPr="00B00AFC">
        <w:rPr>
          <w:rFonts w:ascii="Verdana" w:eastAsia="Century Gothic" w:hAnsi="Verdana" w:cs="Century Gothic"/>
        </w:rPr>
        <w:t>del parágrafo del artículo 40 de la Ley 80 de 1993 y, por tanto, está sometido al límite del cincuenta por ciento (50%) allí previsto, o corresponde únicamente a la determinación del valor final del contrato conforme a la metodología de remuneración pactada, como consecuencia propia de dicho sistema de precios?</w:t>
      </w:r>
      <w:r>
        <w:rPr>
          <w:rFonts w:ascii="Verdana" w:eastAsia="Century Gothic" w:hAnsi="Verdana" w:cs="Century Gothic"/>
        </w:rPr>
        <w:t xml:space="preserve">; ii) </w:t>
      </w:r>
      <w:r w:rsidRPr="00E56DB3">
        <w:rPr>
          <w:rFonts w:ascii="Verdana" w:eastAsia="Century Gothic" w:hAnsi="Verdana" w:cs="Century Gothic"/>
        </w:rPr>
        <w:t>¿Cuáles son las diferencias jurídicas y prácticas entre las mayores cantidades de ítems pactados a precios unitarios, las obras, bienes o servicios adicionales no previstos en el alcance contractual, y las modificaciones que incorporan nuevos ítems o nuevos precios unitarios, y qué instrumento de formalización exige cada uno de estos supuestos?</w:t>
      </w:r>
      <w:r>
        <w:rPr>
          <w:rFonts w:ascii="Verdana" w:eastAsia="Century Gothic" w:hAnsi="Verdana" w:cs="Century Gothic"/>
        </w:rPr>
        <w:t xml:space="preserve">; </w:t>
      </w:r>
      <w:r w:rsidRPr="002C68EA">
        <w:rPr>
          <w:rFonts w:ascii="Verdana" w:eastAsia="Century Gothic" w:hAnsi="Verdana" w:cs="Century Gothic"/>
        </w:rPr>
        <w:t>iii)</w:t>
      </w:r>
      <w:r w:rsidRPr="00CA11C1">
        <w:rPr>
          <w:rFonts w:ascii="Verdana" w:eastAsia="Century Gothic" w:hAnsi="Verdana" w:cs="Century Gothic"/>
        </w:rPr>
        <w:t xml:space="preserve"> ¿Qué requisitos contractuales, presupuestales, técnicos, de control y de publicidad en el SECOP debe observar la entidad estatal para reconocer y pagar mayores cantidades en contratos a precios unitarios —en particular, si se requiere la suscripción de un otrosí o contrato adicional o si basta con adelantar los actos y soportes presupuestales correspondientes— y varía dicho tratamiento según la necesidad de recursos se identifique durante la ejecución del contrato o en la etapa de cierre y liquidación?</w:t>
      </w:r>
      <w:r>
        <w:rPr>
          <w:rFonts w:ascii="Verdana" w:eastAsia="Century Gothic" w:hAnsi="Verdana" w:cs="Century Gothic"/>
          <w:i/>
          <w:iCs/>
        </w:rPr>
        <w:t xml:space="preserve">; </w:t>
      </w:r>
      <w:r w:rsidRPr="00957096">
        <w:rPr>
          <w:rFonts w:ascii="Verdana" w:eastAsia="Century Gothic" w:hAnsi="Verdana" w:cs="Century Gothic"/>
        </w:rPr>
        <w:t xml:space="preserve">iv) ¿Resulta </w:t>
      </w:r>
      <w:r>
        <w:rPr>
          <w:rFonts w:ascii="Verdana" w:eastAsia="Century Gothic" w:hAnsi="Verdana" w:cs="Century Gothic"/>
        </w:rPr>
        <w:t xml:space="preserve">procedente </w:t>
      </w:r>
      <w:r w:rsidRPr="00957096">
        <w:rPr>
          <w:rFonts w:ascii="Verdana" w:eastAsia="Century Gothic" w:hAnsi="Verdana" w:cs="Century Gothic"/>
        </w:rPr>
        <w:t xml:space="preserve">a la luz de los principios de planeación, eficacia, economía, responsabilidad, selección objetiva y satisfacción del interés general, entender que el contrato estatal pactado a precios unitarios se ejecuta en función del presupuesto estimado —de modo que la ejecución se limite a su agotamiento— y no en función del objeto y alcance definidos en los estudios previos, los pliegos, la oferta y el contrato?; v) ¿Qué criterios deben aplicar las entidades estatales para armonizar la disponibilidad y programación presupuestal, el deber de planeación, la obligación de ejecutar integralmente el objeto contractual y la metodología de remuneración por precios unitarios, cuando las cantidades efectivamente ejecutadas superan las inicialmente estimadas? </w:t>
      </w:r>
    </w:p>
    <w:p w14:paraId="454D031C" w14:textId="77777777" w:rsidR="00EB3B48" w:rsidRPr="00DA61E0" w:rsidRDefault="00EB3B48" w:rsidP="00EB3B48">
      <w:pPr>
        <w:spacing w:after="0" w:line="276" w:lineRule="auto"/>
        <w:jc w:val="both"/>
        <w:rPr>
          <w:rFonts w:ascii="Verdana" w:eastAsia="Calibri" w:hAnsi="Verdana" w:cs="Arial"/>
          <w:color w:val="7030A0"/>
        </w:rPr>
      </w:pPr>
    </w:p>
    <w:p w14:paraId="367D31EC" w14:textId="77777777" w:rsidR="00EB3B48" w:rsidRPr="00DA61E0" w:rsidRDefault="00EB3B48" w:rsidP="00EB3B48">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DA61E0">
        <w:rPr>
          <w:rFonts w:ascii="Verdana" w:eastAsia="Century Gothic" w:hAnsi="Verdana" w:cs="Century Gothic"/>
          <w:b/>
          <w:bCs/>
          <w:lang w:val="es-ES"/>
        </w:rPr>
        <w:t xml:space="preserve"> Respuesta:</w:t>
      </w:r>
    </w:p>
    <w:p w14:paraId="7BF10206" w14:textId="77777777" w:rsidR="00EB3B48" w:rsidRPr="00DA61E0" w:rsidRDefault="00EB3B48" w:rsidP="00EB3B48">
      <w:pPr>
        <w:tabs>
          <w:tab w:val="left" w:pos="142"/>
          <w:tab w:val="left" w:pos="284"/>
        </w:tabs>
        <w:spacing w:after="0" w:line="276" w:lineRule="auto"/>
        <w:jc w:val="both"/>
        <w:rPr>
          <w:rFonts w:ascii="Verdana" w:eastAsia="Century Gothic" w:hAnsi="Verdana" w:cs="Century Gothic"/>
          <w:b/>
          <w:bCs/>
          <w:lang w:val="es-ES"/>
        </w:rPr>
      </w:pPr>
    </w:p>
    <w:tbl>
      <w:tblPr>
        <w:tblStyle w:val="Tablaconcuadrcula11"/>
        <w:tblW w:w="0" w:type="auto"/>
        <w:jc w:val="center"/>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B3B48" w:rsidRPr="00DA61E0" w14:paraId="30DD8093" w14:textId="77777777" w:rsidTr="00120312">
        <w:trPr>
          <w:jc w:val="center"/>
        </w:trPr>
        <w:tc>
          <w:tcPr>
            <w:tcW w:w="8828" w:type="dxa"/>
            <w:tcBorders>
              <w:top w:val="dotted" w:sz="4" w:space="0" w:color="auto"/>
              <w:left w:val="dotted" w:sz="4" w:space="0" w:color="auto"/>
              <w:bottom w:val="dotted" w:sz="4" w:space="0" w:color="auto"/>
              <w:right w:val="dotted" w:sz="4" w:space="0" w:color="auto"/>
            </w:tcBorders>
            <w:hideMark/>
          </w:tcPr>
          <w:p w14:paraId="67E79178" w14:textId="77777777" w:rsidR="00EB3B48" w:rsidRDefault="00EB3B48" w:rsidP="00120312">
            <w:pPr>
              <w:spacing w:line="276" w:lineRule="auto"/>
              <w:jc w:val="both"/>
              <w:rPr>
                <w:rFonts w:ascii="Verdana" w:eastAsia="Times New Roman" w:hAnsi="Verdana" w:cs="Arial"/>
                <w:color w:val="000000" w:themeColor="text1"/>
                <w:lang w:eastAsia="es-ES"/>
              </w:rPr>
            </w:pPr>
            <w:r>
              <w:rPr>
                <w:rFonts w:ascii="Verdana" w:eastAsia="Times New Roman" w:hAnsi="Verdana" w:cs="Arial"/>
                <w:color w:val="000000" w:themeColor="text1"/>
                <w:lang w:eastAsia="es-ES"/>
              </w:rPr>
              <w:t>En relación con los problemas jurídicos de su consulta, se expresa lo siguiente:</w:t>
            </w:r>
          </w:p>
          <w:p w14:paraId="39C49B03" w14:textId="77777777" w:rsidR="00EB3B48" w:rsidRDefault="00EB3B48" w:rsidP="00120312">
            <w:pPr>
              <w:spacing w:line="276" w:lineRule="auto"/>
              <w:jc w:val="both"/>
              <w:rPr>
                <w:rFonts w:ascii="Verdana" w:eastAsia="Times New Roman" w:hAnsi="Verdana" w:cs="Arial"/>
                <w:color w:val="000000" w:themeColor="text1"/>
                <w:lang w:eastAsia="es-ES"/>
              </w:rPr>
            </w:pPr>
          </w:p>
          <w:p w14:paraId="467B8394" w14:textId="77777777" w:rsidR="00EB3B48" w:rsidRDefault="00EB3B48" w:rsidP="00120312">
            <w:pPr>
              <w:widowControl w:val="0"/>
              <w:autoSpaceDE w:val="0"/>
              <w:autoSpaceDN w:val="0"/>
              <w:spacing w:after="120" w:line="276" w:lineRule="auto"/>
              <w:jc w:val="both"/>
              <w:rPr>
                <w:rFonts w:ascii="Verdana" w:hAnsi="Verdana" w:cs="Arial"/>
              </w:rPr>
            </w:pPr>
            <w:r>
              <w:rPr>
                <w:rFonts w:ascii="Verdana" w:eastAsia="Times New Roman" w:hAnsi="Verdana" w:cs="Arial"/>
                <w:color w:val="000000" w:themeColor="text1"/>
                <w:lang w:eastAsia="es-ES"/>
              </w:rPr>
              <w:lastRenderedPageBreak/>
              <w:t xml:space="preserve">i. </w:t>
            </w:r>
            <w:r w:rsidRPr="007C5F40">
              <w:rPr>
                <w:rFonts w:ascii="Verdana" w:hAnsi="Verdana" w:cs="Arial"/>
              </w:rPr>
              <w:t>Para resolver el primer problema jurídico, es preciso señalar que</w:t>
            </w:r>
            <w:r>
              <w:rPr>
                <w:rFonts w:ascii="Verdana" w:hAnsi="Verdana" w:cs="Arial"/>
              </w:rPr>
              <w:t xml:space="preserve"> </w:t>
            </w:r>
            <w:r w:rsidRPr="00FF48BB">
              <w:rPr>
                <w:rFonts w:ascii="Verdana" w:hAnsi="Verdana" w:cs="Arial"/>
              </w:rPr>
              <w:t>la jurisprudencia reciente de la Sección Tercera del Consejo de Estado —máximo tribunal en la jurisdicción de lo contencioso administrativo— ha consolidado un consenso interpretativo relevante respecto de la naturaleza de las mayores cantidades de obra en contratos regidos por la metodología de precios unitarios, criterio que, además, fue recogido por la Corte Constitucional en la Sentencia SU-214 de 2022, providencia que, si bien se profirió en sede de tutela contra providencia judicial y en el marco del análisis del tipo penal de contrato sin cumplimiento de requisitos legales, reiteró la distinción jurisprudencial entre mayores cantidades de obra y obras adicionales. En dicha postura jurisprudencial, que se expone en las razones de la respuesta, la Sección Tercera ha reiterado que las mayores cantidades de obra no constituyen adiciones al valor inicial del contrato, en la medida en que este valor tiene un carácter meramente indicativo o estimado, sujeto a las variaciones propias de la ejecución.</w:t>
            </w:r>
          </w:p>
          <w:p w14:paraId="0B73952B" w14:textId="77777777" w:rsidR="00EB3B48" w:rsidRDefault="00EB3B48" w:rsidP="00120312">
            <w:pPr>
              <w:widowControl w:val="0"/>
              <w:autoSpaceDE w:val="0"/>
              <w:autoSpaceDN w:val="0"/>
              <w:spacing w:after="120" w:line="276" w:lineRule="auto"/>
              <w:ind w:firstLine="708"/>
              <w:jc w:val="both"/>
              <w:rPr>
                <w:rFonts w:ascii="Verdana" w:hAnsi="Verdana"/>
              </w:rPr>
            </w:pPr>
            <w:r w:rsidRPr="001B6B9E">
              <w:rPr>
                <w:rFonts w:ascii="Verdana" w:hAnsi="Verdana" w:cs="Arial"/>
              </w:rPr>
              <w:t>En desarrollo de lo expuesto por esta Subdirección en el Concepto C</w:t>
            </w:r>
            <w:r w:rsidRPr="00901E49">
              <w:rPr>
                <w:rFonts w:ascii="Verdana" w:hAnsi="Verdana" w:cs="Arial"/>
              </w:rPr>
              <w:t>-</w:t>
            </w:r>
            <w:r w:rsidRPr="001B6B9E">
              <w:rPr>
                <w:rFonts w:ascii="Verdana" w:hAnsi="Verdana" w:cs="Arial"/>
              </w:rPr>
              <w:t xml:space="preserve">563 del 21 de octubre de 2024, </w:t>
            </w:r>
            <w:r w:rsidRPr="00901E49">
              <w:rPr>
                <w:rFonts w:ascii="Verdana" w:hAnsi="Verdana" w:cs="Arial"/>
              </w:rPr>
              <w:t xml:space="preserve">se </w:t>
            </w:r>
            <w:r>
              <w:rPr>
                <w:rFonts w:ascii="Verdana" w:hAnsi="Verdana" w:cs="Arial"/>
              </w:rPr>
              <w:t xml:space="preserve">precisa </w:t>
            </w:r>
            <w:r w:rsidRPr="001B6B9E">
              <w:rPr>
                <w:rFonts w:ascii="Verdana" w:hAnsi="Verdana" w:cs="Arial"/>
              </w:rPr>
              <w:t xml:space="preserve">que el incremento en las cantidades de obra dentro de un contrato celebrado bajo el sistema de precios unitarios no constituye, por sí mismo, una modificación del valor del contrato ni configura una adición en las condiciones del artículo 40 de la Ley 80 de 1993. La razón es estructural: en los contratos a precios unitarios el objeto y el valor del contrato no se determinan por una suma global fija, sino por la ejecución de unidades de obra cuyo precio está previamente definido. </w:t>
            </w:r>
            <w:r w:rsidRPr="00901E49">
              <w:rPr>
                <w:rFonts w:ascii="Verdana" w:hAnsi="Verdana" w:cs="Arial"/>
                <w:i/>
                <w:iCs/>
              </w:rPr>
              <w:t>(Preguntas 1, 2 y 3)</w:t>
            </w:r>
          </w:p>
          <w:p w14:paraId="6C2E4246" w14:textId="77777777" w:rsidR="00EB3B48" w:rsidRDefault="00EB3B48" w:rsidP="00120312">
            <w:pPr>
              <w:widowControl w:val="0"/>
              <w:autoSpaceDE w:val="0"/>
              <w:autoSpaceDN w:val="0"/>
              <w:spacing w:after="120" w:line="276" w:lineRule="auto"/>
              <w:ind w:firstLine="708"/>
              <w:jc w:val="both"/>
              <w:rPr>
                <w:rFonts w:ascii="Verdana" w:hAnsi="Verdana"/>
              </w:rPr>
            </w:pPr>
            <w:r>
              <w:rPr>
                <w:rFonts w:ascii="Verdana" w:hAnsi="Verdana"/>
              </w:rPr>
              <w:t>En este esquema, l</w:t>
            </w:r>
            <w:r w:rsidRPr="00CD2603">
              <w:rPr>
                <w:rFonts w:ascii="Verdana" w:hAnsi="Verdana"/>
              </w:rPr>
              <w:t xml:space="preserve">a mayor cantidad de obra por encima del valor estimativo inicial en los contratos a precios unitarios no implica en forma alguna un cambio de objeto o en su valor. Por tal razón, el reconocimiento de mayores cantidades de obra, previamente autorizadas y recibidas por la entidad contratante, realmente no se está adicionando el contrato, sino procediendo, conforme a lo previsto en el mismo. </w:t>
            </w:r>
            <w:r>
              <w:rPr>
                <w:rFonts w:ascii="Verdana" w:hAnsi="Verdana"/>
              </w:rPr>
              <w:t>S</w:t>
            </w:r>
            <w:r w:rsidRPr="00C51A90">
              <w:rPr>
                <w:rFonts w:ascii="Verdana" w:hAnsi="Verdana"/>
              </w:rPr>
              <w:t>e trata de la determinación del valor final del negocio jurídico mediante la aplicación de la fórmula económica acordada, consecuencia propia de la metodología de precios unitario</w:t>
            </w:r>
            <w:r>
              <w:rPr>
                <w:rFonts w:ascii="Verdana" w:hAnsi="Verdana"/>
              </w:rPr>
              <w:t>s.</w:t>
            </w:r>
            <w:r w:rsidRPr="00CD2603">
              <w:rPr>
                <w:rFonts w:ascii="Verdana" w:hAnsi="Verdana"/>
              </w:rPr>
              <w:t xml:space="preserve"> En consecuencia, las cantidades de obra que resulten de las mediciones de los ítems de obra pertinentes no requiere contrato adicional y, por tanto, no les aplica el límite cuantitativo establecido en el artículo 40 de la </w:t>
            </w:r>
            <w:r w:rsidRPr="00CD2603">
              <w:rPr>
                <w:rFonts w:ascii="Verdana" w:hAnsi="Verdana"/>
              </w:rPr>
              <w:lastRenderedPageBreak/>
              <w:t>Ley 80 de 1993</w:t>
            </w:r>
            <w:r>
              <w:rPr>
                <w:rFonts w:ascii="Verdana" w:hAnsi="Verdana"/>
              </w:rPr>
              <w:t>.</w:t>
            </w:r>
          </w:p>
          <w:p w14:paraId="45B16559" w14:textId="77777777" w:rsidR="00EB3B48" w:rsidRPr="00CD2603" w:rsidRDefault="00EB3B48" w:rsidP="00120312">
            <w:pPr>
              <w:widowControl w:val="0"/>
              <w:autoSpaceDE w:val="0"/>
              <w:autoSpaceDN w:val="0"/>
              <w:spacing w:after="120" w:line="276" w:lineRule="auto"/>
              <w:ind w:firstLine="708"/>
              <w:jc w:val="both"/>
              <w:rPr>
                <w:rFonts w:ascii="Verdana" w:hAnsi="Verdana"/>
              </w:rPr>
            </w:pPr>
            <w:r>
              <w:rPr>
                <w:rFonts w:ascii="Verdana" w:hAnsi="Verdana"/>
              </w:rPr>
              <w:t>Ahora bien, con respecto a</w:t>
            </w:r>
            <w:r w:rsidRPr="00CD2603">
              <w:rPr>
                <w:rFonts w:ascii="Verdana" w:hAnsi="Verdana"/>
              </w:rPr>
              <w:t xml:space="preserve"> las adiciones </w:t>
            </w:r>
            <w:r>
              <w:rPr>
                <w:rFonts w:ascii="Verdana" w:hAnsi="Verdana"/>
              </w:rPr>
              <w:t xml:space="preserve">se refieren </w:t>
            </w:r>
            <w:r w:rsidRPr="00CD2603">
              <w:rPr>
                <w:rFonts w:ascii="Verdana" w:hAnsi="Verdana"/>
              </w:rPr>
              <w:t xml:space="preserve">a aumentos en el valor del contrato relacionadas con ítems o actividades no contempladas o previstas dentro del contrato que requieren </w:t>
            </w:r>
            <w:r>
              <w:rPr>
                <w:rFonts w:ascii="Verdana" w:hAnsi="Verdana"/>
              </w:rPr>
              <w:t xml:space="preserve">ejecutarse </w:t>
            </w:r>
            <w:r w:rsidRPr="00CD2603">
              <w:rPr>
                <w:rFonts w:ascii="Verdana" w:hAnsi="Verdana"/>
              </w:rPr>
              <w:t>para la obtención y cumplimiento del objeto contractual</w:t>
            </w:r>
            <w:r>
              <w:rPr>
                <w:rFonts w:ascii="Verdana" w:hAnsi="Verdana"/>
              </w:rPr>
              <w:t>;</w:t>
            </w:r>
            <w:r w:rsidRPr="00CD2603">
              <w:rPr>
                <w:rFonts w:ascii="Verdana" w:hAnsi="Verdana"/>
              </w:rPr>
              <w:t xml:space="preserve"> por tal motivo, para su reconocimiento se requiere de la suscripción de un contrato adicional o modificatorio del contrato inicial</w:t>
            </w:r>
            <w:r>
              <w:rPr>
                <w:rFonts w:ascii="Verdana" w:hAnsi="Verdana"/>
              </w:rPr>
              <w:t>, como lo señala la Agencia en el Concepto C-563 del 21 de octubre de 2024</w:t>
            </w:r>
            <w:r w:rsidRPr="00CD2603">
              <w:rPr>
                <w:rFonts w:ascii="Verdana" w:hAnsi="Verdana"/>
              </w:rPr>
              <w:t>. En ese sentido, comoquiera que esta obra implica modificación al contrato, será necesario, en forma previa, el perfeccionamiento de contrato adicional o modificatorio. En este caso, si se torna aplicable el límite establecido en el parágrafo del artículo 40 de la Ley 80 de 1993, lo cual indica que estos negocios jurídicos no podrán adicionarse en más del cincuenta por ciento (50%) de su valor inicial, expresado en salarios mínimos legales mensuales.</w:t>
            </w:r>
          </w:p>
          <w:p w14:paraId="4189F327" w14:textId="77777777" w:rsidR="00EB3B48" w:rsidRPr="00753105" w:rsidRDefault="00EB3B48" w:rsidP="00120312">
            <w:pPr>
              <w:spacing w:after="120" w:line="276" w:lineRule="auto"/>
              <w:jc w:val="both"/>
              <w:rPr>
                <w:rFonts w:ascii="Verdana" w:hAnsi="Verdana"/>
              </w:rPr>
            </w:pPr>
            <w:r>
              <w:rPr>
                <w:rFonts w:ascii="Verdana" w:hAnsi="Verdana"/>
              </w:rPr>
              <w:t>ii. Para solucionar el segundo problema jurídico, se detalla lo siguiente:</w:t>
            </w:r>
            <w:r w:rsidRPr="00753105">
              <w:rPr>
                <w:rFonts w:ascii="Verdana" w:hAnsi="Verdana"/>
              </w:rPr>
              <w:t xml:space="preserve"> primer lugar, es necesario precisar que las </w:t>
            </w:r>
            <w:r w:rsidRPr="00C749EF">
              <w:rPr>
                <w:rFonts w:ascii="Verdana" w:hAnsi="Verdana"/>
              </w:rPr>
              <w:t>mayores cantidades de obra corresponden exclusivamente al incremento de las cantidades de ítems que sí estaban previstos</w:t>
            </w:r>
            <w:r w:rsidRPr="00753105">
              <w:rPr>
                <w:rFonts w:ascii="Verdana" w:hAnsi="Verdana"/>
              </w:rPr>
              <w:t xml:space="preserve"> en el contrato inicial, pero cuyo cálculo preliminar resultó insuficiente para cumplir la finalidad pública perseguida. Se trata de variaciones cuantitativas dentro de actividades ya definidas, propias del sistema de precios unitarios, en el cual el valor del contrato es indicativo y depende de las cantidades realmente ejecutadas. </w:t>
            </w:r>
            <w:r>
              <w:rPr>
                <w:rFonts w:ascii="Verdana" w:hAnsi="Verdana"/>
              </w:rPr>
              <w:t>L</w:t>
            </w:r>
            <w:r w:rsidRPr="00753105">
              <w:rPr>
                <w:rFonts w:ascii="Verdana" w:hAnsi="Verdana"/>
              </w:rPr>
              <w:t>a Sección Tercera del Consejo de Estado ha reiterado</w:t>
            </w:r>
            <w:r>
              <w:rPr>
                <w:rFonts w:ascii="Verdana" w:hAnsi="Verdana"/>
              </w:rPr>
              <w:t>,</w:t>
            </w:r>
            <w:r w:rsidRPr="00753105">
              <w:rPr>
                <w:rFonts w:ascii="Verdana" w:hAnsi="Verdana"/>
              </w:rPr>
              <w:t xml:space="preserve"> </w:t>
            </w:r>
            <w:r>
              <w:rPr>
                <w:rFonts w:ascii="Verdana" w:hAnsi="Verdana"/>
              </w:rPr>
              <w:t xml:space="preserve">en el expediente 58.634, </w:t>
            </w:r>
            <w:r w:rsidRPr="00753105">
              <w:rPr>
                <w:rFonts w:ascii="Verdana" w:hAnsi="Verdana"/>
              </w:rPr>
              <w:t>que estas mayores cantidades no constituyen adiciones contractuales, pues no modifican el objeto ni los precios unitarios pactados; simplemente ajustan la ejecución a las condiciones reales de la obra. Por ello, su reconocimiento no exige acuerdo escrito de modificación, sino autorización de la entidad y soporte técnico suficiente que demuestre la necesidad del incremento.</w:t>
            </w:r>
          </w:p>
          <w:p w14:paraId="6442079E" w14:textId="77777777" w:rsidR="00EB3B48" w:rsidRPr="00BB718C" w:rsidRDefault="00EB3B48" w:rsidP="00120312">
            <w:pPr>
              <w:spacing w:after="120" w:line="276" w:lineRule="auto"/>
              <w:ind w:firstLine="709"/>
              <w:jc w:val="both"/>
              <w:rPr>
                <w:rFonts w:ascii="Verdana" w:hAnsi="Verdana"/>
              </w:rPr>
            </w:pPr>
            <w:r w:rsidRPr="0045097E">
              <w:rPr>
                <w:rFonts w:ascii="Verdana" w:hAnsi="Verdana"/>
              </w:rPr>
              <w:t xml:space="preserve">En segundo lugar, deben distinguirse las obras, bienes o servicios adicionales, también denominados </w:t>
            </w:r>
            <w:r w:rsidRPr="00BB718C">
              <w:rPr>
                <w:rFonts w:ascii="Verdana" w:hAnsi="Verdana"/>
              </w:rPr>
              <w:t>"</w:t>
            </w:r>
            <w:r w:rsidRPr="0045097E">
              <w:rPr>
                <w:rFonts w:ascii="Verdana" w:hAnsi="Verdana"/>
              </w:rPr>
              <w:t>obras extras</w:t>
            </w:r>
            <w:r w:rsidRPr="00BB718C">
              <w:rPr>
                <w:rFonts w:ascii="Verdana" w:hAnsi="Verdana"/>
              </w:rPr>
              <w:t>",</w:t>
            </w:r>
            <w:r w:rsidRPr="0045097E">
              <w:rPr>
                <w:rFonts w:ascii="Verdana" w:hAnsi="Verdana"/>
              </w:rPr>
              <w:t xml:space="preserve"> que comprenden prestaciones no previstas en el objeto contractual y que se tornan necesarias para cumplirlo a cabalidad. Estas sí implican una modificación del contrato, pues incorporan actividades distintas de las originalmente pactadas. La Sección Tercera ha definido</w:t>
            </w:r>
            <w:r w:rsidRPr="00BB718C">
              <w:rPr>
                <w:rFonts w:ascii="Verdana" w:hAnsi="Verdana"/>
              </w:rPr>
              <w:t>,</w:t>
            </w:r>
            <w:r w:rsidRPr="0045097E">
              <w:rPr>
                <w:rFonts w:ascii="Verdana" w:hAnsi="Verdana"/>
              </w:rPr>
              <w:t xml:space="preserve"> </w:t>
            </w:r>
            <w:r>
              <w:rPr>
                <w:rFonts w:ascii="Verdana" w:hAnsi="Verdana"/>
              </w:rPr>
              <w:t xml:space="preserve">en </w:t>
            </w:r>
            <w:r w:rsidRPr="00BB718C">
              <w:rPr>
                <w:rFonts w:ascii="Verdana" w:hAnsi="Verdana"/>
              </w:rPr>
              <w:t xml:space="preserve">los </w:t>
            </w:r>
            <w:r>
              <w:rPr>
                <w:rFonts w:ascii="Verdana" w:hAnsi="Verdana"/>
              </w:rPr>
              <w:t xml:space="preserve">expedientes </w:t>
            </w:r>
            <w:r w:rsidRPr="00C55FAB">
              <w:rPr>
                <w:rFonts w:ascii="Verdana" w:hAnsi="Verdana"/>
              </w:rPr>
              <w:t>39.974</w:t>
            </w:r>
            <w:r w:rsidRPr="00BB718C">
              <w:rPr>
                <w:rFonts w:ascii="Verdana" w:hAnsi="Verdana"/>
              </w:rPr>
              <w:t xml:space="preserve"> y</w:t>
            </w:r>
            <w:r>
              <w:rPr>
                <w:rFonts w:ascii="Verdana" w:hAnsi="Verdana"/>
              </w:rPr>
              <w:t xml:space="preserve"> 61.641, entre otros, </w:t>
            </w:r>
            <w:r w:rsidRPr="0045097E">
              <w:rPr>
                <w:rFonts w:ascii="Verdana" w:hAnsi="Verdana"/>
              </w:rPr>
              <w:t xml:space="preserve">que las obras adicionales constituyen una variación del contrato y, cuando su </w:t>
            </w:r>
            <w:r w:rsidRPr="0045097E">
              <w:rPr>
                <w:rFonts w:ascii="Verdana" w:hAnsi="Verdana"/>
              </w:rPr>
              <w:lastRenderedPageBreak/>
              <w:t>ejecución implica aumento del valor, requieren la suscripción de un contrato adicional o documento modificatorio que formalice la nueva obligación y cuente con disponibilidad presupuestal suficiente. Sin este acuerdo escrito, la entidad no puede reconocer su pago. Se trata, entonces, de una modificación cualitativa del objeto contractual, sometida al límite del parágrafo del artículo 40 de la Ley 80 de 1993 cuando implique incremento del valor.</w:t>
            </w:r>
            <w:r w:rsidRPr="00BB718C">
              <w:rPr>
                <w:rFonts w:ascii="Verdana" w:hAnsi="Verdana"/>
              </w:rPr>
              <w:t xml:space="preserve"> </w:t>
            </w:r>
          </w:p>
          <w:p w14:paraId="542B1A2E" w14:textId="77777777" w:rsidR="00EB3B48" w:rsidRDefault="00EB3B48" w:rsidP="00120312">
            <w:pPr>
              <w:widowControl w:val="0"/>
              <w:autoSpaceDE w:val="0"/>
              <w:autoSpaceDN w:val="0"/>
              <w:spacing w:after="120" w:line="276" w:lineRule="auto"/>
              <w:jc w:val="both"/>
              <w:rPr>
                <w:rFonts w:ascii="Verdana" w:eastAsia="Arial" w:hAnsi="Verdana" w:cs="Arial"/>
                <w:lang w:val="es-ES" w:eastAsia="es-ES" w:bidi="es-ES"/>
              </w:rPr>
            </w:pPr>
            <w:r w:rsidRPr="0037054E">
              <w:rPr>
                <w:rFonts w:ascii="Verdana" w:hAnsi="Verdana"/>
              </w:rPr>
              <w:t>Finalmente, el tercer supuesto planteado por el peticionario —la incorporación de nuevos ítems o nuevos precios unitarios sin que se trate de obras adicionales— debe ser abordado con precisión conceptual. La inclusión de nuevos ítems o la fijación de nuevos precios unitarios constituye, en todo caso, una modificación contractual, pues altera la estructura del contrato al introducir prestaciones o valores no contemplados inicialmente, aun cuando dichas actividades no se califiquen como "obras adicionales" en sentido estricto. Esta modificación exige acuerdo escrito entre las partes y, si implica aumento del valor, queda sometida al límite del parágrafo del artículo 40 de la Ley 80. Lo coherente con la jurisprudencia y con la lógica del sistema es reconocer que solo las mayores cantidades de ítems existentes pueden ejecutarse sin modificar el contrato; en cambio, la creación de nuevos ítems o precios unitarios siempre supone una variación contractual que debe formalizarse y respaldarse presupuestalmente.</w:t>
            </w:r>
          </w:p>
          <w:p w14:paraId="14983220" w14:textId="77777777" w:rsidR="00EB3B48" w:rsidRDefault="00EB3B48" w:rsidP="00120312">
            <w:pPr>
              <w:widowControl w:val="0"/>
              <w:autoSpaceDE w:val="0"/>
              <w:autoSpaceDN w:val="0"/>
              <w:spacing w:after="120" w:line="276" w:lineRule="auto"/>
              <w:jc w:val="both"/>
              <w:rPr>
                <w:rFonts w:ascii="Verdana" w:eastAsia="Arial" w:hAnsi="Verdana" w:cs="Arial"/>
                <w:lang w:eastAsia="es-ES" w:bidi="es-ES"/>
              </w:rPr>
            </w:pPr>
            <w:r>
              <w:rPr>
                <w:rFonts w:ascii="Verdana" w:eastAsia="Arial" w:hAnsi="Verdana" w:cs="Arial"/>
                <w:lang w:val="es-ES" w:eastAsia="es-ES" w:bidi="es-ES"/>
              </w:rPr>
              <w:t>iii.</w:t>
            </w:r>
            <w:r w:rsidRPr="00654670">
              <w:rPr>
                <w:rFonts w:ascii="Times New Roman" w:eastAsia="Times New Roman" w:hAnsi="Times New Roman"/>
                <w:sz w:val="24"/>
                <w:szCs w:val="24"/>
                <w:lang w:eastAsia="es-CO"/>
              </w:rPr>
              <w:t xml:space="preserve"> </w:t>
            </w:r>
            <w:r w:rsidRPr="00654670">
              <w:rPr>
                <w:rFonts w:ascii="Verdana" w:eastAsia="Arial" w:hAnsi="Verdana" w:cs="Arial"/>
                <w:lang w:eastAsia="es-ES" w:bidi="es-ES"/>
              </w:rPr>
              <w:t xml:space="preserve">Para resolver el tercer problema jurídico, debe reiterarse que el reconocimiento de mayores cantidades de obra en contratos a precios unitarios no configura una adición contractual, pues no implica ampliar el objeto ni introducir nuevas prestaciones, sino aplicar la metodología de remuneración pactada para determinar el valor final de lo efectivamente ejecutado. No obstante, esta circunstancia sí exige actuaciones presupuestales, en particular la verificación de disponibilidad y la expedición del compromiso presupuestal correspondiente, en cumplimiento </w:t>
            </w:r>
            <w:r w:rsidRPr="00FB135F">
              <w:rPr>
                <w:rFonts w:ascii="Verdana" w:eastAsia="Arial" w:hAnsi="Verdana" w:cs="Arial"/>
                <w:lang w:eastAsia="es-ES" w:bidi="es-ES"/>
              </w:rPr>
              <w:t xml:space="preserve">del principio de legalidad del gasto —conforme al cual las obligaciones deben estar amparadas en las respectivas apropiaciones y registros presupuestales— y de los principios de gestión fiscal. Tales actuaciones no requieren la suscripción de un otrosí o contrato adicional, pues no se está modificando el contrato, sino reconociendo la ejecución real de los ítems previstos. Lo que sí se exige es la autorización previa de la entidad contratante y el soporte técnico que justifique la necesidad del incremento, conforme lo ha señalado el Consejo de Estado en </w:t>
            </w:r>
            <w:r w:rsidRPr="00FB135F">
              <w:rPr>
                <w:rFonts w:ascii="Verdana" w:eastAsia="Arial" w:hAnsi="Verdana" w:cs="Arial"/>
                <w:lang w:eastAsia="es-ES" w:bidi="es-ES"/>
              </w:rPr>
              <w:lastRenderedPageBreak/>
              <w:t>la jurisprudencia reciente que se expone en las razones de la respuesta.</w:t>
            </w:r>
          </w:p>
          <w:p w14:paraId="2DC7C02E" w14:textId="77777777" w:rsidR="00EB3B48" w:rsidRPr="00654670" w:rsidRDefault="00EB3B48" w:rsidP="00120312">
            <w:pPr>
              <w:widowControl w:val="0"/>
              <w:autoSpaceDE w:val="0"/>
              <w:autoSpaceDN w:val="0"/>
              <w:spacing w:after="120" w:line="276" w:lineRule="auto"/>
              <w:ind w:firstLine="709"/>
              <w:jc w:val="both"/>
              <w:rPr>
                <w:rFonts w:ascii="Verdana" w:eastAsia="Arial" w:hAnsi="Verdana" w:cs="Arial"/>
                <w:lang w:eastAsia="es-ES" w:bidi="es-ES"/>
              </w:rPr>
            </w:pPr>
            <w:r w:rsidRPr="00600C3C">
              <w:rPr>
                <w:rFonts w:ascii="Verdana" w:eastAsia="Arial" w:hAnsi="Verdana" w:cs="Arial"/>
                <w:lang w:eastAsia="es-ES" w:bidi="es-ES"/>
              </w:rPr>
              <w:t>Adicionalmente, como mecanismo de control propio de este sistema de precios, la jurisprudencia ha admitido que el reconocimiento de mayores cantidades de obra pueda efectuarse, en primer término, por vía de compensación con otros ítems cuyas cantidades se hayan ejecutado por debajo de la proporción estimada, lo cual deberá constar en acta suscrita entre el contratista y el interventor o supervisor autorizado o, en su defecto, por el representante legal de la entidad. Solo cuando la compensación no sea posible por sobrepasarse el estimativo inicial, procederá la incorporación de recursos con la respectiva verificación de disponibilidad y registro del compromiso presupuestal. En todo caso, corresponde a la interventoría o supervisión ejercer un control riguroso sobre las cantidades ejecutadas, verificar que estas sean indispensables para la culminación del objeto y advertir oportunamente a las partes, antes del agotamiento de las cantidades inicialmente previstas, la necesidad de gestionar los recursos correspondientes.</w:t>
            </w:r>
          </w:p>
          <w:p w14:paraId="63247448" w14:textId="77777777" w:rsidR="00EB3B48" w:rsidRPr="00654670" w:rsidRDefault="00EB3B48" w:rsidP="00120312">
            <w:pPr>
              <w:widowControl w:val="0"/>
              <w:autoSpaceDE w:val="0"/>
              <w:autoSpaceDN w:val="0"/>
              <w:spacing w:after="120" w:line="276" w:lineRule="auto"/>
              <w:ind w:firstLine="709"/>
              <w:jc w:val="both"/>
              <w:rPr>
                <w:rFonts w:ascii="Verdana" w:eastAsia="Arial" w:hAnsi="Verdana" w:cs="Arial"/>
                <w:lang w:eastAsia="es-ES" w:bidi="es-ES"/>
              </w:rPr>
            </w:pPr>
            <w:r w:rsidRPr="00654670">
              <w:rPr>
                <w:rFonts w:ascii="Verdana" w:eastAsia="Arial" w:hAnsi="Verdana" w:cs="Arial"/>
                <w:lang w:eastAsia="es-ES" w:bidi="es-ES"/>
              </w:rPr>
              <w:t xml:space="preserve">Ahora bien, el tratamiento sí varía según el momento en que se identifique la necesidad de recursos. Si la mayor cantidad se detecta durante la ejecución, la entidad debe autorizarla previamente, verificar la disponibilidad presupuestal y registrar el compromiso antes de efectuar el pago. </w:t>
            </w:r>
            <w:r w:rsidRPr="00230C2E">
              <w:rPr>
                <w:rFonts w:ascii="Verdana" w:eastAsia="Arial" w:hAnsi="Verdana" w:cs="Arial"/>
                <w:lang w:eastAsia="es-ES" w:bidi="es-ES"/>
              </w:rPr>
              <w:t>Si, en cambio, la necesidad se identifica en la etapa de cierre o liquidación, la jurisprudencia ha indicado que las mayores cantidades deben quedar reflejadas en las actas de recibo o, a más tardar, en el acta de liquidación, siempre que hayan sido previamente autorizadas por la entidad y cuenten con el respaldo presupuestal correspondiente. En ambos escenarios, la entidad debe garantizar que el reconocimiento de las cantidades ejecutadas cuente con soporte técnico, presupuestal y documental; la diferencia radica en el momento en que se formaliza la autorización, se registra el compromiso presupuestal y se documenta el reconocimiento.</w:t>
            </w:r>
          </w:p>
          <w:p w14:paraId="088DEA9E" w14:textId="77777777" w:rsidR="00EB3B48" w:rsidRPr="0079542D" w:rsidRDefault="00EB3B48" w:rsidP="00120312">
            <w:pPr>
              <w:widowControl w:val="0"/>
              <w:autoSpaceDE w:val="0"/>
              <w:autoSpaceDN w:val="0"/>
              <w:spacing w:after="120" w:line="276" w:lineRule="auto"/>
              <w:ind w:firstLine="709"/>
              <w:jc w:val="both"/>
              <w:rPr>
                <w:rFonts w:ascii="Verdana" w:eastAsia="Arial" w:hAnsi="Verdana" w:cs="Arial"/>
                <w:lang w:eastAsia="es-ES" w:bidi="es-ES"/>
              </w:rPr>
            </w:pPr>
            <w:r>
              <w:rPr>
                <w:rFonts w:ascii="Verdana" w:eastAsia="Arial" w:hAnsi="Verdana" w:cs="Arial"/>
                <w:lang w:eastAsia="es-ES" w:bidi="es-ES"/>
              </w:rPr>
              <w:t>Por último</w:t>
            </w:r>
            <w:r w:rsidRPr="00654670">
              <w:rPr>
                <w:rFonts w:ascii="Verdana" w:eastAsia="Arial" w:hAnsi="Verdana" w:cs="Arial"/>
                <w:lang w:eastAsia="es-ES" w:bidi="es-ES"/>
              </w:rPr>
              <w:t xml:space="preserve">, todos los documentos de gestión administrativa y presupuestal relacionados con el reconocimiento de mayores cantidades </w:t>
            </w:r>
            <w:r>
              <w:rPr>
                <w:rFonts w:ascii="Verdana" w:eastAsia="Arial" w:hAnsi="Verdana" w:cs="Arial"/>
                <w:lang w:eastAsia="es-ES" w:bidi="es-ES"/>
              </w:rPr>
              <w:t xml:space="preserve">de obra </w:t>
            </w:r>
            <w:r w:rsidRPr="00654670">
              <w:rPr>
                <w:rFonts w:ascii="Verdana" w:eastAsia="Arial" w:hAnsi="Verdana" w:cs="Arial"/>
                <w:lang w:eastAsia="es-ES" w:bidi="es-ES"/>
              </w:rPr>
              <w:t xml:space="preserve">deben </w:t>
            </w:r>
            <w:r>
              <w:rPr>
                <w:rFonts w:ascii="Verdana" w:eastAsia="Arial" w:hAnsi="Verdana" w:cs="Arial"/>
                <w:lang w:eastAsia="es-ES" w:bidi="es-ES"/>
              </w:rPr>
              <w:t xml:space="preserve">publicarse </w:t>
            </w:r>
            <w:r w:rsidRPr="00654670">
              <w:rPr>
                <w:rFonts w:ascii="Verdana" w:eastAsia="Arial" w:hAnsi="Verdana" w:cs="Arial"/>
                <w:lang w:eastAsia="es-ES" w:bidi="es-ES"/>
              </w:rPr>
              <w:t>en el SECOP, conforme a los artículos 2.2.1.1.1.7.1 y 2.2.1.1.1.3</w:t>
            </w:r>
            <w:r w:rsidRPr="004C1F42">
              <w:rPr>
                <w:rFonts w:ascii="Verdana" w:eastAsia="Arial" w:hAnsi="Verdana" w:cs="Arial"/>
                <w:lang w:eastAsia="es-ES" w:bidi="es-ES"/>
              </w:rPr>
              <w:t>.1</w:t>
            </w:r>
            <w:r w:rsidRPr="00654670">
              <w:rPr>
                <w:rFonts w:ascii="Verdana" w:eastAsia="Arial" w:hAnsi="Verdana" w:cs="Arial"/>
                <w:lang w:eastAsia="es-ES" w:bidi="es-ES"/>
              </w:rPr>
              <w:t xml:space="preserve"> del Decreto 1082 de 2015, que obligan a divulgar cualquier documento expedido por la entidad estatal durante el Proceso de Contratación, incluidas las actuaciones de ejecución y liquidación. La publicidad de estos documentos garantiza transparencia, trazabilidad y control ciudadano sobre </w:t>
            </w:r>
            <w:r w:rsidRPr="00654670">
              <w:rPr>
                <w:rFonts w:ascii="Verdana" w:eastAsia="Arial" w:hAnsi="Verdana" w:cs="Arial"/>
                <w:lang w:eastAsia="es-ES" w:bidi="es-ES"/>
              </w:rPr>
              <w:lastRenderedPageBreak/>
              <w:t xml:space="preserve">las decisiones técnicas y presupuestales adoptadas. </w:t>
            </w:r>
            <w:r w:rsidRPr="004C1F42">
              <w:rPr>
                <w:rFonts w:ascii="Verdana" w:eastAsia="Arial" w:hAnsi="Verdana" w:cs="Arial"/>
                <w:lang w:eastAsia="es-ES" w:bidi="es-ES"/>
              </w:rPr>
              <w:t>En suma, aunque las mayores cantidades no requieren modificación contractual, sí exigen autorización, soporte técnico y administrativo, disponibilidad y compromiso presupuestal, actuaciones que están dentro de la categoría de documentos del Proceso de Contratación, lo que implica su publicación.</w:t>
            </w:r>
            <w:r>
              <w:rPr>
                <w:rFonts w:ascii="Verdana" w:eastAsia="Arial" w:hAnsi="Verdana" w:cs="Arial"/>
                <w:lang w:eastAsia="es-ES" w:bidi="es-ES"/>
              </w:rPr>
              <w:t xml:space="preserve"> </w:t>
            </w:r>
          </w:p>
          <w:p w14:paraId="476E578F" w14:textId="77777777" w:rsidR="00EB3B48" w:rsidRPr="00420A54" w:rsidRDefault="00EB3B48" w:rsidP="00120312">
            <w:pPr>
              <w:widowControl w:val="0"/>
              <w:autoSpaceDE w:val="0"/>
              <w:autoSpaceDN w:val="0"/>
              <w:spacing w:after="120" w:line="276" w:lineRule="auto"/>
              <w:jc w:val="both"/>
              <w:rPr>
                <w:rFonts w:ascii="Verdana" w:hAnsi="Verdana"/>
              </w:rPr>
            </w:pPr>
            <w:r>
              <w:rPr>
                <w:rFonts w:ascii="Verdana" w:hAnsi="Verdana"/>
              </w:rPr>
              <w:t xml:space="preserve">iv. </w:t>
            </w:r>
            <w:r w:rsidRPr="00420A54">
              <w:rPr>
                <w:rFonts w:ascii="Verdana" w:hAnsi="Verdana"/>
              </w:rPr>
              <w:t xml:space="preserve">Para resolver el cuarto problema jurídico, debe señalarse que no resulta procedente entender que la ejecución de un contrato estatal a precios unitarios se limita al agotamiento del presupuesto estimado, pues ello desconoce la estructura misma del sistema. En los contratos a precios unitarios, el presupuesto es indicativo, no constitutivo del objeto; lo que define la ejecución es el alcance técnico previsto en los estudios previos, los pliegos, la oferta y el contrato, y no la cifra estimada inicialmente. Por ello, la entidad no puede supeditar la ejecución al agotamiento del presupuesto, ni pactar cantidades indeterminadas sin reglas claras para su determinación, pues ello conduciría a un contrato de valor incierto y contrariaría los principios de planeación, transparencia, selección objetiva </w:t>
            </w:r>
            <w:r>
              <w:rPr>
                <w:rFonts w:ascii="Verdana" w:hAnsi="Verdana"/>
              </w:rPr>
              <w:t>y economía, así como los principios de gestión fiscal</w:t>
            </w:r>
            <w:r w:rsidRPr="00420A54">
              <w:rPr>
                <w:rFonts w:ascii="Verdana" w:hAnsi="Verdana"/>
              </w:rPr>
              <w:t xml:space="preserve">. </w:t>
            </w:r>
            <w:r>
              <w:rPr>
                <w:rFonts w:ascii="Verdana" w:hAnsi="Verdana"/>
              </w:rPr>
              <w:t>En este asunto</w:t>
            </w:r>
            <w:r w:rsidRPr="00035DEA">
              <w:rPr>
                <w:rFonts w:ascii="Verdana" w:hAnsi="Verdana"/>
              </w:rPr>
              <w:t>,</w:t>
            </w:r>
            <w:r w:rsidRPr="00420A54">
              <w:rPr>
                <w:rFonts w:ascii="Verdana" w:hAnsi="Verdana"/>
              </w:rPr>
              <w:t xml:space="preserve"> el Consejo de Estado</w:t>
            </w:r>
            <w:r w:rsidRPr="00035DEA">
              <w:rPr>
                <w:rFonts w:ascii="Verdana" w:hAnsi="Verdana"/>
              </w:rPr>
              <w:t>,</w:t>
            </w:r>
            <w:r w:rsidRPr="00420A54">
              <w:rPr>
                <w:rFonts w:ascii="Verdana" w:hAnsi="Verdana"/>
              </w:rPr>
              <w:t xml:space="preserve"> en concepto del 6 de junio de 2018, exp. </w:t>
            </w:r>
            <w:r w:rsidRPr="00B37921">
              <w:rPr>
                <w:rFonts w:ascii="Verdana" w:hAnsi="Verdana"/>
              </w:rPr>
              <w:t>2369, ha sido enfático en que la ausencia de reglas claras para definir el valor final del contrato vulnera el deber de planeación y permite incrementos sin criterios objetivos.</w:t>
            </w:r>
          </w:p>
          <w:p w14:paraId="6F21F093" w14:textId="77777777" w:rsidR="00EB3B48" w:rsidRPr="00420A54" w:rsidRDefault="00EB3B48" w:rsidP="00120312">
            <w:pPr>
              <w:widowControl w:val="0"/>
              <w:autoSpaceDE w:val="0"/>
              <w:autoSpaceDN w:val="0"/>
              <w:spacing w:after="120" w:line="276" w:lineRule="auto"/>
              <w:ind w:firstLine="709"/>
              <w:jc w:val="both"/>
              <w:rPr>
                <w:rFonts w:ascii="Verdana" w:hAnsi="Verdana"/>
              </w:rPr>
            </w:pPr>
            <w:r w:rsidRPr="00B37921">
              <w:rPr>
                <w:rFonts w:ascii="Verdana" w:hAnsi="Verdana"/>
              </w:rPr>
              <w:t xml:space="preserve">Con todo, la anterior conclusión debe armonizarse con el principio de legalidad del gasto: la circunstancia de que la ejecución se oriente por el objeto y no por el presupuesto estimado no habilita a la entidad para autorizar, ni al contratista para ejecutar, mayores cantidades de obra que carezcan de respaldo presupuestal, pues ninguna obligación puede asumirse sin la disponibilidad y el compromiso presupuestal previos. Por ello, cuando durante la ejecución se advierta que las cantidades inicialmente estimadas resultarán insuficientes para desarrollar integralmente el objeto y el alcance contratados, la entidad —alertada oportunamente por la interventoría o supervisión— debe adelantar con antelación las gestiones presupuestales necesarias para amparar la ejecución de las cantidades faltantes, de modo que la satisfacción integral de la necesidad pública no se vea comprometida ni por el agotamiento del estimativo inicial ni por la ejecución de prestaciones sin respaldo presupuestal. En ese orden, la entidad que se limita a ejecutar hasta el monto presupuestal inicial, pese a subsistir actividades comprendidas en el objeto y </w:t>
            </w:r>
            <w:r w:rsidRPr="00B37921">
              <w:rPr>
                <w:rFonts w:ascii="Verdana" w:hAnsi="Verdana"/>
              </w:rPr>
              <w:lastRenderedPageBreak/>
              <w:t>alcance contratados y existir precios unitarios pactados para remunerarlas, no satisface por esa sola circunstancia el principio de planeación; por el contrario, la desatención del deber de gestionar oportunamente los recursos requeridos para culminar el objeto puede comprometer los principios de eficacia, economía, responsabilidad y la satisfacción del interés general, y conducir a obras incompletas o insuficientes</w:t>
            </w:r>
          </w:p>
          <w:p w14:paraId="04171943" w14:textId="77777777" w:rsidR="00EB3B48" w:rsidRPr="00420A54" w:rsidRDefault="00EB3B48" w:rsidP="00120312">
            <w:pPr>
              <w:widowControl w:val="0"/>
              <w:autoSpaceDE w:val="0"/>
              <w:autoSpaceDN w:val="0"/>
              <w:spacing w:after="120" w:line="276" w:lineRule="auto"/>
              <w:ind w:firstLine="709"/>
              <w:jc w:val="both"/>
              <w:rPr>
                <w:rFonts w:ascii="Verdana" w:hAnsi="Verdana"/>
              </w:rPr>
            </w:pPr>
            <w:r w:rsidRPr="00420A54">
              <w:rPr>
                <w:rFonts w:ascii="Verdana" w:hAnsi="Verdana"/>
              </w:rPr>
              <w:t xml:space="preserve">En este sentido, el principio de planeación exige que la entidad estructure el proceso contractual con estudios previos </w:t>
            </w:r>
            <w:r>
              <w:rPr>
                <w:rFonts w:ascii="Verdana" w:hAnsi="Verdana"/>
              </w:rPr>
              <w:t>detallados</w:t>
            </w:r>
            <w:r w:rsidRPr="00420A54">
              <w:rPr>
                <w:rFonts w:ascii="Verdana" w:hAnsi="Verdana"/>
              </w:rPr>
              <w:t xml:space="preserve">, objetivos y técnicamente fundados, que permitan determinar con claridad el objeto, las cantidades estimadas, los riesgos, las condiciones del mercado y las previsiones económicas necesarias para afrontar </w:t>
            </w:r>
            <w:r>
              <w:rPr>
                <w:rFonts w:ascii="Verdana" w:hAnsi="Verdana"/>
              </w:rPr>
              <w:t>posibles contingencias que se estimaron dentro de la etapa de planeación</w:t>
            </w:r>
            <w:r w:rsidRPr="00420A54">
              <w:rPr>
                <w:rFonts w:ascii="Verdana" w:hAnsi="Verdana"/>
              </w:rPr>
              <w:t xml:space="preserve">. La planeación </w:t>
            </w:r>
            <w:r>
              <w:rPr>
                <w:rFonts w:ascii="Verdana" w:hAnsi="Verdana"/>
              </w:rPr>
              <w:t xml:space="preserve">como principio de la contratación </w:t>
            </w:r>
            <w:r w:rsidRPr="00420A54">
              <w:rPr>
                <w:rFonts w:ascii="Verdana" w:hAnsi="Verdana"/>
              </w:rPr>
              <w:t>es un presupuesto esencial que impide la improvisación y obliga a definir de manera precisa el alcance del contrato, de modo que la ejecución responda a la necesidad pública identificada y no a la disponibilidad presupuestal circunstancial. La ejecución en función del presupuesto, y no del objeto, desnaturalizaría el contrato, afectaría la satisfacción del interés general y podría conducir a obras incompletas o insuficientes, contrariando los fines del Estado.</w:t>
            </w:r>
          </w:p>
          <w:p w14:paraId="0530DB83" w14:textId="77777777" w:rsidR="00EB3B48" w:rsidRPr="002C5DE8" w:rsidRDefault="00EB3B48" w:rsidP="00120312">
            <w:pPr>
              <w:widowControl w:val="0"/>
              <w:autoSpaceDE w:val="0"/>
              <w:autoSpaceDN w:val="0"/>
              <w:spacing w:after="120" w:line="276" w:lineRule="auto"/>
              <w:ind w:firstLine="709"/>
              <w:jc w:val="both"/>
              <w:rPr>
                <w:rFonts w:ascii="Verdana" w:hAnsi="Verdana"/>
              </w:rPr>
            </w:pPr>
            <w:r w:rsidRPr="00420A54">
              <w:rPr>
                <w:rFonts w:ascii="Verdana" w:hAnsi="Verdana"/>
              </w:rPr>
              <w:t xml:space="preserve">En consecuencia, la entidad debe elaborar un plan detallado de lo que pretende contratar, de los medios técnicos y económicos disponibles y de las contingencias previsibles, para garantizar que la ejecución contractual se ajuste al objeto definido y no al agotamiento del presupuesto estimado. El presupuesto es un instrumento para viabilizar la ejecución, pero no puede convertirse en el criterio rector que limite el cumplimiento del objeto contractual. La ejecución debe orientarse a satisfacer la necesidad pública identificada, dentro de los límites técnicos y jurídicos del contrato, y con observancia de los principios de economía, eficacia y responsabilidad. Por ello, </w:t>
            </w:r>
            <w:r>
              <w:rPr>
                <w:rFonts w:ascii="Verdana" w:hAnsi="Verdana"/>
              </w:rPr>
              <w:t>lo</w:t>
            </w:r>
            <w:r w:rsidRPr="00504972">
              <w:rPr>
                <w:rFonts w:ascii="Verdana" w:hAnsi="Verdana"/>
              </w:rPr>
              <w:t xml:space="preserve"> recomendable es que la ejecución de un contrato a precios unitarios se oriente siempre por el objeto y el alcance definidos en los estudios previos, los pliegos, la oferta y el contrato, y no por el simple agotamiento del presupuesto estimado, que constituye una referencia inicial para efectos de planeación y selección objetiva. La ejecución en función del objeto garantiza que la entidad satisfaga plenamente la necesidad pública identificada, respete los principios de planeación, eficacia y responsabilidad, y preserve la coherencia técnica del </w:t>
            </w:r>
            <w:r w:rsidRPr="00504972">
              <w:rPr>
                <w:rFonts w:ascii="Verdana" w:hAnsi="Verdana"/>
              </w:rPr>
              <w:lastRenderedPageBreak/>
              <w:t>contrato. Al mismo tiempo, esta ejecución debe observar límites razonables en las variaciones de cantidades, de manera que no se generen sobrecostos, detrimentos o incrementos injustificados del valor final, asegurando que las cantidades previstas se mantengan dentro de márgenes técnicamente explicables y financieramente sostenibles.</w:t>
            </w:r>
          </w:p>
          <w:p w14:paraId="3E61DE99" w14:textId="77777777" w:rsidR="00EB3B48" w:rsidRPr="006C4C07" w:rsidRDefault="00EB3B48" w:rsidP="00120312">
            <w:pPr>
              <w:spacing w:after="120" w:line="276" w:lineRule="auto"/>
              <w:jc w:val="both"/>
              <w:rPr>
                <w:rFonts w:ascii="Verdana" w:eastAsia="Century Gothic" w:hAnsi="Verdana" w:cs="Century Gothic"/>
              </w:rPr>
            </w:pPr>
            <w:r w:rsidRPr="006C4C07">
              <w:rPr>
                <w:rFonts w:ascii="Verdana" w:eastAsia="Century Gothic" w:hAnsi="Verdana" w:cs="Century Gothic"/>
              </w:rPr>
              <w:t xml:space="preserve">v) </w:t>
            </w:r>
            <w:r>
              <w:rPr>
                <w:rFonts w:ascii="Verdana" w:eastAsia="Century Gothic" w:hAnsi="Verdana" w:cs="Century Gothic"/>
              </w:rPr>
              <w:t>En respuesta al quinto problema planteado, se debe advertir que las entidades estatales deben</w:t>
            </w:r>
            <w:r w:rsidRPr="006C4C07">
              <w:rPr>
                <w:rFonts w:ascii="Verdana" w:eastAsia="Century Gothic" w:hAnsi="Verdana" w:cs="Century Gothic"/>
              </w:rPr>
              <w:t xml:space="preserve"> armonizar la disponibilidad y programación presupuestal con </w:t>
            </w:r>
            <w:r>
              <w:rPr>
                <w:rFonts w:ascii="Verdana" w:eastAsia="Century Gothic" w:hAnsi="Verdana" w:cs="Century Gothic"/>
              </w:rPr>
              <w:t xml:space="preserve">el principio de </w:t>
            </w:r>
            <w:r w:rsidRPr="006C4C07">
              <w:rPr>
                <w:rFonts w:ascii="Verdana" w:eastAsia="Century Gothic" w:hAnsi="Verdana" w:cs="Century Gothic"/>
              </w:rPr>
              <w:t xml:space="preserve">planeación y la obligación de ejecutar integralmente el objeto contractual en contratos </w:t>
            </w:r>
            <w:r>
              <w:rPr>
                <w:rFonts w:ascii="Verdana" w:eastAsia="Century Gothic" w:hAnsi="Verdana" w:cs="Century Gothic"/>
              </w:rPr>
              <w:t xml:space="preserve">bajo el sistema de </w:t>
            </w:r>
            <w:r w:rsidRPr="006C4C07">
              <w:rPr>
                <w:rFonts w:ascii="Verdana" w:eastAsia="Century Gothic" w:hAnsi="Verdana" w:cs="Century Gothic"/>
              </w:rPr>
              <w:t>precios unitarios,</w:t>
            </w:r>
            <w:r>
              <w:rPr>
                <w:rFonts w:ascii="Verdana" w:eastAsia="Century Gothic" w:hAnsi="Verdana" w:cs="Century Gothic"/>
              </w:rPr>
              <w:t xml:space="preserve"> partiendo de los siguientes criterios o lineamientos</w:t>
            </w:r>
            <w:r w:rsidRPr="006C4C07">
              <w:rPr>
                <w:rFonts w:ascii="Verdana" w:eastAsia="Century Gothic" w:hAnsi="Verdana" w:cs="Century Gothic"/>
              </w:rPr>
              <w:t xml:space="preserve">: </w:t>
            </w:r>
            <w:r>
              <w:rPr>
                <w:rFonts w:ascii="Verdana" w:eastAsia="Century Gothic" w:hAnsi="Verdana" w:cs="Century Gothic"/>
              </w:rPr>
              <w:t xml:space="preserve">en primer lugar, </w:t>
            </w:r>
            <w:r w:rsidRPr="006C4C07">
              <w:rPr>
                <w:rFonts w:ascii="Verdana" w:eastAsia="Century Gothic" w:hAnsi="Verdana" w:cs="Century Gothic"/>
              </w:rPr>
              <w:t>las mayores cantidades de obra no modifican el objeto ni constituyen adiciones, sino que corresponden a la ejecución real de los ítems previstos en el contrato. Por ello, cuando las cantidades efectivamente ejecutadas superan las inicialmente estimadas, la entidad debe reconocerlas siempre que hayan sido previamente autorizadas, técnicamente justificadas y recibidas a satisfacción</w:t>
            </w:r>
            <w:r>
              <w:rPr>
                <w:rFonts w:ascii="Verdana" w:eastAsia="Century Gothic" w:hAnsi="Verdana" w:cs="Century Gothic"/>
              </w:rPr>
              <w:t xml:space="preserve">, </w:t>
            </w:r>
            <w:r w:rsidRPr="005E38ED">
              <w:rPr>
                <w:rFonts w:ascii="Verdana" w:eastAsia="Century Gothic" w:hAnsi="Verdana" w:cs="Century Gothic"/>
              </w:rPr>
              <w:t>y cuenten con el respaldo presupuestal correspondiente.</w:t>
            </w:r>
            <w:r w:rsidRPr="006C4C07">
              <w:rPr>
                <w:rFonts w:ascii="Verdana" w:eastAsia="Century Gothic" w:hAnsi="Verdana" w:cs="Century Gothic"/>
              </w:rPr>
              <w:t xml:space="preserve"> </w:t>
            </w:r>
          </w:p>
          <w:p w14:paraId="4BA55B4A" w14:textId="77777777" w:rsidR="00EB3B48" w:rsidRPr="006C4C07" w:rsidRDefault="00EB3B48" w:rsidP="00120312">
            <w:pPr>
              <w:spacing w:after="120" w:line="276" w:lineRule="auto"/>
              <w:ind w:firstLine="709"/>
              <w:jc w:val="both"/>
              <w:rPr>
                <w:rFonts w:ascii="Verdana" w:eastAsia="Century Gothic" w:hAnsi="Verdana" w:cs="Century Gothic"/>
              </w:rPr>
            </w:pPr>
            <w:r w:rsidRPr="006C4C07">
              <w:rPr>
                <w:rFonts w:ascii="Verdana" w:eastAsia="Century Gothic" w:hAnsi="Verdana" w:cs="Century Gothic"/>
              </w:rPr>
              <w:t>En segundo lugar, el deber de planeación impone que las cantidades estimadas en los estudios previos sean lo más precisas posible, de modo que las variaciones entre el valor estimado y el valor final sean razonables y técnicamente explicables. La planeación no solo exige estudios previos completos, sino también prever contingencias y riesgos que puedan afectar la ejecución. Las omisiones o errores en esta etapa pueden generar mayores costos, ajustes contractuales</w:t>
            </w:r>
            <w:r>
              <w:rPr>
                <w:rFonts w:ascii="Verdana" w:eastAsia="Century Gothic" w:hAnsi="Verdana" w:cs="Century Gothic"/>
              </w:rPr>
              <w:t xml:space="preserve">, </w:t>
            </w:r>
            <w:r w:rsidRPr="006C4C07">
              <w:rPr>
                <w:rFonts w:ascii="Verdana" w:eastAsia="Century Gothic" w:hAnsi="Verdana" w:cs="Century Gothic"/>
              </w:rPr>
              <w:t>afectar el equilibrio económico del contrato</w:t>
            </w:r>
            <w:r>
              <w:rPr>
                <w:rFonts w:ascii="Verdana" w:eastAsia="Century Gothic" w:hAnsi="Verdana" w:cs="Century Gothic"/>
              </w:rPr>
              <w:t>, así como situaciones que desconozcan los principios de gestión fiscal, y con ello una posible responsabilidad</w:t>
            </w:r>
            <w:r w:rsidRPr="006C4C07">
              <w:rPr>
                <w:rFonts w:ascii="Verdana" w:eastAsia="Century Gothic" w:hAnsi="Verdana" w:cs="Century Gothic"/>
              </w:rPr>
              <w:t>. Por ello, aunque las mayores cantidades son propias del sistema de precios unitarios, no pueden convertirse en un mecanismo para ampliar ilimitadamente la ejecución, ni para eludir la modalidad de selección objetiva que correspondería si se tratara de nuevas prestaciones o de una modificación sustancial del contrato.</w:t>
            </w:r>
          </w:p>
          <w:p w14:paraId="21ABF935" w14:textId="77777777" w:rsidR="00EB3B48" w:rsidRPr="006C4C07" w:rsidRDefault="00EB3B48" w:rsidP="00120312">
            <w:pPr>
              <w:spacing w:after="120" w:line="276" w:lineRule="auto"/>
              <w:ind w:firstLine="709"/>
              <w:jc w:val="both"/>
              <w:rPr>
                <w:rFonts w:ascii="Verdana" w:eastAsia="Century Gothic" w:hAnsi="Verdana" w:cs="Century Gothic"/>
              </w:rPr>
            </w:pPr>
            <w:r w:rsidRPr="006C4C07">
              <w:rPr>
                <w:rFonts w:ascii="Verdana" w:eastAsia="Century Gothic" w:hAnsi="Verdana" w:cs="Century Gothic"/>
              </w:rPr>
              <w:t>En tercer lugar, las entidades deben diferenciar claramente entre mayores cantidades de obra</w:t>
            </w:r>
            <w:r>
              <w:rPr>
                <w:rFonts w:ascii="Verdana" w:eastAsia="Century Gothic" w:hAnsi="Verdana" w:cs="Century Gothic"/>
              </w:rPr>
              <w:t xml:space="preserve">, obras extras o adicionales o </w:t>
            </w:r>
            <w:r w:rsidRPr="00E72848">
              <w:rPr>
                <w:rFonts w:ascii="Verdana" w:eastAsia="Century Gothic" w:hAnsi="Verdana" w:cs="Century Gothic"/>
                <w:bCs/>
              </w:rPr>
              <w:t>nuevos precios unitarios que no implican obras o servicios adicionales</w:t>
            </w:r>
            <w:r w:rsidRPr="006C4C07">
              <w:rPr>
                <w:rFonts w:ascii="Verdana" w:eastAsia="Century Gothic" w:hAnsi="Verdana" w:cs="Century Gothic"/>
              </w:rPr>
              <w:t xml:space="preserve">. </w:t>
            </w:r>
            <w:r>
              <w:rPr>
                <w:rFonts w:ascii="Verdana" w:eastAsia="Century Gothic" w:hAnsi="Verdana" w:cs="Century Gothic"/>
              </w:rPr>
              <w:t>Como se explicó en numerales anteriores, las mayores cantidades de obra</w:t>
            </w:r>
            <w:r w:rsidRPr="006C4C07">
              <w:rPr>
                <w:rFonts w:ascii="Verdana" w:eastAsia="Century Gothic" w:hAnsi="Verdana" w:cs="Century Gothic"/>
              </w:rPr>
              <w:t xml:space="preserve"> corresponden a la ejecución ampliada de ítems existentes y no requieren otrosí. Esta distinción es esencial para garantizar la transparencia, evitar la indeterminación del valor </w:t>
            </w:r>
            <w:r w:rsidRPr="006C4C07">
              <w:rPr>
                <w:rFonts w:ascii="Verdana" w:eastAsia="Century Gothic" w:hAnsi="Verdana" w:cs="Century Gothic"/>
              </w:rPr>
              <w:lastRenderedPageBreak/>
              <w:t>contractual y asegurar que las variaciones respondan exclusivamente a la ejecución del objeto previamente definido y planificado. Las modificaciones contractuales, además, solo proceden de manera excepcional, cuando resultan indispensables para garantizar el interés público y cuando la causa de la modificación es real, cierta y verificable.</w:t>
            </w:r>
          </w:p>
          <w:p w14:paraId="5D841921" w14:textId="77777777" w:rsidR="00EB3B48" w:rsidRDefault="00EB3B48" w:rsidP="00120312">
            <w:pPr>
              <w:spacing w:after="120" w:line="276" w:lineRule="auto"/>
              <w:ind w:firstLine="709"/>
              <w:jc w:val="both"/>
              <w:rPr>
                <w:rFonts w:ascii="Verdana" w:eastAsia="Century Gothic" w:hAnsi="Verdana" w:cs="Century Gothic"/>
              </w:rPr>
            </w:pPr>
            <w:r w:rsidRPr="006C4C07">
              <w:rPr>
                <w:rFonts w:ascii="Verdana" w:eastAsia="Century Gothic" w:hAnsi="Verdana" w:cs="Century Gothic"/>
              </w:rPr>
              <w:t xml:space="preserve">Finalmente, la armonización entre planeación, disponibilidad presupuestal y ejecución integral del objeto exige que cada entidad realice un análisis técnico, jurídico y financiero en el caso concreto, evaluando si procede reconocer mayores cantidades o si, por el contrario, es necesario modificar el contrato. Este análisis debe considerar la </w:t>
            </w:r>
            <w:r>
              <w:rPr>
                <w:rFonts w:ascii="Verdana" w:eastAsia="Century Gothic" w:hAnsi="Verdana" w:cs="Century Gothic"/>
              </w:rPr>
              <w:t xml:space="preserve">disponibilidad </w:t>
            </w:r>
            <w:r w:rsidRPr="006C4C07">
              <w:rPr>
                <w:rFonts w:ascii="Verdana" w:eastAsia="Century Gothic" w:hAnsi="Verdana" w:cs="Century Gothic"/>
              </w:rPr>
              <w:t xml:space="preserve">presupuestal, la coherencia con los estudios previos, la naturaleza de las variaciones y el impacto en la modalidad de selección. Además, todos los documentos de gestión, autorizaciones, soportes técnicos y actuaciones presupuestales deben publicarse, garantizando trazabilidad y transparencia. </w:t>
            </w:r>
            <w:r w:rsidRPr="009D44AB">
              <w:rPr>
                <w:rFonts w:ascii="Verdana" w:eastAsia="Century Gothic" w:hAnsi="Verdana" w:cs="Century Gothic"/>
              </w:rPr>
              <w:t>En síntesis, la entidad debe garantizar que la ejecución contractual se ajuste estrictamente al objeto definido, que toda variación cuente con una justificación técnica suficiente y que la disponibilidad presupuestal se administre con responsabilidad. Ello implica preservar la naturaleza del sistema de precios unitarios y evitar actuaciones que desconozcan los principios de la gestión fiscal, pues tales desviaciones podrían generar responsabilidad para la administración.</w:t>
            </w:r>
          </w:p>
          <w:p w14:paraId="2FC4EDA4" w14:textId="77777777" w:rsidR="00EB3B48" w:rsidRPr="000B5C81" w:rsidRDefault="00EB3B48" w:rsidP="00120312">
            <w:pPr>
              <w:widowControl w:val="0"/>
              <w:autoSpaceDE w:val="0"/>
              <w:autoSpaceDN w:val="0"/>
              <w:spacing w:line="276" w:lineRule="auto"/>
              <w:ind w:firstLine="708"/>
              <w:jc w:val="both"/>
              <w:rPr>
                <w:rFonts w:ascii="Verdana" w:eastAsia="Arial" w:hAnsi="Verdana" w:cs="Arial"/>
                <w:color w:val="000000" w:themeColor="text1"/>
                <w:lang w:eastAsia="es-ES" w:bidi="es-ES"/>
              </w:rPr>
            </w:pPr>
            <w:r>
              <w:rPr>
                <w:rFonts w:ascii="Verdana" w:eastAsia="Arial" w:hAnsi="Verdana" w:cs="Arial"/>
                <w:color w:val="000000" w:themeColor="text1"/>
                <w:lang w:eastAsia="es-ES" w:bidi="es-ES"/>
              </w:rPr>
              <w:t>En todo caso</w:t>
            </w:r>
            <w:r w:rsidRPr="00CD2603">
              <w:rPr>
                <w:rFonts w:ascii="Verdana" w:eastAsia="Arial" w:hAnsi="Verdana" w:cs="Arial"/>
                <w:color w:val="000000" w:themeColor="text1"/>
                <w:lang w:eastAsia="es-ES" w:bidi="es-ES"/>
              </w:rPr>
              <w:t>, corresponderá a cada Entidad Estatal realizar el análisis respecto a la precedencia de modificar determinado contrato estatal, o ejecutarlo por encima del valor inicial estimado, en el entendido que se respeten las reglas establecidas en el ordenamiento jurídico, de acuerdo con lo expuesto anteriormente, además de definir previamente su procedencia desde la perspectiva jurídica, técnica y financiera. Con todo, el hecho de que, según la jurisprudencia reciente del Consejo de Estado</w:t>
            </w:r>
            <w:r>
              <w:rPr>
                <w:rFonts w:ascii="Verdana" w:eastAsia="Arial" w:hAnsi="Verdana" w:cs="Arial"/>
                <w:color w:val="000000" w:themeColor="text1"/>
                <w:lang w:eastAsia="es-ES" w:bidi="es-ES"/>
              </w:rPr>
              <w:t xml:space="preserve"> que se detalla en las razones de la respuesta</w:t>
            </w:r>
            <w:r w:rsidRPr="00CD2603">
              <w:rPr>
                <w:rFonts w:ascii="Verdana" w:eastAsia="Arial" w:hAnsi="Verdana" w:cs="Arial"/>
                <w:color w:val="000000" w:themeColor="text1"/>
                <w:lang w:eastAsia="es-ES" w:bidi="es-ES"/>
              </w:rPr>
              <w:t xml:space="preserve">, el valor inicial de los contratos por precios unitarios sea indicativo, no puede </w:t>
            </w:r>
            <w:r>
              <w:rPr>
                <w:rFonts w:ascii="Verdana" w:eastAsia="Arial" w:hAnsi="Verdana" w:cs="Arial"/>
                <w:color w:val="000000" w:themeColor="text1"/>
                <w:lang w:eastAsia="es-ES" w:bidi="es-ES"/>
              </w:rPr>
              <w:t xml:space="preserve">interpretarse </w:t>
            </w:r>
            <w:r w:rsidRPr="00CD2603">
              <w:rPr>
                <w:rFonts w:ascii="Verdana" w:eastAsia="Arial" w:hAnsi="Verdana" w:cs="Arial"/>
                <w:color w:val="000000" w:themeColor="text1"/>
                <w:lang w:eastAsia="es-ES" w:bidi="es-ES"/>
              </w:rPr>
              <w:t xml:space="preserve">como una patente de corso para ejecutar de manera desproporcionada e irrazonable los contratos estatales vigentes, ya que de acuerdo con lo aquí explicado, ello no solo puede evidenciar infracciones al deber de planeación y al principio de selección objetiva, sino que también puede atentar contra los principios de la gestión </w:t>
            </w:r>
            <w:r>
              <w:rPr>
                <w:rFonts w:ascii="Verdana" w:eastAsia="Arial" w:hAnsi="Verdana" w:cs="Arial"/>
                <w:color w:val="000000" w:themeColor="text1"/>
                <w:lang w:eastAsia="es-ES" w:bidi="es-ES"/>
              </w:rPr>
              <w:t>fiscal</w:t>
            </w:r>
            <w:r w:rsidRPr="00CD2603">
              <w:rPr>
                <w:rFonts w:ascii="Verdana" w:eastAsia="Arial" w:hAnsi="Verdana" w:cs="Arial"/>
                <w:color w:val="000000" w:themeColor="text1"/>
                <w:lang w:eastAsia="es-ES" w:bidi="es-ES"/>
              </w:rPr>
              <w:t xml:space="preserve"> conduciendo a detrimentos del recurso público.  </w:t>
            </w:r>
          </w:p>
        </w:tc>
      </w:tr>
    </w:tbl>
    <w:p w14:paraId="3C9A52A2" w14:textId="77777777" w:rsidR="00EB3B48" w:rsidRPr="00DA61E0" w:rsidRDefault="00EB3B48" w:rsidP="00EB3B48">
      <w:pPr>
        <w:tabs>
          <w:tab w:val="left" w:pos="142"/>
          <w:tab w:val="left" w:pos="284"/>
        </w:tabs>
        <w:spacing w:after="0" w:line="276" w:lineRule="auto"/>
        <w:jc w:val="both"/>
        <w:rPr>
          <w:rFonts w:ascii="Verdana" w:eastAsia="Century Gothic" w:hAnsi="Verdana" w:cs="Century Gothic"/>
          <w:b/>
          <w:bCs/>
          <w:lang w:val="es-ES"/>
        </w:rPr>
      </w:pPr>
    </w:p>
    <w:p w14:paraId="0760D26B" w14:textId="77777777" w:rsidR="00EB3B48" w:rsidRPr="00DA61E0" w:rsidRDefault="00EB3B48" w:rsidP="00EB3B48">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DA61E0">
        <w:rPr>
          <w:rFonts w:ascii="Verdana" w:eastAsia="Century Gothic" w:hAnsi="Verdana" w:cs="Century Gothic"/>
          <w:b/>
          <w:bCs/>
          <w:lang w:val="es-ES"/>
        </w:rPr>
        <w:lastRenderedPageBreak/>
        <w:t>Razones de la respuesta:</w:t>
      </w:r>
    </w:p>
    <w:p w14:paraId="287503E0" w14:textId="77777777" w:rsidR="00EB3B48" w:rsidRPr="00DA61E0" w:rsidRDefault="00EB3B48" w:rsidP="00EB3B48">
      <w:pPr>
        <w:spacing w:after="0" w:line="276" w:lineRule="auto"/>
        <w:jc w:val="both"/>
        <w:rPr>
          <w:rFonts w:ascii="Verdana" w:eastAsia="Calibri" w:hAnsi="Verdana" w:cs="Arial"/>
          <w:color w:val="7030A0"/>
          <w:lang w:val="es-ES"/>
        </w:rPr>
      </w:pPr>
    </w:p>
    <w:p w14:paraId="2C227A46" w14:textId="77777777" w:rsidR="00EB3B48" w:rsidRPr="00DA61E0" w:rsidRDefault="00EB3B48" w:rsidP="00EB3B48">
      <w:pPr>
        <w:spacing w:after="0" w:line="276" w:lineRule="auto"/>
        <w:jc w:val="both"/>
        <w:rPr>
          <w:rFonts w:ascii="Verdana" w:eastAsia="Calibri" w:hAnsi="Verdana" w:cs="Arial"/>
          <w:lang w:val="es-ES"/>
        </w:rPr>
      </w:pPr>
      <w:r w:rsidRPr="00DA61E0">
        <w:rPr>
          <w:rFonts w:ascii="Verdana" w:eastAsia="Calibri" w:hAnsi="Verdana" w:cs="Arial"/>
          <w:lang w:val="es-ES"/>
        </w:rPr>
        <w:t>Lo anterior se sustenta en las siguientes consideraciones:</w:t>
      </w:r>
    </w:p>
    <w:p w14:paraId="41B9975C" w14:textId="77777777" w:rsidR="00EB3B48" w:rsidRDefault="00EB3B48" w:rsidP="00EB3B48">
      <w:pPr>
        <w:spacing w:after="0" w:line="276" w:lineRule="auto"/>
        <w:jc w:val="both"/>
        <w:rPr>
          <w:rFonts w:ascii="Verdana" w:eastAsia="Calibri" w:hAnsi="Verdana" w:cs="Arial"/>
          <w:bCs/>
          <w:lang w:val="es-ES_tradnl"/>
        </w:rPr>
      </w:pPr>
    </w:p>
    <w:p w14:paraId="07F08CA7" w14:textId="77777777" w:rsidR="00EB3B48" w:rsidRPr="00AA633E" w:rsidRDefault="00EB3B48" w:rsidP="00EB3B48">
      <w:pPr>
        <w:spacing w:after="0" w:line="276" w:lineRule="auto"/>
        <w:jc w:val="both"/>
        <w:rPr>
          <w:rFonts w:ascii="Verdana" w:hAnsi="Verdana" w:cs="Arial"/>
          <w:bCs/>
          <w:szCs w:val="24"/>
          <w:lang w:val="es-ES_tradnl" w:eastAsia="es-ES_tradnl"/>
        </w:rPr>
      </w:pPr>
      <w:r w:rsidRPr="00AA633E">
        <w:rPr>
          <w:rFonts w:ascii="Verdana" w:hAnsi="Verdana" w:cs="Arial"/>
          <w:bCs/>
          <w:szCs w:val="24"/>
          <w:lang w:val="es-ES_tradnl" w:eastAsia="es-ES_tradnl"/>
        </w:rPr>
        <w:t xml:space="preserve">i. Como es sabido, uno de los elementos más comunes en los contratos estatales es el precio, también conocido como valor. Aunque no todo contrato lo incluye –pues también existen negocios gratuitos– lo usual es que los contratos estatales se perfeccionen como onerosos y, la mayoría de las veces, como conmutativos. </w:t>
      </w:r>
      <w:r w:rsidRPr="00CA0C34">
        <w:rPr>
          <w:rFonts w:ascii="Verdana" w:hAnsi="Verdana" w:cs="Arial"/>
          <w:bCs/>
          <w:szCs w:val="24"/>
          <w:lang w:eastAsia="es-ES_tradnl"/>
        </w:rPr>
        <w:t>Adicionalmente, el precio suele constituir el factor de mayor relevancia para el contratista, en tanto representa la remuneración que la entidad contratante le reconocerá por la ejecución del contrato estatal.</w:t>
      </w:r>
    </w:p>
    <w:p w14:paraId="3250892F" w14:textId="77777777" w:rsidR="00EB3B48" w:rsidRPr="00AA633E" w:rsidRDefault="00EB3B48" w:rsidP="00EB3B48">
      <w:pPr>
        <w:spacing w:before="120" w:after="120" w:line="276" w:lineRule="auto"/>
        <w:ind w:firstLine="709"/>
        <w:jc w:val="both"/>
        <w:rPr>
          <w:rFonts w:ascii="Verdana" w:hAnsi="Verdana" w:cs="Arial"/>
          <w:lang w:val="es-ES" w:eastAsia="es-ES"/>
        </w:rPr>
      </w:pPr>
      <w:r w:rsidRPr="00AA633E">
        <w:rPr>
          <w:rFonts w:ascii="Verdana" w:hAnsi="Verdana" w:cs="Arial"/>
          <w:lang w:val="es-ES" w:eastAsia="es-ES"/>
        </w:rPr>
        <w:t>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Administración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r w:rsidRPr="00AA633E">
        <w:rPr>
          <w:rFonts w:ascii="Verdana" w:hAnsi="Verdana" w:cs="Arial"/>
          <w:vertAlign w:val="superscript"/>
          <w:lang w:val="es-ES" w:eastAsia="es-ES"/>
        </w:rPr>
        <w:footnoteReference w:id="1"/>
      </w:r>
      <w:r w:rsidRPr="00AA633E">
        <w:rPr>
          <w:rFonts w:ascii="Verdana" w:hAnsi="Verdana" w:cs="Arial"/>
          <w:lang w:val="es-ES" w:eastAsia="es-ES"/>
        </w:rPr>
        <w:t xml:space="preserve">. No hay, pues, una sola metodología para pactar el precio y, en gran medida, la manera de hacerlo ha obedecido a la costumbre mercantil y a la influencia de disciplinas técnicas, como la ingeniería o la administración de empresas, en la contratación estatal. Dentro </w:t>
      </w:r>
      <w:r w:rsidRPr="00AA633E">
        <w:rPr>
          <w:rFonts w:ascii="Verdana" w:hAnsi="Verdana" w:cs="Arial"/>
          <w:lang w:val="es-ES" w:eastAsia="es-ES"/>
        </w:rPr>
        <w:lastRenderedPageBreak/>
        <w:t>de tales esquemas de establecimiento del precio pueden citarse, entre otros: i) los precios unitarios –calculados de acuerdo con las unidades que componen el objeto del contrato–, ii) el precio global –que equivale al monto total, sin discriminar unidades–, y iii) la administración delegada de recursos –en la que se distinguen los costos de inversión de los honorarios del administrador–.</w:t>
      </w:r>
    </w:p>
    <w:p w14:paraId="56AB917C" w14:textId="77777777" w:rsidR="00EB3B48" w:rsidRDefault="00EB3B48" w:rsidP="00EB3B48">
      <w:pPr>
        <w:spacing w:after="120" w:line="276" w:lineRule="auto"/>
        <w:ind w:firstLine="709"/>
        <w:jc w:val="both"/>
        <w:rPr>
          <w:rFonts w:ascii="Verdana" w:hAnsi="Verdana"/>
          <w:lang w:val="es-ES"/>
        </w:rPr>
      </w:pPr>
      <w:r>
        <w:rPr>
          <w:rFonts w:ascii="Verdana" w:hAnsi="Verdana"/>
          <w:lang w:val="es-ES"/>
        </w:rPr>
        <w:t>El precio pactado a precios unitarios, al cual se refiere su consulta, implica individualizar el valor de cada uno de los ítems requeridos para llevar a cabo la obra o el proyecto. Así mismo, el precio se deriva de apreciar todos los componentes necesarios para la ejecución de la unidad de medida del ítem correspondiente (metro lineal, metro cúbico, metro cuadrado, entre otros). Por lo mismo, el precio será el resultado de multiplicar la cantidad finalmente ejecutada por el valor unitario respectivo</w:t>
      </w:r>
      <w:r>
        <w:rPr>
          <w:rStyle w:val="Refdenotaalpie"/>
          <w:rFonts w:ascii="Verdana" w:hAnsi="Verdana"/>
          <w:lang w:val="es-ES"/>
        </w:rPr>
        <w:footnoteReference w:id="2"/>
      </w:r>
      <w:r>
        <w:rPr>
          <w:rFonts w:ascii="Verdana" w:hAnsi="Verdana"/>
          <w:lang w:val="es-ES"/>
        </w:rPr>
        <w:t>.</w:t>
      </w:r>
    </w:p>
    <w:p w14:paraId="0EF931D8" w14:textId="77777777" w:rsidR="00EB3B48" w:rsidRDefault="00EB3B48" w:rsidP="00EB3B48">
      <w:pPr>
        <w:spacing w:after="120" w:line="276" w:lineRule="auto"/>
        <w:ind w:firstLine="709"/>
        <w:jc w:val="both"/>
        <w:rPr>
          <w:rFonts w:ascii="Verdana" w:hAnsi="Verdana"/>
          <w:lang w:val="es-ES"/>
        </w:rPr>
      </w:pPr>
      <w:r>
        <w:rPr>
          <w:rFonts w:ascii="Verdana" w:hAnsi="Verdana" w:cs="Arial"/>
          <w:bCs/>
          <w:szCs w:val="24"/>
          <w:lang w:val="es-ES" w:eastAsia="es-ES_tradnl"/>
        </w:rPr>
        <w:t>En esta modalidad se establecen unas estimaciones de cantidades de obra, según los estudios y diseños, los estudios previos y unos precios unitarios de los respectivos ítems de obra</w:t>
      </w:r>
      <w:r>
        <w:rPr>
          <w:rStyle w:val="Refdenotaalpie"/>
          <w:rFonts w:ascii="Verdana" w:hAnsi="Verdana" w:cs="Arial"/>
          <w:bCs/>
          <w:szCs w:val="24"/>
          <w:lang w:val="es-ES" w:eastAsia="es-ES_tradnl"/>
        </w:rPr>
        <w:footnoteReference w:id="3"/>
      </w:r>
      <w:r>
        <w:rPr>
          <w:rFonts w:ascii="Verdana" w:hAnsi="Verdana" w:cs="Arial"/>
          <w:bCs/>
          <w:szCs w:val="24"/>
          <w:lang w:val="es-ES" w:eastAsia="es-ES_tradnl"/>
        </w:rPr>
        <w:t xml:space="preserve">. </w:t>
      </w:r>
      <w:r>
        <w:rPr>
          <w:rFonts w:ascii="Verdana" w:hAnsi="Verdana"/>
          <w:lang w:val="es-ES"/>
        </w:rPr>
        <w:t>Al respecto, la jurisprudencia de la Sección Tercera del Consejo de Estado ha explicado que, en los contratos pactados mediante precios unitarios, ante la imposibilidad de establecer con exactitud los montos totales que resultarán de realizar la obra contratada, la entidad aproxima un cálculo estimado de la cantidad o unidades de obra que se requerirá ejecutar previo a la ejecución del negocio jurídico, es decir, en los pliegos de condiciones o documento equivalente y en el contrato. Esto, con el propósito de que el proponente establezca en su propuesta unos valores unitarios respecto de cada unidad de obra prevista por la entidad contratante</w:t>
      </w:r>
      <w:r>
        <w:rPr>
          <w:rStyle w:val="Refdenotaalpie"/>
          <w:rFonts w:ascii="Verdana" w:hAnsi="Verdana"/>
          <w:lang w:val="es-ES"/>
        </w:rPr>
        <w:footnoteReference w:id="4"/>
      </w:r>
      <w:r>
        <w:rPr>
          <w:rFonts w:ascii="Verdana" w:hAnsi="Verdana"/>
          <w:lang w:val="es-ES"/>
        </w:rPr>
        <w:t>.</w:t>
      </w:r>
    </w:p>
    <w:p w14:paraId="08F9DF3F" w14:textId="77777777" w:rsidR="00EB3B48" w:rsidRPr="00DE6B08" w:rsidRDefault="00EB3B48" w:rsidP="00EB3B48">
      <w:pPr>
        <w:spacing w:after="120" w:line="276" w:lineRule="auto"/>
        <w:ind w:firstLine="709"/>
        <w:jc w:val="both"/>
        <w:rPr>
          <w:rFonts w:ascii="Verdana" w:eastAsia="Calibri" w:hAnsi="Verdana" w:cs="Arial"/>
          <w:szCs w:val="24"/>
          <w:lang w:eastAsia="es-ES_tradnl"/>
        </w:rPr>
      </w:pPr>
      <w:r w:rsidRPr="00747773">
        <w:rPr>
          <w:rFonts w:ascii="Verdana" w:eastAsia="Calibri" w:hAnsi="Verdana" w:cs="Arial"/>
          <w:szCs w:val="24"/>
          <w:lang w:eastAsia="es-ES_tradnl"/>
        </w:rPr>
        <w:t>En consecuencia, debe distinguirse entre el valor estimado del contrato y el valor real o ejecutado, determinado este último por las mayores o menores cantidades de obra que el contratista efectivamente ejecute para cumplir el objeto pactado. En los contratos de obra pública con pago a precios unitarios, el valor contractual definitivo corresponde al resultado de multiplicar las cantidades de obra realmente ejecutadas por los precios unitarios establecidos en el contrato.</w:t>
      </w:r>
      <w:r w:rsidRPr="00747773">
        <w:rPr>
          <w:rFonts w:ascii="Verdana" w:hAnsi="Verdana" w:cs="Arial"/>
          <w:szCs w:val="24"/>
          <w:lang w:eastAsia="es-ES_tradnl"/>
        </w:rPr>
        <w:t xml:space="preserve"> </w:t>
      </w:r>
      <w:r w:rsidRPr="00747773">
        <w:rPr>
          <w:rFonts w:ascii="Verdana" w:eastAsia="Calibri" w:hAnsi="Verdana" w:cs="Arial"/>
          <w:szCs w:val="24"/>
          <w:lang w:eastAsia="es-ES_tradnl"/>
        </w:rPr>
        <w:t xml:space="preserve">No obstante, para la celebración de este tipo de contratos se requiere </w:t>
      </w:r>
      <w:r w:rsidRPr="00747773">
        <w:rPr>
          <w:rFonts w:ascii="Verdana" w:eastAsia="Calibri" w:hAnsi="Verdana" w:cs="Arial"/>
          <w:szCs w:val="24"/>
          <w:lang w:eastAsia="es-ES_tradnl"/>
        </w:rPr>
        <w:lastRenderedPageBreak/>
        <w:t>expresar un valor estimado inicial,</w:t>
      </w:r>
      <w:r w:rsidRPr="00DE6B08">
        <w:rPr>
          <w:rFonts w:ascii="Verdana" w:eastAsia="Calibri" w:hAnsi="Verdana" w:cs="Arial"/>
          <w:szCs w:val="24"/>
          <w:lang w:eastAsia="es-ES_tradnl"/>
        </w:rPr>
        <w:t xml:space="preserve"> calculado a partir de las cantidades de obra previstas y los precios unitarios que sirvieron de base para la adjudicación. Este valor tiene un carácter meramente referencial y operativo, pues el monto final del contrato solo se determina con la ejecución real y la correspondiente liquidación de las cantidades de obra.</w:t>
      </w:r>
    </w:p>
    <w:p w14:paraId="74F63B11" w14:textId="77777777" w:rsidR="00EB3B48" w:rsidRPr="00F66635" w:rsidRDefault="00EB3B48" w:rsidP="00EB3B48">
      <w:pPr>
        <w:spacing w:after="120" w:line="276" w:lineRule="auto"/>
        <w:ind w:firstLine="743"/>
        <w:jc w:val="both"/>
        <w:rPr>
          <w:rFonts w:ascii="Verdana" w:eastAsia="Times New Roman" w:hAnsi="Verdana" w:cs="Arial"/>
          <w:lang w:eastAsia="es-ES"/>
        </w:rPr>
      </w:pPr>
      <w:r w:rsidRPr="00F66635">
        <w:rPr>
          <w:rFonts w:ascii="Verdana" w:eastAsia="Times New Roman" w:hAnsi="Verdana" w:cs="Arial"/>
          <w:lang w:val="es-ES" w:eastAsia="es-ES"/>
        </w:rPr>
        <w:t xml:space="preserve">Así las cosas, durante la etapa de planeación las entidades públicas son responsables de estimar y determinar las prestaciones que demanda la satisfacción del interés colectivo, conforme al análisis de los estudios y diseños previos. No obstante, teniendo en cuenta que en la modalidad de precios unitarios las cantidades son estimativas, es factible que, durante la ejecución del contrato, las partes puedan identificar situaciones en las que se genera la necesidad de mayores cantidades de bienes o actividades inicialmente previstas, a lo que se le conoce como mayores cantidades de obra. De esta forma, </w:t>
      </w:r>
      <w:r w:rsidRPr="00F66635">
        <w:rPr>
          <w:rFonts w:ascii="Verdana" w:eastAsia="Times New Roman" w:hAnsi="Verdana" w:cs="Arial"/>
          <w:lang w:eastAsia="es-ES"/>
        </w:rPr>
        <w:t xml:space="preserve">si bien la responsabilidad inicial en la definición de las cantidades recae en la entidad estatal en la fase de planeación, durante la ejecución del contrato tanto la entidad contratante como el contratista están obligados a identificar, advertir y gestionar oportunamente las situaciones que puedan afectar la adecuada ejecución del contrato. </w:t>
      </w:r>
    </w:p>
    <w:p w14:paraId="2544EA72" w14:textId="77777777" w:rsidR="00EB3B48" w:rsidRPr="00266623" w:rsidRDefault="00EB3B48" w:rsidP="00EB3B48">
      <w:pPr>
        <w:spacing w:after="120" w:line="276" w:lineRule="auto"/>
        <w:ind w:firstLine="708"/>
        <w:jc w:val="both"/>
        <w:rPr>
          <w:rFonts w:ascii="Verdana" w:eastAsia="Calibri" w:hAnsi="Verdana" w:cs="Arial"/>
          <w:color w:val="7030A0"/>
        </w:rPr>
      </w:pPr>
      <w:r w:rsidRPr="00CD2603">
        <w:rPr>
          <w:rFonts w:ascii="Verdana" w:hAnsi="Verdana" w:cs="Arial"/>
          <w:bCs/>
          <w:szCs w:val="24"/>
          <w:lang w:eastAsia="es-ES_tradnl"/>
        </w:rPr>
        <w:t xml:space="preserve">Otro aspecto importante a tener en cuenta respecto a los contratos cuyo precio se estructura a partir del sistema de precios unitarios es que, ha hecho parte de la práctica de los negocios que el contratante le solicite al potencial contratista que separe en su propuesta los costos directos –es decir, los que están directamente implicados en la ejecución del objeto–, de los costos indirectos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En tal sentido, mientras que los costos directos se evidencian en el análisis de precios unitarios –APU–, como la sumatoria de los valores de los </w:t>
      </w:r>
      <w:r w:rsidRPr="00CD2603">
        <w:rPr>
          <w:rFonts w:ascii="Verdana" w:hAnsi="Verdana" w:cs="Arial"/>
          <w:bCs/>
          <w:i/>
          <w:iCs/>
          <w:szCs w:val="24"/>
          <w:lang w:eastAsia="es-ES_tradnl"/>
        </w:rPr>
        <w:t>ítems</w:t>
      </w:r>
      <w:r w:rsidRPr="00CD2603">
        <w:rPr>
          <w:rFonts w:ascii="Verdana" w:hAnsi="Verdana" w:cs="Arial"/>
          <w:bCs/>
          <w:szCs w:val="24"/>
          <w:lang w:eastAsia="es-ES_tradnl"/>
        </w:rPr>
        <w:t xml:space="preserve"> según su unidad de medida, los costos indirectos se suelen abreviar en las variables que integran el acrónimo AIU –Administración, Imprevistos y Utilidad–, que se calcula como un porcentaje aplicado a los costos indirectos</w:t>
      </w:r>
      <w:r w:rsidRPr="00CD2603">
        <w:rPr>
          <w:rFonts w:ascii="Verdana" w:hAnsi="Verdana" w:cs="Arial"/>
          <w:szCs w:val="24"/>
          <w:vertAlign w:val="superscript"/>
          <w:lang w:eastAsia="es-ES_tradnl"/>
        </w:rPr>
        <w:footnoteReference w:id="5"/>
      </w:r>
      <w:r w:rsidRPr="00CD2603">
        <w:rPr>
          <w:rFonts w:ascii="Verdana" w:hAnsi="Verdana" w:cs="Arial"/>
          <w:szCs w:val="24"/>
          <w:lang w:eastAsia="es-ES_tradnl"/>
        </w:rPr>
        <w:t>.</w:t>
      </w:r>
    </w:p>
    <w:p w14:paraId="5FE2E736" w14:textId="77777777" w:rsidR="00EB3B48" w:rsidRPr="00CD2603" w:rsidRDefault="00EB3B48" w:rsidP="00EB3B48">
      <w:pPr>
        <w:spacing w:after="120" w:line="276" w:lineRule="auto"/>
        <w:ind w:firstLine="708"/>
        <w:jc w:val="both"/>
        <w:rPr>
          <w:rFonts w:ascii="Verdana" w:hAnsi="Verdana"/>
          <w:i/>
        </w:rPr>
      </w:pPr>
      <w:r w:rsidRPr="00CD2603">
        <w:rPr>
          <w:rFonts w:ascii="Verdana" w:hAnsi="Verdana"/>
        </w:rPr>
        <w:lastRenderedPageBreak/>
        <w:t xml:space="preserve">Conforme a lo expuesto en líneas precedentes, el valor del contrato en el sistema a precios unitarios es indicativo o estimativo, motivo por el cual el valor real dependerá de las cantidades que final y efectivamente sean ejecutadas, multiplicadas por los precios unitarios que hayan sido pactados. </w:t>
      </w:r>
      <w:r w:rsidRPr="005F54D8">
        <w:rPr>
          <w:rFonts w:ascii="Verdana" w:hAnsi="Verdana"/>
        </w:rPr>
        <w:t>Por lo mismo, el reconocimiento de las mayores cantidades de obra corresponde, en esencia, a la aplicación de la modalidad de precio y del mecanismo de pago previstos en el contrato; esto es, la ejecución del procedimiento acordado por las partes para determinar el valor final del negocio jurídico, consistente en multiplicar las cantidades efectivamente ejecutadas por el valor del ítem pactado.</w:t>
      </w:r>
    </w:p>
    <w:p w14:paraId="1ECCED9E" w14:textId="77777777" w:rsidR="00EB3B48" w:rsidRPr="00CD2603" w:rsidRDefault="00EB3B48" w:rsidP="00EB3B48">
      <w:pPr>
        <w:spacing w:after="120" w:line="276" w:lineRule="auto"/>
        <w:ind w:firstLine="708"/>
        <w:jc w:val="both"/>
        <w:rPr>
          <w:rFonts w:ascii="Verdana" w:hAnsi="Verdana"/>
          <w:i/>
        </w:rPr>
      </w:pPr>
      <w:r w:rsidRPr="00CD2603">
        <w:rPr>
          <w:rFonts w:ascii="Verdana" w:hAnsi="Verdana"/>
        </w:rPr>
        <w:t>En línea con lo anterior, es pertinente tener en cuenta que, justamente, la modalidad de pago a precios unitarios se caracteriza porque su determinación final impone establecer las cantidades verdaderamente ejecutadas, multiplicándolas por los precios unitarios. De ahí que, lo vinculante en estos casos no sea propiamente el valor total inicialmente estimado, ni las cantidades inicialmente previstas, sino los valores unitarios que las partes acordaron aplicar a cada uno de los ítems.</w:t>
      </w:r>
    </w:p>
    <w:p w14:paraId="36C48890" w14:textId="77777777" w:rsidR="00EB3B48" w:rsidRPr="00CD2603" w:rsidRDefault="00EB3B48" w:rsidP="00EB3B48">
      <w:pPr>
        <w:spacing w:after="120" w:line="276" w:lineRule="auto"/>
        <w:ind w:firstLine="708"/>
        <w:jc w:val="both"/>
        <w:rPr>
          <w:rFonts w:ascii="Verdana" w:hAnsi="Verdana"/>
          <w:i/>
        </w:rPr>
      </w:pPr>
      <w:r w:rsidRPr="00CD2603">
        <w:rPr>
          <w:rFonts w:ascii="Verdana" w:hAnsi="Verdana"/>
        </w:rPr>
        <w:t>Lo anterior, no significa que el contratista pueda adelantar cualquier mayor cantidad de obra sin ningún tipo de límite, debido a que solamente podrá construir aquello que sea imprescindible para cumplir con el objeto. En estos casos, la entidad deberá ejercer un riguroso control, en atención a las cantidades que se están ejecutando, puesto que deberá verificar, antes de proceder con el pago, que las mismas sí eran indispensables para finiquitar o culminar con las obligaciones a cargo del contratista. De cualquier manera, las partes podrán estructurar, en ejercicio de la autonomía de la voluntad, mecanismos de control adicionales, como autorizaciones con requisitos especiales, en aquellos eventos en que, por ejemplo, las cantidades superen el valor inicialmente estimado.</w:t>
      </w:r>
    </w:p>
    <w:p w14:paraId="2CB7BEB3" w14:textId="77777777" w:rsidR="00EB3B48" w:rsidRPr="00CD2603" w:rsidRDefault="00EB3B48" w:rsidP="00EB3B48">
      <w:pPr>
        <w:spacing w:after="120" w:line="276" w:lineRule="auto"/>
        <w:ind w:firstLine="709"/>
        <w:jc w:val="both"/>
        <w:rPr>
          <w:rFonts w:ascii="Verdana" w:hAnsi="Verdana" w:cs="Arial"/>
          <w:lang w:eastAsia="es-ES"/>
        </w:rPr>
      </w:pPr>
      <w:r w:rsidRPr="00CD2603">
        <w:rPr>
          <w:rFonts w:ascii="Verdana" w:hAnsi="Verdana" w:cs="Arial"/>
          <w:lang w:eastAsia="es-ES"/>
        </w:rPr>
        <w:t xml:space="preserve">Ahora bien, la ejecución de los contratos estatales está sujeta a los cambios propios del paso del tiempo. Así, durante la etapa de planeación, las Entidades Públicas estiman y determinan las prestaciones que demanda la satisfacción de la necesidad de interés colectivo que pretende satisfacer. No obstante, durante la ejecución del contrato, las partes pueden identificar alguna de las siguientes situaciones: i) la necesidad de mayores cantidades de bienes o actividades a las inicialmente previstas, a lo que se le conoce como “mayores cantidades de obra”, “obras adicionales” o adición de “ítems contractuales”; y ii) la necesidad de ampliar las prestaciones contractuales, mediante la ejecución de </w:t>
      </w:r>
      <w:r w:rsidRPr="00CD2603">
        <w:rPr>
          <w:rFonts w:ascii="Verdana" w:hAnsi="Verdana" w:cs="Arial"/>
          <w:lang w:eastAsia="es-ES"/>
        </w:rPr>
        <w:lastRenderedPageBreak/>
        <w:t xml:space="preserve">nuevos ítems o actividades, no incluidos en el contrato inicial, para lo que en la práctica las entidades ejecutan “obras extra” o “amplían el alcance” del contrato mediante la celebración de un “contrato adicional”. </w:t>
      </w:r>
    </w:p>
    <w:p w14:paraId="201BB052" w14:textId="77777777" w:rsidR="00EB3B48" w:rsidRPr="00CD2603" w:rsidRDefault="00EB3B48" w:rsidP="00EB3B48">
      <w:pPr>
        <w:spacing w:after="120" w:line="276" w:lineRule="auto"/>
        <w:ind w:firstLine="709"/>
        <w:jc w:val="both"/>
        <w:rPr>
          <w:rFonts w:ascii="Verdana" w:hAnsi="Verdana" w:cs="Arial"/>
          <w:lang w:eastAsia="es-ES_tradnl"/>
        </w:rPr>
      </w:pPr>
      <w:r w:rsidRPr="00CD2603">
        <w:rPr>
          <w:rFonts w:ascii="Verdana" w:hAnsi="Verdana" w:cs="Arial"/>
          <w:lang w:eastAsia="es-ES_tradnl"/>
        </w:rPr>
        <w:t>Este último término tiene origen en el artículo 58 del Decreto-Ley 222 de 1983</w:t>
      </w:r>
      <w:r w:rsidRPr="00CD2603">
        <w:rPr>
          <w:rStyle w:val="Refdenotaalpie"/>
          <w:rFonts w:ascii="Verdana" w:hAnsi="Verdana" w:cs="Arial"/>
          <w:lang w:eastAsia="es-ES_tradnl"/>
        </w:rPr>
        <w:footnoteReference w:id="6"/>
      </w:r>
      <w:r w:rsidRPr="00CD2603">
        <w:rPr>
          <w:rFonts w:ascii="Verdana" w:hAnsi="Verdana" w:cs="Arial"/>
          <w:lang w:eastAsia="es-ES_tradnl"/>
        </w:rPr>
        <w:t xml:space="preserve">, el cual establecía el “contrato adicional” como el mecanismo a utilizar cuando existiere la “necesidad de modificar el plazo o el valor convenido y no se tratare de la revisión de precios” regulada por dicho estatuto. Sin embargo, dicha </w:t>
      </w:r>
      <w:r>
        <w:rPr>
          <w:rFonts w:ascii="Verdana" w:hAnsi="Verdana" w:cs="Arial"/>
          <w:lang w:eastAsia="es-ES_tradnl"/>
        </w:rPr>
        <w:t xml:space="preserve">institución </w:t>
      </w:r>
      <w:r w:rsidRPr="00CD2603">
        <w:rPr>
          <w:rFonts w:ascii="Verdana" w:hAnsi="Verdana" w:cs="Arial"/>
          <w:lang w:eastAsia="es-ES_tradnl"/>
        </w:rPr>
        <w:t xml:space="preserve">fue abandonada por la Ley 80 de 1993, estatuto que, fuera de lo dispuesto en relación con la potestad de modificación unilateral, solo aludió a </w:t>
      </w:r>
      <w:bookmarkStart w:id="1" w:name="_Hlk176963734"/>
      <w:r w:rsidRPr="00CD2603">
        <w:rPr>
          <w:rFonts w:ascii="Verdana" w:hAnsi="Verdana" w:cs="Arial"/>
          <w:lang w:eastAsia="es-ES_tradnl"/>
        </w:rPr>
        <w:t>la posibilidad de adicionar valor de los contratos estatales dentro de un límite dado por el cincuenta por ciento (50%) de su valor inicial expresado</w:t>
      </w:r>
      <w:bookmarkEnd w:id="1"/>
      <w:r w:rsidRPr="00CD2603">
        <w:rPr>
          <w:rFonts w:ascii="Verdana" w:hAnsi="Verdana" w:cs="Arial"/>
          <w:lang w:eastAsia="es-ES_tradnl"/>
        </w:rPr>
        <w:t>, pero sin establecer una limitación expresa sobre otros elementos sobre los que recae la adición</w:t>
      </w:r>
      <w:r w:rsidRPr="00CD2603">
        <w:rPr>
          <w:rStyle w:val="Refdenotaalpie"/>
          <w:rFonts w:ascii="Verdana" w:hAnsi="Verdana" w:cs="Arial"/>
          <w:lang w:eastAsia="es-ES_tradnl"/>
        </w:rPr>
        <w:footnoteReference w:id="7"/>
      </w:r>
      <w:r w:rsidRPr="00CD2603">
        <w:rPr>
          <w:rFonts w:ascii="Verdana" w:hAnsi="Verdana" w:cs="Arial"/>
          <w:lang w:eastAsia="es-ES_tradnl"/>
        </w:rPr>
        <w:t>.</w:t>
      </w:r>
    </w:p>
    <w:p w14:paraId="614804B7" w14:textId="77777777" w:rsidR="00EB3B48" w:rsidRPr="00CD2603" w:rsidRDefault="00EB3B48" w:rsidP="00EB3B48">
      <w:pPr>
        <w:spacing w:after="120" w:line="276" w:lineRule="auto"/>
        <w:ind w:firstLine="709"/>
        <w:jc w:val="both"/>
        <w:rPr>
          <w:rFonts w:ascii="Verdana" w:hAnsi="Verdana" w:cs="Arial"/>
          <w:lang w:eastAsia="es-ES"/>
        </w:rPr>
      </w:pPr>
      <w:r w:rsidRPr="00CD2603">
        <w:rPr>
          <w:rFonts w:ascii="Verdana" w:hAnsi="Verdana" w:cs="Arial"/>
          <w:szCs w:val="24"/>
          <w:lang w:eastAsia="es-ES_tradnl"/>
        </w:rPr>
        <w:t>No obstante, la expresión “contrato adicional” al igual que las otras nociones doctrinarias y jurisprudenciales arriba señaladas entre comillas son de uso común en la práctica contractual por las Entidades Estatales.</w:t>
      </w:r>
      <w:r w:rsidRPr="00CD2603">
        <w:rPr>
          <w:rFonts w:ascii="Verdana" w:hAnsi="Verdana" w:cs="Arial"/>
          <w:lang w:eastAsia="es-ES"/>
        </w:rPr>
        <w:t xml:space="preserve"> </w:t>
      </w:r>
      <w:r w:rsidRPr="00CD2603">
        <w:rPr>
          <w:rFonts w:ascii="Verdana" w:hAnsi="Verdana" w:cs="Arial"/>
          <w:szCs w:val="24"/>
          <w:lang w:eastAsia="es-ES_tradnl"/>
        </w:rPr>
        <w:t xml:space="preserve">En ese sentido, </w:t>
      </w:r>
      <w:r w:rsidRPr="00CD2603">
        <w:rPr>
          <w:rFonts w:ascii="Verdana" w:hAnsi="Verdana"/>
        </w:rPr>
        <w:t xml:space="preserve">dada la naturaleza de este sistema de precios, que contempla la posibilidad de variar las cantidades e ítems originalmente previstos entre las partes, tanto la jurisprudencia como la doctrina han desarrollado los conceptos de “mayores cantidades de obra” y de “obras extras o adicionales”, nociones que no </w:t>
      </w:r>
      <w:r w:rsidRPr="00CD2603">
        <w:rPr>
          <w:rFonts w:ascii="Verdana" w:hAnsi="Verdana"/>
        </w:rPr>
        <w:lastRenderedPageBreak/>
        <w:t>corresponden a la misma</w:t>
      </w:r>
      <w:r>
        <w:rPr>
          <w:rFonts w:ascii="Verdana" w:hAnsi="Verdana"/>
        </w:rPr>
        <w:t xml:space="preserve"> institución jurídica</w:t>
      </w:r>
      <w:r w:rsidRPr="00CD2603">
        <w:rPr>
          <w:rFonts w:ascii="Verdana" w:hAnsi="Verdana"/>
        </w:rPr>
        <w:t>, tal y como se procede a explicar. Mientras que las “mayores cantidades de obra” implica aumentar las cantidades de los ítems pactados desde el comienzo, la noción de “obras extras o adicionales” exige incluir obras o actividades que no habían sido convenidas, pero que, de todos modos, son indispensables para el cumplimiento del objeto.</w:t>
      </w:r>
    </w:p>
    <w:p w14:paraId="22E9D2E6" w14:textId="77777777" w:rsidR="00EB3B48" w:rsidRPr="00CD2603" w:rsidRDefault="00EB3B48" w:rsidP="00EB3B48">
      <w:pPr>
        <w:spacing w:after="120" w:line="276" w:lineRule="auto"/>
        <w:ind w:firstLine="709"/>
        <w:jc w:val="both"/>
        <w:rPr>
          <w:rFonts w:ascii="Verdana" w:hAnsi="Verdana"/>
        </w:rPr>
      </w:pPr>
      <w:r w:rsidRPr="00CD2603">
        <w:rPr>
          <w:rFonts w:ascii="Verdana" w:hAnsi="Verdana"/>
        </w:rPr>
        <w:t>Por un lado, las mayores cantidades de obra se presentan cuando las partes deben aumentar las cantidades de algunos ítems que sí estaban contemplados en el contrato, pero que su cálculo preliminar resultó insuficiente. Así, por ejemplo, si en un contrato de obra se habían previsto y contratado cien metros cúbicos (100</w:t>
      </w:r>
      <w:r>
        <w:rPr>
          <w:rFonts w:ascii="Verdana" w:hAnsi="Verdana"/>
        </w:rPr>
        <w:t xml:space="preserve"> m</w:t>
      </w:r>
      <w:r w:rsidRPr="00CD2603">
        <w:rPr>
          <w:rFonts w:ascii="Verdana" w:hAnsi="Verdana"/>
          <w:vertAlign w:val="superscript"/>
        </w:rPr>
        <w:t>3</w:t>
      </w:r>
      <w:r w:rsidRPr="00CD2603">
        <w:rPr>
          <w:rFonts w:ascii="Verdana" w:hAnsi="Verdana"/>
        </w:rPr>
        <w:t>) de excavación, pero, en la etapa de ejecución, se determinó que este número no era suficiente, las partes pueden incrementar los metros que deberán excavarse, en atención a que dicho aumento resulta esencial para cumplir la finalidad pública que se perseguía con la contratación</w:t>
      </w:r>
      <w:r w:rsidRPr="00CD2603">
        <w:rPr>
          <w:rStyle w:val="Refdenotaalpie"/>
          <w:rFonts w:ascii="Verdana" w:hAnsi="Verdana"/>
        </w:rPr>
        <w:footnoteReference w:id="8"/>
      </w:r>
      <w:r w:rsidRPr="00CD2603">
        <w:rPr>
          <w:rFonts w:ascii="Verdana" w:hAnsi="Verdana"/>
        </w:rPr>
        <w:t xml:space="preserve">. </w:t>
      </w:r>
    </w:p>
    <w:p w14:paraId="7F4C830A" w14:textId="77777777" w:rsidR="00EB3B48" w:rsidRPr="00CD2603" w:rsidRDefault="00EB3B48" w:rsidP="00EB3B48">
      <w:pPr>
        <w:spacing w:after="120" w:line="276" w:lineRule="auto"/>
        <w:ind w:firstLine="709"/>
        <w:jc w:val="both"/>
        <w:rPr>
          <w:rFonts w:ascii="Verdana" w:hAnsi="Verdana"/>
        </w:rPr>
      </w:pPr>
      <w:r w:rsidRPr="00CD2603">
        <w:rPr>
          <w:rFonts w:ascii="Verdana" w:hAnsi="Verdana"/>
        </w:rPr>
        <w:t xml:space="preserve">Por otro lado, las obras adicionales o extras son aquellas que no estaban convenidas en el contrato, y que, por lo tanto, implican una modificación del mismo, que debe </w:t>
      </w:r>
      <w:r>
        <w:rPr>
          <w:rFonts w:ascii="Verdana" w:hAnsi="Verdana"/>
        </w:rPr>
        <w:t xml:space="preserve">estipularse </w:t>
      </w:r>
      <w:r w:rsidRPr="00CD2603">
        <w:rPr>
          <w:rFonts w:ascii="Verdana" w:hAnsi="Verdana"/>
        </w:rPr>
        <w:t>por las partes. El Consejo de Estado ha definido las obras adicionales como</w:t>
      </w:r>
      <w:r w:rsidRPr="00CD2603">
        <w:rPr>
          <w:rFonts w:ascii="Verdana" w:hAnsi="Verdana"/>
          <w:i/>
        </w:rPr>
        <w:t xml:space="preserve"> “aquellas obras distintas de las inicialmente previstas en el objeto contractual, o ítems no previstos pero cuya ejecución se torna necesaria para cumplirlo a cabalidad, en tal sentido su reconocimiento implica variación del contrato”</w:t>
      </w:r>
      <w:r w:rsidRPr="00CD2603">
        <w:rPr>
          <w:rStyle w:val="Refdenotaalpie"/>
          <w:rFonts w:ascii="Verdana" w:hAnsi="Verdana"/>
        </w:rPr>
        <w:footnoteReference w:id="9"/>
      </w:r>
      <w:r w:rsidRPr="00CD2603">
        <w:rPr>
          <w:rFonts w:ascii="Verdana" w:hAnsi="Verdana"/>
          <w:i/>
        </w:rPr>
        <w:t xml:space="preserve">. </w:t>
      </w:r>
      <w:r w:rsidRPr="00CD2603">
        <w:rPr>
          <w:rFonts w:ascii="Verdana" w:hAnsi="Verdana"/>
        </w:rPr>
        <w:t>Igualmente, la mencionada Corporación ha señalado que, cuando las partes estimen necesario incluir una obra adicional o extra que comprenda aumentar el valor del contrato, deberá suscribir</w:t>
      </w:r>
      <w:r>
        <w:rPr>
          <w:rFonts w:ascii="Verdana" w:hAnsi="Verdana"/>
        </w:rPr>
        <w:t>se</w:t>
      </w:r>
      <w:r w:rsidRPr="00CD2603">
        <w:rPr>
          <w:rFonts w:ascii="Verdana" w:hAnsi="Verdana"/>
        </w:rPr>
        <w:t xml:space="preserve"> un contrato adicional, que formalice tal modificación, dado que, de lo contrario, no podrá reconocerse su pago.</w:t>
      </w:r>
      <w:r w:rsidRPr="00CD2603">
        <w:rPr>
          <w:rStyle w:val="Refdenotaalpie"/>
          <w:rFonts w:ascii="Verdana" w:hAnsi="Verdana"/>
        </w:rPr>
        <w:footnoteReference w:id="10"/>
      </w:r>
    </w:p>
    <w:p w14:paraId="354C0D65" w14:textId="77777777" w:rsidR="00EB3B48" w:rsidRDefault="00EB3B48" w:rsidP="00EB3B48">
      <w:pPr>
        <w:spacing w:after="120" w:line="276" w:lineRule="auto"/>
        <w:ind w:firstLine="709"/>
        <w:jc w:val="both"/>
        <w:rPr>
          <w:rFonts w:ascii="Verdana" w:eastAsia="Arial" w:hAnsi="Verdana" w:cs="Arial"/>
          <w:lang w:val="es-ES" w:eastAsia="es-ES" w:bidi="es-ES"/>
        </w:rPr>
      </w:pPr>
      <w:r w:rsidRPr="00CD2603">
        <w:rPr>
          <w:rFonts w:ascii="Verdana" w:hAnsi="Verdana"/>
        </w:rPr>
        <w:t>Una vez expuestas las diferencias entre las nociones de “mayores cantidades de obra” y de “obras extras o adicionales”, es necesario adentrarse al estudio sobre la posibilidad de introducir modificación a los contratos estatales y el límite dicha posibilidad. Al respecto, debe señalarse que, e</w:t>
      </w:r>
      <w:r w:rsidRPr="00CD2603">
        <w:rPr>
          <w:rFonts w:ascii="Verdana" w:eastAsia="Arial" w:hAnsi="Verdana" w:cs="Arial"/>
          <w:lang w:val="es-ES" w:eastAsia="es-ES" w:bidi="es-ES"/>
        </w:rPr>
        <w:t xml:space="preserve">n principio, los contratos deben ejecutarse en las condiciones pactadas inicialmente, pues tales condiciones fueron convenidas luego de que la Entidad Pública surtiera todos los </w:t>
      </w:r>
      <w:r w:rsidRPr="00CD2603">
        <w:rPr>
          <w:rFonts w:ascii="Verdana" w:eastAsia="Arial" w:hAnsi="Verdana" w:cs="Arial"/>
          <w:lang w:val="es-ES" w:eastAsia="es-ES" w:bidi="es-ES"/>
        </w:rPr>
        <w:lastRenderedPageBreak/>
        <w:t>procedimientos previstos para la selección de su contratista y definiera los aspectos, técnicos, legales y financieros propios de cada caso. No obstante, es posible que, durante la ejecución del contrato, se evidencie la necesidad de suscribir documentos de modificación en los cuales se cambie parte de las estipulaciones pactadas en un comienzo, para lograr su finalidad y en aras de la realización de los fines del Estado, a los cuales sirve el contrato.</w:t>
      </w:r>
    </w:p>
    <w:p w14:paraId="41AAB1C9" w14:textId="77777777" w:rsidR="00EB3B48" w:rsidRPr="008A29AD" w:rsidRDefault="00EB3B48" w:rsidP="00EB3B48">
      <w:pPr>
        <w:spacing w:after="120" w:line="276" w:lineRule="auto"/>
        <w:ind w:firstLine="709"/>
        <w:jc w:val="both"/>
        <w:rPr>
          <w:rFonts w:ascii="Verdana" w:eastAsia="Arial" w:hAnsi="Verdana" w:cs="Arial"/>
          <w:lang w:eastAsia="es-ES" w:bidi="es-ES"/>
        </w:rPr>
      </w:pPr>
      <w:r>
        <w:rPr>
          <w:rFonts w:ascii="Verdana" w:eastAsia="Arial" w:hAnsi="Verdana" w:cs="Arial"/>
          <w:lang w:eastAsia="es-ES" w:bidi="es-ES"/>
        </w:rPr>
        <w:t xml:space="preserve">Ahora bien, con respecto a </w:t>
      </w:r>
      <w:r w:rsidRPr="008A29AD">
        <w:rPr>
          <w:rFonts w:ascii="Verdana" w:eastAsia="Arial" w:hAnsi="Verdana" w:cs="Arial"/>
          <w:lang w:eastAsia="es-ES" w:bidi="es-ES"/>
        </w:rPr>
        <w:t xml:space="preserve">la incorporación de nuevos ítems o nuevos precios unitarios sin que se trate de obras adicionales— debe ser abordado con precisión conceptual. La inclusión de nuevos ítems o la fijación de nuevos precios unitarios constituye, en todo caso, una modificación contractual, pues altera la estructura del contrato al introducir prestaciones o valores no contemplados inicialmente, aun cuando dichas actividades no se califiquen como “obras adicionales” en sentido estricto. Esta modificación exige acuerdo escrito entre las partes y, si implica aumento del valor, queda sometida al límite del parágrafo del artículo 40 de la Ley 80. Lo coherente con la jurisprudencia y con la lógica del sistema es reconocer que solo las mayores cantidades de ítems existentes pueden ejecutarse sin modificar el contrato; en cambio, la creación de nuevos ítems o precios unitarios siempre supone una variación contractual que debe formalizarse y respaldarse presupuestalmente. </w:t>
      </w:r>
    </w:p>
    <w:p w14:paraId="4C733A8B" w14:textId="77777777" w:rsidR="00EB3B48" w:rsidRDefault="00EB3B48" w:rsidP="00EB3B48">
      <w:pPr>
        <w:spacing w:after="0" w:line="276" w:lineRule="auto"/>
        <w:jc w:val="both"/>
        <w:rPr>
          <w:rFonts w:ascii="Verdana" w:eastAsia="Arial" w:hAnsi="Verdana" w:cs="Arial"/>
          <w:lang w:val="es-ES" w:eastAsia="es-ES" w:bidi="es-ES"/>
        </w:rPr>
      </w:pPr>
    </w:p>
    <w:p w14:paraId="7B99CE1E" w14:textId="77777777" w:rsidR="00EB3B48" w:rsidRPr="00CD2603" w:rsidRDefault="00EB3B48" w:rsidP="00EB3B48">
      <w:pPr>
        <w:spacing w:after="120" w:line="276" w:lineRule="auto"/>
        <w:jc w:val="both"/>
        <w:rPr>
          <w:rFonts w:ascii="Verdana" w:eastAsia="Arial" w:hAnsi="Verdana" w:cs="Arial"/>
          <w:lang w:val="es-ES" w:eastAsia="es-ES" w:bidi="es-ES"/>
        </w:rPr>
      </w:pPr>
      <w:r>
        <w:rPr>
          <w:rFonts w:ascii="Verdana" w:eastAsia="Arial" w:hAnsi="Verdana" w:cs="Arial"/>
          <w:lang w:val="es-ES" w:eastAsia="es-ES" w:bidi="es-ES"/>
        </w:rPr>
        <w:t xml:space="preserve">ii. </w:t>
      </w:r>
      <w:r w:rsidRPr="00CD2603">
        <w:rPr>
          <w:rFonts w:ascii="Verdana" w:eastAsia="Arial" w:hAnsi="Verdana" w:cs="Arial"/>
          <w:lang w:val="es-ES" w:eastAsia="es-ES" w:bidi="es-ES"/>
        </w:rPr>
        <w:t xml:space="preserve">El Estatuto General de Contratación de la Administración Pública – en adelante EGCAP –, contenido en las Leyes 80 de 1993, 1150 de 2007 y 1474 de 2011, así como en las normas que las han modificado y las reglamentan, no consagra una regulación expresa sobre la posibilidad de modificar los contratos celebrados por las Entidades Estatales. De igual forma, tampoco existe ninguna restricción expresa para modificar los contratos estatales. La regulación expresa contenida en el ordenamiento jurídico se limita a fijar los porcentajes límite para adicionar los valores inicialmente pactados, como lo hace el artículo 40 de la Ley 80 de 1993, el cual dispone que, </w:t>
      </w:r>
      <w:r w:rsidRPr="00CD2603">
        <w:rPr>
          <w:rFonts w:ascii="Verdana" w:hAnsi="Verdana" w:cs="Arial"/>
        </w:rPr>
        <w:t>los contratos no podrán adicionarse en más del cincuenta por ciento (50%) de su valor inicial, expresado en SMLMV.</w:t>
      </w:r>
    </w:p>
    <w:p w14:paraId="56855D1E" w14:textId="77777777" w:rsidR="00EB3B48" w:rsidRPr="00CD2603" w:rsidRDefault="00EB3B48" w:rsidP="00EB3B48">
      <w:pPr>
        <w:spacing w:before="120" w:after="0" w:line="276" w:lineRule="auto"/>
        <w:ind w:firstLine="709"/>
        <w:jc w:val="both"/>
        <w:rPr>
          <w:rFonts w:ascii="Verdana" w:hAnsi="Verdana" w:cs="Arial"/>
          <w:szCs w:val="24"/>
          <w:lang w:eastAsia="es-ES_tradnl"/>
        </w:rPr>
      </w:pPr>
      <w:r w:rsidRPr="00CD2603">
        <w:rPr>
          <w:rFonts w:ascii="Verdana" w:hAnsi="Verdana" w:cs="Arial"/>
          <w:szCs w:val="24"/>
          <w:lang w:eastAsia="es-ES_tradnl"/>
        </w:rPr>
        <w:t>La Agencia Nacional de Contratación Pública – Colombia Compra Eficiente, en conceptos como el C-062 del 25 de marzo de 2020, C-100 del 27 de marzo de 2020, C-318 del 28 de mayo de 2020, C–452 del 28 de julio de 2020,</w:t>
      </w:r>
      <w:r w:rsidRPr="00CD2603">
        <w:rPr>
          <w:rFonts w:ascii="Verdana" w:hAnsi="Verdana" w:cs="Arial"/>
          <w:bCs/>
          <w:szCs w:val="24"/>
          <w:lang w:eastAsia="es-ES_tradnl"/>
        </w:rPr>
        <w:t xml:space="preserve"> C-560 del 24 de agosto de 2020, C-628 del 23 de septiembre del 2020,</w:t>
      </w:r>
      <w:r w:rsidRPr="00CD2603">
        <w:rPr>
          <w:rFonts w:ascii="Verdana" w:hAnsi="Verdana" w:cs="Arial"/>
          <w:szCs w:val="24"/>
          <w:lang w:eastAsia="es-ES_tradnl"/>
        </w:rPr>
        <w:t xml:space="preserve"> C-750 del 21 de diciembre de 2020,</w:t>
      </w:r>
      <w:r w:rsidRPr="00CD2603">
        <w:rPr>
          <w:rFonts w:ascii="Verdana" w:hAnsi="Verdana" w:cs="Arial"/>
          <w:bCs/>
          <w:szCs w:val="24"/>
          <w:lang w:eastAsia="es-ES_tradnl"/>
        </w:rPr>
        <w:t xml:space="preserve"> C-073 de 16 de marzo de 2021, C-277 de 21 de junio de </w:t>
      </w:r>
      <w:r w:rsidRPr="00CD2603">
        <w:rPr>
          <w:rFonts w:ascii="Verdana" w:hAnsi="Verdana" w:cs="Arial"/>
          <w:bCs/>
          <w:szCs w:val="24"/>
          <w:lang w:eastAsia="es-ES_tradnl"/>
        </w:rPr>
        <w:lastRenderedPageBreak/>
        <w:t>2021, C-644 de 18 de noviembre de 2021, C-755 de 21 de enero de 2022, C-152 de 1 de abril de 2022, C-267 de 5 de mayo de 2022, C-432 de 13 de julio de 2022, C-630 del 29 de septiembre de 2022, C-784 del 21 de noviembre de 2022, C-202 del 31 de julio de 2024 – este último al cual se refiere en su petición –,</w:t>
      </w:r>
      <w:r w:rsidRPr="00CD2603">
        <w:rPr>
          <w:rFonts w:ascii="Verdana" w:hAnsi="Verdana" w:cs="Arial"/>
          <w:szCs w:val="24"/>
          <w:lang w:eastAsia="es-ES_tradnl"/>
        </w:rPr>
        <w:t xml:space="preserve"> estudió asuntos relacionados con la adición de los contratos estatales. En la doctrina expuesta en dichos conceptos esta Agencia ha sostenido respecto del artículo 40 de la Ley </w:t>
      </w:r>
      <w:r>
        <w:rPr>
          <w:rFonts w:ascii="Verdana" w:hAnsi="Verdana" w:cs="Arial"/>
          <w:szCs w:val="24"/>
          <w:lang w:eastAsia="es-ES_tradnl"/>
        </w:rPr>
        <w:t>8</w:t>
      </w:r>
      <w:r w:rsidRPr="00CD2603">
        <w:rPr>
          <w:rFonts w:ascii="Verdana" w:hAnsi="Verdana" w:cs="Arial"/>
          <w:szCs w:val="24"/>
          <w:lang w:eastAsia="es-ES_tradnl"/>
        </w:rPr>
        <w:t xml:space="preserve">0 de 1993 lo siguiente: </w:t>
      </w:r>
    </w:p>
    <w:p w14:paraId="55522A6E" w14:textId="77777777" w:rsidR="00EB3B48" w:rsidRPr="00CD2603" w:rsidRDefault="00EB3B48" w:rsidP="00EB3B48">
      <w:pPr>
        <w:spacing w:after="0" w:line="276" w:lineRule="auto"/>
        <w:ind w:firstLine="709"/>
        <w:jc w:val="both"/>
        <w:rPr>
          <w:rFonts w:ascii="Verdana" w:hAnsi="Verdana" w:cs="Arial"/>
          <w:szCs w:val="24"/>
          <w:lang w:eastAsia="es-ES_tradnl"/>
        </w:rPr>
      </w:pPr>
    </w:p>
    <w:p w14:paraId="4C329254"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“Dicha norma además de consagrar una prohibición trae implícita una autorización, consistente en la posibilidad de adicionar los contratos estatales, siempre que no se supere el tope establecido. La regla establecida en el parágrafo del artículo 40 de la Ley 80 de 1993 aplica a todos los contratos estatales regidos por el EGCAP, independientemente de la modalidad de selección, de la tipología contractual del negocio jurídico que se considere necesario adicionar o del sistema de precios pactados”.</w:t>
      </w:r>
    </w:p>
    <w:p w14:paraId="4B248E96" w14:textId="77777777" w:rsidR="00EB3B48" w:rsidRPr="00CD2603" w:rsidRDefault="00EB3B48" w:rsidP="00EB3B48">
      <w:pPr>
        <w:spacing w:after="0" w:line="276" w:lineRule="auto"/>
        <w:ind w:left="709" w:right="709"/>
        <w:jc w:val="both"/>
        <w:rPr>
          <w:rFonts w:ascii="Verdana" w:hAnsi="Verdana" w:cs="Arial"/>
          <w:lang w:eastAsia="es-ES_tradnl"/>
        </w:rPr>
      </w:pPr>
      <w:r w:rsidRPr="00CD2603">
        <w:rPr>
          <w:rFonts w:ascii="Verdana" w:hAnsi="Verdana" w:cs="Arial"/>
          <w:sz w:val="20"/>
          <w:szCs w:val="20"/>
          <w:lang w:eastAsia="es-ES_tradnl"/>
        </w:rPr>
        <w:t xml:space="preserve"> </w:t>
      </w:r>
    </w:p>
    <w:p w14:paraId="547EE3D0" w14:textId="77777777" w:rsidR="00EB3B48" w:rsidRPr="00CD2603" w:rsidRDefault="00EB3B48" w:rsidP="00EB3B48">
      <w:pPr>
        <w:spacing w:after="120" w:line="276" w:lineRule="auto"/>
        <w:ind w:firstLine="709"/>
        <w:jc w:val="both"/>
        <w:rPr>
          <w:rFonts w:ascii="Verdana" w:hAnsi="Verdana" w:cs="Arial"/>
          <w:szCs w:val="24"/>
          <w:lang w:eastAsia="es-ES_tradnl"/>
        </w:rPr>
      </w:pPr>
      <w:r w:rsidRPr="00CD2603">
        <w:rPr>
          <w:rFonts w:ascii="Verdana" w:hAnsi="Verdana" w:cs="Arial"/>
          <w:szCs w:val="24"/>
          <w:lang w:eastAsia="es-ES_tradnl"/>
        </w:rPr>
        <w:t xml:space="preserve"> La postura expuesta previamente por la Subdirección de Gestión Contractual, en torno al tope de la adición de los contratos, no ha sido pacifica, por el contrario, ni la doctrina ni la jurisprudencia del Consejo de Estado han sido uniformes en la caracterización de las </w:t>
      </w:r>
      <w:r>
        <w:rPr>
          <w:rFonts w:ascii="Verdana" w:hAnsi="Verdana" w:cs="Arial"/>
          <w:szCs w:val="24"/>
          <w:lang w:eastAsia="es-ES_tradnl"/>
        </w:rPr>
        <w:t>instituciones</w:t>
      </w:r>
      <w:r w:rsidRPr="00CD2603">
        <w:rPr>
          <w:rFonts w:ascii="Verdana" w:hAnsi="Verdana" w:cs="Arial"/>
          <w:szCs w:val="24"/>
          <w:lang w:eastAsia="es-ES_tradnl"/>
        </w:rPr>
        <w:t xml:space="preserve">. En razón a ello, resulta relevante, a efectos de atender la consulta planteada exponer las diferentes posturas en relación con el tope establecido para adicionar los contratos, especialmente, frente a aquellos en los que el precio se ha pactado bajo la modalidad de precios unitarios. Dicha exposición se realiza con el fin de explicar las razones por las cuales esta Agencia considera necesario hacer un cambio en su línea doctrinal sobre el tema analizado en los contratos cuya estructuración y pago se realiza por precios unitarios. </w:t>
      </w:r>
    </w:p>
    <w:p w14:paraId="22F67BCE" w14:textId="77777777" w:rsidR="00EB3B48" w:rsidRPr="00CD2603" w:rsidRDefault="00EB3B48" w:rsidP="00EB3B48">
      <w:pPr>
        <w:spacing w:after="120" w:line="276" w:lineRule="auto"/>
        <w:ind w:firstLine="709"/>
        <w:jc w:val="both"/>
        <w:rPr>
          <w:rFonts w:ascii="Verdana" w:hAnsi="Verdana" w:cs="Arial"/>
          <w:szCs w:val="24"/>
          <w:lang w:eastAsia="es-ES_tradnl"/>
        </w:rPr>
      </w:pPr>
      <w:r w:rsidRPr="00CD2603">
        <w:rPr>
          <w:rFonts w:ascii="Verdana" w:hAnsi="Verdana" w:cs="Arial"/>
          <w:szCs w:val="24"/>
          <w:lang w:eastAsia="es-ES_tradnl"/>
        </w:rPr>
        <w:t>La primera postura, que fue señalada por la Sala de Consulta y Servicio Civil del Consejo de Estado, y adoptada por el Consejo de Estado en otros pronunciamientos, parte de considerar que solo hay lugar a la celebración de un contrato adicional y, por tanto, que se encuentre sometido al parágrafo del artículo 40 de la Ley 80 de 1993, cuando se trate de adicionar una obra u actividad que no estaba contemplada en el alcance inicial del contrato.</w:t>
      </w:r>
    </w:p>
    <w:p w14:paraId="64F84E1F" w14:textId="77777777" w:rsidR="00EB3B48" w:rsidRPr="00CD2603" w:rsidRDefault="00EB3B48" w:rsidP="00EB3B48">
      <w:pPr>
        <w:spacing w:after="120" w:line="276" w:lineRule="auto"/>
        <w:ind w:firstLine="709"/>
        <w:jc w:val="both"/>
        <w:rPr>
          <w:rFonts w:ascii="Verdana" w:hAnsi="Verdana" w:cs="Arial"/>
          <w:szCs w:val="24"/>
          <w:lang w:eastAsia="es-ES_tradnl"/>
        </w:rPr>
      </w:pPr>
      <w:r w:rsidRPr="00CD2603">
        <w:rPr>
          <w:rFonts w:ascii="Verdana" w:hAnsi="Verdana" w:cs="Arial"/>
          <w:szCs w:val="24"/>
          <w:lang w:eastAsia="es-ES_tradnl"/>
        </w:rPr>
        <w:t xml:space="preserve">En tal sentido, y según dicha postura, a otros aumentos del valor originados, por ejemplo, en mayores cantidades de obra, no les aplica la prohibición, ya que, bajo dicha tesis, el valor inicial del contrato, en el sistema </w:t>
      </w:r>
      <w:r w:rsidRPr="00CD2603">
        <w:rPr>
          <w:rFonts w:ascii="Verdana" w:hAnsi="Verdana" w:cs="Arial"/>
          <w:szCs w:val="24"/>
          <w:lang w:eastAsia="es-ES_tradnl"/>
        </w:rPr>
        <w:lastRenderedPageBreak/>
        <w:t xml:space="preserve">de precios unitarios, solo consiste en un estimativo del costo que tendrá el contrato, que solo logra determinarse una vez termine la ejecución, de manera que con las mayores cantidades de obra no se presentaría una modificación del precio, sino que simplemente se determinará el valor final del contrato, que no será diferente del precio acordado inicialmente que se mantendrá invariable, precisándose, al final, el monto real del estimativo. </w:t>
      </w:r>
    </w:p>
    <w:p w14:paraId="24D9F59F" w14:textId="77777777" w:rsidR="00EB3B48" w:rsidRPr="00CD2603" w:rsidRDefault="00EB3B48" w:rsidP="00EB3B48">
      <w:pPr>
        <w:spacing w:before="120" w:after="0" w:line="276" w:lineRule="auto"/>
        <w:ind w:firstLine="709"/>
        <w:jc w:val="both"/>
        <w:rPr>
          <w:rFonts w:ascii="Verdana" w:hAnsi="Verdana" w:cs="Arial"/>
          <w:szCs w:val="24"/>
          <w:lang w:eastAsia="es-ES_tradnl"/>
        </w:rPr>
      </w:pPr>
      <w:r w:rsidRPr="00CD2603">
        <w:rPr>
          <w:rFonts w:ascii="Verdana" w:hAnsi="Verdana" w:cs="Arial"/>
          <w:szCs w:val="24"/>
          <w:lang w:eastAsia="es-ES_tradnl"/>
        </w:rPr>
        <w:t>La postura anterior se sintetiza en el siguiente concepto de la Sala de Consulta y Servicio Civil del Consejo de Estado:</w:t>
      </w:r>
    </w:p>
    <w:p w14:paraId="58B09FFD" w14:textId="77777777" w:rsidR="00EB3B48" w:rsidRPr="00CD2603" w:rsidRDefault="00EB3B48" w:rsidP="00EB3B48">
      <w:pPr>
        <w:spacing w:after="0" w:line="276" w:lineRule="auto"/>
        <w:ind w:firstLine="709"/>
        <w:jc w:val="both"/>
        <w:rPr>
          <w:rFonts w:ascii="Verdana" w:hAnsi="Verdana" w:cs="Arial"/>
          <w:szCs w:val="24"/>
          <w:lang w:eastAsia="es-ES_tradnl"/>
        </w:rPr>
      </w:pPr>
    </w:p>
    <w:p w14:paraId="0AF694D7"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“Con base en lo expuesto brevemente, es fácil concluir que es un error celebrar contratos adicionales a los contratos principales celebrados por alguno de los sistemas de precios determinables, para poder ejecutar obras cuyo costo de ejecución sobrepase el estimado inicialmente. En efecto, el error consiste en pensar que ese precio estimado inicialmente es el verdadero valor del contrato, pues, como se explicó, sólo es un estimativo pero el verdadero valor se determinará una vez concluya la obra. Por lo mismo, no se trata de que se esté adicionando el contrato; no. Sólo se está procediendo conforme a lo previsto, esto es, aplicando el procedimiento de precios unitarios a las cantidades de obra ejecutadas y, por consiguiente, si son más cantidades de obra a las previstas, pues el valor del contrato es mayor, pero así fue como se convino.</w:t>
      </w:r>
    </w:p>
    <w:p w14:paraId="30B8AD1C"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p>
    <w:p w14:paraId="37D5DD12"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Por lo mismo, no se trata de que exista un «cambio» o «adición» en el contrato, sino de la aplicación de las reglas contractuales previamente determinadas en el contrato original. Es una operación matemática y no más.</w:t>
      </w:r>
    </w:p>
    <w:p w14:paraId="228EC379"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p>
    <w:p w14:paraId="59EDBAD1"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Es preciso, entonces, entender que solamente habrá verdadera «adición» a un contrato cuando se agrega al alcance físico inicial del contrato algo nuevo, es decir, cuando existe una verdadera ampliación del objeto contractual, y no cuando solamente se realiza un simple ajuste del valor estimado inicialmente del contrato, en razón a que el cálculo de cantidades de obra estimada en el momento de celebrar el contrato no fue adecuada; en otros términos, los mayores valores en el contrato no se presentan debido a mayores cantidades de obra por cambios introducidos al alcance físico de las metas determinadas en el objeto del contrato, sino que esas mayores cantidades de obra surgen de una deficiente estimación inicial de las cantidades de obra requeridas para la ejecución de todo el objeto descrito en el contrato”</w:t>
      </w:r>
      <w:r w:rsidRPr="00CD2603">
        <w:rPr>
          <w:rFonts w:ascii="Verdana" w:hAnsi="Verdana" w:cs="Arial"/>
          <w:sz w:val="20"/>
          <w:szCs w:val="20"/>
          <w:vertAlign w:val="superscript"/>
          <w:lang w:eastAsia="es-ES_tradnl"/>
        </w:rPr>
        <w:footnoteReference w:id="11"/>
      </w:r>
      <w:r w:rsidRPr="00CD2603">
        <w:rPr>
          <w:rFonts w:ascii="Verdana" w:hAnsi="Verdana" w:cs="Arial"/>
          <w:sz w:val="20"/>
          <w:szCs w:val="20"/>
          <w:lang w:eastAsia="es-ES_tradnl"/>
        </w:rPr>
        <w:t>.</w:t>
      </w:r>
    </w:p>
    <w:p w14:paraId="1024D72B" w14:textId="77777777" w:rsidR="00EB3B48" w:rsidRPr="00CD2603" w:rsidRDefault="00EB3B48" w:rsidP="00EB3B48">
      <w:pPr>
        <w:spacing w:after="0" w:line="276" w:lineRule="auto"/>
        <w:ind w:firstLine="709"/>
        <w:jc w:val="both"/>
        <w:rPr>
          <w:rFonts w:ascii="Verdana" w:hAnsi="Verdana" w:cs="Arial"/>
          <w:szCs w:val="24"/>
          <w:lang w:eastAsia="es-ES_tradnl"/>
        </w:rPr>
      </w:pPr>
    </w:p>
    <w:p w14:paraId="705F4E08" w14:textId="77777777" w:rsidR="00EB3B48" w:rsidRPr="00CD2603" w:rsidRDefault="00EB3B48" w:rsidP="00EB3B48">
      <w:pPr>
        <w:spacing w:after="0" w:line="276" w:lineRule="auto"/>
        <w:ind w:firstLine="709"/>
        <w:jc w:val="both"/>
        <w:rPr>
          <w:rFonts w:ascii="Verdana" w:hAnsi="Verdana" w:cs="Arial"/>
          <w:szCs w:val="24"/>
          <w:lang w:eastAsia="es-ES_tradnl"/>
        </w:rPr>
      </w:pPr>
      <w:r w:rsidRPr="00CD2603">
        <w:rPr>
          <w:rFonts w:ascii="Verdana" w:hAnsi="Verdana" w:cs="Arial"/>
          <w:szCs w:val="24"/>
          <w:lang w:eastAsia="es-ES_tradnl"/>
        </w:rPr>
        <w:lastRenderedPageBreak/>
        <w:t>La postura anterior también es defendida por cierto sector de la doctrina</w:t>
      </w:r>
      <w:r w:rsidRPr="00CD2603">
        <w:rPr>
          <w:rFonts w:ascii="Verdana" w:hAnsi="Verdana" w:cs="Arial"/>
          <w:szCs w:val="24"/>
          <w:vertAlign w:val="superscript"/>
          <w:lang w:eastAsia="es-ES_tradnl"/>
        </w:rPr>
        <w:footnoteReference w:id="12"/>
      </w:r>
      <w:r w:rsidRPr="00CD2603">
        <w:rPr>
          <w:rFonts w:ascii="Verdana" w:hAnsi="Verdana" w:cs="Arial"/>
          <w:szCs w:val="24"/>
          <w:lang w:eastAsia="es-ES_tradnl"/>
        </w:rPr>
        <w:t>. Bajo ella, se amplía el límite establecido por el legislador en el artículo 40, ya que este tipo de modificaciones, para ejecutar más de un mismo ítem o actividad pactada en el contrato ―estas posturas las considerarían “precisiones” o “determinaciones del valor final” ―, no se tendrían en cuenta para señalar en qué porcentaje se ha adicionado un contrato, ya que ellas no son adiciones:</w:t>
      </w:r>
    </w:p>
    <w:p w14:paraId="134178B4" w14:textId="77777777" w:rsidR="00EB3B48" w:rsidRPr="00CD2603" w:rsidRDefault="00EB3B48" w:rsidP="00EB3B48">
      <w:pPr>
        <w:spacing w:after="0" w:line="276" w:lineRule="auto"/>
        <w:ind w:firstLine="709"/>
        <w:jc w:val="both"/>
        <w:rPr>
          <w:rFonts w:ascii="Verdana" w:hAnsi="Verdana" w:cs="Arial"/>
          <w:szCs w:val="24"/>
          <w:lang w:eastAsia="es-ES_tradnl"/>
        </w:rPr>
      </w:pPr>
    </w:p>
    <w:p w14:paraId="51C0452A"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“En este estado de la cuestión, deberíamos reconocer la existencia de islotes interpretativos sobre este tópico, en los cuales y contraviniendo lo expuesto, el Consejo de Estado, por su puesto de manera errada, ha considerado que la mayor cantidad de obra de un contrato de obra pública a precios unitarios, debe ampararse bajo el ropaje de un contrato adicional y, en consecuencia aplicando el límite del 50%.</w:t>
      </w:r>
    </w:p>
    <w:p w14:paraId="582A49CD"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p>
    <w:p w14:paraId="695E2CBD"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Insistimos que no podemos compartir este planteamiento por lo siguiente:</w:t>
      </w:r>
    </w:p>
    <w:p w14:paraId="5CE744BF"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p>
    <w:p w14:paraId="2F45376B"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 La naturaleza misma del contrato pactado a precios unitarios en el cual se conviene la realización de una obra claramente determinada (por ej. La pavimentación de la carrera 7ª entre las calles 34 y 100), que cuenta con unas cantidades estimadas que arrojan un precio igualmente estimado.</w:t>
      </w:r>
    </w:p>
    <w:p w14:paraId="0D6BCA28"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p>
    <w:p w14:paraId="7B37228A"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 Si por decir algo, esas cantidades se acaban en la calle 94, lo faltante, esto es desde la calle 95 a la 100, no es una obra adicional ya que ella hace parte del objetivo inicial, vale decir, que no se requiere pactar un elemento nuevo necesario o accesorio al objeto primigenio pues lo carente hacer parte de él desde el principio.</w:t>
      </w:r>
    </w:p>
    <w:p w14:paraId="0D350950"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p>
    <w:p w14:paraId="46B2FB3C"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 xml:space="preserve">- Lo procedente, entonces, es que la interventoría a cuyo cargo está el control de las cantidades y presupuestos ejecutados, antes de agotar las inicialmente dispuestas, informe a las partes del contrato con miras a que la entidad obtenga los recursos necesarios para concluir lo pactado. </w:t>
      </w:r>
    </w:p>
    <w:p w14:paraId="5B5CF6F9"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p>
    <w:p w14:paraId="187BA7EB"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 La inyección de los nuevos recursos no se hace al ampro de un contrato adicional sino como parte de un trámite interno oficial, con información al contratista para que pueda seguir avanzando en la obra”</w:t>
      </w:r>
      <w:r w:rsidRPr="00CD2603">
        <w:rPr>
          <w:rFonts w:ascii="Verdana" w:hAnsi="Verdana" w:cs="Arial"/>
          <w:sz w:val="20"/>
          <w:szCs w:val="20"/>
          <w:vertAlign w:val="superscript"/>
          <w:lang w:eastAsia="es-ES_tradnl"/>
        </w:rPr>
        <w:footnoteReference w:id="13"/>
      </w:r>
      <w:r w:rsidRPr="00CD2603">
        <w:rPr>
          <w:rFonts w:ascii="Verdana" w:hAnsi="Verdana" w:cs="Arial"/>
          <w:sz w:val="20"/>
          <w:szCs w:val="20"/>
          <w:vertAlign w:val="superscript"/>
          <w:lang w:eastAsia="es-ES_tradnl"/>
        </w:rPr>
        <w:t>.</w:t>
      </w:r>
    </w:p>
    <w:p w14:paraId="5AE5A6B4" w14:textId="77777777" w:rsidR="00EB3B48" w:rsidRPr="00CD2603" w:rsidRDefault="00EB3B48" w:rsidP="00EB3B48">
      <w:pPr>
        <w:spacing w:after="0" w:line="276" w:lineRule="auto"/>
        <w:ind w:left="709" w:right="709"/>
        <w:jc w:val="both"/>
        <w:rPr>
          <w:rFonts w:ascii="Verdana" w:hAnsi="Verdana" w:cs="Arial"/>
          <w:lang w:eastAsia="es-ES_tradnl"/>
        </w:rPr>
      </w:pPr>
    </w:p>
    <w:p w14:paraId="37393A68" w14:textId="77777777" w:rsidR="00EB3B48" w:rsidRPr="00CD2603" w:rsidRDefault="00EB3B48" w:rsidP="00EB3B48">
      <w:pPr>
        <w:spacing w:after="120" w:line="276" w:lineRule="auto"/>
        <w:ind w:firstLine="709"/>
        <w:jc w:val="both"/>
        <w:rPr>
          <w:rFonts w:ascii="Verdana" w:hAnsi="Verdana" w:cs="Arial"/>
          <w:szCs w:val="24"/>
          <w:lang w:eastAsia="es-ES_tradnl"/>
        </w:rPr>
      </w:pPr>
      <w:r w:rsidRPr="00CD2603">
        <w:rPr>
          <w:rFonts w:ascii="Verdana" w:hAnsi="Verdana" w:cs="Arial"/>
          <w:szCs w:val="24"/>
          <w:lang w:eastAsia="es-ES_tradnl"/>
        </w:rPr>
        <w:lastRenderedPageBreak/>
        <w:t>Esta posición también es sostenida por el Consejo de Estado en otras providencias, donde reitera el criterio desarrollado en el concepto de la Sala de Consulta y Servicio de Civil del Consejo de Estado citado previamente</w:t>
      </w:r>
      <w:r w:rsidRPr="00CD2603">
        <w:rPr>
          <w:rFonts w:ascii="Verdana" w:hAnsi="Verdana" w:cs="Arial"/>
          <w:szCs w:val="24"/>
          <w:vertAlign w:val="superscript"/>
          <w:lang w:eastAsia="es-ES_tradnl"/>
        </w:rPr>
        <w:footnoteReference w:id="14"/>
      </w:r>
      <w:r w:rsidRPr="00CD2603">
        <w:rPr>
          <w:rFonts w:ascii="Verdana" w:hAnsi="Verdana" w:cs="Arial"/>
          <w:szCs w:val="24"/>
          <w:lang w:eastAsia="es-ES_tradnl"/>
        </w:rPr>
        <w:t xml:space="preserve">. </w:t>
      </w:r>
    </w:p>
    <w:p w14:paraId="29827AA7" w14:textId="77777777" w:rsidR="00EB3B48" w:rsidRPr="00CD2603" w:rsidRDefault="00EB3B48" w:rsidP="00EB3B48">
      <w:pPr>
        <w:spacing w:before="120" w:after="0" w:line="276" w:lineRule="auto"/>
        <w:ind w:firstLine="709"/>
        <w:jc w:val="both"/>
        <w:rPr>
          <w:rFonts w:ascii="Verdana" w:hAnsi="Verdana" w:cs="Arial"/>
          <w:szCs w:val="24"/>
          <w:lang w:eastAsia="es-ES_tradnl"/>
        </w:rPr>
      </w:pPr>
      <w:r w:rsidRPr="00CD2603">
        <w:rPr>
          <w:rFonts w:ascii="Verdana" w:hAnsi="Verdana" w:cs="Arial"/>
          <w:szCs w:val="24"/>
          <w:lang w:eastAsia="es-ES_tradnl"/>
        </w:rPr>
        <w:t xml:space="preserve">La otra postura, defendida por otra parte de la doctrina, y que es la que sostenía esta Agencia, considera que cualquier aumento del valor, independientemente de la causa que lo origine, se enmarca dentro del límite del parágrafo del artículo 40, de manera que la norma debe entenderse en el sentido de que cualquier aumento del precio inicial, que implique añadir recursos a los inicialmente previstos, implica la celebración de una adición ―que será un contrato―, independientemente del nombre que se le dé y que necesariamente se someterá a la norma prohibitiva, salvo norma especial que excepcione la regla general: </w:t>
      </w:r>
    </w:p>
    <w:p w14:paraId="0DA82E77" w14:textId="77777777" w:rsidR="00EB3B48" w:rsidRPr="00CD2603" w:rsidRDefault="00EB3B48" w:rsidP="00EB3B48">
      <w:pPr>
        <w:spacing w:after="0" w:line="276" w:lineRule="auto"/>
        <w:ind w:firstLine="709"/>
        <w:jc w:val="both"/>
        <w:rPr>
          <w:rFonts w:ascii="Verdana" w:hAnsi="Verdana" w:cs="Arial"/>
          <w:szCs w:val="24"/>
          <w:lang w:eastAsia="es-ES_tradnl"/>
        </w:rPr>
      </w:pPr>
    </w:p>
    <w:p w14:paraId="080B3DE3"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 xml:space="preserve">“Según este criterio, [el expuesto previamente en este concepto] del cual nos apartamos categóricamente, el contrato de nuestro ejemplo, por valor de $1’000.000, podría costar al final $1.000’000.000, sin incursionar en los terrenos prohibitivos del art. 40. Y no se comparte este criterio porque desconoce que la Ley 80 de 1993 quiso evitar, precisamente, que los contratos se adicionaran en más del 50%, y </w:t>
      </w:r>
      <w:r w:rsidRPr="00CD2603">
        <w:rPr>
          <w:rFonts w:ascii="Verdana" w:hAnsi="Verdana" w:cs="Arial"/>
          <w:b/>
          <w:bCs/>
          <w:sz w:val="20"/>
          <w:szCs w:val="20"/>
          <w:lang w:eastAsia="es-ES_tradnl"/>
        </w:rPr>
        <w:t>sin duda alguna una ampliación de las cantidades de obra denominada obra adicional conduce a una adición del contrato, luego debe tener como límite el 50% analizado</w:t>
      </w:r>
      <w:r w:rsidRPr="00CD2603">
        <w:rPr>
          <w:rFonts w:ascii="Verdana" w:hAnsi="Verdana" w:cs="Arial"/>
          <w:sz w:val="20"/>
          <w:szCs w:val="20"/>
          <w:lang w:eastAsia="es-ES_tradnl"/>
        </w:rPr>
        <w:t>.</w:t>
      </w:r>
    </w:p>
    <w:p w14:paraId="3251D8D9"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w:t>
      </w:r>
    </w:p>
    <w:p w14:paraId="08F8DD32"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p>
    <w:p w14:paraId="4E4A6AE8"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La tesis jurídica que prevalece es que los contratos no se pueden adicionar por encima del límite del art. 40, sin importar si la obra es extra o adicional, pues estas categorías son meramente técnicas y no jurídicas, de modo que lo determinante no es el tipo de obra, bien o servicio que se necesita ejecutar en mayor cantidad, sino su valor. Si sobrepasa el límite legal no es posible ejecutarlo”</w:t>
      </w:r>
      <w:r w:rsidRPr="00CD2603">
        <w:rPr>
          <w:rFonts w:ascii="Verdana" w:hAnsi="Verdana" w:cs="Arial"/>
          <w:sz w:val="20"/>
          <w:szCs w:val="20"/>
          <w:vertAlign w:val="superscript"/>
          <w:lang w:eastAsia="es-ES_tradnl"/>
        </w:rPr>
        <w:footnoteReference w:id="15"/>
      </w:r>
      <w:r w:rsidRPr="00CD2603">
        <w:rPr>
          <w:rFonts w:ascii="Verdana" w:hAnsi="Verdana" w:cs="Arial"/>
          <w:sz w:val="20"/>
          <w:szCs w:val="20"/>
          <w:lang w:eastAsia="es-ES_tradnl"/>
        </w:rPr>
        <w:t xml:space="preserve">. (Aparte en corchetes y negrilla fuera del original). </w:t>
      </w:r>
    </w:p>
    <w:p w14:paraId="17F41269" w14:textId="77777777" w:rsidR="00EB3B48" w:rsidRPr="00CD2603" w:rsidRDefault="00EB3B48" w:rsidP="00EB3B48">
      <w:pPr>
        <w:spacing w:after="0" w:line="276" w:lineRule="auto"/>
        <w:ind w:left="709" w:right="709"/>
        <w:jc w:val="both"/>
        <w:rPr>
          <w:rFonts w:ascii="Verdana" w:hAnsi="Verdana" w:cs="Arial"/>
          <w:sz w:val="21"/>
          <w:szCs w:val="21"/>
          <w:lang w:eastAsia="es-ES_tradnl"/>
        </w:rPr>
      </w:pPr>
    </w:p>
    <w:p w14:paraId="09730E9B" w14:textId="77777777" w:rsidR="00EB3B48" w:rsidRPr="00CD2603" w:rsidRDefault="00EB3B48" w:rsidP="00EB3B48">
      <w:pPr>
        <w:spacing w:after="0" w:line="276" w:lineRule="auto"/>
        <w:ind w:firstLine="709"/>
        <w:jc w:val="both"/>
        <w:rPr>
          <w:rFonts w:ascii="Verdana" w:hAnsi="Verdana" w:cs="Arial"/>
          <w:szCs w:val="24"/>
          <w:lang w:eastAsia="es-ES_tradnl"/>
        </w:rPr>
      </w:pPr>
      <w:r w:rsidRPr="00CD2603">
        <w:rPr>
          <w:rFonts w:ascii="Verdana" w:hAnsi="Verdana" w:cs="Arial"/>
          <w:szCs w:val="24"/>
          <w:lang w:eastAsia="es-ES_tradnl"/>
        </w:rPr>
        <w:t xml:space="preserve">En concordancia con lo expuesto, la doctrina ha definido dos modalidades de limitación a las adiciones contractuales desde una perspectiva cualitativa y cuantitativa que buscan preservar la esencia de este: </w:t>
      </w:r>
    </w:p>
    <w:p w14:paraId="1E03F63A" w14:textId="77777777" w:rsidR="00EB3B48" w:rsidRPr="00CD2603" w:rsidRDefault="00EB3B48" w:rsidP="00EB3B48">
      <w:pPr>
        <w:spacing w:after="0" w:line="276" w:lineRule="auto"/>
        <w:ind w:left="709" w:right="709"/>
        <w:jc w:val="both"/>
        <w:rPr>
          <w:rFonts w:ascii="Verdana" w:hAnsi="Verdana" w:cs="Arial"/>
          <w:szCs w:val="24"/>
          <w:lang w:eastAsia="es-ES_tradnl"/>
        </w:rPr>
      </w:pPr>
    </w:p>
    <w:p w14:paraId="1909BF1A"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 xml:space="preserve">“Desde el punto de vista </w:t>
      </w:r>
      <w:r w:rsidRPr="00CD2603">
        <w:rPr>
          <w:rFonts w:ascii="Verdana" w:hAnsi="Verdana" w:cs="Arial"/>
          <w:i/>
          <w:iCs/>
          <w:sz w:val="20"/>
          <w:szCs w:val="20"/>
          <w:lang w:eastAsia="es-ES_tradnl"/>
        </w:rPr>
        <w:t>cuantitativo,</w:t>
      </w:r>
      <w:r w:rsidRPr="00CD2603">
        <w:rPr>
          <w:rFonts w:ascii="Verdana" w:hAnsi="Verdana" w:cs="Arial"/>
          <w:sz w:val="20"/>
          <w:szCs w:val="20"/>
          <w:lang w:eastAsia="es-ES_tradnl"/>
        </w:rPr>
        <w:t xml:space="preserve"> </w:t>
      </w:r>
      <w:r w:rsidRPr="00CD2603">
        <w:rPr>
          <w:rFonts w:ascii="Verdana" w:hAnsi="Verdana" w:cs="Arial"/>
          <w:b/>
          <w:bCs/>
          <w:sz w:val="20"/>
          <w:szCs w:val="20"/>
          <w:lang w:eastAsia="es-ES_tradnl"/>
        </w:rPr>
        <w:t>toda modificación que aumente el presupuesto destinado al contrato cuenta, independientemente de las modalidades contractuales y de la forma de pago o de la remuneración del contratista</w:t>
      </w:r>
      <w:r w:rsidRPr="00CD2603">
        <w:rPr>
          <w:rFonts w:ascii="Verdana" w:hAnsi="Verdana" w:cs="Arial"/>
          <w:sz w:val="20"/>
          <w:szCs w:val="20"/>
          <w:lang w:eastAsia="es-ES_tradnl"/>
        </w:rPr>
        <w:t>. El límite significativo del 50% de su valor inicialmente calculado es determinante del umbral a partir del cual el contrato original ha de considerarse cambiado en su esencia. […]</w:t>
      </w:r>
    </w:p>
    <w:p w14:paraId="25F50C7B"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p>
    <w:p w14:paraId="44ECA1D3"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Y, desde el punto de vista</w:t>
      </w:r>
      <w:r w:rsidRPr="00CD2603">
        <w:rPr>
          <w:rFonts w:ascii="Verdana" w:hAnsi="Verdana" w:cs="Arial"/>
          <w:i/>
          <w:iCs/>
          <w:sz w:val="20"/>
          <w:szCs w:val="20"/>
          <w:lang w:eastAsia="es-ES_tradnl"/>
        </w:rPr>
        <w:t xml:space="preserve"> cualitativo</w:t>
      </w:r>
      <w:r w:rsidRPr="00CD2603">
        <w:rPr>
          <w:rFonts w:ascii="Verdana" w:hAnsi="Verdana" w:cs="Arial"/>
          <w:sz w:val="20"/>
          <w:szCs w:val="20"/>
          <w:lang w:eastAsia="es-ES_tradnl"/>
        </w:rPr>
        <w:t>, una adición que desnaturaliza el objeto inicial del contrato constituye en realidad una modificación esencial del contrato, lo que daría al traste con todo el proceso previo de selección de contratista para un objeto determinado y aniquilaría toda la estructuración técnica que procedió al proceso de selección. […]</w:t>
      </w:r>
    </w:p>
    <w:p w14:paraId="4508FF02"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p>
    <w:p w14:paraId="052BC406"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 xml:space="preserve">Puede entonces apreciarse que la limitación </w:t>
      </w:r>
      <w:r w:rsidRPr="00CD2603">
        <w:rPr>
          <w:rFonts w:ascii="Verdana" w:hAnsi="Verdana" w:cs="Arial"/>
          <w:i/>
          <w:iCs/>
          <w:sz w:val="20"/>
          <w:szCs w:val="20"/>
          <w:lang w:eastAsia="es-ES_tradnl"/>
        </w:rPr>
        <w:t>cuantitativa</w:t>
      </w:r>
      <w:r w:rsidRPr="00CD2603">
        <w:rPr>
          <w:rFonts w:ascii="Verdana" w:hAnsi="Verdana" w:cs="Arial"/>
          <w:sz w:val="20"/>
          <w:szCs w:val="20"/>
          <w:lang w:eastAsia="es-ES_tradnl"/>
        </w:rPr>
        <w:t xml:space="preserve"> de las adiciones contractuales es simple de apreciar. Una vez superada la distinción entre contrato estatal y adición del contrato y la consecuente particularidad de los contratos a precios unitarios, </w:t>
      </w:r>
      <w:r w:rsidRPr="00CD2603">
        <w:rPr>
          <w:rFonts w:ascii="Verdana" w:hAnsi="Verdana" w:cs="Arial"/>
          <w:b/>
          <w:bCs/>
          <w:sz w:val="20"/>
          <w:szCs w:val="20"/>
          <w:lang w:eastAsia="es-ES_tradnl"/>
        </w:rPr>
        <w:t xml:space="preserve">las </w:t>
      </w:r>
      <w:r w:rsidRPr="00CD2603">
        <w:rPr>
          <w:rFonts w:ascii="Verdana" w:hAnsi="Verdana" w:cs="Arial"/>
          <w:b/>
          <w:bCs/>
          <w:i/>
          <w:iCs/>
          <w:sz w:val="20"/>
          <w:szCs w:val="20"/>
          <w:lang w:eastAsia="es-ES_tradnl"/>
        </w:rPr>
        <w:t>adiciones</w:t>
      </w:r>
      <w:r w:rsidRPr="00CD2603">
        <w:rPr>
          <w:rFonts w:ascii="Verdana" w:hAnsi="Verdana" w:cs="Arial"/>
          <w:b/>
          <w:bCs/>
          <w:sz w:val="20"/>
          <w:szCs w:val="20"/>
          <w:lang w:eastAsia="es-ES_tradnl"/>
        </w:rPr>
        <w:t xml:space="preserve"> del parágrafo del artículo 40 de la Ley 80/93 comprenden cualquier aumento del valor o costo del contrato”</w:t>
      </w:r>
      <w:r w:rsidRPr="00CD2603">
        <w:rPr>
          <w:rStyle w:val="Refdenotaalpie"/>
          <w:rFonts w:ascii="Verdana" w:hAnsi="Verdana" w:cs="Arial"/>
          <w:sz w:val="20"/>
          <w:szCs w:val="20"/>
          <w:lang w:eastAsia="es-ES_tradnl"/>
        </w:rPr>
        <w:footnoteReference w:id="16"/>
      </w:r>
      <w:r w:rsidRPr="00CD2603">
        <w:rPr>
          <w:rFonts w:ascii="Verdana" w:hAnsi="Verdana" w:cs="Arial"/>
          <w:sz w:val="20"/>
          <w:szCs w:val="20"/>
          <w:lang w:eastAsia="es-ES_tradnl"/>
        </w:rPr>
        <w:t>. (Negrilla por fuera de texto)</w:t>
      </w:r>
    </w:p>
    <w:p w14:paraId="7B0BDAEA" w14:textId="77777777" w:rsidR="00EB3B48" w:rsidRPr="00CD2603" w:rsidRDefault="00EB3B48" w:rsidP="00EB3B48">
      <w:pPr>
        <w:spacing w:after="0" w:line="276" w:lineRule="auto"/>
        <w:ind w:firstLine="709"/>
        <w:jc w:val="both"/>
        <w:rPr>
          <w:rFonts w:ascii="Verdana" w:hAnsi="Verdana" w:cs="Arial"/>
          <w:lang w:eastAsia="es-ES_tradnl"/>
        </w:rPr>
      </w:pPr>
    </w:p>
    <w:p w14:paraId="10DA40D1" w14:textId="77777777" w:rsidR="00EB3B48" w:rsidRPr="00CD2603" w:rsidRDefault="00EB3B48" w:rsidP="00EB3B48">
      <w:pPr>
        <w:spacing w:after="0" w:line="276" w:lineRule="auto"/>
        <w:ind w:firstLine="709"/>
        <w:jc w:val="both"/>
        <w:rPr>
          <w:rFonts w:ascii="Verdana" w:hAnsi="Verdana" w:cs="Arial"/>
          <w:lang w:eastAsia="es-ES_tradnl"/>
        </w:rPr>
      </w:pPr>
      <w:r w:rsidRPr="00CD2603">
        <w:rPr>
          <w:rFonts w:ascii="Verdana" w:hAnsi="Verdana" w:cs="Arial"/>
          <w:lang w:eastAsia="es-ES_tradnl"/>
        </w:rPr>
        <w:t>La postura anterior también fue defendida por la Sección Tercera del Consejo de Estado, que, en el año 2010, se pronunció al respecto al resolver sobre la legalidad del artículo 73 del Decreto 2474 de 2008, que autorizaba la adición de algunos contratos por encima del cincuenta por ciento (50%). La Sección Tercera declaró la nulidad de dicha norma en la sentencia del 14 de abril de 2010, exponiendo los siguientes argumentos:</w:t>
      </w:r>
    </w:p>
    <w:p w14:paraId="1FF54481" w14:textId="77777777" w:rsidR="00EB3B48" w:rsidRPr="00CD2603" w:rsidRDefault="00EB3B48" w:rsidP="00EB3B48">
      <w:pPr>
        <w:spacing w:after="0" w:line="276" w:lineRule="auto"/>
        <w:jc w:val="both"/>
        <w:rPr>
          <w:rFonts w:ascii="Verdana" w:hAnsi="Verdana" w:cs="Arial"/>
          <w:lang w:eastAsia="es-ES_tradnl"/>
        </w:rPr>
      </w:pPr>
    </w:p>
    <w:p w14:paraId="1F51D3A5"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 xml:space="preserve">“La Sala acogerá la pretensión formulada en atención a que como ya ha sostenido la jurisprudencia de esta Corporación las expresiones utilizadas por la ley («adicionar» y «valor inicial»), hacen referencia a la necesidad de operar modificaciones en algunos negocios jurídicos, lo cual implica una variación en el valor pactado. En este evento, se trata de obras nuevas o distintas indispensables para alcanzar la finalidad perseguida con el acuerdo de voluntades. No obstante lo anterior, </w:t>
      </w:r>
      <w:r w:rsidRPr="00CD2603">
        <w:rPr>
          <w:rFonts w:ascii="Verdana" w:hAnsi="Verdana" w:cs="Arial"/>
          <w:b/>
          <w:bCs/>
          <w:sz w:val="20"/>
          <w:szCs w:val="20"/>
          <w:lang w:eastAsia="es-ES_tradnl"/>
        </w:rPr>
        <w:t xml:space="preserve">la legislación vigente contempla una limitante: el valor de lo adicionado no puede sobrepasar la mitad de lo inicialmente pactado, asegurándose su actualización mediante las variaciones que presenta el salario mínimo legal mensual. La prohibición expresada por el legislador en el artículo 40 del Estatuto de contratación estatal, es una medida que no sólo busca que no se burlen los procedimientos de </w:t>
      </w:r>
      <w:r w:rsidRPr="00CD2603">
        <w:rPr>
          <w:rFonts w:ascii="Verdana" w:hAnsi="Verdana" w:cs="Arial"/>
          <w:b/>
          <w:bCs/>
          <w:sz w:val="20"/>
          <w:szCs w:val="20"/>
          <w:lang w:eastAsia="es-ES_tradnl"/>
        </w:rPr>
        <w:lastRenderedPageBreak/>
        <w:t>selección, sino que además asegura principios como la transparencia, la selección objetiva y la planeación</w:t>
      </w:r>
      <w:r w:rsidRPr="00CD2603">
        <w:rPr>
          <w:rFonts w:ascii="Verdana" w:hAnsi="Verdana" w:cs="Arial"/>
          <w:sz w:val="20"/>
          <w:szCs w:val="20"/>
          <w:lang w:eastAsia="es-ES_tradnl"/>
        </w:rPr>
        <w:t>.</w:t>
      </w:r>
    </w:p>
    <w:p w14:paraId="21311F0F"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p>
    <w:p w14:paraId="74814C2D"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Llegados a este punto, se encuentra que la norma demandada tiene el alcance que el demandante le endilga, en ella se señala la posibilidad de adicionar el contrato de interventoría sin atender a ningún límite de valor, el único criterio que se tiene presente es la prórroga del contrato sobre el cual se realiza la inspección y vigilancia. En otras palabras, se permite una adición que no tiene en cuenta la prohibición establecida en el artículo 40 de la Ley 80 de 1993 y que podría sobrepasar en más de un 50% el valor de lo inicialmente pactado”</w:t>
      </w:r>
      <w:r w:rsidRPr="00CD2603">
        <w:rPr>
          <w:rFonts w:ascii="Verdana" w:hAnsi="Verdana" w:cs="Arial"/>
          <w:sz w:val="20"/>
          <w:szCs w:val="20"/>
          <w:vertAlign w:val="superscript"/>
          <w:lang w:eastAsia="es-ES_tradnl"/>
        </w:rPr>
        <w:footnoteReference w:id="17"/>
      </w:r>
      <w:r w:rsidRPr="00CD2603">
        <w:rPr>
          <w:rFonts w:ascii="Verdana" w:hAnsi="Verdana" w:cs="Arial"/>
          <w:sz w:val="20"/>
          <w:szCs w:val="20"/>
          <w:vertAlign w:val="superscript"/>
          <w:lang w:eastAsia="es-ES_tradnl"/>
        </w:rPr>
        <w:t>.</w:t>
      </w:r>
      <w:r w:rsidRPr="00CD2603">
        <w:rPr>
          <w:rFonts w:ascii="Verdana" w:hAnsi="Verdana" w:cs="Arial"/>
          <w:sz w:val="20"/>
          <w:szCs w:val="20"/>
          <w:lang w:eastAsia="es-ES_tradnl"/>
        </w:rPr>
        <w:t>(Negrilla por fuera de texto).</w:t>
      </w:r>
    </w:p>
    <w:p w14:paraId="1F54505D" w14:textId="77777777" w:rsidR="00EB3B48" w:rsidRPr="00CD2603" w:rsidRDefault="00EB3B48" w:rsidP="00EB3B48">
      <w:pPr>
        <w:spacing w:after="0" w:line="276" w:lineRule="auto"/>
        <w:ind w:left="709" w:right="709"/>
        <w:jc w:val="both"/>
        <w:rPr>
          <w:rFonts w:ascii="Verdana" w:hAnsi="Verdana" w:cs="Arial"/>
          <w:szCs w:val="24"/>
          <w:lang w:eastAsia="es-ES_tradnl"/>
        </w:rPr>
      </w:pPr>
    </w:p>
    <w:p w14:paraId="009BB690" w14:textId="77777777" w:rsidR="00EB3B48" w:rsidRPr="00CD2603" w:rsidRDefault="00EB3B48" w:rsidP="00EB3B48">
      <w:pPr>
        <w:spacing w:after="0" w:line="276" w:lineRule="auto"/>
        <w:ind w:firstLine="709"/>
        <w:jc w:val="both"/>
        <w:rPr>
          <w:rFonts w:ascii="Verdana" w:hAnsi="Verdana" w:cs="Arial"/>
          <w:szCs w:val="24"/>
          <w:lang w:eastAsia="es-ES_tradnl"/>
        </w:rPr>
      </w:pPr>
      <w:r w:rsidRPr="00CD2603">
        <w:rPr>
          <w:rFonts w:ascii="Verdana" w:hAnsi="Verdana" w:cs="Arial"/>
          <w:szCs w:val="24"/>
          <w:lang w:eastAsia="es-ES_tradnl"/>
        </w:rPr>
        <w:t xml:space="preserve">Así mismo, esta forma de interpretación ha sido es sostenida por el Consejo de Estado en otras providencias en las que se indica que en el evento de mayores cantidades de obra se puede proceder acudiendo a la compensación o, en su defecto, a la suscripción de un </w:t>
      </w:r>
      <w:r>
        <w:rPr>
          <w:rFonts w:ascii="Verdana" w:hAnsi="Verdana" w:cs="Arial"/>
          <w:szCs w:val="24"/>
          <w:lang w:eastAsia="es-ES_tradnl"/>
        </w:rPr>
        <w:t>documento</w:t>
      </w:r>
      <w:r w:rsidRPr="00CD2603">
        <w:rPr>
          <w:rFonts w:ascii="Verdana" w:hAnsi="Verdana" w:cs="Arial"/>
          <w:szCs w:val="24"/>
          <w:lang w:eastAsia="es-ES_tradnl"/>
        </w:rPr>
        <w:t xml:space="preserve"> adicional sujeto a la verificación de la disponibilidad presupuestal: </w:t>
      </w:r>
    </w:p>
    <w:p w14:paraId="70B75D52" w14:textId="77777777" w:rsidR="00EB3B48" w:rsidRPr="00CD2603" w:rsidRDefault="00EB3B48" w:rsidP="00EB3B48">
      <w:pPr>
        <w:spacing w:after="0" w:line="276" w:lineRule="auto"/>
        <w:ind w:firstLine="709"/>
        <w:jc w:val="both"/>
        <w:rPr>
          <w:rFonts w:ascii="Verdana" w:hAnsi="Verdana" w:cs="Arial"/>
          <w:szCs w:val="24"/>
          <w:lang w:eastAsia="es-ES_tradnl"/>
        </w:rPr>
      </w:pPr>
    </w:p>
    <w:p w14:paraId="4583F6AB"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“En el contrato de obra suscrito bajo la modalidad de pago por precios unitarios, el reconocimiento de las mayores cantidades de obra, cuando ellas resulten necesarias para cumplir con el objeto contractual, bien puede realizarse por vía de compensación con otros ítems cuyas cantidades se hayan ejecutado por debajo de la proporción estimada, lo cual deberá constar en un acta suscrita entre el contratista y el interventor autorizado o, en su defecto, por el representante legal de la entidad; o, cuando ello no sea posible, por sobrepasar el estimativo inicial a través de la suscripción de un contrato adicional (en el valor) sujeto a la previa verificación de la existencia de disponibilidad presupuestal para atender el compromiso y luego reflejadas en las actas de recibo firmadas por las partes, o a más tardar en el acta de liquidación del contrato, respaldadas con las respectiva disponibilidad presupuestal y siempre que hayan sido autorizadas”</w:t>
      </w:r>
      <w:r w:rsidRPr="00CD2603">
        <w:rPr>
          <w:rStyle w:val="Refdenotaalpie"/>
          <w:rFonts w:ascii="Verdana" w:hAnsi="Verdana" w:cs="Arial"/>
          <w:sz w:val="20"/>
          <w:szCs w:val="20"/>
          <w:lang w:eastAsia="es-ES_tradnl"/>
        </w:rPr>
        <w:footnoteReference w:id="18"/>
      </w:r>
      <w:r w:rsidRPr="00CD2603">
        <w:rPr>
          <w:rFonts w:ascii="Verdana" w:hAnsi="Verdana" w:cs="Arial"/>
          <w:sz w:val="20"/>
          <w:szCs w:val="20"/>
          <w:lang w:eastAsia="es-ES_tradnl"/>
        </w:rPr>
        <w:t>.</w:t>
      </w:r>
    </w:p>
    <w:p w14:paraId="729AE871" w14:textId="77777777" w:rsidR="00EB3B48" w:rsidRPr="00CD2603" w:rsidRDefault="00EB3B48" w:rsidP="00EB3B48">
      <w:pPr>
        <w:spacing w:after="0" w:line="276" w:lineRule="auto"/>
        <w:ind w:left="709" w:right="709"/>
        <w:jc w:val="both"/>
        <w:rPr>
          <w:rFonts w:ascii="Verdana" w:hAnsi="Verdana" w:cs="Arial"/>
          <w:lang w:eastAsia="es-ES_tradnl"/>
        </w:rPr>
      </w:pPr>
    </w:p>
    <w:p w14:paraId="3BD42D97" w14:textId="77777777" w:rsidR="00EB3B48" w:rsidRPr="00CD2603" w:rsidRDefault="00EB3B48" w:rsidP="00EB3B48">
      <w:pPr>
        <w:spacing w:after="120" w:line="276" w:lineRule="auto"/>
        <w:ind w:firstLine="709"/>
        <w:jc w:val="both"/>
        <w:rPr>
          <w:rFonts w:ascii="Verdana" w:hAnsi="Verdana" w:cs="Arial"/>
          <w:szCs w:val="24"/>
          <w:lang w:eastAsia="es-ES_tradnl"/>
        </w:rPr>
      </w:pPr>
      <w:r w:rsidRPr="00CD2603">
        <w:rPr>
          <w:rFonts w:ascii="Verdana" w:hAnsi="Verdana" w:cs="Arial"/>
          <w:szCs w:val="24"/>
          <w:lang w:eastAsia="es-ES_tradnl"/>
        </w:rPr>
        <w:t>En sentencia del 9 de julio de 2021 del Consejo de Estado, se realizó una aclaración de voto, en cuanto reitera esta postura en relación con la limitación de la adición del contrato. En esta oportunidad se indicó que: “</w:t>
      </w:r>
      <w:r w:rsidRPr="00CD2603">
        <w:rPr>
          <w:rFonts w:ascii="Verdana" w:hAnsi="Verdana" w:cs="Arial"/>
          <w:bCs/>
          <w:szCs w:val="24"/>
          <w:lang w:eastAsia="es-ES_tradnl"/>
        </w:rPr>
        <w:t xml:space="preserve">En el párrafo 34 de la sentencia se señaló que, en contratos a precios unitarios, la cláusula de </w:t>
      </w:r>
      <w:r w:rsidRPr="00CD2603">
        <w:rPr>
          <w:rFonts w:ascii="Verdana" w:hAnsi="Verdana" w:cs="Arial"/>
          <w:bCs/>
          <w:szCs w:val="24"/>
          <w:lang w:eastAsia="es-ES_tradnl"/>
        </w:rPr>
        <w:lastRenderedPageBreak/>
        <w:t xml:space="preserve">valor es “meramente indicativa”.  </w:t>
      </w:r>
      <w:r w:rsidRPr="00CD2603">
        <w:rPr>
          <w:rFonts w:ascii="Verdana" w:hAnsi="Verdana" w:cs="Arial"/>
          <w:bCs/>
          <w:i/>
          <w:iCs/>
          <w:szCs w:val="24"/>
          <w:lang w:eastAsia="es-ES_tradnl"/>
        </w:rPr>
        <w:t>Al respecto estimo que el precio no puede fluctuar libremente al arbitrio de las partes, en tanto la ley</w:t>
      </w:r>
      <w:r w:rsidRPr="00CD2603">
        <w:rPr>
          <w:rFonts w:ascii="Verdana" w:hAnsi="Verdana" w:cs="Arial"/>
          <w:bCs/>
          <w:i/>
          <w:iCs/>
          <w:szCs w:val="24"/>
          <w:vertAlign w:val="superscript"/>
          <w:lang w:eastAsia="es-ES_tradnl"/>
        </w:rPr>
        <w:footnoteRef/>
      </w:r>
      <w:r w:rsidRPr="00CD2603">
        <w:rPr>
          <w:rFonts w:ascii="Verdana" w:hAnsi="Verdana" w:cs="Arial"/>
          <w:bCs/>
          <w:i/>
          <w:iCs/>
          <w:szCs w:val="24"/>
          <w:lang w:eastAsia="es-ES_tradnl"/>
        </w:rPr>
        <w:t xml:space="preserve"> impone restricciones a la posibilidad de adicionarlo, sin atención a la modalidad pactada en el contrato</w:t>
      </w:r>
      <w:r w:rsidRPr="00CD2603">
        <w:rPr>
          <w:rFonts w:ascii="Verdana" w:hAnsi="Verdana" w:cs="Arial"/>
          <w:bCs/>
          <w:szCs w:val="24"/>
          <w:lang w:eastAsia="es-ES_tradnl"/>
        </w:rPr>
        <w:t>. A juicio del suscrito, el deber de planeación a cargo de las entidades estatales impone determinar, en forma previa, el alcance del objeto contractual, de modo que, de antemano, se conozca con alto grado de aproximación, el alcance de los trabajos. El máximo margen de desfase admisible está previsto en la ley como límite a la posibilidad de adicionar los contratos, insisto, con independencia de si los precios fueron globales o unitarios</w:t>
      </w:r>
      <w:r w:rsidRPr="00CD2603">
        <w:rPr>
          <w:rFonts w:ascii="Verdana" w:hAnsi="Verdana" w:cs="Arial"/>
          <w:szCs w:val="24"/>
          <w:lang w:eastAsia="es-ES_tradnl"/>
        </w:rPr>
        <w:t>”</w:t>
      </w:r>
      <w:r w:rsidRPr="00CD2603">
        <w:rPr>
          <w:rStyle w:val="Refdenotaalpie"/>
          <w:rFonts w:ascii="Verdana" w:hAnsi="Verdana" w:cs="Arial"/>
          <w:szCs w:val="24"/>
          <w:lang w:eastAsia="es-ES_tradnl"/>
        </w:rPr>
        <w:footnoteReference w:id="19"/>
      </w:r>
      <w:r w:rsidRPr="00CD2603">
        <w:rPr>
          <w:rFonts w:ascii="Verdana" w:hAnsi="Verdana" w:cs="Arial"/>
          <w:bCs/>
          <w:szCs w:val="24"/>
          <w:lang w:eastAsia="es-ES_tradnl"/>
        </w:rPr>
        <w:t xml:space="preserve">. (Énfasis por fuera de texto). </w:t>
      </w:r>
    </w:p>
    <w:p w14:paraId="55E5BB1E" w14:textId="77777777" w:rsidR="00EB3B48" w:rsidRPr="00CD2603" w:rsidRDefault="00EB3B48" w:rsidP="00EB3B48">
      <w:pPr>
        <w:spacing w:after="120" w:line="276" w:lineRule="auto"/>
        <w:ind w:firstLine="709"/>
        <w:jc w:val="both"/>
        <w:rPr>
          <w:rFonts w:ascii="Verdana" w:hAnsi="Verdana" w:cs="Arial"/>
          <w:szCs w:val="24"/>
          <w:lang w:eastAsia="es-ES_tradnl"/>
        </w:rPr>
      </w:pPr>
      <w:r w:rsidRPr="00646734">
        <w:rPr>
          <w:rFonts w:ascii="Verdana" w:hAnsi="Verdana" w:cs="Arial"/>
          <w:szCs w:val="24"/>
          <w:lang w:eastAsia="es-ES_tradnl"/>
        </w:rPr>
        <w:t>Bajo el contexto previamente expuesto respecto de las posturas jurisprudenciales y doctrinales, esta Agencia ajustó su línea doctrinal en el Concepto C</w:t>
      </w:r>
      <w:r w:rsidRPr="00646734">
        <w:rPr>
          <w:rFonts w:ascii="Verdana" w:hAnsi="Verdana" w:cs="Arial"/>
          <w:szCs w:val="24"/>
          <w:lang w:eastAsia="es-ES_tradnl"/>
        </w:rPr>
        <w:noBreakHyphen/>
        <w:t>563 del 21 de octubre de 2024, con el propósito de armonizarla con los pronunciamientos más recientes del Consejo de Estado y con la doctrina especializada. Este ajuste responde a la necesidad de asegurar que la interpretación institucional sobre la ejecución de contratos a precios unitarios refleje de manera fiel la evolución jurisprudencial y los criterios técnicos actualmente aceptados en la materia.</w:t>
      </w:r>
      <w:r w:rsidRPr="00CD2603">
        <w:rPr>
          <w:rFonts w:ascii="Verdana" w:hAnsi="Verdana" w:cs="Arial"/>
          <w:szCs w:val="24"/>
          <w:lang w:eastAsia="es-ES_tradnl"/>
        </w:rPr>
        <w:t xml:space="preserve"> </w:t>
      </w:r>
    </w:p>
    <w:p w14:paraId="69484FC1" w14:textId="77777777" w:rsidR="00EB3B48" w:rsidRPr="00CD2603" w:rsidRDefault="00EB3B48" w:rsidP="00EB3B48">
      <w:pPr>
        <w:spacing w:before="120" w:after="0" w:line="276" w:lineRule="auto"/>
        <w:ind w:firstLine="709"/>
        <w:jc w:val="both"/>
        <w:rPr>
          <w:rFonts w:ascii="Verdana" w:hAnsi="Verdana" w:cs="Arial"/>
          <w:szCs w:val="24"/>
          <w:lang w:eastAsia="es-ES_tradnl"/>
        </w:rPr>
      </w:pPr>
      <w:r w:rsidRPr="00CD2603">
        <w:rPr>
          <w:rFonts w:ascii="Verdana" w:hAnsi="Verdana" w:cs="Arial"/>
          <w:szCs w:val="24"/>
          <w:lang w:eastAsia="es-ES_tradnl"/>
        </w:rPr>
        <w:t xml:space="preserve">La concepción genérica de la conservación del objeto contractual establecida por la jurisprudencia fue particularmente significativa en los contratos de precios unitarios. Los estatutos contractuales, comenzando por la Ley 36 de 1966 y hasta la Ley 80 de 1993, establecen como límite cuantitativo de los contratos adicionales el cincuenta por ciento (50%) del valor del contrato inicial. De tiempo atrás, el Consejo de Estado analizando los contratos a precios unitarios, consideró que esta limitación no se aplicaba a las simples adiciones de las unidades no previstas originalmente. En este sentido, la Sección Tercera de la Corporación explicó: </w:t>
      </w:r>
    </w:p>
    <w:p w14:paraId="1628817F" w14:textId="77777777" w:rsidR="00EB3B48" w:rsidRPr="00CD2603" w:rsidRDefault="00EB3B48" w:rsidP="00EB3B48">
      <w:pPr>
        <w:spacing w:after="0" w:line="276" w:lineRule="auto"/>
        <w:ind w:firstLine="709"/>
        <w:jc w:val="both"/>
        <w:rPr>
          <w:rFonts w:ascii="Verdana" w:hAnsi="Verdana" w:cs="Arial"/>
          <w:szCs w:val="24"/>
          <w:lang w:eastAsia="es-ES_tradnl"/>
        </w:rPr>
      </w:pPr>
    </w:p>
    <w:p w14:paraId="2AFCAB92"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 xml:space="preserve">“La mayor cantidad de obra que resulte por encima del estimativo inicial en los contratos de obras celebrados a precios unitarios, no implica, en principio, en forma alguna cambio de objeto ni cambio en su valor, porque en este tipo de contrato solo podrá hablarse de este último cambio, cuando la modificación se hace en alguno o algunos de los precios unitarios convenidos. Sucede algo diferente a lo que se observa en los contratos a </w:t>
      </w:r>
      <w:r w:rsidRPr="00CD2603">
        <w:rPr>
          <w:rFonts w:ascii="Verdana" w:hAnsi="Verdana" w:cs="Arial"/>
          <w:sz w:val="20"/>
          <w:szCs w:val="20"/>
          <w:lang w:eastAsia="es-ES_tradnl"/>
        </w:rPr>
        <w:lastRenderedPageBreak/>
        <w:t>precio alzado, en los que la variación en su valor tiene en cuenta el valor global del mismo”</w:t>
      </w:r>
      <w:r w:rsidRPr="00CD2603">
        <w:rPr>
          <w:rStyle w:val="Refdenotaalpie"/>
          <w:rFonts w:ascii="Verdana" w:hAnsi="Verdana" w:cs="Arial"/>
          <w:sz w:val="20"/>
          <w:szCs w:val="20"/>
          <w:lang w:eastAsia="es-ES_tradnl"/>
        </w:rPr>
        <w:footnoteReference w:id="20"/>
      </w:r>
      <w:r w:rsidRPr="00CD2603">
        <w:rPr>
          <w:rFonts w:ascii="Verdana" w:hAnsi="Verdana" w:cs="Arial"/>
          <w:sz w:val="20"/>
          <w:szCs w:val="20"/>
          <w:lang w:eastAsia="es-ES_tradnl"/>
        </w:rPr>
        <w:t xml:space="preserve">.  </w:t>
      </w:r>
    </w:p>
    <w:p w14:paraId="3A4ECFFD" w14:textId="77777777" w:rsidR="00EB3B48" w:rsidRPr="00CD2603" w:rsidRDefault="00EB3B48" w:rsidP="00EB3B48">
      <w:pPr>
        <w:spacing w:after="0" w:line="276" w:lineRule="auto"/>
        <w:ind w:firstLine="709"/>
        <w:jc w:val="both"/>
        <w:rPr>
          <w:rFonts w:ascii="Verdana" w:hAnsi="Verdana" w:cs="Arial"/>
          <w:szCs w:val="24"/>
          <w:lang w:eastAsia="es-ES_tradnl"/>
        </w:rPr>
      </w:pPr>
    </w:p>
    <w:p w14:paraId="7C8DEF7A" w14:textId="77777777" w:rsidR="00EB3B48" w:rsidRPr="00CD2603" w:rsidRDefault="00EB3B48" w:rsidP="00EB3B48">
      <w:pPr>
        <w:spacing w:after="0" w:line="276" w:lineRule="auto"/>
        <w:ind w:firstLine="709"/>
        <w:jc w:val="both"/>
        <w:rPr>
          <w:rFonts w:ascii="Verdana" w:hAnsi="Verdana" w:cs="Arial"/>
          <w:szCs w:val="24"/>
          <w:lang w:eastAsia="es-ES_tradnl"/>
        </w:rPr>
      </w:pPr>
      <w:r w:rsidRPr="00CD2603">
        <w:rPr>
          <w:rFonts w:ascii="Verdana" w:hAnsi="Verdana" w:cs="Arial"/>
          <w:szCs w:val="24"/>
          <w:lang w:eastAsia="es-ES_tradnl"/>
        </w:rPr>
        <w:t xml:space="preserve">Más recientemente, ya bajo la vigencia de la Ley 80 de 1993, </w:t>
      </w:r>
      <w:bookmarkStart w:id="2" w:name="_Hlk176963652"/>
      <w:r w:rsidRPr="00CD2603">
        <w:rPr>
          <w:rFonts w:ascii="Verdana" w:hAnsi="Verdana" w:cs="Arial"/>
          <w:szCs w:val="24"/>
          <w:lang w:eastAsia="es-ES_tradnl"/>
        </w:rPr>
        <w:t>el Consejo de Estado explicó como en la adición de unidades no había modificación alguna del contrato por cuanto esta eventualidad está contemplada desde el inicio del contrato y es inherente a esta modalidad de pago. En ese sentido manifestó que:</w:t>
      </w:r>
    </w:p>
    <w:p w14:paraId="6C2921F7" w14:textId="77777777" w:rsidR="00EB3B48" w:rsidRPr="00CD2603" w:rsidRDefault="00EB3B48" w:rsidP="00EB3B48">
      <w:pPr>
        <w:spacing w:after="0" w:line="276" w:lineRule="auto"/>
        <w:ind w:firstLine="709"/>
        <w:jc w:val="both"/>
        <w:rPr>
          <w:rFonts w:ascii="Verdana" w:hAnsi="Verdana" w:cs="Arial"/>
          <w:szCs w:val="24"/>
          <w:lang w:eastAsia="es-ES_tradnl"/>
        </w:rPr>
      </w:pPr>
      <w:r w:rsidRPr="00CD2603">
        <w:rPr>
          <w:rFonts w:ascii="Verdana" w:hAnsi="Verdana" w:cs="Arial"/>
          <w:szCs w:val="24"/>
          <w:lang w:eastAsia="es-ES_tradnl"/>
        </w:rPr>
        <w:t xml:space="preserve"> </w:t>
      </w:r>
    </w:p>
    <w:p w14:paraId="0108EA4F"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 xml:space="preserve">“[…] en los contratos de obra suscritos a precios unitarios, la mayor cantidad de obra ejecutada supone que ésta fue contratada pero que su estimado inicial fue sobrepasado durante la ejecución del contrato, surgiendo así una “prolongación de la prestación debida”, sin que ello implique modificación alguna al objeto contractual. </w:t>
      </w:r>
    </w:p>
    <w:p w14:paraId="4E1189A0"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w:t>
      </w:r>
    </w:p>
    <w:p w14:paraId="11D9B06C"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En cambio, la realización de obras adicionales supone que éstas no fueron parte del objeto del contrato principal, y por lo tanto implican una variación del mismo; se trata entonces de obras nuevas, distintas a las contratadas, o de ítems no previstos, pero que su ejecución, en determinadas circunstancias resultas necesaria”</w:t>
      </w:r>
      <w:bookmarkEnd w:id="2"/>
      <w:r w:rsidRPr="00CD2603">
        <w:rPr>
          <w:rStyle w:val="Refdenotaalpie"/>
          <w:rFonts w:ascii="Verdana" w:hAnsi="Verdana" w:cs="Arial"/>
          <w:sz w:val="20"/>
          <w:szCs w:val="20"/>
          <w:lang w:eastAsia="es-ES_tradnl"/>
        </w:rPr>
        <w:footnoteReference w:id="21"/>
      </w:r>
      <w:r w:rsidRPr="00CD2603">
        <w:rPr>
          <w:rFonts w:ascii="Verdana" w:hAnsi="Verdana" w:cs="Arial"/>
          <w:sz w:val="20"/>
          <w:szCs w:val="20"/>
          <w:lang w:eastAsia="es-ES_tradnl"/>
        </w:rPr>
        <w:t>.</w:t>
      </w:r>
    </w:p>
    <w:p w14:paraId="6751D063" w14:textId="77777777" w:rsidR="00EB3B48" w:rsidRPr="00CD2603" w:rsidRDefault="00EB3B48" w:rsidP="00EB3B48">
      <w:pPr>
        <w:spacing w:after="0" w:line="276" w:lineRule="auto"/>
        <w:ind w:firstLine="709"/>
        <w:jc w:val="both"/>
        <w:rPr>
          <w:rFonts w:ascii="Verdana" w:hAnsi="Verdana" w:cs="Arial"/>
          <w:lang w:eastAsia="es-ES_tradnl"/>
        </w:rPr>
      </w:pPr>
    </w:p>
    <w:p w14:paraId="48B445CC" w14:textId="77777777" w:rsidR="00EB3B48" w:rsidRPr="00CD2603" w:rsidRDefault="00EB3B48" w:rsidP="00EB3B48">
      <w:pPr>
        <w:spacing w:after="0" w:line="276" w:lineRule="auto"/>
        <w:ind w:firstLine="709"/>
        <w:jc w:val="both"/>
        <w:rPr>
          <w:rFonts w:ascii="Verdana" w:hAnsi="Verdana" w:cs="Arial"/>
          <w:lang w:eastAsia="es-ES_tradnl"/>
        </w:rPr>
      </w:pPr>
      <w:r w:rsidRPr="00CD2603">
        <w:rPr>
          <w:rFonts w:ascii="Verdana" w:hAnsi="Verdana" w:cs="Arial"/>
          <w:lang w:eastAsia="es-ES_tradnl"/>
        </w:rPr>
        <w:t xml:space="preserve">Así mismo, la Sala de Consulta y del Servicio Civil de la Corporación consideró que los contratos a precios unitarios tenían un precio indeterminado, aunque determinable al final del contrato: </w:t>
      </w:r>
    </w:p>
    <w:p w14:paraId="46E68929" w14:textId="77777777" w:rsidR="00EB3B48" w:rsidRPr="00CD2603" w:rsidRDefault="00EB3B48" w:rsidP="00EB3B48">
      <w:pPr>
        <w:spacing w:after="0" w:line="276" w:lineRule="auto"/>
        <w:ind w:left="709" w:right="709"/>
        <w:jc w:val="both"/>
        <w:rPr>
          <w:rFonts w:ascii="Verdana" w:hAnsi="Verdana" w:cs="Arial"/>
          <w:lang w:eastAsia="es-ES_tradnl"/>
        </w:rPr>
      </w:pPr>
    </w:p>
    <w:p w14:paraId="1528D2DF" w14:textId="77777777" w:rsidR="00EB3B48" w:rsidRPr="00CD2603" w:rsidRDefault="00EB3B48" w:rsidP="00EB3B48">
      <w:pPr>
        <w:spacing w:after="0" w:line="240" w:lineRule="auto"/>
        <w:ind w:left="709" w:right="709"/>
        <w:jc w:val="both"/>
        <w:rPr>
          <w:rFonts w:ascii="Verdana" w:hAnsi="Verdana" w:cs="Arial"/>
          <w:sz w:val="20"/>
          <w:szCs w:val="20"/>
          <w:lang w:eastAsia="es-ES_tradnl"/>
        </w:rPr>
      </w:pPr>
      <w:r w:rsidRPr="00CD2603">
        <w:rPr>
          <w:rFonts w:ascii="Verdana" w:hAnsi="Verdana" w:cs="Arial"/>
          <w:sz w:val="20"/>
          <w:szCs w:val="20"/>
          <w:lang w:eastAsia="es-ES_tradnl"/>
        </w:rPr>
        <w:t>“Por el contrario, en los contratos a precio indeterminado pero determinable por el procedimiento establecido en el mismo contrato (precios unitarios, administración delegada o reembolso de gastos), la cláusula del valor en el mismo apenas sirve como indicativo del monto estimado hecho por las partes, pero no tiene valor vinculante u obligacional, pues el verdadero valor del contrato se establecerá una vez se concluya su objeto. En estos eventos, tal clausula sólo cumple la función de realizar un cálculo estimado del costo probable, esto es, ese estimativo necesario para elaborar el presupuesto o para efectos fiscales; pero el valor real del contrato que genera obligaciones mutuas sólo se determinará cuando el procedimiento establecido, se establezca tal costo”</w:t>
      </w:r>
      <w:r w:rsidRPr="00CD2603">
        <w:rPr>
          <w:rStyle w:val="Refdenotaalpie"/>
          <w:rFonts w:ascii="Verdana" w:hAnsi="Verdana" w:cs="Arial"/>
          <w:sz w:val="20"/>
          <w:szCs w:val="20"/>
          <w:lang w:eastAsia="es-ES_tradnl"/>
        </w:rPr>
        <w:footnoteReference w:id="22"/>
      </w:r>
      <w:r w:rsidRPr="00CD2603">
        <w:rPr>
          <w:rFonts w:ascii="Verdana" w:hAnsi="Verdana" w:cs="Arial"/>
          <w:sz w:val="20"/>
          <w:szCs w:val="20"/>
          <w:lang w:eastAsia="es-ES_tradnl"/>
        </w:rPr>
        <w:t xml:space="preserve">.  </w:t>
      </w:r>
    </w:p>
    <w:p w14:paraId="5A2E7AD8" w14:textId="77777777" w:rsidR="00EB3B48" w:rsidRPr="00CD2603" w:rsidRDefault="00EB3B48" w:rsidP="00EB3B48">
      <w:pPr>
        <w:spacing w:after="0" w:line="276" w:lineRule="auto"/>
        <w:ind w:left="709" w:right="709"/>
        <w:jc w:val="both"/>
        <w:rPr>
          <w:rFonts w:ascii="Verdana" w:hAnsi="Verdana" w:cs="Arial"/>
          <w:lang w:eastAsia="es-ES_tradnl"/>
        </w:rPr>
      </w:pPr>
    </w:p>
    <w:p w14:paraId="442B9566" w14:textId="77777777" w:rsidR="00EB3B48" w:rsidRPr="00CD2603" w:rsidRDefault="00EB3B48" w:rsidP="00EB3B48">
      <w:pPr>
        <w:widowControl w:val="0"/>
        <w:autoSpaceDE w:val="0"/>
        <w:autoSpaceDN w:val="0"/>
        <w:spacing w:after="0" w:line="276" w:lineRule="auto"/>
        <w:ind w:firstLine="709"/>
        <w:jc w:val="both"/>
        <w:rPr>
          <w:rFonts w:ascii="Verdana" w:eastAsia="Calibri" w:hAnsi="Verdana" w:cs="Arial"/>
        </w:rPr>
      </w:pPr>
      <w:r w:rsidRPr="00CD2603">
        <w:rPr>
          <w:rFonts w:ascii="Verdana" w:eastAsia="Calibri" w:hAnsi="Verdana" w:cs="Arial"/>
        </w:rPr>
        <w:lastRenderedPageBreak/>
        <w:t xml:space="preserve">En el mismo sentido, el Consejo de Estado, en sentencia del 19 de septiembre de 2022 señalo que: </w:t>
      </w:r>
    </w:p>
    <w:p w14:paraId="570F373B" w14:textId="77777777" w:rsidR="00EB3B48" w:rsidRPr="00CD2603" w:rsidRDefault="00EB3B48" w:rsidP="00EB3B48">
      <w:pPr>
        <w:widowControl w:val="0"/>
        <w:autoSpaceDE w:val="0"/>
        <w:autoSpaceDN w:val="0"/>
        <w:spacing w:after="0" w:line="276" w:lineRule="auto"/>
        <w:ind w:firstLine="709"/>
        <w:jc w:val="both"/>
        <w:rPr>
          <w:rFonts w:ascii="Verdana" w:eastAsia="Calibri" w:hAnsi="Verdana" w:cs="Arial"/>
        </w:rPr>
      </w:pPr>
    </w:p>
    <w:p w14:paraId="7DC6AFB7" w14:textId="77777777" w:rsidR="00EB3B48" w:rsidRPr="00CD2603" w:rsidRDefault="00EB3B48" w:rsidP="00EB3B48">
      <w:pPr>
        <w:widowControl w:val="0"/>
        <w:autoSpaceDE w:val="0"/>
        <w:autoSpaceDN w:val="0"/>
        <w:spacing w:after="0" w:line="240" w:lineRule="auto"/>
        <w:ind w:left="709" w:right="709"/>
        <w:jc w:val="both"/>
        <w:rPr>
          <w:rFonts w:ascii="Verdana" w:hAnsi="Verdana"/>
          <w:sz w:val="20"/>
          <w:szCs w:val="20"/>
        </w:rPr>
      </w:pPr>
      <w:r w:rsidRPr="00CD2603">
        <w:rPr>
          <w:rFonts w:ascii="Verdana" w:hAnsi="Verdana"/>
          <w:sz w:val="20"/>
          <w:szCs w:val="20"/>
        </w:rPr>
        <w:t>“[…] la referencia a las adiciones al contrato supone una modificación, en la que son agregados al objeto, elementos o metas físicas no previstas inicialmente por las partes, y que resultan indispensables para la consecución de los intereses inmersos en el negocio, sin que ello pueda derivar en la mutación del tipo de contrato. Bajo estos supuestos, las actas o acuerdos sobre mayores cantidades de obra en contratos celebrados a precios unitarios, en los que el valor indicado en el contrato supone apenas un estimativo de lo que será el precio final de la obra cuando esta concluya, no serían propiamente una adición sino una inyección de recursos presupuestales prevista para sortear las imprecisiones que haya podido tener la formulación inicial del precio. Por el contrario, en contratos pactados bajo la modalidad de precio global o alzado, el incremento del precio del contrato siempre supondrá la modificación del objeto contractual y, por lo tanto, adición, toda vez que en este escenario la estimación inicial del costo de la obra en su totalidad es vinculante a lo largo del acuerdo de voluntades como el precio determinado que el contratista percibirá como contraprestación por su labor.</w:t>
      </w:r>
    </w:p>
    <w:p w14:paraId="4A500527" w14:textId="77777777" w:rsidR="00EB3B48" w:rsidRPr="00CD2603" w:rsidRDefault="00EB3B48" w:rsidP="00EB3B48">
      <w:pPr>
        <w:widowControl w:val="0"/>
        <w:autoSpaceDE w:val="0"/>
        <w:autoSpaceDN w:val="0"/>
        <w:spacing w:after="0" w:line="240" w:lineRule="auto"/>
        <w:ind w:left="709" w:right="709"/>
        <w:jc w:val="both"/>
        <w:rPr>
          <w:rFonts w:ascii="Verdana" w:hAnsi="Verdana"/>
          <w:sz w:val="20"/>
          <w:szCs w:val="20"/>
        </w:rPr>
      </w:pPr>
    </w:p>
    <w:p w14:paraId="7AE284CD" w14:textId="77777777" w:rsidR="00EB3B48" w:rsidRPr="00CD2603" w:rsidRDefault="00EB3B48" w:rsidP="00EB3B48">
      <w:pPr>
        <w:widowControl w:val="0"/>
        <w:autoSpaceDE w:val="0"/>
        <w:autoSpaceDN w:val="0"/>
        <w:spacing w:after="0" w:line="240" w:lineRule="auto"/>
        <w:ind w:left="709" w:right="709"/>
        <w:jc w:val="both"/>
        <w:rPr>
          <w:rFonts w:ascii="Verdana" w:eastAsia="Calibri" w:hAnsi="Verdana" w:cs="Arial"/>
          <w:sz w:val="20"/>
          <w:szCs w:val="20"/>
        </w:rPr>
      </w:pPr>
      <w:r w:rsidRPr="00CD2603">
        <w:rPr>
          <w:rFonts w:ascii="Verdana" w:hAnsi="Verdana"/>
          <w:sz w:val="20"/>
          <w:szCs w:val="20"/>
        </w:rPr>
        <w:t>En estas palabras lo ha dicho esta Sección: “La mayor cantidad de obra que resulte por encima del estimativo inicial en los contratos de obras celebrados a precios unitarios, no implica, en principio, en forma alguna, cambio de objeto ni cambio en su valor, porque en este tipo de contrato sólo podrá hablarse de este último cambio, cuando la modificación se hace en alguno o algunos de los precios unitarios convenidos. Sucede en esto algo diferente a lo que se observa en los contratos a precio alzado, en los que la variación en su valor tiene en cuenta el valor global del mismo”</w:t>
      </w:r>
      <w:r w:rsidRPr="00CD2603">
        <w:rPr>
          <w:rStyle w:val="Refdenotaalpie"/>
          <w:rFonts w:ascii="Verdana" w:hAnsi="Verdana"/>
          <w:sz w:val="20"/>
          <w:szCs w:val="20"/>
        </w:rPr>
        <w:footnoteReference w:id="23"/>
      </w:r>
    </w:p>
    <w:p w14:paraId="5F0DB24B" w14:textId="77777777" w:rsidR="00EB3B48" w:rsidRPr="00CD2603" w:rsidRDefault="00EB3B48" w:rsidP="00EB3B48">
      <w:pPr>
        <w:widowControl w:val="0"/>
        <w:autoSpaceDE w:val="0"/>
        <w:autoSpaceDN w:val="0"/>
        <w:spacing w:after="0" w:line="276" w:lineRule="auto"/>
        <w:jc w:val="both"/>
        <w:rPr>
          <w:rFonts w:ascii="Verdana" w:eastAsia="Calibri" w:hAnsi="Verdana" w:cs="Arial"/>
        </w:rPr>
      </w:pPr>
    </w:p>
    <w:p w14:paraId="2B7DD0F9" w14:textId="77777777" w:rsidR="00EB3B48" w:rsidRPr="00CD2603" w:rsidRDefault="00EB3B48" w:rsidP="00EB3B48">
      <w:pPr>
        <w:widowControl w:val="0"/>
        <w:autoSpaceDE w:val="0"/>
        <w:autoSpaceDN w:val="0"/>
        <w:spacing w:after="0" w:line="276" w:lineRule="auto"/>
        <w:ind w:firstLine="708"/>
        <w:jc w:val="both"/>
        <w:rPr>
          <w:rFonts w:ascii="Verdana" w:eastAsia="Calibri" w:hAnsi="Verdana" w:cs="Arial"/>
        </w:rPr>
      </w:pPr>
      <w:bookmarkStart w:id="3" w:name="_Hlk176963676"/>
      <w:r w:rsidRPr="00CD2603">
        <w:rPr>
          <w:rFonts w:ascii="Verdana" w:eastAsia="Calibri" w:hAnsi="Verdana" w:cs="Arial"/>
        </w:rPr>
        <w:t>Esta postura ha sido acogida por la jurisprudencia reciente de la Sección Tercera del Consejo de Estado, instancia desde donde se ha explicado que:</w:t>
      </w:r>
    </w:p>
    <w:p w14:paraId="14C69F40" w14:textId="77777777" w:rsidR="00EB3B48" w:rsidRPr="00CD2603" w:rsidRDefault="00EB3B48" w:rsidP="00EB3B48">
      <w:pPr>
        <w:widowControl w:val="0"/>
        <w:autoSpaceDE w:val="0"/>
        <w:autoSpaceDN w:val="0"/>
        <w:spacing w:after="0" w:line="276" w:lineRule="auto"/>
        <w:ind w:firstLine="708"/>
        <w:jc w:val="both"/>
        <w:rPr>
          <w:rFonts w:ascii="Verdana" w:eastAsia="Calibri" w:hAnsi="Verdana" w:cs="Arial"/>
        </w:rPr>
      </w:pPr>
    </w:p>
    <w:p w14:paraId="22D815F8" w14:textId="77777777" w:rsidR="00EB3B48" w:rsidRPr="00CD2603" w:rsidRDefault="00EB3B48" w:rsidP="00EB3B48">
      <w:pPr>
        <w:widowControl w:val="0"/>
        <w:autoSpaceDE w:val="0"/>
        <w:autoSpaceDN w:val="0"/>
        <w:spacing w:after="0" w:line="240" w:lineRule="auto"/>
        <w:ind w:left="709" w:right="709"/>
        <w:jc w:val="both"/>
        <w:rPr>
          <w:rFonts w:ascii="Verdana" w:eastAsia="Calibri" w:hAnsi="Verdana" w:cs="Arial"/>
          <w:sz w:val="20"/>
          <w:szCs w:val="20"/>
        </w:rPr>
      </w:pPr>
      <w:r w:rsidRPr="00CD2603">
        <w:rPr>
          <w:rFonts w:ascii="Verdana" w:eastAsia="Calibri" w:hAnsi="Verdana" w:cs="Arial"/>
          <w:sz w:val="20"/>
          <w:szCs w:val="20"/>
        </w:rPr>
        <w:t xml:space="preserve">“[…] el valor del contrato en el sistema a precios unitarios es indicativo o estimativo, motivo por el cual el valor real dependerá de las cantidades que final y efectivamente sean ejecutadas, multiplicadas por los precios unitarios que hayan sido pactados. Por lo mismo, en principio, el reconocimiento de las mayores cantidades de obra no es más que la aplicación de la forma de precio y pago estipuladas en el contrato, es decir, la implementación del procedimiento convenido por las partes para calcular el valor final del negocio jurídico: cantidades ejecutadas por valor </w:t>
      </w:r>
      <w:r w:rsidRPr="00CD2603">
        <w:rPr>
          <w:rFonts w:ascii="Verdana" w:eastAsia="Calibri" w:hAnsi="Verdana" w:cs="Arial"/>
          <w:sz w:val="20"/>
          <w:szCs w:val="20"/>
        </w:rPr>
        <w:lastRenderedPageBreak/>
        <w:t xml:space="preserve">de ítem acordado. </w:t>
      </w:r>
    </w:p>
    <w:p w14:paraId="56CF9C04" w14:textId="77777777" w:rsidR="00EB3B48" w:rsidRPr="00CD2603" w:rsidRDefault="00EB3B48" w:rsidP="00EB3B48">
      <w:pPr>
        <w:widowControl w:val="0"/>
        <w:autoSpaceDE w:val="0"/>
        <w:autoSpaceDN w:val="0"/>
        <w:spacing w:after="0" w:line="240" w:lineRule="auto"/>
        <w:ind w:left="709" w:right="709"/>
        <w:jc w:val="both"/>
        <w:rPr>
          <w:rFonts w:ascii="Verdana" w:eastAsia="Calibri" w:hAnsi="Verdana" w:cs="Arial"/>
          <w:sz w:val="20"/>
          <w:szCs w:val="20"/>
        </w:rPr>
      </w:pPr>
    </w:p>
    <w:p w14:paraId="75A125E2" w14:textId="77777777" w:rsidR="00EB3B48" w:rsidRPr="00CD2603" w:rsidRDefault="00EB3B48" w:rsidP="00EB3B48">
      <w:pPr>
        <w:widowControl w:val="0"/>
        <w:autoSpaceDE w:val="0"/>
        <w:autoSpaceDN w:val="0"/>
        <w:spacing w:after="0" w:line="240" w:lineRule="auto"/>
        <w:ind w:left="709" w:right="709"/>
        <w:jc w:val="both"/>
        <w:rPr>
          <w:rFonts w:ascii="Verdana" w:eastAsia="Calibri" w:hAnsi="Verdana" w:cs="Arial"/>
          <w:sz w:val="20"/>
          <w:szCs w:val="20"/>
        </w:rPr>
      </w:pPr>
      <w:r w:rsidRPr="00CD2603">
        <w:rPr>
          <w:rFonts w:ascii="Verdana" w:eastAsia="Calibri" w:hAnsi="Verdana" w:cs="Arial"/>
          <w:sz w:val="20"/>
          <w:szCs w:val="20"/>
        </w:rPr>
        <w:t xml:space="preserve">En línea con lo anterior, es pertinente tener en cuenta que, justamente, la modalidad de pago a precios unitarios se caracteriza porque su determinación final impone establecer las cantidades verdaderamente ejecutadas, multiplicándolas por los precios unitarios; de ahí que lo vinculante en estos casos no sea propiamente el valor total inicialmente estimado, ni las cantidades inicialmente previstas, sino los valores unitarios que las partes acordaron aplicar a cada uno de los ítems. </w:t>
      </w:r>
    </w:p>
    <w:p w14:paraId="4237468A" w14:textId="77777777" w:rsidR="00EB3B48" w:rsidRPr="00CD2603" w:rsidRDefault="00EB3B48" w:rsidP="00EB3B48">
      <w:pPr>
        <w:widowControl w:val="0"/>
        <w:autoSpaceDE w:val="0"/>
        <w:autoSpaceDN w:val="0"/>
        <w:spacing w:after="0" w:line="240" w:lineRule="auto"/>
        <w:ind w:left="709" w:right="709"/>
        <w:jc w:val="both"/>
        <w:rPr>
          <w:rFonts w:ascii="Verdana" w:eastAsia="Calibri" w:hAnsi="Verdana" w:cs="Arial"/>
          <w:sz w:val="20"/>
          <w:szCs w:val="20"/>
        </w:rPr>
      </w:pPr>
    </w:p>
    <w:p w14:paraId="5D99E44A" w14:textId="77777777" w:rsidR="00EB3B48" w:rsidRPr="00CD2603" w:rsidRDefault="00EB3B48" w:rsidP="00EB3B48">
      <w:pPr>
        <w:widowControl w:val="0"/>
        <w:autoSpaceDE w:val="0"/>
        <w:autoSpaceDN w:val="0"/>
        <w:spacing w:after="0" w:line="240" w:lineRule="auto"/>
        <w:ind w:left="709" w:right="709"/>
        <w:jc w:val="both"/>
        <w:rPr>
          <w:rFonts w:ascii="Verdana" w:eastAsia="Calibri" w:hAnsi="Verdana" w:cs="Arial"/>
          <w:sz w:val="20"/>
          <w:szCs w:val="20"/>
        </w:rPr>
      </w:pPr>
      <w:r w:rsidRPr="00CD2603">
        <w:rPr>
          <w:rFonts w:ascii="Verdana" w:eastAsia="Calibri" w:hAnsi="Verdana" w:cs="Arial"/>
          <w:sz w:val="20"/>
          <w:szCs w:val="20"/>
        </w:rPr>
        <w:t>A diferencia de lo que ocurre con los contratos a precio global, en los que el precio se delimita al margen de las cantidades que se ejecuten y de su valor unitario, en el sistema de precios unitarios el contratista no asume el riesgo de las mayores cantidades de obra, ni la entidad el de las menores, pues lo que deberá pagarse o cancelarse se desprenderá de lo que indiscutiblemente se haya ejecutado”</w:t>
      </w:r>
      <w:r w:rsidRPr="00CD2603">
        <w:rPr>
          <w:rStyle w:val="Refdenotaalpie"/>
          <w:rFonts w:ascii="Verdana" w:eastAsia="Calibri" w:hAnsi="Verdana" w:cs="Arial"/>
          <w:sz w:val="20"/>
          <w:szCs w:val="20"/>
        </w:rPr>
        <w:footnoteReference w:id="24"/>
      </w:r>
      <w:r w:rsidRPr="00CD2603">
        <w:rPr>
          <w:rFonts w:ascii="Verdana" w:eastAsia="Calibri" w:hAnsi="Verdana" w:cs="Arial"/>
          <w:sz w:val="20"/>
          <w:szCs w:val="20"/>
        </w:rPr>
        <w:t>.</w:t>
      </w:r>
    </w:p>
    <w:p w14:paraId="73D7C1A6" w14:textId="77777777" w:rsidR="00EB3B48" w:rsidRPr="00CD2603" w:rsidRDefault="00EB3B48" w:rsidP="00EB3B48">
      <w:pPr>
        <w:widowControl w:val="0"/>
        <w:autoSpaceDE w:val="0"/>
        <w:autoSpaceDN w:val="0"/>
        <w:spacing w:after="0" w:line="276" w:lineRule="auto"/>
        <w:ind w:firstLine="709"/>
        <w:jc w:val="both"/>
        <w:rPr>
          <w:rFonts w:ascii="Verdana" w:eastAsia="Calibri" w:hAnsi="Verdana" w:cs="Arial"/>
        </w:rPr>
      </w:pPr>
    </w:p>
    <w:p w14:paraId="372CE42F" w14:textId="77777777" w:rsidR="00EB3B48" w:rsidRPr="00CD2603" w:rsidRDefault="00EB3B48" w:rsidP="00EB3B48">
      <w:pPr>
        <w:widowControl w:val="0"/>
        <w:autoSpaceDE w:val="0"/>
        <w:autoSpaceDN w:val="0"/>
        <w:spacing w:after="0" w:line="276" w:lineRule="auto"/>
        <w:ind w:firstLine="708"/>
        <w:jc w:val="both"/>
        <w:rPr>
          <w:rFonts w:ascii="Verdana" w:eastAsia="Calibri" w:hAnsi="Verdana" w:cs="Arial"/>
        </w:rPr>
      </w:pPr>
      <w:r w:rsidRPr="00CD2603">
        <w:rPr>
          <w:rFonts w:ascii="Verdana" w:eastAsia="Calibri" w:hAnsi="Verdana" w:cs="Arial"/>
        </w:rPr>
        <w:t xml:space="preserve">Con sustento en estas precisiones sobre la modalidad de pago por precios unitarios, la jurisprudencia de la Sección Tercera ha determinado que el límite a la adición de contratos estatales, previsto en el artículo 40 de la Ley 80 de 1993 no es aplicable a los contratos pactados con precios unitarios. </w:t>
      </w:r>
      <w:bookmarkEnd w:id="3"/>
      <w:r w:rsidRPr="00CD2603">
        <w:rPr>
          <w:rFonts w:ascii="Verdana" w:eastAsia="Calibri" w:hAnsi="Verdana" w:cs="Arial"/>
        </w:rPr>
        <w:t xml:space="preserve">Al respecto, se ha señalado que: </w:t>
      </w:r>
    </w:p>
    <w:p w14:paraId="503AA1AF" w14:textId="77777777" w:rsidR="00EB3B48" w:rsidRPr="00CD2603" w:rsidRDefault="00EB3B48" w:rsidP="00EB3B48">
      <w:pPr>
        <w:widowControl w:val="0"/>
        <w:autoSpaceDE w:val="0"/>
        <w:autoSpaceDN w:val="0"/>
        <w:spacing w:after="0" w:line="276" w:lineRule="auto"/>
        <w:jc w:val="both"/>
        <w:rPr>
          <w:rFonts w:ascii="Verdana" w:eastAsia="Calibri" w:hAnsi="Verdana" w:cs="Arial"/>
        </w:rPr>
      </w:pPr>
    </w:p>
    <w:p w14:paraId="7459A2C5" w14:textId="77777777" w:rsidR="00EB3B48" w:rsidRPr="00CD2603" w:rsidRDefault="00EB3B48" w:rsidP="00EB3B48">
      <w:pPr>
        <w:widowControl w:val="0"/>
        <w:autoSpaceDE w:val="0"/>
        <w:autoSpaceDN w:val="0"/>
        <w:spacing w:after="0" w:line="240" w:lineRule="auto"/>
        <w:ind w:left="709" w:right="709"/>
        <w:jc w:val="both"/>
        <w:rPr>
          <w:rFonts w:ascii="Verdana" w:eastAsia="Calibri" w:hAnsi="Verdana" w:cs="Arial"/>
          <w:sz w:val="20"/>
          <w:szCs w:val="20"/>
        </w:rPr>
      </w:pPr>
      <w:r w:rsidRPr="00CD2603">
        <w:rPr>
          <w:rFonts w:ascii="Verdana" w:eastAsia="Calibri" w:hAnsi="Verdana" w:cs="Arial"/>
          <w:sz w:val="20"/>
          <w:szCs w:val="20"/>
        </w:rPr>
        <w:t>“[..]se considera que le asiste razón al demandante en cuanto al argumento de que el límite de adiciones del artículo 40 de la Ley 80 de 1993 no es extensible al sub lite, debido a que la reforma de los pavimentos hacía parte de la etapa de construcción y, al haberse pactado su pago en la modalidad de precios unitarios, el valor estipulado era estimativo y estaba sujeto a multiplicar las cantidades de obra ejecutadas por el precio de cada una de ellas”.</w:t>
      </w:r>
    </w:p>
    <w:p w14:paraId="2DC6447F" w14:textId="77777777" w:rsidR="00EB3B48" w:rsidRPr="00CD2603" w:rsidRDefault="00EB3B48" w:rsidP="00EB3B48">
      <w:pPr>
        <w:widowControl w:val="0"/>
        <w:autoSpaceDE w:val="0"/>
        <w:autoSpaceDN w:val="0"/>
        <w:spacing w:after="0" w:line="240" w:lineRule="auto"/>
        <w:jc w:val="both"/>
        <w:rPr>
          <w:rFonts w:ascii="Verdana" w:eastAsia="Calibri" w:hAnsi="Verdana" w:cs="Arial"/>
        </w:rPr>
      </w:pPr>
    </w:p>
    <w:p w14:paraId="2A3E8964" w14:textId="77777777" w:rsidR="00EB3B48" w:rsidRPr="00CD2603" w:rsidRDefault="00EB3B48" w:rsidP="00EB3B48">
      <w:pPr>
        <w:widowControl w:val="0"/>
        <w:autoSpaceDE w:val="0"/>
        <w:autoSpaceDN w:val="0"/>
        <w:spacing w:after="0" w:line="240" w:lineRule="auto"/>
        <w:ind w:left="709" w:right="709"/>
        <w:jc w:val="both"/>
        <w:rPr>
          <w:rFonts w:ascii="Verdana" w:eastAsia="Calibri" w:hAnsi="Verdana" w:cs="Arial"/>
          <w:sz w:val="20"/>
          <w:szCs w:val="20"/>
          <w:vertAlign w:val="superscript"/>
        </w:rPr>
      </w:pPr>
      <w:r w:rsidRPr="00CD2603">
        <w:rPr>
          <w:rFonts w:ascii="Verdana" w:eastAsia="Calibri" w:hAnsi="Verdana" w:cs="Arial"/>
          <w:sz w:val="20"/>
          <w:szCs w:val="20"/>
        </w:rPr>
        <w:t>Sobre el particular, esta Corporación ha considerado que el límite de adiciones de que trata el artículo 40 de la Ley 80 de 1993, en virtud del cual no es posible</w:t>
      </w:r>
      <w:r w:rsidRPr="00CD2603">
        <w:rPr>
          <w:rFonts w:ascii="Verdana" w:hAnsi="Verdana"/>
          <w:sz w:val="20"/>
          <w:szCs w:val="20"/>
        </w:rPr>
        <w:t xml:space="preserve"> </w:t>
      </w:r>
      <w:r w:rsidRPr="00CD2603">
        <w:rPr>
          <w:rFonts w:ascii="Verdana" w:eastAsia="Calibri" w:hAnsi="Verdana" w:cs="Arial"/>
          <w:sz w:val="20"/>
          <w:szCs w:val="20"/>
        </w:rPr>
        <w:t>incrementar el valor del contrato en más de un 50%, es aplicable a acuerdos de voluntades sometidos al pago como precio global, pues en esos casos la suma que se fija desde un inicio es definitiva para los sujetos negociales, mientras que en los contratos cuyo pago es a precios unitarios no es aplicable, dado que el valor del negocio jurídico es provisional y el valor definitivo se determina al finalizarse el objeto contractual”</w:t>
      </w:r>
      <w:r w:rsidRPr="00CD2603">
        <w:rPr>
          <w:rStyle w:val="Refdenotaalpie"/>
          <w:rFonts w:ascii="Verdana" w:eastAsia="Calibri" w:hAnsi="Verdana" w:cs="Arial"/>
          <w:sz w:val="20"/>
          <w:szCs w:val="20"/>
        </w:rPr>
        <w:footnoteReference w:id="25"/>
      </w:r>
      <w:r w:rsidRPr="00CD2603">
        <w:rPr>
          <w:rFonts w:ascii="Verdana" w:eastAsia="Calibri" w:hAnsi="Verdana" w:cs="Arial"/>
          <w:sz w:val="20"/>
          <w:szCs w:val="20"/>
          <w:vertAlign w:val="superscript"/>
        </w:rPr>
        <w:t>-</w:t>
      </w:r>
    </w:p>
    <w:p w14:paraId="3C297F38" w14:textId="77777777" w:rsidR="00EB3B48" w:rsidRPr="00CD2603" w:rsidRDefault="00EB3B48" w:rsidP="00EB3B48">
      <w:pPr>
        <w:widowControl w:val="0"/>
        <w:autoSpaceDE w:val="0"/>
        <w:autoSpaceDN w:val="0"/>
        <w:spacing w:after="0" w:line="276" w:lineRule="auto"/>
        <w:ind w:right="709"/>
        <w:jc w:val="both"/>
        <w:rPr>
          <w:rFonts w:ascii="Verdana" w:eastAsia="Calibri" w:hAnsi="Verdana" w:cs="Arial"/>
        </w:rPr>
      </w:pPr>
    </w:p>
    <w:p w14:paraId="1F026289" w14:textId="77777777" w:rsidR="00EB3B48" w:rsidRDefault="00EB3B48" w:rsidP="00EB3B48">
      <w:pPr>
        <w:widowControl w:val="0"/>
        <w:autoSpaceDE w:val="0"/>
        <w:autoSpaceDN w:val="0"/>
        <w:spacing w:after="0" w:line="276" w:lineRule="auto"/>
        <w:jc w:val="both"/>
        <w:rPr>
          <w:rFonts w:ascii="Verdana" w:eastAsia="Calibri" w:hAnsi="Verdana" w:cs="Arial"/>
        </w:rPr>
      </w:pPr>
      <w:r w:rsidRPr="00CD2603">
        <w:rPr>
          <w:rFonts w:ascii="Verdana" w:eastAsia="Calibri" w:hAnsi="Verdana" w:cs="Arial"/>
        </w:rPr>
        <w:tab/>
      </w:r>
      <w:r w:rsidRPr="007C6387">
        <w:rPr>
          <w:rFonts w:ascii="Verdana" w:eastAsia="Calibri" w:hAnsi="Verdana" w:cs="Arial"/>
        </w:rPr>
        <w:t xml:space="preserve">En esa misma línea, el Consejo de Estado en Sentencia del 10 de octubre de 2024 </w:t>
      </w:r>
      <w:r>
        <w:rPr>
          <w:rFonts w:ascii="Verdana" w:eastAsia="Calibri" w:hAnsi="Verdana" w:cs="Arial"/>
        </w:rPr>
        <w:t>con expediente 67.508 expresó:</w:t>
      </w:r>
    </w:p>
    <w:p w14:paraId="398AD76B" w14:textId="77777777" w:rsidR="00EB3B48" w:rsidRDefault="00EB3B48" w:rsidP="00EB3B48">
      <w:pPr>
        <w:widowControl w:val="0"/>
        <w:autoSpaceDE w:val="0"/>
        <w:autoSpaceDN w:val="0"/>
        <w:spacing w:after="0" w:line="276" w:lineRule="auto"/>
        <w:jc w:val="both"/>
        <w:rPr>
          <w:rFonts w:ascii="Verdana" w:eastAsia="Calibri" w:hAnsi="Verdana" w:cs="Arial"/>
        </w:rPr>
      </w:pPr>
    </w:p>
    <w:p w14:paraId="1E76FFCF" w14:textId="77777777" w:rsidR="00EB3B48" w:rsidRPr="009E2C90" w:rsidRDefault="00EB3B48" w:rsidP="00EB3B48">
      <w:pPr>
        <w:widowControl w:val="0"/>
        <w:autoSpaceDE w:val="0"/>
        <w:autoSpaceDN w:val="0"/>
        <w:spacing w:after="120" w:line="240" w:lineRule="auto"/>
        <w:ind w:left="709" w:right="709"/>
        <w:jc w:val="both"/>
        <w:rPr>
          <w:rFonts w:ascii="Verdana" w:eastAsia="Calibri" w:hAnsi="Verdana" w:cs="Arial"/>
          <w:sz w:val="20"/>
          <w:szCs w:val="20"/>
        </w:rPr>
      </w:pPr>
      <w:r w:rsidRPr="009E2C90">
        <w:rPr>
          <w:rFonts w:ascii="Verdana" w:eastAsia="Calibri" w:hAnsi="Verdana" w:cs="Arial"/>
          <w:sz w:val="20"/>
          <w:szCs w:val="20"/>
        </w:rPr>
        <w:t>La mencionada diferencia resulta fundamental para efectos de analizar la prohibición del parágrafo del artículo 40 de la Ley 80 de 1993 y el debido acatamiento al deber de selección objetiva en aquellos casos en los que la cuantía de la contratación es relevante para determinar la modalidad de escogencia del contratista; lo anterior porque en las mayores cantidades de obra no ocurre materialmente una adición de lo inicialmente pactado, sino que, se insiste, con independencia del trámite presupuestal que ello impone a la parte contratante para efecto de la erogación correspondiente, se trata en forma pura y simple de aplicar un recurso metodológico o aritmético para la determinación del valor final de la remuneración de lo efectivamente ejecutado. Las partes han estipulado el precio de cada ítem unitario y acordado la ejecución de los que sean necesarios para la ejecución del determinado objeto, de modo que su pago no excede los límites del negocio jurídico inicialmente convenido. En estos casos es claro que se mantiene inalterado el objeto contractual previamente identificado, planificado y preestablecido, siempre que no se utilice esta forma de remuneración con el fin de desconocer los procedimientos de selección objetiva de contratistas dispuestos por el legislador, ni tampoco para variar o modificar el objeto contractual originalmente pactado</w:t>
      </w:r>
      <w:r>
        <w:rPr>
          <w:rStyle w:val="Refdenotaalpie"/>
          <w:rFonts w:ascii="Verdana" w:eastAsia="Calibri" w:hAnsi="Verdana" w:cs="Arial"/>
          <w:sz w:val="20"/>
          <w:szCs w:val="20"/>
        </w:rPr>
        <w:footnoteReference w:id="26"/>
      </w:r>
      <w:r w:rsidRPr="009E2C90">
        <w:rPr>
          <w:rFonts w:ascii="Verdana" w:eastAsia="Calibri" w:hAnsi="Verdana" w:cs="Arial"/>
          <w:sz w:val="20"/>
          <w:szCs w:val="20"/>
        </w:rPr>
        <w:t>.</w:t>
      </w:r>
    </w:p>
    <w:p w14:paraId="56407D2B" w14:textId="77777777" w:rsidR="00EB3B48" w:rsidRPr="007C6387" w:rsidRDefault="00EB3B48" w:rsidP="00EB3B48">
      <w:pPr>
        <w:widowControl w:val="0"/>
        <w:autoSpaceDE w:val="0"/>
        <w:autoSpaceDN w:val="0"/>
        <w:spacing w:after="0" w:line="276" w:lineRule="auto"/>
        <w:jc w:val="both"/>
        <w:rPr>
          <w:rFonts w:ascii="Verdana" w:eastAsia="Calibri" w:hAnsi="Verdana" w:cs="Arial"/>
        </w:rPr>
      </w:pPr>
    </w:p>
    <w:p w14:paraId="030EB3B7" w14:textId="77777777" w:rsidR="00EB3B48" w:rsidRDefault="00EB3B48" w:rsidP="00EB3B48">
      <w:pPr>
        <w:widowControl w:val="0"/>
        <w:autoSpaceDE w:val="0"/>
        <w:autoSpaceDN w:val="0"/>
        <w:spacing w:after="120" w:line="276" w:lineRule="auto"/>
        <w:ind w:firstLine="708"/>
        <w:jc w:val="both"/>
        <w:rPr>
          <w:rFonts w:ascii="Verdana" w:eastAsia="Calibri" w:hAnsi="Verdana" w:cs="Arial"/>
        </w:rPr>
      </w:pPr>
      <w:r w:rsidRPr="00CD2603">
        <w:rPr>
          <w:rFonts w:ascii="Verdana" w:eastAsia="Calibri" w:hAnsi="Verdana" w:cs="Arial"/>
        </w:rPr>
        <w:t>Visto el desarrollo jurisprudencial del tema, si bien, no se evidencia</w:t>
      </w:r>
      <w:r>
        <w:rPr>
          <w:rFonts w:ascii="Verdana" w:eastAsia="Calibri" w:hAnsi="Verdana" w:cs="Arial"/>
        </w:rPr>
        <w:t xml:space="preserve"> una sentencia de unificación de la Sección Tercera del Consejo, la Corte Constitucional profirió la Sentencia de Unificación SU-214 DE 2022 que estudia </w:t>
      </w:r>
      <w:r w:rsidRPr="00514D1B">
        <w:rPr>
          <w:rFonts w:ascii="Verdana" w:eastAsia="Calibri" w:hAnsi="Verdana" w:cs="Arial"/>
        </w:rPr>
        <w:t xml:space="preserve">una acción de tutela contra </w:t>
      </w:r>
      <w:r>
        <w:rPr>
          <w:rFonts w:ascii="Verdana" w:eastAsia="Calibri" w:hAnsi="Verdana" w:cs="Arial"/>
        </w:rPr>
        <w:t xml:space="preserve">providencias judiciales </w:t>
      </w:r>
      <w:r w:rsidRPr="00514D1B">
        <w:rPr>
          <w:rFonts w:ascii="Verdana" w:eastAsia="Calibri" w:hAnsi="Verdana" w:cs="Arial"/>
        </w:rPr>
        <w:t xml:space="preserve">y, dentro de ese análisis, desarrolla una discusión central sobre la </w:t>
      </w:r>
      <w:r w:rsidRPr="005D54CE">
        <w:rPr>
          <w:rFonts w:ascii="Verdana" w:eastAsia="Calibri" w:hAnsi="Verdana" w:cs="Arial"/>
        </w:rPr>
        <w:t xml:space="preserve">adición de contratos estatales. En particular, la Corte explica que el tipo penal de </w:t>
      </w:r>
      <w:r w:rsidRPr="005D54CE">
        <w:rPr>
          <w:rFonts w:ascii="Verdana" w:eastAsia="Calibri" w:hAnsi="Verdana" w:cs="Arial"/>
          <w:i/>
          <w:iCs/>
        </w:rPr>
        <w:t>contrato sin cumplimiento de requisitos legales</w:t>
      </w:r>
      <w:r w:rsidRPr="005D54CE">
        <w:rPr>
          <w:rFonts w:ascii="Verdana" w:eastAsia="Calibri" w:hAnsi="Verdana" w:cs="Arial"/>
        </w:rPr>
        <w:t xml:space="preserve"> solo cubre las fases de trámite, celebración y liquidación, no la ejecución; y destaca que las adiciones contractuales deben cumplir reglas estrictas de selección y planeación.</w:t>
      </w:r>
      <w:r w:rsidRPr="00514D1B">
        <w:rPr>
          <w:rFonts w:ascii="Verdana" w:eastAsia="Calibri" w:hAnsi="Verdana" w:cs="Arial"/>
        </w:rPr>
        <w:t xml:space="preserve"> La providencia recoge la jurisprudencia del Consejo de Estado que diferencia claramente entre </w:t>
      </w:r>
      <w:r w:rsidRPr="00554B51">
        <w:rPr>
          <w:rFonts w:ascii="Verdana" w:eastAsia="Calibri" w:hAnsi="Verdana" w:cs="Arial"/>
        </w:rPr>
        <w:t>mayores cantidades de obra y obras adicionales,</w:t>
      </w:r>
      <w:r w:rsidRPr="00514D1B">
        <w:rPr>
          <w:rFonts w:ascii="Verdana" w:eastAsia="Calibri" w:hAnsi="Verdana" w:cs="Arial"/>
        </w:rPr>
        <w:t xml:space="preserve"> señalando que las primeras no modifican el objeto ni constituyen adición, mientras que las segundas sí implican un nuevo contrato o </w:t>
      </w:r>
      <w:r w:rsidRPr="00514D1B">
        <w:rPr>
          <w:rFonts w:ascii="Verdana" w:eastAsia="Calibri" w:hAnsi="Verdana" w:cs="Arial"/>
        </w:rPr>
        <w:lastRenderedPageBreak/>
        <w:t xml:space="preserve">un contrato adicional sujeto a límites legales. </w:t>
      </w:r>
    </w:p>
    <w:p w14:paraId="661125D5" w14:textId="77777777" w:rsidR="00EB3B48" w:rsidRPr="00CD2603" w:rsidRDefault="00EB3B48" w:rsidP="00EB3B48">
      <w:pPr>
        <w:widowControl w:val="0"/>
        <w:autoSpaceDE w:val="0"/>
        <w:autoSpaceDN w:val="0"/>
        <w:spacing w:after="120" w:line="276" w:lineRule="auto"/>
        <w:ind w:firstLine="708"/>
        <w:jc w:val="both"/>
        <w:rPr>
          <w:rFonts w:ascii="Verdana" w:eastAsia="Calibri" w:hAnsi="Verdana" w:cs="Arial"/>
        </w:rPr>
      </w:pPr>
      <w:r>
        <w:rPr>
          <w:rFonts w:ascii="Verdana" w:eastAsia="Calibri" w:hAnsi="Verdana" w:cs="Arial"/>
        </w:rPr>
        <w:t>Así mismo, la Sección Tercera del Consejo de Estado</w:t>
      </w:r>
      <w:r w:rsidRPr="00CD2603">
        <w:rPr>
          <w:rFonts w:ascii="Verdana" w:eastAsia="Calibri" w:hAnsi="Verdana" w:cs="Arial"/>
        </w:rPr>
        <w:t xml:space="preserve">, existe cierto consenso en torno a la idea de que las mayores cantidades de obra en contratos que utilizan la metodología de precios unitarios no implican adiciones del valor inicial del mismo, ya que este tiene un carácter indicativo. Con base en esto, dicha Sección ha establecido que el límite a las adiciones previsto en el segundo inciso del parágrafo del artículo 40 de la Ley 80 de 1993, no impide que se ejecuten mayores cantidades de obras a las inicialmente estimadas, por valores incluso mayores al cincuenta por ciento (50%) del valor estimado al inicio de la ejecución, siempre que hayan sido autorizadas por la entidad contratante. </w:t>
      </w:r>
      <w:bookmarkStart w:id="4" w:name="_Hlk176963691"/>
    </w:p>
    <w:p w14:paraId="3AE5389E" w14:textId="77777777" w:rsidR="00EB3B48" w:rsidRPr="00BE3C0B" w:rsidRDefault="00EB3B48" w:rsidP="00EB3B48">
      <w:pPr>
        <w:widowControl w:val="0"/>
        <w:autoSpaceDE w:val="0"/>
        <w:autoSpaceDN w:val="0"/>
        <w:spacing w:after="120" w:line="276" w:lineRule="auto"/>
        <w:jc w:val="both"/>
        <w:rPr>
          <w:rFonts w:ascii="Verdana" w:eastAsia="Calibri" w:hAnsi="Verdana" w:cs="Arial"/>
        </w:rPr>
      </w:pPr>
      <w:r w:rsidRPr="00CD2603">
        <w:rPr>
          <w:rFonts w:ascii="Verdana" w:eastAsia="Calibri" w:hAnsi="Verdana" w:cs="Arial"/>
          <w:i/>
          <w:iCs/>
        </w:rPr>
        <w:tab/>
      </w:r>
      <w:r w:rsidRPr="00BE3C0B">
        <w:rPr>
          <w:rFonts w:ascii="Verdana" w:eastAsia="Calibri" w:hAnsi="Verdana" w:cs="Arial"/>
        </w:rPr>
        <w:t>En atención a lo anterior, esta Subdirección, mediante el Concepto C</w:t>
      </w:r>
      <w:r w:rsidRPr="00BE3C0B">
        <w:rPr>
          <w:rFonts w:ascii="Verdana" w:eastAsia="Calibri" w:hAnsi="Verdana" w:cs="Arial"/>
        </w:rPr>
        <w:noBreakHyphen/>
        <w:t>563 del 21 de octubre de 2024, ajustó y redefinió su línea doctrinal, adoptando de manera expresa los criterios fijados en las sentencias más recientes del Consejo de Estado sobre mayores cantidades de obra, obras adicionales y modificaciones contractuales en contratos a precios unitarios. Con ello, la Agencia abandonó la postura previamente sostenida en los conceptos C</w:t>
      </w:r>
      <w:r w:rsidRPr="00BE3C0B">
        <w:rPr>
          <w:rFonts w:ascii="Verdana" w:eastAsia="Calibri" w:hAnsi="Verdana" w:cs="Arial"/>
        </w:rPr>
        <w:noBreakHyphen/>
        <w:t>062 del 25 de marzo de 2020, C</w:t>
      </w:r>
      <w:r w:rsidRPr="00BE3C0B">
        <w:rPr>
          <w:rFonts w:ascii="Verdana" w:eastAsia="Calibri" w:hAnsi="Verdana" w:cs="Arial"/>
        </w:rPr>
        <w:noBreakHyphen/>
        <w:t>100 del 27 de marzo de 2020, C</w:t>
      </w:r>
      <w:r w:rsidRPr="00BE3C0B">
        <w:rPr>
          <w:rFonts w:ascii="Verdana" w:eastAsia="Calibri" w:hAnsi="Verdana" w:cs="Arial"/>
        </w:rPr>
        <w:noBreakHyphen/>
        <w:t>318 del 28 de mayo de 2020, C</w:t>
      </w:r>
      <w:r w:rsidRPr="00BE3C0B">
        <w:rPr>
          <w:rFonts w:ascii="Verdana" w:eastAsia="Calibri" w:hAnsi="Verdana" w:cs="Arial"/>
        </w:rPr>
        <w:noBreakHyphen/>
        <w:t>452 del 28 de julio de 2020, C</w:t>
      </w:r>
      <w:r w:rsidRPr="00BE3C0B">
        <w:rPr>
          <w:rFonts w:ascii="Verdana" w:eastAsia="Calibri" w:hAnsi="Verdana" w:cs="Arial"/>
        </w:rPr>
        <w:noBreakHyphen/>
        <w:t>560 del 24 de agosto de 2020, C</w:t>
      </w:r>
      <w:r w:rsidRPr="00BE3C0B">
        <w:rPr>
          <w:rFonts w:ascii="Verdana" w:eastAsia="Calibri" w:hAnsi="Verdana" w:cs="Arial"/>
        </w:rPr>
        <w:noBreakHyphen/>
        <w:t>628 del 23 de septiembre de 2020, C</w:t>
      </w:r>
      <w:r w:rsidRPr="00BE3C0B">
        <w:rPr>
          <w:rFonts w:ascii="Verdana" w:eastAsia="Calibri" w:hAnsi="Verdana" w:cs="Arial"/>
        </w:rPr>
        <w:noBreakHyphen/>
        <w:t>750 del 21 de diciembre de 2020, C</w:t>
      </w:r>
      <w:r w:rsidRPr="00BE3C0B">
        <w:rPr>
          <w:rFonts w:ascii="Verdana" w:eastAsia="Calibri" w:hAnsi="Verdana" w:cs="Arial"/>
        </w:rPr>
        <w:noBreakHyphen/>
        <w:t>073 del 16 de marzo de 2021, C</w:t>
      </w:r>
      <w:r w:rsidRPr="00BE3C0B">
        <w:rPr>
          <w:rFonts w:ascii="Verdana" w:eastAsia="Calibri" w:hAnsi="Verdana" w:cs="Arial"/>
        </w:rPr>
        <w:noBreakHyphen/>
        <w:t>277 del 21 de junio de 2021, C</w:t>
      </w:r>
      <w:r w:rsidRPr="00BE3C0B">
        <w:rPr>
          <w:rFonts w:ascii="Verdana" w:eastAsia="Calibri" w:hAnsi="Verdana" w:cs="Arial"/>
        </w:rPr>
        <w:noBreakHyphen/>
        <w:t>644 del 18 de noviembre de 2021, C</w:t>
      </w:r>
      <w:r w:rsidRPr="00BE3C0B">
        <w:rPr>
          <w:rFonts w:ascii="Verdana" w:eastAsia="Calibri" w:hAnsi="Verdana" w:cs="Arial"/>
        </w:rPr>
        <w:noBreakHyphen/>
        <w:t>755 del 21 de enero de 2022, C</w:t>
      </w:r>
      <w:r w:rsidRPr="00BE3C0B">
        <w:rPr>
          <w:rFonts w:ascii="Verdana" w:eastAsia="Calibri" w:hAnsi="Verdana" w:cs="Arial"/>
        </w:rPr>
        <w:noBreakHyphen/>
        <w:t>152 del 1 de abril de 2022, C</w:t>
      </w:r>
      <w:r w:rsidRPr="00BE3C0B">
        <w:rPr>
          <w:rFonts w:ascii="Verdana" w:eastAsia="Calibri" w:hAnsi="Verdana" w:cs="Arial"/>
        </w:rPr>
        <w:noBreakHyphen/>
        <w:t>267 del 5 de mayo de 2022, C</w:t>
      </w:r>
      <w:r w:rsidRPr="00BE3C0B">
        <w:rPr>
          <w:rFonts w:ascii="Verdana" w:eastAsia="Calibri" w:hAnsi="Verdana" w:cs="Arial"/>
        </w:rPr>
        <w:noBreakHyphen/>
        <w:t>432 del 13 de julio de 2022, C</w:t>
      </w:r>
      <w:r w:rsidRPr="00BE3C0B">
        <w:rPr>
          <w:rFonts w:ascii="Verdana" w:eastAsia="Calibri" w:hAnsi="Verdana" w:cs="Arial"/>
        </w:rPr>
        <w:noBreakHyphen/>
        <w:t>630 del 29 de septiembre de 2022, C</w:t>
      </w:r>
      <w:r w:rsidRPr="00BE3C0B">
        <w:rPr>
          <w:rFonts w:ascii="Verdana" w:eastAsia="Calibri" w:hAnsi="Verdana" w:cs="Arial"/>
        </w:rPr>
        <w:noBreakHyphen/>
        <w:t>784 del 21 de noviembre de 2022, entre otros, con el fin de asegurar coherencia con la evolución jurisprudencial y fortalecer la seguridad jurídica en la aplicación de estas figuras durante la ejecución contractual.</w:t>
      </w:r>
    </w:p>
    <w:p w14:paraId="06B9E6E2" w14:textId="77777777" w:rsidR="00EB3B48" w:rsidRDefault="00EB3B48" w:rsidP="00EB3B48">
      <w:pPr>
        <w:widowControl w:val="0"/>
        <w:autoSpaceDE w:val="0"/>
        <w:autoSpaceDN w:val="0"/>
        <w:spacing w:after="120" w:line="276" w:lineRule="auto"/>
        <w:ind w:firstLine="708"/>
        <w:jc w:val="both"/>
        <w:rPr>
          <w:rFonts w:ascii="Verdana" w:hAnsi="Verdana"/>
        </w:rPr>
      </w:pPr>
      <w:r w:rsidRPr="00CD2603">
        <w:rPr>
          <w:rFonts w:ascii="Verdana" w:eastAsia="Calibri" w:hAnsi="Verdana" w:cs="Arial"/>
        </w:rPr>
        <w:t xml:space="preserve">En consideración, </w:t>
      </w:r>
      <w:r>
        <w:rPr>
          <w:rFonts w:ascii="Verdana" w:eastAsia="Calibri" w:hAnsi="Verdana" w:cs="Arial"/>
        </w:rPr>
        <w:t xml:space="preserve">se concluye </w:t>
      </w:r>
      <w:r w:rsidRPr="00CD2603">
        <w:rPr>
          <w:rFonts w:ascii="Verdana" w:eastAsia="Calibri" w:hAnsi="Verdana" w:cs="Arial"/>
        </w:rPr>
        <w:t>que,</w:t>
      </w:r>
      <w:r w:rsidRPr="00CD2603">
        <w:rPr>
          <w:rFonts w:ascii="Verdana" w:hAnsi="Verdana"/>
        </w:rPr>
        <w:t xml:space="preserve"> en los contratos de obra suscritos a precios unitarios, la mayor cantidad de obra ejecutada consiste en aquella que fue contratada pero que su estimativo inicial fue sobrepasado durante la ejecución del contrato. La mayor cantidad de obra por encima del valor estimativo inicial en los contratos a precios unitarios no implica en forma alguna un cambio de objeto o en su valor. Por tal razón, el reconocimiento de mayores cantidades de obra, previamente autorizadas y recibidas por la entidad contratante, realmente no se está adicionando el contrato, sino procediendo, conforme a lo previsto en el mismo. En consecuencia, las cantidades de obra que resulten de las mediciones de los ítems de obra pertinentes no requiere </w:t>
      </w:r>
      <w:r w:rsidRPr="00CD2603">
        <w:rPr>
          <w:rFonts w:ascii="Verdana" w:hAnsi="Verdana"/>
        </w:rPr>
        <w:lastRenderedPageBreak/>
        <w:t xml:space="preserve">contrato adicional y, por tanto, no les aplica el límite cuantitativo establecido en el artículo 40 de la Ley 80 de 1993. </w:t>
      </w:r>
    </w:p>
    <w:p w14:paraId="24DB2BA5" w14:textId="77777777" w:rsidR="00EB3B48" w:rsidRDefault="00EB3B48" w:rsidP="00EB3B48">
      <w:pPr>
        <w:widowControl w:val="0"/>
        <w:autoSpaceDE w:val="0"/>
        <w:autoSpaceDN w:val="0"/>
        <w:spacing w:after="120" w:line="276" w:lineRule="auto"/>
        <w:jc w:val="both"/>
        <w:rPr>
          <w:rFonts w:ascii="Verdana" w:hAnsi="Verdana"/>
        </w:rPr>
      </w:pPr>
      <w:r>
        <w:rPr>
          <w:rFonts w:ascii="Verdana" w:hAnsi="Verdana"/>
        </w:rPr>
        <w:tab/>
      </w:r>
      <w:r w:rsidRPr="000A44B7">
        <w:rPr>
          <w:rFonts w:ascii="Verdana" w:hAnsi="Verdana"/>
        </w:rPr>
        <w:t>En este contexto, el reconocimiento de mayores cantidades de obra no configura una adición al contrato, pues no implica ampliar el objeto ni alterar el alcance inicialmente pactado, sino aplicar la metodología de remuneración prevista por las partes para determinar el valor final de lo efectivamente ejecutado. Ello, sin embargo, no excluye la obligación de adelantar las gestiones presupuestales necesarias para garantizar la disponibilidad de recursos y efectuar la correspondiente erogación, en cumplimiento de los principios de legalidad del gasto</w:t>
      </w:r>
      <w:r>
        <w:rPr>
          <w:rFonts w:ascii="Verdana" w:hAnsi="Verdana"/>
        </w:rPr>
        <w:t xml:space="preserve"> y los principios de la gestión fiscal</w:t>
      </w:r>
      <w:r w:rsidRPr="000A44B7">
        <w:rPr>
          <w:rFonts w:ascii="Verdana" w:hAnsi="Verdana"/>
        </w:rPr>
        <w:t>. En suma, aunque no se trate de una adición contractual en sentido jurídico, sí se requiere la actuación presupuestal pertinente para honrar los compromisos derivados de la ejecución real de las cantidades de obra.</w:t>
      </w:r>
    </w:p>
    <w:p w14:paraId="07260D9F" w14:textId="77777777" w:rsidR="00EB3B48" w:rsidRPr="001619D8" w:rsidRDefault="00EB3B48" w:rsidP="00EB3B48">
      <w:pPr>
        <w:widowControl w:val="0"/>
        <w:autoSpaceDE w:val="0"/>
        <w:autoSpaceDN w:val="0"/>
        <w:spacing w:after="120" w:line="276" w:lineRule="auto"/>
        <w:jc w:val="both"/>
        <w:rPr>
          <w:rFonts w:ascii="Verdana" w:hAnsi="Verdana"/>
        </w:rPr>
      </w:pPr>
      <w:r>
        <w:rPr>
          <w:rFonts w:ascii="Verdana" w:hAnsi="Verdana"/>
        </w:rPr>
        <w:tab/>
        <w:t xml:space="preserve">Dichos documentos de gestión administrativa y presupuestal por parte de las entidades estatales para mayores cantidades de obra en el sistema de precio unitario deberán publicarse, </w:t>
      </w:r>
      <w:r w:rsidRPr="00027BD2">
        <w:rPr>
          <w:rFonts w:ascii="Verdana" w:hAnsi="Verdana"/>
          <w:lang w:val="es-ES_tradnl"/>
        </w:rPr>
        <w:t xml:space="preserve">conforme al artículo 2.2.1.1.1.7.1 del Decreto 1082 de 2015, </w:t>
      </w:r>
      <w:r>
        <w:rPr>
          <w:rFonts w:ascii="Verdana" w:hAnsi="Verdana"/>
          <w:lang w:val="es-ES_tradnl"/>
        </w:rPr>
        <w:t xml:space="preserve">que dispone que tiene la </w:t>
      </w:r>
      <w:r w:rsidRPr="00027BD2">
        <w:rPr>
          <w:rFonts w:ascii="Verdana" w:hAnsi="Verdana"/>
          <w:lang w:val="es-ES_tradnl"/>
        </w:rPr>
        <w:t>obligación de publicar en el SECOP “[…] los Documentos del Proceso y los actos administrativos del Proceso de Contratación</w:t>
      </w:r>
      <w:r>
        <w:rPr>
          <w:rFonts w:ascii="Verdana" w:hAnsi="Verdana"/>
          <w:lang w:val="es-ES_tradnl"/>
        </w:rPr>
        <w:t xml:space="preserve"> […]”. Los documentos del proceso están definidos en el </w:t>
      </w:r>
      <w:r w:rsidRPr="001619D8">
        <w:rPr>
          <w:rFonts w:ascii="Verdana" w:hAnsi="Verdana"/>
        </w:rPr>
        <w:t xml:space="preserve">artículo 2.2.1.1.1.3.1. del Decreto 1082 de 2015, donde se establece que: “son: (a) los estudios y documentos previos; (b) el aviso de convocatoria; (c) los pliegos de condiciones o la invitación; (d) las adendas; (e) la oferta; (f) el informe de evaluación; (g) el contrato; y </w:t>
      </w:r>
      <w:r w:rsidRPr="007B3C46">
        <w:rPr>
          <w:rFonts w:ascii="Verdana" w:hAnsi="Verdana"/>
          <w:i/>
          <w:iCs/>
        </w:rPr>
        <w:t>cualquier otro documento expedido por la Entidad Estatal durante el Proceso de Contratación</w:t>
      </w:r>
      <w:r w:rsidRPr="001619D8">
        <w:rPr>
          <w:rFonts w:ascii="Verdana" w:hAnsi="Verdana"/>
        </w:rPr>
        <w:t xml:space="preserve">”. </w:t>
      </w:r>
    </w:p>
    <w:p w14:paraId="59E53479" w14:textId="77777777" w:rsidR="00EB3B48" w:rsidRPr="00E93953" w:rsidRDefault="00EB3B48" w:rsidP="00EB3B48">
      <w:pPr>
        <w:tabs>
          <w:tab w:val="left" w:pos="709"/>
        </w:tabs>
        <w:spacing w:after="120" w:line="276" w:lineRule="auto"/>
        <w:ind w:firstLine="709"/>
        <w:jc w:val="both"/>
        <w:rPr>
          <w:rFonts w:ascii="Verdana" w:hAnsi="Verdana" w:cs="Arial"/>
          <w:shd w:val="clear" w:color="auto" w:fill="FFFFFF"/>
        </w:rPr>
      </w:pPr>
      <w:r w:rsidRPr="00AD6B46">
        <w:rPr>
          <w:rFonts w:ascii="Verdana" w:hAnsi="Verdana" w:cs="Arial"/>
          <w:shd w:val="clear" w:color="auto" w:fill="FFFFFF"/>
        </w:rPr>
        <w:t>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la norma se refiere a los documentos “expedidos por la entidad estatal” durante el proceso de contratación, excluyendo de la noción de Documentos del Proceso los expedidos por un sujeto distinto a la entidad, salvo la oferta, la cual se incluye expresamente en el referido artículo 2.2.1.1.1.3</w:t>
      </w:r>
      <w:r>
        <w:rPr>
          <w:rFonts w:ascii="Verdana" w:hAnsi="Verdana" w:cs="Arial"/>
          <w:shd w:val="clear" w:color="auto" w:fill="FFFFFF"/>
        </w:rPr>
        <w:t xml:space="preserve">. </w:t>
      </w:r>
      <w:r w:rsidRPr="00AD6B46">
        <w:rPr>
          <w:rFonts w:ascii="Verdana" w:hAnsi="Verdana" w:cs="Arial"/>
          <w:shd w:val="clear" w:color="auto" w:fill="FFFFFF"/>
        </w:rPr>
        <w:t xml:space="preserve">En ese sentido, la interpretación sistemática de los preceptos del Decreto 1082 de 2015, de acuerdo con el principio de publicidad, inicialmente, </w:t>
      </w:r>
      <w:r w:rsidRPr="00AD6B46">
        <w:rPr>
          <w:rFonts w:ascii="Verdana" w:hAnsi="Verdana" w:cs="Arial"/>
          <w:shd w:val="clear" w:color="auto" w:fill="FFFFFF"/>
        </w:rPr>
        <w:lastRenderedPageBreak/>
        <w:t>indica que las Entidades Estatales tienen la obligación de publicar todos los documentos que expidan con ocasión del Proceso de Contratación, es decir, que todos los documentos expedidos por la entidad durante las etapas precontractual, de ejecución y postcontractual deberán publicarse en SECOP</w:t>
      </w:r>
      <w:r>
        <w:rPr>
          <w:rFonts w:ascii="Verdana" w:hAnsi="Verdana" w:cs="Arial"/>
          <w:shd w:val="clear" w:color="auto" w:fill="FFFFFF"/>
        </w:rPr>
        <w:t xml:space="preserve">. </w:t>
      </w:r>
    </w:p>
    <w:p w14:paraId="491AEA23" w14:textId="77777777" w:rsidR="00EB3B48" w:rsidRPr="00CD2603" w:rsidRDefault="00EB3B48" w:rsidP="00EB3B48">
      <w:pPr>
        <w:widowControl w:val="0"/>
        <w:autoSpaceDE w:val="0"/>
        <w:autoSpaceDN w:val="0"/>
        <w:spacing w:after="120" w:line="276" w:lineRule="auto"/>
        <w:ind w:firstLine="708"/>
        <w:jc w:val="both"/>
        <w:rPr>
          <w:rFonts w:ascii="Verdana" w:hAnsi="Verdana"/>
        </w:rPr>
      </w:pPr>
      <w:r>
        <w:rPr>
          <w:rFonts w:ascii="Verdana" w:hAnsi="Verdana"/>
        </w:rPr>
        <w:t>Ahora bien, con respecto a</w:t>
      </w:r>
      <w:r w:rsidRPr="00CD2603">
        <w:rPr>
          <w:rFonts w:ascii="Verdana" w:hAnsi="Verdana"/>
        </w:rPr>
        <w:t xml:space="preserve"> las adiciones </w:t>
      </w:r>
      <w:r>
        <w:rPr>
          <w:rFonts w:ascii="Verdana" w:hAnsi="Verdana"/>
        </w:rPr>
        <w:t xml:space="preserve">se refieren </w:t>
      </w:r>
      <w:r w:rsidRPr="00CD2603">
        <w:rPr>
          <w:rFonts w:ascii="Verdana" w:hAnsi="Verdana"/>
        </w:rPr>
        <w:t>a aumentos en el valor del contrato relacionadas con ítems o actividades no contempladas o previstas dentro del contrato que requieren ser ejecutadas para la obtención y cumplimiento del objeto contractual, por tal motivo, para su reconocimiento se requiere de la suscripción de un contrato adicional o modificatorio del contrato inicial</w:t>
      </w:r>
      <w:r>
        <w:rPr>
          <w:rFonts w:ascii="Verdana" w:hAnsi="Verdana"/>
        </w:rPr>
        <w:t>, como lo señala la Agencia en el Concepto C-563 del 21 de octubre de 2026</w:t>
      </w:r>
      <w:r w:rsidRPr="00CD2603">
        <w:rPr>
          <w:rFonts w:ascii="Verdana" w:hAnsi="Verdana"/>
        </w:rPr>
        <w:t>. En ese sentido, comoquiera que esta obra implica modificación al contrato, será necesario, en forma previa, el perfeccionamiento de contrato adicional o modificatorio. En este caso, si se torna aplicable el límite establecido en el parágrafo del artículo 40 de la Ley 80 de 1993, lo cual indica que estos negocios jurídicos no podrán adicionarse en más del cincuenta por ciento (50%) de su valor inicial, expresado en salarios mínimos legales mensuales.</w:t>
      </w:r>
    </w:p>
    <w:p w14:paraId="289514F0" w14:textId="77777777" w:rsidR="00EB3B48" w:rsidRPr="0096549B" w:rsidRDefault="00EB3B48" w:rsidP="00EB3B48">
      <w:pPr>
        <w:widowControl w:val="0"/>
        <w:autoSpaceDE w:val="0"/>
        <w:autoSpaceDN w:val="0"/>
        <w:spacing w:after="120" w:line="276" w:lineRule="auto"/>
        <w:ind w:firstLine="708"/>
        <w:jc w:val="both"/>
        <w:rPr>
          <w:rFonts w:ascii="Verdana" w:eastAsia="Calibri" w:hAnsi="Verdana" w:cs="Arial"/>
        </w:rPr>
      </w:pPr>
      <w:r w:rsidRPr="0096549B">
        <w:rPr>
          <w:rFonts w:ascii="Verdana" w:eastAsia="Calibri" w:hAnsi="Verdana" w:cs="Arial"/>
        </w:rPr>
        <w:t>Sin perjuicio de lo expuesto, fuera de los límites cuantitativos señalados en el parágrafo del artículo 40 de la Ley 80 de 1993 y de la cláusula excepcional de modificación de los contratos estatales, no existe un desarrollo legal o reglamentario sobre las reglas aplicables a la modificación del contrato estatales. Han sido los aportes de la jurisprudencia, de la función consultiva del Consejo de Estado, y de la doctrina comparada, los que han permitido estructurar los límites y requisitos de orden temporal, formal, material y axiológico para la modificación de un contrato estatal. Estos límites deben ser respetados por la entidad contratante a preservar los principios de origen legal como es el principio de planeación, de selección objetiva de libertad de concurrencia, de transparencia, de igualdad, entre otros, tal y como se explicará a continuación</w:t>
      </w:r>
      <w:r w:rsidRPr="0096549B">
        <w:rPr>
          <w:rFonts w:ascii="Verdana" w:eastAsia="Calibri" w:hAnsi="Verdana" w:cs="Arial"/>
          <w:vertAlign w:val="superscript"/>
        </w:rPr>
        <w:footnoteReference w:id="27"/>
      </w:r>
      <w:r w:rsidRPr="0096549B">
        <w:rPr>
          <w:rFonts w:ascii="Verdana" w:eastAsia="Calibri" w:hAnsi="Verdana" w:cs="Arial"/>
        </w:rPr>
        <w:t xml:space="preserve">. </w:t>
      </w:r>
    </w:p>
    <w:p w14:paraId="7A50F4F4" w14:textId="77777777" w:rsidR="00EB3B48" w:rsidRPr="00CB1564" w:rsidRDefault="00EB3B48" w:rsidP="00EB3B48">
      <w:pPr>
        <w:widowControl w:val="0"/>
        <w:autoSpaceDE w:val="0"/>
        <w:autoSpaceDN w:val="0"/>
        <w:spacing w:after="120" w:line="276" w:lineRule="auto"/>
        <w:ind w:firstLine="708"/>
        <w:jc w:val="both"/>
        <w:rPr>
          <w:rFonts w:ascii="Verdana" w:hAnsi="Verdana"/>
        </w:rPr>
      </w:pPr>
      <w:r w:rsidRPr="00CB1564">
        <w:rPr>
          <w:rFonts w:ascii="Verdana" w:hAnsi="Verdana"/>
        </w:rPr>
        <w:t xml:space="preserve">Dentro de los límites de orden temporal se comprenden dos restricciones fundamentales. Primero, la vigencia del contrato, en la medida en que resulta jurídicamente imposible modificar un contrato cuyo plazo ha expirado; una vez finalizado, el vínculo obligacional se extingue y la administración carece de competencia para introducir variaciones al contenido prestacional originalmente pactado. Segundo, la prohibición de establecer prórrogas automáticas, sucesivas </w:t>
      </w:r>
      <w:r w:rsidRPr="00CB1564">
        <w:rPr>
          <w:rFonts w:ascii="Verdana" w:hAnsi="Verdana"/>
        </w:rPr>
        <w:lastRenderedPageBreak/>
        <w:t>o indefinidas, por cuanto tales mecanismos desconocen el derecho esencial a la libertad de competencia y afectan la transparencia en la contratación estatal. La continuidad del contrato solo puede darse mediante decisiones expresas, motivadas y adoptadas dentro del término de ejecución, nunca por efectos automáticos que perpetúen la relación contractual sin un nuevo análisis de conveniencia y oportunidad.</w:t>
      </w:r>
    </w:p>
    <w:p w14:paraId="0ED23692" w14:textId="77777777" w:rsidR="00EB3B48" w:rsidRPr="009A3A0F" w:rsidRDefault="00EB3B48" w:rsidP="00EB3B48">
      <w:pPr>
        <w:widowControl w:val="0"/>
        <w:autoSpaceDE w:val="0"/>
        <w:autoSpaceDN w:val="0"/>
        <w:spacing w:after="0" w:line="276" w:lineRule="auto"/>
        <w:ind w:firstLine="709"/>
        <w:jc w:val="both"/>
        <w:rPr>
          <w:rFonts w:ascii="Verdana" w:eastAsia="Calibri" w:hAnsi="Verdana" w:cs="Arial"/>
          <w:b/>
          <w:i/>
        </w:rPr>
      </w:pPr>
      <w:r w:rsidRPr="009A3A0F">
        <w:rPr>
          <w:rFonts w:ascii="Verdana" w:eastAsia="Calibri" w:hAnsi="Verdana" w:cs="Arial"/>
        </w:rPr>
        <w:t xml:space="preserve">En torno a los límites de </w:t>
      </w:r>
      <w:r w:rsidRPr="009A3A0F">
        <w:rPr>
          <w:rFonts w:ascii="Verdana" w:eastAsia="Calibri" w:hAnsi="Verdana" w:cs="Arial"/>
          <w:i/>
        </w:rPr>
        <w:t>orden formal</w:t>
      </w:r>
      <w:r w:rsidRPr="009A3A0F">
        <w:rPr>
          <w:rFonts w:ascii="Verdana" w:eastAsia="Calibri" w:hAnsi="Verdana" w:cs="Arial"/>
        </w:rPr>
        <w:t xml:space="preserve">, debe señalarse que, por un lado, es necesario que, la </w:t>
      </w:r>
      <w:r w:rsidRPr="009A3A0F">
        <w:rPr>
          <w:rFonts w:ascii="Verdana" w:eastAsia="Calibri" w:hAnsi="Verdana" w:cs="Arial"/>
          <w:lang w:val="es-MX"/>
        </w:rPr>
        <w:t>modificación de los contratos conste por escrito, dado el carácter solemne del contrato estatal y que sea suscrito por el jefe o representante legal o su delegado, de conformidad con los artículos 11</w:t>
      </w:r>
      <w:r w:rsidRPr="009A3A0F">
        <w:rPr>
          <w:rFonts w:ascii="Verdana" w:eastAsia="Calibri" w:hAnsi="Verdana" w:cs="Arial"/>
          <w:vertAlign w:val="superscript"/>
          <w:lang w:val="es-MX"/>
        </w:rPr>
        <w:footnoteReference w:id="28"/>
      </w:r>
      <w:r w:rsidRPr="009A3A0F">
        <w:rPr>
          <w:rFonts w:ascii="Verdana" w:eastAsia="Calibri" w:hAnsi="Verdana" w:cs="Arial"/>
          <w:lang w:val="es-MX"/>
        </w:rPr>
        <w:t xml:space="preserve"> y 12 de la Ley 80 de 1993</w:t>
      </w:r>
      <w:r w:rsidRPr="009A3A0F">
        <w:rPr>
          <w:rFonts w:ascii="Verdana" w:eastAsia="Calibri" w:hAnsi="Verdana" w:cs="Arial"/>
          <w:vertAlign w:val="superscript"/>
          <w:lang w:val="es-MX"/>
        </w:rPr>
        <w:footnoteReference w:id="29"/>
      </w:r>
      <w:r w:rsidRPr="009A3A0F">
        <w:rPr>
          <w:rFonts w:ascii="Verdana" w:eastAsia="Calibri" w:hAnsi="Verdana" w:cs="Arial"/>
          <w:lang w:val="es-MX"/>
        </w:rPr>
        <w:t xml:space="preserve">, así como el deber de la existencia de las disponibilidades presupuestales para el cumplimiento de las obligaciones. Por otro lado, </w:t>
      </w:r>
      <w:r w:rsidRPr="009A3A0F">
        <w:rPr>
          <w:rFonts w:ascii="Verdana" w:eastAsia="Calibri" w:hAnsi="Verdana" w:cs="Arial"/>
        </w:rPr>
        <w:t>la entidad debe motivar y justificar la modificación. Al respecto el Consejo de Estado ha señalado:</w:t>
      </w:r>
    </w:p>
    <w:p w14:paraId="31843151" w14:textId="77777777" w:rsidR="00EB3B48" w:rsidRPr="00CD2603" w:rsidRDefault="00EB3B48" w:rsidP="00EB3B48">
      <w:pPr>
        <w:spacing w:after="0" w:line="276" w:lineRule="auto"/>
        <w:jc w:val="both"/>
        <w:rPr>
          <w:rFonts w:ascii="Verdana" w:hAnsi="Verdana"/>
          <w:i/>
        </w:rPr>
      </w:pPr>
    </w:p>
    <w:p w14:paraId="3764C5B2" w14:textId="77777777" w:rsidR="00EB3B48" w:rsidRPr="00CD2603" w:rsidRDefault="00EB3B48" w:rsidP="00EB3B48">
      <w:pPr>
        <w:spacing w:after="0" w:line="240" w:lineRule="auto"/>
        <w:ind w:left="709" w:right="709"/>
        <w:jc w:val="both"/>
        <w:rPr>
          <w:rFonts w:ascii="Verdana" w:hAnsi="Verdana"/>
          <w:sz w:val="20"/>
          <w:szCs w:val="20"/>
        </w:rPr>
      </w:pPr>
      <w:r w:rsidRPr="00CD2603">
        <w:rPr>
          <w:rFonts w:ascii="Verdana" w:hAnsi="Verdana"/>
          <w:sz w:val="20"/>
          <w:szCs w:val="20"/>
        </w:rPr>
        <w:t xml:space="preserve">“El expediente de contratación y la actuación administrativa inicial que comprende los estudios previos, el análisis de riesgos y el presupuesto oficial o estimativo de costos necesario para la modificación del contrato, deberán dar cuenta de las razones de interés público que hacen necesario afectar lo inicialmente pactado. Como regla general, las mismas razones del deber de planeación para el contrato inicial se imponen como requisito previo del contrato modificatorio. </w:t>
      </w:r>
    </w:p>
    <w:p w14:paraId="30010C44" w14:textId="77777777" w:rsidR="00EB3B48" w:rsidRPr="00CD2603" w:rsidRDefault="00EB3B48" w:rsidP="00EB3B48">
      <w:pPr>
        <w:spacing w:after="0" w:line="240" w:lineRule="auto"/>
        <w:ind w:left="709" w:right="709"/>
        <w:jc w:val="both"/>
        <w:rPr>
          <w:rFonts w:ascii="Verdana" w:hAnsi="Verdana"/>
          <w:sz w:val="20"/>
          <w:szCs w:val="20"/>
        </w:rPr>
      </w:pPr>
    </w:p>
    <w:p w14:paraId="334054EF" w14:textId="77777777" w:rsidR="00EB3B48" w:rsidRPr="00CD2603" w:rsidRDefault="00EB3B48" w:rsidP="00EB3B48">
      <w:pPr>
        <w:spacing w:after="0" w:line="240" w:lineRule="auto"/>
        <w:ind w:left="709" w:right="709"/>
        <w:jc w:val="both"/>
        <w:rPr>
          <w:rFonts w:ascii="Verdana" w:hAnsi="Verdana"/>
          <w:sz w:val="20"/>
          <w:szCs w:val="20"/>
        </w:rPr>
      </w:pPr>
      <w:r w:rsidRPr="00CD2603">
        <w:rPr>
          <w:rFonts w:ascii="Verdana" w:hAnsi="Verdana"/>
          <w:sz w:val="20"/>
          <w:szCs w:val="20"/>
        </w:rPr>
        <w:lastRenderedPageBreak/>
        <w:t>La motivación del contrato modificatorio resulta un elemento esencial que permita determinar su juridicidad, la justificación de su necesidad, su racionalidad y la proporcionalidad de su contenido, en especial cuando se alteran los aspectos técnicos y financieros iniciales. Se trata de un requisito indispensable para el control de legalidad del contrato o del acto de modificación.</w:t>
      </w:r>
    </w:p>
    <w:p w14:paraId="4607328F" w14:textId="77777777" w:rsidR="00EB3B48" w:rsidRPr="00CD2603" w:rsidRDefault="00EB3B48" w:rsidP="00EB3B48">
      <w:pPr>
        <w:spacing w:after="0" w:line="240" w:lineRule="auto"/>
        <w:ind w:left="709" w:right="709"/>
        <w:jc w:val="both"/>
        <w:rPr>
          <w:rFonts w:ascii="Verdana" w:hAnsi="Verdana"/>
          <w:sz w:val="20"/>
          <w:szCs w:val="20"/>
        </w:rPr>
      </w:pPr>
    </w:p>
    <w:p w14:paraId="1D2B7AB5" w14:textId="77777777" w:rsidR="00EB3B48" w:rsidRPr="00CD2603" w:rsidRDefault="00EB3B48" w:rsidP="00EB3B48">
      <w:pPr>
        <w:spacing w:after="0" w:line="240" w:lineRule="auto"/>
        <w:ind w:left="709" w:right="709"/>
        <w:jc w:val="both"/>
        <w:rPr>
          <w:rFonts w:ascii="Verdana" w:hAnsi="Verdana"/>
          <w:sz w:val="20"/>
          <w:szCs w:val="20"/>
        </w:rPr>
      </w:pPr>
      <w:r w:rsidRPr="00CD2603">
        <w:rPr>
          <w:rFonts w:ascii="Verdana" w:hAnsi="Verdana"/>
          <w:sz w:val="20"/>
          <w:szCs w:val="20"/>
        </w:rPr>
        <w:t>La modificación no es una facultad discrecional, cuyo ejercicio penda de criterios de mera conveniencia o de utilidad para la entidad estatal o para su contratista, ni puede servir como instrumento ilegal para mejorar o hacer más favorables las condiciones económicas del adjudicatario. A diferencia del contrato privado, solo procederá por necesidades de interés general que sustenten y justifiquen la legalidad de la modificación”</w:t>
      </w:r>
      <w:r w:rsidRPr="00CD2603">
        <w:rPr>
          <w:rStyle w:val="Refdenotaalpie"/>
          <w:rFonts w:ascii="Verdana" w:hAnsi="Verdana"/>
          <w:sz w:val="20"/>
          <w:szCs w:val="20"/>
        </w:rPr>
        <w:footnoteReference w:id="30"/>
      </w:r>
      <w:r w:rsidRPr="00CD2603">
        <w:rPr>
          <w:rFonts w:ascii="Verdana" w:hAnsi="Verdana"/>
          <w:sz w:val="20"/>
          <w:szCs w:val="20"/>
        </w:rPr>
        <w:t>.</w:t>
      </w:r>
    </w:p>
    <w:bookmarkEnd w:id="4"/>
    <w:p w14:paraId="280F34AB" w14:textId="77777777" w:rsidR="00EB3B48" w:rsidRDefault="00EB3B48" w:rsidP="00EB3B48">
      <w:pPr>
        <w:widowControl w:val="0"/>
        <w:autoSpaceDE w:val="0"/>
        <w:autoSpaceDN w:val="0"/>
        <w:spacing w:after="0" w:line="276" w:lineRule="auto"/>
        <w:jc w:val="both"/>
        <w:rPr>
          <w:rFonts w:ascii="Verdana" w:eastAsia="Calibri" w:hAnsi="Verdana" w:cs="Arial"/>
        </w:rPr>
      </w:pPr>
    </w:p>
    <w:p w14:paraId="6A643F76" w14:textId="77777777" w:rsidR="00EB3B48" w:rsidRPr="00CD2603" w:rsidRDefault="00EB3B48" w:rsidP="00EB3B48">
      <w:pPr>
        <w:widowControl w:val="0"/>
        <w:autoSpaceDE w:val="0"/>
        <w:autoSpaceDN w:val="0"/>
        <w:spacing w:after="120" w:line="276" w:lineRule="auto"/>
        <w:ind w:firstLine="708"/>
        <w:jc w:val="both"/>
        <w:rPr>
          <w:rFonts w:ascii="Verdana" w:eastAsia="Arial" w:hAnsi="Verdana" w:cs="Arial"/>
          <w:i/>
          <w:lang w:val="es-MX" w:eastAsia="es-ES" w:bidi="es-ES"/>
        </w:rPr>
      </w:pPr>
      <w:r w:rsidRPr="00CD2603">
        <w:rPr>
          <w:rFonts w:ascii="Verdana" w:eastAsia="Calibri" w:hAnsi="Verdana" w:cs="Arial"/>
        </w:rPr>
        <w:t xml:space="preserve">Los límites materiales </w:t>
      </w:r>
      <w:r w:rsidRPr="00CD2603">
        <w:rPr>
          <w:rFonts w:ascii="Verdana" w:eastAsia="Arial" w:hAnsi="Verdana" w:cs="Arial"/>
          <w:lang w:val="es-MX" w:eastAsia="es-ES" w:bidi="es-ES"/>
        </w:rPr>
        <w:t xml:space="preserve">corresponden a la prohibición de modificar las condiciones sustanciales del contrato, que se presentará en los casos en que se incluyan elementos que, </w:t>
      </w:r>
      <w:r w:rsidRPr="00CD2603">
        <w:rPr>
          <w:rFonts w:ascii="Verdana" w:eastAsia="Arial" w:hAnsi="Verdana" w:cs="Arial"/>
          <w:i/>
          <w:lang w:val="es-MX" w:eastAsia="es-ES" w:bidi="es-ES"/>
        </w:rPr>
        <w:t>“habiendo figurado en el procedimiento inicial, hubiera permitido la participación de otros interesados aparte de los inicialmente admitidos, o seleccionar una oferta distinta de la inicialmente seleccionada”</w:t>
      </w:r>
      <w:r w:rsidRPr="00CD2603">
        <w:rPr>
          <w:rStyle w:val="Refdenotaalpie"/>
          <w:rFonts w:ascii="Verdana" w:eastAsia="Arial" w:hAnsi="Verdana" w:cs="Arial"/>
          <w:i/>
          <w:lang w:val="es-MX" w:eastAsia="es-ES" w:bidi="es-ES"/>
        </w:rPr>
        <w:footnoteReference w:id="31"/>
      </w:r>
      <w:r w:rsidRPr="00CD2603">
        <w:rPr>
          <w:rFonts w:ascii="Verdana" w:eastAsia="Arial" w:hAnsi="Verdana" w:cs="Arial"/>
          <w:i/>
          <w:lang w:val="es-MX" w:eastAsia="es-ES" w:bidi="es-ES"/>
        </w:rPr>
        <w:t xml:space="preserve">. </w:t>
      </w:r>
    </w:p>
    <w:p w14:paraId="22E38CAD" w14:textId="77777777" w:rsidR="00EB3B48" w:rsidRPr="00CD2603" w:rsidRDefault="00EB3B48" w:rsidP="00EB3B48">
      <w:pPr>
        <w:widowControl w:val="0"/>
        <w:autoSpaceDE w:val="0"/>
        <w:autoSpaceDN w:val="0"/>
        <w:spacing w:after="120" w:line="276" w:lineRule="auto"/>
        <w:ind w:firstLine="708"/>
        <w:jc w:val="both"/>
        <w:rPr>
          <w:rFonts w:ascii="Verdana" w:eastAsia="Calibri" w:hAnsi="Verdana" w:cs="Arial"/>
        </w:rPr>
      </w:pPr>
      <w:r w:rsidRPr="00CD2603">
        <w:rPr>
          <w:rFonts w:ascii="Verdana" w:eastAsia="Arial" w:hAnsi="Verdana" w:cs="Arial"/>
          <w:lang w:val="es-MX" w:eastAsia="es-ES" w:bidi="es-ES"/>
        </w:rPr>
        <w:t xml:space="preserve">Finalmente, se encuentran los límites axiológicos, los cuales atienen a la necesidad de preservar los principios de igualdad, transparencia, libertad de concurrencia, selección objetiva y planeación. </w:t>
      </w:r>
      <w:r w:rsidRPr="00CD2603">
        <w:rPr>
          <w:rFonts w:ascii="Verdana" w:eastAsia="Calibri" w:hAnsi="Verdana" w:cs="Arial"/>
          <w:lang w:eastAsia="es-ES_tradnl"/>
        </w:rPr>
        <w:t>Lo anterior, con la finalidad de realizar la escogencia diligente de la mejor oferta, para beneficiar los intereses y fines públicos inmersos en la contratación de las Entidades Estatales. Así las cosas, l</w:t>
      </w:r>
      <w:r w:rsidRPr="00CD2603">
        <w:rPr>
          <w:rFonts w:ascii="Verdana" w:eastAsia="Calibri" w:hAnsi="Verdana" w:cs="Arial"/>
        </w:rPr>
        <w:t xml:space="preserve">a concepción de mayores cantidades de obra, como expresión del contrato original sin valor determinado, aunque determinable, no puede dar lugar a una ampliación ilimitada de estos contratos, pues no se encuentran exentos de la aplicación de los principios de la contratación estatal. </w:t>
      </w:r>
    </w:p>
    <w:p w14:paraId="0E989787" w14:textId="77777777" w:rsidR="00EB3B48" w:rsidRPr="00CD2603" w:rsidRDefault="00EB3B48" w:rsidP="00EB3B48">
      <w:pPr>
        <w:widowControl w:val="0"/>
        <w:autoSpaceDE w:val="0"/>
        <w:autoSpaceDN w:val="0"/>
        <w:spacing w:after="120" w:line="276" w:lineRule="auto"/>
        <w:ind w:firstLine="708"/>
        <w:jc w:val="both"/>
        <w:rPr>
          <w:rFonts w:ascii="Verdana" w:eastAsia="Calibri" w:hAnsi="Verdana" w:cs="Arial"/>
          <w:lang w:val="es-MX" w:eastAsia="es-ES_tradnl"/>
        </w:rPr>
      </w:pPr>
      <w:r w:rsidRPr="00CD2603">
        <w:rPr>
          <w:rFonts w:ascii="Verdana" w:eastAsia="Arial" w:hAnsi="Verdana" w:cs="Arial"/>
          <w:lang w:val="es-MX" w:eastAsia="es-ES" w:bidi="es-ES"/>
        </w:rPr>
        <w:t>Este límite encuentra sustento en el hecho de que, para celebrar contratos estatales las Entidades Públicas eligen, dentro de un “régimen de concurrencia y de igualdad, las mejores condiciones de costo, calidad e idoneidad de la prestación requerida</w:t>
      </w:r>
      <w:r w:rsidRPr="00CD2603">
        <w:rPr>
          <w:rFonts w:ascii="Verdana" w:eastAsia="Arial" w:hAnsi="Verdana" w:cs="Arial"/>
          <w:lang w:val="es-ES_tradnl" w:eastAsia="es-ES" w:bidi="es-ES"/>
        </w:rPr>
        <w:t>”</w:t>
      </w:r>
      <w:r w:rsidRPr="00CD2603">
        <w:rPr>
          <w:rFonts w:ascii="Verdana" w:eastAsia="Arial" w:hAnsi="Verdana" w:cs="Arial"/>
          <w:lang w:val="es-MX" w:eastAsia="es-ES" w:bidi="es-ES"/>
        </w:rPr>
        <w:t xml:space="preserve">. Esto supone que la selección objetiva de la oferta más favorable se dirige a salvaguardar el interés público y, por lo tanto, celebrado el contrato en esas condiciones, su eventual modificación debe asegurar que lo adjudicado, y posteriormente alterado, consulte la mejor opción para el servicio </w:t>
      </w:r>
      <w:r w:rsidRPr="00CD2603">
        <w:rPr>
          <w:rFonts w:ascii="Verdana" w:eastAsia="Arial" w:hAnsi="Verdana" w:cs="Arial"/>
          <w:lang w:val="es-MX" w:eastAsia="es-ES" w:bidi="es-ES"/>
        </w:rPr>
        <w:lastRenderedPageBreak/>
        <w:t>público.</w:t>
      </w:r>
      <w:r w:rsidRPr="00CD2603">
        <w:rPr>
          <w:rFonts w:ascii="Verdana" w:eastAsia="Calibri" w:hAnsi="Verdana" w:cs="Arial"/>
          <w:lang w:val="es-MX" w:eastAsia="es-ES_tradnl"/>
        </w:rPr>
        <w:t xml:space="preserve"> </w:t>
      </w:r>
    </w:p>
    <w:p w14:paraId="0EF9BEE2" w14:textId="77777777" w:rsidR="00EB3B48" w:rsidRPr="00CD2603" w:rsidRDefault="00EB3B48" w:rsidP="00EB3B48">
      <w:pPr>
        <w:widowControl w:val="0"/>
        <w:autoSpaceDE w:val="0"/>
        <w:autoSpaceDN w:val="0"/>
        <w:spacing w:after="120" w:line="276" w:lineRule="auto"/>
        <w:ind w:firstLine="708"/>
        <w:jc w:val="both"/>
        <w:rPr>
          <w:rFonts w:ascii="Verdana" w:eastAsia="Calibri" w:hAnsi="Verdana" w:cs="Arial"/>
          <w:bCs/>
          <w:lang w:val="es-MX" w:eastAsia="es-ES_tradnl"/>
        </w:rPr>
      </w:pPr>
      <w:r w:rsidRPr="00CD2603">
        <w:rPr>
          <w:rFonts w:ascii="Verdana" w:eastAsia="Calibri" w:hAnsi="Verdana" w:cs="Arial"/>
          <w:lang w:val="es-MX" w:eastAsia="es-ES_tradnl"/>
        </w:rPr>
        <w:t>E</w:t>
      </w:r>
      <w:r w:rsidRPr="00CD2603">
        <w:rPr>
          <w:rFonts w:ascii="Verdana" w:eastAsia="Arial" w:hAnsi="Verdana" w:cs="Arial"/>
          <w:lang w:val="es-MX" w:eastAsia="es-ES" w:bidi="es-ES"/>
        </w:rPr>
        <w:t>n virtud de la aplicación de los principios de transparencia, libertad de concurrencia e igualdad, consagrados en el EGCAP, y las reglas sustanciales del Pliego de Condiciones, que permitieron elegir la mejor oferta, previo cumplimiento de unos requisitos con base en los cuales la oferta del contratista fue considerada la más favorable, estos deben ser de estricta observancia y deben mantenerse durante la ejecución del contrato y en su liquidación, como garantía de inalterabilidad de lo pactado y de acatamiento a la legalidad de las reglas aplicadas en la actuación previa</w:t>
      </w:r>
      <w:r w:rsidRPr="00CD2603">
        <w:rPr>
          <w:rFonts w:ascii="Verdana" w:eastAsia="Arial" w:hAnsi="Verdana" w:cs="Arial"/>
          <w:lang w:val="es-ES_tradnl" w:eastAsia="es-ES" w:bidi="es-ES"/>
        </w:rPr>
        <w:t>.</w:t>
      </w:r>
      <w:r w:rsidRPr="00CD2603">
        <w:rPr>
          <w:rFonts w:ascii="Verdana" w:eastAsia="Calibri" w:hAnsi="Verdana" w:cs="Arial"/>
          <w:bCs/>
          <w:lang w:eastAsia="es-ES_tradnl"/>
        </w:rPr>
        <w:t xml:space="preserve"> </w:t>
      </w:r>
    </w:p>
    <w:p w14:paraId="1E1C975B" w14:textId="77777777" w:rsidR="00EB3B48" w:rsidRPr="00CD2603" w:rsidRDefault="00EB3B48" w:rsidP="00EB3B48">
      <w:pPr>
        <w:widowControl w:val="0"/>
        <w:tabs>
          <w:tab w:val="left" w:pos="709"/>
        </w:tabs>
        <w:autoSpaceDE w:val="0"/>
        <w:autoSpaceDN w:val="0"/>
        <w:spacing w:after="120" w:line="276" w:lineRule="auto"/>
        <w:jc w:val="both"/>
        <w:rPr>
          <w:rFonts w:ascii="Verdana" w:eastAsia="Calibri" w:hAnsi="Verdana" w:cs="Arial"/>
          <w:lang w:eastAsia="es-ES_tradnl"/>
        </w:rPr>
      </w:pPr>
      <w:r w:rsidRPr="00CD2603">
        <w:rPr>
          <w:rFonts w:ascii="Verdana" w:eastAsia="Calibri" w:hAnsi="Verdana" w:cs="Arial"/>
          <w:bCs/>
          <w:lang w:eastAsia="es-ES_tradnl"/>
        </w:rPr>
        <w:tab/>
      </w:r>
      <w:r w:rsidRPr="00CD2603">
        <w:rPr>
          <w:rFonts w:ascii="Verdana" w:eastAsia="Calibri" w:hAnsi="Verdana" w:cs="Arial"/>
          <w:lang w:eastAsia="es-ES_tradnl"/>
        </w:rPr>
        <w:t>Sumado a lo anterior, la posibilidad de ejecutar por encima del valor inicialmente estimado un contrato estructurado en el marco del sistema precios unitarios no puede usarse para inaplicar o desconocer la modalidad de selección aplicable al caso, de acuerdo con la cuantía del Proceso de Contratación, con miras a garantizar la transparencia, la selección objetiva y el principio de planeación en la actividad contractual.</w:t>
      </w:r>
    </w:p>
    <w:p w14:paraId="49E73AD3" w14:textId="77777777" w:rsidR="00EB3B48" w:rsidRPr="00CD2603" w:rsidRDefault="00EB3B48" w:rsidP="00EB3B48">
      <w:pPr>
        <w:widowControl w:val="0"/>
        <w:autoSpaceDE w:val="0"/>
        <w:autoSpaceDN w:val="0"/>
        <w:spacing w:after="120" w:line="276" w:lineRule="auto"/>
        <w:ind w:firstLine="708"/>
        <w:jc w:val="both"/>
        <w:rPr>
          <w:rFonts w:ascii="Verdana" w:hAnsi="Verdana"/>
        </w:rPr>
      </w:pPr>
      <w:r w:rsidRPr="00CD2603">
        <w:rPr>
          <w:rFonts w:ascii="Verdana" w:eastAsia="Calibri" w:hAnsi="Verdana" w:cs="Arial"/>
        </w:rPr>
        <w:t xml:space="preserve">Lo anterior además considerando que, si bien en los contratos pactados en la </w:t>
      </w:r>
      <w:r w:rsidRPr="00CD2603">
        <w:rPr>
          <w:rFonts w:ascii="Verdana" w:hAnsi="Verdana"/>
        </w:rPr>
        <w:t xml:space="preserve">modalidad de precios unitarios el valor inicial es estimativo, mientras que el valor real es el que resulta una vez se ha terminado la ejecución del contrato, lo cierto es que el valor estimado debe obedecer a estudios previos que determinen de la manera más exacta posible las cantidades de obra. Esto además es el presupuesto sobre el cual la Entidad Estatal contratante genera las apropiaciones presupuestales para ejecutar el contrato. </w:t>
      </w:r>
    </w:p>
    <w:p w14:paraId="46C89668" w14:textId="77777777" w:rsidR="00EB3B48" w:rsidRPr="00CD2603" w:rsidRDefault="00EB3B48" w:rsidP="00EB3B48">
      <w:pPr>
        <w:widowControl w:val="0"/>
        <w:autoSpaceDE w:val="0"/>
        <w:autoSpaceDN w:val="0"/>
        <w:spacing w:after="120" w:line="276" w:lineRule="auto"/>
        <w:ind w:firstLine="708"/>
        <w:jc w:val="both"/>
        <w:rPr>
          <w:rFonts w:ascii="Verdana" w:hAnsi="Verdana"/>
        </w:rPr>
      </w:pPr>
      <w:r w:rsidRPr="00CD2603">
        <w:rPr>
          <w:rFonts w:ascii="Verdana" w:hAnsi="Verdana"/>
        </w:rPr>
        <w:t>En consideración a lo anterior, y en atención a los principios que rigen la contratación estatal, estima esta Subdirección que no pueden pactarse cantidades de obra de manera indeterminadas sin fijar las reglas claras para determinarlas. Además, las variaciones del valor estimado respecto del valor final deben ser mínimas.</w:t>
      </w:r>
      <w:r w:rsidRPr="00CD2603">
        <w:rPr>
          <w:rFonts w:ascii="Verdana" w:eastAsia="Calibri" w:hAnsi="Verdana" w:cs="Arial"/>
        </w:rPr>
        <w:t xml:space="preserve"> Al respecto, l</w:t>
      </w:r>
      <w:r w:rsidRPr="00CD2603">
        <w:rPr>
          <w:rFonts w:ascii="Verdana" w:hAnsi="Verdana"/>
        </w:rPr>
        <w:t>a doctrina ha señalado respecto a los contratos de obra a precios unitarios que, el número de unidades debe estar dentro de ciertos límites, porque de lo contrario el contrato quedaría de valor indeterminado</w:t>
      </w:r>
      <w:r w:rsidRPr="00CD2603">
        <w:rPr>
          <w:rStyle w:val="Refdenotaalpie"/>
          <w:rFonts w:ascii="Verdana" w:hAnsi="Verdana"/>
        </w:rPr>
        <w:footnoteReference w:id="32"/>
      </w:r>
      <w:r w:rsidRPr="00CD2603">
        <w:rPr>
          <w:rFonts w:ascii="Verdana" w:hAnsi="Verdana"/>
        </w:rPr>
        <w:t xml:space="preserve">. En el mismo sentido, el Consejo de Estado ha señalado que, el hecho de no fijar reglas claras dentro del contrato estatal que permitan de forma cierta y concreta definir el valor final del contrato, violaría el deber de planeación </w:t>
      </w:r>
      <w:r w:rsidRPr="00CD2603">
        <w:rPr>
          <w:rFonts w:ascii="Verdana" w:hAnsi="Verdana"/>
        </w:rPr>
        <w:lastRenderedPageBreak/>
        <w:t>y los principios de la contratación administrativa de transparencia, selección objetiva, igualdad, imparcialidad, economía, libre concurrencia, pues se estaría permitiendo el aumento del valor inicial del contrato sin criterios objetivos. Además, se transgrediría la obligación legal de tener estudios previos definidos, claros y objetivos</w:t>
      </w:r>
      <w:r w:rsidRPr="00CD2603">
        <w:rPr>
          <w:rStyle w:val="Refdenotaalpie"/>
          <w:rFonts w:ascii="Verdana" w:hAnsi="Verdana"/>
        </w:rPr>
        <w:footnoteReference w:id="33"/>
      </w:r>
      <w:r w:rsidRPr="00CD2603">
        <w:rPr>
          <w:rFonts w:ascii="Verdana" w:hAnsi="Verdana"/>
        </w:rPr>
        <w:t>.</w:t>
      </w:r>
    </w:p>
    <w:p w14:paraId="183EE0E3" w14:textId="77777777" w:rsidR="00EB3B48" w:rsidRPr="00CD2603" w:rsidRDefault="00EB3B48" w:rsidP="00EB3B48">
      <w:pPr>
        <w:widowControl w:val="0"/>
        <w:autoSpaceDE w:val="0"/>
        <w:autoSpaceDN w:val="0"/>
        <w:spacing w:after="120" w:line="276" w:lineRule="auto"/>
        <w:ind w:firstLine="708"/>
        <w:jc w:val="both"/>
        <w:rPr>
          <w:rFonts w:ascii="Verdana" w:hAnsi="Verdana"/>
        </w:rPr>
      </w:pPr>
      <w:r w:rsidRPr="00CD2603">
        <w:rPr>
          <w:rFonts w:ascii="Verdana" w:eastAsia="Calibri" w:hAnsi="Verdana" w:cs="Arial"/>
        </w:rPr>
        <w:t>Por consiguiente, pese a la posibilidad de que se varíen de las cantidades de obra, los contratos a precios unitarios tienen un valor inicial que obedece a la estructuración y planificación que los procede</w:t>
      </w:r>
      <w:r w:rsidRPr="00CD2603">
        <w:rPr>
          <w:rStyle w:val="Refdenotaalpie"/>
          <w:rFonts w:ascii="Verdana" w:eastAsia="Calibri" w:hAnsi="Verdana" w:cs="Arial"/>
        </w:rPr>
        <w:footnoteReference w:id="34"/>
      </w:r>
      <w:r w:rsidRPr="00CD2603">
        <w:rPr>
          <w:rFonts w:ascii="Verdana" w:eastAsia="Calibri" w:hAnsi="Verdana" w:cs="Arial"/>
        </w:rPr>
        <w:t>. En ese sentido, aun cuando el Consejo de Estado ha considerado la posibilidad de ejecutar incluso en valores mayores al cincuenta por ciento (50%) en el sistema de precios unitarios, lo cierto es que, situaciones en las que se ejecuta de manera desproporcionada el valor inicial de un contrato estatal, pueden ser sintomáticas de falencias en la planeación del contrato.</w:t>
      </w:r>
    </w:p>
    <w:p w14:paraId="3F46146B" w14:textId="77777777" w:rsidR="00EB3B48" w:rsidRPr="00CD2603" w:rsidRDefault="00EB3B48" w:rsidP="00EB3B48">
      <w:pPr>
        <w:widowControl w:val="0"/>
        <w:autoSpaceDE w:val="0"/>
        <w:autoSpaceDN w:val="0"/>
        <w:spacing w:after="120" w:line="276" w:lineRule="auto"/>
        <w:ind w:firstLine="708"/>
        <w:jc w:val="both"/>
        <w:rPr>
          <w:rFonts w:ascii="Verdana" w:eastAsia="Calibri" w:hAnsi="Verdana" w:cs="Arial"/>
        </w:rPr>
      </w:pPr>
      <w:r w:rsidRPr="00CD2603">
        <w:rPr>
          <w:rFonts w:ascii="Verdana" w:eastAsia="Calibri" w:hAnsi="Verdana" w:cs="Arial"/>
        </w:rPr>
        <w:t xml:space="preserve"> El principio de planeación exige a las entidades </w:t>
      </w:r>
      <w:r w:rsidRPr="00CD2603">
        <w:rPr>
          <w:rFonts w:ascii="Verdana" w:eastAsia="Calibri" w:hAnsi="Verdana" w:cs="Arial"/>
          <w:lang w:eastAsia="es-ES_tradnl"/>
        </w:rPr>
        <w:t xml:space="preserve">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w:t>
      </w:r>
      <w:r w:rsidRPr="00CD2603">
        <w:rPr>
          <w:rFonts w:ascii="Verdana" w:eastAsia="Calibri" w:hAnsi="Verdana" w:cs="Arial"/>
          <w:i/>
          <w:lang w:eastAsia="es-ES_tradnl"/>
        </w:rPr>
        <w:t>precios</w:t>
      </w:r>
      <w:r w:rsidRPr="00CD2603">
        <w:rPr>
          <w:rFonts w:ascii="Verdana" w:eastAsia="Calibri" w:hAnsi="Verdana" w:cs="Arial"/>
          <w:lang w:eastAsia="es-ES_tradnl"/>
        </w:rPr>
        <w:t>, costos, riesgos, garantías, disponibilidad, oferentes, e</w:t>
      </w:r>
      <w:r>
        <w:rPr>
          <w:rFonts w:ascii="Verdana" w:eastAsia="Calibri" w:hAnsi="Verdana" w:cs="Arial"/>
          <w:lang w:eastAsia="es-ES_tradnl"/>
        </w:rPr>
        <w:t>ntre otros</w:t>
      </w:r>
      <w:r w:rsidRPr="00CD2603">
        <w:rPr>
          <w:rFonts w:ascii="Verdana" w:eastAsia="Calibri" w:hAnsi="Verdana" w:cs="Arial"/>
          <w:lang w:eastAsia="es-ES_tradnl"/>
        </w:rPr>
        <w:t xml:space="preserve">. </w:t>
      </w:r>
      <w:r w:rsidRPr="00CD2603">
        <w:rPr>
          <w:rFonts w:ascii="Verdana" w:eastAsia="Calibri" w:hAnsi="Verdana" w:cs="Arial"/>
        </w:rPr>
        <w:t xml:space="preserve"> La planeación del contrato estatal se configura como un presupuesto esencial, según el cual la selección de contratistas, la celebración de contratos, la ejecución y liquidación de los mismos no pueden ser, de ninguna manera, producto de la improvisación</w:t>
      </w:r>
      <w:r w:rsidRPr="00CD2603">
        <w:rPr>
          <w:rStyle w:val="Refdenotaalpie"/>
          <w:rFonts w:ascii="Verdana" w:eastAsia="Calibri" w:hAnsi="Verdana" w:cs="Arial"/>
        </w:rPr>
        <w:footnoteReference w:id="35"/>
      </w:r>
      <w:r w:rsidRPr="00CD2603">
        <w:rPr>
          <w:rFonts w:ascii="Verdana" w:eastAsia="Calibri" w:hAnsi="Verdana" w:cs="Arial"/>
        </w:rPr>
        <w:t>. En consecuencia, debe hacerse un plan detallado de lo que se quiere contratar y de los medios técnicos y económicos con los que se cuenta para alcanzarlo, para con base en ello realizar un procedimiento legalmente idóneo a fin de escoger al particular o Entidad Pública que colaborara en la consecución de la obra, bien o servicio determinado, realizar las previsiones técnicas, legales y económicas a que haya lugar para afrontar las contingencias previsibles que puedan afectar el desarrollo del contrato, y contar con elementos en lo posible suficientes para actuar ante situaciones inesperadas.</w:t>
      </w:r>
    </w:p>
    <w:p w14:paraId="7E8A304C" w14:textId="77777777" w:rsidR="00EB3B48" w:rsidRPr="00CD2603" w:rsidRDefault="00EB3B48" w:rsidP="00EB3B48">
      <w:pPr>
        <w:widowControl w:val="0"/>
        <w:autoSpaceDE w:val="0"/>
        <w:autoSpaceDN w:val="0"/>
        <w:spacing w:after="120" w:line="276" w:lineRule="auto"/>
        <w:ind w:firstLine="708"/>
        <w:jc w:val="both"/>
        <w:rPr>
          <w:rFonts w:ascii="Verdana" w:eastAsia="Calibri" w:hAnsi="Verdana" w:cs="Arial"/>
        </w:rPr>
      </w:pPr>
      <w:r w:rsidRPr="00CD2603">
        <w:rPr>
          <w:rFonts w:ascii="Verdana" w:eastAsia="Calibri" w:hAnsi="Verdana" w:cs="Arial"/>
        </w:rPr>
        <w:lastRenderedPageBreak/>
        <w:t>Por otro lado, también es importante señalar que la planeación, como herramienta para la gestión contractual pública, implica que todo proyecto que pretenda adelantar las Entidades Estatales esté precedido de estudios encaminados a determinar su viabilidad económica, con ello se pretende dar racionalidad del gasto público, en concordancia con las necesidades públicas en un momento determinado, razón por la cual, previo a la ejecución del contrato, la Administración debe realizar los estudios del valor aproximado, de acuerdo con la fluctuación y estado del mercado</w:t>
      </w:r>
      <w:r w:rsidRPr="00CD2603">
        <w:rPr>
          <w:rStyle w:val="Refdenotaalpie"/>
          <w:rFonts w:ascii="Verdana" w:eastAsia="Calibri" w:hAnsi="Verdana" w:cs="Arial"/>
        </w:rPr>
        <w:footnoteReference w:id="36"/>
      </w:r>
      <w:r w:rsidRPr="00CD2603">
        <w:rPr>
          <w:rFonts w:ascii="Verdana" w:eastAsia="Calibri" w:hAnsi="Verdana" w:cs="Arial"/>
        </w:rPr>
        <w:t xml:space="preserve">.  </w:t>
      </w:r>
    </w:p>
    <w:p w14:paraId="166BD53D" w14:textId="77777777" w:rsidR="00EB3B48" w:rsidRPr="00CD2603" w:rsidRDefault="00EB3B48" w:rsidP="00EB3B48">
      <w:pPr>
        <w:widowControl w:val="0"/>
        <w:autoSpaceDE w:val="0"/>
        <w:autoSpaceDN w:val="0"/>
        <w:spacing w:after="120" w:line="276" w:lineRule="auto"/>
        <w:ind w:firstLine="708"/>
        <w:jc w:val="both"/>
        <w:rPr>
          <w:rFonts w:ascii="Verdana" w:eastAsia="Calibri" w:hAnsi="Verdana" w:cs="Arial"/>
        </w:rPr>
      </w:pPr>
      <w:r w:rsidRPr="0063393D">
        <w:rPr>
          <w:rFonts w:ascii="Verdana" w:eastAsia="Calibri" w:hAnsi="Verdana" w:cs="Arial"/>
        </w:rPr>
        <w:t xml:space="preserve">Ahora bien, la orientación de la ejecución contractual en función del objeto y no del presupuesto estimado debe armonizarse, en todo caso, con el principio de legalidad del gasto público. Conforme al artículo 71 del Decreto 111 de 1996 —Estatuto Orgánico del Presupuesto—, todos los actos administrativos que afecten las apropiaciones presupuestales deberán contar con certificados de disponibilidad previos que garanticen la existencia de apropiación suficiente para atender los gastos, y, así mismo, ningún compromiso podrá adquirirse con cargo al presupuesto sin el correspondiente registro presupuestal que perfeccione la afectación de los recursos. De este mandato se desprende que, si bien en los contratos a precios unitarios el valor inicial es indicativo y la ejecución se rige por el objeto y alcance pactados, la entidad estatal no puede autorizar la ejecución de mayores cantidades de obra que carezcan de respaldo presupuestal, ni el contratista ejecutarlas válidamente bajo esa carencia, pues ello comprometería la legalidad del gasto y los principios de la gestión fiscal consagrados en el artículo 267 de la Constitución Política. En consecuencia, cuando durante la ejecución se advierta que las cantidades estimadas resultarán insuficientes para desarrollar integralmente el objeto contratado, corresponde a la interventoría o supervisión —en ejercicio de sus funciones de seguimiento y control previstas en los artículos 83 y 84 de la Ley 1474 de 2011— informar oportunamente a las partes, antes del agotamiento de las cantidades inicialmente previstas, con el fin de que la entidad adelante con la debida antelación las gestiones presupuestales necesarias para amparar la ejecución de las cantidades faltantes. De esta manera se concilian el deber de ejecutar integralmente el objeto contractual, la naturaleza indicativa del valor en el sistema de precios unitarios y la imposibilidad jurídica de asumir obligaciones sin la disponibilidad y el compromiso presupuestal previos, evitando tanto la </w:t>
      </w:r>
      <w:r w:rsidRPr="0063393D">
        <w:rPr>
          <w:rFonts w:ascii="Verdana" w:eastAsia="Calibri" w:hAnsi="Verdana" w:cs="Arial"/>
        </w:rPr>
        <w:lastRenderedPageBreak/>
        <w:t>ejecución de prestaciones sin respaldo presupuestal como la interrupción injustificada de la ejecución por el simple agotamiento del estimativo inicial.</w:t>
      </w:r>
    </w:p>
    <w:p w14:paraId="41E041ED" w14:textId="77777777" w:rsidR="00EB3B48" w:rsidRPr="00CD2603" w:rsidRDefault="00EB3B48" w:rsidP="00EB3B48">
      <w:pPr>
        <w:widowControl w:val="0"/>
        <w:autoSpaceDE w:val="0"/>
        <w:autoSpaceDN w:val="0"/>
        <w:spacing w:after="120" w:line="276" w:lineRule="auto"/>
        <w:ind w:firstLine="708"/>
        <w:jc w:val="both"/>
        <w:rPr>
          <w:rFonts w:ascii="Verdana" w:eastAsia="Calibri" w:hAnsi="Verdana" w:cs="Arial"/>
        </w:rPr>
      </w:pPr>
      <w:r w:rsidRPr="00CD2603">
        <w:rPr>
          <w:rFonts w:ascii="Verdana" w:eastAsia="Calibri" w:hAnsi="Verdana" w:cs="Arial"/>
        </w:rPr>
        <w:t>Las omisiones o errores que cometan las Entidades Públicas en esta etapa podrán verse reflejadas en la ejecución del contrato, provocando incluso la nulidad absoluta del mismo o la necesidad de ajustar el contrato a la realidad del bien, obra o servicio, contratada, el reconocimiento de mayores costos en los eventos en los que haya lugar y, en el caso más extremo,</w:t>
      </w:r>
      <w:r>
        <w:rPr>
          <w:rFonts w:ascii="Verdana" w:eastAsia="Calibri" w:hAnsi="Verdana" w:cs="Arial"/>
        </w:rPr>
        <w:t xml:space="preserve"> detrimentos patrimoniales y en</w:t>
      </w:r>
      <w:r w:rsidRPr="00CD2603">
        <w:rPr>
          <w:rFonts w:ascii="Verdana" w:eastAsia="Calibri" w:hAnsi="Verdana" w:cs="Arial"/>
        </w:rPr>
        <w:t xml:space="preserve"> el rompimiento del equilibrio económico. Así mismo, las omisiones o errores pueden conllevar a un detrimento patrimonial, que incluso implique la responsabilidad fiscal del funcionario. Conforme a lo expuesto, es posible extraer los siguientes lineamientos orientadores para determinar si es o no procedente modificar un contrato y los límites que se deben respetar: </w:t>
      </w:r>
    </w:p>
    <w:p w14:paraId="534E06D9" w14:textId="77777777" w:rsidR="00EB3B48" w:rsidRPr="00CD2603" w:rsidRDefault="00EB3B48" w:rsidP="00EB3B48">
      <w:pPr>
        <w:widowControl w:val="0"/>
        <w:autoSpaceDE w:val="0"/>
        <w:autoSpaceDN w:val="0"/>
        <w:spacing w:after="120" w:line="276" w:lineRule="auto"/>
        <w:ind w:firstLine="708"/>
        <w:jc w:val="both"/>
        <w:rPr>
          <w:rFonts w:ascii="Verdana" w:hAnsi="Verdana"/>
        </w:rPr>
      </w:pPr>
      <w:r>
        <w:rPr>
          <w:rFonts w:ascii="Verdana" w:hAnsi="Verdana"/>
          <w:i/>
        </w:rPr>
        <w:t>a</w:t>
      </w:r>
      <w:r w:rsidRPr="00CD2603">
        <w:rPr>
          <w:rFonts w:ascii="Verdana" w:hAnsi="Verdana"/>
          <w:i/>
        </w:rPr>
        <w:t>)</w:t>
      </w:r>
      <w:r w:rsidRPr="00CD2603">
        <w:rPr>
          <w:rFonts w:ascii="Verdana" w:hAnsi="Verdana"/>
        </w:rPr>
        <w:t xml:space="preserve"> A los contratos de obra suscritos a precios unitarios, la mayor cantidad de obra ejecutada por encima del valor estimativo inicial en los contratos a precios unitarios no implica en forma alguna un cambio de objeto o en su valor. Por tal razón, el reconocimiento de mayores cantidades de obra, previamente autorizadas y recibidas por la entidad contratante, no está sometida al límite cuantitativo establecido en el artículo 40 de la Ley 80 de 1993. </w:t>
      </w:r>
    </w:p>
    <w:p w14:paraId="7369A64B" w14:textId="77777777" w:rsidR="00EB3B48" w:rsidRPr="00CD2603" w:rsidRDefault="00EB3B48" w:rsidP="00EB3B48">
      <w:pPr>
        <w:widowControl w:val="0"/>
        <w:autoSpaceDE w:val="0"/>
        <w:autoSpaceDN w:val="0"/>
        <w:spacing w:after="120" w:line="276" w:lineRule="auto"/>
        <w:ind w:firstLine="708"/>
        <w:jc w:val="both"/>
        <w:rPr>
          <w:rFonts w:ascii="Verdana" w:hAnsi="Verdana"/>
        </w:rPr>
      </w:pPr>
      <w:r>
        <w:rPr>
          <w:rFonts w:ascii="Verdana" w:hAnsi="Verdana"/>
          <w:i/>
        </w:rPr>
        <w:t>b</w:t>
      </w:r>
      <w:r w:rsidRPr="00CD2603">
        <w:rPr>
          <w:rFonts w:ascii="Verdana" w:hAnsi="Verdana"/>
          <w:i/>
        </w:rPr>
        <w:t>)</w:t>
      </w:r>
      <w:r w:rsidRPr="00CD2603">
        <w:rPr>
          <w:rFonts w:ascii="Verdana" w:hAnsi="Verdana"/>
        </w:rPr>
        <w:t xml:space="preserve"> Por el contrario, las adiciones requieren de la suscripción de otrosíes, contratos adicionales o modificatorios del contrato inicial, por lo cual les será aplicable el límite establecido en el parágrafo del artículo 40 de la Ley 80 de 1993, lo cual indica que aquellos negocios jurídicos no podrán adicionarse en más del cincuenta por ciento (50%) de su valor inicial, expresado en salarios mínimos legales mensuales.</w:t>
      </w:r>
    </w:p>
    <w:p w14:paraId="371D87ED" w14:textId="77777777" w:rsidR="00EB3B48" w:rsidRPr="00CD2603" w:rsidRDefault="00EB3B48" w:rsidP="00EB3B48">
      <w:pPr>
        <w:widowControl w:val="0"/>
        <w:autoSpaceDE w:val="0"/>
        <w:autoSpaceDN w:val="0"/>
        <w:spacing w:after="120" w:line="276" w:lineRule="auto"/>
        <w:ind w:firstLine="708"/>
        <w:jc w:val="both"/>
        <w:rPr>
          <w:rFonts w:ascii="Verdana" w:hAnsi="Verdana"/>
        </w:rPr>
      </w:pPr>
      <w:r>
        <w:rPr>
          <w:rFonts w:ascii="Verdana" w:eastAsia="Calibri" w:hAnsi="Verdana" w:cs="Arial"/>
          <w:i/>
        </w:rPr>
        <w:t>c</w:t>
      </w:r>
      <w:r w:rsidRPr="00CD2603">
        <w:rPr>
          <w:rFonts w:ascii="Verdana" w:eastAsia="Calibri" w:hAnsi="Verdana" w:cs="Arial"/>
          <w:i/>
        </w:rPr>
        <w:t>)</w:t>
      </w:r>
      <w:r w:rsidRPr="00CD2603">
        <w:rPr>
          <w:rFonts w:ascii="Verdana" w:eastAsia="Calibri" w:hAnsi="Verdana" w:cs="Arial"/>
        </w:rPr>
        <w:t xml:space="preserve"> La concepción de mayores cantidades de obra, como expresión del contrato original sin valor determinado, aunque determinable, no puede dar lugar a una ampliación ilimitada de estos contratos, pues no se encuentran exentos de la aplicación de los principios de la contratación estatal. </w:t>
      </w:r>
    </w:p>
    <w:p w14:paraId="02F47288" w14:textId="77777777" w:rsidR="00EB3B48" w:rsidRPr="00CD2603" w:rsidRDefault="00EB3B48" w:rsidP="00EB3B48">
      <w:pPr>
        <w:widowControl w:val="0"/>
        <w:autoSpaceDE w:val="0"/>
        <w:autoSpaceDN w:val="0"/>
        <w:spacing w:after="120" w:line="276" w:lineRule="auto"/>
        <w:ind w:firstLine="708"/>
        <w:jc w:val="both"/>
        <w:rPr>
          <w:rFonts w:ascii="Verdana" w:hAnsi="Verdana"/>
        </w:rPr>
      </w:pPr>
      <w:r>
        <w:rPr>
          <w:rFonts w:ascii="Verdana" w:eastAsia="Calibri" w:hAnsi="Verdana" w:cs="Arial"/>
          <w:i/>
        </w:rPr>
        <w:t>d</w:t>
      </w:r>
      <w:r w:rsidRPr="00CD2603">
        <w:rPr>
          <w:rFonts w:ascii="Verdana" w:eastAsia="Calibri" w:hAnsi="Verdana" w:cs="Arial"/>
          <w:i/>
        </w:rPr>
        <w:t>)</w:t>
      </w:r>
      <w:r w:rsidRPr="00CD2603">
        <w:rPr>
          <w:rFonts w:ascii="Verdana" w:eastAsia="Calibri" w:hAnsi="Verdana" w:cs="Arial"/>
        </w:rPr>
        <w:t xml:space="preserve"> Si bien en los contratos </w:t>
      </w:r>
      <w:r w:rsidRPr="00CD2603">
        <w:rPr>
          <w:rFonts w:ascii="Verdana" w:hAnsi="Verdana"/>
        </w:rPr>
        <w:t xml:space="preserve">en los cuales se pacta como forma de pago del valor del contrato la modalidad de precios unitarios el valor pactado es un estimativo, mientras que el valor real es el que resulta una vez se ha terminado la ejecución del contrato, lo cierto es que el valor estimado debe obedecer a estudios previos que determinen de la manera más exacta posible las cantidades de obra. </w:t>
      </w:r>
    </w:p>
    <w:p w14:paraId="76DA804D" w14:textId="77777777" w:rsidR="00EB3B48" w:rsidRPr="00CD2603" w:rsidRDefault="00EB3B48" w:rsidP="00EB3B48">
      <w:pPr>
        <w:widowControl w:val="0"/>
        <w:autoSpaceDE w:val="0"/>
        <w:autoSpaceDN w:val="0"/>
        <w:spacing w:after="120" w:line="276" w:lineRule="auto"/>
        <w:ind w:firstLine="708"/>
        <w:jc w:val="both"/>
        <w:rPr>
          <w:rFonts w:ascii="Verdana" w:hAnsi="Verdana"/>
        </w:rPr>
      </w:pPr>
      <w:r>
        <w:rPr>
          <w:rFonts w:ascii="Verdana" w:hAnsi="Verdana"/>
          <w:i/>
        </w:rPr>
        <w:lastRenderedPageBreak/>
        <w:t>e</w:t>
      </w:r>
      <w:r w:rsidRPr="00CD2603">
        <w:rPr>
          <w:rFonts w:ascii="Verdana" w:hAnsi="Verdana"/>
          <w:i/>
        </w:rPr>
        <w:t>)</w:t>
      </w:r>
      <w:r w:rsidRPr="00CD2603">
        <w:rPr>
          <w:rFonts w:ascii="Verdana" w:hAnsi="Verdana"/>
        </w:rPr>
        <w:t xml:space="preserve"> En atención a los principios que rigen la contratación estatal, no pueden pactarse cantidades de obra de manera indeterminada sin fijar las reglas claras para determinarlo. Además, las variaciones del valor estimado respecto del valor final deben ser mínimas. </w:t>
      </w:r>
    </w:p>
    <w:p w14:paraId="37791352" w14:textId="77777777" w:rsidR="00EB3B48" w:rsidRPr="00CD2603" w:rsidRDefault="00EB3B48" w:rsidP="00EB3B48">
      <w:pPr>
        <w:widowControl w:val="0"/>
        <w:autoSpaceDE w:val="0"/>
        <w:autoSpaceDN w:val="0"/>
        <w:spacing w:after="120" w:line="276" w:lineRule="auto"/>
        <w:ind w:firstLine="708"/>
        <w:jc w:val="both"/>
        <w:rPr>
          <w:rFonts w:ascii="Verdana" w:hAnsi="Verdana"/>
        </w:rPr>
      </w:pPr>
      <w:r>
        <w:rPr>
          <w:rFonts w:ascii="Verdana" w:hAnsi="Verdana"/>
          <w:i/>
        </w:rPr>
        <w:t>f</w:t>
      </w:r>
      <w:r w:rsidRPr="00CD2603">
        <w:rPr>
          <w:rFonts w:ascii="Verdana" w:hAnsi="Verdana"/>
          <w:i/>
        </w:rPr>
        <w:t>)</w:t>
      </w:r>
      <w:r w:rsidRPr="00CD2603">
        <w:rPr>
          <w:rFonts w:ascii="Verdana" w:hAnsi="Verdana"/>
        </w:rPr>
        <w:t xml:space="preserve"> </w:t>
      </w:r>
      <w:r w:rsidRPr="00671DE3">
        <w:rPr>
          <w:rFonts w:ascii="Verdana" w:hAnsi="Verdana"/>
        </w:rPr>
        <w:t>Pese a que el límite cuantitativo para las adiciones contractuales no resulta aplicable al reconocimiento de mayores cantidades de obra, ello no exime a la entidad de observar estrictamente el principio de planeación, ni habilita el uso de este mecanismo para eludir la modalidad de selección objetiva que corresponda según la cuantía. En consecuencia, las mayores cantidades de obra deben responder a la ejecución del objeto previamente definido y planificado, sin convertirse en un instrumento para alterar la modalidad de escogencia del contratista ni para introducir variaciones sustanciales al contrato inicialmente pactado.</w:t>
      </w:r>
      <w:r w:rsidRPr="00CD2603">
        <w:rPr>
          <w:rFonts w:ascii="Verdana" w:hAnsi="Verdana"/>
        </w:rPr>
        <w:t xml:space="preserve"> </w:t>
      </w:r>
    </w:p>
    <w:p w14:paraId="3AE6F93F" w14:textId="77777777" w:rsidR="00EB3B48" w:rsidRPr="00CD2603" w:rsidRDefault="00EB3B48" w:rsidP="00EB3B48">
      <w:pPr>
        <w:widowControl w:val="0"/>
        <w:autoSpaceDE w:val="0"/>
        <w:autoSpaceDN w:val="0"/>
        <w:spacing w:after="120" w:line="276" w:lineRule="auto"/>
        <w:ind w:firstLine="708"/>
        <w:jc w:val="both"/>
        <w:rPr>
          <w:rFonts w:ascii="Verdana" w:eastAsia="Arial" w:hAnsi="Verdana" w:cs="Arial"/>
          <w:color w:val="000000" w:themeColor="text1"/>
          <w:lang w:eastAsia="es-ES" w:bidi="es-ES"/>
        </w:rPr>
      </w:pPr>
      <w:r>
        <w:rPr>
          <w:rFonts w:ascii="Verdana" w:eastAsia="Arial" w:hAnsi="Verdana" w:cs="Arial"/>
          <w:i/>
          <w:iCs/>
          <w:lang w:eastAsia="es-ES" w:bidi="es-ES"/>
        </w:rPr>
        <w:t>g</w:t>
      </w:r>
      <w:r w:rsidRPr="00CD2603">
        <w:rPr>
          <w:rFonts w:ascii="Verdana" w:eastAsia="Arial" w:hAnsi="Verdana" w:cs="Arial"/>
          <w:i/>
          <w:iCs/>
          <w:lang w:eastAsia="es-ES" w:bidi="es-ES"/>
        </w:rPr>
        <w:t>)</w:t>
      </w:r>
      <w:r w:rsidRPr="00CD2603">
        <w:rPr>
          <w:rFonts w:ascii="Verdana" w:eastAsia="Arial" w:hAnsi="Verdana" w:cs="Arial"/>
          <w:lang w:eastAsia="es-ES" w:bidi="es-ES"/>
        </w:rPr>
        <w:t xml:space="preserve"> Las modificaciones tienen carácter excepcional y solo procede cuando con ella se pretenda garantizar el interés público, cuando la entidad haya verificado y así pueda constatarse por cualquier </w:t>
      </w:r>
      <w:r>
        <w:rPr>
          <w:rFonts w:ascii="Verdana" w:eastAsia="Arial" w:hAnsi="Verdana" w:cs="Arial"/>
          <w:lang w:eastAsia="es-ES" w:bidi="es-ES"/>
        </w:rPr>
        <w:t xml:space="preserve">fuente </w:t>
      </w:r>
      <w:r w:rsidRPr="00CD2603">
        <w:rPr>
          <w:rFonts w:ascii="Verdana" w:eastAsia="Arial" w:hAnsi="Verdana" w:cs="Arial"/>
          <w:lang w:eastAsia="es-ES" w:bidi="es-ES"/>
        </w:rPr>
        <w:t xml:space="preserve">que la causa de la modificación es real y cierta. </w:t>
      </w:r>
    </w:p>
    <w:p w14:paraId="49F4B22A" w14:textId="77777777" w:rsidR="00EB3B48" w:rsidRDefault="00EB3B48" w:rsidP="00EB3B48">
      <w:pPr>
        <w:widowControl w:val="0"/>
        <w:autoSpaceDE w:val="0"/>
        <w:autoSpaceDN w:val="0"/>
        <w:spacing w:after="120" w:line="276" w:lineRule="auto"/>
        <w:ind w:firstLine="708"/>
        <w:jc w:val="both"/>
        <w:rPr>
          <w:rFonts w:ascii="Verdana" w:eastAsia="Arial" w:hAnsi="Verdana" w:cs="Arial"/>
          <w:color w:val="000000" w:themeColor="text1"/>
          <w:lang w:eastAsia="es-ES" w:bidi="es-ES"/>
        </w:rPr>
      </w:pPr>
      <w:r>
        <w:rPr>
          <w:rFonts w:ascii="Verdana" w:eastAsia="Arial" w:hAnsi="Verdana" w:cs="Arial"/>
          <w:i/>
          <w:iCs/>
          <w:color w:val="000000" w:themeColor="text1"/>
          <w:lang w:eastAsia="es-ES" w:bidi="es-ES"/>
        </w:rPr>
        <w:t>h</w:t>
      </w:r>
      <w:r w:rsidRPr="00CD2603">
        <w:rPr>
          <w:rFonts w:ascii="Verdana" w:eastAsia="Arial" w:hAnsi="Verdana" w:cs="Arial"/>
          <w:i/>
          <w:iCs/>
          <w:color w:val="000000" w:themeColor="text1"/>
          <w:lang w:eastAsia="es-ES" w:bidi="es-ES"/>
        </w:rPr>
        <w:t>)</w:t>
      </w:r>
      <w:r w:rsidRPr="00CD2603">
        <w:rPr>
          <w:rFonts w:ascii="Verdana" w:eastAsia="Arial" w:hAnsi="Verdana" w:cs="Arial"/>
          <w:color w:val="000000" w:themeColor="text1"/>
          <w:lang w:eastAsia="es-ES" w:bidi="es-ES"/>
        </w:rPr>
        <w:t xml:space="preserve"> Las modificaciones no podrían suponer la variación del objeto de un contrato, pues ello supondría la alteración de su esencia y lo convertiría en otro tipo de negocio jurídico. Si se presentara esta situación lo indicado no sería modificar el contrato sino celebrar uno nuevo.</w:t>
      </w:r>
      <w:bookmarkStart w:id="7" w:name="_ftnref22"/>
    </w:p>
    <w:p w14:paraId="4B63CBA6" w14:textId="77777777" w:rsidR="00EB3B48" w:rsidRPr="00500520" w:rsidRDefault="00EB3B48" w:rsidP="00EB3B48">
      <w:pPr>
        <w:widowControl w:val="0"/>
        <w:autoSpaceDE w:val="0"/>
        <w:autoSpaceDN w:val="0"/>
        <w:spacing w:after="120" w:line="276" w:lineRule="auto"/>
        <w:ind w:firstLine="708"/>
        <w:jc w:val="both"/>
        <w:rPr>
          <w:rFonts w:ascii="Verdana" w:eastAsia="Arial" w:hAnsi="Verdana" w:cs="Arial"/>
          <w:i/>
          <w:color w:val="000000" w:themeColor="text1"/>
          <w:lang w:eastAsia="es-ES" w:bidi="es-ES"/>
        </w:rPr>
      </w:pPr>
      <w:r w:rsidRPr="00500520">
        <w:rPr>
          <w:rFonts w:ascii="Verdana" w:eastAsia="Arial" w:hAnsi="Verdana" w:cs="Arial"/>
          <w:i/>
          <w:iCs/>
          <w:color w:val="000000" w:themeColor="text1"/>
          <w:lang w:eastAsia="es-ES" w:bidi="es-ES"/>
        </w:rPr>
        <w:t>i)</w:t>
      </w:r>
      <w:r>
        <w:rPr>
          <w:rFonts w:ascii="Verdana" w:eastAsia="Arial" w:hAnsi="Verdana" w:cs="Arial"/>
          <w:i/>
          <w:iCs/>
          <w:color w:val="000000" w:themeColor="text1"/>
          <w:lang w:eastAsia="es-ES" w:bidi="es-ES"/>
        </w:rPr>
        <w:t xml:space="preserve"> </w:t>
      </w:r>
      <w:r w:rsidRPr="00500520">
        <w:rPr>
          <w:rFonts w:ascii="Verdana" w:eastAsia="Arial" w:hAnsi="Verdana" w:cs="Arial"/>
          <w:color w:val="000000" w:themeColor="text1"/>
          <w:lang w:eastAsia="es-ES" w:bidi="es-ES"/>
        </w:rPr>
        <w:t>En ningún caso la naturaleza indicativa del valor inicial habilita la ejecución de mayores cantidades de obra sin la previa disponibilidad y registro del compromiso presupuestal; corresponde a la entidad, con la advertencia oportuna de la interventoría o supervisión, gestionar con antelación los recursos necesarios para la ejecución integral del objeto contratado.</w:t>
      </w:r>
      <w:r w:rsidRPr="00500520">
        <w:rPr>
          <w:rFonts w:ascii="Verdana" w:eastAsia="Arial" w:hAnsi="Verdana" w:cs="Arial"/>
          <w:i/>
          <w:iCs/>
          <w:color w:val="000000" w:themeColor="text1"/>
          <w:lang w:eastAsia="es-ES" w:bidi="es-ES"/>
        </w:rPr>
        <w:t xml:space="preserve"> </w:t>
      </w:r>
    </w:p>
    <w:bookmarkEnd w:id="7"/>
    <w:p w14:paraId="4E8889B4" w14:textId="77777777" w:rsidR="00EB3B48" w:rsidRPr="00CD2603" w:rsidRDefault="00EB3B48" w:rsidP="00EB3B48">
      <w:pPr>
        <w:widowControl w:val="0"/>
        <w:autoSpaceDE w:val="0"/>
        <w:autoSpaceDN w:val="0"/>
        <w:spacing w:after="0" w:line="276" w:lineRule="auto"/>
        <w:ind w:firstLine="708"/>
        <w:jc w:val="both"/>
        <w:rPr>
          <w:rFonts w:ascii="Verdana" w:eastAsia="Arial" w:hAnsi="Verdana" w:cs="Arial"/>
          <w:color w:val="000000" w:themeColor="text1"/>
          <w:lang w:eastAsia="es-ES" w:bidi="es-ES"/>
        </w:rPr>
      </w:pPr>
      <w:r w:rsidRPr="00CD2603">
        <w:rPr>
          <w:rFonts w:ascii="Verdana" w:eastAsia="Arial" w:hAnsi="Verdana" w:cs="Arial"/>
          <w:color w:val="000000" w:themeColor="text1"/>
          <w:lang w:eastAsia="es-ES" w:bidi="es-ES"/>
        </w:rPr>
        <w:t xml:space="preserve">De cualquier modo, corresponderá a cada Entidad Estatal realizar el análisis respecto a la precedencia de modificar determinado contrato estatal, o ejecutarlo por encima del valor inicial estimado, en el entendido que se respeten las reglas establecidas en el ordenamiento jurídico, de acuerdo con lo expuesto anteriormente, además de definir previamente su procedencia desde la perspectiva jurídica, técnica y financiera. Con todo, el hecho de que, según la jurisprudencia reciente del Consejo de Estado, el valor inicial de los contratos por precios unitarios sea indicativo, no puede </w:t>
      </w:r>
      <w:r>
        <w:rPr>
          <w:rFonts w:ascii="Verdana" w:eastAsia="Arial" w:hAnsi="Verdana" w:cs="Arial"/>
          <w:color w:val="000000" w:themeColor="text1"/>
          <w:lang w:eastAsia="es-ES" w:bidi="es-ES"/>
        </w:rPr>
        <w:t xml:space="preserve">interpretarse </w:t>
      </w:r>
      <w:r w:rsidRPr="00CD2603">
        <w:rPr>
          <w:rFonts w:ascii="Verdana" w:eastAsia="Arial" w:hAnsi="Verdana" w:cs="Arial"/>
          <w:color w:val="000000" w:themeColor="text1"/>
          <w:lang w:eastAsia="es-ES" w:bidi="es-ES"/>
        </w:rPr>
        <w:t xml:space="preserve">como una patente </w:t>
      </w:r>
      <w:r w:rsidRPr="00CD2603">
        <w:rPr>
          <w:rFonts w:ascii="Verdana" w:eastAsia="Arial" w:hAnsi="Verdana" w:cs="Arial"/>
          <w:color w:val="000000" w:themeColor="text1"/>
          <w:lang w:eastAsia="es-ES" w:bidi="es-ES"/>
        </w:rPr>
        <w:lastRenderedPageBreak/>
        <w:t xml:space="preserve">de corso para ejecutar de manera desproporcionada e irrazonable los contratos estatales vigentes, ya que de acuerdo con lo aquí explicado, ello no solo puede evidenciar infracciones al deber de planeación y al principio de selección objetiva, sino que también puede atentar contra los principios de la gestión </w:t>
      </w:r>
      <w:r>
        <w:rPr>
          <w:rFonts w:ascii="Verdana" w:eastAsia="Arial" w:hAnsi="Verdana" w:cs="Arial"/>
          <w:color w:val="000000" w:themeColor="text1"/>
          <w:lang w:eastAsia="es-ES" w:bidi="es-ES"/>
        </w:rPr>
        <w:t>fiscal</w:t>
      </w:r>
      <w:r w:rsidRPr="00CD2603">
        <w:rPr>
          <w:rFonts w:ascii="Verdana" w:eastAsia="Arial" w:hAnsi="Verdana" w:cs="Arial"/>
          <w:color w:val="000000" w:themeColor="text1"/>
          <w:lang w:eastAsia="es-ES" w:bidi="es-ES"/>
        </w:rPr>
        <w:t xml:space="preserve"> conduciendo a detrimentos del recurso público.  </w:t>
      </w:r>
    </w:p>
    <w:p w14:paraId="67179588" w14:textId="77777777" w:rsidR="00EB3B48" w:rsidRPr="00AA633E" w:rsidRDefault="00EB3B48" w:rsidP="00EB3B48">
      <w:pPr>
        <w:spacing w:after="0" w:line="276" w:lineRule="auto"/>
        <w:jc w:val="both"/>
        <w:rPr>
          <w:rFonts w:ascii="Verdana" w:hAnsi="Verdana" w:cs="Arial"/>
          <w:lang w:val="es-ES"/>
        </w:rPr>
      </w:pPr>
    </w:p>
    <w:p w14:paraId="0ED065C4" w14:textId="77777777" w:rsidR="00EB3B48" w:rsidRPr="00383A39" w:rsidRDefault="00EB3B48" w:rsidP="00EB3B48">
      <w:pPr>
        <w:spacing w:after="120" w:line="276" w:lineRule="auto"/>
        <w:jc w:val="both"/>
        <w:rPr>
          <w:rFonts w:ascii="Verdana" w:hAnsi="Verdana" w:cs="Arial"/>
          <w:color w:val="000000" w:themeColor="text1"/>
        </w:rPr>
      </w:pPr>
      <w:r w:rsidRPr="00AA633E">
        <w:rPr>
          <w:rFonts w:ascii="Verdana" w:hAnsi="Verdana" w:cs="Arial"/>
          <w:lang w:val="es-ES"/>
        </w:rPr>
        <w:t>ii</w:t>
      </w:r>
      <w:r>
        <w:rPr>
          <w:rFonts w:ascii="Verdana" w:hAnsi="Verdana" w:cs="Arial"/>
          <w:lang w:val="es-ES"/>
        </w:rPr>
        <w:t>i</w:t>
      </w:r>
      <w:r w:rsidRPr="00AA633E">
        <w:rPr>
          <w:rFonts w:ascii="Verdana" w:hAnsi="Verdana" w:cs="Arial"/>
          <w:lang w:val="es-ES"/>
        </w:rPr>
        <w:t xml:space="preserve">. </w:t>
      </w:r>
      <w:r w:rsidRPr="00DA61E0">
        <w:rPr>
          <w:rFonts w:ascii="Verdana" w:eastAsia="Calibri" w:hAnsi="Verdana" w:cs="Arial"/>
          <w:color w:val="000000" w:themeColor="text1"/>
          <w:lang w:val="es-ES"/>
        </w:rPr>
        <w:t xml:space="preserve">Al </w:t>
      </w:r>
      <w:r w:rsidRPr="00DA61E0">
        <w:rPr>
          <w:rFonts w:ascii="Verdana" w:eastAsia="Calibri" w:hAnsi="Verdana" w:cs="Arial"/>
          <w:lang w:val="es-ES_tradnl" w:eastAsia="es-ES"/>
        </w:rPr>
        <w:t>margen de la explicación precedente debe advertirse que el análisis requerido para resolver problemas específicos debe realizarse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6BDCBE22" w14:textId="77777777" w:rsidR="00EB3B48" w:rsidRPr="00DA61E0" w:rsidRDefault="00EB3B48" w:rsidP="00EB3B48">
      <w:pPr>
        <w:spacing w:after="0" w:line="276" w:lineRule="auto"/>
        <w:ind w:firstLine="709"/>
        <w:jc w:val="both"/>
        <w:rPr>
          <w:rFonts w:ascii="Verdana" w:eastAsia="Calibri" w:hAnsi="Verdana" w:cs="Arial"/>
          <w:lang w:val="es-ES" w:eastAsia="es-ES"/>
        </w:rPr>
      </w:pPr>
      <w:r w:rsidRPr="00DA61E0">
        <w:rPr>
          <w:rFonts w:ascii="Verdana" w:eastAsia="Calibri" w:hAnsi="Verdana" w:cs="Arial"/>
          <w:lang w:val="es-ES"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0E770575" w14:textId="77777777" w:rsidR="00EB3B48" w:rsidRPr="00DA61E0" w:rsidRDefault="00EB3B48" w:rsidP="00EB3B48">
      <w:pPr>
        <w:spacing w:after="0" w:line="276" w:lineRule="auto"/>
        <w:jc w:val="both"/>
        <w:rPr>
          <w:rFonts w:ascii="Verdana" w:eastAsia="Calibri" w:hAnsi="Verdana" w:cs="Arial"/>
          <w:bCs/>
          <w:color w:val="000000" w:themeColor="text1"/>
          <w:lang w:val="es-ES"/>
        </w:rPr>
      </w:pPr>
    </w:p>
    <w:p w14:paraId="07190A96" w14:textId="77777777" w:rsidR="00EB3B48" w:rsidRPr="00DA61E0" w:rsidRDefault="00EB3B48" w:rsidP="00EB3B48">
      <w:pPr>
        <w:numPr>
          <w:ilvl w:val="0"/>
          <w:numId w:val="16"/>
        </w:numPr>
        <w:tabs>
          <w:tab w:val="left" w:pos="142"/>
          <w:tab w:val="left" w:pos="284"/>
        </w:tabs>
        <w:spacing w:after="0" w:line="276" w:lineRule="auto"/>
        <w:ind w:left="426"/>
        <w:contextualSpacing/>
        <w:jc w:val="both"/>
        <w:rPr>
          <w:rFonts w:ascii="Verdana" w:eastAsia="Century Gothic" w:hAnsi="Verdana" w:cs="Century Gothic"/>
          <w:b/>
          <w:bCs/>
          <w:lang w:val="es-ES"/>
        </w:rPr>
      </w:pPr>
      <w:r w:rsidRPr="00DA61E0">
        <w:rPr>
          <w:rFonts w:ascii="Verdana" w:eastAsia="Century Gothic" w:hAnsi="Verdana" w:cs="Century Gothic"/>
          <w:b/>
          <w:bCs/>
          <w:lang w:val="es-ES"/>
        </w:rPr>
        <w:t>Referencias normativas</w:t>
      </w:r>
      <w:r>
        <w:rPr>
          <w:rFonts w:ascii="Verdana" w:eastAsia="Century Gothic" w:hAnsi="Verdana" w:cs="Century Gothic"/>
          <w:b/>
          <w:bCs/>
          <w:lang w:val="es-ES"/>
        </w:rPr>
        <w:t>, jurisprudenciales y otras fuentes</w:t>
      </w:r>
      <w:r w:rsidRPr="00DA61E0">
        <w:rPr>
          <w:rFonts w:ascii="Verdana" w:eastAsia="Century Gothic" w:hAnsi="Verdana" w:cs="Century Gothic"/>
          <w:b/>
          <w:bCs/>
          <w:lang w:val="es-ES"/>
        </w:rPr>
        <w:t>:</w:t>
      </w:r>
    </w:p>
    <w:p w14:paraId="66B7CEFE" w14:textId="77777777" w:rsidR="00EB3B48" w:rsidRPr="00DA61E0" w:rsidRDefault="00EB3B48" w:rsidP="00EB3B48">
      <w:pPr>
        <w:widowControl w:val="0"/>
        <w:autoSpaceDE w:val="0"/>
        <w:autoSpaceDN w:val="0"/>
        <w:spacing w:after="0" w:line="276" w:lineRule="auto"/>
        <w:jc w:val="both"/>
        <w:rPr>
          <w:rFonts w:ascii="Verdana" w:eastAsia="Calibri" w:hAnsi="Verdana" w:cs="Arial"/>
        </w:rPr>
      </w:pPr>
      <w:r w:rsidRPr="00DA61E0">
        <w:rPr>
          <w:rFonts w:ascii="Verdana" w:eastAsia="Calibri" w:hAnsi="Verdana" w:cs="Arial"/>
          <w:lang w:val="es-ES"/>
        </w:rPr>
        <w:t xml:space="preserve"> </w:t>
      </w:r>
    </w:p>
    <w:tbl>
      <w:tblPr>
        <w:tblStyle w:val="Tablaconcuadrcula2"/>
        <w:tblW w:w="8640" w:type="dxa"/>
        <w:jc w:val="center"/>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EB3B48" w:rsidRPr="00DA61E0" w14:paraId="33B3C5B3" w14:textId="77777777" w:rsidTr="00120312">
        <w:trPr>
          <w:trHeight w:val="870"/>
          <w:jc w:val="center"/>
        </w:trPr>
        <w:tc>
          <w:tcPr>
            <w:tcW w:w="8647" w:type="dxa"/>
            <w:tcBorders>
              <w:top w:val="dotted" w:sz="4" w:space="0" w:color="auto"/>
              <w:left w:val="dotted" w:sz="4" w:space="0" w:color="auto"/>
              <w:bottom w:val="dotted" w:sz="4" w:space="0" w:color="auto"/>
              <w:right w:val="dotted" w:sz="4" w:space="0" w:color="auto"/>
            </w:tcBorders>
            <w:hideMark/>
          </w:tcPr>
          <w:p w14:paraId="348CD073" w14:textId="77777777" w:rsidR="00EB3B48" w:rsidRDefault="00EB3B48" w:rsidP="00120312">
            <w:pPr>
              <w:numPr>
                <w:ilvl w:val="0"/>
                <w:numId w:val="17"/>
              </w:numPr>
              <w:spacing w:before="120" w:after="120" w:line="276" w:lineRule="auto"/>
              <w:ind w:left="714" w:hanging="357"/>
              <w:jc w:val="both"/>
              <w:rPr>
                <w:rFonts w:ascii="Verdana" w:hAnsi="Verdana" w:cs="Arial"/>
              </w:rPr>
            </w:pPr>
            <w:r>
              <w:rPr>
                <w:rFonts w:ascii="Verdana" w:hAnsi="Verdana" w:cs="Arial"/>
              </w:rPr>
              <w:t xml:space="preserve">Ley 80 de 1993, artículos 11,12, 13, 32, 40. </w:t>
            </w:r>
          </w:p>
          <w:p w14:paraId="19258E04" w14:textId="77777777" w:rsidR="00EB3B48" w:rsidRDefault="00EB3B48" w:rsidP="00120312">
            <w:pPr>
              <w:numPr>
                <w:ilvl w:val="0"/>
                <w:numId w:val="17"/>
              </w:numPr>
              <w:spacing w:before="120" w:after="120" w:line="276" w:lineRule="auto"/>
              <w:ind w:left="714" w:hanging="357"/>
              <w:jc w:val="both"/>
              <w:rPr>
                <w:rFonts w:ascii="Verdana" w:hAnsi="Verdana" w:cs="Arial"/>
              </w:rPr>
            </w:pPr>
            <w:r>
              <w:rPr>
                <w:rFonts w:ascii="Verdana" w:hAnsi="Verdana" w:cs="Arial"/>
              </w:rPr>
              <w:t>Ley 1474 de 2011, artículos 83 y 84</w:t>
            </w:r>
          </w:p>
          <w:p w14:paraId="50C5F8CF" w14:textId="77777777" w:rsidR="00EB3B48" w:rsidRDefault="00EB3B48" w:rsidP="00120312">
            <w:pPr>
              <w:numPr>
                <w:ilvl w:val="0"/>
                <w:numId w:val="17"/>
              </w:numPr>
              <w:spacing w:before="120" w:after="120" w:line="276" w:lineRule="auto"/>
              <w:ind w:left="714" w:hanging="357"/>
              <w:jc w:val="both"/>
              <w:rPr>
                <w:rFonts w:ascii="Verdana" w:hAnsi="Verdana" w:cs="Arial"/>
              </w:rPr>
            </w:pPr>
            <w:r>
              <w:rPr>
                <w:rFonts w:ascii="Verdana" w:hAnsi="Verdana" w:cs="Arial"/>
              </w:rPr>
              <w:t>Código Civil, artículo 1602.</w:t>
            </w:r>
          </w:p>
          <w:p w14:paraId="55E6F05E" w14:textId="77777777" w:rsidR="00EB3B48" w:rsidRDefault="00EB3B48" w:rsidP="00120312">
            <w:pPr>
              <w:numPr>
                <w:ilvl w:val="0"/>
                <w:numId w:val="17"/>
              </w:numPr>
              <w:spacing w:before="120" w:after="120" w:line="276" w:lineRule="auto"/>
              <w:ind w:left="714" w:hanging="357"/>
              <w:jc w:val="both"/>
              <w:rPr>
                <w:rFonts w:ascii="Verdana" w:hAnsi="Verdana" w:cs="Arial"/>
              </w:rPr>
            </w:pPr>
            <w:r>
              <w:rPr>
                <w:rFonts w:ascii="Verdana" w:hAnsi="Verdana" w:cs="Arial"/>
              </w:rPr>
              <w:t>Decreto 111 de 1996, artículo 111.</w:t>
            </w:r>
          </w:p>
          <w:p w14:paraId="17A037D1"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Decreto 1082 de 2015, artículos 2.2.1.1.1.7.1, 2.2.1.1.1.3.1.</w:t>
            </w:r>
          </w:p>
          <w:p w14:paraId="788A1574" w14:textId="77777777" w:rsidR="00EB3B48" w:rsidRPr="00EC5D9C" w:rsidRDefault="00EB3B48" w:rsidP="00120312">
            <w:pPr>
              <w:numPr>
                <w:ilvl w:val="0"/>
                <w:numId w:val="17"/>
              </w:numPr>
              <w:spacing w:before="120" w:after="120" w:line="276" w:lineRule="auto"/>
              <w:jc w:val="both"/>
              <w:rPr>
                <w:rFonts w:ascii="Verdana" w:hAnsi="Verdana" w:cs="Arial"/>
              </w:rPr>
            </w:pPr>
            <w:r w:rsidRPr="00B37921">
              <w:rPr>
                <w:rFonts w:ascii="Verdana" w:hAnsi="Verdana" w:cs="Arial"/>
              </w:rPr>
              <w:lastRenderedPageBreak/>
              <w:t>CORTE CONSTITUCIONAL. Sala Plena. Sentencia SU-214 de 2022. M.P. Jorge Enrique Ibáñez Najar. Exp. T-8.165.203.</w:t>
            </w:r>
          </w:p>
          <w:p w14:paraId="6465FCBF"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CONSEJO DE ESTADO. Sala de lo Contencioso Administrativo Sección Tercera. Sentencia del 6 de agosto de 1987.</w:t>
            </w:r>
            <w:r>
              <w:rPr>
                <w:rFonts w:ascii="Verdana" w:hAnsi="Verdana" w:cs="Arial"/>
              </w:rPr>
              <w:t xml:space="preserve"> C.P. Carlos Betancur Jaramillo.</w:t>
            </w:r>
            <w:r w:rsidRPr="00EC5D9C">
              <w:rPr>
                <w:rFonts w:ascii="Verdana" w:hAnsi="Verdana" w:cs="Arial"/>
              </w:rPr>
              <w:t xml:space="preserve"> Exp. 3886.</w:t>
            </w:r>
          </w:p>
          <w:p w14:paraId="379E2419"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 xml:space="preserve">CONSEJO DE ESTADO. Sala de lo Contencioso Administrativo. Sección Tercera. Sentencia del 18 de julio de 2002. </w:t>
            </w:r>
            <w:r>
              <w:rPr>
                <w:rFonts w:ascii="Verdana" w:hAnsi="Verdana" w:cs="Arial"/>
              </w:rPr>
              <w:t xml:space="preserve">C.P. Alier Eduardo Hernández Enriquez. </w:t>
            </w:r>
            <w:r w:rsidRPr="00EC5D9C">
              <w:rPr>
                <w:rFonts w:ascii="Verdana" w:hAnsi="Verdana" w:cs="Arial"/>
              </w:rPr>
              <w:t>Exp. 22178.</w:t>
            </w:r>
          </w:p>
          <w:p w14:paraId="48DB9E76"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 xml:space="preserve">CONSEJO DE ESTADO. Sala de lo Contencioso Administrativo. Sección Tercera. C.P. Ruth Stella Correa Palacio. Sentencia del 20 de noviembre de 2008. Exp. 17.031. </w:t>
            </w:r>
          </w:p>
          <w:p w14:paraId="2C5AE45E"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 xml:space="preserve"> CONSEJO DE ESTADO. Sala de lo Contencioso Administrativo. Sección Tercera. Sentencia del 14 de abril de 2010. C.P. Enrique Gil Botero. Exp. 36.054. </w:t>
            </w:r>
          </w:p>
          <w:p w14:paraId="35F7B946"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 xml:space="preserve"> CONSEJO DE ESTADO. Sala de lo Contencioso Administrativo. Sección Tercera. Subsección B. Sentencia del 14 de octubre de 2011. C.P: Ruth Stella Correa Palacio. Exp. 20811.</w:t>
            </w:r>
          </w:p>
          <w:p w14:paraId="7B8B8513"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 xml:space="preserve">CONSEJO DE ESTADO. Sala de lo Contencioso Administrativo. Sección Tercera. Subsección A. Sentencia del 29 de julio de 2015. C.P.: Hernán Andrade Rincón (E). Exp. 41.008.  </w:t>
            </w:r>
          </w:p>
          <w:p w14:paraId="327D1128"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CONSEJO DE ESTADO. Sala de Consulta y Servicio Civil. C.P.: Óscar Darí</w:t>
            </w:r>
            <w:r>
              <w:rPr>
                <w:rFonts w:ascii="Verdana" w:hAnsi="Verdana" w:cs="Arial"/>
              </w:rPr>
              <w:t>o</w:t>
            </w:r>
            <w:r w:rsidRPr="00EC5D9C">
              <w:rPr>
                <w:rFonts w:ascii="Verdana" w:hAnsi="Verdana" w:cs="Arial"/>
              </w:rPr>
              <w:t xml:space="preserve"> Amaya Navas. Concepto del 06 de junio 2018. Rad. 2369.</w:t>
            </w:r>
          </w:p>
          <w:p w14:paraId="0307EAB3"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CONSEJO DE ESTADO. Sala de Consulta y Servicio Civil.. Concepto del 5 de septiembre de 2018. C.P: Édgar González López. Rad. 2386.</w:t>
            </w:r>
          </w:p>
          <w:p w14:paraId="61C38D39"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CONSEJO DE ESTADO. Sala de lo Contencioso Administrativo. Sección Tercera. Subsección B Sentencia del 4 de junio de 2019. . C.P.: Ramiro Pazos Guerrero. Exp. 39.974.</w:t>
            </w:r>
          </w:p>
          <w:p w14:paraId="260DA664"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CONSEJO DE ESTADO. Sala de lo Contencioso Administrativo. Sección tercera. Sentencia del 9 de julio de 2021. C.P. Alberto Montaña Plata. Exp. 52045. Aclaración de voto: Alexander Jojoa Bolaños.</w:t>
            </w:r>
          </w:p>
          <w:p w14:paraId="74B51D45"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lastRenderedPageBreak/>
              <w:t>CONSEJO DE ESTADO. Sala de lo Contencioso Administrativo. Sección Tercera. Sentencia del 18 de noviembre de 2021. Subsección B. C.P.: Alberto Montaña Plata. Exp. 61.641.</w:t>
            </w:r>
          </w:p>
          <w:p w14:paraId="6330E330"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 xml:space="preserve">CONSEJO DE ESTADO. Sala de Consulta y del Servicio Civil. Concepto del 18 de julio de 2022. C.P.: Dra. Susana Montes de Echeverri. Exp. 1439. </w:t>
            </w:r>
          </w:p>
          <w:p w14:paraId="6588A3D8"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CONSEJO DE ESTADO. Sala de lo Contencioso Administrativo. Sección Tercera. Sentencia del 19 de septiembre de 2022. C.P. Dr. Jaime Enrique Rodríguez. Exp. 54.714.</w:t>
            </w:r>
          </w:p>
          <w:p w14:paraId="46027587"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 xml:space="preserve">CONSEJO DE ESTADO. Sala de lo Contencioso Administrativo. Sección Tercera Subsección A. Sentencia del 22 de agosto de 2023. C.P. María Adriana Marín. Exp. 58.634. </w:t>
            </w:r>
          </w:p>
          <w:p w14:paraId="676390A3"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CONSEJO DE ESTADO. Sala de lo Contencioso Administrativo. Sección Tercera. Subsección C. Sentencia del 24 de abril de 2024. C.P.: Nicolás Yepes Corrales. Exp.  67095.</w:t>
            </w:r>
          </w:p>
          <w:p w14:paraId="71B099D3"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 xml:space="preserve">CONSEJO DE ESTADO. Sala de lo Contencioso Administrativo. Sección Tercera. Subsección B. Sentencia del 10 de octubre de 2024. C.P. Fredy Ibarra Martínez. Exp. 67.508. </w:t>
            </w:r>
          </w:p>
          <w:p w14:paraId="1F0A20FA"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BENAVIDES, José Luis. Contratos Públicos: Estudios. Primera edición. Bogotá: Universidad Externado de Colombia. 2014. Página 386.</w:t>
            </w:r>
          </w:p>
          <w:p w14:paraId="629FCAE5"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DÁVILA VINUEZA, Luis Guillermo. Régimen jurídico de la contratación estatal. 3° ed, Bogotá: Legis. 2016.</w:t>
            </w:r>
          </w:p>
          <w:p w14:paraId="27379640"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 xml:space="preserve">EXPOSITO Velez, Juan Carlos. La planeación y validez del contrato estatal. En: Contratos Públicos: Problemas, perspectivas y prospectivas. XVIII Jornadas Internacionales de Derecho Administrativo, Universidad Externado de Colombia. Agosto. 2017.   </w:t>
            </w:r>
          </w:p>
          <w:p w14:paraId="1A8BCDAC"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 xml:space="preserve">FRANCO GUTIÉRREZ, Omar. La Contratación Administrativa. Quinta Ed. Bogotá. Leyer, 2010. </w:t>
            </w:r>
          </w:p>
          <w:p w14:paraId="005E10B6" w14:textId="77777777" w:rsidR="00EB3B48" w:rsidRPr="00EC5D9C" w:rsidRDefault="00EB3B48" w:rsidP="00120312">
            <w:pPr>
              <w:numPr>
                <w:ilvl w:val="0"/>
                <w:numId w:val="17"/>
              </w:numPr>
              <w:spacing w:before="120" w:after="120" w:line="276" w:lineRule="auto"/>
              <w:jc w:val="both"/>
              <w:rPr>
                <w:rFonts w:ascii="Verdana" w:hAnsi="Verdana" w:cs="Arial"/>
              </w:rPr>
            </w:pPr>
            <w:r w:rsidRPr="00EC5D9C">
              <w:rPr>
                <w:rFonts w:ascii="Verdana" w:hAnsi="Verdana" w:cs="Arial"/>
              </w:rPr>
              <w:t xml:space="preserve">MARÍN CORTÉS, Fabián. El precio. Serie: Las cláusulas del contrato estatal. Medellín: Librería Jurídica Sánchez y Centro de Estudios de Derecho Administrativo –CEDA–, 2012.  </w:t>
            </w:r>
          </w:p>
        </w:tc>
      </w:tr>
    </w:tbl>
    <w:p w14:paraId="12B4249F" w14:textId="77777777" w:rsidR="00EB3B48" w:rsidRPr="00DA61E0" w:rsidRDefault="00EB3B48" w:rsidP="00EB3B48">
      <w:pPr>
        <w:spacing w:after="0" w:line="276" w:lineRule="auto"/>
        <w:jc w:val="both"/>
        <w:rPr>
          <w:rFonts w:ascii="Verdana" w:eastAsia="Calibri" w:hAnsi="Verdana" w:cs="Arial"/>
          <w:color w:val="000000"/>
          <w:lang w:eastAsia="es-ES"/>
        </w:rPr>
      </w:pPr>
    </w:p>
    <w:p w14:paraId="23ED994B" w14:textId="77777777" w:rsidR="00EB3B48" w:rsidRPr="00DA61E0" w:rsidRDefault="00EB3B48" w:rsidP="00EB3B48">
      <w:pPr>
        <w:numPr>
          <w:ilvl w:val="0"/>
          <w:numId w:val="16"/>
        </w:numPr>
        <w:tabs>
          <w:tab w:val="left" w:pos="142"/>
          <w:tab w:val="left" w:pos="284"/>
        </w:tabs>
        <w:spacing w:after="0" w:line="276" w:lineRule="auto"/>
        <w:jc w:val="both"/>
        <w:rPr>
          <w:rFonts w:ascii="Verdana" w:eastAsia="Century Gothic" w:hAnsi="Verdana" w:cs="Century Gothic"/>
          <w:b/>
          <w:bCs/>
          <w:lang w:val="es-ES"/>
        </w:rPr>
      </w:pPr>
      <w:r w:rsidRPr="00DA61E0">
        <w:rPr>
          <w:rFonts w:ascii="Verdana" w:eastAsia="Century Gothic" w:hAnsi="Verdana" w:cs="Century Gothic"/>
          <w:b/>
          <w:bCs/>
          <w:lang w:val="es-ES"/>
        </w:rPr>
        <w:lastRenderedPageBreak/>
        <w:t>Doctrina de la Agencia Nacional de Contratación Pública:</w:t>
      </w:r>
    </w:p>
    <w:p w14:paraId="6D1E8831" w14:textId="77777777" w:rsidR="00EB3B48" w:rsidRPr="00DA61E0" w:rsidRDefault="00EB3B48" w:rsidP="00EB3B48">
      <w:pPr>
        <w:widowControl w:val="0"/>
        <w:autoSpaceDE w:val="0"/>
        <w:autoSpaceDN w:val="0"/>
        <w:spacing w:after="0" w:line="276" w:lineRule="auto"/>
        <w:jc w:val="both"/>
        <w:rPr>
          <w:rFonts w:ascii="Verdana" w:eastAsia="Calibri" w:hAnsi="Verdana" w:cs="Arial"/>
        </w:rPr>
      </w:pPr>
    </w:p>
    <w:p w14:paraId="475BB79C" w14:textId="77777777" w:rsidR="00EB3B48" w:rsidRPr="00DA61E0" w:rsidRDefault="00EB3B48" w:rsidP="00EB3B48">
      <w:pPr>
        <w:spacing w:after="0" w:line="276" w:lineRule="auto"/>
        <w:jc w:val="both"/>
        <w:rPr>
          <w:rFonts w:ascii="Verdana" w:eastAsia="Calibri" w:hAnsi="Verdana" w:cs="Arial"/>
          <w:bCs/>
          <w:color w:val="000000" w:themeColor="text1"/>
          <w:lang w:val="es-ES"/>
        </w:rPr>
      </w:pPr>
      <w:r w:rsidRPr="00C764B7">
        <w:rPr>
          <w:rFonts w:ascii="Verdana" w:eastAsia="Calibri" w:hAnsi="Verdana" w:cs="Arial"/>
          <w:bCs/>
          <w:shd w:val="clear" w:color="auto" w:fill="FFFFFF"/>
        </w:rPr>
        <w:t>La Agencia Nacional de Contratación Pública – Colombia Compra Eficiente se ha pronunciado en varias ocasiones sobre los precios unitarios en los Conceptos 4201714000005136 del 14 de noviembre de 2017; 4201714000006401 del 23 de noviembre de 2017; 4201813000004155 del 9 de mayo de 2018; 4201814000008069 del 27 de septiembre de 2018; 4201814000007383 del 18 de octubre de 2018; 4201814000008069 del 13 de noviembre de 2018; 4201912000004214 del 26 de junio de 2019; 4201912000006455 y 4201912000006463 del 19 de septiembre de 2019; 4201912000007375 del 28 de octubre de 2019; 4201912000007092 del 29 de noviembre de 2019; 4202012000000093, C–037 del 28 de enero de 2020, 4202012000000664 del 30 de enero de 2020, C-191 del 16 de marzo de 2020, C-211 del 8 de abril de 2020, C-714 del 9 de diciembre de 2020, C-059 del 10 de marzo de 2021, C-613 del 6 de octubre de 2022, C-716 de 15 de noviembre de 2022, C-802 de 23 de noviembre de 2022, C-854 del 9 de diciembre de 2022, C-914 del 27 de diciembre de 2022, C-361 de septiembre de 2023, el C-401 del 27 de septiembre de 2023</w:t>
      </w:r>
      <w:r>
        <w:rPr>
          <w:rFonts w:ascii="Verdana" w:eastAsia="Calibri" w:hAnsi="Verdana" w:cs="Arial"/>
          <w:bCs/>
          <w:shd w:val="clear" w:color="auto" w:fill="FFFFFF"/>
        </w:rPr>
        <w:t xml:space="preserve">, </w:t>
      </w:r>
      <w:r w:rsidRPr="00C764B7">
        <w:rPr>
          <w:rFonts w:ascii="Verdana" w:eastAsia="Calibri" w:hAnsi="Verdana" w:cs="Arial"/>
          <w:bCs/>
          <w:shd w:val="clear" w:color="auto" w:fill="FFFFFF"/>
        </w:rPr>
        <w:t>C-1000 del 13 de enero del 2025</w:t>
      </w:r>
      <w:r>
        <w:rPr>
          <w:rFonts w:ascii="Verdana" w:eastAsia="Calibri" w:hAnsi="Verdana" w:cs="Arial"/>
          <w:bCs/>
          <w:shd w:val="clear" w:color="auto" w:fill="FFFFFF"/>
          <w:lang w:val="es-ES_tradnl"/>
        </w:rPr>
        <w:t>, C-133 del 16 de marzo de 2026, C-510 del 11 de mayo de 2026, C-731 del 16 de junio de 2026,</w:t>
      </w:r>
      <w:r w:rsidRPr="00DA61E0">
        <w:rPr>
          <w:rFonts w:ascii="Verdana" w:eastAsia="Calibri" w:hAnsi="Verdana" w:cs="Arial"/>
          <w:bCs/>
          <w:shd w:val="clear" w:color="auto" w:fill="FFFFFF"/>
          <w:lang w:val="es-ES_tradnl"/>
        </w:rPr>
        <w:t xml:space="preserve"> entre otros.</w:t>
      </w:r>
      <w:r w:rsidRPr="00DA61E0">
        <w:rPr>
          <w:rFonts w:ascii="Verdana" w:eastAsia="Calibri" w:hAnsi="Verdana" w:cs="Times New Roman"/>
        </w:rPr>
        <w:t xml:space="preserve"> </w:t>
      </w:r>
      <w:r>
        <w:rPr>
          <w:rFonts w:ascii="Verdana" w:eastAsia="Calibri" w:hAnsi="Verdana" w:cs="Times New Roman"/>
        </w:rPr>
        <w:t xml:space="preserve">Así mismo, esta Agencia retoma lo expuesto en el Concepto C- 563 del 21 de octubre de 2024 y el C-308 del 28 de abril de 2025. </w:t>
      </w:r>
      <w:r w:rsidRPr="00DA61E0">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249FC699" w14:textId="77777777" w:rsidR="00EB3B48" w:rsidRPr="00DA61E0" w:rsidRDefault="00EB3B48" w:rsidP="00EB3B48">
      <w:pPr>
        <w:spacing w:after="0" w:line="276" w:lineRule="auto"/>
        <w:jc w:val="both"/>
        <w:rPr>
          <w:rFonts w:ascii="Verdana" w:eastAsia="Calibri" w:hAnsi="Verdana" w:cs="Times New Roman"/>
        </w:rPr>
      </w:pPr>
      <w:hyperlink r:id="rId13" w:history="1">
        <w:r w:rsidRPr="00DA61E0">
          <w:rPr>
            <w:rFonts w:ascii="Verdana" w:eastAsia="Calibri" w:hAnsi="Verdana" w:cs="Times New Roman"/>
            <w:color w:val="0000FF"/>
            <w:u w:val="single"/>
          </w:rPr>
          <w:t>https://www.colombiacompra.gov.co/normativa-y-relatoria/conoce-la-relatoria</w:t>
        </w:r>
      </w:hyperlink>
      <w:r w:rsidRPr="00DA61E0">
        <w:rPr>
          <w:rFonts w:ascii="Verdana" w:eastAsia="Calibri" w:hAnsi="Verdana" w:cs="Times New Roman"/>
        </w:rPr>
        <w:t xml:space="preserve"> </w:t>
      </w:r>
    </w:p>
    <w:p w14:paraId="209296C7" w14:textId="77777777" w:rsidR="00EB3B48" w:rsidRPr="00DA61E0" w:rsidRDefault="00EB3B48" w:rsidP="00EB3B48">
      <w:pPr>
        <w:spacing w:after="0" w:line="276" w:lineRule="auto"/>
        <w:jc w:val="both"/>
        <w:rPr>
          <w:rFonts w:ascii="Verdana" w:eastAsia="Verdana" w:hAnsi="Verdana" w:cs="Verdana"/>
          <w:bCs/>
        </w:rPr>
      </w:pPr>
    </w:p>
    <w:p w14:paraId="32AF16CD" w14:textId="77777777" w:rsidR="00EB3B48" w:rsidRPr="00DA61E0" w:rsidRDefault="00EB3B48" w:rsidP="00EB3B48">
      <w:pPr>
        <w:spacing w:after="0" w:line="276" w:lineRule="auto"/>
        <w:jc w:val="both"/>
        <w:rPr>
          <w:rFonts w:ascii="Verdana" w:eastAsia="Calibri" w:hAnsi="Verdana" w:cs="Times New Roman"/>
        </w:rPr>
      </w:pPr>
      <w:r w:rsidRPr="00DA61E0">
        <w:rPr>
          <w:rFonts w:ascii="Verdana" w:eastAsia="Calibri" w:hAnsi="Verdana" w:cs="Times New Roman"/>
        </w:rPr>
        <w:t xml:space="preserve">La sostenibilidad no es una opción, es una obligación. Por ello, la Agencia Nacional de Contratación Pública –Colombia Compra Eficiente– te invita a realizar el </w:t>
      </w:r>
      <w:r w:rsidRPr="00DA61E0">
        <w:rPr>
          <w:rFonts w:ascii="Verdana" w:eastAsia="Calibri" w:hAnsi="Verdana" w:cs="Times New Roman"/>
          <w:b/>
          <w:bCs/>
        </w:rPr>
        <w:t>Curso de Contratación Pública Sostenible y Socialmente Responsable</w:t>
      </w:r>
      <w:r w:rsidRPr="00DA61E0">
        <w:rPr>
          <w:rFonts w:ascii="Verdana" w:eastAsia="Calibri" w:hAnsi="Verdana"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DA61E0">
        <w:rPr>
          <w:rFonts w:ascii="Verdana" w:eastAsia="Calibri" w:hAnsi="Verdana" w:cs="Times New Roman"/>
        </w:rPr>
        <w:br/>
      </w:r>
      <w:hyperlink r:id="rId14" w:tgtFrame="_new" w:history="1">
        <w:r w:rsidRPr="00DA61E0">
          <w:rPr>
            <w:rFonts w:ascii="Verdana" w:eastAsia="Calibri" w:hAnsi="Verdana" w:cs="Times New Roman"/>
            <w:color w:val="0000FF"/>
            <w:u w:val="single"/>
          </w:rPr>
          <w:t>https://formacionvirtual.colombiacompra.gov.co/mod/page/view.php?id=3718</w:t>
        </w:r>
      </w:hyperlink>
    </w:p>
    <w:p w14:paraId="020A8D65" w14:textId="77777777" w:rsidR="00EB3B48" w:rsidRPr="00DA61E0" w:rsidRDefault="00EB3B48" w:rsidP="00EB3B48">
      <w:pPr>
        <w:spacing w:after="0" w:line="276" w:lineRule="auto"/>
        <w:jc w:val="both"/>
        <w:rPr>
          <w:rFonts w:ascii="Verdana" w:eastAsia="Calibri" w:hAnsi="Verdana" w:cs="Times New Roman"/>
        </w:rPr>
      </w:pPr>
    </w:p>
    <w:p w14:paraId="69DF03C7" w14:textId="77777777" w:rsidR="00EB3B48" w:rsidRPr="00DA61E0" w:rsidRDefault="00EB3B48" w:rsidP="00EB3B48">
      <w:pPr>
        <w:spacing w:after="0" w:line="276" w:lineRule="auto"/>
        <w:jc w:val="both"/>
        <w:rPr>
          <w:rFonts w:ascii="Verdana" w:eastAsia="Calibri" w:hAnsi="Verdana" w:cs="Times New Roman"/>
        </w:rPr>
      </w:pPr>
      <w:r w:rsidRPr="00DA61E0">
        <w:rPr>
          <w:rFonts w:ascii="Verdana" w:eastAsia="Calibri" w:hAnsi="Verdana" w:cs="Times New Roman"/>
        </w:rPr>
        <w:lastRenderedPageBreak/>
        <w:t xml:space="preserve">De otro lado, te contamos que esta Agencia ha da un paso decisivo en la estandarización y modernización del </w:t>
      </w:r>
      <w:r w:rsidRPr="00DA61E0">
        <w:rPr>
          <w:rFonts w:ascii="Verdana" w:eastAsia="Calibri" w:hAnsi="Verdana" w:cs="Times New Roman"/>
          <w:b/>
          <w:bCs/>
        </w:rPr>
        <w:t>sector  social</w:t>
      </w:r>
      <w:r w:rsidRPr="00DA61E0">
        <w:rPr>
          <w:rFonts w:ascii="Verdana" w:eastAsia="Calibri" w:hAnsi="Verdana" w:cs="Times New Roman"/>
        </w:rPr>
        <w:t xml:space="preserve"> con la expedición de las </w:t>
      </w:r>
      <w:r w:rsidRPr="00DA61E0">
        <w:rPr>
          <w:rFonts w:ascii="Verdana" w:eastAsia="Calibri" w:hAnsi="Verdana" w:cs="Times New Roman"/>
          <w:b/>
          <w:bCs/>
        </w:rPr>
        <w:t>Resoluciones 539, 540, 541, 952 y 953 de 2025</w:t>
      </w:r>
      <w:r w:rsidRPr="00DA61E0">
        <w:rPr>
          <w:rFonts w:ascii="Verdana" w:eastAsia="Calibri" w:hAnsi="Verdana" w:cs="Times New Roman"/>
        </w:rPr>
        <w:t xml:space="preserve">, </w:t>
      </w:r>
      <w:r w:rsidRPr="00DA61E0">
        <w:rPr>
          <w:rFonts w:ascii="Verdana" w:eastAsia="Calibri" w:hAnsi="Verdana" w:cs="Times New Roman"/>
          <w:b/>
          <w:bCs/>
        </w:rPr>
        <w:t>mediante las cuales adoptó Documentos Tipo</w:t>
      </w:r>
      <w:r w:rsidRPr="00DA61E0">
        <w:rPr>
          <w:rFonts w:ascii="Verdana" w:eastAsia="Calibri" w:hAnsi="Verdana" w:cs="Times New Roman"/>
        </w:rPr>
        <w:t xml:space="preserve"> para las modalidades de selección de</w:t>
      </w:r>
      <w:r w:rsidRPr="00DA61E0">
        <w:rPr>
          <w:rFonts w:ascii="Verdana" w:eastAsia="Calibri" w:hAnsi="Verdana" w:cs="Times New Roman"/>
          <w:b/>
          <w:bCs/>
        </w:rPr>
        <w:t xml:space="preserve"> licitación pública (versión 2), selección abreviada de menor cuantía, mínima cuantía, consultoría e interventoría</w:t>
      </w:r>
      <w:r w:rsidRPr="00DA61E0">
        <w:rPr>
          <w:rFonts w:ascii="Verdana" w:eastAsia="Calibri" w:hAnsi="Verdana"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DA61E0">
          <w:rPr>
            <w:rFonts w:ascii="Verdana" w:eastAsia="Calibri" w:hAnsi="Verdana" w:cs="Times New Roman"/>
            <w:color w:val="0000FF"/>
            <w:u w:val="single"/>
          </w:rPr>
          <w:t>https://www.colombiacompra.gov.co/normativa-y-relatoria/documentos-tipo</w:t>
        </w:r>
      </w:hyperlink>
    </w:p>
    <w:p w14:paraId="2BA0C9F4" w14:textId="77777777" w:rsidR="00EB3B48" w:rsidRPr="00DA61E0" w:rsidRDefault="00EB3B48" w:rsidP="00EB3B48">
      <w:pPr>
        <w:spacing w:after="0" w:line="276" w:lineRule="auto"/>
        <w:jc w:val="both"/>
        <w:rPr>
          <w:rFonts w:ascii="Verdana" w:eastAsia="Calibri" w:hAnsi="Verdana" w:cs="Times New Roman"/>
        </w:rPr>
      </w:pPr>
    </w:p>
    <w:p w14:paraId="52706C42" w14:textId="77777777" w:rsidR="00EB3B48" w:rsidRPr="00DA61E0" w:rsidRDefault="00EB3B48" w:rsidP="00EB3B48">
      <w:pPr>
        <w:spacing w:after="0" w:line="276" w:lineRule="auto"/>
        <w:jc w:val="both"/>
        <w:rPr>
          <w:rFonts w:ascii="Verdana" w:eastAsia="Calibri" w:hAnsi="Verdana" w:cs="Times New Roman"/>
        </w:rPr>
      </w:pPr>
      <w:r w:rsidRPr="00DA61E0">
        <w:rPr>
          <w:rFonts w:ascii="Verdana" w:eastAsia="Calibri" w:hAnsi="Verdana" w:cs="Times New Roman"/>
        </w:rPr>
        <w:t xml:space="preserve">Si quieres conocer más sobre la aplicación de Documentos Tipo puedes consultar la última versión de la </w:t>
      </w:r>
      <w:r w:rsidRPr="00DA61E0">
        <w:rPr>
          <w:rFonts w:ascii="Verdana" w:eastAsia="Calibri" w:hAnsi="Verdana" w:cs="Times New Roman"/>
          <w:b/>
          <w:bCs/>
        </w:rPr>
        <w:t>Guía para la comprensión e implementación de los Documentos Tipo de obra pública de infraestructura de transporte</w:t>
      </w:r>
      <w:r w:rsidRPr="00DA61E0">
        <w:rPr>
          <w:rFonts w:ascii="Verdana" w:eastAsia="Calibri" w:hAnsi="Verdana"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DA61E0">
        <w:rPr>
          <w:rFonts w:ascii="Verdana" w:eastAsia="Calibri" w:hAnsi="Verdana" w:cs="Times New Roman"/>
        </w:rPr>
        <w:br/>
      </w:r>
      <w:hyperlink r:id="rId16" w:tgtFrame="_new" w:history="1">
        <w:r w:rsidRPr="00DA61E0">
          <w:rPr>
            <w:rFonts w:ascii="Verdana" w:eastAsia="Calibri" w:hAnsi="Verdana" w:cs="Times New Roman"/>
            <w:color w:val="0000FF"/>
            <w:u w:val="single"/>
          </w:rPr>
          <w:t>https://www.colombiacompra.gov.co/archivos/manual/guia-para-la-comprension-e-implementacion-de-los-documentos-tipo-de-obra-publica-de-infraestructura-de-transporte-bajo-las-diferentes-modalidades-de-contratacion-vigentes</w:t>
        </w:r>
      </w:hyperlink>
    </w:p>
    <w:p w14:paraId="3DF5F8EB" w14:textId="77777777" w:rsidR="00EB3B48" w:rsidRPr="00DA61E0" w:rsidRDefault="00EB3B48" w:rsidP="00EB3B48">
      <w:pPr>
        <w:spacing w:after="0" w:line="276" w:lineRule="auto"/>
        <w:jc w:val="both"/>
        <w:rPr>
          <w:rFonts w:ascii="Verdana" w:eastAsia="Calibri" w:hAnsi="Verdana" w:cs="Times New Roman"/>
        </w:rPr>
      </w:pPr>
    </w:p>
    <w:p w14:paraId="205B1A27" w14:textId="77777777" w:rsidR="00EB3B48" w:rsidRPr="00DA61E0" w:rsidRDefault="00EB3B48" w:rsidP="00EB3B48">
      <w:pPr>
        <w:spacing w:after="0" w:line="276" w:lineRule="auto"/>
        <w:jc w:val="both"/>
        <w:rPr>
          <w:rFonts w:ascii="Verdana" w:eastAsia="Calibri" w:hAnsi="Verdana" w:cs="Times New Roman"/>
        </w:rPr>
      </w:pPr>
      <w:r w:rsidRPr="00DA61E0">
        <w:rPr>
          <w:rFonts w:ascii="Verdana" w:eastAsia="Calibri" w:hAnsi="Verdana" w:cs="Times New Roman"/>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62070848" w14:textId="77777777" w:rsidR="00EB3B48" w:rsidRPr="00DA61E0" w:rsidRDefault="00EB3B48" w:rsidP="00EB3B48">
      <w:pPr>
        <w:spacing w:after="0" w:line="276" w:lineRule="auto"/>
        <w:jc w:val="both"/>
        <w:rPr>
          <w:rFonts w:ascii="Verdana" w:eastAsia="Calibri" w:hAnsi="Verdana" w:cs="Times New Roman"/>
        </w:rPr>
      </w:pPr>
    </w:p>
    <w:p w14:paraId="42D5A240" w14:textId="77777777" w:rsidR="00EB3B48" w:rsidRPr="00DA61E0" w:rsidRDefault="00EB3B48" w:rsidP="00EB3B48">
      <w:pPr>
        <w:numPr>
          <w:ilvl w:val="0"/>
          <w:numId w:val="15"/>
        </w:numPr>
        <w:spacing w:after="0" w:line="276" w:lineRule="auto"/>
        <w:jc w:val="both"/>
        <w:rPr>
          <w:rFonts w:ascii="Verdana" w:eastAsia="Verdana" w:hAnsi="Verdana" w:cs="Verdana"/>
          <w:color w:val="4472C4" w:themeColor="accent1"/>
          <w:u w:val="single"/>
          <w:lang w:val="es-MX"/>
        </w:rPr>
      </w:pPr>
      <w:r w:rsidRPr="00DA61E0">
        <w:rPr>
          <w:rFonts w:ascii="Verdana" w:eastAsia="Verdana" w:hAnsi="Verdana" w:cs="Verdana"/>
          <w:lang w:val="es-MX"/>
        </w:rPr>
        <w:t xml:space="preserve">Línea nacional gratuita o servicio a la ciudadanía (Mesa de servicio): </w:t>
      </w:r>
      <w:r w:rsidRPr="00DA61E0">
        <w:rPr>
          <w:rFonts w:ascii="Verdana" w:eastAsia="Calibri" w:hAnsi="Verdana" w:cs="Times New Roman"/>
          <w:color w:val="0000FF"/>
          <w:u w:val="single"/>
          <w:lang w:val="es-ES"/>
        </w:rPr>
        <w:t>01800 0520808</w:t>
      </w:r>
    </w:p>
    <w:p w14:paraId="18BE40E7" w14:textId="77777777" w:rsidR="00EB3B48" w:rsidRPr="00DA61E0" w:rsidRDefault="00EB3B48" w:rsidP="00EB3B48">
      <w:pPr>
        <w:numPr>
          <w:ilvl w:val="0"/>
          <w:numId w:val="15"/>
        </w:numPr>
        <w:spacing w:after="0" w:line="276" w:lineRule="auto"/>
        <w:jc w:val="both"/>
        <w:rPr>
          <w:rFonts w:ascii="Verdana" w:eastAsia="Verdana" w:hAnsi="Verdana" w:cs="Verdana"/>
          <w:color w:val="4472C4" w:themeColor="accent1"/>
          <w:u w:val="single"/>
          <w:lang w:val="es-MX"/>
        </w:rPr>
      </w:pPr>
      <w:r w:rsidRPr="00DA61E0">
        <w:rPr>
          <w:rFonts w:ascii="Verdana" w:eastAsia="Verdana" w:hAnsi="Verdana" w:cs="Verdana"/>
          <w:lang w:val="es-MX"/>
        </w:rPr>
        <w:t>Línea en Bogotá (Mesa de servicio):</w:t>
      </w:r>
      <w:r w:rsidRPr="00DA61E0">
        <w:rPr>
          <w:rFonts w:ascii="Verdana" w:eastAsia="Calibri" w:hAnsi="Verdana" w:cs="Times New Roman"/>
          <w:color w:val="0000FF"/>
          <w:u w:val="single"/>
          <w:lang w:val="es-ES"/>
        </w:rPr>
        <w:t>+57 601 7456788</w:t>
      </w:r>
    </w:p>
    <w:p w14:paraId="55CC949D" w14:textId="77777777" w:rsidR="00EB3B48" w:rsidRPr="00DA61E0" w:rsidRDefault="00EB3B48" w:rsidP="00EB3B48">
      <w:pPr>
        <w:numPr>
          <w:ilvl w:val="0"/>
          <w:numId w:val="15"/>
        </w:numPr>
        <w:spacing w:after="0" w:line="276" w:lineRule="auto"/>
        <w:jc w:val="both"/>
        <w:rPr>
          <w:rFonts w:ascii="Verdana" w:eastAsia="Verdana" w:hAnsi="Verdana" w:cs="Verdana"/>
          <w:color w:val="0000FF"/>
          <w:u w:val="single"/>
          <w:lang w:val="es-MX"/>
        </w:rPr>
      </w:pPr>
      <w:r w:rsidRPr="00DA61E0">
        <w:rPr>
          <w:rFonts w:ascii="Verdana" w:eastAsia="Verdana" w:hAnsi="Verdana" w:cs="Verdana"/>
          <w:lang w:val="es-MX"/>
        </w:rPr>
        <w:t xml:space="preserve">Correo de radicación de correspondencia: </w:t>
      </w:r>
      <w:hyperlink r:id="rId17" w:history="1">
        <w:r w:rsidRPr="00DA61E0">
          <w:rPr>
            <w:rFonts w:ascii="Verdana" w:eastAsia="Verdana" w:hAnsi="Verdana" w:cs="Verdana"/>
            <w:color w:val="0000FF"/>
            <w:u w:val="single"/>
            <w:lang w:val="es-MX"/>
          </w:rPr>
          <w:t>ventanilladeradicacion@colombiacompra.gov.co</w:t>
        </w:r>
      </w:hyperlink>
    </w:p>
    <w:p w14:paraId="246E3BCE" w14:textId="77777777" w:rsidR="00EB3B48" w:rsidRPr="00DA61E0" w:rsidRDefault="00EB3B48" w:rsidP="00EB3B48">
      <w:pPr>
        <w:numPr>
          <w:ilvl w:val="0"/>
          <w:numId w:val="15"/>
        </w:numPr>
        <w:spacing w:after="0" w:line="276" w:lineRule="auto"/>
        <w:jc w:val="both"/>
        <w:rPr>
          <w:rFonts w:ascii="Verdana" w:eastAsia="Verdana" w:hAnsi="Verdana" w:cs="Verdana"/>
          <w:color w:val="0000FF"/>
          <w:u w:val="single"/>
          <w:lang w:val="es-MX"/>
        </w:rPr>
      </w:pPr>
      <w:r w:rsidRPr="00DA61E0">
        <w:rPr>
          <w:rFonts w:ascii="Verdana" w:eastAsia="Verdana" w:hAnsi="Verdana" w:cs="Verdana"/>
          <w:lang w:val="es-ES"/>
        </w:rPr>
        <w:lastRenderedPageBreak/>
        <w:t xml:space="preserve">Formulario web para PQRSD: </w:t>
      </w:r>
      <w:hyperlink r:id="rId18" w:history="1">
        <w:r w:rsidRPr="00DA61E0">
          <w:rPr>
            <w:rFonts w:ascii="Verdana" w:eastAsia="Verdana" w:hAnsi="Verdana" w:cs="Verdana"/>
            <w:color w:val="0000FF"/>
            <w:u w:val="single"/>
            <w:lang w:val="es-MX"/>
          </w:rPr>
          <w:t>https://www.colombiacompra.gov.co/pqrsd/informacion-importante-antes-de-formular-una-pqrsd</w:t>
        </w:r>
      </w:hyperlink>
    </w:p>
    <w:p w14:paraId="33F90F79" w14:textId="77777777" w:rsidR="00EB3B48" w:rsidRPr="00DA61E0" w:rsidRDefault="00EB3B48" w:rsidP="00EB3B48">
      <w:pPr>
        <w:spacing w:after="0" w:line="276" w:lineRule="auto"/>
        <w:ind w:left="720"/>
        <w:jc w:val="both"/>
        <w:rPr>
          <w:rFonts w:ascii="Verdana" w:eastAsia="Calibri" w:hAnsi="Verdana" w:cs="Times New Roman"/>
        </w:rPr>
      </w:pPr>
    </w:p>
    <w:p w14:paraId="74D3734A" w14:textId="77777777" w:rsidR="00EB3B48" w:rsidRPr="00DA61E0" w:rsidRDefault="00EB3B48" w:rsidP="00EB3B48">
      <w:pPr>
        <w:spacing w:after="0" w:line="276" w:lineRule="auto"/>
        <w:jc w:val="both"/>
        <w:rPr>
          <w:rFonts w:ascii="Verdana" w:eastAsia="Calibri" w:hAnsi="Verdana" w:cs="Times New Roman"/>
        </w:rPr>
      </w:pPr>
      <w:r w:rsidRPr="00DA61E0">
        <w:rPr>
          <w:rFonts w:ascii="Verdana" w:eastAsia="Calibri" w:hAnsi="Verdana" w:cs="Times New Roman"/>
        </w:rPr>
        <w:t>Evalúa el servicio que ofrece la Agencia por el canal de atención de PQRSD en el siguiente enlace :</w:t>
      </w:r>
      <w:hyperlink r:id="rId19" w:tgtFrame="_blank" w:tooltip="https://forms.office.com/r/pphywvs2sz" w:history="1">
        <w:r w:rsidRPr="00DA61E0">
          <w:rPr>
            <w:rFonts w:ascii="Verdana" w:eastAsia="Calibri" w:hAnsi="Verdana" w:cs="Times New Roman"/>
            <w:color w:val="0000FF"/>
            <w:u w:val="single"/>
          </w:rPr>
          <w:t>https://forms.office.com/r/pPHyWVs2SZ</w:t>
        </w:r>
      </w:hyperlink>
      <w:r w:rsidRPr="00DA61E0">
        <w:rPr>
          <w:rFonts w:ascii="Verdana" w:eastAsia="Calibri" w:hAnsi="Verdana" w:cs="Times New Roman"/>
        </w:rPr>
        <w:t xml:space="preserve"> .¡Ayúdanos a mejorar porque el compromiso es de todos!</w:t>
      </w:r>
    </w:p>
    <w:p w14:paraId="6EFAD205" w14:textId="77777777" w:rsidR="00EB3B48" w:rsidRPr="00DA61E0" w:rsidRDefault="00EB3B48" w:rsidP="00EB3B48">
      <w:pPr>
        <w:spacing w:after="0" w:line="276" w:lineRule="auto"/>
        <w:jc w:val="both"/>
        <w:rPr>
          <w:rFonts w:ascii="Verdana" w:eastAsia="Calibri" w:hAnsi="Verdana" w:cs="Times New Roman"/>
        </w:rPr>
      </w:pPr>
    </w:p>
    <w:p w14:paraId="2757F8A3" w14:textId="77777777" w:rsidR="00EB3B48" w:rsidRPr="00DA61E0" w:rsidRDefault="00EB3B48" w:rsidP="00EB3B48">
      <w:pPr>
        <w:spacing w:after="0" w:line="276" w:lineRule="auto"/>
        <w:jc w:val="both"/>
        <w:rPr>
          <w:rFonts w:ascii="Verdana" w:eastAsia="Calibri" w:hAnsi="Verdana" w:cs="Times New Roman"/>
        </w:rPr>
      </w:pPr>
      <w:r w:rsidRPr="00DA61E0">
        <w:rPr>
          <w:rFonts w:ascii="Verdana" w:eastAsia="Calibri" w:hAnsi="Verdana" w:cs="Times New Roman"/>
        </w:rPr>
        <w:t xml:space="preserve">Por último, lo invitamos a seguirnos en las redes sociales en las cuales se difunde información institucional: </w:t>
      </w:r>
    </w:p>
    <w:p w14:paraId="74EA5190" w14:textId="77777777" w:rsidR="00EB3B48" w:rsidRPr="00DA61E0" w:rsidRDefault="00EB3B48" w:rsidP="00EB3B48">
      <w:pPr>
        <w:spacing w:after="0" w:line="276" w:lineRule="auto"/>
        <w:jc w:val="both"/>
        <w:rPr>
          <w:rFonts w:ascii="Verdana" w:eastAsia="Calibri" w:hAnsi="Verdana" w:cs="Times New Roman"/>
        </w:rPr>
      </w:pPr>
    </w:p>
    <w:p w14:paraId="5C480509" w14:textId="77777777" w:rsidR="00EB3B48" w:rsidRPr="00DA61E0" w:rsidRDefault="00EB3B48" w:rsidP="00EB3B48">
      <w:pPr>
        <w:spacing w:after="0" w:line="276" w:lineRule="auto"/>
        <w:jc w:val="both"/>
        <w:rPr>
          <w:rFonts w:ascii="Verdana" w:eastAsia="Calibri" w:hAnsi="Verdana" w:cs="Times New Roman"/>
        </w:rPr>
      </w:pPr>
      <w:r w:rsidRPr="00DA61E0">
        <w:rPr>
          <w:rFonts w:ascii="Verdana" w:eastAsia="Calibri" w:hAnsi="Verdana" w:cs="Times New Roman"/>
        </w:rPr>
        <w:t xml:space="preserve">Twitter: </w:t>
      </w:r>
      <w:r w:rsidRPr="00DA61E0">
        <w:rPr>
          <w:rFonts w:ascii="Verdana" w:eastAsia="Calibri" w:hAnsi="Verdana" w:cs="Times New Roman"/>
          <w:color w:val="0000FF"/>
          <w:u w:val="single"/>
        </w:rPr>
        <w:t>@colombiacompra</w:t>
      </w:r>
      <w:r w:rsidRPr="00DA61E0">
        <w:rPr>
          <w:rFonts w:ascii="Verdana" w:eastAsia="Calibri" w:hAnsi="Verdana" w:cs="Times New Roman"/>
        </w:rPr>
        <w:t xml:space="preserve"> </w:t>
      </w:r>
    </w:p>
    <w:p w14:paraId="51F610B2" w14:textId="77777777" w:rsidR="00EB3B48" w:rsidRPr="00DA61E0" w:rsidRDefault="00EB3B48" w:rsidP="00EB3B48">
      <w:pPr>
        <w:spacing w:after="0" w:line="276" w:lineRule="auto"/>
        <w:jc w:val="both"/>
        <w:rPr>
          <w:rFonts w:ascii="Verdana" w:eastAsia="Calibri" w:hAnsi="Verdana" w:cs="Times New Roman"/>
        </w:rPr>
      </w:pPr>
      <w:r w:rsidRPr="00DA61E0">
        <w:rPr>
          <w:rFonts w:ascii="Verdana" w:eastAsia="Calibri" w:hAnsi="Verdana" w:cs="Times New Roman"/>
        </w:rPr>
        <w:t xml:space="preserve">Facebook: </w:t>
      </w:r>
      <w:r w:rsidRPr="00DA61E0">
        <w:rPr>
          <w:rFonts w:ascii="Verdana" w:eastAsia="Calibri" w:hAnsi="Verdana" w:cs="Times New Roman"/>
          <w:color w:val="0000FF"/>
          <w:u w:val="single"/>
        </w:rPr>
        <w:t>ColombiaCompraEficiente</w:t>
      </w:r>
    </w:p>
    <w:p w14:paraId="67EB621D" w14:textId="77777777" w:rsidR="00EB3B48" w:rsidRPr="00DA61E0" w:rsidRDefault="00EB3B48" w:rsidP="00EB3B48">
      <w:pPr>
        <w:spacing w:after="0" w:line="276" w:lineRule="auto"/>
        <w:jc w:val="both"/>
        <w:rPr>
          <w:rFonts w:ascii="Verdana" w:eastAsia="Calibri" w:hAnsi="Verdana" w:cs="Times New Roman"/>
        </w:rPr>
      </w:pPr>
      <w:r w:rsidRPr="00DA61E0">
        <w:rPr>
          <w:rFonts w:ascii="Verdana" w:eastAsia="Calibri" w:hAnsi="Verdana" w:cs="Times New Roman"/>
        </w:rPr>
        <w:t xml:space="preserve">LinkedIn: </w:t>
      </w:r>
      <w:r w:rsidRPr="00DA61E0">
        <w:rPr>
          <w:rFonts w:ascii="Verdana" w:eastAsia="Calibri" w:hAnsi="Verdana" w:cs="Times New Roman"/>
          <w:color w:val="0000FF"/>
          <w:u w:val="single"/>
        </w:rPr>
        <w:t>Agencia Nacional de Contratación Pública - Colombia Compra Eficiente</w:t>
      </w:r>
      <w:r w:rsidRPr="00DA61E0">
        <w:rPr>
          <w:rFonts w:ascii="Verdana" w:eastAsia="Calibri" w:hAnsi="Verdana" w:cs="Times New Roman"/>
        </w:rPr>
        <w:t xml:space="preserve"> Instagram: </w:t>
      </w:r>
      <w:r w:rsidRPr="00DA61E0">
        <w:rPr>
          <w:rFonts w:ascii="Verdana" w:eastAsia="Calibri" w:hAnsi="Verdana" w:cs="Times New Roman"/>
          <w:color w:val="0000FF"/>
          <w:u w:val="single"/>
        </w:rPr>
        <w:t>@colombiacompraeficiente_cce</w:t>
      </w:r>
    </w:p>
    <w:p w14:paraId="4C1FF07D" w14:textId="77777777" w:rsidR="00EB3B48" w:rsidRPr="00DA61E0" w:rsidRDefault="00EB3B48" w:rsidP="00EB3B48">
      <w:pPr>
        <w:spacing w:after="0" w:line="276" w:lineRule="auto"/>
        <w:jc w:val="both"/>
        <w:rPr>
          <w:rFonts w:ascii="Verdana" w:eastAsia="Calibri" w:hAnsi="Verdana" w:cs="Times New Roman"/>
        </w:rPr>
      </w:pPr>
    </w:p>
    <w:p w14:paraId="0059D237" w14:textId="77777777" w:rsidR="00EB3B48" w:rsidRPr="00DA61E0" w:rsidRDefault="00EB3B48" w:rsidP="00EB3B48">
      <w:pPr>
        <w:spacing w:after="0" w:line="276" w:lineRule="auto"/>
        <w:jc w:val="both"/>
        <w:rPr>
          <w:rFonts w:ascii="Verdana" w:eastAsia="Calibri" w:hAnsi="Verdana" w:cs="Times New Roman"/>
          <w:bCs/>
          <w:lang w:val="es-ES_tradnl"/>
        </w:rPr>
      </w:pPr>
      <w:r w:rsidRPr="00DA61E0">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10E2438D" w14:textId="77777777" w:rsidR="00EB3B48" w:rsidRPr="00DA61E0" w:rsidRDefault="00EB3B48" w:rsidP="00EB3B48">
      <w:pPr>
        <w:spacing w:after="0" w:line="276" w:lineRule="auto"/>
        <w:jc w:val="both"/>
        <w:rPr>
          <w:rFonts w:ascii="Verdana" w:eastAsia="Calibri" w:hAnsi="Verdana" w:cs="Times New Roman"/>
          <w:lang w:val="es-ES_tradnl"/>
        </w:rPr>
      </w:pPr>
    </w:p>
    <w:p w14:paraId="53463B36" w14:textId="77777777" w:rsidR="00EB3B48" w:rsidRDefault="00EB3B48" w:rsidP="00EB3B48">
      <w:pPr>
        <w:spacing w:after="0" w:line="276" w:lineRule="auto"/>
        <w:jc w:val="both"/>
        <w:rPr>
          <w:rFonts w:ascii="Verdana" w:eastAsia="Calibri" w:hAnsi="Verdana" w:cs="Times New Roman"/>
        </w:rPr>
      </w:pPr>
      <w:r w:rsidRPr="00DA61E0">
        <w:rPr>
          <w:rFonts w:ascii="Verdana" w:eastAsia="Calibri" w:hAnsi="Verdana" w:cs="Times New Roman"/>
        </w:rPr>
        <w:t>Atentamente,</w:t>
      </w:r>
    </w:p>
    <w:p w14:paraId="485A574C" w14:textId="77777777" w:rsidR="00EB3B48" w:rsidRPr="00DA61E0" w:rsidRDefault="00EB3B48" w:rsidP="00EB3B48">
      <w:pPr>
        <w:spacing w:after="0" w:line="276" w:lineRule="auto"/>
        <w:jc w:val="both"/>
        <w:rPr>
          <w:rFonts w:ascii="Verdana" w:eastAsia="Calibri" w:hAnsi="Verdana" w:cs="Times New Roman"/>
        </w:rPr>
      </w:pPr>
    </w:p>
    <w:p w14:paraId="4CD3D201" w14:textId="2696E05C" w:rsidR="00EB3B48" w:rsidRPr="00DA61E0" w:rsidRDefault="00A7479E" w:rsidP="00EB3B48">
      <w:pPr>
        <w:spacing w:after="0" w:line="254" w:lineRule="auto"/>
        <w:jc w:val="center"/>
        <w:rPr>
          <w:rFonts w:ascii="Century Gothic" w:eastAsia="Calibri" w:hAnsi="Century Gothic" w:cs="Times New Roman"/>
          <w:noProof/>
          <w:lang w:val="en-US"/>
        </w:rPr>
      </w:pPr>
      <w:r w:rsidRPr="002C3AD6">
        <w:rPr>
          <w:rFonts w:ascii="Century Gothic" w:hAnsi="Century Gothic"/>
          <w:noProof/>
          <w:lang w:val="en-US"/>
        </w:rPr>
        <w:drawing>
          <wp:inline distT="0" distB="0" distL="0" distR="0" wp14:anchorId="0529E644" wp14:editId="33738510">
            <wp:extent cx="3772426" cy="1400370"/>
            <wp:effectExtent l="0" t="0" r="0" b="9525"/>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0"/>
                    <a:stretch>
                      <a:fillRect/>
                    </a:stretch>
                  </pic:blipFill>
                  <pic:spPr>
                    <a:xfrm>
                      <a:off x="0" y="0"/>
                      <a:ext cx="3772426" cy="1400370"/>
                    </a:xfrm>
                    <a:prstGeom prst="rect">
                      <a:avLst/>
                    </a:prstGeom>
                  </pic:spPr>
                </pic:pic>
              </a:graphicData>
            </a:graphic>
          </wp:inline>
        </w:drawing>
      </w:r>
    </w:p>
    <w:p w14:paraId="752C5091" w14:textId="77777777" w:rsidR="00EB3B48" w:rsidRPr="00DA61E0" w:rsidRDefault="00EB3B48" w:rsidP="00EB3B48">
      <w:pPr>
        <w:spacing w:after="0" w:line="254" w:lineRule="auto"/>
        <w:rPr>
          <w:rFonts w:ascii="Century Gothic" w:eastAsia="Calibri" w:hAnsi="Century Gothic" w:cs="Times New Roman"/>
          <w:noProof/>
          <w:sz w:val="16"/>
          <w:szCs w:val="16"/>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EB3B48" w:rsidRPr="00DA61E0" w14:paraId="7D85BB67" w14:textId="77777777" w:rsidTr="00120312">
        <w:trPr>
          <w:trHeight w:val="409"/>
        </w:trPr>
        <w:tc>
          <w:tcPr>
            <w:tcW w:w="817" w:type="dxa"/>
            <w:tcBorders>
              <w:top w:val="nil"/>
              <w:left w:val="nil"/>
              <w:bottom w:val="nil"/>
              <w:right w:val="nil"/>
            </w:tcBorders>
            <w:vAlign w:val="center"/>
            <w:hideMark/>
          </w:tcPr>
          <w:p w14:paraId="401BD392" w14:textId="77777777" w:rsidR="00EB3B48" w:rsidRPr="00DA61E0" w:rsidRDefault="00EB3B48" w:rsidP="00120312">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06905C7D" w14:textId="77777777" w:rsidR="00EB3B48" w:rsidRPr="00DA61E0" w:rsidRDefault="00EB3B48" w:rsidP="00120312">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José Luis Sánchez Cardona</w:t>
            </w:r>
          </w:p>
          <w:p w14:paraId="6B38CFB8" w14:textId="77777777" w:rsidR="00EB3B48" w:rsidRPr="00DA61E0" w:rsidRDefault="00EB3B48" w:rsidP="00120312">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Contratista de la Subdirección de Gestión Contractual</w:t>
            </w:r>
          </w:p>
        </w:tc>
      </w:tr>
      <w:tr w:rsidR="00EB3B48" w:rsidRPr="00DA61E0" w14:paraId="19151632" w14:textId="77777777" w:rsidTr="00120312">
        <w:trPr>
          <w:trHeight w:val="409"/>
        </w:trPr>
        <w:tc>
          <w:tcPr>
            <w:tcW w:w="817" w:type="dxa"/>
            <w:tcBorders>
              <w:top w:val="nil"/>
              <w:left w:val="nil"/>
              <w:bottom w:val="nil"/>
              <w:right w:val="nil"/>
            </w:tcBorders>
            <w:vAlign w:val="center"/>
            <w:hideMark/>
          </w:tcPr>
          <w:p w14:paraId="0E735E79" w14:textId="77777777" w:rsidR="00EB3B48" w:rsidRPr="00DA61E0" w:rsidRDefault="00EB3B48" w:rsidP="00120312">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7AFC0BC4" w14:textId="77777777" w:rsidR="00EB3B48" w:rsidRPr="00DA61E0" w:rsidRDefault="00EB3B48" w:rsidP="00120312">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Alejandro R. Sarmiento Cantillo</w:t>
            </w:r>
          </w:p>
          <w:p w14:paraId="325C46CE" w14:textId="77777777" w:rsidR="00EB3B48" w:rsidRPr="00DA61E0" w:rsidRDefault="00EB3B48" w:rsidP="00120312">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Gestor T1-15 de la Subdirección de Gestión Contractual </w:t>
            </w:r>
          </w:p>
        </w:tc>
      </w:tr>
      <w:tr w:rsidR="00EB3B48" w:rsidRPr="00DA61E0" w14:paraId="4F0F67C2" w14:textId="77777777" w:rsidTr="00120312">
        <w:trPr>
          <w:trHeight w:val="389"/>
        </w:trPr>
        <w:tc>
          <w:tcPr>
            <w:tcW w:w="817" w:type="dxa"/>
            <w:tcBorders>
              <w:top w:val="nil"/>
              <w:left w:val="nil"/>
              <w:bottom w:val="nil"/>
              <w:right w:val="nil"/>
            </w:tcBorders>
            <w:vAlign w:val="center"/>
            <w:hideMark/>
          </w:tcPr>
          <w:p w14:paraId="590128F8" w14:textId="77777777" w:rsidR="00EB3B48" w:rsidRPr="00DA61E0" w:rsidRDefault="00EB3B48" w:rsidP="00120312">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1C8DA3C3" w14:textId="77777777" w:rsidR="00EB3B48" w:rsidRPr="00DA61E0" w:rsidRDefault="00EB3B48" w:rsidP="00120312">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Carolina Quintero Gacharná</w:t>
            </w:r>
          </w:p>
          <w:p w14:paraId="00D03860" w14:textId="77777777" w:rsidR="00EB3B48" w:rsidRPr="00DA61E0" w:rsidRDefault="00EB3B48" w:rsidP="00120312">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Subdirectora de Gestión Contractual ANCP – CCE</w:t>
            </w:r>
          </w:p>
        </w:tc>
      </w:tr>
      <w:bookmarkEnd w:id="0"/>
    </w:tbl>
    <w:p w14:paraId="69BC4D14" w14:textId="6BF7DD72" w:rsidR="00C15139" w:rsidRPr="00EB3B48" w:rsidRDefault="00C15139" w:rsidP="00EB3B48"/>
    <w:sectPr w:rsidR="00C15139" w:rsidRPr="00EB3B48"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C6061" w14:textId="77777777" w:rsidR="00A93286" w:rsidRDefault="00A93286" w:rsidP="004A1847">
      <w:pPr>
        <w:spacing w:after="0" w:line="240" w:lineRule="auto"/>
      </w:pPr>
      <w:r>
        <w:separator/>
      </w:r>
    </w:p>
  </w:endnote>
  <w:endnote w:type="continuationSeparator" w:id="0">
    <w:p w14:paraId="13E5C676" w14:textId="77777777" w:rsidR="00A93286" w:rsidRDefault="00A93286"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F0AEF" w14:textId="77777777" w:rsidR="00A93286" w:rsidRDefault="00A93286" w:rsidP="004A1847">
      <w:pPr>
        <w:spacing w:after="0" w:line="240" w:lineRule="auto"/>
      </w:pPr>
      <w:r>
        <w:separator/>
      </w:r>
    </w:p>
  </w:footnote>
  <w:footnote w:type="continuationSeparator" w:id="0">
    <w:p w14:paraId="467106A3" w14:textId="77777777" w:rsidR="00A93286" w:rsidRDefault="00A93286" w:rsidP="004A1847">
      <w:pPr>
        <w:spacing w:after="0" w:line="240" w:lineRule="auto"/>
      </w:pPr>
      <w:r>
        <w:continuationSeparator/>
      </w:r>
    </w:p>
  </w:footnote>
  <w:footnote w:id="1">
    <w:p w14:paraId="1007E2AA" w14:textId="77777777" w:rsidR="00EB3B48" w:rsidRPr="00730B6F" w:rsidRDefault="00EB3B48" w:rsidP="00EB3B48">
      <w:pPr>
        <w:pStyle w:val="Textonotapie"/>
        <w:ind w:firstLine="709"/>
        <w:jc w:val="both"/>
        <w:rPr>
          <w:rFonts w:ascii="Verdana" w:eastAsia="Calibri" w:hAnsi="Verdana" w:cs="Arial"/>
          <w:sz w:val="16"/>
          <w:szCs w:val="16"/>
          <w:lang w:val="es-ES_tradnl" w:eastAsia="es-ES_tradnl"/>
        </w:rPr>
      </w:pPr>
      <w:r w:rsidRPr="00730B6F">
        <w:rPr>
          <w:rStyle w:val="Refdenotaalpie"/>
          <w:rFonts w:ascii="Verdana" w:hAnsi="Verdana" w:cs="Arial"/>
          <w:sz w:val="16"/>
          <w:szCs w:val="16"/>
        </w:rPr>
        <w:footnoteRef/>
      </w:r>
      <w:r w:rsidRPr="00730B6F">
        <w:rPr>
          <w:rFonts w:ascii="Verdana" w:hAnsi="Verdana" w:cs="Arial"/>
          <w:sz w:val="16"/>
          <w:szCs w:val="16"/>
        </w:rPr>
        <w:t xml:space="preserve"> </w:t>
      </w:r>
      <w:r w:rsidRPr="00730B6F">
        <w:rPr>
          <w:rFonts w:ascii="Verdana" w:eastAsia="Calibri" w:hAnsi="Verdana" w:cs="Arial"/>
          <w:sz w:val="16"/>
          <w:szCs w:val="16"/>
          <w:lang w:val="es-ES_tradnl" w:eastAsia="es-ES_tradnl"/>
        </w:rPr>
        <w:t>“La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14:paraId="198F4656" w14:textId="77777777" w:rsidR="00EB3B48" w:rsidRPr="00730B6F" w:rsidRDefault="00EB3B48" w:rsidP="00EB3B48">
      <w:pPr>
        <w:pStyle w:val="Textonotapie"/>
        <w:ind w:firstLine="709"/>
        <w:jc w:val="both"/>
        <w:rPr>
          <w:rFonts w:ascii="Verdana" w:hAnsi="Verdana" w:cs="Arial"/>
          <w:sz w:val="16"/>
          <w:szCs w:val="16"/>
          <w:lang w:val="es-ES"/>
        </w:rPr>
      </w:pPr>
      <w:r w:rsidRPr="00730B6F">
        <w:rPr>
          <w:rFonts w:ascii="Verdana" w:eastAsia="Calibri" w:hAnsi="Verdana" w:cs="Arial"/>
          <w:sz w:val="16"/>
          <w:szCs w:val="16"/>
          <w:lang w:val="es-ES_tradnl" w:eastAsia="es-ES_tradnl"/>
        </w:rPr>
        <w:t>Sin embargo, en otros negocios, como la obra pública, la concesión y la consultoría, el Estado está acostumbrado a que se desglosen intensamente los costos, exigiendo no sólo el precio total sino una distinción entre los costos directos y los costos indirectos.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ítems que componen el contrato–. Los costos indirectos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footnote>
  <w:footnote w:id="2">
    <w:p w14:paraId="288A1C06" w14:textId="77777777" w:rsidR="00EB3B48" w:rsidRPr="00730B6F" w:rsidRDefault="00EB3B48" w:rsidP="00EB3B48">
      <w:pPr>
        <w:spacing w:after="0" w:line="240" w:lineRule="auto"/>
        <w:ind w:firstLine="708"/>
        <w:contextualSpacing/>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CONSEJO DE ESTADO. Sala de lo Contencioso Administrativo. Sección Tercera Subsección A. Sentencia del 22 de agosto de 2023. C.P. María Adriana Marín. Exp. 58.634. </w:t>
      </w:r>
    </w:p>
  </w:footnote>
  <w:footnote w:id="3">
    <w:p w14:paraId="5561D04B" w14:textId="77777777" w:rsidR="00EB3B48" w:rsidRPr="00730B6F" w:rsidRDefault="00EB3B48" w:rsidP="00EB3B48">
      <w:pPr>
        <w:pStyle w:val="Textonotapie"/>
        <w:ind w:firstLine="708"/>
        <w:jc w:val="both"/>
        <w:rPr>
          <w:rFonts w:ascii="Verdana" w:hAnsi="Verdana"/>
          <w:sz w:val="16"/>
          <w:szCs w:val="16"/>
          <w:lang w:val="es-CO"/>
        </w:rPr>
      </w:pPr>
      <w:r w:rsidRPr="00730B6F">
        <w:rPr>
          <w:rStyle w:val="Refdenotaalpie"/>
          <w:rFonts w:ascii="Verdana" w:hAnsi="Verdana"/>
          <w:sz w:val="16"/>
          <w:szCs w:val="16"/>
        </w:rPr>
        <w:footnoteRef/>
      </w:r>
      <w:r w:rsidRPr="00730B6F">
        <w:rPr>
          <w:rFonts w:ascii="Verdana" w:hAnsi="Verdana"/>
          <w:sz w:val="16"/>
          <w:szCs w:val="16"/>
        </w:rPr>
        <w:t xml:space="preserve"> </w:t>
      </w:r>
      <w:r w:rsidRPr="00730B6F">
        <w:rPr>
          <w:rFonts w:ascii="Verdana" w:hAnsi="Verdana"/>
          <w:sz w:val="16"/>
          <w:szCs w:val="16"/>
          <w:lang w:val="es-CO"/>
        </w:rPr>
        <w:t>CONSEJO DE ESTADO. Sala de Consulta y Servicio Civil.. Concepto del 5 de septiembre de 2018. C.P: Édgar González López. Exp. 2386.</w:t>
      </w:r>
    </w:p>
  </w:footnote>
  <w:footnote w:id="4">
    <w:p w14:paraId="2480BD57" w14:textId="77777777" w:rsidR="00EB3B48" w:rsidRPr="00730B6F" w:rsidRDefault="00EB3B48" w:rsidP="00EB3B48">
      <w:pPr>
        <w:pStyle w:val="Textonotapie"/>
        <w:ind w:firstLine="708"/>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CONSEJO DE ESTADO. Sala de lo Contencioso Administrativo. Sección Tercera. Subsección A. Sentencia del 29 de julio de 2015. C.P.: Hernán Andrade Rincón (E). Exp. 41.008. </w:t>
      </w:r>
    </w:p>
  </w:footnote>
  <w:footnote w:id="5">
    <w:p w14:paraId="79EC8240" w14:textId="77777777" w:rsidR="00EB3B48" w:rsidRPr="00730B6F" w:rsidRDefault="00EB3B48" w:rsidP="00EB3B48">
      <w:pPr>
        <w:pStyle w:val="Textonotapie"/>
        <w:ind w:firstLine="709"/>
        <w:contextualSpacing/>
        <w:jc w:val="both"/>
        <w:rPr>
          <w:rFonts w:ascii="Verdana" w:hAnsi="Verdana" w:cs="Arial"/>
          <w:color w:val="000000" w:themeColor="text1"/>
          <w:sz w:val="16"/>
          <w:szCs w:val="16"/>
        </w:rPr>
      </w:pPr>
      <w:r w:rsidRPr="00730B6F">
        <w:rPr>
          <w:rStyle w:val="Refdenotaalpie"/>
          <w:rFonts w:ascii="Verdana" w:hAnsi="Verdana" w:cs="Arial"/>
          <w:sz w:val="16"/>
          <w:szCs w:val="16"/>
        </w:rPr>
        <w:footnoteRef/>
      </w:r>
      <w:r w:rsidRPr="00730B6F">
        <w:rPr>
          <w:rFonts w:ascii="Verdana" w:hAnsi="Verdana" w:cs="Arial"/>
          <w:sz w:val="16"/>
          <w:szCs w:val="16"/>
        </w:rPr>
        <w:t xml:space="preserve"> </w:t>
      </w:r>
      <w:r w:rsidRPr="00730B6F">
        <w:rPr>
          <w:rFonts w:ascii="Verdana" w:hAnsi="Verdana" w:cs="Arial"/>
          <w:color w:val="000000" w:themeColor="text1"/>
          <w:sz w:val="16"/>
          <w:szCs w:val="16"/>
        </w:rPr>
        <w:t xml:space="preserve">CONSEJO DE ESTADO. </w:t>
      </w:r>
      <w:r w:rsidRPr="00730B6F">
        <w:rPr>
          <w:rFonts w:ascii="Verdana" w:hAnsi="Verdana"/>
          <w:sz w:val="16"/>
          <w:szCs w:val="16"/>
        </w:rPr>
        <w:t xml:space="preserve">Sala de lo Contencioso Administrativo. </w:t>
      </w:r>
      <w:r w:rsidRPr="00730B6F">
        <w:rPr>
          <w:rFonts w:ascii="Verdana" w:hAnsi="Verdana" w:cs="Arial"/>
          <w:color w:val="000000" w:themeColor="text1"/>
          <w:sz w:val="16"/>
          <w:szCs w:val="16"/>
        </w:rPr>
        <w:t xml:space="preserve">Sección Tercera. Subsección B. Sentencia del 14 de octubre de 2011. </w:t>
      </w:r>
      <w:r w:rsidRPr="00730B6F">
        <w:rPr>
          <w:rFonts w:ascii="Verdana" w:hAnsi="Verdana"/>
          <w:sz w:val="16"/>
          <w:szCs w:val="16"/>
          <w:lang w:val="es-CO"/>
        </w:rPr>
        <w:t xml:space="preserve">C.P: </w:t>
      </w:r>
      <w:r w:rsidRPr="00730B6F">
        <w:rPr>
          <w:rFonts w:ascii="Verdana" w:hAnsi="Verdana" w:cs="Arial"/>
          <w:color w:val="000000" w:themeColor="text1"/>
          <w:sz w:val="16"/>
          <w:szCs w:val="16"/>
        </w:rPr>
        <w:t>Ruth Stella Correa Palacio. Exp. 20811.</w:t>
      </w:r>
    </w:p>
  </w:footnote>
  <w:footnote w:id="6">
    <w:p w14:paraId="014DD4AE" w14:textId="77777777" w:rsidR="00EB3B48" w:rsidRPr="00730B6F" w:rsidRDefault="00EB3B48" w:rsidP="00EB3B48">
      <w:pPr>
        <w:pStyle w:val="Textonotapie"/>
        <w:ind w:firstLine="709"/>
        <w:contextualSpacing/>
        <w:jc w:val="both"/>
        <w:rPr>
          <w:rFonts w:ascii="Verdana" w:hAnsi="Verdana" w:cs="Arial"/>
          <w:sz w:val="16"/>
          <w:szCs w:val="16"/>
        </w:rPr>
      </w:pPr>
      <w:r w:rsidRPr="00730B6F">
        <w:rPr>
          <w:rStyle w:val="Refdenotaalpie"/>
          <w:rFonts w:ascii="Verdana" w:hAnsi="Verdana" w:cs="Arial"/>
          <w:sz w:val="16"/>
          <w:szCs w:val="16"/>
        </w:rPr>
        <w:footnoteRef/>
      </w:r>
      <w:r w:rsidRPr="00730B6F">
        <w:rPr>
          <w:rFonts w:ascii="Verdana" w:hAnsi="Verdana" w:cs="Arial"/>
          <w:sz w:val="16"/>
          <w:szCs w:val="16"/>
        </w:rPr>
        <w:t xml:space="preserve"> Decreto Ley 222 de 1983: “Artículo 58. De los contratos adicionales. Salvo lo dispuesto en el título IV, cuando haya necesidad de modificar el plazo o el valor convenido y no se tratare de la revisión de precios prevista en este estatuto, se suscribirá un contrato adicional que no podrá exceder la cifra resultante de sumar la mitad de la cuantía originalmente pactada más el valor de los reajustes que se hubieren efectuado a la fecha de acordarse la suscripción del contrato adicional. </w:t>
      </w:r>
    </w:p>
    <w:p w14:paraId="21E4BB67" w14:textId="77777777" w:rsidR="00EB3B48" w:rsidRPr="00730B6F" w:rsidRDefault="00EB3B48" w:rsidP="00EB3B48">
      <w:pPr>
        <w:pStyle w:val="Textonotapie"/>
        <w:ind w:firstLine="709"/>
        <w:contextualSpacing/>
        <w:jc w:val="both"/>
        <w:rPr>
          <w:rFonts w:ascii="Verdana" w:hAnsi="Verdana" w:cs="Arial"/>
          <w:sz w:val="16"/>
          <w:szCs w:val="16"/>
        </w:rPr>
      </w:pPr>
      <w:r w:rsidRPr="00730B6F">
        <w:rPr>
          <w:rFonts w:ascii="Verdana" w:hAnsi="Verdana" w:cs="Arial"/>
          <w:sz w:val="16"/>
          <w:szCs w:val="16"/>
        </w:rPr>
        <w:t xml:space="preserve">Las adiciones relacionadas con el valor quedarán perfeccionadas una vez suscrito el contrato y efectuado el registro presupuestal. Las relaciones con el plazo sólo requerirán firma del jefe de la entidad contratante y prórroga de las garantías. </w:t>
      </w:r>
    </w:p>
    <w:p w14:paraId="5EF62DFE" w14:textId="77777777" w:rsidR="00EB3B48" w:rsidRPr="00730B6F" w:rsidRDefault="00EB3B48" w:rsidP="00EB3B48">
      <w:pPr>
        <w:pStyle w:val="Textonotapie"/>
        <w:ind w:firstLine="709"/>
        <w:contextualSpacing/>
        <w:jc w:val="both"/>
        <w:rPr>
          <w:rFonts w:ascii="Verdana" w:hAnsi="Verdana" w:cs="Arial"/>
          <w:sz w:val="16"/>
          <w:szCs w:val="16"/>
        </w:rPr>
      </w:pPr>
      <w:r w:rsidRPr="00730B6F">
        <w:rPr>
          <w:rFonts w:ascii="Verdana" w:hAnsi="Verdana" w:cs="Arial"/>
          <w:sz w:val="16"/>
          <w:szCs w:val="16"/>
        </w:rPr>
        <w:t xml:space="preserve">Serán requisitos para que pueda iniciarse la ejecución del contrato, la adición y prórroga de las garantías y el pago de los impuestos correspondientes. </w:t>
      </w:r>
    </w:p>
    <w:p w14:paraId="254F4ADF" w14:textId="77777777" w:rsidR="00EB3B48" w:rsidRPr="00730B6F" w:rsidRDefault="00EB3B48" w:rsidP="00EB3B48">
      <w:pPr>
        <w:pStyle w:val="Textonotapie"/>
        <w:ind w:firstLine="709"/>
        <w:contextualSpacing/>
        <w:jc w:val="both"/>
        <w:rPr>
          <w:rFonts w:ascii="Verdana" w:hAnsi="Verdana" w:cs="Arial"/>
          <w:sz w:val="16"/>
          <w:szCs w:val="16"/>
        </w:rPr>
      </w:pPr>
      <w:r w:rsidRPr="00730B6F">
        <w:rPr>
          <w:rFonts w:ascii="Verdana" w:hAnsi="Verdana" w:cs="Arial"/>
          <w:sz w:val="16"/>
          <w:szCs w:val="16"/>
        </w:rPr>
        <w:t xml:space="preserve">Los contratos de interventoría, administración delegada, y consultoría previstos en este estatuto, podrán adicionarse sin el límite fijado en el presente artículo. </w:t>
      </w:r>
    </w:p>
    <w:p w14:paraId="6DF803DB" w14:textId="77777777" w:rsidR="00EB3B48" w:rsidRPr="00730B6F" w:rsidRDefault="00EB3B48" w:rsidP="00EB3B48">
      <w:pPr>
        <w:pStyle w:val="Textonotapie"/>
        <w:ind w:firstLine="709"/>
        <w:contextualSpacing/>
        <w:jc w:val="both"/>
        <w:rPr>
          <w:rFonts w:ascii="Verdana" w:hAnsi="Verdana" w:cs="Arial"/>
          <w:sz w:val="16"/>
          <w:szCs w:val="16"/>
        </w:rPr>
      </w:pPr>
      <w:r w:rsidRPr="00730B6F">
        <w:rPr>
          <w:rFonts w:ascii="Verdana" w:hAnsi="Verdana" w:cs="Arial"/>
          <w:sz w:val="16"/>
          <w:szCs w:val="16"/>
        </w:rPr>
        <w:t xml:space="preserve">Las adiciones deberán publicarse en el Diario oficial. </w:t>
      </w:r>
    </w:p>
    <w:p w14:paraId="5EB8E743" w14:textId="77777777" w:rsidR="00EB3B48" w:rsidRPr="00730B6F" w:rsidRDefault="00EB3B48" w:rsidP="00EB3B48">
      <w:pPr>
        <w:pStyle w:val="Textonotapie"/>
        <w:ind w:firstLine="709"/>
        <w:contextualSpacing/>
        <w:jc w:val="both"/>
        <w:rPr>
          <w:rFonts w:ascii="Verdana" w:hAnsi="Verdana" w:cs="Arial"/>
          <w:sz w:val="16"/>
          <w:szCs w:val="16"/>
        </w:rPr>
      </w:pPr>
      <w:r w:rsidRPr="00730B6F">
        <w:rPr>
          <w:rFonts w:ascii="Verdana" w:hAnsi="Verdana" w:cs="Arial"/>
          <w:sz w:val="16"/>
          <w:szCs w:val="16"/>
        </w:rPr>
        <w:t xml:space="preserve">En ningún caso podrá modificarse el objeto de los contratos, ni prorrogarse su plazo si estuviere vencido, so pretexto de la celebración de contratos adicionales, ni pactarse prórrogas automáticas. </w:t>
      </w:r>
    </w:p>
    <w:p w14:paraId="768CD52C" w14:textId="77777777" w:rsidR="00EB3B48" w:rsidRPr="00730B6F" w:rsidRDefault="00EB3B48" w:rsidP="00EB3B48">
      <w:pPr>
        <w:pStyle w:val="Textonotapie"/>
        <w:ind w:firstLine="708"/>
        <w:contextualSpacing/>
        <w:jc w:val="both"/>
        <w:rPr>
          <w:rFonts w:ascii="Verdana" w:hAnsi="Verdana" w:cs="Arial"/>
          <w:sz w:val="16"/>
          <w:szCs w:val="16"/>
        </w:rPr>
      </w:pPr>
      <w:r w:rsidRPr="00730B6F">
        <w:rPr>
          <w:rFonts w:ascii="Verdana" w:hAnsi="Verdana" w:cs="Arial"/>
          <w:sz w:val="16"/>
          <w:szCs w:val="16"/>
        </w:rPr>
        <w:t>Parágrafo. Los contratos de empréstito distintos a los créditos de proveedores, no se someterán a lo dispuesto en este artículo”.</w:t>
      </w:r>
    </w:p>
  </w:footnote>
  <w:footnote w:id="7">
    <w:p w14:paraId="13DADF0A" w14:textId="77777777" w:rsidR="00EB3B48" w:rsidRPr="00730B6F" w:rsidRDefault="00EB3B48" w:rsidP="00EB3B48">
      <w:pPr>
        <w:pStyle w:val="Textonotapie"/>
        <w:ind w:firstLine="708"/>
        <w:contextualSpacing/>
        <w:jc w:val="both"/>
        <w:rPr>
          <w:rFonts w:ascii="Verdana" w:hAnsi="Verdana" w:cs="Arial"/>
          <w:sz w:val="16"/>
          <w:szCs w:val="16"/>
        </w:rPr>
      </w:pPr>
      <w:r w:rsidRPr="00730B6F">
        <w:rPr>
          <w:rStyle w:val="Refdenotaalpie"/>
          <w:rFonts w:ascii="Verdana" w:hAnsi="Verdana" w:cs="Arial"/>
          <w:sz w:val="16"/>
          <w:szCs w:val="16"/>
        </w:rPr>
        <w:footnoteRef/>
      </w:r>
      <w:r w:rsidRPr="00730B6F">
        <w:rPr>
          <w:rFonts w:ascii="Verdana" w:hAnsi="Verdana" w:cs="Arial"/>
          <w:sz w:val="16"/>
          <w:szCs w:val="16"/>
        </w:rPr>
        <w:t xml:space="preserve"> La Sala de Consulta y Servicio Civil del Consejo de Estado ha explicado que: “[…] son diferentes el contrato adicional y la adición de contratos. Aquel es un nuevo contrato, mientras esta es una modificación de un contrato en ejecución. La Ley 80 de 1993 abandonó el concepto de contrato adicional e introdujo el de «adición de los contratos», sin especificar los elementos sobre los cuales puede hacerse la adición, mantuvo sí un límite: no más del cincuenta por ciento (50%) de su valor inicial, expresado este en salarios mínimos legales mensuales […]”.  Concepto 1128 del 26 de agosto de 1998, C.P. César Hoyos Salazar. </w:t>
      </w:r>
    </w:p>
  </w:footnote>
  <w:footnote w:id="8">
    <w:p w14:paraId="4EAB4565" w14:textId="77777777" w:rsidR="00EB3B48" w:rsidRPr="00730B6F" w:rsidRDefault="00EB3B48" w:rsidP="00EB3B48">
      <w:pPr>
        <w:spacing w:after="0" w:line="240" w:lineRule="auto"/>
        <w:ind w:firstLine="708"/>
        <w:contextualSpacing/>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CONSEJO DE ESTADO. Sala de lo Contencioso Administrativo. Sección Tercera. Subsección A. Sentencia del 22 de agosto de 2023. C.P.: María Adriana Marín. Exp. 58.634.</w:t>
      </w:r>
    </w:p>
  </w:footnote>
  <w:footnote w:id="9">
    <w:p w14:paraId="1B920777" w14:textId="77777777" w:rsidR="00EB3B48" w:rsidRPr="00730B6F" w:rsidRDefault="00EB3B48" w:rsidP="00EB3B48">
      <w:pPr>
        <w:pStyle w:val="Textonotapie"/>
        <w:ind w:firstLine="708"/>
        <w:contextualSpacing/>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CONSEJO DE ESTADO. Sala de lo Contencioso Administrativo. Sección Tercera. Subsección B Sentencia del 4 de junio de 2019. </w:t>
      </w:r>
      <w:r w:rsidRPr="00730B6F">
        <w:rPr>
          <w:rFonts w:ascii="Verdana" w:hAnsi="Verdana"/>
          <w:sz w:val="16"/>
          <w:szCs w:val="16"/>
          <w:lang w:val="es-CO"/>
        </w:rPr>
        <w:t xml:space="preserve">. C.P.: Ramiro Pazos Guerrero. Exp. </w:t>
      </w:r>
      <w:r w:rsidRPr="00730B6F">
        <w:rPr>
          <w:rFonts w:ascii="Verdana" w:hAnsi="Verdana"/>
          <w:sz w:val="16"/>
          <w:szCs w:val="16"/>
        </w:rPr>
        <w:t>39.974.</w:t>
      </w:r>
    </w:p>
  </w:footnote>
  <w:footnote w:id="10">
    <w:p w14:paraId="4C35168E" w14:textId="77777777" w:rsidR="00EB3B48" w:rsidRPr="00730B6F" w:rsidRDefault="00EB3B48" w:rsidP="00EB3B48">
      <w:pPr>
        <w:pStyle w:val="Textonotapie"/>
        <w:ind w:firstLine="708"/>
        <w:contextualSpacing/>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CONSEJO DE ESTADO. Sala de lo Contencioso Administrativo. Sección Tercera. Sentencia del 18 de noviembre de 2021. </w:t>
      </w:r>
      <w:r w:rsidRPr="00730B6F">
        <w:rPr>
          <w:rFonts w:ascii="Verdana" w:hAnsi="Verdana"/>
          <w:sz w:val="16"/>
          <w:szCs w:val="16"/>
          <w:lang w:val="es-CO"/>
        </w:rPr>
        <w:t xml:space="preserve">Subsección B. C.P.: Alberto Montaña Plata. Exp. </w:t>
      </w:r>
      <w:r w:rsidRPr="00730B6F">
        <w:rPr>
          <w:rFonts w:ascii="Verdana" w:hAnsi="Verdana"/>
          <w:sz w:val="16"/>
          <w:szCs w:val="16"/>
        </w:rPr>
        <w:t>61.641.</w:t>
      </w:r>
    </w:p>
  </w:footnote>
  <w:footnote w:id="11">
    <w:p w14:paraId="2BAF1383" w14:textId="77777777" w:rsidR="00EB3B48" w:rsidRPr="00730B6F" w:rsidRDefault="00EB3B48" w:rsidP="00EB3B48">
      <w:pPr>
        <w:pStyle w:val="Textonotapie"/>
        <w:ind w:firstLine="708"/>
        <w:contextualSpacing/>
        <w:jc w:val="both"/>
        <w:rPr>
          <w:rFonts w:ascii="Verdana" w:hAnsi="Verdana" w:cs="Arial"/>
          <w:color w:val="000000" w:themeColor="text1"/>
          <w:sz w:val="16"/>
          <w:szCs w:val="16"/>
        </w:rPr>
      </w:pPr>
      <w:r w:rsidRPr="00730B6F">
        <w:rPr>
          <w:rStyle w:val="Refdenotaalpie"/>
          <w:rFonts w:ascii="Verdana" w:hAnsi="Verdana" w:cs="Arial"/>
          <w:color w:val="000000" w:themeColor="text1"/>
          <w:sz w:val="16"/>
          <w:szCs w:val="16"/>
        </w:rPr>
        <w:footnoteRef/>
      </w:r>
      <w:r w:rsidRPr="00730B6F">
        <w:rPr>
          <w:rFonts w:ascii="Verdana" w:hAnsi="Verdana" w:cs="Arial"/>
          <w:color w:val="000000" w:themeColor="text1"/>
          <w:sz w:val="16"/>
          <w:szCs w:val="16"/>
        </w:rPr>
        <w:t xml:space="preserve"> Ibídem.</w:t>
      </w:r>
    </w:p>
  </w:footnote>
  <w:footnote w:id="12">
    <w:p w14:paraId="768C5ED4" w14:textId="77777777" w:rsidR="00EB3B48" w:rsidRPr="00730B6F" w:rsidRDefault="00EB3B48" w:rsidP="00EB3B48">
      <w:pPr>
        <w:pStyle w:val="Textonotapie"/>
        <w:ind w:firstLine="708"/>
        <w:contextualSpacing/>
        <w:jc w:val="both"/>
        <w:rPr>
          <w:rFonts w:ascii="Verdana" w:hAnsi="Verdana" w:cs="Arial"/>
          <w:color w:val="000000" w:themeColor="text1"/>
          <w:sz w:val="16"/>
          <w:szCs w:val="16"/>
        </w:rPr>
      </w:pPr>
      <w:r w:rsidRPr="00730B6F">
        <w:rPr>
          <w:rStyle w:val="Refdenotaalpie"/>
          <w:rFonts w:ascii="Verdana" w:hAnsi="Verdana" w:cs="Arial"/>
          <w:color w:val="000000" w:themeColor="text1"/>
          <w:sz w:val="16"/>
          <w:szCs w:val="16"/>
        </w:rPr>
        <w:footnoteRef/>
      </w:r>
      <w:r w:rsidRPr="00730B6F">
        <w:rPr>
          <w:rFonts w:ascii="Verdana" w:hAnsi="Verdana" w:cs="Arial"/>
          <w:color w:val="000000" w:themeColor="text1"/>
          <w:sz w:val="16"/>
          <w:szCs w:val="16"/>
        </w:rPr>
        <w:t xml:space="preserve"> DÁVILA VINUEZA, Luis Guillermo. Régimen jurídico de la contratación estatal. 3° ed, Bogotá: Legis. 2016. Páginas 635 y 636.</w:t>
      </w:r>
    </w:p>
  </w:footnote>
  <w:footnote w:id="13">
    <w:p w14:paraId="021EEDD8" w14:textId="77777777" w:rsidR="00EB3B48" w:rsidRPr="00730B6F" w:rsidRDefault="00EB3B48" w:rsidP="00EB3B48">
      <w:pPr>
        <w:pStyle w:val="Textonotapie"/>
        <w:ind w:firstLine="708"/>
        <w:contextualSpacing/>
        <w:jc w:val="both"/>
        <w:rPr>
          <w:rFonts w:ascii="Verdana" w:hAnsi="Verdana" w:cs="Arial"/>
          <w:color w:val="000000" w:themeColor="text1"/>
          <w:sz w:val="16"/>
          <w:szCs w:val="16"/>
        </w:rPr>
      </w:pPr>
      <w:r w:rsidRPr="00730B6F">
        <w:rPr>
          <w:rStyle w:val="Refdenotaalpie"/>
          <w:rFonts w:ascii="Verdana" w:hAnsi="Verdana" w:cs="Arial"/>
          <w:color w:val="000000" w:themeColor="text1"/>
          <w:sz w:val="16"/>
          <w:szCs w:val="16"/>
        </w:rPr>
        <w:footnoteRef/>
      </w:r>
      <w:r w:rsidRPr="00730B6F">
        <w:rPr>
          <w:rFonts w:ascii="Verdana" w:hAnsi="Verdana" w:cs="Arial"/>
          <w:color w:val="000000" w:themeColor="text1"/>
          <w:sz w:val="16"/>
          <w:szCs w:val="16"/>
        </w:rPr>
        <w:t xml:space="preserve"> Ibidem. Página 592.</w:t>
      </w:r>
    </w:p>
  </w:footnote>
  <w:footnote w:id="14">
    <w:p w14:paraId="779730A3" w14:textId="77777777" w:rsidR="00EB3B48" w:rsidRPr="00730B6F" w:rsidRDefault="00EB3B48" w:rsidP="00EB3B48">
      <w:pPr>
        <w:pStyle w:val="Textonotapie"/>
        <w:ind w:firstLine="708"/>
        <w:contextualSpacing/>
        <w:jc w:val="both"/>
        <w:rPr>
          <w:rFonts w:ascii="Verdana" w:hAnsi="Verdana" w:cs="Arial"/>
          <w:color w:val="000000" w:themeColor="text1"/>
          <w:sz w:val="16"/>
          <w:szCs w:val="16"/>
        </w:rPr>
      </w:pPr>
      <w:r w:rsidRPr="00730B6F">
        <w:rPr>
          <w:rStyle w:val="Refdenotaalpie"/>
          <w:rFonts w:ascii="Verdana" w:hAnsi="Verdana" w:cs="Arial"/>
          <w:color w:val="000000" w:themeColor="text1"/>
          <w:sz w:val="16"/>
          <w:szCs w:val="16"/>
        </w:rPr>
        <w:footnoteRef/>
      </w:r>
      <w:r w:rsidRPr="00730B6F">
        <w:rPr>
          <w:rFonts w:ascii="Verdana" w:hAnsi="Verdana" w:cs="Arial"/>
          <w:color w:val="000000" w:themeColor="text1"/>
          <w:sz w:val="16"/>
          <w:szCs w:val="16"/>
        </w:rPr>
        <w:t xml:space="preserve"> Cfr. CONSEJO DE ESTADO. </w:t>
      </w:r>
      <w:r w:rsidRPr="00730B6F">
        <w:rPr>
          <w:rFonts w:ascii="Verdana" w:hAnsi="Verdana"/>
          <w:sz w:val="16"/>
          <w:szCs w:val="16"/>
        </w:rPr>
        <w:t xml:space="preserve">Sala de lo Contencioso Administrativo. </w:t>
      </w:r>
      <w:r w:rsidRPr="00730B6F">
        <w:rPr>
          <w:rFonts w:ascii="Verdana" w:hAnsi="Verdana" w:cs="Arial"/>
          <w:color w:val="000000" w:themeColor="text1"/>
          <w:sz w:val="16"/>
          <w:szCs w:val="16"/>
        </w:rPr>
        <w:t xml:space="preserve">Sección Tercera. Sentencia del 22 de abril de 2004. Exp. 22.178 y en la Sentencia de la misma Sección del 15 de julio de 2004. Expediente AP-1164-02. Esta postura fue reiterada por la Sala de Consulta Civil y Servicio Civil en Concepto del 6 de julio de 2018- Radicación Nro. 239. C.P.: Osar Darío Amaya Navas. </w:t>
      </w:r>
    </w:p>
  </w:footnote>
  <w:footnote w:id="15">
    <w:p w14:paraId="7E31CDC2" w14:textId="77777777" w:rsidR="00EB3B48" w:rsidRPr="00730B6F" w:rsidRDefault="00EB3B48" w:rsidP="00EB3B48">
      <w:pPr>
        <w:pStyle w:val="Textonotapie"/>
        <w:ind w:firstLine="708"/>
        <w:contextualSpacing/>
        <w:jc w:val="both"/>
        <w:rPr>
          <w:rFonts w:ascii="Verdana" w:hAnsi="Verdana" w:cs="Arial"/>
          <w:color w:val="000000" w:themeColor="text1"/>
          <w:sz w:val="16"/>
          <w:szCs w:val="16"/>
        </w:rPr>
      </w:pPr>
      <w:r w:rsidRPr="00730B6F">
        <w:rPr>
          <w:rStyle w:val="Refdenotaalpie"/>
          <w:rFonts w:ascii="Verdana" w:hAnsi="Verdana" w:cs="Arial"/>
          <w:color w:val="000000" w:themeColor="text1"/>
          <w:sz w:val="16"/>
          <w:szCs w:val="16"/>
        </w:rPr>
        <w:footnoteRef/>
      </w:r>
      <w:r w:rsidRPr="00730B6F">
        <w:rPr>
          <w:rFonts w:ascii="Verdana" w:hAnsi="Verdana" w:cs="Arial"/>
          <w:color w:val="000000" w:themeColor="text1"/>
          <w:sz w:val="16"/>
          <w:szCs w:val="16"/>
        </w:rPr>
        <w:t xml:space="preserve"> MARÍN CORTÉS. Fabián G. El precio. Serie: Las Cláusulas del Contrato Estatal. Medellín: Centro de Estudios de Derecho Administrativo ― CEDA y Librería Jurídica Sánchez. 2012. </w:t>
      </w:r>
      <w:r>
        <w:rPr>
          <w:rFonts w:ascii="Verdana" w:hAnsi="Verdana" w:cs="Arial"/>
          <w:color w:val="000000" w:themeColor="text1"/>
          <w:sz w:val="16"/>
          <w:szCs w:val="16"/>
        </w:rPr>
        <w:t>pp.</w:t>
      </w:r>
      <w:r w:rsidRPr="00730B6F">
        <w:rPr>
          <w:rFonts w:ascii="Verdana" w:hAnsi="Verdana" w:cs="Arial"/>
          <w:color w:val="000000" w:themeColor="text1"/>
          <w:sz w:val="16"/>
          <w:szCs w:val="16"/>
        </w:rPr>
        <w:t xml:space="preserve"> 220 y 221.</w:t>
      </w:r>
    </w:p>
  </w:footnote>
  <w:footnote w:id="16">
    <w:p w14:paraId="57AF75A6" w14:textId="77777777" w:rsidR="00EB3B48" w:rsidRPr="00730B6F" w:rsidRDefault="00EB3B48" w:rsidP="00EB3B48">
      <w:pPr>
        <w:pStyle w:val="Textonotapie"/>
        <w:ind w:firstLine="709"/>
        <w:contextualSpacing/>
        <w:jc w:val="both"/>
        <w:rPr>
          <w:rFonts w:ascii="Verdana" w:hAnsi="Verdana" w:cs="Arial"/>
          <w:color w:val="000000" w:themeColor="text1"/>
          <w:sz w:val="16"/>
          <w:szCs w:val="16"/>
        </w:rPr>
      </w:pPr>
      <w:r w:rsidRPr="00730B6F">
        <w:rPr>
          <w:rStyle w:val="Refdenotaalpie"/>
          <w:rFonts w:ascii="Verdana" w:hAnsi="Verdana" w:cs="Arial"/>
          <w:sz w:val="16"/>
          <w:szCs w:val="16"/>
        </w:rPr>
        <w:footnoteRef/>
      </w:r>
      <w:r w:rsidRPr="00730B6F">
        <w:rPr>
          <w:rFonts w:ascii="Verdana" w:hAnsi="Verdana" w:cs="Arial"/>
          <w:sz w:val="16"/>
          <w:szCs w:val="16"/>
        </w:rPr>
        <w:t xml:space="preserve"> </w:t>
      </w:r>
      <w:r w:rsidRPr="00730B6F">
        <w:rPr>
          <w:rFonts w:ascii="Verdana" w:hAnsi="Verdana" w:cs="Arial"/>
          <w:color w:val="000000" w:themeColor="text1"/>
          <w:sz w:val="16"/>
          <w:szCs w:val="16"/>
        </w:rPr>
        <w:t>BENAVIDES, José Luis. Contratos Públicos: Estudios. Primera edición. Bogotá: Universidad Externado de Colombia. 2014. Página 386.</w:t>
      </w:r>
    </w:p>
  </w:footnote>
  <w:footnote w:id="17">
    <w:p w14:paraId="014149FC" w14:textId="77777777" w:rsidR="00EB3B48" w:rsidRPr="00730B6F" w:rsidRDefault="00EB3B48" w:rsidP="00EB3B48">
      <w:pPr>
        <w:pStyle w:val="Textonotapie"/>
        <w:ind w:firstLine="708"/>
        <w:contextualSpacing/>
        <w:jc w:val="both"/>
        <w:rPr>
          <w:rFonts w:ascii="Verdana" w:hAnsi="Verdana" w:cs="Arial"/>
          <w:color w:val="000000" w:themeColor="text1"/>
          <w:sz w:val="16"/>
          <w:szCs w:val="16"/>
        </w:rPr>
      </w:pPr>
      <w:r w:rsidRPr="00730B6F">
        <w:rPr>
          <w:rStyle w:val="Refdenotaalpie"/>
          <w:rFonts w:ascii="Verdana" w:hAnsi="Verdana" w:cs="Arial"/>
          <w:color w:val="000000" w:themeColor="text1"/>
          <w:sz w:val="16"/>
          <w:szCs w:val="16"/>
        </w:rPr>
        <w:footnoteRef/>
      </w:r>
      <w:r w:rsidRPr="00730B6F">
        <w:rPr>
          <w:rFonts w:ascii="Verdana" w:hAnsi="Verdana" w:cs="Arial"/>
          <w:color w:val="000000" w:themeColor="text1"/>
          <w:sz w:val="16"/>
          <w:szCs w:val="16"/>
        </w:rPr>
        <w:t xml:space="preserve"> CONSEJO DE ESTADO. </w:t>
      </w:r>
      <w:r w:rsidRPr="00730B6F">
        <w:rPr>
          <w:rFonts w:ascii="Verdana" w:hAnsi="Verdana"/>
          <w:sz w:val="16"/>
          <w:szCs w:val="16"/>
        </w:rPr>
        <w:t xml:space="preserve">Sala de lo Contencioso Administrativo. </w:t>
      </w:r>
      <w:r w:rsidRPr="00730B6F">
        <w:rPr>
          <w:rFonts w:ascii="Verdana" w:hAnsi="Verdana" w:cs="Arial"/>
          <w:color w:val="000000" w:themeColor="text1"/>
          <w:sz w:val="16"/>
          <w:szCs w:val="16"/>
        </w:rPr>
        <w:t xml:space="preserve">Sección Tercera. Sentencia del 14 de abril de 2010. </w:t>
      </w:r>
      <w:r w:rsidRPr="00730B6F">
        <w:rPr>
          <w:rFonts w:ascii="Verdana" w:hAnsi="Verdana" w:cs="Arial"/>
          <w:color w:val="000000" w:themeColor="text1"/>
          <w:sz w:val="16"/>
          <w:szCs w:val="16"/>
          <w:lang w:val="es-CO"/>
        </w:rPr>
        <w:t xml:space="preserve">C.P. Enrique Gil Botero. </w:t>
      </w:r>
      <w:r w:rsidRPr="00730B6F">
        <w:rPr>
          <w:rFonts w:ascii="Verdana" w:hAnsi="Verdana" w:cs="Arial"/>
          <w:color w:val="000000" w:themeColor="text1"/>
          <w:sz w:val="16"/>
          <w:szCs w:val="16"/>
        </w:rPr>
        <w:t xml:space="preserve">Exp. 36.054. </w:t>
      </w:r>
    </w:p>
  </w:footnote>
  <w:footnote w:id="18">
    <w:p w14:paraId="40BFF282" w14:textId="77777777" w:rsidR="00EB3B48" w:rsidRPr="00730B6F" w:rsidRDefault="00EB3B48" w:rsidP="00EB3B48">
      <w:pPr>
        <w:pStyle w:val="Textonotapie"/>
        <w:ind w:firstLine="709"/>
        <w:contextualSpacing/>
        <w:jc w:val="both"/>
        <w:rPr>
          <w:rFonts w:ascii="Verdana" w:hAnsi="Verdana" w:cs="Arial"/>
          <w:color w:val="000000" w:themeColor="text1"/>
          <w:sz w:val="16"/>
          <w:szCs w:val="16"/>
        </w:rPr>
      </w:pPr>
      <w:r w:rsidRPr="00730B6F">
        <w:rPr>
          <w:rStyle w:val="Refdenotaalpie"/>
          <w:rFonts w:ascii="Verdana" w:hAnsi="Verdana" w:cs="Arial"/>
          <w:sz w:val="16"/>
          <w:szCs w:val="16"/>
        </w:rPr>
        <w:footnoteRef/>
      </w:r>
      <w:r w:rsidRPr="00730B6F">
        <w:rPr>
          <w:rFonts w:ascii="Verdana" w:hAnsi="Verdana" w:cs="Arial"/>
          <w:sz w:val="16"/>
          <w:szCs w:val="16"/>
        </w:rPr>
        <w:t xml:space="preserve"> </w:t>
      </w:r>
      <w:r w:rsidRPr="00730B6F">
        <w:rPr>
          <w:rFonts w:ascii="Verdana" w:hAnsi="Verdana" w:cs="Arial"/>
          <w:color w:val="000000" w:themeColor="text1"/>
          <w:sz w:val="16"/>
          <w:szCs w:val="16"/>
        </w:rPr>
        <w:t xml:space="preserve">CONSEJO DE ESTADO. </w:t>
      </w:r>
      <w:r w:rsidRPr="00730B6F">
        <w:rPr>
          <w:rFonts w:ascii="Verdana" w:hAnsi="Verdana"/>
          <w:sz w:val="16"/>
          <w:szCs w:val="16"/>
        </w:rPr>
        <w:t xml:space="preserve">Sala de lo Contencioso Administrativo. </w:t>
      </w:r>
      <w:r w:rsidRPr="00730B6F">
        <w:rPr>
          <w:rFonts w:ascii="Verdana" w:hAnsi="Verdana" w:cs="Arial"/>
          <w:color w:val="000000" w:themeColor="text1"/>
          <w:sz w:val="16"/>
          <w:szCs w:val="16"/>
        </w:rPr>
        <w:t xml:space="preserve">Sección Tercera. </w:t>
      </w:r>
      <w:r w:rsidRPr="00730B6F">
        <w:rPr>
          <w:rFonts w:ascii="Verdana" w:hAnsi="Verdana"/>
          <w:sz w:val="16"/>
          <w:szCs w:val="16"/>
          <w:lang w:val="es-CO"/>
        </w:rPr>
        <w:t>C.P.</w:t>
      </w:r>
      <w:r w:rsidRPr="00730B6F">
        <w:rPr>
          <w:rFonts w:ascii="Verdana" w:hAnsi="Verdana" w:cs="Arial"/>
          <w:color w:val="000000" w:themeColor="text1"/>
          <w:sz w:val="16"/>
          <w:szCs w:val="16"/>
        </w:rPr>
        <w:t xml:space="preserve"> Ruth Stella Correa Palacio. Sentencia del 20 de noviembre de 2008. Exp. 17.031. Ver también: Consejo de Estado. </w:t>
      </w:r>
      <w:r w:rsidRPr="00730B6F">
        <w:rPr>
          <w:rFonts w:ascii="Verdana" w:hAnsi="Verdana"/>
          <w:sz w:val="16"/>
          <w:szCs w:val="16"/>
        </w:rPr>
        <w:t xml:space="preserve">Sala de lo Contencioso Administrativo. </w:t>
      </w:r>
      <w:r w:rsidRPr="00730B6F">
        <w:rPr>
          <w:rFonts w:ascii="Verdana" w:hAnsi="Verdana" w:cs="Arial"/>
          <w:color w:val="000000" w:themeColor="text1"/>
          <w:sz w:val="16"/>
          <w:szCs w:val="16"/>
        </w:rPr>
        <w:t xml:space="preserve">Sección Tercera. </w:t>
      </w:r>
      <w:r w:rsidRPr="00730B6F">
        <w:rPr>
          <w:rFonts w:ascii="Verdana" w:hAnsi="Verdana"/>
          <w:sz w:val="16"/>
          <w:szCs w:val="16"/>
          <w:lang w:val="es-CO"/>
        </w:rPr>
        <w:t>C.P.</w:t>
      </w:r>
      <w:r w:rsidRPr="00730B6F">
        <w:rPr>
          <w:rFonts w:ascii="Verdana" w:hAnsi="Verdana" w:cs="Arial"/>
          <w:color w:val="000000" w:themeColor="text1"/>
          <w:sz w:val="16"/>
          <w:szCs w:val="16"/>
        </w:rPr>
        <w:t xml:space="preserve"> Ruth Stella Correa Palacio. Sentencia 18 de septiembre de 2003. </w:t>
      </w:r>
      <w:r w:rsidRPr="00730B6F">
        <w:rPr>
          <w:rFonts w:ascii="Verdana" w:hAnsi="Verdana" w:cs="Arial"/>
          <w:color w:val="000000" w:themeColor="text1"/>
          <w:sz w:val="16"/>
          <w:szCs w:val="16"/>
          <w:lang w:val="es-CO"/>
        </w:rPr>
        <w:t xml:space="preserve">C.P. Ramiro Saavedra Becerra. </w:t>
      </w:r>
      <w:r w:rsidRPr="00730B6F">
        <w:rPr>
          <w:rFonts w:ascii="Verdana" w:hAnsi="Verdana" w:cs="Arial"/>
          <w:color w:val="000000" w:themeColor="text1"/>
          <w:sz w:val="16"/>
          <w:szCs w:val="16"/>
        </w:rPr>
        <w:t xml:space="preserve">Exp. 15.119. </w:t>
      </w:r>
    </w:p>
  </w:footnote>
  <w:footnote w:id="19">
    <w:p w14:paraId="1EC73448" w14:textId="77777777" w:rsidR="00EB3B48" w:rsidRPr="00730B6F" w:rsidRDefault="00EB3B48" w:rsidP="00EB3B48">
      <w:pPr>
        <w:pStyle w:val="Textonotapie"/>
        <w:ind w:firstLine="709"/>
        <w:contextualSpacing/>
        <w:jc w:val="both"/>
        <w:rPr>
          <w:rFonts w:ascii="Verdana" w:hAnsi="Verdana" w:cs="Arial"/>
          <w:color w:val="000000" w:themeColor="text1"/>
          <w:sz w:val="16"/>
          <w:szCs w:val="16"/>
        </w:rPr>
      </w:pPr>
      <w:r w:rsidRPr="00730B6F">
        <w:rPr>
          <w:rStyle w:val="Refdenotaalpie"/>
          <w:rFonts w:ascii="Verdana" w:hAnsi="Verdana" w:cs="Arial"/>
          <w:sz w:val="16"/>
          <w:szCs w:val="16"/>
        </w:rPr>
        <w:footnoteRef/>
      </w:r>
      <w:r w:rsidRPr="00730B6F">
        <w:rPr>
          <w:rFonts w:ascii="Verdana" w:hAnsi="Verdana" w:cs="Arial"/>
          <w:sz w:val="16"/>
          <w:szCs w:val="16"/>
        </w:rPr>
        <w:t xml:space="preserve"> </w:t>
      </w:r>
      <w:r w:rsidRPr="00730B6F">
        <w:rPr>
          <w:rFonts w:ascii="Verdana" w:hAnsi="Verdana" w:cs="Arial"/>
          <w:color w:val="000000" w:themeColor="text1"/>
          <w:sz w:val="16"/>
          <w:szCs w:val="16"/>
        </w:rPr>
        <w:t xml:space="preserve">CONSEJO DE ESTADO. </w:t>
      </w:r>
      <w:r w:rsidRPr="00730B6F">
        <w:rPr>
          <w:rFonts w:ascii="Verdana" w:hAnsi="Verdana"/>
          <w:sz w:val="16"/>
          <w:szCs w:val="16"/>
        </w:rPr>
        <w:t xml:space="preserve">Sala de lo Contencioso Administrativo. </w:t>
      </w:r>
      <w:r w:rsidRPr="00730B6F">
        <w:rPr>
          <w:rFonts w:ascii="Verdana" w:hAnsi="Verdana" w:cs="Arial"/>
          <w:color w:val="000000" w:themeColor="text1"/>
          <w:sz w:val="16"/>
          <w:szCs w:val="16"/>
        </w:rPr>
        <w:t>Sección tercera. Sentencia del 9 de julio de 2021.</w:t>
      </w:r>
      <w:r w:rsidRPr="00730B6F">
        <w:rPr>
          <w:rFonts w:ascii="Verdana" w:hAnsi="Verdana" w:cs="Arial"/>
          <w:color w:val="000000" w:themeColor="text1"/>
          <w:sz w:val="16"/>
          <w:szCs w:val="16"/>
          <w:lang w:val="es-CO"/>
        </w:rPr>
        <w:t xml:space="preserve"> C.P. Alberto Montaña Plata.</w:t>
      </w:r>
      <w:r w:rsidRPr="00730B6F">
        <w:rPr>
          <w:rFonts w:ascii="Verdana" w:hAnsi="Verdana" w:cs="Arial"/>
          <w:color w:val="000000" w:themeColor="text1"/>
          <w:sz w:val="16"/>
          <w:szCs w:val="16"/>
        </w:rPr>
        <w:t xml:space="preserve"> Exp. 52045.</w:t>
      </w:r>
      <w:r w:rsidRPr="00730B6F">
        <w:rPr>
          <w:rFonts w:ascii="Verdana" w:hAnsi="Verdana"/>
          <w:sz w:val="16"/>
          <w:szCs w:val="16"/>
          <w:lang w:val="es-CO"/>
        </w:rPr>
        <w:t xml:space="preserve"> </w:t>
      </w:r>
      <w:r w:rsidRPr="00730B6F">
        <w:rPr>
          <w:rFonts w:ascii="Verdana" w:hAnsi="Verdana" w:cs="Arial"/>
          <w:color w:val="000000" w:themeColor="text1"/>
          <w:sz w:val="16"/>
          <w:szCs w:val="16"/>
        </w:rPr>
        <w:t>Aclaración de voto: Alexander Jojoa Bolaños.</w:t>
      </w:r>
    </w:p>
  </w:footnote>
  <w:footnote w:id="20">
    <w:p w14:paraId="5B2D5EEF" w14:textId="77777777" w:rsidR="00EB3B48" w:rsidRPr="00730B6F" w:rsidRDefault="00EB3B48" w:rsidP="00EB3B48">
      <w:pPr>
        <w:pStyle w:val="Textonotapie"/>
        <w:ind w:firstLine="708"/>
        <w:contextualSpacing/>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CONSEJO DE ESTADO. Sala de lo Contencioso Administrativo Sección Tercera. Sentencia del 6 de agosto de 1987. </w:t>
      </w:r>
      <w:r>
        <w:rPr>
          <w:rFonts w:ascii="Verdana" w:hAnsi="Verdana"/>
          <w:sz w:val="16"/>
          <w:szCs w:val="16"/>
        </w:rPr>
        <w:t xml:space="preserve">C.P. Carlos Betancur Jaramillo. </w:t>
      </w:r>
      <w:r w:rsidRPr="00730B6F">
        <w:rPr>
          <w:rFonts w:ascii="Verdana" w:hAnsi="Verdana"/>
          <w:sz w:val="16"/>
          <w:szCs w:val="16"/>
        </w:rPr>
        <w:t>Exp. 3886.</w:t>
      </w:r>
    </w:p>
  </w:footnote>
  <w:footnote w:id="21">
    <w:p w14:paraId="769FDA2D" w14:textId="77777777" w:rsidR="00EB3B48" w:rsidRPr="00730B6F" w:rsidRDefault="00EB3B48" w:rsidP="00EB3B48">
      <w:pPr>
        <w:pStyle w:val="Textonotapie"/>
        <w:ind w:firstLine="708"/>
        <w:contextualSpacing/>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CONSEJO DE ESTADO. Sala de lo Contencioso Administrativo. Sección Tercera. Sentencia del 18 de julio de 2002.</w:t>
      </w:r>
      <w:r>
        <w:rPr>
          <w:rFonts w:ascii="Verdana" w:hAnsi="Verdana"/>
          <w:sz w:val="16"/>
          <w:szCs w:val="16"/>
        </w:rPr>
        <w:t xml:space="preserve"> C.P. Alier Eduardo Hernández Enriquez.</w:t>
      </w:r>
      <w:r w:rsidRPr="00730B6F">
        <w:rPr>
          <w:rFonts w:ascii="Verdana" w:hAnsi="Verdana"/>
          <w:sz w:val="16"/>
          <w:szCs w:val="16"/>
        </w:rPr>
        <w:t xml:space="preserve"> Exp. 22178.</w:t>
      </w:r>
    </w:p>
  </w:footnote>
  <w:footnote w:id="22">
    <w:p w14:paraId="6D81EB01" w14:textId="77777777" w:rsidR="00EB3B48" w:rsidRPr="00730B6F" w:rsidRDefault="00EB3B48" w:rsidP="00EB3B48">
      <w:pPr>
        <w:pStyle w:val="Textonotapie"/>
        <w:ind w:firstLine="708"/>
        <w:contextualSpacing/>
        <w:jc w:val="both"/>
        <w:rPr>
          <w:rFonts w:ascii="Verdana" w:hAnsi="Verdana"/>
          <w:sz w:val="16"/>
          <w:szCs w:val="16"/>
          <w:lang w:val="es-CO"/>
        </w:rPr>
      </w:pPr>
      <w:r w:rsidRPr="00730B6F">
        <w:rPr>
          <w:rStyle w:val="Refdenotaalpie"/>
          <w:rFonts w:ascii="Verdana" w:hAnsi="Verdana"/>
          <w:sz w:val="16"/>
          <w:szCs w:val="16"/>
        </w:rPr>
        <w:footnoteRef/>
      </w:r>
      <w:r w:rsidRPr="00730B6F">
        <w:rPr>
          <w:rFonts w:ascii="Verdana" w:hAnsi="Verdana"/>
          <w:sz w:val="16"/>
          <w:szCs w:val="16"/>
        </w:rPr>
        <w:t xml:space="preserve"> CONSEJO DE ESTADO. Sala de Consulta y del Servicio Civil. Concepto del 18 de julio de 2022.</w:t>
      </w:r>
      <w:r w:rsidRPr="00730B6F">
        <w:rPr>
          <w:rFonts w:ascii="Verdana" w:hAnsi="Verdana"/>
          <w:sz w:val="16"/>
          <w:szCs w:val="16"/>
          <w:lang w:val="es-CO"/>
        </w:rPr>
        <w:t xml:space="preserve"> C.P.: Dra. Susana Montes de Echeverri.</w:t>
      </w:r>
      <w:r w:rsidRPr="00730B6F">
        <w:rPr>
          <w:rFonts w:ascii="Verdana" w:hAnsi="Verdana"/>
          <w:sz w:val="16"/>
          <w:szCs w:val="16"/>
        </w:rPr>
        <w:t xml:space="preserve"> Exp. 1439. </w:t>
      </w:r>
    </w:p>
  </w:footnote>
  <w:footnote w:id="23">
    <w:p w14:paraId="2C216C8B" w14:textId="77777777" w:rsidR="00EB3B48" w:rsidRPr="00730B6F" w:rsidRDefault="00EB3B48" w:rsidP="00EB3B48">
      <w:pPr>
        <w:pStyle w:val="Textonotapie"/>
        <w:ind w:firstLine="708"/>
        <w:contextualSpacing/>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CONSEJO DE ESTADO. Sala de lo Contencioso Administrativo. Sección Tercera. Sentencia del 19 de septiembre de 2022. </w:t>
      </w:r>
      <w:r w:rsidRPr="00730B6F">
        <w:rPr>
          <w:rFonts w:ascii="Verdana" w:hAnsi="Verdana"/>
          <w:sz w:val="16"/>
          <w:szCs w:val="16"/>
          <w:lang w:val="es-CO"/>
        </w:rPr>
        <w:t>C.P. Dr. Jaime Enrique Rodríguez. Exp</w:t>
      </w:r>
      <w:r w:rsidRPr="00730B6F">
        <w:rPr>
          <w:rFonts w:ascii="Verdana" w:hAnsi="Verdana"/>
          <w:sz w:val="16"/>
          <w:szCs w:val="16"/>
        </w:rPr>
        <w:t>. 54.714.</w:t>
      </w:r>
    </w:p>
  </w:footnote>
  <w:footnote w:id="24">
    <w:p w14:paraId="194DC89F" w14:textId="77777777" w:rsidR="00EB3B48" w:rsidRPr="00730B6F" w:rsidRDefault="00EB3B48" w:rsidP="00EB3B48">
      <w:pPr>
        <w:pStyle w:val="Textonotapie"/>
        <w:ind w:firstLine="708"/>
        <w:contextualSpacing/>
        <w:jc w:val="both"/>
        <w:rPr>
          <w:rFonts w:ascii="Verdana" w:hAnsi="Verdana"/>
          <w:sz w:val="16"/>
          <w:szCs w:val="16"/>
          <w:lang w:val="es-CO"/>
        </w:rPr>
      </w:pPr>
      <w:r w:rsidRPr="00730B6F">
        <w:rPr>
          <w:rStyle w:val="Refdenotaalpie"/>
          <w:rFonts w:ascii="Verdana" w:hAnsi="Verdana"/>
          <w:sz w:val="16"/>
          <w:szCs w:val="16"/>
        </w:rPr>
        <w:footnoteRef/>
      </w:r>
      <w:r w:rsidRPr="00730B6F">
        <w:rPr>
          <w:rFonts w:ascii="Verdana" w:hAnsi="Verdana"/>
          <w:sz w:val="16"/>
          <w:szCs w:val="16"/>
        </w:rPr>
        <w:t xml:space="preserve"> CONSEJO DE ESTADO. Sala de lo Contencioso Administrativo. Sección Tercera, Subsección A. Sentencia del 22 de agosto de 2023. </w:t>
      </w:r>
      <w:r w:rsidRPr="00730B6F">
        <w:rPr>
          <w:rFonts w:ascii="Verdana" w:hAnsi="Verdana"/>
          <w:sz w:val="16"/>
          <w:szCs w:val="16"/>
          <w:lang w:val="es-CO"/>
        </w:rPr>
        <w:t xml:space="preserve">C.P.: María Adriana Marín. </w:t>
      </w:r>
      <w:r w:rsidRPr="00730B6F">
        <w:rPr>
          <w:rFonts w:ascii="Verdana" w:hAnsi="Verdana"/>
          <w:sz w:val="16"/>
          <w:szCs w:val="16"/>
        </w:rPr>
        <w:t>Exp: 58634.</w:t>
      </w:r>
      <w:r w:rsidRPr="00730B6F">
        <w:rPr>
          <w:rFonts w:ascii="Verdana" w:hAnsi="Verdana"/>
          <w:sz w:val="16"/>
          <w:szCs w:val="16"/>
          <w:lang w:val="es-CO"/>
        </w:rPr>
        <w:t xml:space="preserve"> </w:t>
      </w:r>
    </w:p>
  </w:footnote>
  <w:footnote w:id="25">
    <w:p w14:paraId="5816311C" w14:textId="77777777" w:rsidR="00EB3B48" w:rsidRPr="00730B6F" w:rsidRDefault="00EB3B48" w:rsidP="00EB3B48">
      <w:pPr>
        <w:pStyle w:val="Textonotapie"/>
        <w:ind w:firstLine="708"/>
        <w:contextualSpacing/>
        <w:jc w:val="both"/>
        <w:rPr>
          <w:rFonts w:ascii="Verdana" w:hAnsi="Verdana"/>
          <w:sz w:val="16"/>
          <w:szCs w:val="16"/>
          <w:lang w:val="es-CO"/>
        </w:rPr>
      </w:pPr>
      <w:r w:rsidRPr="00730B6F">
        <w:rPr>
          <w:rFonts w:ascii="Verdana" w:hAnsi="Verdana"/>
          <w:sz w:val="16"/>
          <w:szCs w:val="16"/>
        </w:rPr>
        <w:t xml:space="preserve"> </w:t>
      </w:r>
      <w:r w:rsidRPr="00730B6F">
        <w:rPr>
          <w:rStyle w:val="Refdenotaalpie"/>
          <w:rFonts w:ascii="Verdana" w:hAnsi="Verdana"/>
          <w:sz w:val="16"/>
          <w:szCs w:val="16"/>
        </w:rPr>
        <w:footnoteRef/>
      </w:r>
      <w:r w:rsidRPr="00730B6F">
        <w:rPr>
          <w:rFonts w:ascii="Verdana" w:hAnsi="Verdana"/>
          <w:sz w:val="16"/>
          <w:szCs w:val="16"/>
        </w:rPr>
        <w:t xml:space="preserve"> </w:t>
      </w:r>
      <w:r w:rsidRPr="00730B6F">
        <w:rPr>
          <w:rFonts w:ascii="Verdana" w:hAnsi="Verdana"/>
          <w:sz w:val="16"/>
          <w:szCs w:val="16"/>
          <w:lang w:val="es-CO"/>
        </w:rPr>
        <w:t xml:space="preserve">CONSEJO DE ESTADO. </w:t>
      </w:r>
      <w:r w:rsidRPr="00730B6F">
        <w:rPr>
          <w:rFonts w:ascii="Verdana" w:hAnsi="Verdana"/>
          <w:sz w:val="16"/>
          <w:szCs w:val="16"/>
        </w:rPr>
        <w:t xml:space="preserve">Sala de lo Contencioso Administrativo. </w:t>
      </w:r>
      <w:r w:rsidRPr="00730B6F">
        <w:rPr>
          <w:rFonts w:ascii="Verdana" w:hAnsi="Verdana"/>
          <w:sz w:val="16"/>
          <w:szCs w:val="16"/>
          <w:lang w:val="es-CO"/>
        </w:rPr>
        <w:t>Sección Tercera. Sentencia del 19 de septiembre de 2022. C.P.: Jaime Enrique Rodríguez Navas. Exp. 54714</w:t>
      </w:r>
      <w:r>
        <w:rPr>
          <w:rFonts w:ascii="Verdana" w:hAnsi="Verdana"/>
          <w:sz w:val="16"/>
          <w:szCs w:val="16"/>
          <w:lang w:val="es-CO"/>
        </w:rPr>
        <w:t xml:space="preserve">; </w:t>
      </w:r>
      <w:r w:rsidRPr="00786822">
        <w:rPr>
          <w:rFonts w:ascii="Verdana" w:hAnsi="Verdana"/>
          <w:sz w:val="16"/>
          <w:szCs w:val="16"/>
        </w:rPr>
        <w:t xml:space="preserve">CONSEJO DE ESTADO. Sala de lo Contencioso Administrativo. Sección Tercera. Subsección C. Sentencia del 24 de abril de 2024. </w:t>
      </w:r>
      <w:r w:rsidRPr="00786822">
        <w:rPr>
          <w:rFonts w:ascii="Verdana" w:hAnsi="Verdana"/>
          <w:sz w:val="16"/>
          <w:szCs w:val="16"/>
          <w:lang w:val="es-CO"/>
        </w:rPr>
        <w:t xml:space="preserve">C.P.: Nicolás Yepes Corrales. </w:t>
      </w:r>
      <w:r w:rsidRPr="00786822">
        <w:rPr>
          <w:rFonts w:ascii="Verdana" w:hAnsi="Verdana"/>
          <w:sz w:val="16"/>
          <w:szCs w:val="16"/>
        </w:rPr>
        <w:t xml:space="preserve">Exp.  67095. </w:t>
      </w:r>
    </w:p>
  </w:footnote>
  <w:footnote w:id="26">
    <w:p w14:paraId="6666E599" w14:textId="77777777" w:rsidR="00EB3B48" w:rsidRPr="00730B6F" w:rsidRDefault="00EB3B48" w:rsidP="00EB3B48">
      <w:pPr>
        <w:pStyle w:val="Textonotapie"/>
        <w:ind w:firstLine="708"/>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CONSEJO DE ESTADO. Sala de lo Contencioso Administrativo. Sección Tercera. Subsección B. Sentencia del 10 de octubre de 2024.</w:t>
      </w:r>
      <w:r w:rsidRPr="00730B6F">
        <w:rPr>
          <w:rFonts w:ascii="Verdana" w:hAnsi="Verdana"/>
          <w:sz w:val="16"/>
          <w:szCs w:val="16"/>
          <w:lang w:val="es-CO"/>
        </w:rPr>
        <w:t xml:space="preserve"> C.P. Fredy Ibarra Martínez.</w:t>
      </w:r>
      <w:r w:rsidRPr="00730B6F">
        <w:rPr>
          <w:rFonts w:ascii="Verdana" w:hAnsi="Verdana"/>
          <w:sz w:val="16"/>
          <w:szCs w:val="16"/>
        </w:rPr>
        <w:t xml:space="preserve"> Exp. 67.508. </w:t>
      </w:r>
    </w:p>
  </w:footnote>
  <w:footnote w:id="27">
    <w:p w14:paraId="1483040A" w14:textId="77777777" w:rsidR="00EB3B48" w:rsidRPr="00730B6F" w:rsidRDefault="00EB3B48" w:rsidP="00EB3B48">
      <w:pPr>
        <w:spacing w:after="0" w:line="240" w:lineRule="auto"/>
        <w:ind w:firstLine="709"/>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CONSEJO DE ESTADO. Sala de Consulta y Servicio Civil.</w:t>
      </w:r>
      <w:r w:rsidRPr="00730B6F">
        <w:rPr>
          <w:rFonts w:ascii="Verdana" w:hAnsi="Verdana"/>
          <w:i/>
          <w:iCs/>
          <w:sz w:val="16"/>
          <w:szCs w:val="16"/>
        </w:rPr>
        <w:t xml:space="preserve"> </w:t>
      </w:r>
      <w:r w:rsidRPr="00730B6F">
        <w:rPr>
          <w:rFonts w:ascii="Verdana" w:hAnsi="Verdana"/>
          <w:sz w:val="16"/>
          <w:szCs w:val="16"/>
        </w:rPr>
        <w:t>C.P.: Óscar Daría Amaya Navas. Concepto del 06 de junio 2018. Radicación número: 2369.</w:t>
      </w:r>
    </w:p>
  </w:footnote>
  <w:footnote w:id="28">
    <w:p w14:paraId="013EA4DD" w14:textId="77777777" w:rsidR="00EB3B48" w:rsidRPr="00730B6F" w:rsidRDefault="00EB3B48" w:rsidP="00EB3B48">
      <w:pPr>
        <w:pStyle w:val="Textonotapie"/>
        <w:ind w:firstLine="709"/>
        <w:jc w:val="both"/>
        <w:rPr>
          <w:rFonts w:ascii="Verdana" w:hAnsi="Verdana"/>
          <w:sz w:val="16"/>
          <w:szCs w:val="16"/>
          <w:lang w:val="es-CO"/>
        </w:rPr>
      </w:pPr>
      <w:r w:rsidRPr="00730B6F">
        <w:rPr>
          <w:rStyle w:val="Refdenotaalpie"/>
          <w:rFonts w:ascii="Verdana" w:hAnsi="Verdana"/>
          <w:sz w:val="16"/>
          <w:szCs w:val="16"/>
        </w:rPr>
        <w:footnoteRef/>
      </w:r>
      <w:r w:rsidRPr="00730B6F">
        <w:rPr>
          <w:rFonts w:ascii="Verdana" w:hAnsi="Verdana"/>
          <w:sz w:val="16"/>
          <w:szCs w:val="16"/>
        </w:rPr>
        <w:t xml:space="preserve"> </w:t>
      </w:r>
      <w:r w:rsidRPr="00730B6F">
        <w:rPr>
          <w:rFonts w:ascii="Verdana" w:hAnsi="Verdana"/>
          <w:bCs/>
          <w:sz w:val="16"/>
          <w:szCs w:val="16"/>
          <w:lang w:val="es-CO"/>
        </w:rPr>
        <w:t>ARTICULO 11. DE LA COMPETENCIA PARA DIRIGIR LICITACIONES O CONCURSOS Y PARA CELEBRAR CONTRATOS ESTATALES. </w:t>
      </w:r>
      <w:r w:rsidRPr="00730B6F">
        <w:rPr>
          <w:rFonts w:ascii="Verdana" w:hAnsi="Verdana"/>
          <w:sz w:val="16"/>
          <w:szCs w:val="16"/>
          <w:lang w:val="es-CO"/>
        </w:rPr>
        <w:t>En las entidades estatales a que se refiere el artículo 2o.: </w:t>
      </w:r>
    </w:p>
    <w:p w14:paraId="5B4772B9" w14:textId="77777777" w:rsidR="00EB3B48" w:rsidRPr="00730B6F" w:rsidRDefault="00EB3B48" w:rsidP="00EB3B48">
      <w:pPr>
        <w:pStyle w:val="Textonotapie"/>
        <w:ind w:firstLine="709"/>
        <w:jc w:val="both"/>
        <w:rPr>
          <w:rFonts w:ascii="Verdana" w:hAnsi="Verdana"/>
          <w:sz w:val="16"/>
          <w:szCs w:val="16"/>
          <w:lang w:val="es-CO"/>
        </w:rPr>
      </w:pPr>
      <w:r w:rsidRPr="00730B6F">
        <w:rPr>
          <w:rFonts w:ascii="Verdana" w:hAnsi="Verdana"/>
          <w:sz w:val="16"/>
          <w:szCs w:val="16"/>
          <w:lang w:val="es-CO"/>
        </w:rPr>
        <w:t>1o. La competencia para ordenar y dirigir la celebración de licitaciones o concursos y para escoger contratistas será del jefe o representante de la entidad, según el caso. </w:t>
      </w:r>
    </w:p>
    <w:p w14:paraId="5F090523" w14:textId="77777777" w:rsidR="00EB3B48" w:rsidRPr="00730B6F" w:rsidRDefault="00EB3B48" w:rsidP="00EB3B48">
      <w:pPr>
        <w:pStyle w:val="Textonotapie"/>
        <w:ind w:firstLine="709"/>
        <w:jc w:val="both"/>
        <w:rPr>
          <w:rFonts w:ascii="Verdana" w:hAnsi="Verdana"/>
          <w:sz w:val="16"/>
          <w:szCs w:val="16"/>
          <w:lang w:val="es-CO"/>
        </w:rPr>
      </w:pPr>
      <w:r w:rsidRPr="00730B6F">
        <w:rPr>
          <w:rFonts w:ascii="Verdana" w:hAnsi="Verdana"/>
          <w:sz w:val="16"/>
          <w:szCs w:val="16"/>
          <w:lang w:val="es-CO"/>
        </w:rPr>
        <w:t>2o. Tiene competencia para celebrar contratos a nombre de la Nación, el Presidente de la República. </w:t>
      </w:r>
    </w:p>
    <w:p w14:paraId="78170486" w14:textId="77777777" w:rsidR="00EB3B48" w:rsidRPr="00730B6F" w:rsidRDefault="00EB3B48" w:rsidP="00EB3B48">
      <w:pPr>
        <w:pStyle w:val="Textonotapie"/>
        <w:ind w:firstLine="709"/>
        <w:jc w:val="both"/>
        <w:rPr>
          <w:rFonts w:ascii="Verdana" w:hAnsi="Verdana"/>
          <w:sz w:val="16"/>
          <w:szCs w:val="16"/>
          <w:lang w:val="es-CO"/>
        </w:rPr>
      </w:pPr>
      <w:r w:rsidRPr="00730B6F">
        <w:rPr>
          <w:rFonts w:ascii="Verdana" w:hAnsi="Verdana"/>
          <w:sz w:val="16"/>
          <w:szCs w:val="16"/>
          <w:lang w:val="es-CO"/>
        </w:rPr>
        <w:t>3o. Tienen competencia para celebrar contratos a nombre de la entidad respectiva: </w:t>
      </w:r>
    </w:p>
    <w:p w14:paraId="26158FB4" w14:textId="77777777" w:rsidR="00EB3B48" w:rsidRPr="00730B6F" w:rsidRDefault="00EB3B48" w:rsidP="00EB3B48">
      <w:pPr>
        <w:pStyle w:val="Textonotapie"/>
        <w:ind w:firstLine="709"/>
        <w:jc w:val="both"/>
        <w:rPr>
          <w:rFonts w:ascii="Verdana" w:hAnsi="Verdana"/>
          <w:sz w:val="16"/>
          <w:szCs w:val="16"/>
          <w:lang w:val="es-CO"/>
        </w:rPr>
      </w:pPr>
      <w:r w:rsidRPr="00730B6F">
        <w:rPr>
          <w:rFonts w:ascii="Verdana" w:hAnsi="Verdana"/>
          <w:sz w:val="16"/>
          <w:szCs w:val="16"/>
          <w:lang w:val="es-CO"/>
        </w:rPr>
        <w:t>a) Los ministros del despacho, los directores de departamentos administrativos, los superintendentes, los jefes de unidades administrativas especiales, el Presidente del Senado de la República, el Presidente de la Cámara de Representantes, los Presidentes de la Sala Administrativa del Consejo Superior de la Judicatura y de sus Consejos Seccionales, el Fiscal General de la Nación, el Contralor General de la República, el Procurador General de la Nación, y el Registrador Nacional del Estado Civil. </w:t>
      </w:r>
    </w:p>
    <w:p w14:paraId="2436AC28" w14:textId="77777777" w:rsidR="00EB3B48" w:rsidRPr="00730B6F" w:rsidRDefault="00EB3B48" w:rsidP="00EB3B48">
      <w:pPr>
        <w:pStyle w:val="Textonotapie"/>
        <w:ind w:firstLine="709"/>
        <w:jc w:val="both"/>
        <w:rPr>
          <w:rFonts w:ascii="Verdana" w:hAnsi="Verdana"/>
          <w:sz w:val="16"/>
          <w:szCs w:val="16"/>
          <w:lang w:val="es-CO"/>
        </w:rPr>
      </w:pPr>
      <w:r w:rsidRPr="00730B6F">
        <w:rPr>
          <w:rFonts w:ascii="Verdana" w:hAnsi="Verdana"/>
          <w:sz w:val="16"/>
          <w:szCs w:val="16"/>
          <w:lang w:val="es-CO"/>
        </w:rPr>
        <w:t>b) A nivel territorial, los gobernadores de los departamentos, los alcaldes municipales y de los distritos capital y especiales, los contralores departamentales, distritales y municipales, y los representantes legales de las regiones, las provincias, las áreas metropolitanas, los territorios indígenas y las asociaciones de municipios, en los términos y condiciones de las normas legales que regulen la organización y el funcionamiento de dichas entidades. </w:t>
      </w:r>
    </w:p>
    <w:p w14:paraId="6077441C" w14:textId="77777777" w:rsidR="00EB3B48" w:rsidRPr="00730B6F" w:rsidRDefault="00EB3B48" w:rsidP="00EB3B48">
      <w:pPr>
        <w:pStyle w:val="Textonotapie"/>
        <w:ind w:firstLine="709"/>
        <w:jc w:val="both"/>
        <w:rPr>
          <w:rFonts w:ascii="Verdana" w:hAnsi="Verdana"/>
          <w:sz w:val="16"/>
          <w:szCs w:val="16"/>
          <w:lang w:val="es-CO"/>
        </w:rPr>
      </w:pPr>
      <w:r w:rsidRPr="00730B6F">
        <w:rPr>
          <w:rFonts w:ascii="Verdana" w:hAnsi="Verdana"/>
          <w:sz w:val="16"/>
          <w:szCs w:val="16"/>
          <w:lang w:val="es-CO"/>
        </w:rPr>
        <w:t>c) Los representantes legales de las entidades descentralizadas en todos los órdenes y niveles. </w:t>
      </w:r>
      <w:bookmarkStart w:id="5" w:name="ver_30161404"/>
      <w:bookmarkStart w:id="6" w:name="ver_1790120"/>
      <w:bookmarkEnd w:id="5"/>
      <w:bookmarkEnd w:id="6"/>
    </w:p>
  </w:footnote>
  <w:footnote w:id="29">
    <w:p w14:paraId="5A7CCE3F" w14:textId="77777777" w:rsidR="00EB3B48" w:rsidRPr="00ED01FC" w:rsidRDefault="00EB3B48" w:rsidP="00EB3B48">
      <w:pPr>
        <w:pStyle w:val="Textonotapie"/>
        <w:ind w:firstLine="709"/>
        <w:jc w:val="both"/>
        <w:rPr>
          <w:rFonts w:ascii="Verdana" w:hAnsi="Verdana"/>
          <w:sz w:val="16"/>
          <w:szCs w:val="16"/>
          <w:lang w:val="es-CO"/>
        </w:rPr>
      </w:pPr>
      <w:r w:rsidRPr="00730B6F">
        <w:rPr>
          <w:rStyle w:val="Refdenotaalpie"/>
          <w:rFonts w:ascii="Verdana" w:hAnsi="Verdana"/>
          <w:sz w:val="16"/>
          <w:szCs w:val="16"/>
        </w:rPr>
        <w:footnoteRef/>
      </w:r>
      <w:r w:rsidRPr="00730B6F">
        <w:rPr>
          <w:rFonts w:ascii="Verdana" w:hAnsi="Verdana"/>
          <w:sz w:val="16"/>
          <w:szCs w:val="16"/>
        </w:rPr>
        <w:t xml:space="preserve"> </w:t>
      </w:r>
      <w:r w:rsidRPr="00730B6F">
        <w:rPr>
          <w:rFonts w:ascii="Verdana" w:hAnsi="Verdana"/>
          <w:bCs/>
          <w:sz w:val="16"/>
          <w:szCs w:val="16"/>
          <w:lang w:val="es-CO"/>
        </w:rPr>
        <w:t>ARTICULO 12. DE LA DELEGACION PARA CONTRATAR.</w:t>
      </w:r>
      <w:r w:rsidRPr="00730B6F">
        <w:rPr>
          <w:rFonts w:ascii="Verdana" w:hAnsi="Verdana"/>
          <w:sz w:val="16"/>
          <w:szCs w:val="16"/>
          <w:lang w:val="es-CO"/>
        </w:rPr>
        <w:t> Los jefes y los representantes legales de las entidades estatales podrán delegar total o parcialmente la competencia para celebrar contratos y desconcentrar la realización de licitaciones o concursos en los servidores públicos que desempeñen cargos del nivel directivo o ejecutivo o en sus equivalentes.</w:t>
      </w:r>
      <w:r>
        <w:rPr>
          <w:rFonts w:ascii="Verdana" w:hAnsi="Verdana"/>
          <w:sz w:val="16"/>
          <w:szCs w:val="16"/>
          <w:lang w:val="es-CO"/>
        </w:rPr>
        <w:t>[…]</w:t>
      </w:r>
    </w:p>
  </w:footnote>
  <w:footnote w:id="30">
    <w:p w14:paraId="01012C32" w14:textId="77777777" w:rsidR="00EB3B48" w:rsidRPr="00730B6F" w:rsidRDefault="00EB3B48" w:rsidP="00EB3B48">
      <w:pPr>
        <w:spacing w:after="0" w:line="240" w:lineRule="auto"/>
        <w:ind w:firstLine="708"/>
        <w:contextualSpacing/>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CONSEJO DE ESTADO. Sala de Consulta y Servicio Civil. C.P.: Óscar Daría Amaya Navas. Concepto del 6 de junio de 2018. Radicación número: 2369.</w:t>
      </w:r>
    </w:p>
  </w:footnote>
  <w:footnote w:id="31">
    <w:p w14:paraId="25091D75" w14:textId="77777777" w:rsidR="00EB3B48" w:rsidRPr="00730B6F" w:rsidRDefault="00EB3B48" w:rsidP="00EB3B48">
      <w:pPr>
        <w:pStyle w:val="Textonotapie"/>
        <w:ind w:firstLine="708"/>
        <w:contextualSpacing/>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Ibidem. </w:t>
      </w:r>
    </w:p>
  </w:footnote>
  <w:footnote w:id="32">
    <w:p w14:paraId="69BBDA2F" w14:textId="77777777" w:rsidR="00EB3B48" w:rsidRPr="00730B6F" w:rsidRDefault="00EB3B48" w:rsidP="00EB3B48">
      <w:pPr>
        <w:pStyle w:val="Textonotapie"/>
        <w:ind w:firstLine="708"/>
        <w:contextualSpacing/>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FRANCO GUTIÉRREZ, Omar. La Contratación Administrativa. Quinta Ed. Bogotá. Leyer, 2010. Páginas 552-553.</w:t>
      </w:r>
    </w:p>
  </w:footnote>
  <w:footnote w:id="33">
    <w:p w14:paraId="66AE29C1" w14:textId="77777777" w:rsidR="00EB3B48" w:rsidRPr="00ED01FC" w:rsidRDefault="00EB3B48" w:rsidP="00EB3B48">
      <w:pPr>
        <w:spacing w:after="0" w:line="240" w:lineRule="auto"/>
        <w:ind w:firstLine="708"/>
        <w:contextualSpacing/>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CONSEJO DE ESTADO. Sala de Consulta y del Servicio Civil. C.P: Óscar Daría Amaya Navas. Concepto del 06 de junio de2018. Radicación número: 2369</w:t>
      </w:r>
    </w:p>
  </w:footnote>
  <w:footnote w:id="34">
    <w:p w14:paraId="4284D031" w14:textId="77777777" w:rsidR="00EB3B48" w:rsidRPr="00730B6F" w:rsidRDefault="00EB3B48" w:rsidP="00EB3B48">
      <w:pPr>
        <w:pStyle w:val="Textonotapie"/>
        <w:ind w:firstLine="708"/>
        <w:contextualSpacing/>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BENAVIDES, José Luis. Contratos Públicos. Estudios. Temas de Derecho Administrativo No. 5. Universidad Externado de Colombia. 2014.</w:t>
      </w:r>
    </w:p>
  </w:footnote>
  <w:footnote w:id="35">
    <w:p w14:paraId="7C33C409" w14:textId="77777777" w:rsidR="00EB3B48" w:rsidRPr="00730B6F" w:rsidRDefault="00EB3B48" w:rsidP="00EB3B48">
      <w:pPr>
        <w:pStyle w:val="Textonotapie"/>
        <w:ind w:firstLine="708"/>
        <w:contextualSpacing/>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EXPOSITO Velez, Juan Carlos. La planeación y validez del contrato estatal. En: Contratos Públicos: Problemas, perspectivas y prospectivas. XVIII Jornadas Internacionales de Derecho Administrativo, Universidad Externado de Colombia. Agosto. 2017. </w:t>
      </w:r>
    </w:p>
  </w:footnote>
  <w:footnote w:id="36">
    <w:p w14:paraId="68F47E1C" w14:textId="77777777" w:rsidR="00EB3B48" w:rsidRPr="00803210" w:rsidRDefault="00EB3B48" w:rsidP="00EB3B48">
      <w:pPr>
        <w:pStyle w:val="Textonotapie"/>
        <w:ind w:firstLine="708"/>
        <w:contextualSpacing/>
        <w:jc w:val="both"/>
        <w:rPr>
          <w:rFonts w:ascii="Verdana" w:hAnsi="Verdana"/>
          <w:sz w:val="16"/>
          <w:szCs w:val="16"/>
        </w:rPr>
      </w:pPr>
      <w:r w:rsidRPr="00730B6F">
        <w:rPr>
          <w:rStyle w:val="Refdenotaalpie"/>
          <w:rFonts w:ascii="Verdana" w:hAnsi="Verdana"/>
          <w:sz w:val="16"/>
          <w:szCs w:val="16"/>
        </w:rPr>
        <w:footnoteRef/>
      </w:r>
      <w:r w:rsidRPr="00730B6F">
        <w:rPr>
          <w:rFonts w:ascii="Verdana" w:hAnsi="Verdana"/>
          <w:sz w:val="16"/>
          <w:szCs w:val="16"/>
        </w:rPr>
        <w:t xml:space="preserve"> Ibidem.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F736BA"/>
    <w:multiLevelType w:val="hybridMultilevel"/>
    <w:tmpl w:val="8B64E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07321D"/>
    <w:multiLevelType w:val="multilevel"/>
    <w:tmpl w:val="880A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1"/>
  </w:num>
  <w:num w:numId="13" w16cid:durableId="1512908409">
    <w:abstractNumId w:val="3"/>
  </w:num>
  <w:num w:numId="14" w16cid:durableId="895897244">
    <w:abstractNumId w:val="15"/>
  </w:num>
  <w:num w:numId="15" w16cid:durableId="390349800">
    <w:abstractNumId w:val="10"/>
  </w:num>
  <w:num w:numId="16" w16cid:durableId="59535900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6301168">
    <w:abstractNumId w:val="4"/>
  </w:num>
  <w:num w:numId="18" w16cid:durableId="20710620">
    <w:abstractNumId w:val="10"/>
  </w:num>
  <w:num w:numId="19" w16cid:durableId="16796526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13E7"/>
    <w:rsid w:val="000113E3"/>
    <w:rsid w:val="00016F78"/>
    <w:rsid w:val="00017E23"/>
    <w:rsid w:val="0002697B"/>
    <w:rsid w:val="00027BD2"/>
    <w:rsid w:val="00033D50"/>
    <w:rsid w:val="00035658"/>
    <w:rsid w:val="00041F25"/>
    <w:rsid w:val="00046945"/>
    <w:rsid w:val="000613B0"/>
    <w:rsid w:val="00061B2A"/>
    <w:rsid w:val="00082362"/>
    <w:rsid w:val="000A44B7"/>
    <w:rsid w:val="000A683E"/>
    <w:rsid w:val="000A6C1D"/>
    <w:rsid w:val="000B19B9"/>
    <w:rsid w:val="000B274D"/>
    <w:rsid w:val="000C2C86"/>
    <w:rsid w:val="000C2DAF"/>
    <w:rsid w:val="000C3669"/>
    <w:rsid w:val="000C3831"/>
    <w:rsid w:val="000C6EB9"/>
    <w:rsid w:val="000D0334"/>
    <w:rsid w:val="000D5DA7"/>
    <w:rsid w:val="000E19FD"/>
    <w:rsid w:val="000E51B1"/>
    <w:rsid w:val="000F24FE"/>
    <w:rsid w:val="000F51A8"/>
    <w:rsid w:val="000F6486"/>
    <w:rsid w:val="001022DB"/>
    <w:rsid w:val="00103EB1"/>
    <w:rsid w:val="00114775"/>
    <w:rsid w:val="00116940"/>
    <w:rsid w:val="00122A0A"/>
    <w:rsid w:val="00125105"/>
    <w:rsid w:val="00127233"/>
    <w:rsid w:val="00134D87"/>
    <w:rsid w:val="00137357"/>
    <w:rsid w:val="0015699B"/>
    <w:rsid w:val="0015744B"/>
    <w:rsid w:val="001619D8"/>
    <w:rsid w:val="001677C2"/>
    <w:rsid w:val="00170DA9"/>
    <w:rsid w:val="001725FD"/>
    <w:rsid w:val="00182887"/>
    <w:rsid w:val="00184EA3"/>
    <w:rsid w:val="00187720"/>
    <w:rsid w:val="001A33BF"/>
    <w:rsid w:val="001A4B27"/>
    <w:rsid w:val="001A4E22"/>
    <w:rsid w:val="001A5E4B"/>
    <w:rsid w:val="001B6B9E"/>
    <w:rsid w:val="001D51A4"/>
    <w:rsid w:val="001D6D39"/>
    <w:rsid w:val="001E4177"/>
    <w:rsid w:val="001F0B24"/>
    <w:rsid w:val="001F7D13"/>
    <w:rsid w:val="001F7DC6"/>
    <w:rsid w:val="0020135C"/>
    <w:rsid w:val="002215D2"/>
    <w:rsid w:val="0022400B"/>
    <w:rsid w:val="00231322"/>
    <w:rsid w:val="00236429"/>
    <w:rsid w:val="002421BB"/>
    <w:rsid w:val="0025796E"/>
    <w:rsid w:val="00261E3C"/>
    <w:rsid w:val="002643D8"/>
    <w:rsid w:val="00264E31"/>
    <w:rsid w:val="00266623"/>
    <w:rsid w:val="002707A2"/>
    <w:rsid w:val="0027202B"/>
    <w:rsid w:val="00281F88"/>
    <w:rsid w:val="00283393"/>
    <w:rsid w:val="00293FDE"/>
    <w:rsid w:val="00294CD8"/>
    <w:rsid w:val="002951A0"/>
    <w:rsid w:val="002962BC"/>
    <w:rsid w:val="002A093D"/>
    <w:rsid w:val="002A0DD0"/>
    <w:rsid w:val="002A24B5"/>
    <w:rsid w:val="002A2825"/>
    <w:rsid w:val="002A49AC"/>
    <w:rsid w:val="002A5BE0"/>
    <w:rsid w:val="002A64FD"/>
    <w:rsid w:val="002B34C5"/>
    <w:rsid w:val="002C1625"/>
    <w:rsid w:val="002C4AE0"/>
    <w:rsid w:val="002C7A84"/>
    <w:rsid w:val="002D61CD"/>
    <w:rsid w:val="002D79DA"/>
    <w:rsid w:val="002E2BF8"/>
    <w:rsid w:val="002E4FD9"/>
    <w:rsid w:val="0030657A"/>
    <w:rsid w:val="00313729"/>
    <w:rsid w:val="00322A85"/>
    <w:rsid w:val="00324168"/>
    <w:rsid w:val="00326B7F"/>
    <w:rsid w:val="00330834"/>
    <w:rsid w:val="0034182C"/>
    <w:rsid w:val="003448F4"/>
    <w:rsid w:val="00373D9F"/>
    <w:rsid w:val="00374F5E"/>
    <w:rsid w:val="00377E3E"/>
    <w:rsid w:val="00382901"/>
    <w:rsid w:val="00383A39"/>
    <w:rsid w:val="00393C0A"/>
    <w:rsid w:val="003A6930"/>
    <w:rsid w:val="003A779E"/>
    <w:rsid w:val="003B38A2"/>
    <w:rsid w:val="003B4B39"/>
    <w:rsid w:val="003C5341"/>
    <w:rsid w:val="003D0F4D"/>
    <w:rsid w:val="003D5B0D"/>
    <w:rsid w:val="003E0499"/>
    <w:rsid w:val="003E4F80"/>
    <w:rsid w:val="003E6439"/>
    <w:rsid w:val="003E6F7B"/>
    <w:rsid w:val="003F3941"/>
    <w:rsid w:val="003F5F3C"/>
    <w:rsid w:val="003F6102"/>
    <w:rsid w:val="0040403C"/>
    <w:rsid w:val="00406575"/>
    <w:rsid w:val="00414C74"/>
    <w:rsid w:val="00416611"/>
    <w:rsid w:val="00417246"/>
    <w:rsid w:val="00417AB0"/>
    <w:rsid w:val="0042722E"/>
    <w:rsid w:val="004320DE"/>
    <w:rsid w:val="004353D4"/>
    <w:rsid w:val="00444F4B"/>
    <w:rsid w:val="0044528D"/>
    <w:rsid w:val="00445BFB"/>
    <w:rsid w:val="00450746"/>
    <w:rsid w:val="00450868"/>
    <w:rsid w:val="00451A0E"/>
    <w:rsid w:val="004533BE"/>
    <w:rsid w:val="00457542"/>
    <w:rsid w:val="00466E39"/>
    <w:rsid w:val="00477066"/>
    <w:rsid w:val="00482875"/>
    <w:rsid w:val="004863DE"/>
    <w:rsid w:val="00487D2D"/>
    <w:rsid w:val="00490758"/>
    <w:rsid w:val="004914BB"/>
    <w:rsid w:val="004915C1"/>
    <w:rsid w:val="00495EB6"/>
    <w:rsid w:val="004A11BD"/>
    <w:rsid w:val="004A1847"/>
    <w:rsid w:val="004A305D"/>
    <w:rsid w:val="004B42F5"/>
    <w:rsid w:val="004B6BA7"/>
    <w:rsid w:val="004C34D2"/>
    <w:rsid w:val="004C6D24"/>
    <w:rsid w:val="004D292E"/>
    <w:rsid w:val="004E468C"/>
    <w:rsid w:val="004F21C4"/>
    <w:rsid w:val="004F342D"/>
    <w:rsid w:val="004F685F"/>
    <w:rsid w:val="0050209F"/>
    <w:rsid w:val="00506B6E"/>
    <w:rsid w:val="00517E82"/>
    <w:rsid w:val="0052088B"/>
    <w:rsid w:val="0052579F"/>
    <w:rsid w:val="00527269"/>
    <w:rsid w:val="00527A72"/>
    <w:rsid w:val="005433F7"/>
    <w:rsid w:val="00554BF9"/>
    <w:rsid w:val="005566E8"/>
    <w:rsid w:val="0057441C"/>
    <w:rsid w:val="00574867"/>
    <w:rsid w:val="00581C14"/>
    <w:rsid w:val="00581D73"/>
    <w:rsid w:val="00591460"/>
    <w:rsid w:val="00592875"/>
    <w:rsid w:val="00593BD5"/>
    <w:rsid w:val="005A097A"/>
    <w:rsid w:val="005A65E0"/>
    <w:rsid w:val="005A6D41"/>
    <w:rsid w:val="005A7490"/>
    <w:rsid w:val="005B5B09"/>
    <w:rsid w:val="005B7F48"/>
    <w:rsid w:val="005C3777"/>
    <w:rsid w:val="005C48CB"/>
    <w:rsid w:val="005C5CDC"/>
    <w:rsid w:val="005C5F58"/>
    <w:rsid w:val="005D476C"/>
    <w:rsid w:val="005D6706"/>
    <w:rsid w:val="005F54D8"/>
    <w:rsid w:val="00600531"/>
    <w:rsid w:val="00606999"/>
    <w:rsid w:val="0061366B"/>
    <w:rsid w:val="006200BF"/>
    <w:rsid w:val="006219F8"/>
    <w:rsid w:val="006302F7"/>
    <w:rsid w:val="00646B9F"/>
    <w:rsid w:val="00656A4A"/>
    <w:rsid w:val="00665D70"/>
    <w:rsid w:val="00667F4F"/>
    <w:rsid w:val="00671DE3"/>
    <w:rsid w:val="006760AD"/>
    <w:rsid w:val="006800DD"/>
    <w:rsid w:val="006900D9"/>
    <w:rsid w:val="006921BC"/>
    <w:rsid w:val="00694599"/>
    <w:rsid w:val="00694E60"/>
    <w:rsid w:val="006961B1"/>
    <w:rsid w:val="006A078A"/>
    <w:rsid w:val="006A110A"/>
    <w:rsid w:val="006A425E"/>
    <w:rsid w:val="006A44E2"/>
    <w:rsid w:val="006B09A2"/>
    <w:rsid w:val="006B0F30"/>
    <w:rsid w:val="006B3D74"/>
    <w:rsid w:val="006C15DC"/>
    <w:rsid w:val="006C70E9"/>
    <w:rsid w:val="006D4FC5"/>
    <w:rsid w:val="006E067C"/>
    <w:rsid w:val="006E49B2"/>
    <w:rsid w:val="006F02A6"/>
    <w:rsid w:val="006F25A2"/>
    <w:rsid w:val="006F55BE"/>
    <w:rsid w:val="006F7D2D"/>
    <w:rsid w:val="00706C16"/>
    <w:rsid w:val="00714E8D"/>
    <w:rsid w:val="00720C7B"/>
    <w:rsid w:val="007340C3"/>
    <w:rsid w:val="00736615"/>
    <w:rsid w:val="00747773"/>
    <w:rsid w:val="0075235A"/>
    <w:rsid w:val="00756841"/>
    <w:rsid w:val="00762492"/>
    <w:rsid w:val="00762B7A"/>
    <w:rsid w:val="007649AB"/>
    <w:rsid w:val="00771D0C"/>
    <w:rsid w:val="007746F6"/>
    <w:rsid w:val="007810AE"/>
    <w:rsid w:val="00781242"/>
    <w:rsid w:val="007833AC"/>
    <w:rsid w:val="00785984"/>
    <w:rsid w:val="007A10C8"/>
    <w:rsid w:val="007A64C6"/>
    <w:rsid w:val="007A7900"/>
    <w:rsid w:val="007B0E4C"/>
    <w:rsid w:val="007B268C"/>
    <w:rsid w:val="007B3C46"/>
    <w:rsid w:val="007B7171"/>
    <w:rsid w:val="007B7BFF"/>
    <w:rsid w:val="007C0C0F"/>
    <w:rsid w:val="007C14D0"/>
    <w:rsid w:val="007C3DC2"/>
    <w:rsid w:val="007C6387"/>
    <w:rsid w:val="007C6F3A"/>
    <w:rsid w:val="007D21EC"/>
    <w:rsid w:val="007D6A8E"/>
    <w:rsid w:val="007E5497"/>
    <w:rsid w:val="007F3CD5"/>
    <w:rsid w:val="007F6CE0"/>
    <w:rsid w:val="00806F5F"/>
    <w:rsid w:val="00820278"/>
    <w:rsid w:val="008207FE"/>
    <w:rsid w:val="008258C9"/>
    <w:rsid w:val="00844AE9"/>
    <w:rsid w:val="008477B1"/>
    <w:rsid w:val="00852240"/>
    <w:rsid w:val="008559DF"/>
    <w:rsid w:val="008620DD"/>
    <w:rsid w:val="00865D21"/>
    <w:rsid w:val="00866624"/>
    <w:rsid w:val="00867F95"/>
    <w:rsid w:val="00871DF8"/>
    <w:rsid w:val="00874AD7"/>
    <w:rsid w:val="00881E86"/>
    <w:rsid w:val="00882348"/>
    <w:rsid w:val="00882AFE"/>
    <w:rsid w:val="008843B6"/>
    <w:rsid w:val="00891928"/>
    <w:rsid w:val="008A446D"/>
    <w:rsid w:val="008B0A88"/>
    <w:rsid w:val="008B25F1"/>
    <w:rsid w:val="008B3F31"/>
    <w:rsid w:val="008B6F53"/>
    <w:rsid w:val="008C4848"/>
    <w:rsid w:val="008D180B"/>
    <w:rsid w:val="008D3F30"/>
    <w:rsid w:val="008D68BF"/>
    <w:rsid w:val="008E4E07"/>
    <w:rsid w:val="008F0EA7"/>
    <w:rsid w:val="008F0EDB"/>
    <w:rsid w:val="008F5672"/>
    <w:rsid w:val="0090025B"/>
    <w:rsid w:val="00903240"/>
    <w:rsid w:val="009175BA"/>
    <w:rsid w:val="00923EEF"/>
    <w:rsid w:val="00923F5A"/>
    <w:rsid w:val="009247CA"/>
    <w:rsid w:val="009419F9"/>
    <w:rsid w:val="009506A9"/>
    <w:rsid w:val="009525CA"/>
    <w:rsid w:val="0095405A"/>
    <w:rsid w:val="0095685E"/>
    <w:rsid w:val="009571F2"/>
    <w:rsid w:val="009612EB"/>
    <w:rsid w:val="00961B09"/>
    <w:rsid w:val="00965334"/>
    <w:rsid w:val="0096549B"/>
    <w:rsid w:val="0097093E"/>
    <w:rsid w:val="00985EC8"/>
    <w:rsid w:val="00991C76"/>
    <w:rsid w:val="00996578"/>
    <w:rsid w:val="009A08ED"/>
    <w:rsid w:val="009A0DFA"/>
    <w:rsid w:val="009A1C6F"/>
    <w:rsid w:val="009A3A0F"/>
    <w:rsid w:val="009A3C38"/>
    <w:rsid w:val="009B2924"/>
    <w:rsid w:val="009B2B45"/>
    <w:rsid w:val="009B2D26"/>
    <w:rsid w:val="009B6CC5"/>
    <w:rsid w:val="009C181C"/>
    <w:rsid w:val="009C71FA"/>
    <w:rsid w:val="009C72E7"/>
    <w:rsid w:val="009C7F7E"/>
    <w:rsid w:val="009D3058"/>
    <w:rsid w:val="009E2C90"/>
    <w:rsid w:val="009E7EFB"/>
    <w:rsid w:val="009F3A13"/>
    <w:rsid w:val="00A00AEA"/>
    <w:rsid w:val="00A0522A"/>
    <w:rsid w:val="00A05CD2"/>
    <w:rsid w:val="00A11058"/>
    <w:rsid w:val="00A122D3"/>
    <w:rsid w:val="00A14468"/>
    <w:rsid w:val="00A17F13"/>
    <w:rsid w:val="00A20739"/>
    <w:rsid w:val="00A230CE"/>
    <w:rsid w:val="00A23AF9"/>
    <w:rsid w:val="00A256AB"/>
    <w:rsid w:val="00A33C78"/>
    <w:rsid w:val="00A36CE5"/>
    <w:rsid w:val="00A4398C"/>
    <w:rsid w:val="00A5609B"/>
    <w:rsid w:val="00A60632"/>
    <w:rsid w:val="00A61C40"/>
    <w:rsid w:val="00A70D66"/>
    <w:rsid w:val="00A7479E"/>
    <w:rsid w:val="00A80A0E"/>
    <w:rsid w:val="00A80FC3"/>
    <w:rsid w:val="00A90816"/>
    <w:rsid w:val="00A93286"/>
    <w:rsid w:val="00AA3AE2"/>
    <w:rsid w:val="00AB0ADB"/>
    <w:rsid w:val="00AC1920"/>
    <w:rsid w:val="00AC2A7E"/>
    <w:rsid w:val="00AC36BD"/>
    <w:rsid w:val="00AC5922"/>
    <w:rsid w:val="00AE7106"/>
    <w:rsid w:val="00AF4EFA"/>
    <w:rsid w:val="00AF51D4"/>
    <w:rsid w:val="00B0027A"/>
    <w:rsid w:val="00B00C0E"/>
    <w:rsid w:val="00B01B1A"/>
    <w:rsid w:val="00B0381D"/>
    <w:rsid w:val="00B1231C"/>
    <w:rsid w:val="00B20F8A"/>
    <w:rsid w:val="00B22E9C"/>
    <w:rsid w:val="00B23710"/>
    <w:rsid w:val="00B23DD8"/>
    <w:rsid w:val="00B25BC6"/>
    <w:rsid w:val="00B276CF"/>
    <w:rsid w:val="00B40A00"/>
    <w:rsid w:val="00B41F6B"/>
    <w:rsid w:val="00B42319"/>
    <w:rsid w:val="00B44A47"/>
    <w:rsid w:val="00B62B32"/>
    <w:rsid w:val="00B72CD3"/>
    <w:rsid w:val="00B72FFF"/>
    <w:rsid w:val="00B759F6"/>
    <w:rsid w:val="00B75CCC"/>
    <w:rsid w:val="00B77406"/>
    <w:rsid w:val="00B83B10"/>
    <w:rsid w:val="00B850E4"/>
    <w:rsid w:val="00B971F7"/>
    <w:rsid w:val="00BA49A0"/>
    <w:rsid w:val="00BA4D31"/>
    <w:rsid w:val="00BC3D36"/>
    <w:rsid w:val="00BC44C3"/>
    <w:rsid w:val="00BC710C"/>
    <w:rsid w:val="00BD5311"/>
    <w:rsid w:val="00BD54A6"/>
    <w:rsid w:val="00BD7F72"/>
    <w:rsid w:val="00BE0DAA"/>
    <w:rsid w:val="00BE3D81"/>
    <w:rsid w:val="00BE4A4B"/>
    <w:rsid w:val="00BF1BD2"/>
    <w:rsid w:val="00BF297E"/>
    <w:rsid w:val="00BF4C1F"/>
    <w:rsid w:val="00BF7425"/>
    <w:rsid w:val="00C01ED1"/>
    <w:rsid w:val="00C04FB3"/>
    <w:rsid w:val="00C0793F"/>
    <w:rsid w:val="00C11D8B"/>
    <w:rsid w:val="00C15139"/>
    <w:rsid w:val="00C17FA6"/>
    <w:rsid w:val="00C22106"/>
    <w:rsid w:val="00C2750B"/>
    <w:rsid w:val="00C330EB"/>
    <w:rsid w:val="00C44CC8"/>
    <w:rsid w:val="00C50D69"/>
    <w:rsid w:val="00C5365C"/>
    <w:rsid w:val="00C725B6"/>
    <w:rsid w:val="00C754BE"/>
    <w:rsid w:val="00C764B7"/>
    <w:rsid w:val="00C76B1C"/>
    <w:rsid w:val="00C80119"/>
    <w:rsid w:val="00C86AF7"/>
    <w:rsid w:val="00C925AC"/>
    <w:rsid w:val="00CA0C34"/>
    <w:rsid w:val="00CA27DF"/>
    <w:rsid w:val="00CB1564"/>
    <w:rsid w:val="00CB1E5C"/>
    <w:rsid w:val="00CB5F1A"/>
    <w:rsid w:val="00CB6357"/>
    <w:rsid w:val="00CC1B26"/>
    <w:rsid w:val="00CE6AA8"/>
    <w:rsid w:val="00D021A4"/>
    <w:rsid w:val="00D0232A"/>
    <w:rsid w:val="00D02F2C"/>
    <w:rsid w:val="00D16C38"/>
    <w:rsid w:val="00D361FD"/>
    <w:rsid w:val="00D423A2"/>
    <w:rsid w:val="00D431EC"/>
    <w:rsid w:val="00D44E26"/>
    <w:rsid w:val="00D46778"/>
    <w:rsid w:val="00D520D8"/>
    <w:rsid w:val="00D6223B"/>
    <w:rsid w:val="00D628F7"/>
    <w:rsid w:val="00D63AC2"/>
    <w:rsid w:val="00D7158A"/>
    <w:rsid w:val="00D7383B"/>
    <w:rsid w:val="00D73C8B"/>
    <w:rsid w:val="00D7788A"/>
    <w:rsid w:val="00D9166A"/>
    <w:rsid w:val="00D94CAA"/>
    <w:rsid w:val="00DA231B"/>
    <w:rsid w:val="00DA5A44"/>
    <w:rsid w:val="00DA61E0"/>
    <w:rsid w:val="00DB5ED6"/>
    <w:rsid w:val="00DC39FC"/>
    <w:rsid w:val="00DD2960"/>
    <w:rsid w:val="00DE4420"/>
    <w:rsid w:val="00DE6B08"/>
    <w:rsid w:val="00DE6BCA"/>
    <w:rsid w:val="00DE7C7F"/>
    <w:rsid w:val="00DF4744"/>
    <w:rsid w:val="00DF5254"/>
    <w:rsid w:val="00E015EE"/>
    <w:rsid w:val="00E02524"/>
    <w:rsid w:val="00E11575"/>
    <w:rsid w:val="00E16408"/>
    <w:rsid w:val="00E20894"/>
    <w:rsid w:val="00E20D00"/>
    <w:rsid w:val="00E245AB"/>
    <w:rsid w:val="00E2764C"/>
    <w:rsid w:val="00E27F2E"/>
    <w:rsid w:val="00E4054F"/>
    <w:rsid w:val="00E43816"/>
    <w:rsid w:val="00E50AFE"/>
    <w:rsid w:val="00E539B7"/>
    <w:rsid w:val="00E5559A"/>
    <w:rsid w:val="00E66574"/>
    <w:rsid w:val="00E7004D"/>
    <w:rsid w:val="00E75C92"/>
    <w:rsid w:val="00E771DC"/>
    <w:rsid w:val="00E771DF"/>
    <w:rsid w:val="00E8312F"/>
    <w:rsid w:val="00E8772A"/>
    <w:rsid w:val="00E87D3B"/>
    <w:rsid w:val="00E90F6B"/>
    <w:rsid w:val="00E92C27"/>
    <w:rsid w:val="00E93953"/>
    <w:rsid w:val="00E939DD"/>
    <w:rsid w:val="00EA0E3D"/>
    <w:rsid w:val="00EA159F"/>
    <w:rsid w:val="00EA5B51"/>
    <w:rsid w:val="00EB1885"/>
    <w:rsid w:val="00EB3B48"/>
    <w:rsid w:val="00EC38A7"/>
    <w:rsid w:val="00EC4068"/>
    <w:rsid w:val="00EC5D9C"/>
    <w:rsid w:val="00ED03B7"/>
    <w:rsid w:val="00ED7B37"/>
    <w:rsid w:val="00EE10F3"/>
    <w:rsid w:val="00EE1AA8"/>
    <w:rsid w:val="00F04F46"/>
    <w:rsid w:val="00F20193"/>
    <w:rsid w:val="00F23E1F"/>
    <w:rsid w:val="00F23FEA"/>
    <w:rsid w:val="00F31195"/>
    <w:rsid w:val="00F31EDC"/>
    <w:rsid w:val="00F34614"/>
    <w:rsid w:val="00F36045"/>
    <w:rsid w:val="00F4002C"/>
    <w:rsid w:val="00F423F7"/>
    <w:rsid w:val="00F462B3"/>
    <w:rsid w:val="00F53A68"/>
    <w:rsid w:val="00F5664F"/>
    <w:rsid w:val="00F666C4"/>
    <w:rsid w:val="00F76AFC"/>
    <w:rsid w:val="00F8459A"/>
    <w:rsid w:val="00F95CAE"/>
    <w:rsid w:val="00FA290C"/>
    <w:rsid w:val="00FA47C0"/>
    <w:rsid w:val="00FB275B"/>
    <w:rsid w:val="00FB5DD1"/>
    <w:rsid w:val="00FB6417"/>
    <w:rsid w:val="00FC2B5D"/>
    <w:rsid w:val="00FD2F84"/>
    <w:rsid w:val="00FD3F24"/>
    <w:rsid w:val="00FE463E"/>
    <w:rsid w:val="00FF1449"/>
    <w:rsid w:val="00FF31A3"/>
    <w:rsid w:val="00FF3863"/>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450F90D6-54A6-415A-9E31-9B0154B8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DA61E0"/>
    <w:pPr>
      <w:spacing w:line="240" w:lineRule="exact"/>
    </w:pPr>
    <w:rPr>
      <w:vertAlign w:val="superscript"/>
    </w:rPr>
  </w:style>
  <w:style w:type="table" w:customStyle="1" w:styleId="Tablaconcuadrcula2">
    <w:name w:val="Tabla con cuadrícula2"/>
    <w:basedOn w:val="Tablanormal"/>
    <w:uiPriority w:val="39"/>
    <w:qFormat/>
    <w:rsid w:val="00DA61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qFormat/>
    <w:rsid w:val="00DA61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normativa-y-relatoria/conoce-la-relatoria"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juanestebanoliver@gmail.com"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orms.office.com/r/pPHyWVs2S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9B34461F-829E-4A44-8E90-37FFCC219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FF37DD57-595F-4677-A263-10B06D146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50</Pages>
  <Words>18236</Words>
  <Characters>100302</Characters>
  <Application>Microsoft Office Word</Application>
  <DocSecurity>0</DocSecurity>
  <Lines>835</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27</cp:revision>
  <cp:lastPrinted>2023-01-11T06:18:00Z</cp:lastPrinted>
  <dcterms:created xsi:type="dcterms:W3CDTF">2026-07-18T01:51:00Z</dcterms:created>
  <dcterms:modified xsi:type="dcterms:W3CDTF">2026-07-20T20:29:00Z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