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B79C" w14:textId="32E2056D" w:rsidR="00196E0E" w:rsidRPr="00196E0E" w:rsidRDefault="00196E0E" w:rsidP="00196E0E">
      <w:pPr>
        <w:jc w:val="both"/>
        <w:rPr>
          <w:rFonts w:ascii="Verdana" w:eastAsia="Verdana" w:hAnsi="Verdana" w:cs="Verdana"/>
          <w:b/>
          <w:bCs/>
        </w:rPr>
      </w:pPr>
      <w:bookmarkStart w:id="0" w:name="_Hlk143780582"/>
      <w:r w:rsidRPr="00196E0E">
        <w:rPr>
          <w:rFonts w:ascii="Verdana" w:eastAsia="Verdana" w:hAnsi="Verdana" w:cs="Verdana"/>
          <w:b/>
          <w:bCs/>
        </w:rPr>
        <w:t xml:space="preserve">RÉGIMEN DE INHABILIDADES E INCOMPATIBILIDADES </w:t>
      </w:r>
      <w:r w:rsidR="00262004" w:rsidRPr="00262004">
        <w:rPr>
          <w:rFonts w:ascii="Verdana" w:eastAsia="Verdana" w:hAnsi="Verdana" w:cs="Verdana"/>
          <w:b/>
          <w:bCs/>
          <w:lang w:val="es-ES"/>
        </w:rPr>
        <w:t>–</w:t>
      </w:r>
      <w:r w:rsidRPr="00196E0E">
        <w:rPr>
          <w:rFonts w:ascii="Verdana" w:eastAsia="Verdana" w:hAnsi="Verdana" w:cs="Verdana"/>
          <w:b/>
          <w:bCs/>
        </w:rPr>
        <w:t xml:space="preserve"> Noción</w:t>
      </w:r>
    </w:p>
    <w:p w14:paraId="494D955E" w14:textId="77777777" w:rsidR="00196E0E" w:rsidRPr="00196E0E" w:rsidRDefault="00196E0E" w:rsidP="00196E0E">
      <w:pPr>
        <w:spacing w:after="0"/>
        <w:jc w:val="both"/>
        <w:rPr>
          <w:rFonts w:ascii="Verdana" w:eastAsia="Verdana" w:hAnsi="Verdana" w:cs="Verdana"/>
          <w:sz w:val="20"/>
          <w:szCs w:val="20"/>
        </w:rPr>
      </w:pPr>
      <w:r w:rsidRPr="00196E0E">
        <w:rPr>
          <w:rFonts w:ascii="Verdana" w:eastAsia="Verdana" w:hAnsi="Verdana" w:cs="Verdana"/>
          <w:sz w:val="20"/>
          <w:szCs w:val="20"/>
        </w:rPr>
        <w:t>[…] el régimen de inhabilidades e incompatibilidades es aplicable a los servidores públicos y a quienes ejercen funciones públicas, constituye un sistema de restricciones de origen constitucional y legal, de carácter taxativo y de interpretación restrictiva, cuyo propósito es garantizar los principios de moralidad, transparencia, imparcialidad y prevalencia del interés general en el ejercicio de la función pública. […]</w:t>
      </w:r>
    </w:p>
    <w:p w14:paraId="435A23A3" w14:textId="77777777" w:rsidR="00196E0E" w:rsidRPr="00196E0E" w:rsidRDefault="00196E0E" w:rsidP="00196E0E">
      <w:pPr>
        <w:spacing w:after="0"/>
        <w:jc w:val="both"/>
        <w:rPr>
          <w:rFonts w:ascii="Verdana" w:eastAsia="Verdana" w:hAnsi="Verdana" w:cs="Verdana"/>
        </w:rPr>
      </w:pPr>
    </w:p>
    <w:p w14:paraId="40680BBE" w14:textId="77777777" w:rsidR="00196E0E" w:rsidRPr="00196E0E" w:rsidRDefault="00196E0E" w:rsidP="00196E0E">
      <w:pPr>
        <w:spacing w:after="0"/>
        <w:jc w:val="both"/>
        <w:rPr>
          <w:rFonts w:ascii="Verdana" w:eastAsia="Verdana" w:hAnsi="Verdana" w:cs="Verdana"/>
          <w:b/>
          <w:bCs/>
        </w:rPr>
      </w:pPr>
      <w:r w:rsidRPr="00196E0E">
        <w:rPr>
          <w:rFonts w:ascii="Verdana" w:eastAsia="Verdana" w:hAnsi="Verdana" w:cs="Verdana"/>
          <w:b/>
          <w:bCs/>
        </w:rPr>
        <w:t>INHABILIDADES E INCOMPATIBILIDADES – Interpretación restrictiva</w:t>
      </w:r>
    </w:p>
    <w:p w14:paraId="0A9DB250" w14:textId="77777777" w:rsidR="00196E0E" w:rsidRPr="00196E0E" w:rsidRDefault="00196E0E" w:rsidP="00196E0E">
      <w:pPr>
        <w:spacing w:after="0"/>
        <w:jc w:val="both"/>
        <w:rPr>
          <w:rFonts w:ascii="Verdana" w:eastAsia="Verdana" w:hAnsi="Verdana" w:cs="Verdana"/>
        </w:rPr>
      </w:pPr>
    </w:p>
    <w:p w14:paraId="729754A2" w14:textId="77777777" w:rsidR="00196E0E" w:rsidRPr="00196E0E" w:rsidRDefault="00196E0E" w:rsidP="00196E0E">
      <w:pPr>
        <w:spacing w:after="0"/>
        <w:jc w:val="both"/>
        <w:rPr>
          <w:rFonts w:ascii="Verdana" w:eastAsia="Verdana" w:hAnsi="Verdana" w:cs="Verdana"/>
          <w:sz w:val="20"/>
          <w:szCs w:val="20"/>
        </w:rPr>
      </w:pPr>
      <w:r w:rsidRPr="00196E0E">
        <w:rPr>
          <w:rFonts w:ascii="Verdana" w:eastAsia="Verdana" w:hAnsi="Verdana" w:cs="Verdana"/>
          <w:sz w:val="20"/>
          <w:szCs w:val="20"/>
        </w:rPr>
        <w:t>[…] En consecuencia, ninguna inhabilidad o incompatibilidad puede presumirse, extenderse por analogía o aplicarse a supuestos no previstos expresamente por el legislador.</w:t>
      </w:r>
    </w:p>
    <w:p w14:paraId="2F121F2F" w14:textId="77777777" w:rsidR="00196E0E" w:rsidRPr="00196E0E" w:rsidRDefault="00196E0E" w:rsidP="00196E0E">
      <w:pPr>
        <w:spacing w:after="0"/>
        <w:jc w:val="both"/>
        <w:rPr>
          <w:rFonts w:ascii="Verdana" w:eastAsia="Verdana" w:hAnsi="Verdana" w:cs="Verdana"/>
        </w:rPr>
      </w:pPr>
    </w:p>
    <w:p w14:paraId="3296B82C" w14:textId="77777777" w:rsidR="00196E0E" w:rsidRPr="00196E0E" w:rsidRDefault="00196E0E" w:rsidP="00196E0E">
      <w:pPr>
        <w:spacing w:after="0"/>
        <w:jc w:val="both"/>
        <w:rPr>
          <w:rFonts w:ascii="Verdana" w:eastAsia="Verdana" w:hAnsi="Verdana" w:cs="Verdana"/>
          <w:b/>
          <w:bCs/>
        </w:rPr>
      </w:pPr>
      <w:r w:rsidRPr="00196E0E">
        <w:rPr>
          <w:rFonts w:ascii="Verdana" w:eastAsia="Verdana" w:hAnsi="Verdana" w:cs="Verdana"/>
          <w:b/>
          <w:bCs/>
        </w:rPr>
        <w:t>LITERAL A NUMERAL 1 ARTICULO 43 LEY 1952 DE 2019 – Interpretación</w:t>
      </w:r>
    </w:p>
    <w:p w14:paraId="599BED7E" w14:textId="77777777" w:rsidR="00196E0E" w:rsidRPr="00196E0E" w:rsidRDefault="00196E0E" w:rsidP="00196E0E">
      <w:pPr>
        <w:spacing w:after="0"/>
        <w:jc w:val="both"/>
        <w:rPr>
          <w:rFonts w:ascii="Verdana" w:eastAsia="Verdana" w:hAnsi="Verdana" w:cs="Verdana"/>
          <w:sz w:val="20"/>
          <w:szCs w:val="20"/>
        </w:rPr>
      </w:pPr>
    </w:p>
    <w:p w14:paraId="5B244A6C" w14:textId="77777777" w:rsidR="00196E0E" w:rsidRPr="00196E0E" w:rsidRDefault="00196E0E" w:rsidP="00196E0E">
      <w:pPr>
        <w:spacing w:after="0"/>
        <w:jc w:val="both"/>
        <w:rPr>
          <w:rFonts w:ascii="Verdana" w:eastAsia="Verdana" w:hAnsi="Verdana" w:cs="Verdana"/>
          <w:sz w:val="20"/>
          <w:szCs w:val="20"/>
        </w:rPr>
      </w:pPr>
      <w:r w:rsidRPr="00196E0E">
        <w:rPr>
          <w:rFonts w:ascii="Verdana" w:eastAsia="Verdana" w:hAnsi="Verdana" w:cs="Verdana"/>
          <w:sz w:val="20"/>
          <w:szCs w:val="20"/>
        </w:rPr>
        <w:t>El numeral 1 del literal a) del artículo 43 de la Ley 1952 de 2019, prohíbe expresamente que, durante el año siguiente a su retiro, un concejal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4BB20F45" w14:textId="77777777" w:rsidR="00196E0E" w:rsidRDefault="00196E0E" w:rsidP="00196E0E">
      <w:pPr>
        <w:spacing w:after="0"/>
        <w:rPr>
          <w:rFonts w:ascii="Verdana" w:eastAsia="Verdana" w:hAnsi="Verdana" w:cs="Verdana"/>
        </w:rPr>
      </w:pPr>
    </w:p>
    <w:p w14:paraId="7812D328" w14:textId="77777777" w:rsidR="00196E0E" w:rsidRDefault="00196E0E" w:rsidP="00196E0E">
      <w:pPr>
        <w:spacing w:after="0"/>
        <w:rPr>
          <w:rFonts w:ascii="Verdana" w:eastAsia="Verdana" w:hAnsi="Verdana" w:cs="Verdana"/>
        </w:rPr>
      </w:pPr>
    </w:p>
    <w:p w14:paraId="5D26A579" w14:textId="77777777" w:rsidR="00196E0E" w:rsidRDefault="00196E0E" w:rsidP="00196E0E">
      <w:pPr>
        <w:spacing w:after="0"/>
        <w:rPr>
          <w:rFonts w:ascii="Verdana" w:eastAsia="Verdana" w:hAnsi="Verdana" w:cs="Verdana"/>
        </w:rPr>
      </w:pPr>
    </w:p>
    <w:p w14:paraId="561BF12B" w14:textId="77777777" w:rsidR="00196E0E" w:rsidRDefault="00196E0E" w:rsidP="00196E0E">
      <w:pPr>
        <w:spacing w:after="0"/>
        <w:rPr>
          <w:rFonts w:ascii="Verdana" w:eastAsia="Verdana" w:hAnsi="Verdana" w:cs="Verdana"/>
        </w:rPr>
      </w:pPr>
    </w:p>
    <w:p w14:paraId="5942A27F" w14:textId="77777777" w:rsidR="00196E0E" w:rsidRDefault="00196E0E" w:rsidP="00196E0E">
      <w:pPr>
        <w:spacing w:after="0"/>
        <w:rPr>
          <w:rFonts w:ascii="Verdana" w:eastAsia="Verdana" w:hAnsi="Verdana" w:cs="Verdana"/>
        </w:rPr>
      </w:pPr>
    </w:p>
    <w:p w14:paraId="5796864A" w14:textId="77777777" w:rsidR="00196E0E" w:rsidRDefault="00196E0E" w:rsidP="00196E0E">
      <w:pPr>
        <w:spacing w:after="0"/>
        <w:rPr>
          <w:rFonts w:ascii="Verdana" w:eastAsia="Verdana" w:hAnsi="Verdana" w:cs="Verdana"/>
        </w:rPr>
      </w:pPr>
    </w:p>
    <w:p w14:paraId="64A2C252" w14:textId="77777777" w:rsidR="00196E0E" w:rsidRDefault="00196E0E" w:rsidP="00196E0E">
      <w:pPr>
        <w:spacing w:after="0"/>
        <w:rPr>
          <w:rFonts w:ascii="Verdana" w:eastAsia="Verdana" w:hAnsi="Verdana" w:cs="Verdana"/>
        </w:rPr>
      </w:pPr>
    </w:p>
    <w:p w14:paraId="1B4EA636" w14:textId="77777777" w:rsidR="00196E0E" w:rsidRDefault="00196E0E" w:rsidP="00196E0E">
      <w:pPr>
        <w:spacing w:after="0"/>
        <w:rPr>
          <w:rFonts w:ascii="Verdana" w:eastAsia="Verdana" w:hAnsi="Verdana" w:cs="Verdana"/>
        </w:rPr>
      </w:pPr>
    </w:p>
    <w:p w14:paraId="666CD897" w14:textId="77777777" w:rsidR="00196E0E" w:rsidRDefault="00196E0E" w:rsidP="00196E0E">
      <w:pPr>
        <w:spacing w:after="0"/>
        <w:rPr>
          <w:rFonts w:ascii="Verdana" w:eastAsia="Verdana" w:hAnsi="Verdana" w:cs="Verdana"/>
        </w:rPr>
      </w:pPr>
    </w:p>
    <w:p w14:paraId="2E7575E6" w14:textId="77777777" w:rsidR="00196E0E" w:rsidRDefault="00196E0E" w:rsidP="00196E0E">
      <w:pPr>
        <w:spacing w:after="0"/>
        <w:rPr>
          <w:rFonts w:ascii="Verdana" w:eastAsia="Verdana" w:hAnsi="Verdana" w:cs="Verdana"/>
        </w:rPr>
      </w:pPr>
    </w:p>
    <w:p w14:paraId="7E763827" w14:textId="77777777" w:rsidR="00196E0E" w:rsidRDefault="00196E0E" w:rsidP="00196E0E">
      <w:pPr>
        <w:spacing w:after="0"/>
        <w:rPr>
          <w:rFonts w:ascii="Verdana" w:eastAsia="Verdana" w:hAnsi="Verdana" w:cs="Verdana"/>
        </w:rPr>
      </w:pPr>
    </w:p>
    <w:p w14:paraId="163C0920" w14:textId="77777777" w:rsidR="00196E0E" w:rsidRDefault="00196E0E" w:rsidP="00196E0E">
      <w:pPr>
        <w:spacing w:after="0"/>
        <w:rPr>
          <w:rFonts w:ascii="Verdana" w:eastAsia="Verdana" w:hAnsi="Verdana" w:cs="Verdana"/>
        </w:rPr>
      </w:pPr>
    </w:p>
    <w:p w14:paraId="092A7E51" w14:textId="77777777" w:rsidR="00196E0E" w:rsidRDefault="00196E0E" w:rsidP="00196E0E">
      <w:pPr>
        <w:spacing w:after="0"/>
        <w:rPr>
          <w:rFonts w:ascii="Verdana" w:eastAsia="Verdana" w:hAnsi="Verdana" w:cs="Verdana"/>
        </w:rPr>
      </w:pPr>
    </w:p>
    <w:p w14:paraId="3864642F" w14:textId="77777777" w:rsidR="00196E0E" w:rsidRDefault="00196E0E" w:rsidP="00196E0E">
      <w:pPr>
        <w:spacing w:after="0"/>
        <w:rPr>
          <w:rFonts w:ascii="Verdana" w:eastAsia="Verdana" w:hAnsi="Verdana" w:cs="Verdana"/>
        </w:rPr>
      </w:pPr>
    </w:p>
    <w:p w14:paraId="634A78D0" w14:textId="77777777" w:rsidR="00196E0E" w:rsidRDefault="00196E0E" w:rsidP="00196E0E">
      <w:pPr>
        <w:spacing w:after="0"/>
        <w:rPr>
          <w:rFonts w:ascii="Verdana" w:eastAsia="Verdana" w:hAnsi="Verdana" w:cs="Verdana"/>
        </w:rPr>
      </w:pPr>
    </w:p>
    <w:p w14:paraId="7B0508CB" w14:textId="77777777" w:rsidR="00196E0E" w:rsidRDefault="00196E0E" w:rsidP="00196E0E">
      <w:pPr>
        <w:spacing w:after="0"/>
        <w:rPr>
          <w:rFonts w:ascii="Verdana" w:eastAsia="Verdana" w:hAnsi="Verdana" w:cs="Verdana"/>
        </w:rPr>
      </w:pPr>
    </w:p>
    <w:p w14:paraId="7A215850" w14:textId="77777777" w:rsidR="00196E0E" w:rsidRPr="00196E0E" w:rsidRDefault="00196E0E" w:rsidP="00196E0E">
      <w:pPr>
        <w:spacing w:after="0"/>
        <w:rPr>
          <w:rFonts w:ascii="Verdana" w:eastAsia="Verdana" w:hAnsi="Verdana" w:cs="Verdana"/>
        </w:rPr>
      </w:pPr>
    </w:p>
    <w:p w14:paraId="46DA01F1" w14:textId="15DE7654" w:rsidR="00196E0E" w:rsidRDefault="00196E0E" w:rsidP="002B7ECD">
      <w:pPr>
        <w:spacing w:after="0"/>
        <w:rPr>
          <w:rFonts w:ascii="Verdana" w:eastAsia="Verdana" w:hAnsi="Verdana" w:cs="Verdana"/>
        </w:rPr>
      </w:pPr>
    </w:p>
    <w:p w14:paraId="7C9026E2" w14:textId="6E90DF78" w:rsidR="002A0DD0" w:rsidRDefault="00C15139" w:rsidP="002B7ECD">
      <w:pPr>
        <w:spacing w:after="0"/>
        <w:rPr>
          <w:rFonts w:ascii="Verdana" w:eastAsia="Verdana" w:hAnsi="Verdana" w:cs="Verdana"/>
          <w:lang w:val="es-MX"/>
        </w:rPr>
      </w:pPr>
      <w:r w:rsidRPr="30821638">
        <w:rPr>
          <w:rFonts w:ascii="Verdana" w:eastAsia="Verdana" w:hAnsi="Verdana" w:cs="Verdana"/>
        </w:rPr>
        <w:lastRenderedPageBreak/>
        <w:t>Bogotá D.C.,</w:t>
      </w:r>
      <w:r w:rsidR="00942F04">
        <w:rPr>
          <w:rFonts w:ascii="Verdana" w:eastAsia="Verdana" w:hAnsi="Verdana" w:cs="Verdana"/>
        </w:rPr>
        <w:t xml:space="preserve"> </w:t>
      </w:r>
      <w:r w:rsidR="005D3EEA">
        <w:rPr>
          <w:rFonts w:ascii="Verdana" w:eastAsia="Times New Roman" w:hAnsi="Verdana" w:cs="Arial"/>
          <w:lang w:val="es-ES" w:eastAsia="es-ES"/>
        </w:rPr>
        <w:t>17 Julio 2026</w:t>
      </w:r>
      <w:r>
        <w:tab/>
      </w:r>
    </w:p>
    <w:p w14:paraId="7F1C988F" w14:textId="3097EF73" w:rsidR="00A575B5" w:rsidRDefault="00A575B5" w:rsidP="00A575B5">
      <w:pPr>
        <w:spacing w:after="0" w:line="240" w:lineRule="auto"/>
        <w:jc w:val="right"/>
        <w:rPr>
          <w:rFonts w:ascii="Verdana" w:eastAsia="Calibri" w:hAnsi="Verdana" w:cs="Arial"/>
          <w:b/>
          <w:bCs/>
          <w:lang w:val="es-ES" w:eastAsia="es-ES"/>
        </w:rPr>
      </w:pPr>
    </w:p>
    <w:p w14:paraId="6F6D078F" w14:textId="221016E9" w:rsidR="009C4FFB" w:rsidRPr="001203B7" w:rsidRDefault="00262004" w:rsidP="009C4FFB">
      <w:pPr>
        <w:spacing w:after="0" w:line="240" w:lineRule="auto"/>
        <w:jc w:val="both"/>
        <w:rPr>
          <w:rFonts w:ascii="Verdana" w:eastAsia="Calibri" w:hAnsi="Verdana" w:cs="Arial"/>
          <w:lang w:val="es-ES" w:eastAsia="es-ES"/>
        </w:rPr>
      </w:pPr>
      <w:r w:rsidRPr="00B566DF">
        <w:rPr>
          <w:rFonts w:ascii="Verdana" w:eastAsia="Calibri" w:hAnsi="Verdana" w:cs="Arial"/>
          <w:noProof/>
          <w:lang w:val="es-ES" w:eastAsia="es-ES"/>
        </w:rPr>
        <w:drawing>
          <wp:anchor distT="0" distB="0" distL="114300" distR="114300" simplePos="0" relativeHeight="251658240" behindDoc="0" locked="0" layoutInCell="1" allowOverlap="1" wp14:anchorId="4D992654" wp14:editId="5E4BA0FD">
            <wp:simplePos x="0" y="0"/>
            <wp:positionH relativeFrom="margin">
              <wp:align>right</wp:align>
            </wp:positionH>
            <wp:positionV relativeFrom="paragraph">
              <wp:posOffset>5494</wp:posOffset>
            </wp:positionV>
            <wp:extent cx="2438740" cy="704948"/>
            <wp:effectExtent l="0" t="0" r="0" b="0"/>
            <wp:wrapSquare wrapText="bothSides"/>
            <wp:docPr id="1713350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50091" name=""/>
                    <pic:cNvPicPr/>
                  </pic:nvPicPr>
                  <pic:blipFill>
                    <a:blip r:embed="rId11">
                      <a:extLst>
                        <a:ext uri="{28A0092B-C50C-407E-A947-70E740481C1C}">
                          <a14:useLocalDpi xmlns:a14="http://schemas.microsoft.com/office/drawing/2010/main" val="0"/>
                        </a:ext>
                      </a:extLst>
                    </a:blip>
                    <a:stretch>
                      <a:fillRect/>
                    </a:stretch>
                  </pic:blipFill>
                  <pic:spPr>
                    <a:xfrm>
                      <a:off x="0" y="0"/>
                      <a:ext cx="2438740" cy="704948"/>
                    </a:xfrm>
                    <a:prstGeom prst="rect">
                      <a:avLst/>
                    </a:prstGeom>
                  </pic:spPr>
                </pic:pic>
              </a:graphicData>
            </a:graphic>
          </wp:anchor>
        </w:drawing>
      </w:r>
      <w:r w:rsidR="009C4FFB" w:rsidRPr="001203B7">
        <w:rPr>
          <w:rFonts w:ascii="Verdana" w:eastAsia="Calibri" w:hAnsi="Verdana" w:cs="Arial"/>
          <w:lang w:val="es-ES" w:eastAsia="es-ES"/>
        </w:rPr>
        <w:t>Señor</w:t>
      </w:r>
    </w:p>
    <w:p w14:paraId="44C7E30C" w14:textId="10D8F40F" w:rsidR="009C4FFB" w:rsidRPr="001203B7" w:rsidRDefault="009C4FFB" w:rsidP="009C4FFB">
      <w:pPr>
        <w:spacing w:after="0" w:line="240" w:lineRule="auto"/>
        <w:jc w:val="both"/>
        <w:rPr>
          <w:rFonts w:ascii="Verdana" w:eastAsia="Calibri" w:hAnsi="Verdana" w:cs="Arial"/>
          <w:b/>
          <w:bCs/>
          <w:lang w:val="es-ES" w:eastAsia="es-ES"/>
        </w:rPr>
      </w:pPr>
      <w:r w:rsidRPr="001203B7">
        <w:rPr>
          <w:rFonts w:ascii="Verdana" w:eastAsia="Calibri" w:hAnsi="Verdana" w:cs="Arial"/>
          <w:b/>
          <w:bCs/>
          <w:lang w:val="es-ES" w:eastAsia="es-ES"/>
        </w:rPr>
        <w:t xml:space="preserve">Fernando Quimbaya García </w:t>
      </w:r>
    </w:p>
    <w:p w14:paraId="435E24FE" w14:textId="77777777" w:rsidR="009C4FFB" w:rsidRPr="001203B7" w:rsidRDefault="009C4FFB" w:rsidP="009C4FFB">
      <w:pPr>
        <w:spacing w:after="0" w:line="240" w:lineRule="auto"/>
        <w:jc w:val="both"/>
        <w:rPr>
          <w:rFonts w:ascii="Verdana" w:eastAsia="Calibri" w:hAnsi="Verdana" w:cs="Arial"/>
          <w:b/>
          <w:bCs/>
          <w:lang w:val="es-ES" w:eastAsia="es-ES"/>
        </w:rPr>
      </w:pPr>
      <w:hyperlink r:id="rId12" w:history="1">
        <w:r w:rsidRPr="001203B7">
          <w:rPr>
            <w:rStyle w:val="Hipervnculo"/>
            <w:rFonts w:ascii="Verdana" w:eastAsia="Calibri" w:hAnsi="Verdana" w:cs="Arial"/>
            <w:b/>
            <w:bCs/>
            <w:lang w:val="es-ES" w:eastAsia="es-ES"/>
          </w:rPr>
          <w:t>Garcia63285@gmail.com</w:t>
        </w:r>
      </w:hyperlink>
      <w:r w:rsidRPr="001203B7">
        <w:rPr>
          <w:rFonts w:ascii="Verdana" w:eastAsia="Calibri" w:hAnsi="Verdana" w:cs="Arial"/>
          <w:b/>
          <w:bCs/>
          <w:lang w:val="es-ES" w:eastAsia="es-ES"/>
        </w:rPr>
        <w:t xml:space="preserve"> </w:t>
      </w:r>
    </w:p>
    <w:p w14:paraId="0DBDF1C1" w14:textId="5799169D" w:rsidR="009C4FFB" w:rsidRDefault="009C4FFB" w:rsidP="009C4FFB">
      <w:pPr>
        <w:spacing w:after="0" w:line="240" w:lineRule="auto"/>
        <w:jc w:val="both"/>
        <w:rPr>
          <w:rFonts w:ascii="Verdana" w:eastAsia="Calibri" w:hAnsi="Verdana" w:cs="Arial"/>
          <w:lang w:val="es-ES" w:eastAsia="es-ES"/>
        </w:rPr>
      </w:pPr>
      <w:r w:rsidRPr="001203B7">
        <w:rPr>
          <w:rFonts w:ascii="Verdana" w:eastAsia="Calibri" w:hAnsi="Verdana" w:cs="Arial"/>
          <w:lang w:val="es-ES" w:eastAsia="es-ES"/>
        </w:rPr>
        <w:t>Mosquera, Cundinamarca.</w:t>
      </w:r>
    </w:p>
    <w:p w14:paraId="516FC061" w14:textId="1743E0B4" w:rsidR="005D3EEA" w:rsidRPr="001203B7" w:rsidRDefault="005D3EEA" w:rsidP="00B566DF">
      <w:pPr>
        <w:spacing w:after="0" w:line="240" w:lineRule="auto"/>
        <w:jc w:val="right"/>
        <w:rPr>
          <w:rFonts w:ascii="Verdana" w:eastAsia="Calibri" w:hAnsi="Verdana" w:cs="Arial"/>
          <w:lang w:val="es-ES" w:eastAsia="es-ES"/>
        </w:rPr>
      </w:pPr>
    </w:p>
    <w:p w14:paraId="79DD3AAE" w14:textId="77777777" w:rsidR="009C4FFB" w:rsidRPr="001203B7" w:rsidRDefault="009C4FFB" w:rsidP="009C4FFB">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C4FFB" w:rsidRPr="001203B7" w14:paraId="1CCFF97C" w14:textId="77777777" w:rsidTr="002C1D92">
        <w:trPr>
          <w:trHeight w:val="253"/>
        </w:trPr>
        <w:tc>
          <w:tcPr>
            <w:tcW w:w="2689" w:type="dxa"/>
          </w:tcPr>
          <w:p w14:paraId="372128B6" w14:textId="77777777" w:rsidR="009C4FFB" w:rsidRPr="001203B7" w:rsidRDefault="009C4FFB" w:rsidP="002C1D92">
            <w:pPr>
              <w:jc w:val="both"/>
              <w:rPr>
                <w:rFonts w:ascii="Verdana" w:eastAsia="Calibri" w:hAnsi="Verdana" w:cs="Arial"/>
                <w:b/>
                <w:bCs/>
                <w:color w:val="7030A0"/>
                <w:lang w:val="es-ES_tradnl" w:eastAsia="es-ES_tradnl"/>
              </w:rPr>
            </w:pPr>
          </w:p>
        </w:tc>
        <w:tc>
          <w:tcPr>
            <w:tcW w:w="6100" w:type="dxa"/>
          </w:tcPr>
          <w:p w14:paraId="0E239F91" w14:textId="77777777" w:rsidR="009C4FFB" w:rsidRPr="001203B7" w:rsidRDefault="009C4FFB" w:rsidP="002C1D92">
            <w:pPr>
              <w:jc w:val="both"/>
              <w:rPr>
                <w:rFonts w:ascii="Verdana" w:eastAsia="Calibri" w:hAnsi="Verdana" w:cs="Arial"/>
                <w:b/>
                <w:bCs/>
                <w:lang w:val="es-ES" w:eastAsia="es-ES"/>
              </w:rPr>
            </w:pPr>
            <w:r w:rsidRPr="001203B7">
              <w:rPr>
                <w:rFonts w:ascii="Verdana" w:eastAsia="Calibri" w:hAnsi="Verdana" w:cs="Arial"/>
                <w:b/>
                <w:bCs/>
                <w:lang w:val="es-ES" w:eastAsia="es-ES"/>
              </w:rPr>
              <w:t xml:space="preserve"> Concepto </w:t>
            </w:r>
            <w:r w:rsidRPr="001203B7">
              <w:rPr>
                <w:rFonts w:ascii="Verdana" w:eastAsia="Calibri" w:hAnsi="Verdana" w:cs="Arial"/>
                <w:b/>
                <w:bCs/>
                <w:lang w:eastAsia="es-ES"/>
              </w:rPr>
              <w:t xml:space="preserve">C-918 </w:t>
            </w:r>
            <w:r w:rsidRPr="001203B7">
              <w:rPr>
                <w:rFonts w:ascii="Verdana" w:eastAsia="Calibri" w:hAnsi="Verdana" w:cs="Arial"/>
                <w:b/>
                <w:bCs/>
                <w:lang w:val="es-ES" w:eastAsia="es-ES"/>
              </w:rPr>
              <w:t xml:space="preserve">de 2026 </w:t>
            </w:r>
          </w:p>
          <w:p w14:paraId="07AD422A" w14:textId="77777777" w:rsidR="009C4FFB" w:rsidRPr="001203B7" w:rsidRDefault="009C4FFB" w:rsidP="002C1D92">
            <w:pPr>
              <w:jc w:val="both"/>
              <w:rPr>
                <w:rFonts w:ascii="Verdana" w:eastAsia="Calibri" w:hAnsi="Verdana" w:cs="Arial"/>
                <w:b/>
                <w:bCs/>
                <w:lang w:val="es-ES" w:eastAsia="es-ES"/>
              </w:rPr>
            </w:pPr>
          </w:p>
        </w:tc>
      </w:tr>
      <w:tr w:rsidR="009C4FFB" w:rsidRPr="001203B7" w14:paraId="2AFD4DBF" w14:textId="77777777" w:rsidTr="002C1D92">
        <w:trPr>
          <w:trHeight w:val="884"/>
        </w:trPr>
        <w:tc>
          <w:tcPr>
            <w:tcW w:w="2689" w:type="dxa"/>
          </w:tcPr>
          <w:p w14:paraId="71A2D4AC" w14:textId="77777777" w:rsidR="009C4FFB" w:rsidRPr="001203B7" w:rsidRDefault="009C4FFB" w:rsidP="002C1D92">
            <w:pPr>
              <w:jc w:val="both"/>
              <w:rPr>
                <w:rFonts w:ascii="Verdana" w:eastAsia="Calibri" w:hAnsi="Verdana" w:cs="Arial"/>
                <w:color w:val="000000"/>
                <w:lang w:val="es-ES_tradnl" w:eastAsia="es-ES_tradnl"/>
              </w:rPr>
            </w:pPr>
            <w:r w:rsidRPr="001203B7">
              <w:rPr>
                <w:rFonts w:ascii="Verdana" w:eastAsia="Calibri" w:hAnsi="Verdana" w:cs="Arial"/>
                <w:b/>
                <w:color w:val="000000"/>
                <w:lang w:val="es-ES_tradnl" w:eastAsia="es-ES_tradnl"/>
              </w:rPr>
              <w:t>Temas:</w:t>
            </w:r>
            <w:r w:rsidRPr="001203B7">
              <w:rPr>
                <w:rFonts w:ascii="Verdana" w:eastAsia="Calibri" w:hAnsi="Verdana" w:cs="Arial"/>
                <w:color w:val="000000"/>
                <w:lang w:val="es-ES_tradnl" w:eastAsia="es-ES_tradnl"/>
              </w:rPr>
              <w:t xml:space="preserve">                   </w:t>
            </w:r>
          </w:p>
        </w:tc>
        <w:tc>
          <w:tcPr>
            <w:tcW w:w="6100" w:type="dxa"/>
          </w:tcPr>
          <w:p w14:paraId="0EC5C765" w14:textId="20CFFD03" w:rsidR="009C4FFB" w:rsidRPr="001203B7" w:rsidRDefault="009C4FFB" w:rsidP="002C1D92">
            <w:pPr>
              <w:jc w:val="both"/>
              <w:rPr>
                <w:rFonts w:ascii="Verdana" w:eastAsia="Calibri" w:hAnsi="Verdana" w:cs="Arial"/>
                <w:lang w:val="es-ES" w:eastAsia="es-ES"/>
              </w:rPr>
            </w:pPr>
            <w:r w:rsidRPr="001203B7">
              <w:rPr>
                <w:rFonts w:ascii="Verdana" w:eastAsia="Calibri" w:hAnsi="Verdana" w:cs="Arial"/>
                <w:lang w:val="es-ES" w:eastAsia="es-ES"/>
              </w:rPr>
              <w:t>RÉGIMEN DE INHABILIDADES E INCOMPATIBILIDADES</w:t>
            </w:r>
            <w:r w:rsidR="003C48DB">
              <w:rPr>
                <w:rFonts w:ascii="Verdana" w:eastAsia="Calibri" w:hAnsi="Verdana" w:cs="Arial"/>
                <w:lang w:val="es-ES" w:eastAsia="es-ES"/>
              </w:rPr>
              <w:t xml:space="preserve"> -</w:t>
            </w:r>
            <w:r w:rsidRPr="001203B7">
              <w:rPr>
                <w:rFonts w:ascii="Verdana" w:eastAsia="Calibri" w:hAnsi="Verdana" w:cs="Arial"/>
                <w:lang w:val="es-ES" w:eastAsia="es-ES"/>
              </w:rPr>
              <w:t xml:space="preserve"> Noción / INHABILIDADES E INCOMPATIBILIDADES – Interpretación restrictiva / LITERAL A NUMERAL 1 ARTICULO 43 LEY 1952 DE 2019 – Interpretación </w:t>
            </w:r>
          </w:p>
          <w:p w14:paraId="547F1960" w14:textId="77777777" w:rsidR="009C4FFB" w:rsidRPr="001203B7" w:rsidRDefault="009C4FFB" w:rsidP="002C1D92">
            <w:pPr>
              <w:jc w:val="both"/>
              <w:rPr>
                <w:rFonts w:ascii="Verdana" w:eastAsia="Calibri" w:hAnsi="Verdana" w:cs="Arial"/>
                <w:lang w:val="es-ES" w:eastAsia="es-ES"/>
              </w:rPr>
            </w:pPr>
            <w:r w:rsidRPr="001203B7">
              <w:rPr>
                <w:rFonts w:ascii="Verdana" w:eastAsia="Calibri" w:hAnsi="Verdana" w:cs="Arial"/>
                <w:lang w:val="es-ES" w:eastAsia="es-ES"/>
              </w:rPr>
              <w:t xml:space="preserve"> </w:t>
            </w:r>
          </w:p>
        </w:tc>
      </w:tr>
      <w:tr w:rsidR="009C4FFB" w:rsidRPr="001203B7" w14:paraId="53FF316D" w14:textId="77777777" w:rsidTr="002C1D92">
        <w:trPr>
          <w:trHeight w:val="328"/>
        </w:trPr>
        <w:tc>
          <w:tcPr>
            <w:tcW w:w="2689" w:type="dxa"/>
          </w:tcPr>
          <w:p w14:paraId="529C5201" w14:textId="77777777" w:rsidR="009C4FFB" w:rsidRPr="001203B7" w:rsidRDefault="009C4FFB" w:rsidP="002C1D92">
            <w:pPr>
              <w:jc w:val="both"/>
              <w:rPr>
                <w:rFonts w:ascii="Verdana" w:eastAsia="Calibri" w:hAnsi="Verdana" w:cs="Arial"/>
                <w:b/>
                <w:lang w:val="es-ES_tradnl" w:eastAsia="es-ES_tradnl"/>
              </w:rPr>
            </w:pPr>
            <w:r w:rsidRPr="001203B7">
              <w:rPr>
                <w:rFonts w:ascii="Verdana" w:eastAsia="Calibri" w:hAnsi="Verdana" w:cs="Arial"/>
                <w:b/>
                <w:lang w:val="es-ES_tradnl" w:eastAsia="es-ES_tradnl"/>
              </w:rPr>
              <w:t>Radicación:</w:t>
            </w:r>
            <w:r w:rsidRPr="001203B7">
              <w:rPr>
                <w:rFonts w:ascii="Verdana" w:eastAsia="Calibri" w:hAnsi="Verdana" w:cs="Arial"/>
                <w:lang w:val="es-ES_tradnl" w:eastAsia="es-ES_tradnl"/>
              </w:rPr>
              <w:t xml:space="preserve">               </w:t>
            </w:r>
          </w:p>
        </w:tc>
        <w:tc>
          <w:tcPr>
            <w:tcW w:w="6100" w:type="dxa"/>
          </w:tcPr>
          <w:p w14:paraId="5202E45A" w14:textId="77777777" w:rsidR="009C4FFB" w:rsidRPr="001203B7" w:rsidRDefault="009C4FFB" w:rsidP="002C1D92">
            <w:pPr>
              <w:jc w:val="both"/>
              <w:rPr>
                <w:rFonts w:ascii="Verdana" w:eastAsia="Calibri" w:hAnsi="Verdana" w:cs="Arial"/>
                <w:lang w:val="es-ES_tradnl" w:eastAsia="es-ES_tradnl"/>
              </w:rPr>
            </w:pPr>
            <w:r w:rsidRPr="001203B7">
              <w:rPr>
                <w:rFonts w:ascii="Verdana" w:eastAsia="Calibri" w:hAnsi="Verdana" w:cs="Arial"/>
                <w:lang w:val="es-ES_tradnl" w:eastAsia="es-ES_tradnl"/>
              </w:rPr>
              <w:t>Respuesta a consulta con radicado No.</w:t>
            </w:r>
            <w:r w:rsidRPr="001203B7">
              <w:rPr>
                <w:rFonts w:ascii="Verdana" w:hAnsi="Verdana"/>
              </w:rPr>
              <w:t xml:space="preserve"> </w:t>
            </w:r>
            <w:r w:rsidRPr="001203B7">
              <w:rPr>
                <w:rFonts w:ascii="Verdana" w:eastAsia="Calibri" w:hAnsi="Verdana" w:cs="Arial"/>
                <w:lang w:eastAsia="es-ES_tradnl"/>
              </w:rPr>
              <w:t>1_2026_06_03_007570</w:t>
            </w:r>
          </w:p>
        </w:tc>
      </w:tr>
    </w:tbl>
    <w:p w14:paraId="00180F8C" w14:textId="77777777" w:rsidR="009C4FFB" w:rsidRPr="001203B7" w:rsidRDefault="009C4FFB" w:rsidP="009C4FFB">
      <w:pPr>
        <w:spacing w:after="0" w:line="276" w:lineRule="auto"/>
        <w:jc w:val="both"/>
        <w:rPr>
          <w:rFonts w:ascii="Verdana" w:eastAsia="Calibri" w:hAnsi="Verdana" w:cs="Arial"/>
          <w:lang w:val="es-ES_tradnl" w:eastAsia="es-ES_tradnl"/>
        </w:rPr>
      </w:pPr>
    </w:p>
    <w:p w14:paraId="36192562" w14:textId="77777777" w:rsidR="009C4FFB" w:rsidRPr="001203B7" w:rsidRDefault="009C4FFB" w:rsidP="009C4FFB">
      <w:pPr>
        <w:spacing w:after="0" w:line="276" w:lineRule="auto"/>
        <w:jc w:val="both"/>
        <w:rPr>
          <w:rFonts w:ascii="Verdana" w:eastAsia="Calibri" w:hAnsi="Verdana" w:cs="Arial"/>
          <w:color w:val="000000"/>
          <w:lang w:val="es-ES_tradnl" w:eastAsia="es-ES_tradnl"/>
        </w:rPr>
      </w:pPr>
    </w:p>
    <w:p w14:paraId="7DBBEAEE" w14:textId="77777777" w:rsidR="009C4FFB" w:rsidRPr="005C170B" w:rsidRDefault="009C4FFB" w:rsidP="009C4FFB">
      <w:pPr>
        <w:spacing w:after="0" w:line="276" w:lineRule="auto"/>
        <w:jc w:val="both"/>
        <w:rPr>
          <w:rFonts w:ascii="Verdana" w:eastAsia="Calibri" w:hAnsi="Verdana" w:cs="Arial"/>
          <w:color w:val="000000" w:themeColor="text1"/>
          <w:lang w:val="es-ES" w:eastAsia="es-ES"/>
        </w:rPr>
      </w:pPr>
      <w:r w:rsidRPr="005C170B">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 xml:space="preserve">o señor Quimbaya García, </w:t>
      </w:r>
      <w:r w:rsidRPr="005C170B">
        <w:rPr>
          <w:rFonts w:ascii="Verdana" w:eastAsia="Calibri" w:hAnsi="Verdana" w:cs="Arial"/>
          <w:color w:val="000000" w:themeColor="text1"/>
          <w:lang w:val="es-ES" w:eastAsia="es-ES"/>
        </w:rPr>
        <w:t xml:space="preserve">cordial saludo, </w:t>
      </w:r>
    </w:p>
    <w:p w14:paraId="2D309B22" w14:textId="77777777" w:rsidR="009C4FFB" w:rsidRPr="005C170B" w:rsidRDefault="009C4FFB" w:rsidP="009C4FFB">
      <w:pPr>
        <w:spacing w:after="0" w:line="276" w:lineRule="auto"/>
        <w:jc w:val="both"/>
        <w:rPr>
          <w:rFonts w:ascii="Verdana" w:eastAsia="Calibri" w:hAnsi="Verdana" w:cs="Arial"/>
          <w:color w:val="000000" w:themeColor="text1"/>
          <w:lang w:val="es-ES" w:eastAsia="es-ES"/>
        </w:rPr>
      </w:pPr>
    </w:p>
    <w:p w14:paraId="3CBC25C4" w14:textId="77777777" w:rsidR="009C4FFB" w:rsidRPr="00484987" w:rsidRDefault="009C4FFB" w:rsidP="009C4FFB">
      <w:pPr>
        <w:spacing w:after="0" w:line="276" w:lineRule="auto"/>
        <w:jc w:val="both"/>
        <w:rPr>
          <w:rFonts w:ascii="Verdana" w:eastAsia="Calibri" w:hAnsi="Verdana" w:cs="Arial"/>
          <w:lang w:val="es-ES" w:eastAsia="es-ES"/>
        </w:rPr>
      </w:pPr>
      <w:r w:rsidRPr="005C170B">
        <w:rPr>
          <w:rFonts w:ascii="Verdana" w:eastAsia="Calibri" w:hAnsi="Verdana" w:cs="Arial"/>
          <w:color w:val="000000" w:themeColor="text1"/>
          <w:lang w:val="es-ES" w:eastAsia="es-ES"/>
        </w:rPr>
        <w:t xml:space="preserve">En ejercicio de la competencia otorgada por los artículos 3, numeral 5º, y 11, </w:t>
      </w:r>
      <w:r w:rsidRPr="00484987">
        <w:rPr>
          <w:rFonts w:ascii="Verdana" w:eastAsia="Calibri" w:hAnsi="Verdana" w:cs="Arial"/>
          <w:color w:val="000000" w:themeColor="text1"/>
          <w:lang w:val="es-ES" w:eastAsia="es-ES"/>
        </w:rPr>
        <w:t>numeral 8º, del Decreto Ley 4170 de 2011,</w:t>
      </w:r>
      <w:r w:rsidRPr="00484987">
        <w:rPr>
          <w:rFonts w:ascii="Verdana" w:eastAsia="Arial MT" w:hAnsi="Verdana" w:cs="Arial MT"/>
          <w:lang w:val="es-ES" w:eastAsia="es-ES"/>
        </w:rPr>
        <w:t xml:space="preserve"> </w:t>
      </w:r>
      <w:r w:rsidRPr="00484987">
        <w:rPr>
          <w:rFonts w:ascii="Verdana" w:hAnsi="Verdana" w:cs="Arial"/>
        </w:rPr>
        <w:t xml:space="preserve">así como lo establecido la </w:t>
      </w:r>
      <w:r w:rsidRPr="00484987">
        <w:rPr>
          <w:rFonts w:ascii="Verdana" w:eastAsia="Verdana" w:hAnsi="Verdana" w:cs="Verdana"/>
          <w:color w:val="000000" w:themeColor="text1"/>
        </w:rPr>
        <w:t>Resolución 469 de 2025</w:t>
      </w:r>
      <w:r w:rsidRPr="00484987">
        <w:rPr>
          <w:rFonts w:ascii="Verdana" w:hAnsi="Verdana" w:cs="Arial"/>
        </w:rPr>
        <w:t xml:space="preserve"> expedida por esta Entidad, </w:t>
      </w:r>
      <w:r w:rsidRPr="00484987">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03 de junio</w:t>
      </w:r>
      <w:r w:rsidRPr="00484987">
        <w:rPr>
          <w:rFonts w:ascii="Verdana" w:eastAsia="Calibri" w:hAnsi="Verdana" w:cs="Arial"/>
          <w:lang w:val="es-ES" w:eastAsia="es-ES"/>
        </w:rPr>
        <w:t xml:space="preserve"> de 2026, en la cual manifiesta lo siguiente: </w:t>
      </w:r>
    </w:p>
    <w:p w14:paraId="1901B5CF" w14:textId="77777777" w:rsidR="009C4FFB" w:rsidRPr="00484987" w:rsidRDefault="009C4FFB" w:rsidP="009C4FFB">
      <w:pPr>
        <w:spacing w:after="0" w:line="276" w:lineRule="auto"/>
        <w:jc w:val="both"/>
        <w:rPr>
          <w:rFonts w:ascii="Verdana" w:eastAsia="Calibri" w:hAnsi="Verdana" w:cs="Arial"/>
          <w:color w:val="7030A0"/>
          <w:lang w:val="es-ES" w:eastAsia="es-ES"/>
        </w:rPr>
      </w:pPr>
    </w:p>
    <w:p w14:paraId="71A8855C" w14:textId="77777777" w:rsidR="009C4FFB" w:rsidRPr="00695D4C" w:rsidRDefault="009C4FFB" w:rsidP="009C4FFB">
      <w:pPr>
        <w:spacing w:after="0" w:line="240" w:lineRule="auto"/>
        <w:ind w:left="709" w:right="709"/>
        <w:jc w:val="both"/>
        <w:rPr>
          <w:rFonts w:ascii="Verdana" w:eastAsia="Calibri" w:hAnsi="Verdana" w:cs="Arial"/>
          <w:i/>
          <w:color w:val="000000"/>
          <w:sz w:val="20"/>
          <w:szCs w:val="20"/>
          <w:lang w:val="es-ES" w:eastAsia="es-ES"/>
        </w:rPr>
      </w:pPr>
      <w:r w:rsidRPr="00CF0A77">
        <w:rPr>
          <w:rFonts w:ascii="Verdana" w:eastAsia="Calibri" w:hAnsi="Verdana" w:cs="Arial"/>
          <w:i/>
          <w:color w:val="000000"/>
          <w:sz w:val="20"/>
          <w:szCs w:val="20"/>
          <w:lang w:val="es-ES" w:eastAsia="es-ES"/>
        </w:rPr>
        <w:t>“</w:t>
      </w:r>
      <w:r>
        <w:rPr>
          <w:rFonts w:ascii="Verdana" w:eastAsia="Calibri" w:hAnsi="Verdana" w:cs="Arial"/>
          <w:i/>
          <w:color w:val="000000"/>
          <w:sz w:val="20"/>
          <w:szCs w:val="20"/>
          <w:lang w:val="es-ES" w:eastAsia="es-ES"/>
        </w:rPr>
        <w:t xml:space="preserve">Por medio del presente escrito solicito al DEPARTAMENTO ADMINISTRATIVO DE LA FUNCIÓN PUBLICA resuelva la consulta en aras de dar claridad frente a que, si los exconcejales del Municipio de Quipile Cundinamarca, Sandra Janeth Castillo rincón, Geidy Isabel Molano Piedrahita y Edwin Fernando Gómez Espitia, al momento de suscribir los contratos: </w:t>
      </w:r>
      <w:r w:rsidRPr="00695D4C">
        <w:rPr>
          <w:rFonts w:ascii="Verdana" w:eastAsia="Calibri" w:hAnsi="Verdana" w:cs="Arial"/>
          <w:i/>
          <w:color w:val="000000"/>
          <w:sz w:val="20"/>
          <w:szCs w:val="20"/>
          <w:lang w:val="es-ES" w:eastAsia="es-ES"/>
        </w:rPr>
        <w:t>CPS-200-15-04-004-2024, CPS-200-15-04-025-2024,</w:t>
      </w:r>
    </w:p>
    <w:p w14:paraId="69111F58" w14:textId="77777777" w:rsidR="009C4FFB" w:rsidRDefault="009C4FFB" w:rsidP="009C4FFB">
      <w:pPr>
        <w:spacing w:after="0" w:line="240" w:lineRule="auto"/>
        <w:ind w:left="709" w:right="709"/>
        <w:jc w:val="both"/>
        <w:rPr>
          <w:rFonts w:ascii="Verdana" w:eastAsia="Calibri" w:hAnsi="Verdana" w:cs="Arial"/>
          <w:i/>
          <w:color w:val="000000"/>
          <w:sz w:val="20"/>
          <w:szCs w:val="20"/>
          <w:lang w:val="es-ES" w:eastAsia="es-ES"/>
        </w:rPr>
      </w:pPr>
      <w:r w:rsidRPr="00695D4C">
        <w:rPr>
          <w:rFonts w:ascii="Verdana" w:eastAsia="Calibri" w:hAnsi="Verdana" w:cs="Arial"/>
          <w:i/>
          <w:color w:val="000000"/>
          <w:sz w:val="20"/>
          <w:szCs w:val="20"/>
          <w:lang w:val="es-ES" w:eastAsia="es-ES"/>
        </w:rPr>
        <w:t>CPS-200-15-04-073-2024, CPS-200-15-04-013-2024, CPS-200-15-04-101-2024</w:t>
      </w:r>
      <w:r>
        <w:rPr>
          <w:rFonts w:ascii="Verdana" w:eastAsia="Calibri" w:hAnsi="Verdana" w:cs="Arial"/>
          <w:i/>
          <w:color w:val="000000"/>
          <w:sz w:val="20"/>
          <w:szCs w:val="20"/>
          <w:lang w:val="es-ES" w:eastAsia="es-ES"/>
        </w:rPr>
        <w:t xml:space="preserve">, en el mismo Municipio donde ejercieron el cargo de </w:t>
      </w:r>
      <w:proofErr w:type="gramStart"/>
      <w:r>
        <w:rPr>
          <w:rFonts w:ascii="Verdana" w:eastAsia="Calibri" w:hAnsi="Verdana" w:cs="Arial"/>
          <w:i/>
          <w:color w:val="000000"/>
          <w:sz w:val="20"/>
          <w:szCs w:val="20"/>
          <w:lang w:val="es-ES" w:eastAsia="es-ES"/>
        </w:rPr>
        <w:t>Concejal</w:t>
      </w:r>
      <w:proofErr w:type="gramEnd"/>
      <w:r>
        <w:rPr>
          <w:rFonts w:ascii="Verdana" w:eastAsia="Calibri" w:hAnsi="Verdana" w:cs="Arial"/>
          <w:i/>
          <w:color w:val="000000"/>
          <w:sz w:val="20"/>
          <w:szCs w:val="20"/>
          <w:lang w:val="es-ES" w:eastAsia="es-ES"/>
        </w:rPr>
        <w:t xml:space="preserve">, una vez, finalizado su período constitucional 2020-2023, incurrieron o no en el régimen de incompatibilidades contenido en el artículo 43 de la Ley 1952 de 2019. </w:t>
      </w:r>
    </w:p>
    <w:p w14:paraId="50EC55CC" w14:textId="77777777" w:rsidR="009C4FFB" w:rsidRDefault="009C4FFB" w:rsidP="009C4FFB">
      <w:pPr>
        <w:spacing w:after="0" w:line="240" w:lineRule="auto"/>
        <w:ind w:left="709" w:right="709"/>
        <w:jc w:val="both"/>
        <w:rPr>
          <w:rFonts w:ascii="Verdana" w:eastAsia="Calibri" w:hAnsi="Verdana" w:cs="Arial"/>
          <w:i/>
          <w:color w:val="000000"/>
          <w:sz w:val="20"/>
          <w:szCs w:val="20"/>
          <w:lang w:val="es-ES" w:eastAsia="es-ES"/>
        </w:rPr>
      </w:pPr>
      <w:r>
        <w:rPr>
          <w:rFonts w:ascii="Verdana" w:eastAsia="Calibri" w:hAnsi="Verdana" w:cs="Arial"/>
          <w:i/>
          <w:color w:val="000000"/>
          <w:sz w:val="20"/>
          <w:szCs w:val="20"/>
          <w:lang w:val="es-ES" w:eastAsia="es-ES"/>
        </w:rPr>
        <w:t xml:space="preserve">De igual forma, se le solicita en respecto a que si al señor WILDER HERNÁN ROMERO BENAVIDES </w:t>
      </w:r>
      <w:proofErr w:type="gramStart"/>
      <w:r>
        <w:rPr>
          <w:rFonts w:ascii="Verdana" w:eastAsia="Calibri" w:hAnsi="Verdana" w:cs="Arial"/>
          <w:i/>
          <w:color w:val="000000"/>
          <w:sz w:val="20"/>
          <w:szCs w:val="20"/>
          <w:lang w:val="es-ES" w:eastAsia="es-ES"/>
        </w:rPr>
        <w:t>Alcalde</w:t>
      </w:r>
      <w:proofErr w:type="gramEnd"/>
      <w:r>
        <w:rPr>
          <w:rFonts w:ascii="Verdana" w:eastAsia="Calibri" w:hAnsi="Verdana" w:cs="Arial"/>
          <w:i/>
          <w:color w:val="000000"/>
          <w:sz w:val="20"/>
          <w:szCs w:val="20"/>
          <w:lang w:val="es-ES" w:eastAsia="es-ES"/>
        </w:rPr>
        <w:t xml:space="preserve"> Municipal de Quipile – Cundinamarca, para el período 2024-2027, vulnero el régimen de inhabilidad, incompatibilidad, </w:t>
      </w:r>
      <w:r>
        <w:rPr>
          <w:rFonts w:ascii="Verdana" w:eastAsia="Calibri" w:hAnsi="Verdana" w:cs="Arial"/>
          <w:i/>
          <w:color w:val="000000"/>
          <w:sz w:val="20"/>
          <w:szCs w:val="20"/>
          <w:lang w:val="es-ES" w:eastAsia="es-ES"/>
        </w:rPr>
        <w:lastRenderedPageBreak/>
        <w:t>prohibición, impedimento o vulneraron el régimen de conflictos de interés, y si esta en curso en alguna falta disciplinaria, por suscribir estos contratos de prestación de servicios con estos exconcejales.”</w:t>
      </w:r>
    </w:p>
    <w:p w14:paraId="15A4635B" w14:textId="77777777" w:rsidR="009C4FFB" w:rsidRPr="00CF0A77" w:rsidRDefault="009C4FFB" w:rsidP="009C4FFB">
      <w:pPr>
        <w:spacing w:after="0" w:line="240" w:lineRule="auto"/>
        <w:ind w:right="709"/>
        <w:jc w:val="both"/>
        <w:rPr>
          <w:rFonts w:ascii="Verdana" w:eastAsia="Calibri" w:hAnsi="Verdana" w:cs="Arial"/>
          <w:i/>
          <w:color w:val="000000"/>
          <w:sz w:val="20"/>
          <w:szCs w:val="20"/>
          <w:lang w:val="es-ES" w:eastAsia="es-ES"/>
        </w:rPr>
      </w:pPr>
    </w:p>
    <w:p w14:paraId="5E845147" w14:textId="77777777" w:rsidR="009C4FFB" w:rsidRPr="005C170B" w:rsidRDefault="009C4FFB" w:rsidP="009C4FFB">
      <w:pPr>
        <w:spacing w:after="120" w:line="276" w:lineRule="auto"/>
        <w:ind w:firstLine="709"/>
        <w:jc w:val="both"/>
        <w:rPr>
          <w:rFonts w:ascii="Verdana" w:eastAsia="Calibri" w:hAnsi="Verdana" w:cs="Arial"/>
          <w:color w:val="000000"/>
          <w:szCs w:val="24"/>
          <w:lang w:val="es-ES_tradnl" w:eastAsia="es-ES_tradnl"/>
        </w:rPr>
      </w:pPr>
      <w:r w:rsidRPr="005C170B">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C170B">
        <w:rPr>
          <w:rFonts w:ascii="Verdana" w:eastAsia="Calibri" w:hAnsi="Verdana" w:cs="Arial"/>
          <w:color w:val="000000"/>
          <w:szCs w:val="24"/>
          <w:lang w:val="es-ES_tradnl" w:eastAsia="es-ES_tradnl"/>
        </w:rPr>
        <w:tab/>
      </w:r>
    </w:p>
    <w:p w14:paraId="152F0BFA" w14:textId="77777777" w:rsidR="009C4FFB" w:rsidRPr="002C4290" w:rsidRDefault="009C4FFB" w:rsidP="009C4FFB">
      <w:pPr>
        <w:spacing w:after="0" w:line="276" w:lineRule="auto"/>
        <w:ind w:firstLine="709"/>
        <w:jc w:val="both"/>
        <w:rPr>
          <w:rFonts w:ascii="Verdana" w:eastAsia="Calibri" w:hAnsi="Verdana" w:cs="Arial"/>
          <w:color w:val="000000"/>
          <w:lang w:val="es-ES" w:eastAsia="es-ES"/>
        </w:rPr>
      </w:pPr>
      <w:r w:rsidRPr="005C170B">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w:t>
      </w:r>
      <w:r w:rsidRPr="002C4290">
        <w:rPr>
          <w:rFonts w:ascii="Verdana" w:eastAsia="Calibri" w:hAnsi="Verdana" w:cs="Arial"/>
          <w:color w:val="000000"/>
          <w:lang w:val="es-ES" w:eastAsia="es-ES"/>
        </w:rPr>
        <w:t xml:space="preserve">concretas mencionadas en su petición, pero señalando unas consideraciones sobre las normas generales relacionadas con </w:t>
      </w:r>
      <w:r w:rsidRPr="002C4290">
        <w:rPr>
          <w:rFonts w:ascii="Verdana" w:eastAsia="Calibri" w:hAnsi="Verdana" w:cs="Arial"/>
          <w:lang w:val="es-ES" w:eastAsia="es-ES"/>
        </w:rPr>
        <w:t xml:space="preserve">el problema </w:t>
      </w:r>
      <w:r w:rsidRPr="002C4290">
        <w:rPr>
          <w:rFonts w:ascii="Verdana" w:eastAsia="Calibri" w:hAnsi="Verdana" w:cs="Arial"/>
          <w:color w:val="000000"/>
          <w:lang w:val="es-ES" w:eastAsia="es-ES"/>
        </w:rPr>
        <w:t xml:space="preserve">jurídico de su consulta. </w:t>
      </w:r>
    </w:p>
    <w:p w14:paraId="48EB40F9" w14:textId="77777777" w:rsidR="009C4FFB" w:rsidRPr="002C4290" w:rsidRDefault="009C4FFB" w:rsidP="009C4FFB">
      <w:pPr>
        <w:spacing w:after="0" w:line="276" w:lineRule="auto"/>
        <w:ind w:firstLine="709"/>
        <w:jc w:val="both"/>
        <w:rPr>
          <w:rFonts w:ascii="Verdana" w:eastAsia="Calibri" w:hAnsi="Verdana" w:cs="Arial"/>
          <w:color w:val="000000"/>
          <w:lang w:val="es-ES" w:eastAsia="es-ES"/>
        </w:rPr>
      </w:pPr>
    </w:p>
    <w:p w14:paraId="0428716B" w14:textId="77777777" w:rsidR="009C4FFB" w:rsidRPr="002C4290"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Problema planteado:</w:t>
      </w:r>
    </w:p>
    <w:p w14:paraId="1E93CAFF" w14:textId="77777777" w:rsidR="009C4FFB" w:rsidRPr="005C170B" w:rsidRDefault="009C4FFB" w:rsidP="009C4FFB">
      <w:pPr>
        <w:spacing w:after="0" w:line="276" w:lineRule="auto"/>
        <w:jc w:val="both"/>
        <w:rPr>
          <w:rFonts w:ascii="Verdana" w:eastAsia="Century Gothic" w:hAnsi="Verdana" w:cs="Century Gothic"/>
        </w:rPr>
      </w:pPr>
    </w:p>
    <w:p w14:paraId="26DF6A29" w14:textId="77777777" w:rsidR="009C4FFB" w:rsidRDefault="009C4FFB" w:rsidP="009C4FFB">
      <w:pPr>
        <w:spacing w:after="0" w:line="276" w:lineRule="auto"/>
        <w:jc w:val="both"/>
        <w:rPr>
          <w:rFonts w:ascii="Verdana" w:eastAsia="Century Gothic" w:hAnsi="Verdana" w:cs="Century Gothic"/>
        </w:rPr>
      </w:pPr>
      <w:r w:rsidRPr="005C170B">
        <w:rPr>
          <w:rFonts w:ascii="Verdana" w:eastAsia="Century Gothic" w:hAnsi="Verdana" w:cs="Century Gothic"/>
        </w:rPr>
        <w:t xml:space="preserve">De acuerdo con </w:t>
      </w:r>
      <w:r w:rsidRPr="009A6D45">
        <w:rPr>
          <w:rFonts w:ascii="Verdana" w:eastAsia="Century Gothic" w:hAnsi="Verdana" w:cs="Century Gothic"/>
        </w:rPr>
        <w:t xml:space="preserve">el contenido de su solicitud, esta Agencia abordará el siguiente problema jurídico: </w:t>
      </w:r>
      <w:r w:rsidRPr="00BC3A61">
        <w:rPr>
          <w:rFonts w:ascii="Verdana" w:eastAsia="Century Gothic" w:hAnsi="Verdana" w:cs="Century Gothic"/>
        </w:rPr>
        <w:t xml:space="preserve">¿Es jurídicamente procedente que un exintegrante de corporaciones públicas territoriales suscriba contratos estatales con el mismo municipio donde ejerció sus funciones, dentro de los </w:t>
      </w:r>
      <w:r>
        <w:rPr>
          <w:rFonts w:ascii="Verdana" w:eastAsia="Century Gothic" w:hAnsi="Verdana" w:cs="Century Gothic"/>
        </w:rPr>
        <w:t>doce (</w:t>
      </w:r>
      <w:r w:rsidRPr="00BC3A61">
        <w:rPr>
          <w:rFonts w:ascii="Verdana" w:eastAsia="Century Gothic" w:hAnsi="Verdana" w:cs="Century Gothic"/>
        </w:rPr>
        <w:t>12</w:t>
      </w:r>
      <w:r>
        <w:rPr>
          <w:rFonts w:ascii="Verdana" w:eastAsia="Century Gothic" w:hAnsi="Verdana" w:cs="Century Gothic"/>
        </w:rPr>
        <w:t>)</w:t>
      </w:r>
      <w:r w:rsidRPr="00BC3A61">
        <w:rPr>
          <w:rFonts w:ascii="Verdana" w:eastAsia="Century Gothic" w:hAnsi="Verdana" w:cs="Century Gothic"/>
        </w:rPr>
        <w:t xml:space="preserve"> meses siguientes a la finalización de su período constitucional o renuncia?</w:t>
      </w:r>
    </w:p>
    <w:p w14:paraId="63F87258" w14:textId="77777777" w:rsidR="009C4FFB" w:rsidRPr="005C170B" w:rsidRDefault="009C4FFB" w:rsidP="009C4FFB">
      <w:pPr>
        <w:spacing w:after="0" w:line="276" w:lineRule="auto"/>
        <w:jc w:val="both"/>
        <w:rPr>
          <w:rFonts w:ascii="Verdana" w:eastAsia="Century Gothic" w:hAnsi="Verdana" w:cs="Century Gothic"/>
        </w:rPr>
      </w:pPr>
    </w:p>
    <w:p w14:paraId="4D4796CC" w14:textId="77777777" w:rsidR="009C4FFB" w:rsidRPr="002C4290"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C4290">
        <w:rPr>
          <w:rFonts w:ascii="Verdana" w:eastAsia="Century Gothic" w:hAnsi="Verdana" w:cs="Century Gothic"/>
          <w:b/>
          <w:bCs/>
        </w:rPr>
        <w:t>Respuesta:</w:t>
      </w:r>
    </w:p>
    <w:p w14:paraId="4E71017A" w14:textId="77777777" w:rsidR="009C4FFB" w:rsidRPr="005C170B" w:rsidRDefault="009C4FFB" w:rsidP="009C4FFB">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C4FFB" w:rsidRPr="005C170B" w14:paraId="6B4B0F97" w14:textId="77777777" w:rsidTr="002C1D92">
        <w:tc>
          <w:tcPr>
            <w:tcW w:w="8828" w:type="dxa"/>
          </w:tcPr>
          <w:p w14:paraId="60527857" w14:textId="77777777" w:rsidR="009C4FFB" w:rsidRDefault="009C4FFB" w:rsidP="002C1D92">
            <w:pPr>
              <w:spacing w:after="120" w:line="276" w:lineRule="auto"/>
              <w:jc w:val="both"/>
              <w:rPr>
                <w:rFonts w:ascii="Verdana" w:eastAsia="Calibri" w:hAnsi="Verdana" w:cs="Arial"/>
                <w:bCs/>
                <w:color w:val="000000" w:themeColor="text1"/>
              </w:rPr>
            </w:pPr>
            <w:r w:rsidRPr="00AF247C">
              <w:rPr>
                <w:rFonts w:ascii="Verdana" w:eastAsia="Calibri" w:hAnsi="Verdana" w:cs="Arial"/>
                <w:bCs/>
                <w:color w:val="000000" w:themeColor="text1"/>
              </w:rPr>
              <w:t xml:space="preserve">Para responder el problema jurídico planteado, es importante precisar que el régimen </w:t>
            </w:r>
            <w:r>
              <w:rPr>
                <w:rFonts w:ascii="Verdana" w:eastAsia="Calibri" w:hAnsi="Verdana" w:cs="Arial"/>
                <w:bCs/>
                <w:color w:val="000000" w:themeColor="text1"/>
              </w:rPr>
              <w:t xml:space="preserve">de inhabilidades e incompatibilidades es aplicable a los servidores públicos y a quienes ejercen funciones públicas, constituye un sistema de restricciones de origen constitucional y legal, de carácter taxativo y de </w:t>
            </w:r>
            <w:r>
              <w:rPr>
                <w:rFonts w:ascii="Verdana" w:eastAsia="Calibri" w:hAnsi="Verdana" w:cs="Arial"/>
                <w:bCs/>
                <w:color w:val="000000" w:themeColor="text1"/>
              </w:rPr>
              <w:lastRenderedPageBreak/>
              <w:t xml:space="preserve">interpretación restrictiva, cuyo propósito es garantizar los principios de moralidad, transparencia, imparcialidad y prevalencia del interés general en el ejercicio de la función pública. En consecuencia, ninguna inhabilidad o incompatibilidad puede presumirse, extenderse por analogía o aplicarse a supuestos no previstos expresamente por el legislador. </w:t>
            </w:r>
          </w:p>
          <w:p w14:paraId="56DF8555" w14:textId="77777777" w:rsidR="009C4FFB" w:rsidRDefault="009C4FFB" w:rsidP="002C1D92">
            <w:pPr>
              <w:spacing w:after="120" w:line="276" w:lineRule="auto"/>
              <w:ind w:firstLine="709"/>
              <w:jc w:val="both"/>
              <w:rPr>
                <w:rFonts w:ascii="Verdana" w:eastAsia="Calibri" w:hAnsi="Verdana" w:cs="Arial"/>
                <w:lang w:val="es-ES" w:eastAsia="es-ES"/>
              </w:rPr>
            </w:pPr>
            <w:r w:rsidRPr="004D3F3A">
              <w:rPr>
                <w:rFonts w:ascii="Verdana" w:eastAsia="Calibri" w:hAnsi="Verdana" w:cs="Arial"/>
                <w:lang w:val="es-ES" w:eastAsia="es-ES"/>
              </w:rPr>
              <w:t xml:space="preserve">El numeral 1 </w:t>
            </w:r>
            <w:r>
              <w:rPr>
                <w:rFonts w:ascii="Verdana" w:eastAsia="Calibri" w:hAnsi="Verdana" w:cs="Arial"/>
                <w:lang w:val="es-ES" w:eastAsia="es-ES"/>
              </w:rPr>
              <w:t xml:space="preserve">del </w:t>
            </w:r>
            <w:r w:rsidRPr="004D3F3A">
              <w:rPr>
                <w:rFonts w:ascii="Verdana" w:eastAsia="Calibri" w:hAnsi="Verdana" w:cs="Arial"/>
                <w:lang w:val="es-ES" w:eastAsia="es-ES"/>
              </w:rPr>
              <w:t xml:space="preserve">literal a) </w:t>
            </w:r>
            <w:r>
              <w:rPr>
                <w:rFonts w:ascii="Verdana" w:eastAsia="Calibri" w:hAnsi="Verdana" w:cs="Arial"/>
                <w:lang w:val="es-ES" w:eastAsia="es-ES"/>
              </w:rPr>
              <w:t xml:space="preserve">del </w:t>
            </w:r>
            <w:r w:rsidRPr="004D3F3A">
              <w:rPr>
                <w:rFonts w:ascii="Verdana" w:eastAsia="Calibri" w:hAnsi="Verdana" w:cs="Arial"/>
                <w:lang w:val="es-ES" w:eastAsia="es-ES"/>
              </w:rPr>
              <w:t>artículo 43 de la Ley 1952 de 2019</w:t>
            </w:r>
            <w:r>
              <w:rPr>
                <w:rFonts w:ascii="Verdana" w:eastAsia="Calibri" w:hAnsi="Verdana" w:cs="Arial"/>
                <w:lang w:val="es-ES" w:eastAsia="es-ES"/>
              </w:rPr>
              <w:t>,</w:t>
            </w:r>
            <w:r w:rsidRPr="004D3F3A">
              <w:rPr>
                <w:rFonts w:ascii="Verdana" w:eastAsia="Calibri" w:hAnsi="Verdana" w:cs="Arial"/>
                <w:lang w:val="es-ES" w:eastAsia="es-ES"/>
              </w:rPr>
              <w:t xml:space="preserve"> prohíbe </w:t>
            </w:r>
            <w:r>
              <w:rPr>
                <w:rFonts w:ascii="Verdana" w:eastAsia="Calibri" w:hAnsi="Verdana" w:cs="Arial"/>
                <w:lang w:val="es-ES" w:eastAsia="es-ES"/>
              </w:rPr>
              <w:t xml:space="preserve">expresamente </w:t>
            </w:r>
            <w:r w:rsidRPr="004D3F3A">
              <w:rPr>
                <w:rFonts w:ascii="Verdana" w:eastAsia="Calibri" w:hAnsi="Verdana" w:cs="Arial"/>
                <w:lang w:val="es-ES" w:eastAsia="es-ES"/>
              </w:rPr>
              <w:t xml:space="preserve">que, durante el año siguiente a su retiro, un </w:t>
            </w:r>
            <w:r>
              <w:rPr>
                <w:rFonts w:ascii="Verdana" w:eastAsia="Calibri" w:hAnsi="Verdana" w:cs="Arial"/>
                <w:lang w:val="es-ES" w:eastAsia="es-ES"/>
              </w:rPr>
              <w:t>concejal</w:t>
            </w:r>
            <w:r w:rsidRPr="004D3F3A">
              <w:rPr>
                <w:rFonts w:ascii="Verdana" w:eastAsia="Calibri" w:hAnsi="Verdana" w:cs="Arial"/>
                <w:lang w:val="es-ES" w:eastAsia="es-ES"/>
              </w:rPr>
              <w:t xml:space="preserve">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580B0504" w14:textId="77777777" w:rsidR="009C4FFB" w:rsidRDefault="009C4FFB" w:rsidP="002C1D92">
            <w:pPr>
              <w:spacing w:after="120" w:line="276" w:lineRule="auto"/>
              <w:ind w:firstLine="709"/>
              <w:jc w:val="both"/>
              <w:rPr>
                <w:rFonts w:ascii="Verdana" w:eastAsia="Calibri" w:hAnsi="Verdana" w:cs="Arial"/>
                <w:lang w:eastAsia="es-ES"/>
              </w:rPr>
            </w:pPr>
            <w:r w:rsidRPr="00DF29BC">
              <w:rPr>
                <w:rFonts w:ascii="Verdana" w:eastAsia="Calibri" w:hAnsi="Verdana" w:cs="Arial"/>
                <w:lang w:eastAsia="es-ES"/>
              </w:rPr>
              <w:t xml:space="preserve">Por </w:t>
            </w:r>
            <w:r>
              <w:rPr>
                <w:rFonts w:ascii="Verdana" w:eastAsia="Calibri" w:hAnsi="Verdana" w:cs="Arial"/>
                <w:lang w:eastAsia="es-ES"/>
              </w:rPr>
              <w:t xml:space="preserve">lo </w:t>
            </w:r>
            <w:r w:rsidRPr="00DF29BC">
              <w:rPr>
                <w:rFonts w:ascii="Verdana" w:eastAsia="Calibri" w:hAnsi="Verdana" w:cs="Arial"/>
                <w:lang w:eastAsia="es-ES"/>
              </w:rPr>
              <w:t xml:space="preserve">tanto, un </w:t>
            </w:r>
            <w:r>
              <w:rPr>
                <w:rFonts w:ascii="Verdana" w:eastAsia="Calibri" w:hAnsi="Verdana" w:cs="Arial"/>
                <w:lang w:eastAsia="es-ES"/>
              </w:rPr>
              <w:t>exservidor público</w:t>
            </w:r>
            <w:r w:rsidRPr="00DF29BC">
              <w:rPr>
                <w:rFonts w:ascii="Verdana" w:eastAsia="Calibri" w:hAnsi="Verdana" w:cs="Arial"/>
                <w:lang w:eastAsia="es-ES"/>
              </w:rPr>
              <w:t xml:space="preserve"> no puede suscribir contratos estatales con el mismo municipio donde ejerció su función durante los </w:t>
            </w:r>
            <w:r>
              <w:rPr>
                <w:rFonts w:ascii="Verdana" w:eastAsia="Calibri" w:hAnsi="Verdana" w:cs="Arial"/>
                <w:lang w:eastAsia="es-ES"/>
              </w:rPr>
              <w:t>doce (</w:t>
            </w:r>
            <w:r w:rsidRPr="00DF29BC">
              <w:rPr>
                <w:rFonts w:ascii="Verdana" w:eastAsia="Calibri" w:hAnsi="Verdana" w:cs="Arial"/>
                <w:lang w:eastAsia="es-ES"/>
              </w:rPr>
              <w:t>12</w:t>
            </w:r>
            <w:r>
              <w:rPr>
                <w:rFonts w:ascii="Verdana" w:eastAsia="Calibri" w:hAnsi="Verdana" w:cs="Arial"/>
                <w:lang w:eastAsia="es-ES"/>
              </w:rPr>
              <w:t>)</w:t>
            </w:r>
            <w:r w:rsidRPr="00DF29BC">
              <w:rPr>
                <w:rFonts w:ascii="Verdana" w:eastAsia="Calibri" w:hAnsi="Verdana" w:cs="Arial"/>
                <w:lang w:eastAsia="es-ES"/>
              </w:rPr>
              <w:t xml:space="preserve"> meses siguientes a la finalización de su periodo o su renuncia. </w:t>
            </w:r>
            <w:r>
              <w:rPr>
                <w:rFonts w:ascii="Verdana" w:eastAsia="Calibri" w:hAnsi="Verdana" w:cs="Arial"/>
                <w:lang w:eastAsia="es-ES"/>
              </w:rPr>
              <w:t>Lo anterior en desarrollo de los principios de</w:t>
            </w:r>
            <w:r w:rsidRPr="00DF29BC">
              <w:rPr>
                <w:rFonts w:ascii="Verdana" w:eastAsia="Calibri" w:hAnsi="Verdana" w:cs="Arial"/>
                <w:lang w:eastAsia="es-ES"/>
              </w:rPr>
              <w:t xml:space="preserve"> </w:t>
            </w:r>
            <w:r>
              <w:rPr>
                <w:rFonts w:ascii="Verdana" w:eastAsia="Calibri" w:hAnsi="Verdana" w:cs="Arial"/>
                <w:lang w:eastAsia="es-ES"/>
              </w:rPr>
              <w:t xml:space="preserve">moralidad, </w:t>
            </w:r>
            <w:r w:rsidRPr="00DF29BC">
              <w:rPr>
                <w:rFonts w:ascii="Verdana" w:eastAsia="Calibri" w:hAnsi="Verdana" w:cs="Arial"/>
                <w:lang w:eastAsia="es-ES"/>
              </w:rPr>
              <w:t>transparencia, imparcialidad</w:t>
            </w:r>
            <w:r>
              <w:rPr>
                <w:rFonts w:ascii="Verdana" w:eastAsia="Calibri" w:hAnsi="Verdana" w:cs="Arial"/>
                <w:lang w:eastAsia="es-ES"/>
              </w:rPr>
              <w:t xml:space="preserve"> </w:t>
            </w:r>
            <w:r w:rsidRPr="00DF29BC">
              <w:rPr>
                <w:rFonts w:ascii="Verdana" w:eastAsia="Calibri" w:hAnsi="Verdana" w:cs="Arial"/>
                <w:lang w:eastAsia="es-ES"/>
              </w:rPr>
              <w:t xml:space="preserve">en la contratación estatal, su desconocimiento puede </w:t>
            </w:r>
            <w:r>
              <w:rPr>
                <w:rFonts w:ascii="Verdana" w:eastAsia="Calibri" w:hAnsi="Verdana" w:cs="Arial"/>
                <w:lang w:eastAsia="es-ES"/>
              </w:rPr>
              <w:t>derivar en</w:t>
            </w:r>
            <w:r w:rsidRPr="00DF29BC">
              <w:rPr>
                <w:rFonts w:ascii="Verdana" w:eastAsia="Calibri" w:hAnsi="Verdana" w:cs="Arial"/>
                <w:lang w:eastAsia="es-ES"/>
              </w:rPr>
              <w:t xml:space="preserve"> una falta disciplinaria.</w:t>
            </w:r>
          </w:p>
          <w:p w14:paraId="39CC3CF3" w14:textId="77777777" w:rsidR="009C4FFB" w:rsidRPr="00EF3663" w:rsidRDefault="009C4FFB" w:rsidP="002C1D92">
            <w:pPr>
              <w:spacing w:after="120" w:line="276" w:lineRule="auto"/>
              <w:ind w:firstLine="709"/>
              <w:jc w:val="both"/>
              <w:rPr>
                <w:rFonts w:ascii="Verdana" w:eastAsia="Calibri" w:hAnsi="Verdana" w:cs="Arial"/>
                <w:bCs/>
                <w:color w:val="000000" w:themeColor="text1"/>
              </w:rPr>
            </w:pPr>
            <w:r>
              <w:rPr>
                <w:rFonts w:ascii="Verdana" w:eastAsia="Calibri" w:hAnsi="Verdana" w:cs="Arial"/>
              </w:rPr>
              <w:t>Al</w:t>
            </w:r>
            <w:r w:rsidRPr="005C170B">
              <w:rPr>
                <w:rFonts w:ascii="Verdana" w:eastAsia="Calibri" w:hAnsi="Verdana" w:cs="Arial"/>
              </w:rPr>
              <w:t xml:space="preserve"> margen de la explicación planteada, debe advertirse que el análisis requerido para resolver problemas específicos en torno a la gestión contractual de las entidades públicas debe ser realizado por quienes tengan interés en ello, de acuerdo con lo explicado en la aclaración preliminar del presente oficio.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9A2017A" w14:textId="77777777" w:rsidR="009C4FFB" w:rsidRPr="005C170B" w:rsidRDefault="009C4FFB" w:rsidP="009C4FFB">
      <w:pPr>
        <w:tabs>
          <w:tab w:val="left" w:pos="142"/>
          <w:tab w:val="left" w:pos="284"/>
        </w:tabs>
        <w:spacing w:after="0" w:line="276" w:lineRule="auto"/>
        <w:jc w:val="both"/>
        <w:rPr>
          <w:rFonts w:ascii="Verdana" w:eastAsia="Century Gothic" w:hAnsi="Verdana" w:cs="Century Gothic"/>
          <w:b/>
          <w:bCs/>
          <w:lang w:val="es-ES"/>
        </w:rPr>
      </w:pPr>
    </w:p>
    <w:p w14:paraId="171F7546" w14:textId="77777777" w:rsidR="009C4FFB" w:rsidRPr="00BC3A6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BC3A61">
        <w:rPr>
          <w:rFonts w:ascii="Verdana" w:eastAsia="Century Gothic" w:hAnsi="Verdana" w:cs="Century Gothic"/>
          <w:b/>
          <w:bCs/>
        </w:rPr>
        <w:t>Razones de la respuesta:</w:t>
      </w:r>
    </w:p>
    <w:p w14:paraId="2CE2AAA4" w14:textId="77777777" w:rsidR="009C4FFB" w:rsidRPr="005C170B" w:rsidRDefault="009C4FFB" w:rsidP="009C4FFB">
      <w:pPr>
        <w:spacing w:after="0" w:line="276" w:lineRule="auto"/>
        <w:jc w:val="both"/>
        <w:rPr>
          <w:rFonts w:ascii="Verdana" w:eastAsia="Calibri" w:hAnsi="Verdana" w:cs="Arial"/>
          <w:color w:val="7030A0"/>
          <w:lang w:val="es-ES"/>
        </w:rPr>
      </w:pPr>
    </w:p>
    <w:p w14:paraId="0EB90F80" w14:textId="77777777" w:rsidR="009C4FFB" w:rsidRPr="005C170B" w:rsidRDefault="009C4FFB" w:rsidP="009C4FFB">
      <w:pPr>
        <w:spacing w:after="0" w:line="276" w:lineRule="auto"/>
        <w:jc w:val="both"/>
        <w:rPr>
          <w:rFonts w:ascii="Verdana" w:eastAsia="Calibri" w:hAnsi="Verdana" w:cs="Arial"/>
          <w:lang w:val="es-ES"/>
        </w:rPr>
      </w:pPr>
      <w:r w:rsidRPr="005C170B">
        <w:rPr>
          <w:rFonts w:ascii="Verdana" w:eastAsia="Calibri" w:hAnsi="Verdana" w:cs="Arial"/>
          <w:lang w:val="es-ES"/>
        </w:rPr>
        <w:t xml:space="preserve">Lo anterior se sustenta en las siguientes consideraciones: </w:t>
      </w:r>
    </w:p>
    <w:p w14:paraId="6C9464A2" w14:textId="77777777" w:rsidR="009C4FFB" w:rsidRPr="005C170B" w:rsidRDefault="009C4FFB" w:rsidP="009C4FFB">
      <w:pPr>
        <w:spacing w:after="0" w:line="276" w:lineRule="auto"/>
        <w:jc w:val="both"/>
        <w:rPr>
          <w:rFonts w:ascii="Verdana" w:eastAsia="Calibri" w:hAnsi="Verdana" w:cs="Arial"/>
          <w:lang w:val="es-ES"/>
        </w:rPr>
      </w:pPr>
    </w:p>
    <w:p w14:paraId="13E59177" w14:textId="77777777" w:rsidR="009C4FFB" w:rsidRDefault="009C4FFB" w:rsidP="009C4FFB">
      <w:pPr>
        <w:spacing w:after="120" w:line="276" w:lineRule="auto"/>
        <w:jc w:val="both"/>
        <w:rPr>
          <w:rFonts w:ascii="Verdana" w:eastAsia="Arial" w:hAnsi="Verdana" w:cs="Arial"/>
          <w:bCs/>
          <w:color w:val="000000" w:themeColor="text1"/>
        </w:rPr>
      </w:pPr>
      <w:r w:rsidRPr="008D76CC">
        <w:rPr>
          <w:rFonts w:ascii="Verdana" w:eastAsia="Arial" w:hAnsi="Verdana" w:cs="Arial"/>
          <w:b/>
          <w:color w:val="000000" w:themeColor="text1"/>
        </w:rPr>
        <w:t>i.</w:t>
      </w:r>
      <w:r>
        <w:rPr>
          <w:rFonts w:ascii="Verdana" w:eastAsia="Arial" w:hAnsi="Verdana" w:cs="Arial"/>
          <w:bCs/>
          <w:color w:val="000000" w:themeColor="text1"/>
        </w:rPr>
        <w:t xml:space="preserve"> </w:t>
      </w:r>
      <w:r w:rsidRPr="000675E2">
        <w:rPr>
          <w:rFonts w:ascii="Verdana" w:eastAsia="Arial" w:hAnsi="Verdana" w:cs="Arial"/>
          <w:bCs/>
          <w:color w:val="000000" w:themeColor="text1"/>
        </w:rPr>
        <w:t>En primer lugar, debe señalarse qu</w:t>
      </w:r>
      <w:r>
        <w:rPr>
          <w:rFonts w:ascii="Verdana" w:eastAsia="Arial" w:hAnsi="Verdana" w:cs="Arial"/>
          <w:bCs/>
          <w:color w:val="000000" w:themeColor="text1"/>
        </w:rPr>
        <w:t xml:space="preserve">e, en la contratación estatal, la capacidad es un requisito de validez de los contratos, tanto en el régimen de las entidades </w:t>
      </w:r>
      <w:r>
        <w:rPr>
          <w:rFonts w:ascii="Verdana" w:eastAsia="Arial" w:hAnsi="Verdana" w:cs="Arial"/>
          <w:bCs/>
          <w:color w:val="000000" w:themeColor="text1"/>
        </w:rPr>
        <w:lastRenderedPageBreak/>
        <w:t>sujetas al Estatuto General de la Contratación de la Administración Pública como en el de las entidades exceptuadas de este. Si bien la regulación de la capacidad se integra por varias disposiciones y exigencias especiales, se destaca el régimen de inhabilidades e incompatibilidades como un conjunto de normas que imponen restricciones para los sujetos que, eventualmente pretendan participar en los procedimientos de selección o celebrar contratos con las entidades estatales.</w:t>
      </w:r>
    </w:p>
    <w:p w14:paraId="690A4A62" w14:textId="77777777" w:rsidR="009C4FFB"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En ese orden de ideas, el régimen de inhabilidades e incompatibilidades, como las demás calidades, exigencias o requisitos que debe reunir quien aspire a ingresar o a permanecer al servicio del Estado, deben estar consagradas de forma expresa y clara en la Constitución y la Ley. Al respecto, la Sala Plena del Consejo de Estado</w:t>
      </w:r>
      <w:r>
        <w:rPr>
          <w:rStyle w:val="Refdenotaalpie"/>
          <w:rFonts w:ascii="Verdana" w:eastAsia="Arial" w:hAnsi="Verdana" w:cs="Arial"/>
          <w:bCs/>
          <w:color w:val="000000" w:themeColor="text1"/>
        </w:rPr>
        <w:footnoteReference w:id="1"/>
      </w:r>
      <w:r>
        <w:rPr>
          <w:rFonts w:ascii="Verdana" w:eastAsia="Arial" w:hAnsi="Verdana" w:cs="Arial"/>
          <w:bCs/>
          <w:color w:val="000000" w:themeColor="text1"/>
        </w:rPr>
        <w:t xml:space="preserve"> consideró que las inhabilidades e incompatibilidades, en tanto limitan la libertad y los derechos de las personas, son de origen constitucional y legal. La tipificación de sus causas, vigencia, naturaleza y efectos es rígida y taxativa; su aplicación es restrictiva, de manera que excluye la analogía Legis o iuris, excepto en lo favorable, están definidas en el tiempo, salvo aquellas de carácter constitucional. </w:t>
      </w:r>
    </w:p>
    <w:p w14:paraId="4AD48EBB" w14:textId="77777777" w:rsidR="009C4FFB" w:rsidRDefault="009C4FFB" w:rsidP="009C4FFB">
      <w:pPr>
        <w:spacing w:after="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Conforme a lo anterior, las inhabilidades son restricciones fijadas por el constituyente y el legislador que tienen por fin limitar el acceso al ejercicio de cargos o funciones públicas, ello quiere decir que tienen un carácter prohibitivo, y por consiguiente, son taxativas y su interpretación es restrictiva, sin que se puedan buscar analogías o aducirse razones para hacerlas extensivas a casos no comprendidos por el legislador, pues la voluntad de éste no puede ser suplantada, en detrimento de derechos de terceros o de intereses sociales que exigen la sujeción estricta al texto de la ley prohibitiva. </w:t>
      </w:r>
    </w:p>
    <w:p w14:paraId="577482CF" w14:textId="77777777" w:rsidR="009C4FFB" w:rsidRDefault="009C4FFB" w:rsidP="009C4FFB">
      <w:pPr>
        <w:spacing w:after="0" w:line="276" w:lineRule="auto"/>
        <w:ind w:firstLine="709"/>
        <w:jc w:val="both"/>
        <w:rPr>
          <w:rFonts w:ascii="Verdana" w:eastAsia="Arial" w:hAnsi="Verdana" w:cs="Arial"/>
          <w:bCs/>
          <w:color w:val="000000" w:themeColor="text1"/>
        </w:rPr>
      </w:pPr>
    </w:p>
    <w:p w14:paraId="2BCB281A" w14:textId="77777777" w:rsidR="009C4FFB" w:rsidRDefault="009C4FFB" w:rsidP="009C4FFB">
      <w:pPr>
        <w:spacing w:after="120" w:line="276" w:lineRule="auto"/>
        <w:jc w:val="both"/>
        <w:rPr>
          <w:rFonts w:ascii="Verdana" w:eastAsia="Arial" w:hAnsi="Verdana" w:cs="Arial"/>
          <w:bCs/>
          <w:color w:val="000000" w:themeColor="text1"/>
        </w:rPr>
      </w:pPr>
      <w:r w:rsidRPr="00F10ACB">
        <w:rPr>
          <w:rFonts w:ascii="Verdana" w:eastAsia="Arial" w:hAnsi="Verdana" w:cs="Arial"/>
          <w:b/>
          <w:color w:val="000000" w:themeColor="text1"/>
        </w:rPr>
        <w:t xml:space="preserve">ii. </w:t>
      </w:r>
      <w:r>
        <w:rPr>
          <w:rFonts w:ascii="Verdana" w:eastAsia="Arial" w:hAnsi="Verdana" w:cs="Arial"/>
          <w:bCs/>
          <w:color w:val="000000" w:themeColor="text1"/>
        </w:rPr>
        <w:t xml:space="preserve">Tanto la Corte Constitucional como el Consejo de Estado, han sostenido de manera reiterada que estas limitaciones constituyen restricciones al ejercicio de derechos fundamentales y al acceso a cargos, funciones o actividades relacionadas con el Estado, razón por la cual únicamente pueden existir cuando han sido establecidas expresamente. </w:t>
      </w:r>
    </w:p>
    <w:p w14:paraId="2BCE2C50" w14:textId="77777777" w:rsidR="009C4FFB" w:rsidRPr="00BC3A61"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 xml:space="preserve">Desde esta perspectiva, no resulta jurídicamente procedente concluir que un exconcejal se encuentra impedido para contratar con el municipio por el solo hecho </w:t>
      </w:r>
      <w:r w:rsidRPr="00BC3A61">
        <w:rPr>
          <w:rFonts w:ascii="Verdana" w:eastAsia="Arial" w:hAnsi="Verdana" w:cs="Arial"/>
          <w:bCs/>
          <w:color w:val="000000" w:themeColor="text1"/>
        </w:rPr>
        <w:t xml:space="preserve">de haber ejercido dicha investidura, pues ninguna disposición legal </w:t>
      </w:r>
      <w:r w:rsidRPr="00BC3A61">
        <w:rPr>
          <w:rFonts w:ascii="Verdana" w:eastAsia="Arial" w:hAnsi="Verdana" w:cs="Arial"/>
          <w:bCs/>
          <w:color w:val="000000" w:themeColor="text1"/>
        </w:rPr>
        <w:lastRenderedPageBreak/>
        <w:t xml:space="preserve">establece una prohibición general y permanente en ese sentido. Por el contrario, el artículo 47 de la Ley 136 de 1994 define expresamente el alcance temporal de las incompatibilidades de los concejales, señalando que estas se extienden hasta la terminación del respectivo período constitucional, o en su defecto, por el término adicional previsto en caso de renuncia. </w:t>
      </w:r>
    </w:p>
    <w:p w14:paraId="1F86BBC0" w14:textId="77777777" w:rsidR="009C4FFB" w:rsidRPr="00BC3A61" w:rsidRDefault="009C4FFB" w:rsidP="009C4FFB">
      <w:pPr>
        <w:spacing w:after="0" w:line="276" w:lineRule="auto"/>
        <w:ind w:firstLine="709"/>
        <w:jc w:val="both"/>
        <w:rPr>
          <w:rFonts w:ascii="Verdana" w:eastAsia="Arial" w:hAnsi="Verdana" w:cs="Arial"/>
          <w:bCs/>
          <w:color w:val="000000" w:themeColor="text1"/>
        </w:rPr>
      </w:pPr>
      <w:r w:rsidRPr="00BC3A61">
        <w:rPr>
          <w:rFonts w:ascii="Verdana" w:eastAsia="Arial" w:hAnsi="Verdana" w:cs="Arial"/>
          <w:bCs/>
          <w:color w:val="000000" w:themeColor="text1"/>
        </w:rPr>
        <w:t xml:space="preserve">Adicionalmente, la finalidad de las incompatibilidades aplicables a los concejales consiste en evitar que quienes ejercen o han ejercido funciones públicas utilicen la información privilegiada, la influencia institucional o las relaciones derivadas del cargo para favorecer intereses particulares en detrimento de los principios que orientan la actividad administrativa. Se trata, entonces, de restricciones orientadas a preservar la transparencia, la moralidad administrativa, la igualdad de los ciudadanos frente a la administración y la confianza pública en las instituciones estatales. </w:t>
      </w:r>
    </w:p>
    <w:p w14:paraId="0EDD818E" w14:textId="77777777" w:rsidR="009C4FFB" w:rsidRPr="00BC3A61" w:rsidRDefault="009C4FFB" w:rsidP="009C4FFB">
      <w:pPr>
        <w:spacing w:after="0" w:line="276" w:lineRule="auto"/>
        <w:ind w:firstLine="709"/>
        <w:jc w:val="both"/>
        <w:rPr>
          <w:rFonts w:ascii="Verdana" w:eastAsia="Arial" w:hAnsi="Verdana" w:cs="Arial"/>
          <w:bCs/>
          <w:color w:val="000000" w:themeColor="text1"/>
        </w:rPr>
      </w:pPr>
    </w:p>
    <w:p w14:paraId="62BFDF07" w14:textId="77777777" w:rsidR="009C4FFB" w:rsidRDefault="009C4FFB" w:rsidP="009C4FFB">
      <w:pPr>
        <w:spacing w:after="0" w:line="276" w:lineRule="auto"/>
        <w:contextualSpacing/>
        <w:jc w:val="both"/>
        <w:rPr>
          <w:rFonts w:ascii="Verdana" w:hAnsi="Verdana" w:cs="Arial"/>
          <w:color w:val="000000"/>
          <w:bdr w:val="none" w:sz="0" w:space="0" w:color="auto" w:frame="1"/>
          <w:lang w:val="es-ES"/>
        </w:rPr>
      </w:pPr>
      <w:r w:rsidRPr="00BC3A61">
        <w:rPr>
          <w:rFonts w:ascii="Verdana" w:eastAsia="Arial" w:hAnsi="Verdana" w:cs="Arial"/>
          <w:b/>
          <w:color w:val="000000" w:themeColor="text1"/>
        </w:rPr>
        <w:t>iii.</w:t>
      </w:r>
      <w:r w:rsidRPr="00BC3A61">
        <w:rPr>
          <w:rFonts w:ascii="Verdana" w:eastAsia="Arial" w:hAnsi="Verdana" w:cs="Arial"/>
          <w:bCs/>
          <w:color w:val="000000" w:themeColor="text1"/>
        </w:rPr>
        <w:t xml:space="preserve"> En relación con </w:t>
      </w:r>
      <w:r w:rsidRPr="003D455F">
        <w:rPr>
          <w:rFonts w:ascii="Verdana" w:hAnsi="Verdana" w:cs="Arial"/>
          <w:color w:val="000000"/>
          <w:bdr w:val="none" w:sz="0" w:space="0" w:color="auto" w:frame="1"/>
          <w:lang w:val="es-ES"/>
        </w:rPr>
        <w:t xml:space="preserve">el </w:t>
      </w:r>
      <w:r w:rsidRPr="00DD5FB0">
        <w:rPr>
          <w:rFonts w:ascii="Verdana" w:hAnsi="Verdana" w:cs="Arial"/>
          <w:color w:val="000000"/>
          <w:bdr w:val="none" w:sz="0" w:space="0" w:color="auto" w:frame="1"/>
          <w:lang w:val="es-ES"/>
        </w:rPr>
        <w:t>literal a) del numeral 1° del artículo 43 de la Ley 1952 de 2019</w:t>
      </w:r>
      <w:r>
        <w:rPr>
          <w:rFonts w:ascii="Verdana" w:hAnsi="Verdana" w:cs="Arial"/>
          <w:color w:val="000000"/>
          <w:bdr w:val="none" w:sz="0" w:space="0" w:color="auto" w:frame="1"/>
          <w:lang w:val="es-ES"/>
        </w:rPr>
        <w:t xml:space="preserve"> establece lo siguiente:</w:t>
      </w:r>
    </w:p>
    <w:p w14:paraId="75DC0374" w14:textId="77777777" w:rsidR="009C4FFB" w:rsidRDefault="009C4FFB" w:rsidP="009C4FFB">
      <w:pPr>
        <w:spacing w:after="0" w:line="276" w:lineRule="auto"/>
        <w:contextualSpacing/>
        <w:jc w:val="both"/>
        <w:rPr>
          <w:rFonts w:ascii="Verdana" w:hAnsi="Verdana" w:cs="Arial"/>
          <w:color w:val="000000"/>
          <w:bdr w:val="none" w:sz="0" w:space="0" w:color="auto" w:frame="1"/>
          <w:lang w:val="es-ES"/>
        </w:rPr>
      </w:pPr>
    </w:p>
    <w:p w14:paraId="147D7945"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r w:rsidRPr="00DE63DC">
        <w:rPr>
          <w:rFonts w:ascii="Verdana" w:hAnsi="Verdana" w:cs="Arial"/>
          <w:b/>
          <w:bCs/>
          <w:color w:val="000000"/>
          <w:sz w:val="20"/>
          <w:szCs w:val="20"/>
          <w:bdr w:val="none" w:sz="0" w:space="0" w:color="auto" w:frame="1"/>
          <w:lang w:val="es-ES"/>
        </w:rPr>
        <w:t>“Artículo 43. Otras incompatibilidades</w:t>
      </w:r>
      <w:r w:rsidRPr="00DE63DC">
        <w:rPr>
          <w:rFonts w:ascii="Verdana" w:hAnsi="Verdana" w:cs="Arial"/>
          <w:color w:val="000000"/>
          <w:sz w:val="20"/>
          <w:szCs w:val="20"/>
          <w:bdr w:val="none" w:sz="0" w:space="0" w:color="auto" w:frame="1"/>
          <w:lang w:val="es-ES"/>
        </w:rPr>
        <w:t xml:space="preserve">. Además, constituyen incompatibilidades para desempeñar cargos públicos, las siguientes: </w:t>
      </w:r>
    </w:p>
    <w:p w14:paraId="2CA216EC"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p>
    <w:p w14:paraId="615620D1"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r w:rsidRPr="00DE63DC">
        <w:rPr>
          <w:rFonts w:ascii="Verdana" w:hAnsi="Verdana" w:cs="Arial"/>
          <w:color w:val="000000"/>
          <w:sz w:val="20"/>
          <w:szCs w:val="20"/>
          <w:bdr w:val="none" w:sz="0" w:space="0" w:color="auto" w:frame="1"/>
          <w:lang w:val="es-ES"/>
        </w:rPr>
        <w:t xml:space="preserve">1. Para los gobernadores, diputados, alcaldes, concejales y miembros de las juntas administradoras locales, en el nivel territorial donde hayan ejercido jurisdicción, desde el momento de su elección y hasta doce meses después del vencimiento de su período o retiro del servicio: </w:t>
      </w:r>
    </w:p>
    <w:p w14:paraId="4035DDE6" w14:textId="77777777" w:rsidR="009C4FFB" w:rsidRPr="00DE63DC" w:rsidRDefault="009C4FFB" w:rsidP="009C4FFB">
      <w:pPr>
        <w:spacing w:after="0" w:line="240" w:lineRule="auto"/>
        <w:ind w:left="709" w:right="709"/>
        <w:contextualSpacing/>
        <w:jc w:val="both"/>
        <w:rPr>
          <w:rFonts w:ascii="Verdana" w:hAnsi="Verdana" w:cs="Arial"/>
          <w:color w:val="000000"/>
          <w:sz w:val="20"/>
          <w:szCs w:val="20"/>
          <w:bdr w:val="none" w:sz="0" w:space="0" w:color="auto" w:frame="1"/>
          <w:lang w:val="es-ES"/>
        </w:rPr>
      </w:pPr>
    </w:p>
    <w:p w14:paraId="6D8E9093" w14:textId="77777777" w:rsidR="009C4FFB" w:rsidRPr="00DE63DC" w:rsidRDefault="009C4FFB" w:rsidP="009C4FFB">
      <w:pPr>
        <w:spacing w:after="0" w:line="240" w:lineRule="auto"/>
        <w:ind w:left="709" w:right="709"/>
        <w:contextualSpacing/>
        <w:jc w:val="both"/>
        <w:rPr>
          <w:rFonts w:ascii="Verdana" w:eastAsia="Calibri" w:hAnsi="Verdana" w:cs="Arial"/>
          <w:sz w:val="20"/>
          <w:szCs w:val="20"/>
          <w:lang w:val="es-ES"/>
        </w:rPr>
      </w:pPr>
      <w:r w:rsidRPr="00DE63DC">
        <w:rPr>
          <w:rFonts w:ascii="Verdana" w:hAnsi="Verdana" w:cs="Arial"/>
          <w:color w:val="000000"/>
          <w:sz w:val="20"/>
          <w:szCs w:val="20"/>
          <w:bdr w:val="none" w:sz="0" w:space="0" w:color="auto" w:frame="1"/>
          <w:lang w:val="es-ES"/>
        </w:rPr>
        <w:t>a) Intervenir en nombre propio o ajeno en asuntos, actuaciones adminis­trativas o actuación contractual en los cuales tenga interés el departa­mento, distrito o municipio correspondiente, o sus organismos;”</w:t>
      </w:r>
    </w:p>
    <w:p w14:paraId="114D574F" w14:textId="77777777" w:rsidR="009C4FFB" w:rsidRDefault="009C4FFB" w:rsidP="009C4FFB">
      <w:pPr>
        <w:spacing w:after="0" w:line="276" w:lineRule="auto"/>
        <w:ind w:firstLine="709"/>
        <w:jc w:val="both"/>
        <w:rPr>
          <w:rFonts w:ascii="Verdana" w:eastAsia="Arial" w:hAnsi="Verdana" w:cs="Arial"/>
          <w:bCs/>
          <w:color w:val="000000" w:themeColor="text1"/>
        </w:rPr>
      </w:pPr>
    </w:p>
    <w:p w14:paraId="5F1B2792" w14:textId="77777777" w:rsidR="009C4FFB" w:rsidRDefault="009C4FFB" w:rsidP="009C4FFB">
      <w:pPr>
        <w:spacing w:after="120" w:line="276" w:lineRule="auto"/>
        <w:ind w:firstLine="709"/>
        <w:jc w:val="both"/>
        <w:rPr>
          <w:rFonts w:ascii="Verdana" w:eastAsia="Arial" w:hAnsi="Verdana" w:cs="Arial"/>
          <w:bCs/>
          <w:color w:val="000000" w:themeColor="text1"/>
        </w:rPr>
      </w:pPr>
      <w:r>
        <w:rPr>
          <w:rFonts w:ascii="Verdana" w:eastAsia="Arial" w:hAnsi="Verdana" w:cs="Arial"/>
          <w:bCs/>
          <w:color w:val="000000" w:themeColor="text1"/>
        </w:rPr>
        <w:t>Respecto d</w:t>
      </w:r>
      <w:r w:rsidRPr="00BC3A61">
        <w:rPr>
          <w:rFonts w:ascii="Verdana" w:eastAsia="Arial" w:hAnsi="Verdana" w:cs="Arial"/>
          <w:bCs/>
          <w:color w:val="000000" w:themeColor="text1"/>
        </w:rPr>
        <w:t>el artículo 43 de la Ley 1952 de 2019, el Consejo de Estado</w:t>
      </w:r>
      <w:r w:rsidRPr="00BC3A61">
        <w:rPr>
          <w:rStyle w:val="Refdenotaalpie"/>
          <w:rFonts w:ascii="Verdana" w:eastAsia="Arial" w:hAnsi="Verdana" w:cs="Arial"/>
          <w:bCs/>
          <w:color w:val="000000" w:themeColor="text1"/>
        </w:rPr>
        <w:footnoteReference w:id="2"/>
      </w:r>
      <w:r w:rsidRPr="00BC3A61">
        <w:rPr>
          <w:rFonts w:ascii="Verdana" w:eastAsia="Arial" w:hAnsi="Verdana" w:cs="Arial"/>
          <w:bCs/>
          <w:color w:val="000000" w:themeColor="text1"/>
        </w:rPr>
        <w:t xml:space="preserve"> precisó que dicha disposición no creó una nueva incompatibilidad para desempeñar cargos públicos ni para celebrar con el Estado. La Corporación explicó que las prohibiciones allí previstas recaen exclusivamente sobre dos conductas: i) </w:t>
      </w:r>
      <w:r w:rsidRPr="00DE63DC">
        <w:rPr>
          <w:rFonts w:ascii="Verdana" w:eastAsia="Arial" w:hAnsi="Verdana" w:cs="Arial"/>
          <w:bCs/>
          <w:i/>
          <w:iCs/>
          <w:color w:val="000000" w:themeColor="text1"/>
        </w:rPr>
        <w:t>intervenir en nombre propio o ajeno en asuntos, actuaciones administrativas o contractuales</w:t>
      </w:r>
      <w:r w:rsidRPr="00BC3A61">
        <w:rPr>
          <w:rFonts w:ascii="Verdana" w:eastAsia="Arial" w:hAnsi="Verdana" w:cs="Arial"/>
          <w:bCs/>
          <w:color w:val="000000" w:themeColor="text1"/>
        </w:rPr>
        <w:t>,</w:t>
      </w:r>
      <w:r>
        <w:rPr>
          <w:rFonts w:ascii="Verdana" w:eastAsia="Arial" w:hAnsi="Verdana" w:cs="Arial"/>
          <w:bCs/>
          <w:color w:val="000000" w:themeColor="text1"/>
        </w:rPr>
        <w:t xml:space="preserve"> en los cuales tenga interés la entidad territorial </w:t>
      </w:r>
      <w:r>
        <w:rPr>
          <w:rFonts w:ascii="Verdana" w:eastAsia="Arial" w:hAnsi="Verdana" w:cs="Arial"/>
          <w:bCs/>
          <w:color w:val="000000" w:themeColor="text1"/>
        </w:rPr>
        <w:lastRenderedPageBreak/>
        <w:t xml:space="preserve">correspondiente; y ii) actuar como apoderado o gestor ante autoridades disciplinarias, fiscales, administrativas o jurisdiccionales. </w:t>
      </w:r>
    </w:p>
    <w:p w14:paraId="2FC9FCE2" w14:textId="77777777" w:rsidR="009C4FFB" w:rsidRDefault="009C4FFB" w:rsidP="009C4FFB">
      <w:pPr>
        <w:spacing w:after="120" w:line="276" w:lineRule="auto"/>
        <w:ind w:firstLine="709"/>
        <w:jc w:val="both"/>
        <w:rPr>
          <w:rFonts w:ascii="Verdana" w:eastAsia="Calibri" w:hAnsi="Verdana" w:cs="Arial"/>
          <w:lang w:val="es-ES" w:eastAsia="es-ES"/>
        </w:rPr>
      </w:pPr>
      <w:r>
        <w:rPr>
          <w:rFonts w:ascii="Verdana" w:eastAsia="Calibri" w:hAnsi="Verdana" w:cs="Arial"/>
          <w:lang w:val="es-ES" w:eastAsia="es-ES"/>
        </w:rPr>
        <w:t>De esta manera e</w:t>
      </w:r>
      <w:r w:rsidRPr="004D3F3A">
        <w:rPr>
          <w:rFonts w:ascii="Verdana" w:eastAsia="Calibri" w:hAnsi="Verdana" w:cs="Arial"/>
          <w:lang w:val="es-ES" w:eastAsia="es-ES"/>
        </w:rPr>
        <w:t xml:space="preserve">l numeral 1 </w:t>
      </w:r>
      <w:r>
        <w:rPr>
          <w:rFonts w:ascii="Verdana" w:eastAsia="Calibri" w:hAnsi="Verdana" w:cs="Arial"/>
          <w:lang w:val="es-ES" w:eastAsia="es-ES"/>
        </w:rPr>
        <w:t xml:space="preserve">del </w:t>
      </w:r>
      <w:r w:rsidRPr="004D3F3A">
        <w:rPr>
          <w:rFonts w:ascii="Verdana" w:eastAsia="Calibri" w:hAnsi="Verdana" w:cs="Arial"/>
          <w:lang w:val="es-ES" w:eastAsia="es-ES"/>
        </w:rPr>
        <w:t xml:space="preserve">literal a) </w:t>
      </w:r>
      <w:r>
        <w:rPr>
          <w:rFonts w:ascii="Verdana" w:eastAsia="Calibri" w:hAnsi="Verdana" w:cs="Arial"/>
          <w:lang w:val="es-ES" w:eastAsia="es-ES"/>
        </w:rPr>
        <w:t xml:space="preserve">del </w:t>
      </w:r>
      <w:r w:rsidRPr="004D3F3A">
        <w:rPr>
          <w:rFonts w:ascii="Verdana" w:eastAsia="Calibri" w:hAnsi="Verdana" w:cs="Arial"/>
          <w:lang w:val="es-ES" w:eastAsia="es-ES"/>
        </w:rPr>
        <w:t>artículo 43 de la Ley 1952 de 2019</w:t>
      </w:r>
      <w:r>
        <w:rPr>
          <w:rFonts w:ascii="Verdana" w:eastAsia="Calibri" w:hAnsi="Verdana" w:cs="Arial"/>
          <w:lang w:val="es-ES" w:eastAsia="es-ES"/>
        </w:rPr>
        <w:t>,</w:t>
      </w:r>
      <w:r w:rsidRPr="004D3F3A">
        <w:rPr>
          <w:rFonts w:ascii="Verdana" w:eastAsia="Calibri" w:hAnsi="Verdana" w:cs="Arial"/>
          <w:lang w:val="es-ES" w:eastAsia="es-ES"/>
        </w:rPr>
        <w:t xml:space="preserve"> prohíbe </w:t>
      </w:r>
      <w:r>
        <w:rPr>
          <w:rFonts w:ascii="Verdana" w:eastAsia="Calibri" w:hAnsi="Verdana" w:cs="Arial"/>
          <w:lang w:val="es-ES" w:eastAsia="es-ES"/>
        </w:rPr>
        <w:t xml:space="preserve">expresamente </w:t>
      </w:r>
      <w:r w:rsidRPr="004D3F3A">
        <w:rPr>
          <w:rFonts w:ascii="Verdana" w:eastAsia="Calibri" w:hAnsi="Verdana" w:cs="Arial"/>
          <w:lang w:val="es-ES" w:eastAsia="es-ES"/>
        </w:rPr>
        <w:t>que, durante el año siguiente a su retiro, un exservidor público</w:t>
      </w:r>
      <w:r>
        <w:rPr>
          <w:rFonts w:ascii="Verdana" w:eastAsia="Calibri" w:hAnsi="Verdana" w:cs="Arial"/>
          <w:lang w:val="es-ES" w:eastAsia="es-ES"/>
        </w:rPr>
        <w:t xml:space="preserve"> de los mencionados en dicha disposición, como son los concejales,</w:t>
      </w:r>
      <w:r w:rsidRPr="004D3F3A">
        <w:rPr>
          <w:rFonts w:ascii="Verdana" w:eastAsia="Calibri" w:hAnsi="Verdana" w:cs="Arial"/>
          <w:lang w:val="es-ES" w:eastAsia="es-ES"/>
        </w:rPr>
        <w:t xml:space="preserve"> intervenga en la celebración de contratos o en la gestión de negocios con la entidad en la que ejerció funciones, ya sea en nombre propio o de terceros. Esta restricción aplica independientemente de si la persona conoció o no del asunto específico mientras estuvo en el cargo, y busca evitar conflictos de interés y el uso de influencias indebidas.</w:t>
      </w:r>
    </w:p>
    <w:p w14:paraId="72F732B4" w14:textId="77777777" w:rsidR="009C4FFB" w:rsidRDefault="009C4FFB" w:rsidP="009C4FFB">
      <w:pPr>
        <w:spacing w:after="0" w:line="276" w:lineRule="auto"/>
        <w:ind w:firstLine="709"/>
        <w:jc w:val="both"/>
        <w:rPr>
          <w:rFonts w:ascii="Verdana" w:eastAsia="Calibri" w:hAnsi="Verdana" w:cs="Arial"/>
          <w:lang w:eastAsia="es-ES"/>
        </w:rPr>
      </w:pPr>
      <w:r w:rsidRPr="00DF29BC">
        <w:rPr>
          <w:rFonts w:ascii="Verdana" w:eastAsia="Calibri" w:hAnsi="Verdana" w:cs="Arial"/>
          <w:lang w:eastAsia="es-ES"/>
        </w:rPr>
        <w:t xml:space="preserve">Por </w:t>
      </w:r>
      <w:r>
        <w:rPr>
          <w:rFonts w:ascii="Verdana" w:eastAsia="Calibri" w:hAnsi="Verdana" w:cs="Arial"/>
          <w:lang w:eastAsia="es-ES"/>
        </w:rPr>
        <w:t xml:space="preserve">lo </w:t>
      </w:r>
      <w:r w:rsidRPr="00DF29BC">
        <w:rPr>
          <w:rFonts w:ascii="Verdana" w:eastAsia="Calibri" w:hAnsi="Verdana" w:cs="Arial"/>
          <w:lang w:eastAsia="es-ES"/>
        </w:rPr>
        <w:t xml:space="preserve">tanto, un </w:t>
      </w:r>
      <w:r>
        <w:rPr>
          <w:rFonts w:ascii="Verdana" w:eastAsia="Calibri" w:hAnsi="Verdana" w:cs="Arial"/>
          <w:lang w:eastAsia="es-ES"/>
        </w:rPr>
        <w:t>exservidor público</w:t>
      </w:r>
      <w:r w:rsidRPr="00DF29BC">
        <w:rPr>
          <w:rFonts w:ascii="Verdana" w:eastAsia="Calibri" w:hAnsi="Verdana" w:cs="Arial"/>
          <w:lang w:eastAsia="es-ES"/>
        </w:rPr>
        <w:t xml:space="preserve"> no puede suscribir contratos estatales con el mismo municipio donde ejerció su función durante los 12 meses siguientes a la finalización de su periodo o su renuncia. </w:t>
      </w:r>
      <w:r>
        <w:rPr>
          <w:rFonts w:ascii="Verdana" w:eastAsia="Calibri" w:hAnsi="Verdana" w:cs="Arial"/>
          <w:lang w:eastAsia="es-ES"/>
        </w:rPr>
        <w:t>Lo anterior en desarrollo de los principios de</w:t>
      </w:r>
      <w:r w:rsidRPr="00DF29BC">
        <w:rPr>
          <w:rFonts w:ascii="Verdana" w:eastAsia="Calibri" w:hAnsi="Verdana" w:cs="Arial"/>
          <w:lang w:eastAsia="es-ES"/>
        </w:rPr>
        <w:t xml:space="preserve"> </w:t>
      </w:r>
      <w:r>
        <w:rPr>
          <w:rFonts w:ascii="Verdana" w:eastAsia="Calibri" w:hAnsi="Verdana" w:cs="Arial"/>
          <w:lang w:eastAsia="es-ES"/>
        </w:rPr>
        <w:t xml:space="preserve">moralidad, </w:t>
      </w:r>
      <w:r w:rsidRPr="00DF29BC">
        <w:rPr>
          <w:rFonts w:ascii="Verdana" w:eastAsia="Calibri" w:hAnsi="Verdana" w:cs="Arial"/>
          <w:lang w:eastAsia="es-ES"/>
        </w:rPr>
        <w:t>transparencia, imparcialidad</w:t>
      </w:r>
      <w:r>
        <w:rPr>
          <w:rFonts w:ascii="Verdana" w:eastAsia="Calibri" w:hAnsi="Verdana" w:cs="Arial"/>
          <w:lang w:eastAsia="es-ES"/>
        </w:rPr>
        <w:t xml:space="preserve"> </w:t>
      </w:r>
      <w:r w:rsidRPr="00DF29BC">
        <w:rPr>
          <w:rFonts w:ascii="Verdana" w:eastAsia="Calibri" w:hAnsi="Verdana" w:cs="Arial"/>
          <w:lang w:eastAsia="es-ES"/>
        </w:rPr>
        <w:t xml:space="preserve">en la contratación estatal, su desconocimiento puede </w:t>
      </w:r>
      <w:r>
        <w:rPr>
          <w:rFonts w:ascii="Verdana" w:eastAsia="Calibri" w:hAnsi="Verdana" w:cs="Arial"/>
          <w:lang w:eastAsia="es-ES"/>
        </w:rPr>
        <w:t>derivar en</w:t>
      </w:r>
      <w:r w:rsidRPr="00DF29BC">
        <w:rPr>
          <w:rFonts w:ascii="Verdana" w:eastAsia="Calibri" w:hAnsi="Verdana" w:cs="Arial"/>
          <w:lang w:eastAsia="es-ES"/>
        </w:rPr>
        <w:t xml:space="preserve"> una falta disciplinaria.</w:t>
      </w:r>
    </w:p>
    <w:p w14:paraId="106123F9" w14:textId="77777777" w:rsidR="009C4FFB" w:rsidRDefault="009C4FFB" w:rsidP="009C4FFB">
      <w:pPr>
        <w:spacing w:after="0" w:line="276" w:lineRule="auto"/>
        <w:ind w:firstLine="709"/>
        <w:jc w:val="both"/>
        <w:rPr>
          <w:rFonts w:ascii="Verdana" w:eastAsia="Calibri" w:hAnsi="Verdana" w:cs="Arial"/>
          <w:lang w:eastAsia="es-ES"/>
        </w:rPr>
      </w:pPr>
    </w:p>
    <w:p w14:paraId="79ADAF3E" w14:textId="77777777" w:rsidR="009C4FFB" w:rsidRPr="003148E3" w:rsidRDefault="009C4FFB" w:rsidP="009C4FFB">
      <w:pPr>
        <w:spacing w:after="120" w:line="276" w:lineRule="auto"/>
        <w:jc w:val="both"/>
        <w:rPr>
          <w:rFonts w:ascii="Verdana" w:hAnsi="Verdana" w:cs="Arial"/>
        </w:rPr>
      </w:pPr>
      <w:r w:rsidRPr="00DE63DC">
        <w:rPr>
          <w:rFonts w:ascii="Verdana" w:eastAsia="Arial" w:hAnsi="Verdana" w:cs="Arial"/>
          <w:b/>
          <w:color w:val="000000" w:themeColor="text1"/>
        </w:rPr>
        <w:t>i</w:t>
      </w:r>
      <w:r w:rsidRPr="004267C7">
        <w:rPr>
          <w:rFonts w:ascii="Verdana" w:eastAsia="Calibri" w:hAnsi="Verdana" w:cs="Arial"/>
          <w:b/>
          <w:color w:val="000000" w:themeColor="text1"/>
        </w:rPr>
        <w:t>v</w:t>
      </w:r>
      <w:r w:rsidRPr="007937B7">
        <w:rPr>
          <w:rFonts w:ascii="Verdana" w:eastAsia="Calibri" w:hAnsi="Verdana" w:cs="Arial"/>
          <w:b/>
          <w:color w:val="000000" w:themeColor="text1"/>
        </w:rPr>
        <w:t>.</w:t>
      </w:r>
      <w:r w:rsidRPr="007937B7">
        <w:rPr>
          <w:rFonts w:ascii="Verdana" w:eastAsia="Calibri" w:hAnsi="Verdana" w:cs="Arial"/>
          <w:bCs/>
          <w:color w:val="000000" w:themeColor="text1"/>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w:t>
      </w:r>
      <w:r w:rsidRPr="00CC6EA4">
        <w:rPr>
          <w:rFonts w:ascii="Verdana" w:eastAsia="Calibri" w:hAnsi="Verdana" w:cs="Arial"/>
          <w:bCs/>
          <w:color w:val="000000" w:themeColor="text1"/>
        </w:rPr>
        <w:t xml:space="preserve">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728C8AC" w14:textId="77777777" w:rsidR="009C4FFB" w:rsidRPr="005C170B" w:rsidRDefault="009C4FFB" w:rsidP="009C4FFB">
      <w:pPr>
        <w:spacing w:after="0" w:line="276" w:lineRule="auto"/>
        <w:ind w:firstLine="708"/>
        <w:jc w:val="both"/>
        <w:rPr>
          <w:rFonts w:ascii="Verdana" w:eastAsia="Calibri" w:hAnsi="Verdana" w:cs="Arial"/>
          <w:bCs/>
          <w:color w:val="000000" w:themeColor="text1"/>
        </w:rPr>
      </w:pPr>
      <w:r w:rsidRPr="005C170B">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2A73EBC" w14:textId="77777777" w:rsidR="009C4FFB" w:rsidRPr="005925A1" w:rsidRDefault="009C4FFB" w:rsidP="009C4FFB">
      <w:pPr>
        <w:widowControl w:val="0"/>
        <w:autoSpaceDE w:val="0"/>
        <w:autoSpaceDN w:val="0"/>
        <w:spacing w:after="0" w:line="276" w:lineRule="auto"/>
        <w:jc w:val="both"/>
        <w:rPr>
          <w:rFonts w:ascii="Verdana" w:hAnsi="Verdana" w:cs="Arial"/>
        </w:rPr>
      </w:pPr>
    </w:p>
    <w:p w14:paraId="351E7A61" w14:textId="77777777" w:rsidR="009C4FFB" w:rsidRPr="005925A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25A1">
        <w:rPr>
          <w:rFonts w:ascii="Verdana" w:eastAsia="Century Gothic" w:hAnsi="Verdana" w:cs="Century Gothic"/>
          <w:b/>
          <w:bCs/>
        </w:rPr>
        <w:t>Referencias normativas, jurisprudenciales y otras fuentes:</w:t>
      </w:r>
    </w:p>
    <w:p w14:paraId="6D49AB09" w14:textId="77777777" w:rsidR="009C4FFB" w:rsidRPr="005925A1" w:rsidRDefault="009C4FFB" w:rsidP="009C4FFB">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C4FFB" w:rsidRPr="005925A1" w14:paraId="51AD6280" w14:textId="77777777" w:rsidTr="002C1D92">
        <w:trPr>
          <w:trHeight w:val="870"/>
        </w:trPr>
        <w:tc>
          <w:tcPr>
            <w:tcW w:w="8647" w:type="dxa"/>
          </w:tcPr>
          <w:p w14:paraId="3E336344"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Ley 136 de 1994. Artículos 45 y 47.</w:t>
            </w:r>
          </w:p>
          <w:p w14:paraId="5474103A" w14:textId="77777777" w:rsidR="009C4FFB"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Ley 80 de 1993. Artículo 8.</w:t>
            </w:r>
          </w:p>
          <w:p w14:paraId="039F69D3"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Ley 1952 de 2019. Artículo 43.</w:t>
            </w:r>
          </w:p>
          <w:p w14:paraId="15AB7495" w14:textId="77777777" w:rsidR="009C4FFB" w:rsidRPr="005925A1"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Consejo de Estado. Concepto No. 2414 del 23 de abril de 2019. MP: Edgar González López.</w:t>
            </w:r>
          </w:p>
          <w:p w14:paraId="6DA4430E" w14:textId="77777777" w:rsidR="009C4FFB" w:rsidRPr="00F0050C" w:rsidRDefault="009C4FFB" w:rsidP="009C4FFB">
            <w:pPr>
              <w:numPr>
                <w:ilvl w:val="0"/>
                <w:numId w:val="18"/>
              </w:numPr>
              <w:spacing w:after="120"/>
              <w:rPr>
                <w:rFonts w:ascii="Verdana" w:eastAsia="Times New Roman" w:hAnsi="Verdana" w:cs="Times New Roman"/>
                <w:lang w:eastAsia="es-CO"/>
              </w:rPr>
            </w:pPr>
            <w:r w:rsidRPr="005925A1">
              <w:rPr>
                <w:rFonts w:ascii="Verdana" w:eastAsia="Times New Roman" w:hAnsi="Verdana" w:cs="Times New Roman"/>
                <w:lang w:eastAsia="es-CO"/>
              </w:rPr>
              <w:t>Corte Constitucional. Sentencia C-257 del 7 de mayo de 2013. Conjuez Jaime Córdoba Triviño</w:t>
            </w:r>
            <w:r>
              <w:rPr>
                <w:rFonts w:ascii="Verdana" w:eastAsia="Times New Roman" w:hAnsi="Verdana" w:cs="Times New Roman"/>
                <w:lang w:eastAsia="es-CO"/>
              </w:rPr>
              <w:t xml:space="preserve">. </w:t>
            </w:r>
          </w:p>
        </w:tc>
      </w:tr>
    </w:tbl>
    <w:p w14:paraId="03A8B06E" w14:textId="77777777" w:rsidR="009C4FFB" w:rsidRPr="005925A1" w:rsidRDefault="009C4FFB" w:rsidP="009C4FFB">
      <w:pPr>
        <w:widowControl w:val="0"/>
        <w:autoSpaceDE w:val="0"/>
        <w:autoSpaceDN w:val="0"/>
        <w:spacing w:after="0" w:line="276" w:lineRule="auto"/>
        <w:jc w:val="both"/>
        <w:rPr>
          <w:rFonts w:ascii="Verdana" w:hAnsi="Verdana" w:cs="Arial"/>
        </w:rPr>
      </w:pPr>
    </w:p>
    <w:p w14:paraId="79851CF6" w14:textId="77777777" w:rsidR="009C4FFB" w:rsidRPr="005925A1" w:rsidRDefault="009C4FFB" w:rsidP="009C4FF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25A1">
        <w:rPr>
          <w:rFonts w:ascii="Verdana" w:eastAsia="Century Gothic" w:hAnsi="Verdana" w:cs="Century Gothic"/>
          <w:b/>
          <w:bCs/>
        </w:rPr>
        <w:t>Doctrina de la Agencia Nacional de Contratación Pública:</w:t>
      </w:r>
    </w:p>
    <w:p w14:paraId="02B501A2" w14:textId="77777777" w:rsidR="009C4FFB" w:rsidRPr="005925A1" w:rsidRDefault="009C4FFB" w:rsidP="009C4FFB">
      <w:pPr>
        <w:widowControl w:val="0"/>
        <w:autoSpaceDE w:val="0"/>
        <w:autoSpaceDN w:val="0"/>
        <w:spacing w:after="0" w:line="276" w:lineRule="auto"/>
        <w:jc w:val="both"/>
        <w:rPr>
          <w:rFonts w:ascii="Verdana" w:hAnsi="Verdana" w:cs="Arial"/>
        </w:rPr>
      </w:pPr>
    </w:p>
    <w:p w14:paraId="750C457E" w14:textId="77777777" w:rsidR="009C4FFB" w:rsidRPr="005925A1" w:rsidRDefault="009C4FFB" w:rsidP="009C4FFB">
      <w:pPr>
        <w:widowControl w:val="0"/>
        <w:autoSpaceDE w:val="0"/>
        <w:autoSpaceDN w:val="0"/>
        <w:spacing w:after="0" w:line="276" w:lineRule="auto"/>
        <w:jc w:val="both"/>
        <w:rPr>
          <w:rFonts w:ascii="Verdana" w:eastAsia="Arial" w:hAnsi="Verdana" w:cs="Arial"/>
          <w:lang w:val="es-MX" w:eastAsia="es-ES_tradnl"/>
        </w:rPr>
      </w:pPr>
      <w:r w:rsidRPr="005925A1">
        <w:rPr>
          <w:rFonts w:ascii="Verdana" w:eastAsia="Calibri" w:hAnsi="Verdana" w:cs="Arial"/>
          <w:lang w:val="es-ES_tradnl" w:eastAsia="es-ES_tradnl"/>
        </w:rPr>
        <w:t xml:space="preserve">Sobre el régimen de inhabilidades e incompatibilidades se pronunció esta Subdirección en los conceptos </w:t>
      </w:r>
      <w:r w:rsidRPr="005925A1">
        <w:rPr>
          <w:rFonts w:ascii="Verdana" w:eastAsia="Calibri" w:hAnsi="Verdana" w:cs="Arial"/>
          <w:lang w:val="es-MX"/>
        </w:rPr>
        <w:t xml:space="preserve">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C−190 del 30 de abril de 2021, C−210 del 12 de mayo de 2021, C−275 del 11 de junio de 2021, C−293 del 28 de junio de 2021, C−321 del 2 de julio de 2021, C−410 del 7 de julio de 2021, C−491 del 14 de septiembre de 2021, C−522 del 1 de octubre de 2021, C-908 del 13 de febrero de 2023, C−128 del 25 de marzo de 2022, C−252 del 3 de mayo de 2022, C−376 del 14 de junio de 2022, C−413 del 24 de junio de 2022, C−691 del 20 de octubre de 2022, C−731 del 10 de noviembre de 2022, C−928 del 26 de enero de 2023, </w:t>
      </w:r>
      <w:r w:rsidRPr="005925A1">
        <w:rPr>
          <w:rFonts w:ascii="Verdana" w:eastAsia="Calibri" w:hAnsi="Verdana" w:cs="Arial"/>
          <w:lang w:val="es-MX"/>
        </w:rPr>
        <w:lastRenderedPageBreak/>
        <w:t>C−126 del 24 de abril de 2023, C−175 del 4 de mayo de 2023, C−234 del 5 de julio de 2023, C−010 del 31 de enero de 2024, C-039 del 23 de abril de 2024</w:t>
      </w:r>
      <w:r w:rsidRPr="005925A1">
        <w:rPr>
          <w:rFonts w:ascii="Verdana" w:eastAsia="Calibri" w:hAnsi="Verdana" w:cs="Arial"/>
          <w:lang w:val="es-ES" w:eastAsia="es-ES_tradnl"/>
        </w:rPr>
        <w:t xml:space="preserve"> y C-381 del 05 de septiembre de 2024,</w:t>
      </w:r>
      <w:r w:rsidRPr="005925A1">
        <w:rPr>
          <w:rFonts w:ascii="Verdana" w:eastAsia="Calibri" w:hAnsi="Verdana" w:cs="Times New Roman"/>
        </w:rPr>
        <w:t xml:space="preserve"> estos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72D2E1F7" w14:textId="77777777" w:rsidR="009C4FFB" w:rsidRPr="005925A1" w:rsidRDefault="009C4FFB" w:rsidP="009C4FFB">
      <w:pPr>
        <w:widowControl w:val="0"/>
        <w:autoSpaceDE w:val="0"/>
        <w:autoSpaceDN w:val="0"/>
        <w:spacing w:after="0" w:line="276" w:lineRule="auto"/>
        <w:jc w:val="both"/>
        <w:rPr>
          <w:rFonts w:ascii="Verdana" w:hAnsi="Verdana" w:cs="Arial"/>
          <w:color w:val="FF0000"/>
          <w:shd w:val="clear" w:color="auto" w:fill="FFFFFF"/>
          <w:lang w:val="es-ES"/>
        </w:rPr>
      </w:pPr>
      <w:hyperlink r:id="rId13" w:history="1">
        <w:r w:rsidRPr="005925A1">
          <w:rPr>
            <w:rStyle w:val="Hipervnculo"/>
            <w:rFonts w:ascii="Verdana" w:hAnsi="Verdana" w:cs="Arial"/>
            <w:shd w:val="clear" w:color="auto" w:fill="FFFFFF"/>
            <w:lang w:val="es-ES"/>
          </w:rPr>
          <w:t>https://relatoria.colombiacompra.gov.co/busqueda/conceptos</w:t>
        </w:r>
      </w:hyperlink>
      <w:r w:rsidRPr="005925A1">
        <w:rPr>
          <w:rStyle w:val="normaltextrun"/>
          <w:rFonts w:ascii="Verdana" w:hAnsi="Verdana" w:cs="Arial"/>
          <w:color w:val="FF0000"/>
          <w:shd w:val="clear" w:color="auto" w:fill="FFFFFF"/>
          <w:lang w:val="es-ES"/>
        </w:rPr>
        <w:t xml:space="preserve"> </w:t>
      </w:r>
    </w:p>
    <w:p w14:paraId="1F33C6EE" w14:textId="77777777" w:rsidR="009C4FFB" w:rsidRDefault="009C4FFB" w:rsidP="009C4FFB">
      <w:pPr>
        <w:spacing w:after="0" w:line="276" w:lineRule="auto"/>
        <w:jc w:val="both"/>
        <w:rPr>
          <w:rFonts w:ascii="Verdana" w:hAnsi="Verdana"/>
        </w:rPr>
      </w:pPr>
    </w:p>
    <w:p w14:paraId="2063583A"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Por último, lo invitamos a seguirnos en las redes sociales en las cuales se difunde información institucional: </w:t>
      </w:r>
    </w:p>
    <w:p w14:paraId="1E3C72A7" w14:textId="77777777" w:rsidR="009C4FFB" w:rsidRPr="005925A1" w:rsidRDefault="009C4FFB" w:rsidP="009C4FFB">
      <w:pPr>
        <w:spacing w:after="0" w:line="276" w:lineRule="auto"/>
        <w:jc w:val="both"/>
        <w:rPr>
          <w:rFonts w:ascii="Verdana" w:hAnsi="Verdana"/>
        </w:rPr>
      </w:pPr>
    </w:p>
    <w:p w14:paraId="10073262"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Twitter: </w:t>
      </w:r>
      <w:r w:rsidRPr="005925A1">
        <w:rPr>
          <w:rStyle w:val="Hipervnculo"/>
          <w:rFonts w:ascii="Verdana" w:hAnsi="Verdana"/>
        </w:rPr>
        <w:t>@colombiacompra</w:t>
      </w:r>
      <w:r w:rsidRPr="005925A1">
        <w:rPr>
          <w:rFonts w:ascii="Verdana" w:hAnsi="Verdana"/>
          <w:color w:val="0000FF"/>
        </w:rPr>
        <w:t xml:space="preserve"> </w:t>
      </w:r>
    </w:p>
    <w:p w14:paraId="7F24988A"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Facebook: </w:t>
      </w:r>
      <w:r w:rsidRPr="005925A1">
        <w:rPr>
          <w:rStyle w:val="Hipervnculo"/>
          <w:rFonts w:ascii="Verdana" w:hAnsi="Verdana"/>
        </w:rPr>
        <w:t>ColombiaCompraEficiente</w:t>
      </w:r>
    </w:p>
    <w:p w14:paraId="39FCD627" w14:textId="77777777" w:rsidR="009C4FFB" w:rsidRPr="005925A1" w:rsidRDefault="009C4FFB" w:rsidP="009C4FFB">
      <w:pPr>
        <w:spacing w:after="0" w:line="276" w:lineRule="auto"/>
        <w:jc w:val="both"/>
        <w:rPr>
          <w:rFonts w:ascii="Verdana" w:hAnsi="Verdana"/>
        </w:rPr>
      </w:pPr>
      <w:r w:rsidRPr="005925A1">
        <w:rPr>
          <w:rFonts w:ascii="Verdana" w:hAnsi="Verdana"/>
        </w:rPr>
        <w:t xml:space="preserve">LinkedIn: </w:t>
      </w:r>
      <w:r w:rsidRPr="005925A1">
        <w:rPr>
          <w:rStyle w:val="Hipervnculo"/>
          <w:rFonts w:ascii="Verdana" w:hAnsi="Verdana"/>
        </w:rPr>
        <w:t>Agencia Nacional de Contratación Pública - Colombia Compra Eficiente</w:t>
      </w:r>
      <w:r w:rsidRPr="005925A1">
        <w:rPr>
          <w:rFonts w:ascii="Verdana" w:hAnsi="Verdana"/>
          <w:color w:val="0000FF"/>
        </w:rPr>
        <w:t xml:space="preserve"> </w:t>
      </w:r>
      <w:r w:rsidRPr="005925A1">
        <w:rPr>
          <w:rFonts w:ascii="Verdana" w:hAnsi="Verdana"/>
        </w:rPr>
        <w:t xml:space="preserve">Instagram: </w:t>
      </w:r>
      <w:r w:rsidRPr="005925A1">
        <w:rPr>
          <w:rStyle w:val="Hipervnculo"/>
          <w:rFonts w:ascii="Verdana" w:hAnsi="Verdana"/>
        </w:rPr>
        <w:t>@colombiacompraeficiente_cce</w:t>
      </w:r>
    </w:p>
    <w:p w14:paraId="33B05EED" w14:textId="77777777" w:rsidR="009C4FFB" w:rsidRPr="005925A1" w:rsidRDefault="009C4FFB" w:rsidP="009C4FFB">
      <w:pPr>
        <w:widowControl w:val="0"/>
        <w:autoSpaceDE w:val="0"/>
        <w:autoSpaceDN w:val="0"/>
        <w:spacing w:after="0" w:line="276" w:lineRule="auto"/>
        <w:jc w:val="both"/>
        <w:rPr>
          <w:rFonts w:ascii="Verdana" w:hAnsi="Verdana" w:cs="Arial"/>
        </w:rPr>
      </w:pPr>
    </w:p>
    <w:p w14:paraId="10366BE3" w14:textId="77777777" w:rsidR="009C4FFB" w:rsidRPr="005925A1" w:rsidRDefault="009C4FFB" w:rsidP="009C4FFB">
      <w:pPr>
        <w:widowControl w:val="0"/>
        <w:autoSpaceDE w:val="0"/>
        <w:autoSpaceDN w:val="0"/>
        <w:spacing w:after="0" w:line="276" w:lineRule="auto"/>
        <w:jc w:val="both"/>
        <w:rPr>
          <w:rFonts w:ascii="Verdana" w:hAnsi="Verdana" w:cs="Arial"/>
          <w:lang w:val="es-ES_tradnl"/>
        </w:rPr>
      </w:pPr>
      <w:r w:rsidRPr="005925A1">
        <w:rPr>
          <w:rFonts w:ascii="Verdana" w:hAnsi="Verdana" w:cs="Arial"/>
        </w:rPr>
        <w:t xml:space="preserve">Este concepto tiene el alcance previsto en el artículo 28 del Código de Procedimiento Administrativo y de lo Contencioso Administrativo </w:t>
      </w:r>
      <w:r w:rsidRPr="005925A1">
        <w:rPr>
          <w:rFonts w:ascii="Verdana" w:hAnsi="Verdana" w:cs="Arial"/>
          <w:lang w:val="es-ES_tradnl"/>
        </w:rPr>
        <w:t>y las expresiones aquí utilizadas con mayúscula inicial deben ser entendidas con el significado que les otorga el artículo 2.2.1.1.1.3.1. del Decreto 1082 de 2015.</w:t>
      </w:r>
    </w:p>
    <w:p w14:paraId="12D5A960" w14:textId="77777777" w:rsidR="009C4FFB" w:rsidRPr="005925A1" w:rsidRDefault="009C4FFB" w:rsidP="009C4FFB">
      <w:pPr>
        <w:widowControl w:val="0"/>
        <w:autoSpaceDE w:val="0"/>
        <w:autoSpaceDN w:val="0"/>
        <w:spacing w:after="0" w:line="276" w:lineRule="auto"/>
        <w:jc w:val="both"/>
        <w:rPr>
          <w:rFonts w:ascii="Verdana" w:hAnsi="Verdana" w:cs="Arial"/>
        </w:rPr>
      </w:pPr>
    </w:p>
    <w:p w14:paraId="29CF8D69" w14:textId="77777777" w:rsidR="009C4FFB" w:rsidRPr="005925A1" w:rsidRDefault="009C4FFB" w:rsidP="009C4FFB">
      <w:pPr>
        <w:spacing w:after="0" w:line="276" w:lineRule="auto"/>
        <w:rPr>
          <w:rFonts w:ascii="Verdana" w:hAnsi="Verdana" w:cs="Arial"/>
          <w:lang w:eastAsia="es-CO"/>
        </w:rPr>
      </w:pPr>
      <w:r w:rsidRPr="005925A1">
        <w:rPr>
          <w:rFonts w:ascii="Verdana" w:eastAsia="Times New Roman" w:hAnsi="Verdana" w:cs="Arial"/>
          <w:lang w:eastAsia="es-CO"/>
        </w:rPr>
        <w:t>Atentamente,</w:t>
      </w:r>
      <w:r w:rsidRPr="005925A1">
        <w:rPr>
          <w:rFonts w:ascii="Verdana" w:hAnsi="Verdana" w:cs="Arial"/>
          <w:lang w:eastAsia="es-CO"/>
        </w:rPr>
        <w:t xml:space="preserve"> </w:t>
      </w:r>
    </w:p>
    <w:p w14:paraId="5692D7A5" w14:textId="2F5377EA" w:rsidR="00054748" w:rsidRPr="005C170B" w:rsidRDefault="00B566DF" w:rsidP="00B566DF">
      <w:pPr>
        <w:spacing w:line="276" w:lineRule="auto"/>
        <w:jc w:val="center"/>
        <w:rPr>
          <w:rFonts w:ascii="Verdana" w:hAnsi="Verdana" w:cs="Arial"/>
          <w:color w:val="000000"/>
          <w:lang w:eastAsia="es-CO"/>
        </w:rPr>
      </w:pPr>
      <w:r w:rsidRPr="00B566DF">
        <w:rPr>
          <w:rFonts w:ascii="Verdana" w:hAnsi="Verdana" w:cs="Arial"/>
          <w:noProof/>
          <w:color w:val="000000"/>
          <w:lang w:eastAsia="es-CO"/>
        </w:rPr>
        <w:drawing>
          <wp:inline distT="0" distB="0" distL="0" distR="0" wp14:anchorId="4EA227EC" wp14:editId="4F8FFDA9">
            <wp:extent cx="2820637" cy="1116721"/>
            <wp:effectExtent l="0" t="0" r="0" b="7620"/>
            <wp:docPr id="9090188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5706" cy="1118728"/>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054748" w:rsidRPr="005C170B" w14:paraId="1170F5BB" w14:textId="77777777" w:rsidTr="00CB1843">
        <w:trPr>
          <w:trHeight w:val="315"/>
        </w:trPr>
        <w:tc>
          <w:tcPr>
            <w:tcW w:w="893" w:type="dxa"/>
            <w:vAlign w:val="center"/>
            <w:hideMark/>
          </w:tcPr>
          <w:p w14:paraId="5A67B4C6"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78EF5FB" w14:textId="77777777" w:rsidR="00054748" w:rsidRPr="005C170B" w:rsidRDefault="00054748" w:rsidP="00CB184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227F8729" w14:textId="77777777" w:rsidR="00054748" w:rsidRPr="005C170B" w:rsidRDefault="00054748" w:rsidP="00CB1843">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054748" w:rsidRPr="005C170B" w14:paraId="244745AA" w14:textId="77777777" w:rsidTr="00CB1843">
        <w:trPr>
          <w:trHeight w:val="330"/>
        </w:trPr>
        <w:tc>
          <w:tcPr>
            <w:tcW w:w="893" w:type="dxa"/>
            <w:vAlign w:val="center"/>
            <w:hideMark/>
          </w:tcPr>
          <w:p w14:paraId="358FC580"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7988CAD" w14:textId="1A6FCE2E" w:rsidR="00054748" w:rsidRPr="005C170B" w:rsidRDefault="00B43F8B" w:rsidP="00CB184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Diana Lucía Saavedra</w:t>
            </w:r>
          </w:p>
          <w:p w14:paraId="6259A622" w14:textId="77777777" w:rsidR="00054748" w:rsidRPr="005C170B" w:rsidRDefault="00054748" w:rsidP="00CB1843">
            <w:pPr>
              <w:pStyle w:val="paragraph"/>
              <w:spacing w:before="0" w:beforeAutospacing="0" w:after="0" w:afterAutospacing="0"/>
              <w:contextualSpacing/>
              <w:textAlignment w:val="baseline"/>
              <w:rPr>
                <w:rFonts w:ascii="Verdana" w:hAnsi="Verdana" w:cs="Arial"/>
                <w:sz w:val="16"/>
                <w:szCs w:val="16"/>
                <w:lang w:val="es-ES"/>
              </w:rPr>
            </w:pPr>
            <w:r w:rsidRPr="005C170B">
              <w:rPr>
                <w:rStyle w:val="normaltextrun"/>
                <w:rFonts w:ascii="Verdana" w:hAnsi="Verdana" w:cs="Arial"/>
                <w:sz w:val="16"/>
                <w:szCs w:val="16"/>
                <w:lang w:val="es-ES"/>
              </w:rPr>
              <w:t>Contratista de la Subdirección de Gestión Contractual</w:t>
            </w:r>
            <w:r w:rsidRPr="005C170B">
              <w:rPr>
                <w:rStyle w:val="eop"/>
                <w:rFonts w:ascii="Verdana" w:hAnsi="Verdana" w:cs="Arial"/>
                <w:sz w:val="16"/>
                <w:szCs w:val="16"/>
              </w:rPr>
              <w:t> </w:t>
            </w:r>
          </w:p>
        </w:tc>
      </w:tr>
      <w:tr w:rsidR="00054748" w:rsidRPr="005C170B" w14:paraId="03D0D7A4" w14:textId="77777777" w:rsidTr="00CB1843">
        <w:trPr>
          <w:trHeight w:val="300"/>
        </w:trPr>
        <w:tc>
          <w:tcPr>
            <w:tcW w:w="893" w:type="dxa"/>
            <w:vAlign w:val="center"/>
          </w:tcPr>
          <w:p w14:paraId="5D484008" w14:textId="77777777" w:rsidR="00054748" w:rsidRPr="005C170B" w:rsidRDefault="00054748" w:rsidP="00CB184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7CD525E"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Carolina Quintero Gacharná</w:t>
            </w:r>
          </w:p>
          <w:p w14:paraId="5ADDA35C" w14:textId="77777777" w:rsidR="00054748" w:rsidRPr="005C170B" w:rsidRDefault="00054748" w:rsidP="00CB184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Contractual ANCP – CCE</w:t>
            </w:r>
          </w:p>
        </w:tc>
      </w:tr>
      <w:bookmarkEnd w:id="0"/>
    </w:tbl>
    <w:p w14:paraId="0F293BF4" w14:textId="48477865" w:rsidR="00127233" w:rsidRPr="0015699B" w:rsidRDefault="00127233" w:rsidP="002B7ECD">
      <w:pPr>
        <w:spacing w:after="0" w:line="240" w:lineRule="auto"/>
        <w:textAlignment w:val="baseline"/>
        <w:rPr>
          <w:rFonts w:ascii="Verdana" w:eastAsia="Verdana" w:hAnsi="Verdana" w:cs="Verdana"/>
          <w:lang w:eastAsia="es-CO"/>
        </w:rPr>
      </w:pPr>
    </w:p>
    <w:sectPr w:rsidR="00127233" w:rsidRPr="0015699B"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7B09" w14:textId="77777777" w:rsidR="00D675DB" w:rsidRDefault="00D675DB" w:rsidP="004A1847">
      <w:pPr>
        <w:spacing w:after="0" w:line="240" w:lineRule="auto"/>
      </w:pPr>
      <w:r>
        <w:separator/>
      </w:r>
    </w:p>
  </w:endnote>
  <w:endnote w:type="continuationSeparator" w:id="0">
    <w:p w14:paraId="2A13116E" w14:textId="77777777" w:rsidR="00D675DB" w:rsidRDefault="00D675D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00486" w14:textId="77777777" w:rsidR="00D675DB" w:rsidRDefault="00D675DB" w:rsidP="004A1847">
      <w:pPr>
        <w:spacing w:after="0" w:line="240" w:lineRule="auto"/>
      </w:pPr>
      <w:r>
        <w:separator/>
      </w:r>
    </w:p>
  </w:footnote>
  <w:footnote w:type="continuationSeparator" w:id="0">
    <w:p w14:paraId="49DB104E" w14:textId="77777777" w:rsidR="00D675DB" w:rsidRDefault="00D675DB" w:rsidP="004A1847">
      <w:pPr>
        <w:spacing w:after="0" w:line="240" w:lineRule="auto"/>
      </w:pPr>
      <w:r>
        <w:continuationSeparator/>
      </w:r>
    </w:p>
  </w:footnote>
  <w:footnote w:id="1">
    <w:p w14:paraId="1A70BE34" w14:textId="77777777" w:rsidR="009C4FFB" w:rsidRPr="00DE63DC" w:rsidRDefault="009C4FFB" w:rsidP="009C4FFB">
      <w:pPr>
        <w:pStyle w:val="Textonotapie"/>
        <w:ind w:firstLine="709"/>
        <w:rPr>
          <w:rFonts w:ascii="Verdana" w:hAnsi="Verdana"/>
          <w:sz w:val="16"/>
          <w:szCs w:val="16"/>
        </w:rPr>
      </w:pPr>
      <w:r w:rsidRPr="00DE63DC">
        <w:rPr>
          <w:rStyle w:val="Refdenotaalpie"/>
          <w:rFonts w:ascii="Verdana" w:hAnsi="Verdana"/>
          <w:sz w:val="16"/>
          <w:szCs w:val="16"/>
        </w:rPr>
        <w:footnoteRef/>
      </w:r>
      <w:r w:rsidRPr="00DE63DC">
        <w:rPr>
          <w:rFonts w:ascii="Verdana" w:hAnsi="Verdana"/>
          <w:sz w:val="16"/>
          <w:szCs w:val="16"/>
        </w:rPr>
        <w:t xml:space="preserve"> Consejo de Estado. Sala Plena. Sentencia del 8 de febrero de 2011. </w:t>
      </w:r>
      <w:r w:rsidRPr="00DE63DC">
        <w:rPr>
          <w:rFonts w:ascii="Verdana" w:hAnsi="Verdana"/>
          <w:sz w:val="16"/>
          <w:szCs w:val="16"/>
          <w:lang w:val="es-CO"/>
        </w:rPr>
        <w:t>Expediente N°: 11001-03-15-000-2010-00990-00(PI)</w:t>
      </w:r>
    </w:p>
  </w:footnote>
  <w:footnote w:id="2">
    <w:p w14:paraId="723D882F" w14:textId="77777777" w:rsidR="009C4FFB" w:rsidRPr="00DE63DC" w:rsidRDefault="009C4FFB" w:rsidP="009C4FFB">
      <w:pPr>
        <w:pStyle w:val="Textonotapie"/>
        <w:ind w:firstLine="709"/>
        <w:rPr>
          <w:rFonts w:ascii="Verdana" w:hAnsi="Verdana"/>
          <w:sz w:val="16"/>
          <w:szCs w:val="16"/>
        </w:rPr>
      </w:pPr>
      <w:r w:rsidRPr="00DE63DC">
        <w:rPr>
          <w:rStyle w:val="Refdenotaalpie"/>
          <w:rFonts w:ascii="Verdana" w:hAnsi="Verdana"/>
          <w:sz w:val="16"/>
          <w:szCs w:val="16"/>
        </w:rPr>
        <w:footnoteRef/>
      </w:r>
      <w:r w:rsidRPr="00DE63DC">
        <w:rPr>
          <w:rFonts w:ascii="Verdana" w:hAnsi="Verdana"/>
          <w:sz w:val="16"/>
          <w:szCs w:val="16"/>
        </w:rPr>
        <w:t xml:space="preserve"> Consejo de Estado. Concepto No. 2414 del 23 de abril de 2019. MP: Edgar González López.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165"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10"/>
  </w:num>
  <w:num w:numId="2" w16cid:durableId="19822139">
    <w:abstractNumId w:val="2"/>
  </w:num>
  <w:num w:numId="3" w16cid:durableId="876742304">
    <w:abstractNumId w:val="8"/>
  </w:num>
  <w:num w:numId="4" w16cid:durableId="245186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8"/>
  </w:num>
  <w:num w:numId="7" w16cid:durableId="1946422806">
    <w:abstractNumId w:val="9"/>
  </w:num>
  <w:num w:numId="8" w16cid:durableId="152644682">
    <w:abstractNumId w:val="17"/>
  </w:num>
  <w:num w:numId="9" w16cid:durableId="1317221377">
    <w:abstractNumId w:val="11"/>
  </w:num>
  <w:num w:numId="10" w16cid:durableId="1471245386">
    <w:abstractNumId w:val="16"/>
  </w:num>
  <w:num w:numId="11" w16cid:durableId="289172385">
    <w:abstractNumId w:val="12"/>
  </w:num>
  <w:num w:numId="12" w16cid:durableId="1470781324">
    <w:abstractNumId w:val="1"/>
  </w:num>
  <w:num w:numId="13" w16cid:durableId="1512908409">
    <w:abstractNumId w:val="5"/>
  </w:num>
  <w:num w:numId="14" w16cid:durableId="895897244">
    <w:abstractNumId w:val="19"/>
  </w:num>
  <w:num w:numId="15" w16cid:durableId="390349800">
    <w:abstractNumId w:val="15"/>
  </w:num>
  <w:num w:numId="16" w16cid:durableId="1227110730">
    <w:abstractNumId w:val="0"/>
  </w:num>
  <w:num w:numId="17" w16cid:durableId="2068841316">
    <w:abstractNumId w:val="3"/>
  </w:num>
  <w:num w:numId="18" w16cid:durableId="1144280152">
    <w:abstractNumId w:val="20"/>
  </w:num>
  <w:num w:numId="19" w16cid:durableId="1602300139">
    <w:abstractNumId w:val="4"/>
  </w:num>
  <w:num w:numId="20" w16cid:durableId="1397629488">
    <w:abstractNumId w:val="13"/>
  </w:num>
  <w:num w:numId="21" w16cid:durableId="861283267">
    <w:abstractNumId w:val="7"/>
  </w:num>
  <w:num w:numId="22" w16cid:durableId="1235579301">
    <w:abstractNumId w:val="6"/>
  </w:num>
  <w:num w:numId="23" w16cid:durableId="545802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3541"/>
    <w:rsid w:val="0001041A"/>
    <w:rsid w:val="00016F78"/>
    <w:rsid w:val="00017468"/>
    <w:rsid w:val="0001755B"/>
    <w:rsid w:val="00024220"/>
    <w:rsid w:val="00027585"/>
    <w:rsid w:val="00027F95"/>
    <w:rsid w:val="00034FE9"/>
    <w:rsid w:val="00044F37"/>
    <w:rsid w:val="00045A4D"/>
    <w:rsid w:val="00046945"/>
    <w:rsid w:val="00054748"/>
    <w:rsid w:val="000551B1"/>
    <w:rsid w:val="000612FD"/>
    <w:rsid w:val="00061B2A"/>
    <w:rsid w:val="00063B8B"/>
    <w:rsid w:val="000642C7"/>
    <w:rsid w:val="00064366"/>
    <w:rsid w:val="00065BE6"/>
    <w:rsid w:val="000675E2"/>
    <w:rsid w:val="00071AD1"/>
    <w:rsid w:val="00082362"/>
    <w:rsid w:val="00083164"/>
    <w:rsid w:val="00085500"/>
    <w:rsid w:val="0009582C"/>
    <w:rsid w:val="000A0B60"/>
    <w:rsid w:val="000A683E"/>
    <w:rsid w:val="000B19B9"/>
    <w:rsid w:val="000C6236"/>
    <w:rsid w:val="000D0334"/>
    <w:rsid w:val="000D5DA7"/>
    <w:rsid w:val="000E06D3"/>
    <w:rsid w:val="000F6486"/>
    <w:rsid w:val="000F77CB"/>
    <w:rsid w:val="0010054E"/>
    <w:rsid w:val="0010084B"/>
    <w:rsid w:val="00100A83"/>
    <w:rsid w:val="00100D82"/>
    <w:rsid w:val="0010594F"/>
    <w:rsid w:val="00114EDD"/>
    <w:rsid w:val="00116491"/>
    <w:rsid w:val="00116940"/>
    <w:rsid w:val="00116E26"/>
    <w:rsid w:val="00125105"/>
    <w:rsid w:val="001268C0"/>
    <w:rsid w:val="00127233"/>
    <w:rsid w:val="001279A7"/>
    <w:rsid w:val="00132271"/>
    <w:rsid w:val="00136760"/>
    <w:rsid w:val="00144F0A"/>
    <w:rsid w:val="00155C47"/>
    <w:rsid w:val="0015699B"/>
    <w:rsid w:val="00164BED"/>
    <w:rsid w:val="00165403"/>
    <w:rsid w:val="00175917"/>
    <w:rsid w:val="0018173F"/>
    <w:rsid w:val="001921BC"/>
    <w:rsid w:val="00192F16"/>
    <w:rsid w:val="00193637"/>
    <w:rsid w:val="00194792"/>
    <w:rsid w:val="00196E0E"/>
    <w:rsid w:val="001A05CA"/>
    <w:rsid w:val="001A1C4B"/>
    <w:rsid w:val="001A33BF"/>
    <w:rsid w:val="001B7BFE"/>
    <w:rsid w:val="001C1E35"/>
    <w:rsid w:val="001C2183"/>
    <w:rsid w:val="001D0504"/>
    <w:rsid w:val="001D5D34"/>
    <w:rsid w:val="001E0D84"/>
    <w:rsid w:val="001E4177"/>
    <w:rsid w:val="001F0B24"/>
    <w:rsid w:val="001F7DC6"/>
    <w:rsid w:val="0020050D"/>
    <w:rsid w:val="00210F23"/>
    <w:rsid w:val="00211AE1"/>
    <w:rsid w:val="002144E5"/>
    <w:rsid w:val="0022400B"/>
    <w:rsid w:val="0023261B"/>
    <w:rsid w:val="00233874"/>
    <w:rsid w:val="002421BB"/>
    <w:rsid w:val="002422E4"/>
    <w:rsid w:val="00252165"/>
    <w:rsid w:val="00254843"/>
    <w:rsid w:val="002576DC"/>
    <w:rsid w:val="0025796E"/>
    <w:rsid w:val="00262004"/>
    <w:rsid w:val="00263AC8"/>
    <w:rsid w:val="00267882"/>
    <w:rsid w:val="002707A2"/>
    <w:rsid w:val="00274519"/>
    <w:rsid w:val="00275543"/>
    <w:rsid w:val="00275975"/>
    <w:rsid w:val="00282002"/>
    <w:rsid w:val="00282862"/>
    <w:rsid w:val="00282D17"/>
    <w:rsid w:val="002873C7"/>
    <w:rsid w:val="002951A0"/>
    <w:rsid w:val="002962BC"/>
    <w:rsid w:val="002A093D"/>
    <w:rsid w:val="002A0DD0"/>
    <w:rsid w:val="002A15DD"/>
    <w:rsid w:val="002A49AC"/>
    <w:rsid w:val="002A64FD"/>
    <w:rsid w:val="002A7D0D"/>
    <w:rsid w:val="002B1D63"/>
    <w:rsid w:val="002B4237"/>
    <w:rsid w:val="002B7BBB"/>
    <w:rsid w:val="002B7ECD"/>
    <w:rsid w:val="002C1D40"/>
    <w:rsid w:val="002C2DF2"/>
    <w:rsid w:val="002C376B"/>
    <w:rsid w:val="002C3C40"/>
    <w:rsid w:val="002C4290"/>
    <w:rsid w:val="002C7A84"/>
    <w:rsid w:val="002D321C"/>
    <w:rsid w:val="002E2BF8"/>
    <w:rsid w:val="002E37B2"/>
    <w:rsid w:val="002E4FD9"/>
    <w:rsid w:val="00301B67"/>
    <w:rsid w:val="0030657A"/>
    <w:rsid w:val="003144F7"/>
    <w:rsid w:val="003148E3"/>
    <w:rsid w:val="00315308"/>
    <w:rsid w:val="00321155"/>
    <w:rsid w:val="00321D63"/>
    <w:rsid w:val="003224F9"/>
    <w:rsid w:val="00322A85"/>
    <w:rsid w:val="00324168"/>
    <w:rsid w:val="00327136"/>
    <w:rsid w:val="00330834"/>
    <w:rsid w:val="00331CC4"/>
    <w:rsid w:val="00332110"/>
    <w:rsid w:val="003448F4"/>
    <w:rsid w:val="00344D47"/>
    <w:rsid w:val="003568BE"/>
    <w:rsid w:val="00361D7C"/>
    <w:rsid w:val="003652FF"/>
    <w:rsid w:val="00373C2A"/>
    <w:rsid w:val="00373DB2"/>
    <w:rsid w:val="00374F5E"/>
    <w:rsid w:val="0037516C"/>
    <w:rsid w:val="00377E3E"/>
    <w:rsid w:val="00381802"/>
    <w:rsid w:val="0039200C"/>
    <w:rsid w:val="003A779E"/>
    <w:rsid w:val="003B76B6"/>
    <w:rsid w:val="003C1DE4"/>
    <w:rsid w:val="003C20F3"/>
    <w:rsid w:val="003C48DB"/>
    <w:rsid w:val="003D0F4D"/>
    <w:rsid w:val="003D14FF"/>
    <w:rsid w:val="003D2711"/>
    <w:rsid w:val="003D5B0D"/>
    <w:rsid w:val="003E0499"/>
    <w:rsid w:val="003E187F"/>
    <w:rsid w:val="003E4F80"/>
    <w:rsid w:val="003E6439"/>
    <w:rsid w:val="003E76AD"/>
    <w:rsid w:val="003E7CF4"/>
    <w:rsid w:val="003F1BCC"/>
    <w:rsid w:val="003F3941"/>
    <w:rsid w:val="003F39A2"/>
    <w:rsid w:val="003F47D7"/>
    <w:rsid w:val="00401A84"/>
    <w:rsid w:val="00403964"/>
    <w:rsid w:val="00406424"/>
    <w:rsid w:val="00406575"/>
    <w:rsid w:val="00411024"/>
    <w:rsid w:val="00414C74"/>
    <w:rsid w:val="00420C6E"/>
    <w:rsid w:val="00421A81"/>
    <w:rsid w:val="00424572"/>
    <w:rsid w:val="00425D4E"/>
    <w:rsid w:val="0042722E"/>
    <w:rsid w:val="00427DE5"/>
    <w:rsid w:val="0043641A"/>
    <w:rsid w:val="004373B4"/>
    <w:rsid w:val="00441E4A"/>
    <w:rsid w:val="004443F7"/>
    <w:rsid w:val="0044528D"/>
    <w:rsid w:val="00453025"/>
    <w:rsid w:val="00457A70"/>
    <w:rsid w:val="00461976"/>
    <w:rsid w:val="00461A0A"/>
    <w:rsid w:val="004630E5"/>
    <w:rsid w:val="00466A1C"/>
    <w:rsid w:val="00466E39"/>
    <w:rsid w:val="00471DAE"/>
    <w:rsid w:val="00477A70"/>
    <w:rsid w:val="004819DB"/>
    <w:rsid w:val="00487DA9"/>
    <w:rsid w:val="00495476"/>
    <w:rsid w:val="004A1847"/>
    <w:rsid w:val="004A2494"/>
    <w:rsid w:val="004A305D"/>
    <w:rsid w:val="004A5E22"/>
    <w:rsid w:val="004B0599"/>
    <w:rsid w:val="004B4BBB"/>
    <w:rsid w:val="004B7CBF"/>
    <w:rsid w:val="004C1F3D"/>
    <w:rsid w:val="004C52B7"/>
    <w:rsid w:val="004E5211"/>
    <w:rsid w:val="004F1C23"/>
    <w:rsid w:val="004F21C4"/>
    <w:rsid w:val="004F518D"/>
    <w:rsid w:val="004F685F"/>
    <w:rsid w:val="00503E8D"/>
    <w:rsid w:val="0052473B"/>
    <w:rsid w:val="00526744"/>
    <w:rsid w:val="00527383"/>
    <w:rsid w:val="0054008D"/>
    <w:rsid w:val="00554615"/>
    <w:rsid w:val="005566E8"/>
    <w:rsid w:val="00564599"/>
    <w:rsid w:val="00570B99"/>
    <w:rsid w:val="00574867"/>
    <w:rsid w:val="00591460"/>
    <w:rsid w:val="00593A2E"/>
    <w:rsid w:val="005A65E0"/>
    <w:rsid w:val="005B0A81"/>
    <w:rsid w:val="005B5E1E"/>
    <w:rsid w:val="005B758B"/>
    <w:rsid w:val="005C2AE6"/>
    <w:rsid w:val="005C2D83"/>
    <w:rsid w:val="005C3512"/>
    <w:rsid w:val="005C3777"/>
    <w:rsid w:val="005C5CDC"/>
    <w:rsid w:val="005C79E1"/>
    <w:rsid w:val="005D0AA9"/>
    <w:rsid w:val="005D3EEA"/>
    <w:rsid w:val="005D476C"/>
    <w:rsid w:val="005E247F"/>
    <w:rsid w:val="005E650C"/>
    <w:rsid w:val="005E701A"/>
    <w:rsid w:val="005F3F7B"/>
    <w:rsid w:val="005F7FC5"/>
    <w:rsid w:val="006015F9"/>
    <w:rsid w:val="00613205"/>
    <w:rsid w:val="00616FA1"/>
    <w:rsid w:val="00617CDD"/>
    <w:rsid w:val="006200BF"/>
    <w:rsid w:val="00621157"/>
    <w:rsid w:val="006219F8"/>
    <w:rsid w:val="00627DD0"/>
    <w:rsid w:val="006302F7"/>
    <w:rsid w:val="00635CDF"/>
    <w:rsid w:val="00640E35"/>
    <w:rsid w:val="006446CE"/>
    <w:rsid w:val="00646B9F"/>
    <w:rsid w:val="00652ADB"/>
    <w:rsid w:val="006650A3"/>
    <w:rsid w:val="00665D70"/>
    <w:rsid w:val="00670E33"/>
    <w:rsid w:val="006724F0"/>
    <w:rsid w:val="006900D9"/>
    <w:rsid w:val="00695D4C"/>
    <w:rsid w:val="006A193A"/>
    <w:rsid w:val="006B0734"/>
    <w:rsid w:val="006B4AB2"/>
    <w:rsid w:val="006C08D1"/>
    <w:rsid w:val="006C35D8"/>
    <w:rsid w:val="006C6AAE"/>
    <w:rsid w:val="006D4CFA"/>
    <w:rsid w:val="006E2FD3"/>
    <w:rsid w:val="006E3A2D"/>
    <w:rsid w:val="006E3CD9"/>
    <w:rsid w:val="006E64D4"/>
    <w:rsid w:val="006F6AFF"/>
    <w:rsid w:val="006F6E5F"/>
    <w:rsid w:val="00706C16"/>
    <w:rsid w:val="00724D03"/>
    <w:rsid w:val="007340C3"/>
    <w:rsid w:val="00740F02"/>
    <w:rsid w:val="00751E4C"/>
    <w:rsid w:val="00752103"/>
    <w:rsid w:val="0075235A"/>
    <w:rsid w:val="00754A7B"/>
    <w:rsid w:val="00756009"/>
    <w:rsid w:val="00756841"/>
    <w:rsid w:val="00757A07"/>
    <w:rsid w:val="00761CC9"/>
    <w:rsid w:val="007622DD"/>
    <w:rsid w:val="007649AB"/>
    <w:rsid w:val="007706DC"/>
    <w:rsid w:val="00771D0C"/>
    <w:rsid w:val="00775C16"/>
    <w:rsid w:val="007833AC"/>
    <w:rsid w:val="00787E3D"/>
    <w:rsid w:val="007937B7"/>
    <w:rsid w:val="007A00AA"/>
    <w:rsid w:val="007A059E"/>
    <w:rsid w:val="007B17D0"/>
    <w:rsid w:val="007B268C"/>
    <w:rsid w:val="007B3388"/>
    <w:rsid w:val="007B5340"/>
    <w:rsid w:val="007B7171"/>
    <w:rsid w:val="007B7B08"/>
    <w:rsid w:val="007C0C0F"/>
    <w:rsid w:val="007C3DC2"/>
    <w:rsid w:val="007D63B5"/>
    <w:rsid w:val="007D63CC"/>
    <w:rsid w:val="007D6933"/>
    <w:rsid w:val="007E1A66"/>
    <w:rsid w:val="007E5019"/>
    <w:rsid w:val="007E5497"/>
    <w:rsid w:val="007E58D9"/>
    <w:rsid w:val="007E756B"/>
    <w:rsid w:val="007F7759"/>
    <w:rsid w:val="008047AC"/>
    <w:rsid w:val="00806F5F"/>
    <w:rsid w:val="00820278"/>
    <w:rsid w:val="0082340A"/>
    <w:rsid w:val="0082513D"/>
    <w:rsid w:val="008258C9"/>
    <w:rsid w:val="0083635B"/>
    <w:rsid w:val="00843EB6"/>
    <w:rsid w:val="008446EF"/>
    <w:rsid w:val="00844A6B"/>
    <w:rsid w:val="00844AE9"/>
    <w:rsid w:val="00845882"/>
    <w:rsid w:val="0084609E"/>
    <w:rsid w:val="00847BC0"/>
    <w:rsid w:val="00856E3E"/>
    <w:rsid w:val="008576E2"/>
    <w:rsid w:val="0086480A"/>
    <w:rsid w:val="00865247"/>
    <w:rsid w:val="00867F95"/>
    <w:rsid w:val="0087048D"/>
    <w:rsid w:val="008813A3"/>
    <w:rsid w:val="008843B6"/>
    <w:rsid w:val="00891928"/>
    <w:rsid w:val="008A08C2"/>
    <w:rsid w:val="008A446D"/>
    <w:rsid w:val="008A7784"/>
    <w:rsid w:val="008B08F1"/>
    <w:rsid w:val="008B25F1"/>
    <w:rsid w:val="008B5A0C"/>
    <w:rsid w:val="008C0348"/>
    <w:rsid w:val="008C2148"/>
    <w:rsid w:val="008D180B"/>
    <w:rsid w:val="008D1C1D"/>
    <w:rsid w:val="008D34F2"/>
    <w:rsid w:val="008E06C4"/>
    <w:rsid w:val="008E0B6F"/>
    <w:rsid w:val="008E73E1"/>
    <w:rsid w:val="008F0EA7"/>
    <w:rsid w:val="008F297F"/>
    <w:rsid w:val="008F6CB9"/>
    <w:rsid w:val="008F7DFC"/>
    <w:rsid w:val="00904F2B"/>
    <w:rsid w:val="009157FB"/>
    <w:rsid w:val="00917D08"/>
    <w:rsid w:val="00917D7C"/>
    <w:rsid w:val="00920683"/>
    <w:rsid w:val="00923EEF"/>
    <w:rsid w:val="009419F9"/>
    <w:rsid w:val="00942F04"/>
    <w:rsid w:val="00947764"/>
    <w:rsid w:val="00952228"/>
    <w:rsid w:val="0095685E"/>
    <w:rsid w:val="00956DCC"/>
    <w:rsid w:val="00961B09"/>
    <w:rsid w:val="00965334"/>
    <w:rsid w:val="0096783E"/>
    <w:rsid w:val="00967D67"/>
    <w:rsid w:val="0097093E"/>
    <w:rsid w:val="009712CF"/>
    <w:rsid w:val="009754CF"/>
    <w:rsid w:val="00975D9C"/>
    <w:rsid w:val="00976CEB"/>
    <w:rsid w:val="0098514C"/>
    <w:rsid w:val="009A0DFA"/>
    <w:rsid w:val="009A1C6F"/>
    <w:rsid w:val="009A2C7A"/>
    <w:rsid w:val="009A6D45"/>
    <w:rsid w:val="009B0163"/>
    <w:rsid w:val="009B2D26"/>
    <w:rsid w:val="009C1939"/>
    <w:rsid w:val="009C4DE6"/>
    <w:rsid w:val="009C4FFB"/>
    <w:rsid w:val="009C5ADB"/>
    <w:rsid w:val="009C71FA"/>
    <w:rsid w:val="009C72E7"/>
    <w:rsid w:val="009C7F7E"/>
    <w:rsid w:val="009D3058"/>
    <w:rsid w:val="009E28AD"/>
    <w:rsid w:val="009E75C5"/>
    <w:rsid w:val="009F0380"/>
    <w:rsid w:val="009F1284"/>
    <w:rsid w:val="009F3A13"/>
    <w:rsid w:val="009F6918"/>
    <w:rsid w:val="00A03AF3"/>
    <w:rsid w:val="00A06FFF"/>
    <w:rsid w:val="00A122D3"/>
    <w:rsid w:val="00A1233B"/>
    <w:rsid w:val="00A14468"/>
    <w:rsid w:val="00A17F13"/>
    <w:rsid w:val="00A20739"/>
    <w:rsid w:val="00A23AF9"/>
    <w:rsid w:val="00A27052"/>
    <w:rsid w:val="00A33C78"/>
    <w:rsid w:val="00A50B12"/>
    <w:rsid w:val="00A54A64"/>
    <w:rsid w:val="00A56D60"/>
    <w:rsid w:val="00A575B5"/>
    <w:rsid w:val="00A57A60"/>
    <w:rsid w:val="00A67369"/>
    <w:rsid w:val="00A8192E"/>
    <w:rsid w:val="00A82DB0"/>
    <w:rsid w:val="00A83154"/>
    <w:rsid w:val="00A858CF"/>
    <w:rsid w:val="00A859B6"/>
    <w:rsid w:val="00A97A39"/>
    <w:rsid w:val="00AA6777"/>
    <w:rsid w:val="00AB0ADB"/>
    <w:rsid w:val="00AB1FF8"/>
    <w:rsid w:val="00AB7520"/>
    <w:rsid w:val="00AC5DA8"/>
    <w:rsid w:val="00AD0901"/>
    <w:rsid w:val="00AD2ACC"/>
    <w:rsid w:val="00AD55D9"/>
    <w:rsid w:val="00AE189B"/>
    <w:rsid w:val="00AE329C"/>
    <w:rsid w:val="00AE574C"/>
    <w:rsid w:val="00AE595A"/>
    <w:rsid w:val="00AE6D51"/>
    <w:rsid w:val="00AF247C"/>
    <w:rsid w:val="00AF3A3E"/>
    <w:rsid w:val="00B00C0E"/>
    <w:rsid w:val="00B01B1A"/>
    <w:rsid w:val="00B0381D"/>
    <w:rsid w:val="00B03D3C"/>
    <w:rsid w:val="00B11F11"/>
    <w:rsid w:val="00B121F7"/>
    <w:rsid w:val="00B13E5A"/>
    <w:rsid w:val="00B13E8D"/>
    <w:rsid w:val="00B147A4"/>
    <w:rsid w:val="00B14EED"/>
    <w:rsid w:val="00B36AF7"/>
    <w:rsid w:val="00B37401"/>
    <w:rsid w:val="00B43F8B"/>
    <w:rsid w:val="00B44A47"/>
    <w:rsid w:val="00B44E76"/>
    <w:rsid w:val="00B45D54"/>
    <w:rsid w:val="00B566DF"/>
    <w:rsid w:val="00B5789D"/>
    <w:rsid w:val="00B57B01"/>
    <w:rsid w:val="00B66AA8"/>
    <w:rsid w:val="00B66E67"/>
    <w:rsid w:val="00B72CD3"/>
    <w:rsid w:val="00B72FFF"/>
    <w:rsid w:val="00B76D46"/>
    <w:rsid w:val="00B87283"/>
    <w:rsid w:val="00B93F50"/>
    <w:rsid w:val="00BA310B"/>
    <w:rsid w:val="00BC3A61"/>
    <w:rsid w:val="00BC3D36"/>
    <w:rsid w:val="00BC4D68"/>
    <w:rsid w:val="00BC7C12"/>
    <w:rsid w:val="00BD0BDC"/>
    <w:rsid w:val="00BD1F5B"/>
    <w:rsid w:val="00BD54A6"/>
    <w:rsid w:val="00BD6409"/>
    <w:rsid w:val="00BD6A9A"/>
    <w:rsid w:val="00BD7F72"/>
    <w:rsid w:val="00BE2378"/>
    <w:rsid w:val="00BE58F0"/>
    <w:rsid w:val="00BE68E7"/>
    <w:rsid w:val="00BE6D2E"/>
    <w:rsid w:val="00BF590D"/>
    <w:rsid w:val="00BF7425"/>
    <w:rsid w:val="00C04FB3"/>
    <w:rsid w:val="00C11D8B"/>
    <w:rsid w:val="00C138F9"/>
    <w:rsid w:val="00C15139"/>
    <w:rsid w:val="00C26510"/>
    <w:rsid w:val="00C270A3"/>
    <w:rsid w:val="00C27470"/>
    <w:rsid w:val="00C330EB"/>
    <w:rsid w:val="00C40E96"/>
    <w:rsid w:val="00C416B1"/>
    <w:rsid w:val="00C5070A"/>
    <w:rsid w:val="00C50D69"/>
    <w:rsid w:val="00C50E70"/>
    <w:rsid w:val="00C5365C"/>
    <w:rsid w:val="00C55450"/>
    <w:rsid w:val="00C645F4"/>
    <w:rsid w:val="00C67E80"/>
    <w:rsid w:val="00C70581"/>
    <w:rsid w:val="00C752D5"/>
    <w:rsid w:val="00C754BE"/>
    <w:rsid w:val="00C76786"/>
    <w:rsid w:val="00C76B1C"/>
    <w:rsid w:val="00C82AEE"/>
    <w:rsid w:val="00C925AC"/>
    <w:rsid w:val="00CA2A60"/>
    <w:rsid w:val="00CA77CB"/>
    <w:rsid w:val="00CB2DFB"/>
    <w:rsid w:val="00CB4038"/>
    <w:rsid w:val="00CB4E73"/>
    <w:rsid w:val="00CB6357"/>
    <w:rsid w:val="00CC028B"/>
    <w:rsid w:val="00CC0DB5"/>
    <w:rsid w:val="00CC1B26"/>
    <w:rsid w:val="00CC2530"/>
    <w:rsid w:val="00CC424E"/>
    <w:rsid w:val="00CC55E8"/>
    <w:rsid w:val="00CC6EA4"/>
    <w:rsid w:val="00CD09A7"/>
    <w:rsid w:val="00CF0A77"/>
    <w:rsid w:val="00CF55CF"/>
    <w:rsid w:val="00D05962"/>
    <w:rsid w:val="00D24D67"/>
    <w:rsid w:val="00D34887"/>
    <w:rsid w:val="00D361FD"/>
    <w:rsid w:val="00D36581"/>
    <w:rsid w:val="00D36F1B"/>
    <w:rsid w:val="00D375A2"/>
    <w:rsid w:val="00D423A2"/>
    <w:rsid w:val="00D42565"/>
    <w:rsid w:val="00D44E26"/>
    <w:rsid w:val="00D47A94"/>
    <w:rsid w:val="00D47E0F"/>
    <w:rsid w:val="00D520D8"/>
    <w:rsid w:val="00D52A6D"/>
    <w:rsid w:val="00D5525A"/>
    <w:rsid w:val="00D6057E"/>
    <w:rsid w:val="00D63AC2"/>
    <w:rsid w:val="00D64BE0"/>
    <w:rsid w:val="00D675DB"/>
    <w:rsid w:val="00D7383B"/>
    <w:rsid w:val="00D7788A"/>
    <w:rsid w:val="00D9012C"/>
    <w:rsid w:val="00D92DDB"/>
    <w:rsid w:val="00D93290"/>
    <w:rsid w:val="00DA0544"/>
    <w:rsid w:val="00DA0612"/>
    <w:rsid w:val="00DA231B"/>
    <w:rsid w:val="00DA4941"/>
    <w:rsid w:val="00DB62F2"/>
    <w:rsid w:val="00DC06A4"/>
    <w:rsid w:val="00DC39FC"/>
    <w:rsid w:val="00DE0B58"/>
    <w:rsid w:val="00DE5F1D"/>
    <w:rsid w:val="00DF4613"/>
    <w:rsid w:val="00DF51B8"/>
    <w:rsid w:val="00DF5254"/>
    <w:rsid w:val="00E00EC8"/>
    <w:rsid w:val="00E02524"/>
    <w:rsid w:val="00E03BB4"/>
    <w:rsid w:val="00E12F1D"/>
    <w:rsid w:val="00E14270"/>
    <w:rsid w:val="00E16408"/>
    <w:rsid w:val="00E17CA3"/>
    <w:rsid w:val="00E20894"/>
    <w:rsid w:val="00E22A31"/>
    <w:rsid w:val="00E245AB"/>
    <w:rsid w:val="00E2764C"/>
    <w:rsid w:val="00E27F2E"/>
    <w:rsid w:val="00E33E17"/>
    <w:rsid w:val="00E35D1B"/>
    <w:rsid w:val="00E372B8"/>
    <w:rsid w:val="00E37D67"/>
    <w:rsid w:val="00E41A71"/>
    <w:rsid w:val="00E50AFE"/>
    <w:rsid w:val="00E56386"/>
    <w:rsid w:val="00E574F5"/>
    <w:rsid w:val="00E60756"/>
    <w:rsid w:val="00E6428D"/>
    <w:rsid w:val="00E65215"/>
    <w:rsid w:val="00E75C92"/>
    <w:rsid w:val="00E771DC"/>
    <w:rsid w:val="00E863A3"/>
    <w:rsid w:val="00E8772A"/>
    <w:rsid w:val="00E87AE9"/>
    <w:rsid w:val="00E90F6B"/>
    <w:rsid w:val="00E91CA9"/>
    <w:rsid w:val="00E92C27"/>
    <w:rsid w:val="00EA0E3D"/>
    <w:rsid w:val="00EA5D64"/>
    <w:rsid w:val="00EA71F6"/>
    <w:rsid w:val="00EC1784"/>
    <w:rsid w:val="00EC38A7"/>
    <w:rsid w:val="00EC3DCF"/>
    <w:rsid w:val="00ED2182"/>
    <w:rsid w:val="00EE1AA8"/>
    <w:rsid w:val="00EE2ECC"/>
    <w:rsid w:val="00EE4660"/>
    <w:rsid w:val="00EE6152"/>
    <w:rsid w:val="00EF0894"/>
    <w:rsid w:val="00EF3663"/>
    <w:rsid w:val="00F01300"/>
    <w:rsid w:val="00F072DC"/>
    <w:rsid w:val="00F10ACB"/>
    <w:rsid w:val="00F151FA"/>
    <w:rsid w:val="00F17503"/>
    <w:rsid w:val="00F23FEA"/>
    <w:rsid w:val="00F30BA5"/>
    <w:rsid w:val="00F31166"/>
    <w:rsid w:val="00F31EDC"/>
    <w:rsid w:val="00F4564D"/>
    <w:rsid w:val="00F462B3"/>
    <w:rsid w:val="00F52B54"/>
    <w:rsid w:val="00F53CF9"/>
    <w:rsid w:val="00F5664F"/>
    <w:rsid w:val="00F63CDC"/>
    <w:rsid w:val="00F666C4"/>
    <w:rsid w:val="00F66A43"/>
    <w:rsid w:val="00F76AFC"/>
    <w:rsid w:val="00F82EBA"/>
    <w:rsid w:val="00F8463E"/>
    <w:rsid w:val="00F862FA"/>
    <w:rsid w:val="00FA47C0"/>
    <w:rsid w:val="00FB44C9"/>
    <w:rsid w:val="00FB5DD1"/>
    <w:rsid w:val="00FB69EF"/>
    <w:rsid w:val="00FB7209"/>
    <w:rsid w:val="00FC021D"/>
    <w:rsid w:val="00FC285E"/>
    <w:rsid w:val="00FC2B5D"/>
    <w:rsid w:val="00FC7F7A"/>
    <w:rsid w:val="00FD0113"/>
    <w:rsid w:val="00FD5E64"/>
    <w:rsid w:val="00FE029B"/>
    <w:rsid w:val="00FE1C78"/>
    <w:rsid w:val="00FF1116"/>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rcia63285@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980A8EEE-02DE-4120-B9B3-85C77F282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1618</TotalTime>
  <Pages>9</Pages>
  <Words>2785</Words>
  <Characters>15323</Characters>
  <Application>Microsoft Office Word</Application>
  <DocSecurity>0</DocSecurity>
  <Lines>127</Lines>
  <Paragraphs>36</Paragraphs>
  <ScaleCrop>false</ScaleCrop>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408</cp:revision>
  <cp:lastPrinted>2023-01-10T21:18:00Z</cp:lastPrinted>
  <dcterms:created xsi:type="dcterms:W3CDTF">2026-05-25T13:41:00Z</dcterms:created>
  <dcterms:modified xsi:type="dcterms:W3CDTF">2026-07-17T17:36:00Z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