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10294" w14:textId="77777777" w:rsidR="00A37AFD" w:rsidRPr="00B004BF" w:rsidRDefault="00A37AFD" w:rsidP="00A37AFD">
      <w:pPr>
        <w:spacing w:after="0" w:line="240" w:lineRule="auto"/>
        <w:jc w:val="both"/>
        <w:rPr>
          <w:rFonts w:ascii="Verdana" w:hAnsi="Verdana" w:cs="Arial"/>
          <w:b/>
          <w:bCs/>
          <w:lang w:val="es-ES" w:eastAsia="es-ES"/>
        </w:rPr>
      </w:pPr>
      <w:bookmarkStart w:id="0" w:name="_Hlk143780582"/>
      <w:r w:rsidRPr="00B004BF">
        <w:rPr>
          <w:rFonts w:ascii="Verdana" w:hAnsi="Verdana" w:cs="Arial"/>
          <w:b/>
          <w:bCs/>
          <w:lang w:val="es-ES" w:eastAsia="es-ES"/>
        </w:rPr>
        <w:t xml:space="preserve">FONDOS MIXTOS – Creación </w:t>
      </w:r>
    </w:p>
    <w:p w14:paraId="23EC9D7E" w14:textId="77777777" w:rsidR="00A37AFD" w:rsidRDefault="00A37AFD" w:rsidP="00A37AFD">
      <w:pPr>
        <w:spacing w:after="0" w:line="240" w:lineRule="auto"/>
        <w:jc w:val="both"/>
        <w:rPr>
          <w:rFonts w:ascii="Verdana" w:hAnsi="Verdana" w:cs="Arial"/>
          <w:b/>
          <w:bCs/>
          <w:lang w:val="es-ES" w:eastAsia="es-ES"/>
        </w:rPr>
      </w:pPr>
    </w:p>
    <w:p w14:paraId="4762A751" w14:textId="77777777" w:rsidR="00A37AFD" w:rsidRPr="00F417D7" w:rsidRDefault="00A37AFD" w:rsidP="00A37AFD">
      <w:pPr>
        <w:spacing w:after="0" w:line="240" w:lineRule="auto"/>
        <w:jc w:val="both"/>
        <w:rPr>
          <w:rFonts w:ascii="Verdana" w:hAnsi="Verdana" w:cs="Arial"/>
          <w:bCs/>
          <w:sz w:val="20"/>
          <w:lang w:val="es-ES" w:eastAsia="es-ES"/>
        </w:rPr>
      </w:pPr>
      <w:r w:rsidRPr="00F417D7">
        <w:rPr>
          <w:rFonts w:ascii="Verdana" w:hAnsi="Verdana" w:cs="Arial"/>
          <w:bCs/>
          <w:sz w:val="20"/>
          <w:lang w:val="es-ES" w:eastAsia="es-ES"/>
        </w:rPr>
        <w:t xml:space="preserve">Este marco jurídico, evidencia que las entidades </w:t>
      </w:r>
      <w:r w:rsidRPr="00F417D7">
        <w:rPr>
          <w:rFonts w:ascii="Verdana" w:hAnsi="Verdana" w:cs="Arial"/>
          <w:bCs/>
          <w:i/>
          <w:iCs/>
          <w:sz w:val="20"/>
          <w:lang w:val="es-ES" w:eastAsia="es-ES"/>
        </w:rPr>
        <w:t xml:space="preserve">descentralizadas indirectas </w:t>
      </w:r>
      <w:r w:rsidRPr="00F417D7">
        <w:rPr>
          <w:rFonts w:ascii="Verdana" w:hAnsi="Verdana" w:cs="Arial"/>
          <w:bCs/>
          <w:sz w:val="20"/>
          <w:lang w:val="es-ES" w:eastAsia="es-ES"/>
        </w:rPr>
        <w:t xml:space="preserve">son Entidades Estatales que se encuentran sometidas, en principio, al EGCAP, en virtud de la referencia genérica realizada por el literal a) del numeral 1 del artículo 2 de la Ley 80 de 1993. Sin embargo, conforme se desprende del texto del señalado literal, la calidad de Entidad Estatal en los términos del artículo 2 de la Ley 80 de 1993, solo aplica a las entidades descentralizadas indirectas </w:t>
      </w:r>
      <w:r w:rsidRPr="00F417D7">
        <w:rPr>
          <w:rFonts w:ascii="Verdana" w:hAnsi="Verdana" w:cs="Arial"/>
          <w:bCs/>
          <w:i/>
          <w:iCs/>
          <w:sz w:val="20"/>
          <w:lang w:val="es-ES" w:eastAsia="es-ES"/>
        </w:rPr>
        <w:t>en las que el estado tenga una participación mayoritaria</w:t>
      </w:r>
      <w:r w:rsidRPr="00F417D7">
        <w:rPr>
          <w:rFonts w:ascii="Verdana" w:hAnsi="Verdana" w:cs="Arial"/>
          <w:bCs/>
          <w:sz w:val="20"/>
          <w:lang w:val="es-ES" w:eastAsia="es-ES"/>
        </w:rPr>
        <w:t xml:space="preserve">. En ese sentido, las entidades descentralizadas indirectas en las que el Estado tenga una participación minoritaria no se encuadran en la definición de Entidades Estatales sometidas al EGCAP, de conformidad con lo establecido en el numeral 1 del artículo 2 de la Ley 80 de 1993, por lo que su contratación no está regida por dicho cuerpo normativo y se someterá al derecho privado, a sus normas de creación y manuales de contratación. </w:t>
      </w:r>
    </w:p>
    <w:p w14:paraId="7BCD28BE" w14:textId="77777777" w:rsidR="00A37AFD" w:rsidRDefault="00A37AFD" w:rsidP="00D10AD0">
      <w:pPr>
        <w:spacing w:after="0"/>
        <w:rPr>
          <w:rFonts w:ascii="Verdana" w:hAnsi="Verdana"/>
          <w:lang w:val="es-ES"/>
        </w:rPr>
      </w:pPr>
    </w:p>
    <w:p w14:paraId="6CB9BE2D" w14:textId="77777777" w:rsidR="00A37AFD" w:rsidRPr="00B004BF" w:rsidRDefault="00A37AFD" w:rsidP="00A37AFD">
      <w:pPr>
        <w:spacing w:after="0" w:line="240" w:lineRule="auto"/>
        <w:jc w:val="both"/>
        <w:rPr>
          <w:rFonts w:ascii="Verdana" w:hAnsi="Verdana" w:cs="Arial"/>
          <w:b/>
          <w:bCs/>
          <w:lang w:val="es-ES" w:eastAsia="es-ES"/>
        </w:rPr>
      </w:pPr>
      <w:r w:rsidRPr="00B004BF">
        <w:rPr>
          <w:rFonts w:ascii="Verdana" w:hAnsi="Verdana" w:cs="Arial"/>
          <w:b/>
          <w:bCs/>
          <w:lang w:val="es-ES" w:eastAsia="es-ES"/>
        </w:rPr>
        <w:t xml:space="preserve">FONDOS MIXTOS –   Régimen de contratación </w:t>
      </w:r>
    </w:p>
    <w:p w14:paraId="2CC1A947" w14:textId="77777777" w:rsidR="00A37AFD" w:rsidRDefault="00A37AFD" w:rsidP="00A37AFD">
      <w:pPr>
        <w:spacing w:after="0" w:line="240" w:lineRule="auto"/>
        <w:jc w:val="both"/>
        <w:rPr>
          <w:rFonts w:ascii="Verdana" w:hAnsi="Verdana" w:cs="Arial"/>
          <w:b/>
          <w:bCs/>
          <w:lang w:val="es-ES" w:eastAsia="es-ES"/>
        </w:rPr>
      </w:pPr>
    </w:p>
    <w:p w14:paraId="1C87D60C" w14:textId="77777777" w:rsidR="00A37AFD" w:rsidRPr="00F417D7" w:rsidRDefault="00A37AFD" w:rsidP="00A37AFD">
      <w:pPr>
        <w:spacing w:after="0" w:line="240" w:lineRule="auto"/>
        <w:jc w:val="both"/>
        <w:rPr>
          <w:rFonts w:ascii="Verdana" w:hAnsi="Verdana" w:cs="Arial"/>
          <w:bCs/>
          <w:sz w:val="20"/>
          <w:szCs w:val="20"/>
          <w:lang w:val="es-ES" w:eastAsia="es-ES"/>
        </w:rPr>
      </w:pPr>
      <w:r w:rsidRPr="00F417D7">
        <w:rPr>
          <w:rFonts w:ascii="Verdana" w:hAnsi="Verdana" w:cs="Arial"/>
          <w:bCs/>
          <w:iCs/>
          <w:sz w:val="20"/>
          <w:szCs w:val="20"/>
          <w:lang w:val="es-ES" w:eastAsia="es-ES"/>
        </w:rPr>
        <w:t>En todo caso debe aclararse que, el hecho de que las entidades descentralizadas indirectas con participación pública minoritaria no estén sujetas al EGCAP a luz del numeral 1 del artículo 2 de la Ley 80 de 1993, no significa que no sean entidades estatales. Esto comoquiera que estas asociaciones son una expresión de la descentralización administrativa, por cuanto hacen parte de las demás entidades de naturaleza especial creadas o autorizadas por la ley, las cuales se encuentran previstas en los artículos 38, literal g)</w:t>
      </w:r>
      <w:r w:rsidRPr="00F417D7">
        <w:rPr>
          <w:rFonts w:ascii="Verdana" w:hAnsi="Verdana" w:cs="Arial"/>
          <w:bCs/>
          <w:sz w:val="20"/>
          <w:szCs w:val="20"/>
          <w:lang w:val="es-ES" w:eastAsia="es-ES"/>
        </w:rPr>
        <w:t xml:space="preserve"> y 68 de la Ley 489 de 1998, como parte de sector descentralizado por servicios. Esto significa que, estén o no sometidas al EGCAP, nada obsta para que, en virtud de esa participación pública minoritaria, las entidades descentralizadas indirectas puedan ser consideradas en sentido amplio como entidades estatales, considerando que el propio ordenamiento jurídico las ubica dentro de la estructura de la Administración Pública. </w:t>
      </w:r>
    </w:p>
    <w:p w14:paraId="222B4841" w14:textId="77777777" w:rsidR="00A37AFD" w:rsidRPr="00F417D7" w:rsidRDefault="00A37AFD" w:rsidP="00A37AFD">
      <w:pPr>
        <w:spacing w:after="0" w:line="240" w:lineRule="auto"/>
        <w:jc w:val="both"/>
        <w:rPr>
          <w:rFonts w:ascii="Verdana" w:hAnsi="Verdana" w:cs="Arial"/>
          <w:bCs/>
          <w:sz w:val="20"/>
          <w:szCs w:val="20"/>
          <w:lang w:val="es-ES" w:eastAsia="es-ES"/>
        </w:rPr>
      </w:pPr>
    </w:p>
    <w:p w14:paraId="717F9A6F" w14:textId="77777777" w:rsidR="00A37AFD" w:rsidRDefault="00A37AFD" w:rsidP="00A37AFD">
      <w:pPr>
        <w:spacing w:after="0" w:line="240" w:lineRule="auto"/>
        <w:jc w:val="both"/>
        <w:rPr>
          <w:rFonts w:ascii="Verdana" w:hAnsi="Verdana" w:cs="Arial"/>
          <w:bCs/>
          <w:sz w:val="20"/>
          <w:szCs w:val="20"/>
          <w:lang w:val="es-ES" w:eastAsia="es-ES" w:bidi="es-ES"/>
        </w:rPr>
      </w:pPr>
      <w:r w:rsidRPr="00F417D7">
        <w:rPr>
          <w:rFonts w:ascii="Verdana" w:hAnsi="Verdana" w:cs="Arial"/>
          <w:bCs/>
          <w:sz w:val="20"/>
          <w:szCs w:val="20"/>
          <w:lang w:val="es-ES" w:eastAsia="es-ES" w:bidi="es-ES"/>
        </w:rPr>
        <w:t xml:space="preserve">En este sentido, incluso cuando los fondos mixtos se encuentren exceptuados de la aplicación del régimen de contratación del EGCAP, tal exclusión no es absoluta, toda vez que al administrar recursos públicos deben respetar los principios de la función administrativa y de la gestión fiscal, de conformidad con el artículo 13 de la Ley 1150 de 2007. </w:t>
      </w:r>
    </w:p>
    <w:p w14:paraId="586D984F" w14:textId="77777777" w:rsidR="00A37AFD" w:rsidRDefault="00A37AFD" w:rsidP="00A37AFD">
      <w:pPr>
        <w:spacing w:after="0" w:line="240" w:lineRule="auto"/>
        <w:jc w:val="both"/>
        <w:rPr>
          <w:rFonts w:ascii="Verdana" w:hAnsi="Verdana" w:cs="Arial"/>
          <w:bCs/>
          <w:sz w:val="20"/>
          <w:szCs w:val="20"/>
          <w:lang w:val="es-ES" w:eastAsia="es-ES" w:bidi="es-ES"/>
        </w:rPr>
      </w:pPr>
    </w:p>
    <w:p w14:paraId="3E3F299D" w14:textId="77777777" w:rsidR="00A37AFD" w:rsidRPr="00B004BF" w:rsidRDefault="00A37AFD" w:rsidP="00A37AFD">
      <w:pPr>
        <w:spacing w:after="0" w:line="240" w:lineRule="auto"/>
        <w:jc w:val="both"/>
        <w:rPr>
          <w:rFonts w:ascii="Verdana" w:hAnsi="Verdana" w:cs="Arial"/>
          <w:b/>
          <w:bCs/>
          <w:lang w:val="es-ES" w:eastAsia="es-ES"/>
        </w:rPr>
      </w:pPr>
      <w:r w:rsidRPr="00B004BF">
        <w:rPr>
          <w:rFonts w:ascii="Verdana" w:hAnsi="Verdana" w:cs="Arial"/>
          <w:b/>
          <w:bCs/>
          <w:lang w:val="es-ES" w:eastAsia="es-ES"/>
        </w:rPr>
        <w:t xml:space="preserve">FONDOS MIXTOS – Participación estatal – Determinación </w:t>
      </w:r>
    </w:p>
    <w:p w14:paraId="182C2FC6" w14:textId="77777777" w:rsidR="00A37AFD" w:rsidRDefault="00A37AFD" w:rsidP="00A37AFD">
      <w:pPr>
        <w:spacing w:after="0" w:line="240" w:lineRule="auto"/>
        <w:jc w:val="both"/>
        <w:rPr>
          <w:rFonts w:ascii="Verdana" w:hAnsi="Verdana" w:cs="Arial"/>
          <w:b/>
          <w:bCs/>
          <w:lang w:val="es-ES" w:eastAsia="es-ES"/>
        </w:rPr>
      </w:pPr>
    </w:p>
    <w:p w14:paraId="72317A32" w14:textId="77777777" w:rsidR="00A37AFD" w:rsidRDefault="00A37AFD" w:rsidP="00A37AFD">
      <w:pPr>
        <w:spacing w:after="0" w:line="240" w:lineRule="auto"/>
        <w:jc w:val="both"/>
        <w:rPr>
          <w:rFonts w:ascii="Verdana" w:hAnsi="Verdana" w:cs="Arial"/>
          <w:bCs/>
          <w:sz w:val="20"/>
          <w:lang w:val="es-ES" w:eastAsia="es-ES"/>
        </w:rPr>
      </w:pPr>
      <w:r w:rsidRPr="00B004BF">
        <w:rPr>
          <w:rFonts w:ascii="Verdana" w:hAnsi="Verdana" w:cs="Arial"/>
          <w:bCs/>
          <w:sz w:val="20"/>
          <w:lang w:val="es-ES" w:eastAsia="es-ES"/>
        </w:rPr>
        <w:t xml:space="preserve">Ahora bien, para efectos de determinar la participación de las entidades del Estado en estas </w:t>
      </w:r>
      <w:r w:rsidRPr="00B004BF">
        <w:rPr>
          <w:rFonts w:ascii="Verdana" w:hAnsi="Verdana" w:cs="Arial"/>
          <w:bCs/>
          <w:i/>
          <w:iCs/>
          <w:sz w:val="20"/>
          <w:lang w:val="es-ES" w:eastAsia="es-ES"/>
        </w:rPr>
        <w:t>asociaciones mixtas</w:t>
      </w:r>
      <w:r w:rsidRPr="00B004BF">
        <w:rPr>
          <w:rFonts w:ascii="Verdana" w:hAnsi="Verdana" w:cs="Arial"/>
          <w:bCs/>
          <w:sz w:val="20"/>
          <w:lang w:val="es-ES" w:eastAsia="es-ES"/>
        </w:rPr>
        <w:t xml:space="preserve">, se hace necesario remitir a lo expresamente dispuesto en el artículo 96 de la Ley 489 de 1998, el cual señala que las entidades estatales, cualquiera sea su naturaleza y orden administrativo podrán asociarse con personas jurídicas particulares, mediante la celebración de convenios de asociación o la creación de personas jurídicas, para el desarrollo conjunto de actividades en relación con los cometidos y funciones que les asigna a aquéllas la ley. Adicionalmente, este artículo </w:t>
      </w:r>
      <w:r w:rsidRPr="00B004BF">
        <w:rPr>
          <w:rFonts w:ascii="Verdana" w:hAnsi="Verdana" w:cs="Arial"/>
          <w:bCs/>
          <w:sz w:val="20"/>
          <w:lang w:val="es-ES" w:eastAsia="es-ES"/>
        </w:rPr>
        <w:lastRenderedPageBreak/>
        <w:t xml:space="preserve">señala que en el acto constitutivo que dé origen a una persona jurídica se dispondrá, entre otros aspectos, los compromisos o aportes iniciales de las entidades asociadas, así como la participación de las entidades asociadas en el sostenimiento y funcionamiento de la entidad. Bajo esa perspectiva, el legislador diferenció dos (2) elementos importantes para el funcionamiento de estas asociaciones mixtas. Por un lado, los aportes realizados al momento de su constitución, los cuales determinan la participación de los asociados en la creación de la persona jurídica, y con ello la naturaleza y el régimen jurídico de la entidad. Por otro lado, las contribuciones que se realizan para el sostenimiento y funcionamiento de la entidad sin ánimo de lucro. </w:t>
      </w:r>
    </w:p>
    <w:p w14:paraId="14CF866C" w14:textId="77777777" w:rsidR="00A37AFD" w:rsidRDefault="00A37AFD" w:rsidP="00A37AFD">
      <w:pPr>
        <w:spacing w:after="0" w:line="240" w:lineRule="auto"/>
        <w:jc w:val="both"/>
        <w:rPr>
          <w:rFonts w:ascii="Verdana" w:hAnsi="Verdana" w:cs="Arial"/>
          <w:bCs/>
          <w:sz w:val="20"/>
          <w:lang w:val="es-ES" w:eastAsia="es-ES"/>
        </w:rPr>
      </w:pPr>
    </w:p>
    <w:p w14:paraId="4A54281E" w14:textId="77777777" w:rsidR="00A37AFD" w:rsidRPr="00B004BF" w:rsidRDefault="00A37AFD" w:rsidP="00A37AFD">
      <w:pPr>
        <w:spacing w:after="0" w:line="240" w:lineRule="auto"/>
        <w:jc w:val="both"/>
        <w:rPr>
          <w:rFonts w:ascii="Verdana" w:hAnsi="Verdana" w:cs="Arial"/>
          <w:b/>
          <w:bCs/>
          <w:lang w:val="es-ES" w:eastAsia="es-ES"/>
        </w:rPr>
      </w:pPr>
      <w:r w:rsidRPr="00B004BF">
        <w:rPr>
          <w:rFonts w:ascii="Verdana" w:hAnsi="Verdana" w:cs="Arial"/>
          <w:b/>
          <w:bCs/>
          <w:lang w:val="es-ES" w:eastAsia="es-ES"/>
        </w:rPr>
        <w:t xml:space="preserve">CONTRATACIÓN DIRECTA – Contratos interadministrativos con fondos mixtos – Alcance </w:t>
      </w:r>
    </w:p>
    <w:p w14:paraId="1993EEC0" w14:textId="77777777" w:rsidR="00A37AFD" w:rsidRDefault="00A37AFD" w:rsidP="00A37AFD">
      <w:pPr>
        <w:spacing w:after="0" w:line="240" w:lineRule="auto"/>
        <w:jc w:val="both"/>
        <w:rPr>
          <w:rFonts w:ascii="Verdana" w:hAnsi="Verdana" w:cs="Arial"/>
          <w:b/>
          <w:bCs/>
          <w:lang w:val="es-ES" w:eastAsia="es-ES"/>
        </w:rPr>
      </w:pPr>
    </w:p>
    <w:p w14:paraId="5B3B0C26" w14:textId="77777777" w:rsidR="00A37AFD" w:rsidRDefault="00A37AFD" w:rsidP="00A37AFD">
      <w:pPr>
        <w:spacing w:after="0" w:line="240" w:lineRule="auto"/>
        <w:jc w:val="both"/>
        <w:rPr>
          <w:rFonts w:ascii="Verdana" w:hAnsi="Verdana" w:cs="Arial"/>
          <w:bCs/>
          <w:sz w:val="20"/>
          <w:lang w:val="es-ES" w:eastAsia="es-ES"/>
        </w:rPr>
      </w:pPr>
      <w:r w:rsidRPr="00FD3BA2">
        <w:rPr>
          <w:rFonts w:ascii="Verdana" w:hAnsi="Verdana" w:cs="Arial"/>
          <w:bCs/>
          <w:sz w:val="20"/>
          <w:lang w:val="es-ES" w:eastAsia="es-ES"/>
        </w:rPr>
        <w:t xml:space="preserve">En suma, aunque las Entidades Estatales pueden celebrar contratos interadministrativos con entidades como los fondos mixtos en virtud de la causal de contratación directa del literal c) del artículo 2.4 de la Ley 1150 de 2007, esto no implica una discrecionalidad absoluta en su gestión contractual, pues la elección de la modalidad de selección debe justificarse en una adecuada planeación y ser acorde con los principios que rigen la contratación estatal, como el de responsabilidad, economía, transparencia, libre concurrencia y el deber de selección objetiva. En virtud de lo anterior, la contratación interadministrativa no puede ser utilizada como un mecanismo para eludir las modalidades de competitivas previstas en el EGCAP. </w:t>
      </w:r>
    </w:p>
    <w:p w14:paraId="034DE3D4" w14:textId="77777777" w:rsidR="00A37AFD" w:rsidRPr="00FD3BA2" w:rsidRDefault="00A37AFD" w:rsidP="00A37AFD">
      <w:pPr>
        <w:spacing w:after="0" w:line="240" w:lineRule="auto"/>
        <w:jc w:val="both"/>
        <w:rPr>
          <w:rFonts w:ascii="Verdana" w:hAnsi="Verdana" w:cs="Arial"/>
          <w:bCs/>
          <w:sz w:val="20"/>
          <w:lang w:val="es-ES" w:eastAsia="es-ES"/>
        </w:rPr>
      </w:pPr>
    </w:p>
    <w:p w14:paraId="5E29DD35" w14:textId="77777777" w:rsidR="00A37AFD" w:rsidRDefault="00A37AFD" w:rsidP="00A37AFD">
      <w:pPr>
        <w:spacing w:after="0" w:line="240" w:lineRule="auto"/>
        <w:jc w:val="both"/>
        <w:rPr>
          <w:rFonts w:ascii="Verdana" w:hAnsi="Verdana" w:cs="Arial"/>
          <w:bCs/>
          <w:sz w:val="20"/>
          <w:lang w:val="es-ES" w:eastAsia="es-ES"/>
        </w:rPr>
      </w:pPr>
      <w:r w:rsidRPr="00FD3BA2">
        <w:rPr>
          <w:rFonts w:ascii="Verdana" w:hAnsi="Verdana" w:cs="Arial"/>
          <w:bCs/>
          <w:sz w:val="20"/>
          <w:lang w:val="es-ES" w:eastAsia="es-ES"/>
        </w:rPr>
        <w:t>En consecuencia, cuando las entidades opten por celebrar contratos interadministrativos con fondos mixtos deben: A) asegurarse que el objeto de estas entidades les permita ejecutar las actividades pactadas; B) adelantar el proceso en cumplimiento estricto de los principios que rigen la función administrativa, la gestión fiscal y la contratación estatal; y C) acudir a este mecanismo de manera excepcional, pues la normativa resalta que la regla general en materia de contratación estatal es la licitación pública.</w:t>
      </w:r>
    </w:p>
    <w:p w14:paraId="0DF629EC" w14:textId="77777777" w:rsidR="00A37AFD" w:rsidRDefault="00A37AFD" w:rsidP="00A37AFD">
      <w:pPr>
        <w:spacing w:after="0" w:line="240" w:lineRule="auto"/>
        <w:jc w:val="both"/>
        <w:rPr>
          <w:rFonts w:ascii="Verdana" w:hAnsi="Verdana" w:cs="Arial"/>
          <w:bCs/>
          <w:sz w:val="20"/>
          <w:lang w:val="es-ES" w:eastAsia="es-ES"/>
        </w:rPr>
      </w:pPr>
    </w:p>
    <w:p w14:paraId="67A4E6E6" w14:textId="3C3AF8F2" w:rsidR="00A37AFD" w:rsidRPr="00A37AFD" w:rsidRDefault="00A37AFD" w:rsidP="00A37AFD">
      <w:pPr>
        <w:spacing w:after="0" w:line="240" w:lineRule="auto"/>
        <w:jc w:val="both"/>
        <w:rPr>
          <w:rFonts w:ascii="Verdana" w:hAnsi="Verdana" w:cs="Arial"/>
          <w:b/>
          <w:sz w:val="20"/>
          <w:lang w:val="es-ES" w:eastAsia="es-ES"/>
        </w:rPr>
      </w:pPr>
      <w:r w:rsidRPr="00A37AFD">
        <w:rPr>
          <w:rFonts w:ascii="Verdana" w:hAnsi="Verdana" w:cs="Arial"/>
          <w:b/>
          <w:lang w:val="es-ES" w:eastAsia="es-ES"/>
        </w:rPr>
        <w:t>FONDOS MIXTOS – Sistema General de Regalías – Régimen contractual</w:t>
      </w:r>
    </w:p>
    <w:p w14:paraId="47B6C945" w14:textId="77777777" w:rsidR="00A37AFD" w:rsidRDefault="00A37AFD" w:rsidP="00A37AFD">
      <w:pPr>
        <w:spacing w:after="0" w:line="240" w:lineRule="auto"/>
        <w:jc w:val="both"/>
        <w:rPr>
          <w:rFonts w:ascii="Verdana" w:hAnsi="Verdana" w:cs="Arial"/>
          <w:bCs/>
          <w:sz w:val="20"/>
          <w:lang w:val="es-ES" w:eastAsia="es-ES"/>
        </w:rPr>
      </w:pPr>
    </w:p>
    <w:p w14:paraId="36F5C5F2" w14:textId="77777777" w:rsidR="003D296B" w:rsidRPr="003D296B" w:rsidRDefault="003D296B" w:rsidP="003D296B">
      <w:pPr>
        <w:spacing w:after="120" w:line="240" w:lineRule="auto"/>
        <w:jc w:val="both"/>
        <w:rPr>
          <w:rFonts w:ascii="Verdana" w:eastAsia="Arial" w:hAnsi="Verdana" w:cs="Arial"/>
          <w:sz w:val="20"/>
          <w:szCs w:val="20"/>
          <w:lang w:val="es-ES"/>
        </w:rPr>
      </w:pPr>
      <w:r w:rsidRPr="003D296B">
        <w:rPr>
          <w:rFonts w:ascii="Verdana" w:eastAsia="Arial" w:hAnsi="Verdana" w:cs="Arial"/>
          <w:sz w:val="20"/>
          <w:szCs w:val="20"/>
          <w:lang w:val="es-ES"/>
        </w:rPr>
        <w:t xml:space="preserve">Sin perjuicio de lo anterior, existen al menos dos supuestos en los que los fondos mixtos, aun estando exceptuados del EGCAP, deberán seguir las normas del Estatuto en materia de anticipo. El primero corresponde a la ejecución de proyectos de inversión financiados con recursos del Sistema General de Regalías pues, conforme al parágrafo primero del artículo 37 de la Ley 2056 de 2020 —norma especial en lo relativo a la ejecución de estos recursos—, los fondos mixtos que actúen como ejecutores de las asignaciones a las que se refieren los artículos 35 y 36 de dicha ley deberán aplicar las disposiciones de las Leyes 80 de 1993, 1150 de 2007 y 1474 de 2011, así como el Decreto 1082 de 2015, para el desarrollo de la contratación que se requiera realizar para la ejecución de los proyectos de inversión que tienen a su cargo, sin que ello mute a perpetuidad o de manera general su régimen contractual. </w:t>
      </w:r>
    </w:p>
    <w:p w14:paraId="4C80686F" w14:textId="77777777" w:rsidR="00A37AFD" w:rsidRDefault="00A37AFD" w:rsidP="00A37AFD">
      <w:pPr>
        <w:spacing w:after="0" w:line="240" w:lineRule="auto"/>
        <w:jc w:val="both"/>
        <w:rPr>
          <w:rFonts w:ascii="Verdana" w:hAnsi="Verdana" w:cs="Arial"/>
          <w:bCs/>
          <w:sz w:val="20"/>
          <w:lang w:val="es-ES" w:eastAsia="es-ES"/>
        </w:rPr>
      </w:pPr>
    </w:p>
    <w:p w14:paraId="3613C5EB" w14:textId="77777777" w:rsidR="00A37AFD" w:rsidRPr="00B004BF" w:rsidRDefault="00A37AFD" w:rsidP="00A37AFD">
      <w:pPr>
        <w:spacing w:after="0" w:line="240" w:lineRule="auto"/>
        <w:jc w:val="both"/>
        <w:rPr>
          <w:rFonts w:ascii="Verdana" w:hAnsi="Verdana" w:cs="Arial"/>
          <w:b/>
          <w:bCs/>
          <w:lang w:val="es-ES" w:eastAsia="es-ES"/>
        </w:rPr>
      </w:pPr>
      <w:r w:rsidRPr="00B004BF">
        <w:rPr>
          <w:rFonts w:ascii="Verdana" w:hAnsi="Verdana" w:cs="Arial"/>
          <w:b/>
          <w:bCs/>
          <w:lang w:val="es-ES" w:eastAsia="es-ES"/>
        </w:rPr>
        <w:lastRenderedPageBreak/>
        <w:t xml:space="preserve">FONDOS MIXTOS - </w:t>
      </w:r>
      <w:r w:rsidRPr="00B004BF">
        <w:rPr>
          <w:rFonts w:ascii="Verdana" w:hAnsi="Verdana" w:cs="Arial"/>
          <w:b/>
          <w:lang w:val="es-ES" w:eastAsia="es-ES"/>
        </w:rPr>
        <w:t>Aplicación del Artículo 56 de la Ley 2195 de 2022 – Documentos Tipo</w:t>
      </w:r>
      <w:r w:rsidRPr="00B004BF">
        <w:rPr>
          <w:rFonts w:ascii="Verdana" w:hAnsi="Verdana" w:cs="Arial"/>
          <w:b/>
          <w:bCs/>
          <w:lang w:val="es-ES" w:eastAsia="es-ES"/>
        </w:rPr>
        <w:t xml:space="preserve"> </w:t>
      </w:r>
    </w:p>
    <w:p w14:paraId="2F9C9566" w14:textId="77777777" w:rsidR="00A37AFD" w:rsidRDefault="00A37AFD" w:rsidP="00A37AFD">
      <w:pPr>
        <w:spacing w:after="0" w:line="240" w:lineRule="auto"/>
        <w:jc w:val="both"/>
        <w:rPr>
          <w:rFonts w:ascii="Verdana" w:hAnsi="Verdana" w:cs="Arial"/>
          <w:b/>
          <w:bCs/>
          <w:lang w:val="es-ES" w:eastAsia="es-ES"/>
        </w:rPr>
      </w:pPr>
    </w:p>
    <w:p w14:paraId="251C3968" w14:textId="77777777" w:rsidR="00A37AFD" w:rsidRPr="00FD3BA2" w:rsidRDefault="00A37AFD" w:rsidP="00A37AFD">
      <w:pPr>
        <w:spacing w:after="0" w:line="240" w:lineRule="auto"/>
        <w:jc w:val="both"/>
        <w:rPr>
          <w:rFonts w:ascii="Verdana" w:hAnsi="Verdana" w:cs="Arial"/>
          <w:bCs/>
          <w:sz w:val="20"/>
          <w:lang w:val="es-ES" w:eastAsia="es-ES"/>
        </w:rPr>
      </w:pPr>
      <w:r w:rsidRPr="00FD3BA2">
        <w:rPr>
          <w:rFonts w:ascii="Verdana" w:hAnsi="Verdana" w:cs="Arial"/>
          <w:bCs/>
          <w:sz w:val="20"/>
          <w:lang w:val="es-ES" w:eastAsia="es-ES"/>
        </w:rPr>
        <w:t xml:space="preserve">En tales términos, lo dispuesto en el parágrafo del artículo 56 implica que las instituciones de educación superior públicas, las empresas sociales del Estado, las sociedades de economía mixta y las empresas industriales y comerciales del Estado, no tendrán que implementar documentos tipo únicamente para la contratación relacionada con el </w:t>
      </w:r>
      <w:r w:rsidRPr="00FD3BA2">
        <w:rPr>
          <w:rFonts w:ascii="Verdana" w:hAnsi="Verdana" w:cs="Arial"/>
          <w:bCs/>
          <w:i/>
          <w:iCs/>
          <w:sz w:val="20"/>
          <w:lang w:val="es-ES" w:eastAsia="es-ES"/>
        </w:rPr>
        <w:t xml:space="preserve">giro ordinario </w:t>
      </w:r>
      <w:r w:rsidRPr="00FD3BA2">
        <w:rPr>
          <w:rFonts w:ascii="Verdana" w:hAnsi="Verdana" w:cs="Arial"/>
          <w:bCs/>
          <w:sz w:val="20"/>
          <w:lang w:val="es-ES" w:eastAsia="es-ES"/>
        </w:rPr>
        <w:t xml:space="preserve">de sus asuntos, salvo que los manuales internos de contratación de estas entidades dispongan la obligación de tener en cuenta los documentos tipo como una buena práctica contractual. De acuerdo con este entendimiento, estas entidades, en virtud de su enunciación en este parágrafo, quedan, en principio, exceptuadas de los documentos tipo, incluso para la contratación de obras o servicios cubiertos por documentos tipo, en el marco del cumplimiento de contratos o convenios con entidades sometidas al EGCAP y de los negocios jurídicos que se deriven de ellos, exclusivamente en lo que se refiere a </w:t>
      </w:r>
      <w:r w:rsidRPr="00FD3BA2">
        <w:rPr>
          <w:rFonts w:ascii="Verdana" w:hAnsi="Verdana" w:cs="Arial"/>
          <w:bCs/>
          <w:i/>
          <w:iCs/>
          <w:sz w:val="20"/>
          <w:lang w:val="es-ES" w:eastAsia="es-ES"/>
        </w:rPr>
        <w:t>su giro ordinario</w:t>
      </w:r>
      <w:r w:rsidRPr="00FD3BA2">
        <w:rPr>
          <w:rFonts w:ascii="Verdana" w:hAnsi="Verdana" w:cs="Arial"/>
          <w:bCs/>
          <w:sz w:val="20"/>
          <w:lang w:val="es-ES" w:eastAsia="es-ES"/>
        </w:rPr>
        <w:t xml:space="preserve">, entendido este conforme a los criterios jurisprudenciales y doctrinarios aquí explicados. En otras palabras, ninguna entidad cuya naturaleza jurídica coincida con las mencionadas en el parágrafo del artículo 56, tendrá que someterse de manera obligatoria a los documentos tipo o el EGCAP para la contratación de obras o servicios asociadas a su </w:t>
      </w:r>
      <w:r w:rsidRPr="00FD3BA2">
        <w:rPr>
          <w:rFonts w:ascii="Verdana" w:hAnsi="Verdana" w:cs="Arial"/>
          <w:bCs/>
          <w:i/>
          <w:iCs/>
          <w:sz w:val="20"/>
          <w:lang w:val="es-ES" w:eastAsia="es-ES"/>
        </w:rPr>
        <w:t>giro ordinario</w:t>
      </w:r>
      <w:r w:rsidRPr="00FD3BA2">
        <w:rPr>
          <w:rFonts w:ascii="Verdana" w:hAnsi="Verdana" w:cs="Arial"/>
          <w:bCs/>
          <w:sz w:val="20"/>
          <w:lang w:val="es-ES" w:eastAsia="es-ES"/>
        </w:rPr>
        <w:t xml:space="preserve">, a menos que su manual de contratación establezca lo contrario. De hacerlo, primará el principio de inderogabilidad singular del reglamento, que obliga a aplicarlo en las actuaciones concretas.  </w:t>
      </w:r>
    </w:p>
    <w:p w14:paraId="49B00EC7" w14:textId="77777777" w:rsidR="003D296B" w:rsidRDefault="003D296B" w:rsidP="00A37AFD">
      <w:pPr>
        <w:spacing w:after="0" w:line="240" w:lineRule="auto"/>
        <w:jc w:val="both"/>
        <w:rPr>
          <w:rFonts w:ascii="Verdana" w:hAnsi="Verdana" w:cs="Arial"/>
          <w:bCs/>
          <w:sz w:val="20"/>
          <w:lang w:val="es-ES" w:eastAsia="es-ES"/>
        </w:rPr>
      </w:pPr>
    </w:p>
    <w:p w14:paraId="46D30BF8" w14:textId="4CA74FDF" w:rsidR="00A37AFD" w:rsidRDefault="00A37AFD" w:rsidP="00A37AFD">
      <w:pPr>
        <w:spacing w:after="0" w:line="240" w:lineRule="auto"/>
        <w:jc w:val="both"/>
        <w:rPr>
          <w:rFonts w:ascii="Verdana" w:hAnsi="Verdana" w:cs="Arial"/>
          <w:bCs/>
          <w:sz w:val="20"/>
          <w:lang w:val="es-ES" w:eastAsia="es-ES"/>
        </w:rPr>
      </w:pPr>
      <w:r>
        <w:rPr>
          <w:rFonts w:ascii="Verdana" w:hAnsi="Verdana" w:cs="Arial"/>
          <w:bCs/>
          <w:sz w:val="20"/>
          <w:lang w:val="es-ES" w:eastAsia="es-ES"/>
        </w:rPr>
        <w:t xml:space="preserve">[…] </w:t>
      </w:r>
    </w:p>
    <w:p w14:paraId="18CAAB95" w14:textId="77777777" w:rsidR="003D296B" w:rsidRDefault="003D296B" w:rsidP="00A37AFD">
      <w:pPr>
        <w:spacing w:after="0" w:line="240" w:lineRule="auto"/>
        <w:jc w:val="both"/>
        <w:rPr>
          <w:rFonts w:ascii="Verdana" w:hAnsi="Verdana" w:cs="Arial"/>
          <w:bCs/>
          <w:sz w:val="20"/>
          <w:lang w:val="es-ES" w:eastAsia="es-ES"/>
        </w:rPr>
      </w:pPr>
    </w:p>
    <w:p w14:paraId="297F03FC" w14:textId="77777777" w:rsidR="00A37AFD" w:rsidRPr="00FD3BA2" w:rsidRDefault="00A37AFD" w:rsidP="00A37AFD">
      <w:pPr>
        <w:spacing w:after="0" w:line="240" w:lineRule="auto"/>
        <w:jc w:val="both"/>
        <w:rPr>
          <w:rFonts w:ascii="Verdana" w:hAnsi="Verdana" w:cs="Arial"/>
          <w:bCs/>
          <w:sz w:val="20"/>
          <w:lang w:val="es-ES_tradnl" w:eastAsia="es-ES"/>
        </w:rPr>
      </w:pPr>
      <w:r w:rsidRPr="00FD3BA2">
        <w:rPr>
          <w:rFonts w:ascii="Verdana" w:hAnsi="Verdana" w:cs="Arial"/>
          <w:bCs/>
          <w:sz w:val="20"/>
          <w:lang w:val="es-ES_tradnl" w:eastAsia="es-ES"/>
        </w:rPr>
        <w:t xml:space="preserve">De acuerdo con este criterio interpretativo y comoquiera que la norma determina las excepciones en consideración a la naturaleza jurídica de los sujetos que menciona, sin hacer distinción alguna respecto de su régimen contractual, es posible concluir que la excepción predicable de las instituciones de educación superior públicas, las empresas sociales del Estado, las sociedades de economía mixta y las empresas industriales y comerciales del Estado no resulta extensible a entidades que no cuenten con dicha naturaleza, como es el caso de los fondos mixtos que tienen la naturaleza de ser entidades sin ánimo de lucro. </w:t>
      </w:r>
    </w:p>
    <w:p w14:paraId="4CD8D943" w14:textId="77777777" w:rsidR="00A37AFD" w:rsidRDefault="00A37AFD" w:rsidP="00A37AFD">
      <w:pPr>
        <w:spacing w:after="0" w:line="240" w:lineRule="auto"/>
        <w:jc w:val="both"/>
        <w:rPr>
          <w:rFonts w:ascii="Verdana" w:hAnsi="Verdana" w:cs="Arial"/>
          <w:bCs/>
          <w:sz w:val="20"/>
          <w:lang w:val="es-ES" w:eastAsia="es-ES"/>
        </w:rPr>
      </w:pPr>
    </w:p>
    <w:p w14:paraId="47C8109B" w14:textId="77777777" w:rsidR="00A37AFD" w:rsidRPr="00A37AFD" w:rsidRDefault="00A37AFD" w:rsidP="00A37AFD">
      <w:pPr>
        <w:spacing w:line="276" w:lineRule="auto"/>
        <w:jc w:val="both"/>
        <w:rPr>
          <w:rFonts w:ascii="Verdana" w:hAnsi="Verdana" w:cs="Arial"/>
          <w:b/>
          <w:lang w:val="es-ES" w:eastAsia="es-ES"/>
        </w:rPr>
      </w:pPr>
      <w:r w:rsidRPr="00A37AFD">
        <w:rPr>
          <w:rFonts w:ascii="Verdana" w:hAnsi="Verdana" w:cs="Arial"/>
          <w:b/>
          <w:lang w:val="es-ES" w:eastAsia="es-ES"/>
        </w:rPr>
        <w:t>FONDOS MIXTOS – Anticipo – Artículo 91 – Ley 1474 de 2011 – Aplicación</w:t>
      </w:r>
    </w:p>
    <w:p w14:paraId="5C295B58" w14:textId="77777777" w:rsidR="003D296B" w:rsidRPr="003D296B" w:rsidRDefault="003D296B" w:rsidP="003D296B">
      <w:pPr>
        <w:spacing w:before="120" w:after="0" w:line="240" w:lineRule="auto"/>
        <w:jc w:val="both"/>
        <w:rPr>
          <w:rFonts w:ascii="Verdana" w:hAnsi="Verdana" w:cs="Arial"/>
          <w:sz w:val="20"/>
          <w:szCs w:val="20"/>
          <w:lang w:val="es-ES"/>
        </w:rPr>
      </w:pPr>
      <w:r w:rsidRPr="003D296B">
        <w:rPr>
          <w:rFonts w:ascii="Verdana" w:eastAsia="Calibri" w:hAnsi="Verdana" w:cs="Arial"/>
          <w:sz w:val="20"/>
          <w:szCs w:val="20"/>
          <w:lang w:val="es-ES"/>
        </w:rPr>
        <w:t>Así las cosas, el artículo 91 de la Ley 1474 de 2011 delimita los eventos en los cuales se debe exigir la constitución de la fiducia o patrimonio autónomo para el manejo del anticipo en los contratos estatales,</w:t>
      </w:r>
      <w:r w:rsidRPr="003D296B">
        <w:rPr>
          <w:sz w:val="20"/>
          <w:szCs w:val="20"/>
        </w:rPr>
        <w:t xml:space="preserve"> </w:t>
      </w:r>
      <w:r w:rsidRPr="003D296B">
        <w:rPr>
          <w:rFonts w:ascii="Verdana" w:eastAsia="Calibri" w:hAnsi="Verdana" w:cs="Arial"/>
          <w:sz w:val="20"/>
          <w:szCs w:val="20"/>
        </w:rPr>
        <w:t>de manera que, en los supuestos no contemplados dentro de este marco legal, su constitución no es obligatoria</w:t>
      </w:r>
      <w:r w:rsidRPr="003D296B">
        <w:rPr>
          <w:rFonts w:ascii="Verdana" w:eastAsia="Calibri" w:hAnsi="Verdana" w:cs="Arial"/>
          <w:sz w:val="20"/>
          <w:szCs w:val="20"/>
          <w:lang w:val="es-ES"/>
        </w:rPr>
        <w:t xml:space="preserve">. </w:t>
      </w:r>
      <w:r w:rsidRPr="003D296B">
        <w:rPr>
          <w:rFonts w:ascii="Verdana" w:hAnsi="Verdana" w:cs="Arial"/>
          <w:sz w:val="20"/>
          <w:szCs w:val="20"/>
          <w:lang w:val="es-ES"/>
        </w:rPr>
        <w:t xml:space="preserve">Esto resulta de especial relevancia para la consulta elevada, puesto que la norma no incluye los contratos sometidos a un régimen especial de contratación. </w:t>
      </w:r>
    </w:p>
    <w:p w14:paraId="39A22612" w14:textId="77777777" w:rsidR="003D296B" w:rsidRPr="003D296B" w:rsidRDefault="003D296B" w:rsidP="003D296B">
      <w:pPr>
        <w:spacing w:before="120" w:after="0" w:line="240" w:lineRule="auto"/>
        <w:jc w:val="both"/>
        <w:rPr>
          <w:rFonts w:ascii="Verdana" w:hAnsi="Verdana"/>
          <w:sz w:val="20"/>
          <w:szCs w:val="20"/>
        </w:rPr>
      </w:pPr>
      <w:r w:rsidRPr="003D296B">
        <w:rPr>
          <w:rFonts w:ascii="Verdana" w:hAnsi="Verdana"/>
          <w:sz w:val="20"/>
          <w:szCs w:val="20"/>
        </w:rPr>
        <w:t xml:space="preserve">Adicionalmente, es claro que la redacción del artículo se refiere a los contratistas de procesos sometidos al EGCAP, pues alude expresamente a modalidades de selección y a </w:t>
      </w:r>
      <w:r w:rsidRPr="003D296B">
        <w:rPr>
          <w:rFonts w:ascii="Verdana" w:hAnsi="Verdana"/>
          <w:sz w:val="20"/>
          <w:szCs w:val="20"/>
        </w:rPr>
        <w:lastRenderedPageBreak/>
        <w:t>conceptos propios de este régimen. Por un lado, consagra la obligación de constituir la fiducia o el patrimonio autónomo en los procesos que se adelanten mediante licitación pública; por otro, al establecer las excepciones a dicho deber, cobija todas las tipologías contractuales señaladas al inicio del artículo, de modo que la expresión «salvo que el contrato sea de menor o mínima cuantía» comprende también los contratos de obra, concesión y salud. De esta forma, una lectura integral del artículo 91 revela que tanto los procesos en los que se exige la constitución de la fiducia o del patrimonio autónomo como aquellos exceptuados de esta obligación remiten a conceptos y modalidades de selección regulados en el EGCAP, como es el caso de la definición de menor y mínima cuantía establecida en el artículo 2, numerales 2 y 5, de la Ley 1150 de 2007.</w:t>
      </w:r>
    </w:p>
    <w:p w14:paraId="67A533FB" w14:textId="77777777" w:rsidR="00A37AFD" w:rsidRPr="003D296B" w:rsidRDefault="00A37AFD" w:rsidP="003D296B">
      <w:pPr>
        <w:spacing w:after="0" w:line="240" w:lineRule="auto"/>
        <w:jc w:val="both"/>
        <w:rPr>
          <w:rFonts w:ascii="Verdana" w:hAnsi="Verdana" w:cs="Arial"/>
          <w:bCs/>
          <w:sz w:val="16"/>
          <w:szCs w:val="20"/>
          <w:lang w:val="es-ES" w:eastAsia="es-ES"/>
        </w:rPr>
      </w:pPr>
    </w:p>
    <w:p w14:paraId="609138DC" w14:textId="77777777" w:rsidR="00A37AFD" w:rsidRDefault="00A37AFD" w:rsidP="00A37AFD">
      <w:pPr>
        <w:spacing w:after="0" w:line="240" w:lineRule="auto"/>
        <w:jc w:val="both"/>
        <w:rPr>
          <w:rFonts w:ascii="Verdana" w:hAnsi="Verdana" w:cs="Arial"/>
          <w:bCs/>
          <w:sz w:val="20"/>
          <w:szCs w:val="20"/>
          <w:lang w:val="es-ES" w:eastAsia="es-ES"/>
        </w:rPr>
      </w:pPr>
    </w:p>
    <w:p w14:paraId="4A45A437" w14:textId="77777777" w:rsidR="00A37AFD" w:rsidRDefault="00A37AFD" w:rsidP="00D10AD0">
      <w:pPr>
        <w:spacing w:after="0"/>
        <w:rPr>
          <w:rFonts w:ascii="Verdana" w:hAnsi="Verdana"/>
          <w:lang w:val="es-ES"/>
        </w:rPr>
      </w:pPr>
    </w:p>
    <w:p w14:paraId="5A37E397" w14:textId="77777777" w:rsidR="003D296B" w:rsidRDefault="003D296B" w:rsidP="00D10AD0">
      <w:pPr>
        <w:spacing w:after="0"/>
        <w:rPr>
          <w:rFonts w:ascii="Verdana" w:hAnsi="Verdana"/>
          <w:lang w:val="es-ES"/>
        </w:rPr>
      </w:pPr>
    </w:p>
    <w:p w14:paraId="30E4083C" w14:textId="77777777" w:rsidR="003D296B" w:rsidRDefault="003D296B" w:rsidP="00D10AD0">
      <w:pPr>
        <w:spacing w:after="0"/>
        <w:rPr>
          <w:rFonts w:ascii="Verdana" w:hAnsi="Verdana"/>
          <w:lang w:val="es-ES"/>
        </w:rPr>
      </w:pPr>
    </w:p>
    <w:p w14:paraId="618C88F1" w14:textId="77777777" w:rsidR="003D296B" w:rsidRDefault="003D296B" w:rsidP="00D10AD0">
      <w:pPr>
        <w:spacing w:after="0"/>
        <w:rPr>
          <w:rFonts w:ascii="Verdana" w:hAnsi="Verdana"/>
          <w:lang w:val="es-ES"/>
        </w:rPr>
      </w:pPr>
    </w:p>
    <w:p w14:paraId="12C6B48D" w14:textId="77777777" w:rsidR="003D296B" w:rsidRDefault="003D296B" w:rsidP="00D10AD0">
      <w:pPr>
        <w:spacing w:after="0"/>
        <w:rPr>
          <w:rFonts w:ascii="Verdana" w:hAnsi="Verdana"/>
          <w:lang w:val="es-ES"/>
        </w:rPr>
      </w:pPr>
    </w:p>
    <w:p w14:paraId="3ADC252A" w14:textId="77777777" w:rsidR="003D296B" w:rsidRDefault="003D296B" w:rsidP="00D10AD0">
      <w:pPr>
        <w:spacing w:after="0"/>
        <w:rPr>
          <w:rFonts w:ascii="Verdana" w:hAnsi="Verdana"/>
          <w:lang w:val="es-ES"/>
        </w:rPr>
      </w:pPr>
    </w:p>
    <w:p w14:paraId="1E713401" w14:textId="77777777" w:rsidR="003D296B" w:rsidRDefault="003D296B" w:rsidP="00D10AD0">
      <w:pPr>
        <w:spacing w:after="0"/>
        <w:rPr>
          <w:rFonts w:ascii="Verdana" w:hAnsi="Verdana"/>
          <w:lang w:val="es-ES"/>
        </w:rPr>
      </w:pPr>
    </w:p>
    <w:p w14:paraId="1CE677B2" w14:textId="77777777" w:rsidR="003D296B" w:rsidRDefault="003D296B" w:rsidP="00D10AD0">
      <w:pPr>
        <w:spacing w:after="0"/>
        <w:rPr>
          <w:rFonts w:ascii="Verdana" w:hAnsi="Verdana"/>
          <w:lang w:val="es-ES"/>
        </w:rPr>
      </w:pPr>
    </w:p>
    <w:p w14:paraId="70D60117" w14:textId="77777777" w:rsidR="003D296B" w:rsidRDefault="003D296B" w:rsidP="00D10AD0">
      <w:pPr>
        <w:spacing w:after="0"/>
        <w:rPr>
          <w:rFonts w:ascii="Verdana" w:hAnsi="Verdana"/>
          <w:lang w:val="es-ES"/>
        </w:rPr>
      </w:pPr>
    </w:p>
    <w:p w14:paraId="377DAAAE" w14:textId="77777777" w:rsidR="003D296B" w:rsidRDefault="003D296B" w:rsidP="00D10AD0">
      <w:pPr>
        <w:spacing w:after="0"/>
        <w:rPr>
          <w:rFonts w:ascii="Verdana" w:hAnsi="Verdana"/>
          <w:lang w:val="es-ES"/>
        </w:rPr>
      </w:pPr>
    </w:p>
    <w:p w14:paraId="6ABBD7DA" w14:textId="77777777" w:rsidR="003D296B" w:rsidRDefault="003D296B" w:rsidP="00D10AD0">
      <w:pPr>
        <w:spacing w:after="0"/>
        <w:rPr>
          <w:rFonts w:ascii="Verdana" w:hAnsi="Verdana"/>
          <w:lang w:val="es-ES"/>
        </w:rPr>
      </w:pPr>
    </w:p>
    <w:p w14:paraId="26070BD5" w14:textId="77777777" w:rsidR="003D296B" w:rsidRDefault="003D296B" w:rsidP="00D10AD0">
      <w:pPr>
        <w:spacing w:after="0"/>
        <w:rPr>
          <w:rFonts w:ascii="Verdana" w:hAnsi="Verdana"/>
          <w:lang w:val="es-ES"/>
        </w:rPr>
      </w:pPr>
    </w:p>
    <w:p w14:paraId="60BF46B9" w14:textId="77777777" w:rsidR="003D296B" w:rsidRDefault="003D296B" w:rsidP="00D10AD0">
      <w:pPr>
        <w:spacing w:after="0"/>
        <w:rPr>
          <w:rFonts w:ascii="Verdana" w:hAnsi="Verdana"/>
          <w:lang w:val="es-ES"/>
        </w:rPr>
      </w:pPr>
    </w:p>
    <w:p w14:paraId="6A4843AD" w14:textId="77777777" w:rsidR="003D296B" w:rsidRDefault="003D296B" w:rsidP="00D10AD0">
      <w:pPr>
        <w:spacing w:after="0"/>
        <w:rPr>
          <w:rFonts w:ascii="Verdana" w:hAnsi="Verdana"/>
          <w:lang w:val="es-ES"/>
        </w:rPr>
      </w:pPr>
    </w:p>
    <w:p w14:paraId="08A5B79F" w14:textId="77777777" w:rsidR="003D296B" w:rsidRDefault="003D296B" w:rsidP="00D10AD0">
      <w:pPr>
        <w:spacing w:after="0"/>
        <w:rPr>
          <w:rFonts w:ascii="Verdana" w:hAnsi="Verdana"/>
          <w:lang w:val="es-ES"/>
        </w:rPr>
      </w:pPr>
    </w:p>
    <w:p w14:paraId="10969913" w14:textId="77777777" w:rsidR="003D296B" w:rsidRDefault="003D296B" w:rsidP="00D10AD0">
      <w:pPr>
        <w:spacing w:after="0"/>
        <w:rPr>
          <w:rFonts w:ascii="Verdana" w:hAnsi="Verdana"/>
          <w:lang w:val="es-ES"/>
        </w:rPr>
      </w:pPr>
    </w:p>
    <w:p w14:paraId="1B35127B" w14:textId="77777777" w:rsidR="003D296B" w:rsidRDefault="003D296B" w:rsidP="00D10AD0">
      <w:pPr>
        <w:spacing w:after="0"/>
        <w:rPr>
          <w:rFonts w:ascii="Verdana" w:hAnsi="Verdana"/>
          <w:lang w:val="es-ES"/>
        </w:rPr>
      </w:pPr>
    </w:p>
    <w:p w14:paraId="1020D304" w14:textId="77777777" w:rsidR="003D296B" w:rsidRDefault="003D296B" w:rsidP="00D10AD0">
      <w:pPr>
        <w:spacing w:after="0"/>
        <w:rPr>
          <w:rFonts w:ascii="Verdana" w:hAnsi="Verdana"/>
          <w:lang w:val="es-ES"/>
        </w:rPr>
      </w:pPr>
    </w:p>
    <w:p w14:paraId="399211E0" w14:textId="77777777" w:rsidR="003D296B" w:rsidRDefault="003D296B" w:rsidP="00D10AD0">
      <w:pPr>
        <w:spacing w:after="0"/>
        <w:rPr>
          <w:rFonts w:ascii="Verdana" w:hAnsi="Verdana"/>
          <w:lang w:val="es-ES"/>
        </w:rPr>
      </w:pPr>
    </w:p>
    <w:p w14:paraId="19693823" w14:textId="77777777" w:rsidR="003D296B" w:rsidRDefault="003D296B" w:rsidP="00D10AD0">
      <w:pPr>
        <w:spacing w:after="0"/>
        <w:rPr>
          <w:rFonts w:ascii="Verdana" w:hAnsi="Verdana"/>
          <w:lang w:val="es-ES"/>
        </w:rPr>
      </w:pPr>
    </w:p>
    <w:p w14:paraId="0509C503" w14:textId="77777777" w:rsidR="003D296B" w:rsidRDefault="003D296B" w:rsidP="00D10AD0">
      <w:pPr>
        <w:spacing w:after="0"/>
        <w:rPr>
          <w:rFonts w:ascii="Verdana" w:hAnsi="Verdana"/>
          <w:lang w:val="es-ES"/>
        </w:rPr>
      </w:pPr>
    </w:p>
    <w:p w14:paraId="0676A0B3" w14:textId="77777777" w:rsidR="003D296B" w:rsidRDefault="003D296B" w:rsidP="00D10AD0">
      <w:pPr>
        <w:spacing w:after="0"/>
        <w:rPr>
          <w:rFonts w:ascii="Verdana" w:hAnsi="Verdana"/>
          <w:lang w:val="es-ES"/>
        </w:rPr>
      </w:pPr>
    </w:p>
    <w:p w14:paraId="5DE2B1B0" w14:textId="77777777" w:rsidR="003D296B" w:rsidRDefault="003D296B" w:rsidP="00D10AD0">
      <w:pPr>
        <w:spacing w:after="0"/>
        <w:rPr>
          <w:rFonts w:ascii="Verdana" w:hAnsi="Verdana"/>
          <w:lang w:val="es-ES"/>
        </w:rPr>
      </w:pPr>
    </w:p>
    <w:p w14:paraId="71222894" w14:textId="77777777" w:rsidR="003D296B" w:rsidRDefault="003D296B" w:rsidP="00D10AD0">
      <w:pPr>
        <w:spacing w:after="0"/>
        <w:rPr>
          <w:rFonts w:ascii="Verdana" w:hAnsi="Verdana"/>
          <w:lang w:val="es-ES"/>
        </w:rPr>
      </w:pPr>
    </w:p>
    <w:p w14:paraId="10C79673" w14:textId="77777777" w:rsidR="003D296B" w:rsidRDefault="003D296B" w:rsidP="00D10AD0">
      <w:pPr>
        <w:spacing w:after="0"/>
        <w:rPr>
          <w:rFonts w:ascii="Verdana" w:hAnsi="Verdana"/>
          <w:lang w:val="es-ES"/>
        </w:rPr>
      </w:pPr>
    </w:p>
    <w:p w14:paraId="5969EB30" w14:textId="77777777" w:rsidR="003D296B" w:rsidRDefault="003D296B" w:rsidP="00D10AD0">
      <w:pPr>
        <w:spacing w:after="0"/>
        <w:rPr>
          <w:rFonts w:ascii="Verdana" w:hAnsi="Verdana"/>
          <w:lang w:val="es-ES"/>
        </w:rPr>
      </w:pPr>
    </w:p>
    <w:p w14:paraId="259EA37E" w14:textId="77777777" w:rsidR="003D296B" w:rsidRDefault="003D296B" w:rsidP="00D10AD0">
      <w:pPr>
        <w:spacing w:after="0"/>
        <w:rPr>
          <w:rFonts w:ascii="Verdana" w:hAnsi="Verdana"/>
          <w:lang w:val="es-ES"/>
        </w:rPr>
      </w:pPr>
    </w:p>
    <w:p w14:paraId="7032A421" w14:textId="77777777" w:rsidR="003D296B" w:rsidRDefault="003D296B" w:rsidP="00D10AD0">
      <w:pPr>
        <w:spacing w:after="0"/>
        <w:rPr>
          <w:rFonts w:ascii="Verdana" w:hAnsi="Verdana"/>
          <w:lang w:val="es-ES"/>
        </w:rPr>
      </w:pPr>
    </w:p>
    <w:p w14:paraId="6C962E95" w14:textId="77777777" w:rsidR="003D296B" w:rsidRDefault="003D296B" w:rsidP="00D10AD0">
      <w:pPr>
        <w:spacing w:after="0"/>
        <w:rPr>
          <w:rFonts w:ascii="Verdana" w:hAnsi="Verdana"/>
          <w:lang w:val="es-ES"/>
        </w:rPr>
      </w:pPr>
    </w:p>
    <w:p w14:paraId="086D8C5A" w14:textId="61CF6658" w:rsidR="00D10AD0" w:rsidRPr="0061306E" w:rsidRDefault="00D10AD0" w:rsidP="00D10AD0">
      <w:pPr>
        <w:spacing w:after="0"/>
        <w:rPr>
          <w:rFonts w:ascii="Verdana" w:hAnsi="Verdana"/>
          <w:lang w:val="es-ES"/>
        </w:rPr>
      </w:pPr>
      <w:r w:rsidRPr="0061306E">
        <w:rPr>
          <w:rFonts w:ascii="Verdana" w:hAnsi="Verdana"/>
          <w:lang w:val="es-ES"/>
        </w:rPr>
        <w:lastRenderedPageBreak/>
        <w:t xml:space="preserve">Bogotá D.C., </w:t>
      </w:r>
      <w:r w:rsidR="00E76510">
        <w:rPr>
          <w:rFonts w:ascii="Verdana" w:hAnsi="Verdana"/>
          <w:lang w:val="es-ES"/>
        </w:rPr>
        <w:t>16 de julio de 2026</w:t>
      </w:r>
      <w:r w:rsidRPr="0061306E">
        <w:rPr>
          <w:rFonts w:ascii="Verdana" w:hAnsi="Verdana"/>
          <w:lang w:val="es-ES"/>
        </w:rPr>
        <w:tab/>
      </w:r>
    </w:p>
    <w:p w14:paraId="6DAE0068" w14:textId="29C32457" w:rsidR="00D10AD0" w:rsidRPr="0061306E" w:rsidRDefault="00D10AD0" w:rsidP="00D10AD0">
      <w:pPr>
        <w:spacing w:after="0"/>
        <w:rPr>
          <w:rFonts w:ascii="Verdana" w:hAnsi="Verdana"/>
          <w:lang w:val="es-ES"/>
        </w:rPr>
      </w:pPr>
    </w:p>
    <w:p w14:paraId="475279F6" w14:textId="38627FBA" w:rsidR="00D10AD0" w:rsidRPr="0061306E" w:rsidRDefault="00E76510" w:rsidP="00D10AD0">
      <w:pPr>
        <w:spacing w:after="0" w:line="240" w:lineRule="auto"/>
        <w:jc w:val="both"/>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anchor distT="0" distB="0" distL="114300" distR="114300" simplePos="0" relativeHeight="251660288" behindDoc="0" locked="0" layoutInCell="1" allowOverlap="1" wp14:anchorId="077AF85D" wp14:editId="10A71C68">
            <wp:simplePos x="0" y="0"/>
            <wp:positionH relativeFrom="column">
              <wp:posOffset>3132754</wp:posOffset>
            </wp:positionH>
            <wp:positionV relativeFrom="paragraph">
              <wp:posOffset>34290</wp:posOffset>
            </wp:positionV>
            <wp:extent cx="2527935" cy="727710"/>
            <wp:effectExtent l="0" t="0" r="0" b="0"/>
            <wp:wrapSquare wrapText="bothSides"/>
            <wp:docPr id="57675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5990" name="Picture 57675990"/>
                    <pic:cNvPicPr/>
                  </pic:nvPicPr>
                  <pic:blipFill>
                    <a:blip r:embed="rId10">
                      <a:extLst>
                        <a:ext uri="{28A0092B-C50C-407E-A947-70E740481C1C}">
                          <a14:useLocalDpi xmlns:a14="http://schemas.microsoft.com/office/drawing/2010/main" val="0"/>
                        </a:ext>
                      </a:extLst>
                    </a:blip>
                    <a:stretch>
                      <a:fillRect/>
                    </a:stretch>
                  </pic:blipFill>
                  <pic:spPr>
                    <a:xfrm>
                      <a:off x="0" y="0"/>
                      <a:ext cx="2527935" cy="727710"/>
                    </a:xfrm>
                    <a:prstGeom prst="rect">
                      <a:avLst/>
                    </a:prstGeom>
                  </pic:spPr>
                </pic:pic>
              </a:graphicData>
            </a:graphic>
            <wp14:sizeRelH relativeFrom="page">
              <wp14:pctWidth>0</wp14:pctWidth>
            </wp14:sizeRelH>
            <wp14:sizeRelV relativeFrom="page">
              <wp14:pctHeight>0</wp14:pctHeight>
            </wp14:sizeRelV>
          </wp:anchor>
        </w:drawing>
      </w:r>
      <w:r w:rsidR="00D10AD0" w:rsidRPr="0061306E">
        <w:rPr>
          <w:rFonts w:ascii="Verdana" w:eastAsia="Calibri" w:hAnsi="Verdana" w:cs="Arial"/>
          <w:color w:val="000000" w:themeColor="text1"/>
          <w:lang w:val="es-ES" w:eastAsia="es-ES"/>
        </w:rPr>
        <w:t>Señora</w:t>
      </w:r>
    </w:p>
    <w:p w14:paraId="421DA6A9" w14:textId="645472F7" w:rsidR="00D10AD0" w:rsidRPr="0061306E" w:rsidRDefault="00D10AD0" w:rsidP="00D10AD0">
      <w:pPr>
        <w:spacing w:after="0" w:line="240" w:lineRule="auto"/>
        <w:rPr>
          <w:rFonts w:ascii="Verdana" w:eastAsia="Calibri" w:hAnsi="Verdana" w:cs="Arial"/>
          <w:b/>
          <w:bCs/>
          <w:color w:val="000000" w:themeColor="text1"/>
          <w:lang w:val="es-ES" w:eastAsia="es-ES"/>
        </w:rPr>
      </w:pPr>
      <w:r w:rsidRPr="0061306E">
        <w:rPr>
          <w:rFonts w:ascii="Verdana" w:eastAsia="Calibri" w:hAnsi="Verdana" w:cs="Arial"/>
          <w:b/>
          <w:bCs/>
          <w:color w:val="000000" w:themeColor="text1"/>
          <w:lang w:val="es-ES" w:eastAsia="es-ES"/>
        </w:rPr>
        <w:t xml:space="preserve">Diana Carolina Henao Jiménez </w:t>
      </w:r>
    </w:p>
    <w:p w14:paraId="068F8880" w14:textId="42CFC918" w:rsidR="00D10AD0" w:rsidRPr="0061306E" w:rsidRDefault="00D10AD0" w:rsidP="00D10AD0">
      <w:pPr>
        <w:spacing w:after="0" w:line="240" w:lineRule="auto"/>
        <w:rPr>
          <w:rFonts w:ascii="Verdana" w:eastAsia="Calibri" w:hAnsi="Verdana" w:cs="Arial"/>
          <w:color w:val="000000" w:themeColor="text1"/>
          <w:lang w:val="es-ES" w:eastAsia="es-ES"/>
        </w:rPr>
      </w:pPr>
      <w:hyperlink r:id="rId11" w:history="1">
        <w:r w:rsidRPr="0061306E">
          <w:rPr>
            <w:rStyle w:val="Hyperlink"/>
            <w:rFonts w:ascii="Verdana" w:eastAsia="Calibri" w:hAnsi="Verdana" w:cs="Arial"/>
            <w:lang w:val="es-ES" w:eastAsia="es-ES"/>
          </w:rPr>
          <w:t>dicaheji84@hotmail.com</w:t>
        </w:r>
      </w:hyperlink>
    </w:p>
    <w:p w14:paraId="3F8BA987" w14:textId="71FE1AB6" w:rsidR="004A616D" w:rsidRPr="0061306E" w:rsidRDefault="00D10AD0" w:rsidP="00D10AD0">
      <w:pPr>
        <w:spacing w:after="0" w:line="240" w:lineRule="auto"/>
        <w:rPr>
          <w:rFonts w:ascii="Verdana" w:eastAsia="Calibri" w:hAnsi="Verdana" w:cs="Arial"/>
          <w:color w:val="000000" w:themeColor="text1"/>
          <w:lang w:val="es-ES" w:eastAsia="es-ES_tradnl"/>
        </w:rPr>
      </w:pPr>
      <w:r w:rsidRPr="0061306E">
        <w:rPr>
          <w:rFonts w:ascii="Verdana" w:eastAsia="Calibri" w:hAnsi="Verdana" w:cs="Arial"/>
          <w:color w:val="000000" w:themeColor="text1"/>
          <w:lang w:val="es-ES" w:eastAsia="es-ES_tradnl"/>
        </w:rPr>
        <w:t>Bogotá D.C.</w:t>
      </w:r>
    </w:p>
    <w:p w14:paraId="46EAD1A1" w14:textId="77777777" w:rsidR="00D10AD0" w:rsidRPr="0061306E" w:rsidRDefault="00D10AD0" w:rsidP="00D10AD0">
      <w:pPr>
        <w:spacing w:after="0" w:line="240" w:lineRule="auto"/>
        <w:rPr>
          <w:rFonts w:ascii="Verdana" w:eastAsia="Calibri" w:hAnsi="Verdana" w:cs="Arial"/>
          <w:b/>
          <w:bCs/>
          <w:color w:val="000000" w:themeColor="text1"/>
          <w:lang w:val="es-ES" w:eastAsia="es-ES_tradnl"/>
        </w:rPr>
      </w:pP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D10AD0" w:rsidRPr="0061306E" w14:paraId="537BAC85" w14:textId="77777777" w:rsidTr="00887F00">
        <w:trPr>
          <w:gridAfter w:val="1"/>
          <w:wAfter w:w="4179" w:type="dxa"/>
          <w:trHeight w:val="304"/>
        </w:trPr>
        <w:tc>
          <w:tcPr>
            <w:tcW w:w="2689" w:type="dxa"/>
          </w:tcPr>
          <w:p w14:paraId="3978F7AA" w14:textId="77777777" w:rsidR="00D10AD0" w:rsidRPr="0061306E" w:rsidRDefault="00D10AD0" w:rsidP="00887F00">
            <w:pPr>
              <w:jc w:val="both"/>
              <w:rPr>
                <w:rFonts w:ascii="Verdana" w:eastAsia="Calibri" w:hAnsi="Verdana" w:cs="Arial"/>
                <w:b/>
                <w:bCs/>
                <w:color w:val="000000" w:themeColor="text1"/>
                <w:lang w:val="es-ES" w:eastAsia="es-ES_tradnl"/>
              </w:rPr>
            </w:pPr>
          </w:p>
        </w:tc>
        <w:tc>
          <w:tcPr>
            <w:tcW w:w="6100" w:type="dxa"/>
          </w:tcPr>
          <w:p w14:paraId="70C1F6FE" w14:textId="2916DF6D" w:rsidR="00D10AD0" w:rsidRPr="0061306E" w:rsidRDefault="00D10AD0" w:rsidP="00887F00">
            <w:pPr>
              <w:jc w:val="both"/>
              <w:rPr>
                <w:rFonts w:ascii="Verdana" w:eastAsia="Calibri" w:hAnsi="Verdana" w:cs="Arial"/>
                <w:b/>
                <w:bCs/>
                <w:color w:val="000000" w:themeColor="text1"/>
                <w:lang w:val="es-ES" w:eastAsia="es-ES"/>
              </w:rPr>
            </w:pPr>
            <w:r w:rsidRPr="0061306E">
              <w:rPr>
                <w:rFonts w:ascii="Verdana" w:eastAsia="Calibri" w:hAnsi="Verdana" w:cs="Arial"/>
                <w:b/>
                <w:bCs/>
                <w:color w:val="000000" w:themeColor="text1"/>
                <w:lang w:val="es-ES" w:eastAsia="es-ES"/>
              </w:rPr>
              <w:t>Concepto C-</w:t>
            </w:r>
            <w:r w:rsidR="00864B2C">
              <w:rPr>
                <w:rFonts w:ascii="Verdana" w:eastAsia="Calibri" w:hAnsi="Verdana" w:cs="Arial"/>
                <w:b/>
                <w:bCs/>
                <w:color w:val="000000" w:themeColor="text1"/>
                <w:lang w:val="es-ES" w:eastAsia="es-ES"/>
              </w:rPr>
              <w:t>920</w:t>
            </w:r>
            <w:r w:rsidRPr="0061306E">
              <w:rPr>
                <w:rFonts w:ascii="Verdana" w:eastAsia="Calibri" w:hAnsi="Verdana" w:cs="Arial"/>
                <w:b/>
                <w:bCs/>
                <w:color w:val="000000" w:themeColor="text1"/>
                <w:lang w:val="es-ES" w:eastAsia="es-ES"/>
              </w:rPr>
              <w:t xml:space="preserve"> de 2026</w:t>
            </w:r>
          </w:p>
          <w:p w14:paraId="5C2D5DFD" w14:textId="77777777" w:rsidR="00D10AD0" w:rsidRPr="0061306E" w:rsidRDefault="00D10AD0" w:rsidP="00887F00">
            <w:pPr>
              <w:jc w:val="both"/>
              <w:rPr>
                <w:rFonts w:ascii="Verdana" w:eastAsia="Calibri" w:hAnsi="Verdana" w:cs="Arial"/>
                <w:b/>
                <w:bCs/>
                <w:color w:val="000000" w:themeColor="text1"/>
                <w:lang w:val="es-ES" w:eastAsia="es-ES"/>
              </w:rPr>
            </w:pPr>
          </w:p>
        </w:tc>
      </w:tr>
      <w:tr w:rsidR="00D10AD0" w:rsidRPr="0061306E" w14:paraId="311B9484" w14:textId="77777777" w:rsidTr="00887F00">
        <w:trPr>
          <w:trHeight w:val="884"/>
        </w:trPr>
        <w:tc>
          <w:tcPr>
            <w:tcW w:w="2689" w:type="dxa"/>
          </w:tcPr>
          <w:p w14:paraId="4A963C96" w14:textId="77777777" w:rsidR="00D10AD0" w:rsidRPr="0061306E" w:rsidRDefault="00D10AD0" w:rsidP="00887F00">
            <w:pPr>
              <w:jc w:val="both"/>
              <w:rPr>
                <w:rFonts w:ascii="Verdana" w:eastAsia="Calibri" w:hAnsi="Verdana" w:cs="Arial"/>
                <w:color w:val="000000" w:themeColor="text1"/>
                <w:lang w:val="es-ES" w:eastAsia="es-ES_tradnl"/>
              </w:rPr>
            </w:pPr>
            <w:r w:rsidRPr="0061306E">
              <w:rPr>
                <w:rFonts w:ascii="Verdana" w:eastAsia="Calibri" w:hAnsi="Verdana" w:cs="Arial"/>
                <w:b/>
                <w:color w:val="000000" w:themeColor="text1"/>
                <w:lang w:val="es-ES" w:eastAsia="es-ES_tradnl"/>
              </w:rPr>
              <w:t>Temas:</w:t>
            </w:r>
            <w:r w:rsidRPr="0061306E">
              <w:rPr>
                <w:rFonts w:ascii="Verdana" w:eastAsia="Calibri" w:hAnsi="Verdana" w:cs="Arial"/>
                <w:color w:val="000000" w:themeColor="text1"/>
                <w:lang w:val="es-ES" w:eastAsia="es-ES_tradnl"/>
              </w:rPr>
              <w:t xml:space="preserve">                   </w:t>
            </w:r>
          </w:p>
        </w:tc>
        <w:tc>
          <w:tcPr>
            <w:tcW w:w="6100" w:type="dxa"/>
          </w:tcPr>
          <w:p w14:paraId="009F3145" w14:textId="77777777" w:rsidR="00D10AD0" w:rsidRPr="0061306E" w:rsidRDefault="00D10AD0" w:rsidP="00887F00">
            <w:pPr>
              <w:spacing w:line="276" w:lineRule="auto"/>
              <w:jc w:val="both"/>
              <w:rPr>
                <w:rFonts w:ascii="Verdana" w:hAnsi="Verdana" w:cs="Arial"/>
                <w:bCs/>
                <w:lang w:val="es-ES" w:eastAsia="es-ES"/>
              </w:rPr>
            </w:pPr>
            <w:r w:rsidRPr="0061306E">
              <w:rPr>
                <w:rFonts w:ascii="Verdana" w:hAnsi="Verdana" w:cs="Arial"/>
                <w:bCs/>
                <w:lang w:val="es-ES" w:eastAsia="es-ES"/>
              </w:rPr>
              <w:t>FONDOS MIXTOS – Creación / FONDOS MIXTOS –   Régimen de contratación / FONDOS MIXTOS – Participación estatal – Determinación /</w:t>
            </w:r>
            <w:r w:rsidRPr="0061306E">
              <w:rPr>
                <w:rFonts w:ascii="Verdana" w:hAnsi="Verdana" w:cs="Arial"/>
                <w:b/>
                <w:bCs/>
                <w:lang w:val="es-ES" w:eastAsia="es-ES"/>
              </w:rPr>
              <w:t xml:space="preserve"> </w:t>
            </w:r>
            <w:r w:rsidRPr="0061306E">
              <w:rPr>
                <w:rFonts w:ascii="Verdana" w:hAnsi="Verdana" w:cs="Arial"/>
                <w:bCs/>
                <w:lang w:val="es-ES" w:eastAsia="es-ES"/>
              </w:rPr>
              <w:t xml:space="preserve">CONTRATACIÓN DIRECTA – Contratos interadministrativos con fondos mixtos – Alcance / FONDOS MIXTOS – Sistema General de Regalías – Régimen contractual / FONDOS MIXTOS - </w:t>
            </w:r>
            <w:r w:rsidRPr="0061306E">
              <w:rPr>
                <w:rFonts w:ascii="Verdana" w:hAnsi="Verdana" w:cs="Arial"/>
                <w:lang w:val="es-ES" w:eastAsia="es-ES"/>
              </w:rPr>
              <w:t>Aplicación del Artículo 56 de la Ley 2195 de 2022 – Documentos Tipo /</w:t>
            </w:r>
            <w:r w:rsidRPr="0061306E">
              <w:rPr>
                <w:rFonts w:ascii="Verdana" w:hAnsi="Verdana" w:cs="Arial"/>
                <w:bCs/>
                <w:lang w:val="es-ES" w:eastAsia="es-ES"/>
              </w:rPr>
              <w:t xml:space="preserve"> FONDOS MIXTOS – Anticipo – Artículo 91 – Ley 1474 de 2011 – Aplicación</w:t>
            </w:r>
          </w:p>
          <w:p w14:paraId="7631D152" w14:textId="77777777" w:rsidR="00D10AD0" w:rsidRPr="0061306E" w:rsidRDefault="00D10AD0" w:rsidP="00887F00">
            <w:pPr>
              <w:jc w:val="both"/>
              <w:rPr>
                <w:rFonts w:ascii="Verdana" w:eastAsia="Calibri" w:hAnsi="Verdana" w:cs="Arial"/>
                <w:color w:val="000000" w:themeColor="text1"/>
                <w:lang w:val="es-ES" w:eastAsia="es-ES"/>
              </w:rPr>
            </w:pPr>
          </w:p>
        </w:tc>
        <w:tc>
          <w:tcPr>
            <w:tcW w:w="4179" w:type="dxa"/>
          </w:tcPr>
          <w:p w14:paraId="70382BE7" w14:textId="77777777" w:rsidR="00D10AD0" w:rsidRPr="0061306E" w:rsidRDefault="00D10AD0" w:rsidP="00887F00">
            <w:pPr>
              <w:spacing w:line="276" w:lineRule="auto"/>
              <w:jc w:val="both"/>
              <w:rPr>
                <w:rFonts w:ascii="Verdana" w:eastAsia="Calibri" w:hAnsi="Verdana" w:cs="Arial"/>
                <w:b/>
                <w:bCs/>
                <w:color w:val="000000" w:themeColor="text1"/>
                <w:lang w:val="es-ES" w:eastAsia="es-ES"/>
              </w:rPr>
            </w:pPr>
          </w:p>
          <w:p w14:paraId="35F91EB3" w14:textId="77777777" w:rsidR="00D10AD0" w:rsidRPr="0061306E" w:rsidRDefault="00D10AD0" w:rsidP="00887F00">
            <w:pPr>
              <w:rPr>
                <w:rFonts w:ascii="Verdana" w:hAnsi="Verdana"/>
                <w:lang w:val="es-ES"/>
              </w:rPr>
            </w:pPr>
          </w:p>
        </w:tc>
      </w:tr>
      <w:tr w:rsidR="00D10AD0" w:rsidRPr="0061306E" w14:paraId="13FD6E66" w14:textId="77777777" w:rsidTr="00887F00">
        <w:trPr>
          <w:gridAfter w:val="1"/>
          <w:wAfter w:w="4179" w:type="dxa"/>
        </w:trPr>
        <w:tc>
          <w:tcPr>
            <w:tcW w:w="2689" w:type="dxa"/>
          </w:tcPr>
          <w:p w14:paraId="0A1D5D7B" w14:textId="77777777" w:rsidR="00D10AD0" w:rsidRPr="0061306E" w:rsidRDefault="00D10AD0" w:rsidP="00887F00">
            <w:pPr>
              <w:jc w:val="both"/>
              <w:rPr>
                <w:rFonts w:ascii="Verdana" w:eastAsia="Calibri" w:hAnsi="Verdana" w:cs="Arial"/>
                <w:b/>
                <w:color w:val="000000" w:themeColor="text1"/>
                <w:lang w:val="es-ES" w:eastAsia="es-ES_tradnl"/>
              </w:rPr>
            </w:pPr>
            <w:r w:rsidRPr="0061306E">
              <w:rPr>
                <w:rFonts w:ascii="Verdana" w:eastAsia="Calibri" w:hAnsi="Verdana" w:cs="Arial"/>
                <w:b/>
                <w:color w:val="000000" w:themeColor="text1"/>
                <w:lang w:val="es-ES" w:eastAsia="es-ES_tradnl"/>
              </w:rPr>
              <w:t>Radicación:</w:t>
            </w:r>
            <w:r w:rsidRPr="0061306E">
              <w:rPr>
                <w:rFonts w:ascii="Verdana" w:eastAsia="Calibri" w:hAnsi="Verdana" w:cs="Arial"/>
                <w:color w:val="000000" w:themeColor="text1"/>
                <w:lang w:val="es-ES" w:eastAsia="es-ES_tradnl"/>
              </w:rPr>
              <w:t xml:space="preserve">               </w:t>
            </w:r>
          </w:p>
        </w:tc>
        <w:tc>
          <w:tcPr>
            <w:tcW w:w="6100" w:type="dxa"/>
          </w:tcPr>
          <w:p w14:paraId="2397DCC6" w14:textId="0A159671" w:rsidR="00D10AD0" w:rsidRPr="0061306E" w:rsidRDefault="00D10AD0" w:rsidP="00887F00">
            <w:pPr>
              <w:jc w:val="both"/>
              <w:rPr>
                <w:rFonts w:ascii="Verdana" w:eastAsia="Calibri" w:hAnsi="Verdana" w:cs="Arial"/>
                <w:color w:val="000000" w:themeColor="text1"/>
                <w:lang w:val="es-ES" w:eastAsia="es-ES_tradnl"/>
              </w:rPr>
            </w:pPr>
            <w:r w:rsidRPr="0061306E">
              <w:rPr>
                <w:rFonts w:ascii="Verdana" w:eastAsia="Calibri" w:hAnsi="Verdana" w:cs="Arial"/>
                <w:color w:val="000000" w:themeColor="text1"/>
                <w:lang w:val="es-ES" w:eastAsia="es-ES_tradnl"/>
              </w:rPr>
              <w:t>Respuesta a la consulta con radicado No.</w:t>
            </w:r>
            <w:r w:rsidRPr="0061306E">
              <w:rPr>
                <w:lang w:val="es-ES"/>
              </w:rPr>
              <w:t xml:space="preserve"> </w:t>
            </w:r>
            <w:r w:rsidR="000F33DA" w:rsidRPr="00321D94">
              <w:rPr>
                <w:rFonts w:ascii="Verdana" w:hAnsi="Verdana"/>
              </w:rPr>
              <w:t>1_2026_06_02_007477</w:t>
            </w:r>
          </w:p>
        </w:tc>
      </w:tr>
    </w:tbl>
    <w:p w14:paraId="7C810A0E" w14:textId="77777777" w:rsidR="00D10AD0" w:rsidRPr="0061306E" w:rsidRDefault="00D10AD0" w:rsidP="00D10AD0">
      <w:pPr>
        <w:spacing w:after="0" w:line="276" w:lineRule="auto"/>
        <w:jc w:val="both"/>
        <w:rPr>
          <w:rFonts w:ascii="Verdana" w:eastAsia="Calibri" w:hAnsi="Verdana" w:cs="Arial"/>
          <w:color w:val="000000" w:themeColor="text1"/>
          <w:lang w:val="es-ES" w:eastAsia="es-ES_tradnl"/>
        </w:rPr>
      </w:pPr>
    </w:p>
    <w:p w14:paraId="7D6BB477" w14:textId="77777777" w:rsidR="00D10AD0" w:rsidRPr="0061306E" w:rsidRDefault="00D10AD0" w:rsidP="00D10AD0">
      <w:pPr>
        <w:spacing w:after="0" w:line="240" w:lineRule="auto"/>
        <w:jc w:val="both"/>
        <w:rPr>
          <w:rFonts w:ascii="Verdana" w:eastAsia="Calibri" w:hAnsi="Verdana" w:cs="Arial"/>
          <w:color w:val="000000" w:themeColor="text1"/>
          <w:lang w:val="es-ES" w:eastAsia="es-ES"/>
        </w:rPr>
      </w:pPr>
      <w:r w:rsidRPr="0061306E">
        <w:rPr>
          <w:rFonts w:ascii="Verdana" w:eastAsia="Calibri" w:hAnsi="Verdana" w:cs="Arial"/>
          <w:color w:val="000000" w:themeColor="text1"/>
          <w:lang w:val="es-ES" w:eastAsia="es-ES"/>
        </w:rPr>
        <w:t>Estimada señora Henao:</w:t>
      </w:r>
    </w:p>
    <w:p w14:paraId="27F74353" w14:textId="77777777" w:rsidR="00D10AD0" w:rsidRPr="0061306E" w:rsidRDefault="00D10AD0" w:rsidP="00D10AD0">
      <w:pPr>
        <w:tabs>
          <w:tab w:val="left" w:pos="3768"/>
        </w:tabs>
        <w:spacing w:after="0" w:line="276" w:lineRule="auto"/>
        <w:jc w:val="both"/>
        <w:rPr>
          <w:rFonts w:ascii="Verdana" w:eastAsia="Calibri" w:hAnsi="Verdana" w:cs="Arial"/>
          <w:color w:val="000000" w:themeColor="text1"/>
          <w:lang w:val="es-ES" w:eastAsia="es-ES"/>
        </w:rPr>
      </w:pPr>
    </w:p>
    <w:p w14:paraId="53DE9800" w14:textId="0F96AEDB" w:rsidR="00D10AD0" w:rsidRPr="0061306E" w:rsidRDefault="00D10AD0" w:rsidP="00D10AD0">
      <w:pPr>
        <w:spacing w:after="0" w:line="276" w:lineRule="auto"/>
        <w:jc w:val="both"/>
        <w:rPr>
          <w:rFonts w:ascii="Verdana" w:eastAsia="Calibri" w:hAnsi="Verdana" w:cs="Arial"/>
          <w:color w:val="000000" w:themeColor="text1"/>
          <w:lang w:val="es-ES" w:eastAsia="es-ES"/>
        </w:rPr>
      </w:pPr>
      <w:r w:rsidRPr="0061306E">
        <w:rPr>
          <w:rFonts w:ascii="Verdana" w:eastAsia="Calibri" w:hAnsi="Verdana" w:cs="Arial"/>
          <w:color w:val="000000" w:themeColor="text1"/>
          <w:lang w:val="es-ES" w:eastAsia="es-ES"/>
        </w:rPr>
        <w:t>En ejercicio de la competencia otorgada por los artículos 3, numeral 5º, y 11, numeral 8º, del Decreto Ley 4170 de 2011,</w:t>
      </w:r>
      <w:r w:rsidRPr="0061306E">
        <w:rPr>
          <w:rFonts w:ascii="Verdana" w:eastAsia="Arial MT" w:hAnsi="Verdana" w:cs="Arial MT"/>
          <w:color w:val="000000" w:themeColor="text1"/>
          <w:lang w:val="es-ES" w:eastAsia="es-ES"/>
        </w:rPr>
        <w:t xml:space="preserve"> </w:t>
      </w:r>
      <w:r w:rsidRPr="0061306E">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remitida a esta entidad por el Ministerio de Hacienda y Crédito Público el 02 de junio de 2026, en la cual manifiesta lo siguiente:</w:t>
      </w:r>
      <w:r w:rsidRPr="0061306E">
        <w:rPr>
          <w:rFonts w:ascii="Verdana" w:eastAsia="Calibri" w:hAnsi="Verdana" w:cs="Arial"/>
          <w:color w:val="000000" w:themeColor="text1"/>
          <w:lang w:val="es-ES" w:eastAsia="es-ES"/>
        </w:rPr>
        <w:t xml:space="preserve"> </w:t>
      </w:r>
    </w:p>
    <w:p w14:paraId="1D7A1178" w14:textId="77777777" w:rsidR="00D10AD0" w:rsidRPr="0061306E" w:rsidRDefault="00D10AD0" w:rsidP="00D10AD0">
      <w:pPr>
        <w:spacing w:after="0" w:line="276" w:lineRule="auto"/>
        <w:jc w:val="both"/>
        <w:rPr>
          <w:rFonts w:ascii="Verdana" w:eastAsia="Calibri" w:hAnsi="Verdana" w:cs="Arial"/>
          <w:color w:val="000000" w:themeColor="text1"/>
          <w:lang w:val="es-ES" w:eastAsia="es-ES"/>
        </w:rPr>
      </w:pPr>
    </w:p>
    <w:p w14:paraId="6EFCD76C"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“los fondos mixtos, creados en el marco de la Ley 489 de 1998 y el Decreto Ley 393 de 1991, se rigen en su actividad contractual por normas de derecho privado, contando con autonomía para adoptar sus propios manuales de contratación. </w:t>
      </w:r>
    </w:p>
    <w:p w14:paraId="74E1383A"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En este contexto, el Fondo Mixto FONTERRITORIO adoptó un Manual de Contratación que regula la </w:t>
      </w:r>
      <w:proofErr w:type="spellStart"/>
      <w:r w:rsidRPr="0061306E">
        <w:rPr>
          <w:rFonts w:ascii="Verdana" w:eastAsia="Century Gothic" w:hAnsi="Verdana" w:cs="Century Gothic"/>
          <w:i/>
          <w:iCs/>
          <w:color w:val="000000" w:themeColor="text1"/>
          <w:sz w:val="20"/>
          <w:szCs w:val="20"/>
          <w:lang w:val="es-ES"/>
        </w:rPr>
        <w:t>constitución</w:t>
      </w:r>
      <w:proofErr w:type="spellEnd"/>
      <w:r w:rsidRPr="0061306E">
        <w:rPr>
          <w:rFonts w:ascii="Verdana" w:eastAsia="Century Gothic" w:hAnsi="Verdana" w:cs="Century Gothic"/>
          <w:i/>
          <w:iCs/>
          <w:color w:val="000000" w:themeColor="text1"/>
          <w:sz w:val="20"/>
          <w:szCs w:val="20"/>
          <w:lang w:val="es-ES"/>
        </w:rPr>
        <w:t xml:space="preserve"> de fiducia para la </w:t>
      </w:r>
      <w:proofErr w:type="spellStart"/>
      <w:r w:rsidRPr="0061306E">
        <w:rPr>
          <w:rFonts w:ascii="Verdana" w:eastAsia="Century Gothic" w:hAnsi="Verdana" w:cs="Century Gothic"/>
          <w:i/>
          <w:iCs/>
          <w:color w:val="000000" w:themeColor="text1"/>
          <w:sz w:val="20"/>
          <w:szCs w:val="20"/>
          <w:lang w:val="es-ES"/>
        </w:rPr>
        <w:t>administración</w:t>
      </w:r>
      <w:proofErr w:type="spellEnd"/>
      <w:r w:rsidRPr="0061306E">
        <w:rPr>
          <w:rFonts w:ascii="Verdana" w:eastAsia="Century Gothic" w:hAnsi="Verdana" w:cs="Century Gothic"/>
          <w:i/>
          <w:iCs/>
          <w:color w:val="000000" w:themeColor="text1"/>
          <w:sz w:val="20"/>
          <w:szCs w:val="20"/>
          <w:lang w:val="es-ES"/>
        </w:rPr>
        <w:t xml:space="preserve"> de anticipos, estableciendo su obligatoriedad bajo ciertas condiciones y contemplando la posibilidad de exceptuarla mediante </w:t>
      </w:r>
      <w:proofErr w:type="spellStart"/>
      <w:r w:rsidRPr="0061306E">
        <w:rPr>
          <w:rFonts w:ascii="Verdana" w:eastAsia="Century Gothic" w:hAnsi="Verdana" w:cs="Century Gothic"/>
          <w:i/>
          <w:iCs/>
          <w:color w:val="000000" w:themeColor="text1"/>
          <w:sz w:val="20"/>
          <w:szCs w:val="20"/>
          <w:lang w:val="es-ES"/>
        </w:rPr>
        <w:t>justificación</w:t>
      </w:r>
      <w:proofErr w:type="spellEnd"/>
      <w:r w:rsidRPr="0061306E">
        <w:rPr>
          <w:rFonts w:ascii="Verdana" w:eastAsia="Century Gothic" w:hAnsi="Verdana" w:cs="Century Gothic"/>
          <w:i/>
          <w:iCs/>
          <w:color w:val="000000" w:themeColor="text1"/>
          <w:sz w:val="20"/>
          <w:szCs w:val="20"/>
          <w:lang w:val="es-ES"/>
        </w:rPr>
        <w:t xml:space="preserve"> </w:t>
      </w:r>
      <w:proofErr w:type="spellStart"/>
      <w:r w:rsidRPr="0061306E">
        <w:rPr>
          <w:rFonts w:ascii="Verdana" w:eastAsia="Century Gothic" w:hAnsi="Verdana" w:cs="Century Gothic"/>
          <w:i/>
          <w:iCs/>
          <w:color w:val="000000" w:themeColor="text1"/>
          <w:sz w:val="20"/>
          <w:szCs w:val="20"/>
          <w:lang w:val="es-ES"/>
        </w:rPr>
        <w:t>técnica</w:t>
      </w:r>
      <w:proofErr w:type="spellEnd"/>
      <w:r w:rsidRPr="0061306E">
        <w:rPr>
          <w:rFonts w:ascii="Verdana" w:eastAsia="Century Gothic" w:hAnsi="Verdana" w:cs="Century Gothic"/>
          <w:i/>
          <w:iCs/>
          <w:color w:val="000000" w:themeColor="text1"/>
          <w:sz w:val="20"/>
          <w:szCs w:val="20"/>
          <w:lang w:val="es-ES"/>
        </w:rPr>
        <w:t xml:space="preserve">, </w:t>
      </w:r>
      <w:r w:rsidRPr="0061306E">
        <w:rPr>
          <w:rFonts w:ascii="Verdana" w:eastAsia="Century Gothic" w:hAnsi="Verdana" w:cs="Century Gothic"/>
          <w:i/>
          <w:iCs/>
          <w:color w:val="000000" w:themeColor="text1"/>
          <w:sz w:val="20"/>
          <w:szCs w:val="20"/>
          <w:lang w:val="es-ES"/>
        </w:rPr>
        <w:lastRenderedPageBreak/>
        <w:t xml:space="preserve">implementando mecanismos alternativos como cuentas bancarias separadas para la </w:t>
      </w:r>
      <w:proofErr w:type="spellStart"/>
      <w:r w:rsidRPr="0061306E">
        <w:rPr>
          <w:rFonts w:ascii="Verdana" w:eastAsia="Century Gothic" w:hAnsi="Verdana" w:cs="Century Gothic"/>
          <w:i/>
          <w:iCs/>
          <w:color w:val="000000" w:themeColor="text1"/>
          <w:sz w:val="20"/>
          <w:szCs w:val="20"/>
          <w:lang w:val="es-ES"/>
        </w:rPr>
        <w:t>administración</w:t>
      </w:r>
      <w:proofErr w:type="spellEnd"/>
      <w:r w:rsidRPr="0061306E">
        <w:rPr>
          <w:rFonts w:ascii="Verdana" w:eastAsia="Century Gothic" w:hAnsi="Verdana" w:cs="Century Gothic"/>
          <w:i/>
          <w:iCs/>
          <w:color w:val="000000" w:themeColor="text1"/>
          <w:sz w:val="20"/>
          <w:szCs w:val="20"/>
          <w:lang w:val="es-ES"/>
        </w:rPr>
        <w:t xml:space="preserve"> de los recursos. </w:t>
      </w:r>
    </w:p>
    <w:p w14:paraId="7F36FBC8"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w:t>
      </w:r>
    </w:p>
    <w:p w14:paraId="7B662B74"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Por otra parte, el artículo 91 de la Ley 1474 de 2011 establece la obligación de constituir fiducia o patrimonio </w:t>
      </w:r>
      <w:proofErr w:type="spellStart"/>
      <w:r w:rsidRPr="0061306E">
        <w:rPr>
          <w:rFonts w:ascii="Verdana" w:eastAsia="Century Gothic" w:hAnsi="Verdana" w:cs="Century Gothic"/>
          <w:i/>
          <w:iCs/>
          <w:color w:val="000000" w:themeColor="text1"/>
          <w:sz w:val="20"/>
          <w:szCs w:val="20"/>
          <w:lang w:val="es-ES"/>
        </w:rPr>
        <w:t>autónomo</w:t>
      </w:r>
      <w:proofErr w:type="spellEnd"/>
      <w:r w:rsidRPr="0061306E">
        <w:rPr>
          <w:rFonts w:ascii="Verdana" w:eastAsia="Century Gothic" w:hAnsi="Verdana" w:cs="Century Gothic"/>
          <w:i/>
          <w:iCs/>
          <w:color w:val="000000" w:themeColor="text1"/>
          <w:sz w:val="20"/>
          <w:szCs w:val="20"/>
          <w:lang w:val="es-ES"/>
        </w:rPr>
        <w:t xml:space="preserve"> para el manejo de anticipos en determinados contratos, como medida de </w:t>
      </w:r>
      <w:proofErr w:type="spellStart"/>
      <w:r w:rsidRPr="0061306E">
        <w:rPr>
          <w:rFonts w:ascii="Verdana" w:eastAsia="Century Gothic" w:hAnsi="Verdana" w:cs="Century Gothic"/>
          <w:i/>
          <w:iCs/>
          <w:color w:val="000000" w:themeColor="text1"/>
          <w:sz w:val="20"/>
          <w:szCs w:val="20"/>
          <w:lang w:val="es-ES"/>
        </w:rPr>
        <w:t>protección</w:t>
      </w:r>
      <w:proofErr w:type="spellEnd"/>
      <w:r w:rsidRPr="0061306E">
        <w:rPr>
          <w:rFonts w:ascii="Verdana" w:eastAsia="Century Gothic" w:hAnsi="Verdana" w:cs="Century Gothic"/>
          <w:i/>
          <w:iCs/>
          <w:color w:val="000000" w:themeColor="text1"/>
          <w:sz w:val="20"/>
          <w:szCs w:val="20"/>
          <w:lang w:val="es-ES"/>
        </w:rPr>
        <w:t xml:space="preserve"> de recursos públicos. </w:t>
      </w:r>
    </w:p>
    <w:p w14:paraId="199DEE77"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En atención a lo anterior, y considerando que los fondos mixtos no adelantan procesos de licitación pública en sentido estricto, sino esquemas de selección como convocatorias abiertas, así como su régimen jurídico especial, se solicita concepto en relación con: </w:t>
      </w:r>
    </w:p>
    <w:p w14:paraId="5AD1FF4E"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1. ¿Resulta aplicable a los fondos mixtos lo dispuesto en el artículo 91 de la Ley 1474 de 2011, aun cuando su régimen contractual sea de derecho privado? </w:t>
      </w:r>
    </w:p>
    <w:p w14:paraId="453C3664"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2. ¿La </w:t>
      </w:r>
      <w:proofErr w:type="spellStart"/>
      <w:r w:rsidRPr="0061306E">
        <w:rPr>
          <w:rFonts w:ascii="Verdana" w:eastAsia="Century Gothic" w:hAnsi="Verdana" w:cs="Century Gothic"/>
          <w:i/>
          <w:iCs/>
          <w:color w:val="000000" w:themeColor="text1"/>
          <w:sz w:val="20"/>
          <w:szCs w:val="20"/>
          <w:lang w:val="es-ES"/>
        </w:rPr>
        <w:t>regulación</w:t>
      </w:r>
      <w:proofErr w:type="spellEnd"/>
      <w:r w:rsidRPr="0061306E">
        <w:rPr>
          <w:rFonts w:ascii="Verdana" w:eastAsia="Century Gothic" w:hAnsi="Verdana" w:cs="Century Gothic"/>
          <w:i/>
          <w:iCs/>
          <w:color w:val="000000" w:themeColor="text1"/>
          <w:sz w:val="20"/>
          <w:szCs w:val="20"/>
          <w:lang w:val="es-ES"/>
        </w:rPr>
        <w:t xml:space="preserve"> interna contenida en los manuales de contratación de los fondos mixtos, en materia de </w:t>
      </w:r>
      <w:proofErr w:type="spellStart"/>
      <w:r w:rsidRPr="0061306E">
        <w:rPr>
          <w:rFonts w:ascii="Verdana" w:eastAsia="Century Gothic" w:hAnsi="Verdana" w:cs="Century Gothic"/>
          <w:i/>
          <w:iCs/>
          <w:color w:val="000000" w:themeColor="text1"/>
          <w:sz w:val="20"/>
          <w:szCs w:val="20"/>
          <w:lang w:val="es-ES"/>
        </w:rPr>
        <w:t>administración</w:t>
      </w:r>
      <w:proofErr w:type="spellEnd"/>
      <w:r w:rsidRPr="0061306E">
        <w:rPr>
          <w:rFonts w:ascii="Verdana" w:eastAsia="Century Gothic" w:hAnsi="Verdana" w:cs="Century Gothic"/>
          <w:i/>
          <w:iCs/>
          <w:color w:val="000000" w:themeColor="text1"/>
          <w:sz w:val="20"/>
          <w:szCs w:val="20"/>
          <w:lang w:val="es-ES"/>
        </w:rPr>
        <w:t xml:space="preserve"> de anticipos, puede entenderse ajustada al ordenamiento jurídico cuando establece condiciones específicas para exigir o exceptuar la </w:t>
      </w:r>
      <w:proofErr w:type="spellStart"/>
      <w:r w:rsidRPr="0061306E">
        <w:rPr>
          <w:rFonts w:ascii="Verdana" w:eastAsia="Century Gothic" w:hAnsi="Verdana" w:cs="Century Gothic"/>
          <w:i/>
          <w:iCs/>
          <w:color w:val="000000" w:themeColor="text1"/>
          <w:sz w:val="20"/>
          <w:szCs w:val="20"/>
          <w:lang w:val="es-ES"/>
        </w:rPr>
        <w:t>constitución</w:t>
      </w:r>
      <w:proofErr w:type="spellEnd"/>
      <w:r w:rsidRPr="0061306E">
        <w:rPr>
          <w:rFonts w:ascii="Verdana" w:eastAsia="Century Gothic" w:hAnsi="Verdana" w:cs="Century Gothic"/>
          <w:i/>
          <w:iCs/>
          <w:color w:val="000000" w:themeColor="text1"/>
          <w:sz w:val="20"/>
          <w:szCs w:val="20"/>
          <w:lang w:val="es-ES"/>
        </w:rPr>
        <w:t xml:space="preserve"> de fiducia? </w:t>
      </w:r>
    </w:p>
    <w:p w14:paraId="31FF791D"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3. ¿La </w:t>
      </w:r>
      <w:proofErr w:type="spellStart"/>
      <w:r w:rsidRPr="0061306E">
        <w:rPr>
          <w:rFonts w:ascii="Verdana" w:eastAsia="Century Gothic" w:hAnsi="Verdana" w:cs="Century Gothic"/>
          <w:i/>
          <w:iCs/>
          <w:color w:val="000000" w:themeColor="text1"/>
          <w:sz w:val="20"/>
          <w:szCs w:val="20"/>
          <w:lang w:val="es-ES"/>
        </w:rPr>
        <w:t>implementación</w:t>
      </w:r>
      <w:proofErr w:type="spellEnd"/>
      <w:r w:rsidRPr="0061306E">
        <w:rPr>
          <w:rFonts w:ascii="Verdana" w:eastAsia="Century Gothic" w:hAnsi="Verdana" w:cs="Century Gothic"/>
          <w:i/>
          <w:iCs/>
          <w:color w:val="000000" w:themeColor="text1"/>
          <w:sz w:val="20"/>
          <w:szCs w:val="20"/>
          <w:lang w:val="es-ES"/>
        </w:rPr>
        <w:t xml:space="preserve"> de mecanismos alternativos de control, tales como cuentas bancarias separadas, </w:t>
      </w:r>
      <w:proofErr w:type="spellStart"/>
      <w:r w:rsidRPr="0061306E">
        <w:rPr>
          <w:rFonts w:ascii="Verdana" w:eastAsia="Century Gothic" w:hAnsi="Verdana" w:cs="Century Gothic"/>
          <w:i/>
          <w:iCs/>
          <w:color w:val="000000" w:themeColor="text1"/>
          <w:sz w:val="20"/>
          <w:szCs w:val="20"/>
          <w:lang w:val="es-ES"/>
        </w:rPr>
        <w:t>aprobación</w:t>
      </w:r>
      <w:proofErr w:type="spellEnd"/>
      <w:r w:rsidRPr="0061306E">
        <w:rPr>
          <w:rFonts w:ascii="Verdana" w:eastAsia="Century Gothic" w:hAnsi="Verdana" w:cs="Century Gothic"/>
          <w:i/>
          <w:iCs/>
          <w:color w:val="000000" w:themeColor="text1"/>
          <w:sz w:val="20"/>
          <w:szCs w:val="20"/>
          <w:lang w:val="es-ES"/>
        </w:rPr>
        <w:t xml:space="preserve"> de planes de manejo por </w:t>
      </w:r>
      <w:proofErr w:type="spellStart"/>
      <w:r w:rsidRPr="0061306E">
        <w:rPr>
          <w:rFonts w:ascii="Verdana" w:eastAsia="Century Gothic" w:hAnsi="Verdana" w:cs="Century Gothic"/>
          <w:i/>
          <w:iCs/>
          <w:color w:val="000000" w:themeColor="text1"/>
          <w:sz w:val="20"/>
          <w:szCs w:val="20"/>
          <w:lang w:val="es-ES"/>
        </w:rPr>
        <w:t>interventoría</w:t>
      </w:r>
      <w:proofErr w:type="spellEnd"/>
      <w:r w:rsidRPr="0061306E">
        <w:rPr>
          <w:rFonts w:ascii="Verdana" w:eastAsia="Century Gothic" w:hAnsi="Verdana" w:cs="Century Gothic"/>
          <w:i/>
          <w:iCs/>
          <w:color w:val="000000" w:themeColor="text1"/>
          <w:sz w:val="20"/>
          <w:szCs w:val="20"/>
          <w:lang w:val="es-ES"/>
        </w:rPr>
        <w:t xml:space="preserve"> y reintegro de rendimientos financieros, puede considerarse suficiente para garantizar la adecuada </w:t>
      </w:r>
      <w:proofErr w:type="spellStart"/>
      <w:r w:rsidRPr="0061306E">
        <w:rPr>
          <w:rFonts w:ascii="Verdana" w:eastAsia="Century Gothic" w:hAnsi="Verdana" w:cs="Century Gothic"/>
          <w:i/>
          <w:iCs/>
          <w:color w:val="000000" w:themeColor="text1"/>
          <w:sz w:val="20"/>
          <w:szCs w:val="20"/>
          <w:lang w:val="es-ES"/>
        </w:rPr>
        <w:t>protección</w:t>
      </w:r>
      <w:proofErr w:type="spellEnd"/>
      <w:r w:rsidRPr="0061306E">
        <w:rPr>
          <w:rFonts w:ascii="Verdana" w:eastAsia="Century Gothic" w:hAnsi="Verdana" w:cs="Century Gothic"/>
          <w:i/>
          <w:iCs/>
          <w:color w:val="000000" w:themeColor="text1"/>
          <w:sz w:val="20"/>
          <w:szCs w:val="20"/>
          <w:lang w:val="es-ES"/>
        </w:rPr>
        <w:t xml:space="preserve"> de los recursos públicos en ausencia de fiducia? </w:t>
      </w:r>
    </w:p>
    <w:p w14:paraId="30D61EC2"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4. ¿La no </w:t>
      </w:r>
      <w:proofErr w:type="spellStart"/>
      <w:r w:rsidRPr="0061306E">
        <w:rPr>
          <w:rFonts w:ascii="Verdana" w:eastAsia="Century Gothic" w:hAnsi="Verdana" w:cs="Century Gothic"/>
          <w:i/>
          <w:iCs/>
          <w:color w:val="000000" w:themeColor="text1"/>
          <w:sz w:val="20"/>
          <w:szCs w:val="20"/>
          <w:lang w:val="es-ES"/>
        </w:rPr>
        <w:t>constitución</w:t>
      </w:r>
      <w:proofErr w:type="spellEnd"/>
      <w:r w:rsidRPr="0061306E">
        <w:rPr>
          <w:rFonts w:ascii="Verdana" w:eastAsia="Century Gothic" w:hAnsi="Verdana" w:cs="Century Gothic"/>
          <w:i/>
          <w:iCs/>
          <w:color w:val="000000" w:themeColor="text1"/>
          <w:sz w:val="20"/>
          <w:szCs w:val="20"/>
          <w:lang w:val="es-ES"/>
        </w:rPr>
        <w:t xml:space="preserve"> de fiducia en contratos donde se entreguen anticipos, bajo las condiciones previamente descritas, </w:t>
      </w:r>
      <w:proofErr w:type="spellStart"/>
      <w:r w:rsidRPr="0061306E">
        <w:rPr>
          <w:rFonts w:ascii="Verdana" w:eastAsia="Century Gothic" w:hAnsi="Verdana" w:cs="Century Gothic"/>
          <w:i/>
          <w:iCs/>
          <w:color w:val="000000" w:themeColor="text1"/>
          <w:sz w:val="20"/>
          <w:szCs w:val="20"/>
          <w:lang w:val="es-ES"/>
        </w:rPr>
        <w:t>podría</w:t>
      </w:r>
      <w:proofErr w:type="spellEnd"/>
      <w:r w:rsidRPr="0061306E">
        <w:rPr>
          <w:rFonts w:ascii="Verdana" w:eastAsia="Century Gothic" w:hAnsi="Verdana" w:cs="Century Gothic"/>
          <w:i/>
          <w:iCs/>
          <w:color w:val="000000" w:themeColor="text1"/>
          <w:sz w:val="20"/>
          <w:szCs w:val="20"/>
          <w:lang w:val="es-ES"/>
        </w:rPr>
        <w:t xml:space="preserve"> generar riesgos de responsabilidad fiscal, disciplinaria o comprometer la defensa jurídica de la entidad y de sus funcionarios? </w:t>
      </w:r>
    </w:p>
    <w:p w14:paraId="2166CE6C"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 xml:space="preserve">5. ¿El hecho de que los procesos de selección no correspondan a licitación pública incide en la exigibilidad de la obligación prevista en la citada norma? </w:t>
      </w:r>
    </w:p>
    <w:p w14:paraId="0009C5D4" w14:textId="77777777" w:rsidR="00D10AD0" w:rsidRPr="0061306E" w:rsidRDefault="00D10AD0" w:rsidP="00D10AD0">
      <w:pPr>
        <w:spacing w:after="0"/>
        <w:ind w:left="709" w:right="709"/>
        <w:contextualSpacing/>
        <w:jc w:val="both"/>
        <w:rPr>
          <w:rFonts w:ascii="Verdana" w:eastAsia="Century Gothic" w:hAnsi="Verdana" w:cs="Century Gothic"/>
          <w:i/>
          <w:iCs/>
          <w:color w:val="000000" w:themeColor="text1"/>
          <w:sz w:val="20"/>
          <w:szCs w:val="20"/>
          <w:lang w:val="es-ES"/>
        </w:rPr>
      </w:pPr>
      <w:r w:rsidRPr="0061306E">
        <w:rPr>
          <w:rFonts w:ascii="Verdana" w:eastAsia="Century Gothic" w:hAnsi="Verdana" w:cs="Century Gothic"/>
          <w:i/>
          <w:iCs/>
          <w:color w:val="000000" w:themeColor="text1"/>
          <w:sz w:val="20"/>
          <w:szCs w:val="20"/>
          <w:lang w:val="es-ES"/>
        </w:rPr>
        <w:t>6. ¿Pueden los fondos mixtos, en ejercicio de su autonomía estatutaria, establecer discrecionalmente la exigencia o no de fiducia en anticipos contractuales, incluso cuando estos no superen los MIL (1000) SMMLV y cuando se trate igual o mayor valor del de 30% del anticipo?”</w:t>
      </w:r>
    </w:p>
    <w:p w14:paraId="11F6F929" w14:textId="77777777" w:rsidR="00D10AD0" w:rsidRPr="0061306E" w:rsidRDefault="00D10AD0" w:rsidP="00D10AD0">
      <w:pPr>
        <w:spacing w:after="0"/>
        <w:ind w:left="709" w:right="709"/>
        <w:contextualSpacing/>
        <w:jc w:val="both"/>
        <w:rPr>
          <w:rFonts w:ascii="Verdana" w:eastAsia="Century Gothic" w:hAnsi="Verdana" w:cs="Century Gothic"/>
          <w:i/>
          <w:color w:val="000000" w:themeColor="text1"/>
          <w:sz w:val="20"/>
          <w:szCs w:val="20"/>
          <w:lang w:val="es-ES"/>
        </w:rPr>
      </w:pPr>
    </w:p>
    <w:p w14:paraId="4AC154A4" w14:textId="77777777" w:rsidR="00D10AD0" w:rsidRPr="0061306E" w:rsidRDefault="00D10AD0" w:rsidP="00D10AD0">
      <w:pPr>
        <w:spacing w:after="0" w:line="276" w:lineRule="auto"/>
        <w:contextualSpacing/>
        <w:jc w:val="both"/>
        <w:rPr>
          <w:rFonts w:ascii="Verdana" w:eastAsia="Calibri" w:hAnsi="Verdana" w:cs="Arial"/>
          <w:color w:val="000000" w:themeColor="text1"/>
          <w:szCs w:val="24"/>
          <w:lang w:val="es-ES" w:eastAsia="es-ES_tradnl"/>
        </w:rPr>
      </w:pPr>
      <w:r w:rsidRPr="0061306E">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w:t>
      </w:r>
      <w:r w:rsidRPr="0061306E">
        <w:rPr>
          <w:rFonts w:ascii="Verdana" w:eastAsia="Calibri" w:hAnsi="Verdana" w:cs="Arial"/>
          <w:color w:val="000000" w:themeColor="text1"/>
          <w:lang w:val="es-ES" w:eastAsia="es-ES"/>
        </w:rPr>
        <w:lastRenderedPageBreak/>
        <w:t xml:space="preserve">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61306E">
        <w:rPr>
          <w:rFonts w:ascii="Verdana" w:eastAsia="Calibri" w:hAnsi="Verdana" w:cs="Arial"/>
          <w:color w:val="000000" w:themeColor="text1"/>
          <w:szCs w:val="24"/>
          <w:lang w:val="es-ES" w:eastAsia="es-ES_tradnl"/>
        </w:rPr>
        <w:tab/>
      </w:r>
    </w:p>
    <w:p w14:paraId="75D8E84B" w14:textId="77777777" w:rsidR="00D10AD0" w:rsidRPr="0061306E" w:rsidRDefault="00D10AD0" w:rsidP="00D10AD0">
      <w:pPr>
        <w:spacing w:before="120" w:after="120" w:line="276" w:lineRule="auto"/>
        <w:ind w:firstLine="709"/>
        <w:jc w:val="both"/>
        <w:rPr>
          <w:rFonts w:ascii="Verdana" w:eastAsia="Calibri" w:hAnsi="Verdana" w:cs="Arial"/>
          <w:color w:val="000000" w:themeColor="text1"/>
          <w:lang w:val="es-ES" w:eastAsia="es-ES"/>
        </w:rPr>
      </w:pPr>
      <w:r w:rsidRPr="0061306E">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1D546F46" w14:textId="77777777" w:rsidR="00D10AD0" w:rsidRPr="0061306E" w:rsidRDefault="00D10AD0" w:rsidP="00D10AD0">
      <w:pPr>
        <w:spacing w:after="0" w:line="276" w:lineRule="auto"/>
        <w:jc w:val="both"/>
        <w:rPr>
          <w:rFonts w:ascii="Verdana" w:eastAsia="Calibri" w:hAnsi="Verdana" w:cs="Arial"/>
          <w:color w:val="000000" w:themeColor="text1"/>
          <w:lang w:val="es-ES" w:eastAsia="es-ES"/>
        </w:rPr>
      </w:pPr>
    </w:p>
    <w:p w14:paraId="4B3D84CE" w14:textId="77777777" w:rsidR="00D10AD0" w:rsidRPr="0061306E" w:rsidRDefault="00D10AD0" w:rsidP="00D10AD0">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61306E">
        <w:rPr>
          <w:rFonts w:ascii="Verdana" w:eastAsia="Century Gothic" w:hAnsi="Verdana" w:cs="Century Gothic"/>
          <w:b/>
          <w:bCs/>
          <w:color w:val="000000" w:themeColor="text1"/>
        </w:rPr>
        <w:t>Problema planteado:</w:t>
      </w:r>
    </w:p>
    <w:p w14:paraId="121CAB68" w14:textId="77777777" w:rsidR="00D10AD0" w:rsidRPr="0061306E" w:rsidRDefault="00D10AD0" w:rsidP="00D10AD0">
      <w:pPr>
        <w:tabs>
          <w:tab w:val="left" w:pos="426"/>
        </w:tabs>
        <w:spacing w:after="0" w:line="276" w:lineRule="auto"/>
        <w:jc w:val="both"/>
        <w:rPr>
          <w:rFonts w:ascii="Verdana" w:eastAsia="Century Gothic" w:hAnsi="Verdana" w:cs="Century Gothic"/>
          <w:color w:val="000000" w:themeColor="text1"/>
          <w:lang w:val="es-ES"/>
        </w:rPr>
      </w:pPr>
    </w:p>
    <w:p w14:paraId="70E85CB7" w14:textId="0ED0B198" w:rsidR="00D10AD0" w:rsidRPr="0061306E" w:rsidRDefault="00D10AD0" w:rsidP="00D10AD0">
      <w:pPr>
        <w:spacing w:after="0" w:line="276" w:lineRule="auto"/>
        <w:jc w:val="both"/>
        <w:rPr>
          <w:rFonts w:ascii="Verdana" w:eastAsia="Century Gothic" w:hAnsi="Verdana" w:cs="Century Gothic"/>
          <w:iCs/>
          <w:color w:val="000000" w:themeColor="text1"/>
          <w:lang w:val="es-ES"/>
        </w:rPr>
      </w:pPr>
      <w:r w:rsidRPr="0061306E">
        <w:rPr>
          <w:rFonts w:ascii="Verdana" w:eastAsia="Century Gothic" w:hAnsi="Verdana" w:cs="Century Gothic"/>
          <w:color w:val="000000" w:themeColor="text1"/>
          <w:lang w:val="es-ES"/>
        </w:rPr>
        <w:t>De acuerdo con el contenido de su solicitud, esta Agencia resolverá el siguiente problema jurídico: ¿</w:t>
      </w:r>
      <w:r w:rsidR="00470EED">
        <w:rPr>
          <w:rFonts w:ascii="Verdana" w:eastAsia="Century Gothic" w:hAnsi="Verdana" w:cs="Century Gothic"/>
          <w:color w:val="000000" w:themeColor="text1"/>
          <w:lang w:val="es-ES"/>
        </w:rPr>
        <w:t>r</w:t>
      </w:r>
      <w:r w:rsidRPr="0061306E">
        <w:rPr>
          <w:rFonts w:ascii="Verdana" w:eastAsia="Century Gothic" w:hAnsi="Verdana" w:cs="Century Gothic"/>
          <w:color w:val="000000" w:themeColor="text1"/>
          <w:lang w:val="es-ES"/>
        </w:rPr>
        <w:t>esulta aplicable a los fondos mixtos lo dispuesto en el artículo 91 de la Ley 1474 de 2011?</w:t>
      </w:r>
    </w:p>
    <w:p w14:paraId="1D39D191" w14:textId="77777777" w:rsidR="00D10AD0" w:rsidRPr="0061306E" w:rsidRDefault="00D10AD0" w:rsidP="00D10AD0">
      <w:pPr>
        <w:spacing w:after="0" w:line="276" w:lineRule="auto"/>
        <w:jc w:val="both"/>
        <w:rPr>
          <w:rFonts w:ascii="Verdana" w:eastAsia="Calibri" w:hAnsi="Verdana" w:cs="Arial"/>
          <w:color w:val="000000" w:themeColor="text1"/>
          <w:lang w:val="es-ES"/>
        </w:rPr>
      </w:pPr>
    </w:p>
    <w:p w14:paraId="4E296F88" w14:textId="77777777" w:rsidR="00D10AD0" w:rsidRPr="0061306E" w:rsidRDefault="00D10AD0" w:rsidP="00D10AD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61306E">
        <w:rPr>
          <w:rFonts w:ascii="Verdana" w:eastAsia="Century Gothic" w:hAnsi="Verdana" w:cs="Century Gothic"/>
          <w:b/>
          <w:bCs/>
          <w:color w:val="000000" w:themeColor="text1"/>
        </w:rPr>
        <w:t>Respuesta:</w:t>
      </w:r>
    </w:p>
    <w:p w14:paraId="26A895AA" w14:textId="77777777" w:rsidR="00D10AD0" w:rsidRPr="0061306E" w:rsidRDefault="00D10AD0" w:rsidP="00D10AD0">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10AD0" w:rsidRPr="0061306E" w14:paraId="76E54007" w14:textId="77777777" w:rsidTr="00887F00">
        <w:tc>
          <w:tcPr>
            <w:tcW w:w="8828" w:type="dxa"/>
          </w:tcPr>
          <w:p w14:paraId="2C826BC2" w14:textId="67CF0259" w:rsidR="00D10AD0" w:rsidRPr="002F5CA6" w:rsidRDefault="00D10AD0" w:rsidP="004A185F">
            <w:pPr>
              <w:spacing w:before="120" w:after="120" w:line="276" w:lineRule="auto"/>
              <w:jc w:val="both"/>
              <w:rPr>
                <w:rFonts w:ascii="Verdana" w:eastAsia="Arial" w:hAnsi="Verdana" w:cs="Arial"/>
                <w:lang w:val="es-ES"/>
              </w:rPr>
            </w:pPr>
            <w:r w:rsidRPr="002F5CA6">
              <w:rPr>
                <w:rFonts w:ascii="Verdana" w:eastAsia="Arial" w:hAnsi="Verdana" w:cs="Arial"/>
                <w:lang w:val="es-ES"/>
              </w:rPr>
              <w:t>El régimen de contratación de los fondos mixtos depende del porcentaje de participación estatal con el que hayan sido constituidos. En efecto, de conformidad con el literal a) del numeral 1 del artículo 2 de la Ley 80 de 1993, las entidades descentralizadas indirectas</w:t>
            </w:r>
            <w:r w:rsidRPr="0061306E">
              <w:rPr>
                <w:rFonts w:ascii="Verdana" w:eastAsia="Arial" w:hAnsi="Verdana" w:cs="Arial"/>
                <w:lang w:val="es-ES"/>
              </w:rPr>
              <w:t xml:space="preserve">, </w:t>
            </w:r>
            <w:r w:rsidRPr="002F5CA6">
              <w:rPr>
                <w:rFonts w:ascii="Verdana" w:eastAsia="Arial" w:hAnsi="Verdana" w:cs="Arial"/>
                <w:lang w:val="es-ES"/>
              </w:rPr>
              <w:t>categoría a la que pertenecen los fondos mixtos</w:t>
            </w:r>
            <w:r w:rsidRPr="0061306E">
              <w:rPr>
                <w:rFonts w:ascii="Verdana" w:eastAsia="Arial" w:hAnsi="Verdana" w:cs="Arial"/>
                <w:lang w:val="es-ES"/>
              </w:rPr>
              <w:t>,</w:t>
            </w:r>
            <w:r w:rsidRPr="002F5CA6">
              <w:rPr>
                <w:rFonts w:ascii="Verdana" w:eastAsia="Arial" w:hAnsi="Verdana" w:cs="Arial"/>
                <w:lang w:val="es-ES"/>
              </w:rPr>
              <w:t xml:space="preserve"> solo tienen la calidad de Entidades Estatales sometidas al </w:t>
            </w:r>
            <w:r w:rsidR="00860673">
              <w:rPr>
                <w:rFonts w:ascii="Verdana" w:eastAsia="Arial" w:hAnsi="Verdana" w:cs="Arial"/>
                <w:lang w:val="es-ES"/>
              </w:rPr>
              <w:t xml:space="preserve">Estatuto General de Contratación de la Administración Pública –en adelante, </w:t>
            </w:r>
            <w:r w:rsidRPr="002F5CA6">
              <w:rPr>
                <w:rFonts w:ascii="Verdana" w:eastAsia="Arial" w:hAnsi="Verdana" w:cs="Arial"/>
                <w:lang w:val="es-ES"/>
              </w:rPr>
              <w:t>EGCAP</w:t>
            </w:r>
            <w:r w:rsidR="00860673">
              <w:rPr>
                <w:rFonts w:ascii="Verdana" w:eastAsia="Arial" w:hAnsi="Verdana" w:cs="Arial"/>
                <w:lang w:val="es-ES"/>
              </w:rPr>
              <w:t>–</w:t>
            </w:r>
            <w:r w:rsidRPr="002F5CA6">
              <w:rPr>
                <w:rFonts w:ascii="Verdana" w:eastAsia="Arial" w:hAnsi="Verdana" w:cs="Arial"/>
                <w:lang w:val="es-ES"/>
              </w:rPr>
              <w:t xml:space="preserve"> cuando el Estado tenga en ellas una participación mayoritaria, esto es, cuando los aportes realizados al momento de su constitución sean superiores al cincuenta por ciento (50%). Por el contrario, cuando la participación estatal sea minoritaria, su contratación no está regida por dicho cuerpo normativo y se someterá al derecho privado, a sus normas de creación, sus estatutos y sus manuales de contratación, sin perjuicio del régimen que la ley disponga en los casos en que lo determine expresamente.</w:t>
            </w:r>
          </w:p>
          <w:p w14:paraId="226CB284" w14:textId="77777777" w:rsidR="00D10AD0" w:rsidRPr="0061306E" w:rsidRDefault="00D10AD0" w:rsidP="00887F00">
            <w:pPr>
              <w:spacing w:after="120" w:line="276" w:lineRule="auto"/>
              <w:ind w:firstLine="738"/>
              <w:jc w:val="both"/>
              <w:rPr>
                <w:rFonts w:ascii="Verdana" w:eastAsia="Arial" w:hAnsi="Verdana" w:cs="Arial"/>
                <w:lang w:val="es-ES"/>
              </w:rPr>
            </w:pPr>
            <w:r w:rsidRPr="002F5CA6">
              <w:rPr>
                <w:rFonts w:ascii="Verdana" w:eastAsia="Arial" w:hAnsi="Verdana" w:cs="Arial"/>
                <w:lang w:val="es-ES"/>
              </w:rPr>
              <w:t xml:space="preserve">En consecuencia, cuando en virtud de la participación estatal minoritaria, o de una norma que así lo disponga, los fondos mixtos se </w:t>
            </w:r>
            <w:r w:rsidRPr="002F5CA6">
              <w:rPr>
                <w:rFonts w:ascii="Verdana" w:eastAsia="Arial" w:hAnsi="Verdana" w:cs="Arial"/>
                <w:lang w:val="es-ES"/>
              </w:rPr>
              <w:lastRenderedPageBreak/>
              <w:t xml:space="preserve">encuentren exceptuados del EGCAP, no les serán aplicables las disposiciones de este régimen relativas a la entrega del anticipo, incluida la obligación de constituir la fiducia o el patrimonio autónomo irrevocable regulada en el artículo 91 de la Ley 1474 de 2011. </w:t>
            </w:r>
          </w:p>
          <w:p w14:paraId="3F093EE8" w14:textId="56592D44" w:rsidR="00D10AD0" w:rsidRPr="0061306E" w:rsidRDefault="00D10AD0" w:rsidP="00887F00">
            <w:pPr>
              <w:spacing w:after="120" w:line="276" w:lineRule="auto"/>
              <w:ind w:firstLine="738"/>
              <w:jc w:val="both"/>
              <w:rPr>
                <w:rFonts w:ascii="Verdana" w:eastAsia="Arial" w:hAnsi="Verdana" w:cs="Arial"/>
                <w:lang w:val="es-ES"/>
              </w:rPr>
            </w:pPr>
            <w:r w:rsidRPr="002F5CA6">
              <w:rPr>
                <w:rFonts w:ascii="Verdana" w:eastAsia="Arial" w:hAnsi="Verdana" w:cs="Arial"/>
                <w:lang w:val="es-ES"/>
              </w:rPr>
              <w:t>Lo anterior, comoquiera que</w:t>
            </w:r>
            <w:r w:rsidRPr="0061306E">
              <w:rPr>
                <w:rFonts w:ascii="Verdana" w:eastAsia="Arial" w:hAnsi="Verdana" w:cs="Arial"/>
                <w:lang w:val="es-ES"/>
              </w:rPr>
              <w:t xml:space="preserve"> </w:t>
            </w:r>
            <w:r w:rsidRPr="002F5CA6">
              <w:rPr>
                <w:rFonts w:ascii="Verdana" w:eastAsia="Arial" w:hAnsi="Verdana" w:cs="Arial"/>
                <w:lang w:val="es-ES"/>
              </w:rPr>
              <w:t>el artículo 91 delimita los eventos en los cuales se debe exigir la constitución de la fiducia o patrimonio autónomo para el manejo del anticipo en los contratos estatales —obra, concesión, salud o los que se realicen por licitación pública—, de manera que en los supuestos que no estén contemplados dentro de este marco legal no es obligatoria su constitución, sin que la norma incluya los contratos sometidos a un régimen especial de contratación</w:t>
            </w:r>
            <w:r w:rsidRPr="0061306E">
              <w:rPr>
                <w:rFonts w:ascii="Verdana" w:eastAsia="Arial" w:hAnsi="Verdana" w:cs="Arial"/>
                <w:lang w:val="es-ES"/>
              </w:rPr>
              <w:t>.</w:t>
            </w:r>
            <w:r w:rsidRPr="002F5CA6">
              <w:rPr>
                <w:rFonts w:ascii="Verdana" w:eastAsia="Arial" w:hAnsi="Verdana" w:cs="Arial"/>
                <w:lang w:val="es-ES"/>
              </w:rPr>
              <w:t xml:space="preserve"> </w:t>
            </w:r>
            <w:r w:rsidRPr="0061306E">
              <w:rPr>
                <w:rFonts w:ascii="Verdana" w:eastAsia="Arial" w:hAnsi="Verdana" w:cs="Arial"/>
                <w:lang w:val="es-ES"/>
              </w:rPr>
              <w:t>En este sentido,</w:t>
            </w:r>
            <w:r w:rsidRPr="002F5CA6">
              <w:rPr>
                <w:rFonts w:ascii="Verdana" w:eastAsia="Arial" w:hAnsi="Verdana" w:cs="Arial"/>
                <w:lang w:val="es-ES"/>
              </w:rPr>
              <w:t xml:space="preserve"> la redacción del artículo se refiere a los contratistas de procesos sometidos al EGCAP, pues alude expresamente a modalidades de selección y conceptos propios de este régimen, como la licitación pública y la definición de menor y mínima cuantía establecida en el artículo 2, numerales 2 y 5, de la Ley 1150 de 2007</w:t>
            </w:r>
            <w:r w:rsidRPr="0061306E">
              <w:rPr>
                <w:rFonts w:ascii="Verdana" w:eastAsia="Arial" w:hAnsi="Verdana" w:cs="Arial"/>
                <w:lang w:val="es-ES"/>
              </w:rPr>
              <w:t>. Muestra de ello es que</w:t>
            </w:r>
            <w:r w:rsidRPr="002F5CA6">
              <w:rPr>
                <w:rFonts w:ascii="Verdana" w:eastAsia="Arial" w:hAnsi="Verdana" w:cs="Arial"/>
                <w:lang w:val="es-ES"/>
              </w:rPr>
              <w:t xml:space="preserve"> la excepción contenida en la expresión «salvo que el contrato sea de menor o mínima cuantía» se extiende a todas las tipologías contractuales enunciadas al inicio del artículo</w:t>
            </w:r>
            <w:r w:rsidRPr="0061306E">
              <w:rPr>
                <w:rFonts w:ascii="Verdana" w:eastAsia="Arial" w:hAnsi="Verdana" w:cs="Arial"/>
                <w:lang w:val="es-ES"/>
              </w:rPr>
              <w:t xml:space="preserve">. Así, una lectura del artículo permite concluir que alude a </w:t>
            </w:r>
            <w:r w:rsidRPr="002F5CA6">
              <w:rPr>
                <w:rFonts w:ascii="Verdana" w:eastAsia="Arial" w:hAnsi="Verdana" w:cs="Arial"/>
                <w:lang w:val="es-ES"/>
              </w:rPr>
              <w:t xml:space="preserve">aspectos propios del régimen de los contratos estatales sometidos a la Ley 80 de 1993, a la Ley 1150 de 2007 y al Decreto 1082 de 2015, regulación que no es aplicable a los contratos </w:t>
            </w:r>
            <w:r w:rsidRPr="0061306E">
              <w:rPr>
                <w:rFonts w:ascii="Verdana" w:eastAsia="Arial" w:hAnsi="Verdana" w:cs="Arial"/>
                <w:lang w:val="es-ES"/>
              </w:rPr>
              <w:t>sometidos a</w:t>
            </w:r>
            <w:r w:rsidRPr="002F5CA6">
              <w:rPr>
                <w:rFonts w:ascii="Verdana" w:eastAsia="Arial" w:hAnsi="Verdana" w:cs="Arial"/>
                <w:lang w:val="es-ES"/>
              </w:rPr>
              <w:t xml:space="preserve">l derecho privado. En ese sentido, en cada caso, los fondos mixtos exceptuados del EGCAP deberán proceder de acuerdo con las reglas que hayan sido estipuladas en </w:t>
            </w:r>
            <w:r w:rsidRPr="0061306E">
              <w:rPr>
                <w:rFonts w:ascii="Verdana" w:eastAsia="Arial" w:hAnsi="Verdana" w:cs="Arial"/>
                <w:lang w:val="es-ES"/>
              </w:rPr>
              <w:t xml:space="preserve">el derecho privado y en su </w:t>
            </w:r>
            <w:r w:rsidRPr="002F5CA6">
              <w:rPr>
                <w:rFonts w:ascii="Verdana" w:eastAsia="Arial" w:hAnsi="Verdana" w:cs="Arial"/>
                <w:lang w:val="es-ES"/>
              </w:rPr>
              <w:t>manual de contratación.</w:t>
            </w:r>
          </w:p>
          <w:p w14:paraId="60BF12A9" w14:textId="77777777" w:rsidR="00D10AD0" w:rsidRPr="002F5CA6" w:rsidRDefault="00D10AD0" w:rsidP="00887F00">
            <w:pPr>
              <w:spacing w:after="120" w:line="276" w:lineRule="auto"/>
              <w:ind w:firstLine="738"/>
              <w:jc w:val="both"/>
              <w:rPr>
                <w:rFonts w:ascii="Verdana" w:eastAsia="Arial" w:hAnsi="Verdana" w:cs="Arial"/>
                <w:lang w:val="es-ES"/>
              </w:rPr>
            </w:pPr>
            <w:r w:rsidRPr="002F5CA6">
              <w:rPr>
                <w:rFonts w:ascii="Verdana" w:eastAsia="Arial" w:hAnsi="Verdana" w:cs="Arial"/>
                <w:lang w:val="es-ES"/>
              </w:rPr>
              <w:t xml:space="preserve">No obstante, la exclusión de que gozan los referidos fondos mixtos frente al régimen jurídico contractual general de las Entidades Estatales no es absoluta ni implica una plena autonomía, toda vez que administran recursos públicos. Conforme al artículo 13 de la Ley 1150 de 2007, las entidades que cuenten con un régimen contractual excepcional aplicarán, en desarrollo de su actividad contractual, acorde con su régimen legal especial, los principios de la función administrativa y de la gestión fiscal de que tratan los artículos 209 y 267 de la Constitución Política, estarán sometidas al régimen de inhabilidades e incompatibilidades previsto legalmente para la contratación estatal y tendrán el deber de publicar su actividad contractual en el SECOP II, o la plataforma que haga sus veces. Esto supone que, en desarrollo de dichos </w:t>
            </w:r>
            <w:r w:rsidRPr="002F5CA6">
              <w:rPr>
                <w:rFonts w:ascii="Verdana" w:eastAsia="Arial" w:hAnsi="Verdana" w:cs="Arial"/>
                <w:lang w:val="es-ES"/>
              </w:rPr>
              <w:lastRenderedPageBreak/>
              <w:t>principios, los fondos mixtos deberán adoptar, en sus estatutos, reglamentos internos o manuales de contratación, medidas adecuadas y proporcionales para la protección y correcta administración de los recursos públicos que entreguen en calidad de anticipo.</w:t>
            </w:r>
          </w:p>
          <w:p w14:paraId="1D3BC912" w14:textId="26E4A75E" w:rsidR="00D10AD0" w:rsidRPr="0061306E" w:rsidRDefault="00D10AD0" w:rsidP="00887F00">
            <w:pPr>
              <w:spacing w:after="120" w:line="276" w:lineRule="auto"/>
              <w:ind w:firstLine="738"/>
              <w:jc w:val="both"/>
              <w:rPr>
                <w:rFonts w:ascii="Verdana" w:eastAsia="Arial" w:hAnsi="Verdana" w:cs="Arial"/>
                <w:lang w:val="es-ES"/>
              </w:rPr>
            </w:pPr>
            <w:r w:rsidRPr="002F5CA6">
              <w:rPr>
                <w:rFonts w:ascii="Verdana" w:eastAsia="Arial" w:hAnsi="Verdana" w:cs="Arial"/>
                <w:lang w:val="es-ES"/>
              </w:rPr>
              <w:t xml:space="preserve">Sin perjuicio de lo anterior, existen </w:t>
            </w:r>
            <w:r w:rsidR="00B75DDB">
              <w:rPr>
                <w:rFonts w:ascii="Verdana" w:eastAsia="Arial" w:hAnsi="Verdana" w:cs="Arial"/>
                <w:lang w:val="es-ES"/>
              </w:rPr>
              <w:t>al menos</w:t>
            </w:r>
            <w:r w:rsidRPr="002F5CA6">
              <w:rPr>
                <w:rFonts w:ascii="Verdana" w:eastAsia="Arial" w:hAnsi="Verdana" w:cs="Arial"/>
                <w:lang w:val="es-ES"/>
              </w:rPr>
              <w:t xml:space="preserve"> dos supuestos en los que los fondos mixtos, aun estando exceptuados del EGCAP, deberán seguir las normas del Estatuto en materia de anticipo. El primero corresponde a la ejecución de proyectos de inversión financiados con recursos del Sistema General de Regalías pues, conforme al parágrafo primero del artículo 37 de la Ley 2056 de 2020 —norma especial en lo relativo a la ejecución de estos recursos—, los fondos mixtos que actúen como ejecutores de las asignaciones a las que se refieren los artículos 35 y 36 de dicha ley deberán aplicar las disposiciones de las Leyes 80 de 1993, 1150 de 2007 y 1474 de 2011, así como el Decreto 1082 de 2015, para el desarrollo de la contratación que se requiera realizar para la ejecución de los proyectos de inversión que tienen a su cargo, sin que ello mute a perpetuidad o de manera general su régimen contractual. </w:t>
            </w:r>
          </w:p>
          <w:p w14:paraId="199D6BB1" w14:textId="77777777" w:rsidR="00D10AD0" w:rsidRPr="0061306E" w:rsidRDefault="00D10AD0" w:rsidP="00887F00">
            <w:pPr>
              <w:spacing w:after="120" w:line="276" w:lineRule="auto"/>
              <w:ind w:firstLine="738"/>
              <w:jc w:val="both"/>
              <w:rPr>
                <w:rFonts w:ascii="Verdana" w:eastAsia="Arial" w:hAnsi="Verdana" w:cs="Arial"/>
                <w:lang w:val="es-ES"/>
              </w:rPr>
            </w:pPr>
            <w:r w:rsidRPr="002F5CA6">
              <w:rPr>
                <w:rFonts w:ascii="Verdana" w:eastAsia="Arial" w:hAnsi="Verdana" w:cs="Arial"/>
                <w:lang w:val="es-ES"/>
              </w:rPr>
              <w:t>El segundo</w:t>
            </w:r>
            <w:r w:rsidRPr="0061306E">
              <w:rPr>
                <w:rFonts w:ascii="Verdana" w:eastAsia="Arial" w:hAnsi="Verdana" w:cs="Arial"/>
                <w:lang w:val="es-ES"/>
              </w:rPr>
              <w:t xml:space="preserve"> supuesto</w:t>
            </w:r>
            <w:r w:rsidRPr="002F5CA6">
              <w:rPr>
                <w:rFonts w:ascii="Verdana" w:eastAsia="Arial" w:hAnsi="Verdana" w:cs="Arial"/>
                <w:lang w:val="es-ES"/>
              </w:rPr>
              <w:t xml:space="preserve"> se presenta cuando, en virtud del artículo 56 de la Ley 2195 de 2022, los fondos mixtos celebren contratos o convenios interadministrativos o de cualquier otra índole con entidades estatales sometidas al EGCAP y, en cumplimiento de estos, deban subcontratar bienes, obras o servicios cobijados por los documentos tipo adoptados por esta Agencia, caso en el cual deberán adelantar los procedimientos de selección y celebrar los respectivos contratos implementando los documentos tipo y aplicando las disposiciones del EGCAP, sin que les resulte extensible la excepción prevista en el parágrafo de dicho artículo, comoquiera que esta se determina en consideración a la naturaleza jurídica de los sujetos que allí se mencionan.</w:t>
            </w:r>
          </w:p>
          <w:p w14:paraId="473928F6" w14:textId="4BF783CB" w:rsidR="000307EE" w:rsidRPr="0061306E" w:rsidRDefault="00D10AD0" w:rsidP="000307EE">
            <w:pPr>
              <w:spacing w:after="120" w:line="276" w:lineRule="auto"/>
              <w:ind w:firstLine="738"/>
              <w:jc w:val="both"/>
              <w:rPr>
                <w:rFonts w:ascii="Verdana" w:eastAsia="Arial" w:hAnsi="Verdana" w:cs="Arial"/>
                <w:lang w:val="es-ES"/>
              </w:rPr>
            </w:pPr>
            <w:r w:rsidRPr="0061306E">
              <w:rPr>
                <w:rFonts w:ascii="Verdana" w:eastAsia="Arial" w:hAnsi="Verdana" w:cs="Arial"/>
                <w:lang w:val="es-ES"/>
              </w:rPr>
              <w:t>Al margen de lo expuesto,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w:t>
            </w:r>
            <w:r w:rsidR="00A86BEF" w:rsidRPr="00A86BEF">
              <w:t xml:space="preserve"> </w:t>
            </w:r>
            <w:r w:rsidR="00A86BEF" w:rsidRPr="00A86BEF">
              <w:rPr>
                <w:rFonts w:ascii="Verdana" w:eastAsia="Arial" w:hAnsi="Verdana" w:cs="Arial"/>
              </w:rPr>
              <w:t xml:space="preserve">la solución de situaciones </w:t>
            </w:r>
            <w:r w:rsidR="00A86BEF" w:rsidRPr="00A86BEF">
              <w:rPr>
                <w:rFonts w:ascii="Verdana" w:eastAsia="Arial" w:hAnsi="Verdana" w:cs="Arial"/>
              </w:rPr>
              <w:lastRenderedPageBreak/>
              <w:t>particulares corresponderá a los interesados y, en caso de conflicto, a las autoridades judiciales, fiscales y disciplinarias</w:t>
            </w:r>
            <w:r w:rsidRPr="0061306E">
              <w:rPr>
                <w:rFonts w:ascii="Verdana" w:eastAsia="Arial" w:hAnsi="Verdana" w:cs="Arial"/>
                <w:lang w:val="es-ES"/>
              </w:rPr>
              <w:t xml:space="preserve">. </w:t>
            </w:r>
          </w:p>
        </w:tc>
      </w:tr>
    </w:tbl>
    <w:p w14:paraId="53D64481" w14:textId="77777777" w:rsidR="00D10AD0" w:rsidRPr="0061306E" w:rsidRDefault="00D10AD0" w:rsidP="00D10AD0">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E0EDB5C" w14:textId="77777777" w:rsidR="00D10AD0" w:rsidRPr="0061306E" w:rsidRDefault="00D10AD0" w:rsidP="00D10AD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61306E">
        <w:rPr>
          <w:rFonts w:ascii="Verdana" w:eastAsia="Century Gothic" w:hAnsi="Verdana" w:cs="Century Gothic"/>
          <w:b/>
          <w:bCs/>
          <w:color w:val="000000" w:themeColor="text1"/>
        </w:rPr>
        <w:t>Razones de la respuesta:</w:t>
      </w:r>
    </w:p>
    <w:p w14:paraId="7B0231BC" w14:textId="77777777" w:rsidR="00D10AD0" w:rsidRPr="0061306E" w:rsidRDefault="00D10AD0" w:rsidP="00D10AD0">
      <w:pPr>
        <w:spacing w:after="0" w:line="276" w:lineRule="auto"/>
        <w:jc w:val="both"/>
        <w:rPr>
          <w:rFonts w:ascii="Verdana" w:eastAsia="Calibri" w:hAnsi="Verdana" w:cs="Arial"/>
          <w:color w:val="000000" w:themeColor="text1"/>
          <w:lang w:val="es-ES"/>
        </w:rPr>
      </w:pPr>
    </w:p>
    <w:p w14:paraId="1E3AE6EB" w14:textId="77777777" w:rsidR="00D10AD0" w:rsidRPr="0061306E" w:rsidRDefault="00D10AD0" w:rsidP="00D10AD0">
      <w:pPr>
        <w:spacing w:after="0" w:line="276" w:lineRule="auto"/>
        <w:jc w:val="both"/>
        <w:rPr>
          <w:rFonts w:ascii="Verdana" w:eastAsia="Calibri" w:hAnsi="Verdana" w:cs="Arial"/>
          <w:color w:val="000000" w:themeColor="text1"/>
          <w:lang w:val="es-ES"/>
        </w:rPr>
      </w:pPr>
      <w:r w:rsidRPr="0061306E">
        <w:rPr>
          <w:rFonts w:ascii="Verdana" w:eastAsia="Calibri" w:hAnsi="Verdana" w:cs="Arial"/>
          <w:color w:val="000000" w:themeColor="text1"/>
          <w:lang w:val="es-ES"/>
        </w:rPr>
        <w:t xml:space="preserve">Lo anterior se sustenta en las siguientes consideraciones: </w:t>
      </w:r>
    </w:p>
    <w:p w14:paraId="54B99552" w14:textId="77777777" w:rsidR="00D10AD0" w:rsidRPr="0061306E" w:rsidRDefault="00D10AD0" w:rsidP="00D10AD0">
      <w:pPr>
        <w:spacing w:after="0" w:line="276" w:lineRule="auto"/>
        <w:jc w:val="both"/>
        <w:rPr>
          <w:rFonts w:ascii="Verdana" w:eastAsia="Calibri" w:hAnsi="Verdana" w:cs="Arial"/>
          <w:lang w:val="es-ES"/>
        </w:rPr>
      </w:pPr>
    </w:p>
    <w:p w14:paraId="6EA23D5C" w14:textId="7259EB0C" w:rsidR="00D10AD0" w:rsidRPr="0061306E" w:rsidRDefault="00D10AD0" w:rsidP="00D10AD0">
      <w:pPr>
        <w:spacing w:after="120" w:line="276" w:lineRule="auto"/>
        <w:ind w:right="177"/>
        <w:jc w:val="both"/>
        <w:rPr>
          <w:rFonts w:ascii="Verdana" w:eastAsia="Times New Roman" w:hAnsi="Verdana" w:cs="Arial"/>
          <w:lang w:val="es-ES" w:eastAsia="es-MX"/>
        </w:rPr>
      </w:pPr>
      <w:r w:rsidRPr="0061306E">
        <w:rPr>
          <w:rFonts w:ascii="Verdana" w:eastAsia="Calibri" w:hAnsi="Verdana" w:cs="Arial"/>
          <w:bCs/>
          <w:lang w:val="es-ES"/>
        </w:rPr>
        <w:t>i.</w:t>
      </w:r>
      <w:r w:rsidRPr="0061306E">
        <w:rPr>
          <w:rFonts w:ascii="Verdana" w:eastAsia="Calibri" w:hAnsi="Verdana" w:cs="Arial"/>
          <w:color w:val="000000"/>
          <w:lang w:val="es-ES"/>
        </w:rPr>
        <w:t xml:space="preserve"> </w:t>
      </w:r>
      <w:r w:rsidRPr="0061306E">
        <w:rPr>
          <w:rFonts w:ascii="Verdana" w:eastAsia="Times New Roman" w:hAnsi="Verdana" w:cs="Arial"/>
          <w:lang w:val="es-ES" w:eastAsia="es-MX"/>
        </w:rPr>
        <w:t>E</w:t>
      </w:r>
      <w:r w:rsidRPr="0061306E">
        <w:rPr>
          <w:rFonts w:ascii="Verdana" w:eastAsia="Times New Roman" w:hAnsi="Verdana" w:cs="Arial"/>
          <w:color w:val="000000" w:themeColor="text1"/>
          <w:lang w:val="es-ES" w:eastAsia="es-ES_tradnl"/>
        </w:rPr>
        <w:t>l ámbito de aplicación del Estatuto General de Contratación de la Administración Pública se encuentra en gran medida determinado por lo dispuesto en el artículo 2 de la Ley 80 de 1993; dicha norma, consta de tres numerales a través de los cuales identifica las Entidades Estatales, servidores públicos y servicios que se encuentran sometid</w:t>
      </w:r>
      <w:r w:rsidR="00C92EF6">
        <w:rPr>
          <w:rFonts w:ascii="Verdana" w:eastAsia="Times New Roman" w:hAnsi="Verdana" w:cs="Arial"/>
          <w:color w:val="000000" w:themeColor="text1"/>
          <w:lang w:val="es-ES" w:eastAsia="es-ES_tradnl"/>
        </w:rPr>
        <w:t>o</w:t>
      </w:r>
      <w:r w:rsidRPr="0061306E">
        <w:rPr>
          <w:rFonts w:ascii="Verdana" w:eastAsia="Times New Roman" w:hAnsi="Verdana" w:cs="Arial"/>
          <w:color w:val="000000" w:themeColor="text1"/>
          <w:lang w:val="es-ES" w:eastAsia="es-ES_tradnl"/>
        </w:rPr>
        <w:t>s a este régimen. Al respecto, resulta relevante lo dispuesto en el literal a) del numeral 1, el cual dispone:</w:t>
      </w:r>
    </w:p>
    <w:p w14:paraId="6118D2B4" w14:textId="77777777" w:rsidR="00D10AD0" w:rsidRPr="0061306E" w:rsidRDefault="00D10AD0" w:rsidP="00D10AD0">
      <w:pPr>
        <w:spacing w:after="0" w:line="240" w:lineRule="auto"/>
        <w:ind w:left="709" w:right="709"/>
        <w:contextualSpacing/>
        <w:jc w:val="both"/>
        <w:rPr>
          <w:rFonts w:ascii="Verdana" w:eastAsia="Times New Roman" w:hAnsi="Verdana" w:cs="Arial"/>
          <w:color w:val="000000" w:themeColor="text1"/>
          <w:sz w:val="20"/>
          <w:szCs w:val="20"/>
          <w:lang w:val="es-ES" w:eastAsia="es-ES_tradnl"/>
        </w:rPr>
      </w:pPr>
      <w:r w:rsidRPr="0061306E">
        <w:rPr>
          <w:rFonts w:ascii="Verdana" w:hAnsi="Verdana" w:cs="Arial"/>
          <w:color w:val="000000"/>
          <w:sz w:val="20"/>
          <w:szCs w:val="20"/>
          <w:lang w:val="es-ES"/>
        </w:rPr>
        <w:t>“[…] Artículo 2o. De la definición de entidades, servidores y servicios públicos.</w:t>
      </w:r>
      <w:r w:rsidRPr="0061306E">
        <w:rPr>
          <w:rFonts w:ascii="Verdana" w:hAnsi="Verdana" w:cs="Arial"/>
          <w:b/>
          <w:bCs/>
          <w:color w:val="000000"/>
          <w:sz w:val="20"/>
          <w:szCs w:val="20"/>
          <w:lang w:val="es-ES"/>
        </w:rPr>
        <w:t xml:space="preserve"> </w:t>
      </w:r>
      <w:r w:rsidRPr="0061306E">
        <w:rPr>
          <w:rFonts w:ascii="Verdana" w:hAnsi="Verdana" w:cs="Arial"/>
          <w:color w:val="000000"/>
          <w:sz w:val="20"/>
          <w:szCs w:val="20"/>
          <w:lang w:val="es-ES"/>
        </w:rPr>
        <w:t>Para los solos efectos de esta ley: </w:t>
      </w:r>
    </w:p>
    <w:p w14:paraId="10582CF8" w14:textId="77777777" w:rsidR="00D10AD0" w:rsidRPr="0061306E" w:rsidRDefault="00D10AD0" w:rsidP="00D10AD0">
      <w:pPr>
        <w:spacing w:after="0" w:line="240" w:lineRule="auto"/>
        <w:ind w:left="709" w:right="709"/>
        <w:contextualSpacing/>
        <w:jc w:val="both"/>
        <w:rPr>
          <w:rFonts w:ascii="Verdana" w:eastAsia="Times New Roman" w:hAnsi="Verdana" w:cs="Arial"/>
          <w:color w:val="000000"/>
          <w:sz w:val="20"/>
          <w:szCs w:val="20"/>
          <w:lang w:val="es-ES" w:eastAsia="es-CO"/>
        </w:rPr>
      </w:pPr>
      <w:r w:rsidRPr="0061306E">
        <w:rPr>
          <w:rFonts w:ascii="Verdana" w:eastAsia="Times New Roman" w:hAnsi="Verdana" w:cs="Arial"/>
          <w:color w:val="000000"/>
          <w:sz w:val="20"/>
          <w:szCs w:val="20"/>
          <w:lang w:val="es-ES" w:eastAsia="es-CO"/>
        </w:rPr>
        <w:t>1o. Se denominan entidades estatales: </w:t>
      </w:r>
    </w:p>
    <w:p w14:paraId="21C1D6F3" w14:textId="77777777" w:rsidR="00D10AD0" w:rsidRPr="0061306E" w:rsidRDefault="00D10AD0" w:rsidP="00D10AD0">
      <w:pPr>
        <w:spacing w:after="0" w:line="240" w:lineRule="auto"/>
        <w:ind w:left="709" w:right="709"/>
        <w:contextualSpacing/>
        <w:jc w:val="both"/>
        <w:rPr>
          <w:rFonts w:ascii="Verdana" w:eastAsia="Times New Roman" w:hAnsi="Verdana" w:cs="Arial"/>
          <w:color w:val="000000"/>
          <w:sz w:val="20"/>
          <w:szCs w:val="20"/>
          <w:lang w:val="es-ES" w:eastAsia="es-CO"/>
        </w:rPr>
      </w:pPr>
      <w:r w:rsidRPr="0061306E">
        <w:rPr>
          <w:rFonts w:ascii="Verdana" w:eastAsia="Times New Roman" w:hAnsi="Verdana" w:cs="Arial"/>
          <w:color w:val="000000"/>
          <w:sz w:val="20"/>
          <w:szCs w:val="20"/>
          <w:lang w:val="es-ES" w:eastAsia="es-CO"/>
        </w:rPr>
        <w:t xml:space="preserve">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w:t>
      </w:r>
      <w:r w:rsidRPr="0061306E">
        <w:rPr>
          <w:rFonts w:ascii="Verdana" w:eastAsia="Times New Roman" w:hAnsi="Verdana" w:cs="Arial"/>
          <w:i/>
          <w:iCs/>
          <w:color w:val="000000"/>
          <w:sz w:val="20"/>
          <w:szCs w:val="20"/>
          <w:u w:val="single"/>
          <w:lang w:val="es-ES" w:eastAsia="es-CO"/>
        </w:rPr>
        <w:t>así como las entidades descentralizadas indirectas y las demás personas jurídicas en las que exista dicha participación pública mayoritaria</w:t>
      </w:r>
      <w:r w:rsidRPr="0061306E">
        <w:rPr>
          <w:rFonts w:ascii="Verdana" w:eastAsia="Times New Roman" w:hAnsi="Verdana" w:cs="Arial"/>
          <w:i/>
          <w:iCs/>
          <w:color w:val="000000"/>
          <w:sz w:val="20"/>
          <w:szCs w:val="20"/>
          <w:lang w:val="es-ES" w:eastAsia="es-CO"/>
        </w:rPr>
        <w:t>, cualquiera sea la denominación que ellas adopten, en todos los órdenes y niveles </w:t>
      </w:r>
      <w:r w:rsidRPr="0061306E">
        <w:rPr>
          <w:rFonts w:ascii="Verdana" w:eastAsia="Times New Roman" w:hAnsi="Verdana" w:cs="Arial"/>
          <w:color w:val="000000"/>
          <w:sz w:val="20"/>
          <w:szCs w:val="20"/>
          <w:lang w:val="es-ES" w:eastAsia="es-CO"/>
        </w:rPr>
        <w:t xml:space="preserve">[…]” [Énfasis fuera de texto] </w:t>
      </w:r>
    </w:p>
    <w:p w14:paraId="245FEC3D" w14:textId="77777777" w:rsidR="00D10AD0" w:rsidRPr="0061306E" w:rsidRDefault="00D10AD0" w:rsidP="00D10AD0">
      <w:pPr>
        <w:spacing w:after="0" w:line="240" w:lineRule="auto"/>
        <w:ind w:left="709" w:right="709"/>
        <w:contextualSpacing/>
        <w:jc w:val="both"/>
        <w:rPr>
          <w:rFonts w:ascii="Verdana" w:eastAsia="Times New Roman" w:hAnsi="Verdana" w:cs="Arial"/>
          <w:color w:val="000000"/>
          <w:sz w:val="20"/>
          <w:szCs w:val="20"/>
          <w:lang w:val="es-ES" w:eastAsia="es-CO"/>
        </w:rPr>
      </w:pPr>
    </w:p>
    <w:p w14:paraId="0EF6B056" w14:textId="77777777" w:rsidR="00D10AD0" w:rsidRPr="0061306E" w:rsidRDefault="00D10AD0" w:rsidP="00D10AD0">
      <w:pPr>
        <w:spacing w:after="120" w:line="276" w:lineRule="auto"/>
        <w:ind w:firstLine="708"/>
        <w:jc w:val="both"/>
        <w:rPr>
          <w:rFonts w:ascii="Verdana" w:eastAsia="Times New Roman" w:hAnsi="Verdana" w:cs="Arial"/>
          <w:lang w:val="es-ES" w:eastAsia="es-MX"/>
        </w:rPr>
      </w:pPr>
      <w:r w:rsidRPr="0061306E">
        <w:rPr>
          <w:rFonts w:ascii="Verdana" w:eastAsia="Times New Roman" w:hAnsi="Verdana" w:cs="Arial"/>
          <w:lang w:val="es-ES" w:eastAsia="es-MX"/>
        </w:rPr>
        <w:t xml:space="preserve">De acuerdo con lo anterior, entidades como la Nación, los departamentos, municipios, establecimientos públicos y asociaciones de municipios, obedecen a la noción de entidades estatales establecida por el literal </w:t>
      </w:r>
      <w:bookmarkStart w:id="1" w:name="_Hlk167866735"/>
      <w:r w:rsidRPr="0061306E">
        <w:rPr>
          <w:rFonts w:ascii="Verdana" w:eastAsia="Times New Roman" w:hAnsi="Verdana" w:cs="Arial"/>
          <w:lang w:val="es-ES" w:eastAsia="es-MX"/>
        </w:rPr>
        <w:t xml:space="preserve">a) del numeral 1 del artículo 2 de la Ley 80 de 1993, por lo que se encuentran sujetas a este régimen de contratación pública. En principio, lo mismo puede decirse de las empresas industriales y comerciales del Estado, las sociedades de economía mixta en las que el Estado tenga una participación superior al cincuenta por ciento (50%), las </w:t>
      </w:r>
      <w:r w:rsidRPr="0061306E">
        <w:rPr>
          <w:rFonts w:ascii="Verdana" w:eastAsia="Times New Roman" w:hAnsi="Verdana" w:cs="Arial"/>
          <w:i/>
          <w:iCs/>
          <w:lang w:val="es-ES" w:eastAsia="es-MX"/>
        </w:rPr>
        <w:t>entidades descentralizadas indirectas y las demás p</w:t>
      </w:r>
      <w:bookmarkEnd w:id="1"/>
      <w:r w:rsidRPr="0061306E">
        <w:rPr>
          <w:rFonts w:ascii="Verdana" w:eastAsia="Times New Roman" w:hAnsi="Verdana" w:cs="Arial"/>
          <w:i/>
          <w:iCs/>
          <w:lang w:val="es-ES" w:eastAsia="es-MX"/>
        </w:rPr>
        <w:t>ersonas jurídicas en las que exista una participación pública mayoritaria</w:t>
      </w:r>
      <w:r w:rsidRPr="0061306E">
        <w:rPr>
          <w:rFonts w:ascii="Verdana" w:eastAsia="Times New Roman" w:hAnsi="Verdana" w:cs="Arial"/>
          <w:lang w:val="es-ES" w:eastAsia="es-MX"/>
        </w:rPr>
        <w:t>.</w:t>
      </w:r>
    </w:p>
    <w:p w14:paraId="28D7945B" w14:textId="7269163B" w:rsidR="00D10AD0" w:rsidRPr="0061306E" w:rsidRDefault="00D10AD0" w:rsidP="00D10AD0">
      <w:pPr>
        <w:spacing w:after="120" w:line="276" w:lineRule="auto"/>
        <w:ind w:firstLine="708"/>
        <w:jc w:val="both"/>
        <w:rPr>
          <w:rFonts w:ascii="Verdana" w:eastAsia="Times New Roman" w:hAnsi="Verdana" w:cs="Arial"/>
          <w:lang w:val="es-ES" w:eastAsia="es-MX"/>
        </w:rPr>
      </w:pPr>
      <w:r w:rsidRPr="0061306E">
        <w:rPr>
          <w:rFonts w:ascii="Verdana" w:eastAsia="Times New Roman" w:hAnsi="Verdana" w:cs="Arial"/>
          <w:lang w:val="es-ES" w:eastAsia="es-MX"/>
        </w:rPr>
        <w:t xml:space="preserve">Sin perjuicio de lo dispuesto en los artículos 1 y 2 de la Ley 80 de 1993, la aplicabilidad del EGCAP a las empresas industriales </w:t>
      </w:r>
      <w:r w:rsidR="00AF4185">
        <w:rPr>
          <w:rFonts w:ascii="Verdana" w:eastAsia="Times New Roman" w:hAnsi="Verdana" w:cs="Arial"/>
          <w:lang w:val="es-ES" w:eastAsia="es-MX"/>
        </w:rPr>
        <w:t xml:space="preserve">y </w:t>
      </w:r>
      <w:r w:rsidRPr="0061306E">
        <w:rPr>
          <w:rFonts w:ascii="Verdana" w:eastAsia="Times New Roman" w:hAnsi="Verdana" w:cs="Arial"/>
          <w:lang w:val="es-ES" w:eastAsia="es-MX"/>
        </w:rPr>
        <w:t xml:space="preserve">comerciales del Estado, </w:t>
      </w:r>
      <w:r w:rsidRPr="0061306E">
        <w:rPr>
          <w:rFonts w:ascii="Verdana" w:eastAsia="Times New Roman" w:hAnsi="Verdana" w:cs="Arial"/>
          <w:lang w:val="es-ES" w:eastAsia="es-MX"/>
        </w:rPr>
        <w:lastRenderedPageBreak/>
        <w:t xml:space="preserve">sociedades de economía mixta y entidades descentralizadas indirectas también está determinada por el artículo 14 de la Ley 1150 de 2007. Esta norma exceptúa a las referidas entidades de la aplicación del régimen contractual público en consideración al desarrollo de actividades comerciales en competencia con el sector privado o en mercados regulados. El texto es el siguiente:  </w:t>
      </w:r>
    </w:p>
    <w:p w14:paraId="71633AFA" w14:textId="77777777" w:rsidR="00D10AD0" w:rsidRPr="0061306E" w:rsidRDefault="00D10AD0" w:rsidP="00D10AD0">
      <w:pPr>
        <w:spacing w:after="0" w:line="240" w:lineRule="auto"/>
        <w:ind w:left="709" w:right="709"/>
        <w:jc w:val="both"/>
        <w:rPr>
          <w:rFonts w:ascii="Verdana" w:eastAsia="Calibri" w:hAnsi="Verdana" w:cs="Arial"/>
          <w:color w:val="000000" w:themeColor="text1"/>
          <w:sz w:val="20"/>
          <w:szCs w:val="20"/>
        </w:rPr>
      </w:pPr>
      <w:r w:rsidRPr="60FB409F">
        <w:rPr>
          <w:rFonts w:ascii="Verdana" w:eastAsia="Calibri" w:hAnsi="Verdana" w:cs="Arial"/>
          <w:color w:val="000000" w:themeColor="text1"/>
          <w:sz w:val="20"/>
          <w:szCs w:val="20"/>
        </w:rPr>
        <w:t xml:space="preserve">“Artículo 14. Modificado por la Ley 1474 de 2011.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estarán sometidas al Estatuto General de Contratación de la Administración Pública, </w:t>
      </w:r>
      <w:r w:rsidRPr="60FB409F">
        <w:rPr>
          <w:rFonts w:ascii="Verdana" w:eastAsia="Calibri" w:hAnsi="Verdana" w:cs="Arial"/>
          <w:i/>
          <w:color w:val="000000" w:themeColor="text1"/>
          <w:sz w:val="20"/>
          <w:szCs w:val="20"/>
        </w:rPr>
        <w:t xml:space="preserve">con excepción de aquellas que desarrollen actividades comerciales en competencia con el sector privado y/o público, nacional o internacional o en mercados regulados, caso en el cual se regirán por las disposiciones legales y reglamentarias aplicables a sus actividades económicas y comerciales, sin perjuicio de lo previsto en el artículo 13 de la presente ley. </w:t>
      </w:r>
      <w:r w:rsidRPr="60FB409F">
        <w:rPr>
          <w:rFonts w:ascii="Verdana" w:eastAsia="Calibri" w:hAnsi="Verdana" w:cs="Arial"/>
          <w:color w:val="000000" w:themeColor="text1"/>
          <w:sz w:val="20"/>
          <w:szCs w:val="20"/>
        </w:rPr>
        <w:t>Se exceptúan los contratos de ciencia y tecnología, que se regirán por la Ley 29 de 1990 y las disposiciones normativas existentes.”[Énfasis fuera de texto]</w:t>
      </w:r>
    </w:p>
    <w:p w14:paraId="06DA7372" w14:textId="77777777" w:rsidR="00D10AD0" w:rsidRPr="0061306E" w:rsidRDefault="00D10AD0" w:rsidP="00D10AD0">
      <w:pPr>
        <w:spacing w:after="0" w:line="276" w:lineRule="auto"/>
        <w:jc w:val="both"/>
        <w:rPr>
          <w:rFonts w:ascii="Century Gothic" w:eastAsia="Calibri" w:hAnsi="Century Gothic" w:cs="Arial"/>
          <w:color w:val="000000" w:themeColor="text1"/>
          <w:lang w:val="es-ES"/>
        </w:rPr>
      </w:pPr>
    </w:p>
    <w:p w14:paraId="058BA22D" w14:textId="3562B404" w:rsidR="00D10AD0" w:rsidRPr="0061306E" w:rsidRDefault="00D10AD0" w:rsidP="00D10AD0">
      <w:pPr>
        <w:spacing w:after="120" w:line="276" w:lineRule="auto"/>
        <w:jc w:val="both"/>
        <w:rPr>
          <w:rFonts w:ascii="Century Gothic" w:eastAsia="Times New Roman" w:hAnsi="Century Gothic" w:cs="Arial"/>
          <w:color w:val="000000" w:themeColor="text1"/>
          <w:lang w:val="es-ES" w:eastAsia="es-ES_tradnl"/>
        </w:rPr>
      </w:pPr>
      <w:r w:rsidRPr="0061306E">
        <w:rPr>
          <w:rFonts w:ascii="Century Gothic" w:eastAsia="Calibri" w:hAnsi="Century Gothic" w:cs="Arial"/>
          <w:color w:val="000000" w:themeColor="text1"/>
          <w:lang w:val="es-ES"/>
        </w:rPr>
        <w:tab/>
      </w:r>
      <w:bookmarkStart w:id="2" w:name="_Hlk113525097"/>
      <w:r w:rsidRPr="0061306E">
        <w:rPr>
          <w:rFonts w:ascii="Verdana" w:eastAsia="Times New Roman" w:hAnsi="Verdana" w:cs="Arial"/>
          <w:lang w:val="es-ES" w:eastAsia="es-MX"/>
        </w:rPr>
        <w:t xml:space="preserve">En esta medida, las empresas industriales y comerciales del Estado, las sociedades de economía mixta en las que el Estado tenga participación superior al cincuenta por ciento (50%), sus filiales y las sociedades entre entidades públicas con participación mayoritaria del Estado que no estén en competencia ni desarrollen su actividad en mercados regulados están sometidas al EGCAP y </w:t>
      </w:r>
      <w:r w:rsidR="004F007A">
        <w:rPr>
          <w:rFonts w:ascii="Verdana" w:eastAsia="Times New Roman" w:hAnsi="Verdana" w:cs="Arial"/>
          <w:lang w:val="es-ES" w:eastAsia="es-MX"/>
        </w:rPr>
        <w:t xml:space="preserve">a </w:t>
      </w:r>
      <w:r w:rsidRPr="0061306E">
        <w:rPr>
          <w:rFonts w:ascii="Verdana" w:eastAsia="Times New Roman" w:hAnsi="Verdana" w:cs="Arial"/>
          <w:lang w:val="es-ES" w:eastAsia="es-MX"/>
        </w:rPr>
        <w:t>las normas que lo complementan. En contraste, el régimen contractual de los mencionados tipos de entidades cuando se encuentren en competencia o en mercados regulados es el propio de tales actividades, es decir, por regla general, el derecho privado. De acuerdo con la jurisprudencia, la exclusión de estas últimas del EGCAP se justifica en el principio de igualdad, ya que, si el Estado desarrolla actividades de los particulares, debe actuar no solo desprovisto de poderes exorbitantes sino también con la misma eficacia y eficiencia que los sujetos de derecho privado.</w:t>
      </w:r>
      <w:r w:rsidRPr="0061306E">
        <w:rPr>
          <w:rFonts w:ascii="Verdana" w:eastAsia="Calibri" w:hAnsi="Verdana" w:cs="Arial"/>
          <w:color w:val="000000" w:themeColor="text1"/>
          <w:vertAlign w:val="superscript"/>
          <w:lang w:val="es-ES"/>
        </w:rPr>
        <w:footnoteReference w:id="2"/>
      </w:r>
      <w:r w:rsidRPr="0061306E">
        <w:rPr>
          <w:rFonts w:ascii="Verdana" w:eastAsia="Times New Roman" w:hAnsi="Verdana" w:cs="Arial"/>
          <w:color w:val="000000" w:themeColor="text1"/>
          <w:lang w:val="es-ES" w:eastAsia="es-ES_tradnl"/>
        </w:rPr>
        <w:t xml:space="preserve"> </w:t>
      </w:r>
    </w:p>
    <w:p w14:paraId="58D94FF1" w14:textId="3575B51A" w:rsidR="00D10AD0" w:rsidRPr="0061306E" w:rsidRDefault="00D10AD0" w:rsidP="00D10AD0">
      <w:pPr>
        <w:spacing w:after="120" w:line="276" w:lineRule="auto"/>
        <w:jc w:val="both"/>
        <w:rPr>
          <w:rFonts w:ascii="Century Gothic" w:eastAsia="Calibri" w:hAnsi="Century Gothic" w:cs="Arial"/>
          <w:color w:val="000000" w:themeColor="text1"/>
          <w:lang w:val="es-ES"/>
        </w:rPr>
      </w:pPr>
      <w:r w:rsidRPr="0061306E">
        <w:rPr>
          <w:rFonts w:ascii="Century Gothic" w:eastAsia="Times New Roman" w:hAnsi="Century Gothic" w:cs="Arial"/>
          <w:color w:val="000000" w:themeColor="text1"/>
          <w:lang w:val="es-ES" w:eastAsia="es-ES_tradnl"/>
        </w:rPr>
        <w:lastRenderedPageBreak/>
        <w:tab/>
      </w:r>
      <w:r w:rsidRPr="0061306E">
        <w:rPr>
          <w:rFonts w:ascii="Verdana" w:eastAsia="Times New Roman" w:hAnsi="Verdana" w:cs="Arial"/>
          <w:lang w:val="es-ES" w:eastAsia="es-MX"/>
        </w:rPr>
        <w:t>Es importante anotar que el artículo 2.2.1.1.1.3.1 del Decreto 1082 de 2015 establece una definición de Entidad Estatal que abarca no solo a las del artículo 2 de la Ley 80 de 1993, sino también a entidades referidas en otras disposiciones. Según esta definición no solo constituyen Entidades Estatales las mencionadas en el artículo 2 de la Ley</w:t>
      </w:r>
      <w:r w:rsidRPr="0061306E">
        <w:rPr>
          <w:rFonts w:ascii="Verdana" w:eastAsia="Times New Roman" w:hAnsi="Verdana" w:cs="Arial"/>
          <w:color w:val="000000" w:themeColor="text1"/>
          <w:lang w:val="es-ES" w:eastAsia="es-ES_tradnl"/>
        </w:rPr>
        <w:t xml:space="preserve"> 80 de 1993, sino también las mencionadas en los artículos 10</w:t>
      </w:r>
      <w:r w:rsidRPr="0061306E">
        <w:rPr>
          <w:rFonts w:ascii="Verdana" w:eastAsia="Times New Roman" w:hAnsi="Verdana" w:cs="Arial"/>
          <w:color w:val="000000" w:themeColor="text1"/>
          <w:vertAlign w:val="superscript"/>
          <w:lang w:val="es-ES" w:eastAsia="es-ES_tradnl"/>
        </w:rPr>
        <w:footnoteReference w:id="3"/>
      </w:r>
      <w:r w:rsidRPr="0061306E">
        <w:rPr>
          <w:rFonts w:ascii="Verdana" w:eastAsia="Times New Roman" w:hAnsi="Verdana" w:cs="Arial"/>
          <w:color w:val="000000" w:themeColor="text1"/>
          <w:lang w:val="es-ES" w:eastAsia="es-ES_tradnl"/>
        </w:rPr>
        <w:t>, 14 y 24</w:t>
      </w:r>
      <w:r w:rsidRPr="0061306E">
        <w:rPr>
          <w:rFonts w:ascii="Verdana" w:eastAsia="Times New Roman" w:hAnsi="Verdana" w:cs="Arial"/>
          <w:color w:val="000000" w:themeColor="text1"/>
          <w:vertAlign w:val="superscript"/>
          <w:lang w:val="es-ES" w:eastAsia="es-ES_tradnl"/>
        </w:rPr>
        <w:footnoteReference w:id="4"/>
      </w:r>
      <w:r w:rsidRPr="0061306E">
        <w:rPr>
          <w:rFonts w:ascii="Verdana" w:eastAsia="Times New Roman" w:hAnsi="Verdana" w:cs="Arial"/>
          <w:color w:val="000000" w:themeColor="text1"/>
          <w:lang w:val="es-ES" w:eastAsia="es-ES_tradnl"/>
        </w:rPr>
        <w:t xml:space="preserve"> de la Ley 1150 de 2007.</w:t>
      </w:r>
      <w:r w:rsidRPr="0061306E">
        <w:rPr>
          <w:rFonts w:ascii="Century Gothic" w:eastAsia="Times New Roman" w:hAnsi="Century Gothic" w:cs="Arial"/>
          <w:color w:val="000000" w:themeColor="text1"/>
          <w:lang w:val="es-ES" w:eastAsia="es-ES_tradnl"/>
        </w:rPr>
        <w:t xml:space="preserve"> </w:t>
      </w:r>
    </w:p>
    <w:p w14:paraId="23DCC837" w14:textId="74EE5D20" w:rsidR="00D10AD0" w:rsidRPr="0061306E" w:rsidRDefault="00D10AD0" w:rsidP="00D10AD0">
      <w:pPr>
        <w:spacing w:after="120" w:line="276" w:lineRule="auto"/>
        <w:ind w:firstLine="708"/>
        <w:jc w:val="both"/>
        <w:rPr>
          <w:rFonts w:ascii="Century Gothic" w:eastAsia="Times New Roman" w:hAnsi="Century Gothic" w:cs="Arial"/>
          <w:color w:val="000000" w:themeColor="text1"/>
          <w:lang w:val="es-ES" w:eastAsia="es-ES_tradnl"/>
        </w:rPr>
      </w:pPr>
      <w:r w:rsidRPr="0061306E">
        <w:rPr>
          <w:rFonts w:ascii="Verdana" w:eastAsia="Times New Roman" w:hAnsi="Verdana" w:cs="Arial"/>
          <w:color w:val="000000" w:themeColor="text1"/>
          <w:lang w:val="es-ES" w:eastAsia="es-ES_tradnl"/>
        </w:rPr>
        <w:t>Este marco jurídico</w:t>
      </w:r>
      <w:r w:rsidR="00757F67">
        <w:rPr>
          <w:rFonts w:ascii="Verdana" w:eastAsia="Times New Roman" w:hAnsi="Verdana" w:cs="Arial"/>
          <w:color w:val="000000" w:themeColor="text1"/>
          <w:lang w:val="es-ES" w:eastAsia="es-ES_tradnl"/>
        </w:rPr>
        <w:t xml:space="preserve"> </w:t>
      </w:r>
      <w:r w:rsidRPr="0061306E">
        <w:rPr>
          <w:rFonts w:ascii="Verdana" w:eastAsia="Times New Roman" w:hAnsi="Verdana" w:cs="Arial"/>
          <w:color w:val="000000" w:themeColor="text1"/>
          <w:lang w:val="es-ES" w:eastAsia="es-ES_tradnl"/>
        </w:rPr>
        <w:t xml:space="preserve">evidencia que las entidades </w:t>
      </w:r>
      <w:r w:rsidRPr="0061306E">
        <w:rPr>
          <w:rFonts w:ascii="Verdana" w:eastAsia="Times New Roman" w:hAnsi="Verdana" w:cs="Arial"/>
          <w:i/>
          <w:iCs/>
          <w:color w:val="000000" w:themeColor="text1"/>
          <w:lang w:val="es-ES" w:eastAsia="es-ES_tradnl"/>
        </w:rPr>
        <w:t xml:space="preserve">descentralizadas indirectas </w:t>
      </w:r>
      <w:r w:rsidRPr="0061306E">
        <w:rPr>
          <w:rFonts w:ascii="Verdana" w:eastAsia="Times New Roman" w:hAnsi="Verdana" w:cs="Arial"/>
          <w:color w:val="000000" w:themeColor="text1"/>
          <w:lang w:val="es-ES" w:eastAsia="es-ES_tradnl"/>
        </w:rPr>
        <w:t xml:space="preserve">son Entidades Estatales que se encuentran sometidas, en principio, al EGCAP, en virtud de la referencia genérica realizada por el literal a) del numeral 1 del artículo 2 de la Ley 80 de 1993. Sin embargo, conforme se desprende del texto del señalado literal, la calidad de Entidad Estatal en los términos del artículo 2 de la Ley 80 de 1993, solo aplica a las entidades descentralizadas indirectas </w:t>
      </w:r>
      <w:r w:rsidRPr="0061306E">
        <w:rPr>
          <w:rFonts w:ascii="Verdana" w:eastAsia="Times New Roman" w:hAnsi="Verdana" w:cs="Arial"/>
          <w:i/>
          <w:iCs/>
          <w:color w:val="000000" w:themeColor="text1"/>
          <w:lang w:val="es-ES" w:eastAsia="es-ES_tradnl"/>
        </w:rPr>
        <w:t>en las que el estado tenga una participación mayoritaria</w:t>
      </w:r>
      <w:r w:rsidRPr="0061306E">
        <w:rPr>
          <w:rFonts w:ascii="Verdana" w:eastAsia="Times New Roman" w:hAnsi="Verdana" w:cs="Arial"/>
          <w:color w:val="000000" w:themeColor="text1"/>
          <w:lang w:val="es-ES" w:eastAsia="es-ES_tradnl"/>
        </w:rPr>
        <w:t>. En ese sentido, las entidades descentralizadas indirectas en las que el Estado tenga una participación minoritaria no se encuadran en la definición de Entidades Estatales sometidas al EGCAP, de conformidad con lo establecido en el numeral 1 del artículo 2 de la Ley 80 de 1993, por lo que su contratación no está regida por dicho cuerpo normativo y se someterá al derecho privado, a sus normas de creación y manuales de contratación</w:t>
      </w:r>
      <w:r w:rsidRPr="0061306E">
        <w:rPr>
          <w:rFonts w:ascii="Century Gothic" w:eastAsia="Times New Roman" w:hAnsi="Century Gothic" w:cs="Arial"/>
          <w:color w:val="000000" w:themeColor="text1"/>
          <w:lang w:val="es-ES" w:eastAsia="es-ES_tradnl"/>
        </w:rPr>
        <w:t xml:space="preserve">. </w:t>
      </w:r>
    </w:p>
    <w:p w14:paraId="67F99C87" w14:textId="77777777" w:rsidR="00D10AD0" w:rsidRPr="0061306E" w:rsidRDefault="00D10AD0" w:rsidP="00D10AD0">
      <w:pPr>
        <w:spacing w:after="120" w:line="276" w:lineRule="auto"/>
        <w:ind w:firstLine="708"/>
        <w:jc w:val="both"/>
        <w:rPr>
          <w:rFonts w:ascii="Verdana" w:eastAsia="Times New Roman" w:hAnsi="Verdana" w:cs="Arial"/>
          <w:color w:val="000000" w:themeColor="text1"/>
          <w:lang w:val="es-ES" w:eastAsia="es-ES_tradnl"/>
        </w:rPr>
      </w:pPr>
      <w:r w:rsidRPr="0061306E">
        <w:rPr>
          <w:rFonts w:ascii="Verdana" w:eastAsia="Times New Roman" w:hAnsi="Verdana" w:cs="Arial"/>
          <w:color w:val="000000" w:themeColor="text1"/>
          <w:lang w:val="es-ES" w:eastAsia="es-ES_tradnl"/>
        </w:rPr>
        <w:t xml:space="preserve">En todo caso, es importante aclarar que, aunque el literal a) del numeral 1 del artículo 2 de la Ley 80 de 1993 se refiere de manera expresa a las entidades descentralizadas indirectas, esta categoría es aplicable a personas jurídicas de </w:t>
      </w:r>
      <w:r w:rsidRPr="0061306E">
        <w:rPr>
          <w:rFonts w:ascii="Verdana" w:eastAsia="Times New Roman" w:hAnsi="Verdana" w:cs="Arial"/>
          <w:color w:val="000000" w:themeColor="text1"/>
          <w:lang w:val="es-ES" w:eastAsia="es-ES_tradnl"/>
        </w:rPr>
        <w:lastRenderedPageBreak/>
        <w:t>diversa naturaleza y régimen jurídico, creadas con la anuencia de entidades públicas. Contrario a lo que sucede con las entidades descentralizadas directas o de primer grado, las cuales son creadas por la ley, las entidades descentralizadas indirectas o de segundo grado surgen como producto de la voluntad asociativa de Entidades Estatales</w:t>
      </w:r>
      <w:bookmarkEnd w:id="2"/>
      <w:r w:rsidRPr="0061306E">
        <w:rPr>
          <w:rFonts w:ascii="Verdana" w:eastAsia="Times New Roman" w:hAnsi="Verdana" w:cs="Arial"/>
          <w:color w:val="000000" w:themeColor="text1"/>
          <w:lang w:val="es-ES" w:eastAsia="es-ES_tradnl"/>
        </w:rPr>
        <w:t>.</w:t>
      </w:r>
    </w:p>
    <w:p w14:paraId="6DF6C9DF" w14:textId="3CFA630B" w:rsidR="00D10AD0" w:rsidRPr="0061306E" w:rsidRDefault="00D10AD0" w:rsidP="00D10AD0">
      <w:pPr>
        <w:spacing w:after="120" w:line="276" w:lineRule="auto"/>
        <w:ind w:firstLine="567"/>
        <w:jc w:val="both"/>
        <w:rPr>
          <w:rFonts w:ascii="Century Gothic" w:eastAsia="Times New Roman" w:hAnsi="Century Gothic" w:cs="Arial"/>
          <w:bCs/>
          <w:lang w:val="es-ES" w:eastAsia="es-CO"/>
        </w:rPr>
      </w:pPr>
      <w:r w:rsidRPr="0061306E">
        <w:rPr>
          <w:rFonts w:ascii="Verdana" w:eastAsia="Times New Roman" w:hAnsi="Verdana" w:cs="Arial"/>
          <w:color w:val="000000" w:themeColor="text1"/>
          <w:lang w:val="es-ES" w:eastAsia="es-ES_tradnl"/>
        </w:rPr>
        <w:t>Con relación a la distinción entre entidades descentralizadas directas e indirectas, la Sala de Consulta y Servicio Civil del Consejo de Estado ha manifestado que: “Son entidades descentralizadas directas aquellas cuya creación es obra de la ley, la ordenanza o el acuerdo; en tanto que las descentralizadas indirectas son las que surgen por la voluntad asociativa de los entes públicos entre sí o con la intervención de particulares, previa autorización legal”</w:t>
      </w:r>
      <w:r w:rsidRPr="0061306E">
        <w:rPr>
          <w:rFonts w:ascii="Verdana" w:hAnsi="Verdana"/>
          <w:color w:val="000000" w:themeColor="text1"/>
          <w:vertAlign w:val="superscript"/>
          <w:lang w:val="es-ES" w:eastAsia="es-ES_tradnl"/>
        </w:rPr>
        <w:footnoteReference w:id="5"/>
      </w:r>
      <w:r w:rsidRPr="0061306E">
        <w:rPr>
          <w:rFonts w:ascii="Verdana" w:eastAsia="Times New Roman" w:hAnsi="Verdana" w:cs="Arial"/>
          <w:color w:val="000000" w:themeColor="text1"/>
          <w:lang w:val="es-ES" w:eastAsia="es-ES_tradnl"/>
        </w:rPr>
        <w:t>. En el mismo sentido, la doctrina nacional ha señalado que</w:t>
      </w:r>
      <w:r w:rsidR="00EA48D5">
        <w:rPr>
          <w:rFonts w:ascii="Verdana" w:eastAsia="Times New Roman" w:hAnsi="Verdana" w:cs="Arial"/>
          <w:color w:val="000000" w:themeColor="text1"/>
          <w:lang w:val="es-ES" w:eastAsia="es-ES_tradnl"/>
        </w:rPr>
        <w:t xml:space="preserve"> </w:t>
      </w:r>
      <w:r w:rsidRPr="0061306E">
        <w:rPr>
          <w:rFonts w:ascii="Verdana" w:eastAsia="Times New Roman" w:hAnsi="Verdana" w:cs="Arial"/>
          <w:color w:val="000000" w:themeColor="text1"/>
          <w:lang w:val="es-ES" w:eastAsia="es-ES_tradnl"/>
        </w:rPr>
        <w:t>la denominación “entidades descentralizadas indirectas” o de “segundo grado” se ha dado a las personas jurídicas que nacen no de la ley, sino de la voluntad asociativa de los entes públicos</w:t>
      </w:r>
      <w:r w:rsidRPr="0061306E">
        <w:rPr>
          <w:rFonts w:ascii="Verdana" w:eastAsia="Times New Roman" w:hAnsi="Verdana" w:cs="Arial"/>
          <w:bCs/>
          <w:vertAlign w:val="superscript"/>
          <w:lang w:val="es-ES" w:eastAsia="es-CO"/>
        </w:rPr>
        <w:footnoteReference w:id="6"/>
      </w:r>
      <w:r w:rsidRPr="0061306E">
        <w:rPr>
          <w:rFonts w:ascii="Verdana" w:eastAsia="Times New Roman" w:hAnsi="Verdana" w:cs="Arial"/>
          <w:bCs/>
          <w:lang w:val="es-ES" w:eastAsia="es-CO"/>
        </w:rPr>
        <w:t>.</w:t>
      </w:r>
      <w:r w:rsidRPr="0061306E">
        <w:rPr>
          <w:rFonts w:ascii="Century Gothic" w:eastAsia="Times New Roman" w:hAnsi="Century Gothic" w:cs="Arial"/>
          <w:bCs/>
          <w:lang w:val="es-ES" w:eastAsia="es-CO"/>
        </w:rPr>
        <w:t xml:space="preserve"> </w:t>
      </w:r>
    </w:p>
    <w:p w14:paraId="2FAB6041" w14:textId="77777777" w:rsidR="00D10AD0" w:rsidRPr="0061306E" w:rsidRDefault="00D10AD0" w:rsidP="00D10AD0">
      <w:pPr>
        <w:spacing w:after="0" w:line="276" w:lineRule="auto"/>
        <w:ind w:firstLine="708"/>
        <w:jc w:val="both"/>
        <w:rPr>
          <w:rFonts w:ascii="Verdana" w:eastAsia="Times New Roman" w:hAnsi="Verdana" w:cs="Arial"/>
          <w:lang w:val="es-ES" w:eastAsia="es-CO"/>
        </w:rPr>
      </w:pPr>
      <w:r w:rsidRPr="0061306E">
        <w:rPr>
          <w:rFonts w:ascii="Verdana" w:eastAsia="Times New Roman" w:hAnsi="Verdana" w:cs="Arial"/>
          <w:lang w:val="es-ES" w:eastAsia="es-CO"/>
        </w:rPr>
        <w:t xml:space="preserve">Al respecto, es importante resaltar que la Corte Constitucional, al revisar la constitucionalidad del literal a) del </w:t>
      </w:r>
      <w:r w:rsidRPr="0061306E">
        <w:rPr>
          <w:rFonts w:ascii="Verdana" w:eastAsia="Times New Roman" w:hAnsi="Verdana" w:cs="Arial"/>
          <w:color w:val="000000" w:themeColor="text1"/>
          <w:lang w:val="es-ES" w:eastAsia="es-ES_tradnl"/>
        </w:rPr>
        <w:t xml:space="preserve">numeral 2 del artículo 2 </w:t>
      </w:r>
      <w:r w:rsidRPr="0061306E">
        <w:rPr>
          <w:rFonts w:ascii="Verdana" w:eastAsia="Times New Roman" w:hAnsi="Verdana" w:cs="Arial"/>
          <w:lang w:val="es-ES" w:eastAsia="es-CO"/>
        </w:rPr>
        <w:t xml:space="preserve">de la Ley 80 de 1993 en la Sentencia C-230 de 1995, analizó el régimen aplicable a las asociaciones de carácter </w:t>
      </w:r>
      <w:r w:rsidRPr="0061306E">
        <w:rPr>
          <w:rFonts w:ascii="Verdana" w:eastAsia="Times New Roman" w:hAnsi="Verdana" w:cs="Arial"/>
          <w:i/>
          <w:iCs/>
          <w:lang w:val="es-ES" w:eastAsia="es-CO"/>
        </w:rPr>
        <w:t>mixto</w:t>
      </w:r>
      <w:r w:rsidRPr="0061306E">
        <w:rPr>
          <w:rFonts w:ascii="Verdana" w:eastAsia="Times New Roman" w:hAnsi="Verdana" w:cs="Arial"/>
          <w:lang w:val="es-ES" w:eastAsia="es-CO"/>
        </w:rPr>
        <w:t xml:space="preserve"> sin ánimo de lucro que se constituyeron en vigencia del artículo 6º del Decreto Ley 130 de 1976. Manifestó que era perfectamente viable someter las asociaciones que cuenten con una participación pública mayoritaria a las reglas y principios de la contratación pública. Al respecto, la Corte Constitucional señaló lo siguiente:</w:t>
      </w:r>
    </w:p>
    <w:p w14:paraId="5C987B59" w14:textId="77777777" w:rsidR="00D10AD0" w:rsidRPr="0061306E" w:rsidRDefault="00D10AD0" w:rsidP="00D10AD0">
      <w:pPr>
        <w:spacing w:after="0" w:line="276" w:lineRule="auto"/>
        <w:ind w:firstLine="567"/>
        <w:jc w:val="both"/>
        <w:rPr>
          <w:rFonts w:ascii="Century Gothic" w:eastAsia="Times New Roman" w:hAnsi="Century Gothic" w:cs="Arial"/>
          <w:lang w:val="es-ES" w:eastAsia="es-CO"/>
        </w:rPr>
      </w:pPr>
    </w:p>
    <w:p w14:paraId="60C0E816" w14:textId="77777777" w:rsidR="00D10AD0" w:rsidRPr="0061306E" w:rsidRDefault="00D10AD0" w:rsidP="00D10AD0">
      <w:pPr>
        <w:snapToGrid w:val="0"/>
        <w:spacing w:after="0" w:line="240" w:lineRule="auto"/>
        <w:ind w:left="709" w:right="709"/>
        <w:contextualSpacing/>
        <w:jc w:val="both"/>
        <w:rPr>
          <w:rFonts w:ascii="Verdana" w:eastAsia="Times New Roman" w:hAnsi="Verdana" w:cs="Arial"/>
          <w:sz w:val="20"/>
          <w:szCs w:val="20"/>
          <w:lang w:val="es-ES" w:eastAsia="es-CO"/>
        </w:rPr>
      </w:pPr>
      <w:r w:rsidRPr="0061306E">
        <w:rPr>
          <w:rFonts w:ascii="Verdana" w:eastAsia="Times New Roman" w:hAnsi="Verdana" w:cs="Arial"/>
          <w:iCs/>
          <w:sz w:val="20"/>
          <w:szCs w:val="20"/>
          <w:lang w:val="es-ES" w:eastAsia="es-CO"/>
        </w:rPr>
        <w:t>“</w:t>
      </w:r>
      <w:r w:rsidRPr="0061306E">
        <w:rPr>
          <w:rFonts w:ascii="Verdana" w:eastAsia="Times New Roman" w:hAnsi="Verdana" w:cs="Arial"/>
          <w:i/>
          <w:sz w:val="20"/>
          <w:szCs w:val="20"/>
          <w:lang w:val="es-ES" w:eastAsia="es-CO"/>
        </w:rPr>
        <w:t>La ley 80 de 1993 sometió a las corporaciones y fundaciones, en las cuales el Estado tenga </w:t>
      </w:r>
      <w:r w:rsidRPr="0061306E">
        <w:rPr>
          <w:rFonts w:ascii="Verdana" w:eastAsia="Times New Roman" w:hAnsi="Verdana" w:cs="Arial"/>
          <w:bCs/>
          <w:i/>
          <w:sz w:val="20"/>
          <w:szCs w:val="20"/>
          <w:lang w:val="es-ES" w:eastAsia="es-CO"/>
        </w:rPr>
        <w:t>una participación mayoritaria</w:t>
      </w:r>
      <w:r w:rsidRPr="0061306E">
        <w:rPr>
          <w:rFonts w:ascii="Verdana" w:eastAsia="Times New Roman" w:hAnsi="Verdana" w:cs="Arial"/>
          <w:i/>
          <w:sz w:val="20"/>
          <w:szCs w:val="20"/>
          <w:lang w:val="es-ES" w:eastAsia="es-CO"/>
        </w:rPr>
        <w:t xml:space="preserve"> (art. 2o., </w:t>
      </w:r>
      <w:proofErr w:type="spellStart"/>
      <w:r w:rsidRPr="0061306E">
        <w:rPr>
          <w:rFonts w:ascii="Verdana" w:eastAsia="Times New Roman" w:hAnsi="Verdana" w:cs="Arial"/>
          <w:i/>
          <w:sz w:val="20"/>
          <w:szCs w:val="20"/>
          <w:lang w:val="es-ES" w:eastAsia="es-CO"/>
        </w:rPr>
        <w:t>ord</w:t>
      </w:r>
      <w:proofErr w:type="spellEnd"/>
      <w:r w:rsidRPr="0061306E">
        <w:rPr>
          <w:rFonts w:ascii="Verdana" w:eastAsia="Times New Roman" w:hAnsi="Verdana" w:cs="Arial"/>
          <w:i/>
          <w:sz w:val="20"/>
          <w:szCs w:val="20"/>
          <w:lang w:val="es-ES" w:eastAsia="es-CO"/>
        </w:rPr>
        <w:t xml:space="preserve">. 1o, </w:t>
      </w:r>
      <w:proofErr w:type="spellStart"/>
      <w:r w:rsidRPr="0061306E">
        <w:rPr>
          <w:rFonts w:ascii="Verdana" w:eastAsia="Times New Roman" w:hAnsi="Verdana" w:cs="Arial"/>
          <w:i/>
          <w:sz w:val="20"/>
          <w:szCs w:val="20"/>
          <w:lang w:val="es-ES" w:eastAsia="es-CO"/>
        </w:rPr>
        <w:t>lit.</w:t>
      </w:r>
      <w:proofErr w:type="spellEnd"/>
      <w:r w:rsidRPr="0061306E">
        <w:rPr>
          <w:rFonts w:ascii="Verdana" w:eastAsia="Times New Roman" w:hAnsi="Verdana" w:cs="Arial"/>
          <w:i/>
          <w:sz w:val="20"/>
          <w:szCs w:val="20"/>
          <w:lang w:val="es-ES" w:eastAsia="es-CO"/>
        </w:rPr>
        <w:t xml:space="preserve"> a.), a las reglas y principios de la contratación de la administración pública y para ello las reconoció en el literal a) del ordinal 1 del art. 2 de dicha ley como entidades estatales.</w:t>
      </w:r>
      <w:r w:rsidRPr="0061306E">
        <w:rPr>
          <w:rFonts w:ascii="Verdana" w:eastAsia="Times New Roman" w:hAnsi="Verdana" w:cs="Arial"/>
          <w:sz w:val="20"/>
          <w:szCs w:val="20"/>
          <w:lang w:val="es-ES" w:eastAsia="es-CO"/>
        </w:rPr>
        <w:t xml:space="preserve"> Consecuencialmente se determinó en el fragmento normativo acusado que sus representantes y los funcionarios de determinados niveles en quienes se delegue la celebración de contratos tienen el carácter de servidores públicos. Es claro, que supuesto lo primero tenía que establecerse lo segundo, porque de otra manera no se lograría alcanzar el propósito práctico de vincular al régimen de responsabilidades </w:t>
      </w:r>
      <w:r w:rsidRPr="0061306E">
        <w:rPr>
          <w:rFonts w:ascii="Verdana" w:eastAsia="Times New Roman" w:hAnsi="Verdana" w:cs="Arial"/>
          <w:sz w:val="20"/>
          <w:szCs w:val="20"/>
          <w:lang w:val="es-ES" w:eastAsia="es-CO"/>
        </w:rPr>
        <w:lastRenderedPageBreak/>
        <w:t>a quienes obraran en nombre de tales fundaciones y corporaciones, lo cual se adecua a lo establecido en los arts. 6 y 123 de la C.P.</w:t>
      </w:r>
    </w:p>
    <w:p w14:paraId="63947D44" w14:textId="77777777" w:rsidR="00D10AD0" w:rsidRPr="0061306E" w:rsidRDefault="00D10AD0" w:rsidP="00D10AD0">
      <w:pPr>
        <w:snapToGrid w:val="0"/>
        <w:spacing w:after="0" w:line="240" w:lineRule="auto"/>
        <w:ind w:left="709" w:right="709"/>
        <w:contextualSpacing/>
        <w:jc w:val="both"/>
        <w:rPr>
          <w:rFonts w:ascii="Verdana" w:eastAsia="Times New Roman" w:hAnsi="Verdana" w:cs="Arial"/>
          <w:sz w:val="20"/>
          <w:szCs w:val="20"/>
          <w:lang w:val="es-ES" w:eastAsia="es-CO"/>
        </w:rPr>
      </w:pPr>
      <w:r w:rsidRPr="0061306E">
        <w:rPr>
          <w:rFonts w:ascii="Verdana" w:eastAsia="Times New Roman" w:hAnsi="Verdana" w:cs="Arial"/>
          <w:sz w:val="20"/>
          <w:szCs w:val="20"/>
          <w:lang w:val="es-ES" w:eastAsia="es-CO"/>
        </w:rPr>
        <w:t>El encuadramiento de las corporaciones y fundaciones en la condición de entidades estatales y la calificación de sus directivos como servidores públicos, </w:t>
      </w:r>
      <w:r w:rsidRPr="0061306E">
        <w:rPr>
          <w:rFonts w:ascii="Verdana" w:eastAsia="Times New Roman" w:hAnsi="Verdana" w:cs="Arial"/>
          <w:bCs/>
          <w:sz w:val="20"/>
          <w:szCs w:val="20"/>
          <w:lang w:val="es-ES" w:eastAsia="es-CO"/>
        </w:rPr>
        <w:t>para los efectos indicados, no modifica ni la naturaleza de aquéllas ni la situación laboral particular de estos últimos con las referidas entidades</w:t>
      </w:r>
      <w:r w:rsidRPr="0061306E">
        <w:rPr>
          <w:rFonts w:ascii="Verdana" w:eastAsia="Times New Roman" w:hAnsi="Verdana" w:cs="Arial"/>
          <w:sz w:val="20"/>
          <w:szCs w:val="20"/>
          <w:lang w:val="es-ES" w:eastAsia="es-CO"/>
        </w:rPr>
        <w:t>, </w:t>
      </w:r>
      <w:r w:rsidRPr="0061306E">
        <w:rPr>
          <w:rFonts w:ascii="Verdana" w:eastAsia="Times New Roman" w:hAnsi="Verdana" w:cs="Arial"/>
          <w:bCs/>
          <w:sz w:val="20"/>
          <w:szCs w:val="20"/>
          <w:lang w:val="es-ES" w:eastAsia="es-CO"/>
        </w:rPr>
        <w:t>porque unas y otros siguen sometidos al régimen de derecho privado que les es aplicable</w:t>
      </w:r>
      <w:r w:rsidRPr="0061306E">
        <w:rPr>
          <w:rFonts w:ascii="Verdana" w:eastAsia="Times New Roman" w:hAnsi="Verdana" w:cs="Arial"/>
          <w:sz w:val="20"/>
          <w:szCs w:val="20"/>
          <w:lang w:val="es-ES" w:eastAsia="es-CO"/>
        </w:rPr>
        <w:t>, pues, como ya se dijo la referida clasificación se consagró exclusivamente para fines del manejo, control y responsabilidad de la inversión de los recursos públicos mediante la contratación.</w:t>
      </w:r>
    </w:p>
    <w:p w14:paraId="52967B69" w14:textId="77777777" w:rsidR="00D10AD0" w:rsidRPr="0061306E" w:rsidRDefault="00D10AD0" w:rsidP="00D10AD0">
      <w:pPr>
        <w:snapToGrid w:val="0"/>
        <w:spacing w:after="0" w:line="240" w:lineRule="auto"/>
        <w:ind w:left="709" w:right="709"/>
        <w:contextualSpacing/>
        <w:jc w:val="both"/>
        <w:rPr>
          <w:rFonts w:ascii="Verdana" w:eastAsia="Times New Roman" w:hAnsi="Verdana" w:cs="Arial"/>
          <w:sz w:val="20"/>
          <w:szCs w:val="20"/>
          <w:lang w:val="es-ES" w:eastAsia="es-CO"/>
        </w:rPr>
      </w:pPr>
      <w:r w:rsidRPr="0061306E">
        <w:rPr>
          <w:rFonts w:ascii="Verdana" w:eastAsia="Times New Roman" w:hAnsi="Verdana" w:cs="Arial"/>
          <w:sz w:val="20"/>
          <w:szCs w:val="20"/>
          <w:lang w:val="es-ES" w:eastAsia="es-CO"/>
        </w:rPr>
        <w:t>[…]</w:t>
      </w:r>
    </w:p>
    <w:p w14:paraId="72093F96" w14:textId="77777777" w:rsidR="00D10AD0" w:rsidRPr="0061306E" w:rsidRDefault="00D10AD0" w:rsidP="00D10AD0">
      <w:pPr>
        <w:snapToGrid w:val="0"/>
        <w:spacing w:after="0" w:line="240" w:lineRule="auto"/>
        <w:ind w:left="709" w:right="709"/>
        <w:contextualSpacing/>
        <w:jc w:val="both"/>
        <w:rPr>
          <w:rFonts w:ascii="Verdana" w:eastAsia="Times New Roman" w:hAnsi="Verdana" w:cs="Arial"/>
          <w:sz w:val="20"/>
          <w:szCs w:val="20"/>
          <w:lang w:val="es-ES" w:eastAsia="es-CO"/>
        </w:rPr>
      </w:pPr>
      <w:r w:rsidRPr="0061306E">
        <w:rPr>
          <w:rFonts w:ascii="Verdana" w:eastAsia="Times New Roman" w:hAnsi="Verdana" w:cs="Arial"/>
          <w:sz w:val="20"/>
          <w:szCs w:val="20"/>
          <w:lang w:val="es-ES" w:eastAsia="es-CO"/>
        </w:rPr>
        <w:t xml:space="preserve"> Las referidas corporaciones y fundaciones de participación mixta han sido reconocidas en nuestro derecho como entidades descentralizadas indirectas, es decir, constituyen modalidades de la descentralización por servicios. Por lo tanto, son entes que poseen una vinculación con el Estado en cuanto participan en el cumplimiento de actividades que constituyen objeto de los cometidos propios de éste, hasta el punto de que aquél al asociarse a ellas les entrega a título de aporte o participación bienes o recursos públicos”.</w:t>
      </w:r>
      <w:r w:rsidRPr="0061306E">
        <w:rPr>
          <w:rFonts w:ascii="Verdana" w:eastAsia="Times New Roman" w:hAnsi="Verdana" w:cs="Arial"/>
          <w:sz w:val="20"/>
          <w:szCs w:val="20"/>
          <w:vertAlign w:val="superscript"/>
          <w:lang w:val="es-ES" w:eastAsia="es-CO"/>
        </w:rPr>
        <w:footnoteReference w:id="7"/>
      </w:r>
      <w:r w:rsidRPr="0061306E">
        <w:rPr>
          <w:rFonts w:ascii="Verdana" w:eastAsia="Times New Roman" w:hAnsi="Verdana" w:cs="Arial"/>
          <w:sz w:val="20"/>
          <w:szCs w:val="20"/>
          <w:lang w:val="es-ES" w:eastAsia="es-CO"/>
        </w:rPr>
        <w:t xml:space="preserve"> [Énfasis fuera de texto]. </w:t>
      </w:r>
    </w:p>
    <w:p w14:paraId="67D95287" w14:textId="77777777" w:rsidR="00D10AD0" w:rsidRPr="0061306E" w:rsidRDefault="00D10AD0" w:rsidP="00D10AD0">
      <w:pPr>
        <w:snapToGrid w:val="0"/>
        <w:spacing w:after="0" w:line="240" w:lineRule="auto"/>
        <w:ind w:left="709" w:right="709"/>
        <w:contextualSpacing/>
        <w:jc w:val="both"/>
        <w:rPr>
          <w:rFonts w:ascii="Verdana" w:eastAsia="Times New Roman" w:hAnsi="Verdana" w:cs="Arial"/>
          <w:sz w:val="20"/>
          <w:szCs w:val="20"/>
          <w:lang w:val="es-ES" w:eastAsia="es-CO"/>
        </w:rPr>
      </w:pPr>
    </w:p>
    <w:p w14:paraId="173FFAC2" w14:textId="0141B157" w:rsidR="00D10AD0" w:rsidRPr="0061306E" w:rsidRDefault="00D10AD0" w:rsidP="00D10AD0">
      <w:pPr>
        <w:spacing w:after="120" w:line="276" w:lineRule="auto"/>
        <w:ind w:firstLine="709"/>
        <w:jc w:val="both"/>
        <w:rPr>
          <w:rFonts w:ascii="Verdana" w:hAnsi="Verdana" w:cs="Arial"/>
          <w:lang w:val="es-ES"/>
        </w:rPr>
      </w:pPr>
      <w:r w:rsidRPr="0061306E">
        <w:rPr>
          <w:rFonts w:ascii="Verdana" w:hAnsi="Verdana" w:cs="Arial"/>
          <w:lang w:val="es-ES"/>
        </w:rPr>
        <w:t xml:space="preserve">Para efectos de determinar la participación de las entidades del Estado en estas </w:t>
      </w:r>
      <w:r w:rsidRPr="0061306E">
        <w:rPr>
          <w:rFonts w:ascii="Verdana" w:hAnsi="Verdana" w:cs="Arial"/>
          <w:i/>
          <w:iCs/>
          <w:lang w:val="es-ES"/>
        </w:rPr>
        <w:t>asociaciones mixtas</w:t>
      </w:r>
      <w:r w:rsidRPr="0061306E">
        <w:rPr>
          <w:rFonts w:ascii="Verdana" w:hAnsi="Verdana" w:cs="Arial"/>
          <w:lang w:val="es-ES"/>
        </w:rPr>
        <w:t>, se hace necesario remitir a lo expresamente dispuesto en el artículo 96 de la Ley 489 de 1998</w:t>
      </w:r>
      <w:r w:rsidRPr="0061306E">
        <w:rPr>
          <w:rFonts w:ascii="Verdana" w:hAnsi="Verdana" w:cs="Arial"/>
          <w:vertAlign w:val="superscript"/>
          <w:lang w:val="es-ES"/>
        </w:rPr>
        <w:footnoteReference w:id="8"/>
      </w:r>
      <w:r w:rsidRPr="0061306E">
        <w:rPr>
          <w:rFonts w:ascii="Verdana" w:hAnsi="Verdana" w:cs="Arial"/>
          <w:lang w:val="es-ES"/>
        </w:rPr>
        <w:t>, el cual señala que las entidades estatales, cualquiera sea su naturaleza y orden administrativo</w:t>
      </w:r>
      <w:r w:rsidR="00203D40">
        <w:rPr>
          <w:rFonts w:ascii="Verdana" w:hAnsi="Verdana" w:cs="Arial"/>
          <w:lang w:val="es-ES"/>
        </w:rPr>
        <w:t>,</w:t>
      </w:r>
      <w:r w:rsidRPr="0061306E">
        <w:rPr>
          <w:rFonts w:ascii="Verdana" w:hAnsi="Verdana" w:cs="Arial"/>
          <w:lang w:val="es-ES"/>
        </w:rPr>
        <w:t xml:space="preserve"> podrán </w:t>
      </w:r>
      <w:r w:rsidRPr="0061306E">
        <w:rPr>
          <w:rFonts w:ascii="Verdana" w:hAnsi="Verdana" w:cs="Arial"/>
          <w:lang w:val="es-ES"/>
        </w:rPr>
        <w:lastRenderedPageBreak/>
        <w:t xml:space="preserve">asociarse con personas jurídicas particulares, mediante la celebración de convenios de asociación o la creación de personas jurídicas, para el desarrollo conjunto de actividades en relación con los cometidos y funciones que les asigna a aquéllas la ley. Adicionalmente, este artículo señala que en el acto constitutivo que dé origen a una persona jurídica se dispondrá, entre otros aspectos, los compromisos o aportes iniciales de las entidades asociadas, así como la participación de las entidades asociadas en el sostenimiento y funcionamiento de la entidad. Bajo esa perspectiva, el legislador diferenció dos (2) elementos importantes para el funcionamiento de estas asociaciones mixtas. Por un lado, los aportes realizados al momento de su constitución, los cuales determinan la participación de los asociados en la creación </w:t>
      </w:r>
      <w:r w:rsidRPr="0061306E">
        <w:rPr>
          <w:rFonts w:ascii="Verdana" w:eastAsia="Times New Roman" w:hAnsi="Verdana" w:cs="Arial"/>
          <w:color w:val="000000" w:themeColor="text1"/>
          <w:lang w:val="es-ES" w:eastAsia="es-ES_tradnl"/>
        </w:rPr>
        <w:t xml:space="preserve">de la persona jurídica, y con ello la naturaleza y el régimen jurídico de la entidad. Por otro lado, las contribuciones que se realizan para el sostenimiento y funcionamiento de la entidad sin ánimo de lucro. </w:t>
      </w:r>
    </w:p>
    <w:p w14:paraId="0C83A5AB" w14:textId="3D573760" w:rsidR="00D10AD0" w:rsidRPr="0061306E" w:rsidRDefault="00D10AD0" w:rsidP="00D10AD0">
      <w:pPr>
        <w:spacing w:after="120" w:line="276" w:lineRule="auto"/>
        <w:ind w:firstLine="709"/>
        <w:jc w:val="both"/>
        <w:rPr>
          <w:rFonts w:ascii="Verdana" w:hAnsi="Verdana" w:cs="Arial"/>
          <w:color w:val="000000" w:themeColor="text1"/>
          <w:lang w:val="es-ES"/>
        </w:rPr>
      </w:pPr>
      <w:r w:rsidRPr="0061306E">
        <w:rPr>
          <w:rFonts w:ascii="Verdana" w:eastAsia="Times New Roman" w:hAnsi="Verdana" w:cs="Arial"/>
          <w:color w:val="000000" w:themeColor="text1"/>
          <w:lang w:val="es-ES" w:eastAsia="es-ES_tradnl"/>
        </w:rPr>
        <w:t>En ese sentido, para esta Agencia, las asociaciones de carácter mixto con participación mayoritaria del Estado que se constituyan en virtud del artículo 96 de la Ley 489 de 1998 se consideran como Entidades Estatales sometidas al EGCAP cuando los aportes realizados al momento de su constitución son superiores al 50%. Lo anterior, sin perjuicio de cualquier modificación posterior que se realice de dichos</w:t>
      </w:r>
      <w:r w:rsidRPr="0061306E">
        <w:rPr>
          <w:rFonts w:ascii="Verdana" w:hAnsi="Verdana" w:cs="Arial"/>
          <w:lang w:val="es-ES"/>
        </w:rPr>
        <w:t xml:space="preserve"> aportes y que impliquen un cambio en la participación de los socios, fundadores o constituyentes. De esta manera, una corporación o fundación mixta con participación minoritaria del Estado adquiere la calidad de entidad pública sujeta al EGCAP cuando la participación del Estado cambie y se torne mayoritaria</w:t>
      </w:r>
      <w:r w:rsidR="00FE0657">
        <w:rPr>
          <w:rFonts w:ascii="Verdana" w:hAnsi="Verdana" w:cs="Arial"/>
          <w:lang w:val="es-ES"/>
        </w:rPr>
        <w:t xml:space="preserve">. </w:t>
      </w:r>
      <w:r w:rsidRPr="0061306E">
        <w:rPr>
          <w:rFonts w:ascii="Verdana" w:hAnsi="Verdana" w:cs="Arial"/>
          <w:lang w:val="es-ES"/>
        </w:rPr>
        <w:t>Esto se fundamenta en el alcance explicado del literal a) numeral 1 del artículo 2 de la Ley 80 de 1993, al establecer que lo que interesa es determinar la participación mayoritaria del Estado, independiente</w:t>
      </w:r>
      <w:r w:rsidR="00E46C29">
        <w:rPr>
          <w:rFonts w:ascii="Verdana" w:hAnsi="Verdana" w:cs="Arial"/>
          <w:lang w:val="es-ES"/>
        </w:rPr>
        <w:t>mente</w:t>
      </w:r>
      <w:r w:rsidRPr="0061306E">
        <w:rPr>
          <w:rFonts w:ascii="Verdana" w:hAnsi="Verdana" w:cs="Arial"/>
          <w:lang w:val="es-ES"/>
        </w:rPr>
        <w:t xml:space="preserve"> si fue en su</w:t>
      </w:r>
      <w:r w:rsidRPr="0061306E">
        <w:rPr>
          <w:rFonts w:ascii="Verdana" w:hAnsi="Verdana" w:cs="Arial"/>
          <w:color w:val="000000" w:themeColor="text1"/>
          <w:lang w:val="es-ES"/>
        </w:rPr>
        <w:t xml:space="preserve"> constitución o en un momento posterior. Esto significa que estas entidades podrán estar sujetas a cambios en su régimen de contratación cuando se produzcan variaciones del aporte estatal, sin importar el tiempo en que se presenten. </w:t>
      </w:r>
    </w:p>
    <w:p w14:paraId="317745A6" w14:textId="59EAF35B" w:rsidR="00D10AD0" w:rsidRPr="0061306E" w:rsidRDefault="00D10AD0" w:rsidP="00D10AD0">
      <w:pPr>
        <w:spacing w:after="120" w:line="276" w:lineRule="auto"/>
        <w:ind w:firstLine="709"/>
        <w:jc w:val="both"/>
        <w:rPr>
          <w:rFonts w:ascii="Verdana" w:hAnsi="Verdana" w:cs="Arial"/>
          <w:iCs/>
          <w:lang w:val="es-ES"/>
        </w:rPr>
      </w:pPr>
      <w:r w:rsidRPr="0061306E">
        <w:rPr>
          <w:rFonts w:ascii="Verdana" w:hAnsi="Verdana" w:cs="Arial"/>
          <w:lang w:val="es-ES"/>
        </w:rPr>
        <w:t xml:space="preserve">De esta manera, el artículo 96 de la Ley 489 de 1998 no puede interpretarse aisladamente con respecto a lo prescrito en el artículo 2 de la Ley 80 de 1993, </w:t>
      </w:r>
      <w:r w:rsidR="007F7BBB">
        <w:rPr>
          <w:rFonts w:ascii="Verdana" w:hAnsi="Verdana" w:cs="Arial"/>
          <w:lang w:val="es-ES"/>
        </w:rPr>
        <w:t xml:space="preserve">el </w:t>
      </w:r>
      <w:r w:rsidRPr="0061306E">
        <w:rPr>
          <w:rFonts w:ascii="Verdana" w:hAnsi="Verdana" w:cs="Arial"/>
          <w:lang w:val="es-ES"/>
        </w:rPr>
        <w:t>cual no hace una distinción de los momentos de los aportes, sino que lo que importa es la participación mayoritaria del Estado, para efectos de determinar la aplicación del EGCAP.</w:t>
      </w:r>
      <w:r w:rsidRPr="0061306E">
        <w:rPr>
          <w:rFonts w:ascii="Verdana" w:hAnsi="Verdana" w:cs="Arial"/>
          <w:iCs/>
          <w:lang w:val="es-ES"/>
        </w:rPr>
        <w:t xml:space="preserve"> Así pues, las personas jurídicas creadas de conformidad con el artículo 96 de la Ley 489 de 1998, al constituir entidades descentralizadas indirectas, son susceptibles de ser consideradas Entidades Estatales en los términos del numeral 1 del artículo 2 de la Ley 80 de 1993, y en consecuencia, estar sometidas al EGCAP. No obstante, ello solo aplica </w:t>
      </w:r>
      <w:r w:rsidRPr="0061306E">
        <w:rPr>
          <w:rFonts w:ascii="Verdana" w:hAnsi="Verdana" w:cs="Arial"/>
          <w:iCs/>
          <w:lang w:val="es-ES"/>
        </w:rPr>
        <w:lastRenderedPageBreak/>
        <w:t>respecto de aquellas que cuenten con una participación mayoritaria en cabeza de otras entidades públicas, por lo que las entidades descentralizadas indirectas en los que la participación del Estado es minoritaria, no se encontrarían sujetas al régimen de contratación de la Ley 80 de 1993. Tampoco se encontrarán sujetas al EGCAP cuando exista una disposición legal que las exceptúe de la aplicación de este régimen</w:t>
      </w:r>
      <w:r w:rsidRPr="0061306E">
        <w:rPr>
          <w:rFonts w:ascii="Verdana" w:hAnsi="Verdana" w:cs="Arial"/>
          <w:iCs/>
          <w:vertAlign w:val="superscript"/>
          <w:lang w:val="es-ES"/>
        </w:rPr>
        <w:footnoteReference w:id="9"/>
      </w:r>
      <w:r w:rsidRPr="0061306E">
        <w:rPr>
          <w:rFonts w:ascii="Verdana" w:hAnsi="Verdana" w:cs="Arial"/>
          <w:iCs/>
          <w:lang w:val="es-ES"/>
        </w:rPr>
        <w:t>.</w:t>
      </w:r>
    </w:p>
    <w:p w14:paraId="47B7B171" w14:textId="693E0BC3" w:rsidR="00D10AD0" w:rsidRPr="0061306E" w:rsidRDefault="00D10AD0" w:rsidP="00D10AD0">
      <w:pPr>
        <w:spacing w:after="120" w:line="276" w:lineRule="auto"/>
        <w:ind w:firstLine="709"/>
        <w:jc w:val="both"/>
        <w:rPr>
          <w:rFonts w:ascii="Verdana" w:hAnsi="Verdana" w:cs="Arial"/>
          <w:lang w:val="es-ES"/>
        </w:rPr>
      </w:pPr>
      <w:r w:rsidRPr="0061306E">
        <w:rPr>
          <w:rFonts w:ascii="Verdana" w:hAnsi="Verdana" w:cs="Arial"/>
          <w:iCs/>
          <w:lang w:val="es-ES"/>
        </w:rPr>
        <w:t>En todo caso debe aclararse que el hecho de que las entidades descentralizadas indirectas con participación pública minoritaria no estén sujetas al EGCAP a luz del numeral 1 del artículo 2 de la Ley 80 de 1993, no significa que no sean entidades estatales. Esto comoquiera que estas asociaciones son una expresión de la descentralización administrativa, por cuanto hacen parte de las demás entidades de naturaleza especial creadas o autorizadas por la ley, las cuales se encuentran previstas en los artículos 38, literal g)</w:t>
      </w:r>
      <w:r w:rsidRPr="0061306E">
        <w:rPr>
          <w:rFonts w:ascii="Verdana" w:hAnsi="Verdana" w:cs="Arial"/>
          <w:vertAlign w:val="superscript"/>
          <w:lang w:val="es-ES"/>
        </w:rPr>
        <w:footnoteReference w:id="10"/>
      </w:r>
      <w:r w:rsidRPr="0061306E">
        <w:rPr>
          <w:rFonts w:ascii="Verdana" w:hAnsi="Verdana" w:cs="Arial"/>
          <w:lang w:val="es-ES"/>
        </w:rPr>
        <w:t xml:space="preserve"> y 68 de la Ley 489 de 1998</w:t>
      </w:r>
      <w:r w:rsidRPr="0061306E">
        <w:rPr>
          <w:rFonts w:ascii="Verdana" w:hAnsi="Verdana" w:cs="Arial"/>
          <w:vertAlign w:val="superscript"/>
          <w:lang w:val="es-ES"/>
        </w:rPr>
        <w:footnoteReference w:id="11"/>
      </w:r>
      <w:r w:rsidRPr="0061306E">
        <w:rPr>
          <w:rFonts w:ascii="Verdana" w:hAnsi="Verdana" w:cs="Arial"/>
          <w:lang w:val="es-ES"/>
        </w:rPr>
        <w:t>, como parte de</w:t>
      </w:r>
      <w:r w:rsidR="00EC3D31">
        <w:rPr>
          <w:rFonts w:ascii="Verdana" w:hAnsi="Verdana" w:cs="Arial"/>
          <w:lang w:val="es-ES"/>
        </w:rPr>
        <w:t>l</w:t>
      </w:r>
      <w:r w:rsidRPr="0061306E">
        <w:rPr>
          <w:rFonts w:ascii="Verdana" w:hAnsi="Verdana" w:cs="Arial"/>
          <w:lang w:val="es-ES"/>
        </w:rPr>
        <w:t xml:space="preserve"> sector descentralizado por servicios. Esto significa </w:t>
      </w:r>
      <w:r w:rsidRPr="0061306E">
        <w:rPr>
          <w:rFonts w:ascii="Verdana" w:hAnsi="Verdana" w:cs="Arial"/>
          <w:lang w:val="es-ES"/>
        </w:rPr>
        <w:lastRenderedPageBreak/>
        <w:t xml:space="preserve">que, estén o no sometidas al EGCAP, nada obsta para que, en virtud de esa participación pública minoritaria, las entidades descentralizadas indirectas puedan ser consideradas en sentido amplio como entidades estatales, considerando que el propio ordenamiento jurídico las ubica dentro de la estructura de la Administración Pública. </w:t>
      </w:r>
    </w:p>
    <w:p w14:paraId="6D1F2878" w14:textId="77777777" w:rsidR="00D10AD0" w:rsidRPr="0061306E" w:rsidRDefault="00D10AD0" w:rsidP="00D10AD0">
      <w:pPr>
        <w:spacing w:after="120" w:line="276" w:lineRule="auto"/>
        <w:ind w:firstLine="709"/>
        <w:jc w:val="both"/>
        <w:rPr>
          <w:rFonts w:ascii="Verdana" w:hAnsi="Verdana" w:cs="Arial"/>
          <w:lang w:val="es-ES"/>
        </w:rPr>
      </w:pPr>
      <w:r w:rsidRPr="0061306E">
        <w:rPr>
          <w:rFonts w:ascii="Verdana" w:hAnsi="Verdana" w:cs="Arial"/>
          <w:color w:val="000000" w:themeColor="text1"/>
          <w:lang w:val="es-ES" w:eastAsia="es-ES" w:bidi="es-ES"/>
        </w:rPr>
        <w:t>En este sentido, incluso cuando los fondos mixtos se encuentren exceptuados de la aplicación del régimen de contratación del EGCAP, tal exclusión no es absoluta, toda vez que al administrar recursos públicos deben respetar los principios de la función administrativa y de la gestión fiscal</w:t>
      </w:r>
      <w:r w:rsidRPr="0061306E">
        <w:rPr>
          <w:rFonts w:ascii="Verdana" w:hAnsi="Verdana" w:cs="Arial"/>
          <w:color w:val="000000" w:themeColor="text1"/>
          <w:vertAlign w:val="superscript"/>
          <w:lang w:val="es-ES" w:eastAsia="es-ES" w:bidi="es-ES"/>
        </w:rPr>
        <w:footnoteReference w:id="12"/>
      </w:r>
      <w:r w:rsidRPr="0061306E">
        <w:rPr>
          <w:rFonts w:ascii="Verdana" w:hAnsi="Verdana" w:cs="Arial"/>
          <w:color w:val="000000" w:themeColor="text1"/>
          <w:lang w:val="es-ES" w:eastAsia="es-ES" w:bidi="es-ES"/>
        </w:rPr>
        <w:t xml:space="preserve">, de conformidad con el artículo 13 de la Ley 1150 de 2007. </w:t>
      </w:r>
      <w:r w:rsidRPr="0061306E">
        <w:rPr>
          <w:rFonts w:ascii="Verdana" w:hAnsi="Verdana" w:cs="Arial"/>
          <w:color w:val="000000" w:themeColor="text1"/>
          <w:lang w:val="es-ES"/>
        </w:rPr>
        <w:t>La jurisprudencia del Consejo de Estado se ha pronunciado sobre la imbricación de ordenamientos que confluyen en el régimen contractual de las entidades excluidas del Estatuto General de Contratación de la Administración Pública y ha considerado que el régimen sustantivo del contrato ―derecho privado― no desvanece el sometimiento de la Administración al principio de legalidad y a los principios constitucionales.  Así, por ejemplo, en la actividad precontractual de estas entidades, aun cuando se aplican normas de derecho privado, también se aplican los principios de la función administrativa, situación que puede derivar en la expedición de verdaderos actos administrativos que se someten al cumplimiento del ordenamiento jurídico y, en consecuencia, son controlables por el juez administrativo, como toda la actividad de la Administración Pública</w:t>
      </w:r>
      <w:r w:rsidRPr="0061306E">
        <w:rPr>
          <w:rFonts w:ascii="Verdana" w:hAnsi="Verdana" w:cs="Arial"/>
          <w:color w:val="000000" w:themeColor="text1"/>
          <w:vertAlign w:val="superscript"/>
          <w:lang w:val="es-ES"/>
        </w:rPr>
        <w:footnoteReference w:id="13"/>
      </w:r>
      <w:r w:rsidRPr="0061306E">
        <w:rPr>
          <w:rFonts w:ascii="Verdana" w:hAnsi="Verdana" w:cs="Arial"/>
          <w:color w:val="000000" w:themeColor="text1"/>
          <w:lang w:val="es-ES"/>
        </w:rPr>
        <w:t xml:space="preserve">.     </w:t>
      </w:r>
    </w:p>
    <w:p w14:paraId="5F607D6D" w14:textId="7D2B1856" w:rsidR="00D10AD0" w:rsidRPr="0061306E" w:rsidRDefault="00D10AD0" w:rsidP="00D10AD0">
      <w:pPr>
        <w:widowControl w:val="0"/>
        <w:autoSpaceDE w:val="0"/>
        <w:autoSpaceDN w:val="0"/>
        <w:spacing w:before="120" w:line="276" w:lineRule="auto"/>
        <w:ind w:firstLine="709"/>
        <w:jc w:val="both"/>
        <w:rPr>
          <w:rFonts w:ascii="Verdana" w:eastAsia="Times New Roman" w:hAnsi="Verdana" w:cs="Arial"/>
          <w:bCs/>
          <w:lang w:val="es-ES"/>
        </w:rPr>
      </w:pPr>
      <w:r w:rsidRPr="0061306E">
        <w:rPr>
          <w:rFonts w:ascii="Verdana" w:eastAsia="Times New Roman" w:hAnsi="Verdana" w:cs="Arial"/>
          <w:bCs/>
          <w:lang w:val="es-ES"/>
        </w:rPr>
        <w:t xml:space="preserve">Las entidades del régimen exceptuado no se desligan por completo de las normas de derecho público. Lo anterior, en la medida </w:t>
      </w:r>
      <w:r w:rsidR="00B648AC">
        <w:rPr>
          <w:rFonts w:ascii="Verdana" w:eastAsia="Times New Roman" w:hAnsi="Verdana" w:cs="Arial"/>
          <w:bCs/>
          <w:lang w:val="es-ES"/>
        </w:rPr>
        <w:t xml:space="preserve">en </w:t>
      </w:r>
      <w:r w:rsidRPr="0061306E">
        <w:rPr>
          <w:rFonts w:ascii="Verdana" w:eastAsia="Times New Roman" w:hAnsi="Verdana" w:cs="Arial"/>
          <w:bCs/>
          <w:lang w:val="es-ES"/>
        </w:rPr>
        <w:t xml:space="preserve">que el inciso primero del artículo 13 de la Ley 1150 de 2007 prescribe que “Las entidades estatales que por disposición legal cuenten con un régimen contractual excepcional […] aplicarán en desarrollo de su actividad contractual, acorde con su régimen legal especial, los principios de la función administrativa y de la gestión fiscal de que tratan los artículos 209 y 267 de la Constitución Política, respectivamente según </w:t>
      </w:r>
      <w:r w:rsidRPr="0061306E">
        <w:rPr>
          <w:rFonts w:ascii="Verdana" w:eastAsia="Times New Roman" w:hAnsi="Verdana" w:cs="Arial"/>
          <w:bCs/>
          <w:lang w:val="es-ES"/>
        </w:rPr>
        <w:lastRenderedPageBreak/>
        <w:t>sea el caso y estarán sometidas al régimen de inhabilidades e incompatibilidades previsto legalmente para la contratación estatal”.</w:t>
      </w:r>
    </w:p>
    <w:p w14:paraId="13B8A5ED" w14:textId="40AD7E1F" w:rsidR="00D10AD0" w:rsidRPr="0061306E" w:rsidRDefault="00D10AD0" w:rsidP="00D10AD0">
      <w:pPr>
        <w:widowControl w:val="0"/>
        <w:autoSpaceDE w:val="0"/>
        <w:autoSpaceDN w:val="0"/>
        <w:spacing w:after="0" w:line="276" w:lineRule="auto"/>
        <w:ind w:firstLine="709"/>
        <w:jc w:val="both"/>
        <w:rPr>
          <w:rFonts w:ascii="Verdana" w:eastAsia="Calibri" w:hAnsi="Verdana" w:cs="Arial"/>
          <w:lang w:val="es-ES"/>
        </w:rPr>
      </w:pPr>
      <w:bookmarkStart w:id="8" w:name="_Hlk77949048"/>
      <w:r w:rsidRPr="0061306E">
        <w:rPr>
          <w:rFonts w:ascii="Verdana" w:hAnsi="Verdana" w:cs="Arial"/>
          <w:color w:val="000000" w:themeColor="text1"/>
          <w:lang w:val="es-ES"/>
        </w:rPr>
        <w:t xml:space="preserve">Conforme a lo anterior, en los contratos celebrados por los fondos mixtos con regímenes de derecho privado, el margen de libertad de configuración de la actividad contractual no se rige de forma absoluta por el principio de la autonomía privada, en la medida en que también resultan aplicables normas y principios de la función administrativa que deben ser observados para ceñir la contratación al ordenamiento jurídico aplicable, así como el deber de publicidad en SECOP II. </w:t>
      </w:r>
      <w:bookmarkEnd w:id="8"/>
      <w:r w:rsidRPr="0061306E">
        <w:rPr>
          <w:rFonts w:ascii="Verdana" w:eastAsia="Calibri" w:hAnsi="Verdana" w:cs="Arial"/>
          <w:lang w:val="es-ES"/>
        </w:rPr>
        <w:t xml:space="preserve">Según lo expuesto, las entidades descentralizadas indirectas, como es el caso de los fondos mixtos, son Entidades Estatales que estarán sometidas al régimen del EGCAP o del derecho privado según el porcentaje de participación estatal, o </w:t>
      </w:r>
      <w:r>
        <w:rPr>
          <w:rFonts w:ascii="Verdana" w:eastAsia="Calibri" w:hAnsi="Verdana" w:cs="Arial"/>
          <w:lang w:val="es-ES"/>
        </w:rPr>
        <w:t>a</w:t>
      </w:r>
      <w:r w:rsidRPr="0061306E">
        <w:rPr>
          <w:rFonts w:ascii="Verdana" w:eastAsia="Calibri" w:hAnsi="Verdana" w:cs="Arial"/>
          <w:lang w:val="es-ES"/>
        </w:rPr>
        <w:t>l régimen que la ley disponga, en los casos en que lo determine expresamente</w:t>
      </w:r>
      <w:r w:rsidRPr="0061306E">
        <w:rPr>
          <w:rFonts w:ascii="Verdana" w:eastAsia="Calibri" w:hAnsi="Verdana" w:cs="Arial"/>
          <w:vertAlign w:val="superscript"/>
          <w:lang w:val="es-ES"/>
        </w:rPr>
        <w:footnoteReference w:id="14"/>
      </w:r>
      <w:r w:rsidRPr="0061306E">
        <w:rPr>
          <w:rFonts w:ascii="Verdana" w:eastAsia="Calibri" w:hAnsi="Verdana" w:cs="Arial"/>
          <w:lang w:val="es-ES"/>
        </w:rPr>
        <w:t xml:space="preserve">.  </w:t>
      </w:r>
    </w:p>
    <w:p w14:paraId="2DC23B15" w14:textId="77777777" w:rsidR="00D10AD0" w:rsidRPr="0061306E" w:rsidRDefault="00D10AD0" w:rsidP="00D10AD0">
      <w:pPr>
        <w:widowControl w:val="0"/>
        <w:autoSpaceDE w:val="0"/>
        <w:autoSpaceDN w:val="0"/>
        <w:spacing w:after="0" w:line="276" w:lineRule="auto"/>
        <w:jc w:val="both"/>
        <w:rPr>
          <w:rFonts w:ascii="Verdana" w:eastAsia="Calibri" w:hAnsi="Verdana" w:cs="Arial"/>
          <w:lang w:val="es-ES"/>
        </w:rPr>
      </w:pPr>
    </w:p>
    <w:p w14:paraId="0F616122" w14:textId="7941955A" w:rsidR="00D10AD0" w:rsidRPr="0061306E" w:rsidRDefault="00D10AD0" w:rsidP="00D10AD0">
      <w:pPr>
        <w:tabs>
          <w:tab w:val="left" w:pos="0"/>
        </w:tabs>
        <w:spacing w:line="276" w:lineRule="auto"/>
        <w:jc w:val="both"/>
        <w:rPr>
          <w:rFonts w:ascii="Verdana" w:hAnsi="Verdana" w:cs="Arial"/>
          <w:color w:val="000000" w:themeColor="text1"/>
          <w:lang w:val="es-ES"/>
        </w:rPr>
      </w:pPr>
      <w:proofErr w:type="spellStart"/>
      <w:r w:rsidRPr="0061306E">
        <w:rPr>
          <w:rFonts w:ascii="Verdana" w:eastAsia="Calibri" w:hAnsi="Verdana" w:cs="Arial"/>
          <w:lang w:val="es-ES"/>
        </w:rPr>
        <w:t>ii</w:t>
      </w:r>
      <w:proofErr w:type="spellEnd"/>
      <w:r w:rsidRPr="0061306E">
        <w:rPr>
          <w:rFonts w:ascii="Verdana" w:eastAsia="Calibri" w:hAnsi="Verdana" w:cs="Arial"/>
          <w:lang w:val="es-ES"/>
        </w:rPr>
        <w:t>.</w:t>
      </w:r>
      <w:r w:rsidRPr="0061306E">
        <w:rPr>
          <w:rFonts w:ascii="Verdana" w:hAnsi="Verdana" w:cs="Arial"/>
          <w:color w:val="000000"/>
          <w:lang w:val="es-ES" w:eastAsia="en-GB"/>
        </w:rPr>
        <w:t xml:space="preserve"> En materia de contratación pública, la figura del anticipo está prevista en dos (2) normas: el</w:t>
      </w:r>
      <w:r w:rsidRPr="0061306E">
        <w:rPr>
          <w:rFonts w:ascii="Verdana" w:hAnsi="Verdana" w:cs="Arial"/>
          <w:color w:val="000000" w:themeColor="text1"/>
          <w:lang w:val="es-ES"/>
        </w:rPr>
        <w:t xml:space="preserve"> inciso primero del parágrafo del artículo 40 de la Ley 80 de 1993 y el artículo 91 de la Ley 1474 de 2011. En cuanto al Estatuto General de Contratación de la Administración Pública, se dispone la posibilidad de pactar anticipos en los contratos, pero sujet</w:t>
      </w:r>
      <w:r w:rsidR="002D3BAD">
        <w:rPr>
          <w:rFonts w:ascii="Verdana" w:hAnsi="Verdana" w:cs="Arial"/>
          <w:color w:val="000000" w:themeColor="text1"/>
          <w:lang w:val="es-ES"/>
        </w:rPr>
        <w:t>a</w:t>
      </w:r>
      <w:r w:rsidRPr="0061306E">
        <w:rPr>
          <w:rFonts w:ascii="Verdana" w:hAnsi="Verdana" w:cs="Arial"/>
          <w:color w:val="000000" w:themeColor="text1"/>
          <w:lang w:val="es-ES"/>
        </w:rPr>
        <w:t xml:space="preserve"> a determinadas limitaciones. En efecto, la norma prescribe que “En los contratos que celebren las entidades estatales se podrá pactar el pago anticipado y la entrega de anticipos, pero su monto no podrá exceder del cincuenta por ciento (50%) del valor del respectivo contrato”. </w:t>
      </w:r>
    </w:p>
    <w:p w14:paraId="25D81A4A" w14:textId="77777777" w:rsidR="00D10AD0" w:rsidRPr="0061306E" w:rsidRDefault="00D10AD0" w:rsidP="00D10AD0">
      <w:pPr>
        <w:tabs>
          <w:tab w:val="left" w:pos="0"/>
        </w:tabs>
        <w:spacing w:before="120" w:line="276" w:lineRule="auto"/>
        <w:ind w:firstLine="709"/>
        <w:jc w:val="both"/>
        <w:rPr>
          <w:rFonts w:ascii="Verdana" w:eastAsia="Calibri" w:hAnsi="Verdana" w:cs="Arial"/>
          <w:bCs/>
          <w:color w:val="000000" w:themeColor="text1"/>
          <w:lang w:val="es-ES"/>
        </w:rPr>
      </w:pPr>
      <w:r w:rsidRPr="0061306E">
        <w:rPr>
          <w:rFonts w:ascii="Verdana" w:hAnsi="Verdana" w:cs="Arial"/>
          <w:color w:val="000000" w:themeColor="text1"/>
          <w:lang w:val="es-ES"/>
        </w:rPr>
        <w:t xml:space="preserve">Por su parte, el artículo 91 de la Ley 1474 de 2011 consagra una regla especial para el manejo del anticipo. </w:t>
      </w:r>
      <w:r w:rsidRPr="0061306E">
        <w:rPr>
          <w:rFonts w:ascii="Verdana" w:eastAsia="Calibri" w:hAnsi="Verdana" w:cs="Arial"/>
          <w:bCs/>
          <w:color w:val="000000" w:themeColor="text1"/>
          <w:lang w:val="es-ES"/>
        </w:rPr>
        <w:t xml:space="preserve">Este precepto normativo dispone lo siguiente: </w:t>
      </w:r>
    </w:p>
    <w:p w14:paraId="6E75408D" w14:textId="77777777" w:rsidR="00D10AD0" w:rsidRPr="0061306E" w:rsidRDefault="00D10AD0" w:rsidP="00D10AD0">
      <w:pPr>
        <w:spacing w:after="0" w:line="240" w:lineRule="auto"/>
        <w:ind w:left="709" w:right="709"/>
        <w:jc w:val="both"/>
        <w:rPr>
          <w:rFonts w:ascii="Verdana" w:eastAsia="Calibri" w:hAnsi="Verdana" w:cs="Arial"/>
          <w:sz w:val="21"/>
          <w:szCs w:val="21"/>
          <w:lang w:val="es-ES"/>
        </w:rPr>
      </w:pPr>
      <w:r w:rsidRPr="0061306E">
        <w:rPr>
          <w:rFonts w:ascii="Verdana" w:eastAsia="Calibri" w:hAnsi="Verdana" w:cs="Arial"/>
          <w:sz w:val="21"/>
          <w:szCs w:val="21"/>
          <w:lang w:val="es-ES"/>
        </w:rPr>
        <w:t>En los contratos de obra, concesión, salud, o los que se realicen por licitación pública, el contratista deberá constituir una fiducia o un patrimonio autónomo irrevocable para el manejo de los recursos que reciba a título de anticipo, con el fin de garantizar que dichos recursos se apliquen exclusivamente a la ejecución del contrato correspondiente, salvo que el contrato sea de menor o mínima cuantía.</w:t>
      </w:r>
    </w:p>
    <w:p w14:paraId="233A5FDB" w14:textId="77777777" w:rsidR="00D10AD0" w:rsidRPr="0061306E" w:rsidRDefault="00D10AD0" w:rsidP="00D10AD0">
      <w:pPr>
        <w:spacing w:after="0" w:line="240" w:lineRule="auto"/>
        <w:ind w:left="709" w:right="709"/>
        <w:jc w:val="both"/>
        <w:rPr>
          <w:rFonts w:ascii="Verdana" w:eastAsia="Calibri" w:hAnsi="Verdana" w:cs="Arial"/>
          <w:sz w:val="21"/>
          <w:szCs w:val="21"/>
          <w:lang w:val="es-ES"/>
        </w:rPr>
      </w:pPr>
    </w:p>
    <w:p w14:paraId="117C0723" w14:textId="77777777" w:rsidR="00D10AD0" w:rsidRPr="0061306E" w:rsidRDefault="00D10AD0" w:rsidP="00D10AD0">
      <w:pPr>
        <w:spacing w:after="0" w:line="240" w:lineRule="auto"/>
        <w:ind w:left="709" w:right="709"/>
        <w:jc w:val="both"/>
        <w:rPr>
          <w:rFonts w:ascii="Verdana" w:eastAsia="Calibri" w:hAnsi="Verdana" w:cs="Arial"/>
          <w:sz w:val="21"/>
          <w:szCs w:val="21"/>
          <w:lang w:val="es-ES"/>
        </w:rPr>
      </w:pPr>
      <w:r w:rsidRPr="0061306E">
        <w:rPr>
          <w:rFonts w:ascii="Verdana" w:eastAsia="Calibri" w:hAnsi="Verdana" w:cs="Arial"/>
          <w:sz w:val="21"/>
          <w:szCs w:val="21"/>
          <w:lang w:val="es-ES"/>
        </w:rPr>
        <w:t>El costo de la comisión fiduciaria será cubierto directamente por el contratista.</w:t>
      </w:r>
    </w:p>
    <w:p w14:paraId="5E2A947E" w14:textId="77777777" w:rsidR="00D10AD0" w:rsidRPr="0061306E" w:rsidRDefault="00D10AD0" w:rsidP="00D10AD0">
      <w:pPr>
        <w:spacing w:after="0" w:line="276" w:lineRule="auto"/>
        <w:jc w:val="both"/>
        <w:rPr>
          <w:rFonts w:ascii="Verdana" w:eastAsia="Calibri" w:hAnsi="Verdana" w:cs="Arial"/>
          <w:bCs/>
          <w:color w:val="000000" w:themeColor="text1"/>
          <w:lang w:val="es-ES"/>
        </w:rPr>
      </w:pPr>
    </w:p>
    <w:p w14:paraId="228F8A41" w14:textId="77777777" w:rsidR="00D10AD0" w:rsidRPr="0061306E" w:rsidRDefault="00D10AD0" w:rsidP="00D10AD0">
      <w:pPr>
        <w:spacing w:after="0" w:line="276" w:lineRule="auto"/>
        <w:ind w:firstLine="709"/>
        <w:jc w:val="both"/>
        <w:rPr>
          <w:rFonts w:ascii="Verdana" w:eastAsia="Calibri" w:hAnsi="Verdana" w:cs="Arial"/>
          <w:bCs/>
          <w:color w:val="000000" w:themeColor="text1"/>
          <w:lang w:val="es-ES"/>
        </w:rPr>
      </w:pPr>
      <w:r w:rsidRPr="0061306E">
        <w:rPr>
          <w:rFonts w:ascii="Verdana" w:eastAsia="Calibri" w:hAnsi="Verdana" w:cs="Arial"/>
          <w:bCs/>
          <w:color w:val="000000" w:themeColor="text1"/>
          <w:lang w:val="es-ES"/>
        </w:rPr>
        <w:t>En concordancia con lo señalado, el artículo 2.2.1.1.2.4.1 del Decreto 1082 de 2015</w:t>
      </w:r>
      <w:r w:rsidRPr="0061306E">
        <w:rPr>
          <w:rFonts w:ascii="Verdana" w:eastAsia="Calibri" w:hAnsi="Verdana" w:cs="Arial"/>
          <w:bCs/>
          <w:color w:val="000000" w:themeColor="text1"/>
          <w:vertAlign w:val="superscript"/>
          <w:lang w:val="es-ES"/>
        </w:rPr>
        <w:footnoteReference w:id="15"/>
      </w:r>
      <w:r w:rsidRPr="0061306E">
        <w:rPr>
          <w:rFonts w:ascii="Verdana" w:eastAsia="Calibri" w:hAnsi="Verdana" w:cs="Arial"/>
          <w:bCs/>
          <w:color w:val="000000" w:themeColor="text1"/>
          <w:lang w:val="es-ES"/>
        </w:rPr>
        <w:t xml:space="preserve">, determinó que, en los casos previstos en la ley, el contratista debe suscribir un contrato de fiducia mercantil para crear un patrimonio autónomo, con una sociedad fiduciaria autorizada para ese fin por la Superintendencia Financiera de Colombia, a la cual la Entidad Estatal debe entregar el valor del anticipo. Los recursos del patrimonio y sus rendimientos son autónomos y son manejados de acuerdo con el contrato de fiducia mercantil. </w:t>
      </w:r>
    </w:p>
    <w:p w14:paraId="77B7A957" w14:textId="486F2B07" w:rsidR="00D10AD0" w:rsidRPr="0061306E" w:rsidRDefault="00D10AD0" w:rsidP="00D10AD0">
      <w:pPr>
        <w:spacing w:before="120" w:after="0" w:line="276" w:lineRule="auto"/>
        <w:ind w:firstLine="709"/>
        <w:jc w:val="both"/>
        <w:rPr>
          <w:rFonts w:ascii="Verdana" w:eastAsia="Calibri" w:hAnsi="Verdana" w:cs="Arial"/>
          <w:bCs/>
          <w:color w:val="000000" w:themeColor="text1"/>
          <w:lang w:val="es-ES"/>
        </w:rPr>
      </w:pPr>
      <w:r w:rsidRPr="0061306E">
        <w:rPr>
          <w:rFonts w:ascii="Verdana" w:eastAsia="Calibri" w:hAnsi="Verdana" w:cs="Arial"/>
          <w:bCs/>
          <w:color w:val="000000" w:themeColor="text1"/>
          <w:lang w:val="es-ES"/>
        </w:rPr>
        <w:t xml:space="preserve">Lo anterior surge como una medida para fortalecer los mecanismos de prevención, investigación y sanción de actos de corrupción y la efectividad del </w:t>
      </w:r>
      <w:r w:rsidRPr="0061306E">
        <w:rPr>
          <w:rFonts w:ascii="Verdana" w:eastAsia="Calibri" w:hAnsi="Verdana" w:cs="Arial"/>
          <w:bCs/>
          <w:color w:val="000000" w:themeColor="text1"/>
          <w:lang w:val="es-ES"/>
        </w:rPr>
        <w:lastRenderedPageBreak/>
        <w:t>control de la gestión pública, en atención a la problemática identificada sobre el incumplimiento de</w:t>
      </w:r>
      <w:r w:rsidR="00F571D9">
        <w:rPr>
          <w:rFonts w:ascii="Verdana" w:eastAsia="Calibri" w:hAnsi="Verdana" w:cs="Arial"/>
          <w:bCs/>
          <w:color w:val="000000" w:themeColor="text1"/>
          <w:lang w:val="es-ES"/>
        </w:rPr>
        <w:t>l deber de</w:t>
      </w:r>
      <w:r w:rsidRPr="0061306E">
        <w:rPr>
          <w:rFonts w:ascii="Verdana" w:eastAsia="Calibri" w:hAnsi="Verdana" w:cs="Arial"/>
          <w:bCs/>
          <w:color w:val="000000" w:themeColor="text1"/>
          <w:lang w:val="es-ES"/>
        </w:rPr>
        <w:t xml:space="preserve"> los contratistas de destinar los anticipos en la ejecución del contrato</w:t>
      </w:r>
      <w:r w:rsidRPr="0061306E">
        <w:rPr>
          <w:rFonts w:ascii="Verdana" w:eastAsia="Calibri" w:hAnsi="Verdana" w:cs="Arial"/>
          <w:bCs/>
          <w:color w:val="000000" w:themeColor="text1"/>
          <w:vertAlign w:val="superscript"/>
          <w:lang w:val="es-ES"/>
        </w:rPr>
        <w:footnoteReference w:id="16"/>
      </w:r>
      <w:r w:rsidRPr="0061306E">
        <w:rPr>
          <w:rFonts w:ascii="Verdana" w:eastAsia="Calibri" w:hAnsi="Verdana" w:cs="Arial"/>
          <w:bCs/>
          <w:color w:val="000000" w:themeColor="text1"/>
          <w:lang w:val="es-ES"/>
        </w:rPr>
        <w:t xml:space="preserve">. De esta manera, mediante estas disposiciones se busca realizar un seguimiento a la entrega de recursos que se otorgan en calidad de anticipo, a través de la constitución de una fiducia irrevocable con la finalidad de garantizar la correcta y adecuada inversión y administración de estos y, el reintegro de los recursos a la entidad estatal. </w:t>
      </w:r>
    </w:p>
    <w:p w14:paraId="5BE8649E" w14:textId="6E037024" w:rsidR="00D10AD0" w:rsidRPr="0061306E" w:rsidRDefault="00D10AD0" w:rsidP="00D10AD0">
      <w:pPr>
        <w:spacing w:before="120" w:after="0" w:line="276" w:lineRule="auto"/>
        <w:ind w:firstLine="709"/>
        <w:jc w:val="both"/>
        <w:rPr>
          <w:rFonts w:ascii="Verdana" w:eastAsia="Calibri" w:hAnsi="Verdana" w:cs="Arial"/>
          <w:color w:val="000000" w:themeColor="text1"/>
          <w:lang w:val="es-ES"/>
        </w:rPr>
      </w:pPr>
      <w:r w:rsidRPr="0061306E">
        <w:rPr>
          <w:rFonts w:ascii="Verdana" w:eastAsia="Calibri" w:hAnsi="Verdana" w:cs="Arial"/>
          <w:bCs/>
          <w:color w:val="000000" w:themeColor="text1"/>
          <w:lang w:val="es-ES"/>
        </w:rPr>
        <w:t xml:space="preserve">Por su parte, la </w:t>
      </w:r>
      <w:r w:rsidRPr="0061306E">
        <w:rPr>
          <w:rFonts w:ascii="Verdana" w:eastAsia="Calibri" w:hAnsi="Verdana" w:cs="Arial"/>
          <w:color w:val="000000" w:themeColor="text1"/>
          <w:lang w:val="es-ES"/>
        </w:rPr>
        <w:t>«</w:t>
      </w:r>
      <w:r w:rsidRPr="0061306E">
        <w:rPr>
          <w:rFonts w:ascii="Verdana" w:eastAsia="Calibri" w:hAnsi="Verdana" w:cs="Arial"/>
          <w:bCs/>
          <w:color w:val="000000" w:themeColor="text1"/>
          <w:lang w:val="es-ES"/>
        </w:rPr>
        <w:t>Guía para el manejo de anticipos mediante contrato de Fiducia irrevocable</w:t>
      </w:r>
      <w:bookmarkStart w:id="9" w:name="_Hlk69032549"/>
      <w:r w:rsidRPr="0061306E">
        <w:rPr>
          <w:rFonts w:ascii="Verdana" w:eastAsia="Calibri" w:hAnsi="Verdana" w:cs="Arial"/>
          <w:color w:val="000000" w:themeColor="text1"/>
          <w:lang w:val="es-ES"/>
        </w:rPr>
        <w:t>»</w:t>
      </w:r>
      <w:bookmarkEnd w:id="9"/>
      <w:r w:rsidRPr="0061306E">
        <w:rPr>
          <w:rFonts w:ascii="Verdana" w:eastAsia="Calibri" w:hAnsi="Verdana" w:cs="Arial"/>
          <w:color w:val="000000" w:themeColor="text1"/>
          <w:lang w:val="es-ES"/>
        </w:rPr>
        <w:t xml:space="preserve">, emitida por </w:t>
      </w:r>
      <w:r w:rsidRPr="0061306E">
        <w:rPr>
          <w:rFonts w:ascii="Verdana" w:eastAsia="Calibri" w:hAnsi="Verdana" w:cs="Arial"/>
          <w:bCs/>
          <w:color w:val="000000" w:themeColor="text1"/>
          <w:lang w:val="es-ES"/>
        </w:rPr>
        <w:t>Colombia Compra Eficiente, dispone que el patrimonio autónomo para manejo de anticipos tiene como finalidad: (i) la correcta y adecuada inversión y administración del anticipo y, (</w:t>
      </w:r>
      <w:proofErr w:type="spellStart"/>
      <w:r w:rsidRPr="0061306E">
        <w:rPr>
          <w:rFonts w:ascii="Verdana" w:eastAsia="Calibri" w:hAnsi="Verdana" w:cs="Arial"/>
          <w:bCs/>
          <w:color w:val="000000" w:themeColor="text1"/>
          <w:lang w:val="es-ES"/>
        </w:rPr>
        <w:t>ii</w:t>
      </w:r>
      <w:proofErr w:type="spellEnd"/>
      <w:r w:rsidRPr="0061306E">
        <w:rPr>
          <w:rFonts w:ascii="Verdana" w:eastAsia="Calibri" w:hAnsi="Verdana" w:cs="Arial"/>
          <w:bCs/>
          <w:color w:val="000000" w:themeColor="text1"/>
          <w:lang w:val="es-ES"/>
        </w:rPr>
        <w:t xml:space="preserve">) el reintegro de los recursos del anticipo a la Entidad Estatal cuando declara la caducidad, incumplimiento o terminación del contrato estatal o cuando se presenta </w:t>
      </w:r>
      <w:r w:rsidR="00411410">
        <w:rPr>
          <w:rFonts w:ascii="Verdana" w:eastAsia="Calibri" w:hAnsi="Verdana" w:cs="Arial"/>
          <w:bCs/>
          <w:color w:val="000000" w:themeColor="text1"/>
          <w:lang w:val="es-ES"/>
        </w:rPr>
        <w:t xml:space="preserve">su </w:t>
      </w:r>
      <w:r w:rsidRPr="0061306E">
        <w:rPr>
          <w:rFonts w:ascii="Verdana" w:eastAsia="Calibri" w:hAnsi="Verdana" w:cs="Arial"/>
          <w:bCs/>
          <w:color w:val="000000" w:themeColor="text1"/>
          <w:lang w:val="es-ES"/>
        </w:rPr>
        <w:t>nulidad</w:t>
      </w:r>
      <w:r w:rsidRPr="0061306E">
        <w:rPr>
          <w:rFonts w:ascii="Verdana" w:eastAsia="Calibri" w:hAnsi="Verdana" w:cs="Arial"/>
          <w:color w:val="000000" w:themeColor="text1"/>
          <w:lang w:val="es-ES"/>
        </w:rPr>
        <w:t xml:space="preserve">. Además, indica que, en los contratos de obra, concesión, salud y los que se realicen por licitación pública y siempre que no sean de menor o mínima cuantía, el contratista debe constituir </w:t>
      </w:r>
      <w:r w:rsidR="0034441E">
        <w:rPr>
          <w:rFonts w:ascii="Verdana" w:eastAsia="Calibri" w:hAnsi="Verdana" w:cs="Arial"/>
          <w:color w:val="000000" w:themeColor="text1"/>
          <w:lang w:val="es-ES"/>
        </w:rPr>
        <w:t xml:space="preserve">una </w:t>
      </w:r>
      <w:r w:rsidRPr="0061306E">
        <w:rPr>
          <w:rFonts w:ascii="Verdana" w:eastAsia="Calibri" w:hAnsi="Verdana" w:cs="Arial"/>
          <w:color w:val="000000" w:themeColor="text1"/>
          <w:lang w:val="es-ES"/>
        </w:rPr>
        <w:t xml:space="preserve">fiducia mercantil irrevocable para el manejo de los recursos que recibe a título de anticipo. Igualmente, expone las condiciones para administrar los recursos del patrimonio autónomo, las obligaciones principales de la fiduciaria, el manejo de los excedentes, entre otros. </w:t>
      </w:r>
    </w:p>
    <w:p w14:paraId="7D68DE88" w14:textId="77777777" w:rsidR="00D10AD0" w:rsidRPr="0061306E" w:rsidRDefault="00D10AD0" w:rsidP="00D10AD0">
      <w:pPr>
        <w:spacing w:before="120" w:after="0" w:line="276" w:lineRule="auto"/>
        <w:ind w:firstLine="709"/>
        <w:jc w:val="both"/>
        <w:rPr>
          <w:rFonts w:ascii="Verdana" w:eastAsia="Calibri" w:hAnsi="Verdana" w:cs="Arial"/>
          <w:lang w:val="es-ES"/>
        </w:rPr>
      </w:pPr>
      <w:r w:rsidRPr="0061306E">
        <w:rPr>
          <w:rFonts w:ascii="Verdana" w:eastAsia="Calibri" w:hAnsi="Verdana" w:cs="Arial"/>
          <w:bCs/>
          <w:color w:val="000000" w:themeColor="text1"/>
          <w:lang w:val="es-ES"/>
        </w:rPr>
        <w:t xml:space="preserve">De conformidad con lo anterior, para ciertos tipos de contratos la Ley ha impuesto la obligación al contratista de constituir una fiducia o patrimonio autónomo irrevocable, con el propósito de manejar los recursos que se entreguen a título de anticipo y garantizar que estos sean destinados única y exclusivamente para </w:t>
      </w:r>
      <w:r w:rsidRPr="0061306E">
        <w:rPr>
          <w:rFonts w:ascii="Verdana" w:eastAsia="Calibri" w:hAnsi="Verdana" w:cs="Arial"/>
          <w:lang w:val="es-ES"/>
        </w:rPr>
        <w:t xml:space="preserve">solventar los costos iniciales de la ejecución del contrato, de acuerdo con las condiciones pactadas. El artículo 91 determina el ámbito de aplicación, al enumerar los casos en los cuales es deber del contratista constituir un patrimonio autónomo o una fiducia para administrar los recursos del anticipo. Para tales efectos, se establecen los siguientes contratos: i) obra, </w:t>
      </w:r>
      <w:proofErr w:type="spellStart"/>
      <w:r w:rsidRPr="0061306E">
        <w:rPr>
          <w:rFonts w:ascii="Verdana" w:eastAsia="Calibri" w:hAnsi="Verdana" w:cs="Arial"/>
          <w:lang w:val="es-ES"/>
        </w:rPr>
        <w:t>ii</w:t>
      </w:r>
      <w:proofErr w:type="spellEnd"/>
      <w:r w:rsidRPr="0061306E">
        <w:rPr>
          <w:rFonts w:ascii="Verdana" w:eastAsia="Calibri" w:hAnsi="Verdana" w:cs="Arial"/>
          <w:lang w:val="es-ES"/>
        </w:rPr>
        <w:t xml:space="preserve">) concesión, </w:t>
      </w:r>
      <w:proofErr w:type="spellStart"/>
      <w:r w:rsidRPr="0061306E">
        <w:rPr>
          <w:rFonts w:ascii="Verdana" w:eastAsia="Calibri" w:hAnsi="Verdana" w:cs="Arial"/>
          <w:lang w:val="es-ES"/>
        </w:rPr>
        <w:t>iii</w:t>
      </w:r>
      <w:proofErr w:type="spellEnd"/>
      <w:r w:rsidRPr="0061306E">
        <w:rPr>
          <w:rFonts w:ascii="Verdana" w:eastAsia="Calibri" w:hAnsi="Verdana" w:cs="Arial"/>
          <w:lang w:val="es-ES"/>
        </w:rPr>
        <w:t xml:space="preserve">) salud y </w:t>
      </w:r>
      <w:proofErr w:type="spellStart"/>
      <w:r w:rsidRPr="0061306E">
        <w:rPr>
          <w:rFonts w:ascii="Verdana" w:eastAsia="Calibri" w:hAnsi="Verdana" w:cs="Arial"/>
          <w:lang w:val="es-ES"/>
        </w:rPr>
        <w:t>iv</w:t>
      </w:r>
      <w:proofErr w:type="spellEnd"/>
      <w:r w:rsidRPr="0061306E">
        <w:rPr>
          <w:rFonts w:ascii="Verdana" w:eastAsia="Calibri" w:hAnsi="Verdana" w:cs="Arial"/>
          <w:lang w:val="es-ES"/>
        </w:rPr>
        <w:t xml:space="preserve">) los contratos derivados de un proceso de Licitación Pública. </w:t>
      </w:r>
    </w:p>
    <w:p w14:paraId="3B2DFF24" w14:textId="75986E29" w:rsidR="00D10AD0" w:rsidRPr="0061306E" w:rsidRDefault="00D10AD0" w:rsidP="00D10AD0">
      <w:pPr>
        <w:spacing w:before="120" w:after="0" w:line="276" w:lineRule="auto"/>
        <w:ind w:firstLine="709"/>
        <w:jc w:val="both"/>
        <w:rPr>
          <w:rFonts w:ascii="Verdana" w:eastAsia="Calibri" w:hAnsi="Verdana" w:cs="Arial"/>
          <w:lang w:val="es-ES"/>
        </w:rPr>
      </w:pPr>
      <w:r w:rsidRPr="0061306E">
        <w:rPr>
          <w:rFonts w:ascii="Verdana" w:eastAsia="Calibri" w:hAnsi="Verdana" w:cs="Arial"/>
          <w:lang w:val="es-ES"/>
        </w:rPr>
        <w:t xml:space="preserve">Aunque la norma menciona de manera general que en los cuatro casos anteriores se debe constituir patrimonio autónomo irrevocable o fiducia para el </w:t>
      </w:r>
      <w:r w:rsidRPr="0061306E">
        <w:rPr>
          <w:rFonts w:ascii="Verdana" w:eastAsia="Calibri" w:hAnsi="Verdana" w:cs="Arial"/>
          <w:lang w:val="es-ES"/>
        </w:rPr>
        <w:lastRenderedPageBreak/>
        <w:t>manejo del anticipo, la norma</w:t>
      </w:r>
      <w:r w:rsidR="007C3A41">
        <w:rPr>
          <w:rFonts w:ascii="Verdana" w:eastAsia="Calibri" w:hAnsi="Verdana" w:cs="Arial"/>
        </w:rPr>
        <w:t xml:space="preserve"> también determina una excepción a </w:t>
      </w:r>
      <w:r w:rsidR="007C3A41" w:rsidRPr="007C3A41">
        <w:rPr>
          <w:rFonts w:ascii="Verdana" w:eastAsia="Calibri" w:hAnsi="Verdana" w:cs="Arial"/>
        </w:rPr>
        <w:t>su aplicación respecto de los cuatro tipos de contratos para los cuales la disposición resulta obligatoria</w:t>
      </w:r>
      <w:r w:rsidRPr="0061306E">
        <w:rPr>
          <w:rFonts w:ascii="Verdana" w:eastAsia="Calibri" w:hAnsi="Verdana" w:cs="Arial"/>
          <w:lang w:val="es-ES"/>
        </w:rPr>
        <w:t>. Ello es así, por cuanto la expresión “</w:t>
      </w:r>
      <w:r w:rsidRPr="0061306E">
        <w:rPr>
          <w:rFonts w:ascii="Verdana" w:eastAsia="Calibri" w:hAnsi="Verdana" w:cs="Arial"/>
          <w:i/>
          <w:lang w:val="es-ES"/>
        </w:rPr>
        <w:t>salvo que el contrato sea de menor o mínima cuantía</w:t>
      </w:r>
      <w:r w:rsidRPr="0061306E">
        <w:rPr>
          <w:rFonts w:ascii="Verdana" w:eastAsia="Calibri" w:hAnsi="Verdana" w:cs="Arial"/>
          <w:lang w:val="es-ES"/>
        </w:rPr>
        <w:t>”, describe que, a pesar de las enunciaciones anteriores,</w:t>
      </w:r>
      <w:r w:rsidR="002443B4">
        <w:rPr>
          <w:rFonts w:ascii="Verdana" w:eastAsia="Calibri" w:hAnsi="Verdana" w:cs="Arial"/>
          <w:lang w:val="es-ES"/>
        </w:rPr>
        <w:t xml:space="preserve"> d</w:t>
      </w:r>
      <w:proofErr w:type="spellStart"/>
      <w:r w:rsidR="002443B4" w:rsidRPr="002443B4">
        <w:rPr>
          <w:rFonts w:ascii="Verdana" w:eastAsia="Calibri" w:hAnsi="Verdana" w:cs="Arial"/>
        </w:rPr>
        <w:t>icha</w:t>
      </w:r>
      <w:proofErr w:type="spellEnd"/>
      <w:r w:rsidR="002443B4" w:rsidRPr="002443B4">
        <w:rPr>
          <w:rFonts w:ascii="Verdana" w:eastAsia="Calibri" w:hAnsi="Verdana" w:cs="Arial"/>
        </w:rPr>
        <w:t xml:space="preserve"> disposición imperativa no aplica cuando el contrato sea de menor o mínima cuantía, sin discriminar la modalidad de selección mediante la cual se celebren dichos contratos</w:t>
      </w:r>
      <w:r w:rsidRPr="0061306E">
        <w:rPr>
          <w:rFonts w:ascii="Verdana" w:eastAsia="Calibri" w:hAnsi="Verdana" w:cs="Arial"/>
          <w:lang w:val="es-ES"/>
        </w:rPr>
        <w:t xml:space="preserve">. </w:t>
      </w:r>
    </w:p>
    <w:p w14:paraId="6EA1EC1B" w14:textId="4C22467F" w:rsidR="00D10AD0" w:rsidRPr="0061306E" w:rsidRDefault="00D10AD0" w:rsidP="00D10AD0">
      <w:pPr>
        <w:spacing w:before="120" w:after="0" w:line="276" w:lineRule="auto"/>
        <w:ind w:firstLine="709"/>
        <w:jc w:val="both"/>
        <w:rPr>
          <w:rFonts w:ascii="Verdana" w:eastAsia="Calibri" w:hAnsi="Verdana" w:cs="Arial"/>
          <w:lang w:val="es-ES"/>
        </w:rPr>
      </w:pPr>
      <w:r w:rsidRPr="0061306E">
        <w:rPr>
          <w:rFonts w:ascii="Verdana" w:eastAsia="Calibri" w:hAnsi="Verdana" w:cs="Arial"/>
          <w:lang w:val="es-ES"/>
        </w:rPr>
        <w:t>Teniendo en cuenta las consideraciones desarrolladas en relación con la obligación de constituir una fiducia o un patrimonio autónomo irrevocable para el manejo de los recursos que reciba a título de anticipo, es pertinente mencionar que la Agencia Nacional de Contratación Pública – Colombia Compra Eficiente en los conceptos C-049 del 21 de febrero de 2020, C-209 del 16 de marzo de 2020, C-693 del 25 de noviembre de 2020, C-154 del 18 de mayo de 2021, C-825 del 28 de diciembre de 2022 y C- 003 de 13 de marzo de 2023, sobre la expresión  “</w:t>
      </w:r>
      <w:r w:rsidRPr="0061306E">
        <w:rPr>
          <w:rFonts w:ascii="Verdana" w:eastAsia="Calibri" w:hAnsi="Verdana" w:cs="Arial"/>
          <w:i/>
          <w:lang w:val="es-ES"/>
        </w:rPr>
        <w:t>salvo que el contrato sea de menor o mínima cuantía</w:t>
      </w:r>
      <w:r w:rsidRPr="0061306E">
        <w:rPr>
          <w:rFonts w:ascii="Verdana" w:eastAsia="Calibri" w:hAnsi="Verdana" w:cs="Arial"/>
          <w:lang w:val="es-ES"/>
        </w:rPr>
        <w:t>” contenida en la parte final del artículo 91 de la Ley 1474 de 2011,</w:t>
      </w:r>
      <w:r w:rsidR="005B6D30" w:rsidRPr="005B6D30">
        <w:t xml:space="preserve"> </w:t>
      </w:r>
      <w:r w:rsidR="005B6D30" w:rsidRPr="005B6D30">
        <w:rPr>
          <w:rFonts w:ascii="Verdana" w:eastAsia="Calibri" w:hAnsi="Verdana" w:cs="Arial"/>
        </w:rPr>
        <w:t xml:space="preserve">ha indicado que dicha excepción implica que la obligación se aplica a los contratos de obra, concesión, salud o los que se realicen por licitación pública, salvo </w:t>
      </w:r>
      <w:r w:rsidR="005B6D30" w:rsidRPr="00E35742">
        <w:rPr>
          <w:rFonts w:ascii="Verdana" w:eastAsia="Calibri" w:hAnsi="Verdana" w:cs="Arial"/>
          <w:i/>
          <w:iCs/>
        </w:rPr>
        <w:t>que los mismos</w:t>
      </w:r>
      <w:r w:rsidR="005B6D30" w:rsidRPr="005B6D30">
        <w:rPr>
          <w:rFonts w:ascii="Verdana" w:eastAsia="Calibri" w:hAnsi="Verdana" w:cs="Arial"/>
        </w:rPr>
        <w:t xml:space="preserve"> sean de menor o mínima cuantía, sin tener en cuenta la modalidad de selección por la que se suscribió el contrato, así</w:t>
      </w:r>
      <w:r w:rsidRPr="0061306E">
        <w:rPr>
          <w:rFonts w:ascii="Verdana" w:eastAsia="Calibri" w:hAnsi="Verdana" w:cs="Arial"/>
          <w:lang w:val="es-ES"/>
        </w:rPr>
        <w:t>:</w:t>
      </w:r>
    </w:p>
    <w:p w14:paraId="54EBB474" w14:textId="77777777" w:rsidR="00D10AD0" w:rsidRPr="0061306E" w:rsidRDefault="00D10AD0" w:rsidP="00D10AD0">
      <w:pPr>
        <w:spacing w:before="120" w:after="0" w:line="276" w:lineRule="auto"/>
        <w:ind w:left="709" w:right="616"/>
        <w:jc w:val="both"/>
        <w:rPr>
          <w:rFonts w:ascii="Verdana" w:eastAsia="Calibri" w:hAnsi="Verdana" w:cs="Arial"/>
          <w:sz w:val="21"/>
          <w:szCs w:val="21"/>
          <w:lang w:val="es-ES"/>
        </w:rPr>
      </w:pPr>
      <w:r w:rsidRPr="0061306E">
        <w:rPr>
          <w:rFonts w:ascii="Verdana" w:eastAsia="Calibri" w:hAnsi="Verdana" w:cs="Arial"/>
          <w:sz w:val="21"/>
          <w:szCs w:val="21"/>
          <w:lang w:val="es-ES"/>
        </w:rPr>
        <w:t>“En consideración a lo enunciado previamente, el ejercicio interpretativo que esta Agencia ha mantenido sobre la sobre la expresión “</w:t>
      </w:r>
      <w:r w:rsidRPr="0061306E">
        <w:rPr>
          <w:rFonts w:ascii="Verdana" w:eastAsia="Calibri" w:hAnsi="Verdana" w:cs="Arial"/>
          <w:i/>
          <w:sz w:val="21"/>
          <w:szCs w:val="21"/>
          <w:lang w:val="es-ES"/>
        </w:rPr>
        <w:t>salvo que el contrato sea de menor o mínima cuantía</w:t>
      </w:r>
      <w:r w:rsidRPr="0061306E">
        <w:rPr>
          <w:rFonts w:ascii="Verdana" w:eastAsia="Calibri" w:hAnsi="Verdana" w:cs="Arial"/>
          <w:sz w:val="21"/>
          <w:szCs w:val="21"/>
          <w:lang w:val="es-ES"/>
        </w:rPr>
        <w:t>” contenida en la parte final del artículo 91 de la Ley 1474 de 2011, ha sido la de entender que en los contratos cuya cuantía resulte ser de mínima o menor cuantía no será obligatoria la constitución de un patrimonio autónomo o una fiducia para administrar los recursos del anticipo, así haya surgido a través de un proceso de selección por licitación pública.”</w:t>
      </w:r>
      <w:r w:rsidRPr="0061306E">
        <w:rPr>
          <w:rFonts w:ascii="Verdana" w:eastAsia="Calibri" w:hAnsi="Verdana" w:cs="Arial"/>
          <w:sz w:val="21"/>
          <w:szCs w:val="21"/>
          <w:vertAlign w:val="superscript"/>
          <w:lang w:val="es-ES"/>
        </w:rPr>
        <w:footnoteReference w:id="17"/>
      </w:r>
    </w:p>
    <w:p w14:paraId="7176AEAA" w14:textId="206DB7EB" w:rsidR="00D10AD0" w:rsidRPr="0061306E" w:rsidRDefault="00D10AD0" w:rsidP="00D10AD0">
      <w:pPr>
        <w:spacing w:before="120" w:after="0" w:line="276" w:lineRule="auto"/>
        <w:ind w:firstLine="709"/>
        <w:jc w:val="both"/>
        <w:rPr>
          <w:rFonts w:ascii="Verdana" w:eastAsia="Calibri" w:hAnsi="Verdana" w:cs="Arial"/>
          <w:lang w:val="es-ES"/>
        </w:rPr>
      </w:pPr>
      <w:r w:rsidRPr="0061306E">
        <w:rPr>
          <w:rFonts w:ascii="Verdana" w:eastAsia="Calibri" w:hAnsi="Verdana" w:cs="Arial"/>
          <w:lang w:val="es-ES"/>
        </w:rPr>
        <w:t xml:space="preserve">De las consideraciones señaladas, se puede concluir lo siguiente: i) la fiducia o el patrimonio autónomo irrevocable para el manejo de los recursos del anticipo es aplicable a contratos de obra, concesión y salud sin importar la modalidad de contratación y también, para aquellos contratos que sin importar la tipología contractual sean gestionados por licitación pública, </w:t>
      </w:r>
      <w:r w:rsidRPr="0061306E">
        <w:rPr>
          <w:rFonts w:ascii="Verdana" w:eastAsia="Calibri" w:hAnsi="Verdana" w:cs="Arial"/>
          <w:i/>
          <w:lang w:val="es-ES"/>
        </w:rPr>
        <w:t>siempre y cuando</w:t>
      </w:r>
      <w:r w:rsidRPr="0061306E">
        <w:rPr>
          <w:rFonts w:ascii="Verdana" w:eastAsia="Calibri" w:hAnsi="Verdana" w:cs="Arial"/>
          <w:lang w:val="es-ES"/>
        </w:rPr>
        <w:t xml:space="preserve"> </w:t>
      </w:r>
      <w:r w:rsidRPr="0061306E">
        <w:rPr>
          <w:rFonts w:ascii="Verdana" w:eastAsia="Calibri" w:hAnsi="Verdana" w:cs="Arial"/>
          <w:lang w:val="es-ES"/>
        </w:rPr>
        <w:lastRenderedPageBreak/>
        <w:t xml:space="preserve">todos estos contratos no resulten ser de mínima o menor cuantía; </w:t>
      </w:r>
      <w:proofErr w:type="spellStart"/>
      <w:r w:rsidRPr="0061306E">
        <w:rPr>
          <w:rFonts w:ascii="Verdana" w:eastAsia="Calibri" w:hAnsi="Verdana" w:cs="Arial"/>
          <w:lang w:val="es-ES"/>
        </w:rPr>
        <w:t>ii</w:t>
      </w:r>
      <w:proofErr w:type="spellEnd"/>
      <w:r w:rsidRPr="0061306E">
        <w:rPr>
          <w:rFonts w:ascii="Verdana" w:eastAsia="Calibri" w:hAnsi="Verdana" w:cs="Arial"/>
          <w:lang w:val="es-ES"/>
        </w:rPr>
        <w:t xml:space="preserve">) la fiducia o el patrimonio autónomo irrevocable para el manejo de los recursos del anticipo en los casos de contratos de obra, concesión y salud no es obligatoria </w:t>
      </w:r>
      <w:r w:rsidRPr="0061306E">
        <w:rPr>
          <w:rFonts w:ascii="Verdana" w:eastAsia="Calibri" w:hAnsi="Verdana" w:cs="Arial"/>
          <w:i/>
          <w:iCs/>
          <w:u w:val="single"/>
          <w:lang w:val="es-ES"/>
        </w:rPr>
        <w:t xml:space="preserve">cuando dichos contratos </w:t>
      </w:r>
      <w:r w:rsidRPr="0061306E">
        <w:rPr>
          <w:rFonts w:ascii="Verdana" w:eastAsia="Calibri" w:hAnsi="Verdana" w:cs="Arial"/>
          <w:lang w:val="es-ES"/>
        </w:rPr>
        <w:t xml:space="preserve">se gestionan a través de procesos de selección en la modalidad de menor y mínima cuantía, pues el contrato que se llegue a celebrar estaría en curso en la excepción general contemplada en el artículo 91 de la Ley 1474 de 2011; </w:t>
      </w:r>
      <w:proofErr w:type="spellStart"/>
      <w:r w:rsidRPr="0061306E">
        <w:rPr>
          <w:rFonts w:ascii="Verdana" w:eastAsia="Calibri" w:hAnsi="Verdana" w:cs="Arial"/>
          <w:lang w:val="es-ES"/>
        </w:rPr>
        <w:t>iii</w:t>
      </w:r>
      <w:proofErr w:type="spellEnd"/>
      <w:r w:rsidRPr="0061306E">
        <w:rPr>
          <w:rFonts w:ascii="Verdana" w:eastAsia="Calibri" w:hAnsi="Verdana" w:cs="Arial"/>
          <w:lang w:val="es-ES"/>
        </w:rPr>
        <w:t xml:space="preserve">) es posible que mediante licitación pública se termine celebrando un contrato de menor o mínima cuantía, por ejemplo en caso de lotes o grupos que impliquen la celebración individual de contratos a distintos o al mismo proponente, entre otras posibilidades que se puede dar en los procesos de contratación, que estarían </w:t>
      </w:r>
      <w:r w:rsidR="00BC1C5F">
        <w:rPr>
          <w:rFonts w:ascii="Verdana" w:eastAsia="Calibri" w:hAnsi="Verdana" w:cs="Arial"/>
          <w:lang w:val="es-ES"/>
        </w:rPr>
        <w:t xml:space="preserve">incurso </w:t>
      </w:r>
      <w:r w:rsidRPr="0061306E">
        <w:rPr>
          <w:rFonts w:ascii="Verdana" w:eastAsia="Calibri" w:hAnsi="Verdana" w:cs="Arial"/>
          <w:lang w:val="es-ES"/>
        </w:rPr>
        <w:t xml:space="preserve">la excepción general contemplada en el artículo 91 de la Ley 1474 de 2011; </w:t>
      </w:r>
      <w:proofErr w:type="spellStart"/>
      <w:r w:rsidRPr="0061306E">
        <w:rPr>
          <w:rFonts w:ascii="Verdana" w:eastAsia="Calibri" w:hAnsi="Verdana" w:cs="Arial"/>
          <w:lang w:val="es-ES"/>
        </w:rPr>
        <w:t>iv</w:t>
      </w:r>
      <w:proofErr w:type="spellEnd"/>
      <w:r w:rsidRPr="0061306E">
        <w:rPr>
          <w:rFonts w:ascii="Verdana" w:eastAsia="Calibri" w:hAnsi="Verdana" w:cs="Arial"/>
          <w:lang w:val="es-ES"/>
        </w:rPr>
        <w:t xml:space="preserve">) en los contratos de obra, salud y concesión que sean gestionados a través de la modalidad de contratación directa, será obligatoria la constitución de fiducia o  patrimonio autónomo para el manejo de los recursos del anticipo, cuando dichos contratos sean de mayor cuantía. </w:t>
      </w:r>
    </w:p>
    <w:p w14:paraId="71179881" w14:textId="62C10895" w:rsidR="00D10AD0" w:rsidRPr="0061306E" w:rsidRDefault="00D10AD0" w:rsidP="00D10AD0">
      <w:pPr>
        <w:spacing w:before="120" w:after="0" w:line="276" w:lineRule="auto"/>
        <w:ind w:firstLine="709"/>
        <w:jc w:val="both"/>
        <w:rPr>
          <w:rFonts w:ascii="Verdana" w:hAnsi="Verdana" w:cs="Arial"/>
          <w:lang w:val="es-ES"/>
        </w:rPr>
      </w:pPr>
      <w:r w:rsidRPr="0061306E">
        <w:rPr>
          <w:rFonts w:ascii="Verdana" w:eastAsia="Calibri" w:hAnsi="Verdana" w:cs="Arial"/>
          <w:lang w:val="es-ES"/>
        </w:rPr>
        <w:t xml:space="preserve">Así las cosas, el artículo </w:t>
      </w:r>
      <w:bookmarkStart w:id="10" w:name="_Hlk185879184"/>
      <w:r w:rsidRPr="0061306E">
        <w:rPr>
          <w:rFonts w:ascii="Verdana" w:eastAsia="Calibri" w:hAnsi="Verdana" w:cs="Arial"/>
          <w:lang w:val="es-ES"/>
        </w:rPr>
        <w:t xml:space="preserve">91 de la Ley 1474 de 2011 </w:t>
      </w:r>
      <w:bookmarkEnd w:id="10"/>
      <w:r w:rsidRPr="0061306E">
        <w:rPr>
          <w:rFonts w:ascii="Verdana" w:eastAsia="Calibri" w:hAnsi="Verdana" w:cs="Arial"/>
          <w:lang w:val="es-ES"/>
        </w:rPr>
        <w:t>delimita los eventos en los cuales se debe exigir la constitución de la fiducia o patrimonio autónomo para el manejo del anticipo en los contratos estatales,</w:t>
      </w:r>
      <w:r w:rsidR="00D9550E" w:rsidRPr="00D9550E">
        <w:t xml:space="preserve"> </w:t>
      </w:r>
      <w:r w:rsidR="00D9550E" w:rsidRPr="00D9550E">
        <w:rPr>
          <w:rFonts w:ascii="Verdana" w:eastAsia="Calibri" w:hAnsi="Verdana" w:cs="Arial"/>
        </w:rPr>
        <w:t>de manera que, en los supuestos no contemplados dentro de este marco legal, su constitución no es obligatoria</w:t>
      </w:r>
      <w:r w:rsidRPr="0061306E">
        <w:rPr>
          <w:rFonts w:ascii="Verdana" w:eastAsia="Calibri" w:hAnsi="Verdana" w:cs="Arial"/>
          <w:lang w:val="es-ES"/>
        </w:rPr>
        <w:t xml:space="preserve">. </w:t>
      </w:r>
      <w:r w:rsidRPr="0061306E">
        <w:rPr>
          <w:rFonts w:ascii="Verdana" w:hAnsi="Verdana" w:cs="Arial"/>
          <w:lang w:val="es-ES"/>
        </w:rPr>
        <w:t xml:space="preserve">Esto resulta de especial relevancia para la consulta elevada, puesto que la norma no incluye los contratos sometidos a un régimen especial de contratación. </w:t>
      </w:r>
    </w:p>
    <w:p w14:paraId="31428AAB" w14:textId="77777777" w:rsidR="00D10AD0" w:rsidRDefault="00D10AD0" w:rsidP="00D10AD0">
      <w:pPr>
        <w:spacing w:before="120" w:after="0" w:line="276" w:lineRule="auto"/>
        <w:ind w:firstLine="709"/>
        <w:jc w:val="both"/>
        <w:rPr>
          <w:rFonts w:ascii="Verdana" w:hAnsi="Verdana"/>
        </w:rPr>
      </w:pPr>
      <w:r w:rsidRPr="00442D87">
        <w:rPr>
          <w:rFonts w:ascii="Verdana" w:hAnsi="Verdana"/>
        </w:rPr>
        <w:t xml:space="preserve">Adicionalmente, es claro que la redacción del artículo se refiere a los contratistas de procesos sometidos al EGCAP, pues alude expresamente a modalidades de selección y a conceptos propios de este régimen. Por un lado, consagra la obligación de constituir la fiducia o el patrimonio autónomo en los procesos que se adelanten mediante licitación pública; por otro, al establecer las excepciones a dicho deber, cobija todas las tipologías contractuales señaladas al inicio del artículo, de modo que la expresión «salvo que el contrato sea de menor o mínima cuantía» comprende también los contratos de obra, concesión y salud. De esta forma, una lectura integral del artículo 91 revela que tanto los procesos en los que se exige la constitución de la fiducia o del patrimonio autónomo como aquellos exceptuados de esta obligación remiten a conceptos y modalidades de selección regulados en el EGCAP, como es el caso de la definición de menor y </w:t>
      </w:r>
      <w:r w:rsidRPr="00442D87">
        <w:rPr>
          <w:rFonts w:ascii="Verdana" w:hAnsi="Verdana"/>
        </w:rPr>
        <w:lastRenderedPageBreak/>
        <w:t>mínima cuantía establecida en el artículo 2, numerales 2 y 5, de la Ley 1150 de 2007.</w:t>
      </w:r>
    </w:p>
    <w:p w14:paraId="60CE9B0F" w14:textId="5961BC82" w:rsidR="00D10AD0" w:rsidRPr="0061306E" w:rsidRDefault="006F4BAA" w:rsidP="00D10AD0">
      <w:pPr>
        <w:spacing w:before="120" w:after="0" w:line="276" w:lineRule="auto"/>
        <w:ind w:firstLine="709"/>
        <w:jc w:val="both"/>
        <w:rPr>
          <w:rFonts w:ascii="Verdana" w:hAnsi="Verdana"/>
          <w:lang w:val="es-ES"/>
        </w:rPr>
      </w:pPr>
      <w:r w:rsidRPr="006F4BAA">
        <w:rPr>
          <w:rFonts w:ascii="Verdana" w:hAnsi="Verdana"/>
        </w:rPr>
        <w:t>En consecuencia, cuando la contratación del fondo mixto se encuentre sujeta al derecho privado, sus procedimientos de selección y las condiciones de sus contratos estarán regidos por las leyes civiles y comerciales pertinentes, así como por lo que dispongan los estatutos o manuales de contratación que los rigen, de modo que no les será aplicable lo dispuesto en el artículo 91 de la Ley 1474 de 2011. Sin embargo, esta exclusión frente al régimen jurídico contractual general de las Entidades Estatales no es absoluta, toda vez que dichos fondos administran recursos públicos. Conforme al artículo 13 de la Ley 1150 de 2007, las entidades que cuenten con un régimen contractual excepcional aplicarán, en desarrollo de su actividad contractual y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 Igualmente, por disposición de esta misma norma, deberán publicar su actividad contractual en el SECOP II o en la plataforma que haga sus veces</w:t>
      </w:r>
      <w:r w:rsidR="00D10AD0" w:rsidRPr="0061306E">
        <w:rPr>
          <w:rFonts w:ascii="Verdana" w:hAnsi="Verdana"/>
          <w:lang w:val="es-ES"/>
        </w:rPr>
        <w:t>. Sobre el particular, el Consejo de Estado ha sostenido lo siguiente:</w:t>
      </w:r>
    </w:p>
    <w:p w14:paraId="711F7F97" w14:textId="77777777" w:rsidR="00D10AD0" w:rsidRPr="0061306E" w:rsidRDefault="00D10AD0" w:rsidP="00D10AD0">
      <w:pPr>
        <w:spacing w:after="0" w:line="276" w:lineRule="auto"/>
        <w:ind w:firstLine="709"/>
        <w:jc w:val="both"/>
        <w:rPr>
          <w:rFonts w:ascii="Verdana" w:hAnsi="Verdana"/>
          <w:lang w:val="es-ES"/>
        </w:rPr>
      </w:pPr>
    </w:p>
    <w:p w14:paraId="606EA855" w14:textId="77777777" w:rsidR="00D10AD0" w:rsidRDefault="00D10AD0" w:rsidP="00D10AD0">
      <w:pPr>
        <w:pStyle w:val="BodyText"/>
        <w:spacing w:after="0"/>
        <w:ind w:left="709" w:right="709"/>
        <w:jc w:val="both"/>
        <w:rPr>
          <w:rFonts w:ascii="Verdana" w:hAnsi="Verdana"/>
          <w:sz w:val="20"/>
          <w:szCs w:val="20"/>
          <w:lang w:val="es-ES"/>
        </w:rPr>
      </w:pPr>
      <w:r w:rsidRPr="0061306E">
        <w:rPr>
          <w:rFonts w:ascii="Verdana" w:hAnsi="Verdana"/>
          <w:sz w:val="20"/>
          <w:szCs w:val="20"/>
          <w:lang w:val="es-ES"/>
        </w:rPr>
        <w:t>“[S]</w:t>
      </w:r>
      <w:proofErr w:type="spellStart"/>
      <w:r w:rsidRPr="0061306E">
        <w:rPr>
          <w:rFonts w:ascii="Verdana" w:hAnsi="Verdana"/>
          <w:sz w:val="20"/>
          <w:szCs w:val="20"/>
          <w:lang w:val="es-ES"/>
        </w:rPr>
        <w:t>iempre</w:t>
      </w:r>
      <w:proofErr w:type="spellEnd"/>
      <w:r w:rsidRPr="0061306E">
        <w:rPr>
          <w:rFonts w:ascii="Verdana" w:hAnsi="Verdana"/>
          <w:sz w:val="20"/>
          <w:szCs w:val="20"/>
          <w:lang w:val="es-ES"/>
        </w:rPr>
        <w:t xml:space="preserve"> que esté de por medio la contratación estatal, con independencia de la normativa de prevalente aplicación al contrato, los servidores públicos responsables deben observar los principios de la Función Administrativa que establecen los artículos 209 y 210 de la Constitución Política , por lo tanto, el funcionario público no está en libertad de conceder y definir libremente el contrato, aunque se aplique el derecho privado, pues debe desarrollar en su actuar, precontractual y contractual, los principios que la Constitución Política le impone. Esta es la razón por la cual el funcionario público tiene el deber de obrar con igualdad, moralidad, eficacia, economía, celeridad, imparcialidad y publicidad, en todas las etapas de la realización del contrato estatal, tanto antes de su celebración, en el momento de definir las necesidades y condiciones de la contratación y de elegir su contratista, así como en la ejecución y liquidación del contrato y éstos principios –se reitera- se deben aplicar y respetar aun cuando el contrato se rija por el derecho</w:t>
      </w:r>
      <w:r w:rsidRPr="0061306E">
        <w:rPr>
          <w:rFonts w:ascii="Verdana" w:hAnsi="Verdana"/>
          <w:spacing w:val="-24"/>
          <w:sz w:val="20"/>
          <w:szCs w:val="20"/>
          <w:lang w:val="es-ES"/>
        </w:rPr>
        <w:t xml:space="preserve"> </w:t>
      </w:r>
      <w:r w:rsidRPr="0061306E">
        <w:rPr>
          <w:rFonts w:ascii="Verdana" w:hAnsi="Verdana"/>
          <w:sz w:val="20"/>
          <w:szCs w:val="20"/>
          <w:lang w:val="es-ES"/>
        </w:rPr>
        <w:t>privado”.</w:t>
      </w:r>
      <w:r w:rsidRPr="0061306E">
        <w:rPr>
          <w:rStyle w:val="FootnoteReference"/>
          <w:rFonts w:ascii="Verdana" w:hAnsi="Verdana"/>
          <w:sz w:val="20"/>
          <w:szCs w:val="20"/>
          <w:lang w:val="es-ES"/>
        </w:rPr>
        <w:footnoteReference w:id="18"/>
      </w:r>
    </w:p>
    <w:p w14:paraId="103CB50D" w14:textId="77777777" w:rsidR="00D10AD0" w:rsidRPr="0061306E" w:rsidRDefault="00D10AD0" w:rsidP="00D10AD0">
      <w:pPr>
        <w:pStyle w:val="BodyText"/>
        <w:spacing w:after="0"/>
        <w:ind w:left="709" w:right="709"/>
        <w:jc w:val="both"/>
        <w:rPr>
          <w:rFonts w:ascii="Verdana" w:hAnsi="Verdana"/>
          <w:sz w:val="20"/>
          <w:szCs w:val="20"/>
          <w:lang w:val="es-ES"/>
        </w:rPr>
      </w:pPr>
    </w:p>
    <w:p w14:paraId="03FA63FB" w14:textId="4BD820FA" w:rsidR="00D10AD0" w:rsidRPr="00B75DDB" w:rsidRDefault="00D10AD0" w:rsidP="00D10AD0">
      <w:pPr>
        <w:pStyle w:val="BodyText"/>
        <w:spacing w:line="276" w:lineRule="auto"/>
        <w:ind w:firstLine="708"/>
        <w:jc w:val="both"/>
        <w:rPr>
          <w:rFonts w:ascii="Verdana" w:hAnsi="Verdana"/>
        </w:rPr>
      </w:pPr>
      <w:r w:rsidRPr="00B75DDB">
        <w:rPr>
          <w:rFonts w:ascii="Verdana" w:hAnsi="Verdana"/>
        </w:rPr>
        <w:lastRenderedPageBreak/>
        <w:t>De conformidad con las consideraciones expuestas, los fondos mixtos, cuando no tengan el deber de adelantar sus procesos contractuales en los términos dispuestos en el EGCAP, no estarán sujetos a las reglas relativas al anticipo establecidas en el Estatuto, como es el caso de la constitución de la fiducia para su entrega, regulada en el artículo 91 de la Ley 1474 de 2011, dado que estos son aspectos propios del régimen de los contratos estatales sometidos a la Ley 80 de 1993, a la Ley 1150 de 2007 y al Decreto 1082 de 2015, regulación que no es aplicable a los contratos regidos por el derecho privado. En ese sentido, en cada caso, los fondos mixtos exceptuados del EGCAP deberán proceder de acuerdo con las reglas estipuladas en el derecho privado y su manual de contratación.</w:t>
      </w:r>
      <w:r w:rsidR="00330F1F">
        <w:rPr>
          <w:rFonts w:ascii="Verdana" w:hAnsi="Verdana"/>
        </w:rPr>
        <w:t xml:space="preserve"> </w:t>
      </w:r>
      <w:r w:rsidR="00877AD9" w:rsidRPr="00877AD9">
        <w:rPr>
          <w:rFonts w:ascii="Verdana" w:hAnsi="Verdana"/>
        </w:rPr>
        <w:t>En todo caso, como se señaló, el margen de configuración de su actividad contractual no se gobierna de forma absoluta por la autonomía privada, pues se encuentra limitado por los principios y deberes derivados del artículo 13 de la Ley 1150 de 2007.</w:t>
      </w:r>
    </w:p>
    <w:p w14:paraId="37DA46C3" w14:textId="77777777" w:rsidR="00D10AD0" w:rsidRPr="0061306E" w:rsidRDefault="00D10AD0" w:rsidP="00D10AD0">
      <w:pPr>
        <w:pStyle w:val="BodyText"/>
        <w:spacing w:line="276" w:lineRule="auto"/>
        <w:jc w:val="both"/>
        <w:rPr>
          <w:rFonts w:ascii="Verdana" w:hAnsi="Verdana"/>
          <w:lang w:val="es-ES"/>
        </w:rPr>
      </w:pPr>
      <w:proofErr w:type="spellStart"/>
      <w:r w:rsidRPr="0061306E">
        <w:rPr>
          <w:rFonts w:ascii="Verdana" w:hAnsi="Verdana"/>
          <w:lang w:val="es-ES"/>
        </w:rPr>
        <w:t>iii</w:t>
      </w:r>
      <w:proofErr w:type="spellEnd"/>
      <w:r w:rsidRPr="0061306E">
        <w:rPr>
          <w:rFonts w:ascii="Verdana" w:hAnsi="Verdana"/>
          <w:lang w:val="es-ES"/>
        </w:rPr>
        <w:t xml:space="preserve">. Sin perjuicio de lo anterior, es importante mencionar que, en lo relativo a la ejecución de proyectos de inversión financiados con recursos del Sistema General del Regalías, el Capítulo I, del Título IV de la Ley 2056 de 2020 establece las reglas generales  que tienen incidencia en el régimen de contratación de las entidades ejecutoras. Al respecto, regula aspectos como la destinación de los proyectos del Sistema General de Regalías –artículo 28–, las características de los proyectos de inversión –artículo 29–, los ejercicios de planeación –artículo 30–, el ciclo de los proyectos de inversión –artículo 31–, el registro de proyectos –artículo 32–, formulación y presentación de los proyectos de inversión –artículo 33–, viabilidad de los proyectos de inversión–artículo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 </w:t>
      </w:r>
    </w:p>
    <w:p w14:paraId="4BD9719E" w14:textId="77777777" w:rsidR="00D10AD0" w:rsidRPr="0061306E" w:rsidRDefault="00D10AD0" w:rsidP="00D10AD0">
      <w:pPr>
        <w:spacing w:after="120" w:line="276" w:lineRule="auto"/>
        <w:ind w:firstLine="709"/>
        <w:jc w:val="both"/>
        <w:rPr>
          <w:rFonts w:ascii="Verdana" w:hAnsi="Verdana" w:cs="Arial"/>
          <w:lang w:val="es-ES"/>
        </w:rPr>
      </w:pPr>
      <w:r w:rsidRPr="0061306E">
        <w:rPr>
          <w:rFonts w:ascii="Verdana" w:hAnsi="Verdana" w:cs="Arial"/>
          <w:lang w:val="es-ES"/>
        </w:rPr>
        <w:t xml:space="preserve">Este último dispone que los proyectos de inversión que se financien con cargo al Sistema General de Regalías serán ejecutados por quien designe las entidades u órganos de que tratan los artículos 35 y 36 </w:t>
      </w:r>
      <w:r w:rsidRPr="0061306E">
        <w:rPr>
          <w:rFonts w:ascii="Verdana" w:hAnsi="Verdana" w:cs="Arial"/>
          <w:i/>
          <w:iCs/>
          <w:lang w:val="es-ES"/>
        </w:rPr>
        <w:t>ibidem</w:t>
      </w:r>
      <w:r w:rsidRPr="0061306E">
        <w:rPr>
          <w:rFonts w:ascii="Verdana" w:hAnsi="Verdana" w:cs="Arial"/>
          <w:lang w:val="es-ES"/>
        </w:rPr>
        <w:t xml:space="preserve">. También agrega que la Entidad Pública ejecutora tiene el deber de adelantar la contratación de la interventoría, de conformidad con lo previsto en la presente Ley. Las entidades ejecutoras de recursos del Sistema son responsables de suministrar de forma veraz, oportuna e idónea, la información de la gestión de los proyectos que se requiera e implementar las actuaciones pertinentes para encauzar el desempeño </w:t>
      </w:r>
      <w:r w:rsidRPr="0061306E">
        <w:rPr>
          <w:rFonts w:ascii="Verdana" w:hAnsi="Verdana" w:cs="Arial"/>
          <w:lang w:val="es-ES"/>
        </w:rPr>
        <w:lastRenderedPageBreak/>
        <w:t xml:space="preserve">de los proyectos de inversión y decidir, de manera motivada, sobre la continuidad de los mismos, sin perjuicio de las acciones de control a las que haya lugar. </w:t>
      </w:r>
    </w:p>
    <w:p w14:paraId="6FE89EE0" w14:textId="77777777" w:rsidR="00D10AD0" w:rsidRPr="0061306E" w:rsidRDefault="00D10AD0" w:rsidP="00D10AD0">
      <w:pPr>
        <w:spacing w:line="276" w:lineRule="auto"/>
        <w:ind w:firstLine="708"/>
        <w:jc w:val="both"/>
        <w:rPr>
          <w:rFonts w:ascii="Verdana" w:hAnsi="Verdana" w:cs="Arial"/>
          <w:lang w:val="es-ES"/>
        </w:rPr>
      </w:pPr>
      <w:r w:rsidRPr="0061306E">
        <w:rPr>
          <w:rFonts w:ascii="Verdana" w:hAnsi="Verdana" w:cs="Arial"/>
          <w:lang w:val="es-ES"/>
        </w:rPr>
        <w:t>En esta línea, el parágrafo primero del artículo 37 dispone: “La ejecución de proyectos de qué trata este artículo, se adelantará, con estricta sujeción al régimen presupuestal definido en esta ley, al de contratación pública y las demás normas legales vigentes. El ejecutor garantizará la correcta ejecución de los recursos asignados al proyecto de inversión, así como el suministro y registro de la información requerida por el sistema de seguimiento, evaluación y control”</w:t>
      </w:r>
      <w:r w:rsidRPr="0061306E">
        <w:rPr>
          <w:rStyle w:val="FootnoteReference"/>
          <w:rFonts w:ascii="Verdana" w:hAnsi="Verdana" w:cs="Arial"/>
          <w:lang w:val="es-ES"/>
        </w:rPr>
        <w:footnoteReference w:id="19"/>
      </w:r>
      <w:r w:rsidRPr="0061306E">
        <w:rPr>
          <w:rFonts w:ascii="Verdana" w:hAnsi="Verdana" w:cs="Arial"/>
          <w:lang w:val="es-ES"/>
        </w:rPr>
        <w:t xml:space="preserve">. A partir de esta norma, el </w:t>
      </w:r>
      <w:proofErr w:type="spellStart"/>
      <w:r w:rsidRPr="0061306E">
        <w:rPr>
          <w:rFonts w:ascii="Verdana" w:hAnsi="Verdana" w:cs="Arial"/>
          <w:lang w:val="es-ES"/>
        </w:rPr>
        <w:t>ejercutor</w:t>
      </w:r>
      <w:proofErr w:type="spellEnd"/>
      <w:r w:rsidRPr="0061306E">
        <w:rPr>
          <w:rFonts w:ascii="Verdana" w:hAnsi="Verdana" w:cs="Arial"/>
          <w:lang w:val="es-ES"/>
        </w:rPr>
        <w:t xml:space="preserve"> de los proyectos de </w:t>
      </w:r>
      <w:proofErr w:type="spellStart"/>
      <w:r w:rsidRPr="0061306E">
        <w:rPr>
          <w:rFonts w:ascii="Verdana" w:hAnsi="Verdana" w:cs="Arial"/>
          <w:lang w:val="es-ES"/>
        </w:rPr>
        <w:t>inversion</w:t>
      </w:r>
      <w:proofErr w:type="spellEnd"/>
      <w:r w:rsidRPr="0061306E">
        <w:rPr>
          <w:rFonts w:ascii="Verdana" w:hAnsi="Verdana" w:cs="Arial"/>
          <w:lang w:val="es-ES"/>
        </w:rPr>
        <w:t xml:space="preserve"> en el Sistema General de </w:t>
      </w:r>
      <w:proofErr w:type="spellStart"/>
      <w:r w:rsidRPr="0061306E">
        <w:rPr>
          <w:rFonts w:ascii="Verdana" w:hAnsi="Verdana" w:cs="Arial"/>
          <w:lang w:val="es-ES"/>
        </w:rPr>
        <w:t>Regalias</w:t>
      </w:r>
      <w:proofErr w:type="spellEnd"/>
      <w:r w:rsidRPr="0061306E">
        <w:rPr>
          <w:rFonts w:ascii="Verdana" w:hAnsi="Verdana" w:cs="Arial"/>
          <w:lang w:val="es-ES"/>
        </w:rPr>
        <w:t xml:space="preserve"> debe sujetarse a las reglas de contratación pública, es decir, a las prescripciones establecidas en el EGCAP, así como las normas que lo modifiquen, sustituyan o reglamenten. En efecto, el ejecutor debe someterse a las reglas generales de la contratación pública cuando desarrolle proyectos en el marco del Sistema General de Regalías. </w:t>
      </w:r>
    </w:p>
    <w:p w14:paraId="4A23E778" w14:textId="77777777" w:rsidR="00D10AD0" w:rsidRPr="0061306E" w:rsidRDefault="00D10AD0" w:rsidP="00D10AD0">
      <w:pPr>
        <w:spacing w:before="120" w:line="276" w:lineRule="auto"/>
        <w:ind w:firstLine="709"/>
        <w:jc w:val="both"/>
        <w:rPr>
          <w:rFonts w:ascii="Verdana" w:hAnsi="Verdana" w:cs="Arial"/>
          <w:lang w:val="es-ES"/>
        </w:rPr>
      </w:pPr>
      <w:r w:rsidRPr="0061306E">
        <w:rPr>
          <w:rFonts w:ascii="Verdana" w:eastAsia="Calibri" w:hAnsi="Verdana" w:cs="Arial"/>
          <w:color w:val="000000" w:themeColor="text1"/>
          <w:lang w:val="es-ES"/>
        </w:rPr>
        <w:lastRenderedPageBreak/>
        <w:t xml:space="preserve">Igualmente, es importante referenciar lo prescrito en los artículos 85, 99 y 109 de la Ley 2056 de 2020 sobre los recursos del Sistema General de Regalías. </w:t>
      </w:r>
      <w:bookmarkStart w:id="12" w:name="_Hlk66438231"/>
      <w:r w:rsidRPr="0061306E">
        <w:rPr>
          <w:rFonts w:ascii="Verdana" w:eastAsia="Calibri" w:hAnsi="Verdana" w:cs="Arial"/>
          <w:color w:val="000000" w:themeColor="text1"/>
          <w:lang w:val="es-ES"/>
        </w:rPr>
        <w:t xml:space="preserve">En efecto, </w:t>
      </w:r>
      <w:r w:rsidRPr="0061306E">
        <w:rPr>
          <w:rFonts w:ascii="Verdana" w:hAnsi="Verdana" w:cs="Arial"/>
          <w:lang w:val="es-ES"/>
        </w:rPr>
        <w:t xml:space="preserve">conforme a los preceptos citados, </w:t>
      </w:r>
      <w:bookmarkStart w:id="13" w:name="_Hlk71740241"/>
      <w:r w:rsidRPr="0061306E">
        <w:rPr>
          <w:rFonts w:ascii="Verdana" w:hAnsi="Verdana" w:cs="Arial"/>
          <w:lang w:val="es-ES"/>
        </w:rPr>
        <w:t xml:space="preserve">cuando dichos recursos sean para proyectos de inversión en i) pueblos y </w:t>
      </w:r>
      <w:bookmarkStart w:id="14" w:name="_Hlk66435016"/>
      <w:r w:rsidRPr="0061306E">
        <w:rPr>
          <w:rFonts w:ascii="Verdana" w:hAnsi="Verdana" w:cs="Arial"/>
          <w:lang w:val="es-ES"/>
        </w:rPr>
        <w:t>comunidades indígenas</w:t>
      </w:r>
      <w:bookmarkEnd w:id="14"/>
      <w:r w:rsidRPr="0061306E">
        <w:rPr>
          <w:rFonts w:ascii="Verdana" w:hAnsi="Verdana" w:cs="Arial"/>
          <w:lang w:val="es-ES"/>
        </w:rPr>
        <w:t xml:space="preserve">, </w:t>
      </w:r>
      <w:proofErr w:type="spellStart"/>
      <w:r w:rsidRPr="0061306E">
        <w:rPr>
          <w:rFonts w:ascii="Verdana" w:hAnsi="Verdana" w:cs="Arial"/>
          <w:lang w:val="es-ES"/>
        </w:rPr>
        <w:t>ii</w:t>
      </w:r>
      <w:proofErr w:type="spellEnd"/>
      <w:r w:rsidRPr="0061306E">
        <w:rPr>
          <w:rFonts w:ascii="Verdana" w:hAnsi="Verdana" w:cs="Arial"/>
          <w:lang w:val="es-ES"/>
        </w:rPr>
        <w:t xml:space="preserve">) comunidades negras, afrocolombiana, raizales y palenqueras y </w:t>
      </w:r>
      <w:proofErr w:type="spellStart"/>
      <w:r w:rsidRPr="0061306E">
        <w:rPr>
          <w:rFonts w:ascii="Verdana" w:hAnsi="Verdana" w:cs="Arial"/>
          <w:lang w:val="es-ES"/>
        </w:rPr>
        <w:t>iii</w:t>
      </w:r>
      <w:proofErr w:type="spellEnd"/>
      <w:r w:rsidRPr="0061306E">
        <w:rPr>
          <w:rFonts w:ascii="Verdana" w:hAnsi="Verdana" w:cs="Arial"/>
          <w:lang w:val="es-ES"/>
        </w:rPr>
        <w:t>) el pueblo Rrom o gitano, “los actos o contratos que expidan o celebren los ejecutores se regirán por las normas presupuestales contenidas en la presente ley, el Estatuto de Contratación Estatal, las normas contables que para este efecto defina la Contaduría General de la Nación y las demás disposiciones complementarias”.</w:t>
      </w:r>
      <w:bookmarkEnd w:id="12"/>
      <w:bookmarkEnd w:id="13"/>
    </w:p>
    <w:p w14:paraId="5E73B63E" w14:textId="77777777" w:rsidR="00D10AD0" w:rsidRPr="0061306E" w:rsidRDefault="00D10AD0" w:rsidP="00D10AD0">
      <w:pPr>
        <w:spacing w:before="120" w:line="276" w:lineRule="auto"/>
        <w:ind w:firstLine="709"/>
        <w:jc w:val="both"/>
        <w:rPr>
          <w:rFonts w:ascii="Verdana" w:hAnsi="Verdana" w:cs="Arial"/>
          <w:lang w:val="es-ES"/>
        </w:rPr>
      </w:pPr>
      <w:r w:rsidRPr="0061306E">
        <w:rPr>
          <w:rFonts w:ascii="Verdana" w:hAnsi="Verdana" w:cs="Arial"/>
          <w:lang w:val="es-ES"/>
        </w:rPr>
        <w:t xml:space="preserve">Por su parte, los artículos 83, 98 y 108 de la Ley 2056 de 2020 determinan que la designación del ejecutor de los recursos corresponde tanto a las instancias de decisión de las comunidades indígenas, negras, afrocolombiana, raizales y palenqueras como la Comisión Nacional de Diálogo del Pueblo Rrom o Gitano. </w:t>
      </w:r>
      <w:r w:rsidRPr="0061306E">
        <w:rPr>
          <w:rFonts w:ascii="Verdana" w:eastAsia="Calibri" w:hAnsi="Verdana" w:cs="Arial"/>
          <w:color w:val="000000" w:themeColor="text1"/>
          <w:lang w:val="es-ES"/>
        </w:rPr>
        <w:t xml:space="preserve">Esto, sin </w:t>
      </w:r>
      <w:r w:rsidRPr="0061306E">
        <w:rPr>
          <w:rFonts w:ascii="Verdana" w:hAnsi="Verdana" w:cs="Arial"/>
          <w:lang w:val="es-ES"/>
        </w:rPr>
        <w:t>perjuicio de lo previsto en los artículos 87</w:t>
      </w:r>
      <w:r w:rsidRPr="0061306E">
        <w:rPr>
          <w:rStyle w:val="FootnoteReference"/>
          <w:rFonts w:ascii="Verdana" w:hAnsi="Verdana" w:cs="Arial"/>
          <w:lang w:val="es-ES"/>
        </w:rPr>
        <w:footnoteReference w:id="20"/>
      </w:r>
      <w:r w:rsidRPr="0061306E">
        <w:rPr>
          <w:rFonts w:ascii="Verdana" w:hAnsi="Verdana" w:cs="Arial"/>
          <w:lang w:val="es-ES"/>
        </w:rPr>
        <w:t xml:space="preserve"> y 101</w:t>
      </w:r>
      <w:r w:rsidRPr="0061306E">
        <w:rPr>
          <w:rStyle w:val="FootnoteReference"/>
          <w:rFonts w:ascii="Verdana" w:hAnsi="Verdana" w:cs="Arial"/>
          <w:lang w:val="es-ES"/>
        </w:rPr>
        <w:footnoteReference w:id="21"/>
      </w:r>
      <w:r w:rsidRPr="0061306E">
        <w:rPr>
          <w:rFonts w:ascii="Verdana" w:hAnsi="Verdana" w:cs="Arial"/>
          <w:lang w:val="es-ES"/>
        </w:rPr>
        <w:t xml:space="preserve"> de la Ley 2056 de 2020 para los proyectos financiables con recursos de la asignación directa, es relevante resaltar que los actos o contratos que celebren los ejecutores están sometidos a la Ley 80 de 1993. </w:t>
      </w:r>
    </w:p>
    <w:p w14:paraId="18234596" w14:textId="77777777" w:rsidR="00D10AD0" w:rsidRPr="0061306E" w:rsidRDefault="00D10AD0" w:rsidP="00D10AD0">
      <w:pPr>
        <w:spacing w:before="120" w:line="276" w:lineRule="auto"/>
        <w:ind w:firstLine="709"/>
        <w:jc w:val="both"/>
        <w:rPr>
          <w:rFonts w:ascii="Verdana" w:hAnsi="Verdana" w:cs="Arial"/>
          <w:color w:val="000000"/>
          <w:bdr w:val="none" w:sz="0" w:space="0" w:color="auto" w:frame="1"/>
          <w:lang w:val="es-ES"/>
        </w:rPr>
      </w:pPr>
      <w:r w:rsidRPr="0061306E">
        <w:rPr>
          <w:rFonts w:ascii="Verdana" w:hAnsi="Verdana" w:cs="Arial"/>
          <w:lang w:val="es-ES"/>
        </w:rPr>
        <w:lastRenderedPageBreak/>
        <w:t xml:space="preserve">Por tanto, en caso de que se realicen proyectos de inversión en el marco del Sistema General de Regalías, como también aquellos proyectos especiales referenciados </w:t>
      </w:r>
      <w:r w:rsidRPr="0061306E">
        <w:rPr>
          <w:rFonts w:ascii="Verdana" w:hAnsi="Verdana" w:cs="Arial"/>
          <w:i/>
          <w:iCs/>
          <w:lang w:val="es-ES"/>
        </w:rPr>
        <w:t>ut supra</w:t>
      </w:r>
      <w:r w:rsidRPr="0061306E">
        <w:rPr>
          <w:rFonts w:ascii="Verdana" w:hAnsi="Verdana" w:cs="Arial"/>
          <w:lang w:val="es-ES"/>
        </w:rPr>
        <w:t>, los ejecutores designados para desarrollarlos deben sujetarse al EGCAP</w:t>
      </w:r>
      <w:r w:rsidRPr="0061306E">
        <w:rPr>
          <w:rFonts w:ascii="Verdana" w:eastAsia="Calibri" w:hAnsi="Verdana" w:cs="Arial"/>
          <w:lang w:val="es-ES"/>
        </w:rPr>
        <w:t>.</w:t>
      </w:r>
      <w:r w:rsidRPr="0061306E">
        <w:rPr>
          <w:rFonts w:ascii="Verdana" w:hAnsi="Verdana" w:cs="Arial"/>
          <w:lang w:val="es-ES"/>
        </w:rPr>
        <w:t xml:space="preserve"> </w:t>
      </w:r>
      <w:r w:rsidRPr="0061306E">
        <w:rPr>
          <w:rFonts w:ascii="Verdana" w:hAnsi="Verdana" w:cs="Arial"/>
          <w:color w:val="000000"/>
          <w:bdr w:val="none" w:sz="0" w:space="0" w:color="auto" w:frame="1"/>
          <w:lang w:val="es-ES"/>
        </w:rPr>
        <w:t xml:space="preserve">En el evento en que determinados asuntos estén sometidos por norma especial al EGCAP, la ejecución de los contratos deberá realizarse conforme a este régimen. </w:t>
      </w:r>
    </w:p>
    <w:p w14:paraId="1C3155E6" w14:textId="24402700" w:rsidR="00D10AD0" w:rsidRPr="0061306E" w:rsidRDefault="00D10AD0" w:rsidP="00D10AD0">
      <w:pPr>
        <w:spacing w:before="120" w:line="276" w:lineRule="auto"/>
        <w:ind w:firstLine="709"/>
        <w:jc w:val="both"/>
        <w:rPr>
          <w:rFonts w:ascii="Verdana" w:hAnsi="Verdana" w:cs="Arial"/>
          <w:color w:val="000000"/>
          <w:bdr w:val="none" w:sz="0" w:space="0" w:color="auto" w:frame="1"/>
          <w:lang w:val="es-ES"/>
        </w:rPr>
      </w:pPr>
      <w:r w:rsidRPr="0061306E">
        <w:rPr>
          <w:rFonts w:ascii="Verdana" w:hAnsi="Verdana" w:cs="Arial"/>
          <w:color w:val="000000"/>
          <w:bdr w:val="none" w:sz="0" w:space="0" w:color="auto" w:frame="1"/>
          <w:lang w:val="es-ES"/>
        </w:rPr>
        <w:t>Lo anterior significa que, los fondos mixtos que estén sometidos a un régimen de contratación de derecho privado, exceptuado del régimen general de contratación pública, que funjan como entidades ejecutoras de proyectos de inversión financiados con recursos del Sistema General de Regalías, deberán aplicar las normas del Estatuto General de Contratación Pública para la ejecución de los proyectos. Esto como</w:t>
      </w:r>
      <w:r w:rsidR="007E48F8">
        <w:rPr>
          <w:rFonts w:ascii="Verdana" w:hAnsi="Verdana" w:cs="Arial"/>
          <w:color w:val="000000"/>
          <w:bdr w:val="none" w:sz="0" w:space="0" w:color="auto" w:frame="1"/>
          <w:lang w:val="es-ES"/>
        </w:rPr>
        <w:t xml:space="preserve"> </w:t>
      </w:r>
      <w:r w:rsidRPr="0061306E">
        <w:rPr>
          <w:rFonts w:ascii="Verdana" w:hAnsi="Verdana" w:cs="Arial"/>
          <w:color w:val="000000"/>
          <w:bdr w:val="none" w:sz="0" w:space="0" w:color="auto" w:frame="1"/>
          <w:lang w:val="es-ES"/>
        </w:rPr>
        <w:t xml:space="preserve">quiera que la Ley 2056 de 2020 constituye una norma especial en lo relativo a la ejecución de recursos del Sistema General de Regalías, por lo que en atención a lo dispuesto en el artículo 37 de dicha norma especial, los fondos mixtos que actúen como ejecutores de las asignaciones a las que se refieren los artículos 35 y 36 de la Ley 2056 de 2020 deberán aplicar las disposiciones de las leyes 80 de 1993, 1150 de 2007 y 1474 de 2011 –incluido lo establecido en su artículo 91–, así como el Decreto 1082 de 2015, para el desarrollo de la contratación que se requiera realizar para la ejecución de los proyectos de inversión que tienen a su cargo. </w:t>
      </w:r>
    </w:p>
    <w:p w14:paraId="2BB91A32" w14:textId="77777777" w:rsidR="00D10AD0" w:rsidRDefault="00D10AD0" w:rsidP="00D10AD0">
      <w:pPr>
        <w:spacing w:before="120" w:after="0" w:line="276" w:lineRule="auto"/>
        <w:ind w:firstLine="709"/>
        <w:jc w:val="both"/>
        <w:rPr>
          <w:rFonts w:ascii="Verdana" w:hAnsi="Verdana" w:cs="Arial"/>
          <w:color w:val="000000"/>
          <w:bdr w:val="none" w:sz="0" w:space="0" w:color="auto" w:frame="1"/>
          <w:lang w:val="es-ES"/>
        </w:rPr>
      </w:pPr>
      <w:r w:rsidRPr="0061306E">
        <w:rPr>
          <w:rFonts w:ascii="Verdana" w:hAnsi="Verdana" w:cs="Arial"/>
          <w:color w:val="000000"/>
          <w:bdr w:val="none" w:sz="0" w:space="0" w:color="auto" w:frame="1"/>
          <w:lang w:val="es-ES"/>
        </w:rPr>
        <w:t xml:space="preserve">Con todo, lo anterior no implica que la designación para la ejecución de proyectos financiados con recursos del Sistema General de Regalías mute a perpetuidad o de manera general el régimen contractual de las entidades estatales ejecutoras sometidas a regímenes especiales de contratación, en la medida en que, mientras sigan vigentes las disposiciones legales que contemplan tales regímenes exceptuados, dichas entidades podrán seguir aplicándolos para la contratación no relacionada con la ejecución de los proyectos a los que se refieren los artículos 35 y 36 de la Ley 2056 de 2020.  </w:t>
      </w:r>
    </w:p>
    <w:p w14:paraId="772EA822" w14:textId="77777777" w:rsidR="00D10AD0" w:rsidRPr="003E41ED" w:rsidRDefault="00D10AD0" w:rsidP="00D10AD0">
      <w:pPr>
        <w:spacing w:after="0" w:line="276" w:lineRule="auto"/>
        <w:ind w:firstLine="709"/>
        <w:jc w:val="both"/>
        <w:rPr>
          <w:rFonts w:ascii="Verdana" w:hAnsi="Verdana" w:cs="Arial"/>
          <w:color w:val="000000"/>
          <w:bdr w:val="none" w:sz="0" w:space="0" w:color="auto" w:frame="1"/>
          <w:lang w:val="es-ES"/>
        </w:rPr>
      </w:pPr>
    </w:p>
    <w:p w14:paraId="53F5147D" w14:textId="77777777" w:rsidR="00D10AD0" w:rsidRPr="0061306E" w:rsidRDefault="00D10AD0" w:rsidP="00D10AD0">
      <w:pPr>
        <w:widowControl w:val="0"/>
        <w:autoSpaceDE w:val="0"/>
        <w:autoSpaceDN w:val="0"/>
        <w:spacing w:after="120" w:line="276" w:lineRule="auto"/>
        <w:jc w:val="both"/>
        <w:rPr>
          <w:rFonts w:ascii="Verdana" w:eastAsia="Calibri" w:hAnsi="Verdana" w:cs="Arial"/>
          <w:lang w:val="es-ES"/>
        </w:rPr>
      </w:pPr>
      <w:proofErr w:type="spellStart"/>
      <w:r>
        <w:rPr>
          <w:rFonts w:ascii="Verdana" w:eastAsia="Calibri" w:hAnsi="Verdana" w:cs="Arial"/>
          <w:lang w:val="es-ES"/>
        </w:rPr>
        <w:t>i</w:t>
      </w:r>
      <w:r w:rsidRPr="0061306E">
        <w:rPr>
          <w:rFonts w:ascii="Verdana" w:eastAsia="Calibri" w:hAnsi="Verdana" w:cs="Arial"/>
          <w:lang w:val="es-ES"/>
        </w:rPr>
        <w:t>v</w:t>
      </w:r>
      <w:proofErr w:type="spellEnd"/>
      <w:r w:rsidRPr="0061306E">
        <w:rPr>
          <w:rFonts w:ascii="Verdana" w:eastAsia="Calibri" w:hAnsi="Verdana" w:cs="Arial"/>
          <w:lang w:val="es-ES"/>
        </w:rPr>
        <w:t xml:space="preserve">. </w:t>
      </w:r>
      <w:r>
        <w:rPr>
          <w:rFonts w:ascii="Verdana" w:eastAsia="Calibri" w:hAnsi="Verdana" w:cs="Arial"/>
          <w:lang w:val="es-ES"/>
        </w:rPr>
        <w:t>Por otra parte, es necesario resaltar que u</w:t>
      </w:r>
      <w:r w:rsidRPr="0061306E">
        <w:rPr>
          <w:rFonts w:ascii="Verdana" w:eastAsia="Calibri" w:hAnsi="Verdana" w:cs="Arial"/>
          <w:lang w:val="es-ES"/>
        </w:rPr>
        <w:t xml:space="preserve">na de las formas en que las Entidades Estatales pueden contratar con fondos mixtos es mediante la celebración de convenios o contratos interadministrativos. Al respecto, </w:t>
      </w:r>
      <w:r w:rsidRPr="0061306E">
        <w:rPr>
          <w:rFonts w:ascii="Verdana" w:eastAsia="Calibri" w:hAnsi="Verdana" w:cs="Arial"/>
          <w:color w:val="000000" w:themeColor="text1"/>
          <w:lang w:val="es-ES"/>
        </w:rPr>
        <w:t xml:space="preserve">a doctrina ha señalado que “se denominan contratos interadministrativos los contratos bilaterales celebrados entre dos entidades estatales”. Sobre la tipología de contrato interadministrativo, conviene señalar que, aunque la Ley </w:t>
      </w:r>
      <w:r w:rsidRPr="0061306E">
        <w:rPr>
          <w:rFonts w:ascii="Verdana" w:eastAsia="Calibri" w:hAnsi="Verdana" w:cs="Arial"/>
          <w:color w:val="000000" w:themeColor="text1"/>
          <w:lang w:val="es-ES"/>
        </w:rPr>
        <w:lastRenderedPageBreak/>
        <w:t>80 de 1993 no lo definió ni desarrolló, el Decreto 1082 de 2015 califica a los convenios o contratos interadministrativos como aquella contratación entre Entidades Estatales</w:t>
      </w:r>
      <w:r w:rsidRPr="0061306E">
        <w:rPr>
          <w:rFonts w:ascii="Verdana" w:eastAsia="Times New Roman" w:hAnsi="Verdana" w:cs="Arial"/>
          <w:vertAlign w:val="superscript"/>
          <w:lang w:val="es-ES" w:eastAsia="es-ES_tradnl"/>
        </w:rPr>
        <w:footnoteReference w:id="22"/>
      </w:r>
      <w:r w:rsidRPr="0061306E">
        <w:rPr>
          <w:rFonts w:ascii="Verdana" w:eastAsia="Calibri" w:hAnsi="Verdana" w:cs="Arial"/>
          <w:color w:val="000000" w:themeColor="text1"/>
          <w:lang w:val="es-ES"/>
        </w:rPr>
        <w:t xml:space="preserve">. De acuerdo con lo anterior, el contrato o el convenio interadministrativo es el acuerdo donde concurre la voluntad de dos o más personas jurídicas de derecho público, con la finalidad de cumplir, en el marco de sus objetivos misionales y sus competencias, con los fines del Estado. Es decir, los contratos interadministrativos nominados en la Ley 80 de 1993 están determinados por un </w:t>
      </w:r>
      <w:r w:rsidRPr="0061306E">
        <w:rPr>
          <w:rFonts w:ascii="Verdana" w:eastAsia="Calibri" w:hAnsi="Verdana" w:cs="Arial"/>
          <w:i/>
          <w:iCs/>
          <w:color w:val="000000" w:themeColor="text1"/>
          <w:lang w:val="es-ES"/>
        </w:rPr>
        <w:t>criterio orgánico</w:t>
      </w:r>
      <w:r w:rsidRPr="0061306E">
        <w:rPr>
          <w:rFonts w:ascii="Verdana" w:eastAsia="Calibri" w:hAnsi="Verdana" w:cs="Arial"/>
          <w:color w:val="000000" w:themeColor="text1"/>
          <w:lang w:val="es-ES"/>
        </w:rPr>
        <w:t>, pues es necesario que los extremos de la relación contractual sean Entidades Estatales.</w:t>
      </w:r>
    </w:p>
    <w:p w14:paraId="7C1FEE3A" w14:textId="77777777" w:rsidR="00D10AD0" w:rsidRPr="0061306E" w:rsidRDefault="00D10AD0" w:rsidP="00D10AD0">
      <w:pPr>
        <w:widowControl w:val="0"/>
        <w:autoSpaceDE w:val="0"/>
        <w:autoSpaceDN w:val="0"/>
        <w:spacing w:after="120" w:line="276" w:lineRule="auto"/>
        <w:ind w:firstLine="567"/>
        <w:jc w:val="both"/>
        <w:rPr>
          <w:rFonts w:ascii="Verdana" w:eastAsia="Calibri" w:hAnsi="Verdana" w:cs="Arial"/>
          <w:lang w:val="es-ES"/>
        </w:rPr>
      </w:pPr>
      <w:r w:rsidRPr="0061306E">
        <w:rPr>
          <w:rFonts w:ascii="Verdana" w:eastAsia="Calibri" w:hAnsi="Verdana" w:cs="Arial"/>
          <w:lang w:val="es-ES"/>
        </w:rPr>
        <w:t>Ahora bien, en la aplicación de Documentos Tipo</w:t>
      </w:r>
      <w:r w:rsidRPr="0061306E">
        <w:rPr>
          <w:rFonts w:ascii="Verdana" w:eastAsia="Calibri" w:hAnsi="Verdana" w:cs="Arial"/>
          <w:bCs/>
          <w:iCs/>
          <w:color w:val="000000" w:themeColor="text1"/>
          <w:lang w:val="es-ES"/>
        </w:rPr>
        <w:t xml:space="preserve">, los fondos mixtos le son aplicables las reglas del artículo 56 de la Ley 2195 de 2022, la cual </w:t>
      </w:r>
      <w:r w:rsidRPr="0061306E">
        <w:rPr>
          <w:rFonts w:ascii="Verdana" w:eastAsia="Calibri" w:hAnsi="Verdana" w:cs="Arial"/>
          <w:bCs/>
          <w:lang w:val="es-ES" w:eastAsia="es-ES_tradnl"/>
        </w:rPr>
        <w:t xml:space="preserve">se refiere de manera expresa a los documentos tipo y a su aplicabilidad a sujetos diferentes de las </w:t>
      </w:r>
      <w:r>
        <w:rPr>
          <w:rFonts w:ascii="Verdana" w:eastAsia="Calibri" w:hAnsi="Verdana" w:cs="Arial"/>
          <w:bCs/>
          <w:lang w:val="es-ES" w:eastAsia="es-ES_tradnl"/>
        </w:rPr>
        <w:t>E</w:t>
      </w:r>
      <w:r w:rsidRPr="0061306E">
        <w:rPr>
          <w:rFonts w:ascii="Verdana" w:eastAsia="Calibri" w:hAnsi="Verdana" w:cs="Arial"/>
          <w:bCs/>
          <w:lang w:val="es-ES" w:eastAsia="es-ES_tradnl"/>
        </w:rPr>
        <w:t xml:space="preserve">ntidades </w:t>
      </w:r>
      <w:r>
        <w:rPr>
          <w:rFonts w:ascii="Verdana" w:eastAsia="Calibri" w:hAnsi="Verdana" w:cs="Arial"/>
          <w:bCs/>
          <w:lang w:val="es-ES" w:eastAsia="es-ES_tradnl"/>
        </w:rPr>
        <w:t>E</w:t>
      </w:r>
      <w:r w:rsidRPr="0061306E">
        <w:rPr>
          <w:rFonts w:ascii="Verdana" w:eastAsia="Calibri" w:hAnsi="Verdana" w:cs="Arial"/>
          <w:bCs/>
          <w:lang w:val="es-ES" w:eastAsia="es-ES_tradnl"/>
        </w:rPr>
        <w:t>statales sometidas al Estatuto General de Contratación de la Administración Pública, cuyo tenor literal prescribe:</w:t>
      </w:r>
    </w:p>
    <w:p w14:paraId="700319B5" w14:textId="77777777" w:rsidR="00D10AD0" w:rsidRPr="0061306E" w:rsidRDefault="00D10AD0" w:rsidP="00D10AD0">
      <w:pPr>
        <w:tabs>
          <w:tab w:val="left" w:pos="0"/>
        </w:tabs>
        <w:spacing w:after="0" w:line="276" w:lineRule="auto"/>
        <w:jc w:val="both"/>
        <w:rPr>
          <w:rFonts w:ascii="Arial" w:eastAsia="Calibri" w:hAnsi="Arial" w:cs="Arial"/>
          <w:bCs/>
          <w:szCs w:val="24"/>
          <w:lang w:val="es-ES" w:eastAsia="es-ES_tradnl"/>
        </w:rPr>
      </w:pPr>
    </w:p>
    <w:p w14:paraId="41FE31A9" w14:textId="77777777" w:rsidR="00D10AD0" w:rsidRPr="0061306E" w:rsidRDefault="00D10AD0" w:rsidP="00D10AD0">
      <w:pPr>
        <w:tabs>
          <w:tab w:val="left" w:pos="0"/>
        </w:tabs>
        <w:spacing w:after="0" w:line="240" w:lineRule="auto"/>
        <w:ind w:left="709" w:right="709"/>
        <w:jc w:val="both"/>
        <w:rPr>
          <w:rFonts w:ascii="Verdana" w:eastAsia="Times New Roman" w:hAnsi="Verdana" w:cs="Arial"/>
          <w:sz w:val="20"/>
          <w:szCs w:val="20"/>
          <w:lang w:val="es-ES" w:eastAsia="es-ES_tradnl"/>
        </w:rPr>
      </w:pPr>
      <w:r w:rsidRPr="0061306E">
        <w:rPr>
          <w:rFonts w:ascii="Verdana" w:eastAsia="Times New Roman" w:hAnsi="Verdana" w:cs="Arial"/>
          <w:sz w:val="20"/>
          <w:szCs w:val="20"/>
          <w:lang w:val="es-ES" w:eastAsia="es-ES_tradnl"/>
        </w:rPr>
        <w:t xml:space="preserve">Artículo 56. Aplicación de los documentos tipo a entidades de régimen especial. Para la adquisición de bienes, obras o servicios, las entidades estatales sometidas al Estatuto General de Contratación de la Administración Pública que celebren contratos o convenios interadministrativos o de cualquier otra índole, con otra entidad estatal o con patrimonios autónomos o con personas naturales o jurídicas de derecho privado, cuyo régimen de contratación sea especial o de derecho privado, deberán aplicar los documentos tipo adoptados por la Agencia Nacional de Contratación Pública - Colombia Compra Eficiente o quien haga sus veces, conforme al parágrafo 7 del artículo 2 de la Ley 1150 de 2007 o las normas que lo modifiquen o sustituyan. </w:t>
      </w:r>
    </w:p>
    <w:p w14:paraId="4FC3F271" w14:textId="77777777" w:rsidR="00D10AD0" w:rsidRPr="0061306E" w:rsidRDefault="00D10AD0" w:rsidP="00D10AD0">
      <w:pPr>
        <w:tabs>
          <w:tab w:val="left" w:pos="0"/>
        </w:tabs>
        <w:spacing w:after="0" w:line="240" w:lineRule="auto"/>
        <w:ind w:left="709" w:right="709"/>
        <w:jc w:val="both"/>
        <w:rPr>
          <w:rFonts w:ascii="Verdana" w:eastAsia="Times New Roman" w:hAnsi="Verdana" w:cs="Arial"/>
          <w:sz w:val="20"/>
          <w:szCs w:val="20"/>
          <w:lang w:val="es-ES" w:eastAsia="es-ES_tradnl"/>
        </w:rPr>
      </w:pPr>
    </w:p>
    <w:p w14:paraId="2B38AEEC" w14:textId="77777777" w:rsidR="00D10AD0" w:rsidRPr="0061306E" w:rsidRDefault="00D10AD0" w:rsidP="00D10AD0">
      <w:pPr>
        <w:tabs>
          <w:tab w:val="left" w:pos="0"/>
        </w:tabs>
        <w:spacing w:after="0" w:line="240" w:lineRule="auto"/>
        <w:ind w:left="709" w:right="709"/>
        <w:jc w:val="both"/>
        <w:rPr>
          <w:rFonts w:ascii="Verdana" w:eastAsia="Times New Roman" w:hAnsi="Verdana" w:cs="Arial"/>
          <w:sz w:val="20"/>
          <w:szCs w:val="20"/>
          <w:lang w:val="es-ES" w:eastAsia="es-ES_tradnl"/>
        </w:rPr>
      </w:pPr>
      <w:r w:rsidRPr="0061306E">
        <w:rPr>
          <w:rFonts w:ascii="Verdana" w:eastAsia="Times New Roman" w:hAnsi="Verdana" w:cs="Arial"/>
          <w:sz w:val="20"/>
          <w:szCs w:val="20"/>
          <w:lang w:val="es-ES" w:eastAsia="es-ES_tradnl"/>
        </w:rPr>
        <w:t xml:space="preserve">Los procedimientos de selección y los contratos que realicen en desarrollo de los anteriores negocios jurídicos, donde apliquen los documentos tipo se regirán por el Estatuto General de Contratación de la Administración Pública. </w:t>
      </w:r>
    </w:p>
    <w:p w14:paraId="389B4D5B" w14:textId="77777777" w:rsidR="00D10AD0" w:rsidRPr="0061306E" w:rsidRDefault="00D10AD0" w:rsidP="00D10AD0">
      <w:pPr>
        <w:tabs>
          <w:tab w:val="left" w:pos="0"/>
        </w:tabs>
        <w:spacing w:after="0" w:line="240" w:lineRule="auto"/>
        <w:ind w:left="709" w:right="709"/>
        <w:jc w:val="both"/>
        <w:rPr>
          <w:rFonts w:ascii="Verdana" w:eastAsia="Times New Roman" w:hAnsi="Verdana" w:cs="Arial"/>
          <w:sz w:val="20"/>
          <w:szCs w:val="20"/>
          <w:lang w:val="es-ES" w:eastAsia="es-ES_tradnl"/>
        </w:rPr>
      </w:pPr>
    </w:p>
    <w:p w14:paraId="38F369AF" w14:textId="77777777" w:rsidR="00D10AD0" w:rsidRPr="0061306E" w:rsidRDefault="00D10AD0" w:rsidP="00D10AD0">
      <w:pPr>
        <w:spacing w:after="0" w:line="240" w:lineRule="auto"/>
        <w:ind w:left="709" w:right="709"/>
        <w:jc w:val="both"/>
        <w:rPr>
          <w:rFonts w:ascii="Verdana" w:eastAsia="Calibri" w:hAnsi="Verdana" w:cs="Arial"/>
          <w:sz w:val="20"/>
          <w:szCs w:val="20"/>
          <w:lang w:val="es-ES" w:eastAsia="es-ES"/>
        </w:rPr>
      </w:pPr>
      <w:r w:rsidRPr="0061306E">
        <w:rPr>
          <w:rFonts w:ascii="Verdana" w:eastAsia="Times New Roman" w:hAnsi="Verdana" w:cs="Arial"/>
          <w:sz w:val="20"/>
          <w:szCs w:val="20"/>
          <w:lang w:val="es-ES" w:eastAsia="es-ES"/>
        </w:rPr>
        <w:t xml:space="preserve">Parágrafo. Se exceptúan del presente artículo las Instituciones de Educación Superior públicas, las empresas sociales del Estado, las sociedades de economía mixta y las empresas industriales y comerciales del Estado, únicamente en cuanto a la contratación de su </w:t>
      </w:r>
      <w:r w:rsidRPr="0061306E">
        <w:rPr>
          <w:rFonts w:ascii="Verdana" w:eastAsia="Times New Roman" w:hAnsi="Verdana" w:cs="Arial"/>
          <w:i/>
          <w:iCs/>
          <w:sz w:val="20"/>
          <w:szCs w:val="20"/>
          <w:lang w:val="es-ES" w:eastAsia="es-ES"/>
        </w:rPr>
        <w:t>giro ordinario</w:t>
      </w:r>
      <w:r w:rsidRPr="0061306E">
        <w:rPr>
          <w:rFonts w:ascii="Verdana" w:eastAsia="Times New Roman" w:hAnsi="Verdana" w:cs="Arial"/>
          <w:sz w:val="20"/>
          <w:szCs w:val="20"/>
          <w:lang w:val="es-ES" w:eastAsia="es-ES"/>
        </w:rPr>
        <w:t>. En estos casos, en los manuales de contratación de estas entidades, se fomentará como buena práctica la aplicación de los pliegos tipo.</w:t>
      </w:r>
    </w:p>
    <w:p w14:paraId="6D2A3F4E" w14:textId="77777777" w:rsidR="00D10AD0" w:rsidRPr="0061306E" w:rsidRDefault="00D10AD0" w:rsidP="00D10AD0">
      <w:pPr>
        <w:tabs>
          <w:tab w:val="left" w:pos="0"/>
        </w:tabs>
        <w:spacing w:after="0" w:line="276" w:lineRule="auto"/>
        <w:jc w:val="both"/>
        <w:rPr>
          <w:rFonts w:ascii="Arial" w:eastAsia="Calibri" w:hAnsi="Arial" w:cs="Arial"/>
          <w:bCs/>
          <w:szCs w:val="24"/>
          <w:lang w:val="es-ES" w:eastAsia="es-ES_tradnl"/>
        </w:rPr>
      </w:pPr>
    </w:p>
    <w:p w14:paraId="08CB8049" w14:textId="77777777" w:rsidR="00D10AD0" w:rsidRPr="0061306E" w:rsidRDefault="00D10AD0" w:rsidP="00D10AD0">
      <w:pPr>
        <w:tabs>
          <w:tab w:val="left" w:pos="0"/>
        </w:tabs>
        <w:spacing w:after="120" w:line="276" w:lineRule="auto"/>
        <w:jc w:val="both"/>
        <w:rPr>
          <w:rFonts w:ascii="Verdana" w:eastAsia="Calibri" w:hAnsi="Verdana" w:cs="Arial"/>
          <w:lang w:val="es-ES"/>
        </w:rPr>
      </w:pPr>
      <w:r w:rsidRPr="0061306E">
        <w:rPr>
          <w:rFonts w:ascii="Arial" w:eastAsia="Calibri" w:hAnsi="Arial" w:cs="Arial"/>
          <w:bCs/>
          <w:szCs w:val="24"/>
          <w:lang w:val="es-ES" w:eastAsia="es-ES_tradnl"/>
        </w:rPr>
        <w:lastRenderedPageBreak/>
        <w:tab/>
      </w:r>
      <w:r w:rsidRPr="0061306E">
        <w:rPr>
          <w:rFonts w:ascii="Verdana" w:eastAsia="Calibri" w:hAnsi="Verdana" w:cs="Arial"/>
          <w:bCs/>
          <w:szCs w:val="24"/>
          <w:lang w:val="es-ES" w:eastAsia="es-ES_tradnl"/>
        </w:rPr>
        <w:t xml:space="preserve">Las implicaciones de lo establecido en esta norma son variadas y se presentan en múltiples ámbitos de la actividad contractual de las entidades estatales, que como consecuencia de la entrada en vigor de la disposición en cita, ven alterado su régimen jurídico. En este sentido, el Concepto C-870 del 13 de agosto de 2025 unificando la línea sobre la aplicación del artículo 56 de la Ley 2195 de 2022 expresando que </w:t>
      </w:r>
      <w:r w:rsidRPr="0061306E">
        <w:rPr>
          <w:rFonts w:ascii="Verdana" w:eastAsia="Calibri" w:hAnsi="Verdana" w:cs="Arial"/>
          <w:lang w:val="es-ES" w:eastAsia="es-ES"/>
        </w:rPr>
        <w:t xml:space="preserve">se alinea con la primera tesis expuesta en el concepto C-066 del 28 de enero de 2022 </w:t>
      </w:r>
      <w:r w:rsidRPr="0061306E">
        <w:rPr>
          <w:rFonts w:ascii="Verdana" w:hAnsi="Verdana"/>
          <w:lang w:val="es-ES"/>
        </w:rPr>
        <w:t>desarrollada y complementada en los conceptos</w:t>
      </w:r>
      <w:r w:rsidRPr="0061306E">
        <w:rPr>
          <w:rFonts w:ascii="Verdana" w:hAnsi="Verdana"/>
          <w:sz w:val="16"/>
          <w:szCs w:val="16"/>
          <w:lang w:val="es-ES"/>
        </w:rPr>
        <w:t xml:space="preserve"> </w:t>
      </w:r>
      <w:r w:rsidRPr="0061306E">
        <w:rPr>
          <w:rFonts w:ascii="Verdana" w:hAnsi="Verdana"/>
          <w:lang w:val="es-ES"/>
        </w:rPr>
        <w:t>C-320 del 20 de mayo de 2022, C-333 del 24 de mayo de 2022, C-404 del 26 de mayo de 2023, C-382 del 27 de mayo de 2022, C-388 del 15 de junio de 2022, C-423 del 5 de julio de 2022, C-435 del 6 de julio de 2023, C-453 del 15 de julio de 2022, C-483 del 5 de agosto de 2022, C-556 del 3 de agosto de 2022, C-532 del 22 de agosto de 2022, C-341 del 27 de mayo de 2022, C-382 del 27 de mayo de 2022, C-449 del 25 de julio de 2022, C-453 del 14 de julio de 2022,  C-488 del 29 de julio de 2022, C-501 del 29 de julio de 2022,  C-155 del 7 de marzo de 2025, C-202 del 26 de marzo de 2025, C-298 del 16 de abril de 2025 y C-808 del 30 de julio de 2025.</w:t>
      </w:r>
    </w:p>
    <w:p w14:paraId="02052832" w14:textId="77777777" w:rsidR="00D10AD0" w:rsidRPr="0061306E" w:rsidRDefault="00D10AD0" w:rsidP="00D10AD0">
      <w:pPr>
        <w:spacing w:after="120" w:line="276" w:lineRule="auto"/>
        <w:jc w:val="both"/>
        <w:rPr>
          <w:rFonts w:ascii="Verdana" w:eastAsia="Calibri" w:hAnsi="Verdana" w:cs="Arial"/>
          <w:lang w:val="es-ES"/>
        </w:rPr>
      </w:pPr>
      <w:r w:rsidRPr="0061306E">
        <w:rPr>
          <w:rFonts w:ascii="Arial" w:eastAsia="Calibri" w:hAnsi="Arial" w:cs="Arial"/>
          <w:bCs/>
          <w:lang w:val="es-ES"/>
        </w:rPr>
        <w:tab/>
      </w:r>
      <w:bookmarkStart w:id="15" w:name="_Hlk99351345"/>
      <w:r w:rsidRPr="0061306E">
        <w:rPr>
          <w:rFonts w:ascii="Verdana" w:eastAsia="Calibri" w:hAnsi="Verdana" w:cs="Arial"/>
          <w:lang w:val="es-ES"/>
        </w:rPr>
        <w:t xml:space="preserve"> De esta forma, en el Concepto C-870 del 13 de agosto de 2025 se expresó que la interpretación en el sentido de indicar que  el primer inciso del artículo 56 de la Ley 2195 de 2022 surge como una disposición complementaria de la Ley 2022 de 2020, en la medida en que, según se desprende de su texto, de una parte, la norma busca extender la aplicación obligatoria de los documentos tipo a la celebración de contratos o convenios interadministrativos entre entidades regidas por EGCAP y otros sujetos cuyo régimen de contratación prevalente es el derecho privado. Esto de tal forma que cuando una entidad estatal regida por el EGCAP celebre contratos o convenios con otra i) entidad estatal de régimen especial o con </w:t>
      </w:r>
      <w:proofErr w:type="spellStart"/>
      <w:r w:rsidRPr="0061306E">
        <w:rPr>
          <w:rFonts w:ascii="Verdana" w:eastAsia="Calibri" w:hAnsi="Verdana" w:cs="Arial"/>
          <w:lang w:val="es-ES"/>
        </w:rPr>
        <w:t>ii</w:t>
      </w:r>
      <w:proofErr w:type="spellEnd"/>
      <w:r w:rsidRPr="0061306E">
        <w:rPr>
          <w:rFonts w:ascii="Verdana" w:eastAsia="Calibri" w:hAnsi="Verdana" w:cs="Arial"/>
          <w:lang w:val="es-ES"/>
        </w:rPr>
        <w:t xml:space="preserve">) patrimonios autónomos o </w:t>
      </w:r>
      <w:proofErr w:type="spellStart"/>
      <w:r w:rsidRPr="0061306E">
        <w:rPr>
          <w:rFonts w:ascii="Verdana" w:eastAsia="Calibri" w:hAnsi="Verdana" w:cs="Arial"/>
          <w:lang w:val="es-ES"/>
        </w:rPr>
        <w:t>iii</w:t>
      </w:r>
      <w:proofErr w:type="spellEnd"/>
      <w:r w:rsidRPr="0061306E">
        <w:rPr>
          <w:rFonts w:ascii="Verdana" w:eastAsia="Calibri" w:hAnsi="Verdana" w:cs="Arial"/>
          <w:lang w:val="es-ES"/>
        </w:rPr>
        <w:t>) con personas naturales o jurídicas de derecho privado, tenga que hacerlo aplicando documentos tipo. Los efectos del primer inciso del artículo 56 se proyectarían entonces a los contratos o convenios interadministrativos o de cualquier otra índole, que se deban celebrar con estos sujetos, cuyos objetos comprendan la adquisición de bienes, obras o servicios, que, al tenor de lo dispuesto en el apartado normativo bajo examen, deberán celebrarse mediante documentos tipo.</w:t>
      </w:r>
    </w:p>
    <w:bookmarkEnd w:id="15"/>
    <w:p w14:paraId="1AE3B812" w14:textId="77777777" w:rsidR="00D10AD0" w:rsidRPr="0061306E" w:rsidRDefault="00D10AD0" w:rsidP="00D10AD0">
      <w:pPr>
        <w:tabs>
          <w:tab w:val="left" w:pos="0"/>
        </w:tabs>
        <w:spacing w:after="120" w:line="276" w:lineRule="auto"/>
        <w:jc w:val="both"/>
        <w:rPr>
          <w:rFonts w:ascii="Verdana" w:eastAsia="Calibri" w:hAnsi="Verdana" w:cs="Arial"/>
          <w:lang w:val="es-ES" w:eastAsia="es-ES"/>
        </w:rPr>
      </w:pPr>
      <w:r w:rsidRPr="0061306E">
        <w:rPr>
          <w:rFonts w:ascii="Verdana" w:eastAsia="Calibri" w:hAnsi="Verdana" w:cs="Arial"/>
          <w:bCs/>
          <w:lang w:val="es-ES" w:eastAsia="es-ES_tradnl"/>
        </w:rPr>
        <w:tab/>
      </w:r>
      <w:r w:rsidRPr="0061306E">
        <w:rPr>
          <w:rFonts w:ascii="Verdana" w:eastAsia="Calibri" w:hAnsi="Verdana" w:cs="Arial"/>
          <w:lang w:val="es-ES" w:eastAsia="es-ES"/>
        </w:rPr>
        <w:t xml:space="preserve"> Sin perjuicio de lo anterior, solo es posible comprender los efectos de lo dispuesto en el artículo 56 de la </w:t>
      </w:r>
      <w:bookmarkStart w:id="16" w:name="_Hlk205276572"/>
      <w:r w:rsidRPr="0061306E">
        <w:rPr>
          <w:rFonts w:ascii="Verdana" w:eastAsia="Calibri" w:hAnsi="Verdana" w:cs="Arial"/>
          <w:lang w:val="es-ES" w:eastAsia="es-ES"/>
        </w:rPr>
        <w:t xml:space="preserve">Ley 2195 de 2022 </w:t>
      </w:r>
      <w:bookmarkEnd w:id="16"/>
      <w:r w:rsidRPr="0061306E">
        <w:rPr>
          <w:rFonts w:ascii="Verdana" w:eastAsia="Calibri" w:hAnsi="Verdana" w:cs="Arial"/>
          <w:lang w:val="es-ES" w:eastAsia="es-ES"/>
        </w:rPr>
        <w:t xml:space="preserve">cuando se interpretan en conjunto todos sus componentes. Esto comoquiera que, a lo anterior se le suman las implicaciones de lo ordenado por el segundo inciso de la norma en estudio </w:t>
      </w:r>
      <w:r w:rsidRPr="0061306E">
        <w:rPr>
          <w:rFonts w:ascii="Verdana" w:eastAsia="Calibri" w:hAnsi="Verdana" w:cs="Arial"/>
          <w:lang w:val="es-ES" w:eastAsia="es-ES"/>
        </w:rPr>
        <w:lastRenderedPageBreak/>
        <w:t xml:space="preserve">cuando usa la expresión “los procedimientos de selección y contratos que realicen en desarrollo de los anteriores negocios jurídicos”, a los que se refiere el primer inciso, en los que, además de la aplicación de los documentos tipo, se dispone la aplicación del EGCAP. </w:t>
      </w:r>
    </w:p>
    <w:p w14:paraId="2D193CF8" w14:textId="77777777" w:rsidR="00D10AD0" w:rsidRPr="0061306E" w:rsidRDefault="00D10AD0" w:rsidP="00D10AD0">
      <w:pPr>
        <w:tabs>
          <w:tab w:val="left" w:pos="0"/>
        </w:tabs>
        <w:spacing w:after="120" w:line="276" w:lineRule="auto"/>
        <w:jc w:val="both"/>
        <w:rPr>
          <w:rFonts w:ascii="Verdana" w:eastAsia="Calibri" w:hAnsi="Verdana" w:cs="Arial"/>
          <w:lang w:val="es-ES" w:eastAsia="es-ES"/>
        </w:rPr>
      </w:pPr>
      <w:r w:rsidRPr="0061306E">
        <w:rPr>
          <w:rFonts w:ascii="Verdana" w:eastAsia="Calibri" w:hAnsi="Verdana" w:cs="Arial"/>
          <w:lang w:val="es-ES" w:eastAsia="es-ES"/>
        </w:rPr>
        <w:tab/>
        <w:t xml:space="preserve">De acuerdo con esto, el cambio normativo que supone el artículo en comento no se agota con el mandato de aplicación obligatoria de los documentos tipo en los convenios o contratos que celebren las entidades estatales regidas por el EGCAP con otras entidades de régimen especial, patrimonios autónomos, personas naturales o jurídicas de derecho privado, pues, según se desprende del segundo inciso de la norma, esta además ordena la aplicación del EGCAP a los Procesos de Contratación que se adelanten y a los contratos que se celebren con ocasión de los contratos o convenios a los que se refiere el primer inciso. Esto significa que, ya sea una entidad estatal de régimen especial, un patrimonio autónomo o una persona natural o jurídica de derecho privado, en virtud de lo dispuesto en los incisos primero y segundo del artículo 56 </w:t>
      </w:r>
      <w:proofErr w:type="spellStart"/>
      <w:r w:rsidRPr="0061306E">
        <w:rPr>
          <w:rFonts w:ascii="Verdana" w:eastAsia="Calibri" w:hAnsi="Verdana" w:cs="Arial"/>
          <w:lang w:val="es-ES" w:eastAsia="es-ES"/>
        </w:rPr>
        <w:t>ejusdem</w:t>
      </w:r>
      <w:proofErr w:type="spellEnd"/>
      <w:r w:rsidRPr="0061306E">
        <w:rPr>
          <w:rFonts w:ascii="Verdana" w:eastAsia="Calibri" w:hAnsi="Verdana" w:cs="Arial"/>
          <w:lang w:val="es-ES" w:eastAsia="es-ES"/>
        </w:rPr>
        <w:t xml:space="preserve">, si, en efecto, deben subcontratar bienes, obras o servicios, en cumplimiento de un contrato o convenio interadministrativo o de cualquier otra índole, con una entidad estatal sometida a la Ley 80 de 1993, deberá adelantar el procedimiento de selección, así como celebrar el respectivo contrato, implementando los documentos tipo  y aplicando las disposiciones del EGCAP. </w:t>
      </w:r>
    </w:p>
    <w:p w14:paraId="3C44C9F0" w14:textId="77777777" w:rsidR="00D10AD0" w:rsidRPr="0061306E" w:rsidRDefault="00D10AD0" w:rsidP="00D10AD0">
      <w:pPr>
        <w:tabs>
          <w:tab w:val="left" w:pos="0"/>
        </w:tabs>
        <w:spacing w:after="120" w:line="276" w:lineRule="auto"/>
        <w:jc w:val="both"/>
        <w:rPr>
          <w:rFonts w:ascii="Verdana" w:eastAsia="Calibri" w:hAnsi="Verdana" w:cs="Arial"/>
          <w:lang w:val="es-ES" w:eastAsia="es-ES"/>
        </w:rPr>
      </w:pPr>
      <w:r w:rsidRPr="0061306E">
        <w:rPr>
          <w:rFonts w:ascii="Arial" w:eastAsia="Calibri" w:hAnsi="Arial" w:cs="Arial"/>
          <w:bCs/>
          <w:color w:val="000000"/>
          <w:lang w:val="es-ES"/>
        </w:rPr>
        <w:tab/>
      </w:r>
      <w:r w:rsidRPr="0061306E">
        <w:rPr>
          <w:rFonts w:ascii="Verdana" w:eastAsia="Calibri" w:hAnsi="Verdana" w:cs="Arial"/>
          <w:lang w:val="es-ES" w:eastAsia="es-ES"/>
        </w:rPr>
        <w:t xml:space="preserve">Esta, además, es la interpretación que se infiere de la justificación del proyecto normativo que se convirtió en la Ley 2195 de 2022, en la que, respecto de los contratos ejecutados por entidades de derecho privado, se refirió a la “[..] obligatoriedad de aplicar los documentos tipo, aun si son ejecutados con entidades de régimen especial”, como uno de los propósitos de la Ley.  Conforme se indica en la justificación jurídica del proyecto ley, este: </w:t>
      </w:r>
    </w:p>
    <w:p w14:paraId="3603DFD8" w14:textId="77777777" w:rsidR="00D10AD0" w:rsidRPr="0061306E" w:rsidRDefault="00D10AD0" w:rsidP="00D10AD0">
      <w:pPr>
        <w:tabs>
          <w:tab w:val="left" w:pos="0"/>
        </w:tabs>
        <w:spacing w:after="0" w:line="276" w:lineRule="auto"/>
        <w:jc w:val="both"/>
        <w:rPr>
          <w:rFonts w:ascii="Verdana" w:eastAsia="Calibri" w:hAnsi="Verdana" w:cs="Arial"/>
          <w:lang w:val="es-ES" w:eastAsia="es-ES"/>
        </w:rPr>
      </w:pPr>
    </w:p>
    <w:p w14:paraId="4DAF2B46" w14:textId="77777777" w:rsidR="00D10AD0" w:rsidRPr="0061306E" w:rsidRDefault="00D10AD0" w:rsidP="00D10AD0">
      <w:pPr>
        <w:tabs>
          <w:tab w:val="left" w:pos="0"/>
        </w:tabs>
        <w:spacing w:after="0"/>
        <w:ind w:left="709" w:right="709"/>
        <w:jc w:val="both"/>
        <w:rPr>
          <w:rFonts w:ascii="Verdana" w:eastAsia="Calibri" w:hAnsi="Verdana" w:cs="Arial"/>
          <w:bCs/>
          <w:color w:val="000000"/>
          <w:sz w:val="20"/>
          <w:szCs w:val="20"/>
          <w:lang w:val="es-ES"/>
        </w:rPr>
      </w:pPr>
      <w:r w:rsidRPr="0061306E">
        <w:rPr>
          <w:rFonts w:ascii="Verdana" w:eastAsia="Calibri" w:hAnsi="Verdana" w:cs="Arial"/>
          <w:bCs/>
          <w:color w:val="000000"/>
          <w:sz w:val="20"/>
          <w:szCs w:val="20"/>
          <w:lang w:val="es-ES"/>
        </w:rPr>
        <w:t xml:space="preserve">“[…] determina la aplicación de documentos tipo, en los términos del parágrafo 7 del artículo 2 de la Ley 1150 de 2007 o las normas que lo modifiquen o sustituyan, en los eventos en que entidades públicas sometidas al Estatuto General de Contratación de la Administración Pública celebren contratos o convenios interadministrativos o de cualquier otra índole con otras entidades estatales, patrimonios autónomos o personas naturales o jurídicas de derecho privado. Así mismo, se determina que los procedimientos de selección y los contratos realizados </w:t>
      </w:r>
      <w:r w:rsidRPr="0061306E">
        <w:rPr>
          <w:rFonts w:ascii="Verdana" w:eastAsia="Calibri" w:hAnsi="Verdana" w:cs="Arial"/>
          <w:bCs/>
          <w:color w:val="000000"/>
          <w:sz w:val="20"/>
          <w:szCs w:val="20"/>
          <w:lang w:val="es-ES"/>
        </w:rPr>
        <w:lastRenderedPageBreak/>
        <w:t>en dichos negocios jurídicos deben regirse por las normas de contratación pública”</w:t>
      </w:r>
      <w:r w:rsidRPr="0061306E">
        <w:rPr>
          <w:rFonts w:ascii="Verdana" w:eastAsia="Calibri" w:hAnsi="Verdana" w:cs="Arial"/>
          <w:color w:val="000000"/>
          <w:sz w:val="20"/>
          <w:szCs w:val="20"/>
          <w:vertAlign w:val="superscript"/>
          <w:lang w:val="es-ES"/>
        </w:rPr>
        <w:footnoteReference w:id="23"/>
      </w:r>
      <w:r w:rsidRPr="0061306E">
        <w:rPr>
          <w:rFonts w:ascii="Verdana" w:eastAsia="Calibri" w:hAnsi="Verdana" w:cs="Arial"/>
          <w:bCs/>
          <w:color w:val="000000"/>
          <w:sz w:val="20"/>
          <w:szCs w:val="20"/>
          <w:lang w:val="es-ES"/>
        </w:rPr>
        <w:t xml:space="preserve">. </w:t>
      </w:r>
    </w:p>
    <w:p w14:paraId="541BF30C" w14:textId="77777777" w:rsidR="00D10AD0" w:rsidRPr="0061306E" w:rsidRDefault="00D10AD0" w:rsidP="00D10AD0">
      <w:pPr>
        <w:tabs>
          <w:tab w:val="left" w:pos="0"/>
        </w:tabs>
        <w:spacing w:after="0" w:line="276" w:lineRule="auto"/>
        <w:jc w:val="both"/>
        <w:rPr>
          <w:rFonts w:ascii="Arial" w:eastAsia="Calibri" w:hAnsi="Arial" w:cs="Arial"/>
          <w:bCs/>
          <w:color w:val="000000"/>
          <w:lang w:val="es-ES"/>
        </w:rPr>
      </w:pPr>
      <w:r w:rsidRPr="0061306E">
        <w:rPr>
          <w:rFonts w:ascii="Arial" w:eastAsia="Calibri" w:hAnsi="Arial" w:cs="Arial"/>
          <w:bCs/>
          <w:color w:val="000000"/>
          <w:lang w:val="es-ES"/>
        </w:rPr>
        <w:tab/>
        <w:t xml:space="preserve"> </w:t>
      </w:r>
    </w:p>
    <w:p w14:paraId="4F47EC4C" w14:textId="3B09A798" w:rsidR="00D10AD0" w:rsidRPr="0061306E" w:rsidRDefault="00D10AD0" w:rsidP="00D10AD0">
      <w:pPr>
        <w:spacing w:after="120" w:line="276" w:lineRule="auto"/>
        <w:jc w:val="both"/>
        <w:rPr>
          <w:rFonts w:ascii="Verdana" w:eastAsia="Calibri" w:hAnsi="Verdana" w:cs="Arial"/>
          <w:color w:val="000000"/>
          <w:lang w:val="es-ES"/>
        </w:rPr>
      </w:pPr>
      <w:r w:rsidRPr="0061306E">
        <w:rPr>
          <w:rFonts w:ascii="Arial" w:eastAsia="Calibri" w:hAnsi="Arial" w:cs="Arial"/>
          <w:bCs/>
          <w:color w:val="000000"/>
          <w:lang w:val="es-ES"/>
        </w:rPr>
        <w:tab/>
      </w:r>
      <w:r w:rsidRPr="0061306E">
        <w:rPr>
          <w:rFonts w:ascii="Verdana" w:eastAsia="Calibri" w:hAnsi="Verdana" w:cs="Arial"/>
          <w:color w:val="000000"/>
          <w:lang w:val="es-ES"/>
        </w:rPr>
        <w:t>De lo anterior, se evidencia que el propósito del legislador con la expedición de la norma objeto de consulta, tal como se ha explicado, es que las entidades estatales que tienen como régimen contractual el EGCAP no puedan eludir su aplicación, ni la de los documentos tipo que resulten obligatorios, celebrando convenios o contratos interadministrativo o de cualquier otra índole, con entidades exceptuadas o particulares sometidos al derecho privado, para que sean estos últimos quienes, en el marco de sus regímenes especiales o de derecho privado, realicen la subcontratación de los bienes, obras o servicios que demanda la entidad estatal, en una suerte de tercerización de la contratación. Lo anterior teniendo en cuenta que, a la luz de lo dispuesto en el artículo 56 de la Ley 2195 de 2022, tales entidades exceptuadas, patrimonios autónomos o particulares, que han suscrito convenios o contratos de cualquier índole con entidades sometidas al EGCAP, estarán obligadas a aplicar dicho estatuto para la subcontratación derivada de obras, bienes o servicios, siempre que exista</w:t>
      </w:r>
      <w:r w:rsidR="005F1A25">
        <w:rPr>
          <w:rFonts w:ascii="Verdana" w:eastAsia="Calibri" w:hAnsi="Verdana" w:cs="Arial"/>
          <w:color w:val="000000"/>
          <w:lang w:val="es-ES"/>
        </w:rPr>
        <w:t>n</w:t>
      </w:r>
      <w:r w:rsidRPr="0061306E">
        <w:rPr>
          <w:rFonts w:ascii="Verdana" w:eastAsia="Calibri" w:hAnsi="Verdana" w:cs="Arial"/>
          <w:color w:val="000000"/>
          <w:lang w:val="es-ES"/>
        </w:rPr>
        <w:t xml:space="preserve"> documentos tipo en el sector en el que se adelanta la contratación.  </w:t>
      </w:r>
    </w:p>
    <w:p w14:paraId="154110C1" w14:textId="77777777" w:rsidR="00D10AD0" w:rsidRPr="0061306E" w:rsidRDefault="00D10AD0" w:rsidP="00D10AD0">
      <w:pPr>
        <w:spacing w:after="120" w:line="276" w:lineRule="auto"/>
        <w:ind w:firstLine="709"/>
        <w:jc w:val="both"/>
        <w:rPr>
          <w:rFonts w:ascii="Verdana" w:eastAsia="Calibri" w:hAnsi="Verdana" w:cs="Arial"/>
          <w:lang w:val="es-ES" w:eastAsia="es-ES"/>
        </w:rPr>
      </w:pPr>
      <w:r w:rsidRPr="0061306E">
        <w:rPr>
          <w:rFonts w:ascii="Verdana" w:eastAsia="Calibri" w:hAnsi="Verdana" w:cs="Arial"/>
          <w:lang w:val="es-ES" w:eastAsia="es-ES"/>
        </w:rPr>
        <w:t xml:space="preserve">En este punto es necesario analizar los efectos del artículo 56 de la Ley 2195 de 2022, respecto de lo dispuesto en el artículo 2, numeral 4, de la Ley 1150 de 2007, particularmente, de lo establecido en el tercer inciso del literal c). Lo anterior por cuanto esta norma, al establecer como causal de contratación directa la celebración de contratos interadministrativos regulaba la normativa aplicable a estos cuando el régimen prevalente de la entidad encargada de la ejecución no fuera el de la Ley 80 de 1993, casos en los que la norma imponía la aplicación de esta normativa, a menos que la entidad ejecutora desarrollara su actividad en competencia con el sector privado, o cuando la ejecución del contrato tuviere relación directa con el desarrollo de su actividad, eventos en los que se imponía el derecho privado. En ese sentido, en este último evento el tercer inciso del literal c) del artículo 2, numeral 4 de la Ley 1150 de 2007 daba pie a la aplicación de normas de derecho privado, lo que evidencia una supuesta o aparente tensión entre este y el artículo 56 de la Ley 2195 de 2022, en lo que se refiere al régimen aplicable en estas situaciones, comoquiera que, en estos </w:t>
      </w:r>
      <w:r w:rsidRPr="0061306E">
        <w:rPr>
          <w:rFonts w:ascii="Verdana" w:eastAsia="Calibri" w:hAnsi="Verdana" w:cs="Arial"/>
          <w:lang w:val="es-ES" w:eastAsia="es-ES"/>
        </w:rPr>
        <w:lastRenderedPageBreak/>
        <w:t xml:space="preserve">eventos, al tenor de criterios interpretativos aplicados a lo dispuesto en esta última norma, se entendía que debía aplicarse el EGCAP y los Documentos Tipo. </w:t>
      </w:r>
    </w:p>
    <w:p w14:paraId="7C2C7A3A" w14:textId="77777777" w:rsidR="00D10AD0" w:rsidRPr="0061306E" w:rsidRDefault="00D10AD0" w:rsidP="00D10AD0">
      <w:pPr>
        <w:spacing w:after="120" w:line="276" w:lineRule="auto"/>
        <w:jc w:val="both"/>
        <w:rPr>
          <w:rFonts w:ascii="Verdana" w:eastAsia="Calibri" w:hAnsi="Verdana" w:cs="Arial"/>
          <w:lang w:val="es-ES" w:eastAsia="es-ES"/>
        </w:rPr>
      </w:pPr>
      <w:r w:rsidRPr="0061306E">
        <w:rPr>
          <w:rFonts w:ascii="Verdana" w:eastAsia="Calibri" w:hAnsi="Verdana" w:cs="Arial"/>
          <w:bCs/>
          <w:lang w:val="es-ES" w:eastAsia="es-ES_tradnl"/>
        </w:rPr>
        <w:tab/>
      </w:r>
      <w:r w:rsidRPr="0061306E">
        <w:rPr>
          <w:rFonts w:ascii="Verdana" w:eastAsia="Calibri" w:hAnsi="Verdana" w:cs="Arial"/>
          <w:lang w:val="es-ES" w:eastAsia="es-ES"/>
        </w:rPr>
        <w:t>Lo anterior suponía una antinomia entre el literal c) del artículo 2, numeral 4, de la Ley 1150 de 2007 y el artículo 56 de la Ley 2195 de 2022, en la medida en que para un mismo supuesto de hecho –la celebración de un convenio interadministrativo entre una entidad sometida al EGCAP y otra exceptuada, en la que la última es la ejecutora y desarrolla su actividad en competencia con el sector privado–, se establecían diferentes consecuencias jurídicas, ya que mientras que la primera norma dispone la aplicación del derecho privado, la última impone la aplicación de Documentos Tipo y del EGCAP. Esta aparente contradicción, como se expuso en el numeral anterior, debe ser resuelta en favor del artículo 56 de la Ley 2195 de 2022.</w:t>
      </w:r>
    </w:p>
    <w:p w14:paraId="5159F32A" w14:textId="77777777" w:rsidR="00D10AD0" w:rsidRPr="0061306E" w:rsidRDefault="00D10AD0" w:rsidP="00D10AD0">
      <w:pPr>
        <w:tabs>
          <w:tab w:val="left" w:pos="0"/>
        </w:tabs>
        <w:spacing w:after="120" w:line="276" w:lineRule="auto"/>
        <w:jc w:val="both"/>
        <w:rPr>
          <w:rFonts w:ascii="Verdana" w:eastAsia="Calibri" w:hAnsi="Verdana" w:cs="Arial"/>
          <w:bCs/>
          <w:lang w:val="es-ES" w:eastAsia="es-ES_tradnl"/>
        </w:rPr>
      </w:pPr>
      <w:r w:rsidRPr="0061306E">
        <w:rPr>
          <w:rFonts w:ascii="Verdana" w:eastAsia="Calibri" w:hAnsi="Verdana" w:cs="Arial"/>
          <w:bCs/>
          <w:lang w:val="es-ES" w:eastAsia="es-ES_tradnl"/>
        </w:rPr>
        <w:tab/>
        <w:t xml:space="preserve">En efecto, tratándose de disposiciones de igual jerarquía normativa –ambas son leyes ordinarias–, que coinciden en su ámbito de aplicación, debe colegirse que, en lo que respecta al régimen aplicable a los contratos con entidades exceptuadas ejecutoras de contratos o convenios interadministrativos, que desarrollen su actividad en competencia con el sector privado, el artículo 56 de la Ley 2195 de 2022 supuso una modificación tácita del artículo 2, numeral 4, literal c), de la Ley 1150 de 2007. </w:t>
      </w:r>
    </w:p>
    <w:p w14:paraId="02D261E9" w14:textId="77777777" w:rsidR="00D10AD0" w:rsidRPr="0061306E" w:rsidRDefault="00D10AD0" w:rsidP="00D10AD0">
      <w:pPr>
        <w:spacing w:after="120" w:line="276" w:lineRule="auto"/>
        <w:jc w:val="both"/>
        <w:rPr>
          <w:rFonts w:ascii="Verdana" w:eastAsia="Calibri" w:hAnsi="Verdana" w:cs="Arial"/>
          <w:lang w:val="es-ES" w:eastAsia="es-ES"/>
        </w:rPr>
      </w:pPr>
      <w:r w:rsidRPr="0061306E">
        <w:rPr>
          <w:rFonts w:ascii="Verdana" w:eastAsia="Calibri" w:hAnsi="Verdana" w:cs="Arial"/>
          <w:bCs/>
          <w:lang w:val="es-ES" w:eastAsia="es-ES_tradnl"/>
        </w:rPr>
        <w:tab/>
      </w:r>
      <w:r w:rsidRPr="0061306E">
        <w:rPr>
          <w:rFonts w:ascii="Verdana" w:eastAsia="Calibri" w:hAnsi="Verdana" w:cs="Arial"/>
          <w:lang w:val="es-ES" w:eastAsia="es-ES"/>
        </w:rPr>
        <w:t xml:space="preserve">En tales términos, de lo analizado hasta aquí es posible concluir que el efecto principal de la norma bajo estudio es la ampliación de los Documentos Tipo, al hacerlos obligatorios frente a unos sujetos que, en principio, de acuerdo con la Ley 2022 de 2020 y el literal c) del numeral 4 del artículo 2 de la Ley 1150 de 2007, no estarían sometidos a esos documentos. Para complementar esta medida, la disposición además hace extensiva la aplicación del EGCAP a estos sujetos que, en virtud de su naturaleza jurídica, tienen, como regla general, un régimen de contratación diferente, tales como las entidades exceptuadas, los patrimonios autónomos y las personas naturales y jurídicas de derecho privado, a los que expresamente hace alusión el artículo 56. De esta forma, independientemente de que el inciso tercero del literal c) del artículo 2, numeral 4, de la Ley 1150 de 2007 parezca indicar que se debe aplicar el derecho privado, por ser este el régimen que por regla general aplica la entidad ejecutora, tratándose de objetos cobijados por Documentos Tipo, los mismos deberán ser contratados aplicando tales Pliegos Tipo y las disposiciones del EGCAP, por efecto del artículo 56 de la Ley 2195 de 2022.  </w:t>
      </w:r>
      <w:r w:rsidRPr="0061306E">
        <w:rPr>
          <w:rFonts w:ascii="Verdana" w:eastAsia="Calibri" w:hAnsi="Verdana" w:cs="Arial"/>
          <w:bCs/>
          <w:highlight w:val="yellow"/>
          <w:lang w:val="es-ES" w:eastAsia="es-ES_tradnl"/>
        </w:rPr>
        <w:t xml:space="preserve"> </w:t>
      </w:r>
    </w:p>
    <w:p w14:paraId="5C02DE57" w14:textId="77777777" w:rsidR="00D10AD0" w:rsidRPr="0061306E" w:rsidRDefault="00D10AD0" w:rsidP="00D10AD0">
      <w:pPr>
        <w:tabs>
          <w:tab w:val="left" w:pos="0"/>
        </w:tabs>
        <w:spacing w:after="120" w:line="276" w:lineRule="auto"/>
        <w:ind w:firstLine="709"/>
        <w:jc w:val="both"/>
        <w:rPr>
          <w:rFonts w:ascii="Arial" w:eastAsia="Calibri" w:hAnsi="Arial" w:cs="Arial"/>
          <w:bCs/>
          <w:lang w:val="es-ES"/>
        </w:rPr>
      </w:pPr>
      <w:r w:rsidRPr="0061306E">
        <w:rPr>
          <w:rFonts w:ascii="Verdana" w:hAnsi="Verdana" w:cs="Arial"/>
          <w:color w:val="000000" w:themeColor="text1"/>
          <w:lang w:val="es-ES"/>
        </w:rPr>
        <w:lastRenderedPageBreak/>
        <w:t xml:space="preserve">En este contexto, </w:t>
      </w:r>
      <w:r w:rsidRPr="0061306E">
        <w:rPr>
          <w:rFonts w:ascii="Verdana" w:eastAsia="Calibri" w:hAnsi="Verdana" w:cs="Arial"/>
          <w:bCs/>
          <w:lang w:val="es-ES" w:eastAsia="es-ES_tradnl"/>
        </w:rPr>
        <w:t>de la interpretación sistemática de los incisos primero y segundo del artículo 56 de la Ley 2195 de 2022, se desprende que cuando se celebre un contrato o convenio interadministrativo o de cualquier otra índole entre una entidad sometida al EGCAP y los sujetos allí mencionados, del cual se derive la ejecución de objetos contractuales incluidos dentro del ámbito de aplicación de los documentos tipo, su celebración deberá realizarse por parte del ejecutor o de quien tenga a su cargo el deber legal de materializar dicha contratación, haciendo uso obligatorio de dichos documentos</w:t>
      </w:r>
      <w:r w:rsidRPr="0061306E">
        <w:rPr>
          <w:rFonts w:ascii="Arial" w:eastAsia="Calibri" w:hAnsi="Arial" w:cs="Arial"/>
          <w:bCs/>
          <w:lang w:val="es-ES"/>
        </w:rPr>
        <w:t xml:space="preserve"> </w:t>
      </w:r>
      <w:r w:rsidRPr="0061306E">
        <w:rPr>
          <w:rFonts w:ascii="Verdana" w:eastAsia="Calibri" w:hAnsi="Verdana" w:cs="Arial"/>
          <w:bCs/>
          <w:lang w:val="es-ES"/>
        </w:rPr>
        <w:t xml:space="preserve">siempre que exista documento tipo aplicable al objeto contractual que se planea contratar. Esto significa que los contratos no relacionados con los contratos y convenios adquiridos con la entidad sometida al EGCAP no tendrían que aplicar los documentos tipo, salvo que quieran hacerlo como una buena práctica de contratación. </w:t>
      </w:r>
    </w:p>
    <w:p w14:paraId="7518A05F" w14:textId="77777777" w:rsidR="00D10AD0" w:rsidRPr="0061306E" w:rsidRDefault="00D10AD0" w:rsidP="00D10AD0">
      <w:pPr>
        <w:tabs>
          <w:tab w:val="left" w:pos="0"/>
        </w:tabs>
        <w:spacing w:after="120" w:line="276" w:lineRule="auto"/>
        <w:ind w:firstLine="709"/>
        <w:jc w:val="both"/>
        <w:rPr>
          <w:rFonts w:ascii="Verdana" w:eastAsia="Calibri" w:hAnsi="Verdana" w:cs="Arial"/>
          <w:bCs/>
          <w:color w:val="000000"/>
          <w:lang w:val="es-ES" w:eastAsia="es-ES_tradnl"/>
        </w:rPr>
      </w:pPr>
      <w:r w:rsidRPr="0061306E">
        <w:rPr>
          <w:rFonts w:ascii="Verdana" w:eastAsia="Calibri" w:hAnsi="Verdana" w:cs="Arial"/>
          <w:bCs/>
          <w:lang w:val="es-ES" w:eastAsia="es-ES_tradnl"/>
        </w:rPr>
        <w:t>Sin perjuicio de lo anterior</w:t>
      </w:r>
      <w:r w:rsidRPr="0061306E">
        <w:rPr>
          <w:rFonts w:ascii="Verdana" w:eastAsia="Times New Roman" w:hAnsi="Verdana" w:cs="Arial"/>
          <w:lang w:val="es-ES" w:eastAsia="es-ES_tradnl"/>
        </w:rPr>
        <w:t xml:space="preserve">, </w:t>
      </w:r>
      <w:r w:rsidRPr="0061306E">
        <w:rPr>
          <w:rFonts w:ascii="Verdana" w:eastAsia="Calibri" w:hAnsi="Verdana" w:cs="Arial"/>
          <w:bCs/>
          <w:lang w:val="es-ES" w:eastAsia="es-ES_tradnl"/>
        </w:rPr>
        <w:t xml:space="preserve">es necesario precisar el alcance del parágrafo del artículo 56 de la Ley 2195 de 2022 y lo dispuesto en los dos primeros incisos del mencionado artículo, del cual se excluye, a cierto tipo de entidades, en lo relacionado con la contratación de su </w:t>
      </w:r>
      <w:r w:rsidRPr="0061306E">
        <w:rPr>
          <w:rFonts w:ascii="Verdana" w:eastAsia="Calibri" w:hAnsi="Verdana" w:cs="Arial"/>
          <w:bCs/>
          <w:i/>
          <w:iCs/>
          <w:lang w:val="es-ES" w:eastAsia="es-ES_tradnl"/>
        </w:rPr>
        <w:t>giro ordinario</w:t>
      </w:r>
      <w:r w:rsidRPr="0061306E">
        <w:rPr>
          <w:rFonts w:ascii="Verdana" w:eastAsia="Calibri" w:hAnsi="Verdana" w:cs="Arial"/>
          <w:bCs/>
          <w:lang w:val="es-ES" w:eastAsia="es-ES_tradnl"/>
        </w:rPr>
        <w:t xml:space="preserve">. Conforme se desprende del texto del referido parágrafo, se exceptúa de lo señalado en los dos primeros incisos a: i) las instituciones de educación superior públicas, </w:t>
      </w:r>
      <w:proofErr w:type="spellStart"/>
      <w:r w:rsidRPr="0061306E">
        <w:rPr>
          <w:rFonts w:ascii="Verdana" w:eastAsia="Calibri" w:hAnsi="Verdana" w:cs="Arial"/>
          <w:bCs/>
          <w:lang w:val="es-ES" w:eastAsia="es-ES_tradnl"/>
        </w:rPr>
        <w:t>ii</w:t>
      </w:r>
      <w:proofErr w:type="spellEnd"/>
      <w:r w:rsidRPr="0061306E">
        <w:rPr>
          <w:rFonts w:ascii="Verdana" w:eastAsia="Calibri" w:hAnsi="Verdana" w:cs="Arial"/>
          <w:bCs/>
          <w:lang w:val="es-ES" w:eastAsia="es-ES_tradnl"/>
        </w:rPr>
        <w:t xml:space="preserve">) las </w:t>
      </w:r>
      <w:r w:rsidRPr="0061306E">
        <w:rPr>
          <w:rFonts w:ascii="Verdana" w:eastAsia="Calibri" w:hAnsi="Verdana" w:cs="Arial"/>
          <w:bCs/>
          <w:i/>
          <w:iCs/>
          <w:lang w:val="es-ES" w:eastAsia="es-ES_tradnl"/>
        </w:rPr>
        <w:t>empresas sociales del Estado</w:t>
      </w:r>
      <w:r w:rsidRPr="0061306E">
        <w:rPr>
          <w:rFonts w:ascii="Verdana" w:eastAsia="Calibri" w:hAnsi="Verdana" w:cs="Arial"/>
          <w:bCs/>
          <w:lang w:val="es-ES" w:eastAsia="es-ES_tradnl"/>
        </w:rPr>
        <w:t xml:space="preserve">, </w:t>
      </w:r>
      <w:proofErr w:type="spellStart"/>
      <w:r w:rsidRPr="0061306E">
        <w:rPr>
          <w:rFonts w:ascii="Verdana" w:eastAsia="Calibri" w:hAnsi="Verdana" w:cs="Arial"/>
          <w:bCs/>
          <w:lang w:val="es-ES" w:eastAsia="es-ES_tradnl"/>
        </w:rPr>
        <w:t>iii</w:t>
      </w:r>
      <w:proofErr w:type="spellEnd"/>
      <w:r w:rsidRPr="0061306E">
        <w:rPr>
          <w:rFonts w:ascii="Verdana" w:eastAsia="Calibri" w:hAnsi="Verdana" w:cs="Arial"/>
          <w:bCs/>
          <w:lang w:val="es-ES" w:eastAsia="es-ES_tradnl"/>
        </w:rPr>
        <w:t xml:space="preserve">) las sociedades de economía mixta y </w:t>
      </w:r>
      <w:proofErr w:type="spellStart"/>
      <w:r w:rsidRPr="0061306E">
        <w:rPr>
          <w:rFonts w:ascii="Verdana" w:eastAsia="Calibri" w:hAnsi="Verdana" w:cs="Arial"/>
          <w:bCs/>
          <w:lang w:val="es-ES" w:eastAsia="es-ES_tradnl"/>
        </w:rPr>
        <w:t>iv</w:t>
      </w:r>
      <w:proofErr w:type="spellEnd"/>
      <w:r w:rsidRPr="0061306E">
        <w:rPr>
          <w:rFonts w:ascii="Verdana" w:eastAsia="Calibri" w:hAnsi="Verdana" w:cs="Arial"/>
          <w:bCs/>
          <w:lang w:val="es-ES" w:eastAsia="es-ES_tradnl"/>
        </w:rPr>
        <w:t xml:space="preserve">) las empresas industriales y comerciales del Estado, únicamente, en la contratación relacionada con el </w:t>
      </w:r>
      <w:r w:rsidRPr="0061306E">
        <w:rPr>
          <w:rFonts w:ascii="Verdana" w:eastAsia="Calibri" w:hAnsi="Verdana" w:cs="Arial"/>
          <w:bCs/>
          <w:i/>
          <w:iCs/>
          <w:lang w:val="es-ES" w:eastAsia="es-ES_tradnl"/>
        </w:rPr>
        <w:t>giro ordinario.</w:t>
      </w:r>
      <w:r w:rsidRPr="0061306E">
        <w:rPr>
          <w:rFonts w:ascii="Verdana" w:eastAsia="Calibri" w:hAnsi="Verdana" w:cs="Arial"/>
          <w:bCs/>
          <w:lang w:val="es-ES" w:eastAsia="es-ES_tradnl"/>
        </w:rPr>
        <w:t xml:space="preserve"> Esto significa que, en la contratación asociada a su </w:t>
      </w:r>
      <w:r w:rsidRPr="0061306E">
        <w:rPr>
          <w:rFonts w:ascii="Verdana" w:eastAsia="Calibri" w:hAnsi="Verdana" w:cs="Arial"/>
          <w:bCs/>
          <w:i/>
          <w:iCs/>
          <w:lang w:val="es-ES" w:eastAsia="es-ES_tradnl"/>
        </w:rPr>
        <w:t xml:space="preserve">giro ordinario, </w:t>
      </w:r>
      <w:r w:rsidRPr="0061306E">
        <w:rPr>
          <w:rFonts w:ascii="Verdana" w:eastAsia="Calibri" w:hAnsi="Verdana" w:cs="Arial"/>
          <w:bCs/>
          <w:lang w:val="es-ES" w:eastAsia="es-ES_tradnl"/>
        </w:rPr>
        <w:t>estos tipos de entidades no tendrían que aplicar, de manera obligatoria, los Documentos Tipo, ni tampoco el EGCAP.</w:t>
      </w:r>
      <w:r w:rsidRPr="0061306E">
        <w:rPr>
          <w:rFonts w:ascii="Verdana" w:eastAsia="Times New Roman" w:hAnsi="Verdana" w:cs="Arial"/>
          <w:lang w:val="es-ES" w:eastAsia="es-ES_tradnl"/>
        </w:rPr>
        <w:t xml:space="preserve"> </w:t>
      </w:r>
      <w:r w:rsidRPr="0061306E">
        <w:rPr>
          <w:rFonts w:ascii="Verdana" w:eastAsia="Calibri" w:hAnsi="Verdana" w:cs="Arial"/>
          <w:bCs/>
          <w:lang w:val="es-ES" w:eastAsia="es-ES_tradnl"/>
        </w:rPr>
        <w:t>En este caso, la norma se limita a fomentar la implementación de Documentos Tipo a modo de buena práctica contractual, en los casos en los que se estime conveniente.</w:t>
      </w:r>
      <w:r w:rsidRPr="0061306E">
        <w:rPr>
          <w:rFonts w:ascii="Verdana" w:eastAsia="Calibri" w:hAnsi="Verdana" w:cs="Arial"/>
          <w:bCs/>
          <w:color w:val="000000"/>
          <w:lang w:val="es-ES" w:eastAsia="es-ES_tradnl"/>
        </w:rPr>
        <w:t xml:space="preserve"> </w:t>
      </w:r>
    </w:p>
    <w:p w14:paraId="4CCD5B84" w14:textId="77777777" w:rsidR="00D10AD0" w:rsidRPr="0061306E" w:rsidRDefault="00D10AD0" w:rsidP="00D10AD0">
      <w:pPr>
        <w:tabs>
          <w:tab w:val="left" w:pos="0"/>
        </w:tabs>
        <w:spacing w:after="120" w:line="276" w:lineRule="auto"/>
        <w:ind w:firstLine="709"/>
        <w:jc w:val="both"/>
        <w:rPr>
          <w:rFonts w:ascii="Verdana" w:eastAsia="Arial" w:hAnsi="Verdana" w:cs="Arial"/>
          <w:lang w:val="es-ES" w:eastAsia="es-ES_tradnl"/>
        </w:rPr>
      </w:pPr>
      <w:r w:rsidRPr="0061306E">
        <w:rPr>
          <w:rFonts w:ascii="Verdana" w:eastAsia="Calibri" w:hAnsi="Verdana" w:cs="Arial"/>
          <w:bCs/>
          <w:lang w:val="es-ES" w:eastAsia="es-ES_tradnl"/>
        </w:rPr>
        <w:t xml:space="preserve">Es importante tener en cuenta que cuando la norma se refiere a la contratación del </w:t>
      </w:r>
      <w:r w:rsidRPr="0061306E">
        <w:rPr>
          <w:rFonts w:ascii="Verdana" w:eastAsia="Calibri" w:hAnsi="Verdana" w:cs="Arial"/>
          <w:bCs/>
          <w:i/>
          <w:iCs/>
          <w:lang w:val="es-ES" w:eastAsia="es-ES_tradnl"/>
        </w:rPr>
        <w:t>giro ordinario</w:t>
      </w:r>
      <w:r w:rsidRPr="0061306E">
        <w:rPr>
          <w:rFonts w:ascii="Verdana" w:eastAsia="Calibri" w:hAnsi="Verdana" w:cs="Arial"/>
          <w:bCs/>
          <w:lang w:val="es-ES" w:eastAsia="es-ES_tradnl"/>
        </w:rPr>
        <w:t>, emplea un concepto jurídico indeterminado</w:t>
      </w:r>
      <w:r w:rsidRPr="0061306E">
        <w:rPr>
          <w:rFonts w:ascii="Verdana" w:eastAsia="Calibri" w:hAnsi="Verdana" w:cs="Arial"/>
          <w:vertAlign w:val="superscript"/>
          <w:lang w:val="es-ES" w:eastAsia="es-ES_tradnl"/>
        </w:rPr>
        <w:footnoteReference w:id="24"/>
      </w:r>
      <w:r w:rsidRPr="0061306E">
        <w:rPr>
          <w:rFonts w:ascii="Verdana" w:eastAsia="Calibri" w:hAnsi="Verdana" w:cs="Arial"/>
          <w:bCs/>
          <w:lang w:val="es-ES" w:eastAsia="es-ES_tradnl"/>
        </w:rPr>
        <w:t xml:space="preserve">. </w:t>
      </w:r>
      <w:r w:rsidRPr="0061306E">
        <w:rPr>
          <w:rFonts w:ascii="Verdana" w:eastAsia="Arial" w:hAnsi="Verdana" w:cs="Arial"/>
          <w:lang w:val="es-ES" w:eastAsia="es-ES_tradnl"/>
        </w:rPr>
        <w:t xml:space="preserve">Un concepto adquiere esta denominación en el Derecho cuando se trata de un enunciado que goza de vaguedad y que debe materializarse en cada caso, atendiendo a las técnicas de la interpretación jurídica. De igual forma, se trata </w:t>
      </w:r>
      <w:r w:rsidRPr="0061306E">
        <w:rPr>
          <w:rFonts w:ascii="Verdana" w:eastAsia="Arial" w:hAnsi="Verdana" w:cs="Arial"/>
          <w:lang w:val="es-ES" w:eastAsia="es-ES_tradnl"/>
        </w:rPr>
        <w:lastRenderedPageBreak/>
        <w:t xml:space="preserve">de un concepto para cuya concreción las Entidades Estatales gozan de cierto margen de apreciación en su aplicación, pero deben respetar los límites previstos en las normas de orden público. Por ejemplo, no podrán considerar que cualquier contrato que celebren hace parte del </w:t>
      </w:r>
      <w:r w:rsidRPr="0061306E">
        <w:rPr>
          <w:rFonts w:ascii="Verdana" w:eastAsia="Arial" w:hAnsi="Verdana" w:cs="Arial"/>
          <w:i/>
          <w:iCs/>
          <w:lang w:val="es-ES" w:eastAsia="es-ES_tradnl"/>
        </w:rPr>
        <w:t>giro ordinario</w:t>
      </w:r>
      <w:r w:rsidRPr="0061306E">
        <w:rPr>
          <w:rFonts w:ascii="Verdana" w:eastAsia="Arial" w:hAnsi="Verdana" w:cs="Arial"/>
          <w:lang w:val="es-ES" w:eastAsia="es-ES_tradnl"/>
        </w:rPr>
        <w:t xml:space="preserve"> de sus negocios. </w:t>
      </w:r>
    </w:p>
    <w:p w14:paraId="7D3CAC4B" w14:textId="77777777" w:rsidR="00D10AD0" w:rsidRPr="0061306E" w:rsidRDefault="00D10AD0" w:rsidP="00D10AD0">
      <w:pPr>
        <w:tabs>
          <w:tab w:val="left" w:pos="0"/>
        </w:tabs>
        <w:spacing w:after="120" w:line="276" w:lineRule="auto"/>
        <w:ind w:firstLine="709"/>
        <w:jc w:val="both"/>
        <w:rPr>
          <w:rFonts w:ascii="Verdana" w:eastAsia="Calibri" w:hAnsi="Verdana" w:cs="Arial"/>
          <w:bCs/>
          <w:lang w:val="es-ES" w:eastAsia="es-ES_tradnl"/>
        </w:rPr>
      </w:pPr>
      <w:r w:rsidRPr="0061306E">
        <w:rPr>
          <w:rFonts w:ascii="Verdana" w:eastAsia="Arial" w:hAnsi="Verdana" w:cs="Arial"/>
          <w:lang w:val="es-ES" w:eastAsia="es-ES_tradnl"/>
        </w:rPr>
        <w:t>La Corte Constitucional</w:t>
      </w:r>
      <w:r w:rsidRPr="0061306E">
        <w:rPr>
          <w:rFonts w:ascii="Verdana" w:eastAsia="Arial" w:hAnsi="Verdana" w:cs="Arial"/>
          <w:vertAlign w:val="superscript"/>
          <w:lang w:val="es-ES" w:eastAsia="es-ES_tradnl"/>
        </w:rPr>
        <w:footnoteReference w:id="25"/>
      </w:r>
      <w:r w:rsidRPr="0061306E">
        <w:rPr>
          <w:rFonts w:ascii="Verdana" w:eastAsia="Arial" w:hAnsi="Verdana" w:cs="Arial"/>
          <w:lang w:val="es-ES" w:eastAsia="es-ES_tradnl"/>
        </w:rPr>
        <w:t xml:space="preserve"> también ha reconocido que el Congreso de la República, dentro de su libertad de configuración legislativa, puede emplear este tipo de conceptos, que se caracterizan por tener un cierto halo de incertidumbre en su interpretación, quedando referida su determinación concreta a la actividad de los operadores jurídicos.</w:t>
      </w:r>
      <w:r w:rsidRPr="0061306E">
        <w:rPr>
          <w:rFonts w:ascii="Verdana" w:eastAsia="Calibri" w:hAnsi="Verdana" w:cs="Arial"/>
          <w:bCs/>
          <w:lang w:val="es-ES" w:eastAsia="es-ES_tradnl"/>
        </w:rPr>
        <w:t xml:space="preserve"> Aunque, como se indicó, la expresión giro ordinario de los negocios es un concepto jurídico indeterminado, el Consejo de Estado ha tenido la oportunidad de pronunciarse en distintas ocasiones sobre su alcance, estableciendo algunos criterios de interpretación. En su momento, en relación con el alcance de la expresión </w:t>
      </w:r>
      <w:r w:rsidRPr="0061306E">
        <w:rPr>
          <w:rFonts w:ascii="Verdana" w:eastAsia="Calibri" w:hAnsi="Verdana" w:cs="Arial"/>
          <w:bCs/>
          <w:i/>
          <w:iCs/>
          <w:lang w:val="es-ES" w:eastAsia="es-ES_tradnl"/>
        </w:rPr>
        <w:t xml:space="preserve">giro ordinario </w:t>
      </w:r>
      <w:r w:rsidRPr="0061306E">
        <w:rPr>
          <w:rFonts w:ascii="Verdana" w:eastAsia="Calibri" w:hAnsi="Verdana" w:cs="Arial"/>
          <w:bCs/>
          <w:lang w:val="es-ES" w:eastAsia="es-ES_tradnl"/>
        </w:rPr>
        <w:t>incluida en la redacción original del parágrafo 1° del artículo 32 de la Ley 80 de 1993</w:t>
      </w:r>
      <w:r w:rsidRPr="0061306E">
        <w:rPr>
          <w:rFonts w:ascii="Verdana" w:eastAsia="Calibri" w:hAnsi="Verdana" w:cs="Arial"/>
          <w:vertAlign w:val="superscript"/>
          <w:lang w:val="es-ES" w:eastAsia="es-ES_tradnl"/>
        </w:rPr>
        <w:footnoteReference w:id="26"/>
      </w:r>
      <w:r w:rsidRPr="0061306E">
        <w:rPr>
          <w:rFonts w:ascii="Verdana" w:eastAsia="Calibri" w:hAnsi="Verdana" w:cs="Arial"/>
          <w:bCs/>
          <w:lang w:val="es-ES" w:eastAsia="es-ES_tradnl"/>
        </w:rPr>
        <w:t xml:space="preserve">, la Sección Tercera manifestó lo siguiente: </w:t>
      </w:r>
    </w:p>
    <w:p w14:paraId="1BAAB52E" w14:textId="77777777" w:rsidR="00D10AD0" w:rsidRPr="0061306E" w:rsidRDefault="00D10AD0" w:rsidP="00D10AD0">
      <w:pPr>
        <w:tabs>
          <w:tab w:val="left" w:pos="0"/>
        </w:tabs>
        <w:spacing w:after="0" w:line="276" w:lineRule="auto"/>
        <w:jc w:val="both"/>
        <w:rPr>
          <w:rFonts w:ascii="Verdana" w:eastAsia="Calibri" w:hAnsi="Verdana" w:cs="Arial"/>
          <w:bCs/>
          <w:lang w:val="es-ES" w:eastAsia="es-ES_tradnl"/>
        </w:rPr>
      </w:pPr>
    </w:p>
    <w:p w14:paraId="7EF569F8" w14:textId="77777777" w:rsidR="00D10AD0" w:rsidRPr="0061306E" w:rsidRDefault="00D10AD0" w:rsidP="00D10AD0">
      <w:pPr>
        <w:spacing w:after="0" w:line="240" w:lineRule="auto"/>
        <w:ind w:left="709" w:right="709"/>
        <w:jc w:val="both"/>
        <w:rPr>
          <w:rFonts w:ascii="Verdana" w:eastAsia="Times New Roman" w:hAnsi="Verdana" w:cs="Arial"/>
          <w:sz w:val="20"/>
          <w:szCs w:val="20"/>
          <w:lang w:val="es-ES" w:eastAsia="es-CO"/>
        </w:rPr>
      </w:pPr>
      <w:r w:rsidRPr="0061306E">
        <w:rPr>
          <w:rFonts w:ascii="Verdana" w:eastAsia="Times New Roman" w:hAnsi="Verdana" w:cs="Arial"/>
          <w:sz w:val="20"/>
          <w:szCs w:val="20"/>
          <w:lang w:val="es-ES" w:eastAsia="es-ES_tradnl"/>
        </w:rPr>
        <w:t>“[E]l giro ordinario de las actividades de una sociedad comercial no sólo comprende aquello que define en forma concreta su objeto social, sino todos los actos directamente relacionados con el mismo, lo que denota que entre éstos y aquéllas debe existir una relación de necesidad que los hace parte en el objeto de la sociedad. Siendo así las cosas, resulta que el concepto “giro ordinario de las actividades” […], hace relación tanto a las actividades o negocios realizados en cumplimiento del objeto social o de las funciones principales, expresamente definidas por la Ley, como también a todo aquello que es conexo con ellas y que se realiza para desarrollar la función principal, estableciéndose entre estos una relación de medio a fin, estrecha y complementaria”</w:t>
      </w:r>
      <w:r w:rsidRPr="0061306E">
        <w:rPr>
          <w:rFonts w:ascii="Verdana" w:eastAsia="Times New Roman" w:hAnsi="Verdana" w:cs="Arial"/>
          <w:sz w:val="20"/>
          <w:szCs w:val="20"/>
          <w:vertAlign w:val="superscript"/>
          <w:lang w:val="es-ES" w:eastAsia="es-ES_tradnl"/>
        </w:rPr>
        <w:footnoteReference w:id="27"/>
      </w:r>
      <w:r w:rsidRPr="0061306E">
        <w:rPr>
          <w:rFonts w:ascii="Verdana" w:eastAsia="Times New Roman" w:hAnsi="Verdana" w:cs="Arial"/>
          <w:sz w:val="20"/>
          <w:szCs w:val="20"/>
          <w:lang w:val="es-ES" w:eastAsia="es-ES_tradnl"/>
        </w:rPr>
        <w:t>.</w:t>
      </w:r>
    </w:p>
    <w:p w14:paraId="27EF3B24" w14:textId="77777777" w:rsidR="00D10AD0" w:rsidRPr="0061306E" w:rsidRDefault="00D10AD0" w:rsidP="00D10AD0">
      <w:pPr>
        <w:tabs>
          <w:tab w:val="left" w:pos="0"/>
        </w:tabs>
        <w:spacing w:after="0" w:line="276" w:lineRule="auto"/>
        <w:jc w:val="both"/>
        <w:rPr>
          <w:rFonts w:ascii="Verdana" w:eastAsia="Calibri" w:hAnsi="Verdana" w:cs="Arial"/>
          <w:bCs/>
          <w:i/>
          <w:iCs/>
          <w:lang w:val="es-ES" w:eastAsia="es-ES_tradnl"/>
        </w:rPr>
      </w:pPr>
    </w:p>
    <w:p w14:paraId="1FBCAB39" w14:textId="77777777" w:rsidR="00D10AD0" w:rsidRPr="0061306E" w:rsidRDefault="00D10AD0" w:rsidP="00D10AD0">
      <w:pPr>
        <w:tabs>
          <w:tab w:val="left" w:pos="0"/>
        </w:tabs>
        <w:spacing w:after="120" w:line="276" w:lineRule="auto"/>
        <w:jc w:val="both"/>
        <w:rPr>
          <w:rFonts w:ascii="Verdana" w:eastAsia="Calibri" w:hAnsi="Verdana" w:cs="Arial"/>
          <w:bCs/>
          <w:lang w:val="es-ES" w:eastAsia="es-ES_tradnl"/>
        </w:rPr>
      </w:pPr>
      <w:r w:rsidRPr="0061306E">
        <w:rPr>
          <w:rFonts w:ascii="Verdana" w:eastAsia="Calibri" w:hAnsi="Verdana" w:cs="Arial"/>
          <w:bCs/>
          <w:lang w:val="es-ES" w:eastAsia="es-ES_tradnl"/>
        </w:rPr>
        <w:tab/>
        <w:t xml:space="preserve">En el mismo sentido se pronunció recientemente el Alto Tribunal de lo Contencioso Administrativo, reiterando las anteriores consideraciones, al </w:t>
      </w:r>
      <w:r w:rsidRPr="0061306E">
        <w:rPr>
          <w:rFonts w:ascii="Verdana" w:eastAsia="Calibri" w:hAnsi="Verdana" w:cs="Arial"/>
          <w:bCs/>
          <w:lang w:val="es-ES" w:eastAsia="es-ES_tradnl"/>
        </w:rPr>
        <w:lastRenderedPageBreak/>
        <w:t xml:space="preserve">expresar que el concepto de </w:t>
      </w:r>
      <w:r w:rsidRPr="0061306E">
        <w:rPr>
          <w:rFonts w:ascii="Verdana" w:eastAsia="Calibri" w:hAnsi="Verdana" w:cs="Arial"/>
          <w:i/>
          <w:lang w:val="es-ES" w:eastAsia="es-ES_tradnl"/>
        </w:rPr>
        <w:t xml:space="preserve">“giro ordinario de los negocios” </w:t>
      </w:r>
      <w:r w:rsidRPr="0061306E">
        <w:rPr>
          <w:rFonts w:ascii="Verdana" w:eastAsia="Calibri" w:hAnsi="Verdana" w:cs="Arial"/>
          <w:bCs/>
          <w:lang w:val="es-ES" w:eastAsia="es-ES_tradnl"/>
        </w:rPr>
        <w:t>se refiere a aquellas actividades compatibles con el objeto social, funciones previstas en la ley, o en las normas de creación y en sus estatutos internos de las personas</w:t>
      </w:r>
      <w:r w:rsidRPr="0061306E">
        <w:rPr>
          <w:rFonts w:ascii="Verdana" w:eastAsia="Calibri" w:hAnsi="Verdana" w:cs="Arial"/>
          <w:vertAlign w:val="superscript"/>
          <w:lang w:val="es-ES" w:eastAsia="es-ES_tradnl"/>
        </w:rPr>
        <w:footnoteReference w:id="28"/>
      </w:r>
      <w:r w:rsidRPr="0061306E">
        <w:rPr>
          <w:rFonts w:ascii="Verdana" w:eastAsia="Calibri" w:hAnsi="Verdana" w:cs="Arial"/>
          <w:bCs/>
          <w:lang w:val="es-ES" w:eastAsia="es-ES_tradnl"/>
        </w:rPr>
        <w:t xml:space="preserve"> y la doctrina societaria</w:t>
      </w:r>
      <w:r w:rsidRPr="0061306E">
        <w:rPr>
          <w:rFonts w:ascii="Verdana" w:eastAsia="Calibri" w:hAnsi="Verdana" w:cs="Arial"/>
          <w:bCs/>
          <w:vertAlign w:val="superscript"/>
          <w:lang w:val="es-ES" w:eastAsia="es-ES_tradnl"/>
        </w:rPr>
        <w:footnoteReference w:id="29"/>
      </w:r>
      <w:r w:rsidRPr="0061306E">
        <w:rPr>
          <w:rFonts w:ascii="Verdana" w:eastAsia="Calibri" w:hAnsi="Verdana" w:cs="Arial"/>
          <w:bCs/>
          <w:lang w:val="es-ES" w:eastAsia="es-ES_tradnl"/>
        </w:rPr>
        <w:t xml:space="preserve">. </w:t>
      </w:r>
    </w:p>
    <w:p w14:paraId="240166B3" w14:textId="77777777" w:rsidR="00D10AD0" w:rsidRPr="0061306E" w:rsidRDefault="00D10AD0" w:rsidP="00D10AD0">
      <w:pPr>
        <w:spacing w:after="120" w:line="276" w:lineRule="auto"/>
        <w:jc w:val="both"/>
        <w:rPr>
          <w:rFonts w:ascii="Verdana" w:eastAsia="Calibri" w:hAnsi="Verdana" w:cs="Arial"/>
          <w:lang w:val="es-ES" w:eastAsia="es-ES"/>
        </w:rPr>
      </w:pPr>
      <w:r w:rsidRPr="0061306E">
        <w:rPr>
          <w:rFonts w:ascii="Verdana" w:eastAsia="Calibri" w:hAnsi="Verdana" w:cs="Arial"/>
          <w:bCs/>
          <w:lang w:val="es-ES" w:eastAsia="es-ES_tradnl"/>
        </w:rPr>
        <w:tab/>
      </w:r>
      <w:r w:rsidRPr="0061306E">
        <w:rPr>
          <w:rFonts w:ascii="Verdana" w:eastAsia="Calibri" w:hAnsi="Verdana" w:cs="Arial"/>
          <w:lang w:val="es-ES" w:eastAsia="es-ES"/>
        </w:rPr>
        <w:t xml:space="preserve">Conforme con lo expresado, el </w:t>
      </w:r>
      <w:r w:rsidRPr="0061306E">
        <w:rPr>
          <w:rFonts w:ascii="Verdana" w:eastAsia="Calibri" w:hAnsi="Verdana" w:cs="Arial"/>
          <w:i/>
          <w:lang w:val="es-ES" w:eastAsia="es-ES"/>
        </w:rPr>
        <w:t xml:space="preserve">giro ordinario </w:t>
      </w:r>
      <w:r w:rsidRPr="0061306E">
        <w:rPr>
          <w:rFonts w:ascii="Verdana" w:eastAsia="Calibri" w:hAnsi="Verdana" w:cs="Arial"/>
          <w:lang w:val="es-ES" w:eastAsia="es-ES"/>
        </w:rPr>
        <w:t>involucra los asuntos que integran el desarrollo del objeto social de una sociedad comercial, una empresa o Entidad Pública, lo cual comprende tanto unas actividades directamente relacionadas con dicho objeto social, así como otros actos conexos al mismo. Esta interpretación, en principio, es coherente con la regulación de la capacidad de las sociedades comerciales establecida en el Código de Comercio, cuyo artículo 99 dispone que “[</w:t>
      </w:r>
      <w:r w:rsidRPr="0061306E">
        <w:rPr>
          <w:rFonts w:ascii="Verdana" w:eastAsia="Times New Roman" w:hAnsi="Verdana" w:cs="Arial"/>
          <w:lang w:val="es-ES" w:eastAsia="es-ES"/>
        </w:rPr>
        <w:t>S]e</w:t>
      </w:r>
      <w:r w:rsidRPr="0061306E">
        <w:rPr>
          <w:rFonts w:ascii="Verdana" w:eastAsia="Calibri" w:hAnsi="Verdana" w:cs="Arial"/>
          <w:lang w:val="es-ES" w:eastAsia="es-ES"/>
        </w:rPr>
        <w:t xml:space="preserve"> entenderán incluidos en el objeto social los actos directamente relacionados con el mismo y los que tengan como finalidad ejercer los derechos o cumplir las obligaciones, legal o convencionalmente derivados de la existencia y actividad de la sociedad.”</w:t>
      </w:r>
      <w:r w:rsidRPr="0061306E">
        <w:rPr>
          <w:rFonts w:ascii="Verdana" w:eastAsia="Calibri" w:hAnsi="Verdana" w:cs="Arial"/>
          <w:vertAlign w:val="superscript"/>
          <w:lang w:val="es-ES" w:eastAsia="es-ES"/>
        </w:rPr>
        <w:footnoteReference w:id="30"/>
      </w:r>
    </w:p>
    <w:p w14:paraId="64CDB552" w14:textId="77777777" w:rsidR="00D10AD0" w:rsidRPr="0061306E" w:rsidRDefault="00D10AD0" w:rsidP="00D10AD0">
      <w:pPr>
        <w:spacing w:after="120" w:line="276" w:lineRule="auto"/>
        <w:jc w:val="both"/>
        <w:rPr>
          <w:rFonts w:ascii="Verdana" w:eastAsia="Calibri" w:hAnsi="Verdana" w:cs="Arial"/>
          <w:lang w:val="es-ES" w:eastAsia="es-ES"/>
        </w:rPr>
      </w:pPr>
      <w:r w:rsidRPr="0061306E">
        <w:rPr>
          <w:rFonts w:ascii="Verdana" w:eastAsia="Calibri" w:hAnsi="Verdana" w:cs="Arial"/>
          <w:bCs/>
          <w:lang w:val="es-ES" w:eastAsia="es-ES_tradnl"/>
        </w:rPr>
        <w:tab/>
      </w:r>
      <w:r w:rsidRPr="0061306E">
        <w:rPr>
          <w:rFonts w:ascii="Verdana" w:eastAsia="Calibri" w:hAnsi="Verdana" w:cs="Arial"/>
          <w:lang w:val="es-ES" w:eastAsia="es-ES"/>
        </w:rPr>
        <w:t xml:space="preserve">En relación con la aplicación de lo dispuesto en el parágrafo del artículo 56 de la Ley 2195 de 2022, conviene aclarar que, a juicio de esta Agencia, la expresión </w:t>
      </w:r>
      <w:r w:rsidRPr="0061306E">
        <w:rPr>
          <w:rFonts w:ascii="Verdana" w:eastAsia="Calibri" w:hAnsi="Verdana" w:cs="Arial"/>
          <w:i/>
          <w:lang w:val="es-ES" w:eastAsia="es-ES"/>
        </w:rPr>
        <w:t xml:space="preserve">giro ordinario </w:t>
      </w:r>
      <w:r w:rsidRPr="0061306E">
        <w:rPr>
          <w:rFonts w:ascii="Verdana" w:eastAsia="Calibri" w:hAnsi="Verdana" w:cs="Arial"/>
          <w:lang w:val="es-ES" w:eastAsia="es-ES"/>
        </w:rPr>
        <w:t xml:space="preserve">se usa para designar a la contratación directamente relacionada con los asuntos de la gestión habitual u ordinaria de los tipos de entidades mencionadas en el parágrafo. No obstante, la determinación de las </w:t>
      </w:r>
      <w:r w:rsidRPr="0061306E">
        <w:rPr>
          <w:rFonts w:ascii="Verdana" w:eastAsia="Calibri" w:hAnsi="Verdana" w:cs="Arial"/>
          <w:lang w:val="es-ES" w:eastAsia="es-ES"/>
        </w:rPr>
        <w:lastRenderedPageBreak/>
        <w:t xml:space="preserve">actividades que comprenden el </w:t>
      </w:r>
      <w:r w:rsidRPr="0061306E">
        <w:rPr>
          <w:rFonts w:ascii="Verdana" w:eastAsia="Calibri" w:hAnsi="Verdana" w:cs="Arial"/>
          <w:i/>
          <w:lang w:val="es-ES" w:eastAsia="es-ES"/>
        </w:rPr>
        <w:t>giro ordinario</w:t>
      </w:r>
      <w:r w:rsidRPr="0061306E">
        <w:rPr>
          <w:rFonts w:ascii="Verdana" w:eastAsia="Calibri" w:hAnsi="Verdana" w:cs="Arial"/>
          <w:lang w:val="es-ES" w:eastAsia="es-ES"/>
        </w:rPr>
        <w:t xml:space="preserve"> es un asunto que debe establecerse en cada caso concreto por parte de las Entidades Estatales –analizando lo establecido en sus actos de creación y verificando los negocios habituales u ordinarios que desarrollan–, pues el parágrafo del artículo 56 </w:t>
      </w:r>
      <w:proofErr w:type="spellStart"/>
      <w:r w:rsidRPr="0061306E">
        <w:rPr>
          <w:rFonts w:ascii="Verdana" w:eastAsia="Calibri" w:hAnsi="Verdana" w:cs="Arial"/>
          <w:i/>
          <w:lang w:val="es-ES" w:eastAsia="es-ES"/>
        </w:rPr>
        <w:t>ejusdem</w:t>
      </w:r>
      <w:proofErr w:type="spellEnd"/>
      <w:r w:rsidRPr="0061306E">
        <w:rPr>
          <w:rFonts w:ascii="Verdana" w:eastAsia="Calibri" w:hAnsi="Verdana" w:cs="Arial"/>
          <w:lang w:val="es-ES" w:eastAsia="es-ES"/>
        </w:rPr>
        <w:t xml:space="preserve"> se limita a enunciar algunos tipos de Entidades Estatales, las cuales no solo difieren en su naturaleza jurídica, sino también en las actividades que realizan. </w:t>
      </w:r>
    </w:p>
    <w:p w14:paraId="42B1F1E4" w14:textId="77777777" w:rsidR="00D10AD0" w:rsidRPr="0061306E" w:rsidRDefault="00D10AD0" w:rsidP="00D10AD0">
      <w:pPr>
        <w:tabs>
          <w:tab w:val="left" w:pos="0"/>
        </w:tabs>
        <w:spacing w:before="120" w:line="276" w:lineRule="auto"/>
        <w:ind w:firstLine="709"/>
        <w:jc w:val="both"/>
        <w:rPr>
          <w:rFonts w:ascii="Verdana" w:eastAsia="Calibri" w:hAnsi="Verdana" w:cs="Arial"/>
          <w:bCs/>
          <w:lang w:val="es-ES"/>
        </w:rPr>
      </w:pPr>
      <w:r w:rsidRPr="0061306E">
        <w:rPr>
          <w:rFonts w:ascii="Verdana" w:eastAsia="Calibri" w:hAnsi="Verdana" w:cs="Arial"/>
          <w:lang w:val="es-ES" w:eastAsia="es-ES"/>
        </w:rPr>
        <w:t xml:space="preserve">Esto impide que la Agencia Nacional de Contratación Pública – Colombia Compra Eficiente, en sede consultiva, pueda determinar, con un criterio universal y absoluto, qué actividades específicas hacen parte del giro ordinario de los negocios de dichas entidades y cuáles escapan de este, pues, como se indicó, al explicar la naturaleza de los conceptos jurídicos indeterminados, la concreción del alcance de la expresión </w:t>
      </w:r>
      <w:r w:rsidRPr="0061306E">
        <w:rPr>
          <w:rFonts w:ascii="Verdana" w:eastAsia="Calibri" w:hAnsi="Verdana" w:cs="Arial"/>
          <w:i/>
          <w:lang w:val="es-ES" w:eastAsia="es-ES"/>
        </w:rPr>
        <w:t>giro ordinario</w:t>
      </w:r>
      <w:r w:rsidRPr="0061306E">
        <w:rPr>
          <w:rFonts w:ascii="Verdana" w:eastAsia="Calibri" w:hAnsi="Verdana" w:cs="Arial"/>
          <w:lang w:val="es-ES" w:eastAsia="es-ES"/>
        </w:rPr>
        <w:t xml:space="preserve"> debe hacerse en el caso concreto, empleando un criterio de interpretación restrictiva. Ello en la medida en que el parágrafo del artículo 56 consagra una excepción a una regla general. </w:t>
      </w:r>
      <w:r w:rsidRPr="0061306E">
        <w:rPr>
          <w:rFonts w:ascii="Verdana" w:eastAsia="Calibri" w:hAnsi="Verdana" w:cs="Arial"/>
          <w:bCs/>
          <w:lang w:val="es-ES"/>
        </w:rPr>
        <w:t>Además, cada una de las entidades estatales señaladas en dicho parágrafo se encuentra circunscrita, hermenéuticamente –para acotar aquel concepto–, a lo que establezcan sus normas estatutarias –actos de creación y demás reglamentos–, así como a la realidad de los negocios que hacen parte de su dinámica habitual.</w:t>
      </w:r>
    </w:p>
    <w:p w14:paraId="3F998F45" w14:textId="77777777" w:rsidR="00D10AD0" w:rsidRPr="0061306E" w:rsidRDefault="00D10AD0" w:rsidP="00D10AD0">
      <w:pPr>
        <w:spacing w:before="120" w:line="276" w:lineRule="auto"/>
        <w:jc w:val="both"/>
        <w:rPr>
          <w:rFonts w:ascii="Verdana" w:eastAsia="Calibri" w:hAnsi="Verdana" w:cs="Arial"/>
          <w:lang w:val="es-ES" w:eastAsia="es-ES"/>
        </w:rPr>
      </w:pPr>
      <w:r w:rsidRPr="0061306E">
        <w:rPr>
          <w:rFonts w:ascii="Verdana" w:eastAsia="Calibri" w:hAnsi="Verdana" w:cs="Arial"/>
          <w:bCs/>
          <w:lang w:val="es-ES" w:eastAsia="es-ES_tradnl"/>
        </w:rPr>
        <w:tab/>
      </w:r>
      <w:r w:rsidRPr="0061306E">
        <w:rPr>
          <w:rFonts w:ascii="Verdana" w:eastAsia="Calibri" w:hAnsi="Verdana" w:cs="Arial"/>
          <w:color w:val="000000"/>
          <w:lang w:val="es-ES"/>
        </w:rPr>
        <w:t xml:space="preserve"> </w:t>
      </w:r>
      <w:r w:rsidRPr="0061306E">
        <w:rPr>
          <w:rFonts w:ascii="Verdana" w:eastAsia="Calibri" w:hAnsi="Verdana" w:cs="Arial"/>
          <w:lang w:val="es-ES" w:eastAsia="es-ES"/>
        </w:rPr>
        <w:t xml:space="preserve">En tales términos, lo dispuesto en el parágrafo del artículo 56 implica que las instituciones de educación superior públicas, las empresas sociales del Estado, las sociedades de economía mixta y las empresas industriales y comerciales del Estado, no tendrán que implementar documentos tipo únicamente para la contratación relacionada con el </w:t>
      </w:r>
      <w:r w:rsidRPr="0061306E">
        <w:rPr>
          <w:rFonts w:ascii="Verdana" w:eastAsia="Calibri" w:hAnsi="Verdana" w:cs="Arial"/>
          <w:i/>
          <w:iCs/>
          <w:lang w:val="es-ES" w:eastAsia="es-ES"/>
        </w:rPr>
        <w:t xml:space="preserve">giro ordinario </w:t>
      </w:r>
      <w:r w:rsidRPr="0061306E">
        <w:rPr>
          <w:rFonts w:ascii="Verdana" w:eastAsia="Calibri" w:hAnsi="Verdana" w:cs="Arial"/>
          <w:lang w:val="es-ES" w:eastAsia="es-ES"/>
        </w:rPr>
        <w:t xml:space="preserve">de sus asuntos, salvo que los manuales internos de contratación de estas entidades dispongan la obligación de tener en cuenta los documentos tipo como una buena práctica contractual. De acuerdo con este entendimiento, estas entidades, en virtud de su enunciación en este parágrafo, quedan, en principio, exceptuadas de los documentos tipo, incluso para la contratación de obras o servicios cubiertos por documentos tipo, en el marco del cumplimiento de contratos o convenios con entidades sometidas al EGCAP y de los negocios jurídicos que se deriven de ellos, exclusivamente en lo que se refiere a </w:t>
      </w:r>
      <w:r w:rsidRPr="0061306E">
        <w:rPr>
          <w:rFonts w:ascii="Verdana" w:eastAsia="Calibri" w:hAnsi="Verdana" w:cs="Arial"/>
          <w:i/>
          <w:iCs/>
          <w:lang w:val="es-ES" w:eastAsia="es-ES"/>
        </w:rPr>
        <w:t>su giro ordinario</w:t>
      </w:r>
      <w:r w:rsidRPr="0061306E">
        <w:rPr>
          <w:rFonts w:ascii="Verdana" w:eastAsia="Calibri" w:hAnsi="Verdana" w:cs="Arial"/>
          <w:lang w:val="es-ES" w:eastAsia="es-ES"/>
        </w:rPr>
        <w:t xml:space="preserve">, entendido este conforme a los criterios jurisprudenciales y doctrinarios aquí explicados. En otras palabras, ninguna entidad cuya naturaleza jurídica coincida con las mencionadas en el </w:t>
      </w:r>
      <w:r w:rsidRPr="0061306E">
        <w:rPr>
          <w:rFonts w:ascii="Verdana" w:eastAsia="Calibri" w:hAnsi="Verdana" w:cs="Arial"/>
          <w:lang w:val="es-ES" w:eastAsia="es-ES"/>
        </w:rPr>
        <w:lastRenderedPageBreak/>
        <w:t xml:space="preserve">parágrafo del artículo 56, tendrá que someterse de manera obligatoria a los documentos tipo o el EGCAP para la contratación de obras o servicios asociadas a su </w:t>
      </w:r>
      <w:r w:rsidRPr="0061306E">
        <w:rPr>
          <w:rFonts w:ascii="Verdana" w:eastAsia="Calibri" w:hAnsi="Verdana" w:cs="Arial"/>
          <w:i/>
          <w:iCs/>
          <w:lang w:val="es-ES" w:eastAsia="es-ES"/>
        </w:rPr>
        <w:t>giro ordinario</w:t>
      </w:r>
      <w:r w:rsidRPr="0061306E">
        <w:rPr>
          <w:rFonts w:ascii="Verdana" w:eastAsia="Calibri" w:hAnsi="Verdana" w:cs="Arial"/>
          <w:lang w:val="es-ES" w:eastAsia="es-ES"/>
        </w:rPr>
        <w:t xml:space="preserve">, a menos que su manual de contratación establezca lo contrario. De hacerlo, primará el principio de inderogabilidad singular del reglamento, que obliga a aplicarlo en las actuaciones concretas.  </w:t>
      </w:r>
    </w:p>
    <w:p w14:paraId="011A22EF" w14:textId="77777777" w:rsidR="00D10AD0" w:rsidRPr="0061306E" w:rsidRDefault="00D10AD0" w:rsidP="00D10AD0">
      <w:pPr>
        <w:tabs>
          <w:tab w:val="left" w:pos="0"/>
        </w:tabs>
        <w:spacing w:after="120" w:line="276" w:lineRule="auto"/>
        <w:ind w:firstLine="709"/>
        <w:jc w:val="both"/>
        <w:rPr>
          <w:rFonts w:ascii="Verdana" w:eastAsia="Calibri" w:hAnsi="Verdana" w:cs="Arial"/>
          <w:bCs/>
          <w:lang w:val="es-ES" w:eastAsia="es-ES_tradnl"/>
        </w:rPr>
      </w:pPr>
      <w:r w:rsidRPr="0061306E">
        <w:rPr>
          <w:rFonts w:ascii="Verdana" w:eastAsia="Calibri" w:hAnsi="Verdana" w:cs="Arial"/>
          <w:bCs/>
          <w:lang w:val="es-ES" w:eastAsia="es-ES_tradnl"/>
        </w:rPr>
        <w:t>Ahora bien, debe señalarse que este parágrafo es una norma que establece una excepción, por lo que, en virtud de dicho carácter, está sujeto a una interpretación restrictiva, esto es, apegada a lo que, literalmente, se desprende del texto. La redacción de la norma evidencia cómo la excepción a la aplicación forzosa es formulada respecto de ciertos tipos de Entidades Estatales, las cuales son mencionadas por su naturaleza jurídica, sin que se incluya consideración alguna relacionada con el régimen jurídico al que se encuentren sometidas. La norma tampoco determina algún supuesto en atención al cual pueda aplicarse la excepción a algún sujeto con una naturaleza jurídica distinta de las específicamente mencionadas.</w:t>
      </w:r>
    </w:p>
    <w:p w14:paraId="62BAEEA2" w14:textId="77777777" w:rsidR="00D10AD0" w:rsidRPr="0061306E" w:rsidRDefault="00D10AD0" w:rsidP="00D10AD0">
      <w:pPr>
        <w:tabs>
          <w:tab w:val="left" w:pos="0"/>
        </w:tabs>
        <w:spacing w:after="120" w:line="276" w:lineRule="auto"/>
        <w:ind w:firstLine="709"/>
        <w:jc w:val="both"/>
        <w:rPr>
          <w:rFonts w:ascii="Verdana" w:eastAsia="Calibri" w:hAnsi="Verdana" w:cs="Arial"/>
          <w:bCs/>
          <w:lang w:val="es-ES" w:eastAsia="es-ES_tradnl"/>
        </w:rPr>
      </w:pPr>
      <w:r w:rsidRPr="0061306E">
        <w:rPr>
          <w:rFonts w:ascii="Verdana" w:eastAsia="Calibri" w:hAnsi="Verdana" w:cs="Arial"/>
          <w:bCs/>
          <w:lang w:val="es-ES" w:eastAsia="es-ES_tradnl"/>
        </w:rPr>
        <w:t xml:space="preserve">De acuerdo con este criterio interpretativo y comoquiera que la norma determina las excepciones en consideración a la naturaleza jurídica de los sujetos que menciona, sin hacer distinción alguna respecto de su régimen contractual, es posible concluir que la excepción predicable de las instituciones de educación superior públicas, las empresas sociales del Estado, las sociedades de economía mixta y las empresas industriales y comerciales del Estado no resulta extensible a entidades que no cuenten con dicha naturaleza, como es el caso de los fondos mixtos que tienen la naturaleza de ser entidades sin ánimo de lucro. </w:t>
      </w:r>
    </w:p>
    <w:p w14:paraId="3861A574" w14:textId="31A4AB8A" w:rsidR="00D10AD0" w:rsidRPr="00221521" w:rsidRDefault="00D10AD0" w:rsidP="00D10AD0">
      <w:pPr>
        <w:tabs>
          <w:tab w:val="left" w:pos="0"/>
        </w:tabs>
        <w:spacing w:after="120" w:line="276" w:lineRule="auto"/>
        <w:ind w:firstLine="709"/>
        <w:jc w:val="both"/>
        <w:rPr>
          <w:rFonts w:ascii="Verdana" w:eastAsia="Calibri" w:hAnsi="Verdana" w:cs="Arial"/>
          <w:bCs/>
          <w:lang w:val="es-ES" w:eastAsia="es-ES_tradnl"/>
        </w:rPr>
      </w:pPr>
      <w:r w:rsidRPr="0061306E">
        <w:rPr>
          <w:rFonts w:ascii="Verdana" w:eastAsia="Calibri" w:hAnsi="Verdana" w:cs="Arial"/>
          <w:bCs/>
          <w:lang w:val="es-ES"/>
        </w:rPr>
        <w:t xml:space="preserve">En todo caso, el incumplimiento o transgresión de las reglas y principios del Sistema de Compras y Contratación Pública </w:t>
      </w:r>
      <w:r w:rsidR="0052197F">
        <w:rPr>
          <w:rFonts w:ascii="Verdana" w:eastAsia="Calibri" w:hAnsi="Verdana" w:cs="Arial"/>
          <w:bCs/>
          <w:lang w:val="es-ES"/>
        </w:rPr>
        <w:t xml:space="preserve">hace necesario </w:t>
      </w:r>
      <w:r w:rsidRPr="0061306E">
        <w:rPr>
          <w:rFonts w:ascii="Verdana" w:eastAsia="Calibri" w:hAnsi="Verdana" w:cs="Times New Roman"/>
          <w:bCs/>
          <w:iCs/>
          <w:lang w:val="es-ES"/>
        </w:rPr>
        <w:t xml:space="preserve">tener en cuenta el artículo 50 de la Ley 80 de 1993, que dispone: “Las entidades responderán por las actuaciones, abstenciones, hechos y omisiones antijurídicos que les sean imputables y que causen perjuicios a sus contratistas. En tales casos deberán indemnizar la disminución patrimonial que se ocasione, la prolongación de la misma y la ganancia, beneficio o provecho dejados de percibir por el contratista”. Así mismo, en torno a la responsabilidad de los servidores públicos, el artículo 51 de la Ley 80 de 1993 dispone: “[…] El servidor público responderá disciplinaria, civil y penalmente por sus acciones y omisiones en la actuación contractual en los términos de la Constitución y de la ley”. Bajo esta perspectiva, </w:t>
      </w:r>
      <w:r w:rsidRPr="0061306E">
        <w:rPr>
          <w:rFonts w:ascii="Verdana" w:eastAsia="Calibri" w:hAnsi="Verdana" w:cs="Times New Roman"/>
          <w:bCs/>
          <w:iCs/>
          <w:lang w:val="es-ES"/>
        </w:rPr>
        <w:lastRenderedPageBreak/>
        <w:t xml:space="preserve">las entidades y servidores públicos deben responder por las actuaciones, hechos y omisiones en el ejercicio de sus funciones que se enmarcan dentro del proceso de contratación respectivo. </w:t>
      </w:r>
    </w:p>
    <w:p w14:paraId="151527F6" w14:textId="7BE3C426" w:rsidR="00D10AD0" w:rsidRPr="0061306E" w:rsidRDefault="00D10AD0" w:rsidP="00D10AD0">
      <w:pPr>
        <w:spacing w:before="120" w:after="0" w:line="276" w:lineRule="auto"/>
        <w:ind w:firstLine="708"/>
        <w:jc w:val="both"/>
        <w:rPr>
          <w:rFonts w:ascii="Verdana" w:eastAsia="Calibri" w:hAnsi="Verdana" w:cs="Arial"/>
          <w:color w:val="000000"/>
          <w:lang w:val="es-ES"/>
        </w:rPr>
      </w:pPr>
      <w:r w:rsidRPr="0061306E">
        <w:rPr>
          <w:rFonts w:ascii="Verdana" w:hAnsi="Verdana" w:cs="Arial"/>
          <w:lang w:val="es-ES" w:eastAsia="es-ES"/>
        </w:rPr>
        <w:t>Al margen de la explicación precedente debe advertirse que el análisis requerido para resolver problemas específicos en torno a la gestión contractual debe ser realizado por quienes tengan interés en ello, de acuerdo con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y, en caso de conflicto, a las autoridades judiciales, fiscales y disciplinarias</w:t>
      </w:r>
      <w:r w:rsidR="000307EE">
        <w:rPr>
          <w:rFonts w:ascii="Verdana" w:hAnsi="Verdana" w:cs="Arial"/>
          <w:lang w:val="es-ES" w:eastAsia="es-ES"/>
        </w:rPr>
        <w:t>.</w:t>
      </w:r>
    </w:p>
    <w:p w14:paraId="67AAD385" w14:textId="77777777" w:rsidR="00D10AD0" w:rsidRPr="0061306E" w:rsidRDefault="00D10AD0" w:rsidP="00D10AD0">
      <w:pPr>
        <w:spacing w:before="120" w:after="0" w:line="276" w:lineRule="auto"/>
        <w:ind w:firstLine="709"/>
        <w:jc w:val="both"/>
        <w:rPr>
          <w:rFonts w:ascii="Verdana" w:hAnsi="Verdana" w:cs="Arial"/>
          <w:lang w:val="es-ES" w:eastAsia="es-ES"/>
        </w:rPr>
      </w:pPr>
      <w:r w:rsidRPr="0061306E">
        <w:rPr>
          <w:rFonts w:ascii="Verdana" w:hAnsi="Verdana" w:cs="Arial"/>
          <w:lang w:val="es-ES"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1F817647" w14:textId="77777777" w:rsidR="00D10AD0" w:rsidRPr="0061306E" w:rsidRDefault="00D10AD0" w:rsidP="00D10AD0">
      <w:pPr>
        <w:spacing w:after="0" w:line="276" w:lineRule="auto"/>
        <w:ind w:firstLine="708"/>
        <w:jc w:val="both"/>
        <w:rPr>
          <w:rFonts w:ascii="Verdana" w:hAnsi="Verdana" w:cs="Arial"/>
          <w:lang w:val="es-ES"/>
        </w:rPr>
      </w:pPr>
    </w:p>
    <w:p w14:paraId="44A336EB" w14:textId="77777777" w:rsidR="00D10AD0" w:rsidRPr="0061306E" w:rsidRDefault="00D10AD0" w:rsidP="00D10AD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61306E">
        <w:rPr>
          <w:rFonts w:ascii="Verdana" w:eastAsia="Century Gothic" w:hAnsi="Verdana" w:cs="Century Gothic"/>
          <w:b/>
          <w:bCs/>
          <w:color w:val="000000" w:themeColor="text1"/>
        </w:rPr>
        <w:t>Referencias normativas, jurisprudenciales y otras fuentes:</w:t>
      </w:r>
    </w:p>
    <w:p w14:paraId="447EA6E5" w14:textId="77777777" w:rsidR="00D10AD0" w:rsidRPr="0061306E" w:rsidRDefault="00D10AD0" w:rsidP="00D10AD0">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10AD0" w:rsidRPr="0061306E" w14:paraId="20FD6535" w14:textId="77777777" w:rsidTr="00887F00">
        <w:trPr>
          <w:trHeight w:val="870"/>
        </w:trPr>
        <w:tc>
          <w:tcPr>
            <w:tcW w:w="864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31"/>
            </w:tblGrid>
            <w:tr w:rsidR="00D10AD0" w:rsidRPr="00221521" w14:paraId="1B691269" w14:textId="77777777" w:rsidTr="3DB8CCA8">
              <w:trPr>
                <w:tblCellSpacing w:w="15" w:type="dxa"/>
              </w:trPr>
              <w:tc>
                <w:tcPr>
                  <w:tcW w:w="8371" w:type="dxa"/>
                  <w:vAlign w:val="center"/>
                  <w:hideMark/>
                </w:tcPr>
                <w:p w14:paraId="49D56AA5"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Constitución Política de Colombia, artículos 209 y 267.</w:t>
                  </w:r>
                </w:p>
              </w:tc>
            </w:tr>
            <w:tr w:rsidR="00D10AD0" w:rsidRPr="00221521" w14:paraId="3642B1D3" w14:textId="77777777" w:rsidTr="3DB8CCA8">
              <w:trPr>
                <w:tblCellSpacing w:w="15" w:type="dxa"/>
              </w:trPr>
              <w:tc>
                <w:tcPr>
                  <w:tcW w:w="8371" w:type="dxa"/>
                  <w:vAlign w:val="center"/>
                  <w:hideMark/>
                </w:tcPr>
                <w:p w14:paraId="28F41126"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Decreto Ley 130 de 1976, artículo 6.</w:t>
                  </w:r>
                </w:p>
              </w:tc>
            </w:tr>
            <w:tr w:rsidR="00D10AD0" w:rsidRPr="00221521" w14:paraId="7B9CB35F" w14:textId="77777777" w:rsidTr="3DB8CCA8">
              <w:trPr>
                <w:tblCellSpacing w:w="15" w:type="dxa"/>
              </w:trPr>
              <w:tc>
                <w:tcPr>
                  <w:tcW w:w="8371" w:type="dxa"/>
                  <w:vAlign w:val="center"/>
                  <w:hideMark/>
                </w:tcPr>
                <w:p w14:paraId="37ACCF62"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Ley 80 de 1993, artículos 2, 32, 40, 50 y 51.</w:t>
                  </w:r>
                </w:p>
              </w:tc>
            </w:tr>
            <w:tr w:rsidR="00D10AD0" w:rsidRPr="00221521" w14:paraId="490AE1E7" w14:textId="77777777" w:rsidTr="3DB8CCA8">
              <w:trPr>
                <w:tblCellSpacing w:w="15" w:type="dxa"/>
              </w:trPr>
              <w:tc>
                <w:tcPr>
                  <w:tcW w:w="8371" w:type="dxa"/>
                  <w:vAlign w:val="center"/>
                  <w:hideMark/>
                </w:tcPr>
                <w:p w14:paraId="459A3C5F"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Ley 397 de 1997, artículo 63.</w:t>
                  </w:r>
                </w:p>
              </w:tc>
            </w:tr>
            <w:tr w:rsidR="00D10AD0" w:rsidRPr="00221521" w14:paraId="45FC3C32" w14:textId="77777777" w:rsidTr="3DB8CCA8">
              <w:trPr>
                <w:tblCellSpacing w:w="15" w:type="dxa"/>
              </w:trPr>
              <w:tc>
                <w:tcPr>
                  <w:tcW w:w="8371" w:type="dxa"/>
                  <w:vAlign w:val="center"/>
                  <w:hideMark/>
                </w:tcPr>
                <w:p w14:paraId="41892925"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Ley 489 de 1998, artículos 38, 68 y 96.</w:t>
                  </w:r>
                </w:p>
              </w:tc>
            </w:tr>
            <w:tr w:rsidR="00D10AD0" w:rsidRPr="00221521" w14:paraId="63C443F5" w14:textId="77777777" w:rsidTr="3DB8CCA8">
              <w:trPr>
                <w:tblCellSpacing w:w="15" w:type="dxa"/>
              </w:trPr>
              <w:tc>
                <w:tcPr>
                  <w:tcW w:w="8371" w:type="dxa"/>
                  <w:vAlign w:val="center"/>
                  <w:hideMark/>
                </w:tcPr>
                <w:p w14:paraId="789E1623"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Ley 1150 de 2007, artículos 2, numerales 2, 4, literal c), y 5, y parágrafo 7, 10, 13, 14 y 24.</w:t>
                  </w:r>
                </w:p>
              </w:tc>
            </w:tr>
            <w:tr w:rsidR="00D10AD0" w:rsidRPr="00221521" w14:paraId="1414A1FB" w14:textId="77777777" w:rsidTr="3DB8CCA8">
              <w:trPr>
                <w:tblCellSpacing w:w="15" w:type="dxa"/>
              </w:trPr>
              <w:tc>
                <w:tcPr>
                  <w:tcW w:w="8371" w:type="dxa"/>
                  <w:vAlign w:val="center"/>
                  <w:hideMark/>
                </w:tcPr>
                <w:p w14:paraId="7B7008F5"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Ley 1437 de 2011, artículo 3.</w:t>
                  </w:r>
                </w:p>
              </w:tc>
            </w:tr>
            <w:tr w:rsidR="00D10AD0" w:rsidRPr="00221521" w14:paraId="1547FC72" w14:textId="77777777" w:rsidTr="3DB8CCA8">
              <w:trPr>
                <w:tblCellSpacing w:w="15" w:type="dxa"/>
              </w:trPr>
              <w:tc>
                <w:tcPr>
                  <w:tcW w:w="8371" w:type="dxa"/>
                  <w:vAlign w:val="center"/>
                  <w:hideMark/>
                </w:tcPr>
                <w:p w14:paraId="7696E123"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Ley 1474 de 2011, artículos 91 y 92.</w:t>
                  </w:r>
                </w:p>
              </w:tc>
            </w:tr>
            <w:tr w:rsidR="00D10AD0" w:rsidRPr="00221521" w14:paraId="3F9D7C5D" w14:textId="77777777" w:rsidTr="3DB8CCA8">
              <w:trPr>
                <w:tblCellSpacing w:w="15" w:type="dxa"/>
              </w:trPr>
              <w:tc>
                <w:tcPr>
                  <w:tcW w:w="8371" w:type="dxa"/>
                  <w:vAlign w:val="center"/>
                  <w:hideMark/>
                </w:tcPr>
                <w:p w14:paraId="05AC574B"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221521">
                    <w:rPr>
                      <w:rFonts w:ascii="Verdana" w:eastAsia="Calibri" w:hAnsi="Verdana" w:cs="Arial"/>
                      <w:color w:val="000000" w:themeColor="text1"/>
                    </w:rPr>
                    <w:t>Ley 2022 de 2020.</w:t>
                  </w:r>
                </w:p>
              </w:tc>
            </w:tr>
            <w:tr w:rsidR="00D10AD0" w:rsidRPr="00221521" w14:paraId="26530A8B" w14:textId="77777777" w:rsidTr="3DB8CCA8">
              <w:trPr>
                <w:tblCellSpacing w:w="15" w:type="dxa"/>
              </w:trPr>
              <w:tc>
                <w:tcPr>
                  <w:tcW w:w="8371" w:type="dxa"/>
                  <w:vAlign w:val="center"/>
                  <w:hideMark/>
                </w:tcPr>
                <w:p w14:paraId="17B8C465"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lastRenderedPageBreak/>
                    <w:t>Ley 2056 de 2020, artículos 28 a 37, 83, 85, 87, 98, 99, 101, 108 y 109.</w:t>
                  </w:r>
                </w:p>
              </w:tc>
            </w:tr>
            <w:tr w:rsidR="00D10AD0" w:rsidRPr="00221521" w14:paraId="4FFE5917" w14:textId="77777777" w:rsidTr="3DB8CCA8">
              <w:trPr>
                <w:tblCellSpacing w:w="15" w:type="dxa"/>
              </w:trPr>
              <w:tc>
                <w:tcPr>
                  <w:tcW w:w="8371" w:type="dxa"/>
                  <w:vAlign w:val="center"/>
                  <w:hideMark/>
                </w:tcPr>
                <w:p w14:paraId="5AC844A5"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Ley 2195 de 2022, artículo 56.</w:t>
                  </w:r>
                </w:p>
              </w:tc>
            </w:tr>
            <w:tr w:rsidR="00D10AD0" w:rsidRPr="00221521" w14:paraId="573B1DA6" w14:textId="77777777" w:rsidTr="3DB8CCA8">
              <w:trPr>
                <w:tblCellSpacing w:w="15" w:type="dxa"/>
              </w:trPr>
              <w:tc>
                <w:tcPr>
                  <w:tcW w:w="8371" w:type="dxa"/>
                  <w:vAlign w:val="center"/>
                  <w:hideMark/>
                </w:tcPr>
                <w:p w14:paraId="6BAC9774" w14:textId="77777777" w:rsidR="00D10AD0" w:rsidRPr="00221521"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lang w:val="en-US"/>
                    </w:rPr>
                  </w:pPr>
                  <w:r w:rsidRPr="3DB8CCA8">
                    <w:rPr>
                      <w:rFonts w:ascii="Verdana" w:eastAsia="Calibri" w:hAnsi="Verdana" w:cs="Arial"/>
                      <w:color w:val="000000" w:themeColor="text1"/>
                      <w:lang w:val="en-US"/>
                    </w:rPr>
                    <w:t>Decreto 1082 de 2015, artículos 2.2.1.1.1.3.1, 2.2.1.1.2.4.1 y 2.2.1.2.1.4.4.</w:t>
                  </w:r>
                </w:p>
              </w:tc>
            </w:tr>
            <w:tr w:rsidR="00D10AD0" w:rsidRPr="00221521" w14:paraId="55F0B737" w14:textId="77777777" w:rsidTr="3DB8CCA8">
              <w:trPr>
                <w:tblHeader/>
                <w:tblCellSpacing w:w="15" w:type="dxa"/>
              </w:trPr>
              <w:tc>
                <w:tcPr>
                  <w:tcW w:w="8371" w:type="dxa"/>
                  <w:vAlign w:val="center"/>
                  <w:hideMark/>
                </w:tcPr>
                <w:p w14:paraId="11ED4159" w14:textId="77777777" w:rsidR="00D10AD0" w:rsidRPr="00221521" w:rsidRDefault="00D10AD0" w:rsidP="00887F00">
                  <w:pPr>
                    <w:widowControl w:val="0"/>
                    <w:autoSpaceDE w:val="0"/>
                    <w:autoSpaceDN w:val="0"/>
                    <w:snapToGrid w:val="0"/>
                    <w:spacing w:after="0" w:line="276" w:lineRule="auto"/>
                    <w:jc w:val="both"/>
                    <w:rPr>
                      <w:rFonts w:ascii="Verdana" w:eastAsia="Calibri" w:hAnsi="Verdana" w:cs="Arial"/>
                      <w:b/>
                      <w:color w:val="000000" w:themeColor="text1"/>
                    </w:rPr>
                  </w:pPr>
                </w:p>
              </w:tc>
            </w:tr>
            <w:tr w:rsidR="00D10AD0" w:rsidRPr="00221521" w14:paraId="509BEE75" w14:textId="77777777" w:rsidTr="3DB8CCA8">
              <w:trPr>
                <w:tblCellSpacing w:w="15" w:type="dxa"/>
              </w:trPr>
              <w:tc>
                <w:tcPr>
                  <w:tcW w:w="8371" w:type="dxa"/>
                  <w:vAlign w:val="center"/>
                  <w:hideMark/>
                </w:tcPr>
                <w:p w14:paraId="0EB1A88D"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Corte Constitucional, Sentencia C-230 de 1995, M.P. Antonio Barrera Carbonell.</w:t>
                  </w:r>
                </w:p>
              </w:tc>
            </w:tr>
            <w:tr w:rsidR="00D10AD0" w:rsidRPr="00221521" w14:paraId="71E20480" w14:textId="77777777" w:rsidTr="3DB8CCA8">
              <w:trPr>
                <w:tblCellSpacing w:w="15" w:type="dxa"/>
              </w:trPr>
              <w:tc>
                <w:tcPr>
                  <w:tcW w:w="8371" w:type="dxa"/>
                  <w:vAlign w:val="center"/>
                  <w:hideMark/>
                </w:tcPr>
                <w:p w14:paraId="0917D20D"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Corte Constitucional, Sentencia C-382 de 2019, M.P. Alejandro Linares Cantillo.</w:t>
                  </w:r>
                </w:p>
              </w:tc>
            </w:tr>
            <w:tr w:rsidR="00D10AD0" w:rsidRPr="00221521" w14:paraId="0026E45E" w14:textId="77777777" w:rsidTr="3DB8CCA8">
              <w:trPr>
                <w:tblCellSpacing w:w="15" w:type="dxa"/>
              </w:trPr>
              <w:tc>
                <w:tcPr>
                  <w:tcW w:w="8371" w:type="dxa"/>
                  <w:vAlign w:val="center"/>
                  <w:hideMark/>
                </w:tcPr>
                <w:p w14:paraId="06D3A328"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lastRenderedPageBreak/>
                    <w:t>Consejo de Estado, Sala de Consulta y Servicio Civil, Concepto 1291 de 2000.</w:t>
                  </w:r>
                </w:p>
              </w:tc>
            </w:tr>
            <w:tr w:rsidR="00D10AD0" w:rsidRPr="00221521" w14:paraId="5BD85439" w14:textId="77777777" w:rsidTr="3DB8CCA8">
              <w:trPr>
                <w:tblCellSpacing w:w="15" w:type="dxa"/>
              </w:trPr>
              <w:tc>
                <w:tcPr>
                  <w:tcW w:w="8371" w:type="dxa"/>
                  <w:vAlign w:val="center"/>
                  <w:hideMark/>
                </w:tcPr>
                <w:p w14:paraId="6F138B6A"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sentencia del 19 de agosto de 2004, Exp. 12.342, C.P. Ramiro Saavedra Becerra.</w:t>
                  </w:r>
                </w:p>
              </w:tc>
            </w:tr>
            <w:tr w:rsidR="00D10AD0" w:rsidRPr="00221521" w14:paraId="204EF57F" w14:textId="77777777" w:rsidTr="3DB8CCA8">
              <w:trPr>
                <w:tblCellSpacing w:w="15" w:type="dxa"/>
              </w:trPr>
              <w:tc>
                <w:tcPr>
                  <w:tcW w:w="8371" w:type="dxa"/>
                  <w:vAlign w:val="center"/>
                  <w:hideMark/>
                </w:tcPr>
                <w:p w14:paraId="1523FA88"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sentencia del 6 de julio de 2005, Exp. 11.575, C.P. Alier Eduardo Hernández Enríquez.</w:t>
                  </w:r>
                </w:p>
              </w:tc>
            </w:tr>
            <w:tr w:rsidR="00D10AD0" w:rsidRPr="00221521" w14:paraId="207D5700" w14:textId="77777777" w:rsidTr="3DB8CCA8">
              <w:trPr>
                <w:tblCellSpacing w:w="15" w:type="dxa"/>
              </w:trPr>
              <w:tc>
                <w:tcPr>
                  <w:tcW w:w="8371" w:type="dxa"/>
                  <w:vAlign w:val="center"/>
                  <w:hideMark/>
                </w:tcPr>
                <w:p w14:paraId="102CC48F"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sentencia del 10 de febrero de 2011, Exp. 63001-23-31-000-1997-04685-01 (16.306), C.P. Hernán Andrade Rincón.</w:t>
                  </w:r>
                </w:p>
              </w:tc>
            </w:tr>
            <w:tr w:rsidR="00D10AD0" w:rsidRPr="00221521" w14:paraId="4967C829" w14:textId="77777777" w:rsidTr="3DB8CCA8">
              <w:trPr>
                <w:tblCellSpacing w:w="15" w:type="dxa"/>
              </w:trPr>
              <w:tc>
                <w:tcPr>
                  <w:tcW w:w="8371" w:type="dxa"/>
                  <w:vAlign w:val="center"/>
                  <w:hideMark/>
                </w:tcPr>
                <w:p w14:paraId="037F658F"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Subsección C, sentencia del 13 de abril de 2011, Exp. 37.423, C.P. Jaime Orlando Santofimio Gamboa.</w:t>
                  </w:r>
                </w:p>
              </w:tc>
            </w:tr>
            <w:tr w:rsidR="00D10AD0" w:rsidRPr="00221521" w14:paraId="3B579270" w14:textId="77777777" w:rsidTr="3DB8CCA8">
              <w:trPr>
                <w:tblCellSpacing w:w="15" w:type="dxa"/>
              </w:trPr>
              <w:tc>
                <w:tcPr>
                  <w:tcW w:w="8371" w:type="dxa"/>
                  <w:vAlign w:val="center"/>
                  <w:hideMark/>
                </w:tcPr>
                <w:p w14:paraId="2D76A2FD"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Subsección B, sentencia del 12 de octubre de 2011, Exp. 20.070, C.P. Danilo Rojas Betancourth.</w:t>
                  </w:r>
                </w:p>
              </w:tc>
            </w:tr>
            <w:tr w:rsidR="00D10AD0" w:rsidRPr="00221521" w14:paraId="03CDB323" w14:textId="77777777" w:rsidTr="3DB8CCA8">
              <w:trPr>
                <w:tblCellSpacing w:w="15" w:type="dxa"/>
              </w:trPr>
              <w:tc>
                <w:tcPr>
                  <w:tcW w:w="8371" w:type="dxa"/>
                  <w:vAlign w:val="center"/>
                  <w:hideMark/>
                </w:tcPr>
                <w:p w14:paraId="299993F4"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sentencia del 27 de febrero de 2013, Rad. 2000-01561-01 (25.590), C.P. Mauricio Fajardo Gómez.</w:t>
                  </w:r>
                </w:p>
              </w:tc>
            </w:tr>
            <w:tr w:rsidR="00D10AD0" w:rsidRPr="00221521" w14:paraId="02754FBC" w14:textId="77777777" w:rsidTr="3DB8CCA8">
              <w:trPr>
                <w:tblCellSpacing w:w="15" w:type="dxa"/>
              </w:trPr>
              <w:tc>
                <w:tcPr>
                  <w:tcW w:w="8371" w:type="dxa"/>
                  <w:vAlign w:val="center"/>
                  <w:hideMark/>
                </w:tcPr>
                <w:p w14:paraId="055E01BC"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Subsección A, sentencia del 6 de julio de 2017, Exp. 51.920, C.P. Marta Nubia Velásquez Rico.</w:t>
                  </w:r>
                </w:p>
              </w:tc>
            </w:tr>
            <w:tr w:rsidR="00D10AD0" w:rsidRPr="00221521" w14:paraId="031018AE" w14:textId="77777777" w:rsidTr="3DB8CCA8">
              <w:trPr>
                <w:tblCellSpacing w:w="15" w:type="dxa"/>
              </w:trPr>
              <w:tc>
                <w:tcPr>
                  <w:tcW w:w="8371" w:type="dxa"/>
                  <w:vAlign w:val="center"/>
                  <w:hideMark/>
                </w:tcPr>
                <w:p w14:paraId="698088E1"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Tercera, Subsección A, sentencia del 3 de marzo de 2021, Exp. 51.373, C.P. José Roberto Sáchica Méndez.</w:t>
                  </w:r>
                </w:p>
              </w:tc>
            </w:tr>
            <w:tr w:rsidR="00D10AD0" w:rsidRPr="00221521" w14:paraId="69A5E700" w14:textId="77777777" w:rsidTr="3DB8CCA8">
              <w:trPr>
                <w:tblCellSpacing w:w="15" w:type="dxa"/>
              </w:trPr>
              <w:tc>
                <w:tcPr>
                  <w:tcW w:w="8371" w:type="dxa"/>
                  <w:vAlign w:val="center"/>
                  <w:hideMark/>
                </w:tcPr>
                <w:p w14:paraId="1B8F75C6" w14:textId="77777777" w:rsidR="00D10AD0" w:rsidRPr="00D867EF" w:rsidRDefault="00D10AD0" w:rsidP="00887F00">
                  <w:pPr>
                    <w:widowControl w:val="0"/>
                    <w:numPr>
                      <w:ilvl w:val="0"/>
                      <w:numId w:val="17"/>
                    </w:numPr>
                    <w:autoSpaceDE w:val="0"/>
                    <w:autoSpaceDN w:val="0"/>
                    <w:snapToGrid w:val="0"/>
                    <w:spacing w:after="0" w:line="276" w:lineRule="auto"/>
                    <w:jc w:val="both"/>
                    <w:rPr>
                      <w:rFonts w:ascii="Verdana" w:eastAsia="Calibri" w:hAnsi="Verdana" w:cs="Arial"/>
                      <w:color w:val="000000" w:themeColor="text1"/>
                    </w:rPr>
                  </w:pPr>
                  <w:r w:rsidRPr="00D867EF">
                    <w:rPr>
                      <w:rFonts w:ascii="Verdana" w:eastAsia="Calibri" w:hAnsi="Verdana" w:cs="Arial"/>
                      <w:color w:val="000000" w:themeColor="text1"/>
                    </w:rPr>
                    <w:t>Consejo de Estado, Sala de lo Contencioso Administrativo, Sección Segunda, sentencia del 23 de junio de 2022, Rad. 11001-03-25-000-2015-00480-00 (1211-2015), C.P. William Hernández Gómez.</w:t>
                  </w:r>
                </w:p>
              </w:tc>
            </w:tr>
          </w:tbl>
          <w:p w14:paraId="1C9BD314" w14:textId="77777777" w:rsidR="00D10AD0" w:rsidRPr="0061306E" w:rsidRDefault="00D10AD0" w:rsidP="00887F00">
            <w:pPr>
              <w:widowControl w:val="0"/>
              <w:autoSpaceDE w:val="0"/>
              <w:autoSpaceDN w:val="0"/>
              <w:snapToGrid w:val="0"/>
              <w:spacing w:before="120" w:after="120"/>
              <w:jc w:val="both"/>
              <w:rPr>
                <w:rFonts w:ascii="Verdana" w:eastAsia="Calibri" w:hAnsi="Verdana" w:cs="Arial"/>
                <w:color w:val="000000" w:themeColor="text1"/>
                <w:lang w:val="es-ES"/>
              </w:rPr>
            </w:pPr>
          </w:p>
        </w:tc>
      </w:tr>
    </w:tbl>
    <w:p w14:paraId="34206BE9" w14:textId="77777777" w:rsidR="00D10AD0" w:rsidRPr="0061306E" w:rsidRDefault="00D10AD0" w:rsidP="00D10AD0">
      <w:pPr>
        <w:widowControl w:val="0"/>
        <w:autoSpaceDE w:val="0"/>
        <w:autoSpaceDN w:val="0"/>
        <w:spacing w:after="0" w:line="276" w:lineRule="auto"/>
        <w:jc w:val="both"/>
        <w:rPr>
          <w:rFonts w:ascii="Verdana" w:hAnsi="Verdana" w:cs="Arial"/>
          <w:color w:val="000000" w:themeColor="text1"/>
          <w:lang w:val="es-ES"/>
        </w:rPr>
      </w:pPr>
    </w:p>
    <w:p w14:paraId="5AD89253" w14:textId="77777777" w:rsidR="00D10AD0" w:rsidRPr="0061306E" w:rsidRDefault="00D10AD0" w:rsidP="00D10AD0">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61306E">
        <w:rPr>
          <w:rFonts w:ascii="Verdana" w:eastAsia="Century Gothic" w:hAnsi="Verdana" w:cs="Century Gothic"/>
          <w:b/>
          <w:bCs/>
          <w:color w:val="000000" w:themeColor="text1"/>
        </w:rPr>
        <w:t>Doctrina de la Agencia Nacional de Contratación Pública:</w:t>
      </w:r>
    </w:p>
    <w:p w14:paraId="41725B56" w14:textId="77777777" w:rsidR="00D10AD0" w:rsidRPr="0061306E" w:rsidRDefault="00D10AD0" w:rsidP="00D10AD0">
      <w:pPr>
        <w:widowControl w:val="0"/>
        <w:autoSpaceDE w:val="0"/>
        <w:autoSpaceDN w:val="0"/>
        <w:spacing w:after="0" w:line="276" w:lineRule="auto"/>
        <w:jc w:val="both"/>
        <w:rPr>
          <w:rFonts w:ascii="Verdana" w:hAnsi="Verdana" w:cs="Arial"/>
          <w:color w:val="000000" w:themeColor="text1"/>
          <w:lang w:val="es-ES"/>
        </w:rPr>
      </w:pPr>
    </w:p>
    <w:p w14:paraId="5B26BC45" w14:textId="77777777" w:rsidR="00D10AD0" w:rsidRPr="0061306E" w:rsidRDefault="00D10AD0" w:rsidP="00D10AD0">
      <w:pPr>
        <w:spacing w:after="0" w:line="276" w:lineRule="auto"/>
        <w:jc w:val="both"/>
        <w:rPr>
          <w:rStyle w:val="normaltextrun"/>
          <w:rFonts w:ascii="Verdana" w:hAnsi="Verdana" w:cs="Arial"/>
          <w:color w:val="000000" w:themeColor="text1"/>
          <w:shd w:val="clear" w:color="auto" w:fill="FFFFFF"/>
          <w:lang w:val="es-ES"/>
        </w:rPr>
      </w:pPr>
      <w:r w:rsidRPr="0061306E">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61306E">
        <w:rPr>
          <w:rStyle w:val="normaltextrun"/>
          <w:rFonts w:ascii="Verdana" w:hAnsi="Verdana"/>
          <w:color w:val="000000" w:themeColor="text1"/>
          <w:shd w:val="clear" w:color="auto" w:fill="FFFFFF"/>
          <w:lang w:val="es-ES"/>
        </w:rPr>
        <w:t>sobre</w:t>
      </w:r>
      <w:r w:rsidRPr="0061306E">
        <w:rPr>
          <w:rStyle w:val="normaltextrun"/>
          <w:rFonts w:ascii="Verdana" w:hAnsi="Verdana" w:cs="Arial"/>
          <w:color w:val="000000" w:themeColor="text1"/>
          <w:shd w:val="clear" w:color="auto" w:fill="FFFFFF"/>
          <w:lang w:val="es-ES"/>
        </w:rPr>
        <w:t xml:space="preserve"> </w:t>
      </w:r>
      <w:r w:rsidRPr="0061306E">
        <w:rPr>
          <w:rFonts w:ascii="Verdana" w:eastAsia="Times New Roman" w:hAnsi="Verdana" w:cs="Arial"/>
          <w:shd w:val="clear" w:color="auto" w:fill="FFFFFF"/>
          <w:lang w:val="es-ES"/>
        </w:rPr>
        <w:t xml:space="preserve">sobre el régimen de contratación de las entidades </w:t>
      </w:r>
      <w:r w:rsidRPr="0061306E">
        <w:rPr>
          <w:rFonts w:ascii="Verdana" w:eastAsia="Times New Roman" w:hAnsi="Verdana" w:cs="Arial"/>
          <w:shd w:val="clear" w:color="auto" w:fill="FFFFFF"/>
          <w:lang w:val="es-ES"/>
        </w:rPr>
        <w:lastRenderedPageBreak/>
        <w:t xml:space="preserve">descentralizadas indirectas o fondos </w:t>
      </w:r>
      <w:r w:rsidRPr="0061306E">
        <w:rPr>
          <w:rFonts w:ascii="Verdana" w:eastAsia="Calibri" w:hAnsi="Verdana" w:cs="Arial"/>
          <w:color w:val="000000" w:themeColor="text1"/>
          <w:lang w:val="es-ES" w:eastAsia="es-ES_tradnl"/>
        </w:rPr>
        <w:t>mixtos en los conceptos con radicados 4201912000007709 y 4201913000007595 del 24 de diciembre de 2019, C-360 del 19 de septiembre de 2023, C–081 del 05 de junio de 2024, C-384 del 6 de septiembre de 2024, C-504 del 1º de octubre de 2024, C–558 del 1º de octubre de 2024, C-687 del 18 de noviembre de 2024, C-758 del 26 de noviembre de 2024, C-781 del 10 de diciembre de 2024, C-958 del 27 de agosto de 2025 y C-1651 del 23 de diciembre de 2025, entre</w:t>
      </w:r>
      <w:r w:rsidRPr="0061306E">
        <w:rPr>
          <w:rFonts w:ascii="Verdana" w:eastAsia="Times New Roman" w:hAnsi="Verdana" w:cs="Arial"/>
          <w:shd w:val="clear" w:color="auto" w:fill="FFFFFF"/>
          <w:lang w:val="es-ES"/>
        </w:rPr>
        <w:t xml:space="preserve"> otros</w:t>
      </w:r>
      <w:r w:rsidRPr="0061306E">
        <w:rPr>
          <w:rStyle w:val="normaltextrun"/>
          <w:rFonts w:ascii="Verdana" w:hAnsi="Verdana" w:cs="Arial"/>
          <w:color w:val="000000" w:themeColor="text1"/>
          <w:shd w:val="clear" w:color="auto" w:fill="FFFFFF"/>
          <w:lang w:val="es-ES"/>
        </w:rPr>
        <w:t xml:space="preserve">. </w:t>
      </w:r>
    </w:p>
    <w:p w14:paraId="78118E96" w14:textId="77777777" w:rsidR="00D10AD0" w:rsidRPr="0061306E" w:rsidRDefault="00D10AD0" w:rsidP="00D10AD0">
      <w:pPr>
        <w:spacing w:after="0" w:line="276" w:lineRule="auto"/>
        <w:jc w:val="both"/>
        <w:rPr>
          <w:rStyle w:val="normaltextrun"/>
          <w:rFonts w:ascii="Verdana" w:hAnsi="Verdana" w:cs="Arial"/>
          <w:color w:val="000000" w:themeColor="text1"/>
          <w:shd w:val="clear" w:color="auto" w:fill="FFFFFF"/>
          <w:lang w:val="es-ES"/>
        </w:rPr>
      </w:pPr>
    </w:p>
    <w:p w14:paraId="5498036E" w14:textId="77777777" w:rsidR="00D10AD0" w:rsidRPr="0061306E" w:rsidRDefault="00D10AD0" w:rsidP="00D10AD0">
      <w:pPr>
        <w:spacing w:after="0" w:line="276" w:lineRule="auto"/>
        <w:jc w:val="both"/>
        <w:rPr>
          <w:rStyle w:val="normaltextrun"/>
          <w:rFonts w:ascii="Verdana" w:eastAsia="Calibri" w:hAnsi="Verdana" w:cs="Times New Roman"/>
          <w:b/>
          <w:bCs/>
          <w:lang w:val="es-ES"/>
        </w:rPr>
      </w:pPr>
      <w:r w:rsidRPr="0061306E">
        <w:rPr>
          <w:rFonts w:ascii="Verdana" w:eastAsia="Calibri" w:hAnsi="Verdana" w:cs="Arial"/>
          <w:lang w:val="es-ES" w:eastAsia="es-ES"/>
        </w:rPr>
        <w:t xml:space="preserve">En los conceptos con radicados números 4201714000000768 del 10 de marzo de 2017, 4201713000000879 del 24 de marzo de 2017, 4201713000002621 del 27 de julio de 2017,  4201714000004176 del 28 de agosto de 2017, 4201714000005628 del 11 de diciembre de 2017, 4201814000000698 del 14 de abril de 2018, C-049 del 21 de febrero de 2020, C-209 del 16 de marzo de 2020, C-693 del 25 de noviembre de 2020, C-731 del 14 de diciembre de 2020, C-154 del 18 de mayo de 2021, C-842 del 7 de diciembre de 2022, C-825 del 28 de diciembre de 2022, C-033 de 27 de febrero de 2023, C-003 de 13 de marzo de 2023, C-037 del 5 de abril de 2023, C-109 de 10 de mayo de 2023,  C- 157 de 10 de agosto de 2023 y C–911 del 31 de diciembre de 2024 se abordó el análisis y estudio de la facultad de las entidades estatales para pactar la entrega de anticipos en los contratos estatales y el ámbito de aplicación del artículo 91 de la Ley 1474 de 2011. </w:t>
      </w:r>
      <w:r w:rsidRPr="0061306E">
        <w:rPr>
          <w:rStyle w:val="normaltextrun"/>
          <w:rFonts w:ascii="Verdana" w:hAnsi="Verdana" w:cs="Arial"/>
          <w:color w:val="000000" w:themeColor="text1"/>
          <w:shd w:val="clear" w:color="auto" w:fill="FFFFFF"/>
          <w:lang w:val="es-ES"/>
        </w:rPr>
        <w:t xml:space="preserve">Estos y otros conceptos se encuentran disponibles para consulta en el Sistema de relatoría de la Agencia, al cual puede accederse a través del siguiente enlace: </w:t>
      </w:r>
      <w:hyperlink r:id="rId12" w:history="1">
        <w:r w:rsidRPr="0061306E">
          <w:rPr>
            <w:rStyle w:val="Hyperlink"/>
            <w:rFonts w:ascii="Verdana" w:hAnsi="Verdana" w:cs="Arial"/>
            <w:shd w:val="clear" w:color="auto" w:fill="FFFFFF"/>
            <w:lang w:val="es-ES"/>
          </w:rPr>
          <w:t>https://relatoria.colombiacompra.gov.co/busqueda/conceptos</w:t>
        </w:r>
      </w:hyperlink>
      <w:r w:rsidRPr="0061306E">
        <w:rPr>
          <w:rStyle w:val="normaltextrun"/>
          <w:rFonts w:ascii="Verdana" w:hAnsi="Verdana" w:cs="Arial"/>
          <w:shd w:val="clear" w:color="auto" w:fill="FFFFFF"/>
          <w:lang w:val="es-ES"/>
        </w:rPr>
        <w:t>.</w:t>
      </w:r>
      <w:r w:rsidRPr="0061306E">
        <w:rPr>
          <w:rStyle w:val="normaltextrun"/>
          <w:rFonts w:ascii="Verdana" w:hAnsi="Verdana" w:cs="Arial"/>
          <w:color w:val="FF0000"/>
          <w:shd w:val="clear" w:color="auto" w:fill="FFFFFF"/>
          <w:lang w:val="es-ES"/>
        </w:rPr>
        <w:t xml:space="preserve"> </w:t>
      </w:r>
    </w:p>
    <w:p w14:paraId="66C88560" w14:textId="77777777" w:rsidR="00D10AD0" w:rsidRPr="0061306E" w:rsidRDefault="00D10AD0" w:rsidP="00D10AD0">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35B19BBA" w14:textId="77777777" w:rsidR="00D10AD0" w:rsidRPr="0061306E" w:rsidRDefault="00D10AD0" w:rsidP="00D10AD0">
      <w:pPr>
        <w:spacing w:after="0" w:line="276" w:lineRule="auto"/>
        <w:jc w:val="both"/>
        <w:rPr>
          <w:rFonts w:ascii="Verdana" w:hAnsi="Verdana"/>
          <w:lang w:val="es-ES"/>
        </w:rPr>
      </w:pPr>
      <w:r w:rsidRPr="0061306E">
        <w:rPr>
          <w:rFonts w:ascii="Verdana" w:hAnsi="Verdana"/>
          <w:lang w:val="es-ES"/>
        </w:rPr>
        <w:t xml:space="preserve">Por último, lo invitamos a seguirnos en las redes sociales en las cuales se difunde información institucional: </w:t>
      </w:r>
    </w:p>
    <w:p w14:paraId="79AFFEF7" w14:textId="77777777" w:rsidR="00D10AD0" w:rsidRPr="0061306E" w:rsidRDefault="00D10AD0" w:rsidP="00D10AD0">
      <w:pPr>
        <w:spacing w:after="0" w:line="276" w:lineRule="auto"/>
        <w:jc w:val="both"/>
        <w:rPr>
          <w:rFonts w:ascii="Verdana" w:hAnsi="Verdana"/>
          <w:lang w:val="es-ES"/>
        </w:rPr>
      </w:pPr>
    </w:p>
    <w:p w14:paraId="6FD5461C" w14:textId="77777777" w:rsidR="00D10AD0" w:rsidRPr="0061306E" w:rsidRDefault="00D10AD0" w:rsidP="00D10AD0">
      <w:pPr>
        <w:spacing w:after="0" w:line="276" w:lineRule="auto"/>
        <w:jc w:val="both"/>
        <w:rPr>
          <w:rFonts w:ascii="Verdana" w:hAnsi="Verdana"/>
          <w:lang w:val="es-ES"/>
        </w:rPr>
      </w:pPr>
      <w:r w:rsidRPr="0061306E">
        <w:rPr>
          <w:rFonts w:ascii="Verdana" w:hAnsi="Verdana"/>
          <w:lang w:val="es-ES"/>
        </w:rPr>
        <w:t xml:space="preserve">Twitter: </w:t>
      </w:r>
      <w:r w:rsidRPr="0061306E">
        <w:rPr>
          <w:rStyle w:val="Hyperlink"/>
          <w:rFonts w:ascii="Verdana" w:hAnsi="Verdana" w:cs="Arial"/>
          <w:shd w:val="clear" w:color="auto" w:fill="FFFFFF"/>
          <w:lang w:val="es-ES"/>
        </w:rPr>
        <w:t>@colombiacompra</w:t>
      </w:r>
      <w:r w:rsidRPr="0061306E">
        <w:rPr>
          <w:rFonts w:ascii="Verdana" w:hAnsi="Verdana"/>
          <w:color w:val="4472C4" w:themeColor="accent1"/>
          <w:lang w:val="es-ES"/>
        </w:rPr>
        <w:t xml:space="preserve"> </w:t>
      </w:r>
    </w:p>
    <w:p w14:paraId="63EF8E17" w14:textId="77777777" w:rsidR="00D10AD0" w:rsidRPr="0061306E" w:rsidRDefault="00D10AD0" w:rsidP="00D10AD0">
      <w:pPr>
        <w:spacing w:after="0" w:line="276" w:lineRule="auto"/>
        <w:jc w:val="both"/>
        <w:rPr>
          <w:rFonts w:ascii="Verdana" w:hAnsi="Verdana"/>
          <w:lang w:val="es-ES"/>
        </w:rPr>
      </w:pPr>
      <w:r w:rsidRPr="0061306E">
        <w:rPr>
          <w:rFonts w:ascii="Verdana" w:hAnsi="Verdana"/>
          <w:lang w:val="es-ES"/>
        </w:rPr>
        <w:t xml:space="preserve">Facebook: </w:t>
      </w:r>
      <w:proofErr w:type="spellStart"/>
      <w:r w:rsidRPr="0061306E">
        <w:rPr>
          <w:rStyle w:val="Hyperlink"/>
          <w:rFonts w:ascii="Verdana" w:hAnsi="Verdana" w:cs="Arial"/>
          <w:shd w:val="clear" w:color="auto" w:fill="FFFFFF"/>
          <w:lang w:val="es-ES"/>
        </w:rPr>
        <w:t>ColombiaCompraEficiente</w:t>
      </w:r>
      <w:proofErr w:type="spellEnd"/>
    </w:p>
    <w:p w14:paraId="782AF42D" w14:textId="77777777" w:rsidR="00D10AD0" w:rsidRPr="0061306E" w:rsidRDefault="00D10AD0" w:rsidP="00D10AD0">
      <w:pPr>
        <w:spacing w:after="0" w:line="276" w:lineRule="auto"/>
        <w:jc w:val="both"/>
        <w:rPr>
          <w:rFonts w:ascii="Verdana" w:hAnsi="Verdana"/>
          <w:lang w:val="es-ES"/>
        </w:rPr>
      </w:pPr>
      <w:r w:rsidRPr="0061306E">
        <w:rPr>
          <w:rFonts w:ascii="Verdana" w:hAnsi="Verdana"/>
          <w:lang w:val="es-ES"/>
        </w:rPr>
        <w:t xml:space="preserve">LinkedIn: </w:t>
      </w:r>
      <w:r w:rsidRPr="0061306E">
        <w:rPr>
          <w:rStyle w:val="Hyperlink"/>
          <w:rFonts w:ascii="Verdana" w:hAnsi="Verdana" w:cs="Arial"/>
          <w:shd w:val="clear" w:color="auto" w:fill="FFFFFF"/>
          <w:lang w:val="es-ES"/>
        </w:rPr>
        <w:t xml:space="preserve">Agencia Nacional de Contratación Pública - Colombia Compra Eficiente </w:t>
      </w:r>
      <w:r w:rsidRPr="0061306E">
        <w:rPr>
          <w:rFonts w:ascii="Verdana" w:hAnsi="Verdana"/>
          <w:lang w:val="es-ES"/>
        </w:rPr>
        <w:t xml:space="preserve">Instagram: </w:t>
      </w:r>
      <w:r w:rsidRPr="0061306E">
        <w:rPr>
          <w:rStyle w:val="Hyperlink"/>
          <w:rFonts w:ascii="Verdana" w:hAnsi="Verdana" w:cs="Arial"/>
          <w:shd w:val="clear" w:color="auto" w:fill="FFFFFF"/>
          <w:lang w:val="es-ES"/>
        </w:rPr>
        <w:t>@colombiacompraeficiente_cce</w:t>
      </w:r>
    </w:p>
    <w:p w14:paraId="22E64ACD" w14:textId="77777777" w:rsidR="00D10AD0" w:rsidRPr="0061306E" w:rsidRDefault="00D10AD0" w:rsidP="00D10AD0">
      <w:pPr>
        <w:widowControl w:val="0"/>
        <w:autoSpaceDE w:val="0"/>
        <w:autoSpaceDN w:val="0"/>
        <w:spacing w:after="0" w:line="276" w:lineRule="auto"/>
        <w:jc w:val="both"/>
        <w:rPr>
          <w:rFonts w:ascii="Verdana" w:hAnsi="Verdana" w:cs="Arial"/>
          <w:color w:val="000000" w:themeColor="text1"/>
          <w:lang w:val="es-ES"/>
        </w:rPr>
      </w:pPr>
    </w:p>
    <w:p w14:paraId="77D0560A" w14:textId="77777777" w:rsidR="00D10AD0" w:rsidRPr="0061306E" w:rsidRDefault="00D10AD0" w:rsidP="00D10AD0">
      <w:pPr>
        <w:widowControl w:val="0"/>
        <w:autoSpaceDE w:val="0"/>
        <w:autoSpaceDN w:val="0"/>
        <w:spacing w:after="0" w:line="276" w:lineRule="auto"/>
        <w:jc w:val="both"/>
        <w:rPr>
          <w:rFonts w:ascii="Verdana" w:hAnsi="Verdana" w:cs="Arial"/>
          <w:color w:val="000000" w:themeColor="text1"/>
          <w:lang w:val="es-ES"/>
        </w:rPr>
      </w:pPr>
      <w:r w:rsidRPr="0061306E">
        <w:rPr>
          <w:rFonts w:ascii="Verdana" w:hAnsi="Verdana" w:cs="Arial"/>
          <w:color w:val="000000" w:themeColor="text1"/>
          <w:lang w:val="es-ES"/>
        </w:rPr>
        <w:t xml:space="preserve">Este concepto tiene el alcance previsto en el artículo 28 del Código de Procedimiento Administrativo y de lo Contencioso Administrativo y las expresiones aquí utilizadas con mayúscula inicial deben ser entendidas con el </w:t>
      </w:r>
      <w:r w:rsidRPr="0061306E">
        <w:rPr>
          <w:rFonts w:ascii="Verdana" w:hAnsi="Verdana" w:cs="Arial"/>
          <w:color w:val="000000" w:themeColor="text1"/>
          <w:lang w:val="es-ES"/>
        </w:rPr>
        <w:lastRenderedPageBreak/>
        <w:t>significado que les otorga el artículo 2.2.1.1.1.3.1. del Decreto 1082 de 2015.</w:t>
      </w:r>
    </w:p>
    <w:p w14:paraId="0E81A6FC" w14:textId="77777777" w:rsidR="00D10AD0" w:rsidRPr="0061306E" w:rsidRDefault="00D10AD0" w:rsidP="00D10AD0">
      <w:pPr>
        <w:widowControl w:val="0"/>
        <w:autoSpaceDE w:val="0"/>
        <w:autoSpaceDN w:val="0"/>
        <w:spacing w:after="0" w:line="276" w:lineRule="auto"/>
        <w:jc w:val="both"/>
        <w:rPr>
          <w:rFonts w:ascii="Verdana" w:hAnsi="Verdana" w:cs="Arial"/>
          <w:color w:val="000000" w:themeColor="text1"/>
          <w:lang w:val="es-ES"/>
        </w:rPr>
      </w:pPr>
    </w:p>
    <w:p w14:paraId="1EEFD403" w14:textId="0F8C5068" w:rsidR="00D10AD0" w:rsidRDefault="00D10AD0" w:rsidP="00D10AD0">
      <w:pPr>
        <w:spacing w:after="0" w:line="276" w:lineRule="auto"/>
        <w:rPr>
          <w:rFonts w:ascii="Verdana" w:hAnsi="Verdana" w:cs="Arial"/>
          <w:color w:val="000000" w:themeColor="text1"/>
          <w:lang w:val="es-ES" w:eastAsia="es-CO"/>
        </w:rPr>
      </w:pPr>
      <w:r w:rsidRPr="0061306E">
        <w:rPr>
          <w:rFonts w:ascii="Verdana" w:eastAsia="Times New Roman" w:hAnsi="Verdana" w:cs="Arial"/>
          <w:color w:val="000000" w:themeColor="text1"/>
          <w:lang w:val="es-ES" w:eastAsia="es-CO"/>
        </w:rPr>
        <w:t>Atentamente,</w:t>
      </w:r>
      <w:r w:rsidRPr="0061306E">
        <w:rPr>
          <w:rFonts w:ascii="Verdana" w:hAnsi="Verdana" w:cs="Arial"/>
          <w:color w:val="000000" w:themeColor="text1"/>
          <w:lang w:val="es-ES" w:eastAsia="es-CO"/>
        </w:rPr>
        <w:t xml:space="preserve"> </w:t>
      </w:r>
    </w:p>
    <w:p w14:paraId="56535736" w14:textId="256D19D5" w:rsidR="00321D94" w:rsidRPr="0061306E" w:rsidRDefault="00321D94" w:rsidP="00D10AD0">
      <w:pPr>
        <w:spacing w:after="0" w:line="276" w:lineRule="auto"/>
        <w:rPr>
          <w:rFonts w:ascii="Verdana" w:hAnsi="Verdana" w:cs="Arial"/>
          <w:color w:val="000000" w:themeColor="text1"/>
          <w:lang w:val="es-ES" w:eastAsia="es-CO"/>
        </w:rPr>
      </w:pPr>
      <w:r w:rsidRPr="004D5C25">
        <w:rPr>
          <w:rFonts w:ascii="Century Gothic" w:hAnsi="Century Gothic"/>
          <w:noProof/>
        </w:rPr>
        <w:drawing>
          <wp:anchor distT="0" distB="0" distL="114300" distR="114300" simplePos="0" relativeHeight="251659264" behindDoc="0" locked="0" layoutInCell="1" allowOverlap="1" wp14:anchorId="6584C8E8" wp14:editId="6B5E106F">
            <wp:simplePos x="0" y="0"/>
            <wp:positionH relativeFrom="column">
              <wp:posOffset>1228164</wp:posOffset>
            </wp:positionH>
            <wp:positionV relativeFrom="paragraph">
              <wp:posOffset>187960</wp:posOffset>
            </wp:positionV>
            <wp:extent cx="3465830" cy="1487805"/>
            <wp:effectExtent l="0" t="0" r="1270" b="0"/>
            <wp:wrapSquare wrapText="bothSides"/>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465830" cy="1487805"/>
                    </a:xfrm>
                    <a:prstGeom prst="rect">
                      <a:avLst/>
                    </a:prstGeom>
                  </pic:spPr>
                </pic:pic>
              </a:graphicData>
            </a:graphic>
            <wp14:sizeRelH relativeFrom="page">
              <wp14:pctWidth>0</wp14:pctWidth>
            </wp14:sizeRelH>
            <wp14:sizeRelV relativeFrom="page">
              <wp14:pctHeight>0</wp14:pctHeight>
            </wp14:sizeRelV>
          </wp:anchor>
        </w:drawing>
      </w:r>
    </w:p>
    <w:p w14:paraId="71A52EFC" w14:textId="77777777" w:rsidR="00D10AD0" w:rsidRPr="0061306E" w:rsidRDefault="00D10AD0" w:rsidP="00D10AD0">
      <w:pPr>
        <w:spacing w:line="276" w:lineRule="auto"/>
        <w:rPr>
          <w:lang w:val="es-ES"/>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10AD0" w:rsidRPr="0061306E" w14:paraId="044472BF" w14:textId="77777777" w:rsidTr="00887F00">
        <w:trPr>
          <w:trHeight w:val="315"/>
        </w:trPr>
        <w:tc>
          <w:tcPr>
            <w:tcW w:w="893" w:type="dxa"/>
            <w:vAlign w:val="center"/>
            <w:hideMark/>
          </w:tcPr>
          <w:p w14:paraId="690866B7" w14:textId="77777777" w:rsidR="00D10AD0" w:rsidRPr="0061306E" w:rsidRDefault="00D10AD0" w:rsidP="00887F00">
            <w:pPr>
              <w:contextualSpacing/>
              <w:rPr>
                <w:rFonts w:ascii="Verdana" w:hAnsi="Verdana" w:cs="Arial"/>
                <w:sz w:val="15"/>
                <w:szCs w:val="15"/>
                <w:lang w:val="es-ES" w:eastAsia="es-ES"/>
              </w:rPr>
            </w:pPr>
            <w:r w:rsidRPr="0061306E">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02596D5A" w14:textId="77777777" w:rsidR="00D10AD0" w:rsidRPr="0061306E" w:rsidRDefault="00D10AD0" w:rsidP="00887F00">
            <w:pPr>
              <w:contextualSpacing/>
              <w:rPr>
                <w:rFonts w:ascii="Verdana" w:eastAsia="Arial" w:hAnsi="Verdana" w:cs="Arial"/>
                <w:color w:val="000000" w:themeColor="text1"/>
                <w:sz w:val="15"/>
                <w:szCs w:val="15"/>
                <w:lang w:val="es-ES"/>
              </w:rPr>
            </w:pPr>
            <w:r w:rsidRPr="0061306E">
              <w:rPr>
                <w:rFonts w:ascii="Verdana" w:eastAsia="Arial" w:hAnsi="Verdana" w:cs="Arial"/>
                <w:color w:val="000000" w:themeColor="text1"/>
                <w:sz w:val="15"/>
                <w:szCs w:val="15"/>
                <w:lang w:val="es-ES"/>
              </w:rPr>
              <w:t>Anamaría Bonilla Prieto</w:t>
            </w:r>
          </w:p>
          <w:p w14:paraId="3BC4B444" w14:textId="77777777" w:rsidR="00D10AD0" w:rsidRPr="0061306E" w:rsidRDefault="00D10AD0" w:rsidP="00887F00">
            <w:pPr>
              <w:contextualSpacing/>
              <w:rPr>
                <w:rFonts w:ascii="Verdana" w:eastAsia="Arial" w:hAnsi="Verdana" w:cs="Arial"/>
                <w:sz w:val="15"/>
                <w:szCs w:val="15"/>
                <w:lang w:val="es-ES"/>
              </w:rPr>
            </w:pPr>
            <w:r w:rsidRPr="0061306E">
              <w:rPr>
                <w:rStyle w:val="normaltextrun"/>
                <w:rFonts w:ascii="Verdana" w:eastAsia="Arial" w:hAnsi="Verdana" w:cs="Arial"/>
                <w:color w:val="000000" w:themeColor="text1"/>
                <w:sz w:val="15"/>
                <w:szCs w:val="15"/>
                <w:lang w:val="es-ES"/>
              </w:rPr>
              <w:t xml:space="preserve">Contratista de la Subdirección </w:t>
            </w:r>
            <w:r w:rsidRPr="0061306E">
              <w:rPr>
                <w:rStyle w:val="normaltextrun"/>
                <w:rFonts w:ascii="Verdana" w:eastAsia="Arial" w:hAnsi="Verdana" w:cs="Arial"/>
                <w:sz w:val="15"/>
                <w:szCs w:val="15"/>
                <w:lang w:val="es-ES"/>
              </w:rPr>
              <w:t>de Gestión Contractual</w:t>
            </w:r>
          </w:p>
        </w:tc>
      </w:tr>
      <w:tr w:rsidR="00D10AD0" w:rsidRPr="0061306E" w14:paraId="489F48E1" w14:textId="77777777" w:rsidTr="00887F00">
        <w:trPr>
          <w:trHeight w:val="330"/>
        </w:trPr>
        <w:tc>
          <w:tcPr>
            <w:tcW w:w="893" w:type="dxa"/>
            <w:vAlign w:val="center"/>
            <w:hideMark/>
          </w:tcPr>
          <w:p w14:paraId="50F2ABEE" w14:textId="77777777" w:rsidR="00D10AD0" w:rsidRPr="0061306E" w:rsidRDefault="00D10AD0" w:rsidP="00887F00">
            <w:pPr>
              <w:contextualSpacing/>
              <w:rPr>
                <w:rFonts w:ascii="Verdana" w:hAnsi="Verdana" w:cs="Arial"/>
                <w:sz w:val="15"/>
                <w:szCs w:val="15"/>
                <w:lang w:val="es-ES" w:eastAsia="es-ES"/>
              </w:rPr>
            </w:pPr>
            <w:r w:rsidRPr="0061306E">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8BA9930" w14:textId="77777777" w:rsidR="00D10AD0" w:rsidRPr="0061306E" w:rsidRDefault="00D10AD0" w:rsidP="00887F00">
            <w:pPr>
              <w:contextualSpacing/>
              <w:rPr>
                <w:rFonts w:ascii="Verdana" w:eastAsia="Arial" w:hAnsi="Verdana" w:cs="Arial"/>
                <w:color w:val="000000" w:themeColor="text1"/>
                <w:sz w:val="15"/>
                <w:szCs w:val="15"/>
                <w:lang w:val="es-ES"/>
              </w:rPr>
            </w:pPr>
            <w:r w:rsidRPr="0061306E">
              <w:rPr>
                <w:rFonts w:ascii="Verdana" w:eastAsia="Arial" w:hAnsi="Verdana" w:cs="Arial"/>
                <w:color w:val="000000" w:themeColor="text1"/>
                <w:sz w:val="15"/>
                <w:szCs w:val="15"/>
                <w:lang w:val="es-ES"/>
              </w:rPr>
              <w:t>Alejandro Sarmiento Cantillo</w:t>
            </w:r>
          </w:p>
          <w:p w14:paraId="7993841A" w14:textId="77777777" w:rsidR="00D10AD0" w:rsidRPr="0061306E" w:rsidRDefault="00D10AD0" w:rsidP="00887F00">
            <w:pPr>
              <w:pStyle w:val="paragraph"/>
              <w:spacing w:before="0" w:beforeAutospacing="0" w:after="0" w:afterAutospacing="0"/>
              <w:contextualSpacing/>
              <w:textAlignment w:val="baseline"/>
              <w:rPr>
                <w:rFonts w:ascii="Verdana" w:hAnsi="Verdana" w:cs="Segoe UI"/>
                <w:sz w:val="15"/>
                <w:szCs w:val="15"/>
                <w:lang w:val="es-ES"/>
              </w:rPr>
            </w:pPr>
            <w:r w:rsidRPr="0061306E">
              <w:rPr>
                <w:rFonts w:ascii="Verdana" w:eastAsia="Arial" w:hAnsi="Verdana" w:cs="Arial"/>
                <w:color w:val="000000" w:themeColor="text1"/>
                <w:sz w:val="15"/>
                <w:szCs w:val="15"/>
                <w:lang w:val="es-ES"/>
              </w:rPr>
              <w:t>Gestor T1 – 15 de la Subdirección de Gestión Contractual</w:t>
            </w:r>
            <w:r w:rsidRPr="0061306E">
              <w:rPr>
                <w:rFonts w:ascii="Verdana" w:hAnsi="Verdana" w:cs="Segoe UI"/>
                <w:sz w:val="15"/>
                <w:szCs w:val="15"/>
                <w:lang w:val="es-ES"/>
              </w:rPr>
              <w:t> </w:t>
            </w:r>
          </w:p>
          <w:p w14:paraId="2B3FC618" w14:textId="77777777" w:rsidR="00D10AD0" w:rsidRPr="0061306E" w:rsidRDefault="00D10AD0" w:rsidP="00887F00">
            <w:pPr>
              <w:pStyle w:val="paragraph"/>
              <w:spacing w:before="0" w:beforeAutospacing="0" w:after="0" w:afterAutospacing="0"/>
              <w:contextualSpacing/>
              <w:textAlignment w:val="baseline"/>
              <w:rPr>
                <w:rFonts w:ascii="Verdana" w:hAnsi="Verdana" w:cs="Segoe UI"/>
                <w:sz w:val="15"/>
                <w:szCs w:val="15"/>
                <w:lang w:val="es-ES"/>
              </w:rPr>
            </w:pPr>
          </w:p>
        </w:tc>
      </w:tr>
      <w:tr w:rsidR="00D10AD0" w:rsidRPr="0061306E" w14:paraId="1D21D3D8" w14:textId="77777777" w:rsidTr="00887F00">
        <w:trPr>
          <w:trHeight w:val="300"/>
        </w:trPr>
        <w:tc>
          <w:tcPr>
            <w:tcW w:w="893" w:type="dxa"/>
            <w:vAlign w:val="center"/>
          </w:tcPr>
          <w:p w14:paraId="21BBC87D" w14:textId="77777777" w:rsidR="00D10AD0" w:rsidRPr="0061306E" w:rsidRDefault="00D10AD0" w:rsidP="00887F00">
            <w:pPr>
              <w:contextualSpacing/>
              <w:rPr>
                <w:rFonts w:ascii="Verdana" w:hAnsi="Verdana" w:cs="Arial"/>
                <w:sz w:val="15"/>
                <w:szCs w:val="15"/>
                <w:lang w:val="es-ES" w:eastAsia="es-ES"/>
              </w:rPr>
            </w:pPr>
            <w:r w:rsidRPr="0061306E">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C073AB4" w14:textId="77777777" w:rsidR="00D10AD0" w:rsidRPr="0061306E" w:rsidRDefault="00D10AD0" w:rsidP="00887F00">
            <w:pPr>
              <w:contextualSpacing/>
              <w:rPr>
                <w:rFonts w:ascii="Verdana" w:eastAsia="Calibri" w:hAnsi="Verdana" w:cs="Arial"/>
                <w:sz w:val="16"/>
                <w:szCs w:val="16"/>
                <w:lang w:val="es-ES" w:eastAsia="es-ES"/>
              </w:rPr>
            </w:pPr>
            <w:r w:rsidRPr="0061306E">
              <w:rPr>
                <w:rFonts w:ascii="Verdana" w:eastAsia="Calibri" w:hAnsi="Verdana" w:cs="Arial"/>
                <w:sz w:val="16"/>
                <w:szCs w:val="16"/>
                <w:lang w:val="es-ES" w:eastAsia="es-ES"/>
              </w:rPr>
              <w:t>Carolina Quintero Gacharná</w:t>
            </w:r>
          </w:p>
          <w:p w14:paraId="7C63D651" w14:textId="77777777" w:rsidR="00D10AD0" w:rsidRPr="0061306E" w:rsidRDefault="00D10AD0" w:rsidP="00887F00">
            <w:pPr>
              <w:contextualSpacing/>
              <w:rPr>
                <w:rFonts w:ascii="Verdana" w:eastAsia="Calibri" w:hAnsi="Verdana" w:cs="Arial"/>
                <w:sz w:val="15"/>
                <w:szCs w:val="15"/>
                <w:lang w:val="es-ES" w:eastAsia="es-ES"/>
              </w:rPr>
            </w:pPr>
            <w:r w:rsidRPr="0061306E">
              <w:rPr>
                <w:rFonts w:ascii="Verdana" w:eastAsia="Calibri" w:hAnsi="Verdana" w:cs="Arial"/>
                <w:sz w:val="16"/>
                <w:szCs w:val="16"/>
                <w:lang w:val="es-ES" w:eastAsia="es-ES"/>
              </w:rPr>
              <w:t>Subdirectora de Gestión Contractual ANCP – CCE</w:t>
            </w:r>
          </w:p>
        </w:tc>
      </w:tr>
      <w:bookmarkEnd w:id="0"/>
    </w:tbl>
    <w:p w14:paraId="35C8C708" w14:textId="76B17208" w:rsidR="00D10AD0" w:rsidRPr="0061306E" w:rsidRDefault="00D10AD0" w:rsidP="00D10AD0">
      <w:pPr>
        <w:rPr>
          <w:lang w:val="es-ES"/>
        </w:rPr>
      </w:pPr>
    </w:p>
    <w:p w14:paraId="72885545" w14:textId="77777777" w:rsidR="00D10AD0" w:rsidRPr="0061306E" w:rsidRDefault="00D10AD0" w:rsidP="00D10AD0">
      <w:pPr>
        <w:rPr>
          <w:lang w:val="es-ES"/>
        </w:rPr>
      </w:pPr>
    </w:p>
    <w:p w14:paraId="733C3053" w14:textId="77777777" w:rsidR="00D10AD0" w:rsidRPr="0061306E" w:rsidRDefault="00D10AD0" w:rsidP="00D10AD0">
      <w:pPr>
        <w:rPr>
          <w:lang w:val="es-ES"/>
        </w:rPr>
      </w:pPr>
    </w:p>
    <w:p w14:paraId="6716CE85" w14:textId="77777777" w:rsidR="00D10AD0" w:rsidRPr="0061306E" w:rsidRDefault="00D10AD0" w:rsidP="00D10AD0">
      <w:pPr>
        <w:rPr>
          <w:lang w:val="es-ES"/>
        </w:rPr>
      </w:pPr>
    </w:p>
    <w:p w14:paraId="70FDB395" w14:textId="77777777" w:rsidR="00D10AD0" w:rsidRPr="0061306E" w:rsidRDefault="00D10AD0" w:rsidP="00D10AD0">
      <w:pPr>
        <w:rPr>
          <w:lang w:val="es-ES"/>
        </w:rPr>
      </w:pPr>
    </w:p>
    <w:p w14:paraId="0F293BF4" w14:textId="11505C14" w:rsidR="00127233" w:rsidRPr="004E7FF2" w:rsidRDefault="00127233" w:rsidP="004E7FF2"/>
    <w:sectPr w:rsidR="00127233" w:rsidRPr="004E7FF2"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3C014" w14:textId="77777777" w:rsidR="00EF7A11" w:rsidRDefault="00EF7A11" w:rsidP="004A1847">
      <w:pPr>
        <w:spacing w:after="0" w:line="240" w:lineRule="auto"/>
      </w:pPr>
      <w:r>
        <w:separator/>
      </w:r>
    </w:p>
  </w:endnote>
  <w:endnote w:type="continuationSeparator" w:id="0">
    <w:p w14:paraId="64AADA0D" w14:textId="77777777" w:rsidR="00EF7A11" w:rsidRDefault="00EF7A11" w:rsidP="004A1847">
      <w:pPr>
        <w:spacing w:after="0" w:line="240" w:lineRule="auto"/>
      </w:pPr>
      <w:r>
        <w:continuationSeparator/>
      </w:r>
    </w:p>
  </w:endnote>
  <w:endnote w:type="continuationNotice" w:id="1">
    <w:p w14:paraId="79D27314" w14:textId="77777777" w:rsidR="00EF7A11" w:rsidRDefault="00EF7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146C9" w14:textId="77777777" w:rsidR="00EF7A11" w:rsidRDefault="00EF7A11" w:rsidP="004A1847">
      <w:pPr>
        <w:spacing w:after="0" w:line="240" w:lineRule="auto"/>
      </w:pPr>
      <w:r>
        <w:separator/>
      </w:r>
    </w:p>
  </w:footnote>
  <w:footnote w:type="continuationSeparator" w:id="0">
    <w:p w14:paraId="553A1BE0" w14:textId="77777777" w:rsidR="00EF7A11" w:rsidRDefault="00EF7A11" w:rsidP="004A1847">
      <w:pPr>
        <w:spacing w:after="0" w:line="240" w:lineRule="auto"/>
      </w:pPr>
      <w:r>
        <w:continuationSeparator/>
      </w:r>
    </w:p>
  </w:footnote>
  <w:footnote w:type="continuationNotice" w:id="1">
    <w:p w14:paraId="5872B2D6" w14:textId="77777777" w:rsidR="00EF7A11" w:rsidRDefault="00EF7A11">
      <w:pPr>
        <w:spacing w:after="0" w:line="240" w:lineRule="auto"/>
      </w:pPr>
    </w:p>
  </w:footnote>
  <w:footnote w:id="2">
    <w:p w14:paraId="41BB7F47" w14:textId="77777777" w:rsidR="00D10AD0" w:rsidRPr="003E78FA" w:rsidRDefault="00D10AD0" w:rsidP="00D10AD0">
      <w:pPr>
        <w:snapToGrid w:val="0"/>
        <w:spacing w:after="0" w:line="240" w:lineRule="auto"/>
        <w:ind w:firstLine="709"/>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Al respecto, se ha pronunciado el Alto Tribunal de lo contencioso administrativo señalando que: «La razón de ser de la aplicación del régimen de derecho privado a estas entidades radica en la necesidad de que en su actividad industrial y comercial, tradicionalmente ajena al Estado y propia de los particulares, ellas actúen en términos equivalentes a éstos cuando realicen actividades similares, sin tener prerrogativas exorbitantes que atenten contra el derecho a la igualdad ni estar sujetas a procedimientos administrativos que entraben sus actuaciones y las pongan en situación de desventaja frente a sus competidores.</w:t>
      </w:r>
    </w:p>
    <w:p w14:paraId="510EA653" w14:textId="77777777" w:rsidR="00D10AD0" w:rsidRPr="003E78FA" w:rsidRDefault="00D10AD0" w:rsidP="00D10AD0">
      <w:pPr>
        <w:snapToGrid w:val="0"/>
        <w:spacing w:after="0" w:line="240" w:lineRule="auto"/>
        <w:ind w:firstLine="709"/>
        <w:contextualSpacing/>
        <w:jc w:val="both"/>
        <w:rPr>
          <w:rFonts w:ascii="Verdana" w:hAnsi="Verdana" w:cs="Arial"/>
          <w:sz w:val="16"/>
          <w:szCs w:val="16"/>
        </w:rPr>
      </w:pPr>
      <w:r w:rsidRPr="003E78FA">
        <w:rPr>
          <w:rFonts w:ascii="Verdana" w:hAnsi="Verdana" w:cs="Arial"/>
          <w:sz w:val="16"/>
          <w:szCs w:val="16"/>
        </w:rPr>
        <w:t>“Se trata pues, de que sus actividades de explotación industrial o comercial se desarrollen con las mismas oportunidades y las mismas ventajas o desventajas que las adelantadas por aquellos, sin que</w:t>
      </w:r>
      <w:r w:rsidRPr="003E78FA">
        <w:rPr>
          <w:rFonts w:ascii="Verdana" w:eastAsia="Calibri" w:hAnsi="Verdana" w:cs="Arial"/>
          <w:sz w:val="16"/>
          <w:szCs w:val="16"/>
        </w:rPr>
        <w:t xml:space="preserve"> </w:t>
      </w:r>
      <w:r w:rsidRPr="003E78FA">
        <w:rPr>
          <w:rFonts w:ascii="Verdana" w:hAnsi="Verdana" w:cs="Arial"/>
          <w:sz w:val="16"/>
          <w:szCs w:val="16"/>
        </w:rPr>
        <w:t>influya para nada su investidura de entidad estatal; que puedan actuar como particulares, frente a las exigencias de la economía y del mercado.</w:t>
      </w:r>
    </w:p>
    <w:p w14:paraId="3A0FAEB2" w14:textId="77777777" w:rsidR="00D10AD0" w:rsidRPr="003E78FA" w:rsidRDefault="00D10AD0" w:rsidP="00D10AD0">
      <w:pPr>
        <w:snapToGrid w:val="0"/>
        <w:spacing w:after="0" w:line="240" w:lineRule="auto"/>
        <w:ind w:firstLine="567"/>
        <w:contextualSpacing/>
        <w:jc w:val="both"/>
        <w:rPr>
          <w:rFonts w:ascii="Verdana" w:hAnsi="Verdana" w:cs="Arial"/>
          <w:sz w:val="16"/>
          <w:szCs w:val="16"/>
        </w:rPr>
      </w:pPr>
      <w:r w:rsidRPr="003E78FA">
        <w:rPr>
          <w:rFonts w:ascii="Verdana" w:eastAsia="Calibri" w:hAnsi="Verdana" w:cs="Arial"/>
          <w:sz w:val="16"/>
          <w:szCs w:val="16"/>
        </w:rPr>
        <w:t>“Por ello, la regla general es que en sus actos y contratos rijan las normas de derecho privado, salvo en cuanto a sus relaciones con la Administración y en aquellos casos en los que por expresa disposición legal ejerzan alguna función administrativa, puesto que allí sí deberá dar aplicación a las reglas de derecho público pertinentes”.</w:t>
      </w:r>
      <w:r w:rsidRPr="003E78FA">
        <w:rPr>
          <w:rFonts w:ascii="Verdana" w:eastAsia="Times New Roman" w:hAnsi="Verdana" w:cs="Arial"/>
          <w:sz w:val="16"/>
          <w:szCs w:val="16"/>
          <w:lang w:val="es-ES" w:eastAsia="es-ES_tradnl"/>
        </w:rPr>
        <w:t xml:space="preserve"> </w:t>
      </w:r>
      <w:r w:rsidRPr="003E78FA">
        <w:rPr>
          <w:rFonts w:ascii="Verdana" w:hAnsi="Verdana" w:cs="Arial"/>
          <w:sz w:val="16"/>
          <w:szCs w:val="16"/>
        </w:rPr>
        <w:t>CONSEJO DE ESTADO. Sección Tercera. Sentencia del 19 de agosto de 2004. Exp. 12.342. C.P. Ramiro Saavedra Becerra.</w:t>
      </w:r>
    </w:p>
  </w:footnote>
  <w:footnote w:id="3">
    <w:p w14:paraId="06ADB5C3" w14:textId="77777777" w:rsidR="00D10AD0" w:rsidRPr="003E78FA" w:rsidRDefault="00D10AD0" w:rsidP="00D10AD0">
      <w:pPr>
        <w:pStyle w:val="FootnoteText"/>
        <w:snapToGrid w:val="0"/>
        <w:ind w:firstLine="567"/>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w:t>
      </w:r>
      <w:r w:rsidRPr="003E78FA">
        <w:rPr>
          <w:rFonts w:ascii="Verdana" w:eastAsia="Calibri" w:hAnsi="Verdana" w:cs="Arial"/>
          <w:sz w:val="16"/>
          <w:szCs w:val="16"/>
          <w:lang w:val="es-CO"/>
        </w:rPr>
        <w:t>“Artículo 10. Tratamiento para las cooperativas y asociaciones de entidades territoriales. Las cooperativas, las asociaciones conformadas por entidades territoriales y en general los entes solidarios de carácter público estarán sometidos a las disposiciones del Estatuto General de Contratación de la Administración Pública. La celebración de contratos de entidades estatales con asociaciones o cooperativas de entidades territoriales y en general con entes solidarios, se someterá a los procesos de selección de que trata la presente ley, en los que participarán en igualdad de condiciones con los particulares”.</w:t>
      </w:r>
      <w:r w:rsidRPr="003E78FA">
        <w:rPr>
          <w:rFonts w:ascii="Verdana" w:hAnsi="Verdana" w:cs="Arial"/>
          <w:sz w:val="16"/>
          <w:szCs w:val="16"/>
        </w:rPr>
        <w:t xml:space="preserve"> </w:t>
      </w:r>
    </w:p>
  </w:footnote>
  <w:footnote w:id="4">
    <w:p w14:paraId="5122BE2C" w14:textId="77777777" w:rsidR="00D10AD0" w:rsidRPr="003E78FA" w:rsidRDefault="00D10AD0" w:rsidP="00D10AD0">
      <w:pPr>
        <w:pStyle w:val="FootnoteText"/>
        <w:snapToGrid w:val="0"/>
        <w:ind w:firstLine="567"/>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w:t>
      </w:r>
      <w:r w:rsidRPr="003E78FA">
        <w:rPr>
          <w:rFonts w:ascii="Verdana" w:eastAsia="Calibri" w:hAnsi="Verdana" w:cs="Arial"/>
          <w:sz w:val="16"/>
          <w:szCs w:val="16"/>
          <w:lang w:val="es-CO"/>
        </w:rPr>
        <w:t>“Artículo 24. Del régimen contractual de las Corporaciones Autónomas Regionales. La contratación de las Corporaciones Autónomas Regionales incluida la Corporación Autónoma Regional del Río Grande de la Magdalena, se someterá al Estatuto General de Contratación de la Administración Pública contenido en la Ley 80 de 1993 y en las demás normas que lo modifiquen, deroguen o adicionen”.</w:t>
      </w:r>
    </w:p>
  </w:footnote>
  <w:footnote w:id="5">
    <w:p w14:paraId="3CE69100" w14:textId="77777777" w:rsidR="00D10AD0" w:rsidRPr="003E78FA" w:rsidRDefault="00D10AD0" w:rsidP="00D10AD0">
      <w:pPr>
        <w:pStyle w:val="FootnoteText"/>
        <w:snapToGrid w:val="0"/>
        <w:ind w:firstLine="708"/>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w:t>
      </w:r>
      <w:r w:rsidRPr="003E78FA">
        <w:rPr>
          <w:rFonts w:ascii="Verdana" w:eastAsia="Calibri" w:hAnsi="Verdana" w:cs="Arial"/>
          <w:sz w:val="16"/>
          <w:szCs w:val="16"/>
          <w:lang w:val="es-CO"/>
        </w:rPr>
        <w:t>CONSEJO DE ESTADO. Sala de Consulta y Servicio Civil del Consejo de Estado, Concepto 1291 de 2000.</w:t>
      </w:r>
      <w:r w:rsidRPr="003E78FA">
        <w:rPr>
          <w:rFonts w:ascii="Verdana" w:hAnsi="Verdana" w:cs="Arial"/>
          <w:sz w:val="16"/>
          <w:szCs w:val="16"/>
        </w:rPr>
        <w:t xml:space="preserve"> </w:t>
      </w:r>
    </w:p>
  </w:footnote>
  <w:footnote w:id="6">
    <w:p w14:paraId="74557FDE" w14:textId="77777777" w:rsidR="00D10AD0" w:rsidRPr="003E78FA" w:rsidRDefault="00D10AD0" w:rsidP="00D10AD0">
      <w:pPr>
        <w:pStyle w:val="FootnoteText"/>
        <w:snapToGrid w:val="0"/>
        <w:ind w:firstLine="708"/>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w:t>
      </w:r>
      <w:r w:rsidRPr="003E78FA">
        <w:rPr>
          <w:rFonts w:ascii="Verdana" w:eastAsia="Calibri" w:hAnsi="Verdana" w:cs="Arial"/>
          <w:sz w:val="16"/>
          <w:szCs w:val="16"/>
          <w:lang w:val="es-CO"/>
        </w:rPr>
        <w:t>VIDAL PERDOMO, Jaime y MOLINA BETANCUR, Carlos. Derecho Administrativo. Decimoquinta edición. 2019, Legis Editores. pp. 168-169.</w:t>
      </w:r>
      <w:r w:rsidRPr="003E78FA">
        <w:rPr>
          <w:rFonts w:ascii="Verdana" w:hAnsi="Verdana" w:cs="Arial"/>
          <w:sz w:val="16"/>
          <w:szCs w:val="16"/>
        </w:rPr>
        <w:t xml:space="preserve"> </w:t>
      </w:r>
    </w:p>
  </w:footnote>
  <w:footnote w:id="7">
    <w:p w14:paraId="0F1763CF" w14:textId="77777777" w:rsidR="00D10AD0" w:rsidRPr="003E78FA" w:rsidRDefault="00D10AD0" w:rsidP="00D10AD0">
      <w:pPr>
        <w:pStyle w:val="FootnoteText"/>
        <w:snapToGrid w:val="0"/>
        <w:ind w:firstLine="708"/>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w:t>
      </w:r>
      <w:r w:rsidRPr="003E78FA">
        <w:rPr>
          <w:rFonts w:ascii="Verdana" w:eastAsia="Calibri" w:hAnsi="Verdana" w:cs="Arial"/>
          <w:sz w:val="16"/>
          <w:szCs w:val="16"/>
          <w:lang w:val="es-CO"/>
        </w:rPr>
        <w:t>Corte Constitucional. Sentencia C- 230 de 1995. M.P. Antonio Barrera Carbonell.</w:t>
      </w:r>
      <w:r w:rsidRPr="003E78FA">
        <w:rPr>
          <w:rFonts w:ascii="Verdana" w:hAnsi="Verdana" w:cs="Arial"/>
          <w:sz w:val="16"/>
          <w:szCs w:val="16"/>
        </w:rPr>
        <w:t xml:space="preserve"> </w:t>
      </w:r>
    </w:p>
  </w:footnote>
  <w:footnote w:id="8">
    <w:p w14:paraId="0F5CAEEE"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Style w:val="FootnoteReference"/>
          <w:rFonts w:ascii="Verdana" w:hAnsi="Verdana"/>
          <w:sz w:val="16"/>
          <w:szCs w:val="16"/>
        </w:rPr>
        <w:footnoteRef/>
      </w:r>
      <w:r w:rsidRPr="003E78FA">
        <w:rPr>
          <w:rFonts w:ascii="Verdana" w:hAnsi="Verdana"/>
          <w:sz w:val="16"/>
          <w:szCs w:val="16"/>
        </w:rPr>
        <w:t xml:space="preserve"> Ley 488 de 1998. “Artículo</w:t>
      </w:r>
      <w:bookmarkStart w:id="3" w:name="96"/>
      <w:bookmarkEnd w:id="3"/>
      <w:r w:rsidRPr="003E78FA">
        <w:rPr>
          <w:rFonts w:ascii="Verdana" w:hAnsi="Verdana"/>
          <w:sz w:val="16"/>
          <w:szCs w:val="16"/>
        </w:rPr>
        <w:t xml:space="preserve"> 96. </w:t>
      </w:r>
      <w:r w:rsidRPr="003E78FA">
        <w:rPr>
          <w:rFonts w:ascii="Verdana" w:hAnsi="Verdana"/>
          <w:i/>
          <w:sz w:val="16"/>
          <w:szCs w:val="16"/>
        </w:rPr>
        <w:t>Constitución de asociaciones y fundaciones para el cumplimiento de las actividades propias de las entidades públicas con participacion de particulares</w:t>
      </w:r>
      <w:r w:rsidRPr="003E78FA">
        <w:rPr>
          <w:rFonts w:ascii="Verdana" w:hAnsi="Verdana"/>
          <w:b/>
          <w:i/>
          <w:sz w:val="16"/>
          <w:szCs w:val="16"/>
        </w:rPr>
        <w:t>.</w:t>
      </w:r>
      <w:r w:rsidRPr="003E78FA">
        <w:rPr>
          <w:rFonts w:ascii="Verdana" w:hAnsi="Verdana"/>
          <w:sz w:val="16"/>
          <w:szCs w:val="16"/>
        </w:rPr>
        <w:t> Las entidades estatales, cualquiera sea su naturaleza y orden administrativo podrán, con la observancia de los principios señalados en el artículo 209 de la Constitución, asociarse con personas jurídicas particulares, mediante la celebracion de convenios de asociacion o la creacion de personas jurídicas, para el desarrollo conjunto de actividades en relación con los cometidos y funciones que les asigna a aquellas la ley.</w:t>
      </w:r>
    </w:p>
    <w:p w14:paraId="71AF92CF"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Los convenios de asociacion a que se refiere el presente artículo se celebraran de conformidad con lo dispuesto en el artículo 355 de la Constitución Política, en ellos se determinara con precision su objeto, término, obligaciones de las partes, aportes, coordinación y todos aquellos aspectos que se consideren pertinentes.</w:t>
      </w:r>
    </w:p>
    <w:p w14:paraId="77A011CC" w14:textId="77777777" w:rsidR="00D10AD0" w:rsidRPr="003E78FA" w:rsidRDefault="00D10AD0" w:rsidP="00D10AD0">
      <w:pPr>
        <w:pStyle w:val="FootnoteText"/>
        <w:snapToGrid w:val="0"/>
        <w:contextualSpacing/>
        <w:jc w:val="both"/>
        <w:rPr>
          <w:rFonts w:ascii="Verdana" w:hAnsi="Verdana"/>
          <w:sz w:val="16"/>
          <w:szCs w:val="16"/>
        </w:rPr>
      </w:pPr>
      <w:r w:rsidRPr="003E78FA">
        <w:rPr>
          <w:rFonts w:ascii="Verdana" w:hAnsi="Verdana"/>
          <w:sz w:val="16"/>
          <w:szCs w:val="16"/>
        </w:rPr>
        <w:t> </w:t>
      </w:r>
      <w:r w:rsidRPr="003E78FA">
        <w:rPr>
          <w:rFonts w:ascii="Verdana" w:hAnsi="Verdana"/>
          <w:sz w:val="16"/>
          <w:szCs w:val="16"/>
        </w:rPr>
        <w:tab/>
        <w:t>Cuando en virtud de lo dispuesto en el presente artículo, surjan personas jurídicas sin animo de lucro, estas se sujetaran a las disposiciones previstas en el Código Civil para las asociaciones civiles de utilidad comun.</w:t>
      </w:r>
    </w:p>
    <w:p w14:paraId="52D7B007" w14:textId="77777777" w:rsidR="00D10AD0" w:rsidRPr="003E78FA" w:rsidRDefault="00D10AD0" w:rsidP="00D10AD0">
      <w:pPr>
        <w:pStyle w:val="FootnoteText"/>
        <w:snapToGrid w:val="0"/>
        <w:contextualSpacing/>
        <w:jc w:val="both"/>
        <w:rPr>
          <w:rFonts w:ascii="Verdana" w:hAnsi="Verdana"/>
          <w:sz w:val="16"/>
          <w:szCs w:val="16"/>
        </w:rPr>
      </w:pPr>
      <w:r w:rsidRPr="003E78FA">
        <w:rPr>
          <w:rFonts w:ascii="Verdana" w:hAnsi="Verdana"/>
          <w:sz w:val="16"/>
          <w:szCs w:val="16"/>
        </w:rPr>
        <w:t> </w:t>
      </w:r>
      <w:r w:rsidRPr="003E78FA">
        <w:rPr>
          <w:rFonts w:ascii="Verdana" w:hAnsi="Verdana"/>
          <w:sz w:val="16"/>
          <w:szCs w:val="16"/>
        </w:rPr>
        <w:tab/>
        <w:t>En todo caso, en el correspondiente acto constitutivo que de origen a una persona jurídica se dispondra sobre los siguientes aspectos:</w:t>
      </w:r>
    </w:p>
    <w:p w14:paraId="3788CC31"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a. Los objetivos y actividades a cargo, con precision de la conexidad con los objetivos, funciones y controles propios de las entidades públicas participantes;</w:t>
      </w:r>
    </w:p>
    <w:p w14:paraId="160E50DD"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b. Los compromisos o aportes iniciales de las entidades asociadas y su naturaleza y forma de pago, con sujecion a las disposiciones presupuestales y fiscales, para el caso de las públicas;</w:t>
      </w:r>
    </w:p>
    <w:p w14:paraId="3E40F8B0"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c. La participacion de las entidades asociadas en el sostenimiento y funcionamiento de la entidad;</w:t>
      </w:r>
    </w:p>
    <w:p w14:paraId="5D915FF0"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d. La integracion de los organos de dirección y administración, en los cuáles deben participar representantes de las entidades públicas y de los particulares;</w:t>
      </w:r>
      <w:r w:rsidRPr="003E78FA">
        <w:rPr>
          <w:rFonts w:ascii="Verdana" w:hAnsi="Verdana"/>
          <w:sz w:val="16"/>
          <w:szCs w:val="16"/>
        </w:rPr>
        <w:tab/>
      </w:r>
    </w:p>
    <w:p w14:paraId="2D1A5886" w14:textId="77777777" w:rsidR="00D10AD0" w:rsidRPr="003E78FA" w:rsidRDefault="00D10AD0" w:rsidP="00D10AD0">
      <w:pPr>
        <w:pStyle w:val="FootnoteText"/>
        <w:snapToGrid w:val="0"/>
        <w:ind w:firstLine="708"/>
        <w:contextualSpacing/>
        <w:jc w:val="both"/>
        <w:rPr>
          <w:rFonts w:ascii="Verdana" w:hAnsi="Verdana"/>
          <w:sz w:val="16"/>
          <w:szCs w:val="16"/>
          <w:lang w:val="es-ES"/>
        </w:rPr>
      </w:pPr>
      <w:r w:rsidRPr="003E78FA">
        <w:rPr>
          <w:rFonts w:ascii="Verdana" w:hAnsi="Verdana"/>
          <w:sz w:val="16"/>
          <w:szCs w:val="16"/>
        </w:rPr>
        <w:t>e. La duración de la asociacion y las causales de disolucion”.</w:t>
      </w:r>
    </w:p>
  </w:footnote>
  <w:footnote w:id="9">
    <w:p w14:paraId="66C2DA74" w14:textId="77777777" w:rsidR="00D10AD0" w:rsidRPr="003E78FA" w:rsidRDefault="00D10AD0" w:rsidP="00D10AD0">
      <w:pPr>
        <w:pStyle w:val="FootnoteText"/>
        <w:snapToGrid w:val="0"/>
        <w:ind w:firstLine="708"/>
        <w:contextualSpacing/>
        <w:jc w:val="both"/>
        <w:rPr>
          <w:rFonts w:ascii="Verdana" w:hAnsi="Verdana"/>
          <w:sz w:val="16"/>
          <w:szCs w:val="16"/>
          <w:lang w:val="es-ES"/>
        </w:rPr>
      </w:pPr>
      <w:r w:rsidRPr="003E78FA">
        <w:rPr>
          <w:rStyle w:val="FootnoteReference"/>
          <w:rFonts w:ascii="Verdana" w:hAnsi="Verdana"/>
          <w:sz w:val="16"/>
          <w:szCs w:val="16"/>
        </w:rPr>
        <w:footnoteRef/>
      </w:r>
      <w:r w:rsidRPr="003E78FA">
        <w:rPr>
          <w:rFonts w:ascii="Verdana" w:hAnsi="Verdana"/>
          <w:sz w:val="16"/>
          <w:szCs w:val="16"/>
        </w:rPr>
        <w:t xml:space="preserve"> </w:t>
      </w:r>
      <w:r w:rsidRPr="003E78FA">
        <w:rPr>
          <w:rFonts w:ascii="Verdana" w:hAnsi="Verdana"/>
          <w:sz w:val="16"/>
          <w:szCs w:val="16"/>
          <w:lang w:val="es-ES"/>
        </w:rPr>
        <w:t xml:space="preserve">Este es el caso, por ejemplo, de los fondos </w:t>
      </w:r>
      <w:r w:rsidRPr="003E78FA">
        <w:rPr>
          <w:rFonts w:ascii="Verdana" w:eastAsia="Times New Roman" w:hAnsi="Verdana" w:cs="Arial"/>
          <w:iCs/>
          <w:sz w:val="16"/>
          <w:szCs w:val="16"/>
          <w:lang w:eastAsia="es-ES"/>
        </w:rPr>
        <w:t>para la promoción de la cultura y las artes</w:t>
      </w:r>
      <w:r w:rsidRPr="003E78FA">
        <w:rPr>
          <w:rFonts w:ascii="Verdana" w:hAnsi="Verdana"/>
          <w:sz w:val="16"/>
          <w:szCs w:val="16"/>
        </w:rPr>
        <w:t xml:space="preserve"> que, en virtud de lo dispuesto en el artículo 63 de la la Ley 397 de 1997, actúan por disposición legal especial al amparo de las normas de derecho privado. Esto se traduce en que la existencia y validez de sus actos y contratos están regidas por las leyes civiles y comerciales pertinentes, así como por lo dispuesto en los estatutos, manuales de contratación y demás normas internas que las rigen. Sin embargo, a dicha contratación realizada en el marco del derecho privado también le resultan aplicables los principios de la función administrativa y de la gestión fiscal de que tratan los artículos 209 y 267 de la Constitución Política. Así como el régimen de inhabilidades e incompatibilidades para contratar con el Estado y la obligación de publicar la actividad contractual en el SECOP II.  </w:t>
      </w:r>
    </w:p>
  </w:footnote>
  <w:footnote w:id="10">
    <w:p w14:paraId="5C4382CF" w14:textId="77777777" w:rsidR="00D10AD0" w:rsidRPr="003E78FA" w:rsidRDefault="00D10AD0" w:rsidP="00D10AD0">
      <w:pPr>
        <w:shd w:val="clear" w:color="auto" w:fill="FFFFFF"/>
        <w:snapToGrid w:val="0"/>
        <w:spacing w:after="0" w:line="240" w:lineRule="auto"/>
        <w:ind w:firstLine="708"/>
        <w:contextualSpacing/>
        <w:jc w:val="both"/>
        <w:rPr>
          <w:rFonts w:ascii="Verdana" w:eastAsia="Calibri"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w:t>
      </w:r>
      <w:r w:rsidRPr="003E78FA">
        <w:rPr>
          <w:rFonts w:ascii="Verdana" w:eastAsia="Calibri" w:hAnsi="Verdana"/>
          <w:bCs/>
          <w:sz w:val="16"/>
          <w:szCs w:val="16"/>
        </w:rPr>
        <w:t>Artículo 38.-</w:t>
      </w:r>
      <w:r w:rsidRPr="003E78FA">
        <w:rPr>
          <w:rFonts w:ascii="Verdana" w:eastAsia="Calibri" w:hAnsi="Verdana"/>
          <w:b/>
          <w:bCs/>
          <w:sz w:val="16"/>
          <w:szCs w:val="16"/>
        </w:rPr>
        <w:t> </w:t>
      </w:r>
      <w:r w:rsidRPr="003E78FA">
        <w:rPr>
          <w:rFonts w:ascii="Verdana" w:eastAsia="Calibri" w:hAnsi="Verdana"/>
          <w:i/>
          <w:iCs/>
          <w:sz w:val="16"/>
          <w:szCs w:val="16"/>
        </w:rPr>
        <w:t>Integración de la Rama Ejecutiva del Poder Público en el orden nacional. </w:t>
      </w:r>
      <w:r w:rsidRPr="003E78FA">
        <w:rPr>
          <w:rFonts w:ascii="Verdana" w:eastAsia="Calibri" w:hAnsi="Verdana" w:cs="Arial"/>
          <w:sz w:val="16"/>
          <w:szCs w:val="16"/>
        </w:rPr>
        <w:t>La Rama Ejecutiva del Poder Público en el orden nacional, está integrada por los siguientes organismos y entidades:</w:t>
      </w:r>
    </w:p>
    <w:p w14:paraId="24FE23E8" w14:textId="77777777" w:rsidR="00D10AD0" w:rsidRPr="003E78FA" w:rsidRDefault="00D10AD0" w:rsidP="00D10AD0">
      <w:pPr>
        <w:shd w:val="clear" w:color="auto" w:fill="FFFFFF"/>
        <w:snapToGrid w:val="0"/>
        <w:spacing w:after="0" w:line="240" w:lineRule="auto"/>
        <w:ind w:firstLine="708"/>
        <w:contextualSpacing/>
        <w:jc w:val="both"/>
        <w:rPr>
          <w:rFonts w:ascii="Verdana" w:eastAsia="Calibri" w:hAnsi="Verdana" w:cs="Arial"/>
          <w:sz w:val="16"/>
          <w:szCs w:val="16"/>
        </w:rPr>
      </w:pPr>
      <w:bookmarkStart w:id="4" w:name="38.d."/>
      <w:bookmarkStart w:id="5" w:name="38.e."/>
      <w:bookmarkEnd w:id="4"/>
      <w:bookmarkEnd w:id="5"/>
      <w:r w:rsidRPr="003E78FA">
        <w:rPr>
          <w:rFonts w:ascii="Verdana" w:eastAsia="Calibri" w:hAnsi="Verdana" w:cs="Arial"/>
          <w:sz w:val="16"/>
          <w:szCs w:val="16"/>
        </w:rPr>
        <w:t>[…]</w:t>
      </w:r>
    </w:p>
    <w:p w14:paraId="44B4338D" w14:textId="77777777" w:rsidR="00D10AD0" w:rsidRPr="003E78FA" w:rsidRDefault="00D10AD0" w:rsidP="00D10AD0">
      <w:pPr>
        <w:shd w:val="clear" w:color="auto" w:fill="FFFFFF"/>
        <w:snapToGrid w:val="0"/>
        <w:spacing w:after="0" w:line="240" w:lineRule="auto"/>
        <w:ind w:firstLine="708"/>
        <w:contextualSpacing/>
        <w:jc w:val="both"/>
        <w:rPr>
          <w:rFonts w:ascii="Verdana" w:eastAsia="Calibri" w:hAnsi="Verdana" w:cs="Arial"/>
          <w:sz w:val="16"/>
          <w:szCs w:val="16"/>
        </w:rPr>
      </w:pPr>
      <w:r w:rsidRPr="003E78FA">
        <w:rPr>
          <w:rFonts w:ascii="Verdana" w:eastAsia="Calibri" w:hAnsi="Verdana" w:cs="Arial"/>
          <w:sz w:val="16"/>
          <w:szCs w:val="16"/>
        </w:rPr>
        <w:t>“2. Del Sector descentralizado por servicios:</w:t>
      </w:r>
    </w:p>
    <w:p w14:paraId="502A91DF" w14:textId="77777777" w:rsidR="00D10AD0" w:rsidRPr="003E78FA" w:rsidRDefault="00D10AD0" w:rsidP="00D10AD0">
      <w:pPr>
        <w:shd w:val="clear" w:color="auto" w:fill="FFFFFF"/>
        <w:snapToGrid w:val="0"/>
        <w:spacing w:after="0" w:line="240" w:lineRule="auto"/>
        <w:ind w:firstLine="708"/>
        <w:contextualSpacing/>
        <w:jc w:val="both"/>
        <w:rPr>
          <w:rFonts w:ascii="Verdana" w:eastAsia="Calibri" w:hAnsi="Verdana" w:cs="Arial"/>
          <w:sz w:val="16"/>
          <w:szCs w:val="16"/>
        </w:rPr>
      </w:pPr>
      <w:r w:rsidRPr="003E78FA">
        <w:rPr>
          <w:rFonts w:ascii="Verdana" w:eastAsia="Calibri" w:hAnsi="Verdana" w:cs="Arial"/>
          <w:sz w:val="16"/>
          <w:szCs w:val="16"/>
        </w:rPr>
        <w:t>[…]</w:t>
      </w:r>
    </w:p>
    <w:p w14:paraId="0C2AF633" w14:textId="77777777" w:rsidR="00D10AD0" w:rsidRPr="003E78FA" w:rsidRDefault="00D10AD0" w:rsidP="00D10AD0">
      <w:pPr>
        <w:shd w:val="clear" w:color="auto" w:fill="FFFFFF"/>
        <w:snapToGrid w:val="0"/>
        <w:spacing w:after="0" w:line="240" w:lineRule="auto"/>
        <w:ind w:firstLine="708"/>
        <w:contextualSpacing/>
        <w:jc w:val="both"/>
        <w:rPr>
          <w:rFonts w:ascii="Verdana" w:eastAsia="Calibri" w:hAnsi="Verdana" w:cs="Arial"/>
          <w:sz w:val="16"/>
          <w:szCs w:val="16"/>
        </w:rPr>
      </w:pPr>
      <w:bookmarkStart w:id="6" w:name="38.g."/>
      <w:bookmarkStart w:id="7" w:name="38.g"/>
      <w:bookmarkEnd w:id="6"/>
      <w:bookmarkEnd w:id="7"/>
      <w:r w:rsidRPr="003E78FA">
        <w:rPr>
          <w:rFonts w:ascii="Verdana" w:eastAsia="Calibri" w:hAnsi="Verdana" w:cs="Arial"/>
          <w:sz w:val="16"/>
          <w:szCs w:val="16"/>
        </w:rPr>
        <w:t>“g. Las demás entidades administrativas nacionales con personería jurídica que cree, organice o autorice la ley para que formen parte de la Rama Ejecutiva del Poder Público. […]”.</w:t>
      </w:r>
    </w:p>
  </w:footnote>
  <w:footnote w:id="11">
    <w:p w14:paraId="6733C25D" w14:textId="77777777" w:rsidR="00D10AD0" w:rsidRPr="003E78FA" w:rsidRDefault="00D10AD0" w:rsidP="00D10AD0">
      <w:pPr>
        <w:pStyle w:val="NormalWeb"/>
        <w:snapToGrid w:val="0"/>
        <w:spacing w:before="0" w:beforeAutospacing="0" w:after="0" w:afterAutospacing="0"/>
        <w:ind w:firstLine="708"/>
        <w:contextualSpacing/>
        <w:jc w:val="both"/>
        <w:rPr>
          <w:rFonts w:ascii="Verdana" w:eastAsia="Calibri" w:hAnsi="Verdana" w:cs="Arial"/>
          <w:sz w:val="16"/>
          <w:szCs w:val="16"/>
        </w:rPr>
      </w:pPr>
      <w:r w:rsidRPr="003E78FA">
        <w:rPr>
          <w:rFonts w:ascii="Verdana" w:eastAsia="Calibri" w:hAnsi="Verdana"/>
          <w:sz w:val="16"/>
          <w:szCs w:val="16"/>
        </w:rPr>
        <w:footnoteRef/>
      </w:r>
      <w:r w:rsidRPr="003E78FA">
        <w:rPr>
          <w:rFonts w:ascii="Verdana" w:eastAsia="Calibri" w:hAnsi="Verdana" w:cs="Arial"/>
          <w:sz w:val="16"/>
          <w:szCs w:val="16"/>
        </w:rPr>
        <w:t xml:space="preserve"> “Articulo 68. Entidades descentralizadas. Son entidades descentralizadas del orden nacional, los establecimientos públicos, las empresas industriales y comerciales del Estado, las sociedades públicas y las sociedades de economía mixta, las superintendencias y las unidades administrativas especiales con personería jurídica, las empresas sociales del Estado, las empresas oficiales de servicios públicos y las demás entidades creadas por la ley o con su autorización, cuyo objeto principal sea el ejercicio de funciones administrativas, la prestación de servicios públicos o la realización de actividades industriales o comerciales con personería jurídica, autonomía administrativa y patrimonio propio. Como órganos del Estado aun cuando gozan de autonomía administrativa están sujetas al control político y a la suprema dirección del órgano de la administración al cual están adscritas.</w:t>
      </w:r>
    </w:p>
    <w:p w14:paraId="47B460B2" w14:textId="77777777" w:rsidR="00D10AD0" w:rsidRPr="003E78FA" w:rsidRDefault="00D10AD0" w:rsidP="00D10AD0">
      <w:pPr>
        <w:snapToGrid w:val="0"/>
        <w:spacing w:after="0" w:line="240" w:lineRule="auto"/>
        <w:ind w:firstLine="708"/>
        <w:contextualSpacing/>
        <w:jc w:val="both"/>
        <w:rPr>
          <w:rFonts w:ascii="Verdana" w:eastAsia="Calibri" w:hAnsi="Verdana" w:cs="Arial"/>
          <w:sz w:val="16"/>
          <w:szCs w:val="16"/>
        </w:rPr>
      </w:pPr>
      <w:r w:rsidRPr="003E78FA">
        <w:rPr>
          <w:rFonts w:ascii="Verdana" w:eastAsia="Calibri" w:hAnsi="Verdana" w:cs="Arial"/>
          <w:sz w:val="16"/>
          <w:szCs w:val="16"/>
        </w:rPr>
        <w:t>“Las entidades descentralizadas se sujetan a las reglas señaladas en la Constitución Política, en la presente ley, en las leyes que las creen y determinen su estructura orgánica y a sus estatutos internos. “Los organismos y entidades descentralizados, sujetos a regímenes especiales por mandato de la Constitución Política, se someterán a las disposiciones que para ellos establezca la respectiva ley.</w:t>
      </w:r>
    </w:p>
    <w:p w14:paraId="6DEE709E" w14:textId="77777777" w:rsidR="00D10AD0" w:rsidRPr="003E78FA" w:rsidRDefault="00D10AD0" w:rsidP="00D10AD0">
      <w:pPr>
        <w:snapToGrid w:val="0"/>
        <w:spacing w:after="0" w:line="240" w:lineRule="auto"/>
        <w:ind w:firstLine="708"/>
        <w:contextualSpacing/>
        <w:jc w:val="both"/>
        <w:rPr>
          <w:rFonts w:ascii="Verdana" w:eastAsia="Calibri" w:hAnsi="Verdana" w:cs="Arial"/>
          <w:sz w:val="16"/>
          <w:szCs w:val="16"/>
        </w:rPr>
      </w:pPr>
      <w:r w:rsidRPr="003E78FA">
        <w:rPr>
          <w:rFonts w:ascii="Verdana" w:eastAsia="Calibri" w:hAnsi="Verdana" w:cs="Arial"/>
          <w:sz w:val="16"/>
          <w:szCs w:val="16"/>
        </w:rPr>
        <w:t>“Parágrafo 1o. De conformidad con el inciso segundo del artículo </w:t>
      </w:r>
      <w:hyperlink r:id="rId1" w:anchor="210" w:history="1">
        <w:r w:rsidRPr="003E78FA">
          <w:rPr>
            <w:rFonts w:ascii="Verdana" w:eastAsia="Calibri" w:hAnsi="Verdana" w:cs="Arial"/>
            <w:sz w:val="16"/>
            <w:szCs w:val="16"/>
          </w:rPr>
          <w:t>210</w:t>
        </w:r>
      </w:hyperlink>
      <w:r w:rsidRPr="003E78FA">
        <w:rPr>
          <w:rFonts w:ascii="Verdana" w:eastAsia="Calibri" w:hAnsi="Verdana" w:cs="Arial"/>
          <w:sz w:val="16"/>
          <w:szCs w:val="16"/>
        </w:rPr>
        <w:t> de la Constitución Política, el régimen jurídico aquí previsto para las entidades descentralizadas es aplicable a las de las entidades territoriales sin perjuicio de las competencias asignadas por la Constitución y la ley a las autoridades del orden territorial.</w:t>
      </w:r>
    </w:p>
    <w:p w14:paraId="6F634313" w14:textId="77777777" w:rsidR="00D10AD0" w:rsidRPr="003E78FA" w:rsidRDefault="00D10AD0" w:rsidP="00D10AD0">
      <w:pPr>
        <w:snapToGrid w:val="0"/>
        <w:spacing w:after="0" w:line="240" w:lineRule="auto"/>
        <w:ind w:firstLine="708"/>
        <w:contextualSpacing/>
        <w:jc w:val="both"/>
        <w:rPr>
          <w:rFonts w:ascii="Verdana" w:eastAsia="Calibri" w:hAnsi="Verdana" w:cs="Arial"/>
          <w:sz w:val="16"/>
          <w:szCs w:val="16"/>
        </w:rPr>
      </w:pPr>
      <w:r w:rsidRPr="003E78FA">
        <w:rPr>
          <w:rFonts w:ascii="Verdana" w:eastAsia="Calibri" w:hAnsi="Verdana" w:cs="Arial"/>
          <w:sz w:val="16"/>
          <w:szCs w:val="16"/>
        </w:rPr>
        <w:t>“Parágrafo 2o. Los organismos o entidades del Sector Descentralizado que tengan como objetivo desarrollar actividades científicas y tecnológicas, se sujetarán a la Legislación de Ciencia y Tecnología y su organización será determinada por el Gobierno Nacional.</w:t>
      </w:r>
    </w:p>
    <w:p w14:paraId="4E111C79" w14:textId="77777777" w:rsidR="00D10AD0" w:rsidRPr="003E78FA" w:rsidRDefault="00D10AD0" w:rsidP="00D10AD0">
      <w:pPr>
        <w:snapToGrid w:val="0"/>
        <w:spacing w:after="0" w:line="240" w:lineRule="auto"/>
        <w:ind w:firstLine="708"/>
        <w:contextualSpacing/>
        <w:jc w:val="both"/>
        <w:rPr>
          <w:rFonts w:ascii="Verdana" w:eastAsia="Calibri" w:hAnsi="Verdana" w:cs="Arial"/>
          <w:sz w:val="16"/>
          <w:szCs w:val="16"/>
        </w:rPr>
      </w:pPr>
      <w:r w:rsidRPr="003E78FA">
        <w:rPr>
          <w:rFonts w:ascii="Verdana" w:eastAsia="Calibri" w:hAnsi="Verdana" w:cs="Arial"/>
          <w:sz w:val="16"/>
          <w:szCs w:val="16"/>
        </w:rPr>
        <w:t xml:space="preserve">“Parágrafo 3o. Lo dispuesto en el presente artículo no se aplica a las corporaciones civiles sin ánimo de lucro de derecho privado, vinculadas al Ministerio del Medio Ambiente, creadas por la Ley 99 de 1993”. </w:t>
      </w:r>
    </w:p>
  </w:footnote>
  <w:footnote w:id="12">
    <w:p w14:paraId="017E2F71" w14:textId="77777777" w:rsidR="00D10AD0" w:rsidRPr="003E78FA" w:rsidRDefault="00D10AD0" w:rsidP="00D10AD0">
      <w:pPr>
        <w:pStyle w:val="FootnoteText"/>
        <w:snapToGrid w:val="0"/>
        <w:ind w:firstLine="709"/>
        <w:contextualSpacing/>
        <w:jc w:val="both"/>
        <w:rPr>
          <w:rFonts w:ascii="Verdana" w:hAnsi="Verdana" w:cs="Arial"/>
          <w:iCs/>
          <w:color w:val="000000" w:themeColor="text1"/>
          <w:sz w:val="16"/>
          <w:szCs w:val="16"/>
        </w:rPr>
      </w:pPr>
      <w:r w:rsidRPr="003E78FA">
        <w:rPr>
          <w:rStyle w:val="FootnoteReference"/>
          <w:rFonts w:ascii="Verdana" w:hAnsi="Verdana" w:cs="Arial"/>
          <w:color w:val="000000" w:themeColor="text1"/>
          <w:sz w:val="16"/>
          <w:szCs w:val="16"/>
        </w:rPr>
        <w:footnoteRef/>
      </w:r>
      <w:r w:rsidRPr="003E78FA">
        <w:rPr>
          <w:rFonts w:ascii="Verdana" w:hAnsi="Verdana" w:cs="Arial"/>
          <w:iCs/>
          <w:color w:val="000000" w:themeColor="text1"/>
          <w:sz w:val="16"/>
          <w:szCs w:val="16"/>
        </w:rPr>
        <w:t xml:space="preserve"> Definición legal que hoy puede encontrarse en el artículo 3 del CPACA.</w:t>
      </w:r>
    </w:p>
  </w:footnote>
  <w:footnote w:id="13">
    <w:p w14:paraId="60EEC197" w14:textId="77777777" w:rsidR="00D10AD0" w:rsidRPr="003E78FA" w:rsidRDefault="00D10AD0" w:rsidP="00D10AD0">
      <w:pPr>
        <w:pStyle w:val="FootnoteText"/>
        <w:snapToGrid w:val="0"/>
        <w:ind w:firstLine="709"/>
        <w:contextualSpacing/>
        <w:jc w:val="both"/>
        <w:rPr>
          <w:rFonts w:ascii="Verdana" w:hAnsi="Verdana" w:cs="Arial"/>
          <w:iCs/>
          <w:color w:val="000000" w:themeColor="text1"/>
          <w:sz w:val="16"/>
          <w:szCs w:val="16"/>
        </w:rPr>
      </w:pPr>
      <w:r w:rsidRPr="003E78FA">
        <w:rPr>
          <w:rStyle w:val="FootnoteReference"/>
          <w:rFonts w:ascii="Verdana" w:hAnsi="Verdana" w:cs="Arial"/>
          <w:color w:val="000000" w:themeColor="text1"/>
          <w:sz w:val="16"/>
          <w:szCs w:val="16"/>
        </w:rPr>
        <w:footnoteRef/>
      </w:r>
      <w:r w:rsidRPr="003E78FA">
        <w:rPr>
          <w:rFonts w:ascii="Verdana" w:hAnsi="Verdana" w:cs="Arial"/>
          <w:color w:val="000000" w:themeColor="text1"/>
          <w:sz w:val="16"/>
          <w:szCs w:val="16"/>
        </w:rPr>
        <w:t xml:space="preserve"> </w:t>
      </w:r>
      <w:r w:rsidRPr="003E78FA">
        <w:rPr>
          <w:rFonts w:ascii="Verdana" w:hAnsi="Verdana" w:cs="Arial"/>
          <w:iCs/>
          <w:color w:val="000000" w:themeColor="text1"/>
          <w:sz w:val="16"/>
          <w:szCs w:val="16"/>
        </w:rPr>
        <w:t xml:space="preserve">Al respecto ver: Consejo de Estado, Sección Tercera, Subsección A, sentencia de 6 de julio de 2017. Exp. 51.920.  C.P. Marta Nubia Velázquez Rico; Sección Tercera, Subsección C. Sentencia de 13 de abril de 2011. Exp. 37423. C.P. Jaime Orlando Santofimio Gamboa; entre otras. </w:t>
      </w:r>
    </w:p>
  </w:footnote>
  <w:footnote w:id="14">
    <w:p w14:paraId="428598E5" w14:textId="77777777" w:rsidR="00D10AD0" w:rsidRPr="003E78FA" w:rsidRDefault="00D10AD0" w:rsidP="00D10AD0">
      <w:pPr>
        <w:pStyle w:val="FootnoteText"/>
        <w:snapToGrid w:val="0"/>
        <w:ind w:firstLine="708"/>
        <w:contextualSpacing/>
        <w:jc w:val="both"/>
        <w:rPr>
          <w:rFonts w:ascii="Verdana" w:hAnsi="Verdana"/>
          <w:sz w:val="16"/>
          <w:szCs w:val="16"/>
          <w:lang w:val="es-ES"/>
        </w:rPr>
      </w:pPr>
      <w:r w:rsidRPr="003E78FA">
        <w:rPr>
          <w:rStyle w:val="FootnoteReference"/>
          <w:rFonts w:ascii="Verdana" w:hAnsi="Verdana"/>
          <w:sz w:val="16"/>
          <w:szCs w:val="16"/>
        </w:rPr>
        <w:footnoteRef/>
      </w:r>
      <w:r w:rsidRPr="003E78FA">
        <w:rPr>
          <w:rFonts w:ascii="Verdana" w:hAnsi="Verdana"/>
          <w:sz w:val="16"/>
          <w:szCs w:val="16"/>
        </w:rPr>
        <w:t xml:space="preserve"> </w:t>
      </w:r>
      <w:r w:rsidRPr="003E78FA">
        <w:rPr>
          <w:rFonts w:ascii="Verdana" w:hAnsi="Verdana"/>
          <w:sz w:val="16"/>
          <w:szCs w:val="16"/>
          <w:lang w:val="es-ES"/>
        </w:rPr>
        <w:t xml:space="preserve">Este es el caso, por ejemplo, de los fondos </w:t>
      </w:r>
      <w:r w:rsidRPr="003E78FA">
        <w:rPr>
          <w:rFonts w:ascii="Verdana" w:eastAsia="Times New Roman" w:hAnsi="Verdana" w:cs="Arial"/>
          <w:iCs/>
          <w:sz w:val="16"/>
          <w:szCs w:val="16"/>
          <w:lang w:eastAsia="es-ES"/>
        </w:rPr>
        <w:t>para la promoción de la cultura y las artes</w:t>
      </w:r>
      <w:r w:rsidRPr="003E78FA">
        <w:rPr>
          <w:rFonts w:ascii="Verdana" w:hAnsi="Verdana"/>
          <w:sz w:val="16"/>
          <w:szCs w:val="16"/>
        </w:rPr>
        <w:t xml:space="preserve"> que, en virtud de lo dispuesto en el artículo 63 de la la Ley 397 de 1997, actúan por disposición legal especial al amparo de las normas de derecho privado. Esto se traduce en que la existencia y validez de sus actos y contratos están regidas por las leyes civiles y comerciales pertinentes, así como por lo dispuesto en los estatutos, manuales de contratación y demás normas internas que las rigen. Sin embargo, a dicha contratación realizada en el marco del derecho privado también le resultan aplicables los principios de la función administrativa y de la gestión fiscal de que tratan los artículos 209 y 267 de la Constitución Política. Así como el régimen de inhabilidades e incompatibilidades para contratar con el Estado y la obligación de publicar la actividad contractual en el SECOP II.  </w:t>
      </w:r>
    </w:p>
  </w:footnote>
  <w:footnote w:id="15">
    <w:p w14:paraId="1A4762BC" w14:textId="77777777" w:rsidR="00D10AD0" w:rsidRPr="003E78FA" w:rsidRDefault="00D10AD0" w:rsidP="00D10AD0">
      <w:pPr>
        <w:pStyle w:val="NormalWeb"/>
        <w:shd w:val="clear" w:color="auto" w:fill="FFFFFF"/>
        <w:snapToGrid w:val="0"/>
        <w:spacing w:before="0" w:beforeAutospacing="0" w:after="0" w:afterAutospacing="0"/>
        <w:ind w:firstLine="709"/>
        <w:contextualSpacing/>
        <w:jc w:val="both"/>
        <w:rPr>
          <w:rFonts w:ascii="Verdana" w:hAnsi="Verdana" w:cs="Arial"/>
          <w:sz w:val="16"/>
          <w:szCs w:val="16"/>
        </w:rPr>
      </w:pPr>
      <w:r w:rsidRPr="003E78FA">
        <w:rPr>
          <w:rStyle w:val="FootnoteReference"/>
          <w:rFonts w:ascii="Verdana" w:hAnsi="Verdana"/>
          <w:sz w:val="16"/>
          <w:szCs w:val="16"/>
        </w:rPr>
        <w:footnoteRef/>
      </w:r>
      <w:r w:rsidRPr="003E78FA">
        <w:rPr>
          <w:rFonts w:ascii="Verdana" w:eastAsia="Calibri" w:hAnsi="Verdana" w:cs="Arial"/>
          <w:sz w:val="16"/>
          <w:szCs w:val="16"/>
          <w:lang w:val="es-ES"/>
        </w:rPr>
        <w:t>«</w:t>
      </w:r>
      <w:r w:rsidRPr="003E78FA">
        <w:rPr>
          <w:rFonts w:ascii="Verdana" w:hAnsi="Verdana" w:cs="Arial"/>
          <w:sz w:val="16"/>
          <w:szCs w:val="16"/>
        </w:rPr>
        <w:t>Artículo 2.2.1.1.2.4.1.</w:t>
      </w:r>
      <w:r w:rsidRPr="003E78FA">
        <w:rPr>
          <w:rFonts w:ascii="Verdana" w:hAnsi="Verdana" w:cs="Arial"/>
          <w:i/>
          <w:iCs/>
          <w:sz w:val="16"/>
          <w:szCs w:val="16"/>
        </w:rPr>
        <w:t> </w:t>
      </w:r>
      <w:r w:rsidRPr="003E78FA">
        <w:rPr>
          <w:rFonts w:ascii="Verdana" w:hAnsi="Verdana" w:cs="Arial"/>
          <w:sz w:val="16"/>
          <w:szCs w:val="16"/>
        </w:rPr>
        <w:t>Patrimonio autónomo para el manejo de anticipos.</w:t>
      </w:r>
      <w:r w:rsidRPr="003E78FA">
        <w:rPr>
          <w:rFonts w:ascii="Verdana" w:hAnsi="Verdana" w:cs="Arial"/>
          <w:i/>
          <w:iCs/>
          <w:sz w:val="16"/>
          <w:szCs w:val="16"/>
        </w:rPr>
        <w:t> </w:t>
      </w:r>
      <w:r w:rsidRPr="003E78FA">
        <w:rPr>
          <w:rFonts w:ascii="Verdana" w:hAnsi="Verdana" w:cs="Arial"/>
          <w:sz w:val="16"/>
          <w:szCs w:val="16"/>
        </w:rPr>
        <w:t>En los casos previstos en la ley, el contratista debe suscribir un contrato de fiducia mercantil para crear un patrimonio autónomo, con una sociedad fiduciaria autorizada para ese fin por la Superintendencia Financiera de Colombia, a la cual la Entidad Estatal debe entregar el valor del anticipo.</w:t>
      </w:r>
    </w:p>
    <w:p w14:paraId="3FA37C19" w14:textId="77777777" w:rsidR="00D10AD0" w:rsidRPr="003E78FA" w:rsidRDefault="00D10AD0" w:rsidP="00D10AD0">
      <w:pPr>
        <w:pStyle w:val="NormalWeb"/>
        <w:shd w:val="clear" w:color="auto" w:fill="FFFFFF"/>
        <w:snapToGrid w:val="0"/>
        <w:spacing w:before="0" w:beforeAutospacing="0" w:after="0" w:afterAutospacing="0"/>
        <w:ind w:firstLine="709"/>
        <w:contextualSpacing/>
        <w:jc w:val="both"/>
        <w:rPr>
          <w:rFonts w:ascii="Verdana" w:hAnsi="Verdana" w:cs="Arial"/>
          <w:sz w:val="16"/>
          <w:szCs w:val="16"/>
        </w:rPr>
      </w:pPr>
      <w:r w:rsidRPr="003E78FA">
        <w:rPr>
          <w:rFonts w:ascii="Verdana" w:eastAsia="Calibri" w:hAnsi="Verdana" w:cs="Arial"/>
          <w:sz w:val="16"/>
          <w:szCs w:val="16"/>
          <w:lang w:val="es-ES"/>
        </w:rPr>
        <w:t>«</w:t>
      </w:r>
      <w:r w:rsidRPr="003E78FA">
        <w:rPr>
          <w:rFonts w:ascii="Verdana" w:hAnsi="Verdana" w:cs="Arial"/>
          <w:sz w:val="16"/>
          <w:szCs w:val="16"/>
        </w:rPr>
        <w:t>Los recursos entregados por la Entidad Estatal a título de anticipo dejan de ser parte del patrimonio de esta para conformar el patrimonio autónomo. En consecuencia, los recursos del patrimonio autónomo y sus rendimientos son autónomos y son manejados de acuerdo con el contrato de fiducia mercantil.</w:t>
      </w:r>
    </w:p>
    <w:p w14:paraId="7DDC8E97" w14:textId="77777777" w:rsidR="00D10AD0" w:rsidRPr="003E78FA" w:rsidRDefault="00D10AD0" w:rsidP="00D10AD0">
      <w:pPr>
        <w:pStyle w:val="NormalWeb"/>
        <w:shd w:val="clear" w:color="auto" w:fill="FFFFFF"/>
        <w:snapToGrid w:val="0"/>
        <w:spacing w:before="0" w:beforeAutospacing="0" w:after="0" w:afterAutospacing="0"/>
        <w:ind w:firstLine="709"/>
        <w:contextualSpacing/>
        <w:jc w:val="both"/>
        <w:rPr>
          <w:rFonts w:ascii="Verdana" w:hAnsi="Verdana" w:cs="Arial"/>
          <w:sz w:val="16"/>
          <w:szCs w:val="16"/>
        </w:rPr>
      </w:pPr>
      <w:r w:rsidRPr="003E78FA">
        <w:rPr>
          <w:rFonts w:ascii="Verdana" w:eastAsia="Calibri" w:hAnsi="Verdana" w:cs="Arial"/>
          <w:sz w:val="16"/>
          <w:szCs w:val="16"/>
          <w:lang w:val="es-ES"/>
        </w:rPr>
        <w:t>«</w:t>
      </w:r>
      <w:r w:rsidRPr="003E78FA">
        <w:rPr>
          <w:rFonts w:ascii="Verdana" w:hAnsi="Verdana" w:cs="Arial"/>
          <w:sz w:val="16"/>
          <w:szCs w:val="16"/>
        </w:rPr>
        <w:t>En los pliegos de condiciones, la Entidad Estatal debe establecer los términos y condiciones de la administración del anticipo a través del patrimonio autónomo.</w:t>
      </w:r>
    </w:p>
    <w:p w14:paraId="115729F3" w14:textId="77777777" w:rsidR="00D10AD0" w:rsidRPr="003E78FA" w:rsidRDefault="00D10AD0" w:rsidP="00D10AD0">
      <w:pPr>
        <w:pStyle w:val="NormalWeb"/>
        <w:shd w:val="clear" w:color="auto" w:fill="FFFFFF"/>
        <w:snapToGrid w:val="0"/>
        <w:spacing w:before="0" w:beforeAutospacing="0" w:after="0" w:afterAutospacing="0"/>
        <w:ind w:firstLine="709"/>
        <w:contextualSpacing/>
        <w:jc w:val="both"/>
        <w:rPr>
          <w:rFonts w:ascii="Verdana" w:eastAsia="Calibri" w:hAnsi="Verdana" w:cs="Arial"/>
          <w:sz w:val="16"/>
          <w:szCs w:val="16"/>
          <w:lang w:val="es-ES"/>
        </w:rPr>
      </w:pPr>
      <w:r w:rsidRPr="003E78FA">
        <w:rPr>
          <w:rFonts w:ascii="Verdana" w:eastAsia="Calibri" w:hAnsi="Verdana" w:cs="Arial"/>
          <w:sz w:val="16"/>
          <w:szCs w:val="16"/>
          <w:lang w:val="es-ES"/>
        </w:rPr>
        <w:t>«</w:t>
      </w:r>
      <w:r w:rsidRPr="003E78FA">
        <w:rPr>
          <w:rFonts w:ascii="Verdana" w:hAnsi="Verdana" w:cs="Arial"/>
          <w:sz w:val="16"/>
          <w:szCs w:val="16"/>
        </w:rPr>
        <w:t>En este caso, la sociedad fiduciaria debe pagar a los proveedores, con base en las instrucciones que reciba del contratista, las cuales deben haber sido autorizadas por el Supervisor o el Interventor, siempre y cuando tales pagos correspondan a los rubros previstos en el plan de utilización o de inversión del anticipo.</w:t>
      </w:r>
    </w:p>
  </w:footnote>
  <w:footnote w:id="16">
    <w:p w14:paraId="57F102C0" w14:textId="77777777" w:rsidR="00D10AD0" w:rsidRPr="003E78FA" w:rsidRDefault="00D10AD0" w:rsidP="00D10AD0">
      <w:pPr>
        <w:pStyle w:val="FootnoteText"/>
        <w:snapToGrid w:val="0"/>
        <w:ind w:firstLine="709"/>
        <w:contextualSpacing/>
        <w:jc w:val="both"/>
        <w:rPr>
          <w:rFonts w:ascii="Verdana" w:hAnsi="Verdana"/>
          <w:sz w:val="16"/>
          <w:szCs w:val="16"/>
        </w:rPr>
      </w:pPr>
      <w:r w:rsidRPr="003E78FA">
        <w:rPr>
          <w:rStyle w:val="FootnoteReference"/>
          <w:rFonts w:ascii="Verdana" w:hAnsi="Verdana"/>
          <w:sz w:val="16"/>
          <w:szCs w:val="16"/>
        </w:rPr>
        <w:footnoteRef/>
      </w:r>
      <w:r w:rsidRPr="003E78FA">
        <w:rPr>
          <w:rFonts w:ascii="Verdana" w:hAnsi="Verdana"/>
          <w:sz w:val="16"/>
          <w:szCs w:val="16"/>
        </w:rPr>
        <w:t xml:space="preserve"> </w:t>
      </w:r>
      <w:r w:rsidRPr="003E78FA">
        <w:rPr>
          <w:rFonts w:ascii="Verdana" w:hAnsi="Verdana" w:cs="Arial"/>
          <w:sz w:val="16"/>
          <w:szCs w:val="16"/>
          <w:lang w:val="es-ES"/>
        </w:rPr>
        <w:t xml:space="preserve">Sobre el particular, se puede consultar la exposición de motivos de la Ley 1474 de 2011, Gaceta 607 del 2010, disponible en:  </w:t>
      </w:r>
      <w:hyperlink r:id="rId2" w:history="1">
        <w:r w:rsidRPr="003E78FA">
          <w:rPr>
            <w:rStyle w:val="Hyperlink"/>
            <w:rFonts w:ascii="Verdana" w:hAnsi="Verdana" w:cs="Arial"/>
            <w:sz w:val="16"/>
            <w:szCs w:val="16"/>
            <w:lang w:val="es-ES"/>
          </w:rPr>
          <w:t>http://svrpubindc.imprenta.gov.co/senado/index.xhtml;jsessionid=b3ba7213a248bacd37376ffcedca</w:t>
        </w:r>
      </w:hyperlink>
      <w:r w:rsidRPr="003E78FA">
        <w:rPr>
          <w:rFonts w:ascii="Verdana" w:hAnsi="Verdana" w:cs="Arial"/>
          <w:sz w:val="16"/>
          <w:szCs w:val="16"/>
          <w:lang w:val="es-ES"/>
        </w:rPr>
        <w:t xml:space="preserve"> </w:t>
      </w:r>
    </w:p>
  </w:footnote>
  <w:footnote w:id="17">
    <w:p w14:paraId="540377C9" w14:textId="77777777" w:rsidR="00D10AD0" w:rsidRPr="003E78FA" w:rsidRDefault="00D10AD0" w:rsidP="00D10AD0">
      <w:pPr>
        <w:pStyle w:val="FootnoteText"/>
        <w:snapToGrid w:val="0"/>
        <w:ind w:firstLine="708"/>
        <w:contextualSpacing/>
        <w:jc w:val="both"/>
        <w:rPr>
          <w:rFonts w:ascii="Verdana" w:hAnsi="Verdana" w:cs="Arial"/>
          <w:sz w:val="16"/>
          <w:szCs w:val="16"/>
        </w:rPr>
      </w:pPr>
      <w:r w:rsidRPr="003E78FA">
        <w:rPr>
          <w:rStyle w:val="FootnoteReference"/>
          <w:rFonts w:ascii="Verdana" w:hAnsi="Verdana" w:cs="Arial"/>
          <w:sz w:val="16"/>
          <w:szCs w:val="16"/>
        </w:rPr>
        <w:footnoteRef/>
      </w:r>
      <w:r w:rsidRPr="003E78FA">
        <w:rPr>
          <w:rFonts w:ascii="Verdana" w:hAnsi="Verdana" w:cs="Arial"/>
          <w:sz w:val="16"/>
          <w:szCs w:val="16"/>
        </w:rPr>
        <w:t xml:space="preserve"> Ver concepto C-003 de 13 de marzo de 2023 emitido por la ANCP-CCE</w:t>
      </w:r>
    </w:p>
  </w:footnote>
  <w:footnote w:id="18">
    <w:p w14:paraId="24173369" w14:textId="77777777" w:rsidR="00D10AD0" w:rsidRPr="003E78FA" w:rsidRDefault="00D10AD0" w:rsidP="00D10AD0">
      <w:pPr>
        <w:pStyle w:val="FootnoteText"/>
        <w:snapToGrid w:val="0"/>
        <w:ind w:firstLine="488"/>
        <w:contextualSpacing/>
        <w:jc w:val="both"/>
        <w:rPr>
          <w:rFonts w:ascii="Verdana" w:hAnsi="Verdana"/>
          <w:sz w:val="16"/>
          <w:szCs w:val="16"/>
          <w:lang w:val="es-CO"/>
        </w:rPr>
      </w:pPr>
      <w:r w:rsidRPr="003E78FA">
        <w:rPr>
          <w:rStyle w:val="FootnoteReference"/>
          <w:rFonts w:ascii="Verdana" w:hAnsi="Verdana"/>
          <w:sz w:val="16"/>
          <w:szCs w:val="16"/>
        </w:rPr>
        <w:footnoteRef/>
      </w:r>
      <w:r w:rsidRPr="003E78FA">
        <w:rPr>
          <w:rFonts w:ascii="Verdana" w:hAnsi="Verdana"/>
          <w:sz w:val="16"/>
          <w:szCs w:val="16"/>
        </w:rPr>
        <w:t xml:space="preserve"> CONSEJO DE ESTADO, Sección Tercera, sentencia de 27 de febrero de 2013, C.P: Mauricio Fajardo Gómez, rad. No. 2000-01561-01(25.590).</w:t>
      </w:r>
    </w:p>
  </w:footnote>
  <w:footnote w:id="19">
    <w:p w14:paraId="291C115F" w14:textId="77777777" w:rsidR="00D10AD0" w:rsidRPr="003E78FA" w:rsidRDefault="00D10AD0" w:rsidP="00D10AD0">
      <w:pPr>
        <w:snapToGrid w:val="0"/>
        <w:spacing w:after="0" w:line="240" w:lineRule="auto"/>
        <w:ind w:firstLine="708"/>
        <w:contextualSpacing/>
        <w:jc w:val="both"/>
        <w:rPr>
          <w:rFonts w:ascii="Verdana" w:hAnsi="Verdana" w:cs="Arial"/>
          <w:sz w:val="16"/>
          <w:szCs w:val="16"/>
        </w:rPr>
      </w:pPr>
      <w:r w:rsidRPr="003E78FA">
        <w:rPr>
          <w:rStyle w:val="FootnoteReference"/>
          <w:rFonts w:ascii="Verdana" w:hAnsi="Verdana" w:cs="Arial"/>
          <w:sz w:val="16"/>
          <w:szCs w:val="16"/>
        </w:rPr>
        <w:footnoteRef/>
      </w:r>
      <w:bookmarkStart w:id="11" w:name="37"/>
      <w:r w:rsidRPr="003E78FA">
        <w:rPr>
          <w:rFonts w:ascii="Verdana" w:hAnsi="Verdana" w:cs="Arial"/>
          <w:sz w:val="16"/>
          <w:szCs w:val="16"/>
        </w:rPr>
        <w:t xml:space="preserve"> “</w:t>
      </w:r>
      <w:r w:rsidRPr="003E78FA">
        <w:rPr>
          <w:rFonts w:ascii="Verdana" w:hAnsi="Verdana" w:cs="Arial"/>
          <w:bCs/>
          <w:sz w:val="16"/>
          <w:szCs w:val="16"/>
        </w:rPr>
        <w:t>Artículo 37. ejecución de proyectos de inversión.</w:t>
      </w:r>
      <w:bookmarkEnd w:id="11"/>
      <w:r w:rsidRPr="003E78FA">
        <w:rPr>
          <w:rFonts w:ascii="Verdana" w:hAnsi="Verdana" w:cs="Arial"/>
          <w:sz w:val="16"/>
          <w:szCs w:val="16"/>
        </w:rPr>
        <w:t> los proyectos de inversión que se financien con cargo al sistema general de regalías serán ejecutados por quien designe las entidades u órganos de que tratan los artículos </w:t>
      </w:r>
      <w:hyperlink r:id="rId3" w:anchor="35" w:history="1">
        <w:r w:rsidRPr="003E78FA">
          <w:rPr>
            <w:rFonts w:ascii="Verdana" w:hAnsi="Verdana" w:cs="Arial"/>
            <w:sz w:val="16"/>
            <w:szCs w:val="16"/>
          </w:rPr>
          <w:t>35</w:t>
        </w:r>
      </w:hyperlink>
      <w:r w:rsidRPr="003E78FA">
        <w:rPr>
          <w:rFonts w:ascii="Verdana" w:hAnsi="Verdana" w:cs="Arial"/>
          <w:sz w:val="16"/>
          <w:szCs w:val="16"/>
        </w:rPr>
        <w:t> y </w:t>
      </w:r>
      <w:hyperlink r:id="rId4" w:anchor="36" w:history="1">
        <w:r w:rsidRPr="003E78FA">
          <w:rPr>
            <w:rFonts w:ascii="Verdana" w:hAnsi="Verdana" w:cs="Arial"/>
            <w:sz w:val="16"/>
            <w:szCs w:val="16"/>
          </w:rPr>
          <w:t>36</w:t>
        </w:r>
      </w:hyperlink>
      <w:r w:rsidRPr="003E78FA">
        <w:rPr>
          <w:rFonts w:ascii="Verdana" w:hAnsi="Verdana" w:cs="Arial"/>
          <w:sz w:val="16"/>
          <w:szCs w:val="16"/>
        </w:rPr>
        <w:t> de la presente ley. así mismo, la entidad ejecutora estará a cargo de la contratación de la interventoría, de conformidad con lo previsto en la presente ley.</w:t>
      </w:r>
    </w:p>
    <w:p w14:paraId="34D33544" w14:textId="77777777" w:rsidR="00D10AD0" w:rsidRPr="003E78FA" w:rsidRDefault="00D10AD0" w:rsidP="00D10AD0">
      <w:pPr>
        <w:snapToGrid w:val="0"/>
        <w:spacing w:after="0" w:line="240" w:lineRule="auto"/>
        <w:ind w:firstLine="708"/>
        <w:contextualSpacing/>
        <w:jc w:val="both"/>
        <w:rPr>
          <w:rFonts w:ascii="Verdana" w:hAnsi="Verdana" w:cs="Arial"/>
          <w:sz w:val="16"/>
          <w:szCs w:val="16"/>
        </w:rPr>
      </w:pPr>
      <w:r w:rsidRPr="003E78FA">
        <w:rPr>
          <w:rFonts w:ascii="Verdana" w:hAnsi="Verdana" w:cs="Arial"/>
          <w:sz w:val="16"/>
          <w:szCs w:val="16"/>
        </w:rPr>
        <w:t>Las entidades ejecutoras de recursos del sistema son responsables de suministrar de forma veraz, oportuna e idónea, la información de la gestión de los proyectos que se requiera e implementar las acciones que sean pertinentes para encauzar el desempeño de los proyectos de inversión y decidir, de manera motivada, sobre la continuidad de los mismos, sin perjuicio de las acciones de control a las que haya lugar.</w:t>
      </w:r>
    </w:p>
    <w:p w14:paraId="25AF3DAF" w14:textId="77777777" w:rsidR="00D10AD0" w:rsidRPr="003E78FA" w:rsidRDefault="00D10AD0" w:rsidP="00D10AD0">
      <w:pPr>
        <w:snapToGrid w:val="0"/>
        <w:spacing w:after="0" w:line="240" w:lineRule="auto"/>
        <w:ind w:firstLine="708"/>
        <w:contextualSpacing/>
        <w:jc w:val="both"/>
        <w:rPr>
          <w:rFonts w:ascii="Verdana" w:hAnsi="Verdana" w:cs="Arial"/>
          <w:sz w:val="16"/>
          <w:szCs w:val="16"/>
        </w:rPr>
      </w:pPr>
      <w:r w:rsidRPr="003E78FA">
        <w:rPr>
          <w:rFonts w:ascii="Verdana" w:hAnsi="Verdana" w:cs="Arial"/>
          <w:bCs/>
          <w:sz w:val="16"/>
          <w:szCs w:val="16"/>
        </w:rPr>
        <w:t>Parágrafo 1o.</w:t>
      </w:r>
      <w:r w:rsidRPr="003E78FA">
        <w:rPr>
          <w:rFonts w:ascii="Verdana" w:hAnsi="Verdana" w:cs="Arial"/>
          <w:sz w:val="16"/>
          <w:szCs w:val="16"/>
        </w:rPr>
        <w:t xml:space="preserve"> La ejecución de proyectos de </w:t>
      </w:r>
      <w:proofErr w:type="spellStart"/>
      <w:r w:rsidRPr="003E78FA">
        <w:rPr>
          <w:rFonts w:ascii="Verdana" w:hAnsi="Verdana" w:cs="Arial"/>
          <w:sz w:val="16"/>
          <w:szCs w:val="16"/>
        </w:rPr>
        <w:t>que</w:t>
      </w:r>
      <w:proofErr w:type="spellEnd"/>
      <w:r w:rsidRPr="003E78FA">
        <w:rPr>
          <w:rFonts w:ascii="Verdana" w:hAnsi="Verdana" w:cs="Arial"/>
          <w:sz w:val="16"/>
          <w:szCs w:val="16"/>
        </w:rPr>
        <w:t xml:space="preserve"> trata este artículo, se adelantará, con estricta sujeción al régimen presupuestal definido en esta ley, al de contratación pública y las demás normas legales vigentes. el ejecutor garantizará la correcta ejecución de los recursos asignados al proyecto de inversión, así como el suministro y registro de la información requerida por el sistema de seguimiento, evaluación y control.</w:t>
      </w:r>
    </w:p>
    <w:p w14:paraId="4EDE1D18" w14:textId="77777777" w:rsidR="00D10AD0" w:rsidRPr="003E78FA" w:rsidRDefault="00D10AD0" w:rsidP="00D10AD0">
      <w:pPr>
        <w:snapToGrid w:val="0"/>
        <w:spacing w:after="0" w:line="240" w:lineRule="auto"/>
        <w:ind w:firstLine="708"/>
        <w:contextualSpacing/>
        <w:jc w:val="both"/>
        <w:rPr>
          <w:rFonts w:ascii="Verdana" w:hAnsi="Verdana" w:cs="Arial"/>
          <w:sz w:val="16"/>
          <w:szCs w:val="16"/>
        </w:rPr>
      </w:pPr>
      <w:r w:rsidRPr="003E78FA">
        <w:rPr>
          <w:rFonts w:ascii="Verdana" w:hAnsi="Verdana" w:cs="Arial"/>
          <w:bCs/>
          <w:sz w:val="16"/>
          <w:szCs w:val="16"/>
        </w:rPr>
        <w:t>Parágrafo 2o.</w:t>
      </w:r>
      <w:r w:rsidRPr="003E78FA">
        <w:rPr>
          <w:rFonts w:ascii="Verdana" w:hAnsi="Verdana" w:cs="Arial"/>
          <w:sz w:val="16"/>
          <w:szCs w:val="16"/>
        </w:rPr>
        <w:t xml:space="preserve"> Las entidades territoriales beneficiarias de asignaciones directas, la asignación para la inversión local y del 60% de la asignación para la inversión regional en cabeza de los departamentos podrán ejecutar directamente estos recursos o la entidad ejecutora que designe.</w:t>
      </w:r>
    </w:p>
    <w:p w14:paraId="3A0EF63D" w14:textId="77777777" w:rsidR="00D10AD0" w:rsidRPr="003E78FA" w:rsidRDefault="00D10AD0" w:rsidP="00D10AD0">
      <w:pPr>
        <w:snapToGrid w:val="0"/>
        <w:spacing w:after="0" w:line="240" w:lineRule="auto"/>
        <w:ind w:firstLine="708"/>
        <w:contextualSpacing/>
        <w:jc w:val="both"/>
        <w:rPr>
          <w:rFonts w:ascii="Verdana" w:hAnsi="Verdana" w:cs="Arial"/>
          <w:sz w:val="16"/>
          <w:szCs w:val="16"/>
        </w:rPr>
      </w:pPr>
      <w:r w:rsidRPr="003E78FA">
        <w:rPr>
          <w:rFonts w:ascii="Verdana" w:hAnsi="Verdana" w:cs="Arial"/>
          <w:bCs/>
          <w:sz w:val="16"/>
          <w:szCs w:val="16"/>
        </w:rPr>
        <w:t>Parágrafo 3o.</w:t>
      </w:r>
      <w:r w:rsidRPr="003E78FA">
        <w:rPr>
          <w:rFonts w:ascii="Verdana" w:hAnsi="Verdana" w:cs="Arial"/>
          <w:sz w:val="16"/>
          <w:szCs w:val="16"/>
        </w:rPr>
        <w:t xml:space="preserve"> La entidad designada ejecutora por las entidades u órganos de que tratan los artículos </w:t>
      </w:r>
      <w:hyperlink r:id="rId5" w:anchor="35" w:history="1">
        <w:r w:rsidRPr="003E78FA">
          <w:rPr>
            <w:rFonts w:ascii="Verdana" w:hAnsi="Verdana" w:cs="Arial"/>
            <w:sz w:val="16"/>
            <w:szCs w:val="16"/>
          </w:rPr>
          <w:t>35</w:t>
        </w:r>
      </w:hyperlink>
      <w:r w:rsidRPr="003E78FA">
        <w:rPr>
          <w:rFonts w:ascii="Verdana" w:hAnsi="Verdana" w:cs="Arial"/>
          <w:sz w:val="16"/>
          <w:szCs w:val="16"/>
        </w:rPr>
        <w:t xml:space="preserve"> y </w:t>
      </w:r>
      <w:hyperlink r:id="rId6" w:anchor="36" w:history="1">
        <w:r w:rsidRPr="003E78FA">
          <w:rPr>
            <w:rFonts w:ascii="Verdana" w:hAnsi="Verdana" w:cs="Arial"/>
            <w:sz w:val="16"/>
            <w:szCs w:val="16"/>
          </w:rPr>
          <w:t>36</w:t>
        </w:r>
      </w:hyperlink>
      <w:r w:rsidRPr="003E78FA">
        <w:rPr>
          <w:rFonts w:ascii="Verdana" w:hAnsi="Verdana" w:cs="Arial"/>
          <w:sz w:val="16"/>
          <w:szCs w:val="16"/>
        </w:rPr>
        <w:t>, deberá expedir el acto administrativo que ordena la apertura del proceso de selección o acto administrativo unilateral que decreta el gasto con cargo a los recursos asignados, a más tardar dentro de los seis (6) meses contados a partir de la publicación del acuerdo de aprobación del proyecto de inversión que emita la entidad o instancia, según corresponda, y será la responsable de verificar el cumplimiento de los requisitos legales para el inicio de la ejecución del proyecto de inversión.</w:t>
      </w:r>
    </w:p>
    <w:p w14:paraId="6B0957CD" w14:textId="77777777" w:rsidR="00D10AD0" w:rsidRPr="003E78FA" w:rsidRDefault="00D10AD0" w:rsidP="00D10AD0">
      <w:pPr>
        <w:snapToGrid w:val="0"/>
        <w:spacing w:after="0" w:line="240" w:lineRule="auto"/>
        <w:ind w:firstLine="708"/>
        <w:contextualSpacing/>
        <w:jc w:val="both"/>
        <w:rPr>
          <w:rFonts w:ascii="Verdana" w:hAnsi="Verdana" w:cs="Arial"/>
          <w:sz w:val="16"/>
          <w:szCs w:val="16"/>
        </w:rPr>
      </w:pPr>
      <w:r w:rsidRPr="003E78FA">
        <w:rPr>
          <w:rFonts w:ascii="Verdana" w:hAnsi="Verdana" w:cs="Arial"/>
          <w:sz w:val="16"/>
          <w:szCs w:val="16"/>
        </w:rPr>
        <w:t>En caso de no cumplirse lo anterior, las entidades u órganos liberarán automáticamente los recursos para la aprobación de nuevos proyectos de inversión y reportarán estos casos al sistema de seguimiento, evaluación y control para que se tengan en cuenta en la medición del desempeño en la gestión de los recursos del sistema general de regalías y a los órganos de control.</w:t>
      </w:r>
    </w:p>
    <w:p w14:paraId="607A44EA" w14:textId="77777777" w:rsidR="00D10AD0" w:rsidRPr="003E78FA" w:rsidRDefault="00D10AD0" w:rsidP="00D10AD0">
      <w:pPr>
        <w:snapToGrid w:val="0"/>
        <w:spacing w:after="0" w:line="240" w:lineRule="auto"/>
        <w:ind w:firstLine="708"/>
        <w:contextualSpacing/>
        <w:jc w:val="both"/>
        <w:rPr>
          <w:rFonts w:ascii="Verdana" w:hAnsi="Verdana"/>
          <w:sz w:val="16"/>
          <w:szCs w:val="16"/>
        </w:rPr>
      </w:pPr>
      <w:r w:rsidRPr="003E78FA">
        <w:rPr>
          <w:rFonts w:ascii="Verdana" w:hAnsi="Verdana" w:cs="Arial"/>
          <w:sz w:val="16"/>
          <w:szCs w:val="16"/>
        </w:rPr>
        <w:t>Se exceptúan los casos en los que por causas no atribuibles a la entidad designada como ejecutora no se logre expedir el acto administrativo que ordena la apertura del proceso de selección o acto administrativo unilateral que decreta el gasto con cargo a los recursos asignados en los seis (6) meses, caso en el cual las entidades u órganos podrán prorrogar hasta por doce (12) meses más lo estipulado en este parágrafo. la comisión rectora del sistema general de regalías reglamentará estos casos</w:t>
      </w:r>
      <w:r w:rsidRPr="003E78FA">
        <w:rPr>
          <w:rFonts w:ascii="Verdana" w:hAnsi="Verdana" w:cs="Arial"/>
          <w:sz w:val="16"/>
          <w:szCs w:val="16"/>
          <w:lang w:val="es-ES"/>
        </w:rPr>
        <w:t>”</w:t>
      </w:r>
      <w:r w:rsidRPr="003E78FA">
        <w:rPr>
          <w:rFonts w:ascii="Verdana" w:hAnsi="Verdana" w:cs="Arial"/>
          <w:sz w:val="16"/>
          <w:szCs w:val="16"/>
        </w:rPr>
        <w:t>.</w:t>
      </w:r>
    </w:p>
  </w:footnote>
  <w:footnote w:id="20">
    <w:p w14:paraId="4DB29F25"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Style w:val="FootnoteReference"/>
          <w:rFonts w:ascii="Verdana" w:hAnsi="Verdana"/>
          <w:sz w:val="16"/>
          <w:szCs w:val="16"/>
        </w:rPr>
        <w:footnoteRef/>
      </w:r>
      <w:r w:rsidRPr="003E78FA">
        <w:rPr>
          <w:rFonts w:ascii="Verdana" w:hAnsi="Verdana"/>
          <w:sz w:val="16"/>
          <w:szCs w:val="16"/>
        </w:rPr>
        <w:t xml:space="preserve"> “Artículo 87. Proyectos financiables con recursos de la Asignación Directa. Para el caso de los proyectos de inversión con cargo a la asignación directa para Pueblos y Comunidades Indígenas, una vez sean formulados, serán sus autoridades o representantes legales quienes realizarán la viabilidad, registro, priorización y aprobación conforme su derecho propio y las nomas del Sistema General de Regalías.</w:t>
      </w:r>
    </w:p>
    <w:p w14:paraId="58903BFC"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Dentro de los dos (2) meses siguientes a la aprobación del proyecto de inversión, se suscribirá un convenio entre el alcalde o gobernador y el representante o autoridad indígena que lo haya presentado, mediante el cual se formalizará la entrega del proyecto. En caso de que transcurrido este término no se haya suscrito el correspondiente convenio, el alcalde o Gobernador estará sujeto a las sanciones a las que haya lugar.</w:t>
      </w:r>
    </w:p>
    <w:p w14:paraId="305A21D1"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 xml:space="preserve">Mediante acto administrativo el alcalde o gobernador designará a la entidad ejecutora propuesta en el proyecto de inversión, la cual debe corresponder a una de las entidades previstas en el estatuto de contratación estatal o el Decreto 1088 de 1993 adicionado por el Decreto 252 de 2020, quien se encargará de contratar la ejecución del proyecto de inversión y la interventoría de éste cuando aplique”. </w:t>
      </w:r>
    </w:p>
  </w:footnote>
  <w:footnote w:id="21">
    <w:p w14:paraId="0CD01EA7" w14:textId="77777777" w:rsidR="00D10AD0" w:rsidRPr="003E78FA" w:rsidRDefault="00D10AD0" w:rsidP="00D10AD0">
      <w:pPr>
        <w:pStyle w:val="FootnoteText"/>
        <w:snapToGrid w:val="0"/>
        <w:ind w:firstLine="708"/>
        <w:contextualSpacing/>
        <w:jc w:val="both"/>
        <w:rPr>
          <w:rFonts w:ascii="Verdana" w:hAnsi="Verdana"/>
          <w:sz w:val="16"/>
          <w:szCs w:val="16"/>
        </w:rPr>
      </w:pPr>
    </w:p>
    <w:p w14:paraId="2734AA56"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Style w:val="FootnoteReference"/>
          <w:rFonts w:ascii="Verdana" w:hAnsi="Verdana"/>
          <w:sz w:val="16"/>
          <w:szCs w:val="16"/>
        </w:rPr>
        <w:footnoteRef/>
      </w:r>
      <w:r w:rsidRPr="003E78FA">
        <w:rPr>
          <w:rFonts w:ascii="Verdana" w:hAnsi="Verdana"/>
          <w:sz w:val="16"/>
          <w:szCs w:val="16"/>
        </w:rPr>
        <w:t xml:space="preserve"> “Artículo 101. Proyectos financiables con recursos de la Asignación Directa. Para el caso de los proyectos de inversión con cargo a la asignación directa para Comunidades Negras, Afrocolombianas, Raizales y Palenqueras, una vez sean formulados, serán sus representantes legales quienes realizarán la viabilidad, registro, priorización y aprobación conforme su derecho propio y las nomas del Sistema General de Regalías.</w:t>
      </w:r>
    </w:p>
    <w:p w14:paraId="2A776B87"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Dentro de los dos (2) meses siguientes a la aprobación del proyecto de inversión, se suscribirá un convenio entre el alcalde o gobernador y el representante legal que lo haya presentado, mediante el cual se formalizará la entrega del proyecto. En caso de que transcurrido este término no se haya suscrito el correspondiente convenio, el alcalde o Gobernador estará sujeto a las sanciones a las que haya lugar.</w:t>
      </w:r>
    </w:p>
    <w:p w14:paraId="4264DC0E" w14:textId="77777777" w:rsidR="00D10AD0" w:rsidRPr="003E78FA" w:rsidRDefault="00D10AD0" w:rsidP="00D10AD0">
      <w:pPr>
        <w:pStyle w:val="FootnoteText"/>
        <w:snapToGrid w:val="0"/>
        <w:ind w:firstLine="708"/>
        <w:contextualSpacing/>
        <w:jc w:val="both"/>
        <w:rPr>
          <w:rFonts w:ascii="Verdana" w:hAnsi="Verdana"/>
          <w:sz w:val="16"/>
          <w:szCs w:val="16"/>
        </w:rPr>
      </w:pPr>
      <w:r w:rsidRPr="003E78FA">
        <w:rPr>
          <w:rFonts w:ascii="Verdana" w:hAnsi="Verdana"/>
          <w:sz w:val="16"/>
          <w:szCs w:val="16"/>
        </w:rPr>
        <w:t xml:space="preserve">Mediante acto administrativo el alcalde o gobernador designará a la entidad ejecutora propuesta en el proyecto de inversión formulado por la respectiva Comunidad Negra, Afrocolombiana, Raizal y Palenquera, la cual debe corresponder a una de las entidades previstas en el estatuto de contratación estatal, quien se encargará de contratar la ejecución del proyecto de inversión y la interventoría de éste cuando aplique”. </w:t>
      </w:r>
    </w:p>
  </w:footnote>
  <w:footnote w:id="22">
    <w:p w14:paraId="325ADFE6" w14:textId="77777777" w:rsidR="00D10AD0" w:rsidRPr="00B004BF" w:rsidRDefault="00D10AD0" w:rsidP="00D10AD0">
      <w:pPr>
        <w:pStyle w:val="FootnoteText"/>
        <w:snapToGrid w:val="0"/>
        <w:ind w:firstLine="708"/>
        <w:contextualSpacing/>
        <w:jc w:val="both"/>
        <w:rPr>
          <w:rFonts w:ascii="Verdana" w:hAnsi="Verdana" w:cs="Arial"/>
          <w:sz w:val="16"/>
          <w:szCs w:val="16"/>
        </w:rPr>
      </w:pPr>
      <w:r w:rsidRPr="00B004BF">
        <w:rPr>
          <w:rStyle w:val="FootnoteReference"/>
          <w:rFonts w:ascii="Verdana" w:hAnsi="Verdana" w:cs="Arial"/>
          <w:sz w:val="16"/>
          <w:szCs w:val="16"/>
        </w:rPr>
        <w:footnoteRef/>
      </w:r>
      <w:r w:rsidRPr="00B004BF">
        <w:rPr>
          <w:rFonts w:ascii="Verdana" w:hAnsi="Verdana" w:cs="Arial"/>
          <w:sz w:val="16"/>
          <w:szCs w:val="16"/>
        </w:rPr>
        <w:t xml:space="preserve"> Artículo 2.2.1.2.1.4.4 del Decreto 1082 de 2015.</w:t>
      </w:r>
    </w:p>
  </w:footnote>
  <w:footnote w:id="23">
    <w:p w14:paraId="634C5A16" w14:textId="77777777" w:rsidR="00D10AD0" w:rsidRPr="00B004BF" w:rsidRDefault="00D10AD0" w:rsidP="00D10AD0">
      <w:pPr>
        <w:pStyle w:val="FootnoteText"/>
        <w:ind w:firstLine="709"/>
        <w:jc w:val="both"/>
        <w:rPr>
          <w:rFonts w:ascii="Verdana" w:hAnsi="Verdana" w:cs="Arial"/>
          <w:color w:val="000000"/>
          <w:sz w:val="16"/>
          <w:szCs w:val="16"/>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CONGRESO DE LA REPÚBLICA. Gaceta Nº 1677 del 23 de noviembre de 2021. Justificación jurídica del Proyecto de Ley No. 226 de 2021 Cámara. p. 15.</w:t>
      </w:r>
      <w:r w:rsidRPr="00B004BF">
        <w:rPr>
          <w:rFonts w:ascii="Verdana" w:hAnsi="Verdana" w:cs="Arial"/>
          <w:color w:val="000000"/>
          <w:sz w:val="16"/>
          <w:szCs w:val="16"/>
        </w:rPr>
        <w:cr/>
      </w:r>
    </w:p>
  </w:footnote>
  <w:footnote w:id="24">
    <w:p w14:paraId="0328EE8A" w14:textId="77777777" w:rsidR="00D10AD0" w:rsidRPr="00B004BF" w:rsidRDefault="00D10AD0" w:rsidP="00D10AD0">
      <w:pPr>
        <w:pStyle w:val="FootnoteText"/>
        <w:ind w:firstLine="709"/>
        <w:contextualSpacing/>
        <w:jc w:val="both"/>
        <w:rPr>
          <w:rFonts w:ascii="Verdana" w:hAnsi="Verdana" w:cs="Arial"/>
          <w:color w:val="000000"/>
          <w:sz w:val="16"/>
          <w:szCs w:val="16"/>
          <w:lang w:val="es-ES"/>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w:t>
      </w:r>
      <w:r w:rsidRPr="00B004BF">
        <w:rPr>
          <w:rFonts w:ascii="Verdana" w:hAnsi="Verdana" w:cs="Arial"/>
          <w:color w:val="000000"/>
          <w:sz w:val="16"/>
          <w:szCs w:val="16"/>
          <w:lang w:val="es-ES"/>
        </w:rPr>
        <w:t xml:space="preserve">Según García de Enterría: “Estos conceptos jurídicos indeterminados, o que se contienen en lo que también se llaman las normas flexibles, son consustanciales a toda la técnica jurídica y no constituyen una particularidad del Derecho público […], son conceptos jurídicos indeterminados, en el sentido de que la medida concreta para la aplicación de los mismos en un caso particular no nos la resuelve o determina con exactitud la propia Ley que los ha creado y de cuya aplicación se trata”. (GARCÍA DE ENTERRÍA, Eduardo. La lucha contra las inmunidades del poder en el derecho administrativo. 3ª ed. Madrid: </w:t>
      </w:r>
      <w:proofErr w:type="spellStart"/>
      <w:r w:rsidRPr="00B004BF">
        <w:rPr>
          <w:rFonts w:ascii="Verdana" w:hAnsi="Verdana" w:cs="Arial"/>
          <w:color w:val="000000"/>
          <w:sz w:val="16"/>
          <w:szCs w:val="16"/>
          <w:lang w:val="es-ES"/>
        </w:rPr>
        <w:t>Civitas</w:t>
      </w:r>
      <w:proofErr w:type="spellEnd"/>
      <w:r w:rsidRPr="00B004BF">
        <w:rPr>
          <w:rFonts w:ascii="Verdana" w:hAnsi="Verdana" w:cs="Arial"/>
          <w:color w:val="000000"/>
          <w:sz w:val="16"/>
          <w:szCs w:val="16"/>
          <w:lang w:val="es-ES"/>
        </w:rPr>
        <w:t>, 1983. pp. 33-34).</w:t>
      </w:r>
    </w:p>
  </w:footnote>
  <w:footnote w:id="25">
    <w:p w14:paraId="5453D0DD" w14:textId="77777777" w:rsidR="00D10AD0" w:rsidRPr="00B004BF" w:rsidRDefault="00D10AD0" w:rsidP="00D10AD0">
      <w:pPr>
        <w:pStyle w:val="FootnoteText"/>
        <w:ind w:firstLine="709"/>
        <w:contextualSpacing/>
        <w:jc w:val="both"/>
        <w:rPr>
          <w:rFonts w:ascii="Verdana" w:hAnsi="Verdana" w:cs="Arial"/>
          <w:color w:val="000000"/>
          <w:sz w:val="16"/>
          <w:szCs w:val="16"/>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CORTE CONSTITUCIONAL, Sentencia C-382 de 2019, M.P. Alejandro Linares Cantillo.</w:t>
      </w:r>
    </w:p>
  </w:footnote>
  <w:footnote w:id="26">
    <w:p w14:paraId="2E8098FD" w14:textId="77777777" w:rsidR="00D10AD0" w:rsidRPr="00B004BF" w:rsidRDefault="00D10AD0" w:rsidP="00D10AD0">
      <w:pPr>
        <w:pStyle w:val="FootnoteText"/>
        <w:ind w:firstLine="709"/>
        <w:contextualSpacing/>
        <w:jc w:val="both"/>
        <w:rPr>
          <w:rFonts w:ascii="Verdana" w:hAnsi="Verdana" w:cs="Arial"/>
          <w:color w:val="000000"/>
          <w:sz w:val="16"/>
          <w:szCs w:val="16"/>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La redacción original del parágrafo primero del artículo 32 de la Ley 80 de 1993, incluía la expresión giro ordinario, la cual servía de elemento calificante para la determinación del régimen aplicable a los contratos de los establecimientos de crédito público, las compañías de seguros y las demás entidades financieras públicas. Dicho parágrafo establecía “Sin perjuicio de lo dispuesto en esta ley sobre fiducia y encargo fiduciario, los contratos que celebren los establecimientos de crédito, las compañías de seguros y las demás entidades financieras de carácter estatal, que correspondan al giro ordinario de las actividades propias de su objeto social, no estarán sujetos a las disposiciones del presente estatuto y se regirán por las disposiciones legales y reglamentarias aplicables a dichas actividades” [Énfasis fuera de texto].</w:t>
      </w:r>
    </w:p>
  </w:footnote>
  <w:footnote w:id="27">
    <w:p w14:paraId="1679DF34" w14:textId="77777777" w:rsidR="00D10AD0" w:rsidRPr="00B004BF" w:rsidRDefault="00D10AD0" w:rsidP="00D10AD0">
      <w:pPr>
        <w:pStyle w:val="FootnoteText"/>
        <w:ind w:firstLine="709"/>
        <w:contextualSpacing/>
        <w:jc w:val="both"/>
        <w:rPr>
          <w:rFonts w:ascii="Verdana" w:hAnsi="Verdana" w:cs="Arial"/>
          <w:color w:val="000000"/>
          <w:sz w:val="16"/>
          <w:szCs w:val="16"/>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CONSEJO DE ESTADO. Sección Tercera. Subsección B. Sentencia del 12 de octubre de 2011. Exp. No. 20070. C.P. Danilo Rojas Betancourt.</w:t>
      </w:r>
    </w:p>
  </w:footnote>
  <w:footnote w:id="28">
    <w:p w14:paraId="5C7497B2" w14:textId="77777777" w:rsidR="00D10AD0" w:rsidRPr="00B004BF" w:rsidRDefault="00D10AD0" w:rsidP="00D10AD0">
      <w:pPr>
        <w:tabs>
          <w:tab w:val="left" w:pos="0"/>
        </w:tabs>
        <w:spacing w:after="0" w:line="240" w:lineRule="auto"/>
        <w:contextualSpacing/>
        <w:jc w:val="both"/>
        <w:rPr>
          <w:rFonts w:ascii="Verdana" w:eastAsia="Calibri" w:hAnsi="Verdana" w:cs="Arial"/>
          <w:color w:val="000000"/>
          <w:sz w:val="16"/>
          <w:szCs w:val="16"/>
          <w:lang w:val="es-ES_tradnl" w:eastAsia="es-ES_tradnl"/>
        </w:rPr>
      </w:pPr>
      <w:r w:rsidRPr="00B004BF">
        <w:rPr>
          <w:rFonts w:ascii="Verdana" w:hAnsi="Verdana" w:cs="Arial"/>
          <w:color w:val="000000"/>
          <w:sz w:val="16"/>
          <w:szCs w:val="16"/>
        </w:rPr>
        <w:tab/>
      </w: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CONSEJO DE ESTADO. Sección Tercera. Subsección A. Sentencia del 3 de marzo de 2021. Exp. No. 51373. C.P. José Roberto Sáchica Méndez. </w:t>
      </w:r>
      <w:r w:rsidRPr="00B004BF">
        <w:rPr>
          <w:rFonts w:ascii="Verdana" w:eastAsia="Calibri" w:hAnsi="Verdana" w:cs="Arial"/>
          <w:color w:val="000000"/>
          <w:sz w:val="16"/>
          <w:szCs w:val="16"/>
          <w:lang w:val="es-ES_tradnl" w:eastAsia="es-ES_tradnl"/>
        </w:rPr>
        <w:t>“[E]l elemento central para la determinación de este concepto jurídico, remite al objeto social –cuando se trata de empresas públicas o privadas constituidas bajo alguno de los tipos societarios definidos en la ley– pero también se refiere, mutatis mutandis, al objeto y funciones expresamente definidas en los actos de creación de entidades públicas que, por su naturaleza, se orientan al desarrollo de actividades industriales y comerciales. De forma que, el giro ordinario de los negocios se explica a partir del objeto social o, también, de las funciones expresamente fijadas por ley, según se trate de una persona jurídica pública o privada, pues ambas categorías, para estos efectos, resultan equivalentes.”</w:t>
      </w:r>
    </w:p>
  </w:footnote>
  <w:footnote w:id="29">
    <w:p w14:paraId="7FEC5E47" w14:textId="77777777" w:rsidR="00D10AD0" w:rsidRPr="00B004BF" w:rsidRDefault="00D10AD0" w:rsidP="00D10AD0">
      <w:pPr>
        <w:pStyle w:val="FootnoteText"/>
        <w:ind w:firstLine="708"/>
        <w:contextualSpacing/>
        <w:jc w:val="both"/>
        <w:rPr>
          <w:rFonts w:ascii="Verdana" w:hAnsi="Verdana" w:cs="Arial"/>
          <w:color w:val="000000"/>
          <w:sz w:val="16"/>
          <w:szCs w:val="16"/>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la Superintendencia de Sociedades, citando doctrina autorizada en la materia, ha señalado: “Si bien el llamado giro ordinario de los negocios se encuentra determinado por las actividades que constituyen el objeto social, resultan oportunas algunas precisiones conceptuales en torno al empleo constante en la práctica mercantil de la referida expresión "giro ordinario de los negocios". Partiendo de las anteriores consideraciones en cuanto al tema del objeto social, se concluye que éste alude a las actividades que desarrolla o se propone realizar el ente social, al paso que solamente quedan cobijadas por "giro ordinario" aquellas actividades que, en forma habitual u ordinaria, ejecuta la sociedad.</w:t>
      </w:r>
    </w:p>
  </w:footnote>
  <w:footnote w:id="30">
    <w:p w14:paraId="29E9C919" w14:textId="77777777" w:rsidR="00D10AD0" w:rsidRPr="00B004BF" w:rsidRDefault="00D10AD0" w:rsidP="00D10AD0">
      <w:pPr>
        <w:pStyle w:val="FootnoteText"/>
        <w:ind w:firstLine="709"/>
        <w:contextualSpacing/>
        <w:jc w:val="both"/>
        <w:rPr>
          <w:rFonts w:ascii="Verdana" w:hAnsi="Verdana" w:cs="Arial"/>
          <w:color w:val="000000"/>
          <w:sz w:val="16"/>
          <w:szCs w:val="16"/>
        </w:rPr>
      </w:pPr>
      <w:r w:rsidRPr="00B004BF">
        <w:rPr>
          <w:rStyle w:val="FootnoteReference"/>
          <w:rFonts w:ascii="Verdana" w:hAnsi="Verdana" w:cs="Arial"/>
          <w:color w:val="000000"/>
          <w:sz w:val="16"/>
          <w:szCs w:val="16"/>
        </w:rPr>
        <w:footnoteRef/>
      </w:r>
      <w:r w:rsidRPr="00B004BF">
        <w:rPr>
          <w:rFonts w:ascii="Verdana" w:hAnsi="Verdana" w:cs="Arial"/>
          <w:color w:val="000000"/>
          <w:sz w:val="16"/>
          <w:szCs w:val="16"/>
        </w:rPr>
        <w:t xml:space="preserve"> El Consejo de Estado ha precisado que: “Según esta norma, el giro ordinario de las actividades de una sociedad comercial no sólo comprende aquello que define en forma concreta su objeto social, sino todos los actos directamente relacionados con el mismo, lo que denota que entre éstos y aquéllas debe existir una relación de necesidad que los hace parte del objeto de la sociedad. Tal es el caso de la contratación de la publicidad para promocionar la empresa o sus productos, o la contratación de profesionales para que realicen una consultoría o asesoría relacionada con las actividades de la empresa, etc.</w:t>
      </w:r>
    </w:p>
    <w:p w14:paraId="08D48EF0" w14:textId="77777777" w:rsidR="00D10AD0" w:rsidRPr="00B004BF" w:rsidRDefault="00D10AD0" w:rsidP="00D10AD0">
      <w:pPr>
        <w:pStyle w:val="FootnoteText"/>
        <w:ind w:firstLine="709"/>
        <w:contextualSpacing/>
        <w:jc w:val="both"/>
        <w:rPr>
          <w:rFonts w:ascii="Verdana" w:hAnsi="Verdana" w:cs="Arial"/>
          <w:color w:val="000000"/>
          <w:sz w:val="16"/>
          <w:szCs w:val="16"/>
        </w:rPr>
      </w:pPr>
      <w:r w:rsidRPr="00B004BF">
        <w:rPr>
          <w:rFonts w:ascii="Verdana" w:hAnsi="Verdana" w:cs="Arial"/>
          <w:color w:val="000000"/>
          <w:sz w:val="16"/>
          <w:szCs w:val="16"/>
        </w:rPr>
        <w:t>“En estos casos, mal podría decirse que la sociedad no puede realizar este tipo de actos necesarios para el buen desempeño de sus actividades comerciales. Lo propio cabe decir de las entidades financieras. De manera que la norma comercial citada es perfectamente trasladable al campo financiero”.  (CONSEJO DE ESTADO. Sección Tercera. Sentencia del 6 de julio de 2005. Exp. No. 11575. C.P. Alier E. Hernández Enríquez).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4.8pt;height:14.8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B590FB6"/>
    <w:multiLevelType w:val="multilevel"/>
    <w:tmpl w:val="CE4CD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1"/>
  </w:num>
  <w:num w:numId="13" w16cid:durableId="1512908409">
    <w:abstractNumId w:val="5"/>
  </w:num>
  <w:num w:numId="14" w16cid:durableId="895897244">
    <w:abstractNumId w:val="15"/>
  </w:num>
  <w:num w:numId="15" w16cid:durableId="390349800">
    <w:abstractNumId w:val="11"/>
  </w:num>
  <w:num w:numId="16" w16cid:durableId="341274352">
    <w:abstractNumId w:val="0"/>
  </w:num>
  <w:num w:numId="17" w16cid:durableId="571424827">
    <w:abstractNumId w:val="4"/>
  </w:num>
  <w:num w:numId="18" w16cid:durableId="883829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2E80"/>
    <w:rsid w:val="00023E8E"/>
    <w:rsid w:val="000307EE"/>
    <w:rsid w:val="00037736"/>
    <w:rsid w:val="00040E63"/>
    <w:rsid w:val="00044461"/>
    <w:rsid w:val="00046945"/>
    <w:rsid w:val="00061B2A"/>
    <w:rsid w:val="00082362"/>
    <w:rsid w:val="000A5BF6"/>
    <w:rsid w:val="000A683E"/>
    <w:rsid w:val="000B19B9"/>
    <w:rsid w:val="000C262C"/>
    <w:rsid w:val="000D0334"/>
    <w:rsid w:val="000D3BE4"/>
    <w:rsid w:val="000D3FB9"/>
    <w:rsid w:val="000D5DA7"/>
    <w:rsid w:val="000F33DA"/>
    <w:rsid w:val="000F6486"/>
    <w:rsid w:val="000F6B54"/>
    <w:rsid w:val="00116492"/>
    <w:rsid w:val="00116940"/>
    <w:rsid w:val="00125105"/>
    <w:rsid w:val="00127233"/>
    <w:rsid w:val="0015699B"/>
    <w:rsid w:val="001745CD"/>
    <w:rsid w:val="00187769"/>
    <w:rsid w:val="001A33BF"/>
    <w:rsid w:val="001B70EE"/>
    <w:rsid w:val="001C4640"/>
    <w:rsid w:val="001E4177"/>
    <w:rsid w:val="001F0B24"/>
    <w:rsid w:val="001F7DC6"/>
    <w:rsid w:val="002021F3"/>
    <w:rsid w:val="00203D40"/>
    <w:rsid w:val="00221CE0"/>
    <w:rsid w:val="0022400B"/>
    <w:rsid w:val="002421BB"/>
    <w:rsid w:val="002442F7"/>
    <w:rsid w:val="002443B4"/>
    <w:rsid w:val="002477CD"/>
    <w:rsid w:val="0025796E"/>
    <w:rsid w:val="00262979"/>
    <w:rsid w:val="002707A2"/>
    <w:rsid w:val="002762D4"/>
    <w:rsid w:val="002951A0"/>
    <w:rsid w:val="002962BC"/>
    <w:rsid w:val="002A093D"/>
    <w:rsid w:val="002A0DD0"/>
    <w:rsid w:val="002A49AC"/>
    <w:rsid w:val="002A64FD"/>
    <w:rsid w:val="002B5B44"/>
    <w:rsid w:val="002C7A84"/>
    <w:rsid w:val="002D3BAD"/>
    <w:rsid w:val="002E2BF8"/>
    <w:rsid w:val="002E4FD9"/>
    <w:rsid w:val="0030657A"/>
    <w:rsid w:val="00321D94"/>
    <w:rsid w:val="00322A85"/>
    <w:rsid w:val="00324168"/>
    <w:rsid w:val="00330834"/>
    <w:rsid w:val="00330F1F"/>
    <w:rsid w:val="0034441E"/>
    <w:rsid w:val="003448F4"/>
    <w:rsid w:val="00352F4C"/>
    <w:rsid w:val="00353F52"/>
    <w:rsid w:val="00362957"/>
    <w:rsid w:val="00374F5E"/>
    <w:rsid w:val="00377E3E"/>
    <w:rsid w:val="00382759"/>
    <w:rsid w:val="0038415B"/>
    <w:rsid w:val="003862C4"/>
    <w:rsid w:val="003A4C45"/>
    <w:rsid w:val="003A779E"/>
    <w:rsid w:val="003D0F4D"/>
    <w:rsid w:val="003D296B"/>
    <w:rsid w:val="003D5B0D"/>
    <w:rsid w:val="003E0499"/>
    <w:rsid w:val="003E4F80"/>
    <w:rsid w:val="003E6439"/>
    <w:rsid w:val="003F3941"/>
    <w:rsid w:val="003F47C3"/>
    <w:rsid w:val="00406575"/>
    <w:rsid w:val="00411410"/>
    <w:rsid w:val="00414C74"/>
    <w:rsid w:val="0042722E"/>
    <w:rsid w:val="00431D4A"/>
    <w:rsid w:val="00440B06"/>
    <w:rsid w:val="0044528D"/>
    <w:rsid w:val="004463A3"/>
    <w:rsid w:val="00466E39"/>
    <w:rsid w:val="00470EED"/>
    <w:rsid w:val="004A1847"/>
    <w:rsid w:val="004A185F"/>
    <w:rsid w:val="004A305D"/>
    <w:rsid w:val="004A616D"/>
    <w:rsid w:val="004B6507"/>
    <w:rsid w:val="004C038D"/>
    <w:rsid w:val="004C489E"/>
    <w:rsid w:val="004E7FF2"/>
    <w:rsid w:val="004F007A"/>
    <w:rsid w:val="004F21C4"/>
    <w:rsid w:val="004F685F"/>
    <w:rsid w:val="0052197F"/>
    <w:rsid w:val="00544AD7"/>
    <w:rsid w:val="00550416"/>
    <w:rsid w:val="005566E8"/>
    <w:rsid w:val="0056754A"/>
    <w:rsid w:val="00574867"/>
    <w:rsid w:val="00591460"/>
    <w:rsid w:val="005A65E0"/>
    <w:rsid w:val="005B6D30"/>
    <w:rsid w:val="005C3777"/>
    <w:rsid w:val="005C5CDC"/>
    <w:rsid w:val="005D476C"/>
    <w:rsid w:val="005E0FD7"/>
    <w:rsid w:val="005E6ED0"/>
    <w:rsid w:val="005F1A25"/>
    <w:rsid w:val="006054C3"/>
    <w:rsid w:val="00615D5D"/>
    <w:rsid w:val="006200BF"/>
    <w:rsid w:val="006219F8"/>
    <w:rsid w:val="006272E9"/>
    <w:rsid w:val="006302F7"/>
    <w:rsid w:val="00646B9F"/>
    <w:rsid w:val="00657156"/>
    <w:rsid w:val="00665D70"/>
    <w:rsid w:val="00681B0D"/>
    <w:rsid w:val="006900D9"/>
    <w:rsid w:val="0069223E"/>
    <w:rsid w:val="006B6E0E"/>
    <w:rsid w:val="006F4BAA"/>
    <w:rsid w:val="006F5080"/>
    <w:rsid w:val="00703C4C"/>
    <w:rsid w:val="00706C16"/>
    <w:rsid w:val="00706F15"/>
    <w:rsid w:val="00711A5E"/>
    <w:rsid w:val="007133B5"/>
    <w:rsid w:val="007147FA"/>
    <w:rsid w:val="007160E1"/>
    <w:rsid w:val="0071645D"/>
    <w:rsid w:val="00725A0A"/>
    <w:rsid w:val="007340C3"/>
    <w:rsid w:val="0075235A"/>
    <w:rsid w:val="00756841"/>
    <w:rsid w:val="00757F67"/>
    <w:rsid w:val="007633EC"/>
    <w:rsid w:val="007649AB"/>
    <w:rsid w:val="00771D0C"/>
    <w:rsid w:val="007833AC"/>
    <w:rsid w:val="00783580"/>
    <w:rsid w:val="007B268C"/>
    <w:rsid w:val="007B7171"/>
    <w:rsid w:val="007C0C0F"/>
    <w:rsid w:val="007C3A41"/>
    <w:rsid w:val="007C3DC2"/>
    <w:rsid w:val="007D3FE3"/>
    <w:rsid w:val="007D4F2F"/>
    <w:rsid w:val="007D50E1"/>
    <w:rsid w:val="007D6396"/>
    <w:rsid w:val="007E48F8"/>
    <w:rsid w:val="007E5497"/>
    <w:rsid w:val="007F7BBB"/>
    <w:rsid w:val="00803761"/>
    <w:rsid w:val="00806F5F"/>
    <w:rsid w:val="00817207"/>
    <w:rsid w:val="00820278"/>
    <w:rsid w:val="008258C9"/>
    <w:rsid w:val="00842192"/>
    <w:rsid w:val="00842BDD"/>
    <w:rsid w:val="00844AE9"/>
    <w:rsid w:val="008450D1"/>
    <w:rsid w:val="00860673"/>
    <w:rsid w:val="00864B2C"/>
    <w:rsid w:val="00867F95"/>
    <w:rsid w:val="00877AD9"/>
    <w:rsid w:val="00883585"/>
    <w:rsid w:val="00883FF6"/>
    <w:rsid w:val="008843B6"/>
    <w:rsid w:val="00891928"/>
    <w:rsid w:val="008958F0"/>
    <w:rsid w:val="008A446D"/>
    <w:rsid w:val="008B25F1"/>
    <w:rsid w:val="008C0BAF"/>
    <w:rsid w:val="008D180B"/>
    <w:rsid w:val="008E5399"/>
    <w:rsid w:val="008F0EA7"/>
    <w:rsid w:val="0091372A"/>
    <w:rsid w:val="009229E5"/>
    <w:rsid w:val="00923EEF"/>
    <w:rsid w:val="009419F9"/>
    <w:rsid w:val="0095685E"/>
    <w:rsid w:val="00961B09"/>
    <w:rsid w:val="00965334"/>
    <w:rsid w:val="0097093E"/>
    <w:rsid w:val="0099779D"/>
    <w:rsid w:val="009A0DFA"/>
    <w:rsid w:val="009A1C6F"/>
    <w:rsid w:val="009B2D26"/>
    <w:rsid w:val="009C71FA"/>
    <w:rsid w:val="009C72E7"/>
    <w:rsid w:val="009C7F7E"/>
    <w:rsid w:val="009D3058"/>
    <w:rsid w:val="009F3A13"/>
    <w:rsid w:val="00A05E36"/>
    <w:rsid w:val="00A122D3"/>
    <w:rsid w:val="00A14468"/>
    <w:rsid w:val="00A17F13"/>
    <w:rsid w:val="00A20739"/>
    <w:rsid w:val="00A21B71"/>
    <w:rsid w:val="00A23AF9"/>
    <w:rsid w:val="00A30AAD"/>
    <w:rsid w:val="00A33C78"/>
    <w:rsid w:val="00A36C32"/>
    <w:rsid w:val="00A37AFD"/>
    <w:rsid w:val="00A641BF"/>
    <w:rsid w:val="00A71A05"/>
    <w:rsid w:val="00A85D39"/>
    <w:rsid w:val="00A86BEF"/>
    <w:rsid w:val="00AB0ADB"/>
    <w:rsid w:val="00AB562D"/>
    <w:rsid w:val="00AC36EE"/>
    <w:rsid w:val="00AD4AEB"/>
    <w:rsid w:val="00AF4109"/>
    <w:rsid w:val="00AF4185"/>
    <w:rsid w:val="00B00C0E"/>
    <w:rsid w:val="00B01B1A"/>
    <w:rsid w:val="00B0381D"/>
    <w:rsid w:val="00B44A47"/>
    <w:rsid w:val="00B506FD"/>
    <w:rsid w:val="00B52088"/>
    <w:rsid w:val="00B648AC"/>
    <w:rsid w:val="00B72CD3"/>
    <w:rsid w:val="00B72FFF"/>
    <w:rsid w:val="00B741F7"/>
    <w:rsid w:val="00B75DDB"/>
    <w:rsid w:val="00B766BB"/>
    <w:rsid w:val="00BB6880"/>
    <w:rsid w:val="00BC1C5F"/>
    <w:rsid w:val="00BC3D36"/>
    <w:rsid w:val="00BD54A6"/>
    <w:rsid w:val="00BD7F72"/>
    <w:rsid w:val="00BE7509"/>
    <w:rsid w:val="00BF7425"/>
    <w:rsid w:val="00C026A1"/>
    <w:rsid w:val="00C04FB3"/>
    <w:rsid w:val="00C11C81"/>
    <w:rsid w:val="00C11D8B"/>
    <w:rsid w:val="00C15139"/>
    <w:rsid w:val="00C330EB"/>
    <w:rsid w:val="00C42BAE"/>
    <w:rsid w:val="00C464BB"/>
    <w:rsid w:val="00C47E63"/>
    <w:rsid w:val="00C50D69"/>
    <w:rsid w:val="00C5365C"/>
    <w:rsid w:val="00C754BE"/>
    <w:rsid w:val="00C75B66"/>
    <w:rsid w:val="00C76B1C"/>
    <w:rsid w:val="00C814E4"/>
    <w:rsid w:val="00C86BDE"/>
    <w:rsid w:val="00C925AC"/>
    <w:rsid w:val="00C92EF6"/>
    <w:rsid w:val="00CA3218"/>
    <w:rsid w:val="00CB27F7"/>
    <w:rsid w:val="00CB6357"/>
    <w:rsid w:val="00CC1B26"/>
    <w:rsid w:val="00D04D01"/>
    <w:rsid w:val="00D10AD0"/>
    <w:rsid w:val="00D164AC"/>
    <w:rsid w:val="00D361FD"/>
    <w:rsid w:val="00D423A2"/>
    <w:rsid w:val="00D44E26"/>
    <w:rsid w:val="00D4706F"/>
    <w:rsid w:val="00D520D8"/>
    <w:rsid w:val="00D63AC2"/>
    <w:rsid w:val="00D7383B"/>
    <w:rsid w:val="00D746D0"/>
    <w:rsid w:val="00D7788A"/>
    <w:rsid w:val="00D867EF"/>
    <w:rsid w:val="00D9550E"/>
    <w:rsid w:val="00DA231B"/>
    <w:rsid w:val="00DB5944"/>
    <w:rsid w:val="00DC32D1"/>
    <w:rsid w:val="00DC39FC"/>
    <w:rsid w:val="00DD249F"/>
    <w:rsid w:val="00DF5254"/>
    <w:rsid w:val="00E02524"/>
    <w:rsid w:val="00E16408"/>
    <w:rsid w:val="00E20894"/>
    <w:rsid w:val="00E245AB"/>
    <w:rsid w:val="00E2764C"/>
    <w:rsid w:val="00E27F2E"/>
    <w:rsid w:val="00E35742"/>
    <w:rsid w:val="00E46C29"/>
    <w:rsid w:val="00E50AFE"/>
    <w:rsid w:val="00E52D4B"/>
    <w:rsid w:val="00E53AC2"/>
    <w:rsid w:val="00E74498"/>
    <w:rsid w:val="00E75C92"/>
    <w:rsid w:val="00E76510"/>
    <w:rsid w:val="00E771DC"/>
    <w:rsid w:val="00E8772A"/>
    <w:rsid w:val="00E90F6B"/>
    <w:rsid w:val="00E929C7"/>
    <w:rsid w:val="00E92C27"/>
    <w:rsid w:val="00EA0E3D"/>
    <w:rsid w:val="00EA48D5"/>
    <w:rsid w:val="00EB3297"/>
    <w:rsid w:val="00EC033E"/>
    <w:rsid w:val="00EC38A7"/>
    <w:rsid w:val="00EC3D31"/>
    <w:rsid w:val="00ED2269"/>
    <w:rsid w:val="00EE1AA8"/>
    <w:rsid w:val="00EF7A11"/>
    <w:rsid w:val="00F21F6A"/>
    <w:rsid w:val="00F23FEA"/>
    <w:rsid w:val="00F2579B"/>
    <w:rsid w:val="00F25BE6"/>
    <w:rsid w:val="00F31EDC"/>
    <w:rsid w:val="00F462B3"/>
    <w:rsid w:val="00F5664F"/>
    <w:rsid w:val="00F571D9"/>
    <w:rsid w:val="00F666C4"/>
    <w:rsid w:val="00F76AFC"/>
    <w:rsid w:val="00F8371A"/>
    <w:rsid w:val="00F8412A"/>
    <w:rsid w:val="00FA47C0"/>
    <w:rsid w:val="00FB5DD1"/>
    <w:rsid w:val="00FB7F20"/>
    <w:rsid w:val="00FC2B5D"/>
    <w:rsid w:val="00FC5CCF"/>
    <w:rsid w:val="00FE0657"/>
    <w:rsid w:val="00FE5DB9"/>
    <w:rsid w:val="00FF1449"/>
    <w:rsid w:val="00FF39B6"/>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3DB8CCA8"/>
    <w:rsid w:val="42183F0A"/>
    <w:rsid w:val="545B112A"/>
    <w:rsid w:val="5BEB1497"/>
    <w:rsid w:val="60FB409F"/>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link w:val="NormalWebCh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D10AD0"/>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D10AD0"/>
    <w:rPr>
      <w:rFonts w:ascii="Geomanist Light" w:hAnsi="Geomanist Light"/>
      <w:lang w:val="es-ES"/>
    </w:rPr>
  </w:style>
  <w:style w:type="paragraph" w:styleId="BodyText">
    <w:name w:val="Body Text"/>
    <w:basedOn w:val="Normal"/>
    <w:link w:val="BodyTextChar"/>
    <w:uiPriority w:val="99"/>
    <w:unhideWhenUsed/>
    <w:rsid w:val="00D10AD0"/>
    <w:pPr>
      <w:spacing w:after="120"/>
    </w:pPr>
  </w:style>
  <w:style w:type="character" w:customStyle="1" w:styleId="BodyTextChar">
    <w:name w:val="Body Text Char"/>
    <w:basedOn w:val="DefaultParagraphFont"/>
    <w:link w:val="BodyText"/>
    <w:uiPriority w:val="99"/>
    <w:rsid w:val="00D10AD0"/>
  </w:style>
  <w:style w:type="character" w:customStyle="1" w:styleId="NormalWebChar">
    <w:name w:val="Normal (Web) Char"/>
    <w:link w:val="NormalWeb"/>
    <w:uiPriority w:val="99"/>
    <w:rsid w:val="00D10AD0"/>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924246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756592520">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caheji84@hotmai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secretariasenado.gov.co/senado/basedoc/ley_2056_2020.html" TargetMode="External"/><Relationship Id="rId2" Type="http://schemas.openxmlformats.org/officeDocument/2006/relationships/hyperlink" Target="http://svrpubindc.imprenta.gov.co/senado/index.xhtml;jsessionid=b3ba7213a248bacd37376ffcedca" TargetMode="External"/><Relationship Id="rId1" Type="http://schemas.openxmlformats.org/officeDocument/2006/relationships/hyperlink" Target="http://www.secretariasenado.gov.co/senado/basedoc/constitucion_politica_1991_pr006.html" TargetMode="External"/><Relationship Id="rId6" Type="http://schemas.openxmlformats.org/officeDocument/2006/relationships/hyperlink" Target="http://www.secretariasenado.gov.co/senado/basedoc/ley_2056_2020.html" TargetMode="External"/><Relationship Id="rId5" Type="http://schemas.openxmlformats.org/officeDocument/2006/relationships/hyperlink" Target="http://www.secretariasenado.gov.co/senado/basedoc/ley_2056_2020.html" TargetMode="External"/><Relationship Id="rId4" Type="http://schemas.openxmlformats.org/officeDocument/2006/relationships/hyperlink" Target="http://www.secretariasenado.gov.co/senado/basedoc/ley_2056_202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F96C8B-B10F-4F0A-8908-813C51E1059B}"/>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41</Pages>
  <Words>13166</Words>
  <Characters>75050</Characters>
  <Application>Microsoft Office Word</Application>
  <DocSecurity>0</DocSecurity>
  <Lines>625</Lines>
  <Paragraphs>176</Paragraphs>
  <ScaleCrop>false</ScaleCrop>
  <Company/>
  <LinksUpToDate>false</LinksUpToDate>
  <CharactersWithSpaces>88040</CharactersWithSpaces>
  <SharedDoc>false</SharedDoc>
  <HLinks>
    <vt:vector size="48" baseType="variant">
      <vt:variant>
        <vt:i4>7471218</vt:i4>
      </vt:variant>
      <vt:variant>
        <vt:i4>3</vt:i4>
      </vt:variant>
      <vt:variant>
        <vt:i4>0</vt:i4>
      </vt:variant>
      <vt:variant>
        <vt:i4>5</vt:i4>
      </vt:variant>
      <vt:variant>
        <vt:lpwstr>https://relatoria.colombiacompra.gov.co/busqueda/conceptos</vt:lpwstr>
      </vt:variant>
      <vt:variant>
        <vt:lpwstr/>
      </vt:variant>
      <vt:variant>
        <vt:i4>3473416</vt:i4>
      </vt:variant>
      <vt:variant>
        <vt:i4>0</vt:i4>
      </vt:variant>
      <vt:variant>
        <vt:i4>0</vt:i4>
      </vt:variant>
      <vt:variant>
        <vt:i4>5</vt:i4>
      </vt:variant>
      <vt:variant>
        <vt:lpwstr>mailto:dicaheji84@hotmail.com</vt:lpwstr>
      </vt:variant>
      <vt:variant>
        <vt:lpwstr/>
      </vt:variant>
      <vt:variant>
        <vt:i4>65552</vt:i4>
      </vt:variant>
      <vt:variant>
        <vt:i4>15</vt:i4>
      </vt:variant>
      <vt:variant>
        <vt:i4>0</vt:i4>
      </vt:variant>
      <vt:variant>
        <vt:i4>5</vt:i4>
      </vt:variant>
      <vt:variant>
        <vt:lpwstr>http://www.secretariasenado.gov.co/senado/basedoc/ley_2056_2020.html</vt:lpwstr>
      </vt:variant>
      <vt:variant>
        <vt:lpwstr>36</vt:lpwstr>
      </vt:variant>
      <vt:variant>
        <vt:i4>131088</vt:i4>
      </vt:variant>
      <vt:variant>
        <vt:i4>12</vt:i4>
      </vt:variant>
      <vt:variant>
        <vt:i4>0</vt:i4>
      </vt:variant>
      <vt:variant>
        <vt:i4>5</vt:i4>
      </vt:variant>
      <vt:variant>
        <vt:lpwstr>http://www.secretariasenado.gov.co/senado/basedoc/ley_2056_2020.html</vt:lpwstr>
      </vt:variant>
      <vt:variant>
        <vt:lpwstr>35</vt:lpwstr>
      </vt:variant>
      <vt:variant>
        <vt:i4>65552</vt:i4>
      </vt:variant>
      <vt:variant>
        <vt:i4>9</vt:i4>
      </vt:variant>
      <vt:variant>
        <vt:i4>0</vt:i4>
      </vt:variant>
      <vt:variant>
        <vt:i4>5</vt:i4>
      </vt:variant>
      <vt:variant>
        <vt:lpwstr>http://www.secretariasenado.gov.co/senado/basedoc/ley_2056_2020.html</vt:lpwstr>
      </vt:variant>
      <vt:variant>
        <vt:lpwstr>36</vt:lpwstr>
      </vt:variant>
      <vt:variant>
        <vt:i4>131088</vt:i4>
      </vt:variant>
      <vt:variant>
        <vt:i4>6</vt:i4>
      </vt:variant>
      <vt:variant>
        <vt:i4>0</vt:i4>
      </vt:variant>
      <vt:variant>
        <vt:i4>5</vt:i4>
      </vt:variant>
      <vt:variant>
        <vt:lpwstr>http://www.secretariasenado.gov.co/senado/basedoc/ley_2056_2020.html</vt:lpwstr>
      </vt:variant>
      <vt:variant>
        <vt:lpwstr>35</vt:lpwstr>
      </vt:variant>
      <vt:variant>
        <vt:i4>5505090</vt:i4>
      </vt:variant>
      <vt:variant>
        <vt:i4>3</vt:i4>
      </vt:variant>
      <vt:variant>
        <vt:i4>0</vt:i4>
      </vt:variant>
      <vt:variant>
        <vt:i4>5</vt:i4>
      </vt:variant>
      <vt:variant>
        <vt:lpwstr>http://svrpubindc.imprenta.gov.co/senado/index.xhtml;jsessionid=b3ba7213a248bacd37376ffcedca</vt:lpwstr>
      </vt:variant>
      <vt:variant>
        <vt:lpwstr/>
      </vt:variant>
      <vt:variant>
        <vt:i4>2359366</vt:i4>
      </vt:variant>
      <vt:variant>
        <vt:i4>0</vt:i4>
      </vt:variant>
      <vt:variant>
        <vt:i4>0</vt:i4>
      </vt:variant>
      <vt:variant>
        <vt:i4>5</vt:i4>
      </vt:variant>
      <vt:variant>
        <vt:lpwstr>http://www.secretariasenado.gov.co/senado/basedoc/constitucion_politica_1991_pr006.html</vt:lpwstr>
      </vt:variant>
      <vt:variant>
        <vt:lpwstr>210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5</cp:revision>
  <cp:lastPrinted>2023-01-10T21:18:00Z</cp:lastPrinted>
  <dcterms:created xsi:type="dcterms:W3CDTF">2026-07-23T14:15:00Z</dcterms:created>
  <dcterms:modified xsi:type="dcterms:W3CDTF">2026-07-23T14:25:00Z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