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CEF9F" w14:textId="77777777" w:rsidR="00401F72" w:rsidRDefault="00401F72" w:rsidP="00401F72">
      <w:pPr>
        <w:jc w:val="both"/>
        <w:rPr>
          <w:rFonts w:ascii="Verdana" w:hAnsi="Verdana" w:cs="Arial"/>
          <w:b/>
          <w:bCs/>
          <w:lang w:val="es-ES_tradnl" w:eastAsia="es-ES" w:bidi="es-ES"/>
        </w:rPr>
      </w:pPr>
      <w:bookmarkStart w:id="0" w:name="_Hlk143780582"/>
      <w:r w:rsidRPr="00401F72">
        <w:rPr>
          <w:rFonts w:ascii="Verdana" w:eastAsia="Arial" w:hAnsi="Verdana" w:cs="Arial"/>
          <w:b/>
          <w:bCs/>
          <w:lang w:val="es-ES"/>
        </w:rPr>
        <w:t>PRINCIPIO DE PUBLICIDAD – Concepto – Fundamento constitucional</w:t>
      </w:r>
      <w:r w:rsidRPr="00401F72">
        <w:rPr>
          <w:rFonts w:ascii="Verdana" w:hAnsi="Verdana" w:cs="Arial"/>
          <w:b/>
          <w:bCs/>
          <w:lang w:val="es-ES_tradnl" w:eastAsia="es-ES" w:bidi="es-ES"/>
        </w:rPr>
        <w:t xml:space="preserve"> </w:t>
      </w:r>
    </w:p>
    <w:p w14:paraId="59F6D4AA" w14:textId="77777777" w:rsidR="00985C0A" w:rsidRDefault="00401F72" w:rsidP="00985C0A">
      <w:pPr>
        <w:spacing w:after="0" w:line="240" w:lineRule="auto"/>
        <w:jc w:val="both"/>
        <w:rPr>
          <w:rFonts w:ascii="Verdana" w:eastAsia="Verdana" w:hAnsi="Verdana" w:cs="Verdana"/>
          <w:sz w:val="20"/>
          <w:szCs w:val="20"/>
          <w:lang w:val="es-MX"/>
        </w:rPr>
      </w:pPr>
      <w:r w:rsidRPr="00401F72">
        <w:rPr>
          <w:rFonts w:ascii="Verdana" w:eastAsia="Verdana" w:hAnsi="Verdana" w:cs="Verdana"/>
          <w:sz w:val="20"/>
          <w:szCs w:val="20"/>
          <w:lang w:val="es-MX"/>
        </w:rPr>
        <w:t>Uno de los postulados más importantes de un Estado Social Democrático de Derecho es el principio de publicidad, pues este permite que las actuaciones de las autoridades gocen de visibilidad.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artículo 74, que consagra la garantía de acceso a los documentos públicos que no gocen de reserva -y esta, además, es excepcional pues solo procede si existe causal constitucional o legal expresa-.</w:t>
      </w:r>
    </w:p>
    <w:p w14:paraId="388BE64D" w14:textId="77777777" w:rsidR="00985C0A" w:rsidRDefault="00985C0A" w:rsidP="00985C0A">
      <w:pPr>
        <w:spacing w:after="0" w:line="240" w:lineRule="auto"/>
        <w:jc w:val="both"/>
        <w:rPr>
          <w:rFonts w:ascii="Verdana" w:eastAsia="Verdana" w:hAnsi="Verdana" w:cs="Verdana"/>
          <w:sz w:val="20"/>
          <w:szCs w:val="20"/>
          <w:lang w:val="es-MX"/>
        </w:rPr>
      </w:pPr>
    </w:p>
    <w:p w14:paraId="218380D0" w14:textId="3E54068B" w:rsidR="00401F72" w:rsidRDefault="00401F72" w:rsidP="00985C0A">
      <w:pPr>
        <w:spacing w:after="0" w:line="240" w:lineRule="auto"/>
        <w:jc w:val="both"/>
        <w:rPr>
          <w:rFonts w:ascii="Verdana" w:eastAsia="Verdana" w:hAnsi="Verdana" w:cs="Verdana"/>
          <w:sz w:val="20"/>
          <w:szCs w:val="20"/>
          <w:lang w:val="es-MX"/>
        </w:rPr>
      </w:pPr>
      <w:r w:rsidRPr="00401F72">
        <w:rPr>
          <w:rFonts w:ascii="Verdana" w:eastAsia="Verdana" w:hAnsi="Verdana" w:cs="Verdana"/>
          <w:sz w:val="20"/>
          <w:szCs w:val="20"/>
          <w:lang w:val="es-MX"/>
        </w:rPr>
        <w:t>El principio de publicidad impone a las autoridades administrativas el deber de dar a conocer sus actos, contratos y precisiones para que se divulguen y eventualmente se controlen.</w:t>
      </w:r>
    </w:p>
    <w:p w14:paraId="20ED4506" w14:textId="77777777" w:rsidR="00985C0A" w:rsidRDefault="00985C0A" w:rsidP="00985C0A">
      <w:pPr>
        <w:spacing w:after="0" w:line="240" w:lineRule="auto"/>
        <w:jc w:val="both"/>
        <w:rPr>
          <w:rFonts w:ascii="Verdana" w:eastAsia="Verdana" w:hAnsi="Verdana" w:cs="Verdana"/>
          <w:sz w:val="20"/>
          <w:szCs w:val="20"/>
          <w:lang w:val="es-MX"/>
        </w:rPr>
      </w:pPr>
    </w:p>
    <w:p w14:paraId="48009640" w14:textId="77777777" w:rsidR="00401F72" w:rsidRDefault="00401F72" w:rsidP="00985C0A">
      <w:pPr>
        <w:spacing w:after="0" w:line="240" w:lineRule="auto"/>
        <w:jc w:val="both"/>
        <w:rPr>
          <w:rFonts w:ascii="Verdana" w:hAnsi="Verdana" w:cs="Arial"/>
          <w:b/>
          <w:bCs/>
          <w:lang w:val="es-ES_tradnl" w:eastAsia="es-ES" w:bidi="es-ES"/>
        </w:rPr>
      </w:pPr>
      <w:r w:rsidRPr="00401F72">
        <w:rPr>
          <w:rFonts w:ascii="Verdana" w:hAnsi="Verdana" w:cs="Arial"/>
          <w:b/>
          <w:bCs/>
          <w:lang w:val="es-ES_tradnl" w:eastAsia="es-ES" w:bidi="es-ES"/>
        </w:rPr>
        <w:t>PRINCIPIO DE PUBLICIDAD – Ley 1712 – Sujetos Obligados – Entidades con participación del Estado</w:t>
      </w:r>
    </w:p>
    <w:p w14:paraId="2AEF4A21" w14:textId="77777777" w:rsidR="00985C0A" w:rsidRDefault="00985C0A" w:rsidP="00985C0A">
      <w:pPr>
        <w:spacing w:after="0" w:line="240" w:lineRule="auto"/>
        <w:jc w:val="both"/>
        <w:rPr>
          <w:rFonts w:ascii="Verdana" w:eastAsia="Verdana" w:hAnsi="Verdana" w:cs="Verdana"/>
          <w:sz w:val="20"/>
          <w:szCs w:val="20"/>
          <w:lang w:val="es-MX"/>
        </w:rPr>
      </w:pPr>
    </w:p>
    <w:p w14:paraId="768E79F8" w14:textId="5F0A586E" w:rsidR="00401F72" w:rsidRDefault="00401F72" w:rsidP="00985C0A">
      <w:pPr>
        <w:spacing w:after="0" w:line="240" w:lineRule="auto"/>
        <w:jc w:val="both"/>
        <w:rPr>
          <w:rFonts w:ascii="Verdana" w:hAnsi="Verdana" w:cs="Arial"/>
          <w:b/>
          <w:bCs/>
          <w:lang w:val="es-ES_tradnl" w:eastAsia="es-ES" w:bidi="es-ES"/>
        </w:rPr>
      </w:pPr>
      <w:r>
        <w:rPr>
          <w:rFonts w:ascii="Verdana" w:eastAsia="Verdana" w:hAnsi="Verdana" w:cs="Verdana"/>
          <w:sz w:val="20"/>
          <w:szCs w:val="20"/>
          <w:lang w:val="es-MX"/>
        </w:rPr>
        <w:t xml:space="preserve">[…] </w:t>
      </w:r>
      <w:r w:rsidRPr="00401F72">
        <w:rPr>
          <w:rFonts w:ascii="Verdana" w:eastAsia="Verdana" w:hAnsi="Verdana" w:cs="Verdana"/>
          <w:sz w:val="20"/>
          <w:szCs w:val="20"/>
          <w:lang w:val="es-MX"/>
        </w:rPr>
        <w:t>la Ley 1712 de 2014 – ley estatutaria que regula la transparencia y el derecho de acceso a la información y a los documentos púbicos-; identifica como principios que orientan el derecho de acceso a la información pública, el de máxima publicidad, transparencia en la información y buena fe. El principio de máxima publicidad establece que “toda información en posesión, bajo el control o custodia de un sujeto obligado es publica y no podrá ser reservada o limitada sino por disposición constitucional o legal”.</w:t>
      </w:r>
    </w:p>
    <w:p w14:paraId="2E79D16F" w14:textId="1E6F0D6E" w:rsidR="00401F72" w:rsidRDefault="00401F72" w:rsidP="00401F72">
      <w:pPr>
        <w:jc w:val="both"/>
        <w:rPr>
          <w:rFonts w:ascii="Verdana" w:eastAsia="Verdana" w:hAnsi="Verdana" w:cs="Verdana"/>
          <w:sz w:val="20"/>
          <w:szCs w:val="20"/>
          <w:lang w:val="es-ES_tradnl"/>
        </w:rPr>
      </w:pPr>
      <w:r>
        <w:rPr>
          <w:rFonts w:ascii="Verdana" w:eastAsia="Verdana" w:hAnsi="Verdana" w:cs="Verdana"/>
          <w:sz w:val="20"/>
          <w:szCs w:val="20"/>
          <w:lang w:val="es-ES_tradnl"/>
        </w:rPr>
        <w:t xml:space="preserve">[…] </w:t>
      </w:r>
      <w:r w:rsidRPr="00401F72">
        <w:rPr>
          <w:rFonts w:ascii="Verdana" w:eastAsia="Verdana" w:hAnsi="Verdana" w:cs="Verdana"/>
          <w:sz w:val="20"/>
          <w:szCs w:val="20"/>
          <w:lang w:val="es-ES_tradnl"/>
        </w:rPr>
        <w:t>el precitado artículo dispone que la Ley 1712 aplica a un amplio conjunto de sujetos obligados, incluyendo todas las entidades públicas de cualquier rama y nivel; órganos autónomos y de control; personas naturales o jurídicas, públicas o privadas, que ejerzan función pública o presten servicios públicos respecto de la información relacionada con dicha función; empresas estatales; partidos y movimientos políticos; y entidades que administren recursos públicos o parafiscales. Además, quienes reciban o intermedien fondos públicos, sin cumplir otros criterios, solo deben cumplir la ley respecto de la información vinculada a esos recursos. Finalmente, aclara que los usuarios privados de información pública no son sujetos obligados.</w:t>
      </w:r>
    </w:p>
    <w:p w14:paraId="45286834" w14:textId="75FF380D" w:rsidR="00CB4C64" w:rsidRPr="00CB4C64" w:rsidRDefault="00CB4C64" w:rsidP="00401F72">
      <w:pPr>
        <w:jc w:val="both"/>
        <w:rPr>
          <w:rFonts w:ascii="Verdana" w:eastAsia="Verdana" w:hAnsi="Verdana" w:cs="Verdana"/>
          <w:sz w:val="20"/>
          <w:szCs w:val="20"/>
        </w:rPr>
      </w:pPr>
      <w:r w:rsidRPr="00CB4C64">
        <w:rPr>
          <w:rFonts w:ascii="Verdana" w:eastAsia="Verdana" w:hAnsi="Verdana" w:cs="Verdana"/>
          <w:sz w:val="20"/>
          <w:szCs w:val="20"/>
        </w:rPr>
        <w:t xml:space="preserve">En este sentido, el literal e) del artículo citado dispone que deben cumplir con los deberes de publicidad “las empresas públicas creadas por ley, las empresas del Estado y las sociedades en que este tenga participación”. Esta redacción, amplia y no condicionada al porcentaje accionario, sugiere que la sola presencia de capital público —sin importar su magnitud— activa el deber de publicidad y transparencia del artículo 9 de la Ley 1712 de 2014. </w:t>
      </w:r>
      <w:r>
        <w:rPr>
          <w:rFonts w:ascii="Verdana" w:eastAsia="Verdana" w:hAnsi="Verdana" w:cs="Verdana"/>
          <w:sz w:val="20"/>
          <w:szCs w:val="20"/>
        </w:rPr>
        <w:t xml:space="preserve">[…] </w:t>
      </w:r>
      <w:r w:rsidRPr="00CB4C64">
        <w:rPr>
          <w:rFonts w:ascii="Verdana" w:eastAsia="Verdana" w:hAnsi="Verdana" w:cs="Verdana"/>
          <w:sz w:val="20"/>
          <w:szCs w:val="20"/>
        </w:rPr>
        <w:t>La regla es amplia y abarca a todas las entidades con presencia de recursos públicos en su estructura societaria, reafirmando que la transparencia es un mandato que opera por la naturaleza pública del capital involucrado y no por su proporción.</w:t>
      </w:r>
    </w:p>
    <w:p w14:paraId="27538326" w14:textId="77777777" w:rsidR="00401F72" w:rsidRPr="00401F72" w:rsidRDefault="00401F72" w:rsidP="00401F72">
      <w:pPr>
        <w:spacing w:after="0" w:line="240" w:lineRule="auto"/>
        <w:jc w:val="both"/>
        <w:rPr>
          <w:rFonts w:ascii="Verdana" w:eastAsia="Verdana" w:hAnsi="Verdana" w:cs="Verdana"/>
          <w:sz w:val="20"/>
          <w:szCs w:val="20"/>
          <w:lang w:val="es-ES_tradnl"/>
        </w:rPr>
      </w:pPr>
    </w:p>
    <w:p w14:paraId="0B28F5A5" w14:textId="77777777" w:rsidR="00D97A62" w:rsidRDefault="00401F72" w:rsidP="00D97A62">
      <w:pPr>
        <w:jc w:val="both"/>
        <w:rPr>
          <w:rFonts w:ascii="Verdana" w:hAnsi="Verdana" w:cs="Arial"/>
          <w:b/>
          <w:bCs/>
          <w:lang w:val="es-ES_tradnl" w:eastAsia="es-ES" w:bidi="es-ES"/>
        </w:rPr>
      </w:pPr>
      <w:r w:rsidRPr="00401F72">
        <w:rPr>
          <w:rFonts w:ascii="Verdana" w:hAnsi="Verdana" w:cs="Arial"/>
          <w:b/>
          <w:bCs/>
          <w:lang w:val="es-ES_tradnl" w:eastAsia="es-ES" w:bidi="es-ES"/>
        </w:rPr>
        <w:lastRenderedPageBreak/>
        <w:t xml:space="preserve">PRINCIPIO DE PUBLICIDAD – SECOP – Documentos del proceso – Deber de publicación </w:t>
      </w:r>
    </w:p>
    <w:p w14:paraId="718D4FB9" w14:textId="77777777" w:rsidR="00D97A62" w:rsidRDefault="00CB4C64" w:rsidP="00D97A62">
      <w:pPr>
        <w:jc w:val="both"/>
        <w:rPr>
          <w:rFonts w:ascii="Verdana" w:hAnsi="Verdana" w:cs="Arial"/>
          <w:b/>
          <w:bCs/>
          <w:lang w:val="es-MX" w:eastAsia="es-ES" w:bidi="es-ES"/>
        </w:rPr>
      </w:pPr>
      <w:r>
        <w:rPr>
          <w:rFonts w:ascii="Verdana" w:hAnsi="Verdana" w:cs="Arial"/>
          <w:sz w:val="20"/>
          <w:szCs w:val="20"/>
          <w:lang w:val="es-MX" w:eastAsia="es-ES" w:bidi="es-ES"/>
        </w:rPr>
        <w:t xml:space="preserve">[…] </w:t>
      </w:r>
      <w:r w:rsidRPr="00CB4C64">
        <w:rPr>
          <w:rFonts w:ascii="Verdana" w:hAnsi="Verdana" w:cs="Arial"/>
          <w:sz w:val="20"/>
          <w:szCs w:val="20"/>
          <w:lang w:val="es-MX" w:eastAsia="es-ES" w:bidi="es-ES"/>
        </w:rPr>
        <w:t>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13C6F754" w14:textId="77777777" w:rsidR="00D97A62" w:rsidRDefault="00CB4C64" w:rsidP="00D97A62">
      <w:pPr>
        <w:jc w:val="both"/>
        <w:rPr>
          <w:rFonts w:ascii="Verdana" w:hAnsi="Verdana" w:cs="Arial"/>
          <w:b/>
          <w:bCs/>
          <w:lang w:val="es-MX" w:eastAsia="es-ES" w:bidi="es-ES"/>
        </w:rPr>
      </w:pPr>
      <w:r w:rsidRPr="00CB4C64">
        <w:rPr>
          <w:rFonts w:ascii="Verdana" w:hAnsi="Verdana" w:cs="Arial"/>
          <w:sz w:val="20"/>
          <w:szCs w:val="20"/>
          <w:lang w:val="es-MX" w:eastAsia="es-ES" w:bidi="es-ES"/>
        </w:rPr>
        <w:t>La expresión Documentos del Proceso está definida en el artículo 2.2.1.1.3.1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3F972820" w14:textId="77777777" w:rsidR="00D97A62" w:rsidRDefault="00CB4C64" w:rsidP="00D97A62">
      <w:pPr>
        <w:jc w:val="both"/>
        <w:rPr>
          <w:rFonts w:ascii="Verdana" w:hAnsi="Verdana" w:cs="Arial"/>
          <w:b/>
          <w:bCs/>
          <w:lang w:val="es-ES_tradnl" w:eastAsia="es-ES" w:bidi="es-ES"/>
        </w:rPr>
      </w:pPr>
      <w:r w:rsidRPr="00CB4C64">
        <w:rPr>
          <w:rFonts w:ascii="Verdana" w:hAnsi="Verdana" w:cs="Arial"/>
          <w:sz w:val="20"/>
          <w:szCs w:val="20"/>
          <w:lang w:val="es-MX" w:eastAsia="es-ES" w:bidi="es-ES"/>
        </w:rPr>
        <w:t xml:space="preserve">Sin embargo, para identificar los documentos que deben publicarse, es necesario realizar una interpretación sistemática de las disposiciones del Decreto 1082 de 2015, comoquiera que el anterior no es un listado taxativo, sino enunciativo, porque además de los documentos enlistados, el artículo 2.2.1.1.1.3.1 Ibidem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w:t>
      </w:r>
      <w:proofErr w:type="spellStart"/>
      <w:r w:rsidRPr="00CB4C64">
        <w:rPr>
          <w:rFonts w:ascii="Verdana" w:hAnsi="Verdana" w:cs="Arial"/>
          <w:sz w:val="20"/>
          <w:szCs w:val="20"/>
          <w:lang w:val="es-MX" w:eastAsia="es-ES" w:bidi="es-ES"/>
        </w:rPr>
        <w:t>mas</w:t>
      </w:r>
      <w:proofErr w:type="spellEnd"/>
      <w:r w:rsidRPr="00CB4C64">
        <w:rPr>
          <w:rFonts w:ascii="Verdana" w:hAnsi="Verdana" w:cs="Arial"/>
          <w:sz w:val="20"/>
          <w:szCs w:val="20"/>
          <w:lang w:val="es-MX" w:eastAsia="es-ES" w:bidi="es-ES"/>
        </w:rPr>
        <w:t xml:space="preserve"> tarde”. Nótese que la norma hace referencia a los documentos “expedidos por la entidad estatal” durante el proceso de contratación, excluyendo de la noción de Documentos del Proceso los expedidos por un sujeto distinto a la entidad, salvo la oferta, la cual se incluye expresamente en el referido artículo 2.2.1.1.1.3.1. </w:t>
      </w:r>
    </w:p>
    <w:p w14:paraId="0C0ADFA2" w14:textId="6BE4B240" w:rsidR="00D97A62" w:rsidRPr="00D97A62" w:rsidRDefault="00CB4C64" w:rsidP="00D97A62">
      <w:pPr>
        <w:spacing w:after="0" w:line="240" w:lineRule="auto"/>
        <w:jc w:val="both"/>
        <w:rPr>
          <w:rFonts w:ascii="Verdana" w:hAnsi="Verdana" w:cs="Arial"/>
          <w:b/>
          <w:bCs/>
          <w:lang w:val="es-ES_tradnl" w:eastAsia="es-ES" w:bidi="es-ES"/>
        </w:rPr>
      </w:pPr>
      <w:r w:rsidRPr="00CB4C64">
        <w:rPr>
          <w:rFonts w:ascii="Verdana" w:hAnsi="Verdana" w:cs="Arial"/>
          <w:sz w:val="20"/>
          <w:szCs w:val="20"/>
          <w:lang w:val="es-MX" w:eastAsia="es-ES" w:bidi="es-ES"/>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CB4C64">
        <w:rPr>
          <w:rFonts w:ascii="Verdana" w:hAnsi="Verdana" w:cs="Arial"/>
          <w:sz w:val="20"/>
          <w:szCs w:val="20"/>
          <w:lang w:val="es-MX" w:eastAsia="es-ES" w:bidi="es-ES"/>
        </w:rPr>
        <w:t>postcontractual</w:t>
      </w:r>
      <w:proofErr w:type="spellEnd"/>
      <w:r w:rsidRPr="00CB4C64">
        <w:rPr>
          <w:rFonts w:ascii="Verdana" w:hAnsi="Verdana" w:cs="Arial"/>
          <w:sz w:val="20"/>
          <w:szCs w:val="20"/>
          <w:lang w:val="es-MX" w:eastAsia="es-ES" w:bidi="es-ES"/>
        </w:rPr>
        <w:t xml:space="preserve"> deberán ser publicados en SECOP dentro de los tres (3) días siguientes a su expedición, para cumplir el deber de publicidad regulado por el artículo 2.2.1.1.1.7.1 del Decreto 1082 de 2015.</w:t>
      </w:r>
    </w:p>
    <w:p w14:paraId="6F80A5C7" w14:textId="77777777" w:rsidR="00D97A62" w:rsidRDefault="00D97A62" w:rsidP="00D97A62">
      <w:pPr>
        <w:spacing w:after="0" w:line="240" w:lineRule="auto"/>
        <w:jc w:val="both"/>
        <w:rPr>
          <w:rFonts w:ascii="Verdana" w:hAnsi="Verdana" w:cs="Arial"/>
          <w:b/>
          <w:bCs/>
          <w:lang w:val="es-ES" w:eastAsia="es-ES" w:bidi="es-ES"/>
        </w:rPr>
      </w:pPr>
    </w:p>
    <w:p w14:paraId="66D37A2B" w14:textId="24EB3C9A" w:rsidR="00D97A62" w:rsidRDefault="00401F72" w:rsidP="00CB4C64">
      <w:pPr>
        <w:jc w:val="both"/>
        <w:rPr>
          <w:rFonts w:ascii="Verdana" w:hAnsi="Verdana" w:cs="Arial"/>
          <w:b/>
          <w:bCs/>
          <w:lang w:val="es-ES_tradnl" w:eastAsia="es-ES" w:bidi="es-ES"/>
        </w:rPr>
      </w:pPr>
      <w:r w:rsidRPr="00401F72">
        <w:rPr>
          <w:rFonts w:ascii="Verdana" w:hAnsi="Verdana" w:cs="Arial"/>
          <w:b/>
          <w:bCs/>
          <w:lang w:val="es-ES" w:eastAsia="es-ES" w:bidi="es-ES"/>
        </w:rPr>
        <w:t xml:space="preserve">SOCIEDAD DE ECONOMÍA MIXTA – Naturaleza jurídica </w:t>
      </w:r>
    </w:p>
    <w:p w14:paraId="2F744813" w14:textId="502998B0" w:rsidR="00CB4C64" w:rsidRPr="00D97A62" w:rsidRDefault="00CB4C64" w:rsidP="00CB4C64">
      <w:pPr>
        <w:spacing w:after="0" w:line="240" w:lineRule="auto"/>
        <w:jc w:val="both"/>
        <w:rPr>
          <w:rFonts w:ascii="Verdana" w:hAnsi="Verdana" w:cs="Arial"/>
          <w:b/>
          <w:bCs/>
          <w:lang w:val="es-ES_tradnl" w:eastAsia="es-ES" w:bidi="es-ES"/>
        </w:rPr>
      </w:pPr>
      <w:r w:rsidRPr="00CB4C64">
        <w:rPr>
          <w:rFonts w:ascii="Verdana" w:eastAsia="Arial MT" w:hAnsi="Verdana" w:cs="Arial MT"/>
          <w:sz w:val="20"/>
          <w:szCs w:val="20"/>
          <w:lang w:val="es-ES"/>
        </w:rPr>
        <w:t>En nuestro ordenamiento jurídico el artículo 97 de la</w:t>
      </w:r>
      <w:r w:rsidRPr="00CB4C64">
        <w:rPr>
          <w:rFonts w:ascii="Verdana" w:eastAsia="Arial MT" w:hAnsi="Verdana" w:cs="Arial MT"/>
          <w:spacing w:val="-1"/>
          <w:sz w:val="20"/>
          <w:szCs w:val="20"/>
          <w:lang w:val="es-ES"/>
        </w:rPr>
        <w:t xml:space="preserve"> </w:t>
      </w:r>
      <w:r w:rsidRPr="00CB4C64">
        <w:rPr>
          <w:rFonts w:ascii="Verdana" w:eastAsia="Arial MT" w:hAnsi="Verdana" w:cs="Arial MT"/>
          <w:sz w:val="20"/>
          <w:szCs w:val="20"/>
          <w:lang w:val="es-ES"/>
        </w:rPr>
        <w:t>Ley 489 de 1998 define a las sociedades</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de</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economía</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mixta</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como</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organismos</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autorizados</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por</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la</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ley,</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constituidos como sociedades comerciales, con aportes de capital público y privado, que desarrollan actividades de naturaleza industrial o comercial conforme a las reglas del derecho</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privado, salvo las excepciones que consagra la ley.</w:t>
      </w:r>
    </w:p>
    <w:p w14:paraId="35664CB2" w14:textId="77777777" w:rsidR="00CB4C64" w:rsidRDefault="00CB4C64" w:rsidP="00CB4C64">
      <w:pPr>
        <w:jc w:val="both"/>
        <w:rPr>
          <w:rFonts w:ascii="Verdana" w:eastAsia="Arial MT" w:hAnsi="Verdana" w:cs="Arial MT"/>
          <w:sz w:val="20"/>
          <w:szCs w:val="20"/>
          <w:lang w:val="es-ES"/>
        </w:rPr>
      </w:pPr>
    </w:p>
    <w:p w14:paraId="3707E18E" w14:textId="53F692B0" w:rsidR="00CB4C64" w:rsidRDefault="00CB4C64" w:rsidP="00CB4C64">
      <w:pPr>
        <w:spacing w:after="0" w:line="240" w:lineRule="auto"/>
        <w:jc w:val="both"/>
        <w:rPr>
          <w:rFonts w:ascii="Verdana" w:eastAsia="Arial MT" w:hAnsi="Verdana" w:cs="Arial MT"/>
          <w:sz w:val="20"/>
          <w:szCs w:val="20"/>
          <w:lang w:val="es-ES"/>
        </w:rPr>
      </w:pPr>
      <w:r w:rsidRPr="00CB4C64">
        <w:rPr>
          <w:rFonts w:ascii="Verdana" w:eastAsia="Arial MT" w:hAnsi="Verdana" w:cs="Arial MT"/>
          <w:sz w:val="20"/>
          <w:szCs w:val="20"/>
          <w:lang w:val="es-ES"/>
        </w:rPr>
        <w:t>En este sentido, la misma Ley, en los artículos 38 y 68, clasifica a las sociedades de economía mixta como entidades descentralizadas por servicios, con personería jurídica, autonomía administrativa y patrimonio propio, que pueden ser del orden</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 xml:space="preserve">nacional, departamental o municipal, según su órgano de creación. </w:t>
      </w:r>
    </w:p>
    <w:p w14:paraId="4F57DD1D" w14:textId="03007B42" w:rsidR="00CB4C64" w:rsidRDefault="00CB4C64" w:rsidP="00CB4C64">
      <w:pPr>
        <w:jc w:val="both"/>
        <w:rPr>
          <w:rFonts w:ascii="Verdana" w:eastAsia="Arial MT" w:hAnsi="Verdana" w:cs="Arial MT"/>
          <w:sz w:val="20"/>
          <w:szCs w:val="20"/>
          <w:lang w:val="es-ES"/>
        </w:rPr>
      </w:pPr>
      <w:r>
        <w:rPr>
          <w:rFonts w:ascii="Verdana" w:eastAsia="Arial MT" w:hAnsi="Verdana" w:cs="Arial MT"/>
          <w:sz w:val="20"/>
          <w:szCs w:val="20"/>
          <w:lang w:val="es-ES"/>
        </w:rPr>
        <w:t>[…]</w:t>
      </w:r>
    </w:p>
    <w:p w14:paraId="7F9E4E9D" w14:textId="77777777" w:rsidR="00CB4C64" w:rsidRDefault="00CB4C64" w:rsidP="00D97A62">
      <w:pPr>
        <w:spacing w:after="0" w:line="240" w:lineRule="auto"/>
        <w:jc w:val="both"/>
        <w:rPr>
          <w:rFonts w:ascii="Verdana" w:eastAsia="Arial MT" w:hAnsi="Verdana" w:cs="Arial MT"/>
          <w:sz w:val="20"/>
          <w:szCs w:val="20"/>
          <w:lang w:val="es-ES"/>
        </w:rPr>
      </w:pPr>
      <w:r w:rsidRPr="00CB4C64">
        <w:rPr>
          <w:rFonts w:ascii="Verdana" w:eastAsia="Arial MT" w:hAnsi="Verdana" w:cs="Arial MT"/>
          <w:sz w:val="20"/>
          <w:szCs w:val="20"/>
          <w:lang w:val="es-ES"/>
        </w:rPr>
        <w:t>Sin embargo, la Corte Constitucional en Sentencia C-529 del 12 de julio de 2006, enfatizó en que, a pesar del sometimiento al régimen jurídico de derecho privado para el desarrollo de sus actividades, las sociedades de economía mixta no pierden su carácter de expresión organizacional de la actividad estatal , más precisamente de la función administrativa , en virtud del aporte público en la constitución del capital social y la consiguiente pertenencia a la administración pública, en la condición de entidades descentralizadas.</w:t>
      </w:r>
    </w:p>
    <w:p w14:paraId="48853A6E" w14:textId="77777777" w:rsidR="00D97A62" w:rsidRDefault="00D97A62" w:rsidP="00D97A62">
      <w:pPr>
        <w:spacing w:after="0" w:line="240" w:lineRule="auto"/>
        <w:jc w:val="both"/>
        <w:rPr>
          <w:rFonts w:ascii="Verdana" w:hAnsi="Verdana" w:cs="Arial"/>
          <w:b/>
          <w:bCs/>
          <w:lang w:val="es-ES" w:eastAsia="es-ES" w:bidi="es-ES"/>
        </w:rPr>
      </w:pPr>
    </w:p>
    <w:p w14:paraId="5116E097" w14:textId="42296144" w:rsidR="00401F72" w:rsidRDefault="00401F72" w:rsidP="00CB4C64">
      <w:pPr>
        <w:jc w:val="both"/>
        <w:rPr>
          <w:rFonts w:ascii="Verdana" w:hAnsi="Verdana" w:cs="Arial"/>
          <w:b/>
          <w:bCs/>
          <w:lang w:val="es-ES" w:eastAsia="es-ES" w:bidi="es-ES"/>
        </w:rPr>
      </w:pPr>
      <w:r w:rsidRPr="00401F72">
        <w:rPr>
          <w:rFonts w:ascii="Verdana" w:hAnsi="Verdana" w:cs="Arial"/>
          <w:b/>
          <w:bCs/>
          <w:lang w:val="es-ES" w:eastAsia="es-ES" w:bidi="es-ES"/>
        </w:rPr>
        <w:t xml:space="preserve">SOCIEDAD DE ECONOMÍA MIXTA - Régimen contractual </w:t>
      </w:r>
    </w:p>
    <w:p w14:paraId="6E80D6E9" w14:textId="77777777" w:rsidR="00CB4C64" w:rsidRDefault="00CB4C64" w:rsidP="00CB4C64">
      <w:pPr>
        <w:widowControl w:val="0"/>
        <w:autoSpaceDE w:val="0"/>
        <w:autoSpaceDN w:val="0"/>
        <w:spacing w:after="0" w:line="240" w:lineRule="auto"/>
        <w:jc w:val="both"/>
        <w:rPr>
          <w:rFonts w:ascii="Verdana" w:eastAsia="Arial MT" w:hAnsi="Verdana" w:cs="Arial MT"/>
          <w:sz w:val="20"/>
          <w:szCs w:val="20"/>
          <w:lang w:val="es-ES"/>
        </w:rPr>
      </w:pPr>
      <w:r>
        <w:rPr>
          <w:rFonts w:ascii="Verdana" w:eastAsia="Arial MT" w:hAnsi="Verdana" w:cs="Arial MT"/>
          <w:sz w:val="20"/>
          <w:szCs w:val="20"/>
          <w:lang w:val="es-ES"/>
        </w:rPr>
        <w:t xml:space="preserve">[…] </w:t>
      </w:r>
      <w:r w:rsidRPr="00CB4C64">
        <w:rPr>
          <w:rFonts w:ascii="Verdana" w:eastAsia="Arial MT" w:hAnsi="Verdana" w:cs="Arial MT"/>
          <w:sz w:val="20"/>
          <w:szCs w:val="20"/>
          <w:lang w:val="es-ES"/>
        </w:rPr>
        <w:t>en nuestro ordenamiento jurídico, las sociedades de economía mixta están sometidas a un régimen jurídico compuesto por un conjunto normativo de derecho público y de derecho privado; el</w:t>
      </w:r>
      <w:r w:rsidRPr="00CB4C64">
        <w:rPr>
          <w:rFonts w:ascii="Verdana" w:eastAsia="Arial MT" w:hAnsi="Verdana" w:cs="Arial MT"/>
          <w:spacing w:val="40"/>
          <w:sz w:val="20"/>
          <w:szCs w:val="20"/>
          <w:lang w:val="es-ES"/>
        </w:rPr>
        <w:t xml:space="preserve"> </w:t>
      </w:r>
      <w:r w:rsidRPr="00CB4C64">
        <w:rPr>
          <w:rFonts w:ascii="Verdana" w:eastAsia="Arial MT" w:hAnsi="Verdana" w:cs="Arial MT"/>
          <w:sz w:val="20"/>
          <w:szCs w:val="20"/>
          <w:lang w:val="es-ES"/>
        </w:rPr>
        <w:t>primero, derivado directamente de la Constitución Política y referido a aspectos como su creación, autorización, organización y funcionamiento internos. Y el segundo destinado a regir el desarrollo de la actividad económica de cada sociedad.</w:t>
      </w:r>
    </w:p>
    <w:p w14:paraId="22F6047A" w14:textId="77777777" w:rsidR="00CB4C64" w:rsidRDefault="00CB4C64" w:rsidP="00CB4C64">
      <w:pPr>
        <w:widowControl w:val="0"/>
        <w:autoSpaceDE w:val="0"/>
        <w:autoSpaceDN w:val="0"/>
        <w:spacing w:after="0" w:line="240" w:lineRule="auto"/>
        <w:jc w:val="both"/>
        <w:rPr>
          <w:rFonts w:ascii="Verdana" w:eastAsia="Arial MT" w:hAnsi="Verdana" w:cs="Arial MT"/>
          <w:sz w:val="20"/>
          <w:szCs w:val="20"/>
          <w:lang w:val="es-ES"/>
        </w:rPr>
      </w:pPr>
    </w:p>
    <w:p w14:paraId="2861D2FE" w14:textId="77777777" w:rsidR="00D97A62" w:rsidRDefault="00CB4C64" w:rsidP="00D97A62">
      <w:pPr>
        <w:widowControl w:val="0"/>
        <w:autoSpaceDE w:val="0"/>
        <w:autoSpaceDN w:val="0"/>
        <w:spacing w:after="0" w:line="240" w:lineRule="auto"/>
        <w:jc w:val="both"/>
        <w:rPr>
          <w:rFonts w:ascii="Verdana" w:eastAsia="Arial MT" w:hAnsi="Verdana" w:cs="Arial MT"/>
          <w:sz w:val="20"/>
          <w:szCs w:val="20"/>
          <w:lang w:val="es-ES"/>
        </w:rPr>
      </w:pPr>
      <w:r w:rsidRPr="00CB4C64">
        <w:rPr>
          <w:rFonts w:ascii="Verdana" w:eastAsia="Arial MT" w:hAnsi="Verdana" w:cs="Arial MT"/>
          <w:sz w:val="20"/>
          <w:szCs w:val="20"/>
          <w:lang w:val="es-ES"/>
        </w:rPr>
        <w:t>Ahora bien, conviene analizar el régimen aplicable para los actos y contratos que celebran estas entidades. Al respecto, el literal a), del artículo 2 de la Ley 80 de 1993, señala que son entidades estatales las sociedades de economía mixta en las que el Estado tenga participación superior al cincuenta por ciento (50%). Esto significa que el legislador,</w:t>
      </w:r>
      <w:r w:rsidRPr="00CB4C64">
        <w:rPr>
          <w:rFonts w:ascii="Verdana" w:eastAsia="Arial MT" w:hAnsi="Verdana" w:cs="Arial MT"/>
          <w:spacing w:val="29"/>
          <w:sz w:val="20"/>
          <w:szCs w:val="20"/>
          <w:lang w:val="es-ES"/>
        </w:rPr>
        <w:t xml:space="preserve"> </w:t>
      </w:r>
      <w:r w:rsidRPr="00CB4C64">
        <w:rPr>
          <w:rFonts w:ascii="Verdana" w:eastAsia="Arial MT" w:hAnsi="Verdana" w:cs="Arial MT"/>
          <w:sz w:val="20"/>
          <w:szCs w:val="20"/>
          <w:lang w:val="es-ES"/>
        </w:rPr>
        <w:t>en</w:t>
      </w:r>
      <w:r w:rsidRPr="00CB4C64">
        <w:rPr>
          <w:rFonts w:ascii="Verdana" w:eastAsia="Arial MT" w:hAnsi="Verdana" w:cs="Arial MT"/>
          <w:spacing w:val="30"/>
          <w:sz w:val="20"/>
          <w:szCs w:val="20"/>
          <w:lang w:val="es-ES"/>
        </w:rPr>
        <w:t xml:space="preserve"> </w:t>
      </w:r>
      <w:r w:rsidRPr="00CB4C64">
        <w:rPr>
          <w:rFonts w:ascii="Verdana" w:eastAsia="Arial MT" w:hAnsi="Verdana" w:cs="Arial MT"/>
          <w:sz w:val="20"/>
          <w:szCs w:val="20"/>
          <w:lang w:val="es-ES"/>
        </w:rPr>
        <w:t>el</w:t>
      </w:r>
      <w:r w:rsidRPr="00CB4C64">
        <w:rPr>
          <w:rFonts w:ascii="Verdana" w:eastAsia="Arial MT" w:hAnsi="Verdana" w:cs="Arial MT"/>
          <w:spacing w:val="27"/>
          <w:sz w:val="20"/>
          <w:szCs w:val="20"/>
          <w:lang w:val="es-ES"/>
        </w:rPr>
        <w:t xml:space="preserve"> </w:t>
      </w:r>
      <w:r w:rsidRPr="00CB4C64">
        <w:rPr>
          <w:rFonts w:ascii="Verdana" w:eastAsia="Arial MT" w:hAnsi="Verdana" w:cs="Arial MT"/>
          <w:sz w:val="20"/>
          <w:szCs w:val="20"/>
          <w:lang w:val="es-ES"/>
        </w:rPr>
        <w:t>año</w:t>
      </w:r>
      <w:r w:rsidRPr="00CB4C64">
        <w:rPr>
          <w:rFonts w:ascii="Verdana" w:eastAsia="Arial MT" w:hAnsi="Verdana" w:cs="Arial MT"/>
          <w:spacing w:val="30"/>
          <w:sz w:val="20"/>
          <w:szCs w:val="20"/>
          <w:lang w:val="es-ES"/>
        </w:rPr>
        <w:t xml:space="preserve"> </w:t>
      </w:r>
      <w:r w:rsidRPr="00CB4C64">
        <w:rPr>
          <w:rFonts w:ascii="Verdana" w:eastAsia="Arial MT" w:hAnsi="Verdana" w:cs="Arial MT"/>
          <w:sz w:val="20"/>
          <w:szCs w:val="20"/>
          <w:lang w:val="es-ES"/>
        </w:rPr>
        <w:t>1993,</w:t>
      </w:r>
      <w:r w:rsidRPr="00CB4C64">
        <w:rPr>
          <w:rFonts w:ascii="Verdana" w:eastAsia="Arial MT" w:hAnsi="Verdana" w:cs="Arial MT"/>
          <w:spacing w:val="34"/>
          <w:sz w:val="20"/>
          <w:szCs w:val="20"/>
          <w:lang w:val="es-ES"/>
        </w:rPr>
        <w:t xml:space="preserve"> </w:t>
      </w:r>
      <w:r w:rsidRPr="00CB4C64">
        <w:rPr>
          <w:rFonts w:ascii="Verdana" w:eastAsia="Arial MT" w:hAnsi="Verdana" w:cs="Arial MT"/>
          <w:sz w:val="20"/>
          <w:szCs w:val="20"/>
          <w:lang w:val="es-ES"/>
        </w:rPr>
        <w:t>estableció</w:t>
      </w:r>
      <w:r w:rsidRPr="00CB4C64">
        <w:rPr>
          <w:rFonts w:ascii="Verdana" w:eastAsia="Arial MT" w:hAnsi="Verdana" w:cs="Arial MT"/>
          <w:spacing w:val="30"/>
          <w:sz w:val="20"/>
          <w:szCs w:val="20"/>
          <w:lang w:val="es-ES"/>
        </w:rPr>
        <w:t xml:space="preserve"> </w:t>
      </w:r>
      <w:r w:rsidRPr="00CB4C64">
        <w:rPr>
          <w:rFonts w:ascii="Verdana" w:eastAsia="Arial MT" w:hAnsi="Verdana" w:cs="Arial MT"/>
          <w:sz w:val="20"/>
          <w:szCs w:val="20"/>
          <w:lang w:val="es-ES"/>
        </w:rPr>
        <w:t>que</w:t>
      </w:r>
      <w:r w:rsidRPr="00CB4C64">
        <w:rPr>
          <w:rFonts w:ascii="Verdana" w:eastAsia="Arial MT" w:hAnsi="Verdana" w:cs="Arial MT"/>
          <w:spacing w:val="30"/>
          <w:sz w:val="20"/>
          <w:szCs w:val="20"/>
          <w:lang w:val="es-ES"/>
        </w:rPr>
        <w:t xml:space="preserve"> </w:t>
      </w:r>
      <w:r w:rsidRPr="00CB4C64">
        <w:rPr>
          <w:rFonts w:ascii="Verdana" w:eastAsia="Arial MT" w:hAnsi="Verdana" w:cs="Arial MT"/>
          <w:sz w:val="20"/>
          <w:szCs w:val="20"/>
          <w:lang w:val="es-ES"/>
        </w:rPr>
        <w:t>las</w:t>
      </w:r>
      <w:r w:rsidRPr="00CB4C64">
        <w:rPr>
          <w:rFonts w:ascii="Verdana" w:eastAsia="Arial MT" w:hAnsi="Verdana" w:cs="Arial MT"/>
          <w:spacing w:val="33"/>
          <w:sz w:val="20"/>
          <w:szCs w:val="20"/>
          <w:lang w:val="es-ES"/>
        </w:rPr>
        <w:t xml:space="preserve"> </w:t>
      </w:r>
      <w:r w:rsidRPr="00CB4C64">
        <w:rPr>
          <w:rFonts w:ascii="Verdana" w:eastAsia="Arial MT" w:hAnsi="Verdana" w:cs="Arial MT"/>
          <w:sz w:val="20"/>
          <w:szCs w:val="20"/>
          <w:lang w:val="es-ES"/>
        </w:rPr>
        <w:t>sociedades</w:t>
      </w:r>
      <w:r w:rsidRPr="00CB4C64">
        <w:rPr>
          <w:rFonts w:ascii="Verdana" w:eastAsia="Arial MT" w:hAnsi="Verdana" w:cs="Arial MT"/>
          <w:spacing w:val="28"/>
          <w:sz w:val="20"/>
          <w:szCs w:val="20"/>
          <w:lang w:val="es-ES"/>
        </w:rPr>
        <w:t xml:space="preserve"> </w:t>
      </w:r>
      <w:r w:rsidRPr="00CB4C64">
        <w:rPr>
          <w:rFonts w:ascii="Verdana" w:eastAsia="Arial MT" w:hAnsi="Verdana" w:cs="Arial MT"/>
          <w:sz w:val="20"/>
          <w:szCs w:val="20"/>
          <w:lang w:val="es-ES"/>
        </w:rPr>
        <w:t>de</w:t>
      </w:r>
      <w:r w:rsidRPr="00CB4C64">
        <w:rPr>
          <w:rFonts w:ascii="Verdana" w:eastAsia="Arial MT" w:hAnsi="Verdana" w:cs="Arial MT"/>
          <w:spacing w:val="30"/>
          <w:sz w:val="20"/>
          <w:szCs w:val="20"/>
          <w:lang w:val="es-ES"/>
        </w:rPr>
        <w:t xml:space="preserve"> </w:t>
      </w:r>
      <w:r w:rsidRPr="00CB4C64">
        <w:rPr>
          <w:rFonts w:ascii="Verdana" w:eastAsia="Arial MT" w:hAnsi="Verdana" w:cs="Arial MT"/>
          <w:sz w:val="20"/>
          <w:szCs w:val="20"/>
          <w:lang w:val="es-ES"/>
        </w:rPr>
        <w:t>economía</w:t>
      </w:r>
      <w:r w:rsidRPr="00CB4C64">
        <w:rPr>
          <w:rFonts w:ascii="Verdana" w:eastAsia="Arial MT" w:hAnsi="Verdana" w:cs="Arial MT"/>
          <w:spacing w:val="35"/>
          <w:sz w:val="20"/>
          <w:szCs w:val="20"/>
          <w:lang w:val="es-ES"/>
        </w:rPr>
        <w:t xml:space="preserve"> </w:t>
      </w:r>
      <w:r w:rsidRPr="00CB4C64">
        <w:rPr>
          <w:rFonts w:ascii="Verdana" w:eastAsia="Arial MT" w:hAnsi="Verdana" w:cs="Arial MT"/>
          <w:sz w:val="20"/>
          <w:szCs w:val="20"/>
          <w:lang w:val="es-ES"/>
        </w:rPr>
        <w:t>mixta</w:t>
      </w:r>
      <w:r w:rsidRPr="00CB4C64">
        <w:rPr>
          <w:rFonts w:ascii="Verdana" w:eastAsia="Arial MT" w:hAnsi="Verdana" w:cs="Arial MT"/>
          <w:spacing w:val="30"/>
          <w:sz w:val="20"/>
          <w:szCs w:val="20"/>
          <w:lang w:val="es-ES"/>
        </w:rPr>
        <w:t xml:space="preserve"> </w:t>
      </w:r>
      <w:r w:rsidRPr="00CB4C64">
        <w:rPr>
          <w:rFonts w:ascii="Verdana" w:eastAsia="Arial MT" w:hAnsi="Verdana" w:cs="Arial MT"/>
          <w:sz w:val="20"/>
          <w:szCs w:val="20"/>
          <w:lang w:val="es-ES"/>
        </w:rPr>
        <w:t>donde</w:t>
      </w:r>
      <w:r w:rsidRPr="00CB4C64">
        <w:rPr>
          <w:rFonts w:ascii="Verdana" w:eastAsia="Arial MT" w:hAnsi="Verdana" w:cs="Arial MT"/>
          <w:spacing w:val="30"/>
          <w:sz w:val="20"/>
          <w:szCs w:val="20"/>
          <w:lang w:val="es-ES"/>
        </w:rPr>
        <w:t xml:space="preserve"> </w:t>
      </w:r>
      <w:r w:rsidRPr="00CB4C64">
        <w:rPr>
          <w:rFonts w:ascii="Verdana" w:eastAsia="Arial MT" w:hAnsi="Verdana" w:cs="Arial MT"/>
          <w:sz w:val="20"/>
          <w:szCs w:val="20"/>
          <w:lang w:val="es-ES"/>
        </w:rPr>
        <w:t>el Estado</w:t>
      </w:r>
      <w:r w:rsidRPr="00CB4C64">
        <w:rPr>
          <w:rFonts w:ascii="Verdana" w:eastAsia="Arial MT" w:hAnsi="Verdana" w:cs="Arial MT"/>
          <w:spacing w:val="-5"/>
          <w:sz w:val="20"/>
          <w:szCs w:val="20"/>
          <w:lang w:val="es-ES"/>
        </w:rPr>
        <w:t xml:space="preserve"> </w:t>
      </w:r>
      <w:r w:rsidRPr="00CB4C64">
        <w:rPr>
          <w:rFonts w:ascii="Verdana" w:eastAsia="Arial MT" w:hAnsi="Verdana" w:cs="Arial MT"/>
          <w:sz w:val="20"/>
          <w:szCs w:val="20"/>
          <w:lang w:val="es-ES"/>
        </w:rPr>
        <w:t>tenga participación superior</w:t>
      </w:r>
      <w:r w:rsidRPr="00CB4C64">
        <w:rPr>
          <w:rFonts w:ascii="Verdana" w:eastAsia="Arial MT" w:hAnsi="Verdana" w:cs="Arial MT"/>
          <w:spacing w:val="-4"/>
          <w:sz w:val="20"/>
          <w:szCs w:val="20"/>
          <w:lang w:val="es-ES"/>
        </w:rPr>
        <w:t xml:space="preserve"> </w:t>
      </w:r>
      <w:r w:rsidRPr="00CB4C64">
        <w:rPr>
          <w:rFonts w:ascii="Verdana" w:eastAsia="Arial MT" w:hAnsi="Verdana" w:cs="Arial MT"/>
          <w:sz w:val="20"/>
          <w:szCs w:val="20"/>
          <w:lang w:val="es-ES"/>
        </w:rPr>
        <w:t>al</w:t>
      </w:r>
      <w:r w:rsidRPr="00CB4C64">
        <w:rPr>
          <w:rFonts w:ascii="Verdana" w:eastAsia="Arial MT" w:hAnsi="Verdana" w:cs="Arial MT"/>
          <w:spacing w:val="-3"/>
          <w:sz w:val="20"/>
          <w:szCs w:val="20"/>
          <w:lang w:val="es-ES"/>
        </w:rPr>
        <w:t xml:space="preserve"> </w:t>
      </w:r>
      <w:r w:rsidRPr="00CB4C64">
        <w:rPr>
          <w:rFonts w:ascii="Verdana" w:eastAsia="Arial MT" w:hAnsi="Verdana" w:cs="Arial MT"/>
          <w:sz w:val="20"/>
          <w:szCs w:val="20"/>
          <w:lang w:val="es-ES"/>
        </w:rPr>
        <w:t>cincuenta</w:t>
      </w:r>
      <w:r w:rsidRPr="00CB4C64">
        <w:rPr>
          <w:rFonts w:ascii="Verdana" w:eastAsia="Arial MT" w:hAnsi="Verdana" w:cs="Arial MT"/>
          <w:spacing w:val="-1"/>
          <w:sz w:val="20"/>
          <w:szCs w:val="20"/>
          <w:lang w:val="es-ES"/>
        </w:rPr>
        <w:t xml:space="preserve"> </w:t>
      </w:r>
      <w:r w:rsidRPr="00CB4C64">
        <w:rPr>
          <w:rFonts w:ascii="Verdana" w:eastAsia="Arial MT" w:hAnsi="Verdana" w:cs="Arial MT"/>
          <w:sz w:val="20"/>
          <w:szCs w:val="20"/>
          <w:lang w:val="es-ES"/>
        </w:rPr>
        <w:t>por</w:t>
      </w:r>
      <w:r w:rsidRPr="00CB4C64">
        <w:rPr>
          <w:rFonts w:ascii="Verdana" w:eastAsia="Arial MT" w:hAnsi="Verdana" w:cs="Arial MT"/>
          <w:spacing w:val="-4"/>
          <w:sz w:val="20"/>
          <w:szCs w:val="20"/>
          <w:lang w:val="es-ES"/>
        </w:rPr>
        <w:t xml:space="preserve"> </w:t>
      </w:r>
      <w:r w:rsidRPr="00CB4C64">
        <w:rPr>
          <w:rFonts w:ascii="Verdana" w:eastAsia="Arial MT" w:hAnsi="Verdana" w:cs="Arial MT"/>
          <w:sz w:val="20"/>
          <w:szCs w:val="20"/>
          <w:lang w:val="es-ES"/>
        </w:rPr>
        <w:t>ciento</w:t>
      </w:r>
      <w:r w:rsidRPr="00CB4C64">
        <w:rPr>
          <w:rFonts w:ascii="Verdana" w:eastAsia="Arial MT" w:hAnsi="Verdana" w:cs="Arial MT"/>
          <w:spacing w:val="-1"/>
          <w:sz w:val="20"/>
          <w:szCs w:val="20"/>
          <w:lang w:val="es-ES"/>
        </w:rPr>
        <w:t xml:space="preserve"> </w:t>
      </w:r>
      <w:r w:rsidRPr="00CB4C64">
        <w:rPr>
          <w:rFonts w:ascii="Verdana" w:eastAsia="Arial MT" w:hAnsi="Verdana" w:cs="Arial MT"/>
          <w:sz w:val="20"/>
          <w:szCs w:val="20"/>
          <w:lang w:val="es-ES"/>
        </w:rPr>
        <w:t>(50%)</w:t>
      </w:r>
      <w:r w:rsidRPr="00CB4C64">
        <w:rPr>
          <w:rFonts w:ascii="Verdana" w:eastAsia="Arial MT" w:hAnsi="Verdana" w:cs="Arial MT"/>
          <w:spacing w:val="-3"/>
          <w:sz w:val="20"/>
          <w:szCs w:val="20"/>
          <w:lang w:val="es-ES"/>
        </w:rPr>
        <w:t xml:space="preserve"> </w:t>
      </w:r>
      <w:r w:rsidRPr="00CB4C64">
        <w:rPr>
          <w:rFonts w:ascii="Verdana" w:eastAsia="Arial MT" w:hAnsi="Verdana" w:cs="Arial MT"/>
          <w:sz w:val="20"/>
          <w:szCs w:val="20"/>
          <w:lang w:val="es-ES"/>
        </w:rPr>
        <w:t>están</w:t>
      </w:r>
      <w:r w:rsidRPr="00CB4C64">
        <w:rPr>
          <w:rFonts w:ascii="Verdana" w:eastAsia="Arial MT" w:hAnsi="Verdana" w:cs="Arial MT"/>
          <w:spacing w:val="-1"/>
          <w:sz w:val="20"/>
          <w:szCs w:val="20"/>
          <w:lang w:val="es-ES"/>
        </w:rPr>
        <w:t xml:space="preserve"> </w:t>
      </w:r>
      <w:r w:rsidRPr="00CB4C64">
        <w:rPr>
          <w:rFonts w:ascii="Verdana" w:eastAsia="Arial MT" w:hAnsi="Verdana" w:cs="Arial MT"/>
          <w:sz w:val="20"/>
          <w:szCs w:val="20"/>
          <w:lang w:val="es-ES"/>
        </w:rPr>
        <w:t>sujetos</w:t>
      </w:r>
      <w:r w:rsidRPr="00CB4C64">
        <w:rPr>
          <w:rFonts w:ascii="Verdana" w:eastAsia="Arial MT" w:hAnsi="Verdana" w:cs="Arial MT"/>
          <w:spacing w:val="-2"/>
          <w:sz w:val="20"/>
          <w:szCs w:val="20"/>
          <w:lang w:val="es-ES"/>
        </w:rPr>
        <w:t xml:space="preserve"> </w:t>
      </w:r>
      <w:r w:rsidRPr="00CB4C64">
        <w:rPr>
          <w:rFonts w:ascii="Verdana" w:eastAsia="Arial MT" w:hAnsi="Verdana" w:cs="Arial MT"/>
          <w:sz w:val="20"/>
          <w:szCs w:val="20"/>
          <w:lang w:val="es-ES"/>
        </w:rPr>
        <w:t>al Estatuto General de Contratación de la Administración Pública.</w:t>
      </w:r>
    </w:p>
    <w:p w14:paraId="23B16A67" w14:textId="77777777" w:rsidR="00D97A62" w:rsidRDefault="00D97A62" w:rsidP="00D97A62">
      <w:pPr>
        <w:widowControl w:val="0"/>
        <w:autoSpaceDE w:val="0"/>
        <w:autoSpaceDN w:val="0"/>
        <w:spacing w:after="0" w:line="240" w:lineRule="auto"/>
        <w:jc w:val="both"/>
        <w:rPr>
          <w:rFonts w:ascii="Verdana" w:eastAsia="Arial MT" w:hAnsi="Verdana" w:cs="Arial MT"/>
          <w:sz w:val="20"/>
          <w:szCs w:val="20"/>
          <w:lang w:val="es-ES"/>
        </w:rPr>
      </w:pPr>
    </w:p>
    <w:p w14:paraId="2B071EEF" w14:textId="0438258D" w:rsidR="00D97A62" w:rsidRDefault="00D97A62" w:rsidP="00D97A62">
      <w:pPr>
        <w:widowControl w:val="0"/>
        <w:autoSpaceDE w:val="0"/>
        <w:autoSpaceDN w:val="0"/>
        <w:spacing w:after="0" w:line="240" w:lineRule="auto"/>
        <w:jc w:val="both"/>
        <w:rPr>
          <w:rFonts w:ascii="Verdana" w:eastAsia="Arial MT" w:hAnsi="Verdana" w:cs="Arial MT"/>
          <w:sz w:val="20"/>
          <w:szCs w:val="20"/>
          <w:lang w:val="es-ES"/>
        </w:rPr>
      </w:pPr>
      <w:r w:rsidRPr="00D97A62">
        <w:rPr>
          <w:rFonts w:ascii="Verdana" w:eastAsia="Arial MT" w:hAnsi="Verdana" w:cs="Arial MT"/>
          <w:sz w:val="20"/>
          <w:szCs w:val="20"/>
          <w:lang w:val="es-ES"/>
        </w:rPr>
        <w:t>Frente al particular, el Consejo de Estado, en el Concepto 1127 del 10 de</w:t>
      </w:r>
      <w:r w:rsidRPr="00D97A62">
        <w:rPr>
          <w:rFonts w:ascii="Verdana" w:eastAsia="Arial MT" w:hAnsi="Verdana" w:cs="Arial MT"/>
          <w:spacing w:val="80"/>
          <w:sz w:val="20"/>
          <w:szCs w:val="20"/>
          <w:lang w:val="es-ES"/>
        </w:rPr>
        <w:t xml:space="preserve"> </w:t>
      </w:r>
      <w:r w:rsidRPr="00D97A62">
        <w:rPr>
          <w:rFonts w:ascii="Verdana" w:eastAsia="Arial MT" w:hAnsi="Verdana" w:cs="Arial MT"/>
          <w:sz w:val="20"/>
          <w:szCs w:val="20"/>
          <w:lang w:val="es-ES"/>
        </w:rPr>
        <w:t>diciembre de 2004, estableció que del análisis de esta norma se concluye que: “si la participación estatal en una sociedad de economía mixta es superior al cincuenta por ciento (50%) de su capital, ya no le aplica el derecho privado, como es la regla general, sino el Estatuto General de Contratación de la Administración Pública”. Es claro, entonces, que las sociedades de economía mixta con participación estatal superior al cincuenta por ciento (50%) se rigen en materia contractual por la Ley 80 de 1993, de acuerdo con la libertad de configuración del legislador en la materia.</w:t>
      </w:r>
    </w:p>
    <w:p w14:paraId="1F3D0D69" w14:textId="77777777" w:rsidR="00D97A62" w:rsidRDefault="00D97A62" w:rsidP="00D97A62">
      <w:pPr>
        <w:widowControl w:val="0"/>
        <w:autoSpaceDE w:val="0"/>
        <w:autoSpaceDN w:val="0"/>
        <w:spacing w:after="0" w:line="240" w:lineRule="auto"/>
        <w:jc w:val="both"/>
        <w:rPr>
          <w:rFonts w:ascii="Verdana" w:eastAsia="Arial MT" w:hAnsi="Verdana" w:cs="Arial MT"/>
          <w:sz w:val="20"/>
          <w:szCs w:val="20"/>
          <w:lang w:val="es-ES"/>
        </w:rPr>
      </w:pPr>
    </w:p>
    <w:p w14:paraId="6DA2B65A" w14:textId="57143448" w:rsidR="00D97A62" w:rsidRPr="00D97A62" w:rsidRDefault="00D97A62" w:rsidP="00D97A62">
      <w:pPr>
        <w:widowControl w:val="0"/>
        <w:autoSpaceDE w:val="0"/>
        <w:autoSpaceDN w:val="0"/>
        <w:spacing w:after="0" w:line="240" w:lineRule="auto"/>
        <w:jc w:val="both"/>
        <w:rPr>
          <w:rFonts w:ascii="Verdana" w:eastAsia="Arial MT" w:hAnsi="Verdana" w:cs="Arial MT"/>
          <w:sz w:val="20"/>
          <w:szCs w:val="20"/>
          <w:lang w:val="es-ES"/>
        </w:rPr>
      </w:pPr>
      <w:r w:rsidRPr="00D97A62">
        <w:rPr>
          <w:rFonts w:ascii="Verdana" w:eastAsia="Arial MT" w:hAnsi="Verdana" w:cs="Arial MT"/>
          <w:sz w:val="20"/>
          <w:szCs w:val="20"/>
          <w:lang w:val="es-ES"/>
        </w:rPr>
        <w:t>Sin embargo, actualmente el artículo 14 de la Ley 1150 de 2007 previó que las sociedades de economía mixta en las que el Estado tenga participación superior al cincuenta por ciento (50%) y sus filiales que cuenten con participación mayoritaria del Estado superior al cincuenta por ciento (50%) estarán sometidas al Estatuto General de Contratación la Administración Pública, en adelante EGCAP, con excepción de aquellas que desarrollen actividades</w:t>
      </w:r>
      <w:r w:rsidRPr="00D97A62">
        <w:rPr>
          <w:rFonts w:ascii="Verdana" w:eastAsia="Arial MT" w:hAnsi="Verdana" w:cs="Arial MT"/>
          <w:spacing w:val="-1"/>
          <w:sz w:val="20"/>
          <w:szCs w:val="20"/>
          <w:lang w:val="es-ES"/>
        </w:rPr>
        <w:t xml:space="preserve"> </w:t>
      </w:r>
      <w:r w:rsidRPr="00D97A62">
        <w:rPr>
          <w:rFonts w:ascii="Verdana" w:eastAsia="Arial MT" w:hAnsi="Verdana" w:cs="Arial MT"/>
          <w:sz w:val="20"/>
          <w:szCs w:val="20"/>
          <w:lang w:val="es-ES"/>
        </w:rPr>
        <w:t>comerciales</w:t>
      </w:r>
      <w:r w:rsidRPr="00D97A62">
        <w:rPr>
          <w:rFonts w:ascii="Verdana" w:eastAsia="Arial MT" w:hAnsi="Verdana" w:cs="Arial MT"/>
          <w:spacing w:val="-1"/>
          <w:sz w:val="20"/>
          <w:szCs w:val="20"/>
          <w:lang w:val="es-ES"/>
        </w:rPr>
        <w:t xml:space="preserve"> </w:t>
      </w:r>
      <w:r w:rsidRPr="00D97A62">
        <w:rPr>
          <w:rFonts w:ascii="Verdana" w:eastAsia="Arial MT" w:hAnsi="Verdana" w:cs="Arial MT"/>
          <w:sz w:val="20"/>
          <w:szCs w:val="20"/>
          <w:lang w:val="es-ES"/>
        </w:rPr>
        <w:t>en competencia con el sector</w:t>
      </w:r>
      <w:r w:rsidRPr="00D97A62">
        <w:rPr>
          <w:rFonts w:ascii="Verdana" w:eastAsia="Arial MT" w:hAnsi="Verdana" w:cs="Arial MT"/>
          <w:spacing w:val="-2"/>
          <w:sz w:val="20"/>
          <w:szCs w:val="20"/>
          <w:lang w:val="es-ES"/>
        </w:rPr>
        <w:t xml:space="preserve"> </w:t>
      </w:r>
      <w:r w:rsidRPr="00D97A62">
        <w:rPr>
          <w:rFonts w:ascii="Verdana" w:eastAsia="Arial MT" w:hAnsi="Verdana" w:cs="Arial MT"/>
          <w:sz w:val="20"/>
          <w:szCs w:val="20"/>
          <w:lang w:val="es-ES"/>
        </w:rPr>
        <w:t>privado y/o público, nacional o internacional, o en mercados regulados, caso en el cual se regirán por las disposiciones legales y reglamentarias aplicables a sus actividades económicas y comerciales. En otras palabras, el legislador estableció que las sociedades de economía mixta en las que el Estado tenga participación superior al cincuenta por ciento (50%), cuando se encuentran en competencia con el sector privado o público, nacional o internacional o desarrollan su actividad en mercados regulados estarán sometidos al derecho privado.</w:t>
      </w:r>
    </w:p>
    <w:p w14:paraId="05100A94" w14:textId="77777777" w:rsidR="00D97A62" w:rsidRPr="00CB4C64" w:rsidRDefault="00D97A62" w:rsidP="00CB4C64">
      <w:pPr>
        <w:widowControl w:val="0"/>
        <w:autoSpaceDE w:val="0"/>
        <w:autoSpaceDN w:val="0"/>
        <w:spacing w:after="0" w:line="240" w:lineRule="auto"/>
        <w:jc w:val="both"/>
        <w:rPr>
          <w:rFonts w:ascii="Verdana" w:eastAsia="Arial MT" w:hAnsi="Verdana" w:cs="Arial MT"/>
          <w:sz w:val="20"/>
          <w:szCs w:val="20"/>
          <w:lang w:val="es-ES"/>
        </w:rPr>
      </w:pPr>
    </w:p>
    <w:p w14:paraId="7F3D320F" w14:textId="77777777" w:rsidR="00D97A62" w:rsidRDefault="00401F72" w:rsidP="00D97A62">
      <w:pPr>
        <w:spacing w:after="0" w:line="240" w:lineRule="auto"/>
        <w:jc w:val="both"/>
        <w:rPr>
          <w:rFonts w:ascii="Verdana" w:hAnsi="Verdana" w:cs="Arial"/>
          <w:b/>
          <w:bCs/>
          <w:lang w:eastAsia="es-ES" w:bidi="es-ES"/>
        </w:rPr>
      </w:pPr>
      <w:r w:rsidRPr="00401F72">
        <w:rPr>
          <w:rFonts w:ascii="Verdana" w:hAnsi="Verdana" w:cs="Arial"/>
          <w:b/>
          <w:bCs/>
          <w:lang w:eastAsia="es-ES" w:bidi="es-ES"/>
        </w:rPr>
        <w:t xml:space="preserve">ENTIDADES CON RÉGIMEN ESPECIAL – Deber de publicar en SECOP – Artículo 53 Ley 2195 de 2022 </w:t>
      </w:r>
    </w:p>
    <w:p w14:paraId="57595C14" w14:textId="77777777" w:rsidR="00D97A62" w:rsidRDefault="00D97A62" w:rsidP="00D97A62">
      <w:pPr>
        <w:spacing w:after="0" w:line="240" w:lineRule="auto"/>
        <w:jc w:val="both"/>
        <w:rPr>
          <w:rFonts w:ascii="Verdana" w:eastAsia="Calibri" w:hAnsi="Verdana" w:cs="Arial"/>
          <w:color w:val="000000"/>
          <w:sz w:val="20"/>
          <w:szCs w:val="20"/>
          <w:lang w:val="es-ES_tradnl"/>
        </w:rPr>
      </w:pPr>
    </w:p>
    <w:p w14:paraId="69347599" w14:textId="2CEB3B94" w:rsidR="00D97A62" w:rsidRDefault="00D97A62" w:rsidP="00D97A62">
      <w:pPr>
        <w:spacing w:after="0" w:line="240" w:lineRule="auto"/>
        <w:jc w:val="both"/>
        <w:rPr>
          <w:rFonts w:ascii="Verdana" w:hAnsi="Verdana" w:cs="Arial"/>
          <w:b/>
          <w:bCs/>
          <w:lang w:eastAsia="es-ES" w:bidi="es-ES"/>
        </w:rPr>
      </w:pPr>
      <w:r w:rsidRPr="00D97A62">
        <w:rPr>
          <w:rFonts w:ascii="Verdana" w:eastAsia="Calibri" w:hAnsi="Verdana" w:cs="Arial"/>
          <w:color w:val="000000"/>
          <w:sz w:val="20"/>
          <w:szCs w:val="20"/>
          <w:lang w:val="es-ES_tradnl"/>
        </w:rPr>
        <w:t xml:space="preserve">Ahora bien, como entidades de régimen especial </w:t>
      </w:r>
      <w:r w:rsidRPr="00D97A62">
        <w:rPr>
          <w:rFonts w:ascii="Verdana" w:hAnsi="Verdana" w:cs="Arial"/>
          <w:sz w:val="20"/>
          <w:szCs w:val="20"/>
          <w:shd w:val="clear" w:color="auto" w:fill="FFFFFF"/>
        </w:rPr>
        <w:t xml:space="preserve">es clara la obligatoriedad de publicar la información de la actividad contractual. En tal sentido, </w:t>
      </w:r>
      <w:r w:rsidRPr="00D97A62">
        <w:rPr>
          <w:rFonts w:ascii="Verdana" w:eastAsia="Calibri" w:hAnsi="Verdana" w:cs="Arial"/>
          <w:color w:val="000000"/>
          <w:sz w:val="20"/>
          <w:szCs w:val="2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D97A62">
        <w:rPr>
          <w:rFonts w:ascii="Verdana" w:eastAsia="Calibri" w:hAnsi="Verdana" w:cs="Arial"/>
          <w:color w:val="000000"/>
          <w:sz w:val="20"/>
          <w:szCs w:val="20"/>
        </w:rPr>
        <w:t>post-contractual</w:t>
      </w:r>
      <w:proofErr w:type="spellEnd"/>
      <w:r w:rsidRPr="00D97A62">
        <w:rPr>
          <w:rFonts w:ascii="Verdana" w:eastAsia="Calibri" w:hAnsi="Verdana" w:cs="Arial"/>
          <w:color w:val="000000"/>
          <w:sz w:val="20"/>
          <w:szCs w:val="20"/>
        </w:rPr>
        <w:t>”.</w:t>
      </w:r>
    </w:p>
    <w:p w14:paraId="5030EEC2" w14:textId="77777777" w:rsidR="00D97A62" w:rsidRDefault="00D97A62" w:rsidP="00D97A62">
      <w:pPr>
        <w:spacing w:after="0" w:line="240" w:lineRule="auto"/>
        <w:jc w:val="both"/>
        <w:rPr>
          <w:rFonts w:ascii="Verdana" w:hAnsi="Verdana" w:cs="Arial"/>
          <w:sz w:val="20"/>
          <w:szCs w:val="20"/>
          <w:lang w:eastAsia="es-ES" w:bidi="es-ES"/>
        </w:rPr>
      </w:pPr>
    </w:p>
    <w:p w14:paraId="173EA505" w14:textId="3F12D2E2" w:rsidR="00D97A62" w:rsidRPr="00D97A62" w:rsidRDefault="00D97A62" w:rsidP="00D97A62">
      <w:pPr>
        <w:spacing w:after="0" w:line="240" w:lineRule="auto"/>
        <w:jc w:val="both"/>
        <w:rPr>
          <w:rFonts w:ascii="Verdana" w:hAnsi="Verdana" w:cs="Arial"/>
          <w:b/>
          <w:bCs/>
          <w:lang w:eastAsia="es-ES" w:bidi="es-ES"/>
        </w:rPr>
      </w:pPr>
      <w:r w:rsidRPr="00D97A62">
        <w:rPr>
          <w:rFonts w:ascii="Verdana" w:hAnsi="Verdana" w:cs="Arial"/>
          <w:sz w:val="20"/>
          <w:szCs w:val="20"/>
          <w:lang w:eastAsia="es-ES" w:bidi="es-ES"/>
        </w:rPr>
        <w:t xml:space="preserve">[…] </w:t>
      </w:r>
      <w:r w:rsidRPr="00D97A62">
        <w:rPr>
          <w:rFonts w:ascii="Verdana" w:eastAsia="Calibri" w:hAnsi="Verdana" w:cs="Arial"/>
          <w:color w:val="000000"/>
          <w:sz w:val="20"/>
          <w:szCs w:val="20"/>
        </w:rPr>
        <w:t>Adicionalmente se aclara, que el cumplimiento del deber de publicación de la documentación contractual debe armonizarse con las normas aplicables al tipo de información que estas contienen, si procede restricción de esta por una reserva constitucional o legal.</w:t>
      </w:r>
    </w:p>
    <w:p w14:paraId="16A530C2" w14:textId="77777777" w:rsidR="00D97A62" w:rsidRDefault="00D97A62" w:rsidP="00D97A62">
      <w:pPr>
        <w:spacing w:after="0" w:line="240" w:lineRule="auto"/>
        <w:jc w:val="both"/>
        <w:rPr>
          <w:rFonts w:ascii="Verdana" w:hAnsi="Verdana" w:cs="Arial"/>
          <w:b/>
          <w:bCs/>
          <w:lang w:eastAsia="es-ES" w:bidi="es-ES"/>
        </w:rPr>
      </w:pPr>
    </w:p>
    <w:p w14:paraId="30F58EAA" w14:textId="77777777" w:rsidR="00D97A62" w:rsidRDefault="00401F72" w:rsidP="00D97A62">
      <w:pPr>
        <w:jc w:val="both"/>
        <w:rPr>
          <w:rFonts w:ascii="Verdana" w:hAnsi="Verdana" w:cs="Arial"/>
          <w:b/>
          <w:bCs/>
          <w:lang w:eastAsia="es-ES" w:bidi="es-ES"/>
        </w:rPr>
      </w:pPr>
      <w:r w:rsidRPr="00401F72">
        <w:rPr>
          <w:rFonts w:ascii="Verdana" w:hAnsi="Verdana" w:cs="Arial"/>
          <w:b/>
          <w:bCs/>
          <w:lang w:eastAsia="es-ES" w:bidi="es-ES"/>
        </w:rPr>
        <w:t xml:space="preserve">ENTIDADES DE RÉGIMEN ESPECIAL – SECOP II- Módulo de Régimen Especial – Con oferta – Sin Oferta </w:t>
      </w:r>
    </w:p>
    <w:p w14:paraId="5562DD42" w14:textId="3385D97E" w:rsidR="00D97A62" w:rsidRPr="00D97A62" w:rsidRDefault="00D97A62" w:rsidP="00D97A62">
      <w:pPr>
        <w:spacing w:after="0" w:line="240" w:lineRule="auto"/>
        <w:jc w:val="both"/>
        <w:rPr>
          <w:rFonts w:ascii="Verdana" w:hAnsi="Verdana" w:cs="Arial"/>
          <w:b/>
          <w:bCs/>
          <w:lang w:eastAsia="es-ES" w:bidi="es-ES"/>
        </w:rPr>
      </w:pPr>
      <w:r w:rsidRPr="00D97A62">
        <w:rPr>
          <w:rFonts w:ascii="Verdana" w:eastAsia="Calibri" w:hAnsi="Verdana" w:cs="Arial"/>
          <w:sz w:val="20"/>
          <w:szCs w:val="20"/>
        </w:rPr>
        <w:t>Teniendo en cuenta, la obligatoriedad de</w:t>
      </w:r>
      <w:r w:rsidRPr="00D97A62">
        <w:rPr>
          <w:rFonts w:ascii="Verdana" w:eastAsia="Calibri" w:hAnsi="Verdana" w:cs="Arial"/>
          <w:sz w:val="20"/>
          <w:szCs w:val="20"/>
          <w:lang w:val="es-ES"/>
        </w:rPr>
        <w:t xml:space="preserve"> SECOP II para entidades de régimen especial, es preciso señalar que está habilitado dos módulos para dichas entidades: i) Régimen Especial con Ofertas, que consiste en un procedimiento contractual que se desarrolla en línea y dentro de la plataforma, en el que las entidades pueden estructurar el proceso de contratación y recibir las ofertas de los proveedores y generar el contrato electrónico y demás documentos, conformándose un expediente electrónico; </w:t>
      </w:r>
      <w:proofErr w:type="spellStart"/>
      <w:r w:rsidRPr="00D97A62">
        <w:rPr>
          <w:rFonts w:ascii="Verdana" w:eastAsia="Calibri" w:hAnsi="Verdana" w:cs="Arial"/>
          <w:sz w:val="20"/>
          <w:szCs w:val="20"/>
          <w:lang w:val="es-ES"/>
        </w:rPr>
        <w:t>ii</w:t>
      </w:r>
      <w:proofErr w:type="spellEnd"/>
      <w:r w:rsidRPr="00D97A62">
        <w:rPr>
          <w:rFonts w:ascii="Verdana" w:eastAsia="Calibri" w:hAnsi="Verdana" w:cs="Arial"/>
          <w:sz w:val="20"/>
          <w:szCs w:val="20"/>
          <w:lang w:val="es-ES"/>
        </w:rPr>
        <w:t>) Régimen Especial sin Ofertas, que consiste en que las entidades pueden estructurar el Proceso de Contratación, generar el contrato electrónico y realizar la gestión contractual.</w:t>
      </w:r>
    </w:p>
    <w:p w14:paraId="0C6D459C" w14:textId="77777777" w:rsidR="00D97A62" w:rsidRPr="00D97A62" w:rsidRDefault="00D97A62" w:rsidP="00D97A62">
      <w:pPr>
        <w:spacing w:after="0" w:line="240" w:lineRule="auto"/>
        <w:jc w:val="both"/>
        <w:rPr>
          <w:rFonts w:ascii="Verdana" w:hAnsi="Verdana" w:cs="Arial"/>
          <w:sz w:val="20"/>
          <w:szCs w:val="20"/>
          <w:lang w:eastAsia="es-ES" w:bidi="es-ES"/>
        </w:rPr>
      </w:pPr>
    </w:p>
    <w:p w14:paraId="2A558D14" w14:textId="77777777" w:rsidR="00401F72" w:rsidRDefault="00401F72" w:rsidP="00401F72">
      <w:pPr>
        <w:jc w:val="both"/>
        <w:rPr>
          <w:rFonts w:ascii="Verdana" w:hAnsi="Verdana" w:cs="Arial"/>
          <w:b/>
          <w:bCs/>
          <w:lang w:eastAsia="es-ES" w:bidi="es-ES"/>
        </w:rPr>
      </w:pPr>
      <w:r w:rsidRPr="00401F72">
        <w:rPr>
          <w:rFonts w:ascii="Verdana" w:hAnsi="Verdana" w:cs="Arial"/>
          <w:b/>
          <w:bCs/>
          <w:lang w:eastAsia="es-ES" w:bidi="es-ES"/>
        </w:rPr>
        <w:t xml:space="preserve">ENTIDADES DE RÉGIMEN ESPECIAL – Sociedades de Economía Mixta – Deber de Publicación </w:t>
      </w:r>
    </w:p>
    <w:p w14:paraId="560A4A48" w14:textId="77777777" w:rsidR="00D97A62" w:rsidRDefault="00D97A62" w:rsidP="00D97A62">
      <w:pPr>
        <w:spacing w:after="0" w:line="240" w:lineRule="auto"/>
        <w:jc w:val="both"/>
        <w:rPr>
          <w:rFonts w:ascii="Verdana" w:eastAsia="Calibri" w:hAnsi="Verdana" w:cs="Arial"/>
          <w:color w:val="000000"/>
          <w:sz w:val="20"/>
          <w:szCs w:val="20"/>
        </w:rPr>
      </w:pPr>
      <w:r>
        <w:rPr>
          <w:rFonts w:ascii="Verdana" w:eastAsia="Calibri" w:hAnsi="Verdana" w:cs="Arial"/>
          <w:color w:val="000000"/>
          <w:sz w:val="20"/>
          <w:szCs w:val="20"/>
        </w:rPr>
        <w:t xml:space="preserve">[…] </w:t>
      </w:r>
      <w:r w:rsidRPr="00D97A62">
        <w:rPr>
          <w:rFonts w:ascii="Verdana" w:eastAsia="Calibri" w:hAnsi="Verdana" w:cs="Arial"/>
          <w:color w:val="000000"/>
          <w:sz w:val="20"/>
          <w:szCs w:val="20"/>
        </w:rPr>
        <w:t>las Entidades Estatales que, por disposición legal, cuenten con un régimen contractual distinto al previsto en el Estatuto General de Contratación de la Administración Pública, disponen de un plazo de tres (3) días hábiles posteriores a la expedición del acto para realizar la publicación en el SECOP II. Esto, sin perjuicio de que dichas entidades utilicen la plataforma de manera transaccional, caso en el cual la publicación de los documentos deberá efectuarse en tiempo real, conforme al cronograma establecido para el respectivo proceso de selección.</w:t>
      </w:r>
    </w:p>
    <w:p w14:paraId="5207956E" w14:textId="77777777" w:rsidR="00D97A62" w:rsidRDefault="00D97A62" w:rsidP="00D97A62">
      <w:pPr>
        <w:spacing w:after="0" w:line="240" w:lineRule="auto"/>
        <w:jc w:val="both"/>
        <w:rPr>
          <w:rFonts w:ascii="Verdana" w:eastAsia="Calibri" w:hAnsi="Verdana" w:cs="Arial"/>
          <w:color w:val="000000"/>
          <w:sz w:val="20"/>
          <w:szCs w:val="20"/>
        </w:rPr>
      </w:pPr>
    </w:p>
    <w:p w14:paraId="6C9CE521" w14:textId="63D0883E" w:rsidR="00401F72" w:rsidRDefault="00401F72" w:rsidP="00D97A62">
      <w:pPr>
        <w:spacing w:after="0" w:line="240" w:lineRule="auto"/>
        <w:jc w:val="both"/>
        <w:rPr>
          <w:rFonts w:ascii="Verdana" w:hAnsi="Verdana" w:cs="Arial"/>
          <w:b/>
          <w:bCs/>
          <w:lang w:eastAsia="es-ES" w:bidi="es-ES"/>
        </w:rPr>
      </w:pPr>
      <w:r w:rsidRPr="00401F72">
        <w:rPr>
          <w:rFonts w:ascii="Verdana" w:hAnsi="Verdana" w:cs="Arial"/>
          <w:b/>
          <w:bCs/>
          <w:lang w:eastAsia="es-ES" w:bidi="es-ES"/>
        </w:rPr>
        <w:t xml:space="preserve">ACCESO A DOCUMENTACIÓN PÚBLICA – Derecho fundamental – Transparencia – Información contractual </w:t>
      </w:r>
    </w:p>
    <w:p w14:paraId="2E3A03A6" w14:textId="77777777" w:rsidR="00D97A62" w:rsidRDefault="00D97A62" w:rsidP="00D97A62">
      <w:pPr>
        <w:spacing w:after="0" w:line="240" w:lineRule="auto"/>
        <w:jc w:val="both"/>
        <w:rPr>
          <w:rFonts w:ascii="Verdana" w:hAnsi="Verdana" w:cs="Arial"/>
          <w:b/>
          <w:bCs/>
          <w:lang w:eastAsia="es-ES" w:bidi="es-ES"/>
        </w:rPr>
      </w:pPr>
    </w:p>
    <w:p w14:paraId="283B61C7" w14:textId="77777777" w:rsidR="00644EE0" w:rsidRDefault="00644EE0" w:rsidP="00644EE0">
      <w:pPr>
        <w:spacing w:after="0" w:line="240" w:lineRule="auto"/>
        <w:jc w:val="both"/>
        <w:rPr>
          <w:rFonts w:ascii="Verdana" w:eastAsia="Calibri" w:hAnsi="Verdana" w:cs="Arial"/>
          <w:color w:val="000000"/>
          <w:sz w:val="20"/>
          <w:szCs w:val="20"/>
        </w:rPr>
      </w:pPr>
      <w:r>
        <w:rPr>
          <w:rFonts w:ascii="Verdana" w:eastAsia="Calibri" w:hAnsi="Verdana" w:cs="Arial"/>
          <w:color w:val="000000"/>
          <w:sz w:val="20"/>
          <w:szCs w:val="20"/>
        </w:rPr>
        <w:t xml:space="preserve">[…] </w:t>
      </w:r>
      <w:r w:rsidRPr="00644EE0">
        <w:rPr>
          <w:rFonts w:ascii="Verdana" w:eastAsia="Calibri" w:hAnsi="Verdana" w:cs="Arial"/>
          <w:color w:val="000000"/>
          <w:sz w:val="20"/>
          <w:szCs w:val="20"/>
        </w:rPr>
        <w:t xml:space="preserve">sobre la posibilidad de diferenciar la publicidad contractual según el origen público o privado de los recursos debe partir de que el deber de divulgación previsto en el artículo 53 de la Ley 2195 de 2022, que modificó el artículo 13 de la Ley 1150 de 2007, no introdujo distinción alguna basada en la fuente de financiación. El legislador optó por un mandato general de transparencia aplicable a </w:t>
      </w:r>
      <w:r w:rsidRPr="00644EE0">
        <w:rPr>
          <w:rFonts w:ascii="Verdana" w:eastAsia="Calibri" w:hAnsi="Verdana" w:cs="Arial"/>
          <w:i/>
          <w:iCs/>
          <w:color w:val="000000"/>
          <w:sz w:val="20"/>
          <w:szCs w:val="20"/>
        </w:rPr>
        <w:t>todas</w:t>
      </w:r>
      <w:r w:rsidRPr="00644EE0">
        <w:rPr>
          <w:rFonts w:ascii="Verdana" w:eastAsia="Calibri" w:hAnsi="Verdana" w:cs="Arial"/>
          <w:color w:val="000000"/>
          <w:sz w:val="20"/>
          <w:szCs w:val="20"/>
        </w:rPr>
        <w:t xml:space="preserve"> las entidades estatales, incluidas aquellas con régimen contractual especial o sujetas al derecho privado, de modo que la obligación de publicar en el SECOP se activa por la naturaleza pública del sujeto obligado, y no por la procedencia de los recursos que soportan la contratación.</w:t>
      </w:r>
    </w:p>
    <w:p w14:paraId="198AA3B8" w14:textId="77777777" w:rsidR="00644EE0" w:rsidRDefault="00644EE0" w:rsidP="00644EE0">
      <w:pPr>
        <w:spacing w:after="0" w:line="240" w:lineRule="auto"/>
        <w:jc w:val="both"/>
        <w:rPr>
          <w:rFonts w:ascii="Verdana" w:eastAsia="Calibri" w:hAnsi="Verdana" w:cs="Arial"/>
          <w:color w:val="000000"/>
          <w:sz w:val="20"/>
          <w:szCs w:val="20"/>
        </w:rPr>
      </w:pPr>
    </w:p>
    <w:p w14:paraId="03C1AA18" w14:textId="0922DD26" w:rsidR="00644EE0" w:rsidRPr="00644EE0" w:rsidRDefault="00644EE0" w:rsidP="00644EE0">
      <w:pPr>
        <w:spacing w:after="0" w:line="240" w:lineRule="auto"/>
        <w:jc w:val="both"/>
        <w:rPr>
          <w:rFonts w:ascii="Verdana" w:eastAsia="Calibri" w:hAnsi="Verdana" w:cs="Arial"/>
          <w:color w:val="000000"/>
          <w:sz w:val="20"/>
          <w:szCs w:val="20"/>
        </w:rPr>
      </w:pPr>
      <w:r w:rsidRPr="00644EE0">
        <w:rPr>
          <w:rFonts w:ascii="Verdana" w:eastAsia="Calibri" w:hAnsi="Verdana" w:cs="Arial"/>
          <w:color w:val="000000"/>
          <w:sz w:val="20"/>
          <w:szCs w:val="20"/>
        </w:rPr>
        <w:t>Por tanto, la norma consolidó un deber de publicidad de alcance objetivo y uniforme, que no admite segmentaciones entre contratos financiados con recursos públicos y aquellos derivados de capital privado o de actividades comerciales propias. Esta interpretación constituye un principio estructural del sistema de contratación estatal y, por tanto, no puede condicionarse al origen de los recursos, salvo las excepciones expresamente previstas en la ley en materia de restricción de la información por considerarse clasificada o reservada. Por ello, resulta especialmente relevante, en escenarios donde se analiza la restricción de información asociada a actividades empresariales, tener en cuenta el Concepto C</w:t>
      </w:r>
      <w:r w:rsidRPr="00644EE0">
        <w:rPr>
          <w:rFonts w:ascii="Verdana" w:eastAsia="Calibri" w:hAnsi="Verdana" w:cs="Arial"/>
          <w:color w:val="000000"/>
          <w:sz w:val="20"/>
          <w:szCs w:val="20"/>
        </w:rPr>
        <w:noBreakHyphen/>
        <w:t>1784 del 22 de diciembre de 2025. Este concepto ofrece criterios útiles para delimitar el alcance de la publicidad y, en particular, para identificar herramientas jurídicas aplicables a la protección de secretos empresariales y demás información sensible de naturaleza económica o competitiva.</w:t>
      </w:r>
    </w:p>
    <w:p w14:paraId="6D1DD602" w14:textId="77777777" w:rsidR="00D97A62" w:rsidRPr="00D97A62" w:rsidRDefault="00D97A62" w:rsidP="00D97A62">
      <w:pPr>
        <w:spacing w:after="0" w:line="240" w:lineRule="auto"/>
        <w:jc w:val="both"/>
        <w:rPr>
          <w:rFonts w:ascii="Verdana" w:eastAsia="Calibri" w:hAnsi="Verdana" w:cs="Arial"/>
          <w:color w:val="000000"/>
          <w:sz w:val="20"/>
          <w:szCs w:val="20"/>
        </w:rPr>
      </w:pPr>
    </w:p>
    <w:p w14:paraId="0ABD3C33" w14:textId="4942790A" w:rsidR="00401F72" w:rsidRDefault="00401F72" w:rsidP="00D97A62">
      <w:pPr>
        <w:jc w:val="both"/>
        <w:rPr>
          <w:rFonts w:ascii="Verdana" w:hAnsi="Verdana" w:cs="Arial"/>
          <w:b/>
          <w:bCs/>
          <w:lang w:eastAsia="es-ES" w:bidi="es-ES"/>
        </w:rPr>
      </w:pPr>
      <w:r w:rsidRPr="00401F72">
        <w:rPr>
          <w:rFonts w:ascii="Verdana" w:hAnsi="Verdana" w:cs="Arial"/>
          <w:b/>
          <w:bCs/>
          <w:lang w:eastAsia="es-ES" w:bidi="es-ES"/>
        </w:rPr>
        <w:t xml:space="preserve">SECRETOS EMPRESARIALES – Secreto Comercial – Secreto Industrial – Concepto – Alcance </w:t>
      </w:r>
    </w:p>
    <w:p w14:paraId="4D9C9E5B" w14:textId="250015B2" w:rsidR="00EA201A" w:rsidRDefault="00EA201A" w:rsidP="00EA201A">
      <w:pPr>
        <w:spacing w:after="0" w:line="240" w:lineRule="auto"/>
        <w:jc w:val="both"/>
        <w:rPr>
          <w:rFonts w:ascii="Verdana" w:eastAsia="Calibri" w:hAnsi="Verdana" w:cs="Arial"/>
          <w:color w:val="000000"/>
          <w:sz w:val="20"/>
          <w:szCs w:val="20"/>
        </w:rPr>
      </w:pPr>
      <w:r w:rsidRPr="00EA201A">
        <w:rPr>
          <w:rFonts w:ascii="Verdana" w:eastAsia="Calibri" w:hAnsi="Verdana" w:cs="Arial"/>
          <w:color w:val="000000"/>
          <w:sz w:val="20"/>
          <w:szCs w:val="20"/>
        </w:rPr>
        <w:t>De las materias sujetas de reserva de información establecidas en las Leyes Estatutarias 1712 de 2014 y 1755 de 2015, se encuentra los secretos comerciales o industriales con sus respectivos pronunciamientos de constitucionalidad. Para ello, es necesario entender que los secretos industriales son definidos por la Superintendencia de Industria y Comercio, así: “[…] conjunto de conocimientos o informaciones que no son de dominio público, que son necesarios para la fabricación o comercialización de un producto, para la producción o prestación de un bien o servicio, o para la organización y financiación de una empresa o de una unidad o dependencia empresarial, y que, por ello, procura a quien los domina, una ventaja”. Mientras, el secreto comercial es definido por el Diccionario Panhispánico Jurídico de la siguiente forma: “[…] Información que no es generalmente conocida por las personas pertenecientes a los círculos en que normalmente se utilice este tipo de información, ni es fácilmente accesible para aquellas, tiene valor comercial y no ha sido divulgada o ha sido objeto de medidas razonables para mantenerla reservada”.</w:t>
      </w:r>
    </w:p>
    <w:p w14:paraId="577EA2FE" w14:textId="77777777" w:rsidR="00EA201A" w:rsidRDefault="00EA201A" w:rsidP="00EA201A">
      <w:pPr>
        <w:spacing w:after="0" w:line="240" w:lineRule="auto"/>
        <w:jc w:val="both"/>
        <w:rPr>
          <w:rFonts w:ascii="Verdana" w:eastAsia="Calibri" w:hAnsi="Verdana" w:cs="Arial"/>
          <w:color w:val="000000"/>
          <w:sz w:val="20"/>
          <w:szCs w:val="20"/>
        </w:rPr>
      </w:pPr>
    </w:p>
    <w:p w14:paraId="04EBDE06" w14:textId="77777777" w:rsidR="00EA201A" w:rsidRDefault="00EA201A" w:rsidP="00EA201A">
      <w:pPr>
        <w:spacing w:after="0" w:line="240" w:lineRule="auto"/>
        <w:jc w:val="both"/>
        <w:rPr>
          <w:rFonts w:ascii="Verdana" w:eastAsia="Calibri" w:hAnsi="Verdana" w:cs="Arial"/>
          <w:color w:val="000000"/>
          <w:sz w:val="20"/>
          <w:szCs w:val="20"/>
        </w:rPr>
      </w:pPr>
      <w:r>
        <w:rPr>
          <w:rFonts w:ascii="Verdana" w:eastAsia="Calibri" w:hAnsi="Verdana" w:cs="Arial"/>
          <w:color w:val="000000"/>
          <w:sz w:val="20"/>
          <w:szCs w:val="20"/>
        </w:rPr>
        <w:t xml:space="preserve">[…] </w:t>
      </w:r>
    </w:p>
    <w:p w14:paraId="0ED24A07" w14:textId="77777777" w:rsidR="00EA201A" w:rsidRDefault="00EA201A" w:rsidP="00EA201A">
      <w:pPr>
        <w:spacing w:after="0" w:line="240" w:lineRule="auto"/>
        <w:jc w:val="both"/>
        <w:rPr>
          <w:rFonts w:ascii="Verdana" w:eastAsia="Times New Roman" w:hAnsi="Verdana" w:cs="Times New Roman"/>
          <w:sz w:val="20"/>
          <w:szCs w:val="20"/>
        </w:rPr>
      </w:pPr>
    </w:p>
    <w:p w14:paraId="67B13D08" w14:textId="5012AD75" w:rsidR="00EA201A" w:rsidRPr="00EA201A" w:rsidRDefault="00EA201A" w:rsidP="00EA201A">
      <w:pPr>
        <w:spacing w:after="0" w:line="240" w:lineRule="auto"/>
        <w:jc w:val="both"/>
        <w:rPr>
          <w:rFonts w:ascii="Verdana" w:eastAsia="Calibri" w:hAnsi="Verdana" w:cs="Arial"/>
          <w:color w:val="000000"/>
          <w:sz w:val="20"/>
          <w:szCs w:val="20"/>
        </w:rPr>
      </w:pPr>
      <w:r>
        <w:rPr>
          <w:rFonts w:ascii="Verdana" w:eastAsia="Times New Roman" w:hAnsi="Verdana" w:cs="Times New Roman"/>
          <w:sz w:val="20"/>
          <w:szCs w:val="20"/>
        </w:rPr>
        <w:t xml:space="preserve">[…] </w:t>
      </w:r>
      <w:r w:rsidRPr="00EA201A">
        <w:rPr>
          <w:rFonts w:ascii="Verdana" w:eastAsia="Times New Roman" w:hAnsi="Verdana" w:cs="Times New Roman"/>
          <w:sz w:val="20"/>
          <w:szCs w:val="20"/>
        </w:rPr>
        <w:t xml:space="preserve">en el momento de publicar información derivado de los procesos de contratación en sus diferentes etapas –precontractual, contractual y </w:t>
      </w:r>
      <w:proofErr w:type="spellStart"/>
      <w:r w:rsidRPr="00EA201A">
        <w:rPr>
          <w:rFonts w:ascii="Verdana" w:eastAsia="Times New Roman" w:hAnsi="Verdana" w:cs="Times New Roman"/>
          <w:sz w:val="20"/>
          <w:szCs w:val="20"/>
        </w:rPr>
        <w:t>poscontractual</w:t>
      </w:r>
      <w:proofErr w:type="spellEnd"/>
      <w:r w:rsidRPr="00EA201A">
        <w:rPr>
          <w:rFonts w:ascii="Verdana" w:eastAsia="Times New Roman" w:hAnsi="Verdana" w:cs="Times New Roman"/>
          <w:sz w:val="20"/>
          <w:szCs w:val="20"/>
        </w:rPr>
        <w:t>- debe garantizarse y salvaguardarse la reserva de información por secretos empresariales, en los que se incluye los secretos comerciales e industriales. En tal sentido, de</w:t>
      </w:r>
      <w:r w:rsidRPr="00EA201A">
        <w:rPr>
          <w:rFonts w:ascii="Verdana" w:eastAsia="Calibri" w:hAnsi="Verdana" w:cs="Arial"/>
          <w:color w:val="000000"/>
          <w:sz w:val="20"/>
          <w:szCs w:val="20"/>
        </w:rPr>
        <w:t>be precisarse que, en virtud del principio de transparencia, específicamente por cuenta de lo dispuesto en el numeral 4 del artículo 24 de la ley 80 de 1993, así como por el principio de máxima publicidad establecido en el artículo 2 de la Ley 1712 de 2014, el contenido del expediente en el que reposa la actuación es información pública, independiente de si se trata de documentos que deban publicarse en SECOP. Por lo anterior, el contenido del expediente puede ser objeto de solicitud de copias, en ejercicio del derecho de petición, en cualquier momento del proceso de selección, en la medida en que las normas señaladas no imponen ningún condicionamiento, así que podrá solicitarlas cualquier persona, en desarrollo de la vigilancia de la contratación pública, cuestión que podría interesar a cualquier ciudadano. Esta posibilidad solo se encuentra limitada</w:t>
      </w:r>
      <w:r w:rsidRPr="00EA201A">
        <w:rPr>
          <w:rFonts w:ascii="Calibri" w:eastAsia="Calibri" w:hAnsi="Calibri" w:cs="Times New Roman"/>
          <w:sz w:val="20"/>
          <w:szCs w:val="20"/>
        </w:rPr>
        <w:t xml:space="preserve"> </w:t>
      </w:r>
      <w:r w:rsidRPr="00EA201A">
        <w:rPr>
          <w:rFonts w:ascii="Verdana" w:eastAsia="Calibri" w:hAnsi="Verdana" w:cs="Arial"/>
          <w:color w:val="000000"/>
          <w:sz w:val="20"/>
          <w:szCs w:val="20"/>
        </w:rPr>
        <w:t>respecto de la documentación que tenga la calidad de reservada, que deberá someterse al tratamiento establecido en el artículo 36 del CPACA, en lo relativo a la formación de cuadernos separados.</w:t>
      </w:r>
    </w:p>
    <w:p w14:paraId="775DAF7D" w14:textId="19985B1B" w:rsidR="00EA201A" w:rsidRPr="00EA201A" w:rsidRDefault="00EA201A" w:rsidP="00EA201A">
      <w:pPr>
        <w:spacing w:after="0" w:line="240" w:lineRule="auto"/>
        <w:jc w:val="both"/>
        <w:rPr>
          <w:rFonts w:ascii="Verdana" w:eastAsia="Calibri" w:hAnsi="Verdana" w:cs="Arial"/>
          <w:color w:val="000000"/>
          <w:sz w:val="20"/>
          <w:szCs w:val="20"/>
        </w:rPr>
      </w:pPr>
      <w:r>
        <w:rPr>
          <w:rFonts w:ascii="Verdana" w:eastAsia="Calibri" w:hAnsi="Verdana" w:cs="Arial"/>
          <w:color w:val="000000"/>
          <w:sz w:val="20"/>
          <w:szCs w:val="20"/>
        </w:rPr>
        <w:t xml:space="preserve"> </w:t>
      </w:r>
    </w:p>
    <w:p w14:paraId="10D4C2DF" w14:textId="5E56B273" w:rsidR="00401F72" w:rsidRDefault="00401F72" w:rsidP="00D97A62">
      <w:pPr>
        <w:jc w:val="both"/>
        <w:rPr>
          <w:rFonts w:ascii="Verdana" w:hAnsi="Verdana" w:cs="Arial"/>
          <w:b/>
          <w:bCs/>
          <w:lang w:eastAsia="es-ES" w:bidi="es-ES"/>
        </w:rPr>
      </w:pPr>
      <w:r w:rsidRPr="00401F72">
        <w:rPr>
          <w:rFonts w:ascii="Verdana" w:hAnsi="Verdana" w:cs="Arial"/>
          <w:b/>
          <w:bCs/>
          <w:lang w:eastAsia="es-ES" w:bidi="es-ES"/>
        </w:rPr>
        <w:t>PRINCIPIO DE PUBLICIDAD -</w:t>
      </w:r>
      <w:r w:rsidR="006527D9">
        <w:rPr>
          <w:rFonts w:ascii="Verdana" w:hAnsi="Verdana" w:cs="Arial"/>
          <w:b/>
          <w:bCs/>
          <w:lang w:eastAsia="es-ES" w:bidi="es-ES"/>
        </w:rPr>
        <w:t xml:space="preserve"> </w:t>
      </w:r>
      <w:r w:rsidRPr="00401F72">
        <w:rPr>
          <w:rFonts w:ascii="Verdana" w:hAnsi="Verdana" w:cs="Arial"/>
          <w:b/>
          <w:bCs/>
          <w:lang w:eastAsia="es-ES" w:bidi="es-ES"/>
        </w:rPr>
        <w:t>Reserva legal – Excepción – Divulgación parcial de la información</w:t>
      </w:r>
      <w:r w:rsidR="006527D9">
        <w:rPr>
          <w:rFonts w:ascii="Verdana" w:hAnsi="Verdana" w:cs="Arial"/>
          <w:b/>
          <w:bCs/>
          <w:lang w:eastAsia="es-ES" w:bidi="es-ES"/>
        </w:rPr>
        <w:t xml:space="preserve"> –</w:t>
      </w:r>
      <w:r w:rsidRPr="00401F72">
        <w:rPr>
          <w:rFonts w:ascii="Verdana" w:hAnsi="Verdana" w:cs="Arial"/>
          <w:b/>
          <w:bCs/>
          <w:lang w:eastAsia="es-ES" w:bidi="es-ES"/>
        </w:rPr>
        <w:t xml:space="preserve"> SECOP</w:t>
      </w:r>
    </w:p>
    <w:p w14:paraId="2ACA8576" w14:textId="77777777" w:rsidR="006527D9" w:rsidRDefault="006527D9" w:rsidP="006527D9">
      <w:pPr>
        <w:spacing w:after="0" w:line="240" w:lineRule="auto"/>
        <w:jc w:val="both"/>
        <w:rPr>
          <w:rFonts w:ascii="Verdana" w:eastAsia="Calibri" w:hAnsi="Verdana" w:cs="Arial"/>
          <w:color w:val="000000"/>
          <w:sz w:val="20"/>
          <w:szCs w:val="20"/>
        </w:rPr>
      </w:pPr>
      <w:r>
        <w:rPr>
          <w:rFonts w:ascii="Verdana" w:eastAsia="Calibri" w:hAnsi="Verdana" w:cs="Arial"/>
          <w:color w:val="000000"/>
          <w:sz w:val="20"/>
          <w:szCs w:val="20"/>
        </w:rPr>
        <w:t xml:space="preserve">[…] </w:t>
      </w:r>
      <w:r w:rsidRPr="006527D9">
        <w:rPr>
          <w:rFonts w:ascii="Verdana" w:eastAsia="Calibri" w:hAnsi="Verdana" w:cs="Arial"/>
          <w:color w:val="000000"/>
          <w:sz w:val="20"/>
          <w:szCs w:val="20"/>
        </w:rPr>
        <w:t xml:space="preserve">De esta forma, cuando el documento contractual contenga información sensible, clasificada o reservada, para proteger la reserva de información, las autoridades deben abstenerse de publicar en el SECOP la información que tiene protección especial o está sometida a reserva, o según el caso, suministrarla. En tal sentido, el segundo inciso del artículo 25 de la Ley 1437 de 2011 sustituido por el artículo 2° de la Ley 1755 de 2015: “La restricción por reserva legal no se extenderá a otras piezas del respectivo expediente o actuación que no estén cubiertas por ella”. Por ello, la entidad estatal puede no publicar o suministrar algún documento del proceso o aparte del mismo que contenga información clasificada o reservada, como puede ser el caso de los secretos comerciales e industriales, para no divulgarlo, pero debe publicar los demás documentos o los apartados de estos, en caso de que estos no gocen de reserva. Lo anterior, sin perjuicio de que, dependiendo de la información en específico, todo el documento o expediente no pueda publicarse o suministrarse, por ampararse en su integridad en alguna causal de reserva, dada la conexión de su contenido con la información que el constituyente o el legislador decidió limitar en cuanto a su publicidad o suministro. </w:t>
      </w:r>
    </w:p>
    <w:p w14:paraId="51169ACD" w14:textId="77777777" w:rsidR="006527D9" w:rsidRDefault="006527D9" w:rsidP="006527D9">
      <w:pPr>
        <w:spacing w:after="0" w:line="240" w:lineRule="auto"/>
        <w:jc w:val="both"/>
        <w:rPr>
          <w:rFonts w:ascii="Verdana" w:eastAsia="Calibri" w:hAnsi="Verdana" w:cs="Arial"/>
          <w:color w:val="000000"/>
          <w:sz w:val="20"/>
          <w:szCs w:val="20"/>
        </w:rPr>
      </w:pPr>
    </w:p>
    <w:p w14:paraId="486BC1BC" w14:textId="77777777" w:rsidR="006527D9" w:rsidRDefault="006527D9" w:rsidP="006527D9">
      <w:pPr>
        <w:spacing w:after="0" w:line="240" w:lineRule="auto"/>
        <w:jc w:val="both"/>
        <w:rPr>
          <w:rFonts w:ascii="Verdana" w:eastAsia="Calibri" w:hAnsi="Verdana" w:cs="Arial"/>
          <w:color w:val="000000"/>
          <w:sz w:val="20"/>
          <w:szCs w:val="20"/>
        </w:rPr>
      </w:pPr>
      <w:r>
        <w:rPr>
          <w:rFonts w:ascii="Verdana" w:eastAsia="Calibri" w:hAnsi="Verdana" w:cs="Arial"/>
          <w:color w:val="000000"/>
          <w:sz w:val="20"/>
          <w:szCs w:val="20"/>
        </w:rPr>
        <w:t xml:space="preserve">[…] </w:t>
      </w:r>
    </w:p>
    <w:p w14:paraId="7A05DB19" w14:textId="77777777" w:rsidR="006527D9" w:rsidRDefault="006527D9" w:rsidP="006527D9">
      <w:pPr>
        <w:spacing w:after="0" w:line="240" w:lineRule="auto"/>
        <w:jc w:val="both"/>
        <w:rPr>
          <w:rFonts w:ascii="Verdana" w:eastAsia="Calibri" w:hAnsi="Verdana" w:cs="Arial"/>
          <w:color w:val="000000"/>
          <w:sz w:val="20"/>
          <w:szCs w:val="20"/>
        </w:rPr>
      </w:pPr>
    </w:p>
    <w:p w14:paraId="4EC2B586" w14:textId="2EC463A6" w:rsidR="006527D9" w:rsidRPr="006527D9" w:rsidRDefault="006527D9" w:rsidP="006527D9">
      <w:pPr>
        <w:spacing w:after="0" w:line="240" w:lineRule="auto"/>
        <w:jc w:val="both"/>
        <w:rPr>
          <w:rFonts w:ascii="Verdana" w:eastAsia="Calibri" w:hAnsi="Verdana" w:cs="Arial"/>
          <w:color w:val="000000"/>
          <w:sz w:val="20"/>
          <w:szCs w:val="20"/>
        </w:rPr>
      </w:pPr>
      <w:r>
        <w:rPr>
          <w:rFonts w:ascii="Verdana" w:eastAsia="Calibri" w:hAnsi="Verdana" w:cs="Arial"/>
          <w:color w:val="000000"/>
          <w:sz w:val="20"/>
          <w:szCs w:val="20"/>
        </w:rPr>
        <w:t xml:space="preserve">[…] </w:t>
      </w:r>
      <w:r w:rsidRPr="006527D9">
        <w:rPr>
          <w:rFonts w:ascii="Verdana" w:eastAsia="Calibri" w:hAnsi="Verdana" w:cs="Arial"/>
          <w:color w:val="000000"/>
          <w:sz w:val="20"/>
          <w:szCs w:val="20"/>
        </w:rPr>
        <w:t>el Decreto 1081 de 2015 en su artículo 2.1.1.4.3.2 establece que, si un mismo acto o documento contiene información que puede divulgarse y a su vez, información clasificada o reservada, la entidad debe revelar los datos no protegidos y presentar los fundamentos constitucionales y legales por los que retiene los datos que no puede divulgar. De igual modo, deben revisar si los documentos contienen datos que no deban divulgarse, conforme a los fundamentos constitucionales y legales, y por tanto, tachar los apartes clasificados o reservados del documento, anonimizar, transliterar o editar el documento para suprimir la información que no puede difundirse; así como abrir un nuevo expediente con la información pública que pueda divulgar; o en su defecto, acudir a las acciones que sean necesarias para cumplir con su deber de permitir el acceso a toda aquella información que no esté clasificada o reservada, teniendo en cuenta el formato y medio de conservación de la información</w:t>
      </w:r>
      <w:r w:rsidRPr="00AD6B46">
        <w:rPr>
          <w:rFonts w:ascii="Verdana" w:eastAsia="Calibri" w:hAnsi="Verdana" w:cs="Arial"/>
          <w:color w:val="000000"/>
        </w:rPr>
        <w:t>.</w:t>
      </w:r>
    </w:p>
    <w:p w14:paraId="181486DF" w14:textId="77777777" w:rsidR="006527D9" w:rsidRDefault="006527D9" w:rsidP="00D97A62">
      <w:pPr>
        <w:spacing w:after="0" w:line="240" w:lineRule="auto"/>
        <w:jc w:val="both"/>
        <w:rPr>
          <w:rFonts w:ascii="Verdana" w:hAnsi="Verdana" w:cs="Arial"/>
          <w:b/>
          <w:bCs/>
          <w:lang w:eastAsia="es-ES" w:bidi="es-ES"/>
        </w:rPr>
      </w:pPr>
    </w:p>
    <w:p w14:paraId="5CA38014" w14:textId="77777777" w:rsidR="00401F72" w:rsidRPr="00401F72" w:rsidRDefault="00401F72" w:rsidP="00401F72">
      <w:pPr>
        <w:spacing w:after="0" w:line="240" w:lineRule="auto"/>
        <w:jc w:val="both"/>
        <w:rPr>
          <w:rFonts w:ascii="Verdana" w:hAnsi="Verdana" w:cs="Arial"/>
          <w:b/>
          <w:bCs/>
          <w:lang w:eastAsia="es-ES" w:bidi="es-ES"/>
        </w:rPr>
      </w:pPr>
    </w:p>
    <w:p w14:paraId="5B095A29" w14:textId="77777777" w:rsidR="00401F72" w:rsidRDefault="00401F72" w:rsidP="00EB59DD">
      <w:pPr>
        <w:spacing w:after="0"/>
        <w:rPr>
          <w:rFonts w:ascii="Verdana" w:eastAsia="Verdana" w:hAnsi="Verdana" w:cs="Verdana"/>
        </w:rPr>
      </w:pPr>
    </w:p>
    <w:p w14:paraId="20057425" w14:textId="77777777" w:rsidR="006527D9" w:rsidRDefault="006527D9" w:rsidP="00EB59DD">
      <w:pPr>
        <w:spacing w:after="0"/>
        <w:rPr>
          <w:rFonts w:ascii="Verdana" w:eastAsia="Verdana" w:hAnsi="Verdana" w:cs="Verdana"/>
        </w:rPr>
      </w:pPr>
    </w:p>
    <w:p w14:paraId="621DC76C" w14:textId="77777777" w:rsidR="006527D9" w:rsidRDefault="006527D9" w:rsidP="00EB59DD">
      <w:pPr>
        <w:spacing w:after="0"/>
        <w:rPr>
          <w:rFonts w:ascii="Verdana" w:eastAsia="Verdana" w:hAnsi="Verdana" w:cs="Verdana"/>
        </w:rPr>
      </w:pPr>
    </w:p>
    <w:p w14:paraId="44ED2FAA" w14:textId="77777777" w:rsidR="006527D9" w:rsidRDefault="006527D9" w:rsidP="00EB59DD">
      <w:pPr>
        <w:spacing w:after="0"/>
        <w:rPr>
          <w:rFonts w:ascii="Verdana" w:eastAsia="Verdana" w:hAnsi="Verdana" w:cs="Verdana"/>
        </w:rPr>
      </w:pPr>
    </w:p>
    <w:p w14:paraId="751D986E" w14:textId="77777777" w:rsidR="006527D9" w:rsidRDefault="006527D9" w:rsidP="00EB59DD">
      <w:pPr>
        <w:spacing w:after="0"/>
        <w:rPr>
          <w:rFonts w:ascii="Verdana" w:eastAsia="Verdana" w:hAnsi="Verdana" w:cs="Verdana"/>
        </w:rPr>
      </w:pPr>
    </w:p>
    <w:p w14:paraId="08E23563" w14:textId="77777777" w:rsidR="006527D9" w:rsidRDefault="006527D9" w:rsidP="00EB59DD">
      <w:pPr>
        <w:spacing w:after="0"/>
        <w:rPr>
          <w:rFonts w:ascii="Verdana" w:eastAsia="Verdana" w:hAnsi="Verdana" w:cs="Verdana"/>
        </w:rPr>
      </w:pPr>
    </w:p>
    <w:p w14:paraId="1170345F" w14:textId="77777777" w:rsidR="006527D9" w:rsidRDefault="006527D9" w:rsidP="00EB59DD">
      <w:pPr>
        <w:spacing w:after="0"/>
        <w:rPr>
          <w:rFonts w:ascii="Verdana" w:eastAsia="Verdana" w:hAnsi="Verdana" w:cs="Verdana"/>
        </w:rPr>
      </w:pPr>
    </w:p>
    <w:p w14:paraId="47513E50" w14:textId="77777777" w:rsidR="006527D9" w:rsidRDefault="006527D9" w:rsidP="00EB59DD">
      <w:pPr>
        <w:spacing w:after="0"/>
        <w:rPr>
          <w:rFonts w:ascii="Verdana" w:eastAsia="Verdana" w:hAnsi="Verdana" w:cs="Verdana"/>
        </w:rPr>
      </w:pPr>
    </w:p>
    <w:p w14:paraId="61155E3B" w14:textId="77777777" w:rsidR="006527D9" w:rsidRDefault="006527D9" w:rsidP="00EB59DD">
      <w:pPr>
        <w:spacing w:after="0"/>
        <w:rPr>
          <w:rFonts w:ascii="Verdana" w:eastAsia="Verdana" w:hAnsi="Verdana" w:cs="Verdana"/>
        </w:rPr>
      </w:pPr>
    </w:p>
    <w:p w14:paraId="4FE3A224" w14:textId="77777777" w:rsidR="006527D9" w:rsidRDefault="006527D9" w:rsidP="00EB59DD">
      <w:pPr>
        <w:spacing w:after="0"/>
        <w:rPr>
          <w:rFonts w:ascii="Verdana" w:eastAsia="Verdana" w:hAnsi="Verdana" w:cs="Verdana"/>
        </w:rPr>
      </w:pPr>
    </w:p>
    <w:p w14:paraId="4B2AEE9F" w14:textId="77777777" w:rsidR="006527D9" w:rsidRDefault="006527D9" w:rsidP="00EB59DD">
      <w:pPr>
        <w:spacing w:after="0"/>
        <w:rPr>
          <w:rFonts w:ascii="Verdana" w:eastAsia="Verdana" w:hAnsi="Verdana" w:cs="Verdana"/>
        </w:rPr>
      </w:pPr>
    </w:p>
    <w:p w14:paraId="331C4AC5" w14:textId="77777777" w:rsidR="006527D9" w:rsidRDefault="006527D9" w:rsidP="00EB59DD">
      <w:pPr>
        <w:spacing w:after="0"/>
        <w:rPr>
          <w:rFonts w:ascii="Verdana" w:eastAsia="Verdana" w:hAnsi="Verdana" w:cs="Verdana"/>
        </w:rPr>
      </w:pPr>
    </w:p>
    <w:p w14:paraId="7E647996" w14:textId="77777777" w:rsidR="006527D9" w:rsidRDefault="006527D9" w:rsidP="00EB59DD">
      <w:pPr>
        <w:spacing w:after="0"/>
        <w:rPr>
          <w:rFonts w:ascii="Verdana" w:eastAsia="Verdana" w:hAnsi="Verdana" w:cs="Verdana"/>
        </w:rPr>
      </w:pPr>
    </w:p>
    <w:p w14:paraId="6C2B13BD" w14:textId="77777777" w:rsidR="006527D9" w:rsidRDefault="006527D9" w:rsidP="00EB59DD">
      <w:pPr>
        <w:spacing w:after="0"/>
        <w:rPr>
          <w:rFonts w:ascii="Verdana" w:eastAsia="Verdana" w:hAnsi="Verdana" w:cs="Verdana"/>
        </w:rPr>
      </w:pPr>
    </w:p>
    <w:p w14:paraId="7E112042" w14:textId="77777777" w:rsidR="006527D9" w:rsidRDefault="006527D9" w:rsidP="00EB59DD">
      <w:pPr>
        <w:spacing w:after="0"/>
        <w:rPr>
          <w:rFonts w:ascii="Verdana" w:eastAsia="Verdana" w:hAnsi="Verdana" w:cs="Verdana"/>
        </w:rPr>
      </w:pPr>
    </w:p>
    <w:p w14:paraId="5A6DF1F0" w14:textId="77777777" w:rsidR="006527D9" w:rsidRDefault="006527D9" w:rsidP="00EB59DD">
      <w:pPr>
        <w:spacing w:after="0"/>
        <w:rPr>
          <w:rFonts w:ascii="Verdana" w:eastAsia="Verdana" w:hAnsi="Verdana" w:cs="Verdana"/>
        </w:rPr>
      </w:pPr>
    </w:p>
    <w:p w14:paraId="3902D6B1" w14:textId="77777777" w:rsidR="006527D9" w:rsidRDefault="006527D9" w:rsidP="00EB59DD">
      <w:pPr>
        <w:spacing w:after="0"/>
        <w:rPr>
          <w:rFonts w:ascii="Verdana" w:eastAsia="Verdana" w:hAnsi="Verdana" w:cs="Verdana"/>
        </w:rPr>
      </w:pPr>
    </w:p>
    <w:p w14:paraId="56DAD11C" w14:textId="77777777" w:rsidR="006527D9" w:rsidRDefault="006527D9" w:rsidP="00EB59DD">
      <w:pPr>
        <w:spacing w:after="0"/>
        <w:rPr>
          <w:rFonts w:ascii="Verdana" w:eastAsia="Verdana" w:hAnsi="Verdana" w:cs="Verdana"/>
        </w:rPr>
      </w:pPr>
    </w:p>
    <w:p w14:paraId="26F9248E" w14:textId="77777777" w:rsidR="006527D9" w:rsidRDefault="006527D9" w:rsidP="00EB59DD">
      <w:pPr>
        <w:spacing w:after="0"/>
        <w:rPr>
          <w:rFonts w:ascii="Verdana" w:eastAsia="Verdana" w:hAnsi="Verdana" w:cs="Verdana"/>
        </w:rPr>
      </w:pPr>
    </w:p>
    <w:p w14:paraId="68FCD1E9" w14:textId="77777777" w:rsidR="006527D9" w:rsidRDefault="006527D9" w:rsidP="00EB59DD">
      <w:pPr>
        <w:spacing w:after="0"/>
        <w:rPr>
          <w:rFonts w:ascii="Verdana" w:eastAsia="Verdana" w:hAnsi="Verdana" w:cs="Verdana"/>
        </w:rPr>
      </w:pPr>
    </w:p>
    <w:p w14:paraId="19B18D71" w14:textId="77777777" w:rsidR="006527D9" w:rsidRDefault="006527D9" w:rsidP="00EB59DD">
      <w:pPr>
        <w:spacing w:after="0"/>
        <w:rPr>
          <w:rFonts w:ascii="Verdana" w:eastAsia="Verdana" w:hAnsi="Verdana" w:cs="Verdana"/>
        </w:rPr>
      </w:pPr>
    </w:p>
    <w:p w14:paraId="508B4F0A" w14:textId="77777777" w:rsidR="006527D9" w:rsidRDefault="006527D9" w:rsidP="00EB59DD">
      <w:pPr>
        <w:spacing w:after="0"/>
        <w:rPr>
          <w:rFonts w:ascii="Verdana" w:eastAsia="Verdana" w:hAnsi="Verdana" w:cs="Verdana"/>
        </w:rPr>
      </w:pPr>
    </w:p>
    <w:p w14:paraId="1AE5B11C" w14:textId="77777777" w:rsidR="006527D9" w:rsidRDefault="006527D9" w:rsidP="00EB59DD">
      <w:pPr>
        <w:spacing w:after="0"/>
        <w:rPr>
          <w:rFonts w:ascii="Verdana" w:eastAsia="Verdana" w:hAnsi="Verdana" w:cs="Verdana"/>
        </w:rPr>
      </w:pPr>
    </w:p>
    <w:p w14:paraId="36F4F1D1" w14:textId="77777777" w:rsidR="006527D9" w:rsidRDefault="006527D9" w:rsidP="00EB59DD">
      <w:pPr>
        <w:spacing w:after="0"/>
        <w:rPr>
          <w:rFonts w:ascii="Verdana" w:eastAsia="Verdana" w:hAnsi="Verdana" w:cs="Verdana"/>
        </w:rPr>
      </w:pPr>
    </w:p>
    <w:p w14:paraId="53A80AF1" w14:textId="77777777" w:rsidR="006527D9" w:rsidRDefault="006527D9" w:rsidP="00EB59DD">
      <w:pPr>
        <w:spacing w:after="0"/>
        <w:rPr>
          <w:rFonts w:ascii="Verdana" w:eastAsia="Verdana" w:hAnsi="Verdana" w:cs="Verdana"/>
        </w:rPr>
      </w:pPr>
    </w:p>
    <w:p w14:paraId="78F7B3EC" w14:textId="77777777" w:rsidR="006527D9" w:rsidRDefault="006527D9" w:rsidP="00EB59DD">
      <w:pPr>
        <w:spacing w:after="0"/>
        <w:rPr>
          <w:rFonts w:ascii="Verdana" w:eastAsia="Verdana" w:hAnsi="Verdana" w:cs="Verdana"/>
        </w:rPr>
      </w:pPr>
    </w:p>
    <w:p w14:paraId="0F92242E" w14:textId="77777777" w:rsidR="006527D9" w:rsidRDefault="006527D9" w:rsidP="00EB59DD">
      <w:pPr>
        <w:spacing w:after="0"/>
        <w:rPr>
          <w:rFonts w:ascii="Verdana" w:eastAsia="Verdana" w:hAnsi="Verdana" w:cs="Verdana"/>
        </w:rPr>
      </w:pPr>
    </w:p>
    <w:p w14:paraId="552592D3" w14:textId="77777777" w:rsidR="006527D9" w:rsidRDefault="006527D9" w:rsidP="00EB59DD">
      <w:pPr>
        <w:spacing w:after="0"/>
        <w:rPr>
          <w:rFonts w:ascii="Verdana" w:eastAsia="Verdana" w:hAnsi="Verdana" w:cs="Verdana"/>
        </w:rPr>
      </w:pPr>
    </w:p>
    <w:p w14:paraId="6C836A58" w14:textId="4C00F023" w:rsidR="00EB59DD" w:rsidRDefault="00EB59DD" w:rsidP="00EB59DD">
      <w:pPr>
        <w:spacing w:after="0"/>
        <w:rPr>
          <w:rFonts w:ascii="Verdana" w:eastAsia="Verdana" w:hAnsi="Verdana" w:cs="Verdana"/>
        </w:rPr>
      </w:pPr>
      <w:r w:rsidRPr="30821638">
        <w:rPr>
          <w:rFonts w:ascii="Verdana" w:eastAsia="Verdana" w:hAnsi="Verdana" w:cs="Verdana"/>
        </w:rPr>
        <w:t xml:space="preserve">Bogotá D.C., </w:t>
      </w:r>
      <w:bookmarkEnd w:id="0"/>
      <w:r w:rsidR="00401F72">
        <w:rPr>
          <w:rFonts w:ascii="Verdana" w:eastAsia="Verdana" w:hAnsi="Verdana" w:cs="Verdana"/>
        </w:rPr>
        <w:t>06 Julio 2026</w:t>
      </w:r>
    </w:p>
    <w:p w14:paraId="43ED7D1D" w14:textId="5A44FD55" w:rsidR="00401F72" w:rsidRPr="009F5E7D" w:rsidRDefault="00401F72" w:rsidP="00401F72">
      <w:pPr>
        <w:spacing w:after="0"/>
        <w:jc w:val="right"/>
      </w:pPr>
      <w:r w:rsidRPr="00401F72">
        <w:drawing>
          <wp:inline distT="0" distB="0" distL="0" distR="0" wp14:anchorId="23B790F4" wp14:editId="5D5A6D3E">
            <wp:extent cx="1972031" cy="396077"/>
            <wp:effectExtent l="0" t="0" r="0" b="4445"/>
            <wp:docPr id="14948419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841970" name=""/>
                    <pic:cNvPicPr/>
                  </pic:nvPicPr>
                  <pic:blipFill>
                    <a:blip r:embed="rId10"/>
                    <a:stretch>
                      <a:fillRect/>
                    </a:stretch>
                  </pic:blipFill>
                  <pic:spPr>
                    <a:xfrm>
                      <a:off x="0" y="0"/>
                      <a:ext cx="2024048" cy="406524"/>
                    </a:xfrm>
                    <a:prstGeom prst="rect">
                      <a:avLst/>
                    </a:prstGeom>
                  </pic:spPr>
                </pic:pic>
              </a:graphicData>
            </a:graphic>
          </wp:inline>
        </w:drawing>
      </w:r>
    </w:p>
    <w:p w14:paraId="0893ABCE" w14:textId="77777777" w:rsidR="00EB59DD" w:rsidRPr="00586042" w:rsidRDefault="00EB59DD" w:rsidP="00EB59DD">
      <w:pPr>
        <w:spacing w:after="0" w:line="240" w:lineRule="auto"/>
        <w:jc w:val="both"/>
        <w:rPr>
          <w:rFonts w:ascii="Verdana" w:eastAsia="Calibri" w:hAnsi="Verdana" w:cs="Arial"/>
          <w:lang w:eastAsia="es-ES"/>
        </w:rPr>
      </w:pPr>
      <w:bookmarkStart w:id="1" w:name="_Hlk214366482"/>
      <w:r w:rsidRPr="00586042">
        <w:rPr>
          <w:rFonts w:ascii="Verdana" w:eastAsia="Calibri" w:hAnsi="Verdana" w:cs="Arial"/>
          <w:lang w:eastAsia="es-ES"/>
        </w:rPr>
        <w:t xml:space="preserve">Señor </w:t>
      </w:r>
    </w:p>
    <w:p w14:paraId="2432BECD" w14:textId="77777777" w:rsidR="00EB59DD" w:rsidRDefault="00EB59DD" w:rsidP="00EB59DD">
      <w:pPr>
        <w:spacing w:after="0" w:line="240" w:lineRule="auto"/>
        <w:jc w:val="both"/>
        <w:rPr>
          <w:rFonts w:ascii="Verdana" w:eastAsia="Calibri" w:hAnsi="Verdana" w:cs="Arial"/>
          <w:b/>
          <w:bCs/>
          <w:lang w:eastAsia="es-ES"/>
        </w:rPr>
      </w:pPr>
      <w:r w:rsidRPr="00F90F2A">
        <w:rPr>
          <w:rFonts w:ascii="Verdana" w:eastAsia="Calibri" w:hAnsi="Verdana" w:cs="Arial"/>
          <w:b/>
          <w:bCs/>
          <w:lang w:eastAsia="es-ES"/>
        </w:rPr>
        <w:t>Omar Leonardo</w:t>
      </w:r>
      <w:r>
        <w:rPr>
          <w:rFonts w:ascii="Verdana" w:eastAsia="Calibri" w:hAnsi="Verdana" w:cs="Arial"/>
          <w:b/>
          <w:bCs/>
          <w:lang w:eastAsia="es-ES"/>
        </w:rPr>
        <w:t xml:space="preserve"> Abril Rincón </w:t>
      </w:r>
    </w:p>
    <w:p w14:paraId="49CE8475" w14:textId="77777777" w:rsidR="00EB59DD" w:rsidRPr="00F90F2A" w:rsidRDefault="00EB59DD" w:rsidP="00EB59DD">
      <w:pPr>
        <w:spacing w:after="0" w:line="240" w:lineRule="auto"/>
        <w:jc w:val="both"/>
        <w:rPr>
          <w:rFonts w:ascii="Verdana" w:hAnsi="Verdana"/>
          <w:b/>
          <w:bCs/>
        </w:rPr>
      </w:pPr>
      <w:hyperlink r:id="rId11" w:history="1">
        <w:r w:rsidRPr="00F90F2A">
          <w:rPr>
            <w:rStyle w:val="Hipervnculo"/>
            <w:rFonts w:ascii="Verdana" w:hAnsi="Verdana"/>
            <w:b/>
            <w:bCs/>
          </w:rPr>
          <w:t>omabril@dnp.gov.co</w:t>
        </w:r>
      </w:hyperlink>
    </w:p>
    <w:p w14:paraId="12BC4902" w14:textId="77777777" w:rsidR="00EB59DD" w:rsidRPr="007F2AEC" w:rsidRDefault="00EB59DD" w:rsidP="00EB59DD">
      <w:pPr>
        <w:spacing w:after="0" w:line="240" w:lineRule="auto"/>
        <w:jc w:val="both"/>
        <w:rPr>
          <w:rFonts w:ascii="Verdana" w:hAnsi="Verdana"/>
        </w:rPr>
      </w:pPr>
      <w:r>
        <w:rPr>
          <w:rFonts w:ascii="Verdana" w:hAnsi="Verdana"/>
        </w:rPr>
        <w:t xml:space="preserve">Ciudad </w:t>
      </w:r>
    </w:p>
    <w:p w14:paraId="5C4996A9" w14:textId="77777777" w:rsidR="00EB59DD" w:rsidRPr="007F2AEC" w:rsidRDefault="00EB59DD" w:rsidP="00EB59DD">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EB59DD" w:rsidRPr="005644FE" w14:paraId="35D5FF21" w14:textId="77777777" w:rsidTr="008E26D4">
        <w:trPr>
          <w:trHeight w:val="162"/>
        </w:trPr>
        <w:tc>
          <w:tcPr>
            <w:tcW w:w="3119" w:type="dxa"/>
          </w:tcPr>
          <w:p w14:paraId="0E25AF6F" w14:textId="77777777" w:rsidR="00EB59DD" w:rsidRPr="007F2AEC" w:rsidRDefault="00EB59DD" w:rsidP="008E26D4">
            <w:pPr>
              <w:jc w:val="both"/>
              <w:rPr>
                <w:rFonts w:ascii="Verdana" w:eastAsia="Calibri" w:hAnsi="Verdana" w:cs="Arial"/>
                <w:b/>
                <w:bCs/>
                <w:color w:val="7030A0"/>
                <w:lang w:eastAsia="es-ES_tradnl"/>
              </w:rPr>
            </w:pPr>
          </w:p>
        </w:tc>
        <w:tc>
          <w:tcPr>
            <w:tcW w:w="5670" w:type="dxa"/>
          </w:tcPr>
          <w:p w14:paraId="56C7E73A" w14:textId="77777777" w:rsidR="00EB59DD" w:rsidRPr="005644FE" w:rsidRDefault="00EB59DD" w:rsidP="008E26D4">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923 de 2026</w:t>
            </w:r>
          </w:p>
          <w:p w14:paraId="4DFE74DC" w14:textId="77777777" w:rsidR="00EB59DD" w:rsidRPr="005644FE" w:rsidRDefault="00EB59DD" w:rsidP="008E26D4">
            <w:pPr>
              <w:jc w:val="both"/>
              <w:rPr>
                <w:rFonts w:ascii="Verdana" w:eastAsia="Calibri" w:hAnsi="Verdana" w:cs="Arial"/>
                <w:b/>
                <w:bCs/>
                <w:color w:val="7030A0"/>
                <w:lang w:eastAsia="es-ES"/>
              </w:rPr>
            </w:pPr>
          </w:p>
        </w:tc>
      </w:tr>
      <w:tr w:rsidR="00EB59DD" w:rsidRPr="005644FE" w14:paraId="485250C3" w14:textId="77777777" w:rsidTr="008E26D4">
        <w:trPr>
          <w:trHeight w:val="884"/>
        </w:trPr>
        <w:tc>
          <w:tcPr>
            <w:tcW w:w="3119" w:type="dxa"/>
          </w:tcPr>
          <w:p w14:paraId="6DA95B58" w14:textId="77777777" w:rsidR="00EB59DD" w:rsidRPr="005644FE" w:rsidRDefault="00EB59DD" w:rsidP="008E26D4">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15222E51" w14:textId="77777777" w:rsidR="00EB59DD" w:rsidRDefault="00EB59DD" w:rsidP="008E26D4">
            <w:pPr>
              <w:spacing w:line="276" w:lineRule="auto"/>
              <w:jc w:val="both"/>
              <w:rPr>
                <w:rFonts w:ascii="Verdana" w:hAnsi="Verdana" w:cs="Arial"/>
                <w:bCs/>
                <w:lang w:eastAsia="es-ES" w:bidi="es-ES"/>
              </w:rPr>
            </w:pPr>
            <w:r w:rsidRPr="00AD6B46">
              <w:rPr>
                <w:rFonts w:ascii="Verdana" w:eastAsia="Arial" w:hAnsi="Verdana" w:cs="Arial"/>
                <w:lang w:val="es-ES"/>
              </w:rPr>
              <w:t>PRINCIPIO DE PUBLICIDAD – Concepto – Fundamento constitucional</w:t>
            </w:r>
            <w:r w:rsidRPr="00AD6B46">
              <w:rPr>
                <w:rFonts w:ascii="Verdana" w:hAnsi="Verdana" w:cs="Arial"/>
                <w:bCs/>
                <w:lang w:val="es-ES_tradnl" w:eastAsia="es-ES" w:bidi="es-ES"/>
              </w:rPr>
              <w:t xml:space="preserve"> / </w:t>
            </w:r>
            <w:r>
              <w:rPr>
                <w:rFonts w:ascii="Verdana" w:hAnsi="Verdana" w:cs="Arial"/>
                <w:bCs/>
                <w:lang w:val="es-ES_tradnl" w:eastAsia="es-ES" w:bidi="es-ES"/>
              </w:rPr>
              <w:t xml:space="preserve">PRINCIPIO DE PUBLICIDAD – Ley 1712 – Sujetos Obligados – Entidades con participación del Estado / </w:t>
            </w:r>
            <w:r w:rsidRPr="00AD6B46">
              <w:rPr>
                <w:rFonts w:ascii="Verdana" w:hAnsi="Verdana" w:cs="Arial"/>
                <w:bCs/>
                <w:lang w:val="es-ES_tradnl" w:eastAsia="es-ES" w:bidi="es-ES"/>
              </w:rPr>
              <w:t xml:space="preserve">PRINCIPIO DE PUBLICIDAD – SECOP – Documentos del proceso – Deber de publicación / </w:t>
            </w:r>
            <w:r w:rsidRPr="005E6754">
              <w:rPr>
                <w:rFonts w:ascii="Verdana" w:hAnsi="Verdana" w:cs="Arial"/>
                <w:bCs/>
                <w:lang w:val="es-ES" w:eastAsia="es-ES" w:bidi="es-ES"/>
              </w:rPr>
              <w:t xml:space="preserve">SOCIEDAD DE ECONOMÍA MIXTA – Naturaleza jurídica / SOCIEDAD DE ECONOMÍA MIXTA - Régimen contractual </w:t>
            </w:r>
            <w:r>
              <w:rPr>
                <w:rFonts w:ascii="Verdana" w:hAnsi="Verdana" w:cs="Arial"/>
                <w:bCs/>
                <w:lang w:val="es-ES" w:eastAsia="es-ES" w:bidi="es-ES"/>
              </w:rPr>
              <w:t xml:space="preserve">/ </w:t>
            </w:r>
            <w:r w:rsidRPr="00AD6B46">
              <w:rPr>
                <w:rFonts w:ascii="Verdana" w:hAnsi="Verdana" w:cs="Arial"/>
                <w:bCs/>
                <w:lang w:eastAsia="es-ES" w:bidi="es-ES"/>
              </w:rPr>
              <w:t>ENTIDADES CON RÉGIMEN ESPECIAL – Deber de publicar en SECOP – Artículo 53 Ley 2195 de 2022</w:t>
            </w:r>
            <w:r>
              <w:rPr>
                <w:rFonts w:ascii="Verdana" w:hAnsi="Verdana" w:cs="Arial"/>
                <w:bCs/>
                <w:lang w:eastAsia="es-ES" w:bidi="es-ES"/>
              </w:rPr>
              <w:t xml:space="preserve"> / ENTIDADES DE RÉGIMEN ESPECIAL – SECOP II- Módulo de Régimen Especial – Con oferta – Sin Oferta</w:t>
            </w:r>
            <w:r w:rsidRPr="00AD6B46">
              <w:rPr>
                <w:rFonts w:ascii="Verdana" w:hAnsi="Verdana" w:cs="Arial"/>
                <w:bCs/>
                <w:lang w:eastAsia="es-ES" w:bidi="es-ES"/>
              </w:rPr>
              <w:t xml:space="preserve"> </w:t>
            </w:r>
            <w:r>
              <w:rPr>
                <w:rFonts w:ascii="Verdana" w:hAnsi="Verdana" w:cs="Arial"/>
                <w:bCs/>
                <w:lang w:eastAsia="es-ES" w:bidi="es-ES"/>
              </w:rPr>
              <w:t xml:space="preserve">/ ENTIDADES DE RÉGIMEN ESPECIAL – Sociedades de Economía Mixta – Deber de Publicación / </w:t>
            </w:r>
            <w:r w:rsidRPr="00AD6B46">
              <w:rPr>
                <w:rFonts w:ascii="Verdana" w:hAnsi="Verdana" w:cs="Arial"/>
                <w:bCs/>
                <w:lang w:eastAsia="es-ES" w:bidi="es-ES"/>
              </w:rPr>
              <w:t xml:space="preserve">ACCESO A DOCUMENTACIÓN PÚBLICA – Derecho fundamental – Transparencia – Información contractual / </w:t>
            </w:r>
            <w:r>
              <w:rPr>
                <w:rFonts w:ascii="Verdana" w:hAnsi="Verdana" w:cs="Arial"/>
                <w:bCs/>
                <w:lang w:eastAsia="es-ES" w:bidi="es-ES"/>
              </w:rPr>
              <w:t xml:space="preserve">SECRETOS EMPRESARIALES – Secreto Comercial – Secreto Industrial – Concepto – Alcance / </w:t>
            </w:r>
            <w:r w:rsidRPr="00AD6B46">
              <w:rPr>
                <w:rFonts w:ascii="Verdana" w:hAnsi="Verdana" w:cs="Arial"/>
                <w:bCs/>
                <w:lang w:eastAsia="es-ES" w:bidi="es-ES"/>
              </w:rPr>
              <w:t>PRINCIPIO DE PUBLICIDAD -Reserva legal – Excepción – Divulgación parcial de la información- SECOP</w:t>
            </w:r>
          </w:p>
          <w:p w14:paraId="5B5789E7" w14:textId="77777777" w:rsidR="00EB59DD" w:rsidRPr="00FA6472" w:rsidRDefault="00EB59DD" w:rsidP="008E26D4">
            <w:pPr>
              <w:spacing w:line="276" w:lineRule="auto"/>
              <w:jc w:val="both"/>
              <w:rPr>
                <w:rFonts w:ascii="Verdana" w:hAnsi="Verdana" w:cs="Arial"/>
                <w:bCs/>
                <w:lang w:val="es-MX" w:eastAsia="es-ES" w:bidi="es-ES"/>
              </w:rPr>
            </w:pPr>
          </w:p>
        </w:tc>
      </w:tr>
      <w:tr w:rsidR="00EB59DD" w:rsidRPr="005644FE" w14:paraId="1BBDA188" w14:textId="77777777" w:rsidTr="008E26D4">
        <w:tc>
          <w:tcPr>
            <w:tcW w:w="3119" w:type="dxa"/>
          </w:tcPr>
          <w:p w14:paraId="18F12D9F" w14:textId="77777777" w:rsidR="00EB59DD" w:rsidRPr="005644FE" w:rsidRDefault="00EB59DD" w:rsidP="008E26D4">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776FEC00" w14:textId="77777777" w:rsidR="00EB59DD" w:rsidRPr="00F04657" w:rsidRDefault="00EB59DD" w:rsidP="008E26D4">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F90F2A">
              <w:rPr>
                <w:rFonts w:ascii="Verdana" w:eastAsia="Calibri" w:hAnsi="Verdana" w:cs="Arial"/>
                <w:lang w:eastAsia="es-ES"/>
              </w:rPr>
              <w:t>1_2026_06_01_007331</w:t>
            </w:r>
          </w:p>
        </w:tc>
      </w:tr>
    </w:tbl>
    <w:p w14:paraId="54EA96AD" w14:textId="77777777" w:rsidR="00EB59DD" w:rsidRPr="005644FE" w:rsidRDefault="00EB59DD" w:rsidP="00EB59DD">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46A3547F" w14:textId="77777777" w:rsidR="00EB59DD" w:rsidRPr="005644FE" w:rsidRDefault="00EB59DD" w:rsidP="00EB59DD">
      <w:pPr>
        <w:spacing w:after="0" w:line="276" w:lineRule="auto"/>
        <w:jc w:val="both"/>
        <w:rPr>
          <w:rFonts w:ascii="Verdana" w:eastAsia="Calibri" w:hAnsi="Verdana" w:cs="Arial"/>
          <w:lang w:eastAsia="es-ES"/>
        </w:rPr>
      </w:pPr>
      <w:r>
        <w:rPr>
          <w:rFonts w:ascii="Verdana" w:eastAsia="Calibri" w:hAnsi="Verdana" w:cs="Arial"/>
          <w:lang w:eastAsia="es-ES"/>
        </w:rPr>
        <w:t>Estimado señor Abril:</w:t>
      </w:r>
    </w:p>
    <w:p w14:paraId="02ED6A53" w14:textId="77777777" w:rsidR="00EB59DD" w:rsidRPr="00E02524" w:rsidRDefault="00EB59DD" w:rsidP="00586042">
      <w:pPr>
        <w:spacing w:after="0" w:line="276" w:lineRule="auto"/>
        <w:jc w:val="both"/>
        <w:rPr>
          <w:rFonts w:ascii="Verdana" w:hAnsi="Verdana"/>
          <w:lang w:val="es-MX"/>
        </w:rPr>
      </w:pPr>
    </w:p>
    <w:p w14:paraId="6914B1FD" w14:textId="471088F7" w:rsidR="00EB59DD" w:rsidRPr="0084712D" w:rsidRDefault="00EB59DD" w:rsidP="006E4F07">
      <w:pPr>
        <w:spacing w:after="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w:t>
      </w:r>
      <w:proofErr w:type="spellStart"/>
      <w:r w:rsidRPr="0084712D">
        <w:rPr>
          <w:rFonts w:ascii="Verdana" w:hAnsi="Verdana"/>
        </w:rPr>
        <w:t>N°</w:t>
      </w:r>
      <w:proofErr w:type="spellEnd"/>
      <w:r w:rsidRPr="0084712D">
        <w:rPr>
          <w:rFonts w:ascii="Verdana" w:hAnsi="Verdana"/>
        </w:rPr>
        <w:t xml:space="preserve"> 469 del 2025 expedida por esta Agencia, responde </w:t>
      </w:r>
      <w:r>
        <w:rPr>
          <w:rFonts w:ascii="Verdana" w:hAnsi="Verdana"/>
        </w:rPr>
        <w:t xml:space="preserve">su </w:t>
      </w:r>
      <w:r w:rsidRPr="0084712D">
        <w:rPr>
          <w:rFonts w:ascii="Verdana" w:hAnsi="Verdana"/>
        </w:rPr>
        <w:t>solicitud de consulta</w:t>
      </w:r>
      <w:r>
        <w:rPr>
          <w:rFonts w:ascii="Verdana" w:hAnsi="Verdana"/>
        </w:rPr>
        <w:t xml:space="preserve"> del 1 de junio de 2026</w:t>
      </w:r>
      <w:r w:rsidRPr="0084712D">
        <w:rPr>
          <w:rFonts w:ascii="Verdana" w:hAnsi="Verdana"/>
        </w:rPr>
        <w:t>, en la cual manifiesta lo siguiente:</w:t>
      </w:r>
    </w:p>
    <w:p w14:paraId="60634C16" w14:textId="77777777" w:rsidR="006E4F07" w:rsidRPr="0084712D" w:rsidRDefault="006E4F07" w:rsidP="00586042">
      <w:pPr>
        <w:spacing w:after="0" w:line="276" w:lineRule="auto"/>
        <w:jc w:val="both"/>
        <w:rPr>
          <w:rFonts w:ascii="Verdana" w:hAnsi="Verdana"/>
        </w:rPr>
      </w:pPr>
    </w:p>
    <w:p w14:paraId="59FD2DD3" w14:textId="77777777" w:rsidR="00EB59DD" w:rsidRDefault="00EB59DD" w:rsidP="00586042">
      <w:pPr>
        <w:spacing w:after="0" w:line="276" w:lineRule="auto"/>
        <w:jc w:val="both"/>
        <w:rPr>
          <w:rFonts w:ascii="Verdana" w:hAnsi="Verdana"/>
        </w:rPr>
      </w:pPr>
      <w:r w:rsidRPr="00E02524">
        <w:rPr>
          <w:rFonts w:ascii="Verdana" w:hAnsi="Verdana"/>
        </w:rPr>
        <w:t xml:space="preserve">PETICIÓN REALIZADA </w:t>
      </w:r>
    </w:p>
    <w:p w14:paraId="09FEF2FF" w14:textId="77777777" w:rsidR="006E4F07" w:rsidRDefault="006E4F07" w:rsidP="00EB59DD">
      <w:pPr>
        <w:spacing w:after="0" w:line="240" w:lineRule="auto"/>
        <w:ind w:left="851" w:right="760"/>
        <w:jc w:val="both"/>
        <w:rPr>
          <w:rFonts w:ascii="Verdana" w:hAnsi="Verdana"/>
          <w:sz w:val="20"/>
          <w:szCs w:val="20"/>
        </w:rPr>
      </w:pPr>
    </w:p>
    <w:p w14:paraId="60D3CC3F" w14:textId="5C6AD875" w:rsidR="00EB59DD" w:rsidRDefault="00EB59DD" w:rsidP="00586042">
      <w:pPr>
        <w:spacing w:after="0" w:line="240" w:lineRule="auto"/>
        <w:ind w:left="709" w:right="709"/>
        <w:jc w:val="both"/>
        <w:rPr>
          <w:rFonts w:ascii="Verdana" w:hAnsi="Verdana"/>
          <w:sz w:val="20"/>
          <w:szCs w:val="20"/>
        </w:rPr>
      </w:pPr>
      <w:r>
        <w:rPr>
          <w:rFonts w:ascii="Verdana" w:hAnsi="Verdana"/>
          <w:sz w:val="20"/>
          <w:szCs w:val="20"/>
        </w:rPr>
        <w:t xml:space="preserve">“(…) </w:t>
      </w:r>
      <w:r w:rsidRPr="00B62E32">
        <w:rPr>
          <w:rFonts w:ascii="Verdana" w:hAnsi="Verdana"/>
          <w:sz w:val="20"/>
          <w:szCs w:val="20"/>
        </w:rPr>
        <w:t>La solicitud del Concepto Jurídico surge a efectos, de establecer con claridad si la empresa AGUAS DE BOGOTÁ S.A. E.S.P., en el marco de su régimen y naturaleza jurídica, en calidad de EMPRESA DE SERVICIOS PÚBLICOS MIXTA, que se encuentra regida por el Derecho Privado, la cual cuenta con un régimen contractual excepcional al del Estatuto General de Contratación de la Administración Pública, debe publicar en el SECOP II toda la documentación surtida en las diferentes fases de la actividad contractual, con todos los informes y soportes de la ejecución contractual de cada una de las obligaciones, incluida la contratación financiada con recursos privados o provenientes de la utilidad percibida por la empresa, así como la información que, conforme a las disposiciones legales.</w:t>
      </w:r>
    </w:p>
    <w:p w14:paraId="384F6980" w14:textId="77777777" w:rsidR="00EB59DD" w:rsidRDefault="00EB59DD" w:rsidP="00586042">
      <w:pPr>
        <w:spacing w:after="0" w:line="240" w:lineRule="auto"/>
        <w:ind w:left="709" w:right="709"/>
        <w:jc w:val="both"/>
        <w:rPr>
          <w:rFonts w:ascii="Verdana" w:hAnsi="Verdana"/>
          <w:sz w:val="20"/>
          <w:szCs w:val="20"/>
        </w:rPr>
      </w:pPr>
    </w:p>
    <w:p w14:paraId="598F1A75" w14:textId="77777777" w:rsidR="00EB59DD" w:rsidRPr="00B62E32" w:rsidRDefault="00EB59DD" w:rsidP="00586042">
      <w:pPr>
        <w:spacing w:after="0" w:line="240" w:lineRule="auto"/>
        <w:ind w:left="709" w:right="709"/>
        <w:jc w:val="both"/>
        <w:rPr>
          <w:rFonts w:ascii="Verdana" w:hAnsi="Verdana"/>
          <w:sz w:val="20"/>
          <w:szCs w:val="20"/>
        </w:rPr>
      </w:pPr>
      <w:r>
        <w:rPr>
          <w:rFonts w:ascii="Verdana" w:hAnsi="Verdana"/>
          <w:sz w:val="20"/>
          <w:szCs w:val="20"/>
        </w:rPr>
        <w:t>(…)</w:t>
      </w:r>
    </w:p>
    <w:p w14:paraId="61F6D4DE" w14:textId="77777777" w:rsidR="00EB59DD" w:rsidRDefault="00EB59DD" w:rsidP="00586042">
      <w:pPr>
        <w:spacing w:after="0" w:line="240" w:lineRule="auto"/>
        <w:ind w:left="709" w:right="709"/>
        <w:jc w:val="both"/>
        <w:rPr>
          <w:rFonts w:ascii="Verdana" w:hAnsi="Verdana"/>
          <w:sz w:val="20"/>
          <w:szCs w:val="20"/>
        </w:rPr>
      </w:pPr>
    </w:p>
    <w:p w14:paraId="555124BC"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 xml:space="preserve">“(…) de manera atenta solicitamos conceptuar si la empresa tiene la obligatoriedad de: </w:t>
      </w:r>
    </w:p>
    <w:p w14:paraId="24FB2334" w14:textId="77777777" w:rsidR="00EB59DD" w:rsidRDefault="00EB59DD" w:rsidP="00586042">
      <w:pPr>
        <w:spacing w:after="0" w:line="240" w:lineRule="auto"/>
        <w:ind w:left="709" w:right="709"/>
        <w:jc w:val="both"/>
        <w:rPr>
          <w:rFonts w:ascii="Verdana" w:hAnsi="Verdana"/>
          <w:sz w:val="20"/>
          <w:szCs w:val="20"/>
        </w:rPr>
      </w:pPr>
    </w:p>
    <w:p w14:paraId="518252BD"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 xml:space="preserve">1. Publicar en el SECOPII la documentación de la contratación derivada que celebra en el marco de los negocios jurídicos financiados con recursos privados o provenientes de la utilidad dado el ánimo de lucro que la empresa persigue en desarrollo de su objeto social. </w:t>
      </w:r>
    </w:p>
    <w:p w14:paraId="0FACF621" w14:textId="77777777" w:rsidR="00EB59DD" w:rsidRDefault="00EB59DD" w:rsidP="00586042">
      <w:pPr>
        <w:spacing w:after="0" w:line="240" w:lineRule="auto"/>
        <w:ind w:left="709" w:right="709"/>
        <w:jc w:val="both"/>
        <w:rPr>
          <w:rFonts w:ascii="Verdana" w:hAnsi="Verdana"/>
          <w:sz w:val="20"/>
          <w:szCs w:val="20"/>
        </w:rPr>
      </w:pPr>
    </w:p>
    <w:p w14:paraId="796AFED1"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 xml:space="preserve">2. Publicar toda la información que, conforme a las disposiciones legales y la decisión 486 sobre el Régimen Común sobre Propiedad Industrial, proferida por la comunidad andina, tengan el carácter de sensible y se encuentren sujetas a reserva legal. </w:t>
      </w:r>
    </w:p>
    <w:p w14:paraId="18BE85EC" w14:textId="77777777" w:rsidR="00EB59DD" w:rsidRDefault="00EB59DD" w:rsidP="00586042">
      <w:pPr>
        <w:spacing w:after="0" w:line="240" w:lineRule="auto"/>
        <w:ind w:left="709" w:right="709"/>
        <w:jc w:val="both"/>
        <w:rPr>
          <w:rFonts w:ascii="Verdana" w:hAnsi="Verdana"/>
          <w:sz w:val="20"/>
          <w:szCs w:val="20"/>
        </w:rPr>
      </w:pPr>
    </w:p>
    <w:p w14:paraId="60247B16"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 xml:space="preserve">3. Publicar toda la documentación y soportes que se surte en la fase precontractual de las diferentes modalidades de selección (Contratación Directa, Invitación Pública a presentar ofertas, Invitación Privada a presentar ofertas), incluida la documentación del proveedor. </w:t>
      </w:r>
    </w:p>
    <w:p w14:paraId="7292D85A" w14:textId="77777777" w:rsidR="00EB59DD" w:rsidRDefault="00EB59DD" w:rsidP="00586042">
      <w:pPr>
        <w:spacing w:after="0" w:line="240" w:lineRule="auto"/>
        <w:ind w:left="709" w:right="709"/>
        <w:jc w:val="both"/>
        <w:rPr>
          <w:rFonts w:ascii="Verdana" w:hAnsi="Verdana"/>
          <w:sz w:val="20"/>
          <w:szCs w:val="20"/>
        </w:rPr>
      </w:pPr>
    </w:p>
    <w:p w14:paraId="0682DAFA"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4. Publicar toda la documentación y soportes de la fase contractual el contrato / orden de compra, pólizas de seguro, aprobación de pólizas, comunicación de designación del supervisor, acta de inicio, suspensión, reinicio y demás documentos de legalización</w:t>
      </w:r>
      <w:r>
        <w:rPr>
          <w:rFonts w:ascii="Verdana" w:hAnsi="Verdana"/>
          <w:sz w:val="20"/>
          <w:szCs w:val="20"/>
        </w:rPr>
        <w:t>.</w:t>
      </w:r>
    </w:p>
    <w:p w14:paraId="65175A0C" w14:textId="77777777" w:rsidR="00EB59DD" w:rsidRDefault="00EB59DD" w:rsidP="00586042">
      <w:pPr>
        <w:spacing w:after="0" w:line="240" w:lineRule="auto"/>
        <w:ind w:left="709" w:right="709"/>
        <w:jc w:val="both"/>
        <w:rPr>
          <w:rFonts w:ascii="Verdana" w:hAnsi="Verdana"/>
          <w:sz w:val="20"/>
          <w:szCs w:val="20"/>
        </w:rPr>
      </w:pPr>
    </w:p>
    <w:p w14:paraId="4BE66529"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 xml:space="preserve">5. Publicar toda la documentación y soportes derivada de la ejecución contractual, tales como: </w:t>
      </w:r>
    </w:p>
    <w:p w14:paraId="60C3B7D3"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 xml:space="preserve">5.1. Modificaciones contractuales, otrosíes, terminación anticipada, si hay lugar a ello, cesiones, entre otras novedades. </w:t>
      </w:r>
    </w:p>
    <w:p w14:paraId="4F700300"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 xml:space="preserve">5.2. Informe del Contratista con todos los soportes, incluida, la acreditación del pago de aportes a seguridad social y parafiscales (cuando aplique), entre otros. </w:t>
      </w:r>
    </w:p>
    <w:p w14:paraId="172FFFAD"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 xml:space="preserve">5.3. Informe de Supervisión periódicos y final proferidos por el supervisor con todas las evidencias de cada una de las obligaciones contractuales ejecutadas. Para tal efecto, la empresa en el Sistema de Gestión Integrado ha adoptado el Informe de Supervisión de acuerdo con el formato Código: GC-FM-030, el cual se adjunta. </w:t>
      </w:r>
    </w:p>
    <w:p w14:paraId="2770602C" w14:textId="77777777" w:rsidR="00EB59D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5.4. Certificación de Cumplimiento proferido por el supervisor del contrato, requerido para el trámite de pago de honorarios o de actas parciales o finales. Esta certificación se encuentra adoptada en el Sistema de Gestión Integrado, código: GC-FM-034, el cual se adjunta. 5.5.</w:t>
      </w:r>
      <w:r>
        <w:rPr>
          <w:rFonts w:ascii="Verdana" w:hAnsi="Verdana"/>
          <w:sz w:val="20"/>
          <w:szCs w:val="20"/>
        </w:rPr>
        <w:t xml:space="preserve"> </w:t>
      </w:r>
      <w:r w:rsidRPr="00C17856">
        <w:rPr>
          <w:rFonts w:ascii="Verdana" w:hAnsi="Verdana"/>
          <w:sz w:val="20"/>
          <w:szCs w:val="20"/>
        </w:rPr>
        <w:t xml:space="preserve">Acta de Liquidación o Acta de Cierre contractual, incluida la evaluación de proveedores. </w:t>
      </w:r>
    </w:p>
    <w:p w14:paraId="1D264709" w14:textId="77777777" w:rsidR="00EB59DD" w:rsidRPr="00D5132D" w:rsidRDefault="00EB59DD" w:rsidP="00586042">
      <w:pPr>
        <w:spacing w:after="0" w:line="240" w:lineRule="auto"/>
        <w:ind w:left="709" w:right="709"/>
        <w:jc w:val="both"/>
        <w:rPr>
          <w:rFonts w:ascii="Verdana" w:hAnsi="Verdana"/>
          <w:sz w:val="20"/>
          <w:szCs w:val="20"/>
        </w:rPr>
      </w:pPr>
      <w:r w:rsidRPr="00C17856">
        <w:rPr>
          <w:rFonts w:ascii="Verdana" w:hAnsi="Verdana"/>
          <w:sz w:val="20"/>
          <w:szCs w:val="20"/>
        </w:rPr>
        <w:t>5.6. Documentación relacionada con procesos de incumplimiento, cuando aplique, con todos los soporte</w:t>
      </w:r>
      <w:r>
        <w:rPr>
          <w:rFonts w:ascii="Verdana" w:hAnsi="Verdana"/>
          <w:sz w:val="20"/>
          <w:szCs w:val="20"/>
        </w:rPr>
        <w:t>s</w:t>
      </w:r>
      <w:r w:rsidRPr="00C17856">
        <w:rPr>
          <w:rFonts w:ascii="Verdana" w:hAnsi="Verdana"/>
          <w:sz w:val="20"/>
          <w:szCs w:val="20"/>
        </w:rPr>
        <w:t xml:space="preserve"> (…)”.</w:t>
      </w:r>
    </w:p>
    <w:p w14:paraId="607FEFF2" w14:textId="77777777" w:rsidR="00EB59DD" w:rsidRPr="00647D77" w:rsidRDefault="00EB59DD" w:rsidP="00EB59DD">
      <w:pPr>
        <w:spacing w:after="0" w:line="240" w:lineRule="auto"/>
        <w:ind w:right="709"/>
        <w:jc w:val="both"/>
        <w:rPr>
          <w:rFonts w:ascii="Verdana" w:hAnsi="Verdana"/>
        </w:rPr>
      </w:pPr>
    </w:p>
    <w:p w14:paraId="2725024A" w14:textId="77777777" w:rsidR="00EB59DD" w:rsidRPr="00F64722" w:rsidRDefault="00EB59DD" w:rsidP="00EB59DD">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63FA371" w14:textId="79607441" w:rsidR="00853F06" w:rsidRDefault="00EB59DD" w:rsidP="00586042">
      <w:pPr>
        <w:spacing w:after="0" w:line="276" w:lineRule="auto"/>
        <w:ind w:firstLine="709"/>
        <w:jc w:val="both"/>
        <w:rPr>
          <w:rFonts w:ascii="Verdana" w:eastAsia="Calibri" w:hAnsi="Verdana" w:cs="Arial"/>
          <w:lang w:eastAsia="es-ES"/>
        </w:rPr>
      </w:pPr>
      <w:r w:rsidRPr="00487186">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 los problemas jurídicos de su consulta.</w:t>
      </w:r>
      <w:r w:rsidRPr="00487186">
        <w:rPr>
          <w:rFonts w:ascii="Verdana" w:eastAsia="Calibri" w:hAnsi="Verdana" w:cs="Arial"/>
          <w:lang w:eastAsia="es-ES"/>
        </w:rPr>
        <w:t xml:space="preserve"> </w:t>
      </w:r>
    </w:p>
    <w:p w14:paraId="08EFDBD4" w14:textId="77777777" w:rsidR="00EB59DD" w:rsidRPr="00487186" w:rsidRDefault="00EB59DD" w:rsidP="00586042">
      <w:pPr>
        <w:spacing w:after="0" w:line="276" w:lineRule="auto"/>
        <w:ind w:firstLine="709"/>
        <w:jc w:val="both"/>
        <w:rPr>
          <w:rFonts w:ascii="Verdana" w:eastAsia="Calibri" w:hAnsi="Verdana" w:cs="Arial"/>
          <w:lang w:eastAsia="es-ES"/>
        </w:rPr>
      </w:pPr>
    </w:p>
    <w:p w14:paraId="74D106D0" w14:textId="77777777" w:rsidR="00EB59DD" w:rsidRPr="00487186" w:rsidRDefault="00EB59DD" w:rsidP="00FA3E8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87186">
        <w:rPr>
          <w:rFonts w:ascii="Verdana" w:eastAsia="Century Gothic" w:hAnsi="Verdana" w:cs="Century Gothic"/>
          <w:b/>
          <w:bCs/>
        </w:rPr>
        <w:t>Problema planteado:</w:t>
      </w:r>
    </w:p>
    <w:p w14:paraId="0D03BBDE" w14:textId="73FFD528" w:rsidR="00EB59DD" w:rsidRDefault="00EB59DD" w:rsidP="00853F06">
      <w:pPr>
        <w:spacing w:after="0" w:line="276" w:lineRule="auto"/>
        <w:jc w:val="both"/>
        <w:rPr>
          <w:rFonts w:ascii="Verdana" w:eastAsia="Calibri" w:hAnsi="Verdana" w:cs="Times New Roman"/>
        </w:rPr>
      </w:pPr>
      <w:r w:rsidRPr="00487186">
        <w:rPr>
          <w:rFonts w:ascii="Verdana" w:eastAsia="Calibri" w:hAnsi="Verdana" w:cs="Arial"/>
          <w:color w:val="000000"/>
          <w:lang w:eastAsia="es-ES"/>
        </w:rPr>
        <w:t xml:space="preserve">De acuerdo con el contenido de su solicitud, esta Agencia resolverá los siguientes problemas jurídicos: </w:t>
      </w:r>
      <w:r w:rsidRPr="00487186">
        <w:rPr>
          <w:rFonts w:ascii="Verdana" w:eastAsia="Calibri" w:hAnsi="Verdana" w:cs="Times New Roman"/>
          <w:iCs/>
          <w:lang w:val="es-ES"/>
        </w:rPr>
        <w:t xml:space="preserve">i) ¿Cuál es el alcance del deber de publicidad por parte de las sociedades de economía mixta (empresa de servicios públicos de carácter mixto) respecto de los contratos celebrados con recursos públicos? </w:t>
      </w:r>
      <w:proofErr w:type="spellStart"/>
      <w:r w:rsidRPr="00487186">
        <w:rPr>
          <w:rFonts w:ascii="Verdana" w:eastAsia="Calibri" w:hAnsi="Verdana" w:cs="Times New Roman"/>
          <w:iCs/>
          <w:lang w:val="es-ES"/>
        </w:rPr>
        <w:t>ii</w:t>
      </w:r>
      <w:proofErr w:type="spellEnd"/>
      <w:r w:rsidRPr="00487186">
        <w:rPr>
          <w:rFonts w:ascii="Verdana" w:eastAsia="Calibri" w:hAnsi="Verdana" w:cs="Times New Roman"/>
          <w:iCs/>
          <w:lang w:val="es-ES"/>
        </w:rPr>
        <w:t xml:space="preserve">) </w:t>
      </w:r>
      <w:r w:rsidRPr="00487186">
        <w:rPr>
          <w:rFonts w:ascii="Verdana" w:eastAsia="Calibri" w:hAnsi="Verdana" w:cs="Times New Roman"/>
          <w:iCs/>
        </w:rPr>
        <w:t>¿El secreto comercial y la libre</w:t>
      </w:r>
      <w:r w:rsidRPr="00E967D4">
        <w:rPr>
          <w:rFonts w:ascii="Verdana" w:eastAsia="Calibri" w:hAnsi="Verdana" w:cs="Times New Roman"/>
          <w:iCs/>
        </w:rPr>
        <w:t xml:space="preserve"> competencia permiten a una </w:t>
      </w:r>
      <w:r>
        <w:rPr>
          <w:rFonts w:ascii="Verdana" w:eastAsia="Calibri" w:hAnsi="Verdana" w:cs="Times New Roman"/>
          <w:iCs/>
        </w:rPr>
        <w:t xml:space="preserve">empresa de servicios públicos domiciliarios de carácter mixto </w:t>
      </w:r>
      <w:r w:rsidRPr="00E967D4">
        <w:rPr>
          <w:rFonts w:ascii="Verdana" w:eastAsia="Calibri" w:hAnsi="Verdana" w:cs="Times New Roman"/>
          <w:iCs/>
        </w:rPr>
        <w:t xml:space="preserve">no publicar en SECOP </w:t>
      </w:r>
      <w:r>
        <w:rPr>
          <w:rFonts w:ascii="Verdana" w:eastAsia="Calibri" w:hAnsi="Verdana" w:cs="Times New Roman"/>
          <w:iCs/>
        </w:rPr>
        <w:t>dichos documentos</w:t>
      </w:r>
      <w:r w:rsidRPr="00E967D4">
        <w:rPr>
          <w:rFonts w:ascii="Verdana" w:eastAsia="Calibri" w:hAnsi="Verdana" w:cs="Times New Roman"/>
          <w:iCs/>
        </w:rPr>
        <w:t>?</w:t>
      </w:r>
    </w:p>
    <w:p w14:paraId="38A15864" w14:textId="77777777" w:rsidR="00AC5F5E" w:rsidRDefault="00AC5F5E" w:rsidP="00586042">
      <w:pPr>
        <w:spacing w:after="0" w:line="276" w:lineRule="auto"/>
        <w:jc w:val="both"/>
        <w:rPr>
          <w:rFonts w:ascii="Verdana" w:eastAsia="Calibri" w:hAnsi="Verdana" w:cs="Times New Roman"/>
          <w:iCs/>
          <w:lang w:val="es-ES"/>
        </w:rPr>
      </w:pPr>
    </w:p>
    <w:p w14:paraId="634ADF1B" w14:textId="77777777" w:rsidR="00EB59DD" w:rsidRPr="00C97CA6" w:rsidRDefault="00EB59DD" w:rsidP="00EB59DD">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4A5DF622" w14:textId="77777777" w:rsidR="00EB59DD" w:rsidRPr="005644FE" w:rsidRDefault="00EB59DD" w:rsidP="00EB59DD">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EB59DD" w:rsidRPr="005644FE" w14:paraId="5CD0516C" w14:textId="77777777" w:rsidTr="008E26D4">
        <w:tc>
          <w:tcPr>
            <w:tcW w:w="8828" w:type="dxa"/>
          </w:tcPr>
          <w:p w14:paraId="11B862B3" w14:textId="77777777" w:rsidR="00EB59DD" w:rsidRPr="00B9023B" w:rsidRDefault="00EB59DD" w:rsidP="008E26D4">
            <w:pPr>
              <w:spacing w:after="120" w:line="276" w:lineRule="auto"/>
              <w:jc w:val="both"/>
              <w:rPr>
                <w:rFonts w:ascii="Verdana" w:eastAsia="Times New Roman" w:hAnsi="Verdana" w:cs="Arial"/>
                <w:lang w:eastAsia="es-ES_tradnl"/>
                <w14:ligatures w14:val="standardContextual"/>
              </w:rPr>
            </w:pPr>
            <w:r>
              <w:rPr>
                <w:rFonts w:ascii="Verdana" w:eastAsia="Calibri" w:hAnsi="Verdana" w:cs="Times New Roman"/>
              </w:rPr>
              <w:t xml:space="preserve">i) En cuanto al primer problema jurídico de su consulta se expresa que </w:t>
            </w:r>
            <w:r>
              <w:rPr>
                <w:rFonts w:ascii="Verdana" w:eastAsia="Times New Roman" w:hAnsi="Verdana" w:cs="Arial"/>
                <w:lang w:val="es-ES_tradnl" w:eastAsia="es-ES_tradnl"/>
                <w14:ligatures w14:val="standardContextual"/>
              </w:rPr>
              <w:t>la</w:t>
            </w:r>
            <w:r w:rsidRPr="00E460E5">
              <w:rPr>
                <w:rFonts w:ascii="Verdana" w:eastAsia="Times New Roman" w:hAnsi="Verdana" w:cs="Arial"/>
                <w:lang w:eastAsia="es-ES_tradnl"/>
                <w14:ligatures w14:val="standardContextual"/>
              </w:rPr>
              <w:t xml:space="preserve"> determinación de si las sociedades de economía mixta están obligadas a publicar información </w:t>
            </w:r>
            <w:r>
              <w:rPr>
                <w:rFonts w:ascii="Verdana" w:eastAsia="Times New Roman" w:hAnsi="Verdana" w:cs="Arial"/>
                <w:lang w:eastAsia="es-ES_tradnl"/>
                <w14:ligatures w14:val="standardContextual"/>
              </w:rPr>
              <w:t xml:space="preserve">se debe partir de la </w:t>
            </w:r>
            <w:r w:rsidRPr="00E460E5">
              <w:rPr>
                <w:rFonts w:ascii="Verdana" w:eastAsia="Times New Roman" w:hAnsi="Verdana" w:cs="Arial"/>
                <w:lang w:eastAsia="es-ES_tradnl"/>
                <w14:ligatures w14:val="standardContextual"/>
              </w:rPr>
              <w:t>identificación de los sujetos obligados por</w:t>
            </w:r>
            <w:r>
              <w:rPr>
                <w:rFonts w:ascii="Verdana" w:eastAsia="Times New Roman" w:hAnsi="Verdana" w:cs="Arial"/>
                <w:lang w:eastAsia="es-ES_tradnl"/>
                <w14:ligatures w14:val="standardContextual"/>
              </w:rPr>
              <w:t xml:space="preserve"> el artículo 5 de la Ley 1712 de 2014</w:t>
            </w:r>
            <w:r w:rsidRPr="00E460E5">
              <w:rPr>
                <w:rFonts w:ascii="Verdana" w:eastAsia="Times New Roman" w:hAnsi="Verdana" w:cs="Arial"/>
                <w:lang w:eastAsia="es-ES_tradnl"/>
                <w14:ligatures w14:val="standardContextual"/>
              </w:rPr>
              <w:t xml:space="preserve">. En este sentido, el literal e) del artículo citado dispone que deben cumplir con los deberes de publicidad “las empresas públicas creadas por ley, las empresas del Estado y las sociedades en que este tenga participación”. </w:t>
            </w:r>
          </w:p>
          <w:p w14:paraId="69AF3987" w14:textId="77777777" w:rsidR="00EB59DD" w:rsidRPr="00AD6B46" w:rsidRDefault="00EB59DD" w:rsidP="008E26D4">
            <w:pPr>
              <w:tabs>
                <w:tab w:val="left" w:pos="709"/>
              </w:tabs>
              <w:spacing w:after="120" w:line="276" w:lineRule="auto"/>
              <w:jc w:val="both"/>
              <w:rPr>
                <w:rFonts w:ascii="Verdana" w:eastAsia="Calibri" w:hAnsi="Verdana" w:cs="Arial"/>
                <w:color w:val="000000"/>
              </w:rPr>
            </w:pPr>
            <w:r>
              <w:rPr>
                <w:rFonts w:ascii="Verdana" w:eastAsia="Calibri" w:hAnsi="Verdana" w:cs="Arial"/>
                <w:color w:val="000000"/>
                <w:lang w:val="es-ES_tradnl"/>
              </w:rPr>
              <w:tab/>
              <w:t xml:space="preserve">En este aspecto, las sociedades de economía mixta como entidades de régimen especial </w:t>
            </w:r>
            <w:r>
              <w:rPr>
                <w:rFonts w:ascii="Verdana" w:hAnsi="Verdana" w:cs="Arial"/>
                <w:shd w:val="clear" w:color="auto" w:fill="FFFFFF"/>
              </w:rPr>
              <w:t xml:space="preserve">están obligadas </w:t>
            </w:r>
            <w:r w:rsidRPr="00AD6B46">
              <w:rPr>
                <w:rFonts w:ascii="Verdana" w:hAnsi="Verdana" w:cs="Arial"/>
                <w:shd w:val="clear" w:color="auto" w:fill="FFFFFF"/>
              </w:rPr>
              <w:t xml:space="preserve">de publicar la información de la actividad contractual. En tal sentido, </w:t>
            </w:r>
            <w:r w:rsidRPr="00AD6B46">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AD6B46">
              <w:rPr>
                <w:rFonts w:ascii="Verdana" w:eastAsia="Calibri" w:hAnsi="Verdana" w:cs="Arial"/>
                <w:color w:val="000000"/>
              </w:rPr>
              <w:t>post-contractual</w:t>
            </w:r>
            <w:proofErr w:type="spellEnd"/>
            <w:r w:rsidRPr="00AD6B46">
              <w:rPr>
                <w:rFonts w:ascii="Verdana" w:eastAsia="Calibri" w:hAnsi="Verdana" w:cs="Arial"/>
                <w:color w:val="000000"/>
              </w:rPr>
              <w:t>”.</w:t>
            </w:r>
          </w:p>
          <w:p w14:paraId="023EDB58" w14:textId="77777777" w:rsidR="00EB59DD" w:rsidRPr="00F517BE" w:rsidRDefault="00EB59DD" w:rsidP="008E26D4">
            <w:pPr>
              <w:spacing w:after="120" w:line="276" w:lineRule="auto"/>
              <w:ind w:firstLine="709"/>
              <w:jc w:val="both"/>
              <w:rPr>
                <w:rFonts w:ascii="Verdana" w:eastAsia="Calibri" w:hAnsi="Verdana" w:cs="Arial"/>
                <w:color w:val="000000"/>
                <w:sz w:val="21"/>
                <w:szCs w:val="21"/>
              </w:rPr>
            </w:pPr>
            <w:r>
              <w:rPr>
                <w:rFonts w:ascii="Verdana" w:eastAsia="Calibri" w:hAnsi="Verdana" w:cs="Arial"/>
              </w:rPr>
              <w:t>Teniendo en cuenta, la obligatoriedad de</w:t>
            </w:r>
            <w:r w:rsidRPr="00776115">
              <w:rPr>
                <w:rFonts w:ascii="Verdana" w:eastAsia="Calibri" w:hAnsi="Verdana" w:cs="Arial"/>
                <w:lang w:val="es-ES"/>
              </w:rPr>
              <w:t xml:space="preserve"> SECOP II </w:t>
            </w:r>
            <w:r>
              <w:rPr>
                <w:rFonts w:ascii="Verdana" w:eastAsia="Calibri" w:hAnsi="Verdana" w:cs="Arial"/>
                <w:lang w:val="es-ES"/>
              </w:rPr>
              <w:t>para entidades de régimen especial, es preciso señalar que está habilitado dos módulos para dichas entidades: i) Régimen Especial con Ofertas, que consiste en un</w:t>
            </w:r>
            <w:r w:rsidRPr="00776115">
              <w:rPr>
                <w:rFonts w:ascii="Verdana" w:eastAsia="Calibri" w:hAnsi="Verdana" w:cs="Arial"/>
                <w:lang w:val="es-ES"/>
              </w:rPr>
              <w:t xml:space="preserve"> procedimiento contractual </w:t>
            </w:r>
            <w:r>
              <w:rPr>
                <w:rFonts w:ascii="Verdana" w:eastAsia="Calibri" w:hAnsi="Verdana" w:cs="Arial"/>
                <w:lang w:val="es-ES"/>
              </w:rPr>
              <w:t xml:space="preserve">que </w:t>
            </w:r>
            <w:r w:rsidRPr="00776115">
              <w:rPr>
                <w:rFonts w:ascii="Verdana" w:eastAsia="Calibri" w:hAnsi="Verdana" w:cs="Arial"/>
                <w:lang w:val="es-ES"/>
              </w:rPr>
              <w:t xml:space="preserve">se desarrolla en línea y dentro de la plataforma, </w:t>
            </w:r>
            <w:r>
              <w:rPr>
                <w:rFonts w:ascii="Verdana" w:eastAsia="Calibri" w:hAnsi="Verdana" w:cs="Arial"/>
                <w:lang w:val="es-ES"/>
              </w:rPr>
              <w:t xml:space="preserve">en el que las entidades pueden estructurar el proceso de contratación y recibir las ofertas de los proveedores y generar el contrato electrónico y demás documentos, conformándose un expediente electrónico; </w:t>
            </w:r>
            <w:proofErr w:type="spellStart"/>
            <w:r>
              <w:rPr>
                <w:rFonts w:ascii="Verdana" w:eastAsia="Calibri" w:hAnsi="Verdana" w:cs="Arial"/>
                <w:lang w:val="es-ES"/>
              </w:rPr>
              <w:t>ii</w:t>
            </w:r>
            <w:proofErr w:type="spellEnd"/>
            <w:r>
              <w:rPr>
                <w:rFonts w:ascii="Verdana" w:eastAsia="Calibri" w:hAnsi="Verdana" w:cs="Arial"/>
                <w:lang w:val="es-ES"/>
              </w:rPr>
              <w:t xml:space="preserve">) Régimen Especial sin Ofertas, que consiste en que las entidades pueden estructurar el Proceso de Contratación, generar el contrato electrónico y realizar la gestión contractual. Al respecto, </w:t>
            </w:r>
            <w:r w:rsidRPr="0059295C">
              <w:rPr>
                <w:rFonts w:ascii="Verdana" w:eastAsia="Calibri" w:hAnsi="Verdana" w:cs="Arial"/>
              </w:rPr>
              <w:t>la Circular Externa No. 002 del 23 de agosto de 2024, estableció los lineamientos para la aplicación del artículo 53 de la Ley 2195 de 2022 por parte de las Entidades Estales que por disposición legal cuentan con un régimen</w:t>
            </w:r>
            <w:r>
              <w:rPr>
                <w:rFonts w:ascii="Verdana" w:eastAsia="Calibri" w:hAnsi="Verdana" w:cs="Arial"/>
              </w:rPr>
              <w:t xml:space="preserve"> contractual excepcional al </w:t>
            </w:r>
            <w:r w:rsidRPr="0059295C">
              <w:rPr>
                <w:rFonts w:ascii="Verdana" w:eastAsia="Calibri" w:hAnsi="Verdana" w:cs="Arial"/>
              </w:rPr>
              <w:t>Estatuto General de Contratación de la Administraci</w:t>
            </w:r>
            <w:r>
              <w:rPr>
                <w:rFonts w:ascii="Verdana" w:eastAsia="Calibri" w:hAnsi="Verdana" w:cs="Arial"/>
              </w:rPr>
              <w:t>ón Pública.</w:t>
            </w:r>
          </w:p>
          <w:p w14:paraId="407176A4" w14:textId="77777777" w:rsidR="00EB59DD" w:rsidRPr="00310747" w:rsidRDefault="00EB59DD" w:rsidP="008E26D4">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Ahora bien</w:t>
            </w:r>
            <w:r w:rsidRPr="00310747">
              <w:rPr>
                <w:rFonts w:ascii="Verdana" w:eastAsia="Calibri" w:hAnsi="Verdana" w:cs="Arial"/>
                <w:color w:val="000000"/>
              </w:rPr>
              <w:t xml:space="preserve">, el artículo 53 de la Ley 2195 de 2022, que modificó el artículo 13 de la Ley 1150 de 2007, no introdujo distinción alguna basada en la fuente de financiación. El legislador optó por un mandato general de transparencia aplicable a </w:t>
            </w:r>
            <w:r w:rsidRPr="00310747">
              <w:rPr>
                <w:rFonts w:ascii="Verdana" w:eastAsia="Calibri" w:hAnsi="Verdana" w:cs="Arial"/>
                <w:i/>
                <w:iCs/>
                <w:color w:val="000000"/>
              </w:rPr>
              <w:t>todas</w:t>
            </w:r>
            <w:r w:rsidRPr="00310747">
              <w:rPr>
                <w:rFonts w:ascii="Verdana" w:eastAsia="Calibri" w:hAnsi="Verdana" w:cs="Arial"/>
                <w:color w:val="000000"/>
              </w:rPr>
              <w:t xml:space="preserve"> las entidades estatales, incluidas aquellas con régimen contractual especial o sujetas al derecho privado, de modo que la obligación de publicar en el SECOP se activa por la naturaleza pública del sujeto obligado, y no por la procedencia de los recursos que soportan la contratación.</w:t>
            </w:r>
          </w:p>
          <w:p w14:paraId="5BE149D8" w14:textId="0CBC3521" w:rsidR="00EB59DD" w:rsidRDefault="00EB59DD" w:rsidP="00345696">
            <w:pPr>
              <w:spacing w:line="276" w:lineRule="auto"/>
              <w:ind w:firstLine="709"/>
              <w:jc w:val="both"/>
              <w:rPr>
                <w:rFonts w:ascii="Verdana" w:eastAsia="Calibri" w:hAnsi="Verdana" w:cs="Arial"/>
                <w:color w:val="000000"/>
              </w:rPr>
            </w:pPr>
            <w:r>
              <w:rPr>
                <w:rFonts w:ascii="Verdana" w:eastAsia="Calibri" w:hAnsi="Verdana" w:cs="Arial"/>
                <w:color w:val="000000"/>
              </w:rPr>
              <w:t>Por lo tanto</w:t>
            </w:r>
            <w:r w:rsidRPr="00310747">
              <w:rPr>
                <w:rFonts w:ascii="Verdana" w:eastAsia="Calibri" w:hAnsi="Verdana" w:cs="Arial"/>
                <w:color w:val="000000"/>
              </w:rPr>
              <w:t>, la norma consolidó un deber de publicidad de alcance objetivo y uniforme, que no admite segmentaciones entre contratos financiados con recursos públicos y aquellos derivados de capital privado o de actividades comerciales propias. Esta interpretación constituye un principio estructural del sistema de contratación estatal y, por tanto, no puede condicionarse al origen de los recursos, salvo las excepciones expresamente previstas en la ley en materia de r</w:t>
            </w:r>
            <w:r>
              <w:rPr>
                <w:rFonts w:ascii="Verdana" w:eastAsia="Calibri" w:hAnsi="Verdana" w:cs="Arial"/>
                <w:color w:val="000000"/>
              </w:rPr>
              <w:t xml:space="preserve">estricción de la información por considerarse clasificada o reservada. </w:t>
            </w:r>
          </w:p>
          <w:p w14:paraId="2B4EF514" w14:textId="77777777" w:rsidR="00345696" w:rsidRDefault="00345696" w:rsidP="00586042">
            <w:pPr>
              <w:spacing w:line="276" w:lineRule="auto"/>
              <w:ind w:firstLine="709"/>
              <w:jc w:val="both"/>
              <w:rPr>
                <w:rFonts w:ascii="Verdana" w:eastAsia="Calibri" w:hAnsi="Verdana" w:cs="Arial"/>
                <w:color w:val="000000"/>
              </w:rPr>
            </w:pPr>
          </w:p>
          <w:p w14:paraId="6CDAD342" w14:textId="77777777" w:rsidR="00EB59DD" w:rsidRDefault="00EB59DD" w:rsidP="008E26D4">
            <w:pPr>
              <w:spacing w:after="120" w:line="276" w:lineRule="auto"/>
              <w:jc w:val="both"/>
              <w:rPr>
                <w:rFonts w:ascii="Verdana" w:eastAsia="Calibri" w:hAnsi="Verdana" w:cs="Times New Roman"/>
                <w:lang w:val="es-ES"/>
              </w:rPr>
            </w:pPr>
            <w:proofErr w:type="spellStart"/>
            <w:r>
              <w:rPr>
                <w:rFonts w:ascii="Verdana" w:eastAsia="Calibri" w:hAnsi="Verdana" w:cs="Arial"/>
                <w:color w:val="000000"/>
              </w:rPr>
              <w:t>ii</w:t>
            </w:r>
            <w:proofErr w:type="spellEnd"/>
            <w:r>
              <w:rPr>
                <w:rFonts w:ascii="Verdana" w:eastAsia="Calibri" w:hAnsi="Verdana" w:cs="Arial"/>
                <w:color w:val="000000"/>
              </w:rPr>
              <w:t xml:space="preserve">) Respecto del segundo problema jurídico </w:t>
            </w:r>
            <w:r>
              <w:rPr>
                <w:rFonts w:ascii="Verdana" w:eastAsia="Calibri" w:hAnsi="Verdana" w:cs="Times New Roman"/>
                <w:lang w:val="es-ES"/>
              </w:rPr>
              <w:t xml:space="preserve">el artículo 260 de la Comunidad Andina de Naciones, establece que para la configuración del secreto empresaria, deben cumplir con tres condiciones: i) Secreta, que significa que no es de conocimiento público ni fácilmente accesible para quienes normalmente manejan información en ese sector; </w:t>
            </w:r>
            <w:proofErr w:type="spellStart"/>
            <w:r>
              <w:rPr>
                <w:rFonts w:ascii="Verdana" w:eastAsia="Calibri" w:hAnsi="Verdana" w:cs="Times New Roman"/>
                <w:lang w:val="es-ES"/>
              </w:rPr>
              <w:t>ii</w:t>
            </w:r>
            <w:proofErr w:type="spellEnd"/>
            <w:r>
              <w:rPr>
                <w:rFonts w:ascii="Verdana" w:eastAsia="Calibri" w:hAnsi="Verdana" w:cs="Times New Roman"/>
                <w:lang w:val="es-ES"/>
              </w:rPr>
              <w:t xml:space="preserve">) Valor comercial, que implica que su carácter de secreto le otorga la ventaja competitiva o económica; </w:t>
            </w:r>
            <w:proofErr w:type="spellStart"/>
            <w:r>
              <w:rPr>
                <w:rFonts w:ascii="Verdana" w:eastAsia="Calibri" w:hAnsi="Verdana" w:cs="Times New Roman"/>
                <w:lang w:val="es-ES"/>
              </w:rPr>
              <w:t>iii</w:t>
            </w:r>
            <w:proofErr w:type="spellEnd"/>
            <w:r>
              <w:rPr>
                <w:rFonts w:ascii="Verdana" w:eastAsia="Calibri" w:hAnsi="Verdana" w:cs="Times New Roman"/>
                <w:lang w:val="es-ES"/>
              </w:rPr>
              <w:t>) protección razonable: en el sentido de que el titular ha tomado medidas para mantenerla e confidencialidad – cláusulas de confidencialidad, accedo restringido, protocolos de seguridad, entre otros-. Dichos secretos se tratan de una trata de garantía del derecho a la libre competencia económica amparado en el artículo 333 de la Constitución Política. Si bien dicha norma no establece una forma de proteger el secreto, sí prescribe que el poseedor tendrá el deber de adoptar los mecanismos que resulten razonables para evitar que la información sea de conocimiento público para impedir su fácil acceso. Una de las formas más usadas para tal fin, es la estipulación de cláusulas de confidencialidad, en las que se restrinja el uso público de la información que se comparte en virtud del contrato.</w:t>
            </w:r>
          </w:p>
          <w:p w14:paraId="21E78B7B" w14:textId="77777777" w:rsidR="00EB59DD" w:rsidRDefault="00EB59DD" w:rsidP="008E26D4">
            <w:pPr>
              <w:spacing w:after="120" w:line="276" w:lineRule="auto"/>
              <w:ind w:firstLine="709"/>
              <w:jc w:val="both"/>
              <w:rPr>
                <w:rFonts w:ascii="Verdana" w:eastAsia="Calibri" w:hAnsi="Verdana" w:cs="Times New Roman"/>
                <w:lang w:val="es-ES"/>
              </w:rPr>
            </w:pPr>
            <w:r>
              <w:rPr>
                <w:rFonts w:ascii="Verdana" w:eastAsia="Calibri" w:hAnsi="Verdana" w:cs="Times New Roman"/>
                <w:lang w:val="es-ES"/>
              </w:rPr>
              <w:t xml:space="preserve">Teniendo en cuenta lo expuesto, en el momento de publicar información derivado de los procesos de contratación en sus diferentes etapas – precontractual, contractual y </w:t>
            </w:r>
            <w:proofErr w:type="spellStart"/>
            <w:r>
              <w:rPr>
                <w:rFonts w:ascii="Verdana" w:eastAsia="Calibri" w:hAnsi="Verdana" w:cs="Times New Roman"/>
                <w:lang w:val="es-ES"/>
              </w:rPr>
              <w:t>postcontractual</w:t>
            </w:r>
            <w:proofErr w:type="spellEnd"/>
            <w:r>
              <w:rPr>
                <w:rFonts w:ascii="Verdana" w:eastAsia="Calibri" w:hAnsi="Verdana" w:cs="Times New Roman"/>
                <w:lang w:val="es-ES"/>
              </w:rPr>
              <w:t xml:space="preserve"> – debe garantizarse y salvaguardarse la reserva de información por secretos empresariales, en los que se incluye los secretos comerciales, industriales o información que se considere estratégica. En tal sentido, debe precisarse que, en virtud del principio de transparencia, específicamente por cuenta de lo dispuesto en el numeral 4 del artículo 24 de la Ley 8º de 1993, así como el principio de máxima publicidad establecido en el artículo 2 de la Ley 1712 de 2014, el contenido del expediente de si se trata de documentos que deban publicarse en SECOP.</w:t>
            </w:r>
          </w:p>
          <w:p w14:paraId="4ADEB4F1" w14:textId="77777777" w:rsidR="00EB59DD" w:rsidRPr="007F7FB9" w:rsidRDefault="00EB59DD" w:rsidP="008E26D4">
            <w:pPr>
              <w:spacing w:after="120" w:line="276" w:lineRule="auto"/>
              <w:ind w:firstLine="709"/>
              <w:jc w:val="both"/>
              <w:rPr>
                <w:rFonts w:ascii="Verdana" w:eastAsia="Calibri" w:hAnsi="Verdana" w:cs="Arial"/>
                <w:bCs/>
                <w:color w:val="000000" w:themeColor="text1"/>
                <w:lang w:val="es-ES"/>
              </w:rPr>
            </w:pPr>
            <w:r w:rsidRPr="004675CD">
              <w:rPr>
                <w:rFonts w:ascii="Verdana" w:eastAsia="Calibri" w:hAnsi="Verdana" w:cs="Arial"/>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3ED08E33" w14:textId="77777777" w:rsidR="00EB59DD" w:rsidRDefault="00EB59DD" w:rsidP="00EB59DD">
      <w:pPr>
        <w:tabs>
          <w:tab w:val="left" w:pos="142"/>
          <w:tab w:val="left" w:pos="284"/>
        </w:tabs>
        <w:spacing w:after="0" w:line="276" w:lineRule="auto"/>
        <w:jc w:val="both"/>
        <w:rPr>
          <w:rFonts w:ascii="Verdana" w:eastAsia="Century Gothic" w:hAnsi="Verdana" w:cs="Century Gothic"/>
          <w:b/>
          <w:bCs/>
        </w:rPr>
      </w:pPr>
    </w:p>
    <w:p w14:paraId="61EC1EEE" w14:textId="77777777" w:rsidR="00EB59DD" w:rsidRDefault="00EB59DD" w:rsidP="00EB59DD">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A6B7996" w14:textId="77777777" w:rsidR="00EB59DD" w:rsidRPr="005644FE" w:rsidRDefault="00EB59DD" w:rsidP="00EB59DD">
      <w:pPr>
        <w:tabs>
          <w:tab w:val="left" w:pos="142"/>
          <w:tab w:val="left" w:pos="284"/>
        </w:tabs>
        <w:spacing w:after="0" w:line="276" w:lineRule="auto"/>
        <w:jc w:val="both"/>
        <w:rPr>
          <w:rFonts w:ascii="Verdana" w:eastAsia="Century Gothic" w:hAnsi="Verdana" w:cs="Century Gothic"/>
          <w:b/>
          <w:bCs/>
        </w:rPr>
      </w:pPr>
    </w:p>
    <w:p w14:paraId="48244343" w14:textId="77777777" w:rsidR="00EB59DD" w:rsidRDefault="00EB59DD" w:rsidP="00EB59DD">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32353E07" w14:textId="77777777" w:rsidR="00EB59DD" w:rsidRDefault="00EB59DD" w:rsidP="00586042">
      <w:pPr>
        <w:spacing w:after="0" w:line="276" w:lineRule="auto"/>
        <w:ind w:firstLine="709"/>
        <w:jc w:val="both"/>
        <w:rPr>
          <w:rFonts w:ascii="Verdana" w:eastAsia="Verdana" w:hAnsi="Verdana" w:cs="Verdana"/>
          <w:lang w:val="es-MX"/>
        </w:rPr>
      </w:pPr>
    </w:p>
    <w:p w14:paraId="3F996078" w14:textId="77777777" w:rsidR="00EB59DD" w:rsidRDefault="00EB59DD" w:rsidP="00EB59DD">
      <w:pPr>
        <w:spacing w:after="120" w:line="276" w:lineRule="auto"/>
        <w:jc w:val="both"/>
        <w:rPr>
          <w:rFonts w:ascii="Verdana" w:eastAsia="Verdana" w:hAnsi="Verdana" w:cs="Verdana"/>
          <w:lang w:val="es-MX"/>
        </w:rPr>
      </w:pPr>
      <w:r>
        <w:rPr>
          <w:rFonts w:ascii="Verdana" w:eastAsia="Verdana" w:hAnsi="Verdana" w:cs="Verdana"/>
          <w:lang w:val="es-MX"/>
        </w:rPr>
        <w:t xml:space="preserve">i) Uno de los postulados más importantes de un Estado Social Democrático de Derecho es el principio de publicidad, pues este permite que las actuaciones de las autoridades gocen de visibilidad.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artículo 74, que consagra la garantía de acceso a los documentos públicos que no gocen de reserva -y esta, además, es excepcional pues solo procede si existe causal constitucional o legal expresa-. </w:t>
      </w:r>
    </w:p>
    <w:p w14:paraId="7A16B1D5"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El principio de publicidad impone a las autoridades administrativas el deber de dar a conocer sus actos, contratos y precisiones para que se divulguen y eventualmente se controlen. Por ello, en la contratación estatal, el literal c) del artículo 3 de la Ley 1150 de 2007 establece el Sistema Electrónico para la Contratación Pública, en adelante SECOP, como un mecanismo que “contara con información oficial de la contratación realizada con dineros públicos, para lo cual establecerá los patrones a que haya lugar y se encargará de su difusión a través de canales electrónicos</w:t>
      </w:r>
      <w:r>
        <w:rPr>
          <w:rStyle w:val="Refdenotaalpie"/>
          <w:rFonts w:ascii="Verdana" w:eastAsia="Verdana" w:hAnsi="Verdana" w:cs="Verdana"/>
          <w:lang w:val="es-MX"/>
        </w:rPr>
        <w:footnoteReference w:id="1"/>
      </w:r>
      <w:r>
        <w:rPr>
          <w:rFonts w:ascii="Verdana" w:eastAsia="Verdana" w:hAnsi="Verdana" w:cs="Verdana"/>
          <w:lang w:val="es-MX"/>
        </w:rPr>
        <w:t xml:space="preserve">. </w:t>
      </w:r>
    </w:p>
    <w:p w14:paraId="53B13B34"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De otra parte, la Ley 1712 de 2014 – ley estatutaria que regula la transparencia y el derecho de acceso a la información y a los documentos púbicos-; identifica como principios que orientan el derecho de acceso a la información pública, el de máxima publicidad, transparencia en la información y buena fe. El principio de máxima publicidad establece que “toda información en posesión, bajo el control o custodia de un sujeto obligado es publica y no podrá ser reservada o limitada sino por disposición constitucional o legal”</w:t>
      </w:r>
      <w:r>
        <w:rPr>
          <w:rStyle w:val="Refdenotaalpie"/>
          <w:rFonts w:ascii="Verdana" w:eastAsia="Verdana" w:hAnsi="Verdana" w:cs="Verdana"/>
          <w:lang w:val="es-MX"/>
        </w:rPr>
        <w:footnoteReference w:id="2"/>
      </w:r>
      <w:r>
        <w:rPr>
          <w:rFonts w:ascii="Verdana" w:eastAsia="Verdana" w:hAnsi="Verdana" w:cs="Verdana"/>
          <w:lang w:val="es-MX"/>
        </w:rPr>
        <w:t>.</w:t>
      </w:r>
    </w:p>
    <w:p w14:paraId="5139196C" w14:textId="127D1C6C" w:rsidR="00EB59DD" w:rsidRDefault="00EB59DD" w:rsidP="008141C0">
      <w:pPr>
        <w:spacing w:after="0" w:line="276" w:lineRule="auto"/>
        <w:ind w:firstLine="709"/>
        <w:jc w:val="both"/>
        <w:rPr>
          <w:rFonts w:ascii="Verdana" w:eastAsia="Times New Roman" w:hAnsi="Verdana" w:cs="Arial"/>
          <w:lang w:val="es-ES_tradnl" w:eastAsia="es-ES_tradnl"/>
          <w14:ligatures w14:val="standardContextual"/>
        </w:rPr>
      </w:pPr>
      <w:r>
        <w:rPr>
          <w:rFonts w:ascii="Verdana" w:eastAsia="Verdana" w:hAnsi="Verdana" w:cs="Verdana"/>
          <w:lang w:val="es-MX"/>
        </w:rPr>
        <w:t xml:space="preserve">El principio de transparencia en la información alude al deber de los sujetos de proporcionar y facilitar el acceso a la misma en los términos más amplios posibles, y a través de los medios y procedimientos legales. </w:t>
      </w:r>
      <w:r>
        <w:rPr>
          <w:rFonts w:ascii="Verdana" w:eastAsia="Times New Roman" w:hAnsi="Verdana" w:cs="Arial"/>
          <w:lang w:val="es-ES_tradnl" w:eastAsia="es-ES_tradnl"/>
          <w14:ligatures w14:val="standardContextual"/>
        </w:rPr>
        <w:t>En este sentido, el artículo la Ley 1712 de 2014 establece el ámbito de ampliación, esto es, quienes son los sujetos obligados a publicar su información:</w:t>
      </w:r>
    </w:p>
    <w:p w14:paraId="64B80CD6" w14:textId="77777777" w:rsidR="008141C0" w:rsidRPr="00487186" w:rsidRDefault="008141C0" w:rsidP="00586042">
      <w:pPr>
        <w:spacing w:after="0" w:line="276" w:lineRule="auto"/>
        <w:ind w:firstLine="709"/>
        <w:jc w:val="both"/>
        <w:rPr>
          <w:rFonts w:ascii="Verdana" w:eastAsia="Verdana" w:hAnsi="Verdana" w:cs="Verdana"/>
          <w:lang w:val="es-MX"/>
        </w:rPr>
      </w:pPr>
    </w:p>
    <w:p w14:paraId="169134C8" w14:textId="6A46B2FC" w:rsidR="00EB59DD" w:rsidRPr="00AF0E6B" w:rsidRDefault="008141C0" w:rsidP="00EB59DD">
      <w:pPr>
        <w:spacing w:after="0" w:line="240" w:lineRule="auto"/>
        <w:ind w:left="709" w:right="709"/>
        <w:jc w:val="both"/>
        <w:rPr>
          <w:rFonts w:ascii="Verdana" w:hAnsi="Verdana" w:cs="Arial"/>
          <w:sz w:val="20"/>
          <w:szCs w:val="20"/>
          <w:lang w:eastAsia="es-ES_tradnl"/>
          <w14:ligatures w14:val="standardContextual"/>
        </w:rPr>
      </w:pPr>
      <w:r>
        <w:rPr>
          <w:rFonts w:ascii="Verdana" w:hAnsi="Verdana" w:cs="Arial"/>
          <w:bCs/>
          <w:sz w:val="20"/>
          <w:szCs w:val="20"/>
          <w:lang w:eastAsia="es-ES_tradnl"/>
          <w14:ligatures w14:val="standardContextual"/>
        </w:rPr>
        <w:t>“</w:t>
      </w:r>
      <w:bookmarkStart w:id="2" w:name="5"/>
      <w:r w:rsidR="00EB59DD" w:rsidRPr="00AF0E6B">
        <w:rPr>
          <w:rFonts w:ascii="Verdana" w:hAnsi="Verdana" w:cs="Arial"/>
          <w:bCs/>
          <w:sz w:val="20"/>
          <w:szCs w:val="20"/>
          <w:lang w:eastAsia="es-ES_tradnl"/>
          <w14:ligatures w14:val="standardContextual"/>
        </w:rPr>
        <w:t>ARTÍCULO 5o. Ámbito de Aplicación</w:t>
      </w:r>
      <w:r w:rsidR="00EB59DD" w:rsidRPr="00AF0E6B">
        <w:rPr>
          <w:rFonts w:ascii="Verdana" w:hAnsi="Verdana" w:cs="Arial"/>
          <w:b/>
          <w:bCs/>
          <w:sz w:val="20"/>
          <w:szCs w:val="20"/>
          <w:lang w:eastAsia="es-ES_tradnl"/>
          <w14:ligatures w14:val="standardContextual"/>
        </w:rPr>
        <w:t>.</w:t>
      </w:r>
      <w:bookmarkEnd w:id="2"/>
      <w:r w:rsidR="00EB59DD" w:rsidRPr="00AF0E6B">
        <w:rPr>
          <w:rFonts w:ascii="Verdana" w:hAnsi="Verdana" w:cs="Arial"/>
          <w:sz w:val="20"/>
          <w:szCs w:val="20"/>
          <w:lang w:eastAsia="es-ES_tradnl"/>
          <w14:ligatures w14:val="standardContextual"/>
        </w:rPr>
        <w:t xml:space="preserve"> &lt;Artículo corregido por el </w:t>
      </w:r>
      <w:r w:rsidR="00EB59DD" w:rsidRPr="00487186">
        <w:rPr>
          <w:rFonts w:ascii="Verdana" w:hAnsi="Verdana" w:cs="Arial"/>
          <w:sz w:val="20"/>
          <w:szCs w:val="20"/>
          <w:lang w:eastAsia="es-ES_tradnl"/>
          <w14:ligatures w14:val="standardContextual"/>
        </w:rPr>
        <w:t>artículo </w:t>
      </w:r>
      <w:hyperlink r:id="rId12" w:anchor="1" w:history="1">
        <w:r w:rsidR="00EB59DD" w:rsidRPr="00487186">
          <w:rPr>
            <w:rStyle w:val="Hipervnculo"/>
            <w:rFonts w:ascii="Verdana" w:hAnsi="Verdana" w:cs="Arial"/>
            <w:color w:val="auto"/>
            <w:sz w:val="20"/>
            <w:szCs w:val="20"/>
            <w:lang w:eastAsia="es-ES_tradnl"/>
            <w14:ligatures w14:val="standardContextual"/>
          </w:rPr>
          <w:t>1</w:t>
        </w:r>
      </w:hyperlink>
      <w:r w:rsidR="00EB59DD" w:rsidRPr="00AF0E6B">
        <w:rPr>
          <w:rFonts w:ascii="Verdana" w:hAnsi="Verdana" w:cs="Arial"/>
          <w:sz w:val="20"/>
          <w:szCs w:val="20"/>
          <w:lang w:eastAsia="es-ES_tradnl"/>
          <w14:ligatures w14:val="standardContextual"/>
        </w:rPr>
        <w:t> del Decreto 1494 de 2015. El nuevo texto es el siguiente:&gt; Las disposiciones de esta ley serán aplicables a las siguientes personas en calidad de sujetos obligados:</w:t>
      </w:r>
    </w:p>
    <w:p w14:paraId="5BA28963" w14:textId="77777777" w:rsidR="00EB59DD" w:rsidRPr="00AF0E6B" w:rsidRDefault="00EB59DD" w:rsidP="00EB59DD">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057D85AB" w14:textId="77777777" w:rsidR="00EB59DD" w:rsidRPr="00AF0E6B" w:rsidRDefault="00EB59DD" w:rsidP="00EB59DD">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b) Los órganos, organismos y entidades estatales independientes o autónomos y de control.</w:t>
      </w:r>
    </w:p>
    <w:p w14:paraId="3B7D9769" w14:textId="77777777" w:rsidR="00EB59DD" w:rsidRPr="00AF0E6B" w:rsidRDefault="00EB59DD" w:rsidP="00EB59DD">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c) Las personas naturales y jurídicas, públicas o privadas, que presten función pública, que presten servicios públicos respecto de la información directamente relacionada con la prestación del servicio público.</w:t>
      </w:r>
    </w:p>
    <w:p w14:paraId="5C266A04" w14:textId="77777777" w:rsidR="00EB59DD" w:rsidRPr="00AF0E6B" w:rsidRDefault="00EB59DD" w:rsidP="00EB59DD">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 xml:space="preserve">d) Cualquier persona natural, jurídica o dependencia de persona jurídica que desempeñe función pública o de </w:t>
      </w:r>
      <w:proofErr w:type="gramStart"/>
      <w:r w:rsidRPr="00AF0E6B">
        <w:rPr>
          <w:rFonts w:ascii="Verdana" w:eastAsia="Times New Roman" w:hAnsi="Verdana" w:cs="Arial"/>
          <w:sz w:val="20"/>
          <w:szCs w:val="20"/>
          <w:lang w:eastAsia="es-ES_tradnl"/>
          <w14:ligatures w14:val="standardContextual"/>
        </w:rPr>
        <w:t>autoridad pública</w:t>
      </w:r>
      <w:proofErr w:type="gramEnd"/>
      <w:r w:rsidRPr="00AF0E6B">
        <w:rPr>
          <w:rFonts w:ascii="Verdana" w:eastAsia="Times New Roman" w:hAnsi="Verdana" w:cs="Arial"/>
          <w:sz w:val="20"/>
          <w:szCs w:val="20"/>
          <w:lang w:eastAsia="es-ES_tradnl"/>
          <w14:ligatures w14:val="standardContextual"/>
        </w:rPr>
        <w:t>, respecto de la información directamente relacionada con el desempeño de su función.</w:t>
      </w:r>
    </w:p>
    <w:p w14:paraId="48BDF13F" w14:textId="77777777" w:rsidR="00EB59DD" w:rsidRPr="00AF0E6B" w:rsidRDefault="00EB59DD" w:rsidP="00EB59DD">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e) Las empresas públicas creadas por ley, las empresas del Estado y sociedades en que este tenga participación.</w:t>
      </w:r>
    </w:p>
    <w:p w14:paraId="39DCD6E7" w14:textId="77777777" w:rsidR="00EB59DD" w:rsidRPr="00AF0E6B" w:rsidRDefault="00EB59DD" w:rsidP="00EB59DD">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f) Los partidos o movimientos políticos y los grupos significativos de ciudadanos.</w:t>
      </w:r>
    </w:p>
    <w:p w14:paraId="682D2DAA" w14:textId="77777777" w:rsidR="00EB59DD" w:rsidRPr="00AF0E6B" w:rsidRDefault="00EB59DD" w:rsidP="00EB59DD">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g) Las entidades que administren instituciones parafiscales, fondos o recursos de naturaleza u origen público.</w:t>
      </w:r>
    </w:p>
    <w:p w14:paraId="283DB31E" w14:textId="77777777" w:rsidR="00EB59DD" w:rsidRPr="00AF0E6B" w:rsidRDefault="00EB59DD" w:rsidP="00EB59DD">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sz w:val="20"/>
          <w:szCs w:val="20"/>
          <w:lang w:eastAsia="es-ES_tradnl"/>
          <w14:ligatures w14:val="standardContextual"/>
        </w:rPr>
        <w:t>Las personas naturales o jurídicas que reciban o intermedien fondos o beneficios públicos territoriales y nacionales y no cumplan ninguno de los otros requisitos para ser considerados sujetos obligados, solo deberán cumplir con la presente ley respecto de aquella información que se produzca en relación con fondos públicos que reciban o intermedien.</w:t>
      </w:r>
    </w:p>
    <w:p w14:paraId="620D5000" w14:textId="5F01C458" w:rsidR="00EB59DD" w:rsidRDefault="00EB59DD" w:rsidP="00EB59DD">
      <w:pPr>
        <w:spacing w:after="0" w:line="240" w:lineRule="auto"/>
        <w:ind w:left="709" w:right="709"/>
        <w:jc w:val="both"/>
        <w:rPr>
          <w:rFonts w:ascii="Verdana" w:eastAsia="Times New Roman" w:hAnsi="Verdana" w:cs="Arial"/>
          <w:sz w:val="20"/>
          <w:szCs w:val="20"/>
          <w:lang w:eastAsia="es-ES_tradnl"/>
          <w14:ligatures w14:val="standardContextual"/>
        </w:rPr>
      </w:pPr>
      <w:r w:rsidRPr="00AF0E6B">
        <w:rPr>
          <w:rFonts w:ascii="Verdana" w:eastAsia="Times New Roman" w:hAnsi="Verdana" w:cs="Arial"/>
          <w:bCs/>
          <w:sz w:val="20"/>
          <w:szCs w:val="20"/>
          <w:lang w:eastAsia="es-ES_tradnl"/>
          <w14:ligatures w14:val="standardContextual"/>
        </w:rPr>
        <w:t>PARÁGRAFO 1o</w:t>
      </w:r>
      <w:r w:rsidRPr="00AF0E6B">
        <w:rPr>
          <w:rFonts w:ascii="Verdana" w:eastAsia="Times New Roman" w:hAnsi="Verdana" w:cs="Arial"/>
          <w:b/>
          <w:bCs/>
          <w:sz w:val="20"/>
          <w:szCs w:val="20"/>
          <w:lang w:eastAsia="es-ES_tradnl"/>
          <w14:ligatures w14:val="standardContextual"/>
        </w:rPr>
        <w:t>.</w:t>
      </w:r>
      <w:r w:rsidRPr="00AF0E6B">
        <w:rPr>
          <w:rFonts w:ascii="Verdana" w:eastAsia="Times New Roman" w:hAnsi="Verdana" w:cs="Arial"/>
          <w:sz w:val="20"/>
          <w:szCs w:val="20"/>
          <w:lang w:eastAsia="es-ES_tradnl"/>
          <w14:ligatures w14:val="standardContextual"/>
        </w:rPr>
        <w:t> No serán sujetos obligados aquellas personas naturales o jurídicas de carácter privado que sean usuarios de información pública</w:t>
      </w:r>
      <w:r w:rsidR="008141C0">
        <w:rPr>
          <w:rFonts w:ascii="Verdana" w:eastAsia="Times New Roman" w:hAnsi="Verdana" w:cs="Arial"/>
          <w:sz w:val="20"/>
          <w:szCs w:val="20"/>
          <w:lang w:eastAsia="es-ES_tradnl"/>
          <w14:ligatures w14:val="standardContextual"/>
        </w:rPr>
        <w:t>”</w:t>
      </w:r>
      <w:r w:rsidRPr="00AF0E6B">
        <w:rPr>
          <w:rFonts w:ascii="Verdana" w:eastAsia="Times New Roman" w:hAnsi="Verdana" w:cs="Arial"/>
          <w:sz w:val="20"/>
          <w:szCs w:val="20"/>
          <w:lang w:eastAsia="es-ES_tradnl"/>
          <w14:ligatures w14:val="standardContextual"/>
        </w:rPr>
        <w:t>.</w:t>
      </w:r>
    </w:p>
    <w:p w14:paraId="33C3027E" w14:textId="77777777" w:rsidR="00EB59DD" w:rsidRPr="00586042" w:rsidRDefault="00EB59DD" w:rsidP="00586042">
      <w:pPr>
        <w:spacing w:after="0" w:line="276" w:lineRule="auto"/>
        <w:ind w:left="709" w:right="709"/>
        <w:jc w:val="both"/>
        <w:rPr>
          <w:rFonts w:ascii="Verdana" w:eastAsia="Times New Roman" w:hAnsi="Verdana" w:cs="Arial"/>
          <w:lang w:eastAsia="es-ES_tradnl"/>
          <w14:ligatures w14:val="standardContextual"/>
        </w:rPr>
      </w:pPr>
    </w:p>
    <w:p w14:paraId="5B43643A" w14:textId="77777777" w:rsidR="00EB59DD" w:rsidRDefault="00EB59DD" w:rsidP="00EB59DD">
      <w:pPr>
        <w:spacing w:after="120" w:line="276" w:lineRule="auto"/>
        <w:ind w:firstLine="709"/>
        <w:jc w:val="both"/>
        <w:rPr>
          <w:rFonts w:ascii="Verdana" w:eastAsia="Times New Roman" w:hAnsi="Verdana" w:cs="Arial"/>
          <w:lang w:val="es-ES_tradnl" w:eastAsia="es-ES_tradnl"/>
          <w14:ligatures w14:val="standardContextual"/>
        </w:rPr>
      </w:pPr>
      <w:r>
        <w:rPr>
          <w:rFonts w:ascii="Verdana" w:eastAsia="Times New Roman" w:hAnsi="Verdana" w:cs="Arial"/>
          <w:lang w:val="es-ES_tradnl" w:eastAsia="es-ES_tradnl"/>
          <w14:ligatures w14:val="standardContextual"/>
        </w:rPr>
        <w:t xml:space="preserve">Teniendo en cuenta quienes son los sujetos obligados a publicar la información, es pertinente señalar que el precitado artículo dispone que la Ley 1712 aplica </w:t>
      </w:r>
      <w:r w:rsidRPr="004878FE">
        <w:rPr>
          <w:rFonts w:ascii="Verdana" w:eastAsia="Times New Roman" w:hAnsi="Verdana" w:cs="Arial"/>
          <w:lang w:val="es-ES_tradnl" w:eastAsia="es-ES_tradnl"/>
          <w14:ligatures w14:val="standardContextual"/>
        </w:rPr>
        <w:t>a un amplio conjunto de sujetos obligados, incluyendo todas las entidades públicas de cualquier rama y nivel; órganos autónomos y de control; personas naturales o jurídicas, públicas o privadas, que ejerzan función pública o presten servicios públicos respecto de la información relacionada con dicha función; empresas estatales; partidos y movimientos políticos; y entidades que administren recursos públicos o parafiscales. Además, quienes reciban o intermedien fondos públicos, sin cumplir otros criterios, solo deben cumplir la ley respecto de la información vinculada a esos recursos. Finalmente, aclara que los usuarios privados de información pública no son sujetos obligados.</w:t>
      </w:r>
    </w:p>
    <w:p w14:paraId="4368F7B6" w14:textId="77777777" w:rsidR="00EB59DD" w:rsidRPr="00B9023B" w:rsidRDefault="00EB59DD" w:rsidP="00EB59DD">
      <w:pPr>
        <w:spacing w:after="120" w:line="276" w:lineRule="auto"/>
        <w:ind w:firstLine="709"/>
        <w:jc w:val="both"/>
        <w:rPr>
          <w:rFonts w:ascii="Verdana" w:eastAsia="Times New Roman" w:hAnsi="Verdana" w:cs="Arial"/>
          <w:lang w:eastAsia="es-ES_tradnl"/>
          <w14:ligatures w14:val="standardContextual"/>
        </w:rPr>
      </w:pPr>
      <w:r w:rsidRPr="00E460E5">
        <w:rPr>
          <w:rFonts w:ascii="Verdana" w:eastAsia="Times New Roman" w:hAnsi="Verdana" w:cs="Arial"/>
          <w:lang w:eastAsia="es-ES_tradnl"/>
          <w14:ligatures w14:val="standardContextual"/>
        </w:rPr>
        <w:t>En este sentido, el literal e) del artículo citado dispone que deben cumplir con los deberes de publicidad “las empresas públicas creadas por ley, las empresas del Estado y las sociedades en que este tenga participación”. Esta redacción, amplia y no condicionada al porcentaje accionario, sugiere que la sola presencia de capital público —sin importar su magnitud— activa el deber de</w:t>
      </w:r>
      <w:r>
        <w:rPr>
          <w:rFonts w:ascii="Verdana" w:eastAsia="Times New Roman" w:hAnsi="Verdana" w:cs="Arial"/>
          <w:lang w:eastAsia="es-ES_tradnl"/>
          <w14:ligatures w14:val="standardContextual"/>
        </w:rPr>
        <w:t xml:space="preserve"> publicidad y transparencia del artículo 9 de la Ley 1712 de 2014</w:t>
      </w:r>
      <w:r w:rsidRPr="00E460E5">
        <w:rPr>
          <w:rFonts w:ascii="Verdana" w:eastAsia="Times New Roman" w:hAnsi="Verdana" w:cs="Arial"/>
          <w:lang w:eastAsia="es-ES_tradnl"/>
          <w14:ligatures w14:val="standardContextual"/>
        </w:rPr>
        <w:t>.</w:t>
      </w:r>
      <w:r>
        <w:rPr>
          <w:rFonts w:ascii="Verdana" w:eastAsia="Times New Roman" w:hAnsi="Verdana" w:cs="Arial"/>
          <w:lang w:eastAsia="es-ES_tradnl"/>
          <w14:ligatures w14:val="standardContextual"/>
        </w:rPr>
        <w:t xml:space="preserve"> </w:t>
      </w:r>
      <w:r w:rsidRPr="00B9023B">
        <w:rPr>
          <w:rFonts w:ascii="Verdana" w:eastAsia="Times New Roman" w:hAnsi="Verdana" w:cs="Arial"/>
          <w:lang w:eastAsia="es-ES_tradnl"/>
          <w14:ligatures w14:val="standardContextual"/>
        </w:rPr>
        <w:t>La norma no condiciona la obligación de publicidad a un umbral específico de capital público, sino a la mera existencia de participación estatal, por mínima que sea.</w:t>
      </w:r>
      <w:r>
        <w:rPr>
          <w:rFonts w:ascii="Verdana" w:eastAsia="Times New Roman" w:hAnsi="Verdana" w:cs="Arial"/>
          <w:lang w:eastAsia="es-ES_tradnl"/>
          <w14:ligatures w14:val="standardContextual"/>
        </w:rPr>
        <w:t xml:space="preserve"> Por tanto</w:t>
      </w:r>
      <w:r w:rsidRPr="00B9023B">
        <w:rPr>
          <w:rFonts w:ascii="Verdana" w:eastAsia="Times New Roman" w:hAnsi="Verdana" w:cs="Arial"/>
          <w:lang w:eastAsia="es-ES_tradnl"/>
          <w14:ligatures w14:val="standardContextual"/>
        </w:rPr>
        <w:t>, el legislador estatutario no introdujo distinciones cuantitativas respecto del porcentaje de participación del Estado que permitieran excluir a determinadas sociedades del deber de transparencia previsto en la Ley 1712 de 2014. La regla es amplia y abarca a todas las entidades con presencia de recursos públicos en su estructura societaria, reafirmando que la transparencia es un mandato que opera por la naturaleza pública del capital involucrado y no por su proporción.</w:t>
      </w:r>
    </w:p>
    <w:p w14:paraId="2CF3D783" w14:textId="77777777" w:rsidR="00EB59DD" w:rsidRDefault="00EB59DD" w:rsidP="00EB59DD">
      <w:pPr>
        <w:spacing w:after="120" w:line="276" w:lineRule="auto"/>
        <w:ind w:firstLine="709"/>
        <w:jc w:val="both"/>
        <w:rPr>
          <w:rFonts w:ascii="Verdana" w:eastAsia="Times New Roman" w:hAnsi="Verdana" w:cs="Arial"/>
          <w:lang w:eastAsia="es-ES_tradnl"/>
          <w14:ligatures w14:val="standardContextual"/>
        </w:rPr>
      </w:pPr>
      <w:r>
        <w:rPr>
          <w:rFonts w:ascii="Verdana" w:eastAsia="Times New Roman" w:hAnsi="Verdana" w:cs="Arial"/>
          <w:lang w:eastAsia="es-ES_tradnl"/>
          <w14:ligatures w14:val="standardContextual"/>
        </w:rPr>
        <w:t>Ahora bien, para revisar el alcance de l</w:t>
      </w:r>
      <w:r w:rsidRPr="00FE0D34">
        <w:rPr>
          <w:rFonts w:ascii="Verdana" w:eastAsia="Times New Roman" w:hAnsi="Verdana" w:cs="Arial"/>
          <w:lang w:eastAsia="es-ES_tradnl"/>
          <w14:ligatures w14:val="standardContextual"/>
        </w:rPr>
        <w:t xml:space="preserve">a obligación de publicar la información contractual </w:t>
      </w:r>
      <w:r>
        <w:rPr>
          <w:rFonts w:ascii="Verdana" w:eastAsia="Times New Roman" w:hAnsi="Verdana" w:cs="Arial"/>
          <w:lang w:eastAsia="es-ES_tradnl"/>
          <w14:ligatures w14:val="standardContextual"/>
        </w:rPr>
        <w:t xml:space="preserve">se acude al </w:t>
      </w:r>
      <w:r w:rsidRPr="00FE0D34">
        <w:rPr>
          <w:rFonts w:ascii="Verdana" w:eastAsia="Times New Roman" w:hAnsi="Verdana" w:cs="Arial"/>
          <w:lang w:eastAsia="es-ES_tradnl"/>
          <w14:ligatures w14:val="standardContextual"/>
        </w:rPr>
        <w:t>Decreto Único Reglamentario 1081 de 2015</w:t>
      </w:r>
      <w:r w:rsidRPr="00AD6B46">
        <w:rPr>
          <w:rFonts w:ascii="Verdana" w:eastAsia="Times New Roman" w:hAnsi="Verdana" w:cs="Arial"/>
          <w:vertAlign w:val="superscript"/>
          <w:lang w:val="es-ES_tradnl" w:eastAsia="es-ES_tradnl"/>
          <w14:ligatures w14:val="standardContextual"/>
        </w:rPr>
        <w:footnoteReference w:id="3"/>
      </w:r>
      <w:r w:rsidRPr="00FE0D34">
        <w:rPr>
          <w:rFonts w:ascii="Verdana" w:eastAsia="Times New Roman" w:hAnsi="Verdana" w:cs="Arial"/>
          <w:lang w:eastAsia="es-ES_tradnl"/>
          <w14:ligatures w14:val="standardContextual"/>
        </w:rPr>
        <w:t>, el cual precisó que los sujetos obligados que celebren contratos deben divulgar dicha información a través del Sistema Electrónico para la Contratación Pública – SECOP. Esta disposición reglamentaria consolidó el principio de transparencia en la gestión contractual estatal, al establecer un mecanismo uniforme y centralizado para la publicidad, garantizando así la trazabilidad, el control ciudadano y el acceso efectivo a la información pública contractual.</w:t>
      </w:r>
      <w:r>
        <w:rPr>
          <w:rFonts w:ascii="Verdana" w:eastAsia="Times New Roman" w:hAnsi="Verdana" w:cs="Arial"/>
          <w:lang w:eastAsia="es-ES_tradnl"/>
          <w14:ligatures w14:val="standardContextual"/>
        </w:rPr>
        <w:t xml:space="preserve"> </w:t>
      </w:r>
    </w:p>
    <w:p w14:paraId="219F80A0" w14:textId="77777777" w:rsidR="00EB59DD" w:rsidRDefault="00EB59DD" w:rsidP="00EB59DD">
      <w:pPr>
        <w:spacing w:after="120" w:line="276" w:lineRule="auto"/>
        <w:ind w:firstLine="709"/>
        <w:jc w:val="both"/>
        <w:rPr>
          <w:rFonts w:ascii="Verdana" w:eastAsia="Times New Roman" w:hAnsi="Verdana" w:cs="Arial"/>
          <w:lang w:val="es-ES_tradnl" w:eastAsia="es-ES_tradnl"/>
          <w14:ligatures w14:val="standardContextual"/>
        </w:rPr>
      </w:pPr>
      <w:r w:rsidRPr="00AD6B46">
        <w:rPr>
          <w:rFonts w:ascii="Verdana" w:eastAsia="Times New Roman" w:hAnsi="Verdana" w:cs="Arial"/>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7F165143" w14:textId="77777777" w:rsidR="00EB59DD" w:rsidRPr="00CA5A8E" w:rsidRDefault="00EB59DD" w:rsidP="00EB59DD">
      <w:pPr>
        <w:spacing w:after="120" w:line="276" w:lineRule="auto"/>
        <w:ind w:firstLine="709"/>
        <w:jc w:val="both"/>
        <w:rPr>
          <w:rFonts w:ascii="Verdana" w:eastAsia="Times New Roman" w:hAnsi="Verdana" w:cs="Arial"/>
          <w:lang w:val="es-ES_tradnl" w:eastAsia="es-ES_tradnl"/>
          <w14:ligatures w14:val="standardContextual"/>
        </w:rPr>
      </w:pPr>
      <w:r w:rsidRPr="00AD6B46">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AD6B46">
        <w:rPr>
          <w:rFonts w:ascii="Verdana" w:eastAsia="Times New Roman" w:hAnsi="Verdana" w:cs="Arial"/>
          <w:vertAlign w:val="superscript"/>
          <w:lang w:val="es-ES_tradnl" w:eastAsia="es-ES_tradnl"/>
          <w14:ligatures w14:val="standardContextual"/>
        </w:rPr>
        <w:footnoteReference w:id="4"/>
      </w:r>
      <w:r w:rsidRPr="00AD6B46">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16388110"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La expresión </w:t>
      </w:r>
      <w:r w:rsidRPr="00B069AA">
        <w:rPr>
          <w:rFonts w:ascii="Verdana" w:eastAsia="Verdana" w:hAnsi="Verdana" w:cs="Verdana"/>
          <w:i/>
          <w:iCs/>
          <w:lang w:val="es-MX"/>
        </w:rPr>
        <w:t>Documentos del Proceso</w:t>
      </w:r>
      <w:r>
        <w:rPr>
          <w:rFonts w:ascii="Verdana" w:eastAsia="Verdana" w:hAnsi="Verdana" w:cs="Verdana"/>
          <w:lang w:val="es-MX"/>
        </w:rPr>
        <w:t xml:space="preserve"> está definida en el artículo 2.2.1.1.3.1 del Decreto 1082 de 2015, donde se establece que: “son: (a) los estudios y documentos previos; (b) el aviso de convocatoria; (c) los pliegos de condiciones o la invitación; (d) las adendas; (e) la oferta; (f) el informe de evaluación; (g) el contrato; y </w:t>
      </w:r>
      <w:r w:rsidRPr="000A6CCE">
        <w:rPr>
          <w:rFonts w:ascii="Verdana" w:eastAsia="Verdana" w:hAnsi="Verdana" w:cs="Verdana"/>
          <w:i/>
          <w:iCs/>
          <w:lang w:val="es-MX"/>
        </w:rPr>
        <w:t>cualquier otro documento expedido por la Entidad Estatal durante el proceso de Contratación</w:t>
      </w:r>
      <w:r>
        <w:rPr>
          <w:rFonts w:ascii="Verdana" w:eastAsia="Verdana" w:hAnsi="Verdana" w:cs="Verdana"/>
          <w:lang w:val="es-MX"/>
        </w:rPr>
        <w:t xml:space="preserve">”. </w:t>
      </w:r>
    </w:p>
    <w:p w14:paraId="10BBF0E6"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Sin embargo, para identificar los documentos que deben publicarse, es necesario realizar una interpretación sistemática de las disposiciones del Decreto 1082 de 2015, comoquiera que el anterior no es un listado taxativo, sino enunciativo, porque además de los documentos enlistados, el artículo 2.2.1.1.1.3.1 </w:t>
      </w:r>
      <w:r w:rsidRPr="00F111D4">
        <w:rPr>
          <w:rFonts w:ascii="Verdana" w:eastAsia="Verdana" w:hAnsi="Verdana" w:cs="Verdana"/>
          <w:i/>
          <w:iCs/>
          <w:lang w:val="es-MX"/>
        </w:rPr>
        <w:t>Ibidem</w:t>
      </w:r>
      <w:r>
        <w:rPr>
          <w:rFonts w:ascii="Verdana" w:eastAsia="Verdana" w:hAnsi="Verdana" w:cs="Verdana"/>
          <w:lang w:val="es-MX"/>
        </w:rPr>
        <w:t xml:space="preserve">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w:t>
      </w:r>
      <w:proofErr w:type="spellStart"/>
      <w:r>
        <w:rPr>
          <w:rFonts w:ascii="Verdana" w:eastAsia="Verdana" w:hAnsi="Verdana" w:cs="Verdana"/>
          <w:lang w:val="es-MX"/>
        </w:rPr>
        <w:t>mas</w:t>
      </w:r>
      <w:proofErr w:type="spellEnd"/>
      <w:r>
        <w:rPr>
          <w:rFonts w:ascii="Verdana" w:eastAsia="Verdana" w:hAnsi="Verdana" w:cs="Verdana"/>
          <w:lang w:val="es-MX"/>
        </w:rPr>
        <w:t xml:space="preserve"> tarde”. Nótese que la norma hace referencia a los documentos “expedidos por la entidad estatal” durante el proceso de contratación, excluyendo de la noción de Documentos del Proceso los expedidos por un sujeto distinto a la entidad, salvo la oferta, la cual se incluye expresamente en el referido artículo 2.2.1.1.1.3.1. </w:t>
      </w:r>
    </w:p>
    <w:p w14:paraId="15154FDE"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Pr>
          <w:rFonts w:ascii="Verdana" w:eastAsia="Verdana" w:hAnsi="Verdana" w:cs="Verdana"/>
          <w:lang w:val="es-MX"/>
        </w:rPr>
        <w:t>postcontractual</w:t>
      </w:r>
      <w:proofErr w:type="spellEnd"/>
      <w:r>
        <w:rPr>
          <w:rFonts w:ascii="Verdana" w:eastAsia="Verdana" w:hAnsi="Verdana" w:cs="Verdana"/>
          <w:lang w:val="es-MX"/>
        </w:rPr>
        <w:t xml:space="preserve"> deberán ser publicados en SECOP dentro de los tres (3) días siguientes a su expedición, para cumplir el deber de publicidad regulado por el artículo 2.2.1.1.1.7.1 del Decreto 1082 de 2015. </w:t>
      </w:r>
    </w:p>
    <w:p w14:paraId="6DA5C6D8" w14:textId="77777777" w:rsidR="00EB59DD" w:rsidRPr="00CA5A8E" w:rsidRDefault="00EB59DD" w:rsidP="00EB59DD">
      <w:pPr>
        <w:tabs>
          <w:tab w:val="left" w:pos="709"/>
        </w:tabs>
        <w:spacing w:after="120" w:line="276" w:lineRule="auto"/>
        <w:ind w:firstLine="709"/>
        <w:jc w:val="both"/>
        <w:rPr>
          <w:rFonts w:ascii="Verdana" w:hAnsi="Verdana" w:cs="Arial"/>
          <w:shd w:val="clear" w:color="auto" w:fill="FFFFFF"/>
        </w:rPr>
      </w:pPr>
      <w:r w:rsidRPr="00AD6B46">
        <w:rPr>
          <w:rFonts w:ascii="Verdana" w:hAnsi="Verdana" w:cs="Arial"/>
          <w:shd w:val="clear" w:color="auto" w:fill="FFFFFF"/>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AD6B46">
        <w:rPr>
          <w:rFonts w:ascii="Verdana" w:hAnsi="Verdana" w:cs="Arial"/>
          <w:shd w:val="clear" w:color="auto" w:fill="FFFFFF"/>
        </w:rPr>
        <w:t>postcontractual</w:t>
      </w:r>
      <w:proofErr w:type="spellEnd"/>
      <w:r w:rsidRPr="00AD6B46">
        <w:rPr>
          <w:rFonts w:ascii="Verdana" w:hAnsi="Verdana" w:cs="Arial"/>
          <w:shd w:val="clear" w:color="auto" w:fill="FFFFFF"/>
        </w:rPr>
        <w:t xml:space="preserve"> deberán publicarse en SECOP dentro de los tres (3) días siguientes a su expedición, para cumplir el deber de publicidad regulado por el artículo 2.2.1.1.1.7.1. del Decreto 1082 de 2015.</w:t>
      </w:r>
    </w:p>
    <w:p w14:paraId="0BCA4C73"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Con el propósito de garantizar el cumplimiento del mencionado deber de publicidad, se le asignó a la Agencia Nacional de Contratación Pública – Colombia Compra Eficiente, la función de administrar el SECOP</w:t>
      </w:r>
      <w:r>
        <w:rPr>
          <w:rStyle w:val="Refdenotaalpie"/>
          <w:rFonts w:ascii="Verdana" w:eastAsia="Verdana" w:hAnsi="Verdana" w:cs="Verdana"/>
          <w:lang w:val="es-MX"/>
        </w:rPr>
        <w:footnoteReference w:id="5"/>
      </w:r>
      <w:r>
        <w:rPr>
          <w:rFonts w:ascii="Verdana" w:eastAsia="Verdana" w:hAnsi="Verdana" w:cs="Verdana"/>
          <w:lang w:val="es-MX"/>
        </w:rPr>
        <w:t xml:space="preserve">. Dicha plataforma ha tenido dos versiones, esto es, el SECOP I y SECOP II. La primera versión de la plataforma - SECOP I-, solo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 </w:t>
      </w:r>
    </w:p>
    <w:p w14:paraId="6AE3948B"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En cambio, el SECOP II, es una plataforma transaccional que permite gestionar la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 </w:t>
      </w:r>
    </w:p>
    <w:p w14:paraId="37C67E40"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Sin embargo, pese a que los documentos que deben publicarse en el SECOP II, corresponden a los mismos que deben publicarse en el SECOP I, esto es, todos los expedidos con ocasión del Proceso de Contratación con excepción de los expresamente excluidos, la naturaleza transaccional del SECOP II implica que los procesos contractuales no solo deban ser publicados mediante esta plataforma, sino también gestionados a través de ella, al consistir la mayoría de los hitos contractuales en documentos y actuaciones electrónicas generadas en tiempo real, de tal manera que el proceso contractual avanza en la medida en la que se generen y aprueben estos documentos y actuaciones electrónicas en la plataforma. Esto a diferencia de los procesos publicados en el SECOP I, en los que primero se generan los documentos escritos y luego se publican en la plataforma dentro del plazo de tres (3) días previsto en el artículo 2.2.1.1.1.7.1 del Decreto 1082 de 2015. </w:t>
      </w:r>
    </w:p>
    <w:p w14:paraId="54E62A80"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Lo anterior significa que, el término de tres (3) días para publicar, en la práctica, no opera en las actuaciones generadas de manera electrónica dentro de los procedimientos gestionados a través de SECOP II, comoquiera que tales documentos son creados o expedidos mediante la propia plataforma, razón por que una vez estos se aprueban quedan inmediatamente publicados, sin que transcurra el referido término. </w:t>
      </w:r>
    </w:p>
    <w:p w14:paraId="1CF954C2" w14:textId="77777777" w:rsidR="00EB59DD" w:rsidRDefault="00EB59DD" w:rsidP="00EB59DD">
      <w:pPr>
        <w:spacing w:after="120" w:line="276" w:lineRule="auto"/>
        <w:ind w:firstLine="709"/>
        <w:jc w:val="both"/>
        <w:rPr>
          <w:rFonts w:ascii="Verdana" w:eastAsia="Verdana" w:hAnsi="Verdana" w:cs="Verdana"/>
          <w:lang w:val="es-MX"/>
        </w:rPr>
      </w:pPr>
      <w:r>
        <w:rPr>
          <w:rFonts w:ascii="Verdana" w:eastAsia="Verdana" w:hAnsi="Verdana" w:cs="Verdana"/>
          <w:lang w:val="es-MX"/>
        </w:rPr>
        <w:t xml:space="preserve">De tal manera que, el carácter transaccional de SECOP II, como herramienta que permite no solo publicar sino también gestionar y crear Documentos del Proceso, de manera electrónica al interior de la plataforma, implica que el deber de publicidad respecto de estas actuaciones se cumpla de manera distinta a como sucede en el SECOP I, donde los documentos contractuales se expiden primero en un medio físico que posteriormente es cargado en la plataforma. </w:t>
      </w:r>
    </w:p>
    <w:p w14:paraId="24354B4E" w14:textId="77777777" w:rsidR="00EB59DD" w:rsidRDefault="00EB59DD" w:rsidP="00EB59DD">
      <w:pPr>
        <w:spacing w:after="0" w:line="276" w:lineRule="auto"/>
        <w:ind w:firstLine="709"/>
        <w:jc w:val="both"/>
        <w:rPr>
          <w:rFonts w:ascii="Verdana" w:eastAsia="Calibri" w:hAnsi="Verdana" w:cs="Arial"/>
          <w:lang w:val="es-ES"/>
        </w:rPr>
      </w:pPr>
      <w:r w:rsidRPr="006E0AF3">
        <w:rPr>
          <w:rFonts w:ascii="Verdana" w:eastAsia="Calibri" w:hAnsi="Verdana" w:cs="Arial"/>
        </w:rPr>
        <w:t>Ahora bien, respecto de la obligatoriedad que recae sobre las sociedades de economía mixta, resulta indispensable efectuar un análisis específico que permita delimitar con claridad el alcance de sus deberes de transparencia y las posibles modulaciones derivadas del régimen jurídico mixto que las caracteriza. Solo a partir de esta revisión es posible establecer si, pese a su composición mayoritariamente privada, dichas entidades se encuentran plenamente sujetas a las exigencias de publicidad previstas en el ordenamiento.</w:t>
      </w:r>
    </w:p>
    <w:p w14:paraId="2B96A4FC" w14:textId="77777777" w:rsidR="00EB59DD" w:rsidRPr="000908B6" w:rsidRDefault="00EB59DD" w:rsidP="00EB59DD">
      <w:pPr>
        <w:spacing w:after="0" w:line="276" w:lineRule="auto"/>
        <w:ind w:firstLine="709"/>
        <w:jc w:val="both"/>
        <w:rPr>
          <w:rFonts w:ascii="Verdana" w:eastAsia="Calibri" w:hAnsi="Verdana" w:cs="Arial"/>
          <w:lang w:val="es-ES"/>
        </w:rPr>
      </w:pPr>
      <w:r w:rsidRPr="0094448B">
        <w:rPr>
          <w:rFonts w:ascii="Verdana" w:eastAsia="Arial MT" w:hAnsi="Verdana" w:cs="Arial MT"/>
          <w:lang w:val="es-ES"/>
        </w:rPr>
        <w:t>En nuestro ordenamiento jurídico el artículo 97 de la</w:t>
      </w:r>
      <w:r w:rsidRPr="0094448B">
        <w:rPr>
          <w:rFonts w:ascii="Verdana" w:eastAsia="Arial MT" w:hAnsi="Verdana" w:cs="Arial MT"/>
          <w:spacing w:val="-1"/>
          <w:lang w:val="es-ES"/>
        </w:rPr>
        <w:t xml:space="preserve"> </w:t>
      </w:r>
      <w:r w:rsidRPr="0094448B">
        <w:rPr>
          <w:rFonts w:ascii="Verdana" w:eastAsia="Arial MT" w:hAnsi="Verdana" w:cs="Arial MT"/>
          <w:lang w:val="es-ES"/>
        </w:rPr>
        <w:t>Ley 489 de 1998 define a las sociedades</w:t>
      </w:r>
      <w:r w:rsidRPr="0094448B">
        <w:rPr>
          <w:rFonts w:ascii="Verdana" w:eastAsia="Arial MT" w:hAnsi="Verdana" w:cs="Arial MT"/>
          <w:spacing w:val="40"/>
          <w:lang w:val="es-ES"/>
        </w:rPr>
        <w:t xml:space="preserve"> </w:t>
      </w:r>
      <w:r w:rsidRPr="0094448B">
        <w:rPr>
          <w:rFonts w:ascii="Verdana" w:eastAsia="Arial MT" w:hAnsi="Verdana" w:cs="Arial MT"/>
          <w:lang w:val="es-ES"/>
        </w:rPr>
        <w:t>de</w:t>
      </w:r>
      <w:r w:rsidRPr="0094448B">
        <w:rPr>
          <w:rFonts w:ascii="Verdana" w:eastAsia="Arial MT" w:hAnsi="Verdana" w:cs="Arial MT"/>
          <w:spacing w:val="40"/>
          <w:lang w:val="es-ES"/>
        </w:rPr>
        <w:t xml:space="preserve"> </w:t>
      </w:r>
      <w:r w:rsidRPr="0094448B">
        <w:rPr>
          <w:rFonts w:ascii="Verdana" w:eastAsia="Arial MT" w:hAnsi="Verdana" w:cs="Arial MT"/>
          <w:lang w:val="es-ES"/>
        </w:rPr>
        <w:t>economía</w:t>
      </w:r>
      <w:r w:rsidRPr="0094448B">
        <w:rPr>
          <w:rFonts w:ascii="Verdana" w:eastAsia="Arial MT" w:hAnsi="Verdana" w:cs="Arial MT"/>
          <w:spacing w:val="40"/>
          <w:lang w:val="es-ES"/>
        </w:rPr>
        <w:t xml:space="preserve"> </w:t>
      </w:r>
      <w:r w:rsidRPr="0094448B">
        <w:rPr>
          <w:rFonts w:ascii="Verdana" w:eastAsia="Arial MT" w:hAnsi="Verdana" w:cs="Arial MT"/>
          <w:lang w:val="es-ES"/>
        </w:rPr>
        <w:t>mixta</w:t>
      </w:r>
      <w:r w:rsidRPr="0094448B">
        <w:rPr>
          <w:rFonts w:ascii="Verdana" w:eastAsia="Arial MT" w:hAnsi="Verdana" w:cs="Arial MT"/>
          <w:spacing w:val="40"/>
          <w:lang w:val="es-ES"/>
        </w:rPr>
        <w:t xml:space="preserve"> </w:t>
      </w:r>
      <w:r w:rsidRPr="0094448B">
        <w:rPr>
          <w:rFonts w:ascii="Verdana" w:eastAsia="Arial MT" w:hAnsi="Verdana" w:cs="Arial MT"/>
          <w:lang w:val="es-ES"/>
        </w:rPr>
        <w:t>como</w:t>
      </w:r>
      <w:r w:rsidRPr="0094448B">
        <w:rPr>
          <w:rFonts w:ascii="Verdana" w:eastAsia="Arial MT" w:hAnsi="Verdana" w:cs="Arial MT"/>
          <w:spacing w:val="40"/>
          <w:lang w:val="es-ES"/>
        </w:rPr>
        <w:t xml:space="preserve"> </w:t>
      </w:r>
      <w:r w:rsidRPr="0094448B">
        <w:rPr>
          <w:rFonts w:ascii="Verdana" w:eastAsia="Arial MT" w:hAnsi="Verdana" w:cs="Arial MT"/>
          <w:lang w:val="es-ES"/>
        </w:rPr>
        <w:t>organismos</w:t>
      </w:r>
      <w:r w:rsidRPr="0094448B">
        <w:rPr>
          <w:rFonts w:ascii="Verdana" w:eastAsia="Arial MT" w:hAnsi="Verdana" w:cs="Arial MT"/>
          <w:spacing w:val="40"/>
          <w:lang w:val="es-ES"/>
        </w:rPr>
        <w:t xml:space="preserve"> </w:t>
      </w:r>
      <w:r w:rsidRPr="0094448B">
        <w:rPr>
          <w:rFonts w:ascii="Verdana" w:eastAsia="Arial MT" w:hAnsi="Verdana" w:cs="Arial MT"/>
          <w:lang w:val="es-ES"/>
        </w:rPr>
        <w:t>autorizados</w:t>
      </w:r>
      <w:r w:rsidRPr="0094448B">
        <w:rPr>
          <w:rFonts w:ascii="Verdana" w:eastAsia="Arial MT" w:hAnsi="Verdana" w:cs="Arial MT"/>
          <w:spacing w:val="40"/>
          <w:lang w:val="es-ES"/>
        </w:rPr>
        <w:t xml:space="preserve"> </w:t>
      </w:r>
      <w:r w:rsidRPr="0094448B">
        <w:rPr>
          <w:rFonts w:ascii="Verdana" w:eastAsia="Arial MT" w:hAnsi="Verdana" w:cs="Arial MT"/>
          <w:lang w:val="es-ES"/>
        </w:rPr>
        <w:t>por</w:t>
      </w:r>
      <w:r w:rsidRPr="0094448B">
        <w:rPr>
          <w:rFonts w:ascii="Verdana" w:eastAsia="Arial MT" w:hAnsi="Verdana" w:cs="Arial MT"/>
          <w:spacing w:val="40"/>
          <w:lang w:val="es-ES"/>
        </w:rPr>
        <w:t xml:space="preserve"> </w:t>
      </w:r>
      <w:r w:rsidRPr="0094448B">
        <w:rPr>
          <w:rFonts w:ascii="Verdana" w:eastAsia="Arial MT" w:hAnsi="Verdana" w:cs="Arial MT"/>
          <w:lang w:val="es-ES"/>
        </w:rPr>
        <w:t>la</w:t>
      </w:r>
      <w:r w:rsidRPr="0094448B">
        <w:rPr>
          <w:rFonts w:ascii="Verdana" w:eastAsia="Arial MT" w:hAnsi="Verdana" w:cs="Arial MT"/>
          <w:spacing w:val="40"/>
          <w:lang w:val="es-ES"/>
        </w:rPr>
        <w:t xml:space="preserve"> </w:t>
      </w:r>
      <w:r w:rsidRPr="0094448B">
        <w:rPr>
          <w:rFonts w:ascii="Verdana" w:eastAsia="Arial MT" w:hAnsi="Verdana" w:cs="Arial MT"/>
          <w:lang w:val="es-ES"/>
        </w:rPr>
        <w:t>ley,</w:t>
      </w:r>
      <w:r w:rsidRPr="0094448B">
        <w:rPr>
          <w:rFonts w:ascii="Verdana" w:eastAsia="Arial MT" w:hAnsi="Verdana" w:cs="Arial MT"/>
          <w:spacing w:val="40"/>
          <w:lang w:val="es-ES"/>
        </w:rPr>
        <w:t xml:space="preserve"> </w:t>
      </w:r>
      <w:r w:rsidRPr="0094448B">
        <w:rPr>
          <w:rFonts w:ascii="Verdana" w:eastAsia="Arial MT" w:hAnsi="Verdana" w:cs="Arial MT"/>
          <w:lang w:val="es-ES"/>
        </w:rPr>
        <w:t>constituidos como sociedades comerciales, con aportes de capital público y privado, que desarrollan actividades de naturaleza industrial o comercial conforme a las reglas del derecho</w:t>
      </w:r>
      <w:r w:rsidRPr="0094448B">
        <w:rPr>
          <w:rFonts w:ascii="Verdana" w:eastAsia="Arial MT" w:hAnsi="Verdana" w:cs="Arial MT"/>
          <w:spacing w:val="40"/>
          <w:lang w:val="es-ES"/>
        </w:rPr>
        <w:t xml:space="preserve"> </w:t>
      </w:r>
      <w:r w:rsidRPr="0094448B">
        <w:rPr>
          <w:rFonts w:ascii="Verdana" w:eastAsia="Arial MT" w:hAnsi="Verdana" w:cs="Arial MT"/>
          <w:lang w:val="es-ES"/>
        </w:rPr>
        <w:t>privado, salvo las excepciones que consagra la ley.</w:t>
      </w:r>
    </w:p>
    <w:p w14:paraId="4D44337C" w14:textId="77777777" w:rsidR="00EB59DD" w:rsidRPr="0094448B" w:rsidRDefault="00EB59DD" w:rsidP="00EB59DD">
      <w:pPr>
        <w:widowControl w:val="0"/>
        <w:autoSpaceDE w:val="0"/>
        <w:autoSpaceDN w:val="0"/>
        <w:spacing w:before="122" w:after="120" w:line="276" w:lineRule="auto"/>
        <w:ind w:firstLine="708"/>
        <w:jc w:val="both"/>
        <w:rPr>
          <w:rFonts w:ascii="Verdana" w:eastAsia="Arial MT" w:hAnsi="Verdana" w:cs="Arial MT"/>
          <w:lang w:val="es-ES"/>
        </w:rPr>
      </w:pPr>
      <w:r w:rsidRPr="0094448B">
        <w:rPr>
          <w:rFonts w:ascii="Verdana" w:eastAsia="Arial MT" w:hAnsi="Verdana" w:cs="Arial MT"/>
          <w:lang w:val="es-ES"/>
        </w:rPr>
        <w:t>En este sentido, la misma Ley, en los artículos 38 y 68, clasifica a las sociedades de economía mixta como entidades descentralizadas por servicios, con personería jurídica, autonomía administrativa y patrimonio propio</w:t>
      </w:r>
      <w:r w:rsidRPr="0094448B">
        <w:rPr>
          <w:rFonts w:ascii="Verdana" w:eastAsia="Arial MT" w:hAnsi="Verdana" w:cs="Arial MT"/>
          <w:vertAlign w:val="superscript"/>
          <w:lang w:val="es-ES"/>
        </w:rPr>
        <w:footnoteReference w:id="6"/>
      </w:r>
      <w:r w:rsidRPr="0094448B">
        <w:rPr>
          <w:rFonts w:ascii="Verdana" w:eastAsia="Arial MT" w:hAnsi="Verdana" w:cs="Arial MT"/>
          <w:lang w:val="es-ES"/>
        </w:rPr>
        <w:t>, que pueden ser del orden</w:t>
      </w:r>
      <w:r w:rsidRPr="0094448B">
        <w:rPr>
          <w:rFonts w:ascii="Verdana" w:eastAsia="Arial MT" w:hAnsi="Verdana" w:cs="Arial MT"/>
          <w:spacing w:val="40"/>
          <w:lang w:val="es-ES"/>
        </w:rPr>
        <w:t xml:space="preserve"> </w:t>
      </w:r>
      <w:r w:rsidRPr="0094448B">
        <w:rPr>
          <w:rFonts w:ascii="Verdana" w:eastAsia="Arial MT" w:hAnsi="Verdana" w:cs="Arial MT"/>
          <w:lang w:val="es-ES"/>
        </w:rPr>
        <w:t>nacional, departamental o municipal, según su órgano de creación</w:t>
      </w:r>
      <w:r w:rsidRPr="0094448B">
        <w:rPr>
          <w:rFonts w:ascii="Verdana" w:eastAsia="Arial MT" w:hAnsi="Verdana" w:cs="Arial MT"/>
          <w:vertAlign w:val="superscript"/>
          <w:lang w:val="es-ES"/>
        </w:rPr>
        <w:footnoteReference w:id="7"/>
      </w:r>
      <w:r w:rsidRPr="0094448B">
        <w:rPr>
          <w:rFonts w:ascii="Verdana" w:eastAsia="Arial MT" w:hAnsi="Verdana" w:cs="Arial MT"/>
          <w:lang w:val="es-ES"/>
        </w:rPr>
        <w:t xml:space="preserve">. Al respecto, la Corte Constitucional, en Sentencias C-736 del 19 de septiembre de 2007, C-118 del 14 de noviembre de 2018 y C-306 del 10 de julio de 2019, ha considerado que las sociedades estudiadas, desde una perspectiva constitucional, se caracterizan por los siguientes rasgos: i) pertenecen a la rama ejecutiva del poder público, como manifestación de la descentralización por servicios. Así mismo, </w:t>
      </w:r>
      <w:proofErr w:type="spellStart"/>
      <w:r w:rsidRPr="0094448B">
        <w:rPr>
          <w:rFonts w:ascii="Verdana" w:eastAsia="Arial MT" w:hAnsi="Verdana" w:cs="Arial MT"/>
          <w:lang w:val="es-ES"/>
        </w:rPr>
        <w:t>ii</w:t>
      </w:r>
      <w:proofErr w:type="spellEnd"/>
      <w:r w:rsidRPr="0094448B">
        <w:rPr>
          <w:rFonts w:ascii="Verdana" w:eastAsia="Arial MT" w:hAnsi="Verdana" w:cs="Arial MT"/>
          <w:lang w:val="es-ES"/>
        </w:rPr>
        <w:t>) están sujetas al control</w:t>
      </w:r>
      <w:r w:rsidRPr="0094448B">
        <w:rPr>
          <w:rFonts w:ascii="Verdana" w:eastAsia="Arial MT" w:hAnsi="Verdana" w:cs="Arial MT"/>
          <w:spacing w:val="-1"/>
          <w:lang w:val="es-ES"/>
        </w:rPr>
        <w:t xml:space="preserve"> </w:t>
      </w:r>
      <w:r w:rsidRPr="0094448B">
        <w:rPr>
          <w:rFonts w:ascii="Verdana" w:eastAsia="Arial MT" w:hAnsi="Verdana" w:cs="Arial MT"/>
          <w:lang w:val="es-ES"/>
        </w:rPr>
        <w:t xml:space="preserve">fiscal, financiero, de gestión y de resultados en cabeza de la Contraloría General de la República. Por otra parte, </w:t>
      </w:r>
      <w:proofErr w:type="spellStart"/>
      <w:r w:rsidRPr="0094448B">
        <w:rPr>
          <w:rFonts w:ascii="Verdana" w:eastAsia="Arial MT" w:hAnsi="Verdana" w:cs="Arial MT"/>
          <w:lang w:val="es-ES"/>
        </w:rPr>
        <w:t>iii</w:t>
      </w:r>
      <w:proofErr w:type="spellEnd"/>
      <w:r w:rsidRPr="0094448B">
        <w:rPr>
          <w:rFonts w:ascii="Verdana" w:eastAsia="Arial MT" w:hAnsi="Verdana" w:cs="Arial MT"/>
          <w:lang w:val="es-ES"/>
        </w:rPr>
        <w:t xml:space="preserve">) se someten al control político, que ejerce directamente el Congreso de la República. Además, </w:t>
      </w:r>
      <w:proofErr w:type="spellStart"/>
      <w:r w:rsidRPr="0094448B">
        <w:rPr>
          <w:rFonts w:ascii="Verdana" w:eastAsia="Arial MT" w:hAnsi="Verdana" w:cs="Arial MT"/>
          <w:lang w:val="es-ES"/>
        </w:rPr>
        <w:t>iv</w:t>
      </w:r>
      <w:proofErr w:type="spellEnd"/>
      <w:r w:rsidRPr="0094448B">
        <w:rPr>
          <w:rFonts w:ascii="Verdana" w:eastAsia="Arial MT" w:hAnsi="Verdana" w:cs="Arial MT"/>
          <w:lang w:val="es-ES"/>
        </w:rPr>
        <w:t>) en el caso de las sociedades de economía mixta del orden nacional, le corresponde</w:t>
      </w:r>
      <w:r w:rsidRPr="0094448B">
        <w:rPr>
          <w:rFonts w:ascii="Verdana" w:eastAsia="Arial MT" w:hAnsi="Verdana" w:cs="Arial MT"/>
          <w:spacing w:val="-2"/>
          <w:lang w:val="es-ES"/>
        </w:rPr>
        <w:t xml:space="preserve"> </w:t>
      </w:r>
      <w:r w:rsidRPr="0094448B">
        <w:rPr>
          <w:rFonts w:ascii="Verdana" w:eastAsia="Arial MT" w:hAnsi="Verdana" w:cs="Arial MT"/>
          <w:lang w:val="es-ES"/>
        </w:rPr>
        <w:t>al Congreso</w:t>
      </w:r>
      <w:r w:rsidRPr="0094448B">
        <w:rPr>
          <w:rFonts w:ascii="Verdana" w:eastAsia="Arial MT" w:hAnsi="Verdana" w:cs="Arial MT"/>
          <w:spacing w:val="-2"/>
          <w:lang w:val="es-ES"/>
        </w:rPr>
        <w:t xml:space="preserve"> </w:t>
      </w:r>
      <w:r w:rsidRPr="0094448B">
        <w:rPr>
          <w:rFonts w:ascii="Verdana" w:eastAsia="Arial MT" w:hAnsi="Verdana" w:cs="Arial MT"/>
          <w:lang w:val="es-ES"/>
        </w:rPr>
        <w:t>de</w:t>
      </w:r>
      <w:r w:rsidRPr="0094448B">
        <w:rPr>
          <w:rFonts w:ascii="Verdana" w:eastAsia="Arial MT" w:hAnsi="Verdana" w:cs="Arial MT"/>
          <w:spacing w:val="-2"/>
          <w:lang w:val="es-ES"/>
        </w:rPr>
        <w:t xml:space="preserve"> </w:t>
      </w:r>
      <w:r w:rsidRPr="0094448B">
        <w:rPr>
          <w:rFonts w:ascii="Verdana" w:eastAsia="Arial MT" w:hAnsi="Verdana" w:cs="Arial MT"/>
          <w:lang w:val="es-ES"/>
        </w:rPr>
        <w:t>la</w:t>
      </w:r>
      <w:r w:rsidRPr="0094448B">
        <w:rPr>
          <w:rFonts w:ascii="Verdana" w:eastAsia="Arial MT" w:hAnsi="Verdana" w:cs="Arial MT"/>
          <w:spacing w:val="-2"/>
          <w:lang w:val="es-ES"/>
        </w:rPr>
        <w:t xml:space="preserve"> </w:t>
      </w:r>
      <w:r w:rsidRPr="0094448B">
        <w:rPr>
          <w:rFonts w:ascii="Verdana" w:eastAsia="Arial MT" w:hAnsi="Verdana" w:cs="Arial MT"/>
          <w:lang w:val="es-ES"/>
        </w:rPr>
        <w:t>República su creación</w:t>
      </w:r>
      <w:r w:rsidRPr="0094448B">
        <w:rPr>
          <w:rFonts w:ascii="Verdana" w:eastAsia="Arial MT" w:hAnsi="Verdana" w:cs="Arial MT"/>
          <w:spacing w:val="-2"/>
          <w:lang w:val="es-ES"/>
        </w:rPr>
        <w:t xml:space="preserve"> </w:t>
      </w:r>
      <w:r w:rsidRPr="0094448B">
        <w:rPr>
          <w:rFonts w:ascii="Verdana" w:eastAsia="Arial MT" w:hAnsi="Verdana" w:cs="Arial MT"/>
          <w:lang w:val="es-ES"/>
        </w:rPr>
        <w:t>o</w:t>
      </w:r>
      <w:r w:rsidRPr="0094448B">
        <w:rPr>
          <w:rFonts w:ascii="Verdana" w:eastAsia="Arial MT" w:hAnsi="Verdana" w:cs="Arial MT"/>
          <w:spacing w:val="-2"/>
          <w:lang w:val="es-ES"/>
        </w:rPr>
        <w:t xml:space="preserve"> </w:t>
      </w:r>
      <w:r w:rsidRPr="0094448B">
        <w:rPr>
          <w:rFonts w:ascii="Verdana" w:eastAsia="Arial MT" w:hAnsi="Verdana" w:cs="Arial MT"/>
          <w:lang w:val="es-ES"/>
        </w:rPr>
        <w:t>autorización</w:t>
      </w:r>
      <w:r w:rsidRPr="0094448B">
        <w:rPr>
          <w:rFonts w:ascii="Verdana" w:eastAsia="Arial MT" w:hAnsi="Verdana" w:cs="Arial MT"/>
          <w:spacing w:val="-2"/>
          <w:lang w:val="es-ES"/>
        </w:rPr>
        <w:t xml:space="preserve"> </w:t>
      </w:r>
      <w:r w:rsidRPr="0094448B">
        <w:rPr>
          <w:rFonts w:ascii="Verdana" w:eastAsia="Arial MT" w:hAnsi="Verdana" w:cs="Arial MT"/>
          <w:lang w:val="es-ES"/>
        </w:rPr>
        <w:t>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w:t>
      </w:r>
      <w:r w:rsidRPr="0094448B">
        <w:rPr>
          <w:rFonts w:ascii="Verdana" w:eastAsia="Arial MT" w:hAnsi="Verdana" w:cs="Arial MT"/>
          <w:spacing w:val="-1"/>
          <w:lang w:val="es-ES"/>
        </w:rPr>
        <w:t xml:space="preserve"> </w:t>
      </w:r>
      <w:r w:rsidRPr="0094448B">
        <w:rPr>
          <w:rFonts w:ascii="Verdana" w:eastAsia="Arial MT" w:hAnsi="Verdana" w:cs="Arial MT"/>
          <w:lang w:val="es-ES"/>
        </w:rPr>
        <w:t xml:space="preserve">3, 292 y 323 de la Constitución Política. A lo anterior debe agregarse que, </w:t>
      </w:r>
      <w:proofErr w:type="spellStart"/>
      <w:r w:rsidRPr="0094448B">
        <w:rPr>
          <w:rFonts w:ascii="Verdana" w:eastAsia="Arial MT" w:hAnsi="Verdana" w:cs="Arial MT"/>
          <w:lang w:val="es-ES"/>
        </w:rPr>
        <w:t>vii</w:t>
      </w:r>
      <w:proofErr w:type="spellEnd"/>
      <w:r w:rsidRPr="0094448B">
        <w:rPr>
          <w:rFonts w:ascii="Verdana" w:eastAsia="Arial MT" w:hAnsi="Verdana" w:cs="Arial MT"/>
          <w:lang w:val="es-ES"/>
        </w:rPr>
        <w:t xml:space="preserve">) en materia presupuestal, las sociedades de economía mixta quedan sujetas a las reglas de la ley orgánica del presupuesto. De otro lado, </w:t>
      </w:r>
      <w:proofErr w:type="spellStart"/>
      <w:r w:rsidRPr="0094448B">
        <w:rPr>
          <w:rFonts w:ascii="Verdana" w:eastAsia="Arial MT" w:hAnsi="Verdana" w:cs="Arial MT"/>
          <w:lang w:val="es-ES"/>
        </w:rPr>
        <w:t>viii</w:t>
      </w:r>
      <w:proofErr w:type="spellEnd"/>
      <w:r w:rsidRPr="0094448B">
        <w:rPr>
          <w:rFonts w:ascii="Verdana" w:eastAsia="Arial MT" w:hAnsi="Verdana" w:cs="Arial MT"/>
          <w:lang w:val="es-ES"/>
        </w:rPr>
        <w:t xml:space="preserve">) en materia contable, quedan vinculadas a las reglas de contabilidad oficial. Además, </w:t>
      </w:r>
      <w:proofErr w:type="spellStart"/>
      <w:r w:rsidRPr="0094448B">
        <w:rPr>
          <w:rFonts w:ascii="Verdana" w:eastAsia="Arial MT" w:hAnsi="Verdana" w:cs="Arial MT"/>
          <w:lang w:val="es-ES"/>
        </w:rPr>
        <w:t>ix</w:t>
      </w:r>
      <w:proofErr w:type="spellEnd"/>
      <w:r w:rsidRPr="0094448B">
        <w:rPr>
          <w:rFonts w:ascii="Verdana" w:eastAsia="Arial MT" w:hAnsi="Verdana" w:cs="Arial MT"/>
          <w:lang w:val="es-ES"/>
        </w:rPr>
        <w:t>) se rigen por el derecho privado, en virtud de la naturaleza de las actividades que desarrollan.</w:t>
      </w:r>
    </w:p>
    <w:p w14:paraId="4C77F104" w14:textId="77777777" w:rsidR="00EB59DD" w:rsidRPr="0094448B" w:rsidRDefault="00EB59DD" w:rsidP="00EB59DD">
      <w:pPr>
        <w:widowControl w:val="0"/>
        <w:autoSpaceDE w:val="0"/>
        <w:autoSpaceDN w:val="0"/>
        <w:spacing w:before="120" w:after="120" w:line="276" w:lineRule="auto"/>
        <w:ind w:firstLine="708"/>
        <w:jc w:val="both"/>
        <w:rPr>
          <w:rFonts w:ascii="Verdana" w:eastAsia="Arial MT" w:hAnsi="Verdana" w:cs="Arial MT"/>
          <w:lang w:val="es-ES"/>
        </w:rPr>
      </w:pPr>
      <w:r w:rsidRPr="0094448B">
        <w:rPr>
          <w:rFonts w:ascii="Verdana" w:eastAsia="Arial MT" w:hAnsi="Verdana" w:cs="Arial MT"/>
          <w:lang w:val="es-ES"/>
        </w:rPr>
        <w:t>Sin embargo, la Corte Constitucional en Sentencia C-529 del 12 de julio de 2006, enfatizó en que, a pesar del sometimiento al régimen jurídico de derecho privado para el desarrollo</w:t>
      </w:r>
      <w:r w:rsidRPr="0094448B">
        <w:rPr>
          <w:rFonts w:ascii="Verdana" w:eastAsia="Arial MT" w:hAnsi="Verdana" w:cs="Arial MT"/>
          <w:spacing w:val="19"/>
          <w:lang w:val="es-ES"/>
        </w:rPr>
        <w:t xml:space="preserve"> </w:t>
      </w:r>
      <w:r w:rsidRPr="0094448B">
        <w:rPr>
          <w:rFonts w:ascii="Verdana" w:eastAsia="Arial MT" w:hAnsi="Verdana" w:cs="Arial MT"/>
          <w:lang w:val="es-ES"/>
        </w:rPr>
        <w:t>de</w:t>
      </w:r>
      <w:r w:rsidRPr="0094448B">
        <w:rPr>
          <w:rFonts w:ascii="Verdana" w:eastAsia="Arial MT" w:hAnsi="Verdana" w:cs="Arial MT"/>
          <w:spacing w:val="19"/>
          <w:lang w:val="es-ES"/>
        </w:rPr>
        <w:t xml:space="preserve"> </w:t>
      </w:r>
      <w:r w:rsidRPr="0094448B">
        <w:rPr>
          <w:rFonts w:ascii="Verdana" w:eastAsia="Arial MT" w:hAnsi="Verdana" w:cs="Arial MT"/>
          <w:lang w:val="es-ES"/>
        </w:rPr>
        <w:t>sus actividades,</w:t>
      </w:r>
      <w:r w:rsidRPr="0094448B">
        <w:rPr>
          <w:rFonts w:ascii="Verdana" w:eastAsia="Arial MT" w:hAnsi="Verdana" w:cs="Arial MT"/>
          <w:spacing w:val="18"/>
          <w:lang w:val="es-ES"/>
        </w:rPr>
        <w:t xml:space="preserve"> </w:t>
      </w:r>
      <w:r w:rsidRPr="0094448B">
        <w:rPr>
          <w:rFonts w:ascii="Verdana" w:eastAsia="Arial MT" w:hAnsi="Verdana" w:cs="Arial MT"/>
          <w:lang w:val="es-ES"/>
        </w:rPr>
        <w:t>las</w:t>
      </w:r>
      <w:r w:rsidRPr="0094448B">
        <w:rPr>
          <w:rFonts w:ascii="Verdana" w:eastAsia="Arial MT" w:hAnsi="Verdana" w:cs="Arial MT"/>
          <w:spacing w:val="17"/>
          <w:lang w:val="es-ES"/>
        </w:rPr>
        <w:t xml:space="preserve"> </w:t>
      </w:r>
      <w:r w:rsidRPr="0094448B">
        <w:rPr>
          <w:rFonts w:ascii="Verdana" w:eastAsia="Arial MT" w:hAnsi="Verdana" w:cs="Arial MT"/>
          <w:lang w:val="es-ES"/>
        </w:rPr>
        <w:t>sociedades de economía</w:t>
      </w:r>
      <w:r w:rsidRPr="0094448B">
        <w:rPr>
          <w:rFonts w:ascii="Verdana" w:eastAsia="Arial MT" w:hAnsi="Verdana" w:cs="Arial MT"/>
          <w:spacing w:val="19"/>
          <w:lang w:val="es-ES"/>
        </w:rPr>
        <w:t xml:space="preserve"> </w:t>
      </w:r>
      <w:r w:rsidRPr="0094448B">
        <w:rPr>
          <w:rFonts w:ascii="Verdana" w:eastAsia="Arial MT" w:hAnsi="Verdana" w:cs="Arial MT"/>
          <w:lang w:val="es-ES"/>
        </w:rPr>
        <w:t>mixta</w:t>
      </w:r>
      <w:r w:rsidRPr="0094448B">
        <w:rPr>
          <w:rFonts w:ascii="Verdana" w:eastAsia="Arial MT" w:hAnsi="Verdana" w:cs="Arial MT"/>
          <w:spacing w:val="19"/>
          <w:lang w:val="es-ES"/>
        </w:rPr>
        <w:t xml:space="preserve"> </w:t>
      </w:r>
      <w:r w:rsidRPr="0094448B">
        <w:rPr>
          <w:rFonts w:ascii="Verdana" w:eastAsia="Arial MT" w:hAnsi="Verdana" w:cs="Arial MT"/>
          <w:lang w:val="es-ES"/>
        </w:rPr>
        <w:t>no</w:t>
      </w:r>
      <w:r w:rsidRPr="0094448B">
        <w:rPr>
          <w:rFonts w:ascii="Verdana" w:eastAsia="Arial MT" w:hAnsi="Verdana" w:cs="Arial MT"/>
          <w:spacing w:val="19"/>
          <w:lang w:val="es-ES"/>
        </w:rPr>
        <w:t xml:space="preserve"> </w:t>
      </w:r>
      <w:r w:rsidRPr="0094448B">
        <w:rPr>
          <w:rFonts w:ascii="Verdana" w:eastAsia="Arial MT" w:hAnsi="Verdana" w:cs="Arial MT"/>
          <w:lang w:val="es-ES"/>
        </w:rPr>
        <w:t>pierden</w:t>
      </w:r>
      <w:r w:rsidRPr="0094448B">
        <w:rPr>
          <w:rFonts w:ascii="Verdana" w:eastAsia="Arial MT" w:hAnsi="Verdana" w:cs="Arial MT"/>
          <w:spacing w:val="19"/>
          <w:lang w:val="es-ES"/>
        </w:rPr>
        <w:t xml:space="preserve"> </w:t>
      </w:r>
      <w:r w:rsidRPr="0094448B">
        <w:rPr>
          <w:rFonts w:ascii="Verdana" w:eastAsia="Arial MT" w:hAnsi="Verdana" w:cs="Arial MT"/>
          <w:lang w:val="es-ES"/>
        </w:rPr>
        <w:t>su</w:t>
      </w:r>
      <w:r w:rsidRPr="0094448B">
        <w:rPr>
          <w:rFonts w:ascii="Verdana" w:eastAsia="Arial MT" w:hAnsi="Verdana" w:cs="Arial MT"/>
          <w:spacing w:val="19"/>
          <w:lang w:val="es-ES"/>
        </w:rPr>
        <w:t xml:space="preserve"> </w:t>
      </w:r>
      <w:r w:rsidRPr="0094448B">
        <w:rPr>
          <w:rFonts w:ascii="Verdana" w:eastAsia="Arial MT" w:hAnsi="Verdana" w:cs="Arial MT"/>
          <w:lang w:val="es-ES"/>
        </w:rPr>
        <w:t>carácter de expresión organizacional de la actividad estatal</w:t>
      </w:r>
      <w:r w:rsidRPr="0094448B">
        <w:rPr>
          <w:rFonts w:ascii="Verdana" w:eastAsia="Arial MT" w:hAnsi="Verdana" w:cs="Arial MT"/>
          <w:vertAlign w:val="superscript"/>
          <w:lang w:val="es-ES"/>
        </w:rPr>
        <w:footnoteReference w:id="8"/>
      </w:r>
      <w:r w:rsidRPr="0094448B">
        <w:rPr>
          <w:rFonts w:ascii="Verdana" w:eastAsia="Arial MT" w:hAnsi="Verdana" w:cs="Arial MT"/>
          <w:lang w:val="es-ES"/>
        </w:rPr>
        <w:t>, más precisamente de la función administrativa</w:t>
      </w:r>
      <w:r w:rsidRPr="0094448B">
        <w:rPr>
          <w:rFonts w:ascii="Verdana" w:eastAsia="Arial MT" w:hAnsi="Verdana" w:cs="Arial MT"/>
          <w:vertAlign w:val="superscript"/>
          <w:lang w:val="es-ES"/>
        </w:rPr>
        <w:footnoteReference w:id="9"/>
      </w:r>
      <w:r w:rsidRPr="0094448B">
        <w:rPr>
          <w:rFonts w:ascii="Verdana" w:eastAsia="Arial MT" w:hAnsi="Verdana" w:cs="Arial MT"/>
          <w:lang w:val="es-ES"/>
        </w:rPr>
        <w:t xml:space="preserve">, en virtud del aporte público en la constitución del capital social y la consiguiente pertenencia a la administración pública, en la condición de entidades </w:t>
      </w:r>
      <w:r w:rsidRPr="0094448B">
        <w:rPr>
          <w:rFonts w:ascii="Verdana" w:eastAsia="Arial MT" w:hAnsi="Verdana" w:cs="Arial MT"/>
          <w:spacing w:val="-2"/>
          <w:lang w:val="es-ES"/>
        </w:rPr>
        <w:t>descentralizadas.</w:t>
      </w:r>
    </w:p>
    <w:p w14:paraId="3065FF8B" w14:textId="77777777" w:rsidR="00EB59DD" w:rsidRPr="0094448B" w:rsidRDefault="00EB59DD" w:rsidP="00EB59DD">
      <w:pPr>
        <w:widowControl w:val="0"/>
        <w:autoSpaceDE w:val="0"/>
        <w:autoSpaceDN w:val="0"/>
        <w:spacing w:before="124" w:after="120" w:line="276" w:lineRule="auto"/>
        <w:ind w:firstLine="708"/>
        <w:jc w:val="both"/>
        <w:rPr>
          <w:rFonts w:ascii="Verdana" w:eastAsia="Arial MT" w:hAnsi="Verdana" w:cs="Arial MT"/>
          <w:lang w:val="es-ES"/>
        </w:rPr>
      </w:pPr>
      <w:r w:rsidRPr="0094448B">
        <w:rPr>
          <w:rFonts w:ascii="Verdana" w:eastAsia="Arial MT" w:hAnsi="Verdana" w:cs="Arial MT"/>
          <w:lang w:val="es-ES"/>
        </w:rPr>
        <w:t>En este orden de ideas, resulta importante resaltar que, en nuestro ordenamiento jurídico, las sociedades de economía mixta están sometidas a un régimen jurídico compuesto por un conjunto normativo de derecho público y de derecho privado; el</w:t>
      </w:r>
      <w:r w:rsidRPr="0094448B">
        <w:rPr>
          <w:rFonts w:ascii="Verdana" w:eastAsia="Arial MT" w:hAnsi="Verdana" w:cs="Arial MT"/>
          <w:spacing w:val="40"/>
          <w:lang w:val="es-ES"/>
        </w:rPr>
        <w:t xml:space="preserve"> </w:t>
      </w:r>
      <w:r w:rsidRPr="0094448B">
        <w:rPr>
          <w:rFonts w:ascii="Verdana" w:eastAsia="Arial MT" w:hAnsi="Verdana" w:cs="Arial MT"/>
          <w:lang w:val="es-ES"/>
        </w:rPr>
        <w:t>primero, derivado directamente de la Constitución Política y referido a aspectos como su creación, autorización, organización y funcionamiento internos. Y el segundo destinado a regir el desarrollo de la actividad económica de cada sociedad.</w:t>
      </w:r>
    </w:p>
    <w:p w14:paraId="54095036" w14:textId="77777777" w:rsidR="00EB59DD" w:rsidRPr="0094448B" w:rsidRDefault="00EB59DD" w:rsidP="00EB59DD">
      <w:pPr>
        <w:widowControl w:val="0"/>
        <w:autoSpaceDE w:val="0"/>
        <w:autoSpaceDN w:val="0"/>
        <w:spacing w:before="117" w:after="120" w:line="276" w:lineRule="auto"/>
        <w:ind w:firstLine="708"/>
        <w:jc w:val="both"/>
        <w:rPr>
          <w:rFonts w:ascii="Verdana" w:eastAsia="Arial MT" w:hAnsi="Verdana" w:cs="Arial MT"/>
          <w:lang w:val="es-ES"/>
        </w:rPr>
      </w:pPr>
      <w:r w:rsidRPr="0094448B">
        <w:rPr>
          <w:rFonts w:ascii="Verdana" w:eastAsia="Arial MT" w:hAnsi="Verdana" w:cs="Arial MT"/>
          <w:lang w:val="es-ES"/>
        </w:rPr>
        <w:t>Ahora bien, conviene analizar el régimen aplicable para los actos y contratos que celebran estas entidades. Al respecto, el literal a), del artículo 2 de la Ley 80 de 1993, señala que son entidades estatales las sociedades de economía mixta en las que el Estado tenga participación superior al cincuenta por ciento (50%)</w:t>
      </w:r>
      <w:r w:rsidRPr="0094448B">
        <w:rPr>
          <w:rFonts w:ascii="Verdana" w:eastAsia="Arial MT" w:hAnsi="Verdana" w:cs="Arial MT"/>
          <w:vertAlign w:val="superscript"/>
          <w:lang w:val="es-ES"/>
        </w:rPr>
        <w:footnoteReference w:id="10"/>
      </w:r>
      <w:r w:rsidRPr="0094448B">
        <w:rPr>
          <w:rFonts w:ascii="Verdana" w:eastAsia="Arial MT" w:hAnsi="Verdana" w:cs="Arial MT"/>
          <w:lang w:val="es-ES"/>
        </w:rPr>
        <w:t>. Esto significa que el legislador,</w:t>
      </w:r>
      <w:r w:rsidRPr="0094448B">
        <w:rPr>
          <w:rFonts w:ascii="Verdana" w:eastAsia="Arial MT" w:hAnsi="Verdana" w:cs="Arial MT"/>
          <w:spacing w:val="29"/>
          <w:lang w:val="es-ES"/>
        </w:rPr>
        <w:t xml:space="preserve"> </w:t>
      </w:r>
      <w:r w:rsidRPr="0094448B">
        <w:rPr>
          <w:rFonts w:ascii="Verdana" w:eastAsia="Arial MT" w:hAnsi="Verdana" w:cs="Arial MT"/>
          <w:lang w:val="es-ES"/>
        </w:rPr>
        <w:t>en</w:t>
      </w:r>
      <w:r w:rsidRPr="0094448B">
        <w:rPr>
          <w:rFonts w:ascii="Verdana" w:eastAsia="Arial MT" w:hAnsi="Verdana" w:cs="Arial MT"/>
          <w:spacing w:val="30"/>
          <w:lang w:val="es-ES"/>
        </w:rPr>
        <w:t xml:space="preserve"> </w:t>
      </w:r>
      <w:r w:rsidRPr="0094448B">
        <w:rPr>
          <w:rFonts w:ascii="Verdana" w:eastAsia="Arial MT" w:hAnsi="Verdana" w:cs="Arial MT"/>
          <w:lang w:val="es-ES"/>
        </w:rPr>
        <w:t>el</w:t>
      </w:r>
      <w:r w:rsidRPr="0094448B">
        <w:rPr>
          <w:rFonts w:ascii="Verdana" w:eastAsia="Arial MT" w:hAnsi="Verdana" w:cs="Arial MT"/>
          <w:spacing w:val="27"/>
          <w:lang w:val="es-ES"/>
        </w:rPr>
        <w:t xml:space="preserve"> </w:t>
      </w:r>
      <w:r w:rsidRPr="0094448B">
        <w:rPr>
          <w:rFonts w:ascii="Verdana" w:eastAsia="Arial MT" w:hAnsi="Verdana" w:cs="Arial MT"/>
          <w:lang w:val="es-ES"/>
        </w:rPr>
        <w:t>año</w:t>
      </w:r>
      <w:r w:rsidRPr="0094448B">
        <w:rPr>
          <w:rFonts w:ascii="Verdana" w:eastAsia="Arial MT" w:hAnsi="Verdana" w:cs="Arial MT"/>
          <w:spacing w:val="30"/>
          <w:lang w:val="es-ES"/>
        </w:rPr>
        <w:t xml:space="preserve"> </w:t>
      </w:r>
      <w:r w:rsidRPr="0094448B">
        <w:rPr>
          <w:rFonts w:ascii="Verdana" w:eastAsia="Arial MT" w:hAnsi="Verdana" w:cs="Arial MT"/>
          <w:lang w:val="es-ES"/>
        </w:rPr>
        <w:t>1993,</w:t>
      </w:r>
      <w:r w:rsidRPr="0094448B">
        <w:rPr>
          <w:rFonts w:ascii="Verdana" w:eastAsia="Arial MT" w:hAnsi="Verdana" w:cs="Arial MT"/>
          <w:spacing w:val="34"/>
          <w:lang w:val="es-ES"/>
        </w:rPr>
        <w:t xml:space="preserve"> </w:t>
      </w:r>
      <w:r w:rsidRPr="0094448B">
        <w:rPr>
          <w:rFonts w:ascii="Verdana" w:eastAsia="Arial MT" w:hAnsi="Verdana" w:cs="Arial MT"/>
          <w:lang w:val="es-ES"/>
        </w:rPr>
        <w:t>estableció</w:t>
      </w:r>
      <w:r w:rsidRPr="0094448B">
        <w:rPr>
          <w:rFonts w:ascii="Verdana" w:eastAsia="Arial MT" w:hAnsi="Verdana" w:cs="Arial MT"/>
          <w:spacing w:val="30"/>
          <w:lang w:val="es-ES"/>
        </w:rPr>
        <w:t xml:space="preserve"> </w:t>
      </w:r>
      <w:r w:rsidRPr="0094448B">
        <w:rPr>
          <w:rFonts w:ascii="Verdana" w:eastAsia="Arial MT" w:hAnsi="Verdana" w:cs="Arial MT"/>
          <w:lang w:val="es-ES"/>
        </w:rPr>
        <w:t>que</w:t>
      </w:r>
      <w:r w:rsidRPr="0094448B">
        <w:rPr>
          <w:rFonts w:ascii="Verdana" w:eastAsia="Arial MT" w:hAnsi="Verdana" w:cs="Arial MT"/>
          <w:spacing w:val="30"/>
          <w:lang w:val="es-ES"/>
        </w:rPr>
        <w:t xml:space="preserve"> </w:t>
      </w:r>
      <w:r w:rsidRPr="0094448B">
        <w:rPr>
          <w:rFonts w:ascii="Verdana" w:eastAsia="Arial MT" w:hAnsi="Verdana" w:cs="Arial MT"/>
          <w:lang w:val="es-ES"/>
        </w:rPr>
        <w:t>las</w:t>
      </w:r>
      <w:r w:rsidRPr="0094448B">
        <w:rPr>
          <w:rFonts w:ascii="Verdana" w:eastAsia="Arial MT" w:hAnsi="Verdana" w:cs="Arial MT"/>
          <w:spacing w:val="33"/>
          <w:lang w:val="es-ES"/>
        </w:rPr>
        <w:t xml:space="preserve"> </w:t>
      </w:r>
      <w:r w:rsidRPr="0094448B">
        <w:rPr>
          <w:rFonts w:ascii="Verdana" w:eastAsia="Arial MT" w:hAnsi="Verdana" w:cs="Arial MT"/>
          <w:lang w:val="es-ES"/>
        </w:rPr>
        <w:t>sociedades</w:t>
      </w:r>
      <w:r w:rsidRPr="0094448B">
        <w:rPr>
          <w:rFonts w:ascii="Verdana" w:eastAsia="Arial MT" w:hAnsi="Verdana" w:cs="Arial MT"/>
          <w:spacing w:val="28"/>
          <w:lang w:val="es-ES"/>
        </w:rPr>
        <w:t xml:space="preserve"> </w:t>
      </w:r>
      <w:r w:rsidRPr="0094448B">
        <w:rPr>
          <w:rFonts w:ascii="Verdana" w:eastAsia="Arial MT" w:hAnsi="Verdana" w:cs="Arial MT"/>
          <w:lang w:val="es-ES"/>
        </w:rPr>
        <w:t>de</w:t>
      </w:r>
      <w:r w:rsidRPr="0094448B">
        <w:rPr>
          <w:rFonts w:ascii="Verdana" w:eastAsia="Arial MT" w:hAnsi="Verdana" w:cs="Arial MT"/>
          <w:spacing w:val="30"/>
          <w:lang w:val="es-ES"/>
        </w:rPr>
        <w:t xml:space="preserve"> </w:t>
      </w:r>
      <w:r w:rsidRPr="0094448B">
        <w:rPr>
          <w:rFonts w:ascii="Verdana" w:eastAsia="Arial MT" w:hAnsi="Verdana" w:cs="Arial MT"/>
          <w:lang w:val="es-ES"/>
        </w:rPr>
        <w:t>economía</w:t>
      </w:r>
      <w:r w:rsidRPr="0094448B">
        <w:rPr>
          <w:rFonts w:ascii="Verdana" w:eastAsia="Arial MT" w:hAnsi="Verdana" w:cs="Arial MT"/>
          <w:spacing w:val="35"/>
          <w:lang w:val="es-ES"/>
        </w:rPr>
        <w:t xml:space="preserve"> </w:t>
      </w:r>
      <w:r w:rsidRPr="0094448B">
        <w:rPr>
          <w:rFonts w:ascii="Verdana" w:eastAsia="Arial MT" w:hAnsi="Verdana" w:cs="Arial MT"/>
          <w:lang w:val="es-ES"/>
        </w:rPr>
        <w:t>mixta</w:t>
      </w:r>
      <w:r w:rsidRPr="0094448B">
        <w:rPr>
          <w:rFonts w:ascii="Verdana" w:eastAsia="Arial MT" w:hAnsi="Verdana" w:cs="Arial MT"/>
          <w:spacing w:val="30"/>
          <w:lang w:val="es-ES"/>
        </w:rPr>
        <w:t xml:space="preserve"> </w:t>
      </w:r>
      <w:r w:rsidRPr="0094448B">
        <w:rPr>
          <w:rFonts w:ascii="Verdana" w:eastAsia="Arial MT" w:hAnsi="Verdana" w:cs="Arial MT"/>
          <w:lang w:val="es-ES"/>
        </w:rPr>
        <w:t>donde</w:t>
      </w:r>
      <w:r w:rsidRPr="0094448B">
        <w:rPr>
          <w:rFonts w:ascii="Verdana" w:eastAsia="Arial MT" w:hAnsi="Verdana" w:cs="Arial MT"/>
          <w:spacing w:val="30"/>
          <w:lang w:val="es-ES"/>
        </w:rPr>
        <w:t xml:space="preserve"> </w:t>
      </w:r>
      <w:r w:rsidRPr="0094448B">
        <w:rPr>
          <w:rFonts w:ascii="Verdana" w:eastAsia="Arial MT" w:hAnsi="Verdana" w:cs="Arial MT"/>
          <w:lang w:val="es-ES"/>
        </w:rPr>
        <w:t>el Estado</w:t>
      </w:r>
      <w:r w:rsidRPr="0094448B">
        <w:rPr>
          <w:rFonts w:ascii="Verdana" w:eastAsia="Arial MT" w:hAnsi="Verdana" w:cs="Arial MT"/>
          <w:spacing w:val="-5"/>
          <w:lang w:val="es-ES"/>
        </w:rPr>
        <w:t xml:space="preserve"> </w:t>
      </w:r>
      <w:r w:rsidRPr="0094448B">
        <w:rPr>
          <w:rFonts w:ascii="Verdana" w:eastAsia="Arial MT" w:hAnsi="Verdana" w:cs="Arial MT"/>
          <w:lang w:val="es-ES"/>
        </w:rPr>
        <w:t>tenga participación superior</w:t>
      </w:r>
      <w:r w:rsidRPr="0094448B">
        <w:rPr>
          <w:rFonts w:ascii="Verdana" w:eastAsia="Arial MT" w:hAnsi="Verdana" w:cs="Arial MT"/>
          <w:spacing w:val="-4"/>
          <w:lang w:val="es-ES"/>
        </w:rPr>
        <w:t xml:space="preserve"> </w:t>
      </w:r>
      <w:r w:rsidRPr="0094448B">
        <w:rPr>
          <w:rFonts w:ascii="Verdana" w:eastAsia="Arial MT" w:hAnsi="Verdana" w:cs="Arial MT"/>
          <w:lang w:val="es-ES"/>
        </w:rPr>
        <w:t>al</w:t>
      </w:r>
      <w:r w:rsidRPr="0094448B">
        <w:rPr>
          <w:rFonts w:ascii="Verdana" w:eastAsia="Arial MT" w:hAnsi="Verdana" w:cs="Arial MT"/>
          <w:spacing w:val="-3"/>
          <w:lang w:val="es-ES"/>
        </w:rPr>
        <w:t xml:space="preserve"> </w:t>
      </w:r>
      <w:r w:rsidRPr="0094448B">
        <w:rPr>
          <w:rFonts w:ascii="Verdana" w:eastAsia="Arial MT" w:hAnsi="Verdana" w:cs="Arial MT"/>
          <w:lang w:val="es-ES"/>
        </w:rPr>
        <w:t>cincuenta</w:t>
      </w:r>
      <w:r w:rsidRPr="0094448B">
        <w:rPr>
          <w:rFonts w:ascii="Verdana" w:eastAsia="Arial MT" w:hAnsi="Verdana" w:cs="Arial MT"/>
          <w:spacing w:val="-1"/>
          <w:lang w:val="es-ES"/>
        </w:rPr>
        <w:t xml:space="preserve"> </w:t>
      </w:r>
      <w:r w:rsidRPr="0094448B">
        <w:rPr>
          <w:rFonts w:ascii="Verdana" w:eastAsia="Arial MT" w:hAnsi="Verdana" w:cs="Arial MT"/>
          <w:lang w:val="es-ES"/>
        </w:rPr>
        <w:t>por</w:t>
      </w:r>
      <w:r w:rsidRPr="0094448B">
        <w:rPr>
          <w:rFonts w:ascii="Verdana" w:eastAsia="Arial MT" w:hAnsi="Verdana" w:cs="Arial MT"/>
          <w:spacing w:val="-4"/>
          <w:lang w:val="es-ES"/>
        </w:rPr>
        <w:t xml:space="preserve"> </w:t>
      </w:r>
      <w:r w:rsidRPr="0094448B">
        <w:rPr>
          <w:rFonts w:ascii="Verdana" w:eastAsia="Arial MT" w:hAnsi="Verdana" w:cs="Arial MT"/>
          <w:lang w:val="es-ES"/>
        </w:rPr>
        <w:t>ciento</w:t>
      </w:r>
      <w:r w:rsidRPr="0094448B">
        <w:rPr>
          <w:rFonts w:ascii="Verdana" w:eastAsia="Arial MT" w:hAnsi="Verdana" w:cs="Arial MT"/>
          <w:spacing w:val="-1"/>
          <w:lang w:val="es-ES"/>
        </w:rPr>
        <w:t xml:space="preserve"> </w:t>
      </w:r>
      <w:r w:rsidRPr="0094448B">
        <w:rPr>
          <w:rFonts w:ascii="Verdana" w:eastAsia="Arial MT" w:hAnsi="Verdana" w:cs="Arial MT"/>
          <w:lang w:val="es-ES"/>
        </w:rPr>
        <w:t>(50%)</w:t>
      </w:r>
      <w:r w:rsidRPr="0094448B">
        <w:rPr>
          <w:rFonts w:ascii="Verdana" w:eastAsia="Arial MT" w:hAnsi="Verdana" w:cs="Arial MT"/>
          <w:spacing w:val="-3"/>
          <w:lang w:val="es-ES"/>
        </w:rPr>
        <w:t xml:space="preserve"> </w:t>
      </w:r>
      <w:r w:rsidRPr="0094448B">
        <w:rPr>
          <w:rFonts w:ascii="Verdana" w:eastAsia="Arial MT" w:hAnsi="Verdana" w:cs="Arial MT"/>
          <w:lang w:val="es-ES"/>
        </w:rPr>
        <w:t>están</w:t>
      </w:r>
      <w:r w:rsidRPr="0094448B">
        <w:rPr>
          <w:rFonts w:ascii="Verdana" w:eastAsia="Arial MT" w:hAnsi="Verdana" w:cs="Arial MT"/>
          <w:spacing w:val="-1"/>
          <w:lang w:val="es-ES"/>
        </w:rPr>
        <w:t xml:space="preserve"> </w:t>
      </w:r>
      <w:r w:rsidRPr="0094448B">
        <w:rPr>
          <w:rFonts w:ascii="Verdana" w:eastAsia="Arial MT" w:hAnsi="Verdana" w:cs="Arial MT"/>
          <w:lang w:val="es-ES"/>
        </w:rPr>
        <w:t>sujetos</w:t>
      </w:r>
      <w:r w:rsidRPr="0094448B">
        <w:rPr>
          <w:rFonts w:ascii="Verdana" w:eastAsia="Arial MT" w:hAnsi="Verdana" w:cs="Arial MT"/>
          <w:spacing w:val="-2"/>
          <w:lang w:val="es-ES"/>
        </w:rPr>
        <w:t xml:space="preserve"> </w:t>
      </w:r>
      <w:r w:rsidRPr="0094448B">
        <w:rPr>
          <w:rFonts w:ascii="Verdana" w:eastAsia="Arial MT" w:hAnsi="Verdana" w:cs="Arial MT"/>
          <w:lang w:val="es-ES"/>
        </w:rPr>
        <w:t>al Estatuto General de Contratación de la Administración Pública.</w:t>
      </w:r>
    </w:p>
    <w:p w14:paraId="045703DC" w14:textId="77777777" w:rsidR="00EB59DD" w:rsidRPr="0094448B" w:rsidRDefault="00EB59DD" w:rsidP="00EB59DD">
      <w:pPr>
        <w:widowControl w:val="0"/>
        <w:autoSpaceDE w:val="0"/>
        <w:autoSpaceDN w:val="0"/>
        <w:spacing w:after="120" w:line="276" w:lineRule="auto"/>
        <w:ind w:firstLine="709"/>
        <w:jc w:val="both"/>
        <w:rPr>
          <w:rFonts w:ascii="Verdana" w:eastAsia="Arial MT" w:hAnsi="Verdana" w:cs="Arial MT"/>
          <w:lang w:val="es-ES"/>
        </w:rPr>
      </w:pPr>
      <w:r w:rsidRPr="0094448B">
        <w:rPr>
          <w:rFonts w:ascii="Verdana" w:eastAsia="Arial MT" w:hAnsi="Verdana" w:cs="Arial MT"/>
          <w:lang w:val="es-ES"/>
        </w:rPr>
        <w:t>Frente al particular, el Consejo de Estado, en el Concepto 1127 del 10 de</w:t>
      </w:r>
      <w:r w:rsidRPr="0094448B">
        <w:rPr>
          <w:rFonts w:ascii="Verdana" w:eastAsia="Arial MT" w:hAnsi="Verdana" w:cs="Arial MT"/>
          <w:spacing w:val="80"/>
          <w:lang w:val="es-ES"/>
        </w:rPr>
        <w:t xml:space="preserve"> </w:t>
      </w:r>
      <w:r w:rsidRPr="0094448B">
        <w:rPr>
          <w:rFonts w:ascii="Verdana" w:eastAsia="Arial MT" w:hAnsi="Verdana" w:cs="Arial MT"/>
          <w:lang w:val="es-ES"/>
        </w:rPr>
        <w:t>diciembre de 2004, estableció que del análisis de esta norma se concluye que: “si la participación estatal en una sociedad de economía mixta es superior al cincuenta por ciento (50%) de su capital, ya no le aplica el derecho privado, como es la regla general, sino el Estatuto General de Contratación de la Administración Pública”</w:t>
      </w:r>
      <w:r w:rsidRPr="0094448B">
        <w:rPr>
          <w:rFonts w:ascii="Verdana" w:eastAsia="Arial MT" w:hAnsi="Verdana" w:cs="Arial MT"/>
          <w:vertAlign w:val="superscript"/>
          <w:lang w:val="es-ES"/>
        </w:rPr>
        <w:footnoteReference w:id="11"/>
      </w:r>
      <w:r w:rsidRPr="0094448B">
        <w:rPr>
          <w:rFonts w:ascii="Verdana" w:eastAsia="Arial MT" w:hAnsi="Verdana" w:cs="Arial MT"/>
          <w:lang w:val="es-ES"/>
        </w:rPr>
        <w:t>. Es claro, entonces, que las sociedades de economía mixta con participación estatal superior al cincuenta por ciento (50%) se rigen en materia contractual por la Ley 80 de 1993, de acuerdo con la libertad de configuración del legislador en la materia.</w:t>
      </w:r>
    </w:p>
    <w:p w14:paraId="193BB30A" w14:textId="77777777" w:rsidR="00EB59DD" w:rsidRPr="0094448B" w:rsidRDefault="00EB59DD" w:rsidP="00EB59DD">
      <w:pPr>
        <w:widowControl w:val="0"/>
        <w:autoSpaceDE w:val="0"/>
        <w:autoSpaceDN w:val="0"/>
        <w:spacing w:after="120" w:line="276" w:lineRule="auto"/>
        <w:ind w:firstLine="709"/>
        <w:jc w:val="both"/>
        <w:rPr>
          <w:rFonts w:ascii="Verdana" w:eastAsia="Arial MT" w:hAnsi="Verdana" w:cs="Arial MT"/>
          <w:lang w:val="es-ES"/>
        </w:rPr>
      </w:pPr>
      <w:r w:rsidRPr="0094448B">
        <w:rPr>
          <w:rFonts w:ascii="Verdana" w:eastAsia="Arial MT" w:hAnsi="Verdana" w:cs="Arial MT"/>
          <w:lang w:val="es-ES"/>
        </w:rPr>
        <w:t>Sin embargo, actualmente el artículo 14 de la Ley 1150 de 2007 previó que las sociedades de economía mixta en las que el Estado tenga participación superior al cincuenta por ciento (50%) y sus filiales que cuenten con participación mayoritaria del Estado superior al cincuenta por ciento (50%) estarán sometidas al Estatuto General de Contratación la Administración Pública, en adelante EGCAP, con excepción de aquellas que desarrollen actividades</w:t>
      </w:r>
      <w:r w:rsidRPr="0094448B">
        <w:rPr>
          <w:rFonts w:ascii="Verdana" w:eastAsia="Arial MT" w:hAnsi="Verdana" w:cs="Arial MT"/>
          <w:spacing w:val="-1"/>
          <w:lang w:val="es-ES"/>
        </w:rPr>
        <w:t xml:space="preserve"> </w:t>
      </w:r>
      <w:r w:rsidRPr="0094448B">
        <w:rPr>
          <w:rFonts w:ascii="Verdana" w:eastAsia="Arial MT" w:hAnsi="Verdana" w:cs="Arial MT"/>
          <w:lang w:val="es-ES"/>
        </w:rPr>
        <w:t>comerciales</w:t>
      </w:r>
      <w:r w:rsidRPr="0094448B">
        <w:rPr>
          <w:rFonts w:ascii="Verdana" w:eastAsia="Arial MT" w:hAnsi="Verdana" w:cs="Arial MT"/>
          <w:spacing w:val="-1"/>
          <w:lang w:val="es-ES"/>
        </w:rPr>
        <w:t xml:space="preserve"> </w:t>
      </w:r>
      <w:r w:rsidRPr="0094448B">
        <w:rPr>
          <w:rFonts w:ascii="Verdana" w:eastAsia="Arial MT" w:hAnsi="Verdana" w:cs="Arial MT"/>
          <w:lang w:val="es-ES"/>
        </w:rPr>
        <w:t>en competencia con el sector</w:t>
      </w:r>
      <w:r w:rsidRPr="0094448B">
        <w:rPr>
          <w:rFonts w:ascii="Verdana" w:eastAsia="Arial MT" w:hAnsi="Verdana" w:cs="Arial MT"/>
          <w:spacing w:val="-2"/>
          <w:lang w:val="es-ES"/>
        </w:rPr>
        <w:t xml:space="preserve"> </w:t>
      </w:r>
      <w:r w:rsidRPr="0094448B">
        <w:rPr>
          <w:rFonts w:ascii="Verdana" w:eastAsia="Arial MT" w:hAnsi="Verdana" w:cs="Arial MT"/>
          <w:lang w:val="es-ES"/>
        </w:rPr>
        <w:t>privado y/o público, nacional o internacional, o en mercados regulados, caso en el cual se regirán por las disposiciones legales y reglamentarias aplicables a sus actividades económicas y comerciales</w:t>
      </w:r>
      <w:r w:rsidRPr="0094448B">
        <w:rPr>
          <w:rFonts w:ascii="Verdana" w:eastAsia="Arial MT" w:hAnsi="Verdana" w:cs="Arial MT"/>
          <w:vertAlign w:val="superscript"/>
          <w:lang w:val="es-ES"/>
        </w:rPr>
        <w:footnoteReference w:id="12"/>
      </w:r>
      <w:r w:rsidRPr="0094448B">
        <w:rPr>
          <w:rFonts w:ascii="Verdana" w:eastAsia="Arial MT" w:hAnsi="Verdana" w:cs="Arial MT"/>
          <w:lang w:val="es-ES"/>
        </w:rPr>
        <w:t>. En otras palabras, el legislador estableció que las sociedades de economía mixta en las que el Estado tenga participación superior al cincuenta por ciento (50%), cuando se encuentran en competencia con el sector privado o público, nacional o internacional o desarrollan su actividad en mercados regulados estarán sometidos al derecho privado.</w:t>
      </w:r>
    </w:p>
    <w:p w14:paraId="22504F3E" w14:textId="77777777" w:rsidR="00EB59DD" w:rsidRPr="0094448B" w:rsidRDefault="00EB59DD" w:rsidP="00EB59DD">
      <w:pPr>
        <w:widowControl w:val="0"/>
        <w:autoSpaceDE w:val="0"/>
        <w:autoSpaceDN w:val="0"/>
        <w:spacing w:after="120" w:line="276" w:lineRule="auto"/>
        <w:ind w:firstLine="709"/>
        <w:jc w:val="both"/>
        <w:rPr>
          <w:rFonts w:ascii="Verdana" w:eastAsia="Arial MT" w:hAnsi="Verdana" w:cs="Arial MT"/>
          <w:spacing w:val="-2"/>
          <w:lang w:val="es-ES"/>
        </w:rPr>
      </w:pPr>
      <w:r w:rsidRPr="0094448B">
        <w:rPr>
          <w:rFonts w:ascii="Verdana" w:eastAsia="Arial MT" w:hAnsi="Verdana" w:cs="Arial MT"/>
          <w:lang w:val="es-ES"/>
        </w:rPr>
        <w:t>Así las cosas, las sociedades de economía mixta sometidas al EGCAP son aquellas en las que el aporte del Estado es superior al cincuenta por ciento (50%) y además las actuaciones que adelantan no se encuentran en competencia con el sector privado o público, nacional o internacional o en mercados regulados. Por el contrario, las sociedades</w:t>
      </w:r>
      <w:r w:rsidRPr="0094448B">
        <w:rPr>
          <w:rFonts w:ascii="Verdana" w:eastAsia="Arial MT" w:hAnsi="Verdana" w:cs="Arial MT"/>
          <w:spacing w:val="32"/>
          <w:lang w:val="es-ES"/>
        </w:rPr>
        <w:t xml:space="preserve"> </w:t>
      </w:r>
      <w:r w:rsidRPr="0094448B">
        <w:rPr>
          <w:rFonts w:ascii="Verdana" w:eastAsia="Arial MT" w:hAnsi="Verdana" w:cs="Arial MT"/>
          <w:lang w:val="es-ES"/>
        </w:rPr>
        <w:t>de</w:t>
      </w:r>
      <w:r w:rsidRPr="0094448B">
        <w:rPr>
          <w:rFonts w:ascii="Verdana" w:eastAsia="Arial MT" w:hAnsi="Verdana" w:cs="Arial MT"/>
          <w:spacing w:val="34"/>
          <w:lang w:val="es-ES"/>
        </w:rPr>
        <w:t xml:space="preserve"> </w:t>
      </w:r>
      <w:r w:rsidRPr="0094448B">
        <w:rPr>
          <w:rFonts w:ascii="Verdana" w:eastAsia="Arial MT" w:hAnsi="Verdana" w:cs="Arial MT"/>
          <w:lang w:val="es-ES"/>
        </w:rPr>
        <w:t>economía</w:t>
      </w:r>
      <w:r w:rsidRPr="0094448B">
        <w:rPr>
          <w:rFonts w:ascii="Verdana" w:eastAsia="Arial MT" w:hAnsi="Verdana" w:cs="Arial MT"/>
          <w:spacing w:val="39"/>
          <w:lang w:val="es-ES"/>
        </w:rPr>
        <w:t xml:space="preserve"> </w:t>
      </w:r>
      <w:r w:rsidRPr="0094448B">
        <w:rPr>
          <w:rFonts w:ascii="Verdana" w:eastAsia="Arial MT" w:hAnsi="Verdana" w:cs="Arial MT"/>
          <w:lang w:val="es-ES"/>
        </w:rPr>
        <w:t>mixta</w:t>
      </w:r>
      <w:r w:rsidRPr="0094448B">
        <w:rPr>
          <w:rFonts w:ascii="Verdana" w:eastAsia="Arial MT" w:hAnsi="Verdana" w:cs="Arial MT"/>
          <w:spacing w:val="34"/>
          <w:lang w:val="es-ES"/>
        </w:rPr>
        <w:t xml:space="preserve"> </w:t>
      </w:r>
      <w:r w:rsidRPr="0094448B">
        <w:rPr>
          <w:rFonts w:ascii="Verdana" w:eastAsia="Arial MT" w:hAnsi="Verdana" w:cs="Arial MT"/>
          <w:lang w:val="es-ES"/>
        </w:rPr>
        <w:t>en</w:t>
      </w:r>
      <w:r w:rsidRPr="0094448B">
        <w:rPr>
          <w:rFonts w:ascii="Verdana" w:eastAsia="Arial MT" w:hAnsi="Verdana" w:cs="Arial MT"/>
          <w:spacing w:val="39"/>
          <w:lang w:val="es-ES"/>
        </w:rPr>
        <w:t xml:space="preserve"> </w:t>
      </w:r>
      <w:r w:rsidRPr="0094448B">
        <w:rPr>
          <w:rFonts w:ascii="Verdana" w:eastAsia="Arial MT" w:hAnsi="Verdana" w:cs="Arial MT"/>
          <w:lang w:val="es-ES"/>
        </w:rPr>
        <w:t>las</w:t>
      </w:r>
      <w:r w:rsidRPr="0094448B">
        <w:rPr>
          <w:rFonts w:ascii="Verdana" w:eastAsia="Arial MT" w:hAnsi="Verdana" w:cs="Arial MT"/>
          <w:spacing w:val="32"/>
          <w:lang w:val="es-ES"/>
        </w:rPr>
        <w:t xml:space="preserve"> </w:t>
      </w:r>
      <w:r w:rsidRPr="0094448B">
        <w:rPr>
          <w:rFonts w:ascii="Verdana" w:eastAsia="Arial MT" w:hAnsi="Verdana" w:cs="Arial MT"/>
          <w:lang w:val="es-ES"/>
        </w:rPr>
        <w:t>que</w:t>
      </w:r>
      <w:r w:rsidRPr="0094448B">
        <w:rPr>
          <w:rFonts w:ascii="Verdana" w:eastAsia="Arial MT" w:hAnsi="Verdana" w:cs="Arial MT"/>
          <w:spacing w:val="34"/>
          <w:lang w:val="es-ES"/>
        </w:rPr>
        <w:t xml:space="preserve"> </w:t>
      </w:r>
      <w:r w:rsidRPr="0094448B">
        <w:rPr>
          <w:rFonts w:ascii="Verdana" w:eastAsia="Arial MT" w:hAnsi="Verdana" w:cs="Arial MT"/>
          <w:lang w:val="es-ES"/>
        </w:rPr>
        <w:t>el</w:t>
      </w:r>
      <w:r w:rsidRPr="0094448B">
        <w:rPr>
          <w:rFonts w:ascii="Verdana" w:eastAsia="Arial MT" w:hAnsi="Verdana" w:cs="Arial MT"/>
          <w:spacing w:val="31"/>
          <w:lang w:val="es-ES"/>
        </w:rPr>
        <w:t xml:space="preserve"> </w:t>
      </w:r>
      <w:r w:rsidRPr="0094448B">
        <w:rPr>
          <w:rFonts w:ascii="Verdana" w:eastAsia="Arial MT" w:hAnsi="Verdana" w:cs="Arial MT"/>
          <w:lang w:val="es-ES"/>
        </w:rPr>
        <w:t>Estado</w:t>
      </w:r>
      <w:r w:rsidRPr="0094448B">
        <w:rPr>
          <w:rFonts w:ascii="Verdana" w:eastAsia="Arial MT" w:hAnsi="Verdana" w:cs="Arial MT"/>
          <w:spacing w:val="39"/>
          <w:lang w:val="es-ES"/>
        </w:rPr>
        <w:t xml:space="preserve"> </w:t>
      </w:r>
      <w:r w:rsidRPr="0094448B">
        <w:rPr>
          <w:rFonts w:ascii="Verdana" w:eastAsia="Arial MT" w:hAnsi="Verdana" w:cs="Arial MT"/>
          <w:lang w:val="es-ES"/>
        </w:rPr>
        <w:t>tenga</w:t>
      </w:r>
      <w:r w:rsidRPr="0094448B">
        <w:rPr>
          <w:rFonts w:ascii="Verdana" w:eastAsia="Arial MT" w:hAnsi="Verdana" w:cs="Arial MT"/>
          <w:spacing w:val="39"/>
          <w:lang w:val="es-ES"/>
        </w:rPr>
        <w:t xml:space="preserve"> </w:t>
      </w:r>
      <w:r w:rsidRPr="0094448B">
        <w:rPr>
          <w:rFonts w:ascii="Verdana" w:eastAsia="Arial MT" w:hAnsi="Verdana" w:cs="Arial MT"/>
          <w:lang w:val="es-ES"/>
        </w:rPr>
        <w:t>una</w:t>
      </w:r>
      <w:r w:rsidRPr="0094448B">
        <w:rPr>
          <w:rFonts w:ascii="Verdana" w:eastAsia="Arial MT" w:hAnsi="Verdana" w:cs="Arial MT"/>
          <w:spacing w:val="34"/>
          <w:lang w:val="es-ES"/>
        </w:rPr>
        <w:t xml:space="preserve"> </w:t>
      </w:r>
      <w:r w:rsidRPr="0094448B">
        <w:rPr>
          <w:rFonts w:ascii="Verdana" w:eastAsia="Arial MT" w:hAnsi="Verdana" w:cs="Arial MT"/>
          <w:lang w:val="es-ES"/>
        </w:rPr>
        <w:t>participación</w:t>
      </w:r>
      <w:r w:rsidRPr="0094448B">
        <w:rPr>
          <w:rFonts w:ascii="Verdana" w:eastAsia="Arial MT" w:hAnsi="Verdana" w:cs="Arial MT"/>
          <w:spacing w:val="34"/>
          <w:lang w:val="es-ES"/>
        </w:rPr>
        <w:t xml:space="preserve"> </w:t>
      </w:r>
      <w:r w:rsidRPr="0094448B">
        <w:rPr>
          <w:rFonts w:ascii="Verdana" w:eastAsia="Arial MT" w:hAnsi="Verdana" w:cs="Arial MT"/>
          <w:lang w:val="es-ES"/>
        </w:rPr>
        <w:t>menor</w:t>
      </w:r>
      <w:r w:rsidRPr="0094448B">
        <w:rPr>
          <w:rFonts w:ascii="Verdana" w:eastAsia="Arial MT" w:hAnsi="Verdana" w:cs="Arial MT"/>
          <w:spacing w:val="31"/>
          <w:lang w:val="es-ES"/>
        </w:rPr>
        <w:t xml:space="preserve"> </w:t>
      </w:r>
      <w:r w:rsidRPr="0094448B">
        <w:rPr>
          <w:rFonts w:ascii="Verdana" w:eastAsia="Arial MT" w:hAnsi="Verdana" w:cs="Arial MT"/>
          <w:lang w:val="es-ES"/>
        </w:rPr>
        <w:t xml:space="preserve">al cincuenta por ciento (50%) o en los casos que desarrollan actividades comerciales en competencia con el sector privado y/o público, nacional o internacional, o en mercados regulados se regirán por las disposiciones legales y reglamentarias aplicables a sus actividades económicas y comerciales, lo que implica acudir usualmente al derecho </w:t>
      </w:r>
      <w:r w:rsidRPr="0094448B">
        <w:rPr>
          <w:rFonts w:ascii="Verdana" w:eastAsia="Arial MT" w:hAnsi="Verdana" w:cs="Arial MT"/>
          <w:spacing w:val="-2"/>
          <w:lang w:val="es-ES"/>
        </w:rPr>
        <w:t>privado.</w:t>
      </w:r>
    </w:p>
    <w:p w14:paraId="7DFCB15F" w14:textId="77777777" w:rsidR="00EB59DD" w:rsidRDefault="00EB59DD" w:rsidP="00EB59DD">
      <w:pPr>
        <w:tabs>
          <w:tab w:val="left" w:pos="709"/>
        </w:tabs>
        <w:spacing w:after="120" w:line="276" w:lineRule="auto"/>
        <w:jc w:val="both"/>
        <w:rPr>
          <w:rFonts w:ascii="Verdana" w:eastAsia="Calibri" w:hAnsi="Verdana" w:cs="Arial"/>
          <w:color w:val="000000"/>
          <w:lang w:val="es-ES_tradnl"/>
        </w:rPr>
      </w:pPr>
      <w:r>
        <w:rPr>
          <w:rFonts w:ascii="Verdana" w:hAnsi="Verdana" w:cs="Arial"/>
          <w:shd w:val="clear" w:color="auto" w:fill="FFFFFF"/>
          <w:lang w:val="es-ES"/>
        </w:rPr>
        <w:tab/>
      </w:r>
      <w:r>
        <w:rPr>
          <w:rFonts w:ascii="Verdana" w:eastAsia="Calibri" w:hAnsi="Verdana" w:cs="Arial"/>
          <w:color w:val="000000"/>
          <w:lang w:val="es-ES_tradnl"/>
        </w:rPr>
        <w:t xml:space="preserve">En efecto, las </w:t>
      </w:r>
      <w:r w:rsidRPr="0094448B">
        <w:rPr>
          <w:rFonts w:ascii="Verdana" w:eastAsia="Calibri" w:hAnsi="Verdana" w:cs="Arial"/>
          <w:color w:val="000000"/>
          <w:lang w:val="es-ES_tradnl"/>
        </w:rPr>
        <w:t xml:space="preserve">sociedades de economía mixta como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 </w:t>
      </w:r>
    </w:p>
    <w:p w14:paraId="622D7E06" w14:textId="77777777" w:rsidR="00EB59DD" w:rsidRPr="00AD6B46" w:rsidRDefault="00EB59DD" w:rsidP="00EB59DD">
      <w:pPr>
        <w:tabs>
          <w:tab w:val="left" w:pos="709"/>
        </w:tabs>
        <w:spacing w:after="120" w:line="276" w:lineRule="auto"/>
        <w:jc w:val="both"/>
        <w:rPr>
          <w:rFonts w:ascii="Verdana" w:eastAsia="Calibri" w:hAnsi="Verdana" w:cs="Arial"/>
          <w:color w:val="000000"/>
        </w:rPr>
      </w:pPr>
      <w:r>
        <w:rPr>
          <w:rFonts w:ascii="Verdana" w:eastAsia="Calibri" w:hAnsi="Verdana" w:cs="Arial"/>
          <w:color w:val="000000"/>
          <w:lang w:val="es-ES_tradnl"/>
        </w:rPr>
        <w:tab/>
        <w:t xml:space="preserve">Ahora bien, como entidades de régimen especial </w:t>
      </w:r>
      <w:r w:rsidRPr="00AD6B46">
        <w:rPr>
          <w:rFonts w:ascii="Verdana" w:hAnsi="Verdana" w:cs="Arial"/>
          <w:shd w:val="clear" w:color="auto" w:fill="FFFFFF"/>
        </w:rPr>
        <w:t xml:space="preserve">es clara la obligatoriedad de publicar la información de la actividad contractual. En tal sentido, </w:t>
      </w:r>
      <w:r w:rsidRPr="00AD6B46">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hace referencia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AD6B46">
        <w:rPr>
          <w:rFonts w:ascii="Verdana" w:eastAsia="Calibri" w:hAnsi="Verdana" w:cs="Arial"/>
          <w:color w:val="000000"/>
        </w:rPr>
        <w:t>post-contractual</w:t>
      </w:r>
      <w:proofErr w:type="spellEnd"/>
      <w:r w:rsidRPr="00AD6B46">
        <w:rPr>
          <w:rFonts w:ascii="Verdana" w:eastAsia="Calibri" w:hAnsi="Verdana" w:cs="Arial"/>
          <w:color w:val="000000"/>
        </w:rPr>
        <w:t>”.</w:t>
      </w:r>
    </w:p>
    <w:p w14:paraId="06489768" w14:textId="77777777" w:rsidR="00EB59DD" w:rsidRPr="00776115" w:rsidRDefault="00EB59DD" w:rsidP="00EB59DD">
      <w:pPr>
        <w:spacing w:after="120" w:line="276" w:lineRule="auto"/>
        <w:ind w:firstLine="709"/>
        <w:jc w:val="both"/>
        <w:rPr>
          <w:rFonts w:ascii="Verdana" w:eastAsia="Calibri" w:hAnsi="Verdana" w:cs="Arial"/>
          <w:color w:val="000000"/>
          <w:sz w:val="21"/>
          <w:szCs w:val="21"/>
        </w:rPr>
      </w:pPr>
      <w:r w:rsidRPr="00AD6B46">
        <w:rPr>
          <w:rFonts w:ascii="Verdana" w:eastAsia="Calibri" w:hAnsi="Verdana" w:cs="Arial"/>
          <w:color w:val="000000"/>
        </w:rPr>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w:t>
      </w:r>
      <w:r w:rsidRPr="00AD6B46">
        <w:rPr>
          <w:rFonts w:ascii="Verdana" w:eastAsia="Calibri" w:hAnsi="Verdana" w:cs="Arial"/>
          <w:color w:val="000000"/>
          <w:vertAlign w:val="superscript"/>
        </w:rPr>
        <w:footnoteReference w:id="13"/>
      </w:r>
      <w:r w:rsidRPr="00AD6B46">
        <w:rPr>
          <w:rFonts w:ascii="Verdana" w:eastAsia="Calibri" w:hAnsi="Verdana" w:cs="Arial"/>
          <w:color w:val="000000"/>
        </w:rPr>
        <w:t xml:space="preserve">,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 </w:t>
      </w:r>
    </w:p>
    <w:p w14:paraId="29E5217C" w14:textId="77777777" w:rsidR="00EB59DD" w:rsidRDefault="00EB59DD" w:rsidP="00EB59DD">
      <w:pPr>
        <w:spacing w:after="120" w:line="276" w:lineRule="auto"/>
        <w:ind w:firstLine="567"/>
        <w:jc w:val="both"/>
        <w:rPr>
          <w:rFonts w:ascii="Verdana" w:eastAsia="Calibri" w:hAnsi="Verdana" w:cs="Arial"/>
        </w:rPr>
      </w:pPr>
      <w:r>
        <w:rPr>
          <w:rFonts w:ascii="Verdana" w:eastAsia="Calibri" w:hAnsi="Verdana" w:cs="Arial"/>
        </w:rPr>
        <w:t>Teniendo en cuenta, la obligatoriedad de</w:t>
      </w:r>
      <w:r w:rsidRPr="00776115">
        <w:rPr>
          <w:rFonts w:ascii="Verdana" w:eastAsia="Calibri" w:hAnsi="Verdana" w:cs="Arial"/>
          <w:lang w:val="es-ES"/>
        </w:rPr>
        <w:t xml:space="preserve"> SECOP II </w:t>
      </w:r>
      <w:r>
        <w:rPr>
          <w:rFonts w:ascii="Verdana" w:eastAsia="Calibri" w:hAnsi="Verdana" w:cs="Arial"/>
          <w:lang w:val="es-ES"/>
        </w:rPr>
        <w:t>para entidades de régimen especial, es preciso señalar que está habilitado dos módulos para dichas entidades: i) Régimen Especial con Ofertas, que consiste en un</w:t>
      </w:r>
      <w:r w:rsidRPr="00776115">
        <w:rPr>
          <w:rFonts w:ascii="Verdana" w:eastAsia="Calibri" w:hAnsi="Verdana" w:cs="Arial"/>
          <w:lang w:val="es-ES"/>
        </w:rPr>
        <w:t xml:space="preserve"> procedimiento contractual </w:t>
      </w:r>
      <w:r>
        <w:rPr>
          <w:rFonts w:ascii="Verdana" w:eastAsia="Calibri" w:hAnsi="Verdana" w:cs="Arial"/>
          <w:lang w:val="es-ES"/>
        </w:rPr>
        <w:t xml:space="preserve">que </w:t>
      </w:r>
      <w:r w:rsidRPr="00776115">
        <w:rPr>
          <w:rFonts w:ascii="Verdana" w:eastAsia="Calibri" w:hAnsi="Verdana" w:cs="Arial"/>
          <w:lang w:val="es-ES"/>
        </w:rPr>
        <w:t xml:space="preserve">se desarrolla en línea y dentro de la plataforma, </w:t>
      </w:r>
      <w:r>
        <w:rPr>
          <w:rFonts w:ascii="Verdana" w:eastAsia="Calibri" w:hAnsi="Verdana" w:cs="Arial"/>
          <w:lang w:val="es-ES"/>
        </w:rPr>
        <w:t xml:space="preserve">en el que las entidades pueden estructurar el proceso de contratación y recibir las ofertas de los proveedores y generar el contrato electrónico y demás documentos, conformándose un expediente electrónico; </w:t>
      </w:r>
      <w:proofErr w:type="spellStart"/>
      <w:r>
        <w:rPr>
          <w:rFonts w:ascii="Verdana" w:eastAsia="Calibri" w:hAnsi="Verdana" w:cs="Arial"/>
          <w:lang w:val="es-ES"/>
        </w:rPr>
        <w:t>ii</w:t>
      </w:r>
      <w:proofErr w:type="spellEnd"/>
      <w:r>
        <w:rPr>
          <w:rFonts w:ascii="Verdana" w:eastAsia="Calibri" w:hAnsi="Verdana" w:cs="Arial"/>
          <w:lang w:val="es-ES"/>
        </w:rPr>
        <w:t xml:space="preserve">) Régimen Especial sin Ofertas, que consiste en que las entidades pueden estructurar el Proceso de Contratación, generar el contrato electrónico y realizar la gestión contractual. Al respecto, </w:t>
      </w:r>
      <w:r w:rsidRPr="0059295C">
        <w:rPr>
          <w:rFonts w:ascii="Verdana" w:eastAsia="Calibri" w:hAnsi="Verdana" w:cs="Arial"/>
        </w:rPr>
        <w:t>la Circular Externa No. 002 del 23 de agosto de 2024, estableció los lineamientos para la aplicación del artículo 53 de la Ley 2195 de 2022 por parte de las Entidades Estales que por disposición legal cuentan con un régimen</w:t>
      </w:r>
      <w:r>
        <w:rPr>
          <w:rFonts w:ascii="Verdana" w:eastAsia="Calibri" w:hAnsi="Verdana" w:cs="Arial"/>
        </w:rPr>
        <w:t xml:space="preserve"> contractual excepcional al </w:t>
      </w:r>
      <w:r w:rsidRPr="0059295C">
        <w:rPr>
          <w:rFonts w:ascii="Verdana" w:eastAsia="Calibri" w:hAnsi="Verdana" w:cs="Arial"/>
        </w:rPr>
        <w:t>Estatuto General de Contratación de la Administraci</w:t>
      </w:r>
      <w:r>
        <w:rPr>
          <w:rFonts w:ascii="Verdana" w:eastAsia="Calibri" w:hAnsi="Verdana" w:cs="Arial"/>
        </w:rPr>
        <w:t>ón Pública. En dicha Circular</w:t>
      </w:r>
      <w:r w:rsidRPr="0059295C">
        <w:rPr>
          <w:rFonts w:ascii="Verdana" w:eastAsia="Calibri" w:hAnsi="Verdana" w:cs="Arial"/>
        </w:rPr>
        <w:t xml:space="preserve"> expresó</w:t>
      </w:r>
      <w:r>
        <w:rPr>
          <w:rFonts w:ascii="Verdana" w:eastAsia="Calibri" w:hAnsi="Verdana" w:cs="Arial"/>
        </w:rPr>
        <w:t xml:space="preserve"> frente a estos dos módulos lo siguiente</w:t>
      </w:r>
      <w:r w:rsidRPr="0059295C">
        <w:rPr>
          <w:rFonts w:ascii="Verdana" w:eastAsia="Calibri" w:hAnsi="Verdana" w:cs="Arial"/>
        </w:rPr>
        <w:t xml:space="preserve">: </w:t>
      </w:r>
    </w:p>
    <w:p w14:paraId="56426E6F" w14:textId="77777777" w:rsidR="00EB59DD" w:rsidRPr="004A6B55" w:rsidRDefault="00EB59DD" w:rsidP="00EB59DD">
      <w:pPr>
        <w:spacing w:after="120" w:line="276" w:lineRule="auto"/>
        <w:ind w:firstLine="567"/>
        <w:jc w:val="both"/>
        <w:rPr>
          <w:rFonts w:ascii="Verdana" w:eastAsia="Calibri" w:hAnsi="Verdana" w:cs="Arial"/>
          <w:sz w:val="20"/>
          <w:szCs w:val="20"/>
          <w:lang w:val="es-ES"/>
        </w:rPr>
      </w:pPr>
      <w:r w:rsidRPr="004A6B55">
        <w:rPr>
          <w:rFonts w:ascii="Verdana" w:eastAsia="Calibri" w:hAnsi="Verdana" w:cs="Arial"/>
          <w:sz w:val="20"/>
          <w:szCs w:val="20"/>
        </w:rPr>
        <w:t>“(…)</w:t>
      </w:r>
    </w:p>
    <w:p w14:paraId="4D9370BD" w14:textId="77777777" w:rsidR="00EB59DD" w:rsidRPr="0059295C" w:rsidRDefault="00EB59DD" w:rsidP="00EB59DD">
      <w:pPr>
        <w:spacing w:after="0" w:line="240" w:lineRule="auto"/>
        <w:ind w:left="709" w:right="709"/>
        <w:jc w:val="both"/>
        <w:rPr>
          <w:rFonts w:ascii="Verdana" w:eastAsia="Calibri" w:hAnsi="Verdana" w:cs="Arial"/>
          <w:sz w:val="20"/>
          <w:szCs w:val="20"/>
          <w:lang w:val="es-ES"/>
        </w:rPr>
      </w:pPr>
      <w:r w:rsidRPr="004A6B55">
        <w:rPr>
          <w:rFonts w:ascii="Verdana" w:hAnsi="Verdana"/>
          <w:sz w:val="20"/>
          <w:szCs w:val="20"/>
        </w:rPr>
        <w:t>En el prim</w:t>
      </w:r>
      <w:r w:rsidRPr="0059295C">
        <w:rPr>
          <w:rFonts w:ascii="Verdana" w:hAnsi="Verdana"/>
          <w:sz w:val="20"/>
          <w:szCs w:val="20"/>
        </w:rPr>
        <w:t>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el segundo caso, si decide utilizar el SECOP II como herramienta de publicidad, deberá crear el proceso de contratación en el SECOP II mediante el módulo “Contratación Régimen Especial (sin ofertas)”,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“Finalizar” después de publicar el proceso, en tanto que la plataforma cierra el expediente y no permite la publicación posterior de ningún otro documento</w:t>
      </w:r>
      <w:r>
        <w:rPr>
          <w:rFonts w:ascii="Verdana" w:hAnsi="Verdana"/>
          <w:sz w:val="20"/>
          <w:szCs w:val="20"/>
        </w:rPr>
        <w:t xml:space="preserve"> (…)”. </w:t>
      </w:r>
      <w:r w:rsidRPr="0059295C">
        <w:rPr>
          <w:rFonts w:ascii="Verdana" w:eastAsia="Calibri" w:hAnsi="Verdana" w:cs="Arial"/>
          <w:color w:val="000000"/>
          <w:sz w:val="20"/>
          <w:szCs w:val="20"/>
        </w:rPr>
        <w:tab/>
      </w:r>
    </w:p>
    <w:p w14:paraId="2C58E963" w14:textId="77777777" w:rsidR="00EB59DD" w:rsidRDefault="00EB59DD" w:rsidP="00EB59DD">
      <w:pPr>
        <w:spacing w:after="0" w:line="276" w:lineRule="auto"/>
        <w:jc w:val="both"/>
        <w:rPr>
          <w:rFonts w:ascii="Verdana" w:eastAsia="Calibri" w:hAnsi="Verdana" w:cs="Arial"/>
          <w:color w:val="000000"/>
        </w:rPr>
      </w:pPr>
    </w:p>
    <w:p w14:paraId="69FE55ED" w14:textId="77777777" w:rsidR="00EB59DD" w:rsidRDefault="00EB59DD" w:rsidP="00EB59DD">
      <w:pPr>
        <w:spacing w:after="120" w:line="276" w:lineRule="auto"/>
        <w:jc w:val="both"/>
        <w:rPr>
          <w:rFonts w:ascii="Verdana" w:eastAsia="Calibri" w:hAnsi="Verdana" w:cs="Arial"/>
          <w:color w:val="000000"/>
        </w:rPr>
      </w:pPr>
      <w:r>
        <w:rPr>
          <w:rFonts w:ascii="Verdana" w:eastAsia="Calibri" w:hAnsi="Verdana" w:cs="Arial"/>
          <w:color w:val="000000"/>
        </w:rPr>
        <w:tab/>
        <w:t xml:space="preserve">La </w:t>
      </w:r>
      <w:r w:rsidRPr="00437DB4">
        <w:rPr>
          <w:rFonts w:ascii="Verdana" w:eastAsia="Calibri" w:hAnsi="Verdana" w:cs="Arial"/>
          <w:color w:val="000000"/>
        </w:rPr>
        <w:t>entidad, en ejercicio de su autonomía y conforme al régimen especial que la rige, será la responsable de determinar cuál de los dos módulos de contratación resulta aplicable en cada proceso que adelante. Esta decisión no es automática, sino que debe surgir de un análisis cuidadoso realizado por la propia entidad con el acompañamiento de sus asesores, teniendo en cuenta la naturaleza del contrato, los principios de transparencia y eficiencia, así como las condiciones particulares de la</w:t>
      </w:r>
      <w:r>
        <w:rPr>
          <w:rFonts w:ascii="Verdana" w:eastAsia="Calibri" w:hAnsi="Verdana" w:cs="Arial"/>
          <w:color w:val="000000"/>
        </w:rPr>
        <w:t xml:space="preserve"> contratación con o sin oferta. De este modo</w:t>
      </w:r>
      <w:r w:rsidRPr="00437DB4">
        <w:rPr>
          <w:rFonts w:ascii="Verdana" w:eastAsia="Calibri" w:hAnsi="Verdana" w:cs="Arial"/>
          <w:color w:val="000000"/>
        </w:rPr>
        <w:t xml:space="preserve">, se garantiza que la selección del módulo no solo responda a la normativa vigente, sino también a las necesidades específicas de cada proceso, permitiendo que la contratación se lleve a cabo de manera más ágil y ajustada a la realidad institucional. </w:t>
      </w:r>
      <w:r>
        <w:rPr>
          <w:rFonts w:ascii="Verdana" w:eastAsia="Calibri" w:hAnsi="Verdana" w:cs="Arial"/>
          <w:color w:val="000000"/>
        </w:rPr>
        <w:t xml:space="preserve">En todo caso, y en concordancia con lo anterior, </w:t>
      </w:r>
      <w:r w:rsidRPr="003717DB">
        <w:rPr>
          <w:rFonts w:ascii="Verdana" w:eastAsia="Calibri" w:hAnsi="Verdana" w:cs="Arial"/>
          <w:color w:val="000000"/>
        </w:rPr>
        <w:t>a Circu</w:t>
      </w:r>
      <w:r>
        <w:rPr>
          <w:rFonts w:ascii="Verdana" w:eastAsia="Calibri" w:hAnsi="Verdana" w:cs="Arial"/>
          <w:color w:val="000000"/>
        </w:rPr>
        <w:t>lar 002 del 1 de junio de 2022</w:t>
      </w:r>
      <w:r w:rsidRPr="003717DB">
        <w:rPr>
          <w:rFonts w:ascii="Verdana" w:eastAsia="Calibri" w:hAnsi="Verdana" w:cs="Arial"/>
          <w:color w:val="000000"/>
        </w:rPr>
        <w:t>, relacionada con la aplicación del artículo 53</w:t>
      </w:r>
      <w:r>
        <w:rPr>
          <w:rFonts w:ascii="Verdana" w:eastAsia="Calibri" w:hAnsi="Verdana" w:cs="Arial"/>
          <w:color w:val="000000"/>
        </w:rPr>
        <w:t xml:space="preserve"> de la Ley 2195 de 2022, expedida</w:t>
      </w:r>
      <w:r w:rsidRPr="003717DB">
        <w:rPr>
          <w:rFonts w:ascii="Verdana" w:eastAsia="Calibri" w:hAnsi="Verdana" w:cs="Arial"/>
          <w:color w:val="000000"/>
        </w:rPr>
        <w:t xml:space="preserve"> por el Departamento Administrativo de la Presidencia, </w:t>
      </w:r>
      <w:r>
        <w:rPr>
          <w:rFonts w:ascii="Verdana" w:eastAsia="Calibri" w:hAnsi="Verdana" w:cs="Arial"/>
          <w:color w:val="000000"/>
        </w:rPr>
        <w:t>frente a</w:t>
      </w:r>
      <w:r w:rsidRPr="003717DB">
        <w:rPr>
          <w:rFonts w:ascii="Verdana" w:eastAsia="Calibri" w:hAnsi="Verdana" w:cs="Arial"/>
          <w:color w:val="000000"/>
        </w:rPr>
        <w:t>l plazo para</w:t>
      </w:r>
      <w:r>
        <w:rPr>
          <w:rFonts w:ascii="Verdana" w:eastAsia="Calibri" w:hAnsi="Verdana" w:cs="Arial"/>
          <w:color w:val="000000"/>
        </w:rPr>
        <w:t xml:space="preserve"> cargar los documentos señaló</w:t>
      </w:r>
      <w:r w:rsidRPr="003717DB">
        <w:rPr>
          <w:rFonts w:ascii="Verdana" w:eastAsia="Calibri" w:hAnsi="Verdana" w:cs="Arial"/>
          <w:color w:val="000000"/>
        </w:rPr>
        <w:t>:</w:t>
      </w:r>
    </w:p>
    <w:p w14:paraId="5D335291" w14:textId="77777777" w:rsidR="00EB59DD" w:rsidRPr="004B28D6" w:rsidRDefault="00EB59DD" w:rsidP="00EB59DD">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 xml:space="preserve">“(…) </w:t>
      </w:r>
      <w:r w:rsidRPr="004B28D6">
        <w:rPr>
          <w:rFonts w:ascii="Verdana" w:eastAsia="Calibri" w:hAnsi="Verdana" w:cs="Arial"/>
          <w:color w:val="000000"/>
          <w:sz w:val="20"/>
          <w:szCs w:val="20"/>
        </w:rPr>
        <w:t xml:space="preserve">Si se utiliza el SECOP II como herramienta de publicidad, la publicación de los documentos relacionados con la actividad contractual deberá realizarse dentro de los 3 días siguientes a su expedición, en aplicación de lo dispuesto en el artículo 2.1.1.2.1.7. del Decreto 1081 de 2015, el cual remite al artículo 2.2.1.1.1.7.1. del Decreto 1082 de 2015, en el que se hace referencia al plazo en cita. </w:t>
      </w:r>
    </w:p>
    <w:p w14:paraId="14F36CFB" w14:textId="77777777" w:rsidR="00EB59DD" w:rsidRPr="004B28D6" w:rsidRDefault="00EB59DD" w:rsidP="00EB59DD">
      <w:pPr>
        <w:spacing w:after="0" w:line="240" w:lineRule="auto"/>
        <w:ind w:left="709" w:right="709"/>
        <w:jc w:val="both"/>
        <w:rPr>
          <w:rFonts w:ascii="Verdana" w:eastAsia="Calibri" w:hAnsi="Verdana" w:cs="Arial"/>
          <w:color w:val="000000"/>
          <w:sz w:val="20"/>
          <w:szCs w:val="20"/>
        </w:rPr>
      </w:pPr>
    </w:p>
    <w:p w14:paraId="59A886AA" w14:textId="77777777" w:rsidR="00EB59DD" w:rsidRPr="004B28D6" w:rsidRDefault="00EB59DD" w:rsidP="00EB59DD">
      <w:pPr>
        <w:spacing w:after="0" w:line="240" w:lineRule="auto"/>
        <w:ind w:left="709" w:right="709"/>
        <w:jc w:val="both"/>
        <w:rPr>
          <w:rFonts w:ascii="Verdana" w:eastAsia="Calibri" w:hAnsi="Verdana" w:cs="Arial"/>
          <w:color w:val="000000"/>
          <w:sz w:val="20"/>
          <w:szCs w:val="20"/>
        </w:rPr>
      </w:pPr>
      <w:r w:rsidRPr="004B28D6">
        <w:rPr>
          <w:rFonts w:ascii="Verdana" w:eastAsia="Calibri" w:hAnsi="Verdana" w:cs="Arial"/>
          <w:color w:val="000000"/>
          <w:sz w:val="20"/>
          <w:szCs w:val="20"/>
        </w:rPr>
        <w:t>Si se hace uso de la plataforma de manera transaccional, la publicación de los documentos relacionados con la actividad contractual deberá realizarse en los términos establecidos en el cronograma del proceso de selección y las reglas aplicables a cada modalidad de contratación en particular, de acuerdo con cada Manual de Contratación</w:t>
      </w:r>
      <w:r>
        <w:rPr>
          <w:rFonts w:ascii="Verdana" w:eastAsia="Calibri" w:hAnsi="Verdana" w:cs="Arial"/>
          <w:color w:val="000000"/>
          <w:sz w:val="20"/>
          <w:szCs w:val="20"/>
        </w:rPr>
        <w:t xml:space="preserve"> (…)”</w:t>
      </w:r>
      <w:r w:rsidRPr="004B28D6">
        <w:rPr>
          <w:rFonts w:ascii="Verdana" w:eastAsia="Calibri" w:hAnsi="Verdana" w:cs="Arial"/>
          <w:color w:val="000000"/>
          <w:sz w:val="20"/>
          <w:szCs w:val="20"/>
        </w:rPr>
        <w:t xml:space="preserve">. </w:t>
      </w:r>
    </w:p>
    <w:p w14:paraId="31430B6A" w14:textId="77777777" w:rsidR="00EB59DD" w:rsidRDefault="00EB59DD" w:rsidP="00EB59DD">
      <w:pPr>
        <w:spacing w:after="0" w:line="276" w:lineRule="auto"/>
        <w:jc w:val="both"/>
        <w:rPr>
          <w:rFonts w:ascii="Verdana" w:eastAsia="Calibri" w:hAnsi="Verdana" w:cs="Arial"/>
          <w:color w:val="000000"/>
        </w:rPr>
      </w:pPr>
    </w:p>
    <w:p w14:paraId="7419AB4F" w14:textId="77777777" w:rsidR="00EB59DD" w:rsidRDefault="00EB59DD" w:rsidP="00EB59DD">
      <w:pPr>
        <w:spacing w:after="120" w:line="276" w:lineRule="auto"/>
        <w:jc w:val="both"/>
        <w:rPr>
          <w:rFonts w:ascii="Verdana" w:eastAsia="Calibri" w:hAnsi="Verdana" w:cs="Arial"/>
          <w:color w:val="000000"/>
        </w:rPr>
      </w:pPr>
      <w:r>
        <w:rPr>
          <w:rFonts w:ascii="Verdana" w:eastAsia="Calibri" w:hAnsi="Verdana" w:cs="Arial"/>
          <w:color w:val="000000"/>
        </w:rPr>
        <w:tab/>
        <w:t xml:space="preserve">Así las cosas, </w:t>
      </w:r>
      <w:r w:rsidRPr="00C43987">
        <w:rPr>
          <w:rFonts w:ascii="Verdana" w:eastAsia="Calibri" w:hAnsi="Verdana" w:cs="Arial"/>
          <w:color w:val="000000"/>
        </w:rPr>
        <w:t>se concluye que las Entidades Estatales que, por disposición legal, cuenten con un régimen contractual distinto al previsto en el Estatuto General de Contratación de la Administración Pública, disponen de un plazo de tres (3) días hábiles posteriores a la expedición del acto para realizar la</w:t>
      </w:r>
      <w:r>
        <w:rPr>
          <w:rFonts w:ascii="Verdana" w:eastAsia="Calibri" w:hAnsi="Verdana" w:cs="Arial"/>
          <w:color w:val="000000"/>
        </w:rPr>
        <w:t xml:space="preserve"> publicación en el SECOP II. Esto, </w:t>
      </w:r>
      <w:r w:rsidRPr="00C43987">
        <w:rPr>
          <w:rFonts w:ascii="Verdana" w:eastAsia="Calibri" w:hAnsi="Verdana" w:cs="Arial"/>
          <w:color w:val="000000"/>
        </w:rPr>
        <w:t>sin perjuicio de que dichas entidades utilicen la plataforma de manera transaccional, caso en el cual la publicación de los documentos deberá efectuarse en tiempo real, conforme al cronograma establecido para el respectivo proceso de selección.</w:t>
      </w:r>
    </w:p>
    <w:p w14:paraId="17CDF2AF" w14:textId="77777777" w:rsidR="00EB59DD" w:rsidRPr="00310747" w:rsidRDefault="00EB59DD" w:rsidP="00EB59DD">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Ahora bien</w:t>
      </w:r>
      <w:r w:rsidRPr="00310747">
        <w:rPr>
          <w:rFonts w:ascii="Verdana" w:eastAsia="Calibri" w:hAnsi="Verdana" w:cs="Arial"/>
          <w:color w:val="000000"/>
        </w:rPr>
        <w:t xml:space="preserve">, el análisis sobre la posibilidad de diferenciar la publicidad contractual según el origen público o privado de los recursos debe partir de que el deber de divulgación previsto en el artículo 53 de la Ley 2195 de 2022, que modificó el artículo 13 de la Ley 1150 de 2007, no introdujo distinción alguna basada en la fuente de financiación. El legislador optó por un mandato general de transparencia aplicable a </w:t>
      </w:r>
      <w:r w:rsidRPr="00310747">
        <w:rPr>
          <w:rFonts w:ascii="Verdana" w:eastAsia="Calibri" w:hAnsi="Verdana" w:cs="Arial"/>
          <w:i/>
          <w:iCs/>
          <w:color w:val="000000"/>
        </w:rPr>
        <w:t>todas</w:t>
      </w:r>
      <w:r w:rsidRPr="00310747">
        <w:rPr>
          <w:rFonts w:ascii="Verdana" w:eastAsia="Calibri" w:hAnsi="Verdana" w:cs="Arial"/>
          <w:color w:val="000000"/>
        </w:rPr>
        <w:t xml:space="preserve"> las entidades estatales, incluidas aquellas con régimen contractual especial o sujetas al derecho privado, de modo que la obligación de publicar en el SECOP se activa por la naturaleza pública del sujeto obligado, y no por la procedencia de los recursos que soportan la contratación.</w:t>
      </w:r>
    </w:p>
    <w:p w14:paraId="52E3D626" w14:textId="77777777" w:rsidR="00EB59DD" w:rsidRDefault="00EB59DD" w:rsidP="00EB59DD">
      <w:pPr>
        <w:spacing w:after="0" w:line="276" w:lineRule="auto"/>
        <w:ind w:firstLine="709"/>
        <w:jc w:val="both"/>
        <w:rPr>
          <w:rFonts w:ascii="Verdana" w:eastAsia="Calibri" w:hAnsi="Verdana" w:cs="Arial"/>
          <w:color w:val="000000"/>
        </w:rPr>
      </w:pPr>
      <w:r>
        <w:rPr>
          <w:rFonts w:ascii="Verdana" w:eastAsia="Calibri" w:hAnsi="Verdana" w:cs="Arial"/>
          <w:color w:val="000000"/>
        </w:rPr>
        <w:t>Por tanto</w:t>
      </w:r>
      <w:r w:rsidRPr="00310747">
        <w:rPr>
          <w:rFonts w:ascii="Verdana" w:eastAsia="Calibri" w:hAnsi="Verdana" w:cs="Arial"/>
          <w:color w:val="000000"/>
        </w:rPr>
        <w:t>, la norma consolidó un deber de publicidad de alcance objetivo y uniforme, que no admite segmentaciones entre contratos financiados con recursos públicos y aquellos derivados de capital privado o de actividades comerciales propias. Esta interpretación constituye un principio estructural del sistema de contratación estatal y, por tanto, no puede condicionarse al origen de los recursos, salvo las excepciones expresamente previstas en la ley en materia de r</w:t>
      </w:r>
      <w:r>
        <w:rPr>
          <w:rFonts w:ascii="Verdana" w:eastAsia="Calibri" w:hAnsi="Verdana" w:cs="Arial"/>
          <w:color w:val="000000"/>
        </w:rPr>
        <w:t xml:space="preserve">estricción de la información por considerarse clasificada o reservada. </w:t>
      </w:r>
      <w:r w:rsidRPr="00BF03B4">
        <w:rPr>
          <w:rFonts w:ascii="Verdana" w:eastAsia="Calibri" w:hAnsi="Verdana" w:cs="Arial"/>
          <w:color w:val="000000"/>
        </w:rPr>
        <w:t>Por ello, resulta especialmente relevante, en escenarios donde se analiza la restricción de información asociada a actividades empresariales, tener en cuenta el Concepto C</w:t>
      </w:r>
      <w:r w:rsidRPr="00BF03B4">
        <w:rPr>
          <w:rFonts w:ascii="Verdana" w:eastAsia="Calibri" w:hAnsi="Verdana" w:cs="Arial"/>
          <w:color w:val="000000"/>
        </w:rPr>
        <w:noBreakHyphen/>
        <w:t>1784 del 22 de diciembre de 2025. Este concepto ofrece criterios útiles para delimitar el alcance de la publicidad y, en particular, para identificar herramientas jurídicas aplicables a la protección de secretos empresariales y demás información sensible de naturaleza económica o competitiva.</w:t>
      </w:r>
    </w:p>
    <w:p w14:paraId="099B60F3" w14:textId="77777777" w:rsidR="00EB59DD" w:rsidRDefault="00EB59DD" w:rsidP="00EB59DD">
      <w:pPr>
        <w:spacing w:after="0" w:line="276" w:lineRule="auto"/>
        <w:jc w:val="both"/>
        <w:rPr>
          <w:rFonts w:ascii="Verdana" w:eastAsia="Calibri" w:hAnsi="Verdana" w:cs="Arial"/>
          <w:color w:val="000000"/>
        </w:rPr>
      </w:pPr>
    </w:p>
    <w:p w14:paraId="28E30865" w14:textId="77777777" w:rsidR="00EB59DD" w:rsidRDefault="00EB59DD" w:rsidP="00EB59DD">
      <w:pPr>
        <w:spacing w:after="120" w:line="276" w:lineRule="auto"/>
        <w:jc w:val="both"/>
        <w:rPr>
          <w:rFonts w:ascii="Verdana" w:eastAsia="Calibri" w:hAnsi="Verdana" w:cs="Arial"/>
          <w:color w:val="000000"/>
        </w:rPr>
      </w:pPr>
      <w:proofErr w:type="spellStart"/>
      <w:r w:rsidRPr="00625243">
        <w:rPr>
          <w:rFonts w:ascii="Verdana" w:eastAsia="Calibri" w:hAnsi="Verdana" w:cs="Arial"/>
          <w:color w:val="000000"/>
        </w:rPr>
        <w:t>ii</w:t>
      </w:r>
      <w:proofErr w:type="spellEnd"/>
      <w:r w:rsidRPr="00625243">
        <w:rPr>
          <w:rFonts w:ascii="Verdana" w:eastAsia="Calibri" w:hAnsi="Verdana" w:cs="Arial"/>
          <w:color w:val="000000"/>
        </w:rPr>
        <w:t xml:space="preserve">) </w:t>
      </w:r>
      <w:r>
        <w:rPr>
          <w:rFonts w:ascii="Verdana" w:eastAsia="Calibri" w:hAnsi="Verdana" w:cs="Arial"/>
          <w:color w:val="000000"/>
        </w:rPr>
        <w:t>R</w:t>
      </w:r>
      <w:r>
        <w:rPr>
          <w:rFonts w:ascii="Verdana" w:eastAsia="Verdana" w:hAnsi="Verdana" w:cs="Verdana"/>
          <w:lang w:val="es-MX"/>
        </w:rPr>
        <w:t xml:space="preserve">especto de datos sensibles, información sometida a reserva o de la cual proceda un tratamiento especial que impida su publicidad, las entidades deberán proceder de conformidad con el tratamiento que impongan tales normas. </w:t>
      </w:r>
    </w:p>
    <w:p w14:paraId="28C5D46C" w14:textId="77777777" w:rsidR="00EB59DD" w:rsidRDefault="00EB59DD" w:rsidP="00EB59DD">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 xml:space="preserve">Ahora bien, el cumplimiento del deber de publicación de la documentación contractual debe armonizarse con las normas aplicables al tipo de información que estas contienen, teniendo en cuenta que el artículo 74 de la Constitución establece que la información pública debe ser dada a conocer a la ciudadanía y así los documentos que hagan parte de la actividad contractual puedan catalogarse, prima facie, como información pública, salvo que dicha documentación contenga información sometida a alguna reserva, que establezca la Constitución o la ley, aplicando algunas restricciones a su publicidad o suministro. Sin embargo, esto no necesariamente convierte el documento completo en reservado, es decir, en un documento que no puede publicarse. Al respecto, la Ley Estatutaria 1712 de 2014 define en el artículo 5° dos tipos de información que tendrá el carácter reservado, como es la información pública clasificada y la información pública reservada: </w:t>
      </w:r>
    </w:p>
    <w:p w14:paraId="487302E2" w14:textId="77777777" w:rsidR="00EB59DD" w:rsidRPr="00625243" w:rsidRDefault="00EB59DD" w:rsidP="00EB59DD">
      <w:pPr>
        <w:spacing w:after="0" w:line="240" w:lineRule="auto"/>
        <w:ind w:left="709" w:right="709"/>
        <w:jc w:val="both"/>
        <w:rPr>
          <w:rFonts w:ascii="Verdana" w:eastAsia="Calibri" w:hAnsi="Verdana" w:cs="Arial"/>
          <w:color w:val="000000"/>
          <w:sz w:val="20"/>
          <w:szCs w:val="20"/>
        </w:rPr>
      </w:pPr>
      <w:r w:rsidRPr="00625243">
        <w:rPr>
          <w:rFonts w:ascii="Verdana" w:eastAsia="Calibri" w:hAnsi="Verdana" w:cs="Arial"/>
          <w:bCs/>
          <w:color w:val="000000"/>
          <w:sz w:val="20"/>
          <w:szCs w:val="20"/>
        </w:rPr>
        <w:t xml:space="preserve">Artículo 6°. </w:t>
      </w:r>
      <w:r w:rsidRPr="00625243">
        <w:rPr>
          <w:rFonts w:ascii="Verdana" w:eastAsia="Calibri" w:hAnsi="Verdana" w:cs="Arial"/>
          <w:i/>
          <w:iCs/>
          <w:color w:val="000000"/>
          <w:sz w:val="20"/>
          <w:szCs w:val="20"/>
        </w:rPr>
        <w:t>Definiciones</w:t>
      </w:r>
      <w:r w:rsidRPr="00625243">
        <w:rPr>
          <w:rFonts w:ascii="Verdana" w:eastAsia="Calibri" w:hAnsi="Verdana" w:cs="Arial"/>
          <w:color w:val="000000"/>
          <w:sz w:val="20"/>
          <w:szCs w:val="20"/>
        </w:rPr>
        <w:t xml:space="preserve">. </w:t>
      </w:r>
    </w:p>
    <w:p w14:paraId="7F427529" w14:textId="77777777" w:rsidR="00EB59DD" w:rsidRPr="00625243" w:rsidRDefault="00EB59DD" w:rsidP="00EB59DD">
      <w:pPr>
        <w:spacing w:after="0" w:line="240" w:lineRule="auto"/>
        <w:ind w:left="709" w:right="709"/>
        <w:jc w:val="both"/>
        <w:rPr>
          <w:rFonts w:ascii="Verdana" w:eastAsia="Calibri" w:hAnsi="Verdana" w:cs="Arial"/>
          <w:color w:val="000000"/>
          <w:sz w:val="20"/>
          <w:szCs w:val="20"/>
        </w:rPr>
      </w:pPr>
      <w:r w:rsidRPr="00625243">
        <w:rPr>
          <w:rFonts w:ascii="Verdana" w:eastAsia="Calibri" w:hAnsi="Verdana" w:cs="Arial"/>
          <w:bCs/>
          <w:color w:val="000000"/>
          <w:sz w:val="20"/>
          <w:szCs w:val="20"/>
        </w:rPr>
        <w:t>[</w:t>
      </w:r>
      <w:r w:rsidRPr="00625243">
        <w:rPr>
          <w:rFonts w:ascii="Verdana" w:eastAsia="Calibri" w:hAnsi="Verdana" w:cs="Arial"/>
          <w:color w:val="000000"/>
          <w:sz w:val="20"/>
          <w:szCs w:val="20"/>
        </w:rPr>
        <w:t>…]</w:t>
      </w:r>
    </w:p>
    <w:p w14:paraId="339596AA" w14:textId="77777777" w:rsidR="00EB59DD" w:rsidRPr="00625243" w:rsidRDefault="00EB59DD" w:rsidP="00EB59DD">
      <w:pPr>
        <w:spacing w:after="0" w:line="240" w:lineRule="auto"/>
        <w:ind w:left="709" w:right="709"/>
        <w:jc w:val="both"/>
        <w:rPr>
          <w:rFonts w:ascii="Verdana" w:eastAsia="Calibri" w:hAnsi="Verdana" w:cs="Arial"/>
          <w:color w:val="000000"/>
          <w:sz w:val="20"/>
          <w:szCs w:val="20"/>
        </w:rPr>
      </w:pPr>
      <w:r w:rsidRPr="00625243">
        <w:rPr>
          <w:rFonts w:ascii="Verdana" w:eastAsia="Calibri" w:hAnsi="Verdana" w:cs="Arial"/>
          <w:color w:val="000000"/>
          <w:sz w:val="20"/>
          <w:szCs w:val="20"/>
        </w:rPr>
        <w:t>c) </w:t>
      </w:r>
      <w:r w:rsidRPr="00625243">
        <w:rPr>
          <w:rFonts w:ascii="Verdana" w:eastAsia="Calibri" w:hAnsi="Verdana" w:cs="Arial"/>
          <w:bCs/>
          <w:color w:val="000000"/>
          <w:sz w:val="20"/>
          <w:szCs w:val="20"/>
        </w:rPr>
        <w:t>Información pública clasificada. </w:t>
      </w:r>
      <w:r w:rsidRPr="00625243">
        <w:rPr>
          <w:rFonts w:ascii="Verdana" w:eastAsia="Calibri" w:hAnsi="Verdana" w:cs="Arial"/>
          <w:color w:val="000000"/>
          <w:sz w:val="20"/>
          <w:szCs w:val="20"/>
        </w:rPr>
        <w:t>Es aquella información que estando en poder o custodia de un sujeto obligado en su calidad de tal, pertenece al ámbito propio, particular y privado o semiprivado de una persona natural o jurídica por lo que su acceso podrá ser negado o exceptuado, siempre que se trate de las circunstancias legítimas y necesarias y los derechos particulares o privados consagrados en el artículo 18 de esta ley; </w:t>
      </w:r>
    </w:p>
    <w:p w14:paraId="0CC1B979" w14:textId="77777777" w:rsidR="00EB59DD" w:rsidRPr="00625243" w:rsidRDefault="00EB59DD" w:rsidP="00EB59DD">
      <w:pPr>
        <w:spacing w:after="0" w:line="240" w:lineRule="auto"/>
        <w:ind w:left="709" w:right="709"/>
        <w:jc w:val="both"/>
        <w:rPr>
          <w:rFonts w:ascii="Verdana" w:eastAsia="Calibri" w:hAnsi="Verdana" w:cs="Arial"/>
          <w:color w:val="000000"/>
          <w:sz w:val="20"/>
          <w:szCs w:val="20"/>
        </w:rPr>
      </w:pPr>
    </w:p>
    <w:p w14:paraId="7EF515E5" w14:textId="77777777" w:rsidR="00EB59DD" w:rsidRDefault="00EB59DD" w:rsidP="00EB59DD">
      <w:pPr>
        <w:spacing w:after="0" w:line="240" w:lineRule="auto"/>
        <w:ind w:left="709" w:right="709"/>
        <w:jc w:val="both"/>
        <w:rPr>
          <w:rFonts w:ascii="Verdana" w:eastAsia="Calibri" w:hAnsi="Verdana" w:cs="Arial"/>
          <w:color w:val="000000"/>
          <w:sz w:val="20"/>
          <w:szCs w:val="20"/>
        </w:rPr>
      </w:pPr>
      <w:r w:rsidRPr="00625243">
        <w:rPr>
          <w:rFonts w:ascii="Verdana" w:eastAsia="Calibri" w:hAnsi="Verdana" w:cs="Arial"/>
          <w:color w:val="000000"/>
          <w:sz w:val="20"/>
          <w:szCs w:val="20"/>
        </w:rPr>
        <w:t>d) </w:t>
      </w:r>
      <w:r w:rsidRPr="00625243">
        <w:rPr>
          <w:rFonts w:ascii="Verdana" w:eastAsia="Calibri" w:hAnsi="Verdana" w:cs="Arial"/>
          <w:bCs/>
          <w:color w:val="000000"/>
          <w:sz w:val="20"/>
          <w:szCs w:val="20"/>
        </w:rPr>
        <w:t>Información pública reservada. </w:t>
      </w:r>
      <w:r w:rsidRPr="00625243">
        <w:rPr>
          <w:rFonts w:ascii="Verdana" w:eastAsia="Calibri" w:hAnsi="Verdana" w:cs="Arial"/>
          <w:color w:val="000000"/>
          <w:sz w:val="20"/>
          <w:szCs w:val="20"/>
        </w:rPr>
        <w:t>Es aquella información que estando en poder o custodia de un sujeto obligado en su calidad de tal, es exceptuada de acceso a la ciudadanía por daño a intereses públicos y bajo cumplimiento de la totalidad de los requisitos consagrados en el artículo 19 de esta ley; </w:t>
      </w:r>
    </w:p>
    <w:p w14:paraId="1B55E236" w14:textId="77777777" w:rsidR="00EB59DD" w:rsidRPr="00625243" w:rsidRDefault="00EB59DD" w:rsidP="00EB59DD">
      <w:pPr>
        <w:spacing w:after="0" w:line="240" w:lineRule="auto"/>
        <w:ind w:left="709" w:right="709"/>
        <w:jc w:val="both"/>
        <w:rPr>
          <w:rFonts w:ascii="Verdana" w:eastAsia="Calibri" w:hAnsi="Verdana" w:cs="Arial"/>
          <w:color w:val="000000"/>
          <w:sz w:val="20"/>
          <w:szCs w:val="20"/>
        </w:rPr>
      </w:pPr>
    </w:p>
    <w:p w14:paraId="48D3FA5F" w14:textId="77777777" w:rsidR="00EB59DD" w:rsidRPr="00AD6B46" w:rsidRDefault="00EB59DD" w:rsidP="00EB59DD">
      <w:pPr>
        <w:spacing w:after="120" w:line="276" w:lineRule="auto"/>
        <w:jc w:val="both"/>
        <w:rPr>
          <w:rFonts w:ascii="Verdana" w:eastAsia="Calibri" w:hAnsi="Verdana" w:cs="Arial"/>
          <w:color w:val="000000"/>
        </w:rPr>
      </w:pPr>
      <w:r w:rsidRPr="00AD6B46">
        <w:rPr>
          <w:rFonts w:ascii="Verdana" w:eastAsia="Calibri" w:hAnsi="Verdana" w:cs="Arial"/>
          <w:color w:val="000000"/>
        </w:rPr>
        <w:t>Estos dos tipos de información están contenidos en los artículos 18</w:t>
      </w:r>
      <w:r w:rsidRPr="00AD6B46">
        <w:rPr>
          <w:rFonts w:ascii="Verdana" w:eastAsia="Calibri" w:hAnsi="Verdana" w:cs="Arial"/>
          <w:color w:val="000000"/>
          <w:vertAlign w:val="superscript"/>
        </w:rPr>
        <w:footnoteReference w:id="14"/>
      </w:r>
      <w:r w:rsidRPr="00AD6B46">
        <w:rPr>
          <w:rFonts w:ascii="Verdana" w:eastAsia="Calibri" w:hAnsi="Verdana" w:cs="Arial"/>
          <w:color w:val="000000"/>
        </w:rPr>
        <w:t xml:space="preserve"> y 19 de la Ley 1712 de 2014</w:t>
      </w:r>
      <w:r w:rsidRPr="00AD6B46">
        <w:rPr>
          <w:rFonts w:ascii="Verdana" w:eastAsia="Calibri" w:hAnsi="Verdana" w:cs="Arial"/>
          <w:color w:val="000000"/>
          <w:vertAlign w:val="superscript"/>
        </w:rPr>
        <w:footnoteReference w:id="15"/>
      </w:r>
      <w:r w:rsidRPr="00AD6B46">
        <w:rPr>
          <w:rFonts w:ascii="Verdana" w:eastAsia="Calibri" w:hAnsi="Verdana" w:cs="Arial"/>
          <w:color w:val="000000"/>
        </w:rPr>
        <w:t xml:space="preserve">. Lo anterior significa que, respecto de datos que contengan información clasificada por protección de derechos particulares o reservada por defensa de intereses públicos, las entidades deberán proceder de conformidad con lo dispuesto en la Ley 1712 de 2014 y sus decretos reglamentarios sobre el manejo de la información que está sometida a reserva. </w:t>
      </w:r>
    </w:p>
    <w:p w14:paraId="0738F6AA" w14:textId="77777777" w:rsidR="00EB59DD" w:rsidRDefault="00EB59DD" w:rsidP="00EB59DD">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En esta misma línea, el artículo 24 de la Ley 1437 de 2011 sustituido por el artículo 2 de la Ley 1755 de 2015</w:t>
      </w:r>
      <w:r w:rsidRPr="00AD6B46">
        <w:rPr>
          <w:rFonts w:ascii="Verdana" w:eastAsia="Calibri" w:hAnsi="Verdana" w:cs="Arial"/>
          <w:color w:val="000000"/>
          <w:vertAlign w:val="superscript"/>
        </w:rPr>
        <w:footnoteReference w:id="16"/>
      </w:r>
      <w:r w:rsidRPr="00AD6B46">
        <w:rPr>
          <w:rFonts w:ascii="Verdana" w:eastAsia="Calibri" w:hAnsi="Verdana" w:cs="Arial"/>
          <w:color w:val="000000"/>
        </w:rPr>
        <w:t xml:space="preserve"> establece algunas materias que son sujetas de reserva de información. De tal forma, que las reservas de información no están solo reguladas en la Ley 1712 de 2014 y en el artículo 24 de la Ley 1437 de 2011 sustituido por el artículo 2 de la Ley 1755 de 2015, pues existen otras normatividades, como la </w:t>
      </w:r>
      <w:r>
        <w:rPr>
          <w:rFonts w:ascii="Verdana" w:eastAsia="Calibri" w:hAnsi="Verdana" w:cs="Arial"/>
          <w:color w:val="000000"/>
        </w:rPr>
        <w:t xml:space="preserve">Ley 1266 de 2008, </w:t>
      </w:r>
      <w:r w:rsidRPr="00AD6B46">
        <w:rPr>
          <w:rFonts w:ascii="Verdana" w:eastAsia="Calibri" w:hAnsi="Verdana" w:cs="Arial"/>
          <w:color w:val="000000"/>
        </w:rPr>
        <w:t>Ley 1581 de 2012, Ley 1621 de 2013, entre otras, que establecen reservas a la información pública.</w:t>
      </w:r>
    </w:p>
    <w:p w14:paraId="2F5B9DAB" w14:textId="77777777" w:rsidR="00EB59DD" w:rsidRDefault="00EB59DD" w:rsidP="00EB59DD">
      <w:pPr>
        <w:spacing w:after="120" w:line="276" w:lineRule="auto"/>
        <w:ind w:firstLine="709"/>
        <w:jc w:val="both"/>
        <w:rPr>
          <w:rFonts w:ascii="Verdana" w:eastAsia="Calibri" w:hAnsi="Verdana" w:cs="Arial"/>
          <w:color w:val="000000"/>
        </w:rPr>
      </w:pPr>
      <w:r>
        <w:rPr>
          <w:rFonts w:ascii="Verdana" w:eastAsia="Calibri" w:hAnsi="Verdana" w:cs="Arial"/>
          <w:color w:val="000000"/>
        </w:rPr>
        <w:t>De las materias sujetas de reserva de información establecidas en las Leyes Estatutarias 1712 de 2014 y 1755 de 2015, se encuentra los secretos comerciales o industriales con sus respectivos pronunciamientos de constitucionalidad</w:t>
      </w:r>
      <w:r>
        <w:rPr>
          <w:rStyle w:val="Refdenotaalpie"/>
          <w:rFonts w:ascii="Verdana" w:eastAsia="Calibri" w:hAnsi="Verdana" w:cs="Arial"/>
          <w:color w:val="000000"/>
        </w:rPr>
        <w:footnoteReference w:id="17"/>
      </w:r>
      <w:r>
        <w:rPr>
          <w:rFonts w:ascii="Verdana" w:eastAsia="Calibri" w:hAnsi="Verdana" w:cs="Arial"/>
          <w:color w:val="000000"/>
        </w:rPr>
        <w:t xml:space="preserve">. Para ello, es necesario entender que los secretos industriales son definidos por la Superintendencia de Industria y Comercio, así: “[…] </w:t>
      </w:r>
      <w:r w:rsidRPr="002D1400">
        <w:rPr>
          <w:rFonts w:ascii="Verdana" w:eastAsia="Calibri" w:hAnsi="Verdana" w:cs="Arial"/>
          <w:color w:val="000000"/>
        </w:rPr>
        <w:t>conjunto de conocimientos o informaciones que no son de dominio público, que son necesarios para la fabricación o comercialización de un producto, para la producción o prestación de un bien o servicio, o para la organización y financiación de una empresa o de una unidad o dependencia empresarial, y que, por ello, procura a quien los domina, una ventaja</w:t>
      </w:r>
      <w:r>
        <w:rPr>
          <w:rFonts w:ascii="Verdana" w:eastAsia="Calibri" w:hAnsi="Verdana" w:cs="Arial"/>
          <w:color w:val="000000"/>
        </w:rPr>
        <w:t>”</w:t>
      </w:r>
      <w:r>
        <w:rPr>
          <w:rStyle w:val="Refdenotaalpie"/>
          <w:rFonts w:ascii="Verdana" w:eastAsia="Calibri" w:hAnsi="Verdana" w:cs="Arial"/>
          <w:color w:val="000000"/>
        </w:rPr>
        <w:footnoteReference w:id="18"/>
      </w:r>
      <w:r w:rsidRPr="002D1400">
        <w:rPr>
          <w:rFonts w:ascii="Verdana" w:eastAsia="Calibri" w:hAnsi="Verdana" w:cs="Arial"/>
          <w:color w:val="000000"/>
        </w:rPr>
        <w:t>.</w:t>
      </w:r>
      <w:r>
        <w:rPr>
          <w:rFonts w:ascii="Verdana" w:eastAsia="Calibri" w:hAnsi="Verdana" w:cs="Arial"/>
          <w:color w:val="000000"/>
        </w:rPr>
        <w:t xml:space="preserve"> Mientras, el secreto comercial es definido por el Diccionario Panhispánico Jurídico de la siguiente forma: “[…] </w:t>
      </w:r>
      <w:r w:rsidRPr="00443CC7">
        <w:rPr>
          <w:rFonts w:ascii="Verdana" w:eastAsia="Calibri" w:hAnsi="Verdana" w:cs="Arial"/>
          <w:color w:val="000000"/>
        </w:rPr>
        <w:t>Información que no es generalmente conocida por las personas pertenecientes a los círculos en que normalmente se utilice este tipo de información, ni es fácilmente accesible para aquellas, tiene valor comercial y no ha sido divulgada o ha sido objeto de medidas razonables para mantenerla reservada</w:t>
      </w:r>
      <w:r>
        <w:rPr>
          <w:rFonts w:ascii="Verdana" w:eastAsia="Calibri" w:hAnsi="Verdana" w:cs="Arial"/>
          <w:color w:val="000000"/>
        </w:rPr>
        <w:t>”</w:t>
      </w:r>
      <w:r>
        <w:rPr>
          <w:rStyle w:val="Refdenotaalpie"/>
          <w:rFonts w:ascii="Verdana" w:eastAsia="Calibri" w:hAnsi="Verdana" w:cs="Arial"/>
          <w:color w:val="000000"/>
        </w:rPr>
        <w:footnoteReference w:id="19"/>
      </w:r>
      <w:r w:rsidRPr="00443CC7">
        <w:rPr>
          <w:rFonts w:ascii="Verdana" w:eastAsia="Calibri" w:hAnsi="Verdana" w:cs="Arial"/>
          <w:color w:val="000000"/>
        </w:rPr>
        <w:t>.</w:t>
      </w:r>
    </w:p>
    <w:p w14:paraId="68BC6EA7" w14:textId="77777777" w:rsidR="00EB59DD" w:rsidRPr="00F04798" w:rsidRDefault="00EB59DD" w:rsidP="00EB59DD">
      <w:pPr>
        <w:spacing w:after="120" w:line="276" w:lineRule="auto"/>
        <w:ind w:firstLine="708"/>
        <w:jc w:val="both"/>
        <w:rPr>
          <w:rFonts w:ascii="Verdana" w:eastAsia="Calibri" w:hAnsi="Verdana" w:cs="Arial"/>
          <w:color w:val="000000"/>
        </w:rPr>
      </w:pPr>
      <w:r>
        <w:rPr>
          <w:rFonts w:ascii="Verdana" w:eastAsia="Calibri" w:hAnsi="Verdana" w:cs="Arial"/>
          <w:color w:val="000000"/>
        </w:rPr>
        <w:t xml:space="preserve">Para entender la reserva de información sobre los secretos comerciales e industriales, hay que acudir a la definición de secreto empresarial prevista en el Decisión 486 de la Comunidad Andina de Naciones, cuyo tenor literal prescribe: </w:t>
      </w:r>
    </w:p>
    <w:p w14:paraId="1FEDEC17" w14:textId="77777777" w:rsidR="00EB59DD" w:rsidRPr="00A749E7" w:rsidRDefault="00EB59DD" w:rsidP="00EB59DD">
      <w:pPr>
        <w:spacing w:after="0" w:line="240" w:lineRule="auto"/>
        <w:ind w:left="709" w:right="709"/>
        <w:jc w:val="both"/>
        <w:rPr>
          <w:rFonts w:ascii="Verdana" w:eastAsia="Times New Roman" w:hAnsi="Verdana" w:cs="Times New Roman"/>
          <w:sz w:val="20"/>
          <w:szCs w:val="20"/>
        </w:rPr>
      </w:pPr>
      <w:r w:rsidRPr="00A749E7">
        <w:rPr>
          <w:rFonts w:ascii="Verdana" w:eastAsia="Times New Roman" w:hAnsi="Verdana" w:cs="Times New Roman"/>
          <w:sz w:val="20"/>
          <w:szCs w:val="20"/>
        </w:rPr>
        <w:t xml:space="preserve">“Artículo 260.- Se considerará como secreto empresarial </w:t>
      </w:r>
      <w:r w:rsidRPr="00A749E7">
        <w:rPr>
          <w:rFonts w:ascii="Verdana" w:eastAsia="Times New Roman" w:hAnsi="Verdana" w:cs="Times New Roman"/>
          <w:i/>
          <w:sz w:val="20"/>
          <w:szCs w:val="20"/>
          <w:u w:val="single"/>
        </w:rPr>
        <w:t>cualquier información no divulgada que una persona natural o jurídica legítimamente posea</w:t>
      </w:r>
      <w:r w:rsidRPr="00A749E7">
        <w:rPr>
          <w:rFonts w:ascii="Verdana" w:eastAsia="Times New Roman" w:hAnsi="Verdana" w:cs="Times New Roman"/>
          <w:i/>
          <w:sz w:val="20"/>
          <w:szCs w:val="20"/>
        </w:rPr>
        <w:t>,</w:t>
      </w:r>
      <w:r w:rsidRPr="00A749E7">
        <w:rPr>
          <w:rFonts w:ascii="Verdana" w:eastAsia="Times New Roman" w:hAnsi="Verdana" w:cs="Times New Roman"/>
          <w:sz w:val="20"/>
          <w:szCs w:val="20"/>
        </w:rPr>
        <w:t xml:space="preserve"> que pueda usarse en alguna actividad productiva, </w:t>
      </w:r>
      <w:r w:rsidRPr="00A749E7">
        <w:rPr>
          <w:rFonts w:ascii="Verdana" w:eastAsia="Times New Roman" w:hAnsi="Verdana" w:cs="Times New Roman"/>
          <w:i/>
          <w:sz w:val="20"/>
          <w:szCs w:val="20"/>
          <w:u w:val="single"/>
        </w:rPr>
        <w:t>industrial o comercial</w:t>
      </w:r>
      <w:r w:rsidRPr="00A749E7">
        <w:rPr>
          <w:rFonts w:ascii="Verdana" w:eastAsia="Times New Roman" w:hAnsi="Verdana" w:cs="Times New Roman"/>
          <w:sz w:val="20"/>
          <w:szCs w:val="20"/>
          <w:u w:val="single"/>
        </w:rPr>
        <w:t>,</w:t>
      </w:r>
      <w:r w:rsidRPr="00A749E7">
        <w:rPr>
          <w:rFonts w:ascii="Verdana" w:eastAsia="Times New Roman" w:hAnsi="Verdana" w:cs="Times New Roman"/>
          <w:sz w:val="20"/>
          <w:szCs w:val="20"/>
        </w:rPr>
        <w:t xml:space="preserve"> y que sea susceptible de transmitirse a un tercero, en la medida que dicha información sea:</w:t>
      </w:r>
    </w:p>
    <w:p w14:paraId="0586E5A8" w14:textId="77777777" w:rsidR="00EB59DD" w:rsidRPr="00A749E7" w:rsidRDefault="00EB59DD" w:rsidP="00EB59DD">
      <w:pPr>
        <w:spacing w:after="0" w:line="240" w:lineRule="auto"/>
        <w:ind w:left="709" w:right="709"/>
        <w:jc w:val="both"/>
        <w:rPr>
          <w:rFonts w:ascii="Verdana" w:eastAsia="Times New Roman" w:hAnsi="Verdana" w:cs="Times New Roman"/>
          <w:sz w:val="20"/>
          <w:szCs w:val="20"/>
        </w:rPr>
      </w:pPr>
    </w:p>
    <w:p w14:paraId="23251375" w14:textId="77777777" w:rsidR="00EB59DD" w:rsidRPr="00A749E7" w:rsidRDefault="00EB59DD" w:rsidP="00EB59DD">
      <w:pPr>
        <w:spacing w:after="0" w:line="240" w:lineRule="auto"/>
        <w:ind w:left="709" w:right="709"/>
        <w:jc w:val="both"/>
        <w:rPr>
          <w:rFonts w:ascii="Verdana" w:eastAsia="Times New Roman" w:hAnsi="Verdana" w:cs="Times New Roman"/>
          <w:sz w:val="20"/>
          <w:szCs w:val="20"/>
        </w:rPr>
      </w:pPr>
      <w:r w:rsidRPr="00A749E7">
        <w:rPr>
          <w:rFonts w:ascii="Verdana" w:eastAsia="Times New Roman" w:hAnsi="Verdana" w:cs="Times New Roman"/>
          <w:sz w:val="20"/>
          <w:szCs w:val="20"/>
        </w:rPr>
        <w:t>a) secreta, en el sentido que como conjunto o en la configuración y reunión precisa de sus componentes, no sea generalmente conocida ni fácilmente accesible por quienes se encuentran en los círculos que normalmente manejan la información respectiva;</w:t>
      </w:r>
    </w:p>
    <w:p w14:paraId="60683689" w14:textId="77777777" w:rsidR="00EB59DD" w:rsidRPr="00A749E7" w:rsidRDefault="00EB59DD" w:rsidP="00EB59DD">
      <w:pPr>
        <w:spacing w:after="0" w:line="240" w:lineRule="auto"/>
        <w:ind w:left="709" w:right="709"/>
        <w:jc w:val="both"/>
        <w:rPr>
          <w:rFonts w:ascii="Verdana" w:eastAsia="Times New Roman" w:hAnsi="Verdana" w:cs="Times New Roman"/>
          <w:sz w:val="20"/>
          <w:szCs w:val="20"/>
        </w:rPr>
      </w:pPr>
      <w:r w:rsidRPr="00A749E7">
        <w:rPr>
          <w:rFonts w:ascii="Verdana" w:eastAsia="Times New Roman" w:hAnsi="Verdana" w:cs="Times New Roman"/>
          <w:sz w:val="20"/>
          <w:szCs w:val="20"/>
        </w:rPr>
        <w:t>b) tenga un valor comercial por ser secreta; y</w:t>
      </w:r>
    </w:p>
    <w:p w14:paraId="1901071B" w14:textId="77777777" w:rsidR="00EB59DD" w:rsidRPr="00A749E7" w:rsidRDefault="00EB59DD" w:rsidP="00EB59DD">
      <w:pPr>
        <w:spacing w:after="0" w:line="240" w:lineRule="auto"/>
        <w:ind w:left="709" w:right="709"/>
        <w:jc w:val="both"/>
        <w:rPr>
          <w:rFonts w:ascii="Verdana" w:eastAsia="Times New Roman" w:hAnsi="Verdana" w:cs="Times New Roman"/>
          <w:sz w:val="20"/>
          <w:szCs w:val="20"/>
        </w:rPr>
      </w:pPr>
      <w:r w:rsidRPr="00A749E7">
        <w:rPr>
          <w:rFonts w:ascii="Verdana" w:eastAsia="Times New Roman" w:hAnsi="Verdana" w:cs="Times New Roman"/>
          <w:sz w:val="20"/>
          <w:szCs w:val="20"/>
        </w:rPr>
        <w:t>c) haya sido objeto de medidas razonables tomadas por su legítimo poseedor para mantenerla secreta.</w:t>
      </w:r>
    </w:p>
    <w:p w14:paraId="577A4869" w14:textId="77777777" w:rsidR="00EB59DD" w:rsidRPr="00A749E7" w:rsidRDefault="00EB59DD" w:rsidP="00EB59DD">
      <w:pPr>
        <w:spacing w:after="0" w:line="240" w:lineRule="auto"/>
        <w:ind w:left="709" w:right="709"/>
        <w:contextualSpacing/>
        <w:jc w:val="both"/>
        <w:rPr>
          <w:rFonts w:ascii="Verdana" w:eastAsia="Times New Roman" w:hAnsi="Verdana" w:cs="Times New Roman"/>
          <w:sz w:val="20"/>
          <w:szCs w:val="20"/>
        </w:rPr>
      </w:pPr>
      <w:r w:rsidRPr="00A749E7">
        <w:rPr>
          <w:rFonts w:ascii="Verdana" w:eastAsia="Times New Roman" w:hAnsi="Verdana" w:cs="Times New Roman"/>
          <w:sz w:val="20"/>
          <w:szCs w:val="20"/>
        </w:rPr>
        <w:t>La información de un secreto empresarial podrá estar referida a la naturaleza, características o finalidades de los productos; a los métodos o procesos de producción; o, a los medios o formas de distribución o comercialización de productos o prestación de servicios” (cursiva y subrayado fuera de texto)</w:t>
      </w:r>
    </w:p>
    <w:p w14:paraId="0938C76E" w14:textId="77777777" w:rsidR="00EB59DD" w:rsidRDefault="00EB59DD" w:rsidP="00EB59DD">
      <w:pPr>
        <w:spacing w:after="0" w:line="240" w:lineRule="auto"/>
        <w:ind w:left="709" w:right="709"/>
        <w:contextualSpacing/>
        <w:jc w:val="both"/>
        <w:rPr>
          <w:rFonts w:ascii="Times New Roman" w:eastAsia="Times New Roman" w:hAnsi="Times New Roman" w:cs="Times New Roman"/>
          <w:sz w:val="28"/>
          <w:szCs w:val="28"/>
        </w:rPr>
      </w:pPr>
    </w:p>
    <w:p w14:paraId="62476DEC" w14:textId="77777777" w:rsidR="00EB59DD" w:rsidRDefault="00EB59DD" w:rsidP="00EB59DD">
      <w:pPr>
        <w:spacing w:after="120" w:line="276" w:lineRule="auto"/>
        <w:ind w:firstLine="709"/>
        <w:jc w:val="both"/>
        <w:rPr>
          <w:rFonts w:ascii="Verdana" w:eastAsia="Times New Roman" w:hAnsi="Verdana" w:cs="Times New Roman"/>
        </w:rPr>
      </w:pPr>
      <w:r w:rsidRPr="00EE7B18">
        <w:rPr>
          <w:rFonts w:ascii="Verdana" w:eastAsia="Times New Roman" w:hAnsi="Verdana" w:cs="Times New Roman"/>
        </w:rPr>
        <w:t>De acuerdo al artículo precitado, para que se configure el secreto</w:t>
      </w:r>
      <w:r>
        <w:rPr>
          <w:rFonts w:ascii="Verdana" w:eastAsia="Times New Roman" w:hAnsi="Verdana" w:cs="Times New Roman"/>
        </w:rPr>
        <w:t xml:space="preserve"> empresarial, el cual abarca tanto los secretos industriales, comerciales o cualquier otra información que pueda usarse en alguna actividad productiva, </w:t>
      </w:r>
      <w:r w:rsidRPr="00EE7B18">
        <w:rPr>
          <w:rFonts w:ascii="Verdana" w:eastAsia="Times New Roman" w:hAnsi="Verdana" w:cs="Times New Roman"/>
        </w:rPr>
        <w:t>debe</w:t>
      </w:r>
      <w:r>
        <w:rPr>
          <w:rFonts w:ascii="Verdana" w:eastAsia="Times New Roman" w:hAnsi="Verdana" w:cs="Times New Roman"/>
        </w:rPr>
        <w:t>n</w:t>
      </w:r>
      <w:r w:rsidRPr="00EE7B18">
        <w:rPr>
          <w:rFonts w:ascii="Verdana" w:eastAsia="Times New Roman" w:hAnsi="Verdana" w:cs="Times New Roman"/>
        </w:rPr>
        <w:t xml:space="preserve"> cumplir tres condiciones: i) Secreta, que significa que no es de conocimiento público ni fácilmente accesible para quienes normalmente manejan información en ese sector; </w:t>
      </w:r>
      <w:proofErr w:type="spellStart"/>
      <w:r w:rsidRPr="00EE7B18">
        <w:rPr>
          <w:rFonts w:ascii="Verdana" w:eastAsia="Times New Roman" w:hAnsi="Verdana" w:cs="Times New Roman"/>
        </w:rPr>
        <w:t>ii</w:t>
      </w:r>
      <w:proofErr w:type="spellEnd"/>
      <w:r w:rsidRPr="00EE7B18">
        <w:rPr>
          <w:rFonts w:ascii="Verdana" w:eastAsia="Times New Roman" w:hAnsi="Verdana" w:cs="Times New Roman"/>
        </w:rPr>
        <w:t xml:space="preserve">) Valor comercial, que implica que su carácter de secreto le otorga una ventaja competitiva o económica; </w:t>
      </w:r>
      <w:proofErr w:type="spellStart"/>
      <w:r w:rsidRPr="00EE7B18">
        <w:rPr>
          <w:rFonts w:ascii="Verdana" w:eastAsia="Times New Roman" w:hAnsi="Verdana" w:cs="Times New Roman"/>
        </w:rPr>
        <w:t>iii</w:t>
      </w:r>
      <w:proofErr w:type="spellEnd"/>
      <w:r w:rsidRPr="00EE7B18">
        <w:rPr>
          <w:rFonts w:ascii="Verdana" w:eastAsia="Times New Roman" w:hAnsi="Verdana" w:cs="Times New Roman"/>
        </w:rPr>
        <w:t>) protección razonable: en el sentido de que el titular ha tomado medidas para mantenerla en confidencialidad -cláusulas de confidencialidad, acceso restringido, protocolos de seguridad, entre otros-. Dichos secretos se tratan de una trata de una garantía del derecho a la l</w:t>
      </w:r>
      <w:r>
        <w:rPr>
          <w:rFonts w:ascii="Verdana" w:eastAsia="Times New Roman" w:hAnsi="Verdana" w:cs="Times New Roman"/>
        </w:rPr>
        <w:t xml:space="preserve">ibre competencia económica amparado </w:t>
      </w:r>
      <w:r w:rsidRPr="00EE7B18">
        <w:rPr>
          <w:rFonts w:ascii="Verdana" w:eastAsia="Times New Roman" w:hAnsi="Verdana" w:cs="Times New Roman"/>
        </w:rPr>
        <w:t>en el artículo 333 de la Constitución</w:t>
      </w:r>
      <w:r>
        <w:rPr>
          <w:rFonts w:ascii="Verdana" w:eastAsia="Times New Roman" w:hAnsi="Verdana" w:cs="Times New Roman"/>
        </w:rPr>
        <w:t xml:space="preserve"> Política. Si bien, el artículo 260 de la Comunidad Andina de Naciones no establece una forma </w:t>
      </w:r>
      <w:r w:rsidRPr="004874D3">
        <w:rPr>
          <w:rFonts w:ascii="Verdana" w:eastAsia="Times New Roman" w:hAnsi="Verdana" w:cs="Times New Roman"/>
        </w:rPr>
        <w:t>d</w:t>
      </w:r>
      <w:r>
        <w:rPr>
          <w:rFonts w:ascii="Verdana" w:eastAsia="Times New Roman" w:hAnsi="Verdana" w:cs="Times New Roman"/>
        </w:rPr>
        <w:t xml:space="preserve">e proteger el secreto, sí prescribe que el poseedor tendrá el deber </w:t>
      </w:r>
      <w:r w:rsidRPr="004874D3">
        <w:rPr>
          <w:rFonts w:ascii="Verdana" w:eastAsia="Times New Roman" w:hAnsi="Verdana" w:cs="Times New Roman"/>
        </w:rPr>
        <w:t xml:space="preserve">de adoptar los mecanismos que resulten razonables para evitar que la información sea de conocimiento </w:t>
      </w:r>
      <w:r>
        <w:rPr>
          <w:rFonts w:ascii="Verdana" w:eastAsia="Times New Roman" w:hAnsi="Verdana" w:cs="Times New Roman"/>
        </w:rPr>
        <w:t xml:space="preserve">público para impedir su fácil acceso. </w:t>
      </w:r>
      <w:proofErr w:type="gramStart"/>
      <w:r>
        <w:rPr>
          <w:rFonts w:ascii="Verdana" w:eastAsia="Times New Roman" w:hAnsi="Verdana" w:cs="Times New Roman"/>
        </w:rPr>
        <w:t>Uno</w:t>
      </w:r>
      <w:proofErr w:type="gramEnd"/>
      <w:r>
        <w:rPr>
          <w:rFonts w:ascii="Verdana" w:eastAsia="Times New Roman" w:hAnsi="Verdana" w:cs="Times New Roman"/>
        </w:rPr>
        <w:t xml:space="preserve"> de las formas más usados para tal fin, es la estipulación de cláusulas de confidencialidad, en las que se </w:t>
      </w:r>
      <w:r w:rsidRPr="004874D3">
        <w:rPr>
          <w:rFonts w:ascii="Verdana" w:eastAsia="Times New Roman" w:hAnsi="Verdana" w:cs="Times New Roman"/>
        </w:rPr>
        <w:t>restrin</w:t>
      </w:r>
      <w:r>
        <w:rPr>
          <w:rFonts w:ascii="Verdana" w:eastAsia="Times New Roman" w:hAnsi="Verdana" w:cs="Times New Roman"/>
        </w:rPr>
        <w:t>ja</w:t>
      </w:r>
      <w:r w:rsidRPr="004874D3">
        <w:rPr>
          <w:rFonts w:ascii="Verdana" w:eastAsia="Times New Roman" w:hAnsi="Verdana" w:cs="Times New Roman"/>
        </w:rPr>
        <w:t xml:space="preserve"> el uso público de la información que se </w:t>
      </w:r>
      <w:r>
        <w:rPr>
          <w:rFonts w:ascii="Verdana" w:eastAsia="Times New Roman" w:hAnsi="Verdana" w:cs="Times New Roman"/>
        </w:rPr>
        <w:t xml:space="preserve">comparte en virtud del contrato. </w:t>
      </w:r>
    </w:p>
    <w:p w14:paraId="6950E1F4" w14:textId="77777777" w:rsidR="00EB59DD" w:rsidRPr="00995CC5" w:rsidRDefault="00EB59DD" w:rsidP="00EB59DD">
      <w:pPr>
        <w:spacing w:after="120" w:line="276" w:lineRule="auto"/>
        <w:ind w:firstLine="709"/>
        <w:jc w:val="both"/>
        <w:rPr>
          <w:rFonts w:ascii="Verdana" w:eastAsia="Times New Roman" w:hAnsi="Verdana" w:cs="Times New Roman"/>
        </w:rPr>
      </w:pPr>
      <w:r>
        <w:rPr>
          <w:rFonts w:ascii="Verdana" w:eastAsia="Times New Roman" w:hAnsi="Verdana" w:cs="Times New Roman"/>
        </w:rPr>
        <w:t>En torno a la vulneración de los secretos empresariales, el artículo 265 de la Decisión 486 de la Comunidad Andina de Naciones, prescribe: “</w:t>
      </w:r>
      <w:r w:rsidRPr="00995CC5">
        <w:rPr>
          <w:rFonts w:ascii="Verdana" w:eastAsia="Times New Roman" w:hAnsi="Verdana" w:cs="Times New Roman"/>
        </w:rPr>
        <w:t xml:space="preserve">Toda persona que con motivo de su trabajo, empleo, cargo, puesto, desempeño de su profesión </w:t>
      </w:r>
      <w:r w:rsidRPr="00995CC5">
        <w:rPr>
          <w:rFonts w:ascii="Verdana" w:eastAsia="Times New Roman" w:hAnsi="Verdana" w:cs="Times New Roman"/>
          <w:i/>
        </w:rPr>
        <w:t>o relación de negocios, tenga acceso a un secreto empresarial sobre cuya confidencialidad se le haya prevenido, deberá abstenerse de usarlo o divulgarlo, o de revelarlo sin causa justificada y sin consentimiento de la persona que posea dicho secreto o de su usuario autorizado</w:t>
      </w:r>
      <w:r>
        <w:rPr>
          <w:rFonts w:ascii="Verdana" w:eastAsia="Times New Roman" w:hAnsi="Verdana" w:cs="Times New Roman"/>
        </w:rPr>
        <w:t xml:space="preserve">” (énfasis fuera de texto). Este artículo adquiere un deber de toda persona natural o jurídica, pública o privada </w:t>
      </w:r>
      <w:r w:rsidRPr="00E222B2">
        <w:rPr>
          <w:rFonts w:ascii="Verdana" w:eastAsia="Times New Roman" w:hAnsi="Verdana" w:cs="Times New Roman"/>
        </w:rPr>
        <w:t>que, por razón de su trabajo, cargo, profesión o relación de negocios, tenga acceso a información considerada secreto empresarial y que haya sido advertida como confidencial, está obligada a no usarla ni divulgarla sin una causa legítima y sin el consentimiento del titular o de quien esté autorizado, pues hacerlo constituiría una violación a la protección legal de los secretos empresariales y podría generar sanciones.</w:t>
      </w:r>
      <w:r>
        <w:rPr>
          <w:rFonts w:ascii="Verdana" w:eastAsia="Times New Roman" w:hAnsi="Verdana" w:cs="Times New Roman"/>
        </w:rPr>
        <w:t xml:space="preserve"> Al respecto, </w:t>
      </w:r>
      <w:r w:rsidRPr="003C0EF9">
        <w:rPr>
          <w:rFonts w:ascii="Verdana" w:eastAsia="Times New Roman" w:hAnsi="Verdana" w:cs="Times New Roman"/>
        </w:rPr>
        <w:t xml:space="preserve">el artículo 16 de la Ley de </w:t>
      </w:r>
      <w:r>
        <w:rPr>
          <w:rFonts w:ascii="Verdana" w:eastAsia="Times New Roman" w:hAnsi="Verdana" w:cs="Times New Roman"/>
        </w:rPr>
        <w:t>Ley 256 de 1996</w:t>
      </w:r>
      <w:r w:rsidRPr="000216D4">
        <w:rPr>
          <w:rFonts w:ascii="Verdana" w:eastAsia="Times New Roman" w:hAnsi="Verdana" w:cs="Times New Roman"/>
        </w:rPr>
        <w:t>,</w:t>
      </w:r>
      <w:r w:rsidRPr="000216D4">
        <w:rPr>
          <w:rFonts w:ascii="Arial" w:hAnsi="Arial" w:cs="Arial"/>
          <w:bCs/>
          <w:iCs/>
          <w:color w:val="333333"/>
          <w:sz w:val="25"/>
          <w:szCs w:val="25"/>
          <w:shd w:val="clear" w:color="auto" w:fill="FFFFFF"/>
        </w:rPr>
        <w:t xml:space="preserve"> </w:t>
      </w:r>
      <w:r w:rsidRPr="000216D4">
        <w:rPr>
          <w:rFonts w:ascii="Verdana" w:eastAsia="Times New Roman" w:hAnsi="Verdana" w:cs="Times New Roman"/>
          <w:bCs/>
          <w:iCs/>
        </w:rPr>
        <w:t>“Por la cual se dictan normas sobre competencia desleal”</w:t>
      </w:r>
      <w:r>
        <w:rPr>
          <w:rFonts w:ascii="Verdana" w:eastAsia="Times New Roman" w:hAnsi="Verdana" w:cs="Times New Roman"/>
          <w:bCs/>
          <w:iCs/>
        </w:rPr>
        <w:t>,</w:t>
      </w:r>
      <w:r>
        <w:rPr>
          <w:rFonts w:ascii="Verdana" w:eastAsia="Times New Roman" w:hAnsi="Verdana" w:cs="Times New Roman"/>
        </w:rPr>
        <w:t xml:space="preserve"> dispone:</w:t>
      </w:r>
      <w:r w:rsidRPr="003C0EF9">
        <w:rPr>
          <w:rFonts w:ascii="Verdana" w:eastAsia="Times New Roman" w:hAnsi="Verdana" w:cs="Times New Roman"/>
        </w:rPr>
        <w:t xml:space="preserve"> “Se considera desleal la divulgación o explotación, sin autorización de su titular, de secretos industriales o de cualquiera otra clase de secretos empresariales a los que se haya tenido acceso legítimamente, pero con deber de reserva, o ilegítimamente […]”. Con esta conducta, se protege al competidor, respecto de conductas encaminadas a </w:t>
      </w:r>
      <w:r>
        <w:rPr>
          <w:rFonts w:ascii="Verdana" w:eastAsia="Times New Roman" w:hAnsi="Verdana" w:cs="Times New Roman"/>
        </w:rPr>
        <w:t>adquirir, divulgar o explotar secretos industriales, así como los comerciales</w:t>
      </w:r>
      <w:r w:rsidRPr="003C0EF9">
        <w:rPr>
          <w:rFonts w:ascii="Verdana" w:eastAsia="Times New Roman" w:hAnsi="Verdana" w:cs="Times New Roman"/>
        </w:rPr>
        <w:t>.</w:t>
      </w:r>
    </w:p>
    <w:p w14:paraId="5EF94B12" w14:textId="77777777" w:rsidR="00EB59DD" w:rsidRDefault="00EB59DD" w:rsidP="00EB59DD">
      <w:pPr>
        <w:spacing w:after="120" w:line="276" w:lineRule="auto"/>
        <w:ind w:firstLine="709"/>
        <w:jc w:val="both"/>
        <w:rPr>
          <w:rFonts w:ascii="Verdana" w:eastAsia="Calibri" w:hAnsi="Verdana" w:cs="Arial"/>
          <w:color w:val="000000"/>
        </w:rPr>
      </w:pPr>
      <w:r>
        <w:rPr>
          <w:rFonts w:ascii="Verdana" w:eastAsia="Times New Roman" w:hAnsi="Verdana" w:cs="Times New Roman"/>
        </w:rPr>
        <w:t xml:space="preserve">Teniendo en cuenta lo expuesto, en el momento de publicar información derivado de los procesos de contratación en sus diferentes etapas –precontractual, contractual y </w:t>
      </w:r>
      <w:proofErr w:type="spellStart"/>
      <w:r>
        <w:rPr>
          <w:rFonts w:ascii="Verdana" w:eastAsia="Times New Roman" w:hAnsi="Verdana" w:cs="Times New Roman"/>
        </w:rPr>
        <w:t>poscontractual</w:t>
      </w:r>
      <w:proofErr w:type="spellEnd"/>
      <w:r>
        <w:rPr>
          <w:rFonts w:ascii="Verdana" w:eastAsia="Times New Roman" w:hAnsi="Verdana" w:cs="Times New Roman"/>
        </w:rPr>
        <w:t>- debe garantizarse y salvaguardarse la reserva de información por secretos empresariales, en los que se incluye los secretos comerciales e industriales. En tal sentido, de</w:t>
      </w:r>
      <w:r w:rsidRPr="00AD6B46">
        <w:rPr>
          <w:rFonts w:ascii="Verdana" w:eastAsia="Calibri" w:hAnsi="Verdana" w:cs="Arial"/>
          <w:color w:val="000000"/>
        </w:rPr>
        <w:t>be precisarse que, en virtud del principio de transparencia, específicamente por cuenta de lo dispuesto en el numeral 4 del artículo 24 de la ley 80 de 1993</w:t>
      </w:r>
      <w:r w:rsidRPr="00AD6B46">
        <w:rPr>
          <w:rFonts w:ascii="Verdana" w:eastAsia="Calibri" w:hAnsi="Verdana" w:cs="Arial"/>
          <w:color w:val="000000"/>
          <w:vertAlign w:val="superscript"/>
        </w:rPr>
        <w:footnoteReference w:id="20"/>
      </w:r>
      <w:r w:rsidRPr="00AD6B46">
        <w:rPr>
          <w:rFonts w:ascii="Verdana" w:eastAsia="Calibri" w:hAnsi="Verdana" w:cs="Arial"/>
          <w:color w:val="000000"/>
        </w:rPr>
        <w:t>, así como por el principio de máxima publicidad establecido en el artículo 2 de la Ley 1712 de 2014</w:t>
      </w:r>
      <w:r w:rsidRPr="00AD6B46">
        <w:rPr>
          <w:rFonts w:ascii="Verdana" w:eastAsia="Calibri" w:hAnsi="Verdana" w:cs="Arial"/>
          <w:color w:val="000000"/>
          <w:vertAlign w:val="superscript"/>
        </w:rPr>
        <w:footnoteReference w:id="21"/>
      </w:r>
      <w:r w:rsidRPr="00AD6B46">
        <w:rPr>
          <w:rFonts w:ascii="Verdana" w:eastAsia="Calibri" w:hAnsi="Verdana" w:cs="Arial"/>
          <w:color w:val="000000"/>
        </w:rPr>
        <w:t>, el contenido del expediente en el que reposa la actuación es información pú</w:t>
      </w:r>
      <w:r>
        <w:rPr>
          <w:rFonts w:ascii="Verdana" w:eastAsia="Calibri" w:hAnsi="Verdana" w:cs="Arial"/>
          <w:color w:val="000000"/>
        </w:rPr>
        <w:t>blica, independiente</w:t>
      </w:r>
      <w:r w:rsidRPr="00AD6B46">
        <w:rPr>
          <w:rFonts w:ascii="Verdana" w:eastAsia="Calibri" w:hAnsi="Verdana" w:cs="Arial"/>
          <w:color w:val="000000"/>
        </w:rPr>
        <w:t xml:space="preserve"> de si se trata de documentos que deban publicarse en SECOP. Por lo anterior, el contenido del expediente puede ser objeto de solicitud de copias, en ejercicio del derecho de petición, en cualquier momento del proceso de selección, en la medida en que las normas señaladas no imponen ningún condicionamiento, así que podrá solicitarlas cualquier persona, en desarrollo de la vigilancia de la contratación pública, cuestión que podría interesar a cualquier ciudadano</w:t>
      </w:r>
      <w:r w:rsidRPr="00AD6B46">
        <w:rPr>
          <w:rFonts w:ascii="Verdana" w:eastAsia="Calibri" w:hAnsi="Verdana" w:cs="Arial"/>
          <w:color w:val="000000"/>
          <w:vertAlign w:val="superscript"/>
        </w:rPr>
        <w:footnoteReference w:id="22"/>
      </w:r>
      <w:r w:rsidRPr="00AD6B46">
        <w:rPr>
          <w:rFonts w:ascii="Verdana" w:eastAsia="Calibri" w:hAnsi="Verdana" w:cs="Arial"/>
          <w:color w:val="000000"/>
        </w:rPr>
        <w:t>. Esta posibilidad solo se encuentra limitada</w:t>
      </w:r>
      <w:r w:rsidRPr="00AD6B46">
        <w:rPr>
          <w:rFonts w:ascii="Calibri" w:eastAsia="Calibri" w:hAnsi="Calibri" w:cs="Times New Roman"/>
        </w:rPr>
        <w:t xml:space="preserve"> </w:t>
      </w:r>
      <w:r w:rsidRPr="00AD6B46">
        <w:rPr>
          <w:rFonts w:ascii="Verdana" w:eastAsia="Calibri" w:hAnsi="Verdana" w:cs="Arial"/>
          <w:color w:val="000000"/>
        </w:rPr>
        <w:t>respecto de la documentación que tenga la calidad de reservada, que deberá someterse al tratamiento establecido en el artículo 36 del CPACA, en lo relativo a la formación de cuadernos separados</w:t>
      </w:r>
      <w:r w:rsidRPr="00AD6B46">
        <w:rPr>
          <w:rFonts w:ascii="Verdana" w:eastAsia="Calibri" w:hAnsi="Verdana" w:cs="Arial"/>
          <w:color w:val="000000"/>
          <w:vertAlign w:val="superscript"/>
        </w:rPr>
        <w:footnoteReference w:id="23"/>
      </w:r>
      <w:r w:rsidRPr="00AD6B46">
        <w:rPr>
          <w:rFonts w:ascii="Verdana" w:eastAsia="Calibri" w:hAnsi="Verdana" w:cs="Arial"/>
          <w:color w:val="000000"/>
        </w:rPr>
        <w:t>.</w:t>
      </w:r>
    </w:p>
    <w:p w14:paraId="1CC1CDEE" w14:textId="77777777" w:rsidR="00EB59DD" w:rsidRPr="00AD6B46" w:rsidRDefault="00EB59DD" w:rsidP="00EB59DD">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En efecto, el principio o regla general consiste en la máxima publicidad de la información pública y lo excepcional es la reserva, razón por la cual el artículo 21 de la Ley 1712 de 2014 incluso exige la divulgación parcial de la información contenida en un documento, cuando este contenga parte de información sometida a reserva, pero también incluya información que no esté afectada por la reserva. Además, dicha disposición establece que la reserva de acceso a la información aplica respecto al contenido de un documento público, pero no</w:t>
      </w:r>
      <w:r w:rsidRPr="00AD6B46">
        <w:rPr>
          <w:rFonts w:ascii="Calibri" w:eastAsia="Calibri" w:hAnsi="Calibri" w:cs="Times New Roman"/>
        </w:rPr>
        <w:t xml:space="preserve"> </w:t>
      </w:r>
      <w:r w:rsidRPr="00AD6B46">
        <w:rPr>
          <w:rFonts w:ascii="Verdana" w:eastAsia="Calibri" w:hAnsi="Verdana" w:cs="Arial"/>
          <w:color w:val="000000"/>
        </w:rPr>
        <w:t>respecto de su existencia</w:t>
      </w:r>
      <w:r w:rsidRPr="00AD6B46">
        <w:rPr>
          <w:rFonts w:ascii="Verdana" w:eastAsia="Calibri" w:hAnsi="Verdana" w:cs="Arial"/>
          <w:color w:val="000000"/>
          <w:vertAlign w:val="superscript"/>
        </w:rPr>
        <w:footnoteReference w:id="24"/>
      </w:r>
      <w:r w:rsidRPr="00AD6B46">
        <w:rPr>
          <w:rFonts w:ascii="Verdana" w:eastAsia="Calibri" w:hAnsi="Verdana" w:cs="Arial"/>
          <w:color w:val="000000"/>
        </w:rPr>
        <w:t>. Sin perjuicio de lo anterior, es posible que el contenido de todo el documento o expediente no deba ser objeto de publicidad por estar amparado de forma íntegra por la reserva, dada su conexión con las causales estableci</w:t>
      </w:r>
      <w:r>
        <w:rPr>
          <w:rFonts w:ascii="Verdana" w:eastAsia="Calibri" w:hAnsi="Verdana" w:cs="Arial"/>
          <w:color w:val="000000"/>
        </w:rPr>
        <w:t xml:space="preserve">das en la Constitución o la ley, como puede ser los secretos comerciales o industriales. </w:t>
      </w:r>
    </w:p>
    <w:p w14:paraId="5205D583" w14:textId="77777777" w:rsidR="00EB59DD" w:rsidRDefault="00EB59DD" w:rsidP="00EB59DD">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 xml:space="preserve">De esta forma, cuando el documento contractual contenga información sensible, clasificada o reservada, para proteger la reserva de información, las autoridades deben abstenerse de publicar en el SECOP la información que tiene protección especial o está sometida a reserva, o según el caso, suministrarla. </w:t>
      </w:r>
      <w:r>
        <w:rPr>
          <w:rFonts w:ascii="Verdana" w:eastAsia="Calibri" w:hAnsi="Verdana" w:cs="Arial"/>
          <w:color w:val="000000"/>
        </w:rPr>
        <w:t xml:space="preserve">En tal sentido, </w:t>
      </w:r>
      <w:r w:rsidRPr="00AD6B46">
        <w:rPr>
          <w:rFonts w:ascii="Verdana" w:eastAsia="Calibri" w:hAnsi="Verdana" w:cs="Arial"/>
          <w:color w:val="000000"/>
        </w:rPr>
        <w:t>el segundo inciso del artículo 25 de la Ley 1437 de 2011</w:t>
      </w:r>
      <w:r>
        <w:rPr>
          <w:rFonts w:ascii="Verdana" w:eastAsia="Calibri" w:hAnsi="Verdana" w:cs="Arial"/>
          <w:color w:val="000000"/>
        </w:rPr>
        <w:t xml:space="preserve"> sustituido por el artículo 2° de la Ley 1755 de 2015:</w:t>
      </w:r>
      <w:r w:rsidRPr="00AD6B46">
        <w:rPr>
          <w:rFonts w:ascii="Verdana" w:eastAsia="Calibri" w:hAnsi="Verdana" w:cs="Arial"/>
          <w:color w:val="000000"/>
        </w:rPr>
        <w:t xml:space="preserve"> “La restricción por reserva legal no se extenderá a otras piezas del respectivo expediente o actuación que no estén cubiertas por ella”. Por ello, la entidad estatal puede no publicar o suministrar algún documento del proceso o aparte del mismo que contenga información clasificada o reservada</w:t>
      </w:r>
      <w:r>
        <w:rPr>
          <w:rFonts w:ascii="Verdana" w:eastAsia="Calibri" w:hAnsi="Verdana" w:cs="Arial"/>
          <w:color w:val="000000"/>
        </w:rPr>
        <w:t>, como puede ser el caso de los secretos comerciales e industriales</w:t>
      </w:r>
      <w:r w:rsidRPr="00AD6B46">
        <w:rPr>
          <w:rFonts w:ascii="Verdana" w:eastAsia="Calibri" w:hAnsi="Verdana" w:cs="Arial"/>
          <w:color w:val="000000"/>
        </w:rPr>
        <w:t xml:space="preserve">, para no divulgarlo, pero debe publicar los demás documentos o los apartados de estos, en caso de que estos no gocen de reserva. Lo anterior, sin perjuicio de que, dependiendo de la información en específico, todo el documento o expediente no pueda publicarse o suministrarse, por ampararse en su integridad en alguna causal de reserva, dada la conexión de su contenido con la información que el constituyente o el legislador decidió limitar en cuanto a su publicidad o suministro. </w:t>
      </w:r>
    </w:p>
    <w:p w14:paraId="44DCE951" w14:textId="77777777" w:rsidR="00EB59DD" w:rsidRPr="00AD6B46" w:rsidRDefault="00EB59DD" w:rsidP="00EB59DD">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Al respecto, el Decreto 1081 de 2015 en su artículo 2.1.1.4.3.2 establece que, si un mismo acto o documento contiene información que puede divulgarse y a su vez, información clasificada o reservada, la entidad debe revelar los datos no protegidos y presentar los fundamentos constitucionales y legales por los que retiene los datos que no puede divulgar. De igual modo, deben revisar si los documentos contienen datos que no deban divulgarse, conforme a los fundamentos constitucionales y legales, y por tanto, tachar los apartes clasificados o reservados del documento, anonimizar, transliterar o editar el documento para suprimir la información que no puede difundirse; así como abrir un nuevo expediente con la información pública que pueda divulgar; o en su defecto, acudir a las acciones que sean necesarias para cumplir con su deber de permitir el acceso a toda aquella información que no esté clasificada o reservada, teniendo en cuenta el formato y medio de conservación de la información.</w:t>
      </w:r>
    </w:p>
    <w:p w14:paraId="69EFA363" w14:textId="77777777" w:rsidR="00EB59DD" w:rsidRPr="00AD6B46" w:rsidRDefault="00EB59DD" w:rsidP="00EB59DD">
      <w:pPr>
        <w:spacing w:after="120" w:line="276" w:lineRule="auto"/>
        <w:ind w:firstLine="709"/>
        <w:jc w:val="both"/>
        <w:rPr>
          <w:rFonts w:ascii="Verdana" w:hAnsi="Verdana"/>
        </w:rPr>
      </w:pPr>
      <w:r w:rsidRPr="00AD6B46">
        <w:rPr>
          <w:rFonts w:ascii="Verdana" w:eastAsia="Calibri" w:hAnsi="Verdana" w:cs="Arial"/>
          <w:color w:val="000000"/>
        </w:rPr>
        <w:t>Así mismo, el Archivo General de la Nación como entidad encargada de liderar la Política de archivo y gestión documental a nivel nacional, expidió el Acuerdo 001 de 2024 “Por el cual se establece el Acuerdo Único de la Función Archivística, se definen los criterios técnicos y jurídicos para su implementación en el Estado Colombiano y se fijan otras disposiciones”, que en su artículo 7.1.3.</w:t>
      </w:r>
      <w:r w:rsidRPr="00AD6B46">
        <w:rPr>
          <w:rFonts w:ascii="Verdana" w:eastAsia="Calibri" w:hAnsi="Verdana" w:cs="Arial"/>
          <w:color w:val="000000"/>
          <w:vertAlign w:val="superscript"/>
        </w:rPr>
        <w:footnoteReference w:id="25"/>
      </w:r>
      <w:r w:rsidRPr="00AD6B46">
        <w:rPr>
          <w:rFonts w:ascii="Verdana" w:eastAsia="Calibri" w:hAnsi="Verdana" w:cs="Arial"/>
          <w:color w:val="000000"/>
        </w:rPr>
        <w:t xml:space="preserve"> preciso que </w:t>
      </w:r>
      <w:r w:rsidRPr="00AD6B46">
        <w:rPr>
          <w:rFonts w:ascii="Verdana" w:hAnsi="Verdana"/>
        </w:rPr>
        <w:t>la reserva aplica a la información, no a los documentos, para lo cual el responsable de la información verificará qué información está sometida a reserva, y elaborará una versión pública que mantenga la reserva de los titulares de los datos, con el fin de garantizar el principio de máxima publicidad y conforme a las disposiciones legales sobre el acceso a la información. Al respecto, el parágrafo primero del referenciado artículo dispone algunos criterios para la reserva información:</w:t>
      </w:r>
    </w:p>
    <w:p w14:paraId="295BFA70" w14:textId="77777777" w:rsidR="00EB59DD" w:rsidRPr="00FA6472" w:rsidRDefault="00EB59DD" w:rsidP="00EB59DD">
      <w:pPr>
        <w:spacing w:after="120" w:line="276" w:lineRule="auto"/>
        <w:ind w:left="709" w:right="709"/>
        <w:jc w:val="both"/>
        <w:rPr>
          <w:rFonts w:ascii="Verdana" w:hAnsi="Verdana"/>
          <w:sz w:val="20"/>
          <w:szCs w:val="20"/>
        </w:rPr>
      </w:pPr>
      <w:r w:rsidRPr="00FA6472">
        <w:rPr>
          <w:rFonts w:ascii="Verdana" w:hAnsi="Verdana"/>
          <w:sz w:val="20"/>
          <w:szCs w:val="20"/>
        </w:rPr>
        <w:t xml:space="preserve">Parágrafo 1. De existir reserva legal, se aplicarán, como mínimo, los siguientes criterios: </w:t>
      </w:r>
    </w:p>
    <w:p w14:paraId="48A35CA0" w14:textId="77777777" w:rsidR="00EB59DD" w:rsidRPr="00FA6472" w:rsidRDefault="00EB59DD" w:rsidP="00EB59DD">
      <w:pPr>
        <w:spacing w:after="0" w:line="240" w:lineRule="auto"/>
        <w:ind w:left="709" w:right="709"/>
        <w:jc w:val="both"/>
        <w:rPr>
          <w:rFonts w:ascii="Verdana" w:hAnsi="Verdana"/>
          <w:sz w:val="20"/>
          <w:szCs w:val="20"/>
        </w:rPr>
      </w:pPr>
      <w:r w:rsidRPr="00FA6472">
        <w:rPr>
          <w:rFonts w:ascii="Verdana" w:hAnsi="Verdana"/>
          <w:sz w:val="20"/>
          <w:szCs w:val="20"/>
        </w:rPr>
        <w:t>1. La reserva opera sobre el contenido del documento, no sobre la existencia de este. Estos documentos deben ser identificados de manera clara en los instrumentos de la gestión de información pública.</w:t>
      </w:r>
    </w:p>
    <w:p w14:paraId="3E2539F8" w14:textId="77777777" w:rsidR="00EB59DD" w:rsidRPr="00FA6472" w:rsidRDefault="00EB59DD" w:rsidP="00EB59DD">
      <w:pPr>
        <w:spacing w:after="0" w:line="240" w:lineRule="auto"/>
        <w:ind w:left="709" w:right="709"/>
        <w:jc w:val="both"/>
        <w:rPr>
          <w:rFonts w:ascii="Verdana" w:hAnsi="Verdana"/>
          <w:sz w:val="20"/>
          <w:szCs w:val="20"/>
        </w:rPr>
      </w:pPr>
      <w:r w:rsidRPr="00FA6472">
        <w:rPr>
          <w:rFonts w:ascii="Verdana" w:hAnsi="Verdana"/>
          <w:sz w:val="20"/>
          <w:szCs w:val="20"/>
        </w:rPr>
        <w:t xml:space="preserve"> </w:t>
      </w:r>
    </w:p>
    <w:p w14:paraId="352DC2C0" w14:textId="77777777" w:rsidR="00EB59DD" w:rsidRPr="00FA6472" w:rsidRDefault="00EB59DD" w:rsidP="00EB59DD">
      <w:pPr>
        <w:spacing w:after="0" w:line="240" w:lineRule="auto"/>
        <w:ind w:left="709" w:right="709"/>
        <w:jc w:val="both"/>
        <w:rPr>
          <w:rFonts w:ascii="Verdana" w:hAnsi="Verdana"/>
          <w:sz w:val="20"/>
          <w:szCs w:val="20"/>
        </w:rPr>
      </w:pPr>
      <w:r w:rsidRPr="00FA6472">
        <w:rPr>
          <w:rFonts w:ascii="Verdana" w:hAnsi="Verdana"/>
          <w:sz w:val="20"/>
          <w:szCs w:val="20"/>
        </w:rPr>
        <w:t>2. La reserva legal solo opera sobre la información que compromete derechos fundamentales o bienes constitucionales, no sobre los procesos o actuaciones de los que hace parte. Para tal efecto se realizarán versiones públicas de estos documentos, que impidan la identificación de los titulares de los datos personales, como lo ordena la normativa vigente.</w:t>
      </w:r>
    </w:p>
    <w:p w14:paraId="3795098E" w14:textId="77777777" w:rsidR="00EB59DD" w:rsidRPr="00FA6472" w:rsidRDefault="00EB59DD" w:rsidP="00EB59DD">
      <w:pPr>
        <w:spacing w:after="0" w:line="240" w:lineRule="auto"/>
        <w:ind w:left="709" w:right="709"/>
        <w:jc w:val="both"/>
        <w:rPr>
          <w:rFonts w:ascii="Verdana" w:hAnsi="Verdana"/>
          <w:sz w:val="20"/>
          <w:szCs w:val="20"/>
        </w:rPr>
      </w:pPr>
      <w:r w:rsidRPr="00FA6472">
        <w:rPr>
          <w:rFonts w:ascii="Verdana" w:hAnsi="Verdana"/>
          <w:sz w:val="20"/>
          <w:szCs w:val="20"/>
        </w:rPr>
        <w:t xml:space="preserve"> </w:t>
      </w:r>
    </w:p>
    <w:p w14:paraId="6B9C6333" w14:textId="77777777" w:rsidR="00EB59DD" w:rsidRPr="00FA6472" w:rsidRDefault="00EB59DD" w:rsidP="00EB59DD">
      <w:pPr>
        <w:spacing w:after="0" w:line="240" w:lineRule="auto"/>
        <w:ind w:left="709" w:right="709"/>
        <w:jc w:val="both"/>
        <w:rPr>
          <w:rFonts w:ascii="Verdana" w:hAnsi="Verdana"/>
          <w:sz w:val="20"/>
          <w:szCs w:val="20"/>
        </w:rPr>
      </w:pPr>
      <w:r w:rsidRPr="00FA6472">
        <w:rPr>
          <w:rFonts w:ascii="Verdana" w:hAnsi="Verdana"/>
          <w:sz w:val="20"/>
          <w:szCs w:val="20"/>
        </w:rPr>
        <w:t xml:space="preserve">3. La reserva deberá ser temporal, como lo determine la Ley. </w:t>
      </w:r>
    </w:p>
    <w:p w14:paraId="69969AD4" w14:textId="77777777" w:rsidR="00EB59DD" w:rsidRPr="00AD6B46" w:rsidRDefault="00EB59DD" w:rsidP="00EB59DD">
      <w:pPr>
        <w:spacing w:after="0" w:line="276" w:lineRule="auto"/>
        <w:ind w:firstLine="708"/>
        <w:jc w:val="both"/>
        <w:rPr>
          <w:rFonts w:ascii="Verdana" w:eastAsia="Calibri" w:hAnsi="Verdana" w:cs="Arial"/>
          <w:color w:val="000000"/>
        </w:rPr>
      </w:pPr>
    </w:p>
    <w:p w14:paraId="51BEA83B" w14:textId="77777777" w:rsidR="00EB59DD" w:rsidRDefault="00EB59DD" w:rsidP="00EB59DD">
      <w:pPr>
        <w:spacing w:after="120" w:line="276" w:lineRule="auto"/>
        <w:ind w:firstLine="709"/>
        <w:jc w:val="both"/>
        <w:rPr>
          <w:rFonts w:ascii="Verdana" w:eastAsia="Calibri" w:hAnsi="Verdana" w:cs="Arial"/>
          <w:color w:val="000000"/>
        </w:rPr>
      </w:pPr>
      <w:r w:rsidRPr="00AD6B46">
        <w:rPr>
          <w:rFonts w:ascii="Verdana" w:eastAsia="Calibri" w:hAnsi="Verdana" w:cs="Arial"/>
          <w:color w:val="000000"/>
        </w:rPr>
        <w:t>Ahora bien, para elaborar estas versiones públicas</w:t>
      </w:r>
      <w:r w:rsidRPr="00AD6B46">
        <w:rPr>
          <w:rFonts w:ascii="Verdana" w:hAnsi="Verdana"/>
          <w:sz w:val="16"/>
          <w:szCs w:val="16"/>
        </w:rPr>
        <w:t xml:space="preserve"> </w:t>
      </w:r>
      <w:r w:rsidRPr="00AD6B46">
        <w:rPr>
          <w:rFonts w:ascii="Verdana" w:eastAsia="Calibri" w:hAnsi="Verdana" w:cs="Arial"/>
          <w:color w:val="000000"/>
        </w:rPr>
        <w:t xml:space="preserve">que contengan información clasificada o reservada, la entidad debe aplicar estándares para la </w:t>
      </w:r>
      <w:proofErr w:type="spellStart"/>
      <w:r w:rsidRPr="00AD6B46">
        <w:rPr>
          <w:rFonts w:ascii="Verdana" w:eastAsia="Calibri" w:hAnsi="Verdana" w:cs="Arial"/>
          <w:color w:val="000000"/>
        </w:rPr>
        <w:t>anonimización</w:t>
      </w:r>
      <w:proofErr w:type="spellEnd"/>
      <w:r w:rsidRPr="00AD6B46">
        <w:rPr>
          <w:rFonts w:ascii="Verdana" w:eastAsia="Calibri" w:hAnsi="Verdana" w:cs="Arial"/>
          <w:color w:val="000000"/>
        </w:rPr>
        <w:t xml:space="preserve"> de datos, teniendo en cuenta la normativa vigente para la protección de datos personales y acceso a la información, como lo dispone el parágrafo segundo del artículo 7.1.3. del Acuerdo 001 del</w:t>
      </w:r>
      <w:r>
        <w:rPr>
          <w:rFonts w:ascii="Verdana" w:eastAsia="Calibri" w:hAnsi="Verdana" w:cs="Arial"/>
          <w:color w:val="000000"/>
        </w:rPr>
        <w:t xml:space="preserve"> Archivo General de la Nación. De esta manera, c</w:t>
      </w:r>
      <w:r w:rsidRPr="00AD6B46">
        <w:rPr>
          <w:rFonts w:ascii="Verdana" w:eastAsia="Calibri" w:hAnsi="Verdana" w:cs="Arial"/>
          <w:color w:val="000000"/>
        </w:rPr>
        <w:t xml:space="preserve">uando el documento contractual tenga información clasificada o reservada, las autoridades deben abstenerse de publicar en el SECOP la información que tenga dicho carácter, por tanto, deberá publicar la información de forma parcial. </w:t>
      </w:r>
      <w:r>
        <w:rPr>
          <w:rFonts w:ascii="Verdana" w:eastAsia="Calibri" w:hAnsi="Verdana" w:cs="Arial"/>
          <w:color w:val="000000"/>
        </w:rPr>
        <w:t xml:space="preserve">En este asunto que nos compete, debe resaltarse que en el momento de publicar los documentos del proceso debe revisarse si los oferentes o diferentes proponentes o contratistas están remitiendo información que se considera un secreto comercial o industrial, evento en el cual </w:t>
      </w:r>
      <w:r w:rsidRPr="00543BBC">
        <w:rPr>
          <w:rFonts w:ascii="Verdana" w:eastAsia="Calibri" w:hAnsi="Verdana" w:cs="Arial"/>
          <w:color w:val="000000"/>
        </w:rPr>
        <w:t>debe aplicar estándares</w:t>
      </w:r>
      <w:r>
        <w:rPr>
          <w:rFonts w:ascii="Verdana" w:eastAsia="Calibri" w:hAnsi="Verdana" w:cs="Arial"/>
          <w:color w:val="000000"/>
        </w:rPr>
        <w:t xml:space="preserve"> de </w:t>
      </w:r>
      <w:proofErr w:type="spellStart"/>
      <w:r>
        <w:rPr>
          <w:rFonts w:ascii="Verdana" w:eastAsia="Calibri" w:hAnsi="Verdana" w:cs="Arial"/>
          <w:color w:val="000000"/>
        </w:rPr>
        <w:t>anonimización</w:t>
      </w:r>
      <w:proofErr w:type="spellEnd"/>
      <w:r>
        <w:rPr>
          <w:rFonts w:ascii="Verdana" w:eastAsia="Calibri" w:hAnsi="Verdana" w:cs="Arial"/>
          <w:color w:val="000000"/>
        </w:rPr>
        <w:t xml:space="preserve"> o de restricción de la información que se considera clasificada. </w:t>
      </w:r>
    </w:p>
    <w:p w14:paraId="1A48CAE2" w14:textId="77777777" w:rsidR="00EB59DD" w:rsidRDefault="00EB59DD" w:rsidP="00EB59DD">
      <w:pPr>
        <w:spacing w:after="120" w:line="276" w:lineRule="auto"/>
        <w:ind w:firstLine="709"/>
        <w:jc w:val="both"/>
        <w:rPr>
          <w:rFonts w:ascii="Verdana" w:eastAsia="Calibri" w:hAnsi="Verdana" w:cs="Arial"/>
          <w:color w:val="000000"/>
        </w:rPr>
      </w:pPr>
      <w:r w:rsidRPr="002359C5">
        <w:rPr>
          <w:rFonts w:ascii="Verdana" w:eastAsia="Calibri" w:hAnsi="Verdana" w:cs="Arial"/>
          <w:color w:val="000000"/>
        </w:rPr>
        <w:t>A partir de lo expuesto, la e</w:t>
      </w:r>
      <w:r>
        <w:rPr>
          <w:rFonts w:ascii="Verdana" w:eastAsia="Calibri" w:hAnsi="Verdana" w:cs="Arial"/>
          <w:color w:val="000000"/>
        </w:rPr>
        <w:t xml:space="preserve">ntidad </w:t>
      </w:r>
      <w:r w:rsidRPr="002359C5">
        <w:rPr>
          <w:rFonts w:ascii="Verdana" w:eastAsia="Calibri" w:hAnsi="Verdana" w:cs="Arial"/>
          <w:color w:val="000000"/>
        </w:rPr>
        <w:t xml:space="preserve">debe verificar, en cada una de las etapas —precontractual, contractual y </w:t>
      </w:r>
      <w:proofErr w:type="spellStart"/>
      <w:r w:rsidRPr="002359C5">
        <w:rPr>
          <w:rFonts w:ascii="Verdana" w:eastAsia="Calibri" w:hAnsi="Verdana" w:cs="Arial"/>
          <w:color w:val="000000"/>
        </w:rPr>
        <w:t>poscontractual</w:t>
      </w:r>
      <w:proofErr w:type="spellEnd"/>
      <w:r w:rsidRPr="002359C5">
        <w:rPr>
          <w:rFonts w:ascii="Verdana" w:eastAsia="Calibri" w:hAnsi="Verdana" w:cs="Arial"/>
          <w:color w:val="000000"/>
        </w:rPr>
        <w:t xml:space="preserve">—, la correcta aplicación de criterios destinados a restringir la divulgación de información considerada clasificada, por </w:t>
      </w:r>
      <w:r>
        <w:rPr>
          <w:rFonts w:ascii="Verdana" w:eastAsia="Calibri" w:hAnsi="Verdana" w:cs="Arial"/>
          <w:color w:val="000000"/>
        </w:rPr>
        <w:t xml:space="preserve">contener secretos comerciales, </w:t>
      </w:r>
      <w:r w:rsidRPr="002359C5">
        <w:rPr>
          <w:rFonts w:ascii="Verdana" w:eastAsia="Calibri" w:hAnsi="Verdana" w:cs="Arial"/>
          <w:color w:val="000000"/>
        </w:rPr>
        <w:t>industriales</w:t>
      </w:r>
      <w:r>
        <w:rPr>
          <w:rFonts w:ascii="Verdana" w:eastAsia="Calibri" w:hAnsi="Verdana" w:cs="Arial"/>
          <w:color w:val="000000"/>
        </w:rPr>
        <w:t xml:space="preserve"> o información estratégica</w:t>
      </w:r>
      <w:r w:rsidRPr="002359C5">
        <w:rPr>
          <w:rFonts w:ascii="Verdana" w:eastAsia="Calibri" w:hAnsi="Verdana" w:cs="Arial"/>
          <w:color w:val="000000"/>
        </w:rPr>
        <w:t xml:space="preserve"> de los proveedores</w:t>
      </w:r>
      <w:r>
        <w:rPr>
          <w:rFonts w:ascii="Verdana" w:eastAsia="Calibri" w:hAnsi="Verdana" w:cs="Arial"/>
          <w:color w:val="000000"/>
        </w:rPr>
        <w:t>, que este amparado bajo el secreto empresarial</w:t>
      </w:r>
      <w:r w:rsidRPr="002359C5">
        <w:rPr>
          <w:rFonts w:ascii="Verdana" w:eastAsia="Calibri" w:hAnsi="Verdana" w:cs="Arial"/>
          <w:color w:val="000000"/>
        </w:rPr>
        <w:t xml:space="preserve">. Dichos criterios deberán observarse en el trámite y publicación dentro del SECOP II, en los módulos de </w:t>
      </w:r>
      <w:r>
        <w:rPr>
          <w:rFonts w:ascii="Verdana" w:eastAsia="Calibri" w:hAnsi="Verdana" w:cs="Arial"/>
          <w:color w:val="000000"/>
        </w:rPr>
        <w:t>régimen especial, tanto con o sin oferta.</w:t>
      </w:r>
    </w:p>
    <w:p w14:paraId="759C05B5" w14:textId="77777777" w:rsidR="00EB59DD" w:rsidRPr="00FA6472" w:rsidRDefault="00EB59DD" w:rsidP="00EB59DD">
      <w:pPr>
        <w:spacing w:after="120" w:line="276" w:lineRule="auto"/>
        <w:ind w:firstLine="709"/>
        <w:jc w:val="both"/>
        <w:rPr>
          <w:rFonts w:ascii="Verdana" w:eastAsia="Calibri" w:hAnsi="Verdana" w:cs="Arial"/>
          <w:color w:val="000000"/>
        </w:rPr>
      </w:pPr>
      <w:r>
        <w:rPr>
          <w:rFonts w:ascii="Verdana" w:eastAsia="Calibri" w:hAnsi="Verdana" w:cs="Arial"/>
          <w:color w:val="000000" w:themeColor="text1"/>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forma de publicación en SECOP por parte de las entidades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D93E723" w14:textId="33D678DA" w:rsidR="00EB59DD" w:rsidRDefault="00EB59DD" w:rsidP="003D3A8C">
      <w:pPr>
        <w:spacing w:after="0" w:line="276" w:lineRule="auto"/>
        <w:ind w:firstLine="708"/>
        <w:jc w:val="both"/>
        <w:rPr>
          <w:rFonts w:ascii="Verdana" w:eastAsia="Calibri" w:hAnsi="Verdana" w:cs="Arial"/>
        </w:rPr>
      </w:pPr>
      <w:r w:rsidRPr="004675CD">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45E72068" w14:textId="77777777" w:rsidR="003D3A8C" w:rsidRDefault="003D3A8C" w:rsidP="00586042">
      <w:pPr>
        <w:spacing w:after="0" w:line="276" w:lineRule="auto"/>
        <w:ind w:firstLine="708"/>
        <w:jc w:val="both"/>
        <w:rPr>
          <w:rFonts w:ascii="Verdana" w:eastAsia="Calibri" w:hAnsi="Verdana" w:cs="Arial"/>
        </w:rPr>
      </w:pPr>
    </w:p>
    <w:p w14:paraId="2E17299E" w14:textId="77777777" w:rsidR="00EB59DD" w:rsidRPr="009E51D7" w:rsidRDefault="00EB59DD" w:rsidP="00EB59DD">
      <w:pPr>
        <w:tabs>
          <w:tab w:val="left" w:pos="142"/>
          <w:tab w:val="left" w:pos="284"/>
        </w:tabs>
        <w:spacing w:after="0" w:line="276" w:lineRule="auto"/>
        <w:jc w:val="both"/>
        <w:rPr>
          <w:rFonts w:ascii="Verdana" w:eastAsia="Century Gothic" w:hAnsi="Verdana" w:cs="Century Gothic"/>
          <w:b/>
          <w:bCs/>
        </w:rPr>
      </w:pPr>
      <w:r w:rsidRPr="009E51D7">
        <w:rPr>
          <w:rFonts w:ascii="Verdana" w:eastAsia="Calibri" w:hAnsi="Verdana" w:cs="Arial"/>
          <w:b/>
          <w:color w:val="000000" w:themeColor="text1"/>
        </w:rPr>
        <w:t xml:space="preserve">4. </w:t>
      </w:r>
      <w:r w:rsidRPr="009E51D7">
        <w:rPr>
          <w:rFonts w:ascii="Verdana" w:eastAsia="Century Gothic" w:hAnsi="Verdana" w:cs="Century Gothic"/>
          <w:b/>
          <w:bCs/>
        </w:rPr>
        <w:t>Referencias normativas, jurisprudenciales y otras fuentes:</w:t>
      </w:r>
    </w:p>
    <w:p w14:paraId="49A46EA3" w14:textId="77777777" w:rsidR="00EB59DD" w:rsidRPr="00E5656D" w:rsidRDefault="00EB59DD" w:rsidP="00EB59DD">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B59DD" w:rsidRPr="002D2C18" w14:paraId="7A8BE9E9" w14:textId="77777777" w:rsidTr="008E26D4">
        <w:trPr>
          <w:trHeight w:val="56"/>
          <w:jc w:val="center"/>
        </w:trPr>
        <w:tc>
          <w:tcPr>
            <w:tcW w:w="8647" w:type="dxa"/>
          </w:tcPr>
          <w:p w14:paraId="44352DB2" w14:textId="77777777" w:rsidR="00EB59DD"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Constitución Política. Artículos 74 y 209. </w:t>
            </w:r>
          </w:p>
          <w:p w14:paraId="4726CE45" w14:textId="77777777" w:rsidR="00EB59DD"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Ley 80 de 1993. Artículos 2, 24. </w:t>
            </w:r>
          </w:p>
          <w:p w14:paraId="36C40748" w14:textId="77777777" w:rsidR="00EB59DD"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eastAsia="Times New Roman" w:hAnsi="Verdana" w:cs="Times New Roman"/>
              </w:rPr>
              <w:t xml:space="preserve">Ley 256 de 1996. Artículo 16. </w:t>
            </w:r>
          </w:p>
          <w:p w14:paraId="1958234F" w14:textId="77777777" w:rsidR="00EB59DD"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Ley 489 de 1998. Artículos, 38, 68, 97</w:t>
            </w:r>
          </w:p>
          <w:p w14:paraId="654F527B" w14:textId="77777777" w:rsidR="00EB59DD"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Ley 1150 de 2007. Artículos 3, 13. </w:t>
            </w:r>
          </w:p>
          <w:p w14:paraId="2F1C2F26" w14:textId="77777777" w:rsidR="00EB59DD"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Ley 1437 de 2011. Artículos 24, 25, 36 </w:t>
            </w:r>
          </w:p>
          <w:p w14:paraId="67497EF2" w14:textId="77777777" w:rsidR="00EB59DD"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hAnsi="Verdana" w:cs="Arial"/>
                <w:lang w:eastAsia="es-ES"/>
              </w:rPr>
              <w:t xml:space="preserve">Decreto </w:t>
            </w:r>
            <w:r w:rsidRPr="00632E08">
              <w:rPr>
                <w:rFonts w:ascii="Verdana" w:hAnsi="Verdana" w:cs="Arial"/>
                <w:lang w:eastAsia="es-ES"/>
              </w:rPr>
              <w:t>4170 de 2011</w:t>
            </w:r>
            <w:r>
              <w:rPr>
                <w:rFonts w:ascii="Verdana" w:hAnsi="Verdana" w:cs="Arial"/>
                <w:lang w:eastAsia="es-ES"/>
              </w:rPr>
              <w:t xml:space="preserve">. Artículo 3. </w:t>
            </w:r>
          </w:p>
          <w:p w14:paraId="09980852" w14:textId="77777777" w:rsidR="00EB59DD" w:rsidRPr="006D3502"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eastAsia="Verdana" w:hAnsi="Verdana" w:cs="Verdana"/>
                <w:lang w:val="es-MX"/>
              </w:rPr>
              <w:t xml:space="preserve">Ley 1712 de 2014. Artículos 2, 5, 9, 11, 21.  </w:t>
            </w:r>
          </w:p>
          <w:p w14:paraId="2883F5AD" w14:textId="77777777" w:rsidR="00EB59DD" w:rsidRPr="00632E08"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sidRPr="00AD6B46">
              <w:rPr>
                <w:rFonts w:ascii="Verdana" w:eastAsia="Calibri" w:hAnsi="Verdana" w:cs="Arial"/>
                <w:color w:val="000000"/>
              </w:rPr>
              <w:t>Decreto 1081 de 2015</w:t>
            </w:r>
            <w:r>
              <w:rPr>
                <w:rFonts w:ascii="Verdana" w:eastAsia="Calibri" w:hAnsi="Verdana" w:cs="Arial"/>
                <w:color w:val="000000"/>
              </w:rPr>
              <w:t xml:space="preserve">. Artículo </w:t>
            </w:r>
            <w:r w:rsidRPr="00AD6B46">
              <w:rPr>
                <w:rFonts w:ascii="Verdana" w:eastAsia="Calibri" w:hAnsi="Verdana" w:cs="Arial"/>
                <w:color w:val="000000"/>
              </w:rPr>
              <w:t>2.1.1.4.3.2</w:t>
            </w:r>
            <w:r>
              <w:rPr>
                <w:rFonts w:ascii="Verdana" w:eastAsia="Calibri" w:hAnsi="Verdana" w:cs="Arial"/>
                <w:color w:val="000000"/>
              </w:rPr>
              <w:t>.</w:t>
            </w:r>
          </w:p>
          <w:p w14:paraId="6974B70D" w14:textId="77777777" w:rsidR="00EB59DD" w:rsidRPr="00632E08"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Pr>
                <w:rFonts w:ascii="Verdana" w:eastAsia="Verdana" w:hAnsi="Verdana" w:cs="Verdana"/>
                <w:lang w:val="es-MX"/>
              </w:rPr>
              <w:t xml:space="preserve">Decreto 1082 de 2015. Artículos </w:t>
            </w:r>
            <w:r w:rsidRPr="00AD6B46">
              <w:rPr>
                <w:rFonts w:ascii="Verdana" w:eastAsia="Times New Roman" w:hAnsi="Verdana" w:cs="Arial"/>
                <w:lang w:val="es-ES_tradnl" w:eastAsia="es-ES_tradnl"/>
                <w14:ligatures w14:val="standardContextual"/>
              </w:rPr>
              <w:t>2.2.1.1.1.7.1</w:t>
            </w:r>
            <w:r>
              <w:rPr>
                <w:rFonts w:ascii="Verdana" w:eastAsia="Times New Roman" w:hAnsi="Verdana" w:cs="Arial"/>
                <w:lang w:val="es-ES_tradnl" w:eastAsia="es-ES_tradnl"/>
                <w14:ligatures w14:val="standardContextual"/>
              </w:rPr>
              <w:t xml:space="preserve">, </w:t>
            </w:r>
            <w:r>
              <w:rPr>
                <w:rFonts w:ascii="Verdana" w:eastAsia="Verdana" w:hAnsi="Verdana" w:cs="Verdana"/>
                <w:lang w:val="es-MX"/>
              </w:rPr>
              <w:t>2.2.1.1.1.3.1.</w:t>
            </w:r>
          </w:p>
          <w:p w14:paraId="3D9F5952" w14:textId="77777777" w:rsidR="00EB59DD" w:rsidRPr="00632E08"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sidRPr="00AD6B46">
              <w:rPr>
                <w:rFonts w:ascii="Verdana" w:eastAsia="Calibri" w:hAnsi="Verdana" w:cs="Arial"/>
                <w:color w:val="000000"/>
              </w:rPr>
              <w:t>Ley 1755 de 2015</w:t>
            </w:r>
            <w:r>
              <w:rPr>
                <w:rFonts w:ascii="Verdana" w:eastAsia="Calibri" w:hAnsi="Verdana" w:cs="Arial"/>
                <w:color w:val="000000"/>
              </w:rPr>
              <w:t xml:space="preserve">. Artículo 2. </w:t>
            </w:r>
          </w:p>
          <w:p w14:paraId="25327256" w14:textId="77777777" w:rsidR="00EB59DD" w:rsidRPr="006D3502"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sidRPr="006D3502">
              <w:rPr>
                <w:rFonts w:ascii="Verdana" w:eastAsia="Calibri" w:hAnsi="Verdana" w:cs="Arial"/>
                <w:color w:val="000000"/>
              </w:rPr>
              <w:t>Ley 2195 de 2022. Artículo 53.</w:t>
            </w:r>
          </w:p>
          <w:p w14:paraId="1B591507" w14:textId="77777777" w:rsidR="00EB59DD"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sidRPr="00AD6B46">
              <w:rPr>
                <w:rFonts w:ascii="Verdana" w:eastAsia="Calibri" w:hAnsi="Verdana" w:cs="Arial"/>
                <w:color w:val="000000"/>
              </w:rPr>
              <w:t>Acuerdo 001 de 2024</w:t>
            </w:r>
            <w:r>
              <w:rPr>
                <w:rFonts w:ascii="Verdana" w:eastAsia="Calibri" w:hAnsi="Verdana" w:cs="Arial"/>
                <w:color w:val="000000"/>
              </w:rPr>
              <w:t xml:space="preserve">. Artículo </w:t>
            </w:r>
          </w:p>
          <w:p w14:paraId="43886178" w14:textId="77777777" w:rsidR="00EB59DD" w:rsidRPr="006D3502"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sidRPr="006D3502">
              <w:rPr>
                <w:rFonts w:ascii="Verdana" w:eastAsia="Times New Roman" w:hAnsi="Verdana" w:cs="Times New Roman"/>
              </w:rPr>
              <w:t>Decisión 486 de la Comunidad Andina de Naciones. Artículo 265.</w:t>
            </w:r>
          </w:p>
          <w:p w14:paraId="62100DB6" w14:textId="77777777" w:rsidR="00EB59DD" w:rsidRPr="00632E08"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sidRPr="00632E08">
              <w:rPr>
                <w:rFonts w:ascii="Verdana" w:hAnsi="Verdana" w:cs="Arial"/>
                <w:lang w:eastAsia="es-ES"/>
              </w:rPr>
              <w:t>Consejo de Estado. Sala de Consulta y Servicio Civil, Concepto 1127 del 10 de diciembre de 2004. C.P. Enrique José Arboleda Perdomo.</w:t>
            </w:r>
          </w:p>
          <w:p w14:paraId="1CEAE625" w14:textId="77777777" w:rsidR="00EB59DD" w:rsidRPr="00453C30" w:rsidRDefault="00EB59DD" w:rsidP="00EB59DD">
            <w:pPr>
              <w:pStyle w:val="Prrafodelista"/>
              <w:widowControl w:val="0"/>
              <w:numPr>
                <w:ilvl w:val="0"/>
                <w:numId w:val="17"/>
              </w:numPr>
              <w:autoSpaceDE w:val="0"/>
              <w:autoSpaceDN w:val="0"/>
              <w:spacing w:line="276" w:lineRule="auto"/>
              <w:jc w:val="both"/>
              <w:rPr>
                <w:rFonts w:ascii="Verdana" w:hAnsi="Verdana" w:cs="Arial"/>
                <w:lang w:eastAsia="es-ES"/>
              </w:rPr>
            </w:pPr>
            <w:r w:rsidRPr="00632E08">
              <w:rPr>
                <w:rFonts w:ascii="Verdana" w:hAnsi="Verdana" w:cs="Arial"/>
                <w:lang w:eastAsia="es-ES"/>
              </w:rPr>
              <w:t>Corte Constitucional. Sentencia C‒274 de 9 de mayo de 2013. M.P. María Victoria Calle Correa.</w:t>
            </w:r>
          </w:p>
        </w:tc>
      </w:tr>
    </w:tbl>
    <w:p w14:paraId="649992FE" w14:textId="77777777" w:rsidR="00EB59DD" w:rsidRDefault="00EB59DD" w:rsidP="00EB59DD">
      <w:pPr>
        <w:tabs>
          <w:tab w:val="left" w:pos="142"/>
          <w:tab w:val="left" w:pos="284"/>
          <w:tab w:val="left" w:pos="3828"/>
        </w:tabs>
        <w:spacing w:after="0" w:line="276" w:lineRule="auto"/>
        <w:jc w:val="both"/>
        <w:rPr>
          <w:rFonts w:ascii="Verdana" w:eastAsia="Century Gothic" w:hAnsi="Verdana" w:cs="Century Gothic"/>
          <w:b/>
          <w:bCs/>
        </w:rPr>
      </w:pPr>
    </w:p>
    <w:p w14:paraId="72A90425" w14:textId="77777777" w:rsidR="00EB59DD" w:rsidRPr="0091091D" w:rsidRDefault="00EB59DD" w:rsidP="00EB59DD">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5910F288" w14:textId="77777777" w:rsidR="00EB59DD" w:rsidRPr="007A3DD4" w:rsidRDefault="00EB59DD" w:rsidP="00586042">
      <w:pPr>
        <w:widowControl w:val="0"/>
        <w:autoSpaceDE w:val="0"/>
        <w:autoSpaceDN w:val="0"/>
        <w:spacing w:after="0" w:line="276" w:lineRule="auto"/>
        <w:jc w:val="both"/>
        <w:rPr>
          <w:rStyle w:val="normaltextrun"/>
          <w:rFonts w:ascii="Verdana" w:hAnsi="Verdana" w:cs="Arial"/>
          <w:shd w:val="clear" w:color="auto" w:fill="FFFFFF"/>
        </w:rPr>
      </w:pPr>
    </w:p>
    <w:p w14:paraId="7A35253E" w14:textId="77777777" w:rsidR="00EB59DD" w:rsidRPr="00283E77" w:rsidRDefault="00EB59DD" w:rsidP="00EB59DD">
      <w:pPr>
        <w:spacing w:after="0" w:line="276" w:lineRule="auto"/>
        <w:jc w:val="both"/>
        <w:rPr>
          <w:rFonts w:ascii="Verdana" w:eastAsia="Calibri" w:hAnsi="Verdana" w:cs="Arial"/>
          <w:lang w:eastAsia="es-ES_tradnl"/>
        </w:rPr>
      </w:pPr>
      <w:r w:rsidRPr="00392E13">
        <w:rPr>
          <w:rFonts w:ascii="Verdana" w:hAnsi="Verdana" w:cs="Arial"/>
          <w:bCs/>
          <w:shd w:val="clear" w:color="auto" w:fill="FFFFFF"/>
        </w:rPr>
        <w:t>La Agencia Nacional de Contratación Públi</w:t>
      </w:r>
      <w:r>
        <w:rPr>
          <w:rFonts w:ascii="Verdana" w:hAnsi="Verdana" w:cs="Arial"/>
          <w:bCs/>
          <w:shd w:val="clear" w:color="auto" w:fill="FFFFFF"/>
        </w:rPr>
        <w:t xml:space="preserve">ca – Colombia Compra Eficiente se ha pronunciado respecto del deber de publicidad contractual </w:t>
      </w:r>
      <w:r w:rsidRPr="00392E13">
        <w:rPr>
          <w:rFonts w:ascii="Verdana" w:hAnsi="Verdana" w:cs="Arial"/>
          <w:bCs/>
          <w:shd w:val="clear" w:color="auto" w:fill="FFFFFF"/>
        </w:rPr>
        <w:t xml:space="preserve">en los conceptos </w:t>
      </w:r>
      <w:r w:rsidRPr="00392E13">
        <w:rPr>
          <w:rFonts w:ascii="Verdana" w:hAnsi="Verdana" w:cs="Arial"/>
          <w:bCs/>
          <w:shd w:val="clear" w:color="auto" w:fill="FFFFFF"/>
          <w:lang w:val="es-ES_tradnl"/>
        </w:rPr>
        <w:t>CU-367 del 23 de julio de 2020, reiterado en los conceptos: C−433 de 24 de julio de 2020, C−468 del 24 de julio de 2020, C−474 de 24 de julio de 2020, C−488 del 28 de julio de 2020, C−544 del 21 de agosto de 2020, C−575 del 27 de agosto de 2020, C−643 del 26 de octubre de 2020, C−661 del 17 de noviembre de 2020, C-094 del 13 de abril de 2021, C−068 del 22 de abril de 2021, C-185 del 29 de abril de 2021, C-472 del 6 de septiembre de 2021</w:t>
      </w:r>
      <w:r>
        <w:rPr>
          <w:rFonts w:ascii="Verdana" w:hAnsi="Verdana" w:cs="Arial"/>
          <w:bCs/>
          <w:shd w:val="clear" w:color="auto" w:fill="FFFFFF"/>
          <w:lang w:val="es-ES_tradnl"/>
        </w:rPr>
        <w:t>,</w:t>
      </w:r>
      <w:r w:rsidRPr="00392E13">
        <w:rPr>
          <w:rFonts w:ascii="Verdana" w:hAnsi="Verdana" w:cs="Arial"/>
          <w:bCs/>
          <w:shd w:val="clear" w:color="auto" w:fill="FFFFFF"/>
          <w:lang w:val="es-ES_tradnl"/>
        </w:rPr>
        <w:t xml:space="preserve"> C-804 de 2024</w:t>
      </w:r>
      <w:r w:rsidRPr="00392E13">
        <w:rPr>
          <w:rFonts w:ascii="Verdana" w:hAnsi="Verdana" w:cs="Arial"/>
          <w:bCs/>
          <w:shd w:val="clear" w:color="auto" w:fill="FFFFFF"/>
        </w:rPr>
        <w:t xml:space="preserve">, C-185 </w:t>
      </w:r>
      <w:r w:rsidRPr="00FA6472">
        <w:rPr>
          <w:rFonts w:ascii="Verdana" w:hAnsi="Verdana" w:cs="Arial"/>
          <w:bCs/>
          <w:shd w:val="clear" w:color="auto" w:fill="FFFFFF"/>
        </w:rPr>
        <w:t>del 24 de marzo de 2025, C-487 del 30 de mayo de 2025, 1177 del 1 de octubre de 2025, C-1784 del 22 de diciembre de 2025, C-659 del 1 de junio de 2026, C-809 del 25 de junio de 2026, entre otros</w:t>
      </w:r>
      <w:r w:rsidRPr="00FA6472">
        <w:rPr>
          <w:rFonts w:ascii="Verdana" w:eastAsia="Calibri" w:hAnsi="Verdana" w:cs="Arial"/>
          <w:lang w:eastAsia="es-ES_tradnl"/>
        </w:rPr>
        <w:t xml:space="preserve">. </w:t>
      </w:r>
      <w:r w:rsidRPr="00FA6472">
        <w:rPr>
          <w:rFonts w:ascii="Verdana" w:hAnsi="Verdana" w:cs="Arial"/>
        </w:rPr>
        <w:t xml:space="preserve">Estos y otros </w:t>
      </w:r>
      <w:r w:rsidRPr="00FA6472">
        <w:rPr>
          <w:rFonts w:ascii="Verdana" w:hAnsi="Verdana"/>
        </w:rPr>
        <w:t>conceptos se encuentran disponibles para consulta en el Sistema de relatoría de la Agencia, al cual se puede acceder a través del siguiente enlace:</w:t>
      </w:r>
      <w:r w:rsidRPr="00FA6472">
        <w:rPr>
          <w:rFonts w:ascii="Verdana" w:hAnsi="Verdana" w:cs="Arial"/>
          <w:shd w:val="clear" w:color="auto" w:fill="FFFFFF"/>
        </w:rPr>
        <w:t xml:space="preserve"> </w:t>
      </w:r>
      <w:hyperlink r:id="rId13" w:history="1">
        <w:r w:rsidRPr="003D3A8C">
          <w:rPr>
            <w:rFonts w:ascii="Verdana" w:hAnsi="Verdana" w:cs="Arial"/>
            <w:color w:val="0563C1" w:themeColor="hyperlink"/>
            <w:u w:val="single"/>
            <w:shd w:val="clear" w:color="auto" w:fill="FFFFFF"/>
          </w:rPr>
          <w:t>https://relatoria.colombiacompra.gov.co/busqueda/conceptos</w:t>
        </w:r>
      </w:hyperlink>
      <w:r w:rsidRPr="003D3A8C">
        <w:rPr>
          <w:rFonts w:ascii="Verdana" w:hAnsi="Verdana" w:cs="Arial"/>
          <w:shd w:val="clear" w:color="auto" w:fill="FFFFFF"/>
        </w:rPr>
        <w:t>.</w:t>
      </w:r>
      <w:r w:rsidRPr="003D3A8C">
        <w:rPr>
          <w:rFonts w:ascii="Verdana" w:hAnsi="Verdana" w:cs="Arial"/>
          <w:color w:val="FF0000"/>
          <w:shd w:val="clear" w:color="auto" w:fill="FFFFFF"/>
        </w:rPr>
        <w:t xml:space="preserve"> </w:t>
      </w:r>
    </w:p>
    <w:p w14:paraId="63E2B38F" w14:textId="77777777" w:rsidR="00EB59DD" w:rsidRPr="00283E77" w:rsidRDefault="00EB59DD" w:rsidP="00586042">
      <w:pPr>
        <w:widowControl w:val="0"/>
        <w:autoSpaceDE w:val="0"/>
        <w:autoSpaceDN w:val="0"/>
        <w:spacing w:after="0" w:line="276" w:lineRule="auto"/>
        <w:jc w:val="both"/>
        <w:rPr>
          <w:rFonts w:ascii="Verdana" w:hAnsi="Verdana"/>
        </w:rPr>
      </w:pPr>
    </w:p>
    <w:p w14:paraId="0B0F4E7E" w14:textId="77777777" w:rsidR="00EB59DD" w:rsidRPr="00AB4B99" w:rsidRDefault="00EB59DD" w:rsidP="00586042">
      <w:pPr>
        <w:widowControl w:val="0"/>
        <w:autoSpaceDE w:val="0"/>
        <w:autoSpaceDN w:val="0"/>
        <w:spacing w:after="0" w:line="276" w:lineRule="auto"/>
        <w:jc w:val="both"/>
        <w:rPr>
          <w:rFonts w:ascii="Verdana" w:hAnsi="Verdana" w:cs="Arial"/>
          <w:shd w:val="clear" w:color="auto" w:fill="FFFFFF"/>
        </w:rPr>
      </w:pPr>
      <w:r w:rsidRPr="00283E77">
        <w:rPr>
          <w:rFonts w:ascii="Verdana" w:hAnsi="Verdana"/>
        </w:rPr>
        <w:t>La sostenibilidad no es una opción, es una obligación. Por ello, la Agencia Nacional de Contratación</w:t>
      </w:r>
      <w:r w:rsidRPr="009A385A">
        <w:rPr>
          <w:rFonts w:ascii="Verdana" w:hAnsi="Verdana"/>
        </w:rPr>
        <w:t xml:space="preserve">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3D3A8C">
          <w:rPr>
            <w:rStyle w:val="Hipervnculo"/>
            <w:rFonts w:ascii="Verdana" w:hAnsi="Verdana"/>
          </w:rPr>
          <w:t>https://formacionvirtual.colombiacompra.gov.co/mod/page/view.php?id=3718</w:t>
        </w:r>
      </w:hyperlink>
    </w:p>
    <w:p w14:paraId="6542ED92" w14:textId="77777777" w:rsidR="00EB59DD" w:rsidRDefault="00EB59DD" w:rsidP="00586042">
      <w:pPr>
        <w:widowControl w:val="0"/>
        <w:autoSpaceDE w:val="0"/>
        <w:autoSpaceDN w:val="0"/>
        <w:spacing w:after="0" w:line="276" w:lineRule="auto"/>
        <w:jc w:val="both"/>
        <w:rPr>
          <w:rFonts w:ascii="Verdana" w:hAnsi="Verdana"/>
        </w:rPr>
      </w:pPr>
    </w:p>
    <w:p w14:paraId="53A0E3E9" w14:textId="77777777" w:rsidR="00EB59DD" w:rsidRPr="000E1EA7" w:rsidRDefault="00EB59DD" w:rsidP="00586042">
      <w:pPr>
        <w:widowControl w:val="0"/>
        <w:autoSpaceDE w:val="0"/>
        <w:autoSpaceDN w:val="0"/>
        <w:spacing w:after="0" w:line="276" w:lineRule="auto"/>
        <w:jc w:val="both"/>
        <w:rPr>
          <w:rStyle w:val="Hipervnculo"/>
          <w:rFonts w:ascii="Verdana" w:hAnsi="Verdana" w:cs="Arial"/>
          <w:color w:val="auto"/>
          <w:u w:val="none"/>
        </w:rPr>
      </w:pPr>
      <w:r w:rsidRPr="00FA3E82">
        <w:rPr>
          <w:rFonts w:ascii="Verdana" w:hAnsi="Verdana"/>
        </w:rPr>
        <w:t xml:space="preserve">De otro lado, te contamos que esta Agencia ha dado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w:t>
      </w:r>
      <w:r w:rsidRPr="003D3A8C">
        <w:rPr>
          <w:rFonts w:ascii="Verdana" w:hAnsi="Verdana"/>
        </w:rPr>
        <w:t xml:space="preserve">Consulta y descarga los documentos aquí: </w:t>
      </w:r>
      <w:hyperlink r:id="rId15" w:tgtFrame="_new" w:history="1">
        <w:r w:rsidRPr="003D3A8C">
          <w:rPr>
            <w:rStyle w:val="Hipervnculo"/>
            <w:rFonts w:ascii="Verdana" w:hAnsi="Verdana"/>
          </w:rPr>
          <w:t>https://www.colombiacompra.gov.co/normativa-y-relatoria/documentos-tipo</w:t>
        </w:r>
      </w:hyperlink>
    </w:p>
    <w:p w14:paraId="5E5454BC" w14:textId="33C06A14" w:rsidR="00EB59DD" w:rsidRDefault="00EB59DD" w:rsidP="003D3A8C">
      <w:pPr>
        <w:widowControl w:val="0"/>
        <w:autoSpaceDE w:val="0"/>
        <w:autoSpaceDN w:val="0"/>
        <w:spacing w:after="0" w:line="276" w:lineRule="auto"/>
        <w:jc w:val="both"/>
        <w:rPr>
          <w:rStyle w:val="Hipervnculo"/>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3D3A8C">
        <w:rPr>
          <w:rFonts w:ascii="Verdana" w:hAnsi="Verdana"/>
        </w:rPr>
        <w:t>Además se incluyeron lineamientos que orientan la implementación de los criterios ambientales y sociales incluidos en los documentos tipo: Consulta la guía aquí:</w:t>
      </w:r>
      <w:r w:rsidRPr="003D3A8C">
        <w:rPr>
          <w:rFonts w:ascii="Verdana" w:hAnsi="Verdana"/>
        </w:rPr>
        <w:br/>
      </w:r>
      <w:hyperlink r:id="rId16" w:tgtFrame="_new" w:history="1">
        <w:r w:rsidRPr="003D3A8C">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77B24CDD" w14:textId="77777777" w:rsidR="003D3A8C" w:rsidRPr="003D3A8C" w:rsidRDefault="003D3A8C" w:rsidP="00586042">
      <w:pPr>
        <w:widowControl w:val="0"/>
        <w:autoSpaceDE w:val="0"/>
        <w:autoSpaceDN w:val="0"/>
        <w:spacing w:after="0" w:line="276" w:lineRule="auto"/>
        <w:jc w:val="both"/>
        <w:rPr>
          <w:rStyle w:val="Hipervnculo"/>
          <w:rFonts w:ascii="Verdana" w:hAnsi="Verdana" w:cs="Arial"/>
          <w:color w:val="auto"/>
          <w:u w:val="none"/>
        </w:rPr>
      </w:pPr>
    </w:p>
    <w:p w14:paraId="64438A22" w14:textId="0E3BC50E" w:rsidR="00EB59DD" w:rsidRDefault="00EB59DD" w:rsidP="003D3A8C">
      <w:pPr>
        <w:widowControl w:val="0"/>
        <w:autoSpaceDE w:val="0"/>
        <w:autoSpaceDN w:val="0"/>
        <w:spacing w:after="0" w:line="276" w:lineRule="auto"/>
        <w:jc w:val="both"/>
        <w:rPr>
          <w:rFonts w:ascii="Verdana" w:hAnsi="Verdana"/>
        </w:rPr>
      </w:pPr>
      <w:r w:rsidRPr="00FA3E82">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6036CD9" w14:textId="77777777" w:rsidR="003D3A8C" w:rsidRPr="003D3A8C" w:rsidRDefault="003D3A8C" w:rsidP="00586042">
      <w:pPr>
        <w:widowControl w:val="0"/>
        <w:autoSpaceDE w:val="0"/>
        <w:autoSpaceDN w:val="0"/>
        <w:spacing w:after="0" w:line="276" w:lineRule="auto"/>
        <w:jc w:val="both"/>
        <w:rPr>
          <w:rFonts w:ascii="Verdana" w:hAnsi="Verdana" w:cs="Arial"/>
        </w:rPr>
      </w:pPr>
    </w:p>
    <w:p w14:paraId="0E173264" w14:textId="77777777" w:rsidR="00EB59DD" w:rsidRPr="00116940" w:rsidRDefault="00EB59DD" w:rsidP="00EB59DD">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AF4D95B" w14:textId="77777777" w:rsidR="00EB59DD" w:rsidRPr="00116940" w:rsidRDefault="00EB59DD" w:rsidP="00EB59DD">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0E434649" w14:textId="77777777" w:rsidR="00EB59DD" w:rsidRPr="00116940" w:rsidRDefault="00EB59DD" w:rsidP="00EB59DD">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45EC2A46" w14:textId="77777777" w:rsidR="00EB59DD" w:rsidRPr="00116940" w:rsidRDefault="00EB59DD" w:rsidP="00EB59DD">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2918B4A2" w14:textId="77777777" w:rsidR="003D3A8C" w:rsidRDefault="003D3A8C" w:rsidP="003D3A8C">
      <w:pPr>
        <w:spacing w:after="0" w:line="276" w:lineRule="auto"/>
        <w:jc w:val="both"/>
        <w:rPr>
          <w:rFonts w:ascii="Verdana" w:hAnsi="Verdana"/>
        </w:rPr>
      </w:pPr>
    </w:p>
    <w:p w14:paraId="101E8B69" w14:textId="6C739499" w:rsidR="00EB59DD" w:rsidRDefault="00EB59DD" w:rsidP="00EB59DD">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3D3A8C">
          <w:rPr>
            <w:rStyle w:val="Hipervnculo"/>
            <w:rFonts w:ascii="Verdana" w:eastAsia="Verdana" w:hAnsi="Verdana" w:cs="Verdana"/>
            <w:lang w:val="es-MX"/>
          </w:rPr>
          <w:t>https://forms.office.com/r/pPHyWVs2SZ</w:t>
        </w:r>
      </w:hyperlink>
      <w:r w:rsidRPr="003D3A8C">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7ED6F5A9" w14:textId="77777777" w:rsidR="00EB59DD" w:rsidRDefault="00EB59DD" w:rsidP="00586042">
      <w:pPr>
        <w:spacing w:after="0" w:line="276" w:lineRule="auto"/>
        <w:jc w:val="both"/>
        <w:rPr>
          <w:rFonts w:ascii="Verdana" w:hAnsi="Verdana"/>
        </w:rPr>
      </w:pPr>
    </w:p>
    <w:p w14:paraId="179B4F48" w14:textId="77777777" w:rsidR="00EB59DD" w:rsidRPr="00116940" w:rsidRDefault="00EB59DD" w:rsidP="00EB59DD">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C3D2C70" w14:textId="77777777" w:rsidR="00EB59DD" w:rsidRPr="008746BD" w:rsidRDefault="00EB59DD" w:rsidP="00586042">
      <w:pPr>
        <w:spacing w:after="0" w:line="276" w:lineRule="auto"/>
        <w:jc w:val="both"/>
        <w:rPr>
          <w:rFonts w:ascii="Verdana" w:hAnsi="Verdana"/>
        </w:rPr>
      </w:pPr>
    </w:p>
    <w:p w14:paraId="11DE8FC5" w14:textId="77777777" w:rsidR="00EB59DD" w:rsidRPr="00116940" w:rsidRDefault="00EB59DD" w:rsidP="00EB59DD">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23E2C32" w14:textId="77777777" w:rsidR="00EB59DD" w:rsidRPr="00116940" w:rsidRDefault="00EB59DD" w:rsidP="00EB59DD">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6323369" w14:textId="77777777" w:rsidR="00EB59DD" w:rsidRPr="00116940" w:rsidRDefault="00EB59DD" w:rsidP="00EB59DD">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EEB144C" w14:textId="77777777" w:rsidR="00EB59DD" w:rsidRPr="00586042" w:rsidRDefault="00EB59DD" w:rsidP="00EB59DD">
      <w:pPr>
        <w:spacing w:after="0" w:line="276" w:lineRule="auto"/>
        <w:jc w:val="both"/>
        <w:rPr>
          <w:rFonts w:ascii="Verdana" w:eastAsia="Century Gothic" w:hAnsi="Verdana" w:cs="Century Gothic"/>
          <w:lang w:val="es-ES" w:eastAsia="es-ES_tradnl"/>
        </w:rPr>
      </w:pPr>
    </w:p>
    <w:p w14:paraId="6B765038" w14:textId="77777777" w:rsidR="00EB59DD" w:rsidRPr="00842775" w:rsidRDefault="00EB59DD" w:rsidP="00586042">
      <w:pPr>
        <w:spacing w:after="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34F05F6B" w14:textId="77777777" w:rsidR="00EB59DD" w:rsidRDefault="00EB59DD" w:rsidP="00EB59DD">
      <w:pPr>
        <w:spacing w:after="0" w:line="276" w:lineRule="auto"/>
        <w:jc w:val="both"/>
        <w:rPr>
          <w:rFonts w:ascii="Verdana" w:hAnsi="Verdana"/>
          <w:lang w:val="es-MX"/>
        </w:rPr>
      </w:pPr>
    </w:p>
    <w:p w14:paraId="2391A580" w14:textId="008EE605" w:rsidR="00EB59DD" w:rsidRPr="00401F72" w:rsidRDefault="00EB59DD" w:rsidP="00401F72">
      <w:pPr>
        <w:spacing w:after="0" w:line="276" w:lineRule="auto"/>
        <w:jc w:val="both"/>
        <w:rPr>
          <w:rFonts w:ascii="Verdana" w:hAnsi="Verdana"/>
          <w:lang w:val="es-MX"/>
        </w:rPr>
      </w:pPr>
      <w:r w:rsidRPr="00E02524">
        <w:rPr>
          <w:rFonts w:ascii="Verdana" w:hAnsi="Verdana"/>
          <w:lang w:val="es-MX"/>
        </w:rPr>
        <w:t>Cordialmente,</w:t>
      </w:r>
    </w:p>
    <w:p w14:paraId="2586F30C" w14:textId="616B2050" w:rsidR="00EB59DD" w:rsidRDefault="00401F72" w:rsidP="00EB59DD">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65C38031" wp14:editId="411A6D61">
            <wp:extent cx="3422722" cy="1612629"/>
            <wp:effectExtent l="0" t="0" r="6350" b="698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3430477" cy="1616283"/>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EB59DD" w:rsidRPr="004D34F4" w14:paraId="637134BA" w14:textId="77777777" w:rsidTr="008E26D4">
        <w:trPr>
          <w:trHeight w:val="288"/>
        </w:trPr>
        <w:tc>
          <w:tcPr>
            <w:tcW w:w="893" w:type="dxa"/>
            <w:vAlign w:val="center"/>
            <w:hideMark/>
          </w:tcPr>
          <w:p w14:paraId="4526DB24" w14:textId="77777777" w:rsidR="00EB59DD" w:rsidRPr="004D34F4" w:rsidRDefault="00EB59DD" w:rsidP="008E26D4">
            <w:pPr>
              <w:contextualSpacing/>
              <w:rPr>
                <w:rFonts w:ascii="Verdana" w:hAnsi="Verdana" w:cs="Arial"/>
                <w:sz w:val="16"/>
                <w:szCs w:val="16"/>
                <w:lang w:eastAsia="es-ES"/>
              </w:rPr>
            </w:pPr>
            <w:r w:rsidRPr="004D34F4">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EB1CE5D" w14:textId="77777777" w:rsidR="00EB59DD" w:rsidRPr="004D34F4" w:rsidRDefault="00EB59DD" w:rsidP="008E26D4">
            <w:pPr>
              <w:contextualSpacing/>
              <w:rPr>
                <w:rStyle w:val="normaltextrun"/>
                <w:rFonts w:ascii="Verdana" w:hAnsi="Verdana"/>
                <w:sz w:val="16"/>
                <w:szCs w:val="16"/>
              </w:rPr>
            </w:pPr>
            <w:r w:rsidRPr="004D34F4">
              <w:rPr>
                <w:rStyle w:val="normaltextrun"/>
                <w:rFonts w:ascii="Verdana" w:hAnsi="Verdana"/>
                <w:sz w:val="16"/>
                <w:szCs w:val="16"/>
              </w:rPr>
              <w:t xml:space="preserve">Esperanza Contreras P </w:t>
            </w:r>
          </w:p>
          <w:p w14:paraId="0646C145" w14:textId="77777777" w:rsidR="00EB59DD" w:rsidRPr="004D34F4" w:rsidRDefault="00EB59DD" w:rsidP="008E26D4">
            <w:pPr>
              <w:contextualSpacing/>
              <w:rPr>
                <w:rFonts w:ascii="Verdana" w:eastAsia="Arial" w:hAnsi="Verdana" w:cs="Arial"/>
                <w:sz w:val="16"/>
                <w:szCs w:val="16"/>
              </w:rPr>
            </w:pPr>
            <w:r w:rsidRPr="004D34F4">
              <w:rPr>
                <w:rStyle w:val="normaltextrun"/>
                <w:rFonts w:ascii="Verdana" w:hAnsi="Verdana" w:cs="Arial"/>
                <w:sz w:val="16"/>
                <w:szCs w:val="16"/>
              </w:rPr>
              <w:t>Contratista de la Subdirección de Gestión Contractual</w:t>
            </w:r>
            <w:r w:rsidRPr="004D34F4">
              <w:rPr>
                <w:rStyle w:val="eop"/>
                <w:rFonts w:ascii="Verdana" w:hAnsi="Verdana" w:cs="Arial"/>
                <w:sz w:val="16"/>
                <w:szCs w:val="16"/>
              </w:rPr>
              <w:t> </w:t>
            </w:r>
          </w:p>
        </w:tc>
      </w:tr>
      <w:tr w:rsidR="00EB59DD" w:rsidRPr="004D34F4" w14:paraId="24129520" w14:textId="77777777" w:rsidTr="008E26D4">
        <w:trPr>
          <w:trHeight w:val="330"/>
        </w:trPr>
        <w:tc>
          <w:tcPr>
            <w:tcW w:w="893" w:type="dxa"/>
            <w:vAlign w:val="center"/>
            <w:hideMark/>
          </w:tcPr>
          <w:p w14:paraId="0900BA69" w14:textId="77777777" w:rsidR="00EB59DD" w:rsidRPr="004D34F4" w:rsidRDefault="00EB59DD" w:rsidP="008E26D4">
            <w:pPr>
              <w:contextualSpacing/>
              <w:rPr>
                <w:rFonts w:ascii="Verdana" w:hAnsi="Verdana" w:cs="Arial"/>
                <w:sz w:val="16"/>
                <w:szCs w:val="16"/>
                <w:lang w:eastAsia="es-ES"/>
              </w:rPr>
            </w:pPr>
            <w:r w:rsidRPr="004D34F4">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BFC04C4" w14:textId="77777777" w:rsidR="00EB59DD" w:rsidRPr="004D34F4" w:rsidRDefault="00EB59DD" w:rsidP="008E26D4">
            <w:pPr>
              <w:pStyle w:val="paragraph"/>
              <w:spacing w:before="0" w:beforeAutospacing="0" w:after="0" w:afterAutospacing="0"/>
              <w:contextualSpacing/>
              <w:textAlignment w:val="baseline"/>
              <w:rPr>
                <w:rStyle w:val="normaltextrun"/>
                <w:rFonts w:ascii="Verdana" w:hAnsi="Verdana"/>
                <w:sz w:val="16"/>
                <w:szCs w:val="16"/>
              </w:rPr>
            </w:pPr>
            <w:r w:rsidRPr="004D34F4">
              <w:rPr>
                <w:rStyle w:val="normaltextrun"/>
                <w:rFonts w:ascii="Verdana" w:hAnsi="Verdana"/>
                <w:sz w:val="16"/>
                <w:szCs w:val="16"/>
              </w:rPr>
              <w:t xml:space="preserve">Diana Lucía Saavedra Castañeda. </w:t>
            </w:r>
          </w:p>
          <w:p w14:paraId="0E4FBD01" w14:textId="77777777" w:rsidR="00EB59DD" w:rsidRPr="004D34F4" w:rsidRDefault="00EB59DD" w:rsidP="008E26D4">
            <w:pPr>
              <w:pStyle w:val="paragraph"/>
              <w:spacing w:before="0" w:beforeAutospacing="0" w:after="0" w:afterAutospacing="0"/>
              <w:contextualSpacing/>
              <w:textAlignment w:val="baseline"/>
              <w:rPr>
                <w:rFonts w:ascii="Verdana" w:hAnsi="Verdana" w:cs="Segoe UI"/>
                <w:sz w:val="16"/>
                <w:szCs w:val="16"/>
              </w:rPr>
            </w:pPr>
            <w:r w:rsidRPr="004D34F4">
              <w:rPr>
                <w:rStyle w:val="normaltextrun"/>
                <w:rFonts w:ascii="Verdana" w:hAnsi="Verdana"/>
                <w:sz w:val="16"/>
                <w:szCs w:val="16"/>
              </w:rPr>
              <w:t xml:space="preserve">Contratista Subdirección Gestión Contractual  </w:t>
            </w:r>
          </w:p>
        </w:tc>
      </w:tr>
      <w:tr w:rsidR="00EB59DD" w:rsidRPr="004D34F4" w14:paraId="45C5C721" w14:textId="77777777" w:rsidTr="008E26D4">
        <w:trPr>
          <w:trHeight w:val="300"/>
        </w:trPr>
        <w:tc>
          <w:tcPr>
            <w:tcW w:w="893" w:type="dxa"/>
            <w:vAlign w:val="center"/>
          </w:tcPr>
          <w:p w14:paraId="77EFA438" w14:textId="77777777" w:rsidR="00EB59DD" w:rsidRPr="004D34F4" w:rsidRDefault="00EB59DD" w:rsidP="008E26D4">
            <w:pPr>
              <w:contextualSpacing/>
              <w:rPr>
                <w:rFonts w:ascii="Verdana" w:hAnsi="Verdana" w:cs="Arial"/>
                <w:sz w:val="16"/>
                <w:szCs w:val="16"/>
                <w:lang w:eastAsia="es-ES"/>
              </w:rPr>
            </w:pPr>
            <w:r w:rsidRPr="004D34F4">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3F7BF001" w14:textId="77777777" w:rsidR="00EB59DD" w:rsidRPr="004D34F4" w:rsidRDefault="00EB59DD" w:rsidP="008E26D4">
            <w:pPr>
              <w:contextualSpacing/>
              <w:rPr>
                <w:rFonts w:ascii="Verdana" w:eastAsia="Calibri" w:hAnsi="Verdana" w:cs="Arial"/>
                <w:sz w:val="16"/>
                <w:szCs w:val="16"/>
                <w:lang w:eastAsia="es-ES"/>
              </w:rPr>
            </w:pPr>
            <w:r w:rsidRPr="004D34F4">
              <w:rPr>
                <w:rFonts w:ascii="Verdana" w:eastAsia="Calibri" w:hAnsi="Verdana" w:cs="Arial"/>
                <w:sz w:val="16"/>
                <w:szCs w:val="16"/>
                <w:lang w:eastAsia="es-ES"/>
              </w:rPr>
              <w:t>Carolina Quintero Gacharná</w:t>
            </w:r>
          </w:p>
          <w:p w14:paraId="10B3335A" w14:textId="77777777" w:rsidR="00EB59DD" w:rsidRPr="004D34F4" w:rsidRDefault="00EB59DD" w:rsidP="008E26D4">
            <w:pPr>
              <w:contextualSpacing/>
              <w:rPr>
                <w:rFonts w:ascii="Verdana" w:eastAsia="Calibri" w:hAnsi="Verdana" w:cs="Arial"/>
                <w:sz w:val="16"/>
                <w:szCs w:val="16"/>
                <w:lang w:eastAsia="es-ES"/>
              </w:rPr>
            </w:pPr>
            <w:r w:rsidRPr="004D34F4">
              <w:rPr>
                <w:rFonts w:ascii="Verdana" w:eastAsia="Calibri" w:hAnsi="Verdana" w:cs="Arial"/>
                <w:sz w:val="16"/>
                <w:szCs w:val="16"/>
                <w:lang w:eastAsia="es-ES"/>
              </w:rPr>
              <w:t>Subdirectora de Gestión Contractual ANCP – CCE</w:t>
            </w:r>
          </w:p>
        </w:tc>
      </w:tr>
      <w:bookmarkEnd w:id="1"/>
    </w:tbl>
    <w:p w14:paraId="4F75291C" w14:textId="77777777" w:rsidR="00EB59DD" w:rsidRPr="004D34F4" w:rsidRDefault="00EB59DD" w:rsidP="00EB59DD">
      <w:pPr>
        <w:spacing w:after="0"/>
        <w:rPr>
          <w:rFonts w:ascii="Verdana" w:eastAsia="Verdana" w:hAnsi="Verdana" w:cs="Verdana"/>
          <w:sz w:val="16"/>
          <w:szCs w:val="16"/>
        </w:rPr>
      </w:pPr>
    </w:p>
    <w:p w14:paraId="5CB6F521" w14:textId="77777777" w:rsidR="00EB59DD" w:rsidRPr="004D34F4" w:rsidRDefault="00EB59DD" w:rsidP="00EB59DD">
      <w:pPr>
        <w:spacing w:after="0"/>
        <w:rPr>
          <w:rFonts w:ascii="Verdana" w:eastAsia="Verdana" w:hAnsi="Verdana" w:cs="Verdana"/>
          <w:sz w:val="16"/>
          <w:szCs w:val="16"/>
        </w:rPr>
      </w:pPr>
    </w:p>
    <w:p w14:paraId="0F293BF4" w14:textId="1593A93F" w:rsidR="00127233" w:rsidRPr="00EB59DD" w:rsidRDefault="00127233" w:rsidP="00EB59DD"/>
    <w:sectPr w:rsidR="00127233" w:rsidRPr="00EB59DD"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3A192F" w14:textId="77777777" w:rsidR="00393D2B" w:rsidRDefault="00393D2B" w:rsidP="004A1847">
      <w:pPr>
        <w:spacing w:after="0" w:line="240" w:lineRule="auto"/>
      </w:pPr>
      <w:r>
        <w:separator/>
      </w:r>
    </w:p>
  </w:endnote>
  <w:endnote w:type="continuationSeparator" w:id="0">
    <w:p w14:paraId="26325BC3" w14:textId="77777777" w:rsidR="00393D2B" w:rsidRDefault="00393D2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340F1" w14:textId="77777777" w:rsidR="00393D2B" w:rsidRDefault="00393D2B" w:rsidP="004A1847">
      <w:pPr>
        <w:spacing w:after="0" w:line="240" w:lineRule="auto"/>
      </w:pPr>
      <w:r>
        <w:separator/>
      </w:r>
    </w:p>
  </w:footnote>
  <w:footnote w:type="continuationSeparator" w:id="0">
    <w:p w14:paraId="77FBAF22" w14:textId="77777777" w:rsidR="00393D2B" w:rsidRDefault="00393D2B" w:rsidP="004A1847">
      <w:pPr>
        <w:spacing w:after="0" w:line="240" w:lineRule="auto"/>
      </w:pPr>
      <w:r>
        <w:continuationSeparator/>
      </w:r>
    </w:p>
  </w:footnote>
  <w:footnote w:id="1">
    <w:p w14:paraId="2CB9A8A3" w14:textId="77777777" w:rsidR="00EB59DD" w:rsidRPr="009B1CE9" w:rsidRDefault="00EB59DD" w:rsidP="00EB59DD">
      <w:pPr>
        <w:pStyle w:val="Textonotapie"/>
        <w:ind w:firstLine="709"/>
        <w:jc w:val="both"/>
        <w:rPr>
          <w:rFonts w:ascii="Verdana" w:hAnsi="Verdana" w:cs="Arial"/>
          <w:color w:val="000000" w:themeColor="text1"/>
          <w:sz w:val="16"/>
          <w:szCs w:val="16"/>
        </w:rPr>
      </w:pPr>
      <w:r w:rsidRPr="009B1CE9">
        <w:rPr>
          <w:rStyle w:val="Refdenotaalpie"/>
          <w:rFonts w:ascii="Verdana" w:hAnsi="Verdana"/>
          <w:sz w:val="16"/>
          <w:szCs w:val="16"/>
        </w:rPr>
        <w:footnoteRef/>
      </w:r>
      <w:r w:rsidRPr="009B1CE9">
        <w:rPr>
          <w:rFonts w:ascii="Verdana" w:hAnsi="Verdana"/>
          <w:sz w:val="16"/>
          <w:szCs w:val="16"/>
        </w:rPr>
        <w:t xml:space="preserve"> </w:t>
      </w:r>
      <w:r w:rsidRPr="009B1CE9">
        <w:rPr>
          <w:rFonts w:ascii="Verdana" w:hAnsi="Verdana" w:cs="Arial"/>
          <w:color w:val="000000" w:themeColor="text1"/>
          <w:sz w:val="16"/>
          <w:szCs w:val="16"/>
        </w:rPr>
        <w:t>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69874A08" w14:textId="77777777" w:rsidR="00EB59DD" w:rsidRPr="009B1CE9" w:rsidRDefault="00EB59DD" w:rsidP="00EB59DD">
      <w:pPr>
        <w:pStyle w:val="Textonotapie"/>
        <w:ind w:firstLine="709"/>
        <w:jc w:val="both"/>
        <w:rPr>
          <w:rFonts w:ascii="Verdana" w:hAnsi="Verdana" w:cs="Arial"/>
          <w:color w:val="000000" w:themeColor="text1"/>
          <w:sz w:val="16"/>
          <w:szCs w:val="16"/>
        </w:rPr>
      </w:pPr>
      <w:r w:rsidRPr="009B1CE9">
        <w:rPr>
          <w:rFonts w:ascii="Verdana" w:hAnsi="Verdana" w:cs="Arial"/>
          <w:color w:val="000000" w:themeColor="text1"/>
          <w:sz w:val="16"/>
          <w:szCs w:val="16"/>
        </w:rPr>
        <w:t>Lo anterior, sin perjuicio de las publicaciones previstas en el numeral 3 del artículo 30 de la Ley 80 de 1993.</w:t>
      </w:r>
    </w:p>
    <w:p w14:paraId="0630066D" w14:textId="77777777" w:rsidR="00EB59DD" w:rsidRPr="009B1CE9" w:rsidRDefault="00EB59DD" w:rsidP="00EB59DD">
      <w:pPr>
        <w:pStyle w:val="Textonotapie"/>
        <w:ind w:firstLine="709"/>
        <w:jc w:val="both"/>
        <w:rPr>
          <w:rFonts w:ascii="Verdana" w:hAnsi="Verdana" w:cs="Arial"/>
          <w:color w:val="000000" w:themeColor="text1"/>
          <w:sz w:val="16"/>
          <w:szCs w:val="16"/>
        </w:rPr>
      </w:pPr>
      <w:r w:rsidRPr="009B1CE9">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w:t>
      </w:r>
      <w:proofErr w:type="spellStart"/>
      <w:r w:rsidRPr="009B1CE9">
        <w:rPr>
          <w:rFonts w:ascii="Verdana" w:hAnsi="Verdana" w:cs="Arial"/>
          <w:color w:val="000000" w:themeColor="text1"/>
          <w:sz w:val="16"/>
          <w:szCs w:val="16"/>
        </w:rPr>
        <w:t>Secop</w:t>
      </w:r>
      <w:proofErr w:type="spellEnd"/>
      <w:r w:rsidRPr="009B1CE9">
        <w:rPr>
          <w:rFonts w:ascii="Verdana" w:hAnsi="Verdana" w:cs="Arial"/>
          <w:color w:val="000000" w:themeColor="text1"/>
          <w:sz w:val="16"/>
          <w:szCs w:val="16"/>
        </w:rPr>
        <w:t xml:space="preserve">, el cual: </w:t>
      </w:r>
    </w:p>
    <w:p w14:paraId="7B733E30" w14:textId="77777777" w:rsidR="00EB59DD" w:rsidRPr="009B1CE9" w:rsidRDefault="00EB59DD" w:rsidP="00EB59DD">
      <w:pPr>
        <w:pStyle w:val="Textonotapie"/>
        <w:ind w:firstLine="709"/>
        <w:jc w:val="both"/>
        <w:rPr>
          <w:rFonts w:ascii="Verdana" w:hAnsi="Verdana" w:cs="Arial"/>
          <w:color w:val="000000" w:themeColor="text1"/>
          <w:sz w:val="16"/>
          <w:szCs w:val="16"/>
        </w:rPr>
      </w:pPr>
      <w:r w:rsidRPr="009B1CE9">
        <w:rPr>
          <w:rFonts w:ascii="Verdana" w:hAnsi="Verdana" w:cs="Arial"/>
          <w:color w:val="000000" w:themeColor="text1"/>
          <w:sz w:val="16"/>
          <w:szCs w:val="16"/>
        </w:rPr>
        <w:t>[…]</w:t>
      </w:r>
    </w:p>
    <w:p w14:paraId="0F25B94B" w14:textId="77777777" w:rsidR="00EB59DD" w:rsidRPr="009B1CE9" w:rsidRDefault="00EB59DD" w:rsidP="00EB59DD">
      <w:pPr>
        <w:pStyle w:val="Textonotapie"/>
        <w:ind w:firstLine="709"/>
        <w:jc w:val="both"/>
        <w:rPr>
          <w:rFonts w:ascii="Verdana" w:hAnsi="Verdana" w:cs="Arial"/>
          <w:color w:val="000000" w:themeColor="text1"/>
          <w:sz w:val="16"/>
          <w:szCs w:val="16"/>
        </w:rPr>
      </w:pPr>
      <w:r w:rsidRPr="009B1CE9">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p w14:paraId="35421D7B" w14:textId="77777777" w:rsidR="00EB59DD" w:rsidRPr="009B1CE9" w:rsidRDefault="00EB59DD" w:rsidP="00EB59DD">
      <w:pPr>
        <w:pStyle w:val="Textonotapie"/>
        <w:rPr>
          <w:rFonts w:ascii="Verdana" w:hAnsi="Verdana"/>
          <w:sz w:val="16"/>
          <w:szCs w:val="16"/>
        </w:rPr>
      </w:pPr>
    </w:p>
  </w:footnote>
  <w:footnote w:id="2">
    <w:p w14:paraId="4471CA1B" w14:textId="77777777" w:rsidR="00EB59DD" w:rsidRPr="000A3117" w:rsidRDefault="00EB59DD" w:rsidP="00EB59DD">
      <w:pPr>
        <w:pStyle w:val="Textonotapie"/>
        <w:ind w:firstLine="709"/>
        <w:jc w:val="both"/>
        <w:rPr>
          <w:rFonts w:ascii="Verdana" w:hAnsi="Verdana" w:cs="Arial"/>
          <w:color w:val="000000" w:themeColor="text1"/>
          <w:sz w:val="16"/>
          <w:szCs w:val="16"/>
        </w:rPr>
      </w:pPr>
      <w:r w:rsidRPr="0039679F">
        <w:rPr>
          <w:rStyle w:val="Refdenotaalpie"/>
          <w:rFonts w:ascii="Verdana" w:hAnsi="Verdana"/>
          <w:sz w:val="16"/>
          <w:szCs w:val="16"/>
        </w:rPr>
        <w:footnoteRef/>
      </w:r>
      <w:r w:rsidRPr="0039679F">
        <w:rPr>
          <w:rFonts w:ascii="Verdana" w:hAnsi="Verdana"/>
          <w:sz w:val="16"/>
          <w:szCs w:val="16"/>
        </w:rPr>
        <w:t xml:space="preserve"> </w:t>
      </w:r>
      <w:r w:rsidRPr="000A3117">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p w14:paraId="5C634027" w14:textId="77777777" w:rsidR="00EB59DD" w:rsidRPr="0039679F" w:rsidRDefault="00EB59DD" w:rsidP="00EB59DD">
      <w:pPr>
        <w:pStyle w:val="Textonotapie"/>
      </w:pPr>
    </w:p>
  </w:footnote>
  <w:footnote w:id="3">
    <w:p w14:paraId="66A109E8" w14:textId="77777777" w:rsidR="00EB59DD" w:rsidRPr="00AF0096" w:rsidRDefault="00EB59DD" w:rsidP="00EB59DD">
      <w:pPr>
        <w:pStyle w:val="Textonotapie"/>
        <w:ind w:firstLine="709"/>
        <w:jc w:val="both"/>
        <w:rPr>
          <w:rFonts w:ascii="Verdana" w:hAnsi="Verdana" w:cs="Arial"/>
          <w:color w:val="000000" w:themeColor="text1"/>
          <w:sz w:val="16"/>
          <w:szCs w:val="16"/>
        </w:rPr>
      </w:pPr>
      <w:r w:rsidRPr="00AF0096">
        <w:rPr>
          <w:rFonts w:ascii="Verdana" w:eastAsia="Times New Roman" w:hAnsi="Verdana" w:cs="Arial"/>
          <w:color w:val="000000" w:themeColor="text1"/>
          <w:sz w:val="16"/>
          <w:szCs w:val="16"/>
          <w:vertAlign w:val="superscript"/>
          <w:lang w:val="es-ES" w:eastAsia="es-ES"/>
        </w:rPr>
        <w:footnoteRef/>
      </w:r>
      <w:r w:rsidRPr="00AF0096">
        <w:rPr>
          <w:rFonts w:ascii="Verdana" w:eastAsia="Times New Roman" w:hAnsi="Verdana" w:cs="Arial"/>
          <w:color w:val="000000" w:themeColor="text1"/>
          <w:sz w:val="16"/>
          <w:szCs w:val="16"/>
          <w:vertAlign w:val="superscript"/>
          <w:lang w:val="es-ES" w:eastAsia="es-ES"/>
        </w:rPr>
        <w:t xml:space="preserve"> </w:t>
      </w:r>
      <w:r w:rsidRPr="00AF0096">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4B05FF25" w14:textId="77777777" w:rsidR="00EB59DD" w:rsidRPr="00AF0096" w:rsidRDefault="00EB59DD" w:rsidP="00EB59DD">
      <w:pPr>
        <w:pStyle w:val="Textonotapie"/>
        <w:ind w:firstLine="709"/>
        <w:jc w:val="both"/>
        <w:rPr>
          <w:rFonts w:ascii="Verdana" w:eastAsia="Times New Roman" w:hAnsi="Verdana" w:cs="Arial"/>
          <w:color w:val="000000" w:themeColor="text1"/>
          <w:sz w:val="16"/>
          <w:szCs w:val="16"/>
          <w:lang w:val="es-ES" w:eastAsia="es-ES"/>
        </w:rPr>
      </w:pPr>
      <w:r w:rsidRPr="00AF0096">
        <w:rPr>
          <w:rFonts w:ascii="Verdana" w:hAnsi="Verdana" w:cs="Arial"/>
          <w:color w:val="000000" w:themeColor="text1"/>
          <w:sz w:val="16"/>
          <w:szCs w:val="16"/>
        </w:rPr>
        <w:t>[…].</w:t>
      </w:r>
    </w:p>
    <w:p w14:paraId="4019FD91" w14:textId="77777777" w:rsidR="00EB59DD" w:rsidRPr="00AF0096" w:rsidRDefault="00EB59DD" w:rsidP="00EB59DD">
      <w:pPr>
        <w:pStyle w:val="Textonotapie"/>
        <w:ind w:firstLine="709"/>
        <w:jc w:val="both"/>
        <w:rPr>
          <w:rFonts w:ascii="Verdana" w:eastAsia="Times New Roman" w:hAnsi="Verdana" w:cs="Arial"/>
          <w:color w:val="000000" w:themeColor="text1"/>
          <w:sz w:val="16"/>
          <w:szCs w:val="16"/>
          <w:lang w:val="es-ES" w:eastAsia="es-ES"/>
        </w:rPr>
      </w:pPr>
      <w:r w:rsidRPr="00AF0096">
        <w:rPr>
          <w:rFonts w:ascii="Verdana" w:eastAsia="Times New Roman" w:hAnsi="Verdana" w:cs="Arial"/>
          <w:color w:val="000000" w:themeColor="text1"/>
          <w:sz w:val="16"/>
          <w:szCs w:val="16"/>
          <w:lang w:val="es-ES" w:eastAsia="es-ES"/>
        </w:rPr>
        <w:t xml:space="preserve">Los sujetos obligados que contratan con recursos públicos y recursos </w:t>
      </w:r>
      <w:proofErr w:type="gramStart"/>
      <w:r w:rsidRPr="00AF0096">
        <w:rPr>
          <w:rFonts w:ascii="Verdana" w:eastAsia="Times New Roman" w:hAnsi="Verdana" w:cs="Arial"/>
          <w:color w:val="000000" w:themeColor="text1"/>
          <w:sz w:val="16"/>
          <w:szCs w:val="16"/>
          <w:lang w:val="es-ES" w:eastAsia="es-ES"/>
        </w:rPr>
        <w:t>privados,</w:t>
      </w:r>
      <w:proofErr w:type="gramEnd"/>
      <w:r w:rsidRPr="00AF0096">
        <w:rPr>
          <w:rFonts w:ascii="Verdana" w:eastAsia="Times New Roman" w:hAnsi="Verdana" w:cs="Arial"/>
          <w:color w:val="000000" w:themeColor="text1"/>
          <w:sz w:val="16"/>
          <w:szCs w:val="16"/>
          <w:lang w:val="es-ES" w:eastAsia="es-ES"/>
        </w:rPr>
        <w:t xml:space="preserve"> deben publicar la información de su gestión contractual con cargo a recursos públicos en el Sistema Electrónico para la Contratación Pública [SECOP]”.</w:t>
      </w:r>
    </w:p>
  </w:footnote>
  <w:footnote w:id="4">
    <w:p w14:paraId="40217652" w14:textId="77777777" w:rsidR="00EB59DD" w:rsidRPr="00AF0096" w:rsidRDefault="00EB59DD" w:rsidP="00EB59DD">
      <w:pPr>
        <w:pStyle w:val="Textonotapie"/>
        <w:ind w:firstLine="709"/>
        <w:jc w:val="both"/>
        <w:rPr>
          <w:rFonts w:ascii="Verdana" w:hAnsi="Verdana" w:cs="Arial"/>
          <w:color w:val="000000"/>
          <w:sz w:val="16"/>
          <w:szCs w:val="16"/>
          <w:lang w:val="es-ES"/>
        </w:rPr>
      </w:pPr>
      <w:r w:rsidRPr="00AF0096">
        <w:rPr>
          <w:rStyle w:val="Refdenotaalpie"/>
          <w:rFonts w:ascii="Verdana" w:hAnsi="Verdana" w:cs="Arial"/>
          <w:color w:val="000000"/>
          <w:sz w:val="16"/>
          <w:szCs w:val="16"/>
        </w:rPr>
        <w:footnoteRef/>
      </w:r>
      <w:r w:rsidRPr="00AF0096">
        <w:rPr>
          <w:rFonts w:ascii="Verdana" w:hAnsi="Verdana" w:cs="Arial"/>
          <w:color w:val="000000"/>
          <w:sz w:val="16"/>
          <w:szCs w:val="16"/>
        </w:rPr>
        <w:t xml:space="preserve"> C</w:t>
      </w:r>
      <w:proofErr w:type="spellStart"/>
      <w:r w:rsidRPr="00AF0096">
        <w:rPr>
          <w:rFonts w:ascii="Verdana" w:eastAsia="Times New Roman" w:hAnsi="Verdana" w:cs="Arial"/>
          <w:color w:val="000000"/>
          <w:sz w:val="16"/>
          <w:szCs w:val="16"/>
          <w:lang w:val="es-ES" w:eastAsia="es-ES"/>
        </w:rPr>
        <w:t>orte</w:t>
      </w:r>
      <w:proofErr w:type="spellEnd"/>
      <w:r w:rsidRPr="00AF0096">
        <w:rPr>
          <w:rFonts w:ascii="Verdana" w:eastAsia="Times New Roman" w:hAnsi="Verdana" w:cs="Arial"/>
          <w:color w:val="000000"/>
          <w:sz w:val="16"/>
          <w:szCs w:val="16"/>
          <w:lang w:val="es-ES" w:eastAsia="es-ES"/>
        </w:rPr>
        <w:t xml:space="preserve"> Constitucional. Sentencia C‒274 de 9 de mayo de 2013. M.P. Mar</w:t>
      </w:r>
      <w:r w:rsidRPr="00AF0096">
        <w:rPr>
          <w:rFonts w:ascii="Verdana" w:eastAsia="Times New Roman" w:hAnsi="Verdana" w:cs="Century Gothic"/>
          <w:color w:val="000000"/>
          <w:sz w:val="16"/>
          <w:szCs w:val="16"/>
          <w:lang w:val="es-ES" w:eastAsia="es-ES"/>
        </w:rPr>
        <w:t>í</w:t>
      </w:r>
      <w:r w:rsidRPr="00AF0096">
        <w:rPr>
          <w:rFonts w:ascii="Verdana" w:eastAsia="Times New Roman" w:hAnsi="Verdana" w:cs="Arial"/>
          <w:color w:val="000000"/>
          <w:sz w:val="16"/>
          <w:szCs w:val="16"/>
          <w:lang w:val="es-ES" w:eastAsia="es-ES"/>
        </w:rPr>
        <w:t xml:space="preserve">a Victoria Calle Correa. </w:t>
      </w:r>
    </w:p>
  </w:footnote>
  <w:footnote w:id="5">
    <w:p w14:paraId="5EC50F0A" w14:textId="77777777" w:rsidR="00EB59DD" w:rsidRPr="00952BE7" w:rsidRDefault="00EB59DD" w:rsidP="00EB59DD">
      <w:pPr>
        <w:pStyle w:val="Textonotapie"/>
        <w:ind w:firstLine="708"/>
        <w:jc w:val="both"/>
        <w:rPr>
          <w:rFonts w:ascii="Verdana" w:hAnsi="Verdana"/>
          <w:sz w:val="16"/>
          <w:szCs w:val="16"/>
          <w:lang w:val="es-CO"/>
        </w:rPr>
      </w:pPr>
      <w:r w:rsidRPr="00952BE7">
        <w:rPr>
          <w:rStyle w:val="Refdenotaalpie"/>
          <w:rFonts w:ascii="Verdana" w:hAnsi="Verdana"/>
          <w:sz w:val="16"/>
          <w:szCs w:val="16"/>
        </w:rPr>
        <w:footnoteRef/>
      </w:r>
      <w:r w:rsidRPr="00952BE7">
        <w:rPr>
          <w:rFonts w:ascii="Verdana" w:hAnsi="Verdana"/>
          <w:sz w:val="16"/>
          <w:szCs w:val="16"/>
        </w:rPr>
        <w:t xml:space="preserve"> </w:t>
      </w:r>
      <w:r w:rsidRPr="00952BE7">
        <w:rPr>
          <w:rFonts w:ascii="Verdana" w:hAnsi="Verdana" w:cs="Arial"/>
          <w:color w:val="000000"/>
          <w:sz w:val="16"/>
          <w:szCs w:val="16"/>
        </w:rPr>
        <w:t>Decreto 4170 de 2011: “Artículo 3. Funciones: La Agencia Nacional de Contratación Pública –Colombia Compra Eficiente– ejercerá las siguientes funciones: [...]</w:t>
      </w:r>
    </w:p>
  </w:footnote>
  <w:footnote w:id="6">
    <w:p w14:paraId="48DED803" w14:textId="77777777" w:rsidR="00EB59DD" w:rsidRPr="000F1C56" w:rsidRDefault="00EB59DD" w:rsidP="00EB59DD">
      <w:pPr>
        <w:pStyle w:val="Textonotapie"/>
        <w:ind w:firstLine="708"/>
        <w:jc w:val="both"/>
        <w:rPr>
          <w:rFonts w:ascii="Verdana" w:hAnsi="Verdana"/>
          <w:sz w:val="16"/>
          <w:szCs w:val="16"/>
          <w:lang w:val="es-CO"/>
        </w:rPr>
      </w:pPr>
      <w:r w:rsidRPr="000F1C56">
        <w:rPr>
          <w:rStyle w:val="Refdenotaalpie"/>
          <w:rFonts w:ascii="Verdana" w:hAnsi="Verdana"/>
          <w:sz w:val="16"/>
          <w:szCs w:val="16"/>
        </w:rPr>
        <w:footnoteRef/>
      </w:r>
      <w:r w:rsidRPr="000F1C56">
        <w:rPr>
          <w:rFonts w:ascii="Verdana" w:hAnsi="Verdana"/>
          <w:b/>
          <w:bCs/>
          <w:sz w:val="16"/>
          <w:szCs w:val="16"/>
          <w:lang w:val="es-CO"/>
        </w:rPr>
        <w:t xml:space="preserve"> </w:t>
      </w:r>
      <w:r w:rsidRPr="000F1C56">
        <w:rPr>
          <w:rFonts w:ascii="Verdana" w:hAnsi="Verdana"/>
          <w:bCs/>
          <w:sz w:val="16"/>
          <w:szCs w:val="16"/>
          <w:lang w:val="es-CO"/>
        </w:rPr>
        <w:t>Artículo 68</w:t>
      </w:r>
      <w:r w:rsidRPr="000F1C56">
        <w:rPr>
          <w:rFonts w:ascii="Verdana" w:hAnsi="Verdana"/>
          <w:b/>
          <w:bCs/>
          <w:sz w:val="16"/>
          <w:szCs w:val="16"/>
          <w:lang w:val="es-CO"/>
        </w:rPr>
        <w:t xml:space="preserve">. </w:t>
      </w:r>
      <w:r w:rsidRPr="000F1C56">
        <w:rPr>
          <w:rFonts w:ascii="Verdana" w:hAnsi="Verdana"/>
          <w:i/>
          <w:iCs/>
          <w:sz w:val="16"/>
          <w:szCs w:val="16"/>
          <w:lang w:val="es-CO"/>
        </w:rPr>
        <w:t>Entidades descentralizadas.</w:t>
      </w:r>
      <w:r w:rsidRPr="000F1C56">
        <w:rPr>
          <w:rFonts w:ascii="Verdana" w:hAnsi="Verdana"/>
          <w:sz w:val="16"/>
          <w:szCs w:val="16"/>
        </w:rPr>
        <w:t xml:space="preserve"> </w:t>
      </w:r>
      <w:r w:rsidRPr="000F1C56">
        <w:rPr>
          <w:rFonts w:ascii="Verdana" w:hAnsi="Verdana"/>
          <w:sz w:val="16"/>
          <w:szCs w:val="16"/>
          <w:lang w:val="es-CO"/>
        </w:rPr>
        <w:t>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w:t>
      </w:r>
    </w:p>
    <w:p w14:paraId="2811BBB7" w14:textId="77777777" w:rsidR="00EB59DD" w:rsidRPr="000F1C56" w:rsidRDefault="00EB59DD" w:rsidP="00EB59DD">
      <w:pPr>
        <w:pStyle w:val="Textonotapie"/>
        <w:ind w:firstLine="708"/>
        <w:jc w:val="both"/>
        <w:rPr>
          <w:rFonts w:ascii="Verdana" w:hAnsi="Verdana"/>
          <w:sz w:val="16"/>
          <w:szCs w:val="16"/>
          <w:lang w:val="es-CO"/>
        </w:rPr>
      </w:pPr>
      <w:r w:rsidRPr="000F1C56">
        <w:rPr>
          <w:rFonts w:ascii="Verdana" w:hAnsi="Verdana"/>
          <w:sz w:val="16"/>
          <w:szCs w:val="16"/>
          <w:lang w:val="es-CO"/>
        </w:rPr>
        <w:t>Como órganos del Estado aun cuando gozan de autonomía administrativa están sujetas al control político y a la suprema dirección del órgano de la administración al cual están adscritas. </w:t>
      </w:r>
    </w:p>
    <w:p w14:paraId="4B5B200A" w14:textId="77777777" w:rsidR="00EB59DD" w:rsidRPr="000F1C56" w:rsidRDefault="00EB59DD" w:rsidP="00EB59DD">
      <w:pPr>
        <w:pStyle w:val="Textonotapie"/>
        <w:ind w:firstLine="708"/>
        <w:jc w:val="both"/>
        <w:rPr>
          <w:rFonts w:ascii="Verdana" w:hAnsi="Verdana"/>
          <w:sz w:val="16"/>
          <w:szCs w:val="16"/>
          <w:lang w:val="es-CO"/>
        </w:rPr>
      </w:pPr>
      <w:r w:rsidRPr="000F1C56">
        <w:rPr>
          <w:rFonts w:ascii="Verdana" w:hAnsi="Verdana"/>
          <w:sz w:val="16"/>
          <w:szCs w:val="16"/>
          <w:lang w:val="es-CO"/>
        </w:rPr>
        <w:t>Las entidades descentralizadas se sujetan a las reglas señaladas en la Constitución Política, en la presente ley, en las leyes que las creen y determinen su estructura orgánica y a sus estatutos internos. </w:t>
      </w:r>
    </w:p>
    <w:p w14:paraId="01E90132" w14:textId="77777777" w:rsidR="00EB59DD" w:rsidRDefault="00EB59DD" w:rsidP="00EB59DD">
      <w:pPr>
        <w:pStyle w:val="Textonotapie"/>
        <w:ind w:firstLine="708"/>
        <w:jc w:val="both"/>
        <w:rPr>
          <w:rFonts w:ascii="Verdana" w:hAnsi="Verdana"/>
          <w:sz w:val="16"/>
          <w:szCs w:val="16"/>
          <w:lang w:val="es-CO"/>
        </w:rPr>
      </w:pPr>
      <w:r w:rsidRPr="000F1C56">
        <w:rPr>
          <w:rFonts w:ascii="Verdana" w:hAnsi="Verdana"/>
          <w:sz w:val="16"/>
          <w:szCs w:val="16"/>
          <w:lang w:val="es-CO"/>
        </w:rPr>
        <w:t>Los organismos y entidades descentralizados, sujetos a regímenes especiales por mandato de la Constitución Política, se someterán a las disposiciones que para ellos establezca la respectiva ley […]”</w:t>
      </w:r>
      <w:r>
        <w:rPr>
          <w:rFonts w:ascii="Verdana" w:hAnsi="Verdana"/>
          <w:sz w:val="16"/>
          <w:szCs w:val="16"/>
          <w:lang w:val="es-CO"/>
        </w:rPr>
        <w:t>.</w:t>
      </w:r>
    </w:p>
    <w:p w14:paraId="62DF7B4E" w14:textId="77777777" w:rsidR="00EB59DD" w:rsidRPr="000F1C56" w:rsidRDefault="00EB59DD" w:rsidP="00EB59DD">
      <w:pPr>
        <w:pStyle w:val="Textonotapie"/>
        <w:ind w:firstLine="708"/>
        <w:jc w:val="both"/>
        <w:rPr>
          <w:rFonts w:ascii="Verdana" w:hAnsi="Verdana"/>
          <w:sz w:val="16"/>
          <w:szCs w:val="16"/>
          <w:lang w:val="es-CO"/>
        </w:rPr>
      </w:pPr>
    </w:p>
  </w:footnote>
  <w:footnote w:id="7">
    <w:p w14:paraId="328A5C9F" w14:textId="77777777" w:rsidR="00EB59DD" w:rsidRPr="000F1C56" w:rsidRDefault="00EB59DD" w:rsidP="00EB59DD">
      <w:pPr>
        <w:pStyle w:val="Textonotapie"/>
        <w:ind w:firstLine="708"/>
        <w:rPr>
          <w:rFonts w:ascii="Verdana" w:hAnsi="Verdana"/>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hAnsi="Verdana"/>
          <w:sz w:val="16"/>
          <w:szCs w:val="16"/>
          <w:lang w:val="es-ES"/>
        </w:rPr>
        <w:t>Así lo establece la Constitución Política, en el artículo 150, numeral 7, así como en el artículo 300, numeral 7 y en el artículo 313, numeral 6</w:t>
      </w:r>
    </w:p>
  </w:footnote>
  <w:footnote w:id="8">
    <w:p w14:paraId="010FFEDB" w14:textId="77777777" w:rsidR="00EB59DD" w:rsidRDefault="00EB59DD" w:rsidP="00EB59DD">
      <w:pPr>
        <w:pStyle w:val="Textonotapie"/>
        <w:ind w:firstLine="708"/>
        <w:jc w:val="both"/>
        <w:rPr>
          <w:rFonts w:ascii="Verdana" w:eastAsia="Arial MT" w:hAnsi="Verdana" w:cs="Arial MT"/>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eastAsia="Arial MT" w:hAnsi="Verdana" w:cs="Arial MT"/>
          <w:sz w:val="16"/>
          <w:szCs w:val="16"/>
          <w:lang w:val="es-ES"/>
        </w:rPr>
        <w:t>Las sociedades de economía mixta son una clara manifestación organizacional de la función administrativa. Al respecto, la doctrina colombiana ha considerado que «la organización debe ocupar un lugar central</w:t>
      </w:r>
      <w:r w:rsidRPr="000F1C56">
        <w:rPr>
          <w:rFonts w:ascii="Verdana" w:eastAsia="Arial MT" w:hAnsi="Verdana" w:cs="Arial MT"/>
          <w:spacing w:val="-1"/>
          <w:sz w:val="16"/>
          <w:szCs w:val="16"/>
          <w:lang w:val="es-ES"/>
        </w:rPr>
        <w:t xml:space="preserve"> </w:t>
      </w:r>
      <w:r w:rsidRPr="000F1C56">
        <w:rPr>
          <w:rFonts w:ascii="Verdana" w:eastAsia="Arial MT" w:hAnsi="Verdana" w:cs="Arial MT"/>
          <w:sz w:val="16"/>
          <w:szCs w:val="16"/>
          <w:lang w:val="es-ES"/>
        </w:rPr>
        <w:t>en</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el</w:t>
      </w:r>
      <w:r w:rsidRPr="000F1C56">
        <w:rPr>
          <w:rFonts w:ascii="Verdana" w:eastAsia="Arial MT" w:hAnsi="Verdana" w:cs="Arial MT"/>
          <w:spacing w:val="-1"/>
          <w:sz w:val="16"/>
          <w:szCs w:val="16"/>
          <w:lang w:val="es-ES"/>
        </w:rPr>
        <w:t xml:space="preserve"> </w:t>
      </w:r>
      <w:r w:rsidRPr="000F1C56">
        <w:rPr>
          <w:rFonts w:ascii="Verdana" w:eastAsia="Arial MT" w:hAnsi="Verdana" w:cs="Arial MT"/>
          <w:sz w:val="16"/>
          <w:szCs w:val="16"/>
          <w:lang w:val="es-ES"/>
        </w:rPr>
        <w:t>estudio del</w:t>
      </w:r>
      <w:r w:rsidRPr="000F1C56">
        <w:rPr>
          <w:rFonts w:ascii="Verdana" w:eastAsia="Arial MT" w:hAnsi="Verdana" w:cs="Arial MT"/>
          <w:spacing w:val="-1"/>
          <w:sz w:val="16"/>
          <w:szCs w:val="16"/>
          <w:lang w:val="es-ES"/>
        </w:rPr>
        <w:t xml:space="preserve"> </w:t>
      </w:r>
      <w:r w:rsidRPr="000F1C56">
        <w:rPr>
          <w:rFonts w:ascii="Verdana" w:eastAsia="Arial MT" w:hAnsi="Verdana" w:cs="Arial MT"/>
          <w:sz w:val="16"/>
          <w:szCs w:val="16"/>
          <w:lang w:val="es-ES"/>
        </w:rPr>
        <w:t>derecho administrativo, sobre todo si se tiene en</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cuenta que lo estructural es consustancial a la actividad administrativa. De hecho, podemos afirmar que se trata de una</w:t>
      </w:r>
      <w:r w:rsidRPr="000F1C56">
        <w:rPr>
          <w:rFonts w:ascii="Verdana" w:eastAsia="Arial MT" w:hAnsi="Verdana" w:cs="Arial MT"/>
          <w:spacing w:val="40"/>
          <w:sz w:val="16"/>
          <w:szCs w:val="16"/>
          <w:lang w:val="es-ES"/>
        </w:rPr>
        <w:t xml:space="preserve"> </w:t>
      </w:r>
      <w:r w:rsidRPr="000F1C56">
        <w:rPr>
          <w:rFonts w:ascii="Verdana" w:eastAsia="Arial MT" w:hAnsi="Verdana" w:cs="Arial MT"/>
          <w:sz w:val="16"/>
          <w:szCs w:val="16"/>
          <w:lang w:val="es-ES"/>
        </w:rPr>
        <w:t>verdadera dialéctica en la que se presenta una relación de medio a fin, ya que su objeto es</w:t>
      </w:r>
      <w:r w:rsidRPr="000F1C56">
        <w:rPr>
          <w:rFonts w:ascii="Verdana" w:eastAsia="Arial MT" w:hAnsi="Verdana" w:cs="Arial MT"/>
          <w:spacing w:val="40"/>
          <w:sz w:val="16"/>
          <w:szCs w:val="16"/>
          <w:lang w:val="es-ES"/>
        </w:rPr>
        <w:t xml:space="preserve"> </w:t>
      </w:r>
      <w:r w:rsidRPr="000F1C56">
        <w:rPr>
          <w:rFonts w:ascii="Verdana" w:eastAsia="Arial MT" w:hAnsi="Verdana" w:cs="Arial MT"/>
          <w:sz w:val="16"/>
          <w:szCs w:val="16"/>
          <w:lang w:val="es-ES"/>
        </w:rPr>
        <w:t>precisamente el diseño y puesta en funcionamiento de las maneras o formas de gestión de potestades, atribuciones y competencias administrativas» (RINCÓN CÓRDOBA, Jorge Iván. Teoría de la organización</w:t>
      </w:r>
      <w:r w:rsidRPr="000F1C56">
        <w:rPr>
          <w:rFonts w:ascii="Verdana" w:eastAsia="Arial MT" w:hAnsi="Verdana" w:cs="Arial MT"/>
          <w:spacing w:val="-7"/>
          <w:sz w:val="16"/>
          <w:szCs w:val="16"/>
          <w:lang w:val="es-ES"/>
        </w:rPr>
        <w:t xml:space="preserve"> </w:t>
      </w:r>
      <w:r w:rsidRPr="000F1C56">
        <w:rPr>
          <w:rFonts w:ascii="Verdana" w:eastAsia="Arial MT" w:hAnsi="Verdana" w:cs="Arial MT"/>
          <w:sz w:val="16"/>
          <w:szCs w:val="16"/>
          <w:lang w:val="es-ES"/>
        </w:rPr>
        <w:t>administrativa</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en</w:t>
      </w:r>
      <w:r w:rsidRPr="000F1C56">
        <w:rPr>
          <w:rFonts w:ascii="Verdana" w:eastAsia="Arial MT" w:hAnsi="Verdana" w:cs="Arial MT"/>
          <w:spacing w:val="-7"/>
          <w:sz w:val="16"/>
          <w:szCs w:val="16"/>
          <w:lang w:val="es-ES"/>
        </w:rPr>
        <w:t xml:space="preserve"> </w:t>
      </w:r>
      <w:r w:rsidRPr="000F1C56">
        <w:rPr>
          <w:rFonts w:ascii="Verdana" w:eastAsia="Arial MT" w:hAnsi="Verdana" w:cs="Arial MT"/>
          <w:sz w:val="16"/>
          <w:szCs w:val="16"/>
          <w:lang w:val="es-ES"/>
        </w:rPr>
        <w:t>Colombia,</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Bogotá:</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Universidad</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Externado</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de</w:t>
      </w:r>
      <w:r w:rsidRPr="000F1C56">
        <w:rPr>
          <w:rFonts w:ascii="Verdana" w:eastAsia="Arial MT" w:hAnsi="Verdana" w:cs="Arial MT"/>
          <w:spacing w:val="-3"/>
          <w:sz w:val="16"/>
          <w:szCs w:val="16"/>
          <w:lang w:val="es-ES"/>
        </w:rPr>
        <w:t xml:space="preserve"> </w:t>
      </w:r>
      <w:r w:rsidRPr="000F1C56">
        <w:rPr>
          <w:rFonts w:ascii="Verdana" w:eastAsia="Arial MT" w:hAnsi="Verdana" w:cs="Arial MT"/>
          <w:sz w:val="16"/>
          <w:szCs w:val="16"/>
          <w:lang w:val="es-ES"/>
        </w:rPr>
        <w:t>Colombia,</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2019,</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pp.</w:t>
      </w:r>
      <w:r w:rsidRPr="000F1C56">
        <w:rPr>
          <w:rFonts w:ascii="Verdana" w:eastAsia="Arial MT" w:hAnsi="Verdana" w:cs="Arial MT"/>
          <w:spacing w:val="-2"/>
          <w:sz w:val="16"/>
          <w:szCs w:val="16"/>
          <w:lang w:val="es-ES"/>
        </w:rPr>
        <w:t xml:space="preserve"> </w:t>
      </w:r>
      <w:r w:rsidRPr="000F1C56">
        <w:rPr>
          <w:rFonts w:ascii="Verdana" w:eastAsia="Arial MT" w:hAnsi="Verdana" w:cs="Arial MT"/>
          <w:sz w:val="16"/>
          <w:szCs w:val="16"/>
          <w:lang w:val="es-ES"/>
        </w:rPr>
        <w:t>31-32).</w:t>
      </w:r>
    </w:p>
    <w:p w14:paraId="5DB0C8C9" w14:textId="77777777" w:rsidR="00EB59DD" w:rsidRPr="000F1C56" w:rsidRDefault="00EB59DD" w:rsidP="00EB59DD">
      <w:pPr>
        <w:pStyle w:val="Textonotapie"/>
        <w:ind w:firstLine="708"/>
        <w:jc w:val="both"/>
        <w:rPr>
          <w:rFonts w:ascii="Verdana" w:hAnsi="Verdana"/>
          <w:sz w:val="16"/>
          <w:szCs w:val="16"/>
          <w:lang w:val="es-ES"/>
        </w:rPr>
      </w:pPr>
    </w:p>
  </w:footnote>
  <w:footnote w:id="9">
    <w:p w14:paraId="6213ADD2" w14:textId="77777777" w:rsidR="00EB59DD" w:rsidRPr="000F1C56" w:rsidRDefault="00EB59DD" w:rsidP="00EB59DD">
      <w:pPr>
        <w:pStyle w:val="Textonotapie"/>
        <w:ind w:firstLine="708"/>
        <w:jc w:val="both"/>
        <w:rPr>
          <w:rFonts w:ascii="Verdana" w:hAnsi="Verdana"/>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hAnsi="Verdana"/>
          <w:sz w:val="16"/>
          <w:szCs w:val="16"/>
          <w:lang w:val="es-ES"/>
        </w:rPr>
        <w:t>“Una función administrativa entendida entonces, como un conjunto de actividades particulares, disimiles entre sí, pero diversas de aquellas generales de Estado y particulares propias de la función judicial y legislativa, que dan desarrollo directo a las finalidades del estado, consagradas de manera positiva en la Constitución Política, que pueden ser desarrolladas por distintos sujetos de derecho, habilitados para ello, con el respeto y cumplimiento del ordenamiento jurídico superior” (MONTAÑA PLATA, Alberto. Fundamentos de derecho administrativo. Bogotá: Universidad Externado de Colombia, 2010, p. 124).</w:t>
      </w:r>
    </w:p>
  </w:footnote>
  <w:footnote w:id="10">
    <w:p w14:paraId="28003EB0" w14:textId="77777777" w:rsidR="00EB59DD" w:rsidRPr="000F1C56" w:rsidRDefault="00EB59DD" w:rsidP="00EB59DD">
      <w:pPr>
        <w:pStyle w:val="Textonotapie"/>
        <w:ind w:firstLine="708"/>
        <w:jc w:val="both"/>
        <w:rPr>
          <w:rFonts w:ascii="Verdana" w:hAnsi="Verdana"/>
          <w:sz w:val="16"/>
          <w:szCs w:val="16"/>
          <w:lang w:val="es-CO"/>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hAnsi="Verdana"/>
          <w:bCs/>
          <w:sz w:val="16"/>
          <w:szCs w:val="16"/>
          <w:lang w:val="es-CO"/>
        </w:rPr>
        <w:t>ARTICULO 2o. DE LA DEFINICION DE ENTIDADES, SERVIDORES Y SERVICIOS PUBLICOS. </w:t>
      </w:r>
      <w:r w:rsidRPr="000F1C56">
        <w:rPr>
          <w:rFonts w:ascii="Verdana" w:hAnsi="Verdana"/>
          <w:sz w:val="16"/>
          <w:szCs w:val="16"/>
          <w:lang w:val="es-CO"/>
        </w:rPr>
        <w:t>Para los solos efectos de esta ley: </w:t>
      </w:r>
    </w:p>
    <w:p w14:paraId="2C71A0E8" w14:textId="77777777" w:rsidR="00EB59DD" w:rsidRPr="000F1C56" w:rsidRDefault="00EB59DD" w:rsidP="00EB59DD">
      <w:pPr>
        <w:pStyle w:val="Textonotapie"/>
        <w:ind w:firstLine="708"/>
        <w:jc w:val="both"/>
        <w:rPr>
          <w:rFonts w:ascii="Verdana" w:hAnsi="Verdana"/>
          <w:sz w:val="16"/>
          <w:szCs w:val="16"/>
          <w:lang w:val="es-CO"/>
        </w:rPr>
      </w:pPr>
      <w:r w:rsidRPr="000F1C56">
        <w:rPr>
          <w:rFonts w:ascii="Verdana" w:hAnsi="Verdana"/>
          <w:sz w:val="16"/>
          <w:szCs w:val="16"/>
          <w:lang w:val="es-CO"/>
        </w:rPr>
        <w:t>1o. Se denominan entidades estatales: </w:t>
      </w:r>
    </w:p>
    <w:p w14:paraId="1E36BC40" w14:textId="77777777" w:rsidR="00EB59DD" w:rsidRPr="000F1C56" w:rsidRDefault="00EB59DD" w:rsidP="00EB59DD">
      <w:pPr>
        <w:pStyle w:val="Textonotapie"/>
        <w:ind w:firstLine="708"/>
        <w:jc w:val="both"/>
        <w:rPr>
          <w:rFonts w:ascii="Verdana" w:hAnsi="Verdana"/>
          <w:sz w:val="16"/>
          <w:szCs w:val="16"/>
          <w:lang w:val="es-CO"/>
        </w:rPr>
      </w:pPr>
      <w:r w:rsidRPr="000F1C56">
        <w:rPr>
          <w:rFonts w:ascii="Verdana" w:hAnsi="Verdana"/>
          <w:sz w:val="16"/>
          <w:szCs w:val="16"/>
          <w:lang w:val="es-CO"/>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34E0A02B" w14:textId="77777777" w:rsidR="00EB59DD" w:rsidRDefault="00EB59DD" w:rsidP="00EB59DD">
      <w:pPr>
        <w:pStyle w:val="Textonotapie"/>
        <w:ind w:firstLine="708"/>
        <w:jc w:val="both"/>
        <w:rPr>
          <w:rFonts w:ascii="Verdana" w:hAnsi="Verdana"/>
          <w:sz w:val="16"/>
          <w:szCs w:val="16"/>
          <w:lang w:val="es-CO"/>
        </w:rPr>
      </w:pPr>
      <w:r w:rsidRPr="000F1C56">
        <w:rPr>
          <w:rFonts w:ascii="Verdana" w:hAnsi="Verdana"/>
          <w:sz w:val="16"/>
          <w:szCs w:val="16"/>
          <w:lang w:val="es-CO"/>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p w14:paraId="286D5EF3" w14:textId="77777777" w:rsidR="00EB59DD" w:rsidRPr="000F1C56" w:rsidRDefault="00EB59DD" w:rsidP="00EB59DD">
      <w:pPr>
        <w:pStyle w:val="Textonotapie"/>
        <w:ind w:firstLine="708"/>
        <w:jc w:val="both"/>
        <w:rPr>
          <w:rFonts w:ascii="Verdana" w:hAnsi="Verdana"/>
          <w:sz w:val="16"/>
          <w:szCs w:val="16"/>
          <w:lang w:val="es-CO"/>
        </w:rPr>
      </w:pPr>
    </w:p>
  </w:footnote>
  <w:footnote w:id="11">
    <w:p w14:paraId="06E05524" w14:textId="77777777" w:rsidR="00EB59DD" w:rsidRPr="000F1C56" w:rsidRDefault="00EB59DD" w:rsidP="00EB59DD">
      <w:pPr>
        <w:pStyle w:val="Textonotapie"/>
        <w:ind w:firstLine="708"/>
        <w:rPr>
          <w:rFonts w:ascii="Verdana" w:hAnsi="Verdana"/>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Pr>
          <w:rFonts w:ascii="Verdana" w:hAnsi="Verdana"/>
          <w:sz w:val="16"/>
          <w:szCs w:val="16"/>
          <w:lang w:val="es-ES"/>
        </w:rPr>
        <w:t>Consejo de Estado.</w:t>
      </w:r>
      <w:r w:rsidRPr="000F1C56">
        <w:rPr>
          <w:rFonts w:ascii="Verdana" w:hAnsi="Verdana"/>
          <w:sz w:val="16"/>
          <w:szCs w:val="16"/>
          <w:lang w:val="es-ES"/>
        </w:rPr>
        <w:t xml:space="preserve"> Sala de Consulta y Servicio Civil, Concepto 1127 del 10 de diciembre de 2004. C.P. Enrique José Arboleda Perdomo. </w:t>
      </w:r>
    </w:p>
  </w:footnote>
  <w:footnote w:id="12">
    <w:p w14:paraId="672EF6C8" w14:textId="77777777" w:rsidR="00EB59DD" w:rsidRPr="000F1C56" w:rsidRDefault="00EB59DD" w:rsidP="00EB59DD">
      <w:pPr>
        <w:pStyle w:val="Textonotapie"/>
        <w:ind w:firstLine="708"/>
        <w:jc w:val="both"/>
        <w:rPr>
          <w:rFonts w:ascii="Verdana" w:hAnsi="Verdana"/>
          <w:sz w:val="16"/>
          <w:szCs w:val="16"/>
          <w:lang w:val="es-ES"/>
        </w:rPr>
      </w:pPr>
      <w:r w:rsidRPr="000F1C56">
        <w:rPr>
          <w:rStyle w:val="Refdenotaalpie"/>
          <w:rFonts w:ascii="Verdana" w:hAnsi="Verdana"/>
          <w:sz w:val="16"/>
          <w:szCs w:val="16"/>
        </w:rPr>
        <w:footnoteRef/>
      </w:r>
      <w:r w:rsidRPr="000F1C56">
        <w:rPr>
          <w:rFonts w:ascii="Verdana" w:hAnsi="Verdana"/>
          <w:sz w:val="16"/>
          <w:szCs w:val="16"/>
        </w:rPr>
        <w:t xml:space="preserve"> </w:t>
      </w:r>
      <w:r w:rsidRPr="000F1C56">
        <w:rPr>
          <w:rFonts w:ascii="Verdana" w:hAnsi="Verdana"/>
          <w:bCs/>
          <w:sz w:val="16"/>
          <w:szCs w:val="16"/>
          <w:lang w:val="es-CO"/>
        </w:rPr>
        <w:t>Artículo 14.</w:t>
      </w:r>
      <w:r w:rsidRPr="000F1C56">
        <w:rPr>
          <w:rFonts w:ascii="Verdana" w:hAnsi="Verdana"/>
          <w:sz w:val="16"/>
          <w:szCs w:val="16"/>
          <w:lang w:val="es-CO"/>
        </w:rPr>
        <w:t>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footnote>
  <w:footnote w:id="13">
    <w:p w14:paraId="0FBE330C" w14:textId="77777777" w:rsidR="00EB59DD" w:rsidRPr="00AF0096" w:rsidRDefault="00EB59DD" w:rsidP="00EB59DD">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bCs/>
          <w:sz w:val="16"/>
          <w:szCs w:val="16"/>
          <w:lang w:val="es-CO"/>
        </w:rPr>
        <w:t>Artículo 53.</w:t>
      </w:r>
      <w:r w:rsidRPr="00AF0096">
        <w:rPr>
          <w:rFonts w:ascii="Verdana" w:hAnsi="Verdana"/>
          <w:sz w:val="16"/>
          <w:szCs w:val="16"/>
          <w:lang w:val="es-CO"/>
        </w:rPr>
        <w:t> Adiciónese los siguientes incisos al artículo 13 de la Ley 1150 de 2007, el cual quedará así: </w:t>
      </w:r>
    </w:p>
    <w:p w14:paraId="0EB9056A" w14:textId="77777777" w:rsidR="00EB59DD" w:rsidRPr="00AF0096" w:rsidRDefault="00EB59DD" w:rsidP="00EB59DD">
      <w:pPr>
        <w:pStyle w:val="Textonotapie"/>
        <w:ind w:firstLine="708"/>
        <w:jc w:val="both"/>
        <w:rPr>
          <w:rFonts w:ascii="Verdana" w:hAnsi="Verdana"/>
          <w:sz w:val="16"/>
          <w:szCs w:val="16"/>
          <w:lang w:val="es-CO"/>
        </w:rPr>
      </w:pPr>
      <w:r w:rsidRPr="00AF0096">
        <w:rPr>
          <w:rFonts w:ascii="Verdana" w:hAnsi="Verdana"/>
          <w:bCs/>
          <w:sz w:val="16"/>
          <w:szCs w:val="16"/>
          <w:lang w:val="es-CO"/>
        </w:rPr>
        <w:t>Artículo 13. Principios generales de la actividad contractual para entidades no sometidas al Estatuto General de Contratación de la Administración Pública.</w:t>
      </w:r>
      <w:r w:rsidRPr="00AF0096">
        <w:rPr>
          <w:rFonts w:ascii="Verdana" w:hAnsi="Verdana"/>
          <w:sz w:val="16"/>
          <w:szCs w:val="16"/>
          <w:lang w:val="es-CO"/>
        </w:rPr>
        <w:t>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w:t>
      </w:r>
    </w:p>
    <w:p w14:paraId="6B1173DE" w14:textId="77777777" w:rsidR="00EB59DD" w:rsidRPr="00AF0096" w:rsidRDefault="00EB59DD" w:rsidP="00EB59DD">
      <w:pPr>
        <w:pStyle w:val="Textonotapie"/>
        <w:ind w:firstLine="708"/>
        <w:jc w:val="both"/>
        <w:rPr>
          <w:rFonts w:ascii="Verdana" w:hAnsi="Verdana"/>
          <w:sz w:val="16"/>
          <w:szCs w:val="16"/>
          <w:lang w:val="es-CO"/>
        </w:rPr>
      </w:pPr>
      <w:r w:rsidRPr="00AF0096">
        <w:rPr>
          <w:rFonts w:ascii="Verdana" w:hAnsi="Verdana"/>
          <w:sz w:val="16"/>
          <w:szCs w:val="16"/>
          <w:lang w:val="es-CO"/>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AF0096">
        <w:rPr>
          <w:rFonts w:ascii="Verdana" w:hAnsi="Verdana"/>
          <w:sz w:val="16"/>
          <w:szCs w:val="16"/>
          <w:lang w:val="es-CO"/>
        </w:rPr>
        <w:t>postcontractual</w:t>
      </w:r>
      <w:proofErr w:type="spellEnd"/>
      <w:r w:rsidRPr="00AF0096">
        <w:rPr>
          <w:rFonts w:ascii="Verdana" w:hAnsi="Verdana"/>
          <w:sz w:val="16"/>
          <w:szCs w:val="16"/>
          <w:lang w:val="es-CO"/>
        </w:rPr>
        <w:t>. </w:t>
      </w:r>
    </w:p>
    <w:p w14:paraId="17970CFA" w14:textId="77777777" w:rsidR="00EB59DD" w:rsidRPr="00AF0096" w:rsidRDefault="00EB59DD" w:rsidP="00EB59DD">
      <w:pPr>
        <w:pStyle w:val="Textonotapie"/>
        <w:ind w:firstLine="708"/>
        <w:jc w:val="both"/>
        <w:rPr>
          <w:rFonts w:ascii="Verdana" w:hAnsi="Verdana"/>
          <w:sz w:val="16"/>
          <w:szCs w:val="16"/>
          <w:lang w:val="es-CO"/>
        </w:rPr>
      </w:pPr>
      <w:r w:rsidRPr="00AF0096">
        <w:rPr>
          <w:rFonts w:ascii="Verdana" w:hAnsi="Verdana"/>
          <w:sz w:val="16"/>
          <w:szCs w:val="16"/>
          <w:lang w:val="es-CO"/>
        </w:rPr>
        <w:t xml:space="preserve">A partir de la </w:t>
      </w:r>
      <w:proofErr w:type="gramStart"/>
      <w:r w:rsidRPr="00AF0096">
        <w:rPr>
          <w:rFonts w:ascii="Verdana" w:hAnsi="Verdana"/>
          <w:sz w:val="16"/>
          <w:szCs w:val="16"/>
          <w:lang w:val="es-CO"/>
        </w:rPr>
        <w:t>entrada en vigencia</w:t>
      </w:r>
      <w:proofErr w:type="gramEnd"/>
      <w:r w:rsidRPr="00AF0096">
        <w:rPr>
          <w:rFonts w:ascii="Verdana" w:hAnsi="Verdana"/>
          <w:sz w:val="16"/>
          <w:szCs w:val="16"/>
          <w:lang w:val="es-CO"/>
        </w:rPr>
        <w:t xml:space="preserve"> de la presente Ley, se establecerá un periodo de transición de seis (6) meses, para que las entidades den cumplimiento efectivo a lo aquí establecido. </w:t>
      </w:r>
    </w:p>
  </w:footnote>
  <w:footnote w:id="14">
    <w:p w14:paraId="18D99A14" w14:textId="77777777" w:rsidR="00EB59DD" w:rsidRPr="00CA117C" w:rsidRDefault="00EB59DD" w:rsidP="00EB59DD">
      <w:pPr>
        <w:pStyle w:val="Textonotapie"/>
        <w:ind w:firstLine="708"/>
        <w:jc w:val="both"/>
        <w:rPr>
          <w:rFonts w:ascii="Verdana" w:hAnsi="Verdana"/>
          <w:sz w:val="16"/>
          <w:szCs w:val="16"/>
          <w:lang w:val="es-CO"/>
        </w:rPr>
      </w:pPr>
      <w:r w:rsidRPr="00CA117C">
        <w:rPr>
          <w:rStyle w:val="Refdenotaalpie"/>
          <w:rFonts w:ascii="Verdana" w:hAnsi="Verdana"/>
          <w:sz w:val="16"/>
          <w:szCs w:val="16"/>
        </w:rPr>
        <w:footnoteRef/>
      </w:r>
      <w:r w:rsidRPr="00CA117C">
        <w:rPr>
          <w:rFonts w:ascii="Verdana" w:hAnsi="Verdana"/>
          <w:sz w:val="16"/>
          <w:szCs w:val="16"/>
        </w:rPr>
        <w:t xml:space="preserve"> </w:t>
      </w:r>
      <w:r w:rsidRPr="00CA117C">
        <w:rPr>
          <w:rFonts w:ascii="Verdana" w:hAnsi="Verdana"/>
          <w:sz w:val="16"/>
          <w:szCs w:val="16"/>
          <w:lang w:val="es-CO"/>
        </w:rPr>
        <w:t>Artículo 18. </w:t>
      </w:r>
      <w:r w:rsidRPr="00CA117C">
        <w:rPr>
          <w:rFonts w:ascii="Verdana" w:hAnsi="Verdana"/>
          <w:i/>
          <w:iCs/>
          <w:sz w:val="16"/>
          <w:szCs w:val="16"/>
          <w:lang w:val="es-CO"/>
        </w:rPr>
        <w:t>Información exceptuada por daño de derechos a personas naturales o jurídicas. </w:t>
      </w:r>
      <w:r w:rsidRPr="00CA117C">
        <w:rPr>
          <w:rFonts w:ascii="Verdana" w:hAnsi="Verdana"/>
          <w:sz w:val="16"/>
          <w:szCs w:val="16"/>
          <w:lang w:val="es-CO"/>
        </w:rPr>
        <w:t>Es toda aquella información pública clasificada, cuyo acceso podrá ser rechazado o denegado de manera motivada y por escrito, siempre que el acceso pudiere causar un daño a los siguientes derechos: </w:t>
      </w:r>
    </w:p>
    <w:p w14:paraId="6EF8C123" w14:textId="77777777" w:rsidR="00EB59DD" w:rsidRPr="00CA117C" w:rsidRDefault="00EB59DD" w:rsidP="00EB59DD">
      <w:pPr>
        <w:pStyle w:val="Textonotapie"/>
        <w:ind w:firstLine="708"/>
        <w:jc w:val="both"/>
        <w:rPr>
          <w:rFonts w:ascii="Verdana" w:hAnsi="Verdana"/>
          <w:sz w:val="16"/>
          <w:szCs w:val="16"/>
          <w:lang w:val="es-CO"/>
        </w:rPr>
      </w:pPr>
      <w:r w:rsidRPr="00CA117C">
        <w:rPr>
          <w:rFonts w:ascii="Verdana" w:hAnsi="Verdana"/>
          <w:sz w:val="16"/>
          <w:szCs w:val="16"/>
          <w:lang w:val="es-CO"/>
        </w:rPr>
        <w:t>a) El derecho de toda persona a la intimidad, bajo las limitaciones propias que impone la condición de servidor público, en concordancia con lo estipulado por el artículo 24 de la Ley 1437 de 2011; </w:t>
      </w:r>
    </w:p>
    <w:p w14:paraId="58164DAE" w14:textId="77777777" w:rsidR="00EB59DD" w:rsidRPr="00CA117C" w:rsidRDefault="00EB59DD" w:rsidP="00EB59DD">
      <w:pPr>
        <w:pStyle w:val="Textonotapie"/>
        <w:ind w:firstLine="708"/>
        <w:jc w:val="both"/>
        <w:rPr>
          <w:rFonts w:ascii="Verdana" w:hAnsi="Verdana"/>
          <w:sz w:val="16"/>
          <w:szCs w:val="16"/>
          <w:lang w:val="es-CO"/>
        </w:rPr>
      </w:pPr>
      <w:r w:rsidRPr="00CA117C">
        <w:rPr>
          <w:rFonts w:ascii="Verdana" w:hAnsi="Verdana"/>
          <w:sz w:val="16"/>
          <w:szCs w:val="16"/>
          <w:lang w:val="es-CO"/>
        </w:rPr>
        <w:t>b) El derecho de toda persona a la vida, la salud o la seguridad; </w:t>
      </w:r>
    </w:p>
    <w:p w14:paraId="6AAEF0B0" w14:textId="77777777" w:rsidR="00EB59DD" w:rsidRPr="00CA117C" w:rsidRDefault="00EB59DD" w:rsidP="00EB59DD">
      <w:pPr>
        <w:pStyle w:val="Textonotapie"/>
        <w:ind w:firstLine="708"/>
        <w:jc w:val="both"/>
        <w:rPr>
          <w:rFonts w:ascii="Verdana" w:hAnsi="Verdana"/>
          <w:sz w:val="16"/>
          <w:szCs w:val="16"/>
          <w:lang w:val="es-CO"/>
        </w:rPr>
      </w:pPr>
      <w:r w:rsidRPr="00CA117C">
        <w:rPr>
          <w:rFonts w:ascii="Verdana" w:hAnsi="Verdana"/>
          <w:sz w:val="16"/>
          <w:szCs w:val="16"/>
          <w:lang w:val="es-CO"/>
        </w:rPr>
        <w:t>c) Los secretos comerciales, industriales y profesionales, así como los estipulados en el parágrafo del artículo 77 de la Ley 1474 de 2011. </w:t>
      </w:r>
    </w:p>
    <w:p w14:paraId="54548008" w14:textId="77777777" w:rsidR="00EB59DD" w:rsidRDefault="00EB59DD" w:rsidP="00EB59DD">
      <w:pPr>
        <w:pStyle w:val="Textonotapie"/>
        <w:ind w:firstLine="708"/>
        <w:jc w:val="both"/>
        <w:rPr>
          <w:rFonts w:ascii="Verdana" w:hAnsi="Verdana"/>
          <w:sz w:val="16"/>
          <w:szCs w:val="16"/>
          <w:lang w:val="es-CO"/>
        </w:rPr>
      </w:pPr>
      <w:r w:rsidRPr="00CA117C">
        <w:rPr>
          <w:rFonts w:ascii="Verdana" w:hAnsi="Verdana"/>
          <w:sz w:val="16"/>
          <w:szCs w:val="16"/>
          <w:lang w:val="es-CO"/>
        </w:rPr>
        <w:t>Parágrafo. Estas excepciones tienen una duración ilimitada y no deberán aplicarse cuando la persona natural o jurídica ha consentido en la revelación de sus datos personales o privados o bien cuando es claro que la información fue entregada como parte de aquella información que debe estar bajo el régimen de publicidad aplicable.</w:t>
      </w:r>
    </w:p>
    <w:p w14:paraId="48C0828E" w14:textId="77777777" w:rsidR="00EB59DD" w:rsidRPr="00CA117C" w:rsidRDefault="00EB59DD" w:rsidP="00EB59DD">
      <w:pPr>
        <w:pStyle w:val="Textonotapie"/>
        <w:ind w:firstLine="708"/>
        <w:jc w:val="both"/>
        <w:rPr>
          <w:rFonts w:ascii="Verdana" w:hAnsi="Verdana"/>
          <w:sz w:val="16"/>
          <w:szCs w:val="16"/>
          <w:lang w:val="es-CO"/>
        </w:rPr>
      </w:pPr>
    </w:p>
  </w:footnote>
  <w:footnote w:id="15">
    <w:p w14:paraId="1C5D5EA6" w14:textId="77777777" w:rsidR="00EB59DD" w:rsidRPr="00CA117C" w:rsidRDefault="00EB59DD" w:rsidP="00EB59DD">
      <w:pPr>
        <w:pStyle w:val="Textonotapie"/>
        <w:ind w:firstLine="708"/>
        <w:rPr>
          <w:rFonts w:ascii="Verdana" w:hAnsi="Verdana"/>
          <w:sz w:val="16"/>
          <w:szCs w:val="16"/>
          <w:lang w:val="es-CO"/>
        </w:rPr>
      </w:pPr>
      <w:r w:rsidRPr="00CA117C">
        <w:rPr>
          <w:rStyle w:val="Refdenotaalpie"/>
          <w:rFonts w:ascii="Verdana" w:hAnsi="Verdana"/>
          <w:sz w:val="16"/>
          <w:szCs w:val="16"/>
        </w:rPr>
        <w:footnoteRef/>
      </w:r>
      <w:r w:rsidRPr="00CA117C">
        <w:rPr>
          <w:rFonts w:ascii="Verdana" w:hAnsi="Verdana"/>
          <w:sz w:val="16"/>
          <w:szCs w:val="16"/>
        </w:rPr>
        <w:t xml:space="preserve"> </w:t>
      </w:r>
      <w:r w:rsidRPr="00CA117C">
        <w:rPr>
          <w:rFonts w:ascii="Verdana" w:hAnsi="Verdana"/>
          <w:sz w:val="16"/>
          <w:szCs w:val="16"/>
          <w:lang w:val="es-CO"/>
        </w:rPr>
        <w:t>Artículo 19. </w:t>
      </w:r>
      <w:r w:rsidRPr="00CA117C">
        <w:rPr>
          <w:rFonts w:ascii="Verdana" w:hAnsi="Verdana"/>
          <w:i/>
          <w:iCs/>
          <w:sz w:val="16"/>
          <w:szCs w:val="16"/>
          <w:lang w:val="es-CO"/>
        </w:rPr>
        <w:t>Información exceptuada por daño a los intereses públicos. </w:t>
      </w:r>
      <w:r w:rsidRPr="00CA117C">
        <w:rPr>
          <w:rFonts w:ascii="Verdana" w:hAnsi="Verdana"/>
          <w:sz w:val="16"/>
          <w:szCs w:val="16"/>
          <w:lang w:val="es-CO"/>
        </w:rPr>
        <w:t>Es toda aquella información pública reservada, cuyo acceso podrá ser rechazado o denegado de manera motivada y por escrito en las siguientes circunstancias, siempre que dicho acceso estuviere expresamente prohibido por una norma legal o constitucional:  </w:t>
      </w:r>
    </w:p>
    <w:p w14:paraId="4504D0B5" w14:textId="77777777" w:rsidR="00EB59DD" w:rsidRPr="00CA117C"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a) La defensa y seguridad nacional; </w:t>
      </w:r>
    </w:p>
    <w:p w14:paraId="64C797C1" w14:textId="77777777" w:rsidR="00EB59DD" w:rsidRPr="00CA117C"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b) La seguridad pública; </w:t>
      </w:r>
    </w:p>
    <w:p w14:paraId="5815A572" w14:textId="77777777" w:rsidR="00EB59DD" w:rsidRPr="00CA117C"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c) Las relaciones internacionales; </w:t>
      </w:r>
    </w:p>
    <w:p w14:paraId="5178FA8D" w14:textId="77777777" w:rsidR="00EB59DD" w:rsidRPr="00CA117C"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d) La prevención, investigación y persecución de los delitos y las faltas disciplinarias, mientras que no se haga efectiva la medida de aseguramiento o se formule pliego de cargos, según el caso; </w:t>
      </w:r>
    </w:p>
    <w:p w14:paraId="2930E1E5" w14:textId="77777777" w:rsidR="00EB59DD" w:rsidRPr="00CA117C"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e) El debido proceso y la igualdad de las partes en los procesos judiciales; </w:t>
      </w:r>
    </w:p>
    <w:p w14:paraId="5356CC88" w14:textId="77777777" w:rsidR="00EB59DD" w:rsidRPr="00CA117C"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f) La administración efectiva de la justicia; </w:t>
      </w:r>
    </w:p>
    <w:p w14:paraId="43F15C0A" w14:textId="77777777" w:rsidR="00EB59DD" w:rsidRPr="00CA117C"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g) Los derechos de la infancia y la adolescencia; </w:t>
      </w:r>
    </w:p>
    <w:p w14:paraId="1D64D549" w14:textId="77777777" w:rsidR="00EB59DD" w:rsidRPr="00CA117C"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h) La estabilidad macroeconómica y financiera del país; </w:t>
      </w:r>
    </w:p>
    <w:p w14:paraId="40570957" w14:textId="77777777" w:rsidR="00EB59DD" w:rsidRPr="00CA117C"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i) La salud pública. </w:t>
      </w:r>
    </w:p>
    <w:p w14:paraId="660E34CE" w14:textId="77777777" w:rsidR="00EB59DD" w:rsidRDefault="00EB59DD" w:rsidP="00EB59DD">
      <w:pPr>
        <w:pStyle w:val="Textonotapie"/>
        <w:ind w:firstLine="708"/>
        <w:rPr>
          <w:rFonts w:ascii="Verdana" w:hAnsi="Verdana"/>
          <w:sz w:val="16"/>
          <w:szCs w:val="16"/>
          <w:lang w:val="es-CO"/>
        </w:rPr>
      </w:pPr>
      <w:r w:rsidRPr="00CA117C">
        <w:rPr>
          <w:rFonts w:ascii="Verdana" w:hAnsi="Verdana"/>
          <w:sz w:val="16"/>
          <w:szCs w:val="16"/>
          <w:lang w:val="es-CO"/>
        </w:rPr>
        <w:t>Parágrafo. Se exceptúan también los documentos que contengan las opiniones o puntos de vista que formen parte del proceso deliberativo de los servidores públicos. </w:t>
      </w:r>
    </w:p>
    <w:p w14:paraId="4A0CB9BF" w14:textId="77777777" w:rsidR="00EB59DD" w:rsidRPr="00CA117C" w:rsidRDefault="00EB59DD" w:rsidP="00EB59DD">
      <w:pPr>
        <w:pStyle w:val="Textonotapie"/>
        <w:ind w:firstLine="708"/>
        <w:rPr>
          <w:rFonts w:ascii="Verdana" w:hAnsi="Verdana"/>
          <w:sz w:val="16"/>
          <w:szCs w:val="16"/>
          <w:lang w:val="es-CO"/>
        </w:rPr>
      </w:pPr>
    </w:p>
  </w:footnote>
  <w:footnote w:id="16">
    <w:p w14:paraId="653EB857" w14:textId="77777777" w:rsidR="00EB59DD" w:rsidRPr="00CA117C" w:rsidRDefault="00EB59DD" w:rsidP="00EB59DD">
      <w:pPr>
        <w:pStyle w:val="Textonotapie"/>
        <w:ind w:firstLine="709"/>
        <w:jc w:val="both"/>
        <w:rPr>
          <w:rFonts w:ascii="Verdana" w:hAnsi="Verdana"/>
          <w:sz w:val="16"/>
          <w:szCs w:val="16"/>
          <w:lang w:val="es-CO"/>
        </w:rPr>
      </w:pPr>
      <w:r w:rsidRPr="00CA117C">
        <w:rPr>
          <w:rStyle w:val="Refdenotaalpie"/>
          <w:rFonts w:ascii="Verdana" w:hAnsi="Verdana"/>
          <w:sz w:val="16"/>
          <w:szCs w:val="16"/>
        </w:rPr>
        <w:footnoteRef/>
      </w:r>
      <w:r w:rsidRPr="00CA117C">
        <w:rPr>
          <w:rFonts w:ascii="Verdana" w:hAnsi="Verdana"/>
          <w:sz w:val="16"/>
          <w:szCs w:val="16"/>
        </w:rPr>
        <w:t xml:space="preserve"> </w:t>
      </w:r>
      <w:r w:rsidRPr="00CA117C">
        <w:rPr>
          <w:rFonts w:ascii="Verdana" w:hAnsi="Verdana"/>
          <w:bCs/>
          <w:sz w:val="16"/>
          <w:szCs w:val="16"/>
          <w:lang w:val="es-CO"/>
        </w:rPr>
        <w:t>Artículo 24. </w:t>
      </w:r>
      <w:r w:rsidRPr="00CA117C">
        <w:rPr>
          <w:rFonts w:ascii="Verdana" w:hAnsi="Verdana"/>
          <w:bCs/>
          <w:i/>
          <w:iCs/>
          <w:sz w:val="16"/>
          <w:szCs w:val="16"/>
          <w:lang w:val="es-CO"/>
        </w:rPr>
        <w:t xml:space="preserve">Informaciones y documentos reservados. </w:t>
      </w:r>
      <w:r w:rsidRPr="00CA117C">
        <w:rPr>
          <w:rFonts w:ascii="Verdana" w:hAnsi="Verdana"/>
          <w:sz w:val="16"/>
          <w:szCs w:val="16"/>
          <w:lang w:val="es-CO"/>
        </w:rPr>
        <w:t>Solo tendrán carácter reservado las informaciones y documentos expresamente sometidos a reserva por la Constitución Política o la ley, y en especial:</w:t>
      </w:r>
    </w:p>
    <w:p w14:paraId="3232C749" w14:textId="77777777" w:rsidR="00EB59DD" w:rsidRPr="00CA117C" w:rsidRDefault="00EB59DD" w:rsidP="00EB59DD">
      <w:pPr>
        <w:pStyle w:val="Textonotapie"/>
        <w:ind w:firstLine="709"/>
        <w:jc w:val="both"/>
        <w:rPr>
          <w:rFonts w:ascii="Verdana" w:hAnsi="Verdana"/>
          <w:sz w:val="16"/>
          <w:szCs w:val="16"/>
          <w:lang w:val="es-CO"/>
        </w:rPr>
      </w:pPr>
      <w:r w:rsidRPr="00CA117C">
        <w:rPr>
          <w:rFonts w:ascii="Verdana" w:hAnsi="Verdana"/>
          <w:sz w:val="16"/>
          <w:szCs w:val="16"/>
          <w:lang w:val="es-CO"/>
        </w:rPr>
        <w:t>1. Los relacionados con la defensa o seguridad nacionales.</w:t>
      </w:r>
    </w:p>
    <w:p w14:paraId="611401A7" w14:textId="77777777" w:rsidR="00EB59DD" w:rsidRPr="00CA117C" w:rsidRDefault="00EB59DD" w:rsidP="00EB59DD">
      <w:pPr>
        <w:pStyle w:val="Textonotapie"/>
        <w:ind w:firstLine="709"/>
        <w:jc w:val="both"/>
        <w:rPr>
          <w:rFonts w:ascii="Verdana" w:hAnsi="Verdana"/>
          <w:sz w:val="16"/>
          <w:szCs w:val="16"/>
          <w:lang w:val="es-CO"/>
        </w:rPr>
      </w:pPr>
      <w:r w:rsidRPr="00CA117C">
        <w:rPr>
          <w:rFonts w:ascii="Verdana" w:hAnsi="Verdana"/>
          <w:sz w:val="16"/>
          <w:szCs w:val="16"/>
          <w:lang w:val="es-CO"/>
        </w:rPr>
        <w:t>2. Las instrucciones en materia diplomática o sobre negociaciones reservadas.  </w:t>
      </w:r>
    </w:p>
    <w:p w14:paraId="57903E1B" w14:textId="77777777" w:rsidR="00EB59DD" w:rsidRPr="00CA117C" w:rsidRDefault="00EB59DD" w:rsidP="00EB59DD">
      <w:pPr>
        <w:pStyle w:val="Textonotapie"/>
        <w:ind w:firstLine="709"/>
        <w:jc w:val="both"/>
        <w:rPr>
          <w:rFonts w:ascii="Verdana" w:hAnsi="Verdana"/>
          <w:sz w:val="16"/>
          <w:szCs w:val="16"/>
          <w:lang w:val="es-CO"/>
        </w:rPr>
      </w:pPr>
      <w:r w:rsidRPr="00CA117C">
        <w:rPr>
          <w:rFonts w:ascii="Verdana" w:hAnsi="Verdana"/>
          <w:sz w:val="16"/>
          <w:szCs w:val="16"/>
          <w:lang w:val="es-CO"/>
        </w:rPr>
        <w:t>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53AB74DD" w14:textId="77777777" w:rsidR="00EB59DD" w:rsidRPr="00CA117C" w:rsidRDefault="00EB59DD" w:rsidP="00EB59DD">
      <w:pPr>
        <w:pStyle w:val="Textonotapie"/>
        <w:ind w:firstLine="709"/>
        <w:jc w:val="both"/>
        <w:rPr>
          <w:rFonts w:ascii="Verdana" w:hAnsi="Verdana"/>
          <w:sz w:val="16"/>
          <w:szCs w:val="16"/>
          <w:lang w:val="es-CO"/>
        </w:rPr>
      </w:pPr>
      <w:r w:rsidRPr="00CA117C">
        <w:rPr>
          <w:rFonts w:ascii="Verdana" w:hAnsi="Verdana"/>
          <w:sz w:val="16"/>
          <w:szCs w:val="16"/>
          <w:lang w:val="es-CO"/>
        </w:rPr>
        <w:t>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73AF2111" w14:textId="77777777" w:rsidR="00EB59DD" w:rsidRPr="00AF0096" w:rsidRDefault="00EB59DD" w:rsidP="00EB59DD">
      <w:pPr>
        <w:pStyle w:val="Textonotapie"/>
        <w:ind w:firstLine="709"/>
        <w:jc w:val="both"/>
        <w:rPr>
          <w:rFonts w:ascii="Verdana" w:hAnsi="Verdana"/>
          <w:sz w:val="16"/>
          <w:szCs w:val="16"/>
          <w:lang w:val="es-CO"/>
        </w:rPr>
      </w:pPr>
      <w:r w:rsidRPr="00AF0096">
        <w:rPr>
          <w:rFonts w:ascii="Verdana" w:hAnsi="Verdana"/>
          <w:sz w:val="16"/>
          <w:szCs w:val="16"/>
          <w:lang w:val="es-CO"/>
        </w:rPr>
        <w:t>S. Los datos referentes a la información financiera y comercial, en los términos de la Ley Estatutaria 1266 de 2008.  </w:t>
      </w:r>
    </w:p>
    <w:p w14:paraId="209480C3" w14:textId="77777777" w:rsidR="00EB59DD" w:rsidRPr="00AF0096" w:rsidRDefault="00EB59DD" w:rsidP="00EB59DD">
      <w:pPr>
        <w:pStyle w:val="Textonotapie"/>
        <w:ind w:firstLine="709"/>
        <w:jc w:val="both"/>
        <w:rPr>
          <w:rFonts w:ascii="Verdana" w:hAnsi="Verdana"/>
          <w:sz w:val="16"/>
          <w:szCs w:val="16"/>
          <w:lang w:val="es-CO"/>
        </w:rPr>
      </w:pPr>
      <w:r w:rsidRPr="00AF0096">
        <w:rPr>
          <w:rFonts w:ascii="Verdana" w:hAnsi="Verdana"/>
          <w:sz w:val="16"/>
          <w:szCs w:val="16"/>
          <w:lang w:val="es-CO"/>
        </w:rPr>
        <w:t>6. Los protegidos por el secreto comercial o industrial, así como los planes estratégicos de las empresas públicas de servicios públicos.  </w:t>
      </w:r>
    </w:p>
    <w:p w14:paraId="7C1C8EC7" w14:textId="77777777" w:rsidR="00EB59DD" w:rsidRPr="00AF0096" w:rsidRDefault="00EB59DD" w:rsidP="00EB59DD">
      <w:pPr>
        <w:pStyle w:val="Textonotapie"/>
        <w:ind w:firstLine="709"/>
        <w:jc w:val="both"/>
        <w:rPr>
          <w:rFonts w:ascii="Verdana" w:hAnsi="Verdana"/>
          <w:sz w:val="16"/>
          <w:szCs w:val="16"/>
          <w:lang w:val="es-CO"/>
        </w:rPr>
      </w:pPr>
      <w:r w:rsidRPr="00AF0096">
        <w:rPr>
          <w:rFonts w:ascii="Verdana" w:hAnsi="Verdana"/>
          <w:sz w:val="16"/>
          <w:szCs w:val="16"/>
          <w:lang w:val="es-CO"/>
        </w:rPr>
        <w:t>7. Los amparados por el secreto profesional.  </w:t>
      </w:r>
    </w:p>
    <w:p w14:paraId="6E9E759B" w14:textId="77777777" w:rsidR="00EB59DD" w:rsidRPr="00AF0096" w:rsidRDefault="00EB59DD" w:rsidP="00EB59DD">
      <w:pPr>
        <w:pStyle w:val="Textonotapie"/>
        <w:ind w:firstLine="709"/>
        <w:jc w:val="both"/>
        <w:rPr>
          <w:rFonts w:ascii="Verdana" w:hAnsi="Verdana"/>
          <w:sz w:val="16"/>
          <w:szCs w:val="16"/>
          <w:lang w:val="es-CO"/>
        </w:rPr>
      </w:pPr>
      <w:r w:rsidRPr="00AF0096">
        <w:rPr>
          <w:rFonts w:ascii="Verdana" w:hAnsi="Verdana"/>
          <w:sz w:val="16"/>
          <w:szCs w:val="16"/>
          <w:lang w:val="es-CO"/>
        </w:rPr>
        <w:t>8. Los datos genéticos humanos.  </w:t>
      </w:r>
    </w:p>
    <w:p w14:paraId="5012AB53" w14:textId="77777777" w:rsidR="00EB59DD" w:rsidRDefault="00EB59DD" w:rsidP="00EB59DD">
      <w:pPr>
        <w:pStyle w:val="Textonotapie"/>
        <w:ind w:firstLine="709"/>
        <w:jc w:val="both"/>
        <w:rPr>
          <w:rFonts w:ascii="Verdana" w:hAnsi="Verdana"/>
          <w:sz w:val="16"/>
          <w:szCs w:val="16"/>
          <w:lang w:val="es-CO"/>
        </w:rPr>
      </w:pPr>
      <w:r w:rsidRPr="00AF0096">
        <w:rPr>
          <w:rFonts w:ascii="Verdana" w:hAnsi="Verdana"/>
          <w:bCs/>
          <w:sz w:val="16"/>
          <w:szCs w:val="16"/>
          <w:lang w:val="es-CO"/>
        </w:rPr>
        <w:t>Parágrafo.</w:t>
      </w:r>
      <w:r w:rsidRPr="00AF0096">
        <w:rPr>
          <w:rFonts w:ascii="Verdana" w:hAnsi="Verdana"/>
          <w:sz w:val="16"/>
          <w:szCs w:val="16"/>
          <w:lang w:val="es-CO"/>
        </w:rPr>
        <w:t> Para efecto de la solicitud de información de carácter reservado, enunciada en los numerales 3, 5, 6 y 7 solo podrá ser solicitada por el titular de la información, por sus apoderados o por personas autorizadas con facultad expresa para acceder a esa información. </w:t>
      </w:r>
    </w:p>
    <w:p w14:paraId="77437E45" w14:textId="77777777" w:rsidR="00EB59DD" w:rsidRPr="00AF0096" w:rsidRDefault="00EB59DD" w:rsidP="00EB59DD">
      <w:pPr>
        <w:pStyle w:val="Textonotapie"/>
        <w:ind w:firstLine="709"/>
        <w:jc w:val="both"/>
        <w:rPr>
          <w:rFonts w:ascii="Verdana" w:hAnsi="Verdana"/>
          <w:sz w:val="16"/>
          <w:szCs w:val="16"/>
          <w:lang w:val="es-CO"/>
        </w:rPr>
      </w:pPr>
    </w:p>
  </w:footnote>
  <w:footnote w:id="17">
    <w:p w14:paraId="73500537" w14:textId="77777777" w:rsidR="00EB59DD" w:rsidRDefault="00EB59DD" w:rsidP="00EB59DD">
      <w:pPr>
        <w:pStyle w:val="Textonotapie"/>
        <w:ind w:firstLine="708"/>
        <w:jc w:val="both"/>
        <w:rPr>
          <w:rFonts w:ascii="Verdana" w:hAnsi="Verdana"/>
          <w:sz w:val="16"/>
          <w:szCs w:val="16"/>
          <w:lang w:val="es-ES_tradnl"/>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 xml:space="preserve">Al respecto, la Corte Constitucional en la Sentencia C-951 de 2014 que efectuó un control previo de constitucionalidad a la Ley 1755 de 2015 expresa: “Una reserva muy similar, se prevé en el literal c) del artículo 18 de la Ley Estatutaria 1712 de 2014, que restringe el acceso a la denominada como </w:t>
      </w:r>
      <w:r w:rsidRPr="00AF0096">
        <w:rPr>
          <w:rFonts w:ascii="Verdana" w:hAnsi="Verdana"/>
          <w:i/>
          <w:sz w:val="16"/>
          <w:szCs w:val="16"/>
          <w:lang w:val="es-CO"/>
        </w:rPr>
        <w:t xml:space="preserve">información pública clasificada, </w:t>
      </w:r>
      <w:r w:rsidRPr="00AF0096">
        <w:rPr>
          <w:rFonts w:ascii="Verdana" w:hAnsi="Verdana"/>
          <w:sz w:val="16"/>
          <w:szCs w:val="16"/>
          <w:lang w:val="es-CO"/>
        </w:rPr>
        <w:t>el cual puede ser denegado mediante decisión motivada,</w:t>
      </w:r>
      <w:r w:rsidRPr="00AF0096">
        <w:rPr>
          <w:rFonts w:ascii="Verdana" w:hAnsi="Verdana"/>
          <w:i/>
          <w:sz w:val="16"/>
          <w:szCs w:val="16"/>
          <w:lang w:val="es-CO"/>
        </w:rPr>
        <w:t xml:space="preserve"> </w:t>
      </w:r>
      <w:r w:rsidRPr="00AF0096">
        <w:rPr>
          <w:rFonts w:ascii="Verdana" w:hAnsi="Verdana"/>
          <w:sz w:val="16"/>
          <w:szCs w:val="16"/>
          <w:lang w:val="es-CO"/>
        </w:rPr>
        <w:t xml:space="preserve">cuando pudiere causar un daño, entre otros derechos, a los secretos comerciales e industriales. Esta disposición fue declarada exequible en la Sentencia C-274 de 2013, por cuanto la Corte consideró que tal </w:t>
      </w:r>
      <w:r w:rsidRPr="00AF0096">
        <w:rPr>
          <w:rFonts w:ascii="Verdana" w:hAnsi="Verdana"/>
          <w:sz w:val="16"/>
          <w:szCs w:val="16"/>
          <w:lang w:val="es-ES_tradnl"/>
        </w:rPr>
        <w:t>limitación resulta razonable a la luz de los parámetros de constitucionalidad establecidos por la jurisprudencia, toda vez que protege un interés constitucional imperioso y la restricción de acceso a esta información ha sido considerada razonable y proporcionada, por el daño que puede causar a la intimidad y a los derechos económicos de los ciudadanos. En todo caso, la Corporación aclaró, que este tipo de restricciones tienen una duración limitada, fijada en las normas que protegen esta información, por lo que no les sería aplicable la excepción de reserva ilimitada en el tiempo a que hace referencia el parágrafo del artículo 18, como quiera que ello contraría el principio según el cual, tales restricciones deben tener una duración razonable”.</w:t>
      </w:r>
    </w:p>
    <w:p w14:paraId="5FE4FB66" w14:textId="77777777" w:rsidR="00EB59DD" w:rsidRPr="00AF0096" w:rsidRDefault="00EB59DD" w:rsidP="00EB59DD">
      <w:pPr>
        <w:pStyle w:val="Textonotapie"/>
        <w:ind w:firstLine="708"/>
        <w:jc w:val="both"/>
        <w:rPr>
          <w:rFonts w:ascii="Verdana" w:hAnsi="Verdana"/>
          <w:sz w:val="16"/>
          <w:szCs w:val="16"/>
          <w:lang w:val="es-ES_tradnl"/>
        </w:rPr>
      </w:pPr>
    </w:p>
  </w:footnote>
  <w:footnote w:id="18">
    <w:p w14:paraId="6E8D71F6" w14:textId="77777777" w:rsidR="00EB59DD" w:rsidRDefault="00EB59DD" w:rsidP="00EB59DD">
      <w:pPr>
        <w:pStyle w:val="Default"/>
        <w:ind w:firstLine="708"/>
        <w:jc w:val="both"/>
        <w:rPr>
          <w:rFonts w:ascii="Verdana" w:hAnsi="Verdana"/>
          <w:sz w:val="16"/>
          <w:szCs w:val="16"/>
        </w:rPr>
      </w:pPr>
      <w:r w:rsidRPr="00AF0096">
        <w:rPr>
          <w:rStyle w:val="Refdenotaalpie"/>
          <w:rFonts w:ascii="Verdana" w:hAnsi="Verdana"/>
          <w:sz w:val="16"/>
          <w:szCs w:val="16"/>
        </w:rPr>
        <w:footnoteRef/>
      </w:r>
      <w:r w:rsidRPr="00AF0096">
        <w:rPr>
          <w:rFonts w:ascii="Verdana" w:hAnsi="Verdana"/>
          <w:sz w:val="16"/>
          <w:szCs w:val="16"/>
        </w:rPr>
        <w:t xml:space="preserve"> Superintendencia de Industria y Comercio. Concepto 22-196277 del 22 de junio de 2022; Concepto 17-394944- -1 del 5 de enero de 2018. </w:t>
      </w:r>
    </w:p>
    <w:p w14:paraId="4359D883" w14:textId="77777777" w:rsidR="00EB59DD" w:rsidRPr="00AF0096" w:rsidRDefault="00EB59DD" w:rsidP="00EB59DD">
      <w:pPr>
        <w:pStyle w:val="Default"/>
        <w:ind w:firstLine="708"/>
        <w:jc w:val="both"/>
        <w:rPr>
          <w:rFonts w:ascii="Verdana" w:hAnsi="Verdana"/>
          <w:sz w:val="16"/>
          <w:szCs w:val="16"/>
        </w:rPr>
      </w:pPr>
    </w:p>
  </w:footnote>
  <w:footnote w:id="19">
    <w:p w14:paraId="68D3F407" w14:textId="77777777" w:rsidR="00EB59DD" w:rsidRPr="00AF0096" w:rsidRDefault="00EB59DD" w:rsidP="00EB59DD">
      <w:pPr>
        <w:pStyle w:val="Textonotapie"/>
        <w:ind w:firstLine="708"/>
        <w:jc w:val="both"/>
        <w:rPr>
          <w:sz w:val="16"/>
          <w:szCs w:val="16"/>
          <w:lang w:val="es-ES"/>
        </w:rPr>
      </w:pPr>
      <w:r w:rsidRPr="00AF0096">
        <w:rPr>
          <w:rStyle w:val="Refdenotaalpie"/>
          <w:rFonts w:ascii="Verdana" w:hAnsi="Verdana"/>
          <w:sz w:val="16"/>
          <w:szCs w:val="16"/>
        </w:rPr>
        <w:footnoteRef/>
      </w:r>
      <w:r w:rsidRPr="00AF0096">
        <w:rPr>
          <w:rFonts w:ascii="Verdana" w:hAnsi="Verdana"/>
          <w:sz w:val="16"/>
          <w:szCs w:val="16"/>
        </w:rPr>
        <w:t xml:space="preserve"> Diccionario Panhispánico Jurídico. Secreto comercial. Disponible en línea: </w:t>
      </w:r>
      <w:hyperlink r:id="rId1" w:history="1">
        <w:r w:rsidRPr="00AF0096">
          <w:rPr>
            <w:rStyle w:val="Hipervnculo"/>
            <w:rFonts w:ascii="Verdana" w:hAnsi="Verdana"/>
            <w:sz w:val="16"/>
            <w:szCs w:val="16"/>
          </w:rPr>
          <w:t>https://dpej.rae.es/lema/secreto-comercial</w:t>
        </w:r>
      </w:hyperlink>
      <w:r w:rsidRPr="00AF0096">
        <w:rPr>
          <w:rFonts w:ascii="Verdana" w:hAnsi="Verdana"/>
          <w:sz w:val="16"/>
          <w:szCs w:val="16"/>
        </w:rPr>
        <w:t xml:space="preserve"> </w:t>
      </w:r>
    </w:p>
  </w:footnote>
  <w:footnote w:id="20">
    <w:p w14:paraId="2645939A" w14:textId="77777777" w:rsidR="00EB59DD" w:rsidRDefault="00EB59DD" w:rsidP="00EB59DD">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Ley 80 de 1993 “Artículo 24. Del principio de transparencia. En virtud de este principio: […] 4o. Las autoridades expedirán a costa de aquellas personas que demuestren interés legítimo, copias de las actuaciones y propuestas recibidas, respetando la reserva de que gocen legalmente las patentes, procedimientos y privilegios”.</w:t>
      </w:r>
    </w:p>
    <w:p w14:paraId="563C335E" w14:textId="77777777" w:rsidR="00EB59DD" w:rsidRPr="00AF0096" w:rsidRDefault="00EB59DD" w:rsidP="00EB59DD">
      <w:pPr>
        <w:pStyle w:val="Textonotapie"/>
        <w:ind w:firstLine="708"/>
        <w:jc w:val="both"/>
        <w:rPr>
          <w:rFonts w:ascii="Verdana" w:hAnsi="Verdana"/>
          <w:sz w:val="16"/>
          <w:szCs w:val="16"/>
          <w:lang w:val="es-CO"/>
        </w:rPr>
      </w:pPr>
    </w:p>
  </w:footnote>
  <w:footnote w:id="21">
    <w:p w14:paraId="5E8B6E5F" w14:textId="77777777" w:rsidR="00EB59DD" w:rsidRDefault="00EB59DD" w:rsidP="00EB59DD">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Ley 1712 de 2014 “Artículo 2°. Principio de máxima publicidad para titular universal. Toda información en posesión, bajo control o custodia de un sujeto obligado es pública y no podrá ser reservada o limitada sino por disposición constitucional o legal, de conformidad con la presente ley”.</w:t>
      </w:r>
    </w:p>
    <w:p w14:paraId="26160875" w14:textId="77777777" w:rsidR="00EB59DD" w:rsidRPr="00AF0096" w:rsidRDefault="00EB59DD" w:rsidP="00EB59DD">
      <w:pPr>
        <w:pStyle w:val="Textonotapie"/>
        <w:ind w:firstLine="708"/>
        <w:jc w:val="both"/>
        <w:rPr>
          <w:rFonts w:ascii="Verdana" w:hAnsi="Verdana"/>
          <w:sz w:val="16"/>
          <w:szCs w:val="16"/>
          <w:lang w:val="es-CO"/>
        </w:rPr>
      </w:pPr>
    </w:p>
  </w:footnote>
  <w:footnote w:id="22">
    <w:p w14:paraId="364F3118" w14:textId="77777777" w:rsidR="00EB59DD" w:rsidRDefault="00EB59DD" w:rsidP="00EB59DD">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 xml:space="preserve">MATALLANA CAMACHO Ernesto. Manual de Contratación de la Administración Pública. Reforma a la Ley 80 de 1993. Universidad Externado de Colombia, Cuarta edición, 2015, </w:t>
      </w:r>
      <w:proofErr w:type="spellStart"/>
      <w:r w:rsidRPr="00AF0096">
        <w:rPr>
          <w:rFonts w:ascii="Verdana" w:hAnsi="Verdana"/>
          <w:sz w:val="16"/>
          <w:szCs w:val="16"/>
          <w:lang w:val="es-CO"/>
        </w:rPr>
        <w:t>pp</w:t>
      </w:r>
      <w:proofErr w:type="spellEnd"/>
      <w:r w:rsidRPr="00AF0096">
        <w:rPr>
          <w:rFonts w:ascii="Verdana" w:hAnsi="Verdana"/>
          <w:sz w:val="16"/>
          <w:szCs w:val="16"/>
          <w:lang w:val="es-CO"/>
        </w:rPr>
        <w:t xml:space="preserve"> 139.</w:t>
      </w:r>
    </w:p>
    <w:p w14:paraId="171B2F3A" w14:textId="77777777" w:rsidR="00EB59DD" w:rsidRPr="00AF0096" w:rsidRDefault="00EB59DD" w:rsidP="00EB59DD">
      <w:pPr>
        <w:pStyle w:val="Textonotapie"/>
        <w:ind w:firstLine="708"/>
        <w:jc w:val="both"/>
        <w:rPr>
          <w:rFonts w:ascii="Verdana" w:hAnsi="Verdana"/>
          <w:sz w:val="16"/>
          <w:szCs w:val="16"/>
          <w:lang w:val="es-CO"/>
        </w:rPr>
      </w:pPr>
    </w:p>
  </w:footnote>
  <w:footnote w:id="23">
    <w:p w14:paraId="08EF7ED1" w14:textId="77777777" w:rsidR="00EB59DD" w:rsidRPr="00AF0096" w:rsidRDefault="00EB59DD" w:rsidP="00EB59DD">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Resultan relevantes las consideraciones expuestas en el concepto C- 322 del 16 de junio de 2020 –radicado No. 2202013000005088–, sobre la aplicación del artículo 36 del CPACA en torno al manejo de información reservada en cuadernos separados: “tratándose de información sometida a reserva, considera esta Agencia que el tratamiento que corresponde a esta información es el procedente a partir de lo dispuesto en el artículo 36 del CPACA sobre la formación y examen de expedientes, en el que se establece que los documentos sometidos a reserva deberán insertarse en un cuaderno separado del expediente principal, el cual no podrá ser consultado por la ciudadanía o interesados en general. El manejo de estos documentos conforme lo indica esta norma, permite guardar la reserva a la que están sometidos dichos documentos en el marco de procesos de contratación, sin que se vean lesionados los intereses de los titulares de la información o contrariadas las normas del régimen de protección de datos personales”.</w:t>
      </w:r>
    </w:p>
  </w:footnote>
  <w:footnote w:id="24">
    <w:p w14:paraId="66E0DAFC" w14:textId="77777777" w:rsidR="00EB59DD" w:rsidRPr="00AF0096" w:rsidRDefault="00EB59DD" w:rsidP="00EB59DD">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 xml:space="preserve">“Artículo 21. DIVULGACIÓN PARCIAL Y OTRAS REGLAS. En aquellas circunstancias en que la totalidad de la información contenida en un documento no esté protegida por una excepción contenida en la presente ley, debe hacerse una versión pública que mantenga la reserva únicamente de la parte indispensable. La información pública que no cae en ningún supuesto de excepción deberá ser entregada a la parte solicitante, así como ser de conocimiento público. La reserva de acceso a la información opera respecto del contenido de un documento público, pero no de su existencia. </w:t>
      </w:r>
    </w:p>
    <w:p w14:paraId="5B3DE530" w14:textId="77777777" w:rsidR="00EB59DD" w:rsidRPr="00AF0096" w:rsidRDefault="00EB59DD" w:rsidP="00EB59DD">
      <w:pPr>
        <w:pStyle w:val="Textonotapie"/>
        <w:ind w:firstLine="708"/>
        <w:jc w:val="both"/>
        <w:rPr>
          <w:rFonts w:ascii="Verdana" w:hAnsi="Verdana"/>
          <w:sz w:val="16"/>
          <w:szCs w:val="16"/>
          <w:lang w:val="es-CO"/>
        </w:rPr>
      </w:pPr>
      <w:r w:rsidRPr="00AF0096">
        <w:rPr>
          <w:rFonts w:ascii="Verdana" w:hAnsi="Verdana"/>
          <w:sz w:val="16"/>
          <w:szCs w:val="16"/>
          <w:lang w:val="es-CO"/>
        </w:rPr>
        <w:t xml:space="preserve">Ninguna </w:t>
      </w:r>
      <w:proofErr w:type="gramStart"/>
      <w:r w:rsidRPr="00AF0096">
        <w:rPr>
          <w:rFonts w:ascii="Verdana" w:hAnsi="Verdana"/>
          <w:sz w:val="16"/>
          <w:szCs w:val="16"/>
          <w:lang w:val="es-CO"/>
        </w:rPr>
        <w:t>autoridad pública</w:t>
      </w:r>
      <w:proofErr w:type="gramEnd"/>
      <w:r w:rsidRPr="00AF0096">
        <w:rPr>
          <w:rFonts w:ascii="Verdana" w:hAnsi="Verdana"/>
          <w:sz w:val="16"/>
          <w:szCs w:val="16"/>
          <w:lang w:val="es-CO"/>
        </w:rPr>
        <w:t xml:space="preserve"> puede negarse a indicar si un documento obra o no en su poder o negar la divulgación de un documento, salvo que el daño causado al interés protegido sea mayor al interés público de obtener acceso a la información. </w:t>
      </w:r>
    </w:p>
    <w:p w14:paraId="708E5500" w14:textId="77777777" w:rsidR="00EB59DD" w:rsidRPr="00AF0096" w:rsidRDefault="00EB59DD" w:rsidP="00EB59DD">
      <w:pPr>
        <w:pStyle w:val="Textonotapie"/>
        <w:ind w:firstLine="708"/>
        <w:jc w:val="both"/>
        <w:rPr>
          <w:rFonts w:ascii="Verdana" w:hAnsi="Verdana"/>
          <w:sz w:val="16"/>
          <w:szCs w:val="16"/>
          <w:lang w:val="es-CO"/>
        </w:rPr>
      </w:pPr>
      <w:r w:rsidRPr="00AF0096">
        <w:rPr>
          <w:rFonts w:ascii="Verdana" w:hAnsi="Verdana"/>
          <w:sz w:val="16"/>
          <w:szCs w:val="16"/>
          <w:lang w:val="es-CO"/>
        </w:rPr>
        <w:t>Las excepciones de acceso a la información contenidas en la presente ley no aplican en casos de violación de derechos humanos o delitos de lesa humanidad, y en todo caso deberán protegerse los derechos de las víctimas de dichas violaciones”.</w:t>
      </w:r>
    </w:p>
  </w:footnote>
  <w:footnote w:id="25">
    <w:p w14:paraId="1F5FD6CA" w14:textId="77777777" w:rsidR="00EB59DD" w:rsidRPr="00AF0096" w:rsidRDefault="00EB59DD" w:rsidP="00EB59DD">
      <w:pPr>
        <w:pStyle w:val="Textonotapie"/>
        <w:ind w:firstLine="708"/>
        <w:jc w:val="both"/>
        <w:rPr>
          <w:rFonts w:ascii="Verdana" w:hAnsi="Verdana"/>
          <w:sz w:val="16"/>
          <w:szCs w:val="16"/>
          <w:lang w:val="es-CO"/>
        </w:rPr>
      </w:pPr>
      <w:r w:rsidRPr="00AF0096">
        <w:rPr>
          <w:rStyle w:val="Refdenotaalpie"/>
          <w:rFonts w:ascii="Verdana" w:hAnsi="Verdana"/>
          <w:sz w:val="16"/>
          <w:szCs w:val="16"/>
        </w:rPr>
        <w:footnoteRef/>
      </w:r>
      <w:r w:rsidRPr="00AF0096">
        <w:rPr>
          <w:rFonts w:ascii="Verdana" w:hAnsi="Verdana"/>
          <w:sz w:val="16"/>
          <w:szCs w:val="16"/>
        </w:rPr>
        <w:t xml:space="preserve"> </w:t>
      </w:r>
      <w:r w:rsidRPr="00AF0096">
        <w:rPr>
          <w:rFonts w:ascii="Verdana" w:hAnsi="Verdana"/>
          <w:sz w:val="16"/>
          <w:szCs w:val="16"/>
          <w:lang w:val="es-CO"/>
        </w:rPr>
        <w:t>Artículo 7.1.3. Reserva de la información. Criterios. En concordancia con lo establecido en la Ley 1712 de 2014, Ley de transparencia y de Acceso a la Información Pública, la reserva aplica a la información, no a los documentos, para lo cual el responsable de la información verificará qué información está sometida a reserva y cuál no, y elaborará una versión pública que mantenga la reserva de los titulares de los datos, para garantizar el principio de máxima publicidad y conforme a las disposiciones legales vigentes sobre el acceso a la información.</w:t>
      </w:r>
    </w:p>
    <w:p w14:paraId="3ABFCB8A" w14:textId="77777777" w:rsidR="00EB59DD" w:rsidRPr="00AF0096" w:rsidRDefault="00EB59DD" w:rsidP="00EB59DD">
      <w:pPr>
        <w:pStyle w:val="Textonotapie"/>
        <w:ind w:firstLine="708"/>
        <w:jc w:val="both"/>
        <w:rPr>
          <w:rFonts w:ascii="Verdana" w:hAnsi="Verdana"/>
          <w:sz w:val="16"/>
          <w:szCs w:val="16"/>
          <w:lang w:val="es-CO"/>
        </w:rPr>
      </w:pPr>
      <w:r w:rsidRPr="00AF0096">
        <w:rPr>
          <w:rFonts w:ascii="Verdana" w:hAnsi="Verdana"/>
          <w:sz w:val="16"/>
          <w:szCs w:val="16"/>
          <w:lang w:val="es-CO"/>
        </w:rPr>
        <w:t xml:space="preserve">Parágrafo 1. De existir reserva legal, se aplicarán, como mínimo, los siguientes criterios: </w:t>
      </w:r>
    </w:p>
    <w:p w14:paraId="6AF043E6" w14:textId="77777777" w:rsidR="00EB59DD" w:rsidRPr="00AF0096" w:rsidRDefault="00EB59DD" w:rsidP="00EB59DD">
      <w:pPr>
        <w:pStyle w:val="Textonotapie"/>
        <w:ind w:firstLine="708"/>
        <w:jc w:val="both"/>
        <w:rPr>
          <w:rFonts w:ascii="Verdana" w:hAnsi="Verdana"/>
          <w:sz w:val="16"/>
          <w:szCs w:val="16"/>
          <w:lang w:val="es-CO"/>
        </w:rPr>
      </w:pPr>
      <w:r w:rsidRPr="00AF0096">
        <w:rPr>
          <w:rFonts w:ascii="Verdana" w:hAnsi="Verdana"/>
          <w:sz w:val="16"/>
          <w:szCs w:val="16"/>
          <w:lang w:val="es-CO"/>
        </w:rPr>
        <w:t xml:space="preserve">1. La reserva opera sobre el contenido del documento, no sobre la existencia de este. Estos documentos deben ser identificados de manera clara en los instrumentos de la gestión de información pública. </w:t>
      </w:r>
    </w:p>
    <w:p w14:paraId="1E69B56F" w14:textId="77777777" w:rsidR="00EB59DD" w:rsidRPr="00AF0096" w:rsidRDefault="00EB59DD" w:rsidP="00EB59DD">
      <w:pPr>
        <w:pStyle w:val="Textonotapie"/>
        <w:ind w:firstLine="708"/>
        <w:jc w:val="both"/>
        <w:rPr>
          <w:rFonts w:ascii="Verdana" w:hAnsi="Verdana"/>
          <w:sz w:val="16"/>
          <w:szCs w:val="16"/>
          <w:lang w:val="es-CO"/>
        </w:rPr>
      </w:pPr>
      <w:r w:rsidRPr="00AF0096">
        <w:rPr>
          <w:rFonts w:ascii="Verdana" w:hAnsi="Verdana"/>
          <w:sz w:val="16"/>
          <w:szCs w:val="16"/>
          <w:lang w:val="es-CO"/>
        </w:rPr>
        <w:t xml:space="preserve">2. La reserva legal solo opera sobre la información que compromete derechos fundamentales o bienes constitucionales, no sobre los procesos o actuaciones de los que hace parte. Para tal efecto se realizarán versiones públicas de estos documentos, que impidan la identificación de los titulares de los datos personales, como lo ordena la normativa vigente. </w:t>
      </w:r>
    </w:p>
    <w:p w14:paraId="586225EF" w14:textId="77777777" w:rsidR="00EB59DD" w:rsidRPr="00AF0096" w:rsidRDefault="00EB59DD" w:rsidP="00EB59DD">
      <w:pPr>
        <w:pStyle w:val="Textonotapie"/>
        <w:ind w:firstLine="708"/>
        <w:jc w:val="both"/>
        <w:rPr>
          <w:rFonts w:ascii="Verdana" w:hAnsi="Verdana"/>
          <w:sz w:val="16"/>
          <w:szCs w:val="16"/>
          <w:lang w:val="es-CO"/>
        </w:rPr>
      </w:pPr>
      <w:r w:rsidRPr="00AF0096">
        <w:rPr>
          <w:rFonts w:ascii="Verdana" w:hAnsi="Verdana"/>
          <w:sz w:val="16"/>
          <w:szCs w:val="16"/>
          <w:lang w:val="es-CO"/>
        </w:rPr>
        <w:t>3. La reserva deberá ser temporal, como lo determine la Ley.</w:t>
      </w:r>
    </w:p>
    <w:p w14:paraId="48562E05" w14:textId="77777777" w:rsidR="00EB59DD" w:rsidRPr="002C1712" w:rsidRDefault="00EB59DD" w:rsidP="00EB59DD">
      <w:pPr>
        <w:pStyle w:val="Textonotapie"/>
        <w:ind w:firstLine="708"/>
        <w:jc w:val="both"/>
        <w:rPr>
          <w:sz w:val="12"/>
          <w:szCs w:val="12"/>
          <w:lang w:val="es-ES"/>
        </w:rPr>
      </w:pPr>
      <w:r w:rsidRPr="00AF0096">
        <w:rPr>
          <w:rFonts w:ascii="Verdana" w:hAnsi="Verdana"/>
          <w:sz w:val="16"/>
          <w:szCs w:val="16"/>
          <w:lang w:val="es-CO"/>
        </w:rPr>
        <w:t xml:space="preserve"> Parágrafo 2. Para elaborar versiones públicas de documentos que contengan información clasificada o reservada, la entidad aplicará estándares para la </w:t>
      </w:r>
      <w:proofErr w:type="spellStart"/>
      <w:r w:rsidRPr="00AF0096">
        <w:rPr>
          <w:rFonts w:ascii="Verdana" w:hAnsi="Verdana"/>
          <w:sz w:val="16"/>
          <w:szCs w:val="16"/>
          <w:lang w:val="es-CO"/>
        </w:rPr>
        <w:t>anonimización</w:t>
      </w:r>
      <w:proofErr w:type="spellEnd"/>
      <w:r w:rsidRPr="00AF0096">
        <w:rPr>
          <w:rFonts w:ascii="Verdana" w:hAnsi="Verdana"/>
          <w:sz w:val="16"/>
          <w:szCs w:val="16"/>
          <w:lang w:val="es-CO"/>
        </w:rPr>
        <w:t xml:space="preserve"> de datos. El proceso de </w:t>
      </w:r>
      <w:proofErr w:type="spellStart"/>
      <w:r w:rsidRPr="00AF0096">
        <w:rPr>
          <w:rFonts w:ascii="Verdana" w:hAnsi="Verdana"/>
          <w:sz w:val="16"/>
          <w:szCs w:val="16"/>
          <w:lang w:val="es-CO"/>
        </w:rPr>
        <w:t>anonimización</w:t>
      </w:r>
      <w:proofErr w:type="spellEnd"/>
      <w:r w:rsidRPr="00AF0096">
        <w:rPr>
          <w:rFonts w:ascii="Verdana" w:hAnsi="Verdana"/>
          <w:sz w:val="16"/>
          <w:szCs w:val="16"/>
          <w:lang w:val="es-CO"/>
        </w:rPr>
        <w:t xml:space="preserve"> de datos requiere una adecuada comprensión del propósito final y uso de la información. Por tal motivo, es importante que el administrador de los documentos identifique los datos objeto de </w:t>
      </w:r>
      <w:proofErr w:type="spellStart"/>
      <w:r w:rsidRPr="00AF0096">
        <w:rPr>
          <w:rFonts w:ascii="Verdana" w:hAnsi="Verdana"/>
          <w:sz w:val="16"/>
          <w:szCs w:val="16"/>
          <w:lang w:val="es-CO"/>
        </w:rPr>
        <w:t>anonimización</w:t>
      </w:r>
      <w:proofErr w:type="spellEnd"/>
      <w:r w:rsidRPr="00AF0096">
        <w:rPr>
          <w:rFonts w:ascii="Verdana" w:hAnsi="Verdana"/>
          <w:sz w:val="16"/>
          <w:szCs w:val="16"/>
          <w:lang w:val="es-CO"/>
        </w:rPr>
        <w:t xml:space="preserve"> en articulación con la normativa vigente para la protección de datos personales y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5pt;height:11.95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7642455"/>
    <w:multiLevelType w:val="hybridMultilevel"/>
    <w:tmpl w:val="F9CA70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9"/>
  </w:num>
  <w:num w:numId="16" w16cid:durableId="341274352">
    <w:abstractNumId w:val="0"/>
  </w:num>
  <w:num w:numId="17" w16cid:durableId="10335050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278D9"/>
    <w:rsid w:val="0015699B"/>
    <w:rsid w:val="00187AB3"/>
    <w:rsid w:val="001A33BF"/>
    <w:rsid w:val="001E4177"/>
    <w:rsid w:val="001F0B24"/>
    <w:rsid w:val="001F7DC6"/>
    <w:rsid w:val="002138D1"/>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45696"/>
    <w:rsid w:val="00374F5E"/>
    <w:rsid w:val="00377E3E"/>
    <w:rsid w:val="00393D2B"/>
    <w:rsid w:val="003A779E"/>
    <w:rsid w:val="003D0F4D"/>
    <w:rsid w:val="003D3A8C"/>
    <w:rsid w:val="003D5B0D"/>
    <w:rsid w:val="003E0499"/>
    <w:rsid w:val="003E4F80"/>
    <w:rsid w:val="003E6439"/>
    <w:rsid w:val="003F3941"/>
    <w:rsid w:val="00401F72"/>
    <w:rsid w:val="00406575"/>
    <w:rsid w:val="00414C74"/>
    <w:rsid w:val="0042722E"/>
    <w:rsid w:val="0044528D"/>
    <w:rsid w:val="00466E39"/>
    <w:rsid w:val="004A1847"/>
    <w:rsid w:val="004A305D"/>
    <w:rsid w:val="004F21C4"/>
    <w:rsid w:val="004F685F"/>
    <w:rsid w:val="0051636E"/>
    <w:rsid w:val="005566E8"/>
    <w:rsid w:val="00574867"/>
    <w:rsid w:val="00586042"/>
    <w:rsid w:val="00591460"/>
    <w:rsid w:val="00592BA7"/>
    <w:rsid w:val="005A65E0"/>
    <w:rsid w:val="005C3777"/>
    <w:rsid w:val="005C5CDC"/>
    <w:rsid w:val="005D476C"/>
    <w:rsid w:val="006200BF"/>
    <w:rsid w:val="006219F8"/>
    <w:rsid w:val="006302F7"/>
    <w:rsid w:val="00644EE0"/>
    <w:rsid w:val="00646B9F"/>
    <w:rsid w:val="006527D9"/>
    <w:rsid w:val="00665D70"/>
    <w:rsid w:val="006900D9"/>
    <w:rsid w:val="006E4F07"/>
    <w:rsid w:val="00706C16"/>
    <w:rsid w:val="007340C3"/>
    <w:rsid w:val="0075235A"/>
    <w:rsid w:val="00756841"/>
    <w:rsid w:val="007649AB"/>
    <w:rsid w:val="00771D0C"/>
    <w:rsid w:val="007833AC"/>
    <w:rsid w:val="007B268C"/>
    <w:rsid w:val="007B7171"/>
    <w:rsid w:val="007C0C0F"/>
    <w:rsid w:val="007C3DC2"/>
    <w:rsid w:val="007E5497"/>
    <w:rsid w:val="007F7444"/>
    <w:rsid w:val="00806F5F"/>
    <w:rsid w:val="008141C0"/>
    <w:rsid w:val="00820278"/>
    <w:rsid w:val="00820987"/>
    <w:rsid w:val="00823DC8"/>
    <w:rsid w:val="008258C9"/>
    <w:rsid w:val="00844AE9"/>
    <w:rsid w:val="00853F06"/>
    <w:rsid w:val="00867F95"/>
    <w:rsid w:val="008843B6"/>
    <w:rsid w:val="00891928"/>
    <w:rsid w:val="008A446D"/>
    <w:rsid w:val="008B25F1"/>
    <w:rsid w:val="008D180B"/>
    <w:rsid w:val="008F0EA7"/>
    <w:rsid w:val="00923EEF"/>
    <w:rsid w:val="009419F9"/>
    <w:rsid w:val="0095685E"/>
    <w:rsid w:val="00961B09"/>
    <w:rsid w:val="00965334"/>
    <w:rsid w:val="0097093E"/>
    <w:rsid w:val="00985C0A"/>
    <w:rsid w:val="009A0DFA"/>
    <w:rsid w:val="009A1C6F"/>
    <w:rsid w:val="009B1C79"/>
    <w:rsid w:val="009B2D26"/>
    <w:rsid w:val="009C71FA"/>
    <w:rsid w:val="009C72E7"/>
    <w:rsid w:val="009C7F7E"/>
    <w:rsid w:val="009D3058"/>
    <w:rsid w:val="009F3A13"/>
    <w:rsid w:val="00A122D3"/>
    <w:rsid w:val="00A14468"/>
    <w:rsid w:val="00A17F13"/>
    <w:rsid w:val="00A20739"/>
    <w:rsid w:val="00A23AF9"/>
    <w:rsid w:val="00A33C78"/>
    <w:rsid w:val="00AB0ADB"/>
    <w:rsid w:val="00AC5F5E"/>
    <w:rsid w:val="00B00C0E"/>
    <w:rsid w:val="00B01B1A"/>
    <w:rsid w:val="00B0381D"/>
    <w:rsid w:val="00B17CA4"/>
    <w:rsid w:val="00B44A47"/>
    <w:rsid w:val="00B72CD3"/>
    <w:rsid w:val="00B72FFF"/>
    <w:rsid w:val="00BC3D36"/>
    <w:rsid w:val="00BD54A6"/>
    <w:rsid w:val="00BD7F72"/>
    <w:rsid w:val="00BF7425"/>
    <w:rsid w:val="00C04FB3"/>
    <w:rsid w:val="00C11D8B"/>
    <w:rsid w:val="00C15139"/>
    <w:rsid w:val="00C248B2"/>
    <w:rsid w:val="00C330EB"/>
    <w:rsid w:val="00C50D69"/>
    <w:rsid w:val="00C5365C"/>
    <w:rsid w:val="00C754BE"/>
    <w:rsid w:val="00C76B1C"/>
    <w:rsid w:val="00C925AC"/>
    <w:rsid w:val="00CB4C64"/>
    <w:rsid w:val="00CB6357"/>
    <w:rsid w:val="00CC1B26"/>
    <w:rsid w:val="00D361FD"/>
    <w:rsid w:val="00D423A2"/>
    <w:rsid w:val="00D44E26"/>
    <w:rsid w:val="00D520D8"/>
    <w:rsid w:val="00D63AC2"/>
    <w:rsid w:val="00D7383B"/>
    <w:rsid w:val="00D7788A"/>
    <w:rsid w:val="00D97A62"/>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201A"/>
    <w:rsid w:val="00EB59DD"/>
    <w:rsid w:val="00EC38A7"/>
    <w:rsid w:val="00EE1AA8"/>
    <w:rsid w:val="00F11124"/>
    <w:rsid w:val="00F23FEA"/>
    <w:rsid w:val="00F31EDC"/>
    <w:rsid w:val="00F462B3"/>
    <w:rsid w:val="00F5664F"/>
    <w:rsid w:val="00F666C4"/>
    <w:rsid w:val="00F76AFC"/>
    <w:rsid w:val="00FA3E82"/>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B59DD"/>
    <w:rPr>
      <w:rFonts w:ascii="Geomanist Light" w:hAnsi="Geomanist Light"/>
      <w:lang w:val="es-ES"/>
    </w:rPr>
  </w:style>
  <w:style w:type="paragraph" w:customStyle="1" w:styleId="Appelnotedebasde">
    <w:name w:val="Appel note de bas de..."/>
    <w:basedOn w:val="Normal"/>
    <w:link w:val="Refdenotaalpie"/>
    <w:uiPriority w:val="99"/>
    <w:rsid w:val="00EB59D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www.secretariasenado.gov.co/senado/basedoc/decreto_1494_2015.html"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mabril@dnp.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dpej.rae.es/lema/secreto-comerci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7B6E81E-3694-4EA9-96BD-AA9082F41897}"/>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61</TotalTime>
  <Pages>39</Pages>
  <Words>13128</Words>
  <Characters>72210</Characters>
  <Application>Microsoft Office Word</Application>
  <DocSecurity>0</DocSecurity>
  <Lines>601</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2023-01-10T21:18:00Z</cp:lastPrinted>
  <dcterms:created xsi:type="dcterms:W3CDTF">2026-07-05T18:21:00Z</dcterms:created>
  <dcterms:modified xsi:type="dcterms:W3CDTF">2026-07-07T19:35:00Z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