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ACBA6" w14:textId="03997F30" w:rsidR="00A61125" w:rsidRPr="00596B01" w:rsidRDefault="00A61125" w:rsidP="00A61125">
      <w:pPr>
        <w:spacing w:after="0" w:line="240" w:lineRule="auto"/>
        <w:jc w:val="both"/>
        <w:textAlignment w:val="baseline"/>
        <w:rPr>
          <w:rFonts w:ascii="Verdana" w:eastAsia="Times New Roman" w:hAnsi="Verdana" w:cs="Segoe UI"/>
          <w:sz w:val="20"/>
          <w:szCs w:val="20"/>
          <w:lang w:eastAsia="es-CO"/>
        </w:rPr>
      </w:pPr>
      <w:bookmarkStart w:id="0" w:name="_Hlk143780582"/>
      <w:r w:rsidRPr="00596B01">
        <w:rPr>
          <w:rFonts w:ascii="Verdana" w:eastAsia="Times New Roman" w:hAnsi="Verdana" w:cs="Arial"/>
          <w:b/>
          <w:color w:val="000000"/>
          <w:lang w:eastAsia="es-CO"/>
        </w:rPr>
        <w:t xml:space="preserve">EJERCICIO PROFESIÓN DE ABOGADO </w:t>
      </w:r>
    </w:p>
    <w:p w14:paraId="32D3509C" w14:textId="77777777" w:rsidR="00A61125" w:rsidRPr="00596B01" w:rsidRDefault="00A61125" w:rsidP="00A61125">
      <w:pPr>
        <w:spacing w:after="0" w:line="240" w:lineRule="auto"/>
        <w:jc w:val="both"/>
        <w:textAlignment w:val="baseline"/>
        <w:rPr>
          <w:rFonts w:ascii="Verdana" w:eastAsia="Times New Roman" w:hAnsi="Verdana" w:cs="Segoe UI"/>
          <w:sz w:val="20"/>
          <w:szCs w:val="20"/>
          <w:lang w:eastAsia="es-CO"/>
        </w:rPr>
      </w:pPr>
    </w:p>
    <w:p w14:paraId="6FC83813" w14:textId="77777777" w:rsidR="00A61125" w:rsidRPr="00596B01" w:rsidRDefault="00A61125" w:rsidP="00A61125">
      <w:pPr>
        <w:spacing w:after="0" w:line="240" w:lineRule="auto"/>
        <w:jc w:val="both"/>
        <w:textAlignment w:val="baseline"/>
        <w:rPr>
          <w:rFonts w:ascii="Verdana" w:eastAsia="Times New Roman" w:hAnsi="Verdana" w:cs="Segoe UI"/>
          <w:sz w:val="20"/>
          <w:szCs w:val="20"/>
          <w:lang w:eastAsia="es-CO"/>
        </w:rPr>
      </w:pPr>
      <w:r w:rsidRPr="00596B01">
        <w:rPr>
          <w:rFonts w:ascii="Verdana" w:eastAsia="Times New Roman" w:hAnsi="Verdana" w:cs="Segoe UI"/>
          <w:sz w:val="20"/>
          <w:szCs w:val="20"/>
          <w:lang w:eastAsia="es-CO"/>
        </w:rPr>
        <w:t>En Colombia, el ejercicio de la profesión de abogado está regulado por el Decreto 196 de 1971, el cual establece que para poder ejercer la abogacía es necesario estar inscrito en el Registro Nacional de Abogados del Consejo Superior de la Judicatura. La inscripción es el requisito fundamental para ejercer como abogado, ya que garantiza que la persona cumple con los requisitos legales establecidos, como la formación académica y la aptitud para desempeñar las funciones del abogado.</w:t>
      </w:r>
    </w:p>
    <w:p w14:paraId="6F1C3513" w14:textId="77777777" w:rsidR="00A61125" w:rsidRPr="00596B01" w:rsidRDefault="00A61125" w:rsidP="00A61125">
      <w:pPr>
        <w:spacing w:after="0" w:line="240" w:lineRule="auto"/>
        <w:jc w:val="both"/>
        <w:textAlignment w:val="baseline"/>
        <w:rPr>
          <w:rFonts w:ascii="Verdana" w:eastAsia="Times New Roman" w:hAnsi="Verdana" w:cs="Segoe UI"/>
          <w:sz w:val="20"/>
          <w:szCs w:val="20"/>
          <w:lang w:eastAsia="es-CO"/>
        </w:rPr>
      </w:pPr>
    </w:p>
    <w:p w14:paraId="282D03A1" w14:textId="77777777" w:rsidR="00A61125" w:rsidRPr="00596B01" w:rsidRDefault="00A61125" w:rsidP="00A61125">
      <w:pPr>
        <w:spacing w:after="0" w:line="240" w:lineRule="auto"/>
        <w:jc w:val="both"/>
        <w:textAlignment w:val="baseline"/>
        <w:rPr>
          <w:rFonts w:ascii="Verdana" w:eastAsia="Times New Roman" w:hAnsi="Verdana" w:cs="Segoe UI"/>
          <w:sz w:val="20"/>
          <w:szCs w:val="20"/>
          <w:lang w:eastAsia="es-CO"/>
        </w:rPr>
      </w:pPr>
      <w:r w:rsidRPr="00596B01">
        <w:rPr>
          <w:rFonts w:ascii="Verdana" w:eastAsia="Times New Roman" w:hAnsi="Verdana" w:cs="Segoe UI"/>
          <w:sz w:val="20"/>
          <w:szCs w:val="20"/>
          <w:lang w:eastAsia="es-CO"/>
        </w:rPr>
        <w:t>Aunque la tarjeta profesional se expide una vez se cumple con la inscripción en el registro, no es estrictamente necesaria para realizar ciertas actividades relacionadas con el ejercicio de la abogacía, como la asesoría o la elaboración de documentos jurídicos. Sin embargo, la tarjeta sí es obligatoria para representar a personas en calidad de abogado ante autoridades judiciales. Además, desde la promulgación de la Ley 1905 de 2018, los abogados que se gradúen posteriormente a dicha norma deben aprobar un Examen de Estado para obtener su tarjeta profesional.</w:t>
      </w:r>
    </w:p>
    <w:p w14:paraId="61F0F65A" w14:textId="77777777" w:rsidR="00A61125" w:rsidRPr="00596B01" w:rsidRDefault="00A61125" w:rsidP="00A61125">
      <w:pPr>
        <w:spacing w:after="0" w:line="240" w:lineRule="auto"/>
        <w:jc w:val="both"/>
        <w:textAlignment w:val="baseline"/>
        <w:rPr>
          <w:rFonts w:ascii="Verdana" w:eastAsia="Calibri" w:hAnsi="Verdana" w:cs="Arial"/>
          <w:b/>
          <w:color w:val="000000"/>
          <w:lang w:eastAsia="es-CO"/>
        </w:rPr>
      </w:pPr>
    </w:p>
    <w:p w14:paraId="7427C3BE" w14:textId="77777777" w:rsidR="00A61125" w:rsidRPr="00596B01" w:rsidRDefault="00A61125" w:rsidP="00A61125">
      <w:pPr>
        <w:spacing w:after="0" w:line="240" w:lineRule="auto"/>
        <w:jc w:val="both"/>
        <w:rPr>
          <w:rFonts w:ascii="Verdana" w:eastAsia="Calibri" w:hAnsi="Verdana" w:cs="Arial"/>
          <w:b/>
          <w:color w:val="000000"/>
        </w:rPr>
      </w:pPr>
      <w:r w:rsidRPr="00596B01">
        <w:rPr>
          <w:rFonts w:ascii="Verdana" w:eastAsia="Calibri" w:hAnsi="Verdana" w:cs="Arial"/>
          <w:b/>
          <w:color w:val="000000"/>
        </w:rPr>
        <w:t xml:space="preserve">CONTRATO DE PRESTACIÓN DE SERVICIOS PROFESIONALES – Idoneidad </w:t>
      </w:r>
    </w:p>
    <w:p w14:paraId="348D4330" w14:textId="77777777" w:rsidR="00A61125" w:rsidRPr="00596B01" w:rsidRDefault="00A61125" w:rsidP="00A61125">
      <w:pPr>
        <w:spacing w:after="0" w:line="240" w:lineRule="auto"/>
        <w:jc w:val="both"/>
        <w:rPr>
          <w:rFonts w:ascii="Verdana" w:eastAsia="Calibri" w:hAnsi="Verdana" w:cs="Arial"/>
          <w:bCs/>
          <w:color w:val="000000"/>
        </w:rPr>
      </w:pPr>
    </w:p>
    <w:p w14:paraId="2A576952" w14:textId="77777777" w:rsidR="00A61125" w:rsidRPr="00596B01" w:rsidRDefault="00A61125" w:rsidP="00A61125">
      <w:pPr>
        <w:spacing w:after="0" w:line="240" w:lineRule="auto"/>
        <w:jc w:val="both"/>
        <w:rPr>
          <w:rFonts w:ascii="Verdana" w:eastAsia="Geomanist Light" w:hAnsi="Verdana" w:cs="Arial"/>
          <w:color w:val="000000"/>
          <w:sz w:val="20"/>
          <w:szCs w:val="20"/>
        </w:rPr>
      </w:pPr>
      <w:r w:rsidRPr="00596B01">
        <w:rPr>
          <w:rFonts w:ascii="Verdana" w:eastAsia="Geomanist Light" w:hAnsi="Verdana" w:cs="Arial"/>
          <w:color w:val="000000"/>
          <w:sz w:val="20"/>
          <w:szCs w:val="20"/>
        </w:rPr>
        <w:t>El contrato de prestación de servicios profesionales es uno de los tipos contractuales consagrados en el Estatuto General de Contratación de la Administración Pública, que pueden celebrar las entidades estatales.</w:t>
      </w:r>
    </w:p>
    <w:p w14:paraId="7670434E" w14:textId="77777777" w:rsidR="00A61125" w:rsidRPr="00596B01" w:rsidRDefault="00A61125" w:rsidP="00A61125">
      <w:pPr>
        <w:spacing w:after="0" w:line="240" w:lineRule="auto"/>
        <w:jc w:val="both"/>
        <w:rPr>
          <w:rFonts w:ascii="Verdana" w:eastAsia="Geomanist Light" w:hAnsi="Verdana" w:cs="Arial"/>
          <w:color w:val="000000"/>
          <w:sz w:val="20"/>
          <w:szCs w:val="20"/>
        </w:rPr>
      </w:pPr>
    </w:p>
    <w:p w14:paraId="200BA971" w14:textId="77777777" w:rsidR="00A61125" w:rsidRPr="00596B01" w:rsidRDefault="00A61125" w:rsidP="00A61125">
      <w:pPr>
        <w:spacing w:after="0" w:line="240" w:lineRule="auto"/>
        <w:jc w:val="both"/>
        <w:rPr>
          <w:rFonts w:ascii="Verdana" w:eastAsia="Geomanist Light" w:hAnsi="Verdana" w:cs="Arial"/>
          <w:color w:val="000000"/>
          <w:sz w:val="20"/>
          <w:szCs w:val="20"/>
        </w:rPr>
      </w:pPr>
      <w:r w:rsidRPr="00596B01">
        <w:rPr>
          <w:rFonts w:ascii="Verdana" w:eastAsia="Geomanist Light" w:hAnsi="Verdana" w:cs="Arial"/>
          <w:color w:val="000000"/>
          <w:sz w:val="20"/>
          <w:szCs w:val="20"/>
        </w:rPr>
        <w:t>[…]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iv)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37A9AE89" w14:textId="77777777" w:rsidR="00A61125" w:rsidRPr="00596B01" w:rsidRDefault="00A61125" w:rsidP="00A61125">
      <w:pPr>
        <w:spacing w:after="0" w:line="240" w:lineRule="auto"/>
        <w:jc w:val="both"/>
        <w:rPr>
          <w:rFonts w:ascii="Verdana" w:eastAsia="Geomanist Light" w:hAnsi="Verdana" w:cs="Arial"/>
          <w:color w:val="000000"/>
          <w:sz w:val="20"/>
          <w:szCs w:val="20"/>
        </w:rPr>
      </w:pPr>
    </w:p>
    <w:p w14:paraId="3FDE5027" w14:textId="7A700CD8" w:rsidR="00A61125" w:rsidRPr="00596B01" w:rsidRDefault="00A61125" w:rsidP="00A61125">
      <w:pPr>
        <w:spacing w:after="0" w:line="240" w:lineRule="auto"/>
        <w:jc w:val="both"/>
        <w:rPr>
          <w:rFonts w:ascii="Verdana" w:eastAsia="Geomanist Light" w:hAnsi="Verdana" w:cs="Arial"/>
          <w:color w:val="000000"/>
          <w:sz w:val="20"/>
          <w:szCs w:val="20"/>
        </w:rPr>
      </w:pPr>
      <w:r w:rsidRPr="00596B01">
        <w:rPr>
          <w:rFonts w:ascii="Verdana" w:eastAsia="Calibri" w:hAnsi="Verdana" w:cs="Arial"/>
          <w:b/>
          <w:color w:val="000000"/>
          <w:lang w:eastAsia="es-CO"/>
        </w:rPr>
        <w:t>TÍTULO DE IDONEIDAD – Régimen constitucional – Tarjeta profesional</w:t>
      </w:r>
    </w:p>
    <w:p w14:paraId="4EB5BF62" w14:textId="77777777" w:rsidR="00A61125" w:rsidRPr="00596B01" w:rsidRDefault="00A61125" w:rsidP="00A61125">
      <w:pPr>
        <w:spacing w:after="0" w:line="240" w:lineRule="auto"/>
        <w:jc w:val="both"/>
        <w:textAlignment w:val="baseline"/>
        <w:rPr>
          <w:rFonts w:ascii="Verdana" w:eastAsia="Calibri" w:hAnsi="Verdana" w:cs="Arial"/>
          <w:b/>
          <w:color w:val="000000"/>
          <w:lang w:eastAsia="es-CO"/>
        </w:rPr>
      </w:pPr>
    </w:p>
    <w:p w14:paraId="2D7BFCED" w14:textId="77777777" w:rsidR="00A61125" w:rsidRPr="00596B01" w:rsidRDefault="00A61125" w:rsidP="00A61125">
      <w:pPr>
        <w:spacing w:after="0" w:line="240" w:lineRule="auto"/>
        <w:jc w:val="both"/>
        <w:textAlignment w:val="baseline"/>
        <w:rPr>
          <w:rFonts w:ascii="Verdana" w:eastAsia="Calibri" w:hAnsi="Verdana" w:cs="Arial"/>
          <w:bCs/>
          <w:color w:val="000000"/>
          <w:sz w:val="20"/>
          <w:szCs w:val="20"/>
          <w:lang w:eastAsia="es-CO"/>
        </w:rPr>
      </w:pPr>
      <w:r w:rsidRPr="00596B01">
        <w:rPr>
          <w:rFonts w:ascii="Verdana" w:eastAsia="Calibri" w:hAnsi="Verdana" w:cs="Arial"/>
          <w:bCs/>
          <w:color w:val="000000"/>
          <w:sz w:val="20"/>
          <w:szCs w:val="20"/>
          <w:lang w:eastAsia="es-CO"/>
        </w:rPr>
        <w:t>En Colombia, el título de idoneidad es un reconocimiento otorgado a los profesionales que cumplen con los requisitos legales, académicos y éticos necesarios para ejercer una determinada profesión, garantizando que poseen las competencias requeridas para su ejercicio. De acuerdo con el régimen constitucional, este título asegura que los profesionales estén debidamente habilitados para desempeñar sus funciones, protegiendo los derechos de los ciudadanos. Un ejemplo clave de este título es la tarjeta profesional, la cual es exigida a ciertos profesionales, como los abogados, para acreditar su capacidad y permitirles ejercer legalmente su actividad, siendo otorgada por entidades competentes como el Consejo Superior de la Judicatura.</w:t>
      </w:r>
    </w:p>
    <w:p w14:paraId="08A2E046" w14:textId="77777777" w:rsidR="00A61125" w:rsidRPr="00596B01" w:rsidRDefault="00A61125" w:rsidP="00A61125">
      <w:pPr>
        <w:spacing w:after="0" w:line="240" w:lineRule="auto"/>
        <w:rPr>
          <w:rFonts w:ascii="Verdana" w:eastAsia="Geomanist Light" w:hAnsi="Verdana" w:cs="Arial"/>
          <w:b/>
          <w:bCs/>
          <w:color w:val="000000" w:themeColor="text1"/>
          <w:lang w:val="es-MX"/>
        </w:rPr>
      </w:pPr>
    </w:p>
    <w:p w14:paraId="3A2F47E1" w14:textId="77777777" w:rsidR="003003D4" w:rsidRPr="00596B01" w:rsidRDefault="003003D4" w:rsidP="30821638">
      <w:pPr>
        <w:spacing w:after="0"/>
        <w:rPr>
          <w:rFonts w:ascii="Verdana" w:eastAsia="Calibri" w:hAnsi="Verdana" w:cs="Arial"/>
          <w:b/>
          <w:bCs/>
          <w:color w:val="000000" w:themeColor="text1"/>
        </w:rPr>
      </w:pPr>
    </w:p>
    <w:p w14:paraId="18DED26F" w14:textId="77777777" w:rsidR="008F1567" w:rsidRPr="00596B01" w:rsidRDefault="008F1567" w:rsidP="30821638">
      <w:pPr>
        <w:spacing w:after="0"/>
        <w:rPr>
          <w:rFonts w:ascii="Verdana" w:eastAsia="Calibri" w:hAnsi="Verdana" w:cs="Arial"/>
          <w:b/>
          <w:bCs/>
          <w:color w:val="000000" w:themeColor="text1"/>
        </w:rPr>
      </w:pPr>
    </w:p>
    <w:p w14:paraId="0593AB78" w14:textId="77777777" w:rsidR="008F1567" w:rsidRPr="00596B01" w:rsidRDefault="008F1567" w:rsidP="30821638">
      <w:pPr>
        <w:spacing w:after="0"/>
        <w:rPr>
          <w:rFonts w:ascii="Verdana" w:eastAsia="Calibri" w:hAnsi="Verdana" w:cs="Arial"/>
          <w:b/>
          <w:bCs/>
          <w:color w:val="000000" w:themeColor="text1"/>
        </w:rPr>
      </w:pPr>
    </w:p>
    <w:p w14:paraId="7C06953D" w14:textId="77777777" w:rsidR="008F1567" w:rsidRPr="00596B01" w:rsidRDefault="008F1567" w:rsidP="30821638">
      <w:pPr>
        <w:spacing w:after="0"/>
        <w:rPr>
          <w:rFonts w:ascii="Verdana" w:eastAsia="Calibri" w:hAnsi="Verdana" w:cs="Arial"/>
          <w:b/>
          <w:bCs/>
          <w:color w:val="000000" w:themeColor="text1"/>
        </w:rPr>
      </w:pPr>
    </w:p>
    <w:p w14:paraId="2070D793" w14:textId="77777777" w:rsidR="008F1567" w:rsidRPr="00596B01" w:rsidRDefault="008F1567" w:rsidP="30821638">
      <w:pPr>
        <w:spacing w:after="0"/>
        <w:rPr>
          <w:rFonts w:ascii="Verdana" w:eastAsia="Calibri" w:hAnsi="Verdana" w:cs="Arial"/>
          <w:b/>
          <w:bCs/>
          <w:color w:val="000000" w:themeColor="text1"/>
        </w:rPr>
      </w:pPr>
    </w:p>
    <w:p w14:paraId="53705439" w14:textId="77777777" w:rsidR="008F1567" w:rsidRPr="00596B01" w:rsidRDefault="008F1567" w:rsidP="30821638">
      <w:pPr>
        <w:spacing w:after="0"/>
        <w:rPr>
          <w:rFonts w:ascii="Verdana" w:eastAsia="Calibri" w:hAnsi="Verdana" w:cs="Arial"/>
          <w:b/>
          <w:bCs/>
          <w:color w:val="000000" w:themeColor="text1"/>
        </w:rPr>
      </w:pPr>
    </w:p>
    <w:p w14:paraId="3BD575F4" w14:textId="77777777" w:rsidR="008F1567" w:rsidRPr="00596B01" w:rsidRDefault="008F1567" w:rsidP="30821638">
      <w:pPr>
        <w:spacing w:after="0"/>
        <w:rPr>
          <w:rFonts w:ascii="Verdana" w:eastAsia="Calibri" w:hAnsi="Verdana" w:cs="Arial"/>
          <w:b/>
          <w:bCs/>
          <w:color w:val="000000" w:themeColor="text1"/>
        </w:rPr>
      </w:pPr>
    </w:p>
    <w:p w14:paraId="2FC2B41B" w14:textId="77777777" w:rsidR="008F1567" w:rsidRPr="00596B01" w:rsidRDefault="008F1567" w:rsidP="30821638">
      <w:pPr>
        <w:spacing w:after="0"/>
        <w:rPr>
          <w:rFonts w:ascii="Verdana" w:eastAsia="Calibri" w:hAnsi="Verdana" w:cs="Arial"/>
          <w:b/>
          <w:bCs/>
          <w:color w:val="000000" w:themeColor="text1"/>
        </w:rPr>
      </w:pPr>
    </w:p>
    <w:p w14:paraId="7AFC2EA4" w14:textId="77777777" w:rsidR="008F1567" w:rsidRPr="00596B01" w:rsidRDefault="008F1567" w:rsidP="30821638">
      <w:pPr>
        <w:spacing w:after="0"/>
        <w:rPr>
          <w:rFonts w:ascii="Verdana" w:eastAsia="Calibri" w:hAnsi="Verdana" w:cs="Arial"/>
          <w:b/>
          <w:bCs/>
          <w:color w:val="000000" w:themeColor="text1"/>
        </w:rPr>
      </w:pPr>
    </w:p>
    <w:p w14:paraId="199106E3" w14:textId="77777777" w:rsidR="008F1567" w:rsidRPr="00596B01" w:rsidRDefault="008F1567" w:rsidP="30821638">
      <w:pPr>
        <w:spacing w:after="0"/>
        <w:rPr>
          <w:rFonts w:ascii="Verdana" w:eastAsia="Calibri" w:hAnsi="Verdana" w:cs="Arial"/>
          <w:b/>
          <w:bCs/>
          <w:color w:val="000000" w:themeColor="text1"/>
        </w:rPr>
      </w:pPr>
    </w:p>
    <w:p w14:paraId="0D310B97" w14:textId="77777777" w:rsidR="008F1567" w:rsidRPr="00596B01" w:rsidRDefault="008F1567" w:rsidP="30821638">
      <w:pPr>
        <w:spacing w:after="0"/>
        <w:rPr>
          <w:rFonts w:ascii="Verdana" w:eastAsia="Calibri" w:hAnsi="Verdana" w:cs="Arial"/>
          <w:b/>
          <w:bCs/>
          <w:color w:val="000000" w:themeColor="text1"/>
        </w:rPr>
      </w:pPr>
    </w:p>
    <w:p w14:paraId="7C9463B3" w14:textId="77777777" w:rsidR="008F1567" w:rsidRPr="00596B01" w:rsidRDefault="008F1567" w:rsidP="30821638">
      <w:pPr>
        <w:spacing w:after="0"/>
        <w:rPr>
          <w:rFonts w:ascii="Verdana" w:eastAsia="Calibri" w:hAnsi="Verdana" w:cs="Arial"/>
          <w:b/>
          <w:bCs/>
          <w:color w:val="000000" w:themeColor="text1"/>
        </w:rPr>
      </w:pPr>
    </w:p>
    <w:p w14:paraId="1D698052" w14:textId="77777777" w:rsidR="008F1567" w:rsidRPr="00596B01" w:rsidRDefault="008F1567" w:rsidP="30821638">
      <w:pPr>
        <w:spacing w:after="0"/>
        <w:rPr>
          <w:rFonts w:ascii="Verdana" w:eastAsia="Calibri" w:hAnsi="Verdana" w:cs="Arial"/>
          <w:b/>
          <w:bCs/>
          <w:color w:val="000000" w:themeColor="text1"/>
        </w:rPr>
      </w:pPr>
    </w:p>
    <w:p w14:paraId="24E601AD" w14:textId="77777777" w:rsidR="008F1567" w:rsidRPr="00596B01" w:rsidRDefault="008F1567" w:rsidP="30821638">
      <w:pPr>
        <w:spacing w:after="0"/>
        <w:rPr>
          <w:rFonts w:ascii="Verdana" w:eastAsia="Calibri" w:hAnsi="Verdana" w:cs="Arial"/>
          <w:b/>
          <w:bCs/>
          <w:color w:val="000000" w:themeColor="text1"/>
        </w:rPr>
      </w:pPr>
    </w:p>
    <w:p w14:paraId="3F932D02" w14:textId="77777777" w:rsidR="008F1567" w:rsidRPr="00596B01" w:rsidRDefault="008F1567" w:rsidP="30821638">
      <w:pPr>
        <w:spacing w:after="0"/>
        <w:rPr>
          <w:rFonts w:ascii="Verdana" w:eastAsia="Calibri" w:hAnsi="Verdana" w:cs="Arial"/>
          <w:b/>
          <w:bCs/>
          <w:color w:val="000000" w:themeColor="text1"/>
        </w:rPr>
      </w:pPr>
    </w:p>
    <w:p w14:paraId="0643C726" w14:textId="77777777" w:rsidR="008F1567" w:rsidRPr="00596B01" w:rsidRDefault="008F1567" w:rsidP="30821638">
      <w:pPr>
        <w:spacing w:after="0"/>
        <w:rPr>
          <w:rFonts w:ascii="Verdana" w:eastAsia="Calibri" w:hAnsi="Verdana" w:cs="Arial"/>
          <w:b/>
          <w:bCs/>
          <w:color w:val="000000" w:themeColor="text1"/>
        </w:rPr>
      </w:pPr>
    </w:p>
    <w:p w14:paraId="187C5C20" w14:textId="77777777" w:rsidR="008F1567" w:rsidRPr="00596B01" w:rsidRDefault="008F1567" w:rsidP="30821638">
      <w:pPr>
        <w:spacing w:after="0"/>
        <w:rPr>
          <w:rFonts w:ascii="Verdana" w:eastAsia="Calibri" w:hAnsi="Verdana" w:cs="Arial"/>
          <w:b/>
          <w:bCs/>
          <w:color w:val="000000" w:themeColor="text1"/>
        </w:rPr>
      </w:pPr>
    </w:p>
    <w:p w14:paraId="39D87375" w14:textId="77777777" w:rsidR="008F1567" w:rsidRPr="00596B01" w:rsidRDefault="008F1567" w:rsidP="30821638">
      <w:pPr>
        <w:spacing w:after="0"/>
        <w:rPr>
          <w:rFonts w:ascii="Verdana" w:eastAsia="Calibri" w:hAnsi="Verdana" w:cs="Arial"/>
          <w:b/>
          <w:bCs/>
          <w:color w:val="000000" w:themeColor="text1"/>
        </w:rPr>
      </w:pPr>
    </w:p>
    <w:p w14:paraId="7DB3D930" w14:textId="77777777" w:rsidR="008F1567" w:rsidRPr="00596B01" w:rsidRDefault="008F1567" w:rsidP="30821638">
      <w:pPr>
        <w:spacing w:after="0"/>
        <w:rPr>
          <w:rFonts w:ascii="Verdana" w:eastAsia="Calibri" w:hAnsi="Verdana" w:cs="Arial"/>
          <w:b/>
          <w:bCs/>
          <w:color w:val="000000" w:themeColor="text1"/>
        </w:rPr>
      </w:pPr>
    </w:p>
    <w:p w14:paraId="501D5F7B" w14:textId="77777777" w:rsidR="008F1567" w:rsidRPr="00596B01" w:rsidRDefault="008F1567" w:rsidP="30821638">
      <w:pPr>
        <w:spacing w:after="0"/>
        <w:rPr>
          <w:rFonts w:ascii="Verdana" w:eastAsia="Calibri" w:hAnsi="Verdana" w:cs="Arial"/>
          <w:b/>
          <w:bCs/>
          <w:color w:val="000000" w:themeColor="text1"/>
        </w:rPr>
      </w:pPr>
    </w:p>
    <w:p w14:paraId="12ED5382" w14:textId="77777777" w:rsidR="008F1567" w:rsidRPr="00596B01" w:rsidRDefault="008F1567" w:rsidP="30821638">
      <w:pPr>
        <w:spacing w:after="0"/>
        <w:rPr>
          <w:rFonts w:ascii="Verdana" w:eastAsia="Calibri" w:hAnsi="Verdana" w:cs="Arial"/>
          <w:b/>
          <w:bCs/>
          <w:color w:val="000000" w:themeColor="text1"/>
        </w:rPr>
      </w:pPr>
    </w:p>
    <w:p w14:paraId="3D3B2133" w14:textId="77777777" w:rsidR="008F1567" w:rsidRPr="00596B01" w:rsidRDefault="008F1567" w:rsidP="30821638">
      <w:pPr>
        <w:spacing w:after="0"/>
        <w:rPr>
          <w:rFonts w:ascii="Verdana" w:eastAsia="Calibri" w:hAnsi="Verdana" w:cs="Arial"/>
          <w:b/>
          <w:bCs/>
          <w:color w:val="000000" w:themeColor="text1"/>
        </w:rPr>
      </w:pPr>
    </w:p>
    <w:p w14:paraId="55D6D926" w14:textId="77777777" w:rsidR="008F1567" w:rsidRPr="00596B01" w:rsidRDefault="008F1567" w:rsidP="30821638">
      <w:pPr>
        <w:spacing w:after="0"/>
        <w:rPr>
          <w:rFonts w:ascii="Verdana" w:eastAsia="Calibri" w:hAnsi="Verdana" w:cs="Arial"/>
          <w:b/>
          <w:bCs/>
          <w:color w:val="000000" w:themeColor="text1"/>
        </w:rPr>
      </w:pPr>
    </w:p>
    <w:p w14:paraId="1BF670CA" w14:textId="77777777" w:rsidR="008F1567" w:rsidRDefault="008F1567" w:rsidP="30821638">
      <w:pPr>
        <w:spacing w:after="0"/>
        <w:rPr>
          <w:rFonts w:ascii="Verdana" w:eastAsia="Verdana" w:hAnsi="Verdana" w:cs="Verdana"/>
        </w:rPr>
      </w:pPr>
    </w:p>
    <w:p w14:paraId="2A639C06" w14:textId="77777777" w:rsidR="00ED5F01" w:rsidRPr="00596B01" w:rsidRDefault="00ED5F01" w:rsidP="30821638">
      <w:pPr>
        <w:spacing w:after="0"/>
        <w:rPr>
          <w:rFonts w:ascii="Verdana" w:eastAsia="Verdana" w:hAnsi="Verdana" w:cs="Verdana"/>
        </w:rPr>
      </w:pPr>
    </w:p>
    <w:p w14:paraId="7476876D" w14:textId="77777777" w:rsidR="003003D4" w:rsidRPr="00596B01" w:rsidRDefault="003003D4" w:rsidP="30821638">
      <w:pPr>
        <w:spacing w:after="0"/>
        <w:rPr>
          <w:rFonts w:ascii="Verdana" w:eastAsia="Verdana" w:hAnsi="Verdana" w:cs="Verdana"/>
        </w:rPr>
      </w:pPr>
    </w:p>
    <w:p w14:paraId="1B776C1A" w14:textId="77777777" w:rsidR="00280806" w:rsidRPr="00596B01" w:rsidRDefault="00280806" w:rsidP="30821638">
      <w:pPr>
        <w:spacing w:after="0"/>
        <w:rPr>
          <w:rFonts w:ascii="Verdana" w:eastAsia="Verdana" w:hAnsi="Verdana" w:cs="Verdana"/>
        </w:rPr>
      </w:pPr>
    </w:p>
    <w:p w14:paraId="1468C46D" w14:textId="408E77A4" w:rsidR="00C15139" w:rsidRDefault="00C15139" w:rsidP="30821638">
      <w:pPr>
        <w:spacing w:after="0"/>
        <w:rPr>
          <w:rFonts w:ascii="Verdana" w:hAnsi="Verdana"/>
        </w:rPr>
      </w:pPr>
      <w:r w:rsidRPr="00596B01">
        <w:rPr>
          <w:rFonts w:ascii="Verdana" w:eastAsia="Verdana" w:hAnsi="Verdana" w:cs="Verdana"/>
        </w:rPr>
        <w:lastRenderedPageBreak/>
        <w:t xml:space="preserve">Bogotá D.C., </w:t>
      </w:r>
      <w:r w:rsidR="00D7707A">
        <w:rPr>
          <w:rFonts w:ascii="Verdana" w:eastAsia="Verdana" w:hAnsi="Verdana" w:cs="Verdana"/>
        </w:rPr>
        <w:t>14 de julio del 2026</w:t>
      </w:r>
      <w:r w:rsidRPr="00596B01">
        <w:rPr>
          <w:rFonts w:ascii="Verdana" w:hAnsi="Verdana"/>
        </w:rPr>
        <w:tab/>
      </w:r>
    </w:p>
    <w:p w14:paraId="7B859CC9" w14:textId="0AFF940D" w:rsidR="00ED5F01" w:rsidRPr="00596B01" w:rsidRDefault="00ED5F01" w:rsidP="00ED5F01">
      <w:pPr>
        <w:spacing w:after="0"/>
        <w:jc w:val="right"/>
        <w:rPr>
          <w:rFonts w:ascii="Verdana" w:eastAsia="Verdana" w:hAnsi="Verdana" w:cs="Verdana"/>
        </w:rPr>
      </w:pPr>
      <w:r w:rsidRPr="00ED5F01">
        <w:rPr>
          <w:rFonts w:ascii="Verdana" w:eastAsia="Verdana" w:hAnsi="Verdana" w:cs="Verdana"/>
        </w:rPr>
        <w:drawing>
          <wp:inline distT="0" distB="0" distL="0" distR="0" wp14:anchorId="09DF713F" wp14:editId="5C082C0B">
            <wp:extent cx="2505425" cy="714475"/>
            <wp:effectExtent l="0" t="0" r="0" b="9525"/>
            <wp:docPr id="8406514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51400" name=""/>
                    <pic:cNvPicPr/>
                  </pic:nvPicPr>
                  <pic:blipFill>
                    <a:blip r:embed="rId11"/>
                    <a:stretch>
                      <a:fillRect/>
                    </a:stretch>
                  </pic:blipFill>
                  <pic:spPr>
                    <a:xfrm>
                      <a:off x="0" y="0"/>
                      <a:ext cx="2505425" cy="714475"/>
                    </a:xfrm>
                    <a:prstGeom prst="rect">
                      <a:avLst/>
                    </a:prstGeom>
                  </pic:spPr>
                </pic:pic>
              </a:graphicData>
            </a:graphic>
          </wp:inline>
        </w:drawing>
      </w:r>
    </w:p>
    <w:p w14:paraId="6803AC52" w14:textId="77777777" w:rsidR="002F6804" w:rsidRPr="00596B01" w:rsidRDefault="002F6804" w:rsidP="002F6804">
      <w:pPr>
        <w:spacing w:after="0"/>
        <w:rPr>
          <w:rFonts w:ascii="Verdana" w:hAnsi="Verdana"/>
        </w:rPr>
      </w:pPr>
      <w:r w:rsidRPr="00596B01">
        <w:rPr>
          <w:rFonts w:ascii="Verdana" w:eastAsia="Calibri" w:hAnsi="Verdana" w:cs="Arial"/>
          <w:color w:val="000000" w:themeColor="text1"/>
          <w:lang w:eastAsia="es-ES"/>
        </w:rPr>
        <w:t>Señora:</w:t>
      </w:r>
    </w:p>
    <w:p w14:paraId="6FF6A791" w14:textId="277A290C" w:rsidR="002F6804" w:rsidRPr="00596B01" w:rsidRDefault="001F1A6C" w:rsidP="002F6804">
      <w:pPr>
        <w:spacing w:after="0" w:line="240" w:lineRule="auto"/>
        <w:jc w:val="both"/>
        <w:rPr>
          <w:rFonts w:ascii="Verdana" w:eastAsia="Calibri" w:hAnsi="Verdana" w:cs="Arial"/>
          <w:b/>
          <w:bCs/>
          <w:color w:val="000000" w:themeColor="text1"/>
          <w:lang w:eastAsia="es-ES"/>
        </w:rPr>
      </w:pPr>
      <w:r w:rsidRPr="00596B01">
        <w:rPr>
          <w:rFonts w:ascii="Verdana" w:eastAsia="Calibri" w:hAnsi="Verdana" w:cs="Arial"/>
          <w:b/>
          <w:bCs/>
          <w:color w:val="000000" w:themeColor="text1"/>
          <w:lang w:eastAsia="es-ES"/>
        </w:rPr>
        <w:t xml:space="preserve">Ana María Serna Sora </w:t>
      </w:r>
    </w:p>
    <w:p w14:paraId="1442CC3F" w14:textId="6A7B02BA" w:rsidR="00E00750" w:rsidRPr="00596B01" w:rsidRDefault="00E00750" w:rsidP="002F6804">
      <w:pPr>
        <w:spacing w:after="0" w:line="240" w:lineRule="auto"/>
        <w:rPr>
          <w:rFonts w:ascii="Verdana" w:hAnsi="Verdana"/>
        </w:rPr>
      </w:pPr>
      <w:hyperlink r:id="rId12" w:history="1">
        <w:r w:rsidRPr="00596B01">
          <w:rPr>
            <w:rStyle w:val="Hipervnculo"/>
            <w:rFonts w:ascii="Verdana" w:hAnsi="Verdana"/>
          </w:rPr>
          <w:t>sernaanamaria55@gmail.com</w:t>
        </w:r>
      </w:hyperlink>
    </w:p>
    <w:p w14:paraId="399897B2" w14:textId="41E1F362" w:rsidR="002F6804" w:rsidRPr="00596B01" w:rsidRDefault="001F1A6C" w:rsidP="002F6804">
      <w:pPr>
        <w:spacing w:after="0" w:line="240" w:lineRule="auto"/>
        <w:rPr>
          <w:rFonts w:ascii="Verdana" w:eastAsia="Calibri" w:hAnsi="Verdana" w:cs="Arial"/>
          <w:b/>
          <w:bCs/>
          <w:color w:val="000000" w:themeColor="text1"/>
          <w:lang w:val="es-ES_tradnl" w:eastAsia="es-ES"/>
        </w:rPr>
      </w:pPr>
      <w:r w:rsidRPr="00596B01">
        <w:rPr>
          <w:rFonts w:ascii="Verdana" w:eastAsia="Calibri" w:hAnsi="Verdana" w:cs="Arial"/>
          <w:color w:val="000000" w:themeColor="text1"/>
          <w:lang w:val="es-ES_tradnl" w:eastAsia="es-ES"/>
        </w:rPr>
        <w:t xml:space="preserve">Medellín, Antioquia </w:t>
      </w:r>
    </w:p>
    <w:p w14:paraId="2E00573D" w14:textId="77777777" w:rsidR="002F6804" w:rsidRPr="00596B01" w:rsidRDefault="002F6804" w:rsidP="002F6804">
      <w:pPr>
        <w:spacing w:after="0" w:line="240" w:lineRule="auto"/>
        <w:rPr>
          <w:rFonts w:ascii="Verdana" w:eastAsia="Calibri" w:hAnsi="Verdana" w:cs="Arial"/>
          <w:b/>
          <w:bCs/>
          <w:color w:val="000000" w:themeColor="text1"/>
          <w:highlight w:val="cyan"/>
          <w:lang w:val="es-ES_tradnl" w:eastAsia="es-ES_tradnl"/>
        </w:rPr>
      </w:pPr>
    </w:p>
    <w:p w14:paraId="5E1F9540" w14:textId="0E1D63E0" w:rsidR="002F6804" w:rsidRPr="00596B01" w:rsidRDefault="002F6804" w:rsidP="002F6804">
      <w:pPr>
        <w:spacing w:after="0" w:line="240" w:lineRule="auto"/>
        <w:rPr>
          <w:rFonts w:ascii="Verdana" w:eastAsia="Calibri" w:hAnsi="Verdana" w:cs="Arial"/>
          <w:b/>
          <w:bCs/>
          <w:color w:val="000000" w:themeColor="text1"/>
          <w:lang w:val="es-ES_tradnl" w:eastAsia="es-ES_tradnl"/>
        </w:rPr>
      </w:pPr>
      <w:r w:rsidRPr="00596B01">
        <w:rPr>
          <w:rFonts w:ascii="Verdana" w:eastAsia="Calibri" w:hAnsi="Verdana" w:cs="Arial"/>
          <w:b/>
          <w:bCs/>
          <w:color w:val="000000" w:themeColor="text1"/>
          <w:lang w:val="es-ES_tradnl" w:eastAsia="es-ES_tradnl"/>
        </w:rPr>
        <w:t xml:space="preserve">                                   Concepto </w:t>
      </w:r>
      <w:r w:rsidR="000C1A2A" w:rsidRPr="00596B01">
        <w:rPr>
          <w:rFonts w:ascii="Verdana" w:eastAsia="Calibri" w:hAnsi="Verdana" w:cs="Arial"/>
          <w:b/>
          <w:bCs/>
          <w:color w:val="000000" w:themeColor="text1"/>
          <w:lang w:val="es-ES_tradnl" w:eastAsia="es-ES_tradnl"/>
        </w:rPr>
        <w:t>C-927</w:t>
      </w:r>
      <w:r w:rsidRPr="00596B01">
        <w:rPr>
          <w:rFonts w:ascii="Verdana" w:eastAsia="Calibri" w:hAnsi="Verdana" w:cs="Arial"/>
          <w:b/>
          <w:bCs/>
          <w:color w:val="000000" w:themeColor="text1"/>
          <w:lang w:val="es-ES_tradnl" w:eastAsia="es-ES_tradnl"/>
        </w:rPr>
        <w:t xml:space="preserve"> del 2026</w:t>
      </w:r>
    </w:p>
    <w:p w14:paraId="7CADAD22" w14:textId="77777777" w:rsidR="002F6804" w:rsidRPr="00596B01" w:rsidRDefault="002F6804" w:rsidP="002F6804">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F6804" w:rsidRPr="00596B01" w14:paraId="7D45F292" w14:textId="77777777" w:rsidTr="002A4C9C">
        <w:trPr>
          <w:trHeight w:val="884"/>
        </w:trPr>
        <w:tc>
          <w:tcPr>
            <w:tcW w:w="2689" w:type="dxa"/>
          </w:tcPr>
          <w:p w14:paraId="2DD7FF58" w14:textId="77777777" w:rsidR="002F6804" w:rsidRPr="00596B01" w:rsidRDefault="002F6804" w:rsidP="002A4C9C">
            <w:pPr>
              <w:jc w:val="both"/>
              <w:rPr>
                <w:rFonts w:ascii="Verdana" w:eastAsia="Calibri" w:hAnsi="Verdana" w:cs="Arial"/>
                <w:color w:val="000000" w:themeColor="text1"/>
                <w:highlight w:val="cyan"/>
                <w:lang w:val="es-ES_tradnl" w:eastAsia="es-ES_tradnl"/>
              </w:rPr>
            </w:pPr>
            <w:r w:rsidRPr="00596B01">
              <w:rPr>
                <w:rFonts w:ascii="Verdana" w:eastAsia="Calibri" w:hAnsi="Verdana" w:cs="Arial"/>
                <w:b/>
                <w:color w:val="000000" w:themeColor="text1"/>
                <w:lang w:val="es-ES_tradnl" w:eastAsia="es-ES_tradnl"/>
              </w:rPr>
              <w:t>Temas:</w:t>
            </w:r>
            <w:r w:rsidRPr="00596B01">
              <w:rPr>
                <w:rFonts w:ascii="Verdana" w:eastAsia="Calibri" w:hAnsi="Verdana" w:cs="Arial"/>
                <w:color w:val="000000" w:themeColor="text1"/>
                <w:lang w:val="es-ES_tradnl" w:eastAsia="es-ES_tradnl"/>
              </w:rPr>
              <w:t xml:space="preserve">                   </w:t>
            </w:r>
          </w:p>
        </w:tc>
        <w:tc>
          <w:tcPr>
            <w:tcW w:w="6100" w:type="dxa"/>
          </w:tcPr>
          <w:p w14:paraId="4AC604A8" w14:textId="265243BC" w:rsidR="00026512" w:rsidRPr="00596B01" w:rsidRDefault="008F1567" w:rsidP="00026512">
            <w:pPr>
              <w:spacing w:line="276" w:lineRule="auto"/>
              <w:jc w:val="both"/>
              <w:rPr>
                <w:rFonts w:ascii="Verdana" w:eastAsia="Times New Roman" w:hAnsi="Verdana" w:cs="Arial"/>
                <w:lang w:eastAsia="es-ES_tradnl"/>
              </w:rPr>
            </w:pPr>
            <w:r w:rsidRPr="00596B01">
              <w:rPr>
                <w:rFonts w:ascii="Verdana" w:hAnsi="Verdana" w:cs="Arial"/>
                <w:bCs/>
                <w:color w:val="000000" w:themeColor="text1"/>
              </w:rPr>
              <w:t>EJERCICIO PROFESIÓN DE ABOGADO /</w:t>
            </w:r>
            <w:r w:rsidRPr="00596B01">
              <w:rPr>
                <w:rFonts w:ascii="Verdana" w:eastAsia="Calibri" w:hAnsi="Verdana" w:cs="Arial"/>
                <w:color w:val="000000" w:themeColor="text1"/>
              </w:rPr>
              <w:t xml:space="preserve"> CONTRATO DE PRESTACIÓN DE SERVICIOS PROFESIONALES – Idoneidad / TÍTULO DE IDONEIDAD – Régimen constitucional – Tarjeta profesional</w:t>
            </w:r>
          </w:p>
          <w:p w14:paraId="0348071F" w14:textId="77777777" w:rsidR="002F6804" w:rsidRPr="00596B01" w:rsidRDefault="002F6804" w:rsidP="002A4C9C">
            <w:pPr>
              <w:spacing w:line="276" w:lineRule="auto"/>
              <w:jc w:val="both"/>
              <w:rPr>
                <w:rFonts w:ascii="Verdana" w:hAnsi="Verdana" w:cs="Arial"/>
                <w:highlight w:val="cyan"/>
                <w:lang w:val="es-ES" w:eastAsia="es-ES_tradnl"/>
              </w:rPr>
            </w:pPr>
          </w:p>
        </w:tc>
      </w:tr>
      <w:tr w:rsidR="002F6804" w:rsidRPr="00596B01" w14:paraId="03B8B6B0" w14:textId="77777777" w:rsidTr="002A4C9C">
        <w:tc>
          <w:tcPr>
            <w:tcW w:w="2689" w:type="dxa"/>
          </w:tcPr>
          <w:p w14:paraId="7F77C1B9" w14:textId="77777777" w:rsidR="002F6804" w:rsidRPr="00596B01" w:rsidRDefault="002F6804" w:rsidP="002A4C9C">
            <w:pPr>
              <w:jc w:val="both"/>
              <w:rPr>
                <w:rFonts w:ascii="Verdana" w:eastAsia="Calibri" w:hAnsi="Verdana" w:cs="Arial"/>
                <w:b/>
                <w:color w:val="000000" w:themeColor="text1"/>
                <w:lang w:val="es-ES_tradnl" w:eastAsia="es-ES_tradnl"/>
              </w:rPr>
            </w:pPr>
            <w:r w:rsidRPr="00596B01">
              <w:rPr>
                <w:rFonts w:ascii="Verdana" w:eastAsia="Calibri" w:hAnsi="Verdana" w:cs="Arial"/>
                <w:b/>
                <w:color w:val="000000" w:themeColor="text1"/>
                <w:lang w:val="es-ES_tradnl" w:eastAsia="es-ES_tradnl"/>
              </w:rPr>
              <w:t>Radicación:</w:t>
            </w:r>
            <w:r w:rsidRPr="00596B01">
              <w:rPr>
                <w:rFonts w:ascii="Verdana" w:eastAsia="Calibri" w:hAnsi="Verdana" w:cs="Arial"/>
                <w:color w:val="000000" w:themeColor="text1"/>
                <w:lang w:val="es-ES_tradnl" w:eastAsia="es-ES_tradnl"/>
              </w:rPr>
              <w:t xml:space="preserve">               </w:t>
            </w:r>
          </w:p>
        </w:tc>
        <w:tc>
          <w:tcPr>
            <w:tcW w:w="6100" w:type="dxa"/>
          </w:tcPr>
          <w:p w14:paraId="304FE2B3" w14:textId="05012578" w:rsidR="002F6804" w:rsidRPr="00596B01" w:rsidRDefault="002F6804" w:rsidP="002A4C9C">
            <w:pPr>
              <w:jc w:val="both"/>
              <w:rPr>
                <w:rFonts w:ascii="Verdana" w:eastAsia="Calibri" w:hAnsi="Verdana" w:cs="Arial"/>
                <w:color w:val="000000" w:themeColor="text1"/>
                <w:lang w:eastAsia="es-ES_tradnl"/>
              </w:rPr>
            </w:pPr>
            <w:r w:rsidRPr="00596B01">
              <w:rPr>
                <w:rFonts w:ascii="Verdana" w:eastAsia="Calibri" w:hAnsi="Verdana" w:cs="Arial"/>
                <w:color w:val="000000" w:themeColor="text1"/>
                <w:lang w:val="es-ES_tradnl" w:eastAsia="es-ES_tradnl"/>
              </w:rPr>
              <w:t>Respuesta a consulta con radicado No.</w:t>
            </w:r>
            <w:r w:rsidRPr="00596B01">
              <w:rPr>
                <w:rFonts w:ascii="Verdana" w:hAnsi="Verdana"/>
              </w:rPr>
              <w:t xml:space="preserve"> </w:t>
            </w:r>
            <w:r w:rsidR="000C1A2A" w:rsidRPr="00596B01">
              <w:rPr>
                <w:rFonts w:ascii="Verdana" w:eastAsia="Calibri" w:hAnsi="Verdana" w:cs="Arial"/>
                <w:color w:val="000000" w:themeColor="text1"/>
                <w:lang w:eastAsia="es-ES_tradnl"/>
              </w:rPr>
              <w:t>1_2026_06_03_007596</w:t>
            </w:r>
            <w:r w:rsidR="00B64BCD" w:rsidRPr="00596B01">
              <w:rPr>
                <w:rFonts w:ascii="Verdana" w:eastAsia="Calibri" w:hAnsi="Verdana" w:cs="Arial"/>
                <w:color w:val="000000" w:themeColor="text1"/>
                <w:lang w:eastAsia="es-ES_tradnl"/>
              </w:rPr>
              <w:t xml:space="preserve"> reiterada con la Nro. 1_2026_06_12_008016</w:t>
            </w:r>
          </w:p>
        </w:tc>
      </w:tr>
    </w:tbl>
    <w:p w14:paraId="60452041" w14:textId="77777777" w:rsidR="002F6804" w:rsidRPr="00596B01" w:rsidRDefault="002F6804" w:rsidP="002F6804">
      <w:pPr>
        <w:spacing w:after="0" w:line="276" w:lineRule="auto"/>
        <w:jc w:val="both"/>
        <w:rPr>
          <w:rFonts w:ascii="Verdana" w:eastAsia="Calibri" w:hAnsi="Verdana" w:cs="Arial"/>
          <w:color w:val="000000" w:themeColor="text1"/>
          <w:highlight w:val="cyan"/>
          <w:lang w:val="es-ES" w:eastAsia="es-ES"/>
        </w:rPr>
      </w:pPr>
    </w:p>
    <w:p w14:paraId="56F33ECB" w14:textId="6F8703B9" w:rsidR="002F6804" w:rsidRPr="00596B01" w:rsidRDefault="002F6804" w:rsidP="002F6804">
      <w:pPr>
        <w:spacing w:after="0" w:line="276" w:lineRule="auto"/>
        <w:jc w:val="both"/>
        <w:rPr>
          <w:rFonts w:ascii="Verdana" w:eastAsia="Calibri" w:hAnsi="Verdana" w:cs="Arial"/>
          <w:color w:val="000000" w:themeColor="text1"/>
          <w:highlight w:val="cyan"/>
          <w:lang w:val="es-ES" w:eastAsia="es-ES"/>
        </w:rPr>
      </w:pPr>
      <w:r w:rsidRPr="00596B01">
        <w:rPr>
          <w:rFonts w:ascii="Verdana" w:eastAsia="Calibri" w:hAnsi="Verdana" w:cs="Arial"/>
          <w:color w:val="000000" w:themeColor="text1"/>
          <w:lang w:val="es-ES" w:eastAsia="es-ES"/>
        </w:rPr>
        <w:t xml:space="preserve">Estimada Señora </w:t>
      </w:r>
      <w:r w:rsidR="004C1C14" w:rsidRPr="00596B01">
        <w:rPr>
          <w:rFonts w:ascii="Verdana" w:eastAsia="Calibri" w:hAnsi="Verdana" w:cs="Arial"/>
          <w:color w:val="000000" w:themeColor="text1"/>
          <w:lang w:val="es-ES" w:eastAsia="es-ES"/>
        </w:rPr>
        <w:t>Serna Sora</w:t>
      </w:r>
      <w:r w:rsidRPr="00596B01">
        <w:rPr>
          <w:rFonts w:ascii="Verdana" w:eastAsia="Calibri" w:hAnsi="Verdana" w:cs="Arial"/>
          <w:color w:val="000000" w:themeColor="text1"/>
          <w:lang w:val="es-ES" w:eastAsia="es-ES"/>
        </w:rPr>
        <w:t xml:space="preserve">: </w:t>
      </w:r>
    </w:p>
    <w:p w14:paraId="4CBCE223" w14:textId="77777777" w:rsidR="002F6804" w:rsidRPr="00596B01" w:rsidRDefault="002F6804" w:rsidP="002F6804">
      <w:pPr>
        <w:spacing w:after="0"/>
        <w:rPr>
          <w:rFonts w:ascii="Verdana" w:eastAsia="Times New Roman" w:hAnsi="Verdana" w:cs="Segoe UI"/>
          <w:highlight w:val="cyan"/>
          <w:lang w:eastAsia="es-CO"/>
        </w:rPr>
      </w:pPr>
    </w:p>
    <w:p w14:paraId="053C443E" w14:textId="4D7D5D83" w:rsidR="002F6804" w:rsidRPr="00596B01" w:rsidRDefault="002F6804" w:rsidP="002F6804">
      <w:pPr>
        <w:spacing w:after="0" w:line="276" w:lineRule="auto"/>
        <w:jc w:val="both"/>
        <w:rPr>
          <w:rFonts w:ascii="Verdana" w:eastAsia="Calibri" w:hAnsi="Verdana" w:cs="Arial"/>
          <w:lang w:val="es-ES" w:eastAsia="es-ES"/>
        </w:rPr>
      </w:pPr>
      <w:r w:rsidRPr="00596B01">
        <w:rPr>
          <w:rFonts w:ascii="Verdana" w:eastAsia="Calibri" w:hAnsi="Verdana" w:cs="Arial"/>
          <w:lang w:val="es-ES" w:eastAsia="es-ES"/>
        </w:rPr>
        <w:t>En ejercicio de la competencia otorgada por los artículos 3, numeral 5º, y 11, numeral 8º, del Decreto Ley 4170 de 2011,</w:t>
      </w:r>
      <w:r w:rsidRPr="00596B01">
        <w:rPr>
          <w:rFonts w:ascii="Verdana" w:eastAsia="Arial MT" w:hAnsi="Verdana" w:cs="Arial"/>
          <w:lang w:val="es-ES" w:eastAsia="es-ES"/>
        </w:rPr>
        <w:t xml:space="preserve"> </w:t>
      </w:r>
      <w:r w:rsidRPr="00596B01">
        <w:rPr>
          <w:rFonts w:ascii="Verdana" w:hAnsi="Verdana" w:cs="Arial"/>
        </w:rPr>
        <w:t xml:space="preserve">así como lo establecido en el artículo 4 de la Resolución 1707 de 2018 expedida por esta Entidad, </w:t>
      </w:r>
      <w:r w:rsidRPr="00596B01">
        <w:rPr>
          <w:rFonts w:ascii="Verdana" w:eastAsia="Calibri" w:hAnsi="Verdana" w:cs="Arial"/>
          <w:lang w:val="es-ES" w:eastAsia="es-ES"/>
        </w:rPr>
        <w:t>la Agencia Nacional de Contratación Pública – Colombia Compra Eficiente– responde su</w:t>
      </w:r>
      <w:r w:rsidR="006512BC" w:rsidRPr="00596B01">
        <w:rPr>
          <w:rFonts w:ascii="Verdana" w:eastAsia="Calibri" w:hAnsi="Verdana" w:cs="Arial"/>
          <w:lang w:val="es-ES" w:eastAsia="es-ES"/>
        </w:rPr>
        <w:t>s</w:t>
      </w:r>
      <w:r w:rsidRPr="00596B01">
        <w:rPr>
          <w:rFonts w:ascii="Verdana" w:eastAsia="Calibri" w:hAnsi="Verdana" w:cs="Arial"/>
          <w:lang w:val="es-ES" w:eastAsia="es-ES"/>
        </w:rPr>
        <w:t xml:space="preserve"> solicitud</w:t>
      </w:r>
      <w:r w:rsidR="006512BC" w:rsidRPr="00596B01">
        <w:rPr>
          <w:rFonts w:ascii="Verdana" w:eastAsia="Calibri" w:hAnsi="Verdana" w:cs="Arial"/>
          <w:lang w:val="es-ES" w:eastAsia="es-ES"/>
        </w:rPr>
        <w:t>es</w:t>
      </w:r>
      <w:r w:rsidRPr="00596B01">
        <w:rPr>
          <w:rFonts w:ascii="Verdana" w:eastAsia="Calibri" w:hAnsi="Verdana" w:cs="Arial"/>
          <w:lang w:val="es-ES" w:eastAsia="es-ES"/>
        </w:rPr>
        <w:t xml:space="preserve"> del </w:t>
      </w:r>
      <w:r w:rsidR="001F19AA" w:rsidRPr="00596B01">
        <w:rPr>
          <w:rFonts w:ascii="Verdana" w:eastAsia="Calibri" w:hAnsi="Verdana" w:cs="Arial"/>
          <w:lang w:val="es-ES" w:eastAsia="es-ES"/>
        </w:rPr>
        <w:t>03 de junio del 2026</w:t>
      </w:r>
      <w:r w:rsidRPr="00596B01">
        <w:rPr>
          <w:rFonts w:ascii="Verdana" w:eastAsia="Calibri" w:hAnsi="Verdana" w:cs="Arial"/>
          <w:lang w:val="es-ES" w:eastAsia="es-ES"/>
        </w:rPr>
        <w:t>,</w:t>
      </w:r>
      <w:r w:rsidR="006512BC" w:rsidRPr="00596B01">
        <w:rPr>
          <w:rFonts w:ascii="Verdana" w:eastAsia="Calibri" w:hAnsi="Verdana" w:cs="Arial"/>
          <w:lang w:val="es-ES" w:eastAsia="es-ES"/>
        </w:rPr>
        <w:t xml:space="preserve"> una de ellas traslada</w:t>
      </w:r>
      <w:r w:rsidR="00ED72E3" w:rsidRPr="00596B01">
        <w:rPr>
          <w:rFonts w:ascii="Verdana" w:eastAsia="Calibri" w:hAnsi="Verdana" w:cs="Arial"/>
          <w:lang w:val="es-ES" w:eastAsia="es-ES"/>
        </w:rPr>
        <w:t>da</w:t>
      </w:r>
      <w:r w:rsidR="006512BC" w:rsidRPr="00596B01">
        <w:rPr>
          <w:rFonts w:ascii="Verdana" w:eastAsia="Calibri" w:hAnsi="Verdana" w:cs="Arial"/>
          <w:lang w:val="es-ES" w:eastAsia="es-ES"/>
        </w:rPr>
        <w:t xml:space="preserve"> el </w:t>
      </w:r>
      <w:r w:rsidR="00EC1324" w:rsidRPr="00596B01">
        <w:rPr>
          <w:rFonts w:ascii="Verdana" w:eastAsia="Calibri" w:hAnsi="Verdana" w:cs="Arial"/>
          <w:lang w:val="es-ES" w:eastAsia="es-ES"/>
        </w:rPr>
        <w:t xml:space="preserve">12 de junio del 2026, por el Departamento Administrativo de la Función Pública, </w:t>
      </w:r>
      <w:r w:rsidRPr="00596B01">
        <w:rPr>
          <w:rFonts w:ascii="Verdana" w:eastAsia="Calibri" w:hAnsi="Verdana" w:cs="Arial"/>
          <w:lang w:val="es-ES" w:eastAsia="es-ES"/>
        </w:rPr>
        <w:t>en la</w:t>
      </w:r>
      <w:r w:rsidR="00EC1324" w:rsidRPr="00596B01">
        <w:rPr>
          <w:rFonts w:ascii="Verdana" w:eastAsia="Calibri" w:hAnsi="Verdana" w:cs="Arial"/>
          <w:lang w:val="es-ES" w:eastAsia="es-ES"/>
        </w:rPr>
        <w:t>s</w:t>
      </w:r>
      <w:r w:rsidRPr="00596B01">
        <w:rPr>
          <w:rFonts w:ascii="Verdana" w:eastAsia="Calibri" w:hAnsi="Verdana" w:cs="Arial"/>
          <w:lang w:val="es-ES" w:eastAsia="es-ES"/>
        </w:rPr>
        <w:t xml:space="preserve"> cual</w:t>
      </w:r>
      <w:r w:rsidR="00EC1324" w:rsidRPr="00596B01">
        <w:rPr>
          <w:rFonts w:ascii="Verdana" w:eastAsia="Calibri" w:hAnsi="Verdana" w:cs="Arial"/>
          <w:lang w:val="es-ES" w:eastAsia="es-ES"/>
        </w:rPr>
        <w:t>es</w:t>
      </w:r>
      <w:r w:rsidRPr="00596B01">
        <w:rPr>
          <w:rFonts w:ascii="Verdana" w:eastAsia="Calibri" w:hAnsi="Verdana" w:cs="Arial"/>
          <w:lang w:val="es-ES" w:eastAsia="es-ES"/>
        </w:rPr>
        <w:t xml:space="preserve"> manifiesta lo siguiente: </w:t>
      </w:r>
    </w:p>
    <w:p w14:paraId="4026B8F9" w14:textId="77777777" w:rsidR="00197BED" w:rsidRPr="00596B01" w:rsidRDefault="00197BED" w:rsidP="002F6804">
      <w:pPr>
        <w:spacing w:after="0" w:line="276" w:lineRule="auto"/>
        <w:jc w:val="both"/>
        <w:rPr>
          <w:rFonts w:ascii="Verdana" w:eastAsia="Calibri" w:hAnsi="Verdana" w:cs="Arial"/>
          <w:lang w:val="es-ES" w:eastAsia="es-ES"/>
        </w:rPr>
      </w:pPr>
    </w:p>
    <w:p w14:paraId="397DCCD4" w14:textId="77777777" w:rsidR="00197BED" w:rsidRPr="00596B01" w:rsidRDefault="002F6804" w:rsidP="002F6804">
      <w:pPr>
        <w:spacing w:after="0" w:line="240" w:lineRule="auto"/>
        <w:ind w:left="709" w:right="709"/>
        <w:jc w:val="both"/>
        <w:rPr>
          <w:rFonts w:ascii="Verdana" w:eastAsia="Century Gothic" w:hAnsi="Verdana" w:cs="Arial"/>
          <w:sz w:val="20"/>
          <w:szCs w:val="20"/>
        </w:rPr>
      </w:pPr>
      <w:r w:rsidRPr="00596B01">
        <w:rPr>
          <w:rFonts w:ascii="Verdana" w:eastAsia="Century Gothic" w:hAnsi="Verdana" w:cs="Arial"/>
          <w:sz w:val="20"/>
          <w:szCs w:val="20"/>
          <w:lang w:val="es-ES"/>
        </w:rPr>
        <w:t xml:space="preserve">“[…] </w:t>
      </w:r>
      <w:r w:rsidR="00197BED" w:rsidRPr="00596B01">
        <w:rPr>
          <w:rFonts w:ascii="Verdana" w:eastAsia="Century Gothic" w:hAnsi="Verdana" w:cs="Arial"/>
          <w:sz w:val="20"/>
          <w:szCs w:val="20"/>
          <w:lang w:val="es-ES"/>
        </w:rPr>
        <w:t xml:space="preserve">1. </w:t>
      </w:r>
      <w:r w:rsidR="00197BED" w:rsidRPr="00596B01">
        <w:rPr>
          <w:rFonts w:ascii="Verdana" w:eastAsia="Century Gothic" w:hAnsi="Verdana" w:cs="Arial"/>
          <w:sz w:val="20"/>
          <w:szCs w:val="20"/>
        </w:rPr>
        <w:t xml:space="preserve">¿Las labores de apoyo profesional, proyección de actos administrativos y acompañamiento en la etapa precontractual de una entidad pública, configuran el ejercicio del litigio o la representación legal de la entidad en los términos del Decreto Ley 196 de 1971? </w:t>
      </w:r>
    </w:p>
    <w:p w14:paraId="4D5B61B8" w14:textId="77777777" w:rsidR="00197BED" w:rsidRPr="00596B01" w:rsidRDefault="00197BED" w:rsidP="002F6804">
      <w:pPr>
        <w:spacing w:after="0" w:line="240" w:lineRule="auto"/>
        <w:ind w:left="709" w:right="709"/>
        <w:jc w:val="both"/>
        <w:rPr>
          <w:rFonts w:ascii="Verdana" w:eastAsia="Century Gothic" w:hAnsi="Verdana" w:cs="Arial"/>
          <w:sz w:val="20"/>
          <w:szCs w:val="20"/>
        </w:rPr>
      </w:pPr>
    </w:p>
    <w:p w14:paraId="0AE43421" w14:textId="77777777" w:rsidR="00197BED" w:rsidRPr="00596B01" w:rsidRDefault="00197BED" w:rsidP="002F6804">
      <w:pPr>
        <w:spacing w:after="0" w:line="240" w:lineRule="auto"/>
        <w:ind w:left="709" w:right="709"/>
        <w:jc w:val="both"/>
        <w:rPr>
          <w:rFonts w:ascii="Verdana" w:eastAsia="Century Gothic" w:hAnsi="Verdana" w:cs="Arial"/>
          <w:sz w:val="20"/>
          <w:szCs w:val="20"/>
        </w:rPr>
      </w:pPr>
      <w:r w:rsidRPr="00596B01">
        <w:rPr>
          <w:rFonts w:ascii="Verdana" w:eastAsia="Century Gothic" w:hAnsi="Verdana" w:cs="Arial"/>
          <w:sz w:val="20"/>
          <w:szCs w:val="20"/>
        </w:rPr>
        <w:t xml:space="preserve">2. De conformidad con el Parágrafo 2 del Artículo 1 de la Ley 1905 de 2018, ¿las actividades internas de asesoría, proyección documental y fortalecimiento contractual sin facultad de representación en estrados, se </w:t>
      </w:r>
      <w:r w:rsidRPr="00596B01">
        <w:rPr>
          <w:rFonts w:ascii="Verdana" w:eastAsia="Century Gothic" w:hAnsi="Verdana" w:cs="Arial"/>
          <w:sz w:val="20"/>
          <w:szCs w:val="20"/>
        </w:rPr>
        <w:lastRenderedPageBreak/>
        <w:t xml:space="preserve">subsumen en la categoría de "las demás actividades" para las cuales la ley señala que no se requerirá tarjeta profesional? </w:t>
      </w:r>
    </w:p>
    <w:p w14:paraId="63CCDDEF" w14:textId="77777777" w:rsidR="00197BED" w:rsidRPr="00596B01" w:rsidRDefault="00197BED" w:rsidP="002F6804">
      <w:pPr>
        <w:spacing w:after="0" w:line="240" w:lineRule="auto"/>
        <w:ind w:left="709" w:right="709"/>
        <w:jc w:val="both"/>
        <w:rPr>
          <w:rFonts w:ascii="Verdana" w:eastAsia="Century Gothic" w:hAnsi="Verdana" w:cs="Arial"/>
          <w:sz w:val="20"/>
          <w:szCs w:val="20"/>
        </w:rPr>
      </w:pPr>
    </w:p>
    <w:p w14:paraId="35517891" w14:textId="77777777" w:rsidR="00197BED" w:rsidRPr="00596B01" w:rsidRDefault="00197BED" w:rsidP="002F6804">
      <w:pPr>
        <w:spacing w:after="0" w:line="240" w:lineRule="auto"/>
        <w:ind w:left="709" w:right="709"/>
        <w:jc w:val="both"/>
        <w:rPr>
          <w:rFonts w:ascii="Verdana" w:eastAsia="Century Gothic" w:hAnsi="Verdana" w:cs="Arial"/>
          <w:sz w:val="20"/>
          <w:szCs w:val="20"/>
        </w:rPr>
      </w:pPr>
      <w:r w:rsidRPr="00596B01">
        <w:rPr>
          <w:rFonts w:ascii="Verdana" w:eastAsia="Century Gothic" w:hAnsi="Verdana" w:cs="Arial"/>
          <w:sz w:val="20"/>
          <w:szCs w:val="20"/>
        </w:rPr>
        <w:t xml:space="preserve">3. ¿Es legalmente viable y procedente que un profesional en Derecho, debidamente graduado de una institución de educación superior, ejecute un contrato de prestación de servicios profesionales a la oficina jurídica si su objeto contractual excluye de manera absoluta la representación judicial y el jefe de la oficina jurídica o el ordenador del gasto conservan la representación legal de la entidad? </w:t>
      </w:r>
    </w:p>
    <w:p w14:paraId="205D767A" w14:textId="77777777" w:rsidR="00197BED" w:rsidRPr="00596B01" w:rsidRDefault="00197BED" w:rsidP="002F6804">
      <w:pPr>
        <w:spacing w:after="0" w:line="240" w:lineRule="auto"/>
        <w:ind w:left="709" w:right="709"/>
        <w:jc w:val="both"/>
        <w:rPr>
          <w:rFonts w:ascii="Verdana" w:eastAsia="Century Gothic" w:hAnsi="Verdana" w:cs="Arial"/>
          <w:sz w:val="20"/>
          <w:szCs w:val="20"/>
        </w:rPr>
      </w:pPr>
    </w:p>
    <w:p w14:paraId="0A46B291" w14:textId="118B197C" w:rsidR="002F6804" w:rsidRPr="00596B01" w:rsidRDefault="00197BED" w:rsidP="002F6804">
      <w:pPr>
        <w:spacing w:after="0" w:line="240" w:lineRule="auto"/>
        <w:ind w:left="709" w:right="709"/>
        <w:jc w:val="both"/>
        <w:rPr>
          <w:rFonts w:ascii="Verdana" w:hAnsi="Verdana" w:cs="Arial"/>
          <w:sz w:val="20"/>
          <w:szCs w:val="20"/>
        </w:rPr>
      </w:pPr>
      <w:r w:rsidRPr="00596B01">
        <w:rPr>
          <w:rFonts w:ascii="Verdana" w:eastAsia="Century Gothic" w:hAnsi="Verdana" w:cs="Arial"/>
          <w:sz w:val="20"/>
          <w:szCs w:val="20"/>
        </w:rPr>
        <w:t>4. Bajo los lineamientos de idoneidad técnica en la contratación estatal, ¿puede una entidad pública rechazar o inhabilitar a un contratista profesional en Derecho por carecer de tarjeta profesional, aun cuando el objeto del contrato no requiera actuaciones judiciales, defensas del Estado ni representación en trámites ante terceros?</w:t>
      </w:r>
      <w:r w:rsidRPr="00596B01">
        <w:rPr>
          <w:rFonts w:ascii="Verdana" w:eastAsia="Century Gothic" w:hAnsi="Verdana" w:cs="Arial"/>
          <w:sz w:val="20"/>
          <w:szCs w:val="20"/>
          <w:lang w:val="es-ES"/>
        </w:rPr>
        <w:t xml:space="preserve"> </w:t>
      </w:r>
      <w:r w:rsidR="002F6804" w:rsidRPr="00596B01">
        <w:rPr>
          <w:rFonts w:ascii="Verdana" w:eastAsia="Century Gothic" w:hAnsi="Verdana" w:cs="Arial"/>
          <w:sz w:val="20"/>
          <w:szCs w:val="20"/>
          <w:lang w:val="es-ES"/>
        </w:rPr>
        <w:t>[…]”</w:t>
      </w:r>
    </w:p>
    <w:p w14:paraId="553D184D" w14:textId="77777777" w:rsidR="002F6804" w:rsidRPr="00596B01" w:rsidRDefault="002F6804" w:rsidP="002F6804">
      <w:pPr>
        <w:spacing w:after="0"/>
        <w:jc w:val="both"/>
        <w:rPr>
          <w:rFonts w:ascii="Verdana" w:hAnsi="Verdana" w:cs="Arial"/>
          <w:lang w:val="es-ES"/>
        </w:rPr>
      </w:pPr>
    </w:p>
    <w:p w14:paraId="23DA2195" w14:textId="77777777" w:rsidR="002F6804" w:rsidRPr="00596B01" w:rsidRDefault="002F6804" w:rsidP="002F6804">
      <w:pPr>
        <w:spacing w:after="120" w:line="276" w:lineRule="auto"/>
        <w:ind w:firstLine="709"/>
        <w:jc w:val="both"/>
        <w:rPr>
          <w:rFonts w:ascii="Verdana" w:eastAsia="Calibri" w:hAnsi="Verdana" w:cs="Arial"/>
          <w:color w:val="000000"/>
          <w:lang w:val="es-ES_tradnl" w:eastAsia="es-ES_tradnl"/>
        </w:rPr>
      </w:pPr>
      <w:r w:rsidRPr="00596B01">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2472248" w14:textId="77777777" w:rsidR="002F6804" w:rsidRPr="00596B01" w:rsidRDefault="002F6804" w:rsidP="002F6804">
      <w:pPr>
        <w:spacing w:after="0" w:line="276" w:lineRule="auto"/>
        <w:ind w:firstLine="709"/>
        <w:jc w:val="both"/>
        <w:rPr>
          <w:rFonts w:ascii="Verdana" w:eastAsia="Calibri" w:hAnsi="Verdana" w:cs="Arial"/>
          <w:color w:val="000000"/>
          <w:lang w:val="es-ES" w:eastAsia="es-ES"/>
        </w:rPr>
      </w:pPr>
      <w:r w:rsidRPr="00596B0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DFACCC4" w14:textId="77777777" w:rsidR="002F6804" w:rsidRPr="00596B01" w:rsidRDefault="002F6804" w:rsidP="002F6804">
      <w:pPr>
        <w:spacing w:after="0"/>
        <w:jc w:val="both"/>
        <w:rPr>
          <w:rStyle w:val="Hipervnculo"/>
          <w:rFonts w:ascii="Verdana" w:hAnsi="Verdana"/>
          <w:highlight w:val="cyan"/>
          <w:lang w:val="es-ES"/>
        </w:rPr>
      </w:pPr>
    </w:p>
    <w:p w14:paraId="198E6648" w14:textId="77777777" w:rsidR="002F6804" w:rsidRPr="00596B01" w:rsidRDefault="002F6804" w:rsidP="002F6804">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596B01">
        <w:rPr>
          <w:rFonts w:ascii="Verdana" w:eastAsia="Century Gothic" w:hAnsi="Verdana" w:cs="Arial"/>
          <w:b/>
          <w:bCs/>
        </w:rPr>
        <w:t>Problema planteado:</w:t>
      </w:r>
    </w:p>
    <w:p w14:paraId="7C2168C8" w14:textId="77777777" w:rsidR="00DB3682" w:rsidRPr="00596B01" w:rsidRDefault="00DB3682" w:rsidP="002F6804">
      <w:pPr>
        <w:spacing w:after="0"/>
        <w:jc w:val="both"/>
        <w:rPr>
          <w:rStyle w:val="Hipervnculo"/>
          <w:rFonts w:ascii="Verdana" w:hAnsi="Verdana" w:cs="Arial"/>
          <w:highlight w:val="cyan"/>
        </w:rPr>
      </w:pPr>
    </w:p>
    <w:p w14:paraId="3E963B7D" w14:textId="77777777" w:rsidR="00DB3682" w:rsidRPr="00596B01" w:rsidRDefault="00EA6979" w:rsidP="00DB3682">
      <w:pPr>
        <w:spacing w:after="0"/>
        <w:jc w:val="both"/>
        <w:rPr>
          <w:rFonts w:ascii="Verdana" w:eastAsia="Century Gothic" w:hAnsi="Verdana" w:cs="Century Gothic"/>
        </w:rPr>
      </w:pPr>
      <w:r w:rsidRPr="00596B01">
        <w:rPr>
          <w:rFonts w:ascii="Verdana" w:eastAsia="Century Gothic" w:hAnsi="Verdana" w:cs="Arial"/>
        </w:rPr>
        <w:t xml:space="preserve">De acuerdo con el contenido de su solicitud, esta Agencia resolverá el siguiente problema jurídico: </w:t>
      </w:r>
      <w:r w:rsidR="00DB3682" w:rsidRPr="00596B01">
        <w:rPr>
          <w:rFonts w:ascii="Verdana" w:eastAsia="Century Gothic" w:hAnsi="Verdana" w:cs="Century Gothic"/>
        </w:rPr>
        <w:t xml:space="preserve">¿Es jurídicamente procedente que una Entidad Estatal celebre </w:t>
      </w:r>
      <w:r w:rsidR="00DB3682" w:rsidRPr="00596B01">
        <w:rPr>
          <w:rFonts w:ascii="Verdana" w:eastAsia="Century Gothic" w:hAnsi="Verdana" w:cs="Century Gothic"/>
        </w:rPr>
        <w:lastRenderedPageBreak/>
        <w:t>contratos de prestación de servicios profesionales con abogados sin exigir la tarjeta profesional?</w:t>
      </w:r>
    </w:p>
    <w:p w14:paraId="597787E2" w14:textId="24750573" w:rsidR="002F6804" w:rsidRPr="00596B01" w:rsidRDefault="002F6804" w:rsidP="00F95DDD">
      <w:pPr>
        <w:spacing w:after="0"/>
        <w:jc w:val="both"/>
        <w:rPr>
          <w:rStyle w:val="Hipervnculo"/>
          <w:rFonts w:ascii="Verdana" w:hAnsi="Verdana" w:cs="Arial"/>
          <w:highlight w:val="cyan"/>
        </w:rPr>
      </w:pPr>
    </w:p>
    <w:p w14:paraId="59A4D6CC" w14:textId="77777777" w:rsidR="002F6804" w:rsidRPr="00596B01" w:rsidRDefault="002F6804" w:rsidP="002F6804">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596B01">
        <w:rPr>
          <w:rFonts w:ascii="Verdana" w:eastAsia="Arial" w:hAnsi="Verdana" w:cs="Arial"/>
          <w:b/>
          <w:bCs/>
        </w:rPr>
        <w:t>Respuesta:</w:t>
      </w:r>
    </w:p>
    <w:p w14:paraId="23D126F4" w14:textId="77777777" w:rsidR="002F6804" w:rsidRPr="00596B01" w:rsidRDefault="002F6804" w:rsidP="002F6804">
      <w:pPr>
        <w:spacing w:after="0"/>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6804" w:rsidRPr="00596B01" w14:paraId="7CB6AC52" w14:textId="77777777" w:rsidTr="002A4C9C">
        <w:tc>
          <w:tcPr>
            <w:tcW w:w="8828" w:type="dxa"/>
          </w:tcPr>
          <w:p w14:paraId="29D02620" w14:textId="77777777" w:rsidR="002F6804" w:rsidRPr="00596B01" w:rsidRDefault="002F6804" w:rsidP="002A4C9C">
            <w:pPr>
              <w:spacing w:after="120" w:line="276" w:lineRule="auto"/>
              <w:jc w:val="both"/>
              <w:rPr>
                <w:rFonts w:ascii="Verdana" w:hAnsi="Verdana" w:cs="Arial"/>
                <w:color w:val="000000" w:themeColor="text1"/>
              </w:rPr>
            </w:pPr>
            <w:bookmarkStart w:id="1" w:name="_Hlk171067516"/>
            <w:r w:rsidRPr="00596B01">
              <w:rPr>
                <w:rFonts w:ascii="Verdana" w:hAnsi="Verdana" w:cs="Arial"/>
                <w:color w:val="000000" w:themeColor="text1"/>
              </w:rPr>
              <w:t>En respuesta al problema antes planteado esta Subdirección manifiesta lo siguiente:</w:t>
            </w:r>
          </w:p>
          <w:p w14:paraId="4E37954A" w14:textId="2F773E0B" w:rsidR="00FA5AA3" w:rsidRPr="00596B01" w:rsidRDefault="00223653" w:rsidP="00FA5AA3">
            <w:pPr>
              <w:spacing w:after="120" w:line="276" w:lineRule="auto"/>
              <w:ind w:firstLine="708"/>
              <w:jc w:val="both"/>
              <w:rPr>
                <w:rFonts w:ascii="Verdana" w:eastAsia="Calibri" w:hAnsi="Verdana" w:cs="Arial"/>
                <w:szCs w:val="24"/>
                <w:lang w:eastAsia="es-ES_tradnl"/>
              </w:rPr>
            </w:pPr>
            <w:r w:rsidRPr="00596B01">
              <w:rPr>
                <w:rFonts w:ascii="Verdana" w:eastAsia="Calibri" w:hAnsi="Verdana" w:cs="Arial"/>
                <w:szCs w:val="24"/>
                <w:lang w:eastAsia="es-ES_tradnl"/>
              </w:rPr>
              <w:t>En</w:t>
            </w:r>
            <w:r w:rsidR="00B569B0" w:rsidRPr="00596B01">
              <w:rPr>
                <w:rFonts w:ascii="Verdana" w:eastAsia="Calibri" w:hAnsi="Verdana" w:cs="Arial"/>
                <w:szCs w:val="24"/>
                <w:lang w:eastAsia="es-ES_tradnl"/>
              </w:rPr>
              <w:t xml:space="preserve"> </w:t>
            </w:r>
            <w:r w:rsidR="00B569B0" w:rsidRPr="00596B01">
              <w:rPr>
                <w:rFonts w:ascii="Verdana" w:eastAsia="Calibri" w:hAnsi="Verdana" w:cs="Arial"/>
                <w:i/>
                <w:iCs/>
                <w:szCs w:val="24"/>
                <w:lang w:eastAsia="es-ES_tradnl"/>
              </w:rPr>
              <w:t>primer lugar</w:t>
            </w:r>
            <w:r w:rsidR="00B569B0" w:rsidRPr="00596B01">
              <w:rPr>
                <w:rFonts w:ascii="Verdana" w:eastAsia="Calibri" w:hAnsi="Verdana" w:cs="Arial"/>
                <w:szCs w:val="24"/>
                <w:lang w:eastAsia="es-ES_tradnl"/>
              </w:rPr>
              <w:t xml:space="preserve"> debe precisarse que en</w:t>
            </w:r>
            <w:r w:rsidRPr="00596B01">
              <w:rPr>
                <w:rFonts w:ascii="Verdana" w:eastAsia="Calibri" w:hAnsi="Verdana" w:cs="Arial"/>
                <w:szCs w:val="24"/>
                <w:lang w:eastAsia="es-ES_tradnl"/>
              </w:rPr>
              <w:t xml:space="preserve"> el marco de la contratación estatal, las Entidades Estatales tienen la obligación de verificar la idoneidad y experiencia de quienes contratan bajo la modalidad de prestación de servicios profesionales, conforme a lo dispuesto en el artículo 2.2.1.2.1.4.9 del Decreto 1082 de 2015. Esta verificación comprende la formación académica, la experiencia profesional y cualquier otro aspecto relevante para la adecuada ejecución de las obligaciones contractuales.</w:t>
            </w:r>
            <w:r w:rsidR="00FA5AA3" w:rsidRPr="00596B01">
              <w:rPr>
                <w:rFonts w:ascii="Verdana" w:eastAsia="Calibri" w:hAnsi="Verdana" w:cs="Arial"/>
                <w:szCs w:val="24"/>
                <w:lang w:eastAsia="es-ES_tradnl"/>
              </w:rPr>
              <w:t xml:space="preserve"> En ese sentido, tratándose de contratos de prestación de servicios que impliquen el ejercicio de la abogacía como profesión regulada, la tarjeta profesional constituye un requisito de idoneidad de carácter obligatorio, cuya ausencia impide jurídicamente la celebración del contrato. </w:t>
            </w:r>
          </w:p>
          <w:p w14:paraId="1428A1AA" w14:textId="77777777" w:rsidR="00BF16F9" w:rsidRPr="00596B01" w:rsidRDefault="00522977" w:rsidP="0049676D">
            <w:pPr>
              <w:spacing w:after="120" w:line="276" w:lineRule="auto"/>
              <w:ind w:firstLine="708"/>
              <w:jc w:val="both"/>
              <w:rPr>
                <w:rFonts w:ascii="Verdana" w:eastAsia="Calibri" w:hAnsi="Verdana" w:cs="Arial"/>
                <w:szCs w:val="24"/>
                <w:lang w:eastAsia="es-ES_tradnl"/>
              </w:rPr>
            </w:pPr>
            <w:r w:rsidRPr="00596B01">
              <w:rPr>
                <w:rFonts w:ascii="Verdana" w:eastAsia="Calibri" w:hAnsi="Verdana" w:cs="Arial"/>
                <w:szCs w:val="24"/>
                <w:lang w:eastAsia="es-ES_tradnl"/>
              </w:rPr>
              <w:t>No obstante, si las funciones a desempeñar son de naturaleza meramente operativa, administrativa o de apoyo a la gestión —sin que impliquen el ejercicio del derecho como actividad profesional regulada—, la exigencia de tarjeta profesional no resulta aplicable, independientemente de la formación académica del contratista.</w:t>
            </w:r>
            <w:r w:rsidR="0049676D" w:rsidRPr="00596B01">
              <w:rPr>
                <w:rFonts w:ascii="Verdana" w:eastAsia="Times New Roman" w:hAnsi="Verdana" w:cs="Times New Roman"/>
                <w:sz w:val="24"/>
                <w:szCs w:val="24"/>
                <w:lang w:eastAsia="es-CO"/>
              </w:rPr>
              <w:t xml:space="preserve"> </w:t>
            </w:r>
            <w:r w:rsidR="0049676D" w:rsidRPr="00596B01">
              <w:rPr>
                <w:rFonts w:ascii="Verdana" w:eastAsia="Calibri" w:hAnsi="Verdana" w:cs="Arial"/>
                <w:szCs w:val="24"/>
                <w:lang w:eastAsia="es-ES_tradnl"/>
              </w:rPr>
              <w:t>Por lo anterior, la viabilidad jurídica de la contratación depende de tres factores concurrentes: (i) el contenido funcional de las obligaciones contractuales; (ii) si dichas obligaciones implican o no el ejercicio de la abogacía; y (iii) la situación particular del profesional frente a los requisitos de habilitación, teniendo en cuenta los efectos de los pronunciamientos de la Corte Constitucional en materia de tarjeta provisional.</w:t>
            </w:r>
          </w:p>
          <w:p w14:paraId="65655D3C" w14:textId="12822061" w:rsidR="00EF71AD" w:rsidRPr="00596B01" w:rsidRDefault="00EF71AD" w:rsidP="00EF71AD">
            <w:pPr>
              <w:spacing w:after="120" w:line="276" w:lineRule="auto"/>
              <w:ind w:firstLine="708"/>
              <w:jc w:val="both"/>
              <w:rPr>
                <w:rFonts w:ascii="Verdana" w:eastAsia="Times New Roman" w:hAnsi="Verdana" w:cs="Arial"/>
                <w:lang w:eastAsia="es-CO"/>
              </w:rPr>
            </w:pPr>
            <w:r w:rsidRPr="00596B01">
              <w:rPr>
                <w:rFonts w:ascii="Verdana"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w:t>
            </w:r>
            <w:r w:rsidRPr="00596B01">
              <w:rPr>
                <w:rFonts w:ascii="Verdana" w:hAnsi="Verdana" w:cs="Arial"/>
                <w:bCs/>
                <w:color w:val="000000" w:themeColor="text1"/>
              </w:rPr>
              <w:lastRenderedPageBreak/>
              <w:t>asesores, la solución de situaciones particulares corresponde a los interesados adoptar la decisión correspondiente y, en caso de conflicto, a las autoridades judiciales, fiscales y disciplinarias.</w:t>
            </w:r>
          </w:p>
        </w:tc>
      </w:tr>
      <w:bookmarkEnd w:id="1"/>
    </w:tbl>
    <w:p w14:paraId="06FDCAB7" w14:textId="77777777" w:rsidR="002F6804" w:rsidRPr="00596B01" w:rsidRDefault="002F6804" w:rsidP="002F6804">
      <w:pPr>
        <w:widowControl w:val="0"/>
        <w:autoSpaceDE w:val="0"/>
        <w:autoSpaceDN w:val="0"/>
        <w:spacing w:before="1" w:after="0" w:line="240" w:lineRule="auto"/>
        <w:ind w:left="360" w:hanging="360"/>
        <w:outlineLvl w:val="0"/>
        <w:rPr>
          <w:rFonts w:ascii="Verdana" w:eastAsia="Arial" w:hAnsi="Verdana" w:cs="Arial"/>
          <w:b/>
          <w:bCs/>
          <w:highlight w:val="cyan"/>
          <w:lang w:val="es-ES"/>
        </w:rPr>
      </w:pPr>
    </w:p>
    <w:p w14:paraId="51568AF2" w14:textId="77777777" w:rsidR="002F6804" w:rsidRPr="00596B01" w:rsidRDefault="002F6804" w:rsidP="002F6804">
      <w:pPr>
        <w:widowControl w:val="0"/>
        <w:autoSpaceDE w:val="0"/>
        <w:autoSpaceDN w:val="0"/>
        <w:spacing w:before="1" w:after="0" w:line="240" w:lineRule="auto"/>
        <w:ind w:left="360" w:hanging="360"/>
        <w:outlineLvl w:val="0"/>
        <w:rPr>
          <w:rFonts w:ascii="Verdana" w:eastAsia="Arial" w:hAnsi="Verdana" w:cs="Arial"/>
          <w:b/>
          <w:bCs/>
          <w:lang w:val="es-ES"/>
        </w:rPr>
      </w:pPr>
      <w:r w:rsidRPr="00596B01">
        <w:rPr>
          <w:rFonts w:ascii="Verdana" w:eastAsia="Arial" w:hAnsi="Verdana" w:cs="Arial"/>
          <w:b/>
          <w:bCs/>
          <w:lang w:val="es-ES"/>
        </w:rPr>
        <w:t>3. Razones de la respuesta:</w:t>
      </w:r>
    </w:p>
    <w:p w14:paraId="001D5629" w14:textId="77777777" w:rsidR="002F6804" w:rsidRPr="00596B01" w:rsidRDefault="002F6804" w:rsidP="002F6804">
      <w:pPr>
        <w:spacing w:after="0" w:line="276" w:lineRule="auto"/>
        <w:jc w:val="both"/>
        <w:rPr>
          <w:rFonts w:ascii="Verdana" w:eastAsia="Calibri" w:hAnsi="Verdana" w:cs="Arial"/>
          <w:lang w:val="es-ES"/>
        </w:rPr>
      </w:pPr>
    </w:p>
    <w:p w14:paraId="007F1A1F" w14:textId="77777777" w:rsidR="002F6804" w:rsidRPr="00596B01" w:rsidRDefault="002F6804" w:rsidP="002F6804">
      <w:pPr>
        <w:spacing w:after="0" w:line="276" w:lineRule="auto"/>
        <w:jc w:val="both"/>
        <w:rPr>
          <w:rFonts w:ascii="Verdana" w:eastAsia="Calibri" w:hAnsi="Verdana" w:cs="Arial"/>
          <w:lang w:val="es-ES"/>
        </w:rPr>
      </w:pPr>
      <w:r w:rsidRPr="00596B01">
        <w:rPr>
          <w:rFonts w:ascii="Verdana" w:eastAsia="Calibri" w:hAnsi="Verdana" w:cs="Arial"/>
          <w:lang w:val="es-ES"/>
        </w:rPr>
        <w:t xml:space="preserve">La respuesta anterior se sustenta en las siguientes consideraciones: </w:t>
      </w:r>
    </w:p>
    <w:p w14:paraId="3B27AFCD" w14:textId="77777777" w:rsidR="002A0DD0" w:rsidRPr="00596B01" w:rsidRDefault="002A0DD0" w:rsidP="30821638">
      <w:pPr>
        <w:spacing w:after="0" w:line="240" w:lineRule="auto"/>
        <w:jc w:val="both"/>
        <w:rPr>
          <w:rFonts w:ascii="Verdana" w:eastAsia="Verdana" w:hAnsi="Verdana" w:cs="Verdana"/>
          <w:b/>
          <w:bCs/>
          <w:highlight w:val="cyan"/>
          <w:lang w:val="es-ES"/>
        </w:rPr>
      </w:pPr>
    </w:p>
    <w:p w14:paraId="48A8877F" w14:textId="77777777" w:rsidR="00FE2618" w:rsidRPr="00596B01" w:rsidRDefault="00FE2618" w:rsidP="00FE2618">
      <w:pPr>
        <w:tabs>
          <w:tab w:val="left" w:pos="0"/>
        </w:tabs>
        <w:spacing w:after="0" w:line="276" w:lineRule="auto"/>
        <w:jc w:val="both"/>
        <w:rPr>
          <w:rFonts w:ascii="Verdana" w:eastAsia="Calibri" w:hAnsi="Verdana" w:cs="Arial"/>
          <w:color w:val="000000" w:themeColor="text1"/>
          <w:lang w:val="es-ES_tradnl"/>
        </w:rPr>
      </w:pPr>
      <w:r w:rsidRPr="00596B01">
        <w:rPr>
          <w:rFonts w:ascii="Verdana" w:hAnsi="Verdana"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596B01">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0462E304" w14:textId="77777777" w:rsidR="00FE2618" w:rsidRPr="00596B01" w:rsidRDefault="00FE2618" w:rsidP="00FE2618">
      <w:pPr>
        <w:spacing w:after="0" w:line="240" w:lineRule="auto"/>
        <w:ind w:left="709" w:rightChars="709" w:right="1560"/>
        <w:jc w:val="both"/>
        <w:rPr>
          <w:rFonts w:ascii="Verdana" w:eastAsia="Calibri" w:hAnsi="Verdana" w:cs="Arial"/>
          <w:color w:val="000000" w:themeColor="text1"/>
          <w:sz w:val="21"/>
          <w:szCs w:val="21"/>
          <w:lang w:val="es-ES_tradnl"/>
        </w:rPr>
      </w:pPr>
    </w:p>
    <w:p w14:paraId="60ABB5B1" w14:textId="77777777" w:rsidR="00FE2618" w:rsidRPr="00596B01" w:rsidRDefault="00FE2618" w:rsidP="00FE2618">
      <w:pPr>
        <w:spacing w:after="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36662BB5" w14:textId="77777777" w:rsidR="00FE2618" w:rsidRPr="00596B01" w:rsidRDefault="00FE2618" w:rsidP="00FE2618">
      <w:pPr>
        <w:spacing w:after="12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w:t>
      </w:r>
    </w:p>
    <w:p w14:paraId="08A78185" w14:textId="77777777" w:rsidR="00FE2618" w:rsidRPr="00596B01" w:rsidRDefault="00FE2618" w:rsidP="00FE2618">
      <w:pPr>
        <w:spacing w:after="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1D2078BA" w14:textId="77777777" w:rsidR="00FE2618" w:rsidRPr="00596B01" w:rsidRDefault="00FE2618" w:rsidP="00FE2618">
      <w:pPr>
        <w:spacing w:after="12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w:t>
      </w:r>
    </w:p>
    <w:p w14:paraId="01C42DE6" w14:textId="77777777" w:rsidR="00FE2618" w:rsidRPr="00596B01" w:rsidRDefault="00FE2618" w:rsidP="00FE2618">
      <w:pPr>
        <w:spacing w:after="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p>
    <w:p w14:paraId="5E21781E" w14:textId="77777777" w:rsidR="00FE2618" w:rsidRPr="00596B01" w:rsidRDefault="00FE2618" w:rsidP="00FE2618">
      <w:pPr>
        <w:tabs>
          <w:tab w:val="left" w:pos="0"/>
        </w:tabs>
        <w:spacing w:after="0" w:line="276" w:lineRule="auto"/>
        <w:ind w:left="709" w:rightChars="709" w:right="1560"/>
        <w:jc w:val="both"/>
        <w:rPr>
          <w:rFonts w:ascii="Verdana" w:hAnsi="Verdana" w:cs="Arial"/>
          <w:noProof/>
          <w:lang w:val="es-ES_tradnl"/>
        </w:rPr>
      </w:pPr>
      <w:r w:rsidRPr="00596B01">
        <w:rPr>
          <w:rFonts w:ascii="Verdana" w:hAnsi="Verdana" w:cs="Arial"/>
          <w:noProof/>
          <w:lang w:val="es-ES_tradnl"/>
        </w:rPr>
        <w:tab/>
      </w:r>
    </w:p>
    <w:p w14:paraId="4509ED25" w14:textId="77777777" w:rsidR="00FE2618" w:rsidRPr="00596B01" w:rsidRDefault="00FE2618" w:rsidP="00FE2618">
      <w:pPr>
        <w:tabs>
          <w:tab w:val="left" w:pos="0"/>
        </w:tabs>
        <w:spacing w:after="0" w:line="276" w:lineRule="auto"/>
        <w:jc w:val="both"/>
        <w:rPr>
          <w:rFonts w:ascii="Verdana" w:hAnsi="Verdana" w:cs="Arial"/>
          <w:noProof/>
          <w:lang w:val="es-ES_tradnl"/>
        </w:rPr>
      </w:pPr>
      <w:r w:rsidRPr="00596B01">
        <w:rPr>
          <w:rFonts w:ascii="Verdana" w:hAnsi="Verdana"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28DB718B" w14:textId="77777777" w:rsidR="00FE2618" w:rsidRPr="00596B01" w:rsidRDefault="00FE2618" w:rsidP="00FE2618">
      <w:pPr>
        <w:spacing w:after="0" w:line="276" w:lineRule="auto"/>
        <w:jc w:val="both"/>
        <w:rPr>
          <w:rFonts w:ascii="Verdana" w:hAnsi="Verdana" w:cs="Arial"/>
          <w:lang w:val="es-ES"/>
        </w:rPr>
      </w:pPr>
    </w:p>
    <w:p w14:paraId="059FB7D1" w14:textId="77777777" w:rsidR="00FE2618" w:rsidRPr="00596B01" w:rsidRDefault="00FE2618" w:rsidP="00FE2618">
      <w:pPr>
        <w:spacing w:after="0" w:line="240" w:lineRule="auto"/>
        <w:ind w:left="709" w:right="709"/>
        <w:jc w:val="both"/>
        <w:rPr>
          <w:rFonts w:ascii="Verdana" w:hAnsi="Verdana" w:cs="Arial"/>
          <w:sz w:val="20"/>
          <w:szCs w:val="20"/>
          <w:lang w:val="es-MX"/>
        </w:rPr>
      </w:pPr>
      <w:r w:rsidRPr="00596B01">
        <w:rPr>
          <w:rFonts w:ascii="Verdana" w:hAnsi="Verdana" w:cs="Arial"/>
          <w:sz w:val="20"/>
          <w:szCs w:val="20"/>
          <w:lang w:val="es-MX"/>
        </w:rPr>
        <w:lastRenderedPageBreak/>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B5B89FE" w14:textId="77777777" w:rsidR="00FE2618" w:rsidRPr="00596B01" w:rsidRDefault="00FE2618" w:rsidP="00FE2618">
      <w:pPr>
        <w:spacing w:after="0" w:line="240" w:lineRule="auto"/>
        <w:ind w:left="709" w:right="709"/>
        <w:jc w:val="both"/>
        <w:rPr>
          <w:rFonts w:ascii="Verdana" w:hAnsi="Verdana" w:cs="Arial"/>
          <w:sz w:val="20"/>
          <w:szCs w:val="20"/>
        </w:rPr>
      </w:pPr>
    </w:p>
    <w:p w14:paraId="61C9B089" w14:textId="77777777" w:rsidR="00FE2618" w:rsidRPr="00596B01" w:rsidRDefault="00FE2618" w:rsidP="00FE2618">
      <w:pPr>
        <w:spacing w:after="0" w:line="240" w:lineRule="auto"/>
        <w:ind w:left="709" w:right="709"/>
        <w:jc w:val="both"/>
        <w:rPr>
          <w:rFonts w:ascii="Verdana" w:hAnsi="Verdana" w:cs="Arial"/>
          <w:sz w:val="20"/>
          <w:szCs w:val="20"/>
          <w:lang w:val="es-MX"/>
        </w:rPr>
      </w:pPr>
      <w:r w:rsidRPr="00596B01">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1865AC1" w14:textId="77777777" w:rsidR="00FE2618" w:rsidRPr="00596B01" w:rsidRDefault="00FE2618" w:rsidP="00FE2618">
      <w:pPr>
        <w:spacing w:after="0" w:line="240" w:lineRule="auto"/>
        <w:ind w:left="709" w:right="709"/>
        <w:jc w:val="both"/>
        <w:rPr>
          <w:rFonts w:ascii="Verdana" w:hAnsi="Verdana" w:cs="Arial"/>
          <w:sz w:val="20"/>
          <w:szCs w:val="20"/>
          <w:lang w:val="es-MX"/>
        </w:rPr>
      </w:pPr>
    </w:p>
    <w:p w14:paraId="6A544F90" w14:textId="77777777" w:rsidR="00FE2618" w:rsidRPr="00596B01" w:rsidRDefault="00FE2618" w:rsidP="00FE2618">
      <w:pPr>
        <w:spacing w:after="0" w:line="240" w:lineRule="auto"/>
        <w:ind w:left="709" w:right="709"/>
        <w:jc w:val="both"/>
        <w:rPr>
          <w:rFonts w:ascii="Verdana" w:hAnsi="Verdana" w:cs="Arial"/>
          <w:sz w:val="20"/>
          <w:szCs w:val="20"/>
          <w:lang w:val="es-MX"/>
        </w:rPr>
      </w:pPr>
      <w:r w:rsidRPr="00596B01">
        <w:rPr>
          <w:rFonts w:ascii="Verdana" w:hAnsi="Verdana" w:cs="Arial"/>
          <w:sz w:val="20"/>
          <w:szCs w:val="20"/>
          <w:lang w:val="es-MX"/>
        </w:rPr>
        <w:t>La Entidad Estatal, para la contratación de trabajos artísticos que solamente puedan en</w:t>
      </w:r>
      <w:r w:rsidRPr="00596B01">
        <w:rPr>
          <w:rFonts w:ascii="Verdana" w:hAnsi="Verdana" w:cs="Arial"/>
          <w:sz w:val="20"/>
          <w:szCs w:val="20"/>
          <w:lang w:val="es-MX"/>
        </w:rPr>
        <w:softHyphen/>
        <w:t>comendarse a determinadas personas naturales, debe justificar esta situación en los estudios y documentos previos”.</w:t>
      </w:r>
    </w:p>
    <w:p w14:paraId="3F7D4305" w14:textId="77777777" w:rsidR="00FE2618" w:rsidRPr="00596B01" w:rsidRDefault="00FE2618" w:rsidP="00FE2618">
      <w:pPr>
        <w:tabs>
          <w:tab w:val="left" w:pos="0"/>
        </w:tabs>
        <w:spacing w:after="0" w:line="276" w:lineRule="auto"/>
        <w:jc w:val="both"/>
        <w:rPr>
          <w:rFonts w:ascii="Verdana" w:hAnsi="Verdana" w:cs="Arial"/>
          <w:noProof/>
          <w:sz w:val="21"/>
          <w:szCs w:val="21"/>
        </w:rPr>
      </w:pPr>
    </w:p>
    <w:p w14:paraId="4380EC62" w14:textId="08A4E998" w:rsidR="00FE2618" w:rsidRPr="00613A41" w:rsidRDefault="00FE2618" w:rsidP="00FE2618">
      <w:pPr>
        <w:tabs>
          <w:tab w:val="left" w:pos="0"/>
        </w:tabs>
        <w:spacing w:before="120" w:after="0" w:line="276" w:lineRule="auto"/>
        <w:jc w:val="both"/>
        <w:rPr>
          <w:rFonts w:ascii="Verdana" w:hAnsi="Verdana" w:cs="Arial"/>
          <w:color w:val="000000" w:themeColor="text1"/>
          <w:sz w:val="21"/>
          <w:szCs w:val="21"/>
          <w:lang w:val="es-MX"/>
        </w:rPr>
      </w:pPr>
      <w:r w:rsidRPr="00613A41">
        <w:rPr>
          <w:rFonts w:ascii="Verdana" w:hAnsi="Verdana" w:cs="Arial"/>
          <w:color w:val="000000" w:themeColor="text1"/>
          <w:lang w:val="es-MX"/>
        </w:rPr>
        <w:tab/>
        <w:t xml:space="preserve">Como especies del género contrato de prestación de servicios se incluyen </w:t>
      </w:r>
      <w:r w:rsidRPr="00613A41">
        <w:rPr>
          <w:rFonts w:ascii="Verdana" w:hAnsi="Verdana" w:cs="Arial"/>
          <w:color w:val="000000" w:themeColor="text1"/>
          <w:lang w:val="es-ES"/>
        </w:rPr>
        <w:t>los contratos de prestación de servicios profesionales, los contratos de prestación de servicios de apoyo a la gestión y los contratos de prestación de servicios artísticos que solo pueden encomendarse a determinadas personas naturales</w:t>
      </w:r>
      <w:r w:rsidRPr="00613A41">
        <w:rPr>
          <w:rFonts w:ascii="Verdana" w:hAnsi="Verdana" w:cs="Arial"/>
          <w:color w:val="000000" w:themeColor="text1"/>
          <w:vertAlign w:val="superscript"/>
          <w:lang w:val="es-ES_tradnl"/>
        </w:rPr>
        <w:footnoteReference w:id="1"/>
      </w:r>
      <w:r w:rsidRPr="00613A41">
        <w:rPr>
          <w:rFonts w:ascii="Verdana" w:hAnsi="Verdana" w:cs="Arial"/>
          <w:color w:val="000000" w:themeColor="text1"/>
          <w:lang w:val="es-MX"/>
        </w:rPr>
        <w:t xml:space="preserve">. </w:t>
      </w:r>
      <w:r w:rsidRPr="00613A41">
        <w:rPr>
          <w:rFonts w:ascii="Verdana" w:hAnsi="Verdana" w:cs="Arial"/>
          <w:color w:val="000000" w:themeColor="text1"/>
          <w:lang w:val="es-ES"/>
        </w:rPr>
        <w:t xml:space="preserve">La diferencia entre el contrato de prestación de servicios profesionales con las otras dos especies del género en el cual se </w:t>
      </w:r>
      <w:r w:rsidR="00D178D1" w:rsidRPr="00613A41">
        <w:rPr>
          <w:rFonts w:ascii="Verdana" w:hAnsi="Verdana" w:cs="Arial"/>
          <w:color w:val="000000" w:themeColor="text1"/>
          <w:lang w:val="es-ES"/>
        </w:rPr>
        <w:t>ubican</w:t>
      </w:r>
      <w:r w:rsidRPr="00613A41">
        <w:rPr>
          <w:rFonts w:ascii="Verdana" w:hAnsi="Verdana" w:cs="Arial"/>
          <w:color w:val="000000" w:themeColor="text1"/>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3F95613" w14:textId="77777777" w:rsidR="00FE2618" w:rsidRPr="00596B01" w:rsidRDefault="00FE2618" w:rsidP="00FE2618">
      <w:pPr>
        <w:spacing w:after="0" w:line="276" w:lineRule="auto"/>
        <w:ind w:firstLine="709"/>
        <w:jc w:val="both"/>
        <w:rPr>
          <w:rFonts w:ascii="Verdana" w:hAnsi="Verdana" w:cs="Arial"/>
          <w:color w:val="000000" w:themeColor="text1"/>
          <w:lang w:val="es-ES_tradnl"/>
        </w:rPr>
      </w:pPr>
    </w:p>
    <w:p w14:paraId="4F67F503"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lang w:val="es-ES_tradnl"/>
        </w:rPr>
      </w:pPr>
      <w:r w:rsidRPr="00596B01">
        <w:rPr>
          <w:rFonts w:ascii="Verdana" w:hAnsi="Verdana" w:cs="Arial"/>
          <w:color w:val="000000" w:themeColor="text1"/>
          <w:sz w:val="20"/>
          <w:szCs w:val="20"/>
          <w:lang w:val="es-ES_tradnl"/>
        </w:rPr>
        <w:lastRenderedPageBreak/>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596B01">
        <w:rPr>
          <w:rFonts w:ascii="Verdana" w:hAnsi="Verdana" w:cs="Arial"/>
          <w:color w:val="000000" w:themeColor="text1"/>
          <w:sz w:val="20"/>
          <w:szCs w:val="20"/>
          <w:vertAlign w:val="superscript"/>
          <w:lang w:val="es-ES_tradnl"/>
        </w:rPr>
        <w:footnoteReference w:id="2"/>
      </w:r>
      <w:r w:rsidRPr="00596B01">
        <w:rPr>
          <w:rFonts w:ascii="Verdana" w:hAnsi="Verdana" w:cs="Arial"/>
          <w:color w:val="000000" w:themeColor="text1"/>
          <w:sz w:val="20"/>
          <w:szCs w:val="20"/>
          <w:lang w:val="es-ES_tradnl"/>
        </w:rPr>
        <w:t>.</w:t>
      </w:r>
    </w:p>
    <w:p w14:paraId="622F5352" w14:textId="77777777" w:rsidR="00FE2618" w:rsidRPr="00596B01" w:rsidRDefault="00FE2618" w:rsidP="00FE2618">
      <w:pPr>
        <w:spacing w:after="0" w:line="276" w:lineRule="auto"/>
        <w:ind w:firstLine="709"/>
        <w:jc w:val="both"/>
        <w:rPr>
          <w:rFonts w:ascii="Verdana" w:hAnsi="Verdana" w:cs="Arial"/>
          <w:color w:val="000000" w:themeColor="text1"/>
          <w:lang w:val="es-ES_tradnl"/>
        </w:rPr>
      </w:pPr>
    </w:p>
    <w:p w14:paraId="4C9C6BD2" w14:textId="77777777" w:rsidR="00FE2618" w:rsidRPr="00596B01" w:rsidRDefault="00FE2618" w:rsidP="00FE2618">
      <w:pPr>
        <w:spacing w:after="0" w:line="276" w:lineRule="auto"/>
        <w:ind w:firstLine="709"/>
        <w:jc w:val="both"/>
        <w:rPr>
          <w:rFonts w:ascii="Verdana" w:hAnsi="Verdana" w:cs="Arial"/>
          <w:color w:val="000000" w:themeColor="text1"/>
          <w:lang w:val="es-ES_tradnl"/>
        </w:rPr>
      </w:pPr>
      <w:r w:rsidRPr="00596B01">
        <w:rPr>
          <w:rFonts w:ascii="Verdana" w:hAnsi="Verdana" w:cs="Arial"/>
          <w:color w:val="000000" w:themeColor="text1"/>
          <w:lang w:val="es-ES_tradnl"/>
        </w:rPr>
        <w:t xml:space="preserve">Lo expuesto, según la jurisprudencia citada, se diferencia del objeto del </w:t>
      </w:r>
      <w:r w:rsidRPr="00596B01">
        <w:rPr>
          <w:rFonts w:ascii="Verdana" w:hAnsi="Verdana" w:cs="Arial"/>
          <w:i/>
          <w:iCs/>
          <w:color w:val="000000" w:themeColor="text1"/>
          <w:lang w:val="es-ES_tradnl"/>
        </w:rPr>
        <w:t>contrato de prestación de servicios de apoyo a la gestión</w:t>
      </w:r>
      <w:r w:rsidRPr="00596B01">
        <w:rPr>
          <w:rFonts w:ascii="Verdana" w:hAnsi="Verdana" w:cs="Arial"/>
          <w:color w:val="000000" w:themeColor="text1"/>
          <w:lang w:val="es-ES_tradnl"/>
        </w:rPr>
        <w:t>, en los siguientes aspectos:</w:t>
      </w:r>
    </w:p>
    <w:p w14:paraId="27E13ADF" w14:textId="77777777" w:rsidR="00FE2618" w:rsidRPr="00596B01" w:rsidRDefault="00FE2618" w:rsidP="00FE2618">
      <w:pPr>
        <w:spacing w:after="0" w:line="276" w:lineRule="auto"/>
        <w:ind w:firstLine="709"/>
        <w:jc w:val="both"/>
        <w:rPr>
          <w:rFonts w:ascii="Verdana" w:hAnsi="Verdana" w:cs="Arial"/>
          <w:color w:val="000000" w:themeColor="text1"/>
          <w:lang w:val="es-ES_tradnl"/>
        </w:rPr>
      </w:pPr>
    </w:p>
    <w:p w14:paraId="069C3FDA" w14:textId="77777777" w:rsidR="00FE2618" w:rsidRPr="00596B01" w:rsidRDefault="00FE2618" w:rsidP="00FE2618">
      <w:pPr>
        <w:spacing w:after="120" w:line="240" w:lineRule="auto"/>
        <w:ind w:left="709" w:right="709"/>
        <w:jc w:val="both"/>
        <w:rPr>
          <w:rFonts w:ascii="Verdana" w:hAnsi="Verdana" w:cs="Arial"/>
          <w:color w:val="000000" w:themeColor="text1"/>
          <w:sz w:val="20"/>
          <w:szCs w:val="20"/>
          <w:lang w:val="es-ES_tradnl"/>
        </w:rPr>
      </w:pPr>
      <w:r w:rsidRPr="00596B01">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34A4292" w14:textId="77777777" w:rsidR="00FE2618" w:rsidRPr="00596B01" w:rsidRDefault="00FE2618" w:rsidP="00FE2618">
      <w:pPr>
        <w:spacing w:after="120" w:line="240" w:lineRule="auto"/>
        <w:ind w:left="709" w:right="709"/>
        <w:jc w:val="both"/>
        <w:rPr>
          <w:rFonts w:ascii="Verdana" w:hAnsi="Verdana" w:cs="Arial"/>
          <w:color w:val="000000" w:themeColor="text1"/>
          <w:sz w:val="20"/>
          <w:szCs w:val="20"/>
          <w:lang w:val="es-ES"/>
        </w:rPr>
      </w:pPr>
      <w:r w:rsidRPr="00596B01">
        <w:rPr>
          <w:rFonts w:ascii="Verdana" w:hAnsi="Verdana" w:cs="Arial"/>
          <w:color w:val="000000" w:themeColor="text1"/>
          <w:sz w:val="20"/>
          <w:szCs w:val="20"/>
          <w:lang w:val="es-ES"/>
        </w:rPr>
        <w:t>Aunque también se caracteriza por el desempeño de actividad intelectiva, ésta se enmarca en un saber propiamente técnico; igualmente involucra actividades en donde prima el esfuerzo físico o mecánico, en donde no se requiere de personal profesional.</w:t>
      </w:r>
    </w:p>
    <w:p w14:paraId="42E8B39B"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lang w:val="es-ES_tradnl"/>
        </w:rPr>
      </w:pPr>
      <w:r w:rsidRPr="00596B01">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596B01">
        <w:rPr>
          <w:rFonts w:ascii="Verdana" w:hAnsi="Verdana" w:cs="Arial"/>
          <w:color w:val="000000" w:themeColor="text1"/>
          <w:sz w:val="20"/>
          <w:szCs w:val="20"/>
          <w:vertAlign w:val="superscript"/>
          <w:lang w:val="es-ES_tradnl"/>
        </w:rPr>
        <w:footnoteReference w:id="3"/>
      </w:r>
      <w:r w:rsidRPr="00596B01">
        <w:rPr>
          <w:rFonts w:ascii="Verdana" w:hAnsi="Verdana" w:cs="Arial"/>
          <w:color w:val="000000" w:themeColor="text1"/>
          <w:sz w:val="20"/>
          <w:szCs w:val="20"/>
          <w:lang w:val="es-ES_tradnl"/>
        </w:rPr>
        <w:t>.</w:t>
      </w:r>
    </w:p>
    <w:p w14:paraId="743F0F9B" w14:textId="77777777" w:rsidR="00FE2618" w:rsidRPr="00596B01" w:rsidRDefault="00FE2618" w:rsidP="00FE2618">
      <w:pPr>
        <w:spacing w:after="0" w:line="276" w:lineRule="auto"/>
        <w:ind w:firstLine="709"/>
        <w:jc w:val="both"/>
        <w:rPr>
          <w:rFonts w:ascii="Verdana" w:hAnsi="Verdana" w:cs="Arial"/>
          <w:color w:val="000000" w:themeColor="text1"/>
          <w:lang w:val="es-ES_tradnl"/>
        </w:rPr>
      </w:pPr>
    </w:p>
    <w:p w14:paraId="3246A665" w14:textId="77777777" w:rsidR="00FE2618" w:rsidRPr="00596B01" w:rsidRDefault="00FE2618" w:rsidP="00FE2618">
      <w:pPr>
        <w:spacing w:after="0" w:line="276" w:lineRule="auto"/>
        <w:ind w:firstLine="709"/>
        <w:jc w:val="both"/>
        <w:rPr>
          <w:rFonts w:ascii="Verdana" w:hAnsi="Verdana" w:cs="Arial"/>
          <w:color w:val="000000" w:themeColor="text1"/>
          <w:lang w:val="es-MX"/>
        </w:rPr>
      </w:pPr>
      <w:r w:rsidRPr="00596B01">
        <w:rPr>
          <w:rFonts w:ascii="Verdana" w:hAnsi="Verdana" w:cs="Arial"/>
          <w:color w:val="000000" w:themeColor="text1"/>
          <w:lang w:val="es-ES_tradnl"/>
        </w:rPr>
        <w:t xml:space="preserve">En este sentido, el contrato de prestación de servicios </w:t>
      </w:r>
      <w:r w:rsidRPr="00596B01">
        <w:rPr>
          <w:rFonts w:ascii="Verdana" w:hAnsi="Verdana" w:cs="Arial"/>
          <w:i/>
          <w:iCs/>
          <w:color w:val="000000" w:themeColor="text1"/>
          <w:lang w:val="es-ES_tradnl"/>
        </w:rPr>
        <w:t>profesionales</w:t>
      </w:r>
      <w:r w:rsidRPr="00596B01">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596B01">
        <w:rPr>
          <w:rFonts w:ascii="Verdana" w:hAnsi="Verdana" w:cs="Arial"/>
          <w:i/>
          <w:iCs/>
          <w:color w:val="000000" w:themeColor="text1"/>
          <w:lang w:val="es-ES_tradnl"/>
        </w:rPr>
        <w:t>saber intelectivo cualificado.</w:t>
      </w:r>
      <w:r w:rsidRPr="00596B01">
        <w:rPr>
          <w:rFonts w:ascii="Verdana" w:hAnsi="Verdana" w:cs="Arial"/>
          <w:color w:val="000000" w:themeColor="text1"/>
          <w:lang w:val="es-ES_tradnl"/>
        </w:rPr>
        <w:t xml:space="preserve"> En cambio, los contratos de prestación de servicios de </w:t>
      </w:r>
      <w:r w:rsidRPr="00596B01">
        <w:rPr>
          <w:rFonts w:ascii="Verdana" w:hAnsi="Verdana" w:cs="Arial"/>
          <w:i/>
          <w:iCs/>
          <w:color w:val="000000" w:themeColor="text1"/>
          <w:lang w:val="es-ES_tradnl"/>
        </w:rPr>
        <w:t>apoyo a la gestión</w:t>
      </w:r>
      <w:r w:rsidRPr="00596B01">
        <w:rPr>
          <w:rFonts w:ascii="Verdana" w:hAnsi="Verdana" w:cs="Arial"/>
          <w:color w:val="000000" w:themeColor="text1"/>
          <w:lang w:val="es-ES_tradnl"/>
        </w:rPr>
        <w:t xml:space="preserve"> y de </w:t>
      </w:r>
      <w:r w:rsidRPr="00596B01">
        <w:rPr>
          <w:rFonts w:ascii="Verdana" w:hAnsi="Verdana" w:cs="Arial"/>
          <w:i/>
          <w:iCs/>
          <w:color w:val="000000" w:themeColor="text1"/>
          <w:lang w:val="es-ES_tradnl"/>
        </w:rPr>
        <w:t>servicios artísticos</w:t>
      </w:r>
      <w:r w:rsidRPr="00596B01">
        <w:rPr>
          <w:rFonts w:ascii="Verdana" w:hAnsi="Verdana" w:cs="Arial"/>
          <w:color w:val="000000" w:themeColor="text1"/>
          <w:lang w:val="es-ES_tradnl"/>
        </w:rPr>
        <w:t xml:space="preserve"> no involucran ese conocimiento profesional </w:t>
      </w:r>
      <w:r w:rsidRPr="00596B01">
        <w:rPr>
          <w:rFonts w:ascii="Verdana" w:hAnsi="Verdana" w:cs="Arial"/>
          <w:color w:val="000000" w:themeColor="text1"/>
          <w:lang w:val="es-MX"/>
        </w:rPr>
        <w:t xml:space="preserve">o especializados para su ejecución. En los contratos de apoyo a la gestión </w:t>
      </w:r>
      <w:r w:rsidRPr="00596B01">
        <w:rPr>
          <w:rFonts w:ascii="Verdana" w:hAnsi="Verdana" w:cs="Arial"/>
          <w:color w:val="000000" w:themeColor="text1"/>
          <w:lang w:val="es-ES_tradnl"/>
        </w:rPr>
        <w:t xml:space="preserve">el contratista desempeña un esfuerzo o actividad de apoyo, acompañamiento, o soporte, </w:t>
      </w:r>
      <w:r w:rsidRPr="00596B01">
        <w:rPr>
          <w:rFonts w:ascii="Verdana" w:hAnsi="Verdana" w:cs="Arial"/>
          <w:color w:val="000000" w:themeColor="text1"/>
          <w:lang w:val="es-MX"/>
        </w:rPr>
        <w:t xml:space="preserve">donde </w:t>
      </w:r>
      <w:r w:rsidRPr="00596B01">
        <w:rPr>
          <w:rFonts w:ascii="Verdana" w:hAnsi="Verdana" w:cs="Arial"/>
          <w:i/>
          <w:iCs/>
          <w:color w:val="000000" w:themeColor="text1"/>
          <w:lang w:val="es-MX"/>
        </w:rPr>
        <w:t>“</w:t>
      </w:r>
      <w:r w:rsidRPr="00596B01">
        <w:rPr>
          <w:rFonts w:ascii="Verdana" w:hAnsi="Verdana" w:cs="Arial"/>
          <w:i/>
          <w:iCs/>
          <w:color w:val="000000" w:themeColor="text1"/>
          <w:lang w:val="es-ES_tradnl"/>
        </w:rPr>
        <w:t xml:space="preserve">lo predominante es el actuar como ejecutor, </w:t>
      </w:r>
      <w:r w:rsidRPr="00596B01">
        <w:rPr>
          <w:rFonts w:ascii="Verdana" w:hAnsi="Verdana" w:cs="Arial"/>
          <w:i/>
          <w:iCs/>
          <w:color w:val="000000" w:themeColor="text1"/>
          <w:lang w:val="es-ES_tradnl"/>
        </w:rPr>
        <w:lastRenderedPageBreak/>
        <w:t>con el propósito y finalidad de satisfacer necesidades de las entidades estatales en lo relacionado con la gestión administrativa o funcionamiento de la misma, por personas no profesionales y que no implican el ejercicio de funciones públicas administrativas”</w:t>
      </w:r>
      <w:r w:rsidRPr="00596B01">
        <w:rPr>
          <w:rFonts w:ascii="Verdana" w:hAnsi="Verdana" w:cs="Arial"/>
          <w:color w:val="000000" w:themeColor="text1"/>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5B6A388C" w14:textId="77777777" w:rsidR="00FE2618" w:rsidRPr="00596B01" w:rsidRDefault="00FE2618" w:rsidP="00FE2618">
      <w:pPr>
        <w:spacing w:before="120" w:after="120" w:line="276" w:lineRule="auto"/>
        <w:ind w:firstLine="709"/>
        <w:jc w:val="both"/>
        <w:rPr>
          <w:rFonts w:ascii="Verdana" w:eastAsia="Calibri" w:hAnsi="Verdana" w:cs="Arial"/>
          <w:color w:val="000000" w:themeColor="text1"/>
        </w:rPr>
      </w:pPr>
      <w:r w:rsidRPr="00596B01">
        <w:rPr>
          <w:rFonts w:ascii="Verdana" w:eastAsia="Calibri" w:hAnsi="Verdana" w:cs="Arial"/>
          <w:color w:val="000000" w:themeColor="text1"/>
        </w:rPr>
        <w:t>De otra parte, la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Pr="00596B01">
        <w:rPr>
          <w:rFonts w:ascii="Verdana" w:eastAsia="Calibri" w:hAnsi="Verdana" w:cs="Arial"/>
          <w:color w:val="000000" w:themeColor="text1"/>
          <w:vertAlign w:val="superscript"/>
        </w:rPr>
        <w:footnoteReference w:id="4"/>
      </w:r>
      <w:r w:rsidRPr="00596B01">
        <w:rPr>
          <w:rFonts w:ascii="Verdana" w:eastAsia="Calibri" w:hAnsi="Verdana" w:cs="Arial"/>
          <w:color w:val="000000" w:themeColor="text1"/>
        </w:rPr>
        <w:t xml:space="preserve">. </w:t>
      </w:r>
    </w:p>
    <w:p w14:paraId="1508341F" w14:textId="77777777" w:rsidR="00FE2618" w:rsidRPr="00596B01" w:rsidRDefault="00FE2618" w:rsidP="00FE2618">
      <w:pPr>
        <w:spacing w:before="120" w:after="120" w:line="276" w:lineRule="auto"/>
        <w:ind w:firstLine="709"/>
        <w:jc w:val="both"/>
        <w:rPr>
          <w:rFonts w:ascii="Verdana" w:eastAsia="Calibri" w:hAnsi="Verdana" w:cs="Arial"/>
          <w:color w:val="000000" w:themeColor="text1"/>
        </w:rPr>
      </w:pPr>
      <w:r w:rsidRPr="00596B01">
        <w:rPr>
          <w:rFonts w:ascii="Verdana" w:eastAsia="Calibri" w:hAnsi="Verdana" w:cs="Arial"/>
          <w:color w:val="000000" w:themeColor="text1"/>
        </w:rPr>
        <w:t xml:space="preserve">En relación con la exigencia de la tarjeta profesional para celebrar el contrato de prestación de servicios, el artículo 26 de la Constitución Política indica que </w:t>
      </w:r>
      <w:r w:rsidRPr="00596B01">
        <w:rPr>
          <w:rFonts w:ascii="Verdana" w:eastAsia="Calibri" w:hAnsi="Verdana" w:cs="Arial"/>
          <w:i/>
          <w:iCs/>
          <w:color w:val="000000" w:themeColor="text1"/>
        </w:rPr>
        <w:t>“[…] La Ley podrá exigir títulos de idoneidad. […]”.</w:t>
      </w:r>
      <w:r w:rsidRPr="00596B01">
        <w:rPr>
          <w:rFonts w:ascii="Verdana" w:eastAsia="Calibri" w:hAnsi="Verdana" w:cs="Arial"/>
          <w:color w:val="000000" w:themeColor="text1"/>
        </w:rPr>
        <w:t xml:space="preserve"> Al respecto, La Corte Constitucional, en Sentencia C–697 de 2000, explicó que la Constitución Política autorizó al legislador para exigir determinados títulos de idoneidad a quienes quieren desempeñar actividades que impliquen riesgo social, con el objetivo de demostrar la adecuada aptitud del aspirante, así</w:t>
      </w:r>
      <w:r w:rsidRPr="00596B01">
        <w:rPr>
          <w:rFonts w:ascii="Verdana" w:eastAsia="Calibri" w:hAnsi="Verdana" w:cs="Arial"/>
          <w:color w:val="000000" w:themeColor="text1"/>
          <w:vertAlign w:val="superscript"/>
        </w:rPr>
        <w:footnoteReference w:id="5"/>
      </w:r>
      <w:r w:rsidRPr="00596B01">
        <w:rPr>
          <w:rFonts w:ascii="Verdana" w:eastAsia="Calibri" w:hAnsi="Verdana" w:cs="Arial"/>
          <w:color w:val="000000" w:themeColor="text1"/>
        </w:rPr>
        <w:t>:</w:t>
      </w:r>
    </w:p>
    <w:p w14:paraId="76C433E5" w14:textId="77777777" w:rsidR="00FE2618" w:rsidRPr="00596B01" w:rsidRDefault="00FE2618" w:rsidP="00FE2618">
      <w:pPr>
        <w:spacing w:after="0" w:line="240" w:lineRule="auto"/>
        <w:ind w:left="709" w:right="709"/>
        <w:jc w:val="both"/>
        <w:rPr>
          <w:rFonts w:ascii="Verdana" w:eastAsia="Calibri" w:hAnsi="Verdana" w:cs="Arial"/>
          <w:color w:val="000000" w:themeColor="text1"/>
          <w:sz w:val="20"/>
          <w:szCs w:val="20"/>
        </w:rPr>
      </w:pPr>
      <w:r w:rsidRPr="00596B01">
        <w:rPr>
          <w:rFonts w:ascii="Verdana" w:eastAsia="Calibri" w:hAnsi="Verdana" w:cs="Arial"/>
          <w:color w:val="000000" w:themeColor="text1"/>
          <w:sz w:val="20"/>
          <w:szCs w:val="20"/>
        </w:rPr>
        <w:t xml:space="preserve">“El derecho de todas las personas a escoger profesión u oficio (C.P. art. 26), es consecuencia directa del derecho al trabajo (C.P. art. 25) y al libre desarrollo de la personalidad (C.P. art. 16) y constituye, a su turno, uno </w:t>
      </w:r>
      <w:r w:rsidRPr="00596B01">
        <w:rPr>
          <w:rFonts w:ascii="Verdana" w:eastAsia="Calibri" w:hAnsi="Verdana" w:cs="Arial"/>
          <w:color w:val="000000" w:themeColor="text1"/>
          <w:sz w:val="20"/>
          <w:szCs w:val="20"/>
        </w:rPr>
        <w:lastRenderedPageBreak/>
        <w:t>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6007BF97" w14:textId="77777777" w:rsidR="00FE2618" w:rsidRPr="00596B01" w:rsidRDefault="00FE2618" w:rsidP="00FE2618">
      <w:pPr>
        <w:spacing w:after="0" w:line="240" w:lineRule="auto"/>
        <w:ind w:left="709" w:right="709"/>
        <w:jc w:val="both"/>
        <w:rPr>
          <w:rFonts w:ascii="Verdana" w:eastAsia="Calibri" w:hAnsi="Verdana" w:cs="Arial"/>
          <w:color w:val="000000" w:themeColor="text1"/>
          <w:sz w:val="20"/>
          <w:szCs w:val="20"/>
        </w:rPr>
      </w:pPr>
      <w:r w:rsidRPr="00596B01">
        <w:rPr>
          <w:rFonts w:ascii="Verdana" w:eastAsia="Calibri" w:hAnsi="Verdana" w:cs="Arial"/>
          <w:color w:val="000000" w:themeColor="text1"/>
          <w:sz w:val="20"/>
          <w:szCs w:val="20"/>
        </w:rPr>
        <w:t>[…]</w:t>
      </w:r>
    </w:p>
    <w:p w14:paraId="244DF72C" w14:textId="77777777" w:rsidR="00FE2618" w:rsidRPr="00596B01" w:rsidRDefault="00FE2618" w:rsidP="00FE2618">
      <w:pPr>
        <w:spacing w:after="0" w:line="240" w:lineRule="auto"/>
        <w:ind w:left="709" w:right="709"/>
        <w:jc w:val="both"/>
        <w:rPr>
          <w:rFonts w:ascii="Verdana" w:eastAsia="Calibri" w:hAnsi="Verdana" w:cs="Arial"/>
          <w:color w:val="000000" w:themeColor="text1"/>
          <w:sz w:val="20"/>
          <w:szCs w:val="20"/>
        </w:rPr>
      </w:pPr>
      <w:r w:rsidRPr="00596B01">
        <w:rPr>
          <w:rFonts w:ascii="Verdana" w:eastAsia="Calibri" w:hAnsi="Verdana" w:cs="Arial"/>
          <w:color w:val="000000" w:themeColor="text1"/>
          <w:sz w:val="20"/>
          <w:szCs w:val="20"/>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5E101B5D" w14:textId="77777777" w:rsidR="00FE2618" w:rsidRPr="00596B01" w:rsidRDefault="00FE2618" w:rsidP="00FE2618">
      <w:pPr>
        <w:spacing w:after="0" w:line="240" w:lineRule="auto"/>
        <w:ind w:left="709" w:right="709"/>
        <w:jc w:val="both"/>
        <w:rPr>
          <w:rFonts w:ascii="Verdana" w:eastAsia="Calibri" w:hAnsi="Verdana" w:cs="Arial"/>
          <w:color w:val="000000" w:themeColor="text1"/>
          <w:sz w:val="20"/>
          <w:szCs w:val="20"/>
        </w:rPr>
      </w:pPr>
    </w:p>
    <w:p w14:paraId="2AF6AA75" w14:textId="77777777" w:rsidR="00FE2618" w:rsidRPr="00596B01" w:rsidRDefault="00FE2618" w:rsidP="00FE2618">
      <w:pPr>
        <w:spacing w:after="120" w:line="276" w:lineRule="auto"/>
        <w:ind w:firstLine="709"/>
        <w:jc w:val="both"/>
        <w:rPr>
          <w:rFonts w:ascii="Verdana" w:eastAsia="Calibri" w:hAnsi="Verdana" w:cs="Arial"/>
          <w:color w:val="000000" w:themeColor="text1"/>
        </w:rPr>
      </w:pPr>
      <w:r w:rsidRPr="00596B01">
        <w:rPr>
          <w:rFonts w:ascii="Verdana" w:eastAsia="Calibri" w:hAnsi="Verdana" w:cs="Arial"/>
          <w:color w:val="000000" w:themeColor="text1"/>
        </w:rPr>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53F62504" w14:textId="77777777" w:rsidR="00FE2618" w:rsidRPr="00596B01" w:rsidRDefault="00FE2618" w:rsidP="00FE2618">
      <w:pPr>
        <w:spacing w:after="120" w:line="276" w:lineRule="auto"/>
        <w:ind w:firstLine="708"/>
        <w:jc w:val="both"/>
        <w:rPr>
          <w:rFonts w:ascii="Verdana" w:hAnsi="Verdana" w:cs="Arial"/>
          <w:color w:val="000000" w:themeColor="text1"/>
        </w:rPr>
      </w:pPr>
      <w:r w:rsidRPr="00596B01">
        <w:rPr>
          <w:rFonts w:ascii="Verdana" w:hAnsi="Verdana" w:cs="Arial"/>
          <w:color w:val="000000" w:themeColor="text1"/>
        </w:rPr>
        <w:t xml:space="preserve">Particularmente, el ejercicio de la profesión de abogado es regulado por el Decreto 196 de 1971. El artículo 1 de esta norma establece que </w:t>
      </w:r>
      <w:r w:rsidRPr="00596B01">
        <w:rPr>
          <w:rFonts w:ascii="Verdana" w:hAnsi="Verdana" w:cs="Arial"/>
          <w:i/>
          <w:iCs/>
          <w:color w:val="000000" w:themeColor="text1"/>
        </w:rPr>
        <w:t>“La abogacía tiene como función social la de colaborar con las autoridades en la conservación y perfeccionamiento del orden jurídico del país, y en la realización de una recta y cumplida administración de justicia”</w:t>
      </w:r>
      <w:r w:rsidRPr="00596B01">
        <w:rPr>
          <w:rFonts w:ascii="Verdana" w:hAnsi="Verdana" w:cs="Arial"/>
          <w:color w:val="000000" w:themeColor="text1"/>
        </w:rPr>
        <w:t xml:space="preserve">. De acuerdo con su artículo 4º </w:t>
      </w:r>
      <w:r w:rsidRPr="00596B01">
        <w:rPr>
          <w:rFonts w:ascii="Verdana" w:hAnsi="Verdana" w:cs="Arial"/>
          <w:i/>
          <w:iCs/>
          <w:color w:val="000000" w:themeColor="text1"/>
        </w:rPr>
        <w:t>“Para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w:t>
      </w:r>
      <w:r w:rsidRPr="00596B01">
        <w:rPr>
          <w:rFonts w:ascii="Verdana" w:hAnsi="Verdana" w:cs="Arial"/>
          <w:color w:val="000000" w:themeColor="text1"/>
        </w:rPr>
        <w:t xml:space="preserve">; la inscripción como abogado se realiza ante el Consejo Superior de la Judicatura, autoridad que por expreso </w:t>
      </w:r>
      <w:r w:rsidRPr="00596B01">
        <w:rPr>
          <w:rFonts w:ascii="Verdana" w:hAnsi="Verdana" w:cs="Arial"/>
          <w:color w:val="000000" w:themeColor="text1"/>
        </w:rPr>
        <w:lastRenderedPageBreak/>
        <w:t>mandato legal tiene, entre otras, la función de llevar el registro nacional de abogados</w:t>
      </w:r>
      <w:r w:rsidRPr="00596B01">
        <w:rPr>
          <w:rStyle w:val="Refdenotaalpie"/>
          <w:rFonts w:ascii="Verdana" w:hAnsi="Verdana" w:cs="Arial"/>
          <w:color w:val="000000" w:themeColor="text1"/>
        </w:rPr>
        <w:footnoteReference w:id="6"/>
      </w:r>
      <w:r w:rsidRPr="00596B01">
        <w:rPr>
          <w:rFonts w:ascii="Verdana" w:hAnsi="Verdana" w:cs="Arial"/>
          <w:color w:val="000000" w:themeColor="text1"/>
        </w:rPr>
        <w:t>. Posterior a la inscripción del abogado se expide la tarjeta profesional.</w:t>
      </w:r>
    </w:p>
    <w:p w14:paraId="24F6F47B"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310DC6FC"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Sin perjuicio de lo anterior, con la expedición de la Ley 1905 de 2018 establecieron nuevas disposiciones relacionadas con el ejercicio de la profesión de abogado. En particular, esta norma crea un </w:t>
      </w:r>
      <w:r w:rsidRPr="00596B01">
        <w:rPr>
          <w:rFonts w:ascii="Verdana" w:hAnsi="Verdana" w:cs="Arial"/>
          <w:i/>
          <w:iCs/>
          <w:color w:val="000000" w:themeColor="text1"/>
        </w:rPr>
        <w:t>Examen de Estado</w:t>
      </w:r>
      <w:r w:rsidRPr="00596B01">
        <w:rPr>
          <w:rFonts w:ascii="Verdana" w:hAnsi="Verdana" w:cs="Arial"/>
          <w:color w:val="000000" w:themeColor="text1"/>
        </w:rPr>
        <w:t xml:space="preserve"> cuya aprobación se constituye en un requisito para el ejercicio de la profesión de abogado. Al respecto, el primer inciso del artículo 1 de esta ley establece que </w:t>
      </w:r>
      <w:r w:rsidRPr="00596B01">
        <w:rPr>
          <w:rFonts w:ascii="Verdana" w:hAnsi="Verdana" w:cs="Arial"/>
          <w:i/>
          <w:iCs/>
          <w:color w:val="000000" w:themeColor="text1"/>
        </w:rPr>
        <w:t>“Para ejercer la profesión de abogado, además de los requisitos exigidos en las normas legales vigentes, el graduado deberá acreditar certificación de aprobación del Examen de Estado que para el efecto realice el Consejo Superior de la Judicatura […]”</w:t>
      </w:r>
      <w:r w:rsidRPr="00596B01">
        <w:rPr>
          <w:rFonts w:ascii="Verdana" w:hAnsi="Verdana" w:cs="Arial"/>
          <w:color w:val="000000" w:themeColor="text1"/>
        </w:rPr>
        <w:t xml:space="preserve">. </w:t>
      </w:r>
      <w:r w:rsidRPr="00596B01">
        <w:rPr>
          <w:rFonts w:ascii="Verdana" w:hAnsi="Verdana" w:cs="Arial"/>
          <w:i/>
          <w:iCs/>
          <w:color w:val="000000" w:themeColor="text1"/>
        </w:rPr>
        <w:t xml:space="preserve"> </w:t>
      </w:r>
      <w:r w:rsidRPr="00596B01">
        <w:rPr>
          <w:rFonts w:ascii="Verdana" w:hAnsi="Verdana" w:cs="Arial"/>
          <w:color w:val="000000" w:themeColor="text1"/>
        </w:rPr>
        <w:t xml:space="preserve">De acuerdo con el segundo inciso del artículo 1, se entenderá aprobado el examen cuando el resultado supere la media del puntaje nacional de la respectiva prueba. </w:t>
      </w:r>
    </w:p>
    <w:p w14:paraId="78978324"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El parágrafo 2 del artículo 1 determina que, la certificación de aprobación será exigida para la expedición de la tarjeta profesional de abogado, estableciendo seguidamente que dicha tarjeta profesional será requisito para representar personas en calidad de abogado, mientras que no será necesaria para desarrollar otras actividades relacionadas con el ejercicio de la abogacía. No obstante, el artículo 2 de la Ley 1905 de 2018 establece que el requisito de idoneidad creado por dicha norma para el ejercicio de la profesión de abogado aplicará a quienes inicien la carrera de derecho después de su promulgación, dada el 28 de junio de 2018.  Esto significa que, al igual que la inscripción en el Registro Nacional de Abogados a la que se refieren los artículos 4 y ss. del Decreto 196 de 1971, la aprobación del examen de Estado creado por la Ley </w:t>
      </w:r>
      <w:r w:rsidRPr="00596B01">
        <w:rPr>
          <w:rFonts w:ascii="Verdana" w:hAnsi="Verdana" w:cs="Arial"/>
          <w:color w:val="000000" w:themeColor="text1"/>
        </w:rPr>
        <w:lastRenderedPageBreak/>
        <w:t xml:space="preserve">1905 de 2018 se constituye en un requisito legal de idoneidad requerido para el ejercicio de la abogacía. </w:t>
      </w:r>
    </w:p>
    <w:p w14:paraId="678EF4DC"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En atención a lo anterior, y de conformidad con lo dispuesto en el artículo 2.2.1.2.1.4.9 del Decreto 1082 de 2015, para la celebración de contratos de prestación de servicios profesionales que impliquen  el ejercicio de la abogacía, con personas que hayan iniciado estudios profesionales de derecho con posterioridad a la promulgación de la Ley 1905 de 2018, las Entidades Estatales están llamadas a verificar la idoneidad del eventual contratista exigiendo la acreditación de la inscripción en el Registro Nacional de Abogados y la aprobación del Examen de Estado regulado por la Ley 1905 de 2018. </w:t>
      </w:r>
    </w:p>
    <w:p w14:paraId="725494A1"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Al respecto es importante considerar que la abogacía no se limita a la representación judicial, sino que también puede involucrar, por ejemplo, actividades de asesoramiento o elaboración de documentos jurídicos. De hecho, de acuerdo con el artículo 2 del Decreto 196 de 1971, la principal misión del abogado es </w:t>
      </w:r>
      <w:r w:rsidRPr="00596B01">
        <w:rPr>
          <w:rFonts w:ascii="Verdana" w:hAnsi="Verdana" w:cs="Arial"/>
          <w:i/>
          <w:iCs/>
          <w:color w:val="000000" w:themeColor="text1"/>
        </w:rPr>
        <w:t>“defender en justicia los derechos de la sociedad y de los particulares. También es misión suya asesorar, patrocinar y asistir a las personas en la ordenación y desenvolvimiento de sus relaciones jurídicas”</w:t>
      </w:r>
      <w:r w:rsidRPr="00596B01">
        <w:rPr>
          <w:rFonts w:ascii="Verdana" w:hAnsi="Verdana" w:cs="Arial"/>
          <w:color w:val="000000" w:themeColor="text1"/>
        </w:rPr>
        <w:t xml:space="preserve">. </w:t>
      </w:r>
    </w:p>
    <w:p w14:paraId="31D6D63B" w14:textId="77777777" w:rsidR="00FE2618" w:rsidRPr="00596B01" w:rsidRDefault="00FE2618" w:rsidP="00FE2618">
      <w:pPr>
        <w:spacing w:before="120" w:after="120" w:line="276" w:lineRule="auto"/>
        <w:jc w:val="both"/>
        <w:rPr>
          <w:rFonts w:ascii="Verdana" w:hAnsi="Verdana" w:cs="Arial"/>
          <w:color w:val="000000" w:themeColor="text1"/>
        </w:rPr>
      </w:pPr>
      <w:r w:rsidRPr="00596B01">
        <w:rPr>
          <w:rFonts w:ascii="Verdana" w:hAnsi="Verdana" w:cs="Arial"/>
          <w:color w:val="000000" w:themeColor="text1"/>
        </w:rPr>
        <w:tab/>
        <w:t xml:space="preserve">En ese orden, el hecho de que el objeto contractual no implique la representación judicial no significa que la Entidad Estatal deba proceder a la celebración de los contratos con abogados sin verificar el cumplimiento de los requisitos establecidos en el Decreto 196 de 1971 y la Ley 1905 de 2018. Menos aun cuando, en lugar de un contrato de prestación de servicios de apoyo a la gestión u artísticos, lo que se pretende suscribir es un contrato de prestación de servicios profesionales que implica el ejercicio de la abogacía. </w:t>
      </w:r>
    </w:p>
    <w:p w14:paraId="19E56516"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Conforme a lo anterior, es necesario acreditar los requisitos antes descritos para quienes pretendan ejercer la abogacía en el marco de contratos de prestación de servicios profesionales, los cuales también pueden ser acreditados mediante la exhibición de la tarjeta profesional, en la medida en que para la expedición de este documento, también se torna indispensable la inscripción en el referido registro y la aprobación del </w:t>
      </w:r>
      <w:r w:rsidRPr="00596B01">
        <w:rPr>
          <w:rFonts w:ascii="Verdana" w:hAnsi="Verdana" w:cs="Arial"/>
          <w:i/>
          <w:iCs/>
          <w:color w:val="000000" w:themeColor="text1"/>
        </w:rPr>
        <w:t>Examen de Estado</w:t>
      </w:r>
      <w:r w:rsidRPr="00596B01">
        <w:rPr>
          <w:rFonts w:ascii="Verdana" w:hAnsi="Verdana" w:cs="Arial"/>
          <w:color w:val="000000" w:themeColor="text1"/>
        </w:rPr>
        <w:t xml:space="preserve">, de conformidad con lo dispuesto en los artículos 19 del Decreto 196 de 1971 y el parágrafo 2 del artículo 1 de la Ley 1905 de 2018. </w:t>
      </w:r>
    </w:p>
    <w:p w14:paraId="1063B3B1" w14:textId="2CCF350D"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Sin perjuicio de lo anterior, también resulta pertinente poner de presente que, el artículo 19 del Decreto 196 de 1971, permite la expedición de tarjeta </w:t>
      </w:r>
      <w:r w:rsidRPr="00596B01">
        <w:rPr>
          <w:rFonts w:ascii="Verdana" w:hAnsi="Verdana" w:cs="Arial"/>
          <w:color w:val="000000" w:themeColor="text1"/>
        </w:rPr>
        <w:lastRenderedPageBreak/>
        <w:t xml:space="preserve">profesional provisional, para que los abogados que se inscriben en el registro puedan utilizarla para ejercer la profesión mientras que se expide el documento definitivo. En concordancia con esto, el artículo 11 transitorio del Acuerdo PSCJA24-12162 del 9 de abril de 2024 expedido por el Consejo Superior de la Judicatura, contempla que, los abogados destinatarios de la Ley 1905 de 2018 podrán solicitar la expedición de tarjeta provisional con anotación de </w:t>
      </w:r>
      <w:r w:rsidRPr="00596B01">
        <w:rPr>
          <w:rFonts w:ascii="Verdana" w:hAnsi="Verdana" w:cs="Arial"/>
          <w:i/>
          <w:iCs/>
          <w:color w:val="000000" w:themeColor="text1"/>
        </w:rPr>
        <w:t>“Provisional”</w:t>
      </w:r>
      <w:r w:rsidRPr="00596B01">
        <w:rPr>
          <w:rFonts w:ascii="Verdana" w:hAnsi="Verdana" w:cs="Arial"/>
          <w:color w:val="000000" w:themeColor="text1"/>
        </w:rPr>
        <w:t xml:space="preserve">, </w:t>
      </w:r>
      <w:r w:rsidRPr="00596B01">
        <w:rPr>
          <w:rFonts w:ascii="Verdana" w:hAnsi="Verdana" w:cs="Arial"/>
          <w:i/>
          <w:iCs/>
          <w:color w:val="000000" w:themeColor="text1"/>
        </w:rPr>
        <w:t>“la cual tendrán vigencia hasta la publicación final de los resultados de la prueba aplicada el 26 de mayo de 2024”</w:t>
      </w:r>
      <w:r w:rsidRPr="00596B01">
        <w:rPr>
          <w:rFonts w:ascii="Verdana" w:hAnsi="Verdana" w:cs="Arial"/>
          <w:color w:val="000000" w:themeColor="text1"/>
        </w:rPr>
        <w:t>. De esta manera, la expedición de esta tarjeta profesional provisional.</w:t>
      </w:r>
    </w:p>
    <w:p w14:paraId="5BF157B4" w14:textId="77777777" w:rsidR="00FE2618" w:rsidRPr="00596B01" w:rsidRDefault="00FE2618" w:rsidP="00FE261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Con todo, es importante mencionar que, la implementación del </w:t>
      </w:r>
      <w:r w:rsidRPr="00596B01">
        <w:rPr>
          <w:rFonts w:ascii="Verdana" w:hAnsi="Verdana" w:cs="Arial"/>
          <w:i/>
          <w:iCs/>
          <w:color w:val="000000" w:themeColor="text1"/>
        </w:rPr>
        <w:t>Examen de Estado</w:t>
      </w:r>
      <w:r w:rsidRPr="00596B01">
        <w:rPr>
          <w:rFonts w:ascii="Verdana" w:hAnsi="Verdana" w:cs="Arial"/>
          <w:color w:val="000000" w:themeColor="text1"/>
        </w:rPr>
        <w:t xml:space="preserve"> creado por la Ley 1905 de 2018 ha estado sujeta distintas dificultades, que han propiciado afectaciones al derecho fundamental a escoger libremente y ejercer profesión u oficio de los destinatarios de esta normativa, que llevaron a que la Corte Constitucional expidiera la Sentencia SU-128 de 18 de abril de 2024.  En síntesis, en esta providencia, la referida Alta Corporación judicial encontró lo siguiente: </w:t>
      </w:r>
    </w:p>
    <w:p w14:paraId="54BE7C64"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lang w:val="es-MX"/>
        </w:rPr>
      </w:pPr>
      <w:r w:rsidRPr="00596B01">
        <w:rPr>
          <w:rFonts w:ascii="Verdana" w:hAnsi="Verdana" w:cs="Arial"/>
          <w:color w:val="000000" w:themeColor="text1"/>
          <w:sz w:val="20"/>
          <w:szCs w:val="20"/>
          <w:lang w:val="es-ES"/>
        </w:rPr>
        <w:t>“261.   </w:t>
      </w:r>
      <w:r w:rsidRPr="00596B01">
        <w:rPr>
          <w:rFonts w:ascii="Verdana" w:hAnsi="Verdana" w:cs="Arial"/>
          <w:color w:val="000000" w:themeColor="text1"/>
          <w:sz w:val="20"/>
          <w:szCs w:val="20"/>
          <w:lang w:val="es-MX"/>
        </w:rPr>
        <w:t>La Corte observó que el Consejo Superior de la Judicatura no actuó con la debida diligencia respecto de su deber de crear e implementar el examen de Estado regulado en la Ley 1905 de 2018. La Corte puso de presente que han transcurrido casi seis años desde la promulgación de la Ley 1905 de 2018 sin que el Consejo Superior de la Judicatura haya dado efectivo cumplimiento a la obligación allí dispuesta de realizar el mencionado Examen de Estado.</w:t>
      </w:r>
    </w:p>
    <w:p w14:paraId="2AB6E6AA"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rPr>
      </w:pPr>
    </w:p>
    <w:p w14:paraId="45BBD589"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rPr>
      </w:pPr>
      <w:r w:rsidRPr="00596B01">
        <w:rPr>
          <w:rFonts w:ascii="Verdana" w:hAnsi="Verdana" w:cs="Arial"/>
          <w:color w:val="000000" w:themeColor="text1"/>
          <w:sz w:val="20"/>
          <w:szCs w:val="20"/>
          <w:lang w:val="es-ES"/>
        </w:rPr>
        <w:t>262.   </w:t>
      </w:r>
      <w:r w:rsidRPr="00596B01">
        <w:rPr>
          <w:rFonts w:ascii="Verdana" w:hAnsi="Verdana" w:cs="Arial"/>
          <w:color w:val="000000" w:themeColor="text1"/>
          <w:sz w:val="20"/>
          <w:szCs w:val="20"/>
          <w:lang w:val="es-MX"/>
        </w:rPr>
        <w:t>La Sala también encontró que el Consejo Superior de la Judicatura, ante su propia omisión en la implementación del Examen, optó por expedirles a los graduados destinatarios de la Ley 1905 de 2018 unas tarjetas profesionales de carácter provisional, con vigencia hasta la publicación final de los resultados de la primera prueba. Para este Tribunal, el hecho de que a tales personas se les habilitara el ejercicio de la profesión de manera provisional y no definitiva, por no haber presentado un examen que aún no había sido implementado implicó (i) una extralimitación de las competencias del Consejo Superior de la Judicatura y (ii) una restricción injustificada de la libertad de ejercer la profesión, por lo demás con graves implicaciones para la seguridad jurídica, el principio de confianza legítima y el acceso de la ciudadanía a la administración de justicia”</w:t>
      </w:r>
      <w:r w:rsidRPr="00596B01">
        <w:rPr>
          <w:rStyle w:val="Refdenotaalpie"/>
          <w:rFonts w:ascii="Verdana" w:hAnsi="Verdana" w:cs="Arial"/>
          <w:color w:val="000000" w:themeColor="text1"/>
          <w:sz w:val="20"/>
          <w:szCs w:val="20"/>
          <w:lang w:val="es-MX"/>
        </w:rPr>
        <w:footnoteReference w:id="7"/>
      </w:r>
      <w:r w:rsidRPr="00596B01">
        <w:rPr>
          <w:rFonts w:ascii="Verdana" w:hAnsi="Verdana" w:cs="Arial"/>
          <w:color w:val="000000" w:themeColor="text1"/>
          <w:sz w:val="20"/>
          <w:szCs w:val="20"/>
          <w:lang w:val="es-MX"/>
        </w:rPr>
        <w:t>.</w:t>
      </w:r>
    </w:p>
    <w:p w14:paraId="51FBB113" w14:textId="77777777" w:rsidR="00FE2618" w:rsidRPr="00596B01" w:rsidRDefault="00FE2618" w:rsidP="00FE2618">
      <w:pPr>
        <w:spacing w:after="0" w:line="240" w:lineRule="auto"/>
        <w:ind w:right="709"/>
        <w:jc w:val="both"/>
        <w:rPr>
          <w:rFonts w:ascii="Verdana" w:hAnsi="Verdana" w:cs="Arial"/>
          <w:color w:val="000000" w:themeColor="text1"/>
          <w:sz w:val="20"/>
          <w:szCs w:val="20"/>
          <w:lang w:val="es-ES"/>
        </w:rPr>
      </w:pPr>
    </w:p>
    <w:p w14:paraId="3FC50A9B" w14:textId="77777777" w:rsidR="00FE2618" w:rsidRPr="00596B01" w:rsidRDefault="00FE2618" w:rsidP="00FE2618">
      <w:pPr>
        <w:spacing w:after="0" w:line="276" w:lineRule="auto"/>
        <w:ind w:right="49" w:firstLine="708"/>
        <w:jc w:val="both"/>
        <w:rPr>
          <w:rFonts w:ascii="Verdana" w:hAnsi="Verdana" w:cs="Arial"/>
          <w:i/>
          <w:iCs/>
          <w:color w:val="000000" w:themeColor="text1"/>
          <w:lang w:val="es-ES"/>
        </w:rPr>
      </w:pPr>
      <w:r w:rsidRPr="00596B01">
        <w:rPr>
          <w:rFonts w:ascii="Verdana" w:hAnsi="Verdana" w:cs="Arial"/>
          <w:color w:val="000000" w:themeColor="text1"/>
          <w:lang w:val="es-ES"/>
        </w:rPr>
        <w:lastRenderedPageBreak/>
        <w:t xml:space="preserve">En consideración a lo anterior, la Corte Constitucional tomó las siguientes decisiones, en el marco de esta sentencia de unificación con efectos </w:t>
      </w:r>
      <w:r w:rsidRPr="00596B01">
        <w:rPr>
          <w:rFonts w:ascii="Verdana" w:hAnsi="Verdana" w:cs="Arial"/>
          <w:i/>
          <w:iCs/>
          <w:color w:val="000000" w:themeColor="text1"/>
          <w:lang w:val="es-ES"/>
        </w:rPr>
        <w:t xml:space="preserve">inter pares: </w:t>
      </w:r>
    </w:p>
    <w:p w14:paraId="0534BAF2" w14:textId="77777777" w:rsidR="00FE2618" w:rsidRPr="00596B01" w:rsidRDefault="00FE2618" w:rsidP="00FE2618">
      <w:pPr>
        <w:spacing w:after="0" w:line="240" w:lineRule="auto"/>
        <w:ind w:right="709"/>
        <w:jc w:val="both"/>
        <w:rPr>
          <w:rFonts w:ascii="Verdana" w:hAnsi="Verdana" w:cs="Arial"/>
          <w:i/>
          <w:iCs/>
          <w:color w:val="000000" w:themeColor="text1"/>
          <w:sz w:val="20"/>
          <w:szCs w:val="20"/>
          <w:lang w:val="es-ES"/>
        </w:rPr>
      </w:pPr>
    </w:p>
    <w:p w14:paraId="52F49933"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rPr>
      </w:pPr>
      <w:r w:rsidRPr="00596B01">
        <w:rPr>
          <w:rFonts w:ascii="Verdana" w:hAnsi="Verdana" w:cs="Arial"/>
          <w:color w:val="000000" w:themeColor="text1"/>
          <w:sz w:val="20"/>
          <w:szCs w:val="20"/>
          <w:lang w:val="es-ES"/>
        </w:rPr>
        <w:t>“263.   </w:t>
      </w:r>
      <w:r w:rsidRPr="00596B01">
        <w:rPr>
          <w:rFonts w:ascii="Verdana" w:hAnsi="Verdana" w:cs="Arial"/>
          <w:color w:val="000000" w:themeColor="text1"/>
          <w:sz w:val="20"/>
          <w:szCs w:val="20"/>
          <w:lang w:val="es-MX"/>
        </w:rPr>
        <w:t>[…] conceder el amparo invocado por los accionantes e inaplicar por inconstitucional el artículo 11 transitorio del Acuerdo PCSJA24-12162 de 9 de abril de 2024 del Consejo Superior de la Judicatura que prevé la categoría de tarjeta profesional provisional para los destinatarios de la Ley 1905 de 2018.</w:t>
      </w:r>
    </w:p>
    <w:p w14:paraId="0CA617B7"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lang w:val="es-ES"/>
        </w:rPr>
      </w:pPr>
    </w:p>
    <w:p w14:paraId="5AE88751" w14:textId="77777777" w:rsidR="00FE2618" w:rsidRPr="00596B01" w:rsidRDefault="00FE2618" w:rsidP="00FE2618">
      <w:pPr>
        <w:spacing w:after="0" w:line="240" w:lineRule="auto"/>
        <w:ind w:left="709" w:right="709"/>
        <w:jc w:val="both"/>
        <w:rPr>
          <w:rFonts w:ascii="Verdana" w:hAnsi="Verdana" w:cs="Arial"/>
          <w:i/>
          <w:iCs/>
          <w:color w:val="000000" w:themeColor="text1"/>
          <w:sz w:val="20"/>
          <w:szCs w:val="20"/>
          <w:u w:val="single"/>
        </w:rPr>
      </w:pPr>
      <w:r w:rsidRPr="00596B01">
        <w:rPr>
          <w:rFonts w:ascii="Verdana" w:hAnsi="Verdana" w:cs="Arial"/>
          <w:color w:val="000000" w:themeColor="text1"/>
          <w:sz w:val="20"/>
          <w:szCs w:val="20"/>
          <w:lang w:val="es-ES"/>
        </w:rPr>
        <w:t>264.   </w:t>
      </w:r>
      <w:r w:rsidRPr="00596B01">
        <w:rPr>
          <w:rFonts w:ascii="Verdana" w:hAnsi="Verdana" w:cs="Arial"/>
          <w:color w:val="000000" w:themeColor="text1"/>
          <w:sz w:val="20"/>
          <w:szCs w:val="20"/>
          <w:lang w:val="es-MX"/>
        </w:rPr>
        <w:t xml:space="preserve">En consecuencia, la Corte ordenó al Consejo Superior de la Judicatura expedir a los accionantes la tarjeta profesional de abogado con carácter definitivo y sin la exigencia de aprobación del Examen de Estado previsto en la Ley 1905 de 2018. </w:t>
      </w:r>
      <w:r w:rsidRPr="00596B01">
        <w:rPr>
          <w:rFonts w:ascii="Verdana" w:hAnsi="Verdana" w:cs="Arial"/>
          <w:i/>
          <w:iCs/>
          <w:color w:val="000000" w:themeColor="text1"/>
          <w:sz w:val="20"/>
          <w:szCs w:val="20"/>
          <w:u w:val="single"/>
          <w:lang w:val="es-MX"/>
        </w:rPr>
        <w:t>La Corte otorgó efectos inter pares a esta decisión, y en virtud de ellos resolvió que estas mismas órdenes deberán cumplirse frente a: (i) todas aquellas personas graduadas del pregrado en Derecho y destinatarias de la Ley 1905 de 2018 a quienes el Consejo Superior de la Judicatura hubiere expedido tarjeta profesional provisional y que presentaron la solicitud de tarjeta antes de las cero horas (0:00) del 26 de diciembre de 2023, fecha en la cual dicha entidad abrió las inscripciones para la primera aplicación del Examen de Estado, y (ii)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259C2557" w14:textId="77777777" w:rsidR="00FE2618" w:rsidRPr="00596B01" w:rsidRDefault="00FE2618" w:rsidP="00FE2618">
      <w:pPr>
        <w:spacing w:after="0" w:line="240" w:lineRule="auto"/>
        <w:ind w:left="709" w:right="709" w:firstLine="709"/>
        <w:jc w:val="both"/>
        <w:rPr>
          <w:rFonts w:ascii="Verdana" w:hAnsi="Verdana" w:cs="Arial"/>
          <w:color w:val="000000" w:themeColor="text1"/>
          <w:sz w:val="20"/>
          <w:szCs w:val="20"/>
        </w:rPr>
      </w:pPr>
      <w:r w:rsidRPr="00596B01">
        <w:rPr>
          <w:rFonts w:ascii="Verdana" w:hAnsi="Verdana" w:cs="Arial"/>
          <w:color w:val="000000" w:themeColor="text1"/>
          <w:sz w:val="20"/>
          <w:szCs w:val="20"/>
        </w:rPr>
        <w:t> </w:t>
      </w:r>
    </w:p>
    <w:p w14:paraId="72513832" w14:textId="77777777" w:rsidR="00FE2618" w:rsidRPr="00596B01" w:rsidRDefault="00FE2618" w:rsidP="00FE2618">
      <w:pPr>
        <w:spacing w:after="0" w:line="240" w:lineRule="auto"/>
        <w:ind w:left="709" w:right="709"/>
        <w:jc w:val="both"/>
        <w:rPr>
          <w:rFonts w:ascii="Verdana" w:hAnsi="Verdana" w:cs="Arial"/>
          <w:color w:val="000000" w:themeColor="text1"/>
          <w:sz w:val="20"/>
          <w:szCs w:val="20"/>
        </w:rPr>
      </w:pPr>
      <w:r w:rsidRPr="00596B01">
        <w:rPr>
          <w:rFonts w:ascii="Verdana" w:hAnsi="Verdana" w:cs="Arial"/>
          <w:color w:val="000000" w:themeColor="text1"/>
          <w:sz w:val="20"/>
          <w:szCs w:val="20"/>
          <w:lang w:val="es-ES"/>
        </w:rPr>
        <w:t>265.   </w:t>
      </w:r>
      <w:r w:rsidRPr="00596B01">
        <w:rPr>
          <w:rFonts w:ascii="Verdana" w:hAnsi="Verdana" w:cs="Arial"/>
          <w:color w:val="000000" w:themeColor="text1"/>
          <w:sz w:val="20"/>
          <w:szCs w:val="20"/>
        </w:rPr>
        <w:t>La Corte también ordenó al Consejo Superior de la Judicatura que, si al 30 de mayo de 2024 no se ha llevado a cabo la aplicación de la primera prueba del Examen de Estado, deberá expedir la tarjeta profesional definitiva a todas las personas admitidas como inscritas al examen, siempre y cuando satisfagan los demás requisitos vigentes para la expedición de la tarjeta profesional. Esto, en el evento en que la no realización del examen sea atribuible a las entidades a cargo de su aplicación. […]”</w:t>
      </w:r>
      <w:r w:rsidRPr="00596B01">
        <w:rPr>
          <w:rStyle w:val="Refdenotaalpie"/>
          <w:rFonts w:ascii="Verdana" w:hAnsi="Verdana" w:cs="Arial"/>
          <w:color w:val="000000" w:themeColor="text1"/>
          <w:sz w:val="20"/>
          <w:szCs w:val="20"/>
        </w:rPr>
        <w:footnoteReference w:id="8"/>
      </w:r>
      <w:r w:rsidRPr="00596B01">
        <w:rPr>
          <w:rFonts w:ascii="Verdana" w:hAnsi="Verdana" w:cs="Arial"/>
          <w:color w:val="000000" w:themeColor="text1"/>
          <w:sz w:val="20"/>
          <w:szCs w:val="20"/>
        </w:rPr>
        <w:t>. [Énfasis fuera de texto].</w:t>
      </w:r>
    </w:p>
    <w:p w14:paraId="30E5BBD8" w14:textId="2A87BFDC" w:rsidR="00FE2618" w:rsidRPr="00596B01" w:rsidRDefault="00FE2618" w:rsidP="00FE2618">
      <w:pPr>
        <w:spacing w:before="120" w:after="120" w:line="276" w:lineRule="auto"/>
        <w:jc w:val="both"/>
        <w:rPr>
          <w:rFonts w:ascii="Verdana" w:hAnsi="Verdana" w:cs="Arial"/>
          <w:color w:val="000000" w:themeColor="text1"/>
        </w:rPr>
      </w:pPr>
      <w:r w:rsidRPr="00596B01">
        <w:rPr>
          <w:rFonts w:ascii="Verdana" w:hAnsi="Verdana" w:cs="Arial"/>
          <w:color w:val="000000" w:themeColor="text1"/>
        </w:rPr>
        <w:tab/>
        <w:t xml:space="preserve">De acuerdo con lo </w:t>
      </w:r>
      <w:r w:rsidR="00813AF5" w:rsidRPr="00596B01">
        <w:rPr>
          <w:rFonts w:ascii="Verdana" w:hAnsi="Verdana" w:cs="Arial"/>
          <w:color w:val="000000" w:themeColor="text1"/>
        </w:rPr>
        <w:t>expuesto</w:t>
      </w:r>
      <w:r w:rsidRPr="00596B01">
        <w:rPr>
          <w:rFonts w:ascii="Verdana" w:hAnsi="Verdana" w:cs="Arial"/>
          <w:color w:val="000000" w:themeColor="text1"/>
        </w:rPr>
        <w:t xml:space="preserve">, ante la falta de diligencia del Consejo Superior de la Judicatura en la implementación del </w:t>
      </w:r>
      <w:r w:rsidRPr="00596B01">
        <w:rPr>
          <w:rFonts w:ascii="Verdana" w:hAnsi="Verdana" w:cs="Arial"/>
          <w:i/>
          <w:iCs/>
          <w:color w:val="000000" w:themeColor="text1"/>
        </w:rPr>
        <w:t xml:space="preserve">Examen del Estado </w:t>
      </w:r>
      <w:r w:rsidRPr="00596B01">
        <w:rPr>
          <w:rFonts w:ascii="Verdana" w:hAnsi="Verdana" w:cs="Arial"/>
          <w:color w:val="000000" w:themeColor="text1"/>
        </w:rPr>
        <w:t xml:space="preserve">creado por la Ley 1905 de 2018, la Corte Constitucional no solo tomó la decisión de inaplicar el artículo 11 transitorio del Acuerdo PCSJA24-12162 de 9 de abril de 2024, sino que dispuso la expedición de la tarjeta profesional definitiva para todos aquellos destinatarios de la referida norma, que por la negligencia de la </w:t>
      </w:r>
      <w:r w:rsidRPr="00596B01">
        <w:rPr>
          <w:rFonts w:ascii="Verdana" w:hAnsi="Verdana" w:cs="Arial"/>
          <w:color w:val="000000" w:themeColor="text1"/>
        </w:rPr>
        <w:lastRenderedPageBreak/>
        <w:t>referida autoridad no han podido cumplir con el referido requisito, atribuyéndole efectos inter pares a esta decisión.</w:t>
      </w:r>
    </w:p>
    <w:p w14:paraId="786413AC" w14:textId="77777777" w:rsidR="00FE2618" w:rsidRPr="00596B01" w:rsidRDefault="00FE2618" w:rsidP="00FE2618">
      <w:pPr>
        <w:spacing w:before="120" w:after="120" w:line="276" w:lineRule="auto"/>
        <w:jc w:val="both"/>
        <w:rPr>
          <w:rFonts w:ascii="Verdana" w:hAnsi="Verdana" w:cs="Arial"/>
          <w:color w:val="000000" w:themeColor="text1"/>
        </w:rPr>
      </w:pPr>
      <w:r w:rsidRPr="00596B01">
        <w:rPr>
          <w:rFonts w:ascii="Verdana" w:hAnsi="Verdana" w:cs="Arial"/>
          <w:color w:val="000000" w:themeColor="text1"/>
        </w:rPr>
        <w:tab/>
        <w:t xml:space="preserve">Los efectos de esta decisión necesariamente se proyectan a la cuestión que aquí se estudia, en la medida en que, si bien como se estableció </w:t>
      </w:r>
      <w:r w:rsidRPr="00596B01">
        <w:rPr>
          <w:rFonts w:ascii="Verdana" w:hAnsi="Verdana" w:cs="Arial"/>
          <w:i/>
          <w:iCs/>
          <w:color w:val="000000" w:themeColor="text1"/>
        </w:rPr>
        <w:t>supra,</w:t>
      </w:r>
      <w:r w:rsidRPr="00596B01">
        <w:rPr>
          <w:rFonts w:ascii="Verdana" w:hAnsi="Verdana" w:cs="Arial"/>
          <w:color w:val="000000" w:themeColor="text1"/>
        </w:rPr>
        <w:t xml:space="preserve"> el examen establecido por la Ley 1905 de 2018 está destinado a ser un requisito necesario para el ejercicio de la abogacía, este deviene en inaplicable si la autoridad obligada a implementar el referido </w:t>
      </w:r>
      <w:r w:rsidRPr="00596B01">
        <w:rPr>
          <w:rFonts w:ascii="Verdana" w:hAnsi="Verdana" w:cs="Arial"/>
          <w:i/>
          <w:iCs/>
          <w:color w:val="000000" w:themeColor="text1"/>
        </w:rPr>
        <w:t>Examen de Estado</w:t>
      </w:r>
      <w:r w:rsidRPr="00596B01">
        <w:rPr>
          <w:rFonts w:ascii="Verdana" w:hAnsi="Verdana" w:cs="Arial"/>
          <w:color w:val="000000" w:themeColor="text1"/>
        </w:rPr>
        <w:t xml:space="preserve"> no ha permitido su cumplimiento, afectando con ello derechos fundamentales de los llamados a cumplir con la referida normativa.  </w:t>
      </w:r>
    </w:p>
    <w:p w14:paraId="3253B541" w14:textId="3D581419" w:rsidR="00FE2618" w:rsidRPr="00596B01" w:rsidRDefault="00FE2618" w:rsidP="00FE2618">
      <w:pPr>
        <w:spacing w:before="120" w:after="0" w:line="276" w:lineRule="auto"/>
        <w:jc w:val="both"/>
        <w:rPr>
          <w:rFonts w:ascii="Verdana" w:hAnsi="Verdana" w:cs="Arial"/>
          <w:color w:val="000000" w:themeColor="text1"/>
        </w:rPr>
      </w:pPr>
      <w:r w:rsidRPr="00596B01">
        <w:rPr>
          <w:rFonts w:ascii="Verdana" w:hAnsi="Verdana" w:cs="Arial"/>
          <w:color w:val="000000" w:themeColor="text1"/>
        </w:rPr>
        <w:tab/>
      </w:r>
      <w:r w:rsidR="00657C62" w:rsidRPr="00596B01">
        <w:rPr>
          <w:rFonts w:ascii="Verdana" w:hAnsi="Verdana" w:cs="Arial"/>
          <w:color w:val="000000" w:themeColor="text1"/>
        </w:rPr>
        <w:t>Así las cosas</w:t>
      </w:r>
      <w:r w:rsidRPr="00596B01">
        <w:rPr>
          <w:rFonts w:ascii="Verdana" w:hAnsi="Verdana" w:cs="Arial"/>
          <w:color w:val="000000" w:themeColor="text1"/>
        </w:rPr>
        <w:t xml:space="preserve">, está Subdirección estima que, el requisito establecido por la Ley 1905 de 2018, no resulta exigible para celebración de contratos de prestación de servicios profesionales que impliquen el ejercicio de la abogacía, con aquellas personas beneficiadas por los efectos </w:t>
      </w:r>
      <w:r w:rsidRPr="00596B01">
        <w:rPr>
          <w:rFonts w:ascii="Verdana" w:hAnsi="Verdana" w:cs="Arial"/>
          <w:i/>
          <w:iCs/>
          <w:color w:val="000000" w:themeColor="text1"/>
        </w:rPr>
        <w:t>inter pares</w:t>
      </w:r>
      <w:r w:rsidRPr="00596B01">
        <w:rPr>
          <w:rFonts w:ascii="Verdana" w:hAnsi="Verdana" w:cs="Arial"/>
          <w:color w:val="000000" w:themeColor="text1"/>
        </w:rPr>
        <w:t xml:space="preserve"> de la orden contenida en el ordinal sexto de la Sentencia SU-128 de 18 de abril de 2024 de la Corte Constitucional. En ese orden, el requisito no resulta aplicable  </w:t>
      </w:r>
      <w:r w:rsidRPr="00596B01">
        <w:rPr>
          <w:rFonts w:ascii="Verdana" w:hAnsi="Verdana" w:cs="Arial"/>
          <w:i/>
          <w:iCs/>
          <w:color w:val="000000" w:themeColor="text1"/>
        </w:rPr>
        <w:t>“(i)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(ii)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r w:rsidRPr="00596B01">
        <w:rPr>
          <w:rStyle w:val="Refdenotaalpie"/>
          <w:rFonts w:ascii="Verdana" w:hAnsi="Verdana" w:cs="Arial"/>
          <w:i/>
          <w:iCs/>
          <w:color w:val="000000" w:themeColor="text1"/>
        </w:rPr>
        <w:footnoteReference w:id="9"/>
      </w:r>
      <w:r w:rsidRPr="00596B01">
        <w:rPr>
          <w:rFonts w:ascii="Verdana" w:hAnsi="Verdana" w:cs="Arial"/>
          <w:color w:val="000000" w:themeColor="text1"/>
        </w:rPr>
        <w:t>.</w:t>
      </w:r>
    </w:p>
    <w:p w14:paraId="15A25458" w14:textId="1B77E074" w:rsidR="00DE65D4" w:rsidRPr="00596B01" w:rsidRDefault="00353DA3" w:rsidP="00353DA3">
      <w:pPr>
        <w:spacing w:before="120" w:after="0" w:line="276" w:lineRule="auto"/>
        <w:ind w:firstLine="708"/>
        <w:jc w:val="both"/>
        <w:rPr>
          <w:rFonts w:ascii="Verdana" w:hAnsi="Verdana" w:cs="Arial"/>
          <w:color w:val="000000" w:themeColor="text1"/>
          <w:lang w:val="es-ES"/>
        </w:rPr>
      </w:pPr>
      <w:r w:rsidRPr="00596B01">
        <w:rPr>
          <w:rFonts w:ascii="Verdana" w:hAnsi="Verdana" w:cs="Arial"/>
          <w:color w:val="000000" w:themeColor="text1"/>
        </w:rPr>
        <w:t>De acuerdo con lo expuesto</w:t>
      </w:r>
      <w:r w:rsidRPr="00596B01">
        <w:rPr>
          <w:rFonts w:ascii="Verdana" w:hAnsi="Verdana" w:cs="Arial"/>
          <w:color w:val="000000" w:themeColor="text1"/>
          <w:lang w:val="es-ES"/>
        </w:rPr>
        <w:t xml:space="preserve"> </w:t>
      </w:r>
      <w:r w:rsidR="00DE65D4" w:rsidRPr="00596B01">
        <w:rPr>
          <w:rFonts w:ascii="Verdana" w:hAnsi="Verdana" w:cs="Arial"/>
          <w:color w:val="000000" w:themeColor="text1"/>
          <w:lang w:val="es-ES"/>
        </w:rPr>
        <w:t xml:space="preserve">y de cara a la consulta elevada, debe tenerse de presente que </w:t>
      </w:r>
      <w:r w:rsidR="00DE65D4" w:rsidRPr="00596B01">
        <w:rPr>
          <w:rFonts w:ascii="Verdana" w:eastAsia="Calibri" w:hAnsi="Verdana" w:cs="Arial"/>
          <w:szCs w:val="24"/>
          <w:lang w:eastAsia="es-ES_tradnl"/>
        </w:rPr>
        <w:t xml:space="preserve">en el marco de la contratación estatal, las Entidades Estatales tienen la obligación de verificar la idoneidad y experiencia de quienes contratan bajo la modalidad de prestación de servicios profesionales, conforme a lo dispuesto en el artículo 2.2.1.2.1.4.9 del Decreto 1082 de 2015. Esta verificación comprende la formación académica, la experiencia profesional y cualquier otro aspecto relevante para la adecuada ejecución de las obligaciones contractuales. En ese sentido, tratándose de contratos de prestación de servicios que impliquen el ejercicio de la abogacía como profesión regulada, la tarjeta profesional </w:t>
      </w:r>
      <w:r w:rsidR="00DE65D4" w:rsidRPr="00596B01">
        <w:rPr>
          <w:rFonts w:ascii="Verdana" w:eastAsia="Calibri" w:hAnsi="Verdana" w:cs="Arial"/>
          <w:szCs w:val="24"/>
          <w:lang w:eastAsia="es-ES_tradnl"/>
        </w:rPr>
        <w:lastRenderedPageBreak/>
        <w:t xml:space="preserve">constituye un requisito de idoneidad de carácter obligatorio, cuya ausencia impide jurídicamente la celebración del contrato. </w:t>
      </w:r>
    </w:p>
    <w:p w14:paraId="4E9D5519" w14:textId="0F8A8259" w:rsidR="00DE65D4" w:rsidRPr="00596B01" w:rsidRDefault="00DE65D4" w:rsidP="00DE65D4">
      <w:pPr>
        <w:spacing w:before="120" w:after="0" w:line="276" w:lineRule="auto"/>
        <w:ind w:firstLine="708"/>
        <w:jc w:val="both"/>
        <w:rPr>
          <w:rFonts w:ascii="Verdana" w:hAnsi="Verdana" w:cs="Arial"/>
          <w:color w:val="000000" w:themeColor="text1"/>
          <w:lang w:val="es-ES"/>
        </w:rPr>
      </w:pPr>
      <w:r w:rsidRPr="00596B01">
        <w:rPr>
          <w:rFonts w:ascii="Verdana" w:eastAsia="Calibri" w:hAnsi="Verdana" w:cs="Arial"/>
          <w:szCs w:val="24"/>
          <w:lang w:eastAsia="es-ES_tradnl"/>
        </w:rPr>
        <w:t>No obstante, si las funciones a desempeñar son de naturaleza meramente operativa, administrativa o de apoyo a la gestión —sin que impliquen el ejercicio del derecho como actividad profesional regulada—, la exigencia de tarjeta profesional no resulta aplicable, independientemente de la formación académica del contratista.</w:t>
      </w:r>
      <w:r w:rsidRPr="00596B01">
        <w:rPr>
          <w:rFonts w:ascii="Verdana" w:eastAsia="Times New Roman" w:hAnsi="Verdana" w:cs="Times New Roman"/>
          <w:sz w:val="24"/>
          <w:szCs w:val="24"/>
          <w:lang w:eastAsia="es-CO"/>
        </w:rPr>
        <w:t xml:space="preserve"> </w:t>
      </w:r>
      <w:r w:rsidRPr="00596B01">
        <w:rPr>
          <w:rFonts w:ascii="Verdana" w:eastAsia="Calibri" w:hAnsi="Verdana" w:cs="Arial"/>
          <w:szCs w:val="24"/>
          <w:lang w:eastAsia="es-ES_tradnl"/>
        </w:rPr>
        <w:t>Por lo anterior, la viabilidad jurídica de la contratación depende de tres factores concurrentes: (i) el contenido funcional de las obligaciones contractuales; (ii) si dichas obligaciones implican o no el ejercicio de la abogacía; y (iii) la situación particular del profesional frente a los requisitos de habilitación, teniendo en cuenta los efectos de los pronunciamientos de la Corte Constitucional en materia de tarjeta provisional.</w:t>
      </w:r>
    </w:p>
    <w:p w14:paraId="535F94AA" w14:textId="77777777" w:rsidR="00CB23D0" w:rsidRPr="00596B01" w:rsidRDefault="00CB23D0" w:rsidP="00CB23D0">
      <w:pPr>
        <w:spacing w:after="120" w:line="276" w:lineRule="auto"/>
        <w:jc w:val="both"/>
        <w:rPr>
          <w:rFonts w:ascii="Verdana" w:eastAsia="Verdana" w:hAnsi="Verdana" w:cs="Verdana"/>
          <w:b/>
          <w:bCs/>
          <w:lang w:val="es-ES"/>
        </w:rPr>
      </w:pPr>
    </w:p>
    <w:p w14:paraId="4DABE9C9" w14:textId="281F49D1" w:rsidR="00CB23D0" w:rsidRPr="00596B01" w:rsidRDefault="00CB23D0" w:rsidP="00CB23D0">
      <w:pPr>
        <w:spacing w:after="120" w:line="276" w:lineRule="auto"/>
        <w:ind w:firstLine="708"/>
        <w:jc w:val="both"/>
        <w:rPr>
          <w:rFonts w:ascii="Verdana" w:eastAsia="Times New Roman" w:hAnsi="Verdana" w:cs="Arial"/>
          <w:lang w:eastAsia="es-CO"/>
        </w:rPr>
      </w:pPr>
      <w:r w:rsidRPr="00596B01">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734B41D" w14:textId="77777777" w:rsidR="00CB23D0" w:rsidRPr="00596B01" w:rsidRDefault="00CB23D0" w:rsidP="00CB23D0">
      <w:pPr>
        <w:spacing w:after="0" w:line="276" w:lineRule="auto"/>
        <w:ind w:firstLine="708"/>
        <w:jc w:val="both"/>
        <w:rPr>
          <w:rFonts w:ascii="Verdana" w:hAnsi="Verdana" w:cs="Arial"/>
          <w:bCs/>
          <w:color w:val="000000" w:themeColor="text1"/>
        </w:rPr>
      </w:pPr>
      <w:r w:rsidRPr="00596B01">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C9FF1FB" w14:textId="77777777" w:rsidR="00302E4B" w:rsidRPr="00596B01" w:rsidRDefault="00302E4B" w:rsidP="30821638">
      <w:pPr>
        <w:spacing w:after="0" w:line="240" w:lineRule="auto"/>
        <w:jc w:val="both"/>
        <w:rPr>
          <w:rFonts w:ascii="Verdana" w:eastAsia="Verdana" w:hAnsi="Verdana" w:cs="Verdana"/>
          <w:b/>
          <w:bCs/>
          <w:highlight w:val="cyan"/>
          <w:lang w:val="es-ES"/>
        </w:rPr>
      </w:pPr>
    </w:p>
    <w:p w14:paraId="2838643F" w14:textId="77777777" w:rsidR="00FF1031" w:rsidRPr="00596B01" w:rsidRDefault="00FF1031" w:rsidP="00FF1031">
      <w:pPr>
        <w:tabs>
          <w:tab w:val="left" w:pos="709"/>
        </w:tabs>
        <w:spacing w:after="0" w:line="240" w:lineRule="auto"/>
        <w:ind w:right="709"/>
        <w:jc w:val="both"/>
        <w:rPr>
          <w:rFonts w:ascii="Verdana" w:eastAsia="Century Gothic" w:hAnsi="Verdana" w:cs="Century Gothic"/>
          <w:b/>
          <w:bCs/>
        </w:rPr>
      </w:pPr>
      <w:r w:rsidRPr="00596B01">
        <w:rPr>
          <w:rFonts w:ascii="Verdana" w:hAnsi="Verdana" w:cs="Arial"/>
          <w:b/>
          <w:bCs/>
          <w:sz w:val="20"/>
          <w:szCs w:val="20"/>
          <w:lang w:val="es-ES" w:eastAsia="es-ES"/>
        </w:rPr>
        <w:t>4.</w:t>
      </w:r>
      <w:r w:rsidRPr="00596B01">
        <w:rPr>
          <w:rFonts w:ascii="Verdana" w:hAnsi="Verdana" w:cs="Arial"/>
          <w:sz w:val="20"/>
          <w:szCs w:val="20"/>
          <w:lang w:val="es-ES" w:eastAsia="es-ES"/>
        </w:rPr>
        <w:t xml:space="preserve"> </w:t>
      </w:r>
      <w:r w:rsidRPr="00596B01">
        <w:rPr>
          <w:rFonts w:ascii="Verdana" w:eastAsia="Century Gothic" w:hAnsi="Verdana" w:cs="Century Gothic"/>
          <w:b/>
          <w:bCs/>
        </w:rPr>
        <w:t>Referencias normativas, jurisprudenciales y otras fuentes:</w:t>
      </w:r>
    </w:p>
    <w:p w14:paraId="166A8D45" w14:textId="77777777" w:rsidR="00FF1031" w:rsidRPr="00596B01" w:rsidRDefault="00FF1031" w:rsidP="00FF1031">
      <w:pPr>
        <w:pStyle w:val="Prrafodelista"/>
        <w:tabs>
          <w:tab w:val="left" w:pos="142"/>
          <w:tab w:val="left" w:pos="284"/>
        </w:tabs>
        <w:spacing w:after="0" w:line="276" w:lineRule="auto"/>
        <w:ind w:left="36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1031" w:rsidRPr="00596B01" w14:paraId="0C2F3427" w14:textId="77777777" w:rsidTr="00585389">
        <w:trPr>
          <w:trHeight w:val="311"/>
        </w:trPr>
        <w:tc>
          <w:tcPr>
            <w:tcW w:w="8647" w:type="dxa"/>
          </w:tcPr>
          <w:p w14:paraId="4220944D" w14:textId="77777777" w:rsidR="00585389" w:rsidRPr="00596B01" w:rsidRDefault="00BA6204" w:rsidP="00585389">
            <w:pPr>
              <w:pStyle w:val="Prrafodelista"/>
              <w:numPr>
                <w:ilvl w:val="0"/>
                <w:numId w:val="17"/>
              </w:numPr>
              <w:spacing w:after="120" w:line="259" w:lineRule="auto"/>
              <w:contextualSpacing w:val="0"/>
              <w:rPr>
                <w:rFonts w:ascii="Verdana" w:hAnsi="Verdana" w:cs="Arial"/>
              </w:rPr>
            </w:pPr>
            <w:r w:rsidRPr="00596B01">
              <w:rPr>
                <w:rFonts w:ascii="Verdana" w:hAnsi="Verdana" w:cs="Arial"/>
              </w:rPr>
              <w:lastRenderedPageBreak/>
              <w:t>Ley 190 de 1995. Artículo 1</w:t>
            </w:r>
          </w:p>
          <w:p w14:paraId="79A6DFA3" w14:textId="77777777" w:rsidR="00585389" w:rsidRPr="00596B01" w:rsidRDefault="00585389" w:rsidP="00585389">
            <w:pPr>
              <w:pStyle w:val="Prrafodelista"/>
              <w:numPr>
                <w:ilvl w:val="0"/>
                <w:numId w:val="17"/>
              </w:numPr>
              <w:spacing w:after="120" w:line="259" w:lineRule="auto"/>
              <w:contextualSpacing w:val="0"/>
              <w:rPr>
                <w:rFonts w:ascii="Verdana" w:hAnsi="Verdana" w:cs="Arial"/>
              </w:rPr>
            </w:pPr>
            <w:r w:rsidRPr="00596B01">
              <w:rPr>
                <w:rFonts w:ascii="Verdana" w:hAnsi="Verdana" w:cs="Arial"/>
              </w:rPr>
              <w:t xml:space="preserve">Ley 80 de 1993. Artículos 25 y 32, numeral 3°. </w:t>
            </w:r>
          </w:p>
          <w:p w14:paraId="2FA472C4" w14:textId="5AFB66E2" w:rsidR="00BA6204" w:rsidRPr="00596B01" w:rsidRDefault="00BA6204" w:rsidP="00585389">
            <w:pPr>
              <w:pStyle w:val="Prrafodelista"/>
              <w:numPr>
                <w:ilvl w:val="0"/>
                <w:numId w:val="17"/>
              </w:numPr>
              <w:spacing w:after="120" w:line="259" w:lineRule="auto"/>
              <w:contextualSpacing w:val="0"/>
              <w:rPr>
                <w:rFonts w:ascii="Verdana" w:hAnsi="Verdana" w:cs="Arial"/>
              </w:rPr>
            </w:pPr>
            <w:r w:rsidRPr="00596B01">
              <w:rPr>
                <w:rFonts w:ascii="Verdana" w:hAnsi="Verdana" w:cs="Arial"/>
              </w:rPr>
              <w:t>Ley 270 de 1996. Artículo 85.</w:t>
            </w:r>
          </w:p>
          <w:p w14:paraId="52D397BA" w14:textId="77777777" w:rsidR="00BA6204" w:rsidRPr="00596B01" w:rsidRDefault="00BA6204" w:rsidP="00585389">
            <w:pPr>
              <w:pStyle w:val="Prrafodelista"/>
              <w:numPr>
                <w:ilvl w:val="0"/>
                <w:numId w:val="17"/>
              </w:numPr>
              <w:spacing w:after="120" w:line="259" w:lineRule="auto"/>
              <w:contextualSpacing w:val="0"/>
              <w:rPr>
                <w:rFonts w:ascii="Verdana" w:hAnsi="Verdana" w:cs="Arial"/>
              </w:rPr>
            </w:pPr>
            <w:r w:rsidRPr="00596B01">
              <w:rPr>
                <w:rFonts w:ascii="Verdana" w:hAnsi="Verdana" w:cs="Arial"/>
              </w:rPr>
              <w:t xml:space="preserve">Ley 1150 de 2007. Artículo 2, numeral 4°, literal h) </w:t>
            </w:r>
          </w:p>
          <w:p w14:paraId="1A70A233" w14:textId="77777777" w:rsidR="00BA6204" w:rsidRPr="00596B01" w:rsidRDefault="00BA6204" w:rsidP="00585389">
            <w:pPr>
              <w:pStyle w:val="Prrafodelista"/>
              <w:numPr>
                <w:ilvl w:val="0"/>
                <w:numId w:val="17"/>
              </w:numPr>
              <w:spacing w:after="120" w:line="259" w:lineRule="auto"/>
              <w:contextualSpacing w:val="0"/>
              <w:rPr>
                <w:rFonts w:ascii="Verdana" w:hAnsi="Verdana" w:cs="Arial"/>
              </w:rPr>
            </w:pPr>
            <w:r w:rsidRPr="00596B01">
              <w:rPr>
                <w:rFonts w:ascii="Verdana" w:hAnsi="Verdana" w:cs="Arial"/>
              </w:rPr>
              <w:t>Ley 1905 de 2018. Artículos 1 y 2.</w:t>
            </w:r>
          </w:p>
          <w:p w14:paraId="6E0B3A05" w14:textId="77777777" w:rsidR="00BA6204" w:rsidRPr="00596B01" w:rsidRDefault="00BA6204" w:rsidP="00585389">
            <w:pPr>
              <w:pStyle w:val="Prrafodelista"/>
              <w:numPr>
                <w:ilvl w:val="0"/>
                <w:numId w:val="17"/>
              </w:numPr>
              <w:spacing w:after="120" w:line="259" w:lineRule="auto"/>
              <w:contextualSpacing w:val="0"/>
              <w:rPr>
                <w:rFonts w:ascii="Verdana" w:hAnsi="Verdana" w:cs="Arial"/>
              </w:rPr>
            </w:pPr>
            <w:r w:rsidRPr="00596B01">
              <w:rPr>
                <w:rFonts w:ascii="Verdana" w:hAnsi="Verdana" w:cs="Arial"/>
              </w:rPr>
              <w:t xml:space="preserve">Decreto 196 de 1971. Artículos 1, 2, 4, 18 y 19. </w:t>
            </w:r>
          </w:p>
          <w:p w14:paraId="3FBDB433" w14:textId="77777777" w:rsidR="00BA6204" w:rsidRPr="00596B01" w:rsidRDefault="00BA6204" w:rsidP="00585389">
            <w:pPr>
              <w:pStyle w:val="Textonotapie"/>
              <w:numPr>
                <w:ilvl w:val="0"/>
                <w:numId w:val="17"/>
              </w:numPr>
              <w:spacing w:after="120"/>
              <w:jc w:val="both"/>
              <w:rPr>
                <w:rFonts w:ascii="Verdana" w:hAnsi="Verdana" w:cs="Arial"/>
                <w:color w:val="000000" w:themeColor="text1"/>
                <w:sz w:val="22"/>
                <w:szCs w:val="22"/>
                <w:lang w:val="es-ES"/>
              </w:rPr>
            </w:pPr>
            <w:r w:rsidRPr="00596B01">
              <w:rPr>
                <w:rFonts w:ascii="Verdana" w:hAnsi="Verdana" w:cs="Arial"/>
                <w:color w:val="000000" w:themeColor="text1"/>
                <w:sz w:val="22"/>
                <w:szCs w:val="22"/>
                <w:lang w:val="es-ES"/>
              </w:rPr>
              <w:t xml:space="preserve">El Decreto 1082 de 2015. Artículo 2.2.1.2.1.4.9. </w:t>
            </w:r>
          </w:p>
          <w:p w14:paraId="65CB5E14" w14:textId="77777777" w:rsidR="00585389" w:rsidRPr="00596B01" w:rsidRDefault="00585389" w:rsidP="00DF42C3">
            <w:pPr>
              <w:pStyle w:val="Prrafodelista"/>
              <w:numPr>
                <w:ilvl w:val="0"/>
                <w:numId w:val="17"/>
              </w:numPr>
              <w:spacing w:after="120" w:line="259" w:lineRule="auto"/>
              <w:contextualSpacing w:val="0"/>
              <w:jc w:val="both"/>
              <w:rPr>
                <w:rFonts w:ascii="Verdana" w:hAnsi="Verdana" w:cs="Arial"/>
              </w:rPr>
            </w:pPr>
            <w:r w:rsidRPr="00596B01">
              <w:rPr>
                <w:rFonts w:ascii="Verdana" w:hAnsi="Verdana" w:cs="Arial"/>
              </w:rPr>
              <w:t xml:space="preserve">CONSEJO SUPERIOR DE LA JUDICATURA. </w:t>
            </w:r>
            <w:r w:rsidRPr="00596B01">
              <w:rPr>
                <w:rFonts w:ascii="Verdana" w:hAnsi="Verdana" w:cs="Arial"/>
                <w:color w:val="000000" w:themeColor="text1"/>
              </w:rPr>
              <w:t>Acuerdo PSCJA24-12162 del 9 de abril de 2024.</w:t>
            </w:r>
          </w:p>
          <w:p w14:paraId="45E5204C" w14:textId="77777777" w:rsidR="00585389" w:rsidRPr="00596B01" w:rsidRDefault="00585389" w:rsidP="00585389">
            <w:pPr>
              <w:pStyle w:val="Textonotapie"/>
              <w:numPr>
                <w:ilvl w:val="0"/>
                <w:numId w:val="17"/>
              </w:numPr>
              <w:spacing w:after="120"/>
              <w:jc w:val="both"/>
              <w:rPr>
                <w:rFonts w:ascii="Verdana" w:hAnsi="Verdana" w:cs="Arial"/>
                <w:color w:val="000000" w:themeColor="text1"/>
                <w:sz w:val="22"/>
                <w:szCs w:val="22"/>
                <w:lang w:val="es-ES"/>
              </w:rPr>
            </w:pPr>
            <w:r w:rsidRPr="00596B01">
              <w:rPr>
                <w:rFonts w:ascii="Verdana" w:hAnsi="Verdana" w:cs="Arial"/>
                <w:color w:val="000000" w:themeColor="text1"/>
                <w:sz w:val="22"/>
                <w:szCs w:val="22"/>
                <w:lang w:val="es-ES"/>
              </w:rPr>
              <w:t>CONSEJO DE ESTADO. Sección Tercera. Subsección C. Sentencia de Unificación del 2 de diciembre de 2013. Exp. 41.719. C.P. Jaime Orlando Santofimio Gamboa.</w:t>
            </w:r>
          </w:p>
          <w:p w14:paraId="4F644DCE" w14:textId="77777777" w:rsidR="00585389" w:rsidRPr="00596B01" w:rsidRDefault="00585389" w:rsidP="00585389">
            <w:pPr>
              <w:pStyle w:val="Prrafodelista"/>
              <w:numPr>
                <w:ilvl w:val="0"/>
                <w:numId w:val="17"/>
              </w:numPr>
              <w:shd w:val="clear" w:color="auto" w:fill="FFFFFF"/>
              <w:spacing w:after="120" w:line="259" w:lineRule="auto"/>
              <w:contextualSpacing w:val="0"/>
              <w:jc w:val="both"/>
              <w:rPr>
                <w:rFonts w:ascii="Verdana" w:hAnsi="Verdana" w:cs="Arial"/>
                <w:color w:val="000000" w:themeColor="text1"/>
              </w:rPr>
            </w:pPr>
            <w:r w:rsidRPr="00596B01">
              <w:rPr>
                <w:rFonts w:ascii="Verdana" w:hAnsi="Verdana" w:cs="Arial"/>
                <w:color w:val="000000" w:themeColor="text1"/>
              </w:rPr>
              <w:t>CORTE CONSTITUCIONAL. Sentencia C – 697 del 14 de junio de 2000. Expediente D-2662. M. P. Eduardo Cifuentes Muñoz.</w:t>
            </w:r>
          </w:p>
          <w:p w14:paraId="347BCB33" w14:textId="5BB5D3C4" w:rsidR="00102D53" w:rsidRPr="00596B01" w:rsidRDefault="00585389" w:rsidP="00585389">
            <w:pPr>
              <w:pStyle w:val="Prrafodelista"/>
              <w:numPr>
                <w:ilvl w:val="0"/>
                <w:numId w:val="17"/>
              </w:numPr>
              <w:shd w:val="clear" w:color="auto" w:fill="FFFFFF"/>
              <w:spacing w:after="120" w:line="259" w:lineRule="auto"/>
              <w:contextualSpacing w:val="0"/>
              <w:jc w:val="both"/>
              <w:rPr>
                <w:rFonts w:ascii="Verdana" w:hAnsi="Verdana" w:cs="Arial"/>
                <w:color w:val="000000" w:themeColor="text1"/>
              </w:rPr>
            </w:pPr>
            <w:r w:rsidRPr="00596B01">
              <w:rPr>
                <w:rFonts w:ascii="Verdana" w:hAnsi="Verdana"/>
              </w:rPr>
              <w:t xml:space="preserve">CORTE CONSTITUCIONAL, Sentencia SU-128 del 18 de abril de 2024.  M.P. Natalia Ángel Cabo. </w:t>
            </w:r>
            <w:r w:rsidRPr="00596B01">
              <w:rPr>
                <w:rFonts w:ascii="Verdana" w:hAnsi="Verdana" w:cs="Arial"/>
              </w:rPr>
              <w:t xml:space="preserve"> </w:t>
            </w:r>
          </w:p>
        </w:tc>
      </w:tr>
    </w:tbl>
    <w:p w14:paraId="09F080BB" w14:textId="77777777" w:rsidR="00FF1031" w:rsidRPr="00596B01" w:rsidRDefault="00FF1031" w:rsidP="00891F2A">
      <w:pPr>
        <w:spacing w:line="276" w:lineRule="auto"/>
        <w:jc w:val="both"/>
        <w:rPr>
          <w:rFonts w:ascii="Verdana" w:eastAsia="Calibri" w:hAnsi="Verdana" w:cs="Arial"/>
          <w:color w:val="000000"/>
          <w:lang w:eastAsia="es-ES" w:bidi="es-ES"/>
        </w:rPr>
      </w:pPr>
    </w:p>
    <w:p w14:paraId="6A874120" w14:textId="77777777" w:rsidR="00FF1031" w:rsidRPr="00596B01" w:rsidRDefault="00FF1031" w:rsidP="00FF1031">
      <w:pPr>
        <w:pStyle w:val="Prrafodelista"/>
        <w:numPr>
          <w:ilvl w:val="0"/>
          <w:numId w:val="21"/>
        </w:numPr>
        <w:tabs>
          <w:tab w:val="left" w:pos="142"/>
          <w:tab w:val="left" w:pos="284"/>
        </w:tabs>
        <w:spacing w:after="0" w:line="276" w:lineRule="auto"/>
        <w:jc w:val="both"/>
        <w:rPr>
          <w:rFonts w:ascii="Verdana" w:eastAsia="Century Gothic" w:hAnsi="Verdana" w:cs="Century Gothic"/>
          <w:b/>
          <w:bCs/>
        </w:rPr>
      </w:pPr>
      <w:r w:rsidRPr="00596B01">
        <w:rPr>
          <w:rFonts w:ascii="Verdana" w:eastAsia="Century Gothic" w:hAnsi="Verdana" w:cs="Century Gothic"/>
          <w:b/>
          <w:bCs/>
        </w:rPr>
        <w:t>Doctrina de la Agencia Nacional de Contratación Pública:</w:t>
      </w:r>
    </w:p>
    <w:p w14:paraId="61DA557E" w14:textId="77777777" w:rsidR="00FF1031" w:rsidRPr="00596B01" w:rsidRDefault="00FF1031" w:rsidP="00FF1031">
      <w:pPr>
        <w:widowControl w:val="0"/>
        <w:autoSpaceDE w:val="0"/>
        <w:autoSpaceDN w:val="0"/>
        <w:spacing w:after="0" w:line="276" w:lineRule="auto"/>
        <w:jc w:val="both"/>
        <w:rPr>
          <w:rFonts w:ascii="Verdana" w:hAnsi="Verdana" w:cs="Arial"/>
          <w:lang w:val="es-ES"/>
        </w:rPr>
      </w:pPr>
    </w:p>
    <w:p w14:paraId="63AE682F" w14:textId="182EA956" w:rsidR="00891F2A" w:rsidRPr="00596B01" w:rsidRDefault="00A05781" w:rsidP="00FD79A3">
      <w:pPr>
        <w:widowControl w:val="0"/>
        <w:autoSpaceDE w:val="0"/>
        <w:autoSpaceDN w:val="0"/>
        <w:spacing w:after="240" w:line="276" w:lineRule="auto"/>
        <w:jc w:val="both"/>
        <w:rPr>
          <w:rFonts w:ascii="Verdana" w:hAnsi="Verdana" w:cs="Arial"/>
          <w:shd w:val="clear" w:color="auto" w:fill="FFFFFF"/>
          <w:lang w:val="es-ES"/>
        </w:rPr>
      </w:pPr>
      <w:r w:rsidRPr="00596B01">
        <w:rPr>
          <w:rFonts w:ascii="Verdana" w:hAnsi="Verdana"/>
          <w:lang w:val="es-ES"/>
        </w:rPr>
        <w:t>La Subdirección de Gestión Contractual se ha pronunciado frente a la experiencia profesional y la forma de verificarse, en los conceptos C-231 del 13 de abril de 2020, C-212 del 14 de abril de 2020, C-317 de 10 de junio de 2020, C-337 del 26 de junio de 2020, C-355 del 4 de junio de 2020, C-353 del 30 de junio de 2020, C-457 del 7 de julio de 2020, C- 357 de agosto de 2024, C-279 de agosto 09 de 2024, C-409 del 6 de septiembre de 2024, C-510 del 03 de octubre de 2024, C-757 de 4 diciembre de 2024, C-938 de 27 de diciembre de 2024, C-010 de 14 de febrero de 2025, C-186 de 4 de marzo de 2025</w:t>
      </w:r>
      <w:r w:rsidR="005877E4" w:rsidRPr="00596B01">
        <w:rPr>
          <w:rFonts w:ascii="Verdana" w:hAnsi="Verdana"/>
          <w:lang w:val="es-ES"/>
        </w:rPr>
        <w:t xml:space="preserve">, </w:t>
      </w:r>
      <w:r w:rsidRPr="00596B01">
        <w:rPr>
          <w:rFonts w:ascii="Verdana" w:hAnsi="Verdana"/>
          <w:lang w:val="es-ES"/>
        </w:rPr>
        <w:t>C-</w:t>
      </w:r>
      <w:r w:rsidR="00416D30" w:rsidRPr="00596B01">
        <w:rPr>
          <w:rFonts w:ascii="Verdana" w:hAnsi="Verdana"/>
          <w:lang w:val="es-ES"/>
        </w:rPr>
        <w:t>101 del 04 de marzo del 2026</w:t>
      </w:r>
      <w:r w:rsidR="005877E4" w:rsidRPr="00596B01">
        <w:rPr>
          <w:rFonts w:ascii="Verdana" w:hAnsi="Verdana"/>
          <w:lang w:val="es-ES"/>
        </w:rPr>
        <w:t xml:space="preserve"> y C-550 del 15 de mayo del 2026</w:t>
      </w:r>
      <w:r w:rsidR="002508F3" w:rsidRPr="00596B01">
        <w:rPr>
          <w:rFonts w:ascii="Verdana" w:hAnsi="Verdana" w:cs="Arial"/>
          <w:shd w:val="clear" w:color="auto" w:fill="FFFFFF"/>
          <w:lang w:val="es-ES"/>
        </w:rPr>
        <w:t xml:space="preserve">. </w:t>
      </w:r>
      <w:r w:rsidR="006A3B7B" w:rsidRPr="00596B01">
        <w:rPr>
          <w:rFonts w:ascii="Verdana" w:hAnsi="Verdana" w:cs="Arial"/>
          <w:shd w:val="clear" w:color="auto" w:fill="FFFFFF"/>
          <w:lang w:val="es-ES"/>
        </w:rPr>
        <w:t xml:space="preserve">Igualmente, ha realizado análisis sobre </w:t>
      </w:r>
      <w:r w:rsidR="006A3B7B" w:rsidRPr="00596B01">
        <w:rPr>
          <w:rFonts w:ascii="Verdana" w:hAnsi="Verdana"/>
          <w:lang w:val="es-ES"/>
        </w:rPr>
        <w:t xml:space="preserve">los contratos de prestación de servicios, así como los requisitos para su celebración, en los conceptos Nro. C–608 del 1 de octubre de 2020, C-145 del 8 de abril del 2021, C-491 del 14 de septiembre de 2021, C-517 del 30 de septiembre de 2021, C – 654 de 22 de noviembre de, C-181 del 7 de abril de 2022, C-773 del 17 de noviembre de 2022, C- 953 del 25 de enero de 2023 y </w:t>
      </w:r>
      <w:r w:rsidR="006A3B7B" w:rsidRPr="00596B01">
        <w:rPr>
          <w:rFonts w:ascii="Verdana" w:hAnsi="Verdana"/>
          <w:lang w:val="es-ES"/>
        </w:rPr>
        <w:lastRenderedPageBreak/>
        <w:t>C-966 del 1 de febrero de 2023, C-135 del 25 de mayo de 2023, C-414 del 11 de septiembre de 2024</w:t>
      </w:r>
      <w:r w:rsidR="006A3B7B" w:rsidRPr="00596B01">
        <w:rPr>
          <w:rFonts w:ascii="Verdana" w:hAnsi="Verdana" w:cs="Arial"/>
          <w:shd w:val="clear" w:color="auto" w:fill="FFFFFF"/>
          <w:lang w:val="es-ES"/>
        </w:rPr>
        <w:t xml:space="preserve">. </w:t>
      </w:r>
      <w:r w:rsidR="002508F3" w:rsidRPr="00596B0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002508F3" w:rsidRPr="00596B01">
          <w:rPr>
            <w:rStyle w:val="Hipervnculo"/>
            <w:rFonts w:ascii="Verdana" w:hAnsi="Verdana" w:cs="Arial"/>
            <w:shd w:val="clear" w:color="auto" w:fill="FFFFFF"/>
          </w:rPr>
          <w:t>https://relatoria.colombiacompra.gov.co/</w:t>
        </w:r>
      </w:hyperlink>
    </w:p>
    <w:p w14:paraId="34DFB143" w14:textId="77777777" w:rsidR="00891F2A" w:rsidRPr="00596B01" w:rsidRDefault="002508F3" w:rsidP="00FD79A3">
      <w:pPr>
        <w:widowControl w:val="0"/>
        <w:autoSpaceDE w:val="0"/>
        <w:autoSpaceDN w:val="0"/>
        <w:spacing w:after="240" w:line="276" w:lineRule="auto"/>
        <w:jc w:val="both"/>
        <w:rPr>
          <w:rFonts w:ascii="Verdana" w:hAnsi="Verdana"/>
        </w:rPr>
      </w:pPr>
      <w:r w:rsidRPr="00596B01">
        <w:rPr>
          <w:rFonts w:ascii="Verdana" w:hAnsi="Verdana" w:cs="Arial"/>
        </w:rPr>
        <w:t xml:space="preserve">La sostenibilidad no es una opción, es una obligación. Por ello, la Agencia Nacional de Contratación Pública –Colombia Compra Eficiente– te invita a realizar el </w:t>
      </w:r>
      <w:r w:rsidRPr="00596B01">
        <w:rPr>
          <w:rFonts w:ascii="Verdana" w:hAnsi="Verdana" w:cs="Arial"/>
          <w:b/>
          <w:bCs/>
        </w:rPr>
        <w:t>Curso de Contratación Pública Sostenible y Socialmente Responsable</w:t>
      </w:r>
      <w:r w:rsidRPr="00596B01">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596B01">
        <w:rPr>
          <w:rFonts w:ascii="Verdana" w:hAnsi="Verdana" w:cs="Arial"/>
        </w:rPr>
        <w:br/>
      </w:r>
      <w:hyperlink r:id="rId14" w:tgtFrame="_new" w:history="1">
        <w:r w:rsidRPr="00596B01">
          <w:rPr>
            <w:rStyle w:val="Hipervnculo"/>
            <w:rFonts w:ascii="Verdana" w:hAnsi="Verdana" w:cs="Arial"/>
          </w:rPr>
          <w:t>https://formacionvirtual.colombiacompra.gov.co/mod/page/view.php?id=3718</w:t>
        </w:r>
      </w:hyperlink>
    </w:p>
    <w:p w14:paraId="0CA61043" w14:textId="77777777" w:rsidR="00891F2A" w:rsidRPr="00596B01" w:rsidRDefault="002508F3" w:rsidP="00FD79A3">
      <w:pPr>
        <w:widowControl w:val="0"/>
        <w:autoSpaceDE w:val="0"/>
        <w:autoSpaceDN w:val="0"/>
        <w:spacing w:after="240" w:line="276" w:lineRule="auto"/>
        <w:jc w:val="both"/>
        <w:rPr>
          <w:rFonts w:ascii="Verdana" w:hAnsi="Verdana" w:cs="Arial"/>
          <w:shd w:val="clear" w:color="auto" w:fill="FFFFFF"/>
        </w:rPr>
      </w:pPr>
      <w:r w:rsidRPr="00596B01">
        <w:rPr>
          <w:rFonts w:ascii="Verdana" w:hAnsi="Verdana" w:cs="Arial"/>
        </w:rPr>
        <w:t xml:space="preserve">De otro lado, te contamos que esta Agencia ha da un paso decisivo en la estandarización y modernización del </w:t>
      </w:r>
      <w:r w:rsidRPr="00596B01">
        <w:rPr>
          <w:rFonts w:ascii="Verdana" w:hAnsi="Verdana" w:cs="Arial"/>
          <w:b/>
          <w:bCs/>
        </w:rPr>
        <w:t>sector  social</w:t>
      </w:r>
      <w:r w:rsidRPr="00596B01">
        <w:rPr>
          <w:rFonts w:ascii="Verdana" w:hAnsi="Verdana" w:cs="Arial"/>
        </w:rPr>
        <w:t xml:space="preserve"> con la expedición de las </w:t>
      </w:r>
      <w:r w:rsidRPr="00596B01">
        <w:rPr>
          <w:rFonts w:ascii="Verdana" w:hAnsi="Verdana" w:cs="Arial"/>
          <w:b/>
          <w:bCs/>
        </w:rPr>
        <w:t>Resoluciones 539, 540, 541, 952 y 953 de 2025</w:t>
      </w:r>
      <w:r w:rsidRPr="00596B01">
        <w:rPr>
          <w:rFonts w:ascii="Verdana" w:hAnsi="Verdana" w:cs="Arial"/>
        </w:rPr>
        <w:t xml:space="preserve">, </w:t>
      </w:r>
      <w:r w:rsidRPr="00596B01">
        <w:rPr>
          <w:rFonts w:ascii="Verdana" w:hAnsi="Verdana" w:cs="Arial"/>
          <w:b/>
          <w:bCs/>
        </w:rPr>
        <w:t>mediante las cuales adoptó Documentos Tipo</w:t>
      </w:r>
      <w:r w:rsidRPr="00596B01">
        <w:rPr>
          <w:rFonts w:ascii="Verdana" w:hAnsi="Verdana" w:cs="Arial"/>
        </w:rPr>
        <w:t xml:space="preserve"> para las modalidades de selección de</w:t>
      </w:r>
      <w:r w:rsidRPr="00596B01">
        <w:rPr>
          <w:rFonts w:ascii="Verdana" w:hAnsi="Verdana" w:cs="Arial"/>
          <w:b/>
          <w:bCs/>
        </w:rPr>
        <w:t xml:space="preserve"> licitación pública (versión 2), selección abreviada de menor cuantía, mínima cuantía, consultoría e interventoría</w:t>
      </w:r>
      <w:r w:rsidRPr="00596B01">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596B01">
          <w:rPr>
            <w:rStyle w:val="Hipervnculo"/>
            <w:rFonts w:ascii="Verdana" w:hAnsi="Verdana" w:cs="Arial"/>
          </w:rPr>
          <w:t>https://www.colombiacompra.gov.co/normativa-y-relatoria/documentos-tipo</w:t>
        </w:r>
      </w:hyperlink>
    </w:p>
    <w:p w14:paraId="4C336B23" w14:textId="77777777" w:rsidR="002508F3" w:rsidRPr="00596B01" w:rsidRDefault="002508F3" w:rsidP="00891F2A">
      <w:pPr>
        <w:widowControl w:val="0"/>
        <w:autoSpaceDE w:val="0"/>
        <w:autoSpaceDN w:val="0"/>
        <w:spacing w:after="120" w:line="276" w:lineRule="auto"/>
        <w:jc w:val="both"/>
        <w:rPr>
          <w:rFonts w:ascii="Verdana" w:hAnsi="Verdana" w:cs="Arial"/>
          <w:shd w:val="clear" w:color="auto" w:fill="FFFFFF"/>
          <w:lang w:val="es-ES"/>
        </w:rPr>
      </w:pPr>
      <w:r w:rsidRPr="00596B01">
        <w:rPr>
          <w:rFonts w:ascii="Verdana" w:hAnsi="Verdana" w:cs="Arial"/>
        </w:rPr>
        <w:t xml:space="preserve">Si quieres conocer más sobre la aplicación de Documentos Tipo puedes consultar la última versión de la </w:t>
      </w:r>
      <w:r w:rsidRPr="00596B01">
        <w:rPr>
          <w:rFonts w:ascii="Verdana" w:hAnsi="Verdana" w:cs="Arial"/>
          <w:b/>
          <w:bCs/>
        </w:rPr>
        <w:t>Guía para la comprensión e implementación de los Documentos Tipo de obra pública de infraestructura de transporte</w:t>
      </w:r>
      <w:r w:rsidRPr="00596B01">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596B01">
        <w:rPr>
          <w:rFonts w:ascii="Verdana" w:hAnsi="Verdana" w:cs="Arial"/>
        </w:rPr>
        <w:br/>
      </w:r>
      <w:hyperlink r:id="rId16" w:tgtFrame="_new" w:history="1">
        <w:r w:rsidRPr="00596B01">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426E940E" w14:textId="77777777" w:rsidR="002508F3" w:rsidRPr="00596B01" w:rsidRDefault="002508F3" w:rsidP="002508F3">
      <w:pPr>
        <w:spacing w:after="0" w:line="276" w:lineRule="auto"/>
        <w:jc w:val="both"/>
        <w:rPr>
          <w:rFonts w:ascii="Verdana" w:hAnsi="Verdana" w:cs="Arial"/>
        </w:rPr>
      </w:pPr>
      <w:r w:rsidRPr="00596B01">
        <w:rPr>
          <w:rFonts w:ascii="Verdana" w:hAnsi="Verdana" w:cs="Arial"/>
        </w:rPr>
        <w:t xml:space="preserve">Por último, lo invitamos a seguirnos en las redes sociales en las cuales se difunde información institucional: </w:t>
      </w:r>
    </w:p>
    <w:p w14:paraId="2732C038" w14:textId="77777777" w:rsidR="002508F3" w:rsidRPr="00596B01" w:rsidRDefault="002508F3" w:rsidP="002508F3">
      <w:pPr>
        <w:spacing w:after="0" w:line="276" w:lineRule="auto"/>
        <w:jc w:val="both"/>
        <w:rPr>
          <w:rFonts w:ascii="Verdana" w:hAnsi="Verdana" w:cs="Arial"/>
        </w:rPr>
      </w:pPr>
    </w:p>
    <w:p w14:paraId="6104E3BB" w14:textId="77777777" w:rsidR="002508F3" w:rsidRPr="00596B01" w:rsidRDefault="002508F3" w:rsidP="002508F3">
      <w:pPr>
        <w:spacing w:after="0" w:line="276" w:lineRule="auto"/>
        <w:jc w:val="both"/>
        <w:rPr>
          <w:rFonts w:ascii="Verdana" w:hAnsi="Verdana" w:cs="Arial"/>
        </w:rPr>
      </w:pPr>
      <w:r w:rsidRPr="00596B01">
        <w:rPr>
          <w:rFonts w:ascii="Verdana" w:hAnsi="Verdana" w:cs="Arial"/>
        </w:rPr>
        <w:t xml:space="preserve">Twitter: </w:t>
      </w:r>
      <w:r w:rsidRPr="00596B01">
        <w:rPr>
          <w:rStyle w:val="Hipervnculo"/>
          <w:rFonts w:ascii="Verdana" w:hAnsi="Verdana" w:cs="Arial"/>
          <w:color w:val="4472C4" w:themeColor="accent1"/>
        </w:rPr>
        <w:t>@colombiacompra</w:t>
      </w:r>
      <w:r w:rsidRPr="00596B01">
        <w:rPr>
          <w:rFonts w:ascii="Verdana" w:hAnsi="Verdana" w:cs="Arial"/>
          <w:color w:val="4472C4" w:themeColor="accent1"/>
        </w:rPr>
        <w:t xml:space="preserve"> </w:t>
      </w:r>
    </w:p>
    <w:p w14:paraId="13A17067" w14:textId="77777777" w:rsidR="002508F3" w:rsidRPr="00596B01" w:rsidRDefault="002508F3" w:rsidP="002508F3">
      <w:pPr>
        <w:spacing w:after="0" w:line="276" w:lineRule="auto"/>
        <w:jc w:val="both"/>
        <w:rPr>
          <w:rFonts w:ascii="Verdana" w:hAnsi="Verdana" w:cs="Arial"/>
        </w:rPr>
      </w:pPr>
      <w:r w:rsidRPr="00596B01">
        <w:rPr>
          <w:rFonts w:ascii="Verdana" w:hAnsi="Verdana" w:cs="Arial"/>
        </w:rPr>
        <w:t xml:space="preserve">Facebook: </w:t>
      </w:r>
      <w:r w:rsidRPr="00596B01">
        <w:rPr>
          <w:rStyle w:val="Hipervnculo"/>
          <w:rFonts w:ascii="Verdana" w:hAnsi="Verdana" w:cs="Arial"/>
          <w:color w:val="4472C4" w:themeColor="accent1"/>
        </w:rPr>
        <w:t>ColombiaCompraEficiente</w:t>
      </w:r>
    </w:p>
    <w:p w14:paraId="3361CF60" w14:textId="77777777" w:rsidR="002508F3" w:rsidRPr="00596B01" w:rsidRDefault="002508F3" w:rsidP="002508F3">
      <w:pPr>
        <w:spacing w:after="0" w:line="276" w:lineRule="auto"/>
        <w:jc w:val="both"/>
        <w:rPr>
          <w:rStyle w:val="Hipervnculo"/>
          <w:rFonts w:ascii="Verdana" w:hAnsi="Verdana" w:cs="Arial"/>
          <w:color w:val="4472C4" w:themeColor="accent1"/>
        </w:rPr>
      </w:pPr>
      <w:r w:rsidRPr="00596B01">
        <w:rPr>
          <w:rFonts w:ascii="Verdana" w:hAnsi="Verdana" w:cs="Arial"/>
        </w:rPr>
        <w:t xml:space="preserve">LinkedIn: </w:t>
      </w:r>
      <w:r w:rsidRPr="00596B01">
        <w:rPr>
          <w:rStyle w:val="Hipervnculo"/>
          <w:rFonts w:ascii="Verdana" w:hAnsi="Verdana" w:cs="Arial"/>
          <w:color w:val="4472C4" w:themeColor="accent1"/>
        </w:rPr>
        <w:t>Agencia Nacional de Contratación Pública - Colombia Compra Eficiente</w:t>
      </w:r>
      <w:r w:rsidRPr="00596B01">
        <w:rPr>
          <w:rFonts w:ascii="Verdana" w:hAnsi="Verdana" w:cs="Arial"/>
          <w:color w:val="4472C4" w:themeColor="accent1"/>
        </w:rPr>
        <w:t xml:space="preserve"> </w:t>
      </w:r>
      <w:r w:rsidRPr="00596B01">
        <w:rPr>
          <w:rFonts w:ascii="Verdana" w:hAnsi="Verdana" w:cs="Arial"/>
        </w:rPr>
        <w:t xml:space="preserve">Instagram: </w:t>
      </w:r>
      <w:r w:rsidRPr="00596B01">
        <w:rPr>
          <w:rStyle w:val="Hipervnculo"/>
          <w:rFonts w:ascii="Verdana" w:hAnsi="Verdana" w:cs="Arial"/>
          <w:color w:val="4472C4" w:themeColor="accent1"/>
        </w:rPr>
        <w:t>@colombiacompraeficiente_cce</w:t>
      </w:r>
    </w:p>
    <w:p w14:paraId="4A5D52F1" w14:textId="77777777" w:rsidR="002508F3" w:rsidRPr="00596B01" w:rsidRDefault="002508F3" w:rsidP="002508F3">
      <w:pPr>
        <w:spacing w:after="0" w:line="276" w:lineRule="auto"/>
        <w:jc w:val="both"/>
        <w:rPr>
          <w:rStyle w:val="Hipervnculo"/>
          <w:rFonts w:ascii="Verdana" w:hAnsi="Verdana" w:cs="Arial"/>
          <w:color w:val="4472C4" w:themeColor="accent1"/>
        </w:rPr>
      </w:pPr>
    </w:p>
    <w:p w14:paraId="7943C2CF" w14:textId="77777777" w:rsidR="002508F3" w:rsidRPr="00596B01" w:rsidRDefault="002508F3" w:rsidP="002508F3">
      <w:pPr>
        <w:widowControl w:val="0"/>
        <w:autoSpaceDE w:val="0"/>
        <w:autoSpaceDN w:val="0"/>
        <w:spacing w:after="0" w:line="276" w:lineRule="auto"/>
        <w:jc w:val="both"/>
        <w:rPr>
          <w:rFonts w:ascii="Verdana" w:hAnsi="Verdana" w:cs="Arial"/>
          <w:lang w:val="es-ES_tradnl"/>
        </w:rPr>
      </w:pPr>
      <w:r w:rsidRPr="00596B01">
        <w:rPr>
          <w:rFonts w:ascii="Verdana" w:hAnsi="Verdana" w:cs="Arial"/>
        </w:rPr>
        <w:t xml:space="preserve">Este concepto tiene el alcance previsto en el artículo 28 del Código de Procedimiento Administrativo y de lo Contencioso Administrativo </w:t>
      </w:r>
      <w:r w:rsidRPr="00596B01">
        <w:rPr>
          <w:rFonts w:ascii="Verdana" w:hAnsi="Verdana" w:cs="Arial"/>
          <w:lang w:val="es-ES_tradnl"/>
        </w:rPr>
        <w:t>y las expresiones aquí utilizadas con mayúscula inicial deben ser entendidas con el significado que les otorga el artículo 2.2.1.1.1.3.1. del Decreto 1082 de 2015.</w:t>
      </w:r>
    </w:p>
    <w:p w14:paraId="3795888B" w14:textId="77777777" w:rsidR="002508F3" w:rsidRPr="00596B01" w:rsidRDefault="002508F3" w:rsidP="002508F3">
      <w:pPr>
        <w:widowControl w:val="0"/>
        <w:autoSpaceDE w:val="0"/>
        <w:autoSpaceDN w:val="0"/>
        <w:spacing w:after="0" w:line="276" w:lineRule="auto"/>
        <w:jc w:val="both"/>
        <w:rPr>
          <w:rFonts w:ascii="Verdana" w:hAnsi="Verdana" w:cs="Arial"/>
        </w:rPr>
      </w:pPr>
    </w:p>
    <w:p w14:paraId="7EA41462" w14:textId="77777777" w:rsidR="002508F3" w:rsidRPr="00596B01" w:rsidRDefault="002508F3" w:rsidP="002508F3">
      <w:pPr>
        <w:spacing w:after="0" w:line="276" w:lineRule="auto"/>
        <w:jc w:val="both"/>
        <w:rPr>
          <w:rFonts w:ascii="Verdana" w:hAnsi="Verdana" w:cs="Arial"/>
          <w:lang w:eastAsia="es-CO"/>
        </w:rPr>
      </w:pPr>
      <w:r w:rsidRPr="00596B01">
        <w:rPr>
          <w:rFonts w:ascii="Verdana" w:eastAsia="Times New Roman" w:hAnsi="Verdana" w:cs="Arial"/>
          <w:lang w:eastAsia="es-CO"/>
        </w:rPr>
        <w:t>Atentamente,</w:t>
      </w:r>
      <w:r w:rsidRPr="00596B01">
        <w:rPr>
          <w:rFonts w:ascii="Verdana" w:hAnsi="Verdana" w:cs="Arial"/>
          <w:lang w:eastAsia="es-CO"/>
        </w:rPr>
        <w:t xml:space="preserve"> </w:t>
      </w:r>
    </w:p>
    <w:p w14:paraId="77AEF646" w14:textId="5E363141" w:rsidR="002508F3" w:rsidRPr="00596B01" w:rsidRDefault="00B35054" w:rsidP="002508F3">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600C6EA4" wp14:editId="57FD763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508F3" w:rsidRPr="00596B01" w14:paraId="340368F2" w14:textId="77777777" w:rsidTr="002A4C9C">
        <w:trPr>
          <w:trHeight w:val="315"/>
        </w:trPr>
        <w:tc>
          <w:tcPr>
            <w:tcW w:w="893" w:type="dxa"/>
            <w:vAlign w:val="center"/>
            <w:hideMark/>
          </w:tcPr>
          <w:p w14:paraId="0E2AD33E" w14:textId="77777777" w:rsidR="002508F3" w:rsidRPr="00596B01" w:rsidRDefault="002508F3" w:rsidP="002A4C9C">
            <w:pPr>
              <w:contextualSpacing/>
              <w:rPr>
                <w:rFonts w:ascii="Verdana" w:hAnsi="Verdana" w:cs="Arial"/>
                <w:sz w:val="16"/>
                <w:szCs w:val="16"/>
                <w:lang w:val="es-ES" w:eastAsia="es-ES"/>
              </w:rPr>
            </w:pPr>
            <w:r w:rsidRPr="00596B0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BF6B616" w14:textId="77777777" w:rsidR="002508F3" w:rsidRPr="00596B01" w:rsidRDefault="002508F3" w:rsidP="002A4C9C">
            <w:pPr>
              <w:contextualSpacing/>
              <w:rPr>
                <w:rFonts w:ascii="Verdana" w:eastAsia="Arial" w:hAnsi="Verdana" w:cs="Arial"/>
                <w:sz w:val="16"/>
                <w:szCs w:val="16"/>
              </w:rPr>
            </w:pPr>
            <w:r w:rsidRPr="00596B01">
              <w:rPr>
                <w:rFonts w:ascii="Verdana" w:eastAsia="Arial" w:hAnsi="Verdana" w:cs="Arial"/>
                <w:sz w:val="16"/>
                <w:szCs w:val="16"/>
              </w:rPr>
              <w:t>Ana María Ortiz Ballesteros</w:t>
            </w:r>
          </w:p>
          <w:p w14:paraId="62B4252F" w14:textId="77777777" w:rsidR="002508F3" w:rsidRPr="00596B01" w:rsidRDefault="002508F3" w:rsidP="002A4C9C">
            <w:pPr>
              <w:contextualSpacing/>
              <w:rPr>
                <w:rFonts w:ascii="Verdana" w:eastAsia="Arial" w:hAnsi="Verdana" w:cs="Arial"/>
                <w:sz w:val="16"/>
                <w:szCs w:val="16"/>
              </w:rPr>
            </w:pPr>
            <w:r w:rsidRPr="00596B01">
              <w:rPr>
                <w:rStyle w:val="normaltextrun"/>
                <w:rFonts w:ascii="Verdana" w:eastAsia="Arial" w:hAnsi="Verdana" w:cs="Arial"/>
                <w:sz w:val="16"/>
                <w:szCs w:val="16"/>
              </w:rPr>
              <w:t>C</w:t>
            </w:r>
            <w:r w:rsidRPr="00596B01">
              <w:rPr>
                <w:rStyle w:val="normaltextrun"/>
                <w:rFonts w:ascii="Verdana" w:hAnsi="Verdana"/>
                <w:sz w:val="16"/>
                <w:szCs w:val="16"/>
              </w:rPr>
              <w:t>ontratista</w:t>
            </w:r>
            <w:r w:rsidRPr="00596B01">
              <w:rPr>
                <w:rStyle w:val="normaltextrun"/>
                <w:rFonts w:ascii="Verdana" w:eastAsia="Arial" w:hAnsi="Verdana" w:cs="Arial"/>
                <w:sz w:val="16"/>
                <w:szCs w:val="16"/>
              </w:rPr>
              <w:t xml:space="preserve"> de la Subdirección de Gestión Contractual</w:t>
            </w:r>
          </w:p>
        </w:tc>
      </w:tr>
      <w:tr w:rsidR="002508F3" w:rsidRPr="00596B01" w14:paraId="24745F77" w14:textId="77777777" w:rsidTr="002A4C9C">
        <w:trPr>
          <w:trHeight w:val="330"/>
        </w:trPr>
        <w:tc>
          <w:tcPr>
            <w:tcW w:w="893" w:type="dxa"/>
            <w:vAlign w:val="center"/>
            <w:hideMark/>
          </w:tcPr>
          <w:p w14:paraId="01DDE2D6" w14:textId="77777777" w:rsidR="002508F3" w:rsidRPr="00596B01" w:rsidRDefault="002508F3" w:rsidP="002A4C9C">
            <w:pPr>
              <w:contextualSpacing/>
              <w:rPr>
                <w:rFonts w:ascii="Verdana" w:hAnsi="Verdana" w:cs="Arial"/>
                <w:sz w:val="16"/>
                <w:szCs w:val="16"/>
                <w:lang w:val="es-ES" w:eastAsia="es-ES"/>
              </w:rPr>
            </w:pPr>
            <w:r w:rsidRPr="00596B0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5E58E46" w14:textId="3707A453" w:rsidR="00EB4FFB" w:rsidRPr="00596B01" w:rsidRDefault="00EB4FFB" w:rsidP="002A4C9C">
            <w:pPr>
              <w:pStyle w:val="paragraph"/>
              <w:spacing w:before="0" w:beforeAutospacing="0" w:after="0" w:afterAutospacing="0"/>
              <w:contextualSpacing/>
              <w:textAlignment w:val="baseline"/>
              <w:rPr>
                <w:rStyle w:val="normaltextrun"/>
                <w:rFonts w:ascii="Verdana" w:hAnsi="Verdana" w:cs="Arial"/>
                <w:sz w:val="16"/>
                <w:szCs w:val="16"/>
              </w:rPr>
            </w:pPr>
            <w:r w:rsidRPr="00596B01">
              <w:rPr>
                <w:rFonts w:ascii="Verdana" w:hAnsi="Verdana" w:cs="Arial"/>
                <w:sz w:val="16"/>
                <w:szCs w:val="16"/>
              </w:rPr>
              <w:t xml:space="preserve">Adriana Katerine </w:t>
            </w:r>
            <w:r w:rsidR="00596B01" w:rsidRPr="00596B01">
              <w:rPr>
                <w:rFonts w:ascii="Verdana" w:hAnsi="Verdana" w:cs="Arial"/>
                <w:sz w:val="16"/>
                <w:szCs w:val="16"/>
              </w:rPr>
              <w:t>López</w:t>
            </w:r>
            <w:r w:rsidRPr="00596B01">
              <w:rPr>
                <w:rFonts w:ascii="Verdana" w:hAnsi="Verdana" w:cs="Arial"/>
                <w:sz w:val="16"/>
                <w:szCs w:val="16"/>
              </w:rPr>
              <w:t xml:space="preserve"> Rodríguez</w:t>
            </w:r>
          </w:p>
          <w:p w14:paraId="02F24CAE" w14:textId="52A8843A" w:rsidR="002508F3" w:rsidRPr="00596B01" w:rsidRDefault="002508F3" w:rsidP="002A4C9C">
            <w:pPr>
              <w:pStyle w:val="paragraph"/>
              <w:spacing w:before="0" w:beforeAutospacing="0" w:after="0" w:afterAutospacing="0"/>
              <w:contextualSpacing/>
              <w:textAlignment w:val="baseline"/>
              <w:rPr>
                <w:rFonts w:ascii="Verdana" w:hAnsi="Verdana" w:cs="Arial"/>
                <w:sz w:val="16"/>
                <w:szCs w:val="16"/>
              </w:rPr>
            </w:pPr>
            <w:r w:rsidRPr="00596B01">
              <w:rPr>
                <w:rStyle w:val="normaltextrun"/>
                <w:rFonts w:ascii="Verdana" w:eastAsia="Arial" w:hAnsi="Verdana" w:cs="Arial"/>
                <w:sz w:val="16"/>
                <w:szCs w:val="16"/>
              </w:rPr>
              <w:t>C</w:t>
            </w:r>
            <w:r w:rsidRPr="00596B01">
              <w:rPr>
                <w:rStyle w:val="normaltextrun"/>
                <w:rFonts w:ascii="Verdana" w:hAnsi="Verdana"/>
                <w:sz w:val="16"/>
                <w:szCs w:val="16"/>
              </w:rPr>
              <w:t>ontratista</w:t>
            </w:r>
            <w:r w:rsidRPr="00596B01">
              <w:rPr>
                <w:rStyle w:val="normaltextrun"/>
                <w:rFonts w:ascii="Verdana" w:eastAsia="Arial" w:hAnsi="Verdana" w:cs="Arial"/>
                <w:sz w:val="16"/>
                <w:szCs w:val="16"/>
              </w:rPr>
              <w:t xml:space="preserve"> de la Subdirección de Gestión Contractual</w:t>
            </w:r>
          </w:p>
        </w:tc>
      </w:tr>
      <w:tr w:rsidR="002508F3" w:rsidRPr="00596B01" w14:paraId="067A7FF5" w14:textId="77777777" w:rsidTr="002A4C9C">
        <w:trPr>
          <w:trHeight w:val="300"/>
        </w:trPr>
        <w:tc>
          <w:tcPr>
            <w:tcW w:w="893" w:type="dxa"/>
            <w:vAlign w:val="center"/>
          </w:tcPr>
          <w:p w14:paraId="1F7F312D" w14:textId="77777777" w:rsidR="002508F3" w:rsidRPr="00596B01" w:rsidRDefault="002508F3" w:rsidP="002A4C9C">
            <w:pPr>
              <w:contextualSpacing/>
              <w:rPr>
                <w:rFonts w:ascii="Verdana" w:hAnsi="Verdana" w:cs="Arial"/>
                <w:sz w:val="16"/>
                <w:szCs w:val="16"/>
                <w:lang w:val="es-ES" w:eastAsia="es-ES"/>
              </w:rPr>
            </w:pPr>
            <w:r w:rsidRPr="00596B0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8E46C3" w14:textId="77777777" w:rsidR="002508F3" w:rsidRPr="00596B01" w:rsidRDefault="002508F3" w:rsidP="002A4C9C">
            <w:pPr>
              <w:contextualSpacing/>
              <w:rPr>
                <w:rFonts w:ascii="Verdana" w:eastAsia="Calibri" w:hAnsi="Verdana" w:cs="Arial"/>
                <w:sz w:val="16"/>
                <w:szCs w:val="16"/>
                <w:lang w:val="pt-BR" w:eastAsia="es-ES"/>
              </w:rPr>
            </w:pPr>
            <w:r w:rsidRPr="00596B01">
              <w:rPr>
                <w:rFonts w:ascii="Verdana" w:eastAsia="Calibri" w:hAnsi="Verdana" w:cs="Arial"/>
                <w:sz w:val="16"/>
                <w:szCs w:val="16"/>
                <w:lang w:val="pt-BR" w:eastAsia="es-ES"/>
              </w:rPr>
              <w:t>Carolina Quintero Gacharná</w:t>
            </w:r>
          </w:p>
          <w:p w14:paraId="063DA89F" w14:textId="77777777" w:rsidR="002508F3" w:rsidRPr="00596B01" w:rsidRDefault="002508F3" w:rsidP="002A4C9C">
            <w:pPr>
              <w:contextualSpacing/>
              <w:rPr>
                <w:rFonts w:ascii="Verdana" w:eastAsia="Calibri" w:hAnsi="Verdana" w:cs="Arial"/>
                <w:sz w:val="16"/>
                <w:szCs w:val="16"/>
                <w:lang w:val="pt-BR" w:eastAsia="es-ES"/>
              </w:rPr>
            </w:pPr>
            <w:r w:rsidRPr="00596B01">
              <w:rPr>
                <w:rFonts w:ascii="Verdana" w:eastAsia="Calibri" w:hAnsi="Verdana" w:cs="Arial"/>
                <w:sz w:val="16"/>
                <w:szCs w:val="16"/>
                <w:lang w:eastAsia="es-ES"/>
              </w:rPr>
              <w:t>Subdirectora</w:t>
            </w:r>
            <w:r w:rsidRPr="00596B01">
              <w:rPr>
                <w:rFonts w:ascii="Verdana" w:eastAsia="Calibri" w:hAnsi="Verdana" w:cs="Arial"/>
                <w:sz w:val="16"/>
                <w:szCs w:val="16"/>
                <w:lang w:val="pt-BR" w:eastAsia="es-ES"/>
              </w:rPr>
              <w:t xml:space="preserve"> de Gestión Contractual ANCP – CCE</w:t>
            </w:r>
          </w:p>
        </w:tc>
      </w:tr>
    </w:tbl>
    <w:p w14:paraId="363CA57F" w14:textId="77777777" w:rsidR="00EB4FFB" w:rsidRPr="00596B01" w:rsidRDefault="00EB4FFB" w:rsidP="30821638">
      <w:pPr>
        <w:spacing w:after="0" w:line="240" w:lineRule="auto"/>
        <w:textAlignment w:val="baseline"/>
        <w:rPr>
          <w:rFonts w:ascii="Verdana" w:eastAsia="Verdana" w:hAnsi="Verdana" w:cs="Verdana"/>
          <w:lang w:eastAsia="es-CO"/>
        </w:rPr>
      </w:pPr>
    </w:p>
    <w:p w14:paraId="69BC4D14" w14:textId="4C22D790" w:rsidR="00C15139" w:rsidRPr="00596B01" w:rsidRDefault="00C15139" w:rsidP="30821638">
      <w:pPr>
        <w:spacing w:after="0" w:line="240" w:lineRule="auto"/>
        <w:textAlignment w:val="baseline"/>
        <w:rPr>
          <w:rFonts w:ascii="Verdana" w:eastAsia="Verdana" w:hAnsi="Verdana" w:cs="Verdana"/>
          <w:lang w:eastAsia="es-CO"/>
        </w:rPr>
      </w:pPr>
      <w:r w:rsidRPr="00596B01">
        <w:rPr>
          <w:rFonts w:ascii="Verdana" w:eastAsia="Verdana" w:hAnsi="Verdana" w:cs="Verdana"/>
          <w:lang w:eastAsia="es-CO"/>
        </w:rPr>
        <w:t> </w:t>
      </w:r>
      <w:bookmarkEnd w:id="0"/>
    </w:p>
    <w:sectPr w:rsidR="00C15139" w:rsidRPr="00596B01" w:rsidSect="007C0C0F">
      <w:headerReference w:type="default" r:id="rId18"/>
      <w:footerReference w:type="even" r:id="rId19"/>
      <w:footerReference w:type="default" r:id="rId20"/>
      <w:footerReference w:type="firs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6718" w14:textId="77777777" w:rsidR="00736D76" w:rsidRDefault="00736D76" w:rsidP="004A1847">
      <w:pPr>
        <w:spacing w:after="0" w:line="240" w:lineRule="auto"/>
      </w:pPr>
      <w:r>
        <w:separator/>
      </w:r>
    </w:p>
  </w:endnote>
  <w:endnote w:type="continuationSeparator" w:id="0">
    <w:p w14:paraId="37061FCA" w14:textId="77777777" w:rsidR="00736D76" w:rsidRDefault="00736D7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B64BB" w14:textId="3342C82E" w:rsidR="00D7707A" w:rsidRDefault="00D7707A">
    <w:pPr>
      <w:pStyle w:val="Piedepgina"/>
    </w:pPr>
    <w:r>
      <w:rPr>
        <w:noProof/>
      </w:rPr>
      <mc:AlternateContent>
        <mc:Choice Requires="wps">
          <w:drawing>
            <wp:anchor distT="0" distB="0" distL="0" distR="0" simplePos="0" relativeHeight="251660289" behindDoc="0" locked="0" layoutInCell="1" allowOverlap="1" wp14:anchorId="24065A73" wp14:editId="063B69BA">
              <wp:simplePos x="635" y="635"/>
              <wp:positionH relativeFrom="page">
                <wp:align>left</wp:align>
              </wp:positionH>
              <wp:positionV relativeFrom="page">
                <wp:align>bottom</wp:align>
              </wp:positionV>
              <wp:extent cx="1360170" cy="357505"/>
              <wp:effectExtent l="0" t="0" r="11430" b="0"/>
              <wp:wrapNone/>
              <wp:docPr id="1838506210" name="Cuadro de texto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57FDCB9B" w14:textId="3E78E4B8" w:rsidR="00D7707A" w:rsidRPr="00D7707A" w:rsidRDefault="00D7707A" w:rsidP="00D7707A">
                          <w:pPr>
                            <w:spacing w:after="0"/>
                            <w:rPr>
                              <w:rFonts w:ascii="Aptos" w:eastAsia="Aptos" w:hAnsi="Aptos" w:cs="Aptos"/>
                              <w:noProof/>
                              <w:color w:val="000000"/>
                              <w:sz w:val="20"/>
                              <w:szCs w:val="20"/>
                            </w:rPr>
                          </w:pPr>
                          <w:r w:rsidRPr="00D7707A">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065A73" id="_x0000_t202" coordsize="21600,21600" o:spt="202" path="m,l,21600r21600,l21600,xe">
              <v:stroke joinstyle="miter"/>
              <v:path gradientshapeok="t" o:connecttype="rect"/>
            </v:shapetype>
            <v:shape id="Cuadro de texto 2" o:spid="_x0000_s1026" type="#_x0000_t202" alt="Información Pública" style="position:absolute;margin-left:0;margin-top:0;width:107.1pt;height:28.15pt;z-index:251660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" filled="f" stroked="f">
              <v:fill o:detectmouseclick="t"/>
              <v:textbox style="mso-fit-shape-to-text:t" inset="20pt,0,0,15pt">
                <w:txbxContent>
                  <w:p w14:paraId="57FDCB9B" w14:textId="3E78E4B8" w:rsidR="00D7707A" w:rsidRPr="00D7707A" w:rsidRDefault="00D7707A" w:rsidP="00D7707A">
                    <w:pPr>
                      <w:spacing w:after="0"/>
                      <w:rPr>
                        <w:rFonts w:ascii="Aptos" w:eastAsia="Aptos" w:hAnsi="Aptos" w:cs="Aptos"/>
                        <w:noProof/>
                        <w:color w:val="000000"/>
                        <w:sz w:val="20"/>
                        <w:szCs w:val="20"/>
                      </w:rPr>
                    </w:pPr>
                    <w:r w:rsidRPr="00D7707A">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17F64874" w:rsidR="004A1847" w:rsidRDefault="00D7707A">
    <w:pPr>
      <w:pStyle w:val="Piedepgina"/>
    </w:pPr>
    <w:r>
      <w:rPr>
        <w:noProof/>
      </w:rPr>
      <mc:AlternateContent>
        <mc:Choice Requires="wps">
          <w:drawing>
            <wp:anchor distT="0" distB="0" distL="0" distR="0" simplePos="0" relativeHeight="251661313" behindDoc="0" locked="0" layoutInCell="1" allowOverlap="1" wp14:anchorId="5E4658D0" wp14:editId="625B45AF">
              <wp:simplePos x="1076325" y="8667750"/>
              <wp:positionH relativeFrom="page">
                <wp:align>left</wp:align>
              </wp:positionH>
              <wp:positionV relativeFrom="page">
                <wp:align>bottom</wp:align>
              </wp:positionV>
              <wp:extent cx="1360170" cy="357505"/>
              <wp:effectExtent l="0" t="0" r="11430" b="0"/>
              <wp:wrapNone/>
              <wp:docPr id="670277772" name="Cuadro de texto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6C1F994A" w14:textId="134891A3" w:rsidR="00D7707A" w:rsidRPr="00D7707A" w:rsidRDefault="00D7707A" w:rsidP="00D7707A">
                          <w:pPr>
                            <w:spacing w:after="0"/>
                            <w:rPr>
                              <w:rFonts w:ascii="Aptos" w:eastAsia="Aptos" w:hAnsi="Aptos" w:cs="Aptos"/>
                              <w:noProof/>
                              <w:color w:val="000000"/>
                              <w:sz w:val="20"/>
                              <w:szCs w:val="20"/>
                            </w:rPr>
                          </w:pPr>
                          <w:r w:rsidRPr="00D7707A">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4658D0" id="_x0000_t202" coordsize="21600,21600" o:spt="202" path="m,l,21600r21600,l21600,xe">
              <v:stroke joinstyle="miter"/>
              <v:path gradientshapeok="t" o:connecttype="rect"/>
            </v:shapetype>
            <v:shape id="Cuadro de texto 3" o:spid="_x0000_s1027" type="#_x0000_t202" alt="Información Pública" style="position:absolute;margin-left:0;margin-top:0;width:107.1pt;height:28.15pt;z-index:251661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" filled="f" stroked="f">
              <v:fill o:detectmouseclick="t"/>
              <v:textbox style="mso-fit-shape-to-text:t" inset="20pt,0,0,15pt">
                <w:txbxContent>
                  <w:p w14:paraId="6C1F994A" w14:textId="134891A3" w:rsidR="00D7707A" w:rsidRPr="00D7707A" w:rsidRDefault="00D7707A" w:rsidP="00D7707A">
                    <w:pPr>
                      <w:spacing w:after="0"/>
                      <w:rPr>
                        <w:rFonts w:ascii="Aptos" w:eastAsia="Aptos" w:hAnsi="Aptos" w:cs="Aptos"/>
                        <w:noProof/>
                        <w:color w:val="000000"/>
                        <w:sz w:val="20"/>
                        <w:szCs w:val="20"/>
                      </w:rPr>
                    </w:pPr>
                    <w:r w:rsidRPr="00D7707A">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5E80" w14:textId="6B547F55" w:rsidR="00D7707A" w:rsidRDefault="00D7707A">
    <w:pPr>
      <w:pStyle w:val="Piedepgina"/>
    </w:pPr>
    <w:r>
      <w:rPr>
        <w:noProof/>
      </w:rPr>
      <mc:AlternateContent>
        <mc:Choice Requires="wps">
          <w:drawing>
            <wp:anchor distT="0" distB="0" distL="0" distR="0" simplePos="0" relativeHeight="251659265" behindDoc="0" locked="0" layoutInCell="1" allowOverlap="1" wp14:anchorId="23A5CD20" wp14:editId="112AD85E">
              <wp:simplePos x="635" y="635"/>
              <wp:positionH relativeFrom="page">
                <wp:align>left</wp:align>
              </wp:positionH>
              <wp:positionV relativeFrom="page">
                <wp:align>bottom</wp:align>
              </wp:positionV>
              <wp:extent cx="1360170" cy="357505"/>
              <wp:effectExtent l="0" t="0" r="11430" b="0"/>
              <wp:wrapNone/>
              <wp:docPr id="1779023045" name="Cuadro de texto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66EB947D" w14:textId="76AC7AE4" w:rsidR="00D7707A" w:rsidRPr="00D7707A" w:rsidRDefault="00D7707A" w:rsidP="00D7707A">
                          <w:pPr>
                            <w:spacing w:after="0"/>
                            <w:rPr>
                              <w:rFonts w:ascii="Aptos" w:eastAsia="Aptos" w:hAnsi="Aptos" w:cs="Aptos"/>
                              <w:noProof/>
                              <w:color w:val="000000"/>
                              <w:sz w:val="20"/>
                              <w:szCs w:val="20"/>
                            </w:rPr>
                          </w:pPr>
                          <w:r w:rsidRPr="00D7707A">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A5CD20" id="_x0000_t202" coordsize="21600,21600" o:spt="202" path="m,l,21600r21600,l21600,xe">
              <v:stroke joinstyle="miter"/>
              <v:path gradientshapeok="t" o:connecttype="rect"/>
            </v:shapetype>
            <v:shape id="Cuadro de texto 1" o:spid="_x0000_s1028" type="#_x0000_t202" alt="Información Pública" style="position:absolute;margin-left:0;margin-top:0;width:107.1pt;height:28.15pt;z-index:251659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" filled="f" stroked="f">
              <v:fill o:detectmouseclick="t"/>
              <v:textbox style="mso-fit-shape-to-text:t" inset="20pt,0,0,15pt">
                <w:txbxContent>
                  <w:p w14:paraId="66EB947D" w14:textId="76AC7AE4" w:rsidR="00D7707A" w:rsidRPr="00D7707A" w:rsidRDefault="00D7707A" w:rsidP="00D7707A">
                    <w:pPr>
                      <w:spacing w:after="0"/>
                      <w:rPr>
                        <w:rFonts w:ascii="Aptos" w:eastAsia="Aptos" w:hAnsi="Aptos" w:cs="Aptos"/>
                        <w:noProof/>
                        <w:color w:val="000000"/>
                        <w:sz w:val="20"/>
                        <w:szCs w:val="20"/>
                      </w:rPr>
                    </w:pPr>
                    <w:r w:rsidRPr="00D7707A">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3F54A" w14:textId="77777777" w:rsidR="00736D76" w:rsidRDefault="00736D76" w:rsidP="004A1847">
      <w:pPr>
        <w:spacing w:after="0" w:line="240" w:lineRule="auto"/>
      </w:pPr>
      <w:r>
        <w:separator/>
      </w:r>
    </w:p>
  </w:footnote>
  <w:footnote w:type="continuationSeparator" w:id="0">
    <w:p w14:paraId="51B5F9C3" w14:textId="77777777" w:rsidR="00736D76" w:rsidRDefault="00736D76" w:rsidP="004A1847">
      <w:pPr>
        <w:spacing w:after="0" w:line="240" w:lineRule="auto"/>
      </w:pPr>
      <w:r>
        <w:continuationSeparator/>
      </w:r>
    </w:p>
  </w:footnote>
  <w:footnote w:id="1">
    <w:p w14:paraId="28DAA305" w14:textId="77777777" w:rsidR="00FE2618" w:rsidRPr="00CB23D0" w:rsidRDefault="00FE2618" w:rsidP="00FE2618">
      <w:pPr>
        <w:pStyle w:val="Textonotapie"/>
        <w:ind w:firstLine="709"/>
        <w:jc w:val="both"/>
        <w:rPr>
          <w:rFonts w:ascii="Verdana" w:hAnsi="Verdana" w:cs="Arial"/>
          <w:color w:val="000000" w:themeColor="text1"/>
          <w:sz w:val="16"/>
          <w:szCs w:val="16"/>
          <w:lang w:val="es-ES"/>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w:t>
      </w:r>
      <w:r w:rsidRPr="00CB23D0">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6ACC484" w14:textId="56D33FE0" w:rsidR="00FE2618" w:rsidRPr="00CB23D0" w:rsidRDefault="00DE05BD" w:rsidP="00FE2618">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00FE2618" w:rsidRPr="00CB23D0">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CFBE3A8" w14:textId="2D12926A" w:rsidR="00FE2618" w:rsidRPr="00CB23D0" w:rsidRDefault="00DE05BD" w:rsidP="00FE2618">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00FE2618" w:rsidRPr="00CB23D0">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3659667E" w14:textId="77777777" w:rsidR="00FE2618" w:rsidRPr="00CB23D0" w:rsidRDefault="00FE2618" w:rsidP="00FE2618">
      <w:pPr>
        <w:pStyle w:val="Textonotapie"/>
        <w:ind w:firstLine="709"/>
        <w:jc w:val="both"/>
        <w:rPr>
          <w:rFonts w:ascii="Verdana" w:hAnsi="Verdana" w:cs="Arial"/>
          <w:color w:val="000000" w:themeColor="text1"/>
          <w:sz w:val="16"/>
          <w:szCs w:val="16"/>
          <w:lang w:val="es-ES"/>
        </w:rPr>
      </w:pPr>
    </w:p>
  </w:footnote>
  <w:footnote w:id="2">
    <w:p w14:paraId="7295F613" w14:textId="423C4FD4" w:rsidR="00FE2618" w:rsidRDefault="00FE2618" w:rsidP="00CB23D0">
      <w:pPr>
        <w:pStyle w:val="Textonotapie"/>
        <w:ind w:firstLine="709"/>
        <w:jc w:val="both"/>
        <w:rPr>
          <w:rFonts w:ascii="Verdana" w:hAnsi="Verdana" w:cs="Arial"/>
          <w:color w:val="000000" w:themeColor="text1"/>
          <w:sz w:val="16"/>
          <w:szCs w:val="16"/>
          <w:lang w:val="es-ES"/>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w:t>
      </w:r>
      <w:r w:rsidRPr="00CB23D0">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3BCA945E" w14:textId="77777777" w:rsidR="00DE05BD" w:rsidRPr="00CB23D0" w:rsidRDefault="00DE05BD" w:rsidP="00CB23D0">
      <w:pPr>
        <w:pStyle w:val="Textonotapie"/>
        <w:ind w:firstLine="709"/>
        <w:jc w:val="both"/>
        <w:rPr>
          <w:rFonts w:ascii="Verdana" w:hAnsi="Verdana" w:cs="Arial"/>
          <w:color w:val="000000" w:themeColor="text1"/>
          <w:sz w:val="16"/>
          <w:szCs w:val="16"/>
          <w:lang w:val="es-ES"/>
        </w:rPr>
      </w:pPr>
    </w:p>
  </w:footnote>
  <w:footnote w:id="3">
    <w:p w14:paraId="00624FA2" w14:textId="3C48BFAB" w:rsidR="00FE2618" w:rsidRDefault="00FE2618" w:rsidP="00CB23D0">
      <w:pPr>
        <w:pStyle w:val="Textonotapie"/>
        <w:ind w:firstLine="709"/>
        <w:jc w:val="both"/>
        <w:rPr>
          <w:rFonts w:ascii="Verdana" w:hAnsi="Verdana" w:cs="Arial"/>
          <w:color w:val="000000" w:themeColor="text1"/>
          <w:sz w:val="16"/>
          <w:szCs w:val="16"/>
          <w:lang w:val="es-ES"/>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w:t>
      </w:r>
      <w:r w:rsidRPr="00CB23D0">
        <w:rPr>
          <w:rFonts w:ascii="Verdana" w:hAnsi="Verdana" w:cs="Arial"/>
          <w:i/>
          <w:iCs/>
          <w:color w:val="000000" w:themeColor="text1"/>
          <w:sz w:val="16"/>
          <w:szCs w:val="16"/>
          <w:lang w:val="es-ES"/>
        </w:rPr>
        <w:t>Ibíd</w:t>
      </w:r>
      <w:r w:rsidRPr="00CB23D0">
        <w:rPr>
          <w:rFonts w:ascii="Verdana" w:hAnsi="Verdana" w:cs="Arial"/>
          <w:color w:val="000000" w:themeColor="text1"/>
          <w:sz w:val="16"/>
          <w:szCs w:val="16"/>
          <w:lang w:val="es-ES"/>
        </w:rPr>
        <w:t>.</w:t>
      </w:r>
    </w:p>
    <w:p w14:paraId="360F5FE6" w14:textId="77777777" w:rsidR="00CB23D0" w:rsidRPr="00CB23D0" w:rsidRDefault="00CB23D0" w:rsidP="00CB23D0">
      <w:pPr>
        <w:pStyle w:val="Textonotapie"/>
        <w:ind w:firstLine="709"/>
        <w:jc w:val="both"/>
        <w:rPr>
          <w:rFonts w:ascii="Verdana" w:hAnsi="Verdana" w:cs="Arial"/>
          <w:color w:val="000000" w:themeColor="text1"/>
          <w:sz w:val="16"/>
          <w:szCs w:val="16"/>
          <w:lang w:val="es-ES"/>
        </w:rPr>
      </w:pPr>
    </w:p>
  </w:footnote>
  <w:footnote w:id="4">
    <w:p w14:paraId="5695B5B8"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Ley 190 de 1995: “Artículo 1.</w:t>
      </w:r>
      <w:r w:rsidRPr="00CB23D0">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486932B4"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06CB09F9"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364A3C1F"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58F1409C"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4. En caso de personas jurídicas, el correspondiente certificado que acredite la representación legal.</w:t>
      </w:r>
    </w:p>
    <w:p w14:paraId="3A488839"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w:t>
      </w:r>
    </w:p>
    <w:p w14:paraId="0B9ECD99" w14:textId="77777777" w:rsidR="00FE2618" w:rsidRPr="00CB23D0" w:rsidRDefault="00FE2618" w:rsidP="00FE2618">
      <w:pPr>
        <w:pStyle w:val="Textonotapie"/>
        <w:ind w:firstLine="708"/>
        <w:jc w:val="both"/>
        <w:rPr>
          <w:rFonts w:ascii="Verdana" w:hAnsi="Verdana" w:cs="Arial"/>
          <w:color w:val="000000" w:themeColor="text1"/>
          <w:sz w:val="16"/>
          <w:szCs w:val="16"/>
          <w:lang w:val="es-CO"/>
        </w:rPr>
      </w:pPr>
    </w:p>
  </w:footnote>
  <w:footnote w:id="5">
    <w:p w14:paraId="664226B8" w14:textId="77777777" w:rsidR="00FE2618" w:rsidRPr="00CB23D0" w:rsidRDefault="00FE2618" w:rsidP="00FE2618">
      <w:pPr>
        <w:shd w:val="clear" w:color="auto" w:fill="FFFFFF"/>
        <w:spacing w:after="0"/>
        <w:ind w:firstLine="708"/>
        <w:jc w:val="both"/>
        <w:rPr>
          <w:rFonts w:ascii="Verdana" w:hAnsi="Verdana" w:cs="Arial"/>
          <w:color w:val="000000" w:themeColor="text1"/>
          <w:sz w:val="16"/>
          <w:szCs w:val="16"/>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CORTE CONSTITUCIONAL. Sentencia C – 697 del 14 de junio de 2000. Expediente D-2662. Magistrado Ponente: Eduardo Cifuentes Muñoz.</w:t>
      </w:r>
    </w:p>
  </w:footnote>
  <w:footnote w:id="6">
    <w:p w14:paraId="12D44D45" w14:textId="77777777" w:rsidR="00FE2618" w:rsidRPr="00CB23D0" w:rsidRDefault="00FE2618" w:rsidP="00FE2618">
      <w:pPr>
        <w:pStyle w:val="Textonotapie"/>
        <w:ind w:firstLine="709"/>
        <w:jc w:val="both"/>
        <w:rPr>
          <w:rFonts w:ascii="Verdana" w:hAnsi="Verdana" w:cs="Arial"/>
          <w:color w:val="000000" w:themeColor="text1"/>
          <w:sz w:val="16"/>
          <w:szCs w:val="16"/>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Ley 270 de 1996: “Artículo 85. Funciones administrativas. Corresponde a la Sala Administrativa del Consejo Superior de la Judicatura:</w:t>
      </w:r>
    </w:p>
    <w:p w14:paraId="75A4FD2C" w14:textId="77777777" w:rsidR="00FE2618" w:rsidRPr="00CB23D0" w:rsidRDefault="00FE2618" w:rsidP="00FE2618">
      <w:pPr>
        <w:pStyle w:val="Textonotapie"/>
        <w:ind w:firstLine="709"/>
        <w:jc w:val="both"/>
        <w:rPr>
          <w:rFonts w:ascii="Verdana" w:hAnsi="Verdana" w:cs="Arial"/>
          <w:color w:val="000000" w:themeColor="text1"/>
          <w:sz w:val="16"/>
          <w:szCs w:val="16"/>
        </w:rPr>
      </w:pPr>
      <w:r w:rsidRPr="00CB23D0">
        <w:rPr>
          <w:rFonts w:ascii="Verdana" w:hAnsi="Verdana" w:cs="Arial"/>
          <w:color w:val="000000" w:themeColor="text1"/>
          <w:sz w:val="16"/>
          <w:szCs w:val="16"/>
        </w:rPr>
        <w:t>[…]</w:t>
      </w:r>
    </w:p>
    <w:p w14:paraId="55916829" w14:textId="77777777" w:rsidR="00FE2618" w:rsidRPr="00CB23D0" w:rsidRDefault="00FE2618" w:rsidP="00FE2618">
      <w:pPr>
        <w:pStyle w:val="Textonotapie"/>
        <w:ind w:firstLine="709"/>
        <w:jc w:val="both"/>
        <w:rPr>
          <w:rFonts w:ascii="Verdana" w:hAnsi="Verdana" w:cs="Arial"/>
          <w:color w:val="000000" w:themeColor="text1"/>
          <w:sz w:val="16"/>
          <w:szCs w:val="16"/>
        </w:rPr>
      </w:pPr>
      <w:r w:rsidRPr="00CB23D0">
        <w:rPr>
          <w:rFonts w:ascii="Verdana" w:hAnsi="Verdana" w:cs="Arial"/>
          <w:color w:val="000000" w:themeColor="text1"/>
          <w:sz w:val="16"/>
          <w:szCs w:val="16"/>
        </w:rPr>
        <w:t>20. Regular, organizar y llevar el Registro Nacional de Abogados y expedir la correspondiente Tarjeta Profesional, previa verificación de los requisitos señalados por la ley”.</w:t>
      </w:r>
    </w:p>
    <w:p w14:paraId="4655CB61" w14:textId="77777777" w:rsidR="00FE2618" w:rsidRPr="00CB23D0" w:rsidRDefault="00FE2618" w:rsidP="00FE2618">
      <w:pPr>
        <w:pStyle w:val="Textonotapie"/>
        <w:ind w:firstLine="709"/>
        <w:jc w:val="both"/>
        <w:rPr>
          <w:rFonts w:ascii="Verdana" w:hAnsi="Verdana" w:cs="Arial"/>
          <w:color w:val="000000" w:themeColor="text1"/>
          <w:sz w:val="16"/>
          <w:szCs w:val="16"/>
        </w:rPr>
      </w:pPr>
    </w:p>
  </w:footnote>
  <w:footnote w:id="7">
    <w:p w14:paraId="646823F3" w14:textId="77777777" w:rsidR="00FE2618" w:rsidRPr="00CB23D0" w:rsidRDefault="00FE2618" w:rsidP="00FE2618">
      <w:pPr>
        <w:pStyle w:val="Textonotapie"/>
        <w:ind w:firstLine="708"/>
        <w:jc w:val="both"/>
        <w:rPr>
          <w:rFonts w:ascii="Verdana" w:hAnsi="Verdana"/>
          <w:sz w:val="16"/>
          <w:szCs w:val="16"/>
        </w:rPr>
      </w:pPr>
      <w:r w:rsidRPr="00CB23D0">
        <w:rPr>
          <w:rStyle w:val="Refdenotaalpie"/>
          <w:rFonts w:ascii="Verdana" w:hAnsi="Verdana"/>
          <w:sz w:val="16"/>
          <w:szCs w:val="16"/>
        </w:rPr>
        <w:footnoteRef/>
      </w:r>
      <w:r w:rsidRPr="00CB23D0">
        <w:rPr>
          <w:rFonts w:ascii="Verdana" w:hAnsi="Verdana"/>
          <w:sz w:val="16"/>
          <w:szCs w:val="16"/>
        </w:rPr>
        <w:t xml:space="preserve"> CORTE CONSTITUCIONAL, Sentencia SU-128 del 18 de abril de 2024.  M.P. </w:t>
      </w:r>
      <w:r w:rsidRPr="00CB23D0">
        <w:rPr>
          <w:rFonts w:ascii="Verdana" w:hAnsi="Verdana"/>
          <w:sz w:val="16"/>
          <w:szCs w:val="16"/>
          <w:lang w:val="es-CO"/>
        </w:rPr>
        <w:t>Natalia Ángel Cabo.</w:t>
      </w:r>
      <w:r w:rsidRPr="00CB23D0">
        <w:rPr>
          <w:rFonts w:ascii="Verdana" w:hAnsi="Verdana"/>
          <w:sz w:val="16"/>
          <w:szCs w:val="16"/>
        </w:rPr>
        <w:t xml:space="preserve"> </w:t>
      </w:r>
    </w:p>
    <w:p w14:paraId="0A3807B5" w14:textId="77777777" w:rsidR="00FE2618" w:rsidRPr="00CB23D0" w:rsidRDefault="00FE2618" w:rsidP="00FE2618">
      <w:pPr>
        <w:pStyle w:val="Textonotapie"/>
        <w:ind w:firstLine="708"/>
        <w:jc w:val="both"/>
        <w:rPr>
          <w:rFonts w:ascii="Verdana" w:hAnsi="Verdana"/>
          <w:sz w:val="16"/>
          <w:szCs w:val="16"/>
        </w:rPr>
      </w:pPr>
    </w:p>
  </w:footnote>
  <w:footnote w:id="8">
    <w:p w14:paraId="228C69D8" w14:textId="77777777" w:rsidR="00FE2618" w:rsidRPr="00CB23D0" w:rsidRDefault="00FE2618" w:rsidP="00FE2618">
      <w:pPr>
        <w:pStyle w:val="Textonotapie"/>
        <w:ind w:firstLine="708"/>
        <w:jc w:val="both"/>
        <w:rPr>
          <w:rFonts w:ascii="Verdana" w:hAnsi="Verdana"/>
          <w:sz w:val="16"/>
          <w:szCs w:val="16"/>
        </w:rPr>
      </w:pPr>
      <w:r w:rsidRPr="00CB23D0">
        <w:rPr>
          <w:rStyle w:val="Refdenotaalpie"/>
          <w:rFonts w:ascii="Verdana" w:hAnsi="Verdana"/>
          <w:sz w:val="16"/>
          <w:szCs w:val="16"/>
        </w:rPr>
        <w:footnoteRef/>
      </w:r>
      <w:r w:rsidRPr="00CB23D0">
        <w:rPr>
          <w:rFonts w:ascii="Verdana" w:hAnsi="Verdana"/>
          <w:sz w:val="16"/>
          <w:szCs w:val="16"/>
        </w:rPr>
        <w:t xml:space="preserve"> Ibid. </w:t>
      </w:r>
    </w:p>
  </w:footnote>
  <w:footnote w:id="9">
    <w:p w14:paraId="7FC55B0E" w14:textId="77777777" w:rsidR="00FE2618" w:rsidRPr="00A7405A" w:rsidRDefault="00FE2618" w:rsidP="00FE2618">
      <w:pPr>
        <w:pStyle w:val="Textonotapie"/>
        <w:ind w:firstLine="708"/>
        <w:rPr>
          <w:rFonts w:ascii="Verdana" w:hAnsi="Verdana"/>
          <w:sz w:val="16"/>
          <w:szCs w:val="16"/>
        </w:rPr>
      </w:pPr>
      <w:r w:rsidRPr="00CB23D0">
        <w:rPr>
          <w:rStyle w:val="Refdenotaalpie"/>
          <w:rFonts w:ascii="Verdana" w:hAnsi="Verdana"/>
          <w:sz w:val="16"/>
          <w:szCs w:val="16"/>
        </w:rPr>
        <w:footnoteRef/>
      </w:r>
      <w:r w:rsidRPr="00CB23D0">
        <w:rPr>
          <w:rFonts w:ascii="Verdana" w:hAnsi="Verdana"/>
          <w:sz w:val="16"/>
          <w:szCs w:val="16"/>
        </w:rPr>
        <w:t xml:space="preserve"> Ibid.</w:t>
      </w:r>
      <w:r w:rsidRPr="00A7405A">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B53B30"/>
    <w:multiLevelType w:val="hybridMultilevel"/>
    <w:tmpl w:val="E17250D2"/>
    <w:lvl w:ilvl="0" w:tplc="1E10B1CE">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9B3A9D90">
      <w:numFmt w:val="bullet"/>
      <w:lvlText w:val="•"/>
      <w:lvlJc w:val="left"/>
      <w:pPr>
        <w:ind w:left="1601" w:hanging="360"/>
      </w:pPr>
      <w:rPr>
        <w:rFonts w:hint="default"/>
        <w:lang w:val="es-ES" w:eastAsia="en-US" w:bidi="ar-SA"/>
      </w:rPr>
    </w:lvl>
    <w:lvl w:ilvl="2" w:tplc="24FC6090">
      <w:numFmt w:val="bullet"/>
      <w:lvlText w:val="•"/>
      <w:lvlJc w:val="left"/>
      <w:pPr>
        <w:ind w:left="2383" w:hanging="360"/>
      </w:pPr>
      <w:rPr>
        <w:rFonts w:hint="default"/>
        <w:lang w:val="es-ES" w:eastAsia="en-US" w:bidi="ar-SA"/>
      </w:rPr>
    </w:lvl>
    <w:lvl w:ilvl="3" w:tplc="EDF677A6">
      <w:numFmt w:val="bullet"/>
      <w:lvlText w:val="•"/>
      <w:lvlJc w:val="left"/>
      <w:pPr>
        <w:ind w:left="3165" w:hanging="360"/>
      </w:pPr>
      <w:rPr>
        <w:rFonts w:hint="default"/>
        <w:lang w:val="es-ES" w:eastAsia="en-US" w:bidi="ar-SA"/>
      </w:rPr>
    </w:lvl>
    <w:lvl w:ilvl="4" w:tplc="9B84B230">
      <w:numFmt w:val="bullet"/>
      <w:lvlText w:val="•"/>
      <w:lvlJc w:val="left"/>
      <w:pPr>
        <w:ind w:left="3946" w:hanging="360"/>
      </w:pPr>
      <w:rPr>
        <w:rFonts w:hint="default"/>
        <w:lang w:val="es-ES" w:eastAsia="en-US" w:bidi="ar-SA"/>
      </w:rPr>
    </w:lvl>
    <w:lvl w:ilvl="5" w:tplc="61CC4C04">
      <w:numFmt w:val="bullet"/>
      <w:lvlText w:val="•"/>
      <w:lvlJc w:val="left"/>
      <w:pPr>
        <w:ind w:left="4728" w:hanging="360"/>
      </w:pPr>
      <w:rPr>
        <w:rFonts w:hint="default"/>
        <w:lang w:val="es-ES" w:eastAsia="en-US" w:bidi="ar-SA"/>
      </w:rPr>
    </w:lvl>
    <w:lvl w:ilvl="6" w:tplc="C17C2A10">
      <w:numFmt w:val="bullet"/>
      <w:lvlText w:val="•"/>
      <w:lvlJc w:val="left"/>
      <w:pPr>
        <w:ind w:left="5510" w:hanging="360"/>
      </w:pPr>
      <w:rPr>
        <w:rFonts w:hint="default"/>
        <w:lang w:val="es-ES" w:eastAsia="en-US" w:bidi="ar-SA"/>
      </w:rPr>
    </w:lvl>
    <w:lvl w:ilvl="7" w:tplc="238ABDAE">
      <w:numFmt w:val="bullet"/>
      <w:lvlText w:val="•"/>
      <w:lvlJc w:val="left"/>
      <w:pPr>
        <w:ind w:left="6291" w:hanging="360"/>
      </w:pPr>
      <w:rPr>
        <w:rFonts w:hint="default"/>
        <w:lang w:val="es-ES" w:eastAsia="en-US" w:bidi="ar-SA"/>
      </w:rPr>
    </w:lvl>
    <w:lvl w:ilvl="8" w:tplc="66BEE00C">
      <w:numFmt w:val="bullet"/>
      <w:lvlText w:val="•"/>
      <w:lvlJc w:val="left"/>
      <w:pPr>
        <w:ind w:left="7073" w:hanging="360"/>
      </w:pPr>
      <w:rPr>
        <w:rFonts w:hint="default"/>
        <w:lang w:val="es-ES" w:eastAsia="en-US" w:bidi="ar-SA"/>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F39287C"/>
    <w:multiLevelType w:val="hybridMultilevel"/>
    <w:tmpl w:val="B8D41B9C"/>
    <w:lvl w:ilvl="0" w:tplc="8E52845E">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93A00580">
      <w:numFmt w:val="bullet"/>
      <w:lvlText w:val="•"/>
      <w:lvlJc w:val="left"/>
      <w:pPr>
        <w:ind w:left="1601" w:hanging="360"/>
      </w:pPr>
      <w:rPr>
        <w:rFonts w:hint="default"/>
        <w:lang w:val="es-ES" w:eastAsia="en-US" w:bidi="ar-SA"/>
      </w:rPr>
    </w:lvl>
    <w:lvl w:ilvl="2" w:tplc="7D56E800">
      <w:numFmt w:val="bullet"/>
      <w:lvlText w:val="•"/>
      <w:lvlJc w:val="left"/>
      <w:pPr>
        <w:ind w:left="2383" w:hanging="360"/>
      </w:pPr>
      <w:rPr>
        <w:rFonts w:hint="default"/>
        <w:lang w:val="es-ES" w:eastAsia="en-US" w:bidi="ar-SA"/>
      </w:rPr>
    </w:lvl>
    <w:lvl w:ilvl="3" w:tplc="F9C2455A">
      <w:numFmt w:val="bullet"/>
      <w:lvlText w:val="•"/>
      <w:lvlJc w:val="left"/>
      <w:pPr>
        <w:ind w:left="3165" w:hanging="360"/>
      </w:pPr>
      <w:rPr>
        <w:rFonts w:hint="default"/>
        <w:lang w:val="es-ES" w:eastAsia="en-US" w:bidi="ar-SA"/>
      </w:rPr>
    </w:lvl>
    <w:lvl w:ilvl="4" w:tplc="24122C92">
      <w:numFmt w:val="bullet"/>
      <w:lvlText w:val="•"/>
      <w:lvlJc w:val="left"/>
      <w:pPr>
        <w:ind w:left="3946" w:hanging="360"/>
      </w:pPr>
      <w:rPr>
        <w:rFonts w:hint="default"/>
        <w:lang w:val="es-ES" w:eastAsia="en-US" w:bidi="ar-SA"/>
      </w:rPr>
    </w:lvl>
    <w:lvl w:ilvl="5" w:tplc="53EA9842">
      <w:numFmt w:val="bullet"/>
      <w:lvlText w:val="•"/>
      <w:lvlJc w:val="left"/>
      <w:pPr>
        <w:ind w:left="4728" w:hanging="360"/>
      </w:pPr>
      <w:rPr>
        <w:rFonts w:hint="default"/>
        <w:lang w:val="es-ES" w:eastAsia="en-US" w:bidi="ar-SA"/>
      </w:rPr>
    </w:lvl>
    <w:lvl w:ilvl="6" w:tplc="99FE44E2">
      <w:numFmt w:val="bullet"/>
      <w:lvlText w:val="•"/>
      <w:lvlJc w:val="left"/>
      <w:pPr>
        <w:ind w:left="5510" w:hanging="360"/>
      </w:pPr>
      <w:rPr>
        <w:rFonts w:hint="default"/>
        <w:lang w:val="es-ES" w:eastAsia="en-US" w:bidi="ar-SA"/>
      </w:rPr>
    </w:lvl>
    <w:lvl w:ilvl="7" w:tplc="FE164B32">
      <w:numFmt w:val="bullet"/>
      <w:lvlText w:val="•"/>
      <w:lvlJc w:val="left"/>
      <w:pPr>
        <w:ind w:left="6291" w:hanging="360"/>
      </w:pPr>
      <w:rPr>
        <w:rFonts w:hint="default"/>
        <w:lang w:val="es-ES" w:eastAsia="en-US" w:bidi="ar-SA"/>
      </w:rPr>
    </w:lvl>
    <w:lvl w:ilvl="8" w:tplc="17A0B10C">
      <w:numFmt w:val="bullet"/>
      <w:lvlText w:val="•"/>
      <w:lvlJc w:val="left"/>
      <w:pPr>
        <w:ind w:left="7073" w:hanging="360"/>
      </w:pPr>
      <w:rPr>
        <w:rFonts w:hint="default"/>
        <w:lang w:val="es-ES" w:eastAsia="en-US" w:bidi="ar-SA"/>
      </w:rPr>
    </w:lvl>
  </w:abstractNum>
  <w:abstractNum w:abstractNumId="12"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3" w15:restartNumberingAfterBreak="0">
    <w:nsid w:val="552F400E"/>
    <w:multiLevelType w:val="hybridMultilevel"/>
    <w:tmpl w:val="23E680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A92FEA"/>
    <w:multiLevelType w:val="hybridMultilevel"/>
    <w:tmpl w:val="D78EDCF8"/>
    <w:lvl w:ilvl="0" w:tplc="240A000F">
      <w:start w:val="5"/>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679089576">
    <w:abstractNumId w:val="10"/>
  </w:num>
  <w:num w:numId="18" w16cid:durableId="410540319">
    <w:abstractNumId w:val="12"/>
  </w:num>
  <w:num w:numId="19" w16cid:durableId="1544755982">
    <w:abstractNumId w:val="11"/>
  </w:num>
  <w:num w:numId="20" w16cid:durableId="116799795">
    <w:abstractNumId w:val="3"/>
  </w:num>
  <w:num w:numId="21" w16cid:durableId="1017074425">
    <w:abstractNumId w:val="19"/>
  </w:num>
  <w:num w:numId="22" w16cid:durableId="5068667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512"/>
    <w:rsid w:val="000421A7"/>
    <w:rsid w:val="00046945"/>
    <w:rsid w:val="00061B2A"/>
    <w:rsid w:val="00082362"/>
    <w:rsid w:val="000921C3"/>
    <w:rsid w:val="000A683E"/>
    <w:rsid w:val="000B19B9"/>
    <w:rsid w:val="000C1A2A"/>
    <w:rsid w:val="000D0334"/>
    <w:rsid w:val="000D5DA7"/>
    <w:rsid w:val="000E1B19"/>
    <w:rsid w:val="000F6486"/>
    <w:rsid w:val="000F64E4"/>
    <w:rsid w:val="00102D53"/>
    <w:rsid w:val="0010524D"/>
    <w:rsid w:val="001062C1"/>
    <w:rsid w:val="00116940"/>
    <w:rsid w:val="00121D73"/>
    <w:rsid w:val="00125105"/>
    <w:rsid w:val="00127233"/>
    <w:rsid w:val="00133EE2"/>
    <w:rsid w:val="0014308B"/>
    <w:rsid w:val="0014551F"/>
    <w:rsid w:val="0015699B"/>
    <w:rsid w:val="0017394D"/>
    <w:rsid w:val="00197BED"/>
    <w:rsid w:val="001A33BF"/>
    <w:rsid w:val="001E0C3D"/>
    <w:rsid w:val="001E4177"/>
    <w:rsid w:val="001F0B24"/>
    <w:rsid w:val="001F19AA"/>
    <w:rsid w:val="001F1A6C"/>
    <w:rsid w:val="001F6B4C"/>
    <w:rsid w:val="001F7DC6"/>
    <w:rsid w:val="0020326C"/>
    <w:rsid w:val="00213833"/>
    <w:rsid w:val="00213C58"/>
    <w:rsid w:val="0021456E"/>
    <w:rsid w:val="00223653"/>
    <w:rsid w:val="0022400B"/>
    <w:rsid w:val="002421BB"/>
    <w:rsid w:val="00245CA5"/>
    <w:rsid w:val="002508F3"/>
    <w:rsid w:val="0025286B"/>
    <w:rsid w:val="0025796E"/>
    <w:rsid w:val="0026310C"/>
    <w:rsid w:val="002707A2"/>
    <w:rsid w:val="00280806"/>
    <w:rsid w:val="00282C66"/>
    <w:rsid w:val="00293B16"/>
    <w:rsid w:val="00294DAB"/>
    <w:rsid w:val="002951A0"/>
    <w:rsid w:val="002962BC"/>
    <w:rsid w:val="00297179"/>
    <w:rsid w:val="002A093D"/>
    <w:rsid w:val="002A0DD0"/>
    <w:rsid w:val="002A49AC"/>
    <w:rsid w:val="002A64FD"/>
    <w:rsid w:val="002B0B5F"/>
    <w:rsid w:val="002C7A84"/>
    <w:rsid w:val="002E2BF8"/>
    <w:rsid w:val="002E4FD9"/>
    <w:rsid w:val="002F6804"/>
    <w:rsid w:val="003003D4"/>
    <w:rsid w:val="00302E4B"/>
    <w:rsid w:val="0030657A"/>
    <w:rsid w:val="0032199C"/>
    <w:rsid w:val="00322A85"/>
    <w:rsid w:val="00324168"/>
    <w:rsid w:val="00330834"/>
    <w:rsid w:val="0034258A"/>
    <w:rsid w:val="003448F4"/>
    <w:rsid w:val="00353DA3"/>
    <w:rsid w:val="00374F5E"/>
    <w:rsid w:val="00377E3E"/>
    <w:rsid w:val="00380108"/>
    <w:rsid w:val="003817AE"/>
    <w:rsid w:val="00383E37"/>
    <w:rsid w:val="003A0260"/>
    <w:rsid w:val="003A1EEF"/>
    <w:rsid w:val="003A779E"/>
    <w:rsid w:val="003B2B54"/>
    <w:rsid w:val="003B3700"/>
    <w:rsid w:val="003B443E"/>
    <w:rsid w:val="003C6D4B"/>
    <w:rsid w:val="003D0F4D"/>
    <w:rsid w:val="003D5B0D"/>
    <w:rsid w:val="003E0499"/>
    <w:rsid w:val="003E1A55"/>
    <w:rsid w:val="003E4F80"/>
    <w:rsid w:val="003E6439"/>
    <w:rsid w:val="003F3941"/>
    <w:rsid w:val="004016F3"/>
    <w:rsid w:val="00406575"/>
    <w:rsid w:val="00414C74"/>
    <w:rsid w:val="00416D30"/>
    <w:rsid w:val="0042523E"/>
    <w:rsid w:val="0042722E"/>
    <w:rsid w:val="0044528D"/>
    <w:rsid w:val="00453DB4"/>
    <w:rsid w:val="00461F96"/>
    <w:rsid w:val="00466E39"/>
    <w:rsid w:val="004927B3"/>
    <w:rsid w:val="0049676D"/>
    <w:rsid w:val="004A1847"/>
    <w:rsid w:val="004A19FA"/>
    <w:rsid w:val="004A305D"/>
    <w:rsid w:val="004B075B"/>
    <w:rsid w:val="004B1ED6"/>
    <w:rsid w:val="004B5A69"/>
    <w:rsid w:val="004C03BE"/>
    <w:rsid w:val="004C1A3E"/>
    <w:rsid w:val="004C1C14"/>
    <w:rsid w:val="004C7B47"/>
    <w:rsid w:val="004D3FE4"/>
    <w:rsid w:val="004D4236"/>
    <w:rsid w:val="004F14F6"/>
    <w:rsid w:val="004F21C4"/>
    <w:rsid w:val="004F41C8"/>
    <w:rsid w:val="004F685F"/>
    <w:rsid w:val="00512B80"/>
    <w:rsid w:val="00522977"/>
    <w:rsid w:val="0052385F"/>
    <w:rsid w:val="005274E0"/>
    <w:rsid w:val="00546C84"/>
    <w:rsid w:val="005566E8"/>
    <w:rsid w:val="00574867"/>
    <w:rsid w:val="00575EF8"/>
    <w:rsid w:val="00585389"/>
    <w:rsid w:val="005877E4"/>
    <w:rsid w:val="00591460"/>
    <w:rsid w:val="00596B01"/>
    <w:rsid w:val="005A65E0"/>
    <w:rsid w:val="005C3777"/>
    <w:rsid w:val="005C5CDC"/>
    <w:rsid w:val="005D476C"/>
    <w:rsid w:val="005E5FBD"/>
    <w:rsid w:val="006025F3"/>
    <w:rsid w:val="00613A41"/>
    <w:rsid w:val="006200BF"/>
    <w:rsid w:val="006219F8"/>
    <w:rsid w:val="006302F7"/>
    <w:rsid w:val="00640D54"/>
    <w:rsid w:val="00644DDE"/>
    <w:rsid w:val="00646B9F"/>
    <w:rsid w:val="006512BC"/>
    <w:rsid w:val="00655E86"/>
    <w:rsid w:val="00657C62"/>
    <w:rsid w:val="00665D70"/>
    <w:rsid w:val="00671ABB"/>
    <w:rsid w:val="00687B35"/>
    <w:rsid w:val="006900D9"/>
    <w:rsid w:val="006A3B7B"/>
    <w:rsid w:val="006D21A2"/>
    <w:rsid w:val="00706C16"/>
    <w:rsid w:val="007340C3"/>
    <w:rsid w:val="00736D76"/>
    <w:rsid w:val="0075235A"/>
    <w:rsid w:val="00756841"/>
    <w:rsid w:val="00761FC9"/>
    <w:rsid w:val="007649AB"/>
    <w:rsid w:val="00771D0C"/>
    <w:rsid w:val="007833AC"/>
    <w:rsid w:val="007B268C"/>
    <w:rsid w:val="007B7171"/>
    <w:rsid w:val="007C0C0F"/>
    <w:rsid w:val="007C3DC2"/>
    <w:rsid w:val="007D542A"/>
    <w:rsid w:val="007E4944"/>
    <w:rsid w:val="007E5497"/>
    <w:rsid w:val="007F5405"/>
    <w:rsid w:val="007F7F76"/>
    <w:rsid w:val="00806F5F"/>
    <w:rsid w:val="00813AF5"/>
    <w:rsid w:val="00820278"/>
    <w:rsid w:val="00821053"/>
    <w:rsid w:val="008258C9"/>
    <w:rsid w:val="00831996"/>
    <w:rsid w:val="00844AE9"/>
    <w:rsid w:val="00851CD9"/>
    <w:rsid w:val="00867F95"/>
    <w:rsid w:val="008843B6"/>
    <w:rsid w:val="00885D8E"/>
    <w:rsid w:val="00891928"/>
    <w:rsid w:val="00891F2A"/>
    <w:rsid w:val="00896077"/>
    <w:rsid w:val="008A169A"/>
    <w:rsid w:val="008A29DD"/>
    <w:rsid w:val="008A446D"/>
    <w:rsid w:val="008B25F1"/>
    <w:rsid w:val="008D180B"/>
    <w:rsid w:val="008D78C6"/>
    <w:rsid w:val="008E0BD1"/>
    <w:rsid w:val="008E61F9"/>
    <w:rsid w:val="008F0EA7"/>
    <w:rsid w:val="008F1567"/>
    <w:rsid w:val="00913CC3"/>
    <w:rsid w:val="009210F8"/>
    <w:rsid w:val="00923EEF"/>
    <w:rsid w:val="0093114E"/>
    <w:rsid w:val="009364FA"/>
    <w:rsid w:val="009419F9"/>
    <w:rsid w:val="0094670D"/>
    <w:rsid w:val="0095685E"/>
    <w:rsid w:val="0096044F"/>
    <w:rsid w:val="00961B09"/>
    <w:rsid w:val="00965334"/>
    <w:rsid w:val="0097093E"/>
    <w:rsid w:val="009A0528"/>
    <w:rsid w:val="009A0DFA"/>
    <w:rsid w:val="009A1C6F"/>
    <w:rsid w:val="009A3061"/>
    <w:rsid w:val="009B2D26"/>
    <w:rsid w:val="009B4DEA"/>
    <w:rsid w:val="009C71FA"/>
    <w:rsid w:val="009C72E7"/>
    <w:rsid w:val="009C7F7E"/>
    <w:rsid w:val="009D1E8E"/>
    <w:rsid w:val="009D3058"/>
    <w:rsid w:val="009D7986"/>
    <w:rsid w:val="009F3A13"/>
    <w:rsid w:val="00A01A4B"/>
    <w:rsid w:val="00A01E16"/>
    <w:rsid w:val="00A05781"/>
    <w:rsid w:val="00A122D3"/>
    <w:rsid w:val="00A14468"/>
    <w:rsid w:val="00A17F13"/>
    <w:rsid w:val="00A20739"/>
    <w:rsid w:val="00A23AF9"/>
    <w:rsid w:val="00A33C78"/>
    <w:rsid w:val="00A54280"/>
    <w:rsid w:val="00A61125"/>
    <w:rsid w:val="00AB0ADB"/>
    <w:rsid w:val="00AD06E2"/>
    <w:rsid w:val="00B00C0E"/>
    <w:rsid w:val="00B01B1A"/>
    <w:rsid w:val="00B02D83"/>
    <w:rsid w:val="00B03177"/>
    <w:rsid w:val="00B0381D"/>
    <w:rsid w:val="00B17AE8"/>
    <w:rsid w:val="00B2246A"/>
    <w:rsid w:val="00B2560D"/>
    <w:rsid w:val="00B35054"/>
    <w:rsid w:val="00B44A47"/>
    <w:rsid w:val="00B47C05"/>
    <w:rsid w:val="00B569B0"/>
    <w:rsid w:val="00B64185"/>
    <w:rsid w:val="00B64BCD"/>
    <w:rsid w:val="00B72CD3"/>
    <w:rsid w:val="00B72FFF"/>
    <w:rsid w:val="00B846DD"/>
    <w:rsid w:val="00B855AE"/>
    <w:rsid w:val="00B94CD0"/>
    <w:rsid w:val="00BA6204"/>
    <w:rsid w:val="00BB4104"/>
    <w:rsid w:val="00BC3D36"/>
    <w:rsid w:val="00BD54A6"/>
    <w:rsid w:val="00BD7F72"/>
    <w:rsid w:val="00BE0C22"/>
    <w:rsid w:val="00BF16F9"/>
    <w:rsid w:val="00BF7425"/>
    <w:rsid w:val="00C032C8"/>
    <w:rsid w:val="00C04949"/>
    <w:rsid w:val="00C04E7D"/>
    <w:rsid w:val="00C04FB3"/>
    <w:rsid w:val="00C05E8A"/>
    <w:rsid w:val="00C07402"/>
    <w:rsid w:val="00C07882"/>
    <w:rsid w:val="00C11D8B"/>
    <w:rsid w:val="00C15139"/>
    <w:rsid w:val="00C15893"/>
    <w:rsid w:val="00C30C59"/>
    <w:rsid w:val="00C330EB"/>
    <w:rsid w:val="00C40627"/>
    <w:rsid w:val="00C50D69"/>
    <w:rsid w:val="00C5365C"/>
    <w:rsid w:val="00C754BE"/>
    <w:rsid w:val="00C76B1C"/>
    <w:rsid w:val="00C925AC"/>
    <w:rsid w:val="00CA5048"/>
    <w:rsid w:val="00CA6E23"/>
    <w:rsid w:val="00CB1594"/>
    <w:rsid w:val="00CB23D0"/>
    <w:rsid w:val="00CB6357"/>
    <w:rsid w:val="00CC1B26"/>
    <w:rsid w:val="00CE375C"/>
    <w:rsid w:val="00CE6D62"/>
    <w:rsid w:val="00CF7B28"/>
    <w:rsid w:val="00D178D1"/>
    <w:rsid w:val="00D228EE"/>
    <w:rsid w:val="00D24E8E"/>
    <w:rsid w:val="00D35F01"/>
    <w:rsid w:val="00D361FD"/>
    <w:rsid w:val="00D36540"/>
    <w:rsid w:val="00D36C3C"/>
    <w:rsid w:val="00D423A2"/>
    <w:rsid w:val="00D44E26"/>
    <w:rsid w:val="00D45959"/>
    <w:rsid w:val="00D50F85"/>
    <w:rsid w:val="00D520D8"/>
    <w:rsid w:val="00D63AC2"/>
    <w:rsid w:val="00D704D9"/>
    <w:rsid w:val="00D7383B"/>
    <w:rsid w:val="00D7707A"/>
    <w:rsid w:val="00D7788A"/>
    <w:rsid w:val="00DA1C4B"/>
    <w:rsid w:val="00DA231B"/>
    <w:rsid w:val="00DB3682"/>
    <w:rsid w:val="00DC39FC"/>
    <w:rsid w:val="00DD786F"/>
    <w:rsid w:val="00DE05BD"/>
    <w:rsid w:val="00DE45CB"/>
    <w:rsid w:val="00DE5445"/>
    <w:rsid w:val="00DE65D4"/>
    <w:rsid w:val="00DE6F2E"/>
    <w:rsid w:val="00DF42C3"/>
    <w:rsid w:val="00DF5254"/>
    <w:rsid w:val="00DF64D2"/>
    <w:rsid w:val="00E00750"/>
    <w:rsid w:val="00E02524"/>
    <w:rsid w:val="00E16408"/>
    <w:rsid w:val="00E20894"/>
    <w:rsid w:val="00E245AB"/>
    <w:rsid w:val="00E251CB"/>
    <w:rsid w:val="00E2764C"/>
    <w:rsid w:val="00E27F2E"/>
    <w:rsid w:val="00E3719E"/>
    <w:rsid w:val="00E50AFE"/>
    <w:rsid w:val="00E65C54"/>
    <w:rsid w:val="00E75C92"/>
    <w:rsid w:val="00E771DC"/>
    <w:rsid w:val="00E8772A"/>
    <w:rsid w:val="00E90F6B"/>
    <w:rsid w:val="00E92C27"/>
    <w:rsid w:val="00EA0E3D"/>
    <w:rsid w:val="00EA2BC7"/>
    <w:rsid w:val="00EA48E8"/>
    <w:rsid w:val="00EA6979"/>
    <w:rsid w:val="00EB4FFB"/>
    <w:rsid w:val="00EC1324"/>
    <w:rsid w:val="00EC38A7"/>
    <w:rsid w:val="00EC47FC"/>
    <w:rsid w:val="00ED5A87"/>
    <w:rsid w:val="00ED5F01"/>
    <w:rsid w:val="00ED72E3"/>
    <w:rsid w:val="00EE1AA8"/>
    <w:rsid w:val="00EE1D84"/>
    <w:rsid w:val="00EF00A1"/>
    <w:rsid w:val="00EF71AD"/>
    <w:rsid w:val="00F134A5"/>
    <w:rsid w:val="00F13A30"/>
    <w:rsid w:val="00F15729"/>
    <w:rsid w:val="00F23FEA"/>
    <w:rsid w:val="00F31EDC"/>
    <w:rsid w:val="00F462B3"/>
    <w:rsid w:val="00F500FC"/>
    <w:rsid w:val="00F5664F"/>
    <w:rsid w:val="00F57F66"/>
    <w:rsid w:val="00F666C4"/>
    <w:rsid w:val="00F7253D"/>
    <w:rsid w:val="00F76AFC"/>
    <w:rsid w:val="00F95DDD"/>
    <w:rsid w:val="00FA47C0"/>
    <w:rsid w:val="00FA5AA3"/>
    <w:rsid w:val="00FB5DD1"/>
    <w:rsid w:val="00FC2B5D"/>
    <w:rsid w:val="00FD79A3"/>
    <w:rsid w:val="00FE2618"/>
    <w:rsid w:val="00FF1031"/>
    <w:rsid w:val="00FF1449"/>
    <w:rsid w:val="00FF7963"/>
    <w:rsid w:val="071B8F93"/>
    <w:rsid w:val="07C73DD1"/>
    <w:rsid w:val="09908A09"/>
    <w:rsid w:val="0E0AF0F4"/>
    <w:rsid w:val="0EE079CF"/>
    <w:rsid w:val="0EFE6349"/>
    <w:rsid w:val="0FF4CCA8"/>
    <w:rsid w:val="13CFC91B"/>
    <w:rsid w:val="19A2EC2C"/>
    <w:rsid w:val="21779BE6"/>
    <w:rsid w:val="2859CA1B"/>
    <w:rsid w:val="29264390"/>
    <w:rsid w:val="2C4D2425"/>
    <w:rsid w:val="2EE1E026"/>
    <w:rsid w:val="2F44F38F"/>
    <w:rsid w:val="30821638"/>
    <w:rsid w:val="32A4F9CF"/>
    <w:rsid w:val="33A1FF93"/>
    <w:rsid w:val="356CEDFD"/>
    <w:rsid w:val="3C591AFD"/>
    <w:rsid w:val="42183F0A"/>
    <w:rsid w:val="545B112A"/>
    <w:rsid w:val="5BEB1497"/>
    <w:rsid w:val="5C2C3390"/>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6804"/>
    <w:rPr>
      <w:rFonts w:ascii="Geomanist Light" w:hAnsi="Geomanist Light"/>
      <w:lang w:val="es-ES"/>
    </w:rPr>
  </w:style>
  <w:style w:type="paragraph" w:customStyle="1" w:styleId="Appelnotedebasde">
    <w:name w:val="Appel note de bas de..."/>
    <w:basedOn w:val="Normal"/>
    <w:link w:val="Refdenotaalpie"/>
    <w:uiPriority w:val="99"/>
    <w:rsid w:val="00FF1031"/>
    <w:pPr>
      <w:spacing w:line="240" w:lineRule="exact"/>
    </w:pPr>
    <w:rPr>
      <w:vertAlign w:val="superscript"/>
    </w:rPr>
  </w:style>
  <w:style w:type="paragraph" w:styleId="Textoindependiente">
    <w:name w:val="Body Text"/>
    <w:basedOn w:val="Normal"/>
    <w:link w:val="TextoindependienteCar"/>
    <w:uiPriority w:val="1"/>
    <w:qFormat/>
    <w:rsid w:val="00FF1031"/>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FF1031"/>
    <w:rPr>
      <w:rFonts w:ascii="Verdana" w:eastAsia="Verdana" w:hAnsi="Verdana" w:cs="Verdana"/>
      <w:lang w:val="es-ES"/>
    </w:rPr>
  </w:style>
  <w:style w:type="paragraph" w:styleId="Sinespaciado">
    <w:name w:val="No Spacing"/>
    <w:uiPriority w:val="1"/>
    <w:qFormat/>
    <w:rsid w:val="00102D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sernaanamaria55@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43B129-C549-463A-BB74-C84D8F8D2B12}">
  <ds:schemaRefs>
    <ds:schemaRef ds:uri="http://schemas.openxmlformats.org/officeDocument/2006/bibliography"/>
  </ds:schemaRefs>
</ds:datastoreItem>
</file>

<file path=customXml/itemProps3.xml><?xml version="1.0" encoding="utf-8"?>
<ds:datastoreItem xmlns:ds="http://schemas.openxmlformats.org/officeDocument/2006/customXml" ds:itemID="{D7FD5E67-4306-4E03-BF9F-98EAC9A68A48}"/>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6367</Words>
  <Characters>35023</Characters>
  <Application>Microsoft Office Word</Application>
  <DocSecurity>0</DocSecurity>
  <Lines>291</Lines>
  <Paragraphs>82</Paragraphs>
  <ScaleCrop>false</ScaleCrop>
  <Company/>
  <LinksUpToDate>false</LinksUpToDate>
  <CharactersWithSpaces>41308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11</cp:revision>
  <cp:lastPrinted>2023-01-10T21:18:00Z</cp:lastPrinted>
  <dcterms:created xsi:type="dcterms:W3CDTF">2026-07-14T21:07:00Z</dcterms:created>
  <dcterms:modified xsi:type="dcterms:W3CDTF">2026-07-14T21:08:00Z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6a09bcc5,6d9560e2,27f3a08c</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2026-07-14T21:07:35Z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3cce69bd-cf4b-4dd4-9678-362bf8b8e3f3</vt:lpwstr>
  </property>
  <property fmtid="{D5CDD505-2E9C-101B-9397-08002B2CF9AE}" pid="13" name="MSIP_Label_a4b7c6c0-63aa-4c48-857c-972cf4a47d5d_ContentBits">
    <vt:lpwstr>2</vt:lpwstr>
  </property>
  <property fmtid="{D5CDD505-2E9C-101B-9397-08002B2CF9AE}" pid="14" name="MSIP_Label_a4b7c6c0-63aa-4c48-857c-972cf4a47d5d_Tag">
    <vt:lpwstr>10, 3, 0, 1</vt:lpwstr>
  </property>
</Properties>
</file>