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280DF" w14:textId="77777777" w:rsidR="00C20392" w:rsidRPr="007E29CD" w:rsidRDefault="00C20392" w:rsidP="00C20392">
      <w:pPr>
        <w:spacing w:after="0" w:line="240" w:lineRule="auto"/>
        <w:jc w:val="both"/>
        <w:rPr>
          <w:rFonts w:ascii="Verdana" w:eastAsia="Aptos" w:hAnsi="Verdana" w:cs="Arial"/>
          <w:b/>
          <w:bCs/>
        </w:rPr>
      </w:pPr>
      <w:bookmarkStart w:id="0" w:name="_Hlk143780582"/>
      <w:r w:rsidRPr="007E29CD">
        <w:rPr>
          <w:rFonts w:ascii="Verdana" w:eastAsia="Aptos" w:hAnsi="Verdana" w:cs="Arial"/>
          <w:b/>
          <w:bCs/>
        </w:rPr>
        <w:t>SUBSANACIÓN DE LAS OFERTAS – Procedencia – Regla general – Excepción a la regla general</w:t>
      </w:r>
    </w:p>
    <w:p w14:paraId="6DE6D7BB" w14:textId="77777777" w:rsidR="00C20392" w:rsidRPr="007E29CD" w:rsidRDefault="00C20392" w:rsidP="00C20392">
      <w:pPr>
        <w:spacing w:after="0" w:line="240" w:lineRule="auto"/>
        <w:jc w:val="both"/>
        <w:rPr>
          <w:rFonts w:ascii="Verdana" w:eastAsia="Aptos" w:hAnsi="Verdana" w:cs="Arial"/>
        </w:rPr>
      </w:pPr>
    </w:p>
    <w:p w14:paraId="4BEF105A" w14:textId="77777777" w:rsidR="00C20392" w:rsidRPr="007E29CD" w:rsidRDefault="00C20392" w:rsidP="00C20392">
      <w:pPr>
        <w:spacing w:after="0" w:line="240" w:lineRule="auto"/>
        <w:jc w:val="both"/>
        <w:rPr>
          <w:rFonts w:ascii="Verdana" w:eastAsia="Aptos" w:hAnsi="Verdana" w:cs="Arial"/>
          <w:sz w:val="20"/>
          <w:szCs w:val="20"/>
        </w:rPr>
      </w:pPr>
      <w:r w:rsidRPr="007E29CD">
        <w:rPr>
          <w:rFonts w:ascii="Verdana" w:eastAsia="Aptos" w:hAnsi="Verdana" w:cs="Arial"/>
          <w:sz w:val="20"/>
          <w:szCs w:val="20"/>
        </w:rPr>
        <w:t>[…] el artículo 5 de la Ley 1882 de 2018 modificó el parágrafo 1º del artículo 5 de la Ley 1150 de 2007 en los siguientes términos: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w:t>
      </w:r>
    </w:p>
    <w:p w14:paraId="2D532A6F" w14:textId="77777777" w:rsidR="00C20392" w:rsidRPr="007E29CD" w:rsidRDefault="00C20392" w:rsidP="00C20392">
      <w:pPr>
        <w:spacing w:after="0" w:line="240" w:lineRule="auto"/>
        <w:jc w:val="both"/>
        <w:rPr>
          <w:rFonts w:ascii="Verdana" w:eastAsia="Aptos" w:hAnsi="Verdana" w:cs="Arial"/>
          <w:sz w:val="20"/>
          <w:szCs w:val="20"/>
        </w:rPr>
      </w:pPr>
    </w:p>
    <w:p w14:paraId="6A8FA0B7" w14:textId="77777777" w:rsidR="00C20392" w:rsidRPr="0086202B" w:rsidRDefault="00C20392" w:rsidP="00C20392">
      <w:pPr>
        <w:spacing w:after="0" w:line="240" w:lineRule="auto"/>
        <w:jc w:val="both"/>
        <w:rPr>
          <w:rFonts w:ascii="Verdana" w:eastAsia="Aptos" w:hAnsi="Verdana" w:cs="Arial"/>
          <w:sz w:val="20"/>
          <w:szCs w:val="20"/>
        </w:rPr>
      </w:pPr>
      <w:r w:rsidRPr="007E29CD">
        <w:rPr>
          <w:rFonts w:ascii="Verdana" w:eastAsia="Aptos" w:hAnsi="Verdana" w:cs="Arial"/>
          <w:sz w:val="20"/>
          <w:szCs w:val="20"/>
        </w:rPr>
        <w:t>[…]la Ley 1882 de 2018 fijó el ámbito temporal para ejercer la facultad de subsanar la oferta, pues dispuso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anterior límite no aplica para los procesos de mínima cuantía y para el proceso de selección a través del sistema de subasta; en el último los documentos o requisitos subsanables pueden y deben solicitarse hasta el momento previo a su realización.</w:t>
      </w:r>
    </w:p>
    <w:p w14:paraId="231575C2" w14:textId="77777777" w:rsidR="00C20392" w:rsidRPr="0086202B" w:rsidRDefault="00C20392" w:rsidP="00C20392">
      <w:pPr>
        <w:spacing w:after="0" w:line="240" w:lineRule="auto"/>
        <w:rPr>
          <w:rFonts w:ascii="Verdana" w:eastAsia="Aptos" w:hAnsi="Verdana" w:cs="Times New Roman"/>
          <w:sz w:val="20"/>
          <w:szCs w:val="20"/>
        </w:rPr>
      </w:pPr>
    </w:p>
    <w:p w14:paraId="09534ED3" w14:textId="77777777" w:rsidR="00C20392" w:rsidRPr="00197947" w:rsidRDefault="00C20392" w:rsidP="00C20392">
      <w:pPr>
        <w:spacing w:after="0" w:line="240" w:lineRule="auto"/>
        <w:rPr>
          <w:rFonts w:ascii="Verdana" w:eastAsia="Aptos" w:hAnsi="Verdana" w:cs="Times New Roman"/>
          <w:b/>
          <w:bCs/>
        </w:rPr>
      </w:pPr>
      <w:r>
        <w:rPr>
          <w:rFonts w:ascii="Verdana" w:eastAsia="Aptos" w:hAnsi="Verdana" w:cs="Times New Roman"/>
          <w:b/>
          <w:bCs/>
        </w:rPr>
        <w:t>DOCUMENTOS TIPO DE INFRAESTRUCTURA DE TRANSPORTE – Regla de inalterabilidad – Determinación – Nivel – Clasificador de bienes y servicios</w:t>
      </w:r>
    </w:p>
    <w:p w14:paraId="5C03A2BB" w14:textId="77777777" w:rsidR="00C20392" w:rsidRDefault="00C20392" w:rsidP="00C20392">
      <w:pPr>
        <w:spacing w:after="0" w:line="240" w:lineRule="auto"/>
        <w:rPr>
          <w:rFonts w:ascii="Verdana" w:eastAsia="Aptos" w:hAnsi="Verdana" w:cs="Times New Roman"/>
          <w:sz w:val="20"/>
          <w:szCs w:val="20"/>
        </w:rPr>
      </w:pPr>
    </w:p>
    <w:p w14:paraId="1286D4FA" w14:textId="77777777" w:rsidR="00C20392" w:rsidRPr="009C240E" w:rsidRDefault="00C20392" w:rsidP="00C20392">
      <w:pPr>
        <w:spacing w:after="0" w:line="240" w:lineRule="auto"/>
        <w:jc w:val="both"/>
        <w:rPr>
          <w:rFonts w:ascii="Verdana" w:eastAsia="Arial" w:hAnsi="Verdana" w:cs="Arial"/>
        </w:rPr>
      </w:pPr>
      <w:r w:rsidRPr="009C240E">
        <w:rPr>
          <w:rFonts w:ascii="Verdana" w:eastAsia="Arial" w:hAnsi="Verdana" w:cs="Arial"/>
        </w:rPr>
        <w:t>[…] resulta a bien aclarar que, en caso de que un proceso de contratación deba adelantarse en aplicación de los Documentos Tipo de licitación de obra pública de infraestructura de transporte – Versión 4 expedidos por esta Agencia, las Entidades Estatales deberán observar las directrices dispuestas en estos y respetar su regla de inalterabilidad que, de acuerdo con lo establecido en la Resolución No. 464 del 10 de septiembre de 2024, implica que las entidades no podrán modificar tales documentos, salvo, en los apartes que estos lo permitan.</w:t>
      </w:r>
    </w:p>
    <w:p w14:paraId="59A523A8" w14:textId="77777777" w:rsidR="00C20392" w:rsidRDefault="00C20392" w:rsidP="00C20392">
      <w:pPr>
        <w:spacing w:after="0" w:line="240" w:lineRule="auto"/>
        <w:jc w:val="both"/>
        <w:rPr>
          <w:rFonts w:ascii="Verdana" w:eastAsia="Arial" w:hAnsi="Verdana" w:cs="Arial"/>
        </w:rPr>
      </w:pPr>
    </w:p>
    <w:p w14:paraId="2F55BDA6" w14:textId="77777777" w:rsidR="00C20392" w:rsidRDefault="00C20392" w:rsidP="00C20392">
      <w:pPr>
        <w:spacing w:after="0" w:line="240" w:lineRule="auto"/>
        <w:jc w:val="both"/>
        <w:rPr>
          <w:rFonts w:ascii="Verdana" w:eastAsia="Arial" w:hAnsi="Verdana" w:cs="Arial"/>
        </w:rPr>
      </w:pPr>
      <w:r w:rsidRPr="009C240E">
        <w:rPr>
          <w:rFonts w:ascii="Verdana" w:eastAsia="Arial" w:hAnsi="Verdana" w:cs="Arial"/>
        </w:rPr>
        <w:t xml:space="preserve">Dichos Documentos Tipo contienen apartes entre corchetes y resaltados en gris, que habilitan según el caso, a las Entidades Estatales para relacionar de acuerdo con los criterios allí indicados, la información pertinente. </w:t>
      </w:r>
      <w:r>
        <w:rPr>
          <w:rFonts w:ascii="Verdana" w:eastAsia="Arial" w:hAnsi="Verdana" w:cs="Arial"/>
        </w:rPr>
        <w:t>[…]</w:t>
      </w:r>
    </w:p>
    <w:p w14:paraId="07594613" w14:textId="77777777" w:rsidR="00C20392" w:rsidRPr="009C240E" w:rsidRDefault="00C20392" w:rsidP="00C20392">
      <w:pPr>
        <w:spacing w:after="0" w:line="240" w:lineRule="auto"/>
        <w:jc w:val="both"/>
        <w:rPr>
          <w:rFonts w:ascii="Verdana" w:eastAsia="Arial" w:hAnsi="Verdana" w:cs="Arial"/>
        </w:rPr>
      </w:pPr>
    </w:p>
    <w:p w14:paraId="06E2064C" w14:textId="77777777" w:rsidR="00C20392" w:rsidRPr="009C240E" w:rsidRDefault="00C20392" w:rsidP="00C20392">
      <w:pPr>
        <w:spacing w:after="0" w:line="240" w:lineRule="auto"/>
        <w:jc w:val="both"/>
        <w:rPr>
          <w:rFonts w:ascii="Verdana" w:eastAsia="Arial" w:hAnsi="Verdana" w:cs="Arial"/>
        </w:rPr>
      </w:pPr>
      <w:r>
        <w:rPr>
          <w:rFonts w:ascii="Verdana" w:eastAsia="Arial" w:hAnsi="Verdana" w:cs="Arial"/>
        </w:rPr>
        <w:lastRenderedPageBreak/>
        <w:t xml:space="preserve">[…] </w:t>
      </w:r>
      <w:r w:rsidRPr="009C240E">
        <w:rPr>
          <w:rFonts w:ascii="Verdana" w:eastAsia="Arial" w:hAnsi="Verdana" w:cs="Arial"/>
        </w:rPr>
        <w:t>las Entidades Estatales que adelanten un proceso de contratación en aplicación de los Documentos Tipo de licitación de obra pública de infraestructura de transporte – Versión 4, se encuentran habilitadas por el numeral 1.4 del “Documento Base” para determinar el nivel del Clasificador de Bienes y Servicios de las Naciones Unidas (UNSPC) respetando los límites allí señalados, es decir, podrán elegir entre el nivel cuatro (4) o el nivel tres (3), según el caso, sin que ello constituya una violación a la regla de inalterabilidad de los Documentos Tipo.</w:t>
      </w:r>
    </w:p>
    <w:p w14:paraId="28183859" w14:textId="77777777" w:rsidR="00C20392" w:rsidRDefault="00C20392" w:rsidP="00C20392">
      <w:pPr>
        <w:spacing w:after="0" w:line="240" w:lineRule="auto"/>
        <w:rPr>
          <w:rFonts w:ascii="Verdana" w:eastAsia="Aptos" w:hAnsi="Verdana" w:cs="Times New Roman"/>
          <w:sz w:val="20"/>
          <w:szCs w:val="20"/>
        </w:rPr>
      </w:pPr>
    </w:p>
    <w:p w14:paraId="443684A6" w14:textId="77777777" w:rsidR="00C20392" w:rsidRDefault="00C20392" w:rsidP="00C20392">
      <w:pPr>
        <w:spacing w:after="0" w:line="240" w:lineRule="auto"/>
        <w:rPr>
          <w:rFonts w:ascii="Verdana" w:eastAsia="Aptos" w:hAnsi="Verdana" w:cs="Times New Roman"/>
          <w:sz w:val="20"/>
          <w:szCs w:val="20"/>
        </w:rPr>
      </w:pPr>
    </w:p>
    <w:p w14:paraId="7A8BB7BB" w14:textId="77777777" w:rsidR="00C20392" w:rsidRDefault="00C20392" w:rsidP="00C20392">
      <w:pPr>
        <w:spacing w:after="0" w:line="240" w:lineRule="auto"/>
        <w:rPr>
          <w:rFonts w:ascii="Verdana" w:eastAsia="Aptos" w:hAnsi="Verdana" w:cs="Times New Roman"/>
          <w:sz w:val="20"/>
          <w:szCs w:val="20"/>
        </w:rPr>
      </w:pPr>
    </w:p>
    <w:p w14:paraId="5D14828F" w14:textId="77777777" w:rsidR="00C20392" w:rsidRDefault="00C20392" w:rsidP="00C20392">
      <w:pPr>
        <w:spacing w:after="0" w:line="240" w:lineRule="auto"/>
        <w:rPr>
          <w:rFonts w:ascii="Verdana" w:eastAsia="Aptos" w:hAnsi="Verdana" w:cs="Times New Roman"/>
          <w:sz w:val="20"/>
          <w:szCs w:val="20"/>
        </w:rPr>
      </w:pPr>
    </w:p>
    <w:p w14:paraId="76E18B14" w14:textId="77777777" w:rsidR="00C20392" w:rsidRDefault="00C20392" w:rsidP="00C20392">
      <w:pPr>
        <w:spacing w:after="0" w:line="240" w:lineRule="auto"/>
        <w:rPr>
          <w:rFonts w:ascii="Verdana" w:eastAsia="Aptos" w:hAnsi="Verdana" w:cs="Times New Roman"/>
          <w:sz w:val="20"/>
          <w:szCs w:val="20"/>
        </w:rPr>
      </w:pPr>
    </w:p>
    <w:p w14:paraId="45A16405" w14:textId="77777777" w:rsidR="00C20392" w:rsidRDefault="00C20392" w:rsidP="00C20392">
      <w:pPr>
        <w:spacing w:after="0" w:line="240" w:lineRule="auto"/>
        <w:rPr>
          <w:rFonts w:ascii="Verdana" w:eastAsia="Aptos" w:hAnsi="Verdana" w:cs="Times New Roman"/>
          <w:sz w:val="20"/>
          <w:szCs w:val="20"/>
        </w:rPr>
      </w:pPr>
    </w:p>
    <w:p w14:paraId="5B86E111" w14:textId="77777777" w:rsidR="00C20392" w:rsidRDefault="00C20392" w:rsidP="00C20392">
      <w:pPr>
        <w:spacing w:after="0" w:line="240" w:lineRule="auto"/>
        <w:rPr>
          <w:rFonts w:ascii="Verdana" w:eastAsia="Aptos" w:hAnsi="Verdana" w:cs="Times New Roman"/>
          <w:sz w:val="20"/>
          <w:szCs w:val="20"/>
        </w:rPr>
      </w:pPr>
    </w:p>
    <w:p w14:paraId="60752D6E" w14:textId="77777777" w:rsidR="00C20392" w:rsidRDefault="00C20392" w:rsidP="00C20392">
      <w:pPr>
        <w:spacing w:after="0" w:line="240" w:lineRule="auto"/>
        <w:rPr>
          <w:rFonts w:ascii="Verdana" w:eastAsia="Aptos" w:hAnsi="Verdana" w:cs="Times New Roman"/>
          <w:sz w:val="20"/>
          <w:szCs w:val="20"/>
        </w:rPr>
      </w:pPr>
    </w:p>
    <w:p w14:paraId="0A5CB027" w14:textId="77777777" w:rsidR="00C20392" w:rsidRDefault="00C20392" w:rsidP="00C20392">
      <w:pPr>
        <w:spacing w:after="0" w:line="240" w:lineRule="auto"/>
        <w:rPr>
          <w:rFonts w:ascii="Verdana" w:eastAsia="Aptos" w:hAnsi="Verdana" w:cs="Times New Roman"/>
          <w:sz w:val="20"/>
          <w:szCs w:val="20"/>
        </w:rPr>
      </w:pPr>
    </w:p>
    <w:p w14:paraId="20DE7DD2" w14:textId="77777777" w:rsidR="00C20392" w:rsidRDefault="00C20392" w:rsidP="00C20392">
      <w:pPr>
        <w:spacing w:after="0" w:line="240" w:lineRule="auto"/>
        <w:rPr>
          <w:rFonts w:ascii="Verdana" w:eastAsia="Aptos" w:hAnsi="Verdana" w:cs="Times New Roman"/>
          <w:sz w:val="20"/>
          <w:szCs w:val="20"/>
        </w:rPr>
      </w:pPr>
    </w:p>
    <w:p w14:paraId="128D96DE" w14:textId="77777777" w:rsidR="00C20392" w:rsidRDefault="00C20392" w:rsidP="00C20392">
      <w:pPr>
        <w:spacing w:after="0" w:line="240" w:lineRule="auto"/>
        <w:rPr>
          <w:rFonts w:ascii="Verdana" w:eastAsia="Aptos" w:hAnsi="Verdana" w:cs="Times New Roman"/>
          <w:sz w:val="20"/>
          <w:szCs w:val="20"/>
        </w:rPr>
      </w:pPr>
    </w:p>
    <w:p w14:paraId="5CE17141" w14:textId="77777777" w:rsidR="00C20392" w:rsidRDefault="00C20392" w:rsidP="00C20392">
      <w:pPr>
        <w:spacing w:after="0" w:line="240" w:lineRule="auto"/>
        <w:rPr>
          <w:rFonts w:ascii="Verdana" w:eastAsia="Aptos" w:hAnsi="Verdana" w:cs="Times New Roman"/>
          <w:sz w:val="20"/>
          <w:szCs w:val="20"/>
        </w:rPr>
      </w:pPr>
    </w:p>
    <w:p w14:paraId="4FC2A3B4" w14:textId="77777777" w:rsidR="00C20392" w:rsidRDefault="00C20392" w:rsidP="00C20392">
      <w:pPr>
        <w:spacing w:after="0" w:line="240" w:lineRule="auto"/>
        <w:rPr>
          <w:rFonts w:ascii="Verdana" w:eastAsia="Aptos" w:hAnsi="Verdana" w:cs="Times New Roman"/>
          <w:sz w:val="20"/>
          <w:szCs w:val="20"/>
        </w:rPr>
      </w:pPr>
    </w:p>
    <w:p w14:paraId="790F091A" w14:textId="77777777" w:rsidR="00C20392" w:rsidRDefault="00C20392" w:rsidP="00C20392">
      <w:pPr>
        <w:spacing w:after="0" w:line="240" w:lineRule="auto"/>
        <w:rPr>
          <w:rFonts w:ascii="Verdana" w:eastAsia="Aptos" w:hAnsi="Verdana" w:cs="Times New Roman"/>
          <w:sz w:val="20"/>
          <w:szCs w:val="20"/>
        </w:rPr>
      </w:pPr>
    </w:p>
    <w:p w14:paraId="50DD2D0B" w14:textId="77777777" w:rsidR="00C20392" w:rsidRDefault="00C20392" w:rsidP="00C20392">
      <w:pPr>
        <w:spacing w:after="0" w:line="240" w:lineRule="auto"/>
        <w:rPr>
          <w:rFonts w:ascii="Verdana" w:eastAsia="Aptos" w:hAnsi="Verdana" w:cs="Times New Roman"/>
          <w:sz w:val="20"/>
          <w:szCs w:val="20"/>
        </w:rPr>
      </w:pPr>
    </w:p>
    <w:p w14:paraId="5015EFEA" w14:textId="77777777" w:rsidR="00C20392" w:rsidRDefault="00C20392" w:rsidP="00C20392">
      <w:pPr>
        <w:spacing w:after="0" w:line="240" w:lineRule="auto"/>
        <w:rPr>
          <w:rFonts w:ascii="Verdana" w:eastAsia="Aptos" w:hAnsi="Verdana" w:cs="Times New Roman"/>
          <w:sz w:val="20"/>
          <w:szCs w:val="20"/>
        </w:rPr>
      </w:pPr>
    </w:p>
    <w:p w14:paraId="74A1B394" w14:textId="77777777" w:rsidR="00C20392" w:rsidRDefault="00C20392" w:rsidP="00C20392">
      <w:pPr>
        <w:spacing w:after="0" w:line="240" w:lineRule="auto"/>
        <w:rPr>
          <w:rFonts w:ascii="Verdana" w:eastAsia="Aptos" w:hAnsi="Verdana" w:cs="Times New Roman"/>
          <w:sz w:val="20"/>
          <w:szCs w:val="20"/>
        </w:rPr>
      </w:pPr>
    </w:p>
    <w:p w14:paraId="7A733138" w14:textId="77777777" w:rsidR="00C20392" w:rsidRDefault="00C20392" w:rsidP="00C20392">
      <w:pPr>
        <w:spacing w:after="0" w:line="240" w:lineRule="auto"/>
        <w:rPr>
          <w:rFonts w:ascii="Verdana" w:eastAsia="Aptos" w:hAnsi="Verdana" w:cs="Times New Roman"/>
          <w:sz w:val="20"/>
          <w:szCs w:val="20"/>
        </w:rPr>
      </w:pPr>
    </w:p>
    <w:p w14:paraId="3034264F" w14:textId="77777777" w:rsidR="00C20392" w:rsidRDefault="00C20392" w:rsidP="00C20392">
      <w:pPr>
        <w:spacing w:after="0" w:line="240" w:lineRule="auto"/>
        <w:rPr>
          <w:rFonts w:ascii="Verdana" w:eastAsia="Aptos" w:hAnsi="Verdana" w:cs="Times New Roman"/>
          <w:sz w:val="20"/>
          <w:szCs w:val="20"/>
        </w:rPr>
      </w:pPr>
    </w:p>
    <w:p w14:paraId="5BAE6D01" w14:textId="77777777" w:rsidR="00C20392" w:rsidRDefault="00C20392" w:rsidP="00C20392">
      <w:pPr>
        <w:spacing w:after="0" w:line="240" w:lineRule="auto"/>
        <w:rPr>
          <w:rFonts w:ascii="Verdana" w:eastAsia="Aptos" w:hAnsi="Verdana" w:cs="Times New Roman"/>
          <w:sz w:val="20"/>
          <w:szCs w:val="20"/>
        </w:rPr>
      </w:pPr>
    </w:p>
    <w:p w14:paraId="4D98A411" w14:textId="77777777" w:rsidR="00C20392" w:rsidRDefault="00C20392" w:rsidP="00C20392">
      <w:pPr>
        <w:spacing w:after="0" w:line="240" w:lineRule="auto"/>
        <w:rPr>
          <w:rFonts w:ascii="Verdana" w:eastAsia="Aptos" w:hAnsi="Verdana" w:cs="Times New Roman"/>
          <w:sz w:val="20"/>
          <w:szCs w:val="20"/>
        </w:rPr>
      </w:pPr>
    </w:p>
    <w:p w14:paraId="73DAFECF" w14:textId="77777777" w:rsidR="00C20392" w:rsidRDefault="00C20392" w:rsidP="00C20392">
      <w:pPr>
        <w:spacing w:after="0" w:line="240" w:lineRule="auto"/>
        <w:rPr>
          <w:rFonts w:ascii="Verdana" w:eastAsia="Aptos" w:hAnsi="Verdana" w:cs="Times New Roman"/>
          <w:sz w:val="20"/>
          <w:szCs w:val="20"/>
        </w:rPr>
      </w:pPr>
    </w:p>
    <w:p w14:paraId="336E34D9" w14:textId="77777777" w:rsidR="00C20392" w:rsidRDefault="00C20392" w:rsidP="00C20392">
      <w:pPr>
        <w:spacing w:after="0" w:line="240" w:lineRule="auto"/>
        <w:rPr>
          <w:rFonts w:ascii="Verdana" w:eastAsia="Aptos" w:hAnsi="Verdana" w:cs="Times New Roman"/>
          <w:sz w:val="20"/>
          <w:szCs w:val="20"/>
        </w:rPr>
      </w:pPr>
    </w:p>
    <w:p w14:paraId="25EE472B" w14:textId="77777777" w:rsidR="00C20392" w:rsidRDefault="00C20392" w:rsidP="00C20392">
      <w:pPr>
        <w:spacing w:after="0" w:line="240" w:lineRule="auto"/>
        <w:rPr>
          <w:rFonts w:ascii="Verdana" w:eastAsia="Aptos" w:hAnsi="Verdana" w:cs="Times New Roman"/>
          <w:sz w:val="20"/>
          <w:szCs w:val="20"/>
        </w:rPr>
      </w:pPr>
    </w:p>
    <w:p w14:paraId="412D0A66" w14:textId="77777777" w:rsidR="00C20392" w:rsidRDefault="00C20392" w:rsidP="00C20392">
      <w:pPr>
        <w:spacing w:after="0" w:line="240" w:lineRule="auto"/>
        <w:rPr>
          <w:rFonts w:ascii="Verdana" w:eastAsia="Aptos" w:hAnsi="Verdana" w:cs="Times New Roman"/>
          <w:sz w:val="20"/>
          <w:szCs w:val="20"/>
        </w:rPr>
      </w:pPr>
    </w:p>
    <w:p w14:paraId="77F4B35B" w14:textId="77777777" w:rsidR="00C20392" w:rsidRDefault="00C20392" w:rsidP="00C20392">
      <w:pPr>
        <w:spacing w:after="0" w:line="240" w:lineRule="auto"/>
        <w:rPr>
          <w:rFonts w:ascii="Verdana" w:eastAsia="Aptos" w:hAnsi="Verdana" w:cs="Times New Roman"/>
          <w:sz w:val="20"/>
          <w:szCs w:val="20"/>
        </w:rPr>
      </w:pPr>
    </w:p>
    <w:p w14:paraId="0191B521" w14:textId="77777777" w:rsidR="00C20392" w:rsidRDefault="00C20392" w:rsidP="00C20392">
      <w:pPr>
        <w:spacing w:after="0" w:line="240" w:lineRule="auto"/>
        <w:rPr>
          <w:rFonts w:ascii="Verdana" w:eastAsia="Aptos" w:hAnsi="Verdana" w:cs="Times New Roman"/>
          <w:sz w:val="20"/>
          <w:szCs w:val="20"/>
        </w:rPr>
      </w:pPr>
    </w:p>
    <w:p w14:paraId="4DDE6B42" w14:textId="77777777" w:rsidR="00C20392" w:rsidRDefault="00C20392" w:rsidP="00C20392">
      <w:pPr>
        <w:spacing w:after="0" w:line="240" w:lineRule="auto"/>
        <w:rPr>
          <w:rFonts w:ascii="Verdana" w:eastAsia="Aptos" w:hAnsi="Verdana" w:cs="Times New Roman"/>
          <w:sz w:val="20"/>
          <w:szCs w:val="20"/>
        </w:rPr>
      </w:pPr>
    </w:p>
    <w:p w14:paraId="68C5ACA0" w14:textId="77777777" w:rsidR="00C20392" w:rsidRDefault="00C20392" w:rsidP="00C20392">
      <w:pPr>
        <w:spacing w:after="0" w:line="240" w:lineRule="auto"/>
        <w:rPr>
          <w:rFonts w:ascii="Verdana" w:eastAsia="Aptos" w:hAnsi="Verdana" w:cs="Times New Roman"/>
          <w:sz w:val="20"/>
          <w:szCs w:val="20"/>
        </w:rPr>
      </w:pPr>
    </w:p>
    <w:p w14:paraId="027C5FC7" w14:textId="77777777" w:rsidR="00C20392" w:rsidRDefault="00C20392" w:rsidP="00C20392">
      <w:pPr>
        <w:spacing w:after="0" w:line="240" w:lineRule="auto"/>
        <w:rPr>
          <w:rFonts w:ascii="Verdana" w:eastAsia="Aptos" w:hAnsi="Verdana" w:cs="Times New Roman"/>
          <w:sz w:val="20"/>
          <w:szCs w:val="20"/>
        </w:rPr>
      </w:pPr>
    </w:p>
    <w:p w14:paraId="78730D1D" w14:textId="77777777" w:rsidR="00C20392" w:rsidRDefault="00C20392" w:rsidP="00C20392">
      <w:pPr>
        <w:spacing w:after="0" w:line="240" w:lineRule="auto"/>
        <w:rPr>
          <w:rFonts w:ascii="Verdana" w:eastAsia="Aptos" w:hAnsi="Verdana" w:cs="Times New Roman"/>
          <w:sz w:val="20"/>
          <w:szCs w:val="20"/>
        </w:rPr>
      </w:pPr>
    </w:p>
    <w:p w14:paraId="70CAF7BD" w14:textId="77777777" w:rsidR="00C20392" w:rsidRDefault="00C20392" w:rsidP="00C20392">
      <w:pPr>
        <w:spacing w:after="0" w:line="240" w:lineRule="auto"/>
        <w:rPr>
          <w:rFonts w:ascii="Verdana" w:eastAsia="Aptos" w:hAnsi="Verdana" w:cs="Times New Roman"/>
          <w:sz w:val="20"/>
          <w:szCs w:val="20"/>
        </w:rPr>
      </w:pPr>
    </w:p>
    <w:p w14:paraId="358EF549" w14:textId="77777777" w:rsidR="00C20392" w:rsidRDefault="00C20392" w:rsidP="00C20392">
      <w:pPr>
        <w:spacing w:after="0" w:line="240" w:lineRule="auto"/>
        <w:rPr>
          <w:rFonts w:ascii="Verdana" w:eastAsia="Aptos" w:hAnsi="Verdana" w:cs="Times New Roman"/>
          <w:sz w:val="20"/>
          <w:szCs w:val="20"/>
        </w:rPr>
      </w:pPr>
    </w:p>
    <w:p w14:paraId="4864D373" w14:textId="77777777" w:rsidR="00C20392" w:rsidRDefault="00C20392" w:rsidP="00C20392">
      <w:pPr>
        <w:spacing w:after="0" w:line="240" w:lineRule="auto"/>
        <w:rPr>
          <w:rFonts w:ascii="Verdana" w:eastAsia="Aptos" w:hAnsi="Verdana" w:cs="Times New Roman"/>
          <w:sz w:val="20"/>
          <w:szCs w:val="20"/>
        </w:rPr>
      </w:pPr>
    </w:p>
    <w:p w14:paraId="5F10CC20" w14:textId="77777777" w:rsidR="00C20392" w:rsidRDefault="00C20392" w:rsidP="00C20392">
      <w:pPr>
        <w:spacing w:after="0" w:line="240" w:lineRule="auto"/>
        <w:rPr>
          <w:rFonts w:ascii="Verdana" w:eastAsia="Aptos" w:hAnsi="Verdana" w:cs="Times New Roman"/>
          <w:sz w:val="20"/>
          <w:szCs w:val="20"/>
        </w:rPr>
      </w:pPr>
    </w:p>
    <w:p w14:paraId="2273D04D" w14:textId="77777777" w:rsidR="00C20392" w:rsidRDefault="00C20392" w:rsidP="00C20392">
      <w:pPr>
        <w:spacing w:after="0" w:line="240" w:lineRule="auto"/>
        <w:rPr>
          <w:rFonts w:ascii="Verdana" w:eastAsia="Aptos" w:hAnsi="Verdana" w:cs="Times New Roman"/>
          <w:sz w:val="20"/>
          <w:szCs w:val="20"/>
        </w:rPr>
      </w:pPr>
    </w:p>
    <w:p w14:paraId="500AEA4C" w14:textId="77777777" w:rsidR="00C20392" w:rsidRDefault="00C20392" w:rsidP="00C20392">
      <w:pPr>
        <w:spacing w:after="0" w:line="240" w:lineRule="auto"/>
        <w:rPr>
          <w:rFonts w:ascii="Verdana" w:eastAsia="Aptos" w:hAnsi="Verdana" w:cs="Times New Roman"/>
          <w:sz w:val="20"/>
          <w:szCs w:val="20"/>
        </w:rPr>
      </w:pPr>
    </w:p>
    <w:p w14:paraId="4DCB34A9" w14:textId="77777777" w:rsidR="00C20392" w:rsidRDefault="00C20392" w:rsidP="00C20392">
      <w:pPr>
        <w:spacing w:after="0" w:line="240" w:lineRule="auto"/>
        <w:rPr>
          <w:rFonts w:ascii="Verdana" w:eastAsia="Aptos" w:hAnsi="Verdana" w:cs="Times New Roman"/>
          <w:sz w:val="20"/>
          <w:szCs w:val="20"/>
        </w:rPr>
      </w:pPr>
    </w:p>
    <w:p w14:paraId="07B00313" w14:textId="6B862AA9" w:rsidR="00C20392" w:rsidRPr="00323333" w:rsidRDefault="00C20392" w:rsidP="00C20392">
      <w:pPr>
        <w:spacing w:after="0" w:line="240" w:lineRule="auto"/>
        <w:jc w:val="both"/>
        <w:rPr>
          <w:rFonts w:ascii="Verdana" w:eastAsia="Calibri" w:hAnsi="Verdana" w:cs="Arial"/>
          <w:lang w:val="es-ES"/>
        </w:rPr>
      </w:pPr>
      <w:r w:rsidRPr="00323333">
        <w:rPr>
          <w:rFonts w:ascii="Verdana" w:eastAsia="Geomanist Light" w:hAnsi="Verdana" w:cs="Arial"/>
          <w:lang w:val="es-MX"/>
        </w:rPr>
        <w:lastRenderedPageBreak/>
        <w:t>Bogotá D.C., </w:t>
      </w:r>
      <w:r w:rsidR="00180A87">
        <w:rPr>
          <w:rFonts w:ascii="Verdana" w:eastAsia="Geomanist Light" w:hAnsi="Verdana" w:cs="Arial"/>
          <w:lang w:val="es-MX"/>
        </w:rPr>
        <w:t>03 de julio de 2026</w:t>
      </w:r>
    </w:p>
    <w:p w14:paraId="0672B4EA" w14:textId="77777777" w:rsidR="00C20392" w:rsidRDefault="00C20392" w:rsidP="00C20392">
      <w:pPr>
        <w:spacing w:after="0" w:line="240" w:lineRule="auto"/>
        <w:jc w:val="right"/>
        <w:rPr>
          <w:rFonts w:ascii="Verdana" w:eastAsia="Calibri" w:hAnsi="Verdana" w:cs="Arial"/>
          <w:noProof/>
          <w:lang w:val="es-ES"/>
        </w:rPr>
      </w:pPr>
    </w:p>
    <w:p w14:paraId="799333A5" w14:textId="542CB81A" w:rsidR="00C20392" w:rsidRPr="0086202B" w:rsidRDefault="005F20FD" w:rsidP="00C20392">
      <w:pPr>
        <w:spacing w:after="0" w:line="240" w:lineRule="auto"/>
        <w:jc w:val="right"/>
        <w:rPr>
          <w:rFonts w:ascii="Verdana" w:eastAsia="Calibri" w:hAnsi="Verdana" w:cs="Arial"/>
          <w:lang w:val="es-ES"/>
        </w:rPr>
      </w:pPr>
      <w:r w:rsidRPr="005F20FD">
        <w:rPr>
          <w:rFonts w:ascii="Verdana" w:eastAsia="Calibri" w:hAnsi="Verdana" w:cs="Arial"/>
          <w:lang w:val="es-ES"/>
        </w:rPr>
        <w:drawing>
          <wp:inline distT="0" distB="0" distL="0" distR="0" wp14:anchorId="529F92B7" wp14:editId="06EF8FB4">
            <wp:extent cx="2107577" cy="457200"/>
            <wp:effectExtent l="0" t="0" r="6985" b="0"/>
            <wp:docPr id="1190522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22642" name=""/>
                    <pic:cNvPicPr/>
                  </pic:nvPicPr>
                  <pic:blipFill>
                    <a:blip r:embed="rId10"/>
                    <a:stretch>
                      <a:fillRect/>
                    </a:stretch>
                  </pic:blipFill>
                  <pic:spPr>
                    <a:xfrm>
                      <a:off x="0" y="0"/>
                      <a:ext cx="2109441" cy="457604"/>
                    </a:xfrm>
                    <a:prstGeom prst="rect">
                      <a:avLst/>
                    </a:prstGeom>
                  </pic:spPr>
                </pic:pic>
              </a:graphicData>
            </a:graphic>
          </wp:inline>
        </w:drawing>
      </w:r>
    </w:p>
    <w:p w14:paraId="1F313B74" w14:textId="77777777" w:rsidR="00C20392" w:rsidRPr="0086202B" w:rsidRDefault="00C20392" w:rsidP="00C20392">
      <w:pPr>
        <w:spacing w:after="0" w:line="240" w:lineRule="auto"/>
        <w:jc w:val="both"/>
        <w:rPr>
          <w:rFonts w:ascii="Verdana" w:eastAsia="Calibri" w:hAnsi="Verdana" w:cs="Arial"/>
          <w:lang w:val="es-ES" w:eastAsia="es-ES"/>
        </w:rPr>
      </w:pPr>
      <w:r w:rsidRPr="0086202B">
        <w:rPr>
          <w:rFonts w:ascii="Verdana" w:eastAsia="Calibri" w:hAnsi="Verdana" w:cs="Arial"/>
          <w:lang w:val="es-ES" w:eastAsia="es-ES"/>
        </w:rPr>
        <w:t>Señor</w:t>
      </w:r>
    </w:p>
    <w:p w14:paraId="3EC28404" w14:textId="77777777" w:rsidR="00C20392" w:rsidRPr="0086202B" w:rsidRDefault="00C20392" w:rsidP="00C20392">
      <w:pPr>
        <w:spacing w:after="0" w:line="240" w:lineRule="auto"/>
        <w:rPr>
          <w:rFonts w:ascii="Verdana" w:eastAsia="Calibri" w:hAnsi="Verdana" w:cs="Arial"/>
          <w:b/>
          <w:lang w:val="es-ES" w:eastAsia="es-ES"/>
        </w:rPr>
      </w:pPr>
      <w:r>
        <w:rPr>
          <w:rFonts w:ascii="Verdana" w:eastAsia="Calibri" w:hAnsi="Verdana" w:cs="Arial"/>
          <w:b/>
          <w:lang w:val="es-ES" w:eastAsia="es-ES"/>
        </w:rPr>
        <w:t>Luis Alexis Correa Salazar</w:t>
      </w:r>
    </w:p>
    <w:p w14:paraId="474F741B" w14:textId="77777777" w:rsidR="00C20392" w:rsidRPr="00812B36" w:rsidRDefault="00C20392" w:rsidP="00C20392">
      <w:pPr>
        <w:spacing w:after="0" w:line="240" w:lineRule="auto"/>
        <w:rPr>
          <w:rFonts w:ascii="Verdana" w:hAnsi="Verdana"/>
        </w:rPr>
      </w:pPr>
      <w:hyperlink r:id="rId11" w:history="1">
        <w:r w:rsidRPr="00812B36">
          <w:rPr>
            <w:rStyle w:val="Hipervnculo"/>
            <w:rFonts w:ascii="Verdana" w:hAnsi="Verdana"/>
          </w:rPr>
          <w:t>luiscorreasalazar@hotmail.com</w:t>
        </w:r>
      </w:hyperlink>
      <w:r w:rsidRPr="00812B36">
        <w:rPr>
          <w:rFonts w:ascii="Verdana" w:hAnsi="Verdana"/>
        </w:rPr>
        <w:t xml:space="preserve"> </w:t>
      </w:r>
    </w:p>
    <w:p w14:paraId="4E2603CD" w14:textId="77777777" w:rsidR="00C20392" w:rsidRPr="0086202B" w:rsidRDefault="00C20392" w:rsidP="00C20392">
      <w:pPr>
        <w:spacing w:after="0" w:line="240" w:lineRule="auto"/>
        <w:rPr>
          <w:rFonts w:ascii="Verdana" w:eastAsia="Calibri" w:hAnsi="Verdana" w:cs="Arial"/>
          <w:b/>
          <w:bCs/>
          <w:lang w:val="es-ES" w:eastAsia="es-ES"/>
        </w:rPr>
      </w:pPr>
      <w:r>
        <w:rPr>
          <w:rFonts w:ascii="Verdana" w:eastAsia="Calibri" w:hAnsi="Verdana" w:cs="Arial"/>
          <w:lang w:val="es-ES" w:eastAsia="es-ES"/>
        </w:rPr>
        <w:t>Piedecuesta, Santander</w:t>
      </w:r>
    </w:p>
    <w:p w14:paraId="236CC111" w14:textId="77777777" w:rsidR="00C20392" w:rsidRPr="0086202B" w:rsidRDefault="00C20392" w:rsidP="00C20392">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20392" w:rsidRPr="0086202B" w14:paraId="4B5468FB" w14:textId="77777777" w:rsidTr="006F6067">
        <w:trPr>
          <w:trHeight w:val="308"/>
        </w:trPr>
        <w:tc>
          <w:tcPr>
            <w:tcW w:w="2689" w:type="dxa"/>
          </w:tcPr>
          <w:p w14:paraId="1E376ABE" w14:textId="77777777" w:rsidR="00C20392" w:rsidRPr="0086202B" w:rsidRDefault="00C20392" w:rsidP="006F6067">
            <w:pPr>
              <w:jc w:val="both"/>
              <w:rPr>
                <w:rFonts w:ascii="Verdana" w:eastAsia="Calibri" w:hAnsi="Verdana" w:cs="Arial"/>
                <w:b/>
                <w:bCs/>
                <w:lang w:val="es-ES_tradnl" w:eastAsia="es-ES_tradnl"/>
              </w:rPr>
            </w:pPr>
          </w:p>
        </w:tc>
        <w:tc>
          <w:tcPr>
            <w:tcW w:w="6100" w:type="dxa"/>
          </w:tcPr>
          <w:p w14:paraId="4F06AC07" w14:textId="77777777" w:rsidR="00C20392" w:rsidRPr="0086202B" w:rsidRDefault="00C20392" w:rsidP="006F6067">
            <w:pPr>
              <w:jc w:val="both"/>
              <w:rPr>
                <w:rFonts w:ascii="Verdana" w:eastAsia="Calibri" w:hAnsi="Verdana" w:cs="Arial"/>
                <w:b/>
                <w:bCs/>
                <w:lang w:val="es-ES" w:eastAsia="es-ES"/>
              </w:rPr>
            </w:pPr>
            <w:r w:rsidRPr="0086202B">
              <w:rPr>
                <w:rFonts w:ascii="Verdana" w:eastAsia="Calibri" w:hAnsi="Verdana" w:cs="Arial"/>
                <w:b/>
                <w:bCs/>
                <w:lang w:val="es-ES" w:eastAsia="es-ES"/>
              </w:rPr>
              <w:t>Concepto C-</w:t>
            </w:r>
            <w:r>
              <w:rPr>
                <w:rFonts w:ascii="Verdana" w:eastAsia="Calibri" w:hAnsi="Verdana" w:cs="Arial"/>
                <w:b/>
                <w:bCs/>
                <w:lang w:val="es-ES" w:eastAsia="es-ES"/>
              </w:rPr>
              <w:t>928</w:t>
            </w:r>
            <w:r w:rsidRPr="0086202B">
              <w:rPr>
                <w:rFonts w:ascii="Verdana" w:eastAsia="Calibri" w:hAnsi="Verdana" w:cs="Arial"/>
                <w:b/>
                <w:bCs/>
                <w:lang w:val="es-ES" w:eastAsia="es-ES"/>
              </w:rPr>
              <w:t xml:space="preserve"> de 2026</w:t>
            </w:r>
          </w:p>
          <w:p w14:paraId="4E025A70" w14:textId="77777777" w:rsidR="00C20392" w:rsidRPr="0086202B" w:rsidRDefault="00C20392" w:rsidP="006F6067">
            <w:pPr>
              <w:jc w:val="both"/>
              <w:rPr>
                <w:rFonts w:ascii="Verdana" w:eastAsia="Calibri" w:hAnsi="Verdana" w:cs="Arial"/>
                <w:b/>
                <w:bCs/>
                <w:lang w:val="es-ES" w:eastAsia="es-ES"/>
              </w:rPr>
            </w:pPr>
          </w:p>
        </w:tc>
      </w:tr>
      <w:tr w:rsidR="00C20392" w:rsidRPr="0086202B" w14:paraId="3482E198" w14:textId="77777777" w:rsidTr="006F6067">
        <w:trPr>
          <w:trHeight w:val="884"/>
        </w:trPr>
        <w:tc>
          <w:tcPr>
            <w:tcW w:w="2689" w:type="dxa"/>
          </w:tcPr>
          <w:p w14:paraId="004C4D6A" w14:textId="77777777" w:rsidR="00C20392" w:rsidRPr="00CF0C82" w:rsidRDefault="00C20392" w:rsidP="006F6067">
            <w:pPr>
              <w:jc w:val="both"/>
              <w:rPr>
                <w:rFonts w:ascii="Verdana" w:eastAsia="Calibri" w:hAnsi="Verdana" w:cs="Arial"/>
                <w:lang w:val="es-ES_tradnl" w:eastAsia="es-ES_tradnl"/>
              </w:rPr>
            </w:pPr>
            <w:r w:rsidRPr="00CF0C82">
              <w:rPr>
                <w:rFonts w:ascii="Verdana" w:eastAsia="Calibri" w:hAnsi="Verdana" w:cs="Arial"/>
                <w:b/>
                <w:lang w:val="es-ES_tradnl" w:eastAsia="es-ES_tradnl"/>
              </w:rPr>
              <w:t>Temas:</w:t>
            </w:r>
            <w:r w:rsidRPr="00CF0C82">
              <w:rPr>
                <w:rFonts w:ascii="Verdana" w:eastAsia="Calibri" w:hAnsi="Verdana" w:cs="Arial"/>
                <w:lang w:val="es-ES_tradnl" w:eastAsia="es-ES_tradnl"/>
              </w:rPr>
              <w:t xml:space="preserve">                   </w:t>
            </w:r>
          </w:p>
        </w:tc>
        <w:tc>
          <w:tcPr>
            <w:tcW w:w="6100" w:type="dxa"/>
          </w:tcPr>
          <w:p w14:paraId="0A428206" w14:textId="77777777" w:rsidR="00C20392" w:rsidRPr="00CF0C82" w:rsidRDefault="00C20392" w:rsidP="006F6067">
            <w:pPr>
              <w:spacing w:line="276" w:lineRule="auto"/>
              <w:jc w:val="both"/>
              <w:rPr>
                <w:rFonts w:ascii="Verdana" w:eastAsia="Calibri" w:hAnsi="Verdana" w:cs="Arial"/>
                <w:lang w:val="es-ES" w:eastAsia="es-ES"/>
              </w:rPr>
            </w:pPr>
            <w:r w:rsidRPr="00CF0C82">
              <w:rPr>
                <w:rFonts w:ascii="Verdana" w:eastAsia="Calibri" w:hAnsi="Verdana" w:cs="Arial"/>
                <w:lang w:val="es-ES" w:eastAsia="es-ES"/>
              </w:rPr>
              <w:t>SUBSANACIÓN DE LAS OFERTAS – Procedencia – Regla general – Excepción a la regla general / DOCUMENTOS TIPO DE INFRAESTRUCTURA DE TRANSPORTE – Regla de inalterabilidad – Determinación – Nivel – Clasificador de bienes y servicios</w:t>
            </w:r>
          </w:p>
        </w:tc>
      </w:tr>
    </w:tbl>
    <w:p w14:paraId="1C155C07" w14:textId="77777777" w:rsidR="00C20392" w:rsidRPr="0086202B" w:rsidRDefault="00C20392" w:rsidP="00C20392">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20392" w:rsidRPr="0086202B" w14:paraId="32C397BE" w14:textId="77777777" w:rsidTr="006F6067">
        <w:tc>
          <w:tcPr>
            <w:tcW w:w="2689" w:type="dxa"/>
          </w:tcPr>
          <w:p w14:paraId="7A783EA3" w14:textId="77777777" w:rsidR="00C20392" w:rsidRPr="0086202B" w:rsidRDefault="00C20392" w:rsidP="006F6067">
            <w:pPr>
              <w:jc w:val="both"/>
              <w:rPr>
                <w:rFonts w:ascii="Verdana" w:eastAsia="Calibri" w:hAnsi="Verdana" w:cs="Arial"/>
                <w:b/>
                <w:lang w:val="es-ES_tradnl" w:eastAsia="es-ES_tradnl"/>
              </w:rPr>
            </w:pPr>
            <w:r w:rsidRPr="0086202B">
              <w:rPr>
                <w:rFonts w:ascii="Verdana" w:eastAsia="Calibri" w:hAnsi="Verdana" w:cs="Arial"/>
                <w:b/>
                <w:lang w:val="es-ES_tradnl" w:eastAsia="es-ES_tradnl"/>
              </w:rPr>
              <w:t>Radicación:</w:t>
            </w:r>
            <w:r w:rsidRPr="0086202B">
              <w:rPr>
                <w:rFonts w:ascii="Verdana" w:eastAsia="Calibri" w:hAnsi="Verdana" w:cs="Arial"/>
                <w:lang w:val="es-ES_tradnl" w:eastAsia="es-ES_tradnl"/>
              </w:rPr>
              <w:t xml:space="preserve">               </w:t>
            </w:r>
          </w:p>
        </w:tc>
        <w:tc>
          <w:tcPr>
            <w:tcW w:w="6100" w:type="dxa"/>
          </w:tcPr>
          <w:p w14:paraId="7207DD59" w14:textId="77777777" w:rsidR="00C20392" w:rsidRPr="0086202B" w:rsidRDefault="00C20392" w:rsidP="006F6067">
            <w:pPr>
              <w:jc w:val="both"/>
              <w:rPr>
                <w:rFonts w:ascii="Verdana" w:eastAsia="Calibri" w:hAnsi="Verdana" w:cs="Arial"/>
                <w:lang w:val="es-ES_tradnl" w:eastAsia="es-ES_tradnl"/>
              </w:rPr>
            </w:pPr>
            <w:r w:rsidRPr="0086202B">
              <w:rPr>
                <w:rFonts w:ascii="Verdana" w:eastAsia="Calibri" w:hAnsi="Verdana" w:cs="Arial"/>
                <w:lang w:val="es-ES_tradnl" w:eastAsia="es-ES_tradnl"/>
              </w:rPr>
              <w:t>Respuesta a consulta</w:t>
            </w:r>
            <w:r>
              <w:rPr>
                <w:rFonts w:ascii="Verdana" w:eastAsia="Calibri" w:hAnsi="Verdana" w:cs="Arial"/>
                <w:lang w:val="es-ES_tradnl" w:eastAsia="es-ES_tradnl"/>
              </w:rPr>
              <w:t xml:space="preserve"> </w:t>
            </w:r>
            <w:r w:rsidRPr="0086202B">
              <w:rPr>
                <w:rFonts w:ascii="Verdana" w:eastAsia="Calibri" w:hAnsi="Verdana" w:cs="Arial"/>
                <w:lang w:val="es-ES_tradnl" w:eastAsia="es-ES_tradnl"/>
              </w:rPr>
              <w:t xml:space="preserve">con radicado No. </w:t>
            </w:r>
            <w:r w:rsidRPr="00C9121D">
              <w:rPr>
                <w:rFonts w:ascii="Verdana" w:eastAsia="Calibri" w:hAnsi="Verdana" w:cs="Arial"/>
                <w:lang w:val="es-ES_tradnl" w:eastAsia="es-ES_tradnl"/>
              </w:rPr>
              <w:t>1_2026_06_03_007597</w:t>
            </w:r>
          </w:p>
        </w:tc>
      </w:tr>
    </w:tbl>
    <w:p w14:paraId="14A129F8" w14:textId="77777777" w:rsidR="00C20392" w:rsidRPr="0086202B" w:rsidRDefault="00C20392" w:rsidP="00C20392">
      <w:pPr>
        <w:spacing w:after="0" w:line="240" w:lineRule="auto"/>
        <w:jc w:val="both"/>
        <w:rPr>
          <w:rFonts w:ascii="Verdana" w:eastAsia="Calibri" w:hAnsi="Verdana" w:cs="Arial"/>
          <w:lang w:val="es-ES_tradnl" w:eastAsia="es-ES_tradnl"/>
        </w:rPr>
      </w:pPr>
    </w:p>
    <w:p w14:paraId="05D3CFB0" w14:textId="77777777" w:rsidR="00C20392" w:rsidRPr="0086202B" w:rsidRDefault="00C20392" w:rsidP="00C20392">
      <w:pPr>
        <w:spacing w:after="0" w:line="240" w:lineRule="auto"/>
        <w:jc w:val="both"/>
        <w:rPr>
          <w:rFonts w:ascii="Verdana" w:eastAsia="Calibri" w:hAnsi="Verdana" w:cs="Arial"/>
          <w:lang w:val="es-ES_tradnl" w:eastAsia="es-ES_tradnl"/>
        </w:rPr>
      </w:pPr>
    </w:p>
    <w:p w14:paraId="29D33615" w14:textId="77777777" w:rsidR="00C20392" w:rsidRPr="0086202B" w:rsidRDefault="00C20392" w:rsidP="00C20392">
      <w:pPr>
        <w:spacing w:after="0" w:line="276" w:lineRule="auto"/>
        <w:jc w:val="both"/>
        <w:rPr>
          <w:rFonts w:ascii="Verdana" w:eastAsia="Calibri" w:hAnsi="Verdana" w:cs="Arial"/>
          <w:lang w:val="es-ES" w:eastAsia="es-ES"/>
        </w:rPr>
      </w:pPr>
      <w:r w:rsidRPr="0086202B">
        <w:rPr>
          <w:rFonts w:ascii="Verdana" w:eastAsia="Calibri" w:hAnsi="Verdana" w:cs="Arial"/>
          <w:lang w:val="es-ES" w:eastAsia="es-ES"/>
        </w:rPr>
        <w:t>Estimado</w:t>
      </w:r>
      <w:r>
        <w:rPr>
          <w:rFonts w:ascii="Verdana" w:eastAsia="Calibri" w:hAnsi="Verdana" w:cs="Arial"/>
          <w:lang w:val="es-ES" w:eastAsia="es-ES"/>
        </w:rPr>
        <w:t xml:space="preserve"> Señor Correa</w:t>
      </w:r>
      <w:r w:rsidRPr="0086202B">
        <w:rPr>
          <w:rFonts w:ascii="Verdana" w:eastAsia="Calibri" w:hAnsi="Verdana" w:cs="Arial"/>
          <w:lang w:val="es-ES" w:eastAsia="es-ES"/>
        </w:rPr>
        <w:t xml:space="preserve">: </w:t>
      </w:r>
    </w:p>
    <w:p w14:paraId="26CE7E60" w14:textId="77777777" w:rsidR="00C20392" w:rsidRPr="0086202B" w:rsidRDefault="00C20392" w:rsidP="00C20392">
      <w:pPr>
        <w:tabs>
          <w:tab w:val="left" w:pos="3768"/>
        </w:tabs>
        <w:spacing w:after="0" w:line="276" w:lineRule="auto"/>
        <w:jc w:val="both"/>
        <w:rPr>
          <w:rFonts w:ascii="Verdana" w:eastAsia="Calibri" w:hAnsi="Verdana" w:cs="Arial"/>
          <w:lang w:val="es-ES" w:eastAsia="es-ES"/>
        </w:rPr>
      </w:pPr>
    </w:p>
    <w:p w14:paraId="5AD2EBEF" w14:textId="77777777" w:rsidR="00C20392" w:rsidRPr="0086202B" w:rsidRDefault="00C20392" w:rsidP="00C20392">
      <w:pPr>
        <w:spacing w:after="0" w:line="276" w:lineRule="auto"/>
        <w:jc w:val="both"/>
        <w:rPr>
          <w:rFonts w:ascii="Verdana" w:eastAsia="Calibri" w:hAnsi="Verdana" w:cs="Arial"/>
          <w:lang w:val="es-ES" w:eastAsia="es-ES"/>
        </w:rPr>
      </w:pPr>
      <w:r w:rsidRPr="0086202B">
        <w:rPr>
          <w:rFonts w:ascii="Verdana" w:eastAsia="Calibri" w:hAnsi="Verdana" w:cs="Arial"/>
          <w:lang w:val="es-ES" w:eastAsia="es-ES"/>
        </w:rPr>
        <w:t>En ejercicio de la competencia otorgada por los artículos 3, numeral 5º, y 11, numeral 8º, del Decreto Ley 4170 de 2011,</w:t>
      </w:r>
      <w:r w:rsidRPr="0086202B">
        <w:rPr>
          <w:rFonts w:ascii="Verdana" w:eastAsia="Arial MT" w:hAnsi="Verdana" w:cs="Arial MT"/>
          <w:lang w:val="es-ES" w:eastAsia="es-ES"/>
        </w:rPr>
        <w:t xml:space="preserve"> </w:t>
      </w:r>
      <w:r w:rsidRPr="0086202B">
        <w:rPr>
          <w:rFonts w:ascii="Verdana" w:eastAsia="Aptos" w:hAnsi="Verdana" w:cs="Arial"/>
        </w:rPr>
        <w:t xml:space="preserve">así como lo establecido en el artículo 4 de la Resolución 1707 de 2018 expedida por esta Entidad, </w:t>
      </w:r>
      <w:r w:rsidRPr="0086202B">
        <w:rPr>
          <w:rFonts w:ascii="Verdana" w:eastAsia="Calibri" w:hAnsi="Verdana" w:cs="Arial"/>
          <w:lang w:val="es-ES" w:eastAsia="es-ES"/>
        </w:rPr>
        <w:t xml:space="preserve">la Agencia Nacional de Contratación Pública – Colombia Compra Eficiente– responde </w:t>
      </w:r>
      <w:r>
        <w:rPr>
          <w:rFonts w:ascii="Verdana" w:eastAsia="Calibri" w:hAnsi="Verdana" w:cs="Arial"/>
          <w:lang w:val="es-ES" w:eastAsia="es-ES"/>
        </w:rPr>
        <w:t>su petición</w:t>
      </w:r>
      <w:r w:rsidRPr="0086202B">
        <w:rPr>
          <w:rFonts w:ascii="Verdana" w:eastAsia="Calibri" w:hAnsi="Verdana" w:cs="Arial"/>
          <w:lang w:val="es-ES" w:eastAsia="es-ES"/>
        </w:rPr>
        <w:t xml:space="preserve"> del </w:t>
      </w:r>
      <w:r>
        <w:rPr>
          <w:rFonts w:ascii="Verdana" w:eastAsia="Calibri" w:hAnsi="Verdana" w:cs="Arial"/>
          <w:lang w:val="es-ES" w:eastAsia="es-ES"/>
        </w:rPr>
        <w:t>04 de junio</w:t>
      </w:r>
      <w:r w:rsidRPr="0086202B">
        <w:rPr>
          <w:rFonts w:ascii="Verdana" w:eastAsia="Calibri" w:hAnsi="Verdana" w:cs="Arial"/>
          <w:lang w:val="es-ES" w:eastAsia="es-ES"/>
        </w:rPr>
        <w:t xml:space="preserve"> de 2026, en la</w:t>
      </w:r>
      <w:r>
        <w:rPr>
          <w:rFonts w:ascii="Verdana" w:eastAsia="Calibri" w:hAnsi="Verdana" w:cs="Arial"/>
          <w:lang w:val="es-ES" w:eastAsia="es-ES"/>
        </w:rPr>
        <w:t xml:space="preserve"> </w:t>
      </w:r>
      <w:r w:rsidRPr="0086202B">
        <w:rPr>
          <w:rFonts w:ascii="Verdana" w:eastAsia="Calibri" w:hAnsi="Verdana" w:cs="Arial"/>
          <w:lang w:val="es-ES" w:eastAsia="es-ES"/>
        </w:rPr>
        <w:t xml:space="preserve">que realiza la siguiente consulta: </w:t>
      </w:r>
    </w:p>
    <w:p w14:paraId="68B21F77" w14:textId="77777777" w:rsidR="00C20392" w:rsidRPr="0086202B" w:rsidRDefault="00C20392" w:rsidP="00C20392">
      <w:pPr>
        <w:spacing w:after="0" w:line="276" w:lineRule="auto"/>
        <w:jc w:val="both"/>
        <w:rPr>
          <w:rFonts w:ascii="Verdana" w:eastAsia="Calibri" w:hAnsi="Verdana" w:cs="Arial"/>
          <w:lang w:val="es-ES" w:eastAsia="es-ES"/>
        </w:rPr>
      </w:pPr>
    </w:p>
    <w:p w14:paraId="146E0ACC" w14:textId="77777777" w:rsidR="00C20392" w:rsidRPr="0086202B" w:rsidRDefault="00C20392" w:rsidP="00C20392">
      <w:pPr>
        <w:spacing w:after="0" w:line="240" w:lineRule="auto"/>
        <w:ind w:left="709" w:right="709"/>
        <w:jc w:val="both"/>
        <w:rPr>
          <w:rFonts w:ascii="Verdana" w:eastAsia="Calibri" w:hAnsi="Verdana" w:cs="Arial"/>
          <w:sz w:val="20"/>
          <w:szCs w:val="20"/>
          <w:lang w:val="es-MX"/>
        </w:rPr>
      </w:pPr>
      <w:r w:rsidRPr="0086202B">
        <w:rPr>
          <w:rFonts w:ascii="Verdana" w:eastAsia="Calibri" w:hAnsi="Verdana" w:cs="Arial"/>
          <w:sz w:val="20"/>
          <w:szCs w:val="20"/>
          <w:lang w:val="es-MX"/>
        </w:rPr>
        <w:t>“</w:t>
      </w:r>
      <w:r>
        <w:rPr>
          <w:rFonts w:ascii="Verdana" w:eastAsia="Calibri" w:hAnsi="Verdana" w:cs="Arial"/>
          <w:sz w:val="20"/>
          <w:szCs w:val="20"/>
          <w:lang w:val="es-MX"/>
        </w:rPr>
        <w:t>SI SE COMENTE UN ERROR NO SUSTANCIAL EN ALGUN FORMATO QUE DE PUNTAJE, ESTO ES, ERROR EN LA FECHA, ERROR EN LA ORTOGRAGIA, INCLUIR LA COLUMNA DE PUNTAJE COMO LO DICE EL PLIEGO EN EL INCISO DE APOYO A LA INDUSTRIA NACIONAL, ERROR EN LA CEDULA DEL REPRESENTANTE LEGAL, ES PENALIZABLE POR PARTE DEL COMITÉ EVALUADOR</w:t>
      </w:r>
      <w:r w:rsidRPr="00D22DA0">
        <w:rPr>
          <w:rFonts w:ascii="Verdana" w:eastAsia="Calibri" w:hAnsi="Verdana" w:cs="Arial"/>
          <w:sz w:val="20"/>
          <w:szCs w:val="20"/>
          <w:lang w:val="es-MX"/>
        </w:rPr>
        <w:t>?</w:t>
      </w:r>
      <w:r>
        <w:rPr>
          <w:rFonts w:ascii="Verdana" w:eastAsia="Calibri" w:hAnsi="Verdana" w:cs="Arial"/>
          <w:sz w:val="20"/>
          <w:szCs w:val="20"/>
          <w:lang w:val="es-MX"/>
        </w:rPr>
        <w:t xml:space="preserve"> SI LA RESPUESTA ES POSITIVA, COMO SE JUSTIFICA TECNICAMENTE Y JURIDICAMENTE SI EL OFRECIMIENTO CUMPLE CON LO REQUERIDO EN PLIEGOS</w:t>
      </w:r>
      <w:r w:rsidRPr="001F2448">
        <w:rPr>
          <w:rFonts w:ascii="Verdana" w:eastAsia="Calibri" w:hAnsi="Verdana" w:cs="Arial"/>
          <w:sz w:val="20"/>
          <w:szCs w:val="20"/>
          <w:lang w:val="es-MX"/>
        </w:rPr>
        <w:t>?</w:t>
      </w:r>
      <w:r>
        <w:rPr>
          <w:rFonts w:ascii="Verdana" w:eastAsia="Calibri" w:hAnsi="Verdana" w:cs="Arial"/>
          <w:sz w:val="20"/>
          <w:szCs w:val="20"/>
          <w:lang w:val="es-MX"/>
        </w:rPr>
        <w:t xml:space="preserve"> SI LA ENTIDAD CONTRATANTE SOLICITA EN PLIEGOS LA EXPERIENCIA HASTA EL NIVEL 4, ESTARIA MODIFICANDO EL PLIEGO TIPO DE INFRAESTRUCTURA VIAL</w:t>
      </w:r>
      <w:r w:rsidRPr="0032036B">
        <w:rPr>
          <w:rFonts w:ascii="Verdana" w:eastAsia="Calibri" w:hAnsi="Verdana" w:cs="Arial"/>
          <w:sz w:val="20"/>
          <w:szCs w:val="20"/>
          <w:lang w:val="es-MX"/>
        </w:rPr>
        <w:t>?</w:t>
      </w:r>
      <w:r>
        <w:rPr>
          <w:rFonts w:ascii="Verdana" w:eastAsia="Calibri" w:hAnsi="Verdana" w:cs="Arial"/>
          <w:sz w:val="20"/>
          <w:szCs w:val="20"/>
          <w:lang w:val="es-MX"/>
        </w:rPr>
        <w:t xml:space="preserve"> Y SI EN EVALUACIÓN SOLO </w:t>
      </w:r>
      <w:r>
        <w:rPr>
          <w:rFonts w:ascii="Verdana" w:eastAsia="Calibri" w:hAnsi="Verdana" w:cs="Arial"/>
          <w:sz w:val="20"/>
          <w:szCs w:val="20"/>
          <w:lang w:val="es-MX"/>
        </w:rPr>
        <w:lastRenderedPageBreak/>
        <w:t>EVALUA HASTA EL NIVEL 3 ESTARIA VULNERANDO ALGUN PRINCIPIO</w:t>
      </w:r>
      <w:r w:rsidRPr="005C4200">
        <w:rPr>
          <w:rFonts w:ascii="Verdana" w:eastAsia="Calibri" w:hAnsi="Verdana" w:cs="Arial"/>
          <w:sz w:val="20"/>
          <w:szCs w:val="20"/>
          <w:lang w:val="es-MX"/>
        </w:rPr>
        <w:t>?</w:t>
      </w:r>
      <w:r>
        <w:rPr>
          <w:rFonts w:ascii="Verdana" w:eastAsia="Calibri" w:hAnsi="Verdana" w:cs="Arial"/>
          <w:sz w:val="20"/>
          <w:szCs w:val="20"/>
          <w:lang w:val="es-MX"/>
        </w:rPr>
        <w:t>”</w:t>
      </w:r>
      <w:r w:rsidRPr="0086202B">
        <w:rPr>
          <w:rFonts w:ascii="Verdana" w:eastAsia="Calibri" w:hAnsi="Verdana" w:cs="Arial"/>
          <w:sz w:val="20"/>
          <w:szCs w:val="20"/>
          <w:lang w:val="es-MX"/>
        </w:rPr>
        <w:t xml:space="preserve"> [sic]</w:t>
      </w:r>
    </w:p>
    <w:p w14:paraId="5CA10388" w14:textId="77777777" w:rsidR="00C20392" w:rsidRPr="0086202B" w:rsidRDefault="00C20392" w:rsidP="00C20392">
      <w:pPr>
        <w:spacing w:after="0" w:line="276" w:lineRule="auto"/>
        <w:jc w:val="both"/>
        <w:rPr>
          <w:rFonts w:ascii="Verdana" w:eastAsia="Calibri" w:hAnsi="Verdana" w:cs="Arial"/>
          <w:lang w:val="es-ES" w:eastAsia="es-ES"/>
        </w:rPr>
      </w:pPr>
    </w:p>
    <w:p w14:paraId="281166ED" w14:textId="77777777" w:rsidR="00C20392" w:rsidRPr="0086202B" w:rsidRDefault="00C20392" w:rsidP="00C20392">
      <w:pPr>
        <w:spacing w:after="120" w:line="276" w:lineRule="auto"/>
        <w:jc w:val="both"/>
        <w:rPr>
          <w:rFonts w:ascii="Verdana" w:eastAsia="Calibri" w:hAnsi="Verdana" w:cs="Arial"/>
          <w:lang w:val="es-ES" w:eastAsia="es-ES"/>
        </w:rPr>
      </w:pPr>
      <w:r w:rsidRPr="0086202B">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EA668DD" w14:textId="77777777" w:rsidR="00C20392" w:rsidRPr="0086202B" w:rsidRDefault="00C20392" w:rsidP="00C20392">
      <w:pPr>
        <w:spacing w:after="0" w:line="276" w:lineRule="auto"/>
        <w:ind w:firstLine="709"/>
        <w:jc w:val="both"/>
        <w:rPr>
          <w:rFonts w:ascii="Verdana" w:eastAsia="Calibri" w:hAnsi="Verdana" w:cs="Arial"/>
          <w:lang w:val="es-ES" w:eastAsia="es-ES"/>
        </w:rPr>
      </w:pPr>
      <w:r w:rsidRPr="0086202B">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111CD2A" w14:textId="77777777" w:rsidR="00C20392" w:rsidRPr="0086202B" w:rsidRDefault="00C20392" w:rsidP="00C20392">
      <w:pPr>
        <w:spacing w:after="0" w:line="276" w:lineRule="auto"/>
        <w:ind w:firstLine="709"/>
        <w:jc w:val="both"/>
        <w:rPr>
          <w:rFonts w:ascii="Verdana" w:eastAsia="Calibri" w:hAnsi="Verdana" w:cs="Arial"/>
          <w:lang w:val="es-ES" w:eastAsia="es-ES"/>
        </w:rPr>
      </w:pPr>
    </w:p>
    <w:p w14:paraId="72F886CB" w14:textId="77777777" w:rsidR="00C20392" w:rsidRPr="0086202B" w:rsidRDefault="00C20392" w:rsidP="00C20392">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86202B">
        <w:rPr>
          <w:rFonts w:ascii="Verdana" w:eastAsia="Arial" w:hAnsi="Verdana" w:cs="Arial"/>
          <w:b/>
          <w:bCs/>
          <w:lang w:val="es-ES"/>
        </w:rPr>
        <w:t>1. Problema planteado:</w:t>
      </w:r>
    </w:p>
    <w:p w14:paraId="4357FEF9" w14:textId="77777777" w:rsidR="00C20392" w:rsidRPr="0086202B" w:rsidRDefault="00C20392" w:rsidP="00C20392">
      <w:pPr>
        <w:tabs>
          <w:tab w:val="left" w:pos="426"/>
        </w:tabs>
        <w:spacing w:after="0" w:line="276" w:lineRule="auto"/>
        <w:jc w:val="both"/>
        <w:rPr>
          <w:rFonts w:ascii="Verdana" w:eastAsia="Century Gothic" w:hAnsi="Verdana" w:cs="Century Gothic"/>
          <w:lang w:val="es-ES"/>
        </w:rPr>
      </w:pPr>
    </w:p>
    <w:p w14:paraId="21DD7F95" w14:textId="77777777" w:rsidR="00C20392" w:rsidRDefault="00C20392" w:rsidP="00C20392">
      <w:pPr>
        <w:spacing w:after="0"/>
        <w:jc w:val="both"/>
        <w:rPr>
          <w:rFonts w:ascii="Verdana" w:eastAsia="Aptos" w:hAnsi="Verdana" w:cs="Arial"/>
        </w:rPr>
      </w:pPr>
      <w:r w:rsidRPr="0086202B">
        <w:rPr>
          <w:rFonts w:ascii="Verdana" w:eastAsia="Century Gothic" w:hAnsi="Verdana" w:cs="Century Gothic"/>
        </w:rPr>
        <w:t xml:space="preserve">De acuerdo con el contenido de su solicitud, le informamos que la misma se resolverá desde </w:t>
      </w:r>
      <w:r>
        <w:rPr>
          <w:rFonts w:ascii="Verdana" w:eastAsia="Century Gothic" w:hAnsi="Verdana" w:cs="Century Gothic"/>
        </w:rPr>
        <w:t>los</w:t>
      </w:r>
      <w:r w:rsidRPr="0086202B">
        <w:rPr>
          <w:rFonts w:ascii="Verdana" w:eastAsia="Century Gothic" w:hAnsi="Verdana" w:cs="Century Gothic"/>
        </w:rPr>
        <w:t xml:space="preserve"> siguiente</w:t>
      </w:r>
      <w:r>
        <w:rPr>
          <w:rFonts w:ascii="Verdana" w:eastAsia="Century Gothic" w:hAnsi="Verdana" w:cs="Century Gothic"/>
        </w:rPr>
        <w:t>s</w:t>
      </w:r>
      <w:r w:rsidRPr="0086202B">
        <w:rPr>
          <w:rFonts w:ascii="Verdana" w:eastAsia="Century Gothic" w:hAnsi="Verdana" w:cs="Century Gothic"/>
        </w:rPr>
        <w:t xml:space="preserve"> </w:t>
      </w:r>
      <w:bookmarkStart w:id="1" w:name="_Hlk171070029"/>
      <w:r w:rsidRPr="0086202B">
        <w:rPr>
          <w:rFonts w:ascii="Verdana" w:eastAsia="Century Gothic" w:hAnsi="Verdana" w:cs="Century Gothic"/>
        </w:rPr>
        <w:t>interrogante</w:t>
      </w:r>
      <w:r>
        <w:rPr>
          <w:rFonts w:ascii="Verdana" w:eastAsia="Century Gothic" w:hAnsi="Verdana" w:cs="Century Gothic"/>
        </w:rPr>
        <w:t>s</w:t>
      </w:r>
      <w:r w:rsidRPr="0086202B">
        <w:rPr>
          <w:rFonts w:ascii="Verdana" w:eastAsia="Century Gothic" w:hAnsi="Verdana" w:cs="Century Gothic"/>
        </w:rPr>
        <w:t>:</w:t>
      </w:r>
      <w:r>
        <w:rPr>
          <w:rFonts w:ascii="Verdana" w:eastAsia="Century Gothic" w:hAnsi="Verdana" w:cs="Century Gothic"/>
        </w:rPr>
        <w:t xml:space="preserve"> i)</w:t>
      </w:r>
      <w:r w:rsidRPr="0086202B">
        <w:rPr>
          <w:rFonts w:ascii="Verdana" w:eastAsia="Century Gothic" w:hAnsi="Verdana" w:cs="Century Gothic"/>
        </w:rPr>
        <w:t xml:space="preserve"> </w:t>
      </w:r>
      <w:r w:rsidRPr="0086202B">
        <w:rPr>
          <w:rFonts w:ascii="Verdana" w:eastAsia="Aptos" w:hAnsi="Verdana" w:cs="Arial"/>
        </w:rPr>
        <w:t>¿Qué aspectos pueden subsanarse en un proceso de contratación pública?</w:t>
      </w:r>
      <w:r>
        <w:rPr>
          <w:rFonts w:ascii="Verdana" w:eastAsia="Aptos" w:hAnsi="Verdana" w:cs="Arial"/>
        </w:rPr>
        <w:t xml:space="preserve"> y ii) En el marco de la aplicación de los Documentos Tipo de licitación de obra pública de infraestructura de transporte – Versión 4, ¿Las Entidades Estatales se encuentran facultadas para determinar el nivel del Clasificador de Bienes y Servicios de las Naciones Unidas – (UNSPSC)?</w:t>
      </w:r>
    </w:p>
    <w:p w14:paraId="49744AE6" w14:textId="77777777" w:rsidR="00C20392" w:rsidRDefault="00C20392" w:rsidP="00C20392">
      <w:pPr>
        <w:spacing w:after="0"/>
        <w:jc w:val="both"/>
        <w:rPr>
          <w:rFonts w:ascii="Verdana" w:eastAsia="Aptos" w:hAnsi="Verdana" w:cs="Arial"/>
        </w:rPr>
      </w:pPr>
    </w:p>
    <w:bookmarkEnd w:id="1"/>
    <w:p w14:paraId="0D6A363F" w14:textId="77777777" w:rsidR="00C20392" w:rsidRPr="0086202B" w:rsidRDefault="00C20392" w:rsidP="00C20392">
      <w:pPr>
        <w:widowControl w:val="0"/>
        <w:autoSpaceDE w:val="0"/>
        <w:autoSpaceDN w:val="0"/>
        <w:spacing w:before="1" w:after="0" w:line="240" w:lineRule="auto"/>
        <w:jc w:val="both"/>
        <w:outlineLvl w:val="0"/>
        <w:rPr>
          <w:rFonts w:ascii="Verdana" w:eastAsia="Arial" w:hAnsi="Verdana" w:cs="Arial"/>
          <w:b/>
          <w:bCs/>
          <w:lang w:val="es-ES"/>
        </w:rPr>
      </w:pPr>
      <w:r w:rsidRPr="0086202B">
        <w:rPr>
          <w:rFonts w:ascii="Verdana" w:eastAsia="Arial" w:hAnsi="Verdana" w:cs="Arial"/>
          <w:b/>
          <w:bCs/>
          <w:lang w:val="es-ES"/>
        </w:rPr>
        <w:t>2. Respuesta:</w:t>
      </w:r>
    </w:p>
    <w:p w14:paraId="3EAFB673" w14:textId="77777777" w:rsidR="00C20392" w:rsidRPr="0086202B" w:rsidRDefault="00C20392" w:rsidP="00C20392">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20392" w:rsidRPr="0086202B" w14:paraId="4C08E94F" w14:textId="77777777" w:rsidTr="006F6067">
        <w:tc>
          <w:tcPr>
            <w:tcW w:w="8828" w:type="dxa"/>
          </w:tcPr>
          <w:p w14:paraId="75F73004" w14:textId="77777777" w:rsidR="00C20392" w:rsidRPr="0086202B" w:rsidRDefault="00C20392" w:rsidP="006F6067">
            <w:pPr>
              <w:spacing w:line="278" w:lineRule="auto"/>
              <w:jc w:val="both"/>
              <w:rPr>
                <w:rFonts w:ascii="Verdana" w:eastAsia="Times New Roman" w:hAnsi="Verdana" w:cs="Arial"/>
                <w:bdr w:val="none" w:sz="0" w:space="0" w:color="auto" w:frame="1"/>
                <w:shd w:val="clear" w:color="auto" w:fill="FFFFFF"/>
                <w:lang w:val="es-ES" w:eastAsia="es-ES_tradnl"/>
              </w:rPr>
            </w:pPr>
            <w:bookmarkStart w:id="2" w:name="_Hlk171067516"/>
            <w:r>
              <w:rPr>
                <w:rFonts w:ascii="Verdana" w:eastAsia="Times New Roman" w:hAnsi="Verdana" w:cs="Arial"/>
                <w:bdr w:val="none" w:sz="0" w:space="0" w:color="auto" w:frame="1"/>
                <w:shd w:val="clear" w:color="auto" w:fill="FFFFFF"/>
                <w:lang w:val="es-ES" w:eastAsia="es-ES_tradnl"/>
              </w:rPr>
              <w:t xml:space="preserve">i) </w:t>
            </w:r>
            <w:r w:rsidRPr="0086202B">
              <w:rPr>
                <w:rFonts w:ascii="Verdana" w:eastAsia="Times New Roman" w:hAnsi="Verdana" w:cs="Arial"/>
                <w:bdr w:val="none" w:sz="0" w:space="0" w:color="auto" w:frame="1"/>
                <w:shd w:val="clear" w:color="auto" w:fill="FFFFFF"/>
                <w:lang w:val="es-ES" w:eastAsia="es-ES_tradnl"/>
              </w:rPr>
              <w:t xml:space="preserve">De manera preliminar debe señalarse que, de acuerdo con la interpretación de las normas generales del Sistema de Compra y Contratación Pública, con </w:t>
            </w:r>
            <w:r w:rsidRPr="0086202B">
              <w:rPr>
                <w:rFonts w:ascii="Verdana" w:eastAsia="Times New Roman" w:hAnsi="Verdana" w:cs="Arial"/>
                <w:bdr w:val="none" w:sz="0" w:space="0" w:color="auto" w:frame="1"/>
                <w:shd w:val="clear" w:color="auto" w:fill="FFFFFF"/>
                <w:lang w:val="es-ES" w:eastAsia="es-ES_tradnl"/>
              </w:rPr>
              <w:lastRenderedPageBreak/>
              <w:t>el fin de garantizar el principio de selección objetiva, es necesario que las Entidades Estatales se abstengan de rechazar las ofertas por el incumplimiento de requisitos meramente formales, sacrificando la favorabilidad que podría representar la oferta que adolezca de estos defectos, si se permitiese su corrección. En otras palabras, es consustancial a la selección objetiva la obligación que tienen las entidades de permitir la subsanación de los requisitos de participación, bajo las condiciones indicadas en la ley, antes de tomar la decisión de rechazar las propuestas que hayan omitido la observancia de los requisitos habilitantes.</w:t>
            </w:r>
          </w:p>
          <w:p w14:paraId="26FA0C48" w14:textId="77777777" w:rsidR="00C20392" w:rsidRDefault="00C20392" w:rsidP="006F6067">
            <w:pPr>
              <w:spacing w:before="120" w:line="276" w:lineRule="auto"/>
              <w:ind w:firstLine="708"/>
              <w:jc w:val="both"/>
              <w:rPr>
                <w:rFonts w:ascii="Verdana" w:eastAsia="Times New Roman" w:hAnsi="Verdana" w:cs="Arial"/>
                <w:bdr w:val="none" w:sz="0" w:space="0" w:color="auto" w:frame="1"/>
                <w:shd w:val="clear" w:color="auto" w:fill="FFFFFF"/>
                <w:lang w:val="es-ES" w:eastAsia="es-ES_tradnl"/>
              </w:rPr>
            </w:pPr>
            <w:r>
              <w:rPr>
                <w:rFonts w:ascii="Verdana" w:eastAsia="Times New Roman" w:hAnsi="Verdana" w:cs="Arial"/>
                <w:bdr w:val="none" w:sz="0" w:space="0" w:color="auto" w:frame="1"/>
                <w:shd w:val="clear" w:color="auto" w:fill="FFFFFF"/>
                <w:lang w:val="es-ES" w:eastAsia="es-ES_tradnl"/>
              </w:rPr>
              <w:t xml:space="preserve">De esta forma, y a la luz de la modificación realizada por </w:t>
            </w:r>
            <w:r w:rsidRPr="0086202B">
              <w:rPr>
                <w:rFonts w:ascii="Verdana" w:eastAsia="Arial" w:hAnsi="Verdana" w:cs="Arial"/>
              </w:rPr>
              <w:t xml:space="preserve">el artículo 5 </w:t>
            </w:r>
            <w:r>
              <w:rPr>
                <w:rFonts w:ascii="Verdana" w:eastAsia="Arial" w:hAnsi="Verdana" w:cs="Arial"/>
              </w:rPr>
              <w:t>de la Ley 1882 de 2018</w:t>
            </w:r>
            <w:r w:rsidRPr="0086202B">
              <w:rPr>
                <w:rFonts w:ascii="Verdana" w:eastAsia="Arial" w:hAnsi="Verdana" w:cs="Arial"/>
              </w:rPr>
              <w:t xml:space="preserve"> </w:t>
            </w:r>
            <w:r>
              <w:rPr>
                <w:rFonts w:ascii="Verdana" w:eastAsia="Arial" w:hAnsi="Verdana" w:cs="Arial"/>
              </w:rPr>
              <w:t>a</w:t>
            </w:r>
            <w:r w:rsidRPr="0086202B">
              <w:rPr>
                <w:rFonts w:ascii="Verdana" w:eastAsia="Arial" w:hAnsi="Verdana" w:cs="Arial"/>
              </w:rPr>
              <w:t>l parágrafo 1º del artículo 5 de la Ley 1150 de 2007</w:t>
            </w:r>
            <w:r>
              <w:rPr>
                <w:rFonts w:ascii="Verdana" w:eastAsia="Arial" w:hAnsi="Verdana" w:cs="Arial"/>
              </w:rPr>
              <w:t>, se tiene que</w:t>
            </w:r>
            <w:r w:rsidRPr="0086202B">
              <w:rPr>
                <w:rFonts w:ascii="Verdana" w:eastAsia="Arial" w:hAnsi="Verdana" w:cs="Arial"/>
              </w:rPr>
              <w: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w:t>
            </w:r>
          </w:p>
          <w:p w14:paraId="61B5DF53" w14:textId="77777777" w:rsidR="00C20392" w:rsidRDefault="00C20392" w:rsidP="006F6067">
            <w:pPr>
              <w:spacing w:before="120" w:line="276" w:lineRule="auto"/>
              <w:ind w:firstLine="709"/>
              <w:jc w:val="both"/>
              <w:rPr>
                <w:rFonts w:ascii="Verdana" w:eastAsia="Times New Roman" w:hAnsi="Verdana" w:cs="Arial"/>
                <w:bdr w:val="none" w:sz="0" w:space="0" w:color="auto" w:frame="1"/>
                <w:shd w:val="clear" w:color="auto" w:fill="FFFFFF"/>
                <w:lang w:val="es-ES" w:eastAsia="es-ES_tradnl"/>
              </w:rPr>
            </w:pPr>
            <w:r w:rsidRPr="0086202B">
              <w:rPr>
                <w:rFonts w:ascii="Verdana" w:eastAsia="Times New Roman" w:hAnsi="Verdana" w:cs="Arial"/>
                <w:bdr w:val="none" w:sz="0" w:space="0" w:color="auto" w:frame="1"/>
                <w:shd w:val="clear" w:color="auto" w:fill="FFFFFF"/>
                <w:lang w:val="es-ES" w:eastAsia="es-ES_tradnl"/>
              </w:rPr>
              <w:t>En ese contexto, por regla general, son subsanables i) la falta de entrega o ii) los defectos de los requisitos habilitantes. La excepción se encuentra en los casos, previstos en la ley, que limitan la subsanabilidad, es decir, en la prohibición de permitir la entrega de la garantía de seriedad de la oferta que no fue aportada con la propuesta y de valer la acreditación de circunstancias ocurridas con posterioridad al cierre del proceso.</w:t>
            </w:r>
          </w:p>
          <w:p w14:paraId="194563B3" w14:textId="77777777" w:rsidR="00C20392" w:rsidRDefault="00C20392" w:rsidP="006F6067">
            <w:pPr>
              <w:spacing w:line="276" w:lineRule="auto"/>
              <w:ind w:firstLine="709"/>
              <w:jc w:val="both"/>
              <w:rPr>
                <w:rFonts w:ascii="Verdana" w:eastAsia="Times New Roman" w:hAnsi="Verdana" w:cs="Arial"/>
                <w:bdr w:val="none" w:sz="0" w:space="0" w:color="auto" w:frame="1"/>
                <w:shd w:val="clear" w:color="auto" w:fill="FFFFFF"/>
                <w:lang w:val="es-ES" w:eastAsia="es-ES_tradnl"/>
              </w:rPr>
            </w:pPr>
          </w:p>
          <w:p w14:paraId="160E76C3" w14:textId="77777777" w:rsidR="00C20392" w:rsidRDefault="00C20392" w:rsidP="006F6067">
            <w:pPr>
              <w:spacing w:line="276" w:lineRule="auto"/>
              <w:jc w:val="both"/>
              <w:rPr>
                <w:rFonts w:ascii="Verdana" w:eastAsia="Arial" w:hAnsi="Verdana" w:cs="Arial"/>
              </w:rPr>
            </w:pPr>
            <w:r>
              <w:rPr>
                <w:rFonts w:ascii="Verdana" w:eastAsia="Times New Roman" w:hAnsi="Verdana" w:cs="Arial"/>
                <w:bdr w:val="none" w:sz="0" w:space="0" w:color="auto" w:frame="1"/>
                <w:shd w:val="clear" w:color="auto" w:fill="FFFFFF"/>
                <w:lang w:val="es-ES" w:eastAsia="es-ES_tradnl"/>
              </w:rPr>
              <w:t xml:space="preserve">ii) </w:t>
            </w:r>
            <w:r>
              <w:rPr>
                <w:rFonts w:ascii="Verdana" w:eastAsia="Arial" w:hAnsi="Verdana" w:cs="Arial"/>
              </w:rPr>
              <w:t xml:space="preserve">Sobre el particular debe aclararse que, los Documentos Tipo de licitación de obra pública de infraestructura de transporte – Versión 4, contienen apartes entre corchetes y resaltados en gris, que habilitan según el caso, a las </w:t>
            </w:r>
            <w:r>
              <w:rPr>
                <w:rFonts w:ascii="Verdana" w:eastAsia="Arial" w:hAnsi="Verdana" w:cs="Arial"/>
              </w:rPr>
              <w:lastRenderedPageBreak/>
              <w:t>Entidades Estatales para relacionar de acuerdo con los criterios allí indicados, la información pertinente. En ese sentido, y para el caso de la determinación del nivel del Clasificador de Bienes y Servicios de Naciones Unidas (UNSPSC), los referidos documentos señalan en el numeral 1.4 del “Documento Base” lo siguiente:</w:t>
            </w:r>
          </w:p>
          <w:p w14:paraId="43EEDB2D" w14:textId="77777777" w:rsidR="00C20392" w:rsidRDefault="00C20392" w:rsidP="006F6067">
            <w:pPr>
              <w:spacing w:line="276" w:lineRule="auto"/>
              <w:jc w:val="both"/>
              <w:rPr>
                <w:rFonts w:ascii="Verdana" w:eastAsia="Arial" w:hAnsi="Verdana" w:cs="Arial"/>
              </w:rPr>
            </w:pPr>
          </w:p>
          <w:p w14:paraId="3D5B1A00" w14:textId="77777777" w:rsidR="00C20392" w:rsidRDefault="00C20392" w:rsidP="006F6067">
            <w:pPr>
              <w:spacing w:line="276" w:lineRule="auto"/>
              <w:ind w:left="709" w:right="709"/>
              <w:jc w:val="both"/>
              <w:rPr>
                <w:rFonts w:ascii="Verdana" w:eastAsia="Arial" w:hAnsi="Verdana" w:cs="Arial"/>
                <w:sz w:val="20"/>
                <w:szCs w:val="20"/>
              </w:rPr>
            </w:pPr>
            <w:r>
              <w:rPr>
                <w:rFonts w:ascii="Verdana" w:eastAsia="Arial" w:hAnsi="Verdana" w:cs="Arial"/>
                <w:sz w:val="20"/>
                <w:szCs w:val="20"/>
              </w:rPr>
              <w:t xml:space="preserve">“La obra pública objeto del presente Proceso de Contratación está codificada en el Clasificador de Bienes y Servicios de Naciones Unidas (UNSPC) bajo el segmento </w:t>
            </w:r>
            <w:r w:rsidRPr="00A03C60">
              <w:rPr>
                <w:rFonts w:ascii="Verdana" w:eastAsia="Arial" w:hAnsi="Verdana" w:cs="Arial"/>
                <w:sz w:val="20"/>
                <w:szCs w:val="20"/>
                <w:highlight w:val="lightGray"/>
              </w:rPr>
              <w:t>[72]</w:t>
            </w:r>
            <w:r>
              <w:rPr>
                <w:rFonts w:ascii="Verdana" w:eastAsia="Arial" w:hAnsi="Verdana" w:cs="Arial"/>
                <w:sz w:val="20"/>
                <w:szCs w:val="20"/>
              </w:rPr>
              <w:t xml:space="preserve"> con el </w:t>
            </w:r>
            <w:r w:rsidRPr="0041135A">
              <w:rPr>
                <w:rFonts w:ascii="Verdana" w:eastAsia="Arial" w:hAnsi="Verdana" w:cs="Arial"/>
                <w:sz w:val="20"/>
                <w:szCs w:val="20"/>
                <w:highlight w:val="lightGray"/>
              </w:rPr>
              <w:t>[cuarto, de ser posible, o de lo contrario en el tercer]</w:t>
            </w:r>
            <w:r>
              <w:rPr>
                <w:rFonts w:ascii="Verdana" w:eastAsia="Arial" w:hAnsi="Verdana" w:cs="Arial"/>
                <w:sz w:val="20"/>
                <w:szCs w:val="20"/>
              </w:rPr>
              <w:t xml:space="preserve"> nivel, como se indica en la siguiente tabla:</w:t>
            </w:r>
          </w:p>
          <w:p w14:paraId="6B0144DE" w14:textId="77777777" w:rsidR="00C20392" w:rsidRDefault="00C20392" w:rsidP="006F6067">
            <w:pPr>
              <w:spacing w:line="276" w:lineRule="auto"/>
              <w:ind w:left="709" w:right="709"/>
              <w:jc w:val="both"/>
              <w:rPr>
                <w:rFonts w:ascii="Verdana" w:eastAsia="Arial" w:hAnsi="Verdana" w:cs="Arial"/>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5213"/>
              <w:gridCol w:w="2037"/>
            </w:tblGrid>
            <w:tr w:rsidR="00C20392" w:rsidRPr="0033677B" w14:paraId="53F26BD0" w14:textId="77777777" w:rsidTr="006F6067">
              <w:trPr>
                <w:trHeight w:val="397"/>
                <w:jc w:val="center"/>
              </w:trPr>
              <w:tc>
                <w:tcPr>
                  <w:tcW w:w="0" w:type="auto"/>
                  <w:tcBorders>
                    <w:top w:val="double" w:sz="4" w:space="0" w:color="auto"/>
                    <w:bottom w:val="single" w:sz="6" w:space="0" w:color="auto"/>
                  </w:tcBorders>
                  <w:shd w:val="clear" w:color="auto" w:fill="404040" w:themeFill="text1" w:themeFillTint="BF"/>
                  <w:vAlign w:val="center"/>
                </w:tcPr>
                <w:p w14:paraId="2ABBF4CE" w14:textId="77777777" w:rsidR="00C20392" w:rsidRPr="004C31EB" w:rsidRDefault="00C20392" w:rsidP="006F6067">
                  <w:pPr>
                    <w:spacing w:after="0" w:line="276" w:lineRule="auto"/>
                    <w:jc w:val="center"/>
                    <w:rPr>
                      <w:rFonts w:eastAsia="Arial,Times New Roman" w:cs="Arial"/>
                      <w:b/>
                      <w:bCs/>
                      <w:color w:val="FFFFFF" w:themeColor="background1"/>
                      <w:szCs w:val="20"/>
                      <w:lang w:eastAsia="es-CO"/>
                    </w:rPr>
                  </w:pPr>
                  <w:r w:rsidRPr="004C31EB">
                    <w:rPr>
                      <w:rFonts w:cs="Arial"/>
                      <w:b/>
                      <w:bCs/>
                      <w:color w:val="FFFFFF" w:themeColor="background1"/>
                      <w:szCs w:val="20"/>
                      <w:lang w:eastAsia="es-CO"/>
                    </w:rPr>
                    <w:t>Clasificación</w:t>
                  </w:r>
                  <w:r w:rsidRPr="004C31EB">
                    <w:rPr>
                      <w:rFonts w:eastAsia="Arial,Times New Roman" w:cs="Arial"/>
                      <w:b/>
                      <w:bCs/>
                      <w:color w:val="FFFFFF" w:themeColor="background1"/>
                      <w:szCs w:val="20"/>
                      <w:lang w:eastAsia="es-CO"/>
                    </w:rPr>
                    <w:t xml:space="preserve"> </w:t>
                  </w:r>
                  <w:r w:rsidRPr="004C31EB">
                    <w:rPr>
                      <w:rFonts w:cs="Arial"/>
                      <w:b/>
                      <w:bCs/>
                      <w:color w:val="FFFFFF" w:themeColor="background1"/>
                      <w:szCs w:val="20"/>
                      <w:lang w:eastAsia="es-CO"/>
                    </w:rPr>
                    <w:t>UNSPSC</w:t>
                  </w:r>
                </w:p>
              </w:tc>
              <w:tc>
                <w:tcPr>
                  <w:tcW w:w="0" w:type="auto"/>
                  <w:tcBorders>
                    <w:top w:val="double" w:sz="4" w:space="0" w:color="auto"/>
                    <w:bottom w:val="single" w:sz="6" w:space="0" w:color="auto"/>
                  </w:tcBorders>
                  <w:shd w:val="clear" w:color="auto" w:fill="404040" w:themeFill="text1" w:themeFillTint="BF"/>
                  <w:vAlign w:val="center"/>
                </w:tcPr>
                <w:p w14:paraId="07AB5BEE" w14:textId="77777777" w:rsidR="00C20392" w:rsidRPr="004C31EB" w:rsidRDefault="00C20392" w:rsidP="006F6067">
                  <w:pPr>
                    <w:spacing w:after="0" w:line="276" w:lineRule="auto"/>
                    <w:jc w:val="center"/>
                    <w:rPr>
                      <w:rFonts w:eastAsia="Arial,Times New Roman" w:cs="Arial"/>
                      <w:b/>
                      <w:bCs/>
                      <w:color w:val="FFFFFF" w:themeColor="background1"/>
                      <w:szCs w:val="20"/>
                      <w:lang w:eastAsia="es-CO"/>
                    </w:rPr>
                  </w:pPr>
                  <w:r w:rsidRPr="004C31EB">
                    <w:rPr>
                      <w:rFonts w:cs="Arial"/>
                      <w:b/>
                      <w:bCs/>
                      <w:color w:val="FFFFFF" w:themeColor="background1"/>
                      <w:szCs w:val="20"/>
                      <w:lang w:eastAsia="es-CO"/>
                    </w:rPr>
                    <w:t>Descripción</w:t>
                  </w:r>
                </w:p>
              </w:tc>
            </w:tr>
            <w:tr w:rsidR="00C20392" w:rsidRPr="0033677B" w14:paraId="375C293F" w14:textId="77777777" w:rsidTr="006F6067">
              <w:trPr>
                <w:trHeight w:val="283"/>
                <w:jc w:val="center"/>
              </w:trPr>
              <w:tc>
                <w:tcPr>
                  <w:tcW w:w="0" w:type="auto"/>
                  <w:tcBorders>
                    <w:top w:val="single" w:sz="6" w:space="0" w:color="auto"/>
                    <w:bottom w:val="single" w:sz="6" w:space="0" w:color="auto"/>
                  </w:tcBorders>
                  <w:vAlign w:val="center"/>
                </w:tcPr>
                <w:p w14:paraId="161EE6CD"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bottom w:val="single" w:sz="6" w:space="0" w:color="auto"/>
                  </w:tcBorders>
                  <w:vAlign w:val="center"/>
                </w:tcPr>
                <w:p w14:paraId="3A8910F4"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r w:rsidR="00C20392" w:rsidRPr="0033677B" w14:paraId="797B695D" w14:textId="77777777" w:rsidTr="006F6067">
              <w:trPr>
                <w:trHeight w:val="283"/>
                <w:jc w:val="center"/>
              </w:trPr>
              <w:tc>
                <w:tcPr>
                  <w:tcW w:w="0" w:type="auto"/>
                  <w:tcBorders>
                    <w:top w:val="single" w:sz="6" w:space="0" w:color="auto"/>
                    <w:bottom w:val="single" w:sz="6" w:space="0" w:color="auto"/>
                  </w:tcBorders>
                  <w:vAlign w:val="center"/>
                </w:tcPr>
                <w:p w14:paraId="65A73019"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bottom w:val="single" w:sz="6" w:space="0" w:color="auto"/>
                  </w:tcBorders>
                  <w:vAlign w:val="center"/>
                </w:tcPr>
                <w:p w14:paraId="59ED2398"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r w:rsidR="00C20392" w:rsidRPr="0033677B" w14:paraId="549DEA9A" w14:textId="77777777" w:rsidTr="006F6067">
              <w:trPr>
                <w:trHeight w:val="283"/>
                <w:jc w:val="center"/>
              </w:trPr>
              <w:tc>
                <w:tcPr>
                  <w:tcW w:w="0" w:type="auto"/>
                  <w:tcBorders>
                    <w:top w:val="single" w:sz="6" w:space="0" w:color="auto"/>
                  </w:tcBorders>
                  <w:vAlign w:val="center"/>
                </w:tcPr>
                <w:p w14:paraId="0E860B40"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tcBorders>
                  <w:vAlign w:val="center"/>
                </w:tcPr>
                <w:p w14:paraId="476A5078" w14:textId="77777777" w:rsidR="00C20392" w:rsidRPr="004C31EB" w:rsidRDefault="00C20392" w:rsidP="006F6067">
                  <w:pPr>
                    <w:spacing w:after="0" w:line="276" w:lineRule="auto"/>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bl>
          <w:p w14:paraId="493DFC13" w14:textId="77777777" w:rsidR="00C20392" w:rsidRDefault="00C20392" w:rsidP="006F6067">
            <w:pPr>
              <w:spacing w:line="276" w:lineRule="auto"/>
              <w:ind w:left="709" w:right="709"/>
              <w:jc w:val="both"/>
              <w:rPr>
                <w:rFonts w:ascii="Verdana" w:eastAsia="Arial" w:hAnsi="Verdana" w:cs="Arial"/>
                <w:sz w:val="20"/>
                <w:szCs w:val="20"/>
              </w:rPr>
            </w:pPr>
            <w:r>
              <w:rPr>
                <w:rFonts w:ascii="Verdana" w:eastAsia="Arial" w:hAnsi="Verdana" w:cs="Arial"/>
                <w:sz w:val="20"/>
                <w:szCs w:val="20"/>
              </w:rPr>
              <w:t>[…]”.</w:t>
            </w:r>
          </w:p>
          <w:p w14:paraId="69FC2E7B" w14:textId="77777777" w:rsidR="00C20392" w:rsidRDefault="00C20392" w:rsidP="006F6067">
            <w:pPr>
              <w:spacing w:line="276" w:lineRule="auto"/>
              <w:ind w:right="709"/>
              <w:jc w:val="both"/>
              <w:rPr>
                <w:rFonts w:ascii="Verdana" w:eastAsia="Arial" w:hAnsi="Verdana" w:cs="Arial"/>
                <w:sz w:val="20"/>
                <w:szCs w:val="20"/>
              </w:rPr>
            </w:pPr>
          </w:p>
          <w:p w14:paraId="0A900CC3" w14:textId="77777777" w:rsidR="00C20392" w:rsidRPr="0041135A" w:rsidRDefault="00C20392" w:rsidP="006F6067">
            <w:pPr>
              <w:spacing w:line="276" w:lineRule="auto"/>
              <w:jc w:val="both"/>
              <w:rPr>
                <w:rFonts w:ascii="Verdana" w:eastAsia="Arial" w:hAnsi="Verdana" w:cs="Arial"/>
              </w:rPr>
            </w:pPr>
            <w:r>
              <w:rPr>
                <w:rFonts w:ascii="Verdana" w:eastAsia="Arial" w:hAnsi="Verdana" w:cs="Arial"/>
              </w:rPr>
              <w:tab/>
              <w:t>Como se observa, las Entidades Estatales que adelanten un proceso de contratación en aplicación de los Documentos Tipo de licitación de obra pública de infraestructura de transporte – Versión 4, se encuentran habilitadas por el numeral 1.4 del “Documento Base” para determinar el nivel del Clasificador de Bienes y Servicios de las Naciones Unidas (UNSPC) respetando los límites allí señalados, es decir, podrán elegir entre el nivel cuatro (4) o el nivel tres (3), según el caso, sin que ello constituya una violación a la regla de inalterabilidad de los Documentos Tipo</w:t>
            </w:r>
          </w:p>
          <w:p w14:paraId="534653C7" w14:textId="77777777" w:rsidR="00C20392" w:rsidRPr="0086202B" w:rsidRDefault="00C20392" w:rsidP="006F6067">
            <w:pPr>
              <w:spacing w:before="120" w:line="276" w:lineRule="auto"/>
              <w:ind w:firstLine="708"/>
              <w:jc w:val="both"/>
              <w:rPr>
                <w:rFonts w:ascii="Verdana" w:eastAsia="Times New Roman" w:hAnsi="Verdana" w:cs="Arial"/>
                <w:bdr w:val="none" w:sz="0" w:space="0" w:color="auto" w:frame="1"/>
                <w:shd w:val="clear" w:color="auto" w:fill="FFFFFF"/>
                <w:lang w:val="es-ES" w:eastAsia="es-ES_tradnl"/>
              </w:rPr>
            </w:pPr>
            <w:r w:rsidRPr="0086202B">
              <w:rPr>
                <w:rFonts w:ascii="Verdana" w:eastAsia="Times New Roman" w:hAnsi="Verdana" w:cs="Arial"/>
                <w:bdr w:val="none" w:sz="0" w:space="0" w:color="auto" w:frame="1"/>
                <w:shd w:val="clear" w:color="auto" w:fill="FFFFFF"/>
                <w:lang w:val="es-ES" w:eastAsia="es-ES_tradnl"/>
              </w:rPr>
              <w:t xml:space="preserve">Finalmente, debe advertirse que el análisis </w:t>
            </w:r>
            <w:r>
              <w:rPr>
                <w:rFonts w:ascii="Verdana" w:eastAsia="Times New Roman" w:hAnsi="Verdana" w:cs="Arial"/>
                <w:bdr w:val="none" w:sz="0" w:space="0" w:color="auto" w:frame="1"/>
                <w:shd w:val="clear" w:color="auto" w:fill="FFFFFF"/>
                <w:lang w:val="es-ES" w:eastAsia="es-ES_tradnl"/>
              </w:rPr>
              <w:t>requerido sobre la gestión contractual de las Entidades Estatales</w:t>
            </w:r>
            <w:r w:rsidRPr="0086202B">
              <w:rPr>
                <w:rFonts w:ascii="Verdana" w:eastAsia="Times New Roman" w:hAnsi="Verdana" w:cs="Arial"/>
                <w:bdr w:val="none" w:sz="0" w:space="0" w:color="auto" w:frame="1"/>
                <w:shd w:val="clear" w:color="auto" w:fill="FFFFFF"/>
                <w:lang w:val="es-ES" w:eastAsia="es-ES_tradnl"/>
              </w:rPr>
              <w:t xml:space="preserve"> debe ser realizado por quienes tengan interés en ello, de acuerdo con lo explicado la aclaración preliminar del presente oficio.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bookmarkEnd w:id="2"/>
    </w:tbl>
    <w:p w14:paraId="0CEB6ABF" w14:textId="77777777" w:rsidR="00C20392" w:rsidRPr="0086202B" w:rsidRDefault="00C20392" w:rsidP="00C20392">
      <w:pPr>
        <w:widowControl w:val="0"/>
        <w:autoSpaceDE w:val="0"/>
        <w:autoSpaceDN w:val="0"/>
        <w:spacing w:before="1" w:after="0" w:line="240" w:lineRule="auto"/>
        <w:ind w:left="360" w:hanging="360"/>
        <w:outlineLvl w:val="0"/>
        <w:rPr>
          <w:rFonts w:ascii="Verdana" w:eastAsia="Arial" w:hAnsi="Verdana" w:cs="Arial"/>
          <w:b/>
        </w:rPr>
      </w:pPr>
    </w:p>
    <w:p w14:paraId="3E6ADC35" w14:textId="77777777" w:rsidR="00C20392" w:rsidRPr="0086202B" w:rsidRDefault="00C20392" w:rsidP="00C20392">
      <w:pPr>
        <w:widowControl w:val="0"/>
        <w:autoSpaceDE w:val="0"/>
        <w:autoSpaceDN w:val="0"/>
        <w:spacing w:before="1" w:after="0" w:line="240" w:lineRule="auto"/>
        <w:ind w:left="360" w:hanging="360"/>
        <w:outlineLvl w:val="0"/>
        <w:rPr>
          <w:rFonts w:ascii="Verdana" w:eastAsia="Arial" w:hAnsi="Verdana" w:cs="Arial"/>
          <w:b/>
          <w:bCs/>
          <w:lang w:val="es-ES"/>
        </w:rPr>
      </w:pPr>
      <w:r w:rsidRPr="0086202B">
        <w:rPr>
          <w:rFonts w:ascii="Verdana" w:eastAsia="Arial" w:hAnsi="Verdana" w:cs="Arial"/>
          <w:b/>
          <w:bCs/>
          <w:lang w:val="es-ES"/>
        </w:rPr>
        <w:lastRenderedPageBreak/>
        <w:t>3. Razones de la respuesta</w:t>
      </w:r>
    </w:p>
    <w:p w14:paraId="248EA749" w14:textId="77777777" w:rsidR="00C20392" w:rsidRPr="0086202B" w:rsidRDefault="00C20392" w:rsidP="00C20392">
      <w:pPr>
        <w:spacing w:after="0" w:line="276" w:lineRule="auto"/>
        <w:jc w:val="both"/>
        <w:rPr>
          <w:rFonts w:ascii="Verdana" w:eastAsia="Calibri" w:hAnsi="Verdana" w:cs="Arial"/>
          <w:lang w:val="es-ES"/>
        </w:rPr>
      </w:pPr>
    </w:p>
    <w:p w14:paraId="0FB460AE" w14:textId="77777777" w:rsidR="00C20392" w:rsidRPr="0086202B" w:rsidRDefault="00C20392" w:rsidP="00C20392">
      <w:pPr>
        <w:spacing w:after="0" w:line="276" w:lineRule="auto"/>
        <w:jc w:val="both"/>
        <w:rPr>
          <w:rFonts w:ascii="Verdana" w:eastAsia="Calibri" w:hAnsi="Verdana" w:cs="Arial"/>
          <w:lang w:val="es-ES"/>
        </w:rPr>
      </w:pPr>
      <w:r w:rsidRPr="0086202B">
        <w:rPr>
          <w:rFonts w:ascii="Verdana" w:eastAsia="Calibri" w:hAnsi="Verdana" w:cs="Arial"/>
          <w:lang w:val="es-ES"/>
        </w:rPr>
        <w:t xml:space="preserve">Las respuestas anteriores se sustentan en las siguientes consideraciones: </w:t>
      </w:r>
    </w:p>
    <w:p w14:paraId="15EDBFCA" w14:textId="77777777" w:rsidR="00C20392" w:rsidRPr="0086202B" w:rsidRDefault="00C20392" w:rsidP="00C20392">
      <w:pPr>
        <w:spacing w:after="0" w:line="276" w:lineRule="auto"/>
        <w:jc w:val="both"/>
        <w:rPr>
          <w:rFonts w:ascii="Verdana" w:eastAsia="Calibri" w:hAnsi="Verdana" w:cs="Arial"/>
          <w:lang w:val="es-ES"/>
        </w:rPr>
      </w:pPr>
    </w:p>
    <w:p w14:paraId="5CE37449" w14:textId="77777777" w:rsidR="00C20392" w:rsidRPr="0086202B" w:rsidRDefault="00C20392" w:rsidP="00C20392">
      <w:pPr>
        <w:pBdr>
          <w:top w:val="nil"/>
          <w:left w:val="nil"/>
          <w:bottom w:val="nil"/>
          <w:right w:val="nil"/>
          <w:between w:val="nil"/>
        </w:pBdr>
        <w:spacing w:after="120" w:line="276" w:lineRule="auto"/>
        <w:jc w:val="both"/>
        <w:rPr>
          <w:rFonts w:ascii="Verdana" w:eastAsia="Quattrocento Sans" w:hAnsi="Verdana" w:cs="Quattrocento Sans"/>
        </w:rPr>
      </w:pPr>
      <w:r w:rsidRPr="0086202B">
        <w:rPr>
          <w:rFonts w:ascii="Verdana" w:eastAsia="Calibri" w:hAnsi="Verdana" w:cs="Arial"/>
          <w:bCs/>
        </w:rPr>
        <w:t xml:space="preserve">i) </w:t>
      </w:r>
      <w:r>
        <w:rPr>
          <w:rFonts w:ascii="Verdana" w:eastAsia="Calibri" w:hAnsi="Verdana" w:cs="Arial"/>
          <w:bCs/>
        </w:rPr>
        <w:t>Inicialmente debe precisarse</w:t>
      </w:r>
      <w:r w:rsidRPr="0086202B">
        <w:rPr>
          <w:rFonts w:ascii="Verdana" w:eastAsia="Calibri" w:hAnsi="Verdana" w:cs="Arial"/>
          <w:bCs/>
        </w:rPr>
        <w:t xml:space="preserve"> que</w:t>
      </w:r>
      <w:r>
        <w:rPr>
          <w:rFonts w:ascii="Verdana" w:eastAsia="Calibri" w:hAnsi="Verdana" w:cs="Arial"/>
          <w:bCs/>
        </w:rPr>
        <w:t>,</w:t>
      </w:r>
      <w:r w:rsidRPr="0086202B">
        <w:rPr>
          <w:rFonts w:ascii="Verdana" w:eastAsia="Calibri" w:hAnsi="Verdana" w:cs="Arial"/>
          <w:bCs/>
        </w:rPr>
        <w:t xml:space="preserve"> la </w:t>
      </w:r>
      <w:r w:rsidRPr="0086202B">
        <w:rPr>
          <w:rFonts w:ascii="Verdana" w:eastAsia="Arial" w:hAnsi="Verdana" w:cs="Arial"/>
        </w:rPr>
        <w:t>Subdirección de Gestión Contractual de esta Agencia se ha pronunciado en diversas oportunidades acerca del alcance de la regla de la subsanabilidad, contenida actualmente en el artículo 5 de la Ley 1150 de 2007. Al respecto, la postura que se reitera en el presente concepto es la siguiente: por regla general, son subsanables i) la falta de entrega o ii) los defectos de los requisitos habilitantes. La excepción se encuentra en los casos, previstos en la ley, que limitan la subsanabilidad, es decir, en la prohibición de permitir la entrega de la garantía de seriedad de la oferta que no fue aportada con la propuesta y de valer la acreditación de circunstancias ocurridas con posterioridad al cierre del proceso.</w:t>
      </w:r>
    </w:p>
    <w:p w14:paraId="1CF0EE70"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En ese sentido, el parágrafo 1º del artículo 5 ibidem, determinó lo siguiente: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podrán ser solicitados por las entidades en cualquier momento, hasta la adjudicación. No obstante lo anterior, en aquellos procesos de selección en los que se utilice el mecanismo de subasta, deberán ser solicitados hasta el momento previo a su realización”. </w:t>
      </w:r>
    </w:p>
    <w:p w14:paraId="61F7F0F6" w14:textId="77777777" w:rsidR="00C20392" w:rsidRPr="0086202B" w:rsidRDefault="00C20392" w:rsidP="00C20392">
      <w:pPr>
        <w:spacing w:after="120" w:line="276" w:lineRule="auto"/>
        <w:ind w:firstLine="709"/>
        <w:jc w:val="both"/>
        <w:rPr>
          <w:rFonts w:ascii="Verdana" w:eastAsia="Calibri" w:hAnsi="Verdana" w:cs="Times New Roman"/>
        </w:rPr>
      </w:pPr>
      <w:r w:rsidRPr="0086202B">
        <w:rPr>
          <w:rFonts w:ascii="Verdana" w:eastAsia="Arial" w:hAnsi="Verdana" w:cs="Arial"/>
        </w:rPr>
        <w:t xml:space="preserve">A partir de la Ley 1150 de 2007, la Administración contó con un criterio más claro y determinado para saber si la ausencia de documentos o requisitos de la oferta conlleva a su rechazo o al requerimiento del proponente para que lo subsane, pues bastará con un simple ejercicio de verificación que consiste en corroborar si lo omitido hace parte de los aspectos que otorgan puntaje o no. Si al verificar la Administración encuentra que lo omitido por el proponente es un aspecto que otorga puntaje, no es posible subsanarlo; pero, si no otorga puntaje, la Administración debe requerir al proponente para que lo subsane. </w:t>
      </w:r>
    </w:p>
    <w:p w14:paraId="7FE408FF" w14:textId="77777777" w:rsidR="00C20392" w:rsidRPr="0086202B" w:rsidRDefault="00C20392" w:rsidP="00C20392">
      <w:pPr>
        <w:spacing w:after="0" w:line="276" w:lineRule="auto"/>
        <w:ind w:firstLine="709"/>
        <w:jc w:val="both"/>
        <w:rPr>
          <w:rFonts w:ascii="Verdana" w:eastAsia="Arial" w:hAnsi="Verdana" w:cs="Arial"/>
        </w:rPr>
      </w:pPr>
      <w:r w:rsidRPr="0086202B">
        <w:rPr>
          <w:rFonts w:ascii="Verdana" w:eastAsia="Arial" w:hAnsi="Verdana" w:cs="Arial"/>
        </w:rPr>
        <w:t>El artículo 5 de la Ley 1150 de 2007, además de consagrar un criterio más claro, y, de paso, reducir la discrecionalidad de la Administración, fijó un ámbito temporal para la subsanación de las ofertas: “</w:t>
      </w:r>
      <w:r w:rsidRPr="0086202B">
        <w:rPr>
          <w:rFonts w:ascii="Verdana" w:eastAsia="Arial" w:hAnsi="Verdana" w:cs="Arial"/>
          <w:i/>
        </w:rPr>
        <w:t>en cualquier momento, hasta la adjudicación</w:t>
      </w:r>
      <w:r w:rsidRPr="0086202B">
        <w:rPr>
          <w:rFonts w:ascii="Verdana" w:eastAsia="Arial" w:hAnsi="Verdana" w:cs="Arial"/>
        </w:rPr>
        <w:t xml:space="preserve">”. El Consejo de Estado, con particular sindéresis, concluyó que a </w:t>
      </w:r>
      <w:r w:rsidRPr="0086202B">
        <w:rPr>
          <w:rFonts w:ascii="Verdana" w:eastAsia="Arial" w:hAnsi="Verdana" w:cs="Arial"/>
        </w:rPr>
        <w:lastRenderedPageBreak/>
        <w:t xml:space="preserve">partir del parágrafo 1º del artículo 5 de la Ley 1150, la definición de lo que es subsanable y lo que no lo es, surge a partir del planteamiento de la pregunta sobre si el defecto asigna puntaje o no, en estos términos: </w:t>
      </w:r>
    </w:p>
    <w:p w14:paraId="6A3A1399" w14:textId="77777777" w:rsidR="00C20392" w:rsidRPr="0086202B" w:rsidRDefault="00C20392" w:rsidP="00C20392">
      <w:pPr>
        <w:spacing w:after="0" w:line="276" w:lineRule="auto"/>
        <w:jc w:val="both"/>
        <w:rPr>
          <w:rFonts w:ascii="Verdana" w:eastAsia="Arial" w:hAnsi="Verdana" w:cs="Arial"/>
        </w:rPr>
      </w:pPr>
    </w:p>
    <w:p w14:paraId="510EC340" w14:textId="77777777" w:rsidR="00C20392" w:rsidRPr="0086202B" w:rsidRDefault="00C20392" w:rsidP="00C20392">
      <w:pPr>
        <w:spacing w:after="0" w:line="240" w:lineRule="auto"/>
        <w:ind w:left="709" w:right="709"/>
        <w:jc w:val="both"/>
        <w:rPr>
          <w:rFonts w:ascii="Verdana" w:eastAsia="Arial" w:hAnsi="Verdana" w:cs="Arial"/>
          <w:sz w:val="20"/>
          <w:szCs w:val="20"/>
        </w:rPr>
      </w:pPr>
      <w:r w:rsidRPr="0086202B">
        <w:rPr>
          <w:rFonts w:ascii="Verdana" w:eastAsia="Arial" w:hAnsi="Verdana" w:cs="Arial"/>
          <w:sz w:val="20"/>
          <w:szCs w:val="20"/>
        </w:rPr>
        <w:t>“Esto significa que en adelante las entidades y los oferentes aplican directamente la regla que contempla el art. 5, parágrafo, de la Ley 1150, de manera que lo subsanable o insubsanable se define a partir de una pregunta, que se le formula a cada requisito omitido o cumplido imperfectamente: ¿el defecto asigna puntaje al oferente? Si lo hace no es subsanable, si no lo hace es subsanable; en el último evento la entidad le solicitará al oferente que satisfaga la deficiencia, para poner su oferta en condiciones de ser evaluada, y no importa si se refiere a no a problemas de capacidad o a requisitos cumplidos antes o después de presentadas las ofertas, con la condición de que cuando le pidan la acreditación la satisfaga suficientemente”</w:t>
      </w:r>
      <w:r w:rsidRPr="0086202B">
        <w:rPr>
          <w:rFonts w:ascii="Verdana" w:eastAsia="Arial" w:hAnsi="Verdana" w:cs="Arial"/>
          <w:sz w:val="20"/>
          <w:szCs w:val="20"/>
          <w:vertAlign w:val="superscript"/>
        </w:rPr>
        <w:footnoteReference w:id="1"/>
      </w:r>
      <w:r w:rsidRPr="0086202B">
        <w:rPr>
          <w:rFonts w:ascii="Verdana" w:eastAsia="Arial" w:hAnsi="Verdana" w:cs="Arial"/>
          <w:sz w:val="20"/>
          <w:szCs w:val="20"/>
        </w:rPr>
        <w:t>.</w:t>
      </w:r>
    </w:p>
    <w:p w14:paraId="3E6552F4" w14:textId="77777777" w:rsidR="00C20392" w:rsidRPr="0086202B" w:rsidRDefault="00C20392" w:rsidP="00C20392">
      <w:pPr>
        <w:spacing w:after="0" w:line="276" w:lineRule="auto"/>
        <w:jc w:val="both"/>
        <w:rPr>
          <w:rFonts w:ascii="Verdana" w:eastAsia="Arial" w:hAnsi="Verdana" w:cs="Arial"/>
          <w:b/>
        </w:rPr>
      </w:pPr>
    </w:p>
    <w:p w14:paraId="502C3946" w14:textId="77777777" w:rsidR="00C20392" w:rsidRPr="0086202B" w:rsidRDefault="00C20392" w:rsidP="00C20392">
      <w:pPr>
        <w:pBdr>
          <w:top w:val="nil"/>
          <w:left w:val="nil"/>
          <w:bottom w:val="nil"/>
          <w:right w:val="nil"/>
          <w:between w:val="nil"/>
        </w:pBdr>
        <w:tabs>
          <w:tab w:val="left" w:pos="284"/>
        </w:tabs>
        <w:spacing w:after="120" w:line="276" w:lineRule="auto"/>
        <w:ind w:firstLine="709"/>
        <w:jc w:val="both"/>
        <w:rPr>
          <w:rFonts w:ascii="Verdana" w:eastAsia="Arial" w:hAnsi="Verdana" w:cs="Arial"/>
        </w:rPr>
      </w:pPr>
      <w:r w:rsidRPr="0086202B">
        <w:rPr>
          <w:rFonts w:ascii="Verdana" w:eastAsia="Arial" w:hAnsi="Verdana" w:cs="Arial"/>
        </w:rPr>
        <w:t>Esa interpretación fue compartida por la Agencia Nacional de Contratación Pública – Colombia Compra Eficiente, pues en la Circular Externa Única</w:t>
      </w:r>
      <w:r w:rsidRPr="0086202B">
        <w:rPr>
          <w:rFonts w:ascii="Verdana" w:eastAsia="Arial" w:hAnsi="Verdana" w:cs="Arial"/>
          <w:vertAlign w:val="superscript"/>
        </w:rPr>
        <w:footnoteReference w:id="2"/>
      </w:r>
      <w:r w:rsidRPr="0086202B">
        <w:rPr>
          <w:rFonts w:ascii="Verdana" w:eastAsia="Arial" w:hAnsi="Verdana" w:cs="Arial"/>
        </w:rPr>
        <w:t xml:space="preserve"> se había precisado que si durante un proceso de contratación hay proponentes que no acreditaron en sus ofertas requisitos que no afectan la asignación de puntaje o la comparación de las mismas, la Entidad Estatal deberá indicarlo en el informe de evaluación y advertir que la correspondiente oferta no será evaluada hasta que se subsane.</w:t>
      </w:r>
    </w:p>
    <w:p w14:paraId="4B9E1C14" w14:textId="77777777" w:rsidR="00C20392" w:rsidRPr="0086202B" w:rsidRDefault="00C20392" w:rsidP="00C20392">
      <w:pPr>
        <w:pBdr>
          <w:top w:val="nil"/>
          <w:left w:val="nil"/>
          <w:bottom w:val="nil"/>
          <w:right w:val="nil"/>
          <w:between w:val="nil"/>
        </w:pBdr>
        <w:tabs>
          <w:tab w:val="left" w:pos="284"/>
        </w:tabs>
        <w:spacing w:after="120" w:line="276" w:lineRule="auto"/>
        <w:ind w:firstLine="709"/>
        <w:jc w:val="both"/>
        <w:rPr>
          <w:rFonts w:ascii="Verdana" w:eastAsia="Arial" w:hAnsi="Verdana" w:cs="Arial"/>
        </w:rPr>
      </w:pPr>
      <w:r w:rsidRPr="0086202B">
        <w:rPr>
          <w:rFonts w:ascii="Verdana" w:eastAsia="Arial" w:hAnsi="Verdana" w:cs="Arial"/>
        </w:rPr>
        <w:t xml:space="preserve">Sin embargo, el artículo 5 de la Ley 1882 de 2018 modificó el parágrafo 1º del artículo 5 de la Ley 1150 de 2007 en los siguientes términos: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w:t>
      </w:r>
      <w:r w:rsidRPr="0086202B">
        <w:rPr>
          <w:rFonts w:ascii="Verdana" w:eastAsia="Arial" w:hAnsi="Verdana" w:cs="Arial"/>
        </w:rPr>
        <w:lastRenderedPageBreak/>
        <w:t xml:space="preserve">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 </w:t>
      </w:r>
    </w:p>
    <w:p w14:paraId="0BA80974"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De esta forma, la Ley 1882 de 2018 fijó el ámbito temporal para ejercer la facultad de subsanar la oferta, pues dispuso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anterior límite no aplica para los procesos de mínima cuantía y para el proceso de selección a través del sistema de subasta</w:t>
      </w:r>
      <w:r w:rsidRPr="0086202B">
        <w:rPr>
          <w:rFonts w:ascii="Verdana" w:eastAsia="Arial" w:hAnsi="Verdana" w:cs="Arial"/>
          <w:vertAlign w:val="superscript"/>
        </w:rPr>
        <w:footnoteReference w:id="3"/>
      </w:r>
      <w:r w:rsidRPr="0086202B">
        <w:rPr>
          <w:rFonts w:ascii="Verdana" w:eastAsia="Arial" w:hAnsi="Verdana" w:cs="Arial"/>
        </w:rPr>
        <w:t>; en el último los documentos o requisitos subsanables pueden y deben solicitarse hasta el momento previo a su realización.</w:t>
      </w:r>
    </w:p>
    <w:p w14:paraId="487F66FB"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Frente a la regla general, la norma fijó un límite final para que la Administración y los oferentes subsanen los requisitos o documentos que puedan y deban ser subsanados, pero nada impide, y la norma no lo hace, que la Administración requiera al proponente antes de publicar el informe de evaluación. En efecto, la redacción de la norma permite que las Entidades Estatales contratantes soliciten a los oferentes subsanar y que estos lo hagan hasta antes del término del traslado del informe de evaluación.</w:t>
      </w:r>
    </w:p>
    <w:p w14:paraId="5A9E7BBB"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No obstante, de la lectura de este aparte podrían, en la práctica, darse dos (2) interpretaciones que dan lugar a dos (2) formas de proceder en los procesos de selección, en lo que se refiere a la subsanabilidad de las ofertas. </w:t>
      </w:r>
      <w:r w:rsidRPr="0086202B">
        <w:rPr>
          <w:rFonts w:ascii="Verdana" w:eastAsia="Arial" w:hAnsi="Verdana" w:cs="Arial"/>
          <w:i/>
        </w:rPr>
        <w:t>Primera</w:t>
      </w:r>
      <w:r w:rsidRPr="0086202B">
        <w:rPr>
          <w:rFonts w:ascii="Verdana" w:eastAsia="Arial" w:hAnsi="Verdana" w:cs="Arial"/>
        </w:rPr>
        <w:t xml:space="preserve">, que la posibilidad de los oferentes para subsanar es el término del traslado del informe de evaluación, ya que en este documento es donde la Administración establece los requisitos o documentos omitidos que los oferentes deben subsanar, so pena de rechazo; </w:t>
      </w:r>
      <w:r w:rsidRPr="0086202B">
        <w:rPr>
          <w:rFonts w:ascii="Verdana" w:eastAsia="Arial" w:hAnsi="Verdana" w:cs="Arial"/>
          <w:i/>
        </w:rPr>
        <w:t>segunda</w:t>
      </w:r>
      <w:r w:rsidRPr="0086202B">
        <w:rPr>
          <w:rFonts w:ascii="Verdana" w:eastAsia="Arial" w:hAnsi="Verdana" w:cs="Arial"/>
        </w:rPr>
        <w:t xml:space="preserve">, que el término del traslado del informe de evaluación es el límite para la subsanación de ofertas, pero no el único momento para hacerlo. </w:t>
      </w:r>
    </w:p>
    <w:p w14:paraId="0CFD98E4"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De acuerdo con la primera interpretación, el informe de evaluación se convierte en la oportunidad que adopta la Entidad Estatal para comunicarles a </w:t>
      </w:r>
      <w:r w:rsidRPr="0086202B">
        <w:rPr>
          <w:rFonts w:ascii="Verdana" w:eastAsia="Arial" w:hAnsi="Verdana" w:cs="Arial"/>
        </w:rPr>
        <w:lastRenderedPageBreak/>
        <w:t>los oferentes qué documentos o requisitos omitieron y deben subsanar y, consecuentemente, el término del traslado es la oportunidad del proponente para cumplir con lo solicitado. La segunda interpretación permitiría que la Administración requiera al oferente durante el proceso de evaluación de las propuestas, tan pronto advierta que hace falta un documento o requisito que se puede subsanar. En este caso, la subsanación se lleva a cabo con anterioridad a la publicación del informe de evaluación, de manera que una vez se publique el informe ya se encuentren subsanadas las propuestas, sin perjuicio del término límite que concedió la ley.</w:t>
      </w:r>
    </w:p>
    <w:p w14:paraId="77DF2224"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En criterio de esta Subdirección, la segunda interpretación es la que más se ajusta a la norma, pero, además, es la más conveniente para el desarrollo del proceso de selección, porque garantiza que el informe de evaluación presente una comparación de propuestas más depurada y el término de traslado para observaciones al mismo sea una oportunidad en la que se planteen aspectos sustanciales o de fondo a la evaluación, teniendo en cuenta que ya las propuestas estarán consolidadas en lo formal. Subsanar antes del informe de evaluación ofrece mayor seguridad y certeza al proceso de selección, a la Administración y a los oferentes. </w:t>
      </w:r>
    </w:p>
    <w:p w14:paraId="462DAB93"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Así pues, la modificación introducida por el artículo 5 de la Ley 1882 de 2018, si bien pudo significar, en la práctica de los procesos de selección, que el informe de evaluación fuera la oportunidad de la Entidad Estatal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entidad advierta el defecto le solicite directamente al oferente que subsane. Esta interpretación es más consistente con los principios de economía, transparencia y selección objetiva. </w:t>
      </w:r>
    </w:p>
    <w:p w14:paraId="611C00D7"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De otro lado, el </w:t>
      </w:r>
      <w:r w:rsidRPr="0086202B">
        <w:rPr>
          <w:rFonts w:ascii="Verdana" w:eastAsia="Arial" w:hAnsi="Verdana" w:cs="Arial"/>
          <w:i/>
          <w:iCs/>
        </w:rPr>
        <w:t>segundo</w:t>
      </w:r>
      <w:r w:rsidRPr="0086202B">
        <w:rPr>
          <w:rFonts w:ascii="Verdana" w:eastAsia="Arial" w:hAnsi="Verdana" w:cs="Arial"/>
        </w:rPr>
        <w:t xml:space="preserve"> cambio importante de la Ley 1882 de 2018 fue la introducción de un criterio material, directamente relacionado con los aspectos subsanables: “los proponentes no podrán acreditar circunstancias ocurridas con posterioridad al cierre del proceso”</w:t>
      </w:r>
      <w:r w:rsidRPr="0086202B">
        <w:rPr>
          <w:rFonts w:ascii="Verdana" w:eastAsia="Arial" w:hAnsi="Verdana" w:cs="Arial"/>
          <w:i/>
        </w:rPr>
        <w:t>.</w:t>
      </w:r>
      <w:r w:rsidRPr="0086202B">
        <w:rPr>
          <w:rFonts w:ascii="Verdana" w:eastAsia="Arial" w:hAnsi="Verdana" w:cs="Arial"/>
        </w:rPr>
        <w:t xml:space="preserve"> Lo anterior ofrece dos (2) aspectos que merecen clarificación: </w:t>
      </w:r>
      <w:r w:rsidRPr="0086202B">
        <w:rPr>
          <w:rFonts w:ascii="Verdana" w:eastAsia="Arial" w:hAnsi="Verdana" w:cs="Arial"/>
          <w:i/>
        </w:rPr>
        <w:t>primero</w:t>
      </w:r>
      <w:r w:rsidRPr="0086202B">
        <w:rPr>
          <w:rFonts w:ascii="Verdana" w:eastAsia="Arial" w:hAnsi="Verdana" w:cs="Arial"/>
        </w:rPr>
        <w:t xml:space="preserve">, qué debe entenderse por circunstancias ocurridas con posterioridad; y </w:t>
      </w:r>
      <w:r w:rsidRPr="0086202B">
        <w:rPr>
          <w:rFonts w:ascii="Verdana" w:eastAsia="Arial" w:hAnsi="Verdana" w:cs="Arial"/>
          <w:i/>
        </w:rPr>
        <w:t>segundo</w:t>
      </w:r>
      <w:r w:rsidRPr="0086202B">
        <w:rPr>
          <w:rFonts w:ascii="Verdana" w:eastAsia="Arial" w:hAnsi="Verdana" w:cs="Arial"/>
        </w:rPr>
        <w:t>, qué es el cierre del proceso.</w:t>
      </w:r>
    </w:p>
    <w:p w14:paraId="0A591B2A" w14:textId="77777777" w:rsidR="00C20392" w:rsidRPr="0086202B" w:rsidRDefault="00C20392" w:rsidP="00C20392">
      <w:pPr>
        <w:spacing w:after="0" w:line="276" w:lineRule="auto"/>
        <w:ind w:firstLine="709"/>
        <w:jc w:val="both"/>
        <w:rPr>
          <w:rFonts w:ascii="Verdana" w:eastAsia="Arial" w:hAnsi="Verdana" w:cs="Arial"/>
        </w:rPr>
      </w:pPr>
      <w:r w:rsidRPr="0086202B">
        <w:rPr>
          <w:rFonts w:ascii="Verdana" w:eastAsia="Arial" w:hAnsi="Verdana" w:cs="Arial"/>
        </w:rPr>
        <w:lastRenderedPageBreak/>
        <w:t>La Sala de Consulta y Servicio Civil del Consejo de Estado ya había tenido la oportunidad de precisar estas expresiones, a propósito de un concepto en el que se refirió al artículo 10 del derogado Decreto 2474 de 2008</w:t>
      </w:r>
      <w:r w:rsidRPr="0086202B">
        <w:rPr>
          <w:rFonts w:ascii="Verdana" w:eastAsia="Arial" w:hAnsi="Verdana" w:cs="Arial"/>
          <w:vertAlign w:val="superscript"/>
        </w:rPr>
        <w:footnoteReference w:id="4"/>
      </w:r>
      <w:r w:rsidRPr="0086202B">
        <w:rPr>
          <w:rFonts w:ascii="Verdana" w:eastAsia="Arial" w:hAnsi="Verdana" w:cs="Arial"/>
        </w:rPr>
        <w:t xml:space="preserve">, que había determinado que en ningún caso la entidad podía permitir que se acreditaran circunstancias ocurridas con posterioridad al cierre del proceso. El Consejo de Estado precisó que por cierre del proceso debe entenderse el vencimiento del plazo para la presentación de las ofertas y que lo subsanable son las circunstancias que ocurrieron con anterioridad a esa fecha, así: </w:t>
      </w:r>
    </w:p>
    <w:p w14:paraId="1773D2AE" w14:textId="77777777" w:rsidR="00C20392" w:rsidRPr="0086202B" w:rsidRDefault="00C20392" w:rsidP="00C20392">
      <w:pPr>
        <w:spacing w:after="0"/>
        <w:ind w:left="709" w:right="709"/>
        <w:jc w:val="both"/>
        <w:rPr>
          <w:rFonts w:ascii="Verdana" w:eastAsia="Arial" w:hAnsi="Verdana" w:cs="Arial"/>
        </w:rPr>
      </w:pPr>
    </w:p>
    <w:p w14:paraId="51662E6F" w14:textId="77777777" w:rsidR="00C20392" w:rsidRPr="0086202B" w:rsidRDefault="00C20392" w:rsidP="00C20392">
      <w:pPr>
        <w:spacing w:after="120" w:line="240" w:lineRule="auto"/>
        <w:ind w:left="709" w:right="709"/>
        <w:jc w:val="both"/>
        <w:rPr>
          <w:rFonts w:ascii="Verdana" w:eastAsia="Arial" w:hAnsi="Verdana" w:cs="Arial"/>
          <w:sz w:val="20"/>
          <w:szCs w:val="20"/>
        </w:rPr>
      </w:pPr>
      <w:r w:rsidRPr="0086202B">
        <w:rPr>
          <w:rFonts w:ascii="Verdana" w:eastAsia="Arial" w:hAnsi="Verdana" w:cs="Arial"/>
          <w:sz w:val="20"/>
          <w:szCs w:val="20"/>
        </w:rPr>
        <w:t>“Sin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58102E44" w14:textId="77777777" w:rsidR="00C20392" w:rsidRPr="0086202B" w:rsidRDefault="00C20392" w:rsidP="00C20392">
      <w:pPr>
        <w:spacing w:after="0" w:line="240" w:lineRule="auto"/>
        <w:ind w:left="709" w:right="709"/>
        <w:jc w:val="both"/>
        <w:rPr>
          <w:rFonts w:ascii="Verdana" w:eastAsia="Arial" w:hAnsi="Verdana" w:cs="Arial"/>
          <w:sz w:val="20"/>
          <w:szCs w:val="20"/>
        </w:rPr>
      </w:pPr>
      <w:r w:rsidRPr="0086202B">
        <w:rPr>
          <w:rFonts w:ascii="Verdana" w:eastAsia="Arial" w:hAnsi="Verdana" w:cs="Arial"/>
          <w:sz w:val="20"/>
          <w:szCs w:val="20"/>
        </w:rPr>
        <w:t xml:space="preserve">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w:t>
      </w:r>
      <w:r w:rsidRPr="0086202B">
        <w:rPr>
          <w:rFonts w:ascii="Verdana" w:eastAsia="Arial" w:hAnsi="Verdana" w:cs="Arial"/>
          <w:sz w:val="20"/>
          <w:szCs w:val="20"/>
        </w:rPr>
        <w:lastRenderedPageBreak/>
        <w:t>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w:t>
      </w:r>
      <w:r w:rsidRPr="0086202B">
        <w:rPr>
          <w:rFonts w:ascii="Verdana" w:eastAsia="Arial" w:hAnsi="Verdana" w:cs="Arial"/>
          <w:sz w:val="20"/>
          <w:szCs w:val="20"/>
          <w:vertAlign w:val="superscript"/>
        </w:rPr>
        <w:footnoteReference w:id="5"/>
      </w:r>
      <w:r w:rsidRPr="0086202B">
        <w:rPr>
          <w:rFonts w:ascii="Verdana" w:eastAsia="Arial" w:hAnsi="Verdana" w:cs="Arial"/>
          <w:sz w:val="20"/>
          <w:szCs w:val="20"/>
        </w:rPr>
        <w:t>.</w:t>
      </w:r>
    </w:p>
    <w:p w14:paraId="7FCBCDA7" w14:textId="77777777" w:rsidR="00C20392" w:rsidRPr="0086202B" w:rsidRDefault="00C20392" w:rsidP="00C20392">
      <w:pPr>
        <w:spacing w:after="0" w:line="240" w:lineRule="auto"/>
        <w:jc w:val="both"/>
        <w:rPr>
          <w:rFonts w:ascii="Verdana" w:eastAsia="Arial" w:hAnsi="Verdana" w:cs="Arial"/>
          <w:sz w:val="20"/>
          <w:szCs w:val="20"/>
        </w:rPr>
      </w:pPr>
    </w:p>
    <w:p w14:paraId="489D6F89"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De conformidad con el artículo 5 de la Ley 1882 de 2018, lo subsanable es la prueba de todas las circunstancias ocurridas antes del vencimiento del término para presentar las ofertas; eso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5ACCBBF3"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Un mejor entendimiento del significado de la expresión “circunstancias ocurridas con posterioridad al cierre del proceso” lleva necesariamente a distinguir entre la prueba de un hecho y el hecho mismo. En el caso de la subsanabilidad de las ofertas, una cosa es el requisito habilitante o el elemento de la propuesta y otra su prueba. Lo que prohíbe la norma es que se subsanen requisitos que no estaban cumplidos al momento de presentar la oferta, o en palabras de la ley, que se acrediten hechos que ocurrieron después del cierre del proceso. </w:t>
      </w:r>
    </w:p>
    <w:p w14:paraId="7B5349AB"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Por ejemplo: i) si un oferente olvidó adjuntar con su propuesta el certificado que da cuenta de su inscripción en el Registro Único de Proponentes, el requisito será subsanable siempre que la prueba allegada demuestre que el hecho, esto es, la inscripción en el registro, ocurrió con anterioridad al cierre del proceso; ii) si un oferente presentó la propuesta sin aportar la autorización al representante legal, por parte de la junta directiva de la sociedad, el certificado, aunque sea posterior, debe dar cuenta de que el hecho que pretende acreditar –la autorización de la junta– ocurrió antes del vencimiento del término para </w:t>
      </w:r>
      <w:r w:rsidRPr="0086202B">
        <w:rPr>
          <w:rFonts w:ascii="Verdana" w:eastAsia="Arial" w:hAnsi="Verdana" w:cs="Arial"/>
        </w:rPr>
        <w:lastRenderedPageBreak/>
        <w:t>ofertar</w:t>
      </w:r>
      <w:r w:rsidRPr="0086202B">
        <w:rPr>
          <w:rFonts w:ascii="Verdana" w:eastAsia="Arial" w:hAnsi="Verdana" w:cs="Arial"/>
          <w:vertAlign w:val="superscript"/>
        </w:rPr>
        <w:footnoteReference w:id="6"/>
      </w:r>
      <w:r w:rsidRPr="0086202B">
        <w:rPr>
          <w:rFonts w:ascii="Verdana" w:eastAsia="Arial" w:hAnsi="Verdana" w:cs="Arial"/>
        </w:rPr>
        <w:t>; iii) si un oferente no anexó el certificado de existencia y representación legal, el documento aportado con posterioridad debe dar cuenta de que la sociedad existe desde antes del cierre del proceso</w:t>
      </w:r>
      <w:r w:rsidRPr="0086202B">
        <w:rPr>
          <w:rFonts w:ascii="Verdana" w:eastAsia="Arial" w:hAnsi="Verdana" w:cs="Arial"/>
          <w:vertAlign w:val="superscript"/>
        </w:rPr>
        <w:footnoteReference w:id="7"/>
      </w:r>
      <w:r w:rsidRPr="0086202B">
        <w:rPr>
          <w:rFonts w:ascii="Verdana" w:eastAsia="Arial" w:hAnsi="Verdana" w:cs="Arial"/>
        </w:rPr>
        <w:t xml:space="preserve">; iv) si un oferente olvidó adjuntar un certificado que demuestra un título universitario, el documento, aunque tenga fecha posterior al cierre del proceso, debe acreditar que el título académico se obtuvo con anterioridad al cierre del proceso; v) si un oferente no aportó un certificado de experiencia, el documento que subsana –sin importar que tenga fecha posterior– debe demostrar que la experiencia que se pretende hacer valer se obtuvo antes de vencerse el término para presentar ofertas, y vi) si el oferente olvidó firmar la propuesta o presentar una copia de ella, puede subsanar sin que se entienda que acreditó una circunstancia ocurrida con posterioridad al cierre del proceso. </w:t>
      </w:r>
    </w:p>
    <w:p w14:paraId="453E10A5"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Lo anterior quiere decir que no es la prueba –usualmente un documento– lo que debe ser anterior al cierre del proceso, sino el hecho que ella acredita, es decir, ante la solicitud de la Entidad Estatal de subsanar un requisito, el documento podría estar fechado con posterioridad al vencimiento del término para recibir propuestas, siempre y cuando el hecho que acredite haya ocurrido antes, esto es, que no sea una circunstancia ocurrida con posterioridad al cierre del proceso. Es por ello que, el Consejo de Estado sostiene que “lo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0086202B">
        <w:rPr>
          <w:rFonts w:ascii="Verdana" w:eastAsia="Arial" w:hAnsi="Verdana" w:cs="Arial"/>
          <w:vertAlign w:val="superscript"/>
        </w:rPr>
        <w:footnoteReference w:id="8"/>
      </w:r>
      <w:r w:rsidRPr="0086202B">
        <w:rPr>
          <w:rFonts w:ascii="Verdana" w:eastAsia="Arial" w:hAnsi="Verdana" w:cs="Arial"/>
        </w:rPr>
        <w:t xml:space="preserve">. </w:t>
      </w:r>
    </w:p>
    <w:p w14:paraId="79115697"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En tal sentido, esta Subdirección, en concepto emitido en respuesta a la Consulta 4201912000007418 del 30 de octubre de 2019, analizó si era o no posible subsanar el Registro Único de Proponentes vencido, para lo cual precisó el alcance de la prohibición de permitir subsanar circunstancias ocurridas con posterioridad al cierre del procedimiento de selección. Asimismo, indicó que no </w:t>
      </w:r>
      <w:r w:rsidRPr="0086202B">
        <w:rPr>
          <w:rFonts w:ascii="Verdana" w:eastAsia="Arial" w:hAnsi="Verdana" w:cs="Arial"/>
        </w:rPr>
        <w:lastRenderedPageBreak/>
        <w:t>es relevante que, al subsanar dichos documentos, su fecha de actualización sea posterior a la del cierre, sino que las circunstancias que acrediten hayan ocurrido antes.</w:t>
      </w:r>
    </w:p>
    <w:p w14:paraId="2933D817"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Esta tesis fue reiterada por la Agencia Nacional de Contratación Pública – Colombia Compra Eficiente en el concepto con radicado 4201912000008198, en el que indicó que las certificaciones de experiencia que no otorgaran puntaje podían aportarse corregidos o incluso, en reemplazo de las que no cumplieran el requisito habilitante, siempre que en los documentos aportados en la etapa de subsanabilidad no se acreditara experiencia adquirida con posterioridad al cierre del procedimiento de selección. Por tanto, señaló que “[…] el oferente podrá acreditar su experiencia con certificaciones de contratos diferentes a los inicialmente aportados, siempre que acrediten la experiencia adquirida antes del cierre del proceso”, pero que “Si las certificaciones prueban que la experiencia del proponente se adquirió con posterioridad al cierre del proceso no se podrá aportar, porque esto implicaría una mejora, adición o complemento de la oferta”. </w:t>
      </w:r>
    </w:p>
    <w:p w14:paraId="44F5C04C" w14:textId="77777777" w:rsidR="00C20392" w:rsidRPr="0086202B" w:rsidRDefault="00C20392" w:rsidP="00C20392">
      <w:pPr>
        <w:spacing w:after="120" w:line="276" w:lineRule="auto"/>
        <w:ind w:firstLine="709"/>
        <w:jc w:val="both"/>
        <w:rPr>
          <w:rFonts w:ascii="Verdana" w:eastAsia="Arial" w:hAnsi="Verdana" w:cs="Arial"/>
        </w:rPr>
      </w:pPr>
      <w:r w:rsidRPr="0086202B">
        <w:rPr>
          <w:rFonts w:ascii="Verdana" w:eastAsia="Arial" w:hAnsi="Verdana" w:cs="Arial"/>
        </w:rPr>
        <w:t xml:space="preserve">Una reiteración de la postura de esta Subdirección, según la cual la subsanabilidad procede sobre todos aquellos requisitos que no otorguen puntaje, siempre que no se trate de entregar la garantía de seriedad de la oferta no aportada antes del cierre del procedimiento de selección, y bajo la condición de que no se acrediten hechos ocurridos con posterioridad a dicho momento, se encuentra en los conceptos: 2201913000008048 del 28 de octubre de 2019 –que indicó que no era posible, so pretexto de subsanar, modificar el porcentaje de participación en un consorcio o unión temporal, porque esto comportaba cambiar la oferta, acreditando circunstancias posteriores al cierre–; 2201913000008850 del 29 de noviembre de 2019 –en el que sostuvo que un proponente podría subsanar la experiencia, en tanto requisito habilitante, o sea, que no otorgara puntaje, aportando nuevas certificaciones, siempre que con ellas no se probara una experiencia que no se tenía antes del cierre–; 2201913000009373 del 17 de diciembre de 2019 –en el cual se expresó que la carta de conformación de un consorcio es un documento subsanable, bajo la condición de que el documento aportado permita constatar que el consorcio se conformó antes del vencimiento del término para la presentación de las propuestas–; 2201913000008049 del 28 de octubre de 2019 –en el que se reiteró que no es posible variar el porcentaje de participación en una unión temporal, porque implicaría una modificación de la oferta y la acreditación de un aspecto que es posterior al cierre del procedimiento de selección–. </w:t>
      </w:r>
    </w:p>
    <w:p w14:paraId="22DF0A90" w14:textId="77777777" w:rsidR="00C20392" w:rsidRDefault="00C20392" w:rsidP="00C20392">
      <w:pPr>
        <w:spacing w:after="0" w:line="276" w:lineRule="auto"/>
        <w:ind w:firstLine="709"/>
        <w:jc w:val="both"/>
        <w:rPr>
          <w:rFonts w:ascii="Verdana" w:eastAsia="Arial" w:hAnsi="Verdana" w:cs="Arial"/>
        </w:rPr>
      </w:pPr>
      <w:r w:rsidRPr="0086202B">
        <w:rPr>
          <w:rFonts w:ascii="Verdana" w:eastAsia="Arial" w:hAnsi="Verdana" w:cs="Arial"/>
        </w:rPr>
        <w:lastRenderedPageBreak/>
        <w:t xml:space="preserve">Visto lo anterior, una vez verificada la ausencia de requisitos y/o documentos de la oferta, para saber si se puede subsanar, la entidad se debe preguntar, en primer lugar, si lo que hace falta es un documento o información que otorga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otorgue puntaje, y la respuesta al segundo interrogante debe dar cuenta de que lo omitido sea la prueba de una circunstancia o hecho que ocurrió con anterioridad al cierre del proceso. </w:t>
      </w:r>
    </w:p>
    <w:p w14:paraId="61A4FFD1" w14:textId="77777777" w:rsidR="00C20392" w:rsidRDefault="00C20392" w:rsidP="00C20392">
      <w:pPr>
        <w:spacing w:after="0" w:line="276" w:lineRule="auto"/>
        <w:jc w:val="both"/>
        <w:rPr>
          <w:rFonts w:ascii="Verdana" w:eastAsia="Arial" w:hAnsi="Verdana" w:cs="Arial"/>
        </w:rPr>
      </w:pPr>
    </w:p>
    <w:p w14:paraId="11F6D609" w14:textId="77777777" w:rsidR="00C20392" w:rsidRDefault="00C20392" w:rsidP="00C20392">
      <w:pPr>
        <w:spacing w:after="0" w:line="276" w:lineRule="auto"/>
        <w:jc w:val="both"/>
        <w:rPr>
          <w:rFonts w:ascii="Verdana" w:eastAsia="Arial" w:hAnsi="Verdana" w:cs="Arial"/>
        </w:rPr>
      </w:pPr>
      <w:r>
        <w:rPr>
          <w:rFonts w:ascii="Verdana" w:eastAsia="Arial" w:hAnsi="Verdana" w:cs="Arial"/>
        </w:rPr>
        <w:t>ii) De otra parte, y por resultar relevante al tema objeto de consulta, resulta a bien aclarar que, en caso de que un proceso de contratación deba adelantarse en aplicación de los Documentos Tipo de licitación de obra pública de infraestructura de transporte – Versión 4 expedidos por esta Agencia, las Entidades Estatales deberán observar las directrices dispuestas en estos y respetar su regla de inalterabilidad que, de acuerdo con lo establecido en la Resolución No. 464 del 10 de septiembre de 2024, implica que las entidades no podrán modificar tales documentos, salvo, en los apartes que estos lo permitan.</w:t>
      </w:r>
    </w:p>
    <w:p w14:paraId="457DDA55" w14:textId="77777777" w:rsidR="00C20392" w:rsidRDefault="00C20392" w:rsidP="00C20392">
      <w:pPr>
        <w:spacing w:before="120" w:after="0" w:line="276" w:lineRule="auto"/>
        <w:jc w:val="both"/>
        <w:rPr>
          <w:rFonts w:ascii="Verdana" w:eastAsia="Arial" w:hAnsi="Verdana" w:cs="Arial"/>
        </w:rPr>
      </w:pPr>
      <w:r>
        <w:rPr>
          <w:rFonts w:ascii="Verdana" w:eastAsia="Arial" w:hAnsi="Verdana" w:cs="Arial"/>
        </w:rPr>
        <w:tab/>
        <w:t>Dichos Documentos Tipo contienen apartes entre corchetes y resaltados en gris, que habilitan según el caso, a las Entidades Estatales para relacionar de acuerdo con los criterios allí indicados, la información pertinente. En ese sentido, y para el caso de la determinación del nivel del Clasificador de Bienes y Servicios de Naciones Unidas (UNSPSC), los referidos documentos señalan en el numeral 1.4 del “Documento Base” lo siguiente:</w:t>
      </w:r>
    </w:p>
    <w:p w14:paraId="082DB82A" w14:textId="77777777" w:rsidR="00C20392" w:rsidRDefault="00C20392" w:rsidP="00C20392">
      <w:pPr>
        <w:spacing w:after="0" w:line="276" w:lineRule="auto"/>
        <w:jc w:val="both"/>
        <w:rPr>
          <w:rFonts w:ascii="Verdana" w:eastAsia="Arial" w:hAnsi="Verdana" w:cs="Arial"/>
        </w:rPr>
      </w:pPr>
    </w:p>
    <w:p w14:paraId="5CFEC918" w14:textId="77777777" w:rsidR="00C20392" w:rsidRDefault="00C20392" w:rsidP="00C20392">
      <w:pPr>
        <w:spacing w:after="0" w:line="276" w:lineRule="auto"/>
        <w:ind w:left="709" w:right="709"/>
        <w:jc w:val="both"/>
        <w:rPr>
          <w:rFonts w:ascii="Verdana" w:eastAsia="Arial" w:hAnsi="Verdana" w:cs="Arial"/>
          <w:sz w:val="20"/>
          <w:szCs w:val="20"/>
        </w:rPr>
      </w:pPr>
      <w:r>
        <w:rPr>
          <w:rFonts w:ascii="Verdana" w:eastAsia="Arial" w:hAnsi="Verdana" w:cs="Arial"/>
          <w:sz w:val="20"/>
          <w:szCs w:val="20"/>
        </w:rPr>
        <w:t xml:space="preserve">“La obra pública objeto del presente Proceso de Contratación está codificada en el Clasificador de Bienes y Servicios de Naciones Unidas (UNSPC) bajo el segmento </w:t>
      </w:r>
      <w:r w:rsidRPr="00A03C60">
        <w:rPr>
          <w:rFonts w:ascii="Verdana" w:eastAsia="Arial" w:hAnsi="Verdana" w:cs="Arial"/>
          <w:sz w:val="20"/>
          <w:szCs w:val="20"/>
          <w:highlight w:val="lightGray"/>
        </w:rPr>
        <w:t>[72]</w:t>
      </w:r>
      <w:r>
        <w:rPr>
          <w:rFonts w:ascii="Verdana" w:eastAsia="Arial" w:hAnsi="Verdana" w:cs="Arial"/>
          <w:sz w:val="20"/>
          <w:szCs w:val="20"/>
        </w:rPr>
        <w:t xml:space="preserve"> con el </w:t>
      </w:r>
      <w:r w:rsidRPr="0041135A">
        <w:rPr>
          <w:rFonts w:ascii="Verdana" w:eastAsia="Arial" w:hAnsi="Verdana" w:cs="Arial"/>
          <w:sz w:val="20"/>
          <w:szCs w:val="20"/>
          <w:highlight w:val="lightGray"/>
        </w:rPr>
        <w:t>[cuarto, de ser posible, o de lo contrario en el tercer]</w:t>
      </w:r>
      <w:r>
        <w:rPr>
          <w:rFonts w:ascii="Verdana" w:eastAsia="Arial" w:hAnsi="Verdana" w:cs="Arial"/>
          <w:sz w:val="20"/>
          <w:szCs w:val="20"/>
        </w:rPr>
        <w:t xml:space="preserve"> nivel, como se indica en la siguiente tabla:</w:t>
      </w:r>
    </w:p>
    <w:p w14:paraId="35759382" w14:textId="77777777" w:rsidR="00C20392" w:rsidRDefault="00C20392" w:rsidP="00C20392">
      <w:pPr>
        <w:spacing w:after="0" w:line="276" w:lineRule="auto"/>
        <w:ind w:left="709" w:right="709"/>
        <w:jc w:val="both"/>
        <w:rPr>
          <w:rFonts w:ascii="Verdana" w:eastAsia="Arial" w:hAnsi="Verdana" w:cs="Arial"/>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5213"/>
        <w:gridCol w:w="2037"/>
      </w:tblGrid>
      <w:tr w:rsidR="00C20392" w:rsidRPr="0033677B" w14:paraId="33EE252D" w14:textId="77777777" w:rsidTr="006F6067">
        <w:trPr>
          <w:trHeight w:val="397"/>
          <w:jc w:val="center"/>
        </w:trPr>
        <w:tc>
          <w:tcPr>
            <w:tcW w:w="0" w:type="auto"/>
            <w:tcBorders>
              <w:top w:val="double" w:sz="4" w:space="0" w:color="auto"/>
              <w:bottom w:val="single" w:sz="6" w:space="0" w:color="auto"/>
            </w:tcBorders>
            <w:shd w:val="clear" w:color="auto" w:fill="404040" w:themeFill="text1" w:themeFillTint="BF"/>
            <w:vAlign w:val="center"/>
          </w:tcPr>
          <w:p w14:paraId="7AA8AA61" w14:textId="77777777" w:rsidR="00C20392" w:rsidRPr="004C31EB" w:rsidRDefault="00C20392" w:rsidP="006F6067">
            <w:pPr>
              <w:spacing w:after="0" w:line="276" w:lineRule="auto"/>
              <w:jc w:val="center"/>
              <w:rPr>
                <w:rFonts w:eastAsia="Arial,Times New Roman" w:cs="Arial"/>
                <w:b/>
                <w:bCs/>
                <w:color w:val="FFFFFF" w:themeColor="background1"/>
                <w:szCs w:val="20"/>
                <w:lang w:eastAsia="es-CO"/>
              </w:rPr>
            </w:pPr>
            <w:r w:rsidRPr="004C31EB">
              <w:rPr>
                <w:rFonts w:cs="Arial"/>
                <w:b/>
                <w:bCs/>
                <w:color w:val="FFFFFF" w:themeColor="background1"/>
                <w:szCs w:val="20"/>
                <w:lang w:eastAsia="es-CO"/>
              </w:rPr>
              <w:t>Clasificación</w:t>
            </w:r>
            <w:r w:rsidRPr="004C31EB">
              <w:rPr>
                <w:rFonts w:eastAsia="Arial,Times New Roman" w:cs="Arial"/>
                <w:b/>
                <w:bCs/>
                <w:color w:val="FFFFFF" w:themeColor="background1"/>
                <w:szCs w:val="20"/>
                <w:lang w:eastAsia="es-CO"/>
              </w:rPr>
              <w:t xml:space="preserve"> </w:t>
            </w:r>
            <w:r w:rsidRPr="004C31EB">
              <w:rPr>
                <w:rFonts w:cs="Arial"/>
                <w:b/>
                <w:bCs/>
                <w:color w:val="FFFFFF" w:themeColor="background1"/>
                <w:szCs w:val="20"/>
                <w:lang w:eastAsia="es-CO"/>
              </w:rPr>
              <w:t>UNSPSC</w:t>
            </w:r>
          </w:p>
        </w:tc>
        <w:tc>
          <w:tcPr>
            <w:tcW w:w="0" w:type="auto"/>
            <w:tcBorders>
              <w:top w:val="double" w:sz="4" w:space="0" w:color="auto"/>
              <w:bottom w:val="single" w:sz="6" w:space="0" w:color="auto"/>
            </w:tcBorders>
            <w:shd w:val="clear" w:color="auto" w:fill="404040" w:themeFill="text1" w:themeFillTint="BF"/>
            <w:vAlign w:val="center"/>
          </w:tcPr>
          <w:p w14:paraId="339D485F" w14:textId="77777777" w:rsidR="00C20392" w:rsidRPr="004C31EB" w:rsidRDefault="00C20392" w:rsidP="006F6067">
            <w:pPr>
              <w:spacing w:after="0" w:line="276" w:lineRule="auto"/>
              <w:jc w:val="center"/>
              <w:rPr>
                <w:rFonts w:eastAsia="Arial,Times New Roman" w:cs="Arial"/>
                <w:b/>
                <w:bCs/>
                <w:color w:val="FFFFFF" w:themeColor="background1"/>
                <w:szCs w:val="20"/>
                <w:lang w:eastAsia="es-CO"/>
              </w:rPr>
            </w:pPr>
            <w:r w:rsidRPr="004C31EB">
              <w:rPr>
                <w:rFonts w:cs="Arial"/>
                <w:b/>
                <w:bCs/>
                <w:color w:val="FFFFFF" w:themeColor="background1"/>
                <w:szCs w:val="20"/>
                <w:lang w:eastAsia="es-CO"/>
              </w:rPr>
              <w:t>Descripción</w:t>
            </w:r>
          </w:p>
        </w:tc>
      </w:tr>
      <w:tr w:rsidR="00C20392" w:rsidRPr="0033677B" w14:paraId="428F7F3B" w14:textId="77777777" w:rsidTr="006F6067">
        <w:trPr>
          <w:trHeight w:val="283"/>
          <w:jc w:val="center"/>
        </w:trPr>
        <w:tc>
          <w:tcPr>
            <w:tcW w:w="0" w:type="auto"/>
            <w:tcBorders>
              <w:top w:val="single" w:sz="6" w:space="0" w:color="auto"/>
              <w:bottom w:val="single" w:sz="6" w:space="0" w:color="auto"/>
            </w:tcBorders>
            <w:vAlign w:val="center"/>
          </w:tcPr>
          <w:p w14:paraId="5214FFD2"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bottom w:val="single" w:sz="6" w:space="0" w:color="auto"/>
            </w:tcBorders>
            <w:vAlign w:val="center"/>
          </w:tcPr>
          <w:p w14:paraId="0AA6F847"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r w:rsidR="00C20392" w:rsidRPr="0033677B" w14:paraId="62460B23" w14:textId="77777777" w:rsidTr="006F6067">
        <w:trPr>
          <w:trHeight w:val="283"/>
          <w:jc w:val="center"/>
        </w:trPr>
        <w:tc>
          <w:tcPr>
            <w:tcW w:w="0" w:type="auto"/>
            <w:tcBorders>
              <w:top w:val="single" w:sz="6" w:space="0" w:color="auto"/>
              <w:bottom w:val="single" w:sz="6" w:space="0" w:color="auto"/>
            </w:tcBorders>
            <w:vAlign w:val="center"/>
          </w:tcPr>
          <w:p w14:paraId="1610C032"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bottom w:val="single" w:sz="6" w:space="0" w:color="auto"/>
            </w:tcBorders>
            <w:vAlign w:val="center"/>
          </w:tcPr>
          <w:p w14:paraId="1BA9F5C3"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r w:rsidR="00C20392" w:rsidRPr="0033677B" w14:paraId="6959D6E2" w14:textId="77777777" w:rsidTr="006F6067">
        <w:trPr>
          <w:trHeight w:val="283"/>
          <w:jc w:val="center"/>
        </w:trPr>
        <w:tc>
          <w:tcPr>
            <w:tcW w:w="0" w:type="auto"/>
            <w:tcBorders>
              <w:top w:val="single" w:sz="6" w:space="0" w:color="auto"/>
            </w:tcBorders>
            <w:vAlign w:val="center"/>
          </w:tcPr>
          <w:p w14:paraId="34261AA1" w14:textId="77777777" w:rsidR="00C20392" w:rsidRPr="004C31EB" w:rsidRDefault="00C20392" w:rsidP="006F6067">
            <w:pPr>
              <w:spacing w:after="0" w:line="276" w:lineRule="auto"/>
              <w:jc w:val="center"/>
              <w:rPr>
                <w:rFonts w:eastAsia="Arial,Times New Roman" w:cs="Arial"/>
                <w:szCs w:val="20"/>
                <w:highlight w:val="lightGray"/>
                <w:lang w:eastAsia="es-CO"/>
              </w:rPr>
            </w:pPr>
            <w:r w:rsidRPr="004C31EB">
              <w:rPr>
                <w:rFonts w:eastAsia="Arial,Times New Roman" w:cs="Arial"/>
                <w:szCs w:val="20"/>
                <w:highlight w:val="lightGray"/>
                <w:lang w:eastAsia="es-CO"/>
              </w:rPr>
              <w:t>[</w:t>
            </w:r>
            <w:r w:rsidRPr="004C31EB">
              <w:rPr>
                <w:rFonts w:cs="Arial"/>
                <w:szCs w:val="20"/>
                <w:highlight w:val="lightGray"/>
                <w:lang w:eastAsia="es-CO"/>
              </w:rPr>
              <w:t>completar de acuerdo con familia, clase, y producto</w:t>
            </w:r>
            <w:r w:rsidRPr="004C31EB">
              <w:rPr>
                <w:rFonts w:eastAsia="Arial,Times New Roman" w:cs="Arial"/>
                <w:szCs w:val="20"/>
                <w:highlight w:val="lightGray"/>
                <w:lang w:eastAsia="es-CO"/>
              </w:rPr>
              <w:t>]</w:t>
            </w:r>
          </w:p>
        </w:tc>
        <w:tc>
          <w:tcPr>
            <w:tcW w:w="0" w:type="auto"/>
            <w:tcBorders>
              <w:top w:val="single" w:sz="6" w:space="0" w:color="auto"/>
            </w:tcBorders>
            <w:vAlign w:val="center"/>
          </w:tcPr>
          <w:p w14:paraId="34D84EF5" w14:textId="77777777" w:rsidR="00C20392" w:rsidRPr="004C31EB" w:rsidRDefault="00C20392" w:rsidP="006F6067">
            <w:pPr>
              <w:spacing w:after="0" w:line="276" w:lineRule="auto"/>
              <w:rPr>
                <w:rFonts w:eastAsia="Arial,Times New Roman" w:cs="Arial"/>
                <w:szCs w:val="20"/>
                <w:highlight w:val="lightGray"/>
                <w:lang w:eastAsia="es-CO"/>
              </w:rPr>
            </w:pPr>
            <w:r w:rsidRPr="004C31EB">
              <w:rPr>
                <w:rFonts w:cs="Arial"/>
                <w:szCs w:val="20"/>
                <w:highlight w:val="lightGray"/>
                <w:lang w:eastAsia="es-CO"/>
              </w:rPr>
              <w:t>[Incluir</w:t>
            </w:r>
            <w:r w:rsidRPr="004C31EB">
              <w:rPr>
                <w:rFonts w:eastAsia="Arial,Times New Roman" w:cs="Arial"/>
                <w:szCs w:val="20"/>
                <w:highlight w:val="lightGray"/>
                <w:lang w:eastAsia="es-CO"/>
              </w:rPr>
              <w:t xml:space="preserve"> </w:t>
            </w:r>
            <w:r w:rsidRPr="004C31EB">
              <w:rPr>
                <w:rFonts w:cs="Arial"/>
                <w:szCs w:val="20"/>
                <w:highlight w:val="lightGray"/>
                <w:lang w:eastAsia="es-CO"/>
              </w:rPr>
              <w:t>descripción]</w:t>
            </w:r>
          </w:p>
        </w:tc>
      </w:tr>
    </w:tbl>
    <w:p w14:paraId="369579B0" w14:textId="77777777" w:rsidR="00C20392" w:rsidRDefault="00C20392" w:rsidP="00C20392">
      <w:pPr>
        <w:spacing w:after="0" w:line="276" w:lineRule="auto"/>
        <w:ind w:left="709" w:right="709"/>
        <w:jc w:val="both"/>
        <w:rPr>
          <w:rFonts w:ascii="Verdana" w:eastAsia="Arial" w:hAnsi="Verdana" w:cs="Arial"/>
          <w:sz w:val="20"/>
          <w:szCs w:val="20"/>
        </w:rPr>
      </w:pPr>
      <w:r>
        <w:rPr>
          <w:rFonts w:ascii="Verdana" w:eastAsia="Arial" w:hAnsi="Verdana" w:cs="Arial"/>
          <w:sz w:val="20"/>
          <w:szCs w:val="20"/>
        </w:rPr>
        <w:t>[…]”.</w:t>
      </w:r>
    </w:p>
    <w:p w14:paraId="1F6A29C2" w14:textId="77777777" w:rsidR="00C20392" w:rsidRDefault="00C20392" w:rsidP="00C20392">
      <w:pPr>
        <w:spacing w:after="0" w:line="276" w:lineRule="auto"/>
        <w:ind w:right="709"/>
        <w:jc w:val="both"/>
        <w:rPr>
          <w:rFonts w:ascii="Verdana" w:eastAsia="Arial" w:hAnsi="Verdana" w:cs="Arial"/>
          <w:sz w:val="20"/>
          <w:szCs w:val="20"/>
        </w:rPr>
      </w:pPr>
    </w:p>
    <w:p w14:paraId="46D0C2A1" w14:textId="77777777" w:rsidR="00C20392" w:rsidRDefault="00C20392" w:rsidP="00C20392">
      <w:pPr>
        <w:spacing w:after="0" w:line="276" w:lineRule="auto"/>
        <w:jc w:val="both"/>
        <w:rPr>
          <w:rFonts w:ascii="Verdana" w:eastAsia="Arial" w:hAnsi="Verdana" w:cs="Arial"/>
        </w:rPr>
      </w:pPr>
      <w:r>
        <w:rPr>
          <w:rFonts w:ascii="Verdana" w:eastAsia="Arial" w:hAnsi="Verdana" w:cs="Arial"/>
        </w:rPr>
        <w:tab/>
        <w:t>Como se observa, las Entidades Estatales que adelanten un proceso de contratación en aplicación de los Documentos Tipo de licitación de obra pública de infraestructura de transporte – Versión 4, se encuentran habilitadas por el numeral 1.4 del “Documento Base” para determinar el nivel del Clasificador de Bienes y Servicios de las Naciones Unidas (UNSPC) respetando los límites allí señalados, es decir, podrán elegir entre el nivel cuatro (4) o el nivel tres (3), según el caso, sin que ello constituya una violación a la regla de inalterabilidad de los Documentos Tipo.</w:t>
      </w:r>
    </w:p>
    <w:p w14:paraId="51C77B72" w14:textId="77777777" w:rsidR="00C20392" w:rsidRPr="0086202B" w:rsidRDefault="00C20392" w:rsidP="00C20392">
      <w:pPr>
        <w:spacing w:after="0" w:line="276" w:lineRule="auto"/>
        <w:jc w:val="both"/>
        <w:rPr>
          <w:rFonts w:ascii="Verdana" w:eastAsia="Calibri" w:hAnsi="Verdana" w:cs="Times New Roman"/>
        </w:rPr>
      </w:pPr>
    </w:p>
    <w:p w14:paraId="6CD79FE6" w14:textId="77777777" w:rsidR="00C20392" w:rsidRDefault="00C20392" w:rsidP="00C20392">
      <w:pPr>
        <w:widowControl w:val="0"/>
        <w:autoSpaceDE w:val="0"/>
        <w:autoSpaceDN w:val="0"/>
        <w:spacing w:after="120" w:line="276" w:lineRule="auto"/>
        <w:jc w:val="both"/>
        <w:rPr>
          <w:rFonts w:ascii="Verdana" w:eastAsia="Calibri" w:hAnsi="Verdana" w:cs="Arial"/>
        </w:rPr>
      </w:pPr>
      <w:r w:rsidRPr="0086202B">
        <w:rPr>
          <w:rFonts w:ascii="Verdana" w:eastAsia="Calibri" w:hAnsi="Verdana" w:cs="Arial"/>
          <w:iCs/>
        </w:rPr>
        <w:t>i</w:t>
      </w:r>
      <w:r>
        <w:rPr>
          <w:rFonts w:ascii="Verdana" w:eastAsia="Calibri" w:hAnsi="Verdana" w:cs="Arial"/>
          <w:iCs/>
        </w:rPr>
        <w:t>ii</w:t>
      </w:r>
      <w:r w:rsidRPr="0086202B">
        <w:rPr>
          <w:rFonts w:ascii="Verdana" w:eastAsia="Calibri" w:hAnsi="Verdana" w:cs="Arial"/>
          <w:iCs/>
        </w:rPr>
        <w:t xml:space="preserve">) Al margen de lo anterior, </w:t>
      </w:r>
      <w:r>
        <w:rPr>
          <w:rFonts w:ascii="Verdana" w:eastAsia="Calibri" w:hAnsi="Verdana" w:cs="Arial"/>
          <w:iCs/>
        </w:rPr>
        <w:t xml:space="preserve">debe advertirse </w:t>
      </w:r>
      <w:r w:rsidRPr="005B394F">
        <w:rPr>
          <w:rFonts w:ascii="Verdana" w:eastAsia="Calibri" w:hAnsi="Verdana" w:cs="Arial"/>
        </w:rPr>
        <w:t xml:space="preserve">que el análisis sobre situaciones derivadas de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271E3271" w14:textId="77777777" w:rsidR="00C20392" w:rsidRPr="0086202B" w:rsidRDefault="00C20392" w:rsidP="00C20392">
      <w:pPr>
        <w:widowControl w:val="0"/>
        <w:autoSpaceDE w:val="0"/>
        <w:autoSpaceDN w:val="0"/>
        <w:spacing w:after="120" w:line="276" w:lineRule="auto"/>
        <w:ind w:firstLine="708"/>
        <w:jc w:val="both"/>
        <w:rPr>
          <w:rFonts w:ascii="Verdana" w:eastAsia="Calibri" w:hAnsi="Verdana" w:cs="Arial"/>
        </w:rPr>
      </w:pPr>
      <w:r w:rsidRPr="0086202B">
        <w:rPr>
          <w:rFonts w:ascii="Verdana" w:eastAsia="Calibri" w:hAnsi="Verdana" w:cs="Arial"/>
        </w:rPr>
        <w:t>Dentro de este marco, la entidad contratante definirá en cada caso concreto lo relacionado con el tema objeto de consulta.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C81E481" w14:textId="77777777" w:rsidR="00C20392" w:rsidRPr="0086202B" w:rsidRDefault="00C20392" w:rsidP="00C20392">
      <w:pPr>
        <w:spacing w:after="0" w:line="276" w:lineRule="auto"/>
        <w:jc w:val="both"/>
        <w:rPr>
          <w:rFonts w:ascii="Verdana" w:eastAsia="Calibri" w:hAnsi="Verdana" w:cs="Arial"/>
          <w:lang w:val="es-ES" w:eastAsia="es-CO"/>
        </w:rPr>
      </w:pPr>
    </w:p>
    <w:p w14:paraId="2E27FF55" w14:textId="77777777" w:rsidR="00C20392" w:rsidRPr="0086202B" w:rsidRDefault="00C20392" w:rsidP="00C20392">
      <w:pPr>
        <w:widowControl w:val="0"/>
        <w:autoSpaceDE w:val="0"/>
        <w:autoSpaceDN w:val="0"/>
        <w:spacing w:before="1" w:after="0" w:line="240" w:lineRule="auto"/>
        <w:outlineLvl w:val="0"/>
        <w:rPr>
          <w:rFonts w:ascii="Verdana" w:eastAsia="Arial" w:hAnsi="Verdana" w:cs="Arial"/>
          <w:b/>
          <w:bCs/>
          <w:lang w:val="es-ES"/>
        </w:rPr>
      </w:pPr>
      <w:r w:rsidRPr="0086202B">
        <w:rPr>
          <w:rFonts w:ascii="Verdana" w:eastAsia="Arial" w:hAnsi="Verdana" w:cs="Arial"/>
          <w:b/>
          <w:bCs/>
          <w:lang w:val="es-ES"/>
        </w:rPr>
        <w:t>4.Referencias normativas, jurisprudenciales y otras fuentes:</w:t>
      </w:r>
    </w:p>
    <w:p w14:paraId="4F7B2AE2" w14:textId="77777777" w:rsidR="00C20392" w:rsidRPr="0086202B" w:rsidRDefault="00C20392" w:rsidP="00C20392">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20392" w:rsidRPr="0086202B" w14:paraId="13218E89" w14:textId="77777777" w:rsidTr="006F6067">
        <w:trPr>
          <w:trHeight w:val="870"/>
        </w:trPr>
        <w:tc>
          <w:tcPr>
            <w:tcW w:w="8647" w:type="dxa"/>
          </w:tcPr>
          <w:p w14:paraId="4328F31F"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Ley 1150 de 2007. Artículo 5</w:t>
            </w:r>
          </w:p>
          <w:p w14:paraId="1503CFFF"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Ley 1882 de 2018. Artículo 5</w:t>
            </w:r>
          </w:p>
          <w:p w14:paraId="4E4F140C" w14:textId="77777777" w:rsidR="00C20392" w:rsidRPr="0086202B" w:rsidRDefault="00C20392" w:rsidP="00C20392">
            <w:pPr>
              <w:numPr>
                <w:ilvl w:val="0"/>
                <w:numId w:val="1"/>
              </w:numPr>
              <w:spacing w:line="278" w:lineRule="auto"/>
              <w:contextualSpacing/>
              <w:jc w:val="both"/>
              <w:rPr>
                <w:rFonts w:ascii="Verdana" w:eastAsia="Aptos" w:hAnsi="Verdana" w:cs="Arial"/>
              </w:rPr>
            </w:pPr>
            <w:r>
              <w:rPr>
                <w:rFonts w:ascii="Verdana" w:eastAsia="Arial" w:hAnsi="Verdana" w:cs="Arial"/>
              </w:rPr>
              <w:t xml:space="preserve">Agencia Nacional de Contratación Pública. Documentos Tipo de licitación de infraestructura de transporte – Versión 4. Disponible </w:t>
            </w:r>
            <w:hyperlink r:id="rId12" w:history="1">
              <w:r w:rsidRPr="00F66949">
                <w:rPr>
                  <w:rStyle w:val="Hipervnculo"/>
                  <w:rFonts w:ascii="Verdana" w:eastAsia="Arial" w:hAnsi="Verdana" w:cs="Arial"/>
                </w:rPr>
                <w:t>aquí</w:t>
              </w:r>
            </w:hyperlink>
          </w:p>
          <w:p w14:paraId="4AC0E2DB"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lastRenderedPageBreak/>
              <w:t>Consejo de Estado. Sección Tercera, Subsección C. Sentencia del 26 de febrero de 2014. C.P. Enrique Gil Botero, Rad. 1999-00113-01 (25.804).</w:t>
            </w:r>
          </w:p>
          <w:p w14:paraId="64CBC4DF"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Consejo de Estado, Sala de Consulta y Servicio Civil, concepto del 6 de noviembre de 2008. C.P. William Zambrano Cetina. Rad. 2008-00079-00(1927).</w:t>
            </w:r>
          </w:p>
          <w:p w14:paraId="784C8CA1"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 xml:space="preserve">Consejo de Estado, Sección Tercera, Subsección C. Sentencia del 26 de febrero de 2011. C.P. Jaime Orlando Santofimio. Rad. 36.408.  </w:t>
            </w:r>
          </w:p>
          <w:p w14:paraId="2BBBF2BA"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 xml:space="preserve">Consejo de Estado, Sección Tercera, Subsección C. Sentencia del 26 de febrero de 2014. C.P. Enrique Gil Botero. Rad. 25.804.  </w:t>
            </w:r>
          </w:p>
          <w:p w14:paraId="645B9552"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Consejo de Estado, Sala de Consulta y Servicio Civil, concepto del 20 de mayo de 2010. C.P. Enrique José Arboleda Perdomo. Rad. 2010-00034-00(1992).</w:t>
            </w:r>
          </w:p>
          <w:p w14:paraId="287C5D22"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RODRÍGUEZ TAMAYO, Mauricio F. Evaluación y rechazo de ofertas en la Ley 80 de 1993. Primera edición. Medellín: Librería Jurídica Sánchez, 2016. pp. 110-111.</w:t>
            </w:r>
          </w:p>
          <w:p w14:paraId="460D9BDF" w14:textId="77777777" w:rsidR="00C20392" w:rsidRPr="0086202B" w:rsidRDefault="00C20392" w:rsidP="00C20392">
            <w:pPr>
              <w:numPr>
                <w:ilvl w:val="0"/>
                <w:numId w:val="1"/>
              </w:numPr>
              <w:spacing w:line="278" w:lineRule="auto"/>
              <w:contextualSpacing/>
              <w:jc w:val="both"/>
              <w:rPr>
                <w:rFonts w:ascii="Verdana" w:eastAsia="Aptos" w:hAnsi="Verdana" w:cs="Arial"/>
              </w:rPr>
            </w:pPr>
            <w:r w:rsidRPr="0086202B">
              <w:rPr>
                <w:rFonts w:ascii="Verdana" w:eastAsia="Aptos" w:hAnsi="Verdana" w:cs="Arial"/>
              </w:rPr>
              <w:t>EXPÓSITO VELEZ, Juan C., El deber de selección objetiva, en: Del contrato estatal a los sistemas de compras públicas, por COVILLA MARTINEZ Juan C. y LOZANO VILLEGAS Germán (Eds.). Universidad Externado de Colombia, Bogotá, 2019. págs. 118-184.</w:t>
            </w:r>
          </w:p>
        </w:tc>
      </w:tr>
    </w:tbl>
    <w:p w14:paraId="0965CD0E" w14:textId="77777777" w:rsidR="00C20392" w:rsidRPr="0086202B" w:rsidRDefault="00C20392" w:rsidP="00C20392">
      <w:pPr>
        <w:widowControl w:val="0"/>
        <w:autoSpaceDE w:val="0"/>
        <w:autoSpaceDN w:val="0"/>
        <w:spacing w:after="0" w:line="276" w:lineRule="auto"/>
        <w:jc w:val="both"/>
        <w:rPr>
          <w:rFonts w:ascii="Verdana" w:eastAsia="Aptos" w:hAnsi="Verdana" w:cs="Arial"/>
        </w:rPr>
      </w:pPr>
    </w:p>
    <w:p w14:paraId="217836CE" w14:textId="77777777" w:rsidR="00C20392" w:rsidRPr="0086202B" w:rsidRDefault="00C20392" w:rsidP="00C20392">
      <w:pPr>
        <w:widowControl w:val="0"/>
        <w:autoSpaceDE w:val="0"/>
        <w:autoSpaceDN w:val="0"/>
        <w:spacing w:before="1" w:after="0" w:line="276" w:lineRule="auto"/>
        <w:outlineLvl w:val="0"/>
        <w:rPr>
          <w:rFonts w:ascii="Verdana" w:eastAsia="Arial" w:hAnsi="Verdana" w:cs="Arial"/>
          <w:b/>
          <w:bCs/>
          <w:lang w:val="es-ES"/>
        </w:rPr>
      </w:pPr>
      <w:r w:rsidRPr="0086202B">
        <w:rPr>
          <w:rFonts w:ascii="Verdana" w:eastAsia="Arial" w:hAnsi="Verdana" w:cs="Arial"/>
          <w:b/>
          <w:bCs/>
          <w:lang w:val="es-ES"/>
        </w:rPr>
        <w:t>5. Doctrina de la Agencia Nacional de Contratación Pública:</w:t>
      </w:r>
    </w:p>
    <w:p w14:paraId="1BDB3077" w14:textId="77777777" w:rsidR="00C20392" w:rsidRPr="0086202B" w:rsidRDefault="00C20392" w:rsidP="00C20392">
      <w:pPr>
        <w:widowControl w:val="0"/>
        <w:autoSpaceDE w:val="0"/>
        <w:autoSpaceDN w:val="0"/>
        <w:spacing w:after="0" w:line="276" w:lineRule="auto"/>
        <w:jc w:val="both"/>
        <w:rPr>
          <w:rFonts w:ascii="Verdana" w:eastAsia="Aptos" w:hAnsi="Verdana" w:cs="Arial"/>
        </w:rPr>
      </w:pPr>
    </w:p>
    <w:p w14:paraId="42DEFE7A" w14:textId="77777777" w:rsidR="00C20392" w:rsidRPr="0086202B" w:rsidRDefault="00C20392" w:rsidP="00C20392">
      <w:pPr>
        <w:widowControl w:val="0"/>
        <w:autoSpaceDE w:val="0"/>
        <w:autoSpaceDN w:val="0"/>
        <w:spacing w:after="0" w:line="276" w:lineRule="auto"/>
        <w:jc w:val="both"/>
        <w:rPr>
          <w:rFonts w:ascii="Verdana" w:eastAsia="Aptos" w:hAnsi="Verdana" w:cs="Arial"/>
          <w:shd w:val="clear" w:color="auto" w:fill="FFFFFF"/>
          <w:lang w:val="es-ES"/>
        </w:rPr>
      </w:pPr>
      <w:r w:rsidRPr="0086202B">
        <w:rPr>
          <w:rFonts w:ascii="Verdana" w:eastAsia="Aptos" w:hAnsi="Verdana" w:cs="Arial"/>
          <w:shd w:val="clear" w:color="auto" w:fill="FFFFFF"/>
          <w:lang w:val="es-ES"/>
        </w:rPr>
        <w:t xml:space="preserve">Esta Subdirección se ha pronunciado sobre la regla de subsanabilidad en los conceptos C-716 del 23 de enero de 2022, C-728 del 26 de enero de 2022, C-753 del 6 de febrero de 2022, C-114 del 22 de marzo de 2022, C-140 del 28 de marzo de 2022, C-162 del 5 de abril de 2022, C-285 del 20 de mayo de 2022, C-343 del 31 de mayo de 2022, C-381 del 15 de julio de 2022, C-416 del 30 de junio de 2022, C-431 del 7 de julio de 2022, C-434 del 8 de julio de 2022, C-542 del 23 de agosto de 2022, C-595 del 9 de septiembre de 2022, C-772 del 28 de noviembre de 2022, C-793 del 21 de noviembre de 2022, C-923 del 27 de diciembre de 2022, C-965 del 27 de enero de 2023, C-058 del 10 de mayo de 2023, C-082 del 19 de abril de 2023, C-216 del 6 de junio de 2023, C-304 del 4 de julio de 2023, C-051 del 21 de febrero de 2026, entre otros. </w:t>
      </w:r>
      <w:r w:rsidRPr="0086202B">
        <w:rPr>
          <w:rFonts w:ascii="Verdana" w:eastAsia="Calibri" w:hAnsi="Verdana" w:cs="Arial"/>
          <w:bCs/>
          <w:shd w:val="clear" w:color="auto" w:fill="FFFFFF"/>
          <w:lang w:val="es-ES"/>
        </w:rPr>
        <w:t xml:space="preserve">En tal sentido, recoge los conceptos expuestos, sin perjuicio de otras consideraciones. </w:t>
      </w:r>
      <w:r w:rsidRPr="0086202B">
        <w:rPr>
          <w:rFonts w:ascii="Verdana" w:eastAsia="Aptos" w:hAnsi="Verdana" w:cs="Arial"/>
          <w:shd w:val="clear" w:color="auto" w:fill="FFFFFF"/>
          <w:lang w:val="es-ES"/>
        </w:rPr>
        <w:t xml:space="preserve">Estos y otros conceptos se encuentran disponibles para consulta en el Sistema </w:t>
      </w:r>
      <w:r w:rsidRPr="0086202B">
        <w:rPr>
          <w:rFonts w:ascii="Verdana" w:eastAsia="Aptos" w:hAnsi="Verdana" w:cs="Arial"/>
          <w:shd w:val="clear" w:color="auto" w:fill="FFFFFF"/>
          <w:lang w:val="es-ES"/>
        </w:rPr>
        <w:lastRenderedPageBreak/>
        <w:t xml:space="preserve">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86202B">
          <w:rPr>
            <w:rFonts w:ascii="Verdana" w:eastAsia="Aptos" w:hAnsi="Verdana" w:cs="Arial"/>
            <w:u w:val="single"/>
            <w:shd w:val="clear" w:color="auto" w:fill="FFFFFF"/>
            <w:lang w:val="es-ES"/>
          </w:rPr>
          <w:t>https://relatoria.colombiacompra.gov.co/</w:t>
        </w:r>
      </w:hyperlink>
      <w:r w:rsidRPr="0086202B">
        <w:rPr>
          <w:rFonts w:ascii="Verdana" w:eastAsia="Aptos" w:hAnsi="Verdana" w:cs="Arial"/>
          <w:shd w:val="clear" w:color="auto" w:fill="FFFFFF"/>
          <w:lang w:val="es-ES"/>
        </w:rPr>
        <w:t xml:space="preserve">. </w:t>
      </w:r>
    </w:p>
    <w:p w14:paraId="7FD55F77" w14:textId="77777777" w:rsidR="00C20392" w:rsidRPr="0086202B" w:rsidRDefault="00C20392" w:rsidP="00C20392">
      <w:pPr>
        <w:spacing w:before="120" w:after="120" w:line="276" w:lineRule="auto"/>
        <w:ind w:firstLine="709"/>
        <w:jc w:val="both"/>
        <w:rPr>
          <w:rFonts w:ascii="Verdana" w:eastAsia="Aptos" w:hAnsi="Verdana" w:cs="Times New Roman"/>
        </w:rPr>
      </w:pPr>
      <w:r w:rsidRPr="0086202B">
        <w:rPr>
          <w:rFonts w:ascii="Verdana" w:eastAsia="Aptos" w:hAnsi="Verdana" w:cs="Times New Roman"/>
        </w:rPr>
        <w:t xml:space="preserve">La sostenibilidad no es una opción, es una obligación. Por ello, la Agencia Nacional de Contratación Pública –Colombia Compra Eficiente– te invita a realizar el </w:t>
      </w:r>
      <w:r w:rsidRPr="0086202B">
        <w:rPr>
          <w:rFonts w:ascii="Verdana" w:eastAsia="Aptos" w:hAnsi="Verdana" w:cs="Times New Roman"/>
          <w:b/>
          <w:bCs/>
        </w:rPr>
        <w:t>Curso de Contratación Pública Sostenible y Socialmente Responsable</w:t>
      </w:r>
      <w:r w:rsidRPr="0086202B">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86202B">
        <w:rPr>
          <w:rFonts w:ascii="Verdana" w:eastAsia="Aptos" w:hAnsi="Verdana" w:cs="Times New Roman"/>
        </w:rPr>
        <w:br/>
      </w:r>
      <w:hyperlink r:id="rId14" w:tgtFrame="_new" w:history="1">
        <w:r w:rsidRPr="0086202B">
          <w:rPr>
            <w:rFonts w:ascii="Verdana" w:eastAsia="Aptos" w:hAnsi="Verdana" w:cs="Times New Roman"/>
            <w:u w:val="single"/>
          </w:rPr>
          <w:t>https://formacionvirtual.colombiacompra.gov.co/mod/page/view.php?id=3718</w:t>
        </w:r>
      </w:hyperlink>
    </w:p>
    <w:p w14:paraId="37BC4D92" w14:textId="77777777" w:rsidR="00C20392" w:rsidRPr="0086202B" w:rsidRDefault="00C20392" w:rsidP="00C20392">
      <w:pPr>
        <w:spacing w:line="276" w:lineRule="auto"/>
        <w:ind w:firstLine="708"/>
        <w:jc w:val="both"/>
        <w:rPr>
          <w:rFonts w:ascii="Verdana" w:eastAsia="Aptos" w:hAnsi="Verdana" w:cs="Times New Roman"/>
        </w:rPr>
      </w:pPr>
      <w:r w:rsidRPr="0086202B">
        <w:rPr>
          <w:rFonts w:ascii="Verdana" w:eastAsia="Aptos" w:hAnsi="Verdana" w:cs="Times New Roman"/>
        </w:rPr>
        <w:t xml:space="preserve">De otro lado, te contamos que esta Agencia ha da un paso decisivo en la estandarización y modernización del </w:t>
      </w:r>
      <w:r w:rsidRPr="0086202B">
        <w:rPr>
          <w:rFonts w:ascii="Verdana" w:eastAsia="Aptos" w:hAnsi="Verdana" w:cs="Times New Roman"/>
          <w:b/>
          <w:bCs/>
        </w:rPr>
        <w:t>sector  social</w:t>
      </w:r>
      <w:r w:rsidRPr="0086202B">
        <w:rPr>
          <w:rFonts w:ascii="Verdana" w:eastAsia="Aptos" w:hAnsi="Verdana" w:cs="Times New Roman"/>
        </w:rPr>
        <w:t xml:space="preserve"> con la expedición de las </w:t>
      </w:r>
      <w:r w:rsidRPr="0086202B">
        <w:rPr>
          <w:rFonts w:ascii="Verdana" w:eastAsia="Aptos" w:hAnsi="Verdana" w:cs="Times New Roman"/>
          <w:b/>
          <w:bCs/>
        </w:rPr>
        <w:t>Resoluciones 539, 540, 541, 952 y 953 de 2025</w:t>
      </w:r>
      <w:r w:rsidRPr="0086202B">
        <w:rPr>
          <w:rFonts w:ascii="Verdana" w:eastAsia="Aptos" w:hAnsi="Verdana" w:cs="Times New Roman"/>
        </w:rPr>
        <w:t xml:space="preserve">, </w:t>
      </w:r>
      <w:r w:rsidRPr="0086202B">
        <w:rPr>
          <w:rFonts w:ascii="Verdana" w:eastAsia="Aptos" w:hAnsi="Verdana" w:cs="Times New Roman"/>
          <w:b/>
          <w:bCs/>
        </w:rPr>
        <w:t>mediante las cuales adoptó Documentos Tipo</w:t>
      </w:r>
      <w:r w:rsidRPr="0086202B">
        <w:rPr>
          <w:rFonts w:ascii="Verdana" w:eastAsia="Aptos" w:hAnsi="Verdana" w:cs="Times New Roman"/>
        </w:rPr>
        <w:t xml:space="preserve"> para las modalidades de selección de</w:t>
      </w:r>
      <w:r w:rsidRPr="0086202B">
        <w:rPr>
          <w:rFonts w:ascii="Verdana" w:eastAsia="Aptos" w:hAnsi="Verdana" w:cs="Times New Roman"/>
          <w:b/>
          <w:bCs/>
        </w:rPr>
        <w:t xml:space="preserve"> licitación pública (versión 2), selección abreviada de menor cuantía, mínima cuantía, consultoría e interventoría</w:t>
      </w:r>
      <w:r w:rsidRPr="0086202B">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86202B">
          <w:rPr>
            <w:rFonts w:ascii="Verdana" w:eastAsia="Aptos" w:hAnsi="Verdana" w:cs="Times New Roman"/>
            <w:u w:val="single"/>
          </w:rPr>
          <w:t>https://www.colombiacompra.gov.co/normativa-y-relatoria/documentos-tipo</w:t>
        </w:r>
      </w:hyperlink>
    </w:p>
    <w:p w14:paraId="4DF89EE6" w14:textId="77777777" w:rsidR="00C20392" w:rsidRPr="0086202B" w:rsidRDefault="00C20392" w:rsidP="00C20392">
      <w:pPr>
        <w:spacing w:after="0" w:line="276" w:lineRule="auto"/>
        <w:ind w:firstLine="708"/>
        <w:jc w:val="both"/>
        <w:rPr>
          <w:rFonts w:ascii="Verdana" w:eastAsia="Aptos" w:hAnsi="Verdana" w:cs="Times New Roman"/>
        </w:rPr>
      </w:pPr>
      <w:r w:rsidRPr="0086202B">
        <w:rPr>
          <w:rFonts w:ascii="Verdana" w:eastAsia="Aptos" w:hAnsi="Verdana" w:cs="Times New Roman"/>
        </w:rPr>
        <w:t xml:space="preserve">Si quieres conocer más sobre la aplicación de Documentos Tipo puedes consultar la última versión de la </w:t>
      </w:r>
      <w:r w:rsidRPr="0086202B">
        <w:rPr>
          <w:rFonts w:ascii="Verdana" w:eastAsia="Aptos" w:hAnsi="Verdana" w:cs="Times New Roman"/>
          <w:b/>
          <w:bCs/>
        </w:rPr>
        <w:t>Guía para la comprensión e implementación de los Documentos Tipo de obra pública de infraestructura de transporte</w:t>
      </w:r>
      <w:r w:rsidRPr="0086202B">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86202B">
        <w:rPr>
          <w:rFonts w:ascii="Verdana" w:eastAsia="Aptos" w:hAnsi="Verdana" w:cs="Times New Roman"/>
        </w:rPr>
        <w:br/>
      </w:r>
      <w:hyperlink r:id="rId16" w:tgtFrame="_new" w:history="1">
        <w:r w:rsidRPr="0086202B">
          <w:rPr>
            <w:rFonts w:ascii="Verdana" w:eastAsia="Aptos" w:hAnsi="Verdana" w:cs="Times New Roman"/>
            <w:u w:val="single"/>
          </w:rPr>
          <w:t>https://www.colombiacompra.gov.co/archivos/manual/guia-para-la-comprension-e-implementacion-de-los-documentos-tipo-de-obra-publica-de-infraestructura-de-transporte-bajo-las-diferentes-modalidades-de-contratacion-vigentes</w:t>
        </w:r>
      </w:hyperlink>
    </w:p>
    <w:p w14:paraId="55F4B49F" w14:textId="77777777" w:rsidR="00C20392" w:rsidRPr="0086202B" w:rsidRDefault="00C20392" w:rsidP="00C20392">
      <w:pPr>
        <w:spacing w:before="120" w:after="0" w:line="276" w:lineRule="auto"/>
        <w:ind w:firstLine="708"/>
        <w:jc w:val="both"/>
        <w:rPr>
          <w:rFonts w:ascii="Verdana" w:eastAsia="Aptos" w:hAnsi="Verdana" w:cs="Times New Roman"/>
        </w:rPr>
      </w:pPr>
      <w:r w:rsidRPr="0086202B">
        <w:rPr>
          <w:rFonts w:ascii="Verdana" w:eastAsia="Aptos" w:hAnsi="Verdana" w:cs="Times New Roman"/>
        </w:rPr>
        <w:lastRenderedPageBreak/>
        <w:t xml:space="preserve">Por último, lo invitamos a seguirnos en las redes sociales en las cuales se difunde información institucional: </w:t>
      </w:r>
    </w:p>
    <w:p w14:paraId="27C21426" w14:textId="77777777" w:rsidR="00C20392" w:rsidRPr="0086202B" w:rsidRDefault="00C20392" w:rsidP="00C20392">
      <w:pPr>
        <w:spacing w:after="0" w:line="276" w:lineRule="auto"/>
        <w:jc w:val="both"/>
        <w:rPr>
          <w:rFonts w:ascii="Verdana" w:eastAsia="Aptos" w:hAnsi="Verdana" w:cs="Times New Roman"/>
        </w:rPr>
      </w:pPr>
    </w:p>
    <w:p w14:paraId="5B8BCE38" w14:textId="77777777" w:rsidR="00C20392" w:rsidRPr="0086202B" w:rsidRDefault="00C20392" w:rsidP="00C20392">
      <w:pPr>
        <w:spacing w:after="0" w:line="276" w:lineRule="auto"/>
        <w:jc w:val="both"/>
        <w:rPr>
          <w:rFonts w:ascii="Verdana" w:eastAsia="Aptos" w:hAnsi="Verdana" w:cs="Times New Roman"/>
        </w:rPr>
      </w:pPr>
      <w:r w:rsidRPr="0086202B">
        <w:rPr>
          <w:rFonts w:ascii="Verdana" w:eastAsia="Aptos" w:hAnsi="Verdana" w:cs="Times New Roman"/>
        </w:rPr>
        <w:t xml:space="preserve">Twitter: </w:t>
      </w:r>
      <w:r w:rsidRPr="0086202B">
        <w:rPr>
          <w:rFonts w:ascii="Verdana" w:eastAsia="Aptos" w:hAnsi="Verdana" w:cs="Arial"/>
          <w:u w:val="single"/>
          <w:shd w:val="clear" w:color="auto" w:fill="FFFFFF"/>
          <w:lang w:val="es-ES"/>
        </w:rPr>
        <w:t>@colombiacompra</w:t>
      </w:r>
      <w:r w:rsidRPr="0086202B">
        <w:rPr>
          <w:rFonts w:ascii="Verdana" w:eastAsia="Aptos" w:hAnsi="Verdana" w:cs="Times New Roman"/>
        </w:rPr>
        <w:t xml:space="preserve"> </w:t>
      </w:r>
    </w:p>
    <w:p w14:paraId="1D732113" w14:textId="77777777" w:rsidR="00C20392" w:rsidRPr="0086202B" w:rsidRDefault="00C20392" w:rsidP="00C20392">
      <w:pPr>
        <w:spacing w:after="0" w:line="276" w:lineRule="auto"/>
        <w:jc w:val="both"/>
        <w:rPr>
          <w:rFonts w:ascii="Verdana" w:eastAsia="Aptos" w:hAnsi="Verdana" w:cs="Times New Roman"/>
        </w:rPr>
      </w:pPr>
      <w:r w:rsidRPr="0086202B">
        <w:rPr>
          <w:rFonts w:ascii="Verdana" w:eastAsia="Aptos" w:hAnsi="Verdana" w:cs="Times New Roman"/>
        </w:rPr>
        <w:t xml:space="preserve">Facebook: </w:t>
      </w:r>
      <w:r w:rsidRPr="0086202B">
        <w:rPr>
          <w:rFonts w:ascii="Verdana" w:eastAsia="Aptos" w:hAnsi="Verdana" w:cs="Arial"/>
          <w:u w:val="single"/>
          <w:shd w:val="clear" w:color="auto" w:fill="FFFFFF"/>
          <w:lang w:val="es-ES"/>
        </w:rPr>
        <w:t>ColombiaCompraEficiente</w:t>
      </w:r>
    </w:p>
    <w:p w14:paraId="64C88A80" w14:textId="77777777" w:rsidR="00C20392" w:rsidRPr="0086202B" w:rsidRDefault="00C20392" w:rsidP="00C20392">
      <w:pPr>
        <w:spacing w:after="0" w:line="276" w:lineRule="auto"/>
        <w:jc w:val="both"/>
        <w:rPr>
          <w:rFonts w:ascii="Verdana" w:eastAsia="Aptos" w:hAnsi="Verdana" w:cs="Times New Roman"/>
        </w:rPr>
      </w:pPr>
      <w:r w:rsidRPr="0086202B">
        <w:rPr>
          <w:rFonts w:ascii="Verdana" w:eastAsia="Aptos" w:hAnsi="Verdana" w:cs="Times New Roman"/>
        </w:rPr>
        <w:t xml:space="preserve">LinkedIn: </w:t>
      </w:r>
      <w:r w:rsidRPr="0086202B">
        <w:rPr>
          <w:rFonts w:ascii="Verdana" w:eastAsia="Aptos" w:hAnsi="Verdana" w:cs="Arial"/>
          <w:u w:val="single"/>
          <w:shd w:val="clear" w:color="auto" w:fill="FFFFFF"/>
          <w:lang w:val="es-ES"/>
        </w:rPr>
        <w:t>Agencia Nacional de Contratación Pública - Colombia Compra Eficiente</w:t>
      </w:r>
      <w:r w:rsidRPr="0086202B">
        <w:rPr>
          <w:rFonts w:ascii="Verdana" w:eastAsia="Aptos" w:hAnsi="Verdana" w:cs="Times New Roman"/>
        </w:rPr>
        <w:t xml:space="preserve"> Instagram: </w:t>
      </w:r>
      <w:r w:rsidRPr="0086202B">
        <w:rPr>
          <w:rFonts w:ascii="Verdana" w:eastAsia="Aptos" w:hAnsi="Verdana" w:cs="Arial"/>
          <w:u w:val="single"/>
          <w:shd w:val="clear" w:color="auto" w:fill="FFFFFF"/>
          <w:lang w:val="es-ES"/>
        </w:rPr>
        <w:t>@colombiacompraeficiente_cce</w:t>
      </w:r>
    </w:p>
    <w:p w14:paraId="7C763DF8" w14:textId="77777777" w:rsidR="00C20392" w:rsidRPr="0086202B" w:rsidRDefault="00C20392" w:rsidP="00C20392">
      <w:pPr>
        <w:widowControl w:val="0"/>
        <w:autoSpaceDE w:val="0"/>
        <w:autoSpaceDN w:val="0"/>
        <w:spacing w:after="0" w:line="276" w:lineRule="auto"/>
        <w:jc w:val="both"/>
        <w:rPr>
          <w:rFonts w:ascii="Verdana" w:eastAsia="Aptos" w:hAnsi="Verdana" w:cs="Arial"/>
        </w:rPr>
      </w:pPr>
    </w:p>
    <w:p w14:paraId="5F343B64" w14:textId="77777777" w:rsidR="00C20392" w:rsidRPr="0086202B" w:rsidRDefault="00C20392" w:rsidP="00C20392">
      <w:pPr>
        <w:widowControl w:val="0"/>
        <w:autoSpaceDE w:val="0"/>
        <w:autoSpaceDN w:val="0"/>
        <w:spacing w:after="0" w:line="276" w:lineRule="auto"/>
        <w:jc w:val="both"/>
        <w:rPr>
          <w:rFonts w:ascii="Verdana" w:eastAsia="Aptos" w:hAnsi="Verdana" w:cs="Arial"/>
          <w:lang w:val="es-ES_tradnl"/>
        </w:rPr>
      </w:pPr>
      <w:r w:rsidRPr="0086202B">
        <w:rPr>
          <w:rFonts w:ascii="Verdana" w:eastAsia="Aptos" w:hAnsi="Verdana" w:cs="Arial"/>
        </w:rPr>
        <w:t xml:space="preserve">Este concepto tiene el alcance previsto en el artículo 28 del Código de Procedimiento Administrativo y de lo Contencioso Administrativo </w:t>
      </w:r>
      <w:r w:rsidRPr="0086202B">
        <w:rPr>
          <w:rFonts w:ascii="Verdana" w:eastAsia="Aptos" w:hAnsi="Verdana" w:cs="Arial"/>
          <w:lang w:val="es-ES_tradnl"/>
        </w:rPr>
        <w:t>y las expresiones aquí utilizadas con mayúscula inicial deben ser entendidas con el significado que les otorga el artículo 2.2.1.1.1.3.1. del Decreto 1082 de 2015.</w:t>
      </w:r>
    </w:p>
    <w:p w14:paraId="71D76589" w14:textId="77777777" w:rsidR="00C20392" w:rsidRPr="0086202B" w:rsidRDefault="00C20392" w:rsidP="00C20392">
      <w:pPr>
        <w:widowControl w:val="0"/>
        <w:autoSpaceDE w:val="0"/>
        <w:autoSpaceDN w:val="0"/>
        <w:spacing w:after="0" w:line="276" w:lineRule="auto"/>
        <w:jc w:val="both"/>
        <w:rPr>
          <w:rFonts w:ascii="Verdana" w:eastAsia="Aptos" w:hAnsi="Verdana" w:cs="Arial"/>
        </w:rPr>
      </w:pPr>
    </w:p>
    <w:p w14:paraId="6F5F1C6C" w14:textId="77777777" w:rsidR="00C20392" w:rsidRPr="0086202B" w:rsidRDefault="00C20392" w:rsidP="00C20392">
      <w:pPr>
        <w:spacing w:after="0" w:line="276" w:lineRule="auto"/>
        <w:rPr>
          <w:rFonts w:ascii="Verdana" w:eastAsia="Aptos" w:hAnsi="Verdana" w:cs="Arial"/>
          <w:lang w:eastAsia="es-CO"/>
        </w:rPr>
      </w:pPr>
      <w:r w:rsidRPr="0086202B">
        <w:rPr>
          <w:rFonts w:ascii="Verdana" w:eastAsia="Times New Roman" w:hAnsi="Verdana" w:cs="Arial"/>
          <w:lang w:eastAsia="es-CO"/>
        </w:rPr>
        <w:t>Atentamente,</w:t>
      </w:r>
      <w:r w:rsidRPr="0086202B">
        <w:rPr>
          <w:rFonts w:ascii="Verdana" w:eastAsia="Aptos" w:hAnsi="Verdana" w:cs="Arial"/>
          <w:lang w:eastAsia="es-CO"/>
        </w:rPr>
        <w:t xml:space="preserve"> </w:t>
      </w:r>
    </w:p>
    <w:p w14:paraId="2ED24B8E" w14:textId="77777777" w:rsidR="00C20392" w:rsidRPr="0086202B" w:rsidRDefault="00C20392" w:rsidP="00C20392">
      <w:pPr>
        <w:spacing w:after="0" w:line="276" w:lineRule="auto"/>
        <w:jc w:val="center"/>
        <w:rPr>
          <w:rFonts w:ascii="Verdana" w:eastAsia="Aptos" w:hAnsi="Verdana" w:cs="Arial"/>
          <w:lang w:val="es-ES_tradnl" w:eastAsia="es-CO"/>
        </w:rPr>
      </w:pPr>
    </w:p>
    <w:p w14:paraId="54A944DA" w14:textId="58B9DA60" w:rsidR="00C20392" w:rsidRPr="0086202B" w:rsidRDefault="00212619" w:rsidP="00C20392">
      <w:pPr>
        <w:spacing w:after="0" w:line="276" w:lineRule="auto"/>
        <w:jc w:val="center"/>
        <w:rPr>
          <w:rFonts w:ascii="Verdana" w:eastAsia="Aptos" w:hAnsi="Verdana" w:cs="Arial"/>
          <w:lang w:val="es-ES_tradnl" w:eastAsia="es-CO"/>
        </w:rPr>
      </w:pPr>
      <w:r>
        <w:rPr>
          <w:noProof/>
        </w:rPr>
        <w:drawing>
          <wp:inline distT="0" distB="0" distL="0" distR="0" wp14:anchorId="19ED486B" wp14:editId="45C95B21">
            <wp:extent cx="3771900" cy="1409700"/>
            <wp:effectExtent l="0" t="0" r="0" b="0"/>
            <wp:docPr id="187184895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C20392" w:rsidRPr="0086202B" w14:paraId="59552AC4" w14:textId="77777777" w:rsidTr="006F6067">
        <w:trPr>
          <w:trHeight w:val="286"/>
        </w:trPr>
        <w:tc>
          <w:tcPr>
            <w:tcW w:w="901" w:type="dxa"/>
            <w:vAlign w:val="center"/>
            <w:hideMark/>
          </w:tcPr>
          <w:p w14:paraId="7CC336DC"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681C83B1"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Nasly Yeana Mosquera Rivas</w:t>
            </w:r>
          </w:p>
          <w:p w14:paraId="28F4FB30"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Analista T2–06 de la Subdirección de Gestión Contractual</w:t>
            </w:r>
          </w:p>
        </w:tc>
      </w:tr>
      <w:tr w:rsidR="00C20392" w:rsidRPr="0086202B" w14:paraId="11AD4E49" w14:textId="77777777" w:rsidTr="006F6067">
        <w:trPr>
          <w:trHeight w:val="299"/>
        </w:trPr>
        <w:tc>
          <w:tcPr>
            <w:tcW w:w="901" w:type="dxa"/>
            <w:vAlign w:val="center"/>
          </w:tcPr>
          <w:p w14:paraId="3356823D"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18CF1A41" w14:textId="77777777" w:rsidR="00C20392" w:rsidRPr="0086202B" w:rsidRDefault="00C20392" w:rsidP="006F6067">
            <w:pPr>
              <w:rPr>
                <w:rFonts w:ascii="Verdana" w:eastAsia="Aptos" w:hAnsi="Verdana" w:cs="Arial"/>
                <w:sz w:val="14"/>
                <w:szCs w:val="14"/>
                <w:lang w:eastAsia="es-ES"/>
              </w:rPr>
            </w:pPr>
            <w:r>
              <w:rPr>
                <w:rFonts w:ascii="Verdana" w:eastAsia="Aptos" w:hAnsi="Verdana" w:cs="Arial"/>
                <w:sz w:val="14"/>
                <w:szCs w:val="14"/>
                <w:lang w:eastAsia="es-ES"/>
              </w:rPr>
              <w:t>Martha Alicia Romero Vargas</w:t>
            </w:r>
          </w:p>
          <w:p w14:paraId="5C2EFD03" w14:textId="77777777" w:rsidR="00C20392" w:rsidRPr="0086202B" w:rsidRDefault="00C20392" w:rsidP="006F6067">
            <w:pPr>
              <w:rPr>
                <w:rFonts w:ascii="Verdana" w:eastAsia="Aptos" w:hAnsi="Verdana" w:cs="Arial"/>
                <w:sz w:val="14"/>
                <w:szCs w:val="14"/>
                <w:lang w:eastAsia="es-ES"/>
              </w:rPr>
            </w:pPr>
            <w:r>
              <w:rPr>
                <w:rFonts w:ascii="Verdana" w:eastAsia="Aptos" w:hAnsi="Verdana" w:cs="Arial"/>
                <w:sz w:val="14"/>
                <w:szCs w:val="14"/>
                <w:lang w:eastAsia="es-ES"/>
              </w:rPr>
              <w:t>Gestor T1 – 11</w:t>
            </w:r>
            <w:r w:rsidRPr="0086202B">
              <w:rPr>
                <w:rFonts w:ascii="Verdana" w:eastAsia="Aptos" w:hAnsi="Verdana" w:cs="Arial"/>
                <w:sz w:val="14"/>
                <w:szCs w:val="14"/>
                <w:lang w:eastAsia="es-ES"/>
              </w:rPr>
              <w:t xml:space="preserve"> de la Subdirección de Gestión Contractual</w:t>
            </w:r>
          </w:p>
        </w:tc>
      </w:tr>
      <w:tr w:rsidR="00C20392" w:rsidRPr="0086202B" w14:paraId="2E618301" w14:textId="77777777" w:rsidTr="006F6067">
        <w:trPr>
          <w:trHeight w:val="272"/>
        </w:trPr>
        <w:tc>
          <w:tcPr>
            <w:tcW w:w="901" w:type="dxa"/>
            <w:vAlign w:val="center"/>
            <w:hideMark/>
          </w:tcPr>
          <w:p w14:paraId="40A0F31A"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799B0934"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Carolina Quintero Gacharná</w:t>
            </w:r>
          </w:p>
          <w:p w14:paraId="4BBD0B26" w14:textId="77777777" w:rsidR="00C20392" w:rsidRPr="0086202B" w:rsidRDefault="00C20392" w:rsidP="006F6067">
            <w:pPr>
              <w:rPr>
                <w:rFonts w:ascii="Verdana" w:eastAsia="Aptos" w:hAnsi="Verdana" w:cs="Arial"/>
                <w:sz w:val="14"/>
                <w:szCs w:val="14"/>
                <w:lang w:eastAsia="es-ES"/>
              </w:rPr>
            </w:pPr>
            <w:r w:rsidRPr="0086202B">
              <w:rPr>
                <w:rFonts w:ascii="Verdana" w:eastAsia="Aptos" w:hAnsi="Verdana" w:cs="Arial"/>
                <w:sz w:val="14"/>
                <w:szCs w:val="14"/>
                <w:lang w:eastAsia="es-ES"/>
              </w:rPr>
              <w:t>Subdirectora de Gestión Contractual ANCP – CCE</w:t>
            </w:r>
          </w:p>
        </w:tc>
      </w:tr>
    </w:tbl>
    <w:p w14:paraId="6DEB7ACD" w14:textId="77777777" w:rsidR="00C20392" w:rsidRPr="0086202B" w:rsidRDefault="00C20392" w:rsidP="00C20392">
      <w:pPr>
        <w:spacing w:after="0" w:line="240" w:lineRule="auto"/>
        <w:rPr>
          <w:rFonts w:ascii="Verdana" w:eastAsia="Times New Roman" w:hAnsi="Verdana" w:cs="Arial"/>
          <w:sz w:val="24"/>
          <w:szCs w:val="24"/>
          <w:lang w:eastAsia="es-ES"/>
        </w:rPr>
      </w:pPr>
    </w:p>
    <w:p w14:paraId="7DD30893" w14:textId="77777777" w:rsidR="00C20392" w:rsidRPr="0086202B" w:rsidRDefault="00C20392" w:rsidP="00C20392">
      <w:pPr>
        <w:rPr>
          <w:rFonts w:ascii="Verdana" w:eastAsia="Aptos" w:hAnsi="Verdana" w:cs="Times New Roman"/>
        </w:rPr>
      </w:pPr>
    </w:p>
    <w:p w14:paraId="23FCE438" w14:textId="77777777" w:rsidR="00C20392" w:rsidRPr="0086202B" w:rsidRDefault="00C20392" w:rsidP="00C20392">
      <w:pPr>
        <w:rPr>
          <w:rFonts w:ascii="Verdana" w:eastAsia="Aptos" w:hAnsi="Verdana" w:cs="Arial"/>
        </w:rPr>
      </w:pPr>
    </w:p>
    <w:p w14:paraId="37CBF2B7" w14:textId="6F3EE27C" w:rsidR="00C20392" w:rsidRPr="000E2B93" w:rsidRDefault="00C20392" w:rsidP="00C20392">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2BF6359F" w14:textId="77777777" w:rsidR="008E5C2E" w:rsidRDefault="008E5C2E"/>
    <w:sectPr w:rsidR="008E5C2E" w:rsidSect="00C20392">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48CA" w14:textId="77777777" w:rsidR="00A45252" w:rsidRDefault="00A45252" w:rsidP="00C20392">
      <w:pPr>
        <w:spacing w:after="0" w:line="240" w:lineRule="auto"/>
      </w:pPr>
      <w:r>
        <w:separator/>
      </w:r>
    </w:p>
  </w:endnote>
  <w:endnote w:type="continuationSeparator" w:id="0">
    <w:p w14:paraId="4D29FAC7" w14:textId="77777777" w:rsidR="00A45252" w:rsidRDefault="00A45252" w:rsidP="00C2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Times New Roman">
    <w:altName w:val="Arial"/>
    <w:charset w:val="00"/>
    <w:family w:val="roman"/>
    <w:pitch w:val="default"/>
  </w:font>
  <w:font w:name="Quattrocento Sans">
    <w:charset w:val="00"/>
    <w:family w:val="swiss"/>
    <w:pitch w:val="variable"/>
    <w:sig w:usb0="800000BF" w:usb1="4000005B"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05D4" w14:textId="77777777" w:rsidR="00C20392" w:rsidRDefault="00C20392">
    <w:pPr>
      <w:pStyle w:val="Piedepgina"/>
    </w:pPr>
  </w:p>
  <w:p w14:paraId="409A7925" w14:textId="77777777" w:rsidR="00C20392" w:rsidRPr="00174B77" w:rsidRDefault="00C20392"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1266633" w14:textId="77777777" w:rsidR="00C20392" w:rsidRDefault="00C20392"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92B5944" w14:textId="77777777" w:rsidR="00C20392" w:rsidRPr="00E41027" w:rsidRDefault="00C20392"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4F0C5C05" w14:textId="77777777" w:rsidR="00C20392" w:rsidRDefault="00C20392"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B3CE9" w14:textId="77777777" w:rsidR="00A45252" w:rsidRDefault="00A45252" w:rsidP="00C20392">
      <w:pPr>
        <w:spacing w:after="0" w:line="240" w:lineRule="auto"/>
      </w:pPr>
      <w:r>
        <w:separator/>
      </w:r>
    </w:p>
  </w:footnote>
  <w:footnote w:type="continuationSeparator" w:id="0">
    <w:p w14:paraId="7FFECE83" w14:textId="77777777" w:rsidR="00A45252" w:rsidRDefault="00A45252" w:rsidP="00C20392">
      <w:pPr>
        <w:spacing w:after="0" w:line="240" w:lineRule="auto"/>
      </w:pPr>
      <w:r>
        <w:continuationSeparator/>
      </w:r>
    </w:p>
  </w:footnote>
  <w:footnote w:id="1">
    <w:p w14:paraId="65CF89CF"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Consejo de Estado. Sección Tercera, Subsección C. Sentencia del 26 de febrero de 2014. C.P. Enrique Gil Botero, Rad. 1999-00113-01 (25.804). </w:t>
      </w:r>
    </w:p>
    <w:p w14:paraId="65E6BDF6"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p>
  </w:footnote>
  <w:footnote w:id="2">
    <w:p w14:paraId="6012788E" w14:textId="77777777" w:rsidR="00C20392" w:rsidRPr="00B1039B" w:rsidRDefault="00C20392" w:rsidP="00C20392">
      <w:pPr>
        <w:pStyle w:val="Textonotapie"/>
        <w:ind w:firstLine="708"/>
        <w:jc w:val="both"/>
        <w:rPr>
          <w:rFonts w:ascii="Verdana" w:hAnsi="Verdana"/>
          <w:sz w:val="18"/>
          <w:szCs w:val="18"/>
          <w:lang w:val="es-CO"/>
        </w:rPr>
      </w:pPr>
      <w:r w:rsidRPr="00B1039B">
        <w:rPr>
          <w:rStyle w:val="Refdenotaalpie"/>
          <w:rFonts w:ascii="Verdana" w:hAnsi="Verdana"/>
          <w:sz w:val="18"/>
          <w:szCs w:val="18"/>
        </w:rPr>
        <w:footnoteRef/>
      </w:r>
      <w:r w:rsidRPr="00B1039B">
        <w:rPr>
          <w:rFonts w:ascii="Verdana" w:hAnsi="Verdana"/>
          <w:sz w:val="18"/>
          <w:szCs w:val="18"/>
        </w:rPr>
        <w:t xml:space="preserve"> Este documento se encuentra disponible para su consulta </w:t>
      </w:r>
      <w:hyperlink r:id="rId1" w:history="1">
        <w:r w:rsidRPr="00B1039B">
          <w:rPr>
            <w:rStyle w:val="Hipervnculo"/>
            <w:rFonts w:ascii="Verdana" w:hAnsi="Verdana"/>
            <w:sz w:val="18"/>
            <w:szCs w:val="18"/>
          </w:rPr>
          <w:t>aquí</w:t>
        </w:r>
      </w:hyperlink>
    </w:p>
  </w:footnote>
  <w:footnote w:id="3">
    <w:p w14:paraId="3FA7D8E5"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vertAlign w:val="superscript"/>
        </w:rPr>
        <w:t xml:space="preserve"> </w:t>
      </w:r>
      <w:r w:rsidRPr="00B1039B">
        <w:rPr>
          <w:rFonts w:ascii="Verdana" w:eastAsia="Arial" w:hAnsi="Verdana" w:cs="Arial"/>
          <w:color w:val="000000"/>
          <w:sz w:val="18"/>
          <w:szCs w:val="18"/>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footnote>
  <w:footnote w:id="4">
    <w:p w14:paraId="2538A5F4" w14:textId="77777777" w:rsidR="00C20392" w:rsidRPr="00B1039B" w:rsidRDefault="00C20392" w:rsidP="00C20392">
      <w:pP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Decreto 2474 de 2008 (DEROGADO): “art. 10. Reglas de subsanabilidad. En todo proceso de selección de contratistas primará lo sustancial sobre lo formal. En consecuencia no podrá rechazarse una propuesta por la ausencia de requisitos o la falta de documentos que verifiquen las condiciones del proponente o soporten el contenido de la oferta, y que no constituyan los factores de escogencia establecidos por la entidad en el pliego de condiciones, de conformidad con lo previsto en los numerales 2º, 3º y 4º del artículo 5º de la </w:t>
      </w:r>
      <w:hyperlink r:id="rId2">
        <w:r w:rsidRPr="00B1039B">
          <w:rPr>
            <w:rFonts w:ascii="Verdana" w:eastAsia="Arial" w:hAnsi="Verdana" w:cs="Arial"/>
            <w:color w:val="000000"/>
            <w:sz w:val="18"/>
            <w:szCs w:val="18"/>
          </w:rPr>
          <w:t>Ley 1150 de 2007</w:t>
        </w:r>
      </w:hyperlink>
      <w:r w:rsidRPr="00B1039B">
        <w:rPr>
          <w:rFonts w:ascii="Verdana" w:eastAsia="Arial" w:hAnsi="Verdana" w:cs="Arial"/>
          <w:color w:val="000000"/>
          <w:sz w:val="18"/>
          <w:szCs w:val="18"/>
        </w:rPr>
        <w:t> y en el presente decreto.</w:t>
      </w:r>
    </w:p>
    <w:p w14:paraId="0943568A" w14:textId="77777777" w:rsidR="00C20392" w:rsidRPr="00B1039B" w:rsidRDefault="00C20392" w:rsidP="00C20392">
      <w:pP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Tales requisitos o documentos podrán ser requeridos por la entidad en condiciones de igualdad para todos los proponentes hasta la adjudicación, o hasta el momento en que la entidad lo establezca en los pliegos de condiciones, sin que tal previsión haga nugatorio el principio contemplado en el inciso anterior.</w:t>
      </w:r>
    </w:p>
    <w:p w14:paraId="775B97E3" w14:textId="77777777" w:rsidR="00C20392" w:rsidRPr="00B1039B" w:rsidRDefault="00C20392" w:rsidP="00C20392">
      <w:pP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Será rechazada la oferta del proponente que dentro del término previsto en el pliego o en la solicitud, no responda al requerimiento que le haga la entidad para subsanarla.</w:t>
      </w:r>
    </w:p>
    <w:p w14:paraId="0FDEE2AB" w14:textId="77777777" w:rsidR="00C20392" w:rsidRPr="00B1039B" w:rsidRDefault="00C20392" w:rsidP="00C20392">
      <w:pP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Cuando se utilice el mecanismo de subasta esta posibilidad deberá ejercerse hasta el momento previo a su realización, de conformidad con el artículo 22 del presente decreto.</w:t>
      </w:r>
    </w:p>
    <w:p w14:paraId="74AA6FB1" w14:textId="77777777" w:rsidR="00C20392" w:rsidRPr="00B1039B" w:rsidRDefault="00C20392" w:rsidP="00C20392">
      <w:pP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 xml:space="preserve">En ningún caso la entidad podrá señalar taxativamente los requisitos o documentos subsanables o no subsanables en el pliego de condiciones, </w:t>
      </w:r>
      <w:r w:rsidRPr="00B1039B">
        <w:rPr>
          <w:rFonts w:ascii="Verdana" w:eastAsia="Arial" w:hAnsi="Verdana" w:cs="Arial"/>
          <w:i/>
          <w:color w:val="000000"/>
          <w:sz w:val="18"/>
          <w:szCs w:val="18"/>
        </w:rPr>
        <w:t>ni permitir que se subsane la falta de capacidad para presentar la oferta, ni que se acrediten circunstancias ocurridas con posterioridad al cierre del proceso</w:t>
      </w:r>
      <w:r w:rsidRPr="00B1039B">
        <w:rPr>
          <w:rFonts w:ascii="Verdana" w:eastAsia="Arial" w:hAnsi="Verdana" w:cs="Arial"/>
          <w:color w:val="000000"/>
          <w:sz w:val="18"/>
          <w:szCs w:val="18"/>
        </w:rPr>
        <w:t xml:space="preserve">”. (Cursivas fuera de texto). </w:t>
      </w:r>
    </w:p>
  </w:footnote>
  <w:footnote w:id="5">
    <w:p w14:paraId="498BD4A2" w14:textId="77777777" w:rsidR="00C20392"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p>
    <w:p w14:paraId="14692418"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Consejo de Estado, Sala de Consulta y Servicio Civil, concepto del 6 de noviembre de 2008. C.P. William Zambrano Cetina. Rad. 2008-00079-00(1927).</w:t>
      </w:r>
    </w:p>
  </w:footnote>
  <w:footnote w:id="6">
    <w:p w14:paraId="209A6D02" w14:textId="77777777" w:rsidR="00C20392"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p>
    <w:p w14:paraId="5F54B9B8"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Consejo de Estado, Sección Tercera, Subsección C. Sentencia del 26 de febrero de 2011. C.P. Jaime Orlando Santofimio. Rad. 36.408.  </w:t>
      </w:r>
    </w:p>
  </w:footnote>
  <w:footnote w:id="7">
    <w:p w14:paraId="5065B96F"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p>
    <w:p w14:paraId="6987BF3F"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Consejo de Estado, Sección Tercera, Subsección C. Sentencia del 26 de febrero de 2014. C.P. Enrique Gil Botero. Rad. 25.804.  </w:t>
      </w:r>
    </w:p>
  </w:footnote>
  <w:footnote w:id="8">
    <w:p w14:paraId="17C0D19F"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Consejo de Estado, Sala de Consulta y Servicio Civil, concepto del 20 de mayo de 2010. C.P. Enrique José Arboleda Perdomo. Rad. 2010-00034-00(1992).</w:t>
      </w:r>
    </w:p>
    <w:p w14:paraId="5B366C4B" w14:textId="77777777" w:rsidR="00C20392" w:rsidRPr="00B1039B" w:rsidRDefault="00C20392" w:rsidP="00C20392">
      <w:pPr>
        <w:pBdr>
          <w:top w:val="nil"/>
          <w:left w:val="nil"/>
          <w:bottom w:val="nil"/>
          <w:right w:val="nil"/>
          <w:between w:val="nil"/>
        </w:pBdr>
        <w:spacing w:after="0"/>
        <w:ind w:firstLine="709"/>
        <w:jc w:val="both"/>
        <w:rPr>
          <w:rFonts w:ascii="Verdana" w:eastAsia="Arial" w:hAnsi="Verdana" w:cs="Arial"/>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678A" w14:textId="77777777" w:rsidR="00C20392" w:rsidRDefault="00C20392"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7667806B" wp14:editId="7BB67B6F">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22AA4730" wp14:editId="7979CBA2">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8C2015B" w14:textId="77777777" w:rsidR="00C20392" w:rsidRDefault="00C20392">
    <w:pPr>
      <w:pStyle w:val="Encabezado"/>
    </w:pPr>
  </w:p>
  <w:p w14:paraId="75BAF34C" w14:textId="77777777" w:rsidR="00C20392" w:rsidRPr="004A305D" w:rsidRDefault="00C20392" w:rsidP="00B01B1A">
    <w:pPr>
      <w:spacing w:after="0" w:line="120" w:lineRule="auto"/>
      <w:rPr>
        <w:rFonts w:ascii="Century Gothic" w:eastAsia="Geo" w:hAnsi="Century Gothic" w:cs="Geo"/>
        <w:sz w:val="16"/>
        <w:szCs w:val="16"/>
        <w:lang w:eastAsia="es-CO"/>
      </w:rPr>
    </w:pPr>
  </w:p>
  <w:p w14:paraId="20149263" w14:textId="77777777" w:rsidR="00C20392" w:rsidRDefault="00C20392" w:rsidP="00844AE9">
    <w:pPr>
      <w:spacing w:after="0" w:line="240" w:lineRule="auto"/>
      <w:rPr>
        <w:rFonts w:ascii="Verdana" w:hAnsi="Verdana"/>
        <w:sz w:val="24"/>
        <w:szCs w:val="24"/>
      </w:rPr>
    </w:pPr>
  </w:p>
  <w:p w14:paraId="5040A978" w14:textId="77777777" w:rsidR="00C20392" w:rsidRPr="00C925AC" w:rsidRDefault="00C20392" w:rsidP="00844AE9">
    <w:pPr>
      <w:spacing w:after="0" w:line="240" w:lineRule="auto"/>
      <w:rPr>
        <w:rFonts w:ascii="Verdana" w:hAnsi="Verdana"/>
        <w:sz w:val="24"/>
        <w:szCs w:val="24"/>
      </w:rPr>
    </w:pPr>
  </w:p>
  <w:p w14:paraId="5BB241B3" w14:textId="77777777" w:rsidR="00C20392" w:rsidRPr="00C925AC" w:rsidRDefault="00C20392"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392"/>
    <w:rsid w:val="00180A87"/>
    <w:rsid w:val="00212619"/>
    <w:rsid w:val="00353E92"/>
    <w:rsid w:val="00362DC0"/>
    <w:rsid w:val="005727E1"/>
    <w:rsid w:val="005818E2"/>
    <w:rsid w:val="005F20FD"/>
    <w:rsid w:val="0060166D"/>
    <w:rsid w:val="008E5C2E"/>
    <w:rsid w:val="00A45252"/>
    <w:rsid w:val="00B048AB"/>
    <w:rsid w:val="00C20392"/>
    <w:rsid w:val="00D86BE1"/>
    <w:rsid w:val="00E675B6"/>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C0B8"/>
  <w15:chartTrackingRefBased/>
  <w15:docId w15:val="{EE3D21CB-EA0F-4C40-A9C2-925A0386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392"/>
    <w:rPr>
      <w:kern w:val="0"/>
      <w14:ligatures w14:val="none"/>
    </w:rPr>
  </w:style>
  <w:style w:type="paragraph" w:styleId="Ttulo1">
    <w:name w:val="heading 1"/>
    <w:basedOn w:val="Normal"/>
    <w:next w:val="Normal"/>
    <w:link w:val="Ttulo1Car"/>
    <w:uiPriority w:val="9"/>
    <w:qFormat/>
    <w:rsid w:val="00C203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203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203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203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203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203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203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203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2039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039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2039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2039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2039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2039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203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203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203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20392"/>
    <w:rPr>
      <w:rFonts w:eastAsiaTheme="majorEastAsia" w:cstheme="majorBidi"/>
      <w:color w:val="272727" w:themeColor="text1" w:themeTint="D8"/>
    </w:rPr>
  </w:style>
  <w:style w:type="paragraph" w:styleId="Ttulo">
    <w:name w:val="Title"/>
    <w:basedOn w:val="Normal"/>
    <w:next w:val="Normal"/>
    <w:link w:val="TtuloCar"/>
    <w:uiPriority w:val="10"/>
    <w:qFormat/>
    <w:rsid w:val="00C20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03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2039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203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20392"/>
    <w:pPr>
      <w:spacing w:before="160"/>
      <w:jc w:val="center"/>
    </w:pPr>
    <w:rPr>
      <w:i/>
      <w:iCs/>
      <w:color w:val="404040" w:themeColor="text1" w:themeTint="BF"/>
    </w:rPr>
  </w:style>
  <w:style w:type="character" w:customStyle="1" w:styleId="CitaCar">
    <w:name w:val="Cita Car"/>
    <w:basedOn w:val="Fuentedeprrafopredeter"/>
    <w:link w:val="Cita"/>
    <w:uiPriority w:val="29"/>
    <w:rsid w:val="00C20392"/>
    <w:rPr>
      <w:i/>
      <w:iCs/>
      <w:color w:val="404040" w:themeColor="text1" w:themeTint="BF"/>
    </w:rPr>
  </w:style>
  <w:style w:type="paragraph" w:styleId="Prrafodelista">
    <w:name w:val="List Paragraph"/>
    <w:basedOn w:val="Normal"/>
    <w:uiPriority w:val="34"/>
    <w:qFormat/>
    <w:rsid w:val="00C20392"/>
    <w:pPr>
      <w:ind w:left="720"/>
      <w:contextualSpacing/>
    </w:pPr>
  </w:style>
  <w:style w:type="character" w:styleId="nfasisintenso">
    <w:name w:val="Intense Emphasis"/>
    <w:basedOn w:val="Fuentedeprrafopredeter"/>
    <w:uiPriority w:val="21"/>
    <w:qFormat/>
    <w:rsid w:val="00C20392"/>
    <w:rPr>
      <w:i/>
      <w:iCs/>
      <w:color w:val="0F4761" w:themeColor="accent1" w:themeShade="BF"/>
    </w:rPr>
  </w:style>
  <w:style w:type="paragraph" w:styleId="Citadestacada">
    <w:name w:val="Intense Quote"/>
    <w:basedOn w:val="Normal"/>
    <w:next w:val="Normal"/>
    <w:link w:val="CitadestacadaCar"/>
    <w:uiPriority w:val="30"/>
    <w:qFormat/>
    <w:rsid w:val="00C203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20392"/>
    <w:rPr>
      <w:i/>
      <w:iCs/>
      <w:color w:val="0F4761" w:themeColor="accent1" w:themeShade="BF"/>
    </w:rPr>
  </w:style>
  <w:style w:type="character" w:styleId="Referenciaintensa">
    <w:name w:val="Intense Reference"/>
    <w:basedOn w:val="Fuentedeprrafopredeter"/>
    <w:uiPriority w:val="32"/>
    <w:qFormat/>
    <w:rsid w:val="00C20392"/>
    <w:rPr>
      <w:b/>
      <w:bCs/>
      <w:smallCaps/>
      <w:color w:val="0F4761" w:themeColor="accent1" w:themeShade="BF"/>
      <w:spacing w:val="5"/>
    </w:rPr>
  </w:style>
  <w:style w:type="paragraph" w:styleId="Encabezado">
    <w:name w:val="header"/>
    <w:basedOn w:val="Normal"/>
    <w:link w:val="EncabezadoCar"/>
    <w:uiPriority w:val="99"/>
    <w:unhideWhenUsed/>
    <w:rsid w:val="00C203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0392"/>
    <w:rPr>
      <w:kern w:val="0"/>
      <w14:ligatures w14:val="none"/>
    </w:rPr>
  </w:style>
  <w:style w:type="paragraph" w:styleId="Piedepgina">
    <w:name w:val="footer"/>
    <w:basedOn w:val="Normal"/>
    <w:link w:val="PiedepginaCar"/>
    <w:uiPriority w:val="99"/>
    <w:unhideWhenUsed/>
    <w:rsid w:val="00C203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0392"/>
    <w:rPr>
      <w:kern w:val="0"/>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C20392"/>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C20392"/>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C20392"/>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C20392"/>
    <w:rPr>
      <w:vertAlign w:val="superscript"/>
    </w:rPr>
  </w:style>
  <w:style w:type="table" w:styleId="Tablaconcuadrcula">
    <w:name w:val="Table Grid"/>
    <w:basedOn w:val="Tablanormal"/>
    <w:uiPriority w:val="39"/>
    <w:qFormat/>
    <w:rsid w:val="00C203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20392"/>
    <w:rPr>
      <w:color w:val="0000FF"/>
      <w:u w:val="single"/>
    </w:rPr>
  </w:style>
  <w:style w:type="paragraph" w:customStyle="1" w:styleId="Appelnotedebasde">
    <w:name w:val="Appel note de bas de..."/>
    <w:basedOn w:val="Normal"/>
    <w:link w:val="Refdenotaalpie"/>
    <w:uiPriority w:val="99"/>
    <w:rsid w:val="00C20392"/>
    <w:pPr>
      <w:spacing w:line="240" w:lineRule="exact"/>
    </w:pPr>
    <w:rPr>
      <w:kern w:val="2"/>
      <w:vertAlign w:val="superscript"/>
      <w14:ligatures w14:val="standardContextual"/>
    </w:rPr>
  </w:style>
  <w:style w:type="table" w:customStyle="1" w:styleId="Tablaconcuadrcula11">
    <w:name w:val="Tabla con cuadrícula11"/>
    <w:basedOn w:val="Tablanormal"/>
    <w:next w:val="Tablaconcuadrcula"/>
    <w:uiPriority w:val="59"/>
    <w:qFormat/>
    <w:rsid w:val="00C203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lombiacompra.gov.co/archivos/documento/05-documentos-tipo-de-infraestructura-de-transporte-en-la-modalidad-de-licitacion-publica"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iscorreasalazar@hot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lexbase.biz/lexbase/normas/leyes/2007/L1150de2007.htm" TargetMode="External"/><Relationship Id="rId1" Type="http://schemas.openxmlformats.org/officeDocument/2006/relationships/hyperlink" Target="https://www.colombiacompra.gov.co/normativa-y-relatoria/circular-unica-exter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507281-D4F8-4973-8E33-537A6D63C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7A8C7-61B5-48F5-8F0E-5306ACF70D88}">
  <ds:schemaRefs>
    <ds:schemaRef ds:uri="http://schemas.microsoft.com/sharepoint/v3/contenttype/forms"/>
  </ds:schemaRefs>
</ds:datastoreItem>
</file>

<file path=customXml/itemProps3.xml><?xml version="1.0" encoding="utf-8"?>
<ds:datastoreItem xmlns:ds="http://schemas.openxmlformats.org/officeDocument/2006/customXml" ds:itemID="{A86EECE1-E00E-4B1C-BF69-10D5E59BDE6A}">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19</Pages>
  <Words>6224</Words>
  <Characters>34235</Characters>
  <Application>Microsoft Office Word</Application>
  <DocSecurity>0</DocSecurity>
  <Lines>285</Lines>
  <Paragraphs>80</Paragraphs>
  <ScaleCrop>false</ScaleCrop>
  <Company/>
  <LinksUpToDate>false</LinksUpToDate>
  <CharactersWithSpaces>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4</cp:revision>
  <dcterms:created xsi:type="dcterms:W3CDTF">2026-07-03T20:24:00Z</dcterms:created>
  <dcterms:modified xsi:type="dcterms:W3CDTF">2026-07-03T20:28:00Z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