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7A71B0" w14:textId="77777777" w:rsidR="001348F0" w:rsidRPr="00DB6807" w:rsidRDefault="001348F0" w:rsidP="001348F0">
      <w:pPr>
        <w:spacing w:after="0" w:line="240" w:lineRule="auto"/>
        <w:rPr>
          <w:rFonts w:ascii="Verdana" w:hAnsi="Verdana"/>
          <w:lang w:val="es-ES"/>
        </w:rPr>
      </w:pPr>
      <w:bookmarkStart w:id="0" w:name="_Hlk143780582"/>
      <w:r w:rsidRPr="00DB6807">
        <w:rPr>
          <w:rFonts w:ascii="Verdana" w:hAnsi="Verdana"/>
          <w:b/>
          <w:bCs/>
          <w:lang w:val="es-ES"/>
        </w:rPr>
        <w:t>APOYO A LA INDUSTRIA NACIONAL – Decreto 680 de 2021</w:t>
      </w:r>
    </w:p>
    <w:p w14:paraId="476853F7" w14:textId="77777777" w:rsidR="001348F0" w:rsidRPr="00DB6807" w:rsidRDefault="001348F0" w:rsidP="001348F0">
      <w:pPr>
        <w:spacing w:after="0" w:line="240" w:lineRule="auto"/>
        <w:rPr>
          <w:rFonts w:ascii="Verdana" w:hAnsi="Verdana"/>
          <w:sz w:val="20"/>
          <w:szCs w:val="20"/>
          <w:lang w:val="es-ES"/>
        </w:rPr>
      </w:pPr>
    </w:p>
    <w:p w14:paraId="0869FB48" w14:textId="77777777" w:rsidR="001348F0" w:rsidRPr="00DB6807" w:rsidRDefault="001348F0" w:rsidP="001348F0">
      <w:pPr>
        <w:spacing w:after="120" w:line="240" w:lineRule="auto"/>
        <w:jc w:val="both"/>
        <w:rPr>
          <w:rFonts w:ascii="Verdana" w:eastAsia="Calibri" w:hAnsi="Verdana" w:cs="Arial"/>
          <w:bCs/>
          <w:color w:val="000000"/>
          <w:sz w:val="20"/>
          <w:szCs w:val="20"/>
          <w:lang w:val="es-ES"/>
        </w:rPr>
      </w:pPr>
      <w:r w:rsidRPr="00DB6807">
        <w:rPr>
          <w:rFonts w:ascii="Verdana" w:eastAsia="Calibri" w:hAnsi="Verdana" w:cs="Arial"/>
          <w:bCs/>
          <w:color w:val="000000"/>
          <w:sz w:val="20"/>
          <w:szCs w:val="20"/>
          <w:lang w:val="es-ES"/>
        </w:rPr>
        <w:t>De acuerdo con esta norma, las ofertas de bienes y servicios nacionales —o extranjeros con derecho a trato nacional— deben beneficiarse de un puntaje entre el 10% y el 20% del total de los puntos, según lo haya definido la entidad estatal contratante en el pliego de condiciones o documento equivalente, con la finalidad de incentivar la industria nacional.</w:t>
      </w:r>
    </w:p>
    <w:p w14:paraId="64D9B6BF" w14:textId="77777777" w:rsidR="001348F0" w:rsidRPr="00DB6807" w:rsidRDefault="001348F0" w:rsidP="001348F0">
      <w:pPr>
        <w:spacing w:after="120" w:line="240" w:lineRule="auto"/>
        <w:jc w:val="both"/>
        <w:rPr>
          <w:rFonts w:ascii="Verdana" w:eastAsia="Calibri" w:hAnsi="Verdana" w:cs="Arial"/>
          <w:bCs/>
          <w:color w:val="000000"/>
          <w:sz w:val="20"/>
          <w:szCs w:val="20"/>
          <w:lang w:val="es-ES"/>
        </w:rPr>
      </w:pPr>
      <w:r w:rsidRPr="00DB6807">
        <w:rPr>
          <w:rFonts w:ascii="Verdana" w:eastAsia="Calibri" w:hAnsi="Verdana" w:cs="Arial"/>
          <w:bCs/>
          <w:color w:val="000000"/>
          <w:sz w:val="20"/>
          <w:szCs w:val="20"/>
          <w:lang w:val="es-ES"/>
        </w:rPr>
        <w:t>Conviene señalar que corresponde a la entidad pública fijar en el pliego de condiciones los criterios de asignación del puntaje o factores de evaluación. En consecuencia, la entidad cuenta con discrecionalidad administrativa para determinar los elementos o circunstancias que utilizará para la calificación de las propuestas. No obstante, dicha discrecionalidad no es absoluta, pues se encuentra limitada por las normas de orden público, incluidas las reglas imperativas para la elaboración del pliego de condiciones y el deber de selección objetiva.</w:t>
      </w:r>
    </w:p>
    <w:p w14:paraId="0F44A311" w14:textId="77777777" w:rsidR="001348F0" w:rsidRPr="00DB6807" w:rsidRDefault="001348F0" w:rsidP="001348F0">
      <w:pPr>
        <w:spacing w:after="120" w:line="240" w:lineRule="auto"/>
        <w:jc w:val="both"/>
        <w:rPr>
          <w:rFonts w:ascii="Verdana" w:eastAsia="Calibri" w:hAnsi="Verdana" w:cs="Arial"/>
          <w:bCs/>
          <w:color w:val="000000"/>
          <w:sz w:val="20"/>
          <w:szCs w:val="20"/>
          <w:lang w:val="es-ES_tradnl"/>
        </w:rPr>
      </w:pPr>
      <w:r w:rsidRPr="00DB6807">
        <w:rPr>
          <w:rFonts w:ascii="Verdana" w:eastAsia="Calibri" w:hAnsi="Verdana" w:cs="Arial"/>
          <w:bCs/>
          <w:color w:val="000000"/>
          <w:sz w:val="20"/>
          <w:szCs w:val="20"/>
          <w:lang w:val="es-ES_tradnl"/>
        </w:rPr>
        <w:t>Dentro de las reglas que restringen la discrecionalidad administrativa de las entidades estatales en la elaboración del pliego de condiciones se encuentra el artículo 2 de la Ley 816 de 2003. En efecto, este enunciado normativo establece que las entidades de la administración pública a las que se refiere el artículo 1 de la misma Ley deben incluir “</w:t>
      </w:r>
      <w:r w:rsidRPr="00DB6807">
        <w:rPr>
          <w:rFonts w:ascii="Verdana" w:eastAsia="Calibri" w:hAnsi="Verdana" w:cs="Arial"/>
          <w:sz w:val="20"/>
          <w:szCs w:val="20"/>
          <w:lang w:val="es-ES_tradnl"/>
        </w:rPr>
        <w:t xml:space="preserve">[…] </w:t>
      </w:r>
      <w:r w:rsidRPr="00DB6807">
        <w:rPr>
          <w:rFonts w:ascii="Verdana" w:eastAsia="Calibri" w:hAnsi="Verdana" w:cs="Arial"/>
          <w:bCs/>
          <w:color w:val="000000"/>
          <w:sz w:val="20"/>
          <w:szCs w:val="20"/>
          <w:lang w:val="es-ES_tradnl"/>
        </w:rPr>
        <w:t xml:space="preserve">un puntaje comprendido entre el diez (10) y el veinte por ciento (20%)” para estimular la industria nacional, cuando se oferten bienes o servicios nacionales” –inciso primero o “Franja 1”–. Adicionalmente, la norma indica que si no se ofertan bienes o servicios nacionales, sino bienes o servicios </w:t>
      </w:r>
      <w:r w:rsidRPr="00DB6807">
        <w:rPr>
          <w:rFonts w:ascii="Verdana" w:eastAsia="Calibri" w:hAnsi="Verdana" w:cs="Arial"/>
          <w:bCs/>
          <w:i/>
          <w:iCs/>
          <w:color w:val="000000"/>
          <w:sz w:val="20"/>
          <w:szCs w:val="20"/>
          <w:lang w:val="es-ES_tradnl"/>
        </w:rPr>
        <w:t>extranjeros</w:t>
      </w:r>
      <w:r w:rsidRPr="00DB6807">
        <w:rPr>
          <w:rFonts w:ascii="Verdana" w:eastAsia="Calibri" w:hAnsi="Verdana" w:cs="Arial"/>
          <w:bCs/>
          <w:color w:val="000000"/>
          <w:sz w:val="20"/>
          <w:szCs w:val="20"/>
          <w:lang w:val="es-ES_tradnl"/>
        </w:rPr>
        <w:t xml:space="preserve">, “[…] la entidad contratante establecerá un puntaje comprendido entre el cinco (5) y el quince por ciento (15%), para incentivar la incorporación de componente colombiano de bienes y servicios profesionales, técnicos y operativos” –inciso segundo o </w:t>
      </w:r>
      <w:r w:rsidRPr="00DB6807">
        <w:rPr>
          <w:rFonts w:ascii="Verdana" w:eastAsia="Calibri" w:hAnsi="Verdana" w:cs="Arial"/>
          <w:bCs/>
          <w:color w:val="000000"/>
          <w:sz w:val="20"/>
          <w:szCs w:val="20"/>
        </w:rPr>
        <w:t>“</w:t>
      </w:r>
      <w:r w:rsidRPr="00DB6807">
        <w:rPr>
          <w:rFonts w:ascii="Verdana" w:eastAsia="Calibri" w:hAnsi="Verdana" w:cs="Arial"/>
          <w:bCs/>
          <w:color w:val="000000"/>
          <w:sz w:val="20"/>
          <w:szCs w:val="20"/>
          <w:lang w:val="es-ES_tradnl"/>
        </w:rPr>
        <w:t>Franja 2”–.</w:t>
      </w:r>
    </w:p>
    <w:p w14:paraId="5730894F" w14:textId="77777777" w:rsidR="001348F0" w:rsidRPr="00DB6807" w:rsidRDefault="001348F0" w:rsidP="001348F0">
      <w:pPr>
        <w:spacing w:after="0" w:line="240" w:lineRule="auto"/>
        <w:rPr>
          <w:rFonts w:ascii="Verdana" w:hAnsi="Verdana"/>
          <w:b/>
          <w:bCs/>
          <w:lang w:val="es-ES"/>
        </w:rPr>
      </w:pPr>
    </w:p>
    <w:p w14:paraId="7C107622" w14:textId="77777777" w:rsidR="001348F0" w:rsidRPr="00DB6807" w:rsidRDefault="001348F0" w:rsidP="001348F0">
      <w:pPr>
        <w:spacing w:after="0" w:line="240" w:lineRule="auto"/>
        <w:jc w:val="both"/>
        <w:rPr>
          <w:rFonts w:ascii="Verdana" w:hAnsi="Verdana"/>
          <w:lang w:val="es-ES"/>
        </w:rPr>
      </w:pPr>
      <w:r w:rsidRPr="00DB6807">
        <w:rPr>
          <w:rFonts w:ascii="Verdana" w:hAnsi="Verdana"/>
          <w:b/>
          <w:bCs/>
          <w:lang w:val="es-ES"/>
        </w:rPr>
        <w:t>APOYO A LA INDUSTRIA NACIONAL – Criterios – Acreditación – Requisitos – Capital extranjero</w:t>
      </w:r>
    </w:p>
    <w:p w14:paraId="1E90FFC6" w14:textId="77777777" w:rsidR="001348F0" w:rsidRPr="00DB6807" w:rsidRDefault="001348F0" w:rsidP="001348F0">
      <w:pPr>
        <w:spacing w:after="0" w:line="240" w:lineRule="auto"/>
        <w:jc w:val="both"/>
        <w:rPr>
          <w:rFonts w:ascii="Verdana" w:hAnsi="Verdana"/>
          <w:sz w:val="20"/>
          <w:szCs w:val="20"/>
        </w:rPr>
      </w:pPr>
    </w:p>
    <w:p w14:paraId="3BB10780" w14:textId="77777777" w:rsidR="001348F0" w:rsidRPr="00DB6807" w:rsidRDefault="001348F0" w:rsidP="001348F0">
      <w:pPr>
        <w:spacing w:after="0" w:line="240" w:lineRule="auto"/>
        <w:jc w:val="both"/>
        <w:rPr>
          <w:rFonts w:ascii="Verdana" w:hAnsi="Verdana"/>
          <w:sz w:val="20"/>
          <w:szCs w:val="20"/>
          <w:lang w:val="es-ES"/>
        </w:rPr>
      </w:pPr>
      <w:r w:rsidRPr="00DB6807">
        <w:rPr>
          <w:rFonts w:ascii="Verdana" w:hAnsi="Verdana"/>
          <w:sz w:val="20"/>
          <w:szCs w:val="20"/>
          <w:lang w:val="es-ES"/>
        </w:rPr>
        <w:t>En aplicación de estos criterios, corresponde a la entidad estatal determinar en los pliegos de condiciones la metodología para asignar el puntaje por apoyo a la industria nacional. El puntaje solo debe concederse al proponente que acredite el cumplimiento de los requisitos normativos, ya sea mediante la incorporación de bienes nacionales relevantes o mediante la vinculación del personal colombiano exigido.</w:t>
      </w:r>
    </w:p>
    <w:p w14:paraId="117998A9" w14:textId="77777777" w:rsidR="001348F0" w:rsidRPr="00DB6807" w:rsidRDefault="001348F0" w:rsidP="001348F0">
      <w:pPr>
        <w:spacing w:after="0" w:line="240" w:lineRule="auto"/>
        <w:jc w:val="both"/>
        <w:rPr>
          <w:rFonts w:ascii="Verdana" w:hAnsi="Verdana"/>
          <w:sz w:val="20"/>
          <w:szCs w:val="20"/>
          <w:lang w:val="es-ES"/>
        </w:rPr>
      </w:pPr>
    </w:p>
    <w:p w14:paraId="00E25919" w14:textId="435A821D" w:rsidR="001348F0" w:rsidRDefault="001348F0" w:rsidP="001348F0">
      <w:pPr>
        <w:spacing w:after="0" w:line="240" w:lineRule="auto"/>
        <w:jc w:val="both"/>
        <w:rPr>
          <w:rFonts w:ascii="Verdana" w:hAnsi="Verdana"/>
          <w:sz w:val="20"/>
          <w:szCs w:val="20"/>
          <w:lang w:val="es-ES"/>
        </w:rPr>
      </w:pPr>
      <w:r w:rsidRPr="00DB6807">
        <w:rPr>
          <w:rFonts w:ascii="Verdana" w:hAnsi="Verdana"/>
          <w:sz w:val="20"/>
          <w:szCs w:val="20"/>
          <w:lang w:val="es-ES"/>
        </w:rPr>
        <w:t xml:space="preserve">En consecuencia, la posibilidad de acceder al puntaje por apoyo a la industria nacional no depende exclusivamente de la composición del capital social, sino del cumplimiento de la regla de origen y de las </w:t>
      </w:r>
      <w:r w:rsidRPr="00DB6807">
        <w:rPr>
          <w:rFonts w:ascii="Verdana" w:hAnsi="Verdana"/>
          <w:sz w:val="20"/>
          <w:szCs w:val="20"/>
          <w:lang w:val="es-ES"/>
        </w:rPr>
        <w:t>condiciones</w:t>
      </w:r>
      <w:r w:rsidRPr="00DB6807">
        <w:rPr>
          <w:rFonts w:ascii="Verdana" w:hAnsi="Verdana"/>
          <w:sz w:val="20"/>
          <w:szCs w:val="20"/>
          <w:lang w:val="es-ES"/>
        </w:rPr>
        <w:t xml:space="preserve"> previstas en la Ley 816 de 2003 y su reglamentación, cuya verificación corresponde a la entidad estatal en cada proceso de contratación.</w:t>
      </w:r>
    </w:p>
    <w:p w14:paraId="4C752A23" w14:textId="77777777" w:rsidR="001348F0" w:rsidRDefault="001348F0" w:rsidP="001348F0">
      <w:pPr>
        <w:spacing w:after="0" w:line="240" w:lineRule="auto"/>
        <w:jc w:val="both"/>
        <w:rPr>
          <w:rFonts w:ascii="Verdana" w:hAnsi="Verdana"/>
          <w:sz w:val="20"/>
          <w:szCs w:val="20"/>
          <w:lang w:val="es-ES"/>
        </w:rPr>
      </w:pPr>
    </w:p>
    <w:p w14:paraId="39801E1C" w14:textId="77777777" w:rsidR="001348F0" w:rsidRDefault="001348F0" w:rsidP="001348F0">
      <w:pPr>
        <w:spacing w:after="0" w:line="240" w:lineRule="auto"/>
        <w:jc w:val="both"/>
        <w:rPr>
          <w:rFonts w:ascii="Verdana" w:eastAsia="Times New Roman" w:hAnsi="Verdana" w:cs="Times New Roman"/>
          <w:b/>
          <w:lang w:val="es-ES" w:eastAsia="es-CO"/>
        </w:rPr>
      </w:pPr>
      <w:r w:rsidRPr="001348F0">
        <w:rPr>
          <w:rFonts w:ascii="Verdana" w:eastAsia="Times New Roman" w:hAnsi="Verdana" w:cs="Times New Roman"/>
          <w:b/>
          <w:lang w:val="es-ES" w:eastAsia="es-CO"/>
        </w:rPr>
        <w:t>PUNTAJE POR SERVICIOS NACIONALES O CON TRATO NACIONAL – Otorgamiento puntaje</w:t>
      </w:r>
    </w:p>
    <w:p w14:paraId="2D6397F2" w14:textId="77777777" w:rsidR="001348F0" w:rsidRDefault="001348F0" w:rsidP="001348F0">
      <w:pPr>
        <w:spacing w:after="0" w:line="240" w:lineRule="auto"/>
        <w:jc w:val="both"/>
        <w:rPr>
          <w:rFonts w:ascii="Verdana" w:hAnsi="Verdana" w:cs="Arial"/>
          <w:b/>
          <w:lang w:val="es-ES" w:eastAsia="es-ES"/>
        </w:rPr>
      </w:pPr>
    </w:p>
    <w:p w14:paraId="7B103D18" w14:textId="77777777" w:rsidR="001348F0" w:rsidRPr="001348F0" w:rsidRDefault="001348F0" w:rsidP="001348F0">
      <w:pPr>
        <w:tabs>
          <w:tab w:val="left" w:pos="851"/>
        </w:tabs>
        <w:spacing w:after="120" w:line="240" w:lineRule="auto"/>
        <w:jc w:val="both"/>
        <w:rPr>
          <w:rFonts w:ascii="Verdana" w:eastAsia="Calibri" w:hAnsi="Verdana" w:cs="Arial"/>
          <w:bCs/>
          <w:color w:val="000000"/>
          <w:sz w:val="20"/>
          <w:szCs w:val="20"/>
          <w:lang w:val="es-ES"/>
        </w:rPr>
      </w:pPr>
      <w:r w:rsidRPr="001348F0">
        <w:rPr>
          <w:rFonts w:ascii="Verdana" w:eastAsia="Calibri" w:hAnsi="Verdana" w:cs="Arial"/>
          <w:bCs/>
          <w:color w:val="000000"/>
          <w:sz w:val="20"/>
          <w:szCs w:val="20"/>
          <w:lang w:val="es-ES"/>
        </w:rPr>
        <w:lastRenderedPageBreak/>
        <w:t>De acuerdo con esta norma, las ofertas de bienes y servicios nacionales —o extranjeros con derecho a trato nacional— deben beneficiarse de un puntaje entre el 10% y el 20% del total de los puntos, según lo haya definido la entidad estatal contratante en el pliego de condiciones o documento equivalente, con la finalidad de incentivar la industria nacional.</w:t>
      </w:r>
    </w:p>
    <w:p w14:paraId="3904ADFE" w14:textId="53A8E420" w:rsidR="001348F0" w:rsidRPr="001348F0" w:rsidRDefault="001348F0" w:rsidP="001348F0">
      <w:pPr>
        <w:tabs>
          <w:tab w:val="left" w:pos="851"/>
        </w:tabs>
        <w:spacing w:after="120" w:line="240" w:lineRule="auto"/>
        <w:jc w:val="both"/>
        <w:rPr>
          <w:rFonts w:ascii="Verdana" w:eastAsia="Calibri" w:hAnsi="Verdana" w:cs="Arial"/>
          <w:bCs/>
          <w:color w:val="000000"/>
          <w:sz w:val="20"/>
          <w:szCs w:val="20"/>
          <w:lang w:val="es-ES"/>
        </w:rPr>
      </w:pPr>
      <w:r w:rsidRPr="001348F0">
        <w:rPr>
          <w:rFonts w:ascii="Verdana" w:eastAsia="Calibri" w:hAnsi="Verdana" w:cs="Arial"/>
          <w:bCs/>
          <w:color w:val="000000"/>
          <w:sz w:val="20"/>
          <w:szCs w:val="20"/>
          <w:lang w:val="es-ES"/>
        </w:rPr>
        <w:t>Conviene señalar que corresponde a la entidad pública fijar en el pliego de condiciones los criterios de asignación del puntaje o factores de evaluación. En consecuencia, la entidad cuenta con discrecionalidad administrativa para determinar los elementos o circunstancias que utilizará para la calificación de las propuestas. No obstante, dicha discrecionalidad no es absoluta, pues se encuentra limitada por las normas de orden público, incluidas las reglas imperativas para la elaboración del pliego de condiciones y el deber de selección objetiva.</w:t>
      </w:r>
    </w:p>
    <w:p w14:paraId="0393AEE3" w14:textId="1144792B" w:rsidR="001348F0" w:rsidRPr="001348F0" w:rsidRDefault="001348F0" w:rsidP="001348F0">
      <w:pPr>
        <w:tabs>
          <w:tab w:val="left" w:pos="851"/>
        </w:tabs>
        <w:spacing w:after="120" w:line="240" w:lineRule="auto"/>
        <w:jc w:val="both"/>
        <w:rPr>
          <w:rFonts w:ascii="Verdana" w:eastAsia="Calibri" w:hAnsi="Verdana" w:cs="Arial"/>
          <w:bCs/>
          <w:color w:val="000000"/>
          <w:sz w:val="20"/>
          <w:szCs w:val="20"/>
          <w:lang w:val="es-ES"/>
        </w:rPr>
      </w:pPr>
      <w:r w:rsidRPr="001348F0">
        <w:rPr>
          <w:rFonts w:ascii="Verdana" w:eastAsia="Calibri" w:hAnsi="Verdana" w:cs="Arial"/>
          <w:bCs/>
          <w:color w:val="000000"/>
          <w:sz w:val="20"/>
          <w:szCs w:val="20"/>
          <w:lang w:val="es-ES"/>
        </w:rPr>
        <w:t>Dentro de las reglas que restringen la discrecionalidad administrativa de las entidades estatales en la elaboración del pliego de condiciones se encuentra el artículo 2 de la Ley 816 de 2003. En efecto, este enunciado normativo establece que las entidades de la administración pública a las que se refiere el artículo 1 de la misma Ley deben incluir “</w:t>
      </w:r>
      <w:r w:rsidRPr="001348F0">
        <w:rPr>
          <w:rFonts w:ascii="Verdana" w:eastAsia="Calibri" w:hAnsi="Verdana" w:cs="Arial"/>
          <w:sz w:val="20"/>
          <w:szCs w:val="20"/>
          <w:lang w:val="es-ES"/>
        </w:rPr>
        <w:t xml:space="preserve">[…] </w:t>
      </w:r>
      <w:r w:rsidRPr="001348F0">
        <w:rPr>
          <w:rFonts w:ascii="Verdana" w:eastAsia="Calibri" w:hAnsi="Verdana" w:cs="Arial"/>
          <w:bCs/>
          <w:color w:val="000000"/>
          <w:sz w:val="20"/>
          <w:szCs w:val="20"/>
          <w:lang w:val="es-ES"/>
        </w:rPr>
        <w:t xml:space="preserve">un puntaje comprendido entre el diez (10) y el veinte por ciento (20%)” para estimular la industria nacional, cuando se oferten bienes o servicios nacionales” –inciso primero o “Franja 1”–. Adicionalmente, la norma indica que si no se ofertan bienes o servicios nacionales, sino bienes o servicios </w:t>
      </w:r>
      <w:r w:rsidRPr="001348F0">
        <w:rPr>
          <w:rFonts w:ascii="Verdana" w:eastAsia="Calibri" w:hAnsi="Verdana" w:cs="Arial"/>
          <w:bCs/>
          <w:i/>
          <w:iCs/>
          <w:color w:val="000000"/>
          <w:sz w:val="20"/>
          <w:szCs w:val="20"/>
          <w:lang w:val="es-ES"/>
        </w:rPr>
        <w:t>extranjeros</w:t>
      </w:r>
      <w:r w:rsidRPr="001348F0">
        <w:rPr>
          <w:rFonts w:ascii="Verdana" w:eastAsia="Calibri" w:hAnsi="Verdana" w:cs="Arial"/>
          <w:bCs/>
          <w:color w:val="000000"/>
          <w:sz w:val="20"/>
          <w:szCs w:val="20"/>
          <w:lang w:val="es-ES"/>
        </w:rPr>
        <w:t xml:space="preserve">, “[…] la entidad contratante establecerá un puntaje comprendido entre el cinco (5) y el quince por ciento (15%), para incentivar la incorporación de componente colombiano de bienes y servicios profesionales, técnicos y operativos” –inciso segundo o “Franja 2”–. </w:t>
      </w:r>
    </w:p>
    <w:p w14:paraId="6B244598" w14:textId="77777777" w:rsidR="001348F0" w:rsidRPr="001348F0" w:rsidRDefault="001348F0" w:rsidP="001348F0">
      <w:pPr>
        <w:spacing w:after="0" w:line="240" w:lineRule="auto"/>
        <w:jc w:val="both"/>
        <w:rPr>
          <w:rFonts w:ascii="Verdana" w:hAnsi="Verdana" w:cs="Arial"/>
          <w:b/>
          <w:lang w:val="es-ES" w:eastAsia="es-ES"/>
        </w:rPr>
      </w:pPr>
    </w:p>
    <w:p w14:paraId="3AEEFE59" w14:textId="776B518B" w:rsidR="001348F0" w:rsidRDefault="001348F0" w:rsidP="001348F0">
      <w:pPr>
        <w:spacing w:after="0" w:line="240" w:lineRule="auto"/>
        <w:jc w:val="both"/>
        <w:rPr>
          <w:rFonts w:ascii="Verdana" w:hAnsi="Verdana" w:cs="Arial"/>
          <w:b/>
          <w:lang w:val="es-ES" w:eastAsia="es-ES"/>
        </w:rPr>
      </w:pPr>
      <w:r w:rsidRPr="001348F0">
        <w:rPr>
          <w:rFonts w:ascii="Verdana" w:hAnsi="Verdana" w:cs="Arial"/>
          <w:b/>
          <w:lang w:val="es-ES" w:eastAsia="es-ES"/>
        </w:rPr>
        <w:t>ACUERDOS COMERCIALES – Omisión en el pliego – Consecuencia</w:t>
      </w:r>
    </w:p>
    <w:p w14:paraId="70BF7DD9" w14:textId="77777777" w:rsidR="001348F0" w:rsidRDefault="001348F0" w:rsidP="001348F0">
      <w:pPr>
        <w:spacing w:after="0" w:line="240" w:lineRule="auto"/>
        <w:jc w:val="both"/>
        <w:rPr>
          <w:rFonts w:ascii="Verdana" w:hAnsi="Verdana" w:cs="Arial"/>
          <w:b/>
          <w:lang w:val="es-ES" w:eastAsia="es-ES"/>
        </w:rPr>
      </w:pPr>
    </w:p>
    <w:p w14:paraId="794E7DE1" w14:textId="77777777" w:rsidR="001348F0" w:rsidRPr="001348F0" w:rsidRDefault="001348F0" w:rsidP="001348F0">
      <w:pPr>
        <w:spacing w:after="120" w:line="240" w:lineRule="auto"/>
        <w:jc w:val="both"/>
        <w:rPr>
          <w:rFonts w:ascii="Verdana" w:eastAsia="Arial" w:hAnsi="Verdana" w:cs="Arial"/>
          <w:sz w:val="20"/>
          <w:szCs w:val="20"/>
          <w:lang w:val="es-ES"/>
        </w:rPr>
      </w:pPr>
      <w:r w:rsidRPr="001348F0">
        <w:rPr>
          <w:rFonts w:ascii="Verdana" w:eastAsia="Arial" w:hAnsi="Verdana" w:cs="Arial"/>
          <w:sz w:val="20"/>
          <w:szCs w:val="20"/>
          <w:lang w:val="es-ES"/>
        </w:rPr>
        <w:t xml:space="preserve">La omisión de un acuerdo comercial aplicable en el pliego de condiciones no supone </w:t>
      </w:r>
      <w:r w:rsidRPr="001348F0">
        <w:rPr>
          <w:rFonts w:ascii="Verdana" w:eastAsia="Arial" w:hAnsi="Verdana" w:cs="Arial"/>
          <w:i/>
          <w:iCs/>
          <w:sz w:val="20"/>
          <w:szCs w:val="20"/>
          <w:lang w:val="es-ES"/>
        </w:rPr>
        <w:t>per se</w:t>
      </w:r>
      <w:r w:rsidRPr="001348F0">
        <w:rPr>
          <w:rFonts w:ascii="Verdana" w:eastAsia="Arial" w:hAnsi="Verdana" w:cs="Arial"/>
          <w:sz w:val="20"/>
          <w:szCs w:val="20"/>
          <w:lang w:val="es-ES"/>
        </w:rPr>
        <w:t xml:space="preserve"> su inaplicabilidad. Cuando la entidad simplemente omitió incluir el acuerdo, sin consignar una regla expresa de exclusión, no existe un acto administrativo cuyo contenido resulte contrario al tratado, sino un vacío en el pliego de condiciones que debe ser suplido con el ordenamiento jurídico aplicable, dentro del cual el acuerdo comercial, incorporado mediante ley aprobatoria, y el artículo 2.2.1.2.4.1.3 del Decreto 1082 de 2015 ocupan una posición de prevalencia. En consecuencia, el silencio de los documentos del proceso sobre un tratado ratificado no habilita a la entidad para desconocer u omitir su cumplimiento, por lo que esta debe, en la medida de lo posible, aplicar directamente el tratado, dando prelación a sus reglas en la evaluación.</w:t>
      </w:r>
    </w:p>
    <w:p w14:paraId="5340268F" w14:textId="494E310D" w:rsidR="001348F0" w:rsidRPr="001348F0" w:rsidRDefault="001348F0" w:rsidP="001348F0">
      <w:pPr>
        <w:spacing w:after="120" w:line="240" w:lineRule="auto"/>
        <w:jc w:val="both"/>
        <w:rPr>
          <w:rFonts w:ascii="Verdana" w:eastAsia="Arial" w:hAnsi="Verdana" w:cs="Arial"/>
          <w:sz w:val="20"/>
          <w:szCs w:val="20"/>
          <w:lang w:val="es-ES"/>
        </w:rPr>
      </w:pPr>
      <w:r w:rsidRPr="001348F0">
        <w:rPr>
          <w:rFonts w:ascii="Verdana" w:eastAsia="Arial" w:hAnsi="Verdana" w:cs="Arial"/>
          <w:sz w:val="20"/>
          <w:szCs w:val="20"/>
          <w:lang w:val="es-ES"/>
        </w:rPr>
        <w:t xml:space="preserve">Respecto del puntaje de apoyo a la industria nacional, lo anterior significa que, si el pliego previó el factor de la Ley 816 de 2003 y un proponente acredita que se trata de un oferente, bienes o servicios provenientes de un Estado cubierto por el acuerdo comercial aplicable, la entidad debe asignarle el puntaje reservado a la oferta nacional — </w:t>
      </w:r>
      <w:r w:rsidRPr="001348F0">
        <w:rPr>
          <w:rFonts w:ascii="Verdana" w:eastAsia="Arial" w:hAnsi="Verdana" w:cs="Arial"/>
          <w:sz w:val="20"/>
          <w:szCs w:val="20"/>
          <w:lang w:val="es-ES"/>
        </w:rPr>
        <w:t>al cual</w:t>
      </w:r>
      <w:r w:rsidRPr="001348F0">
        <w:rPr>
          <w:rFonts w:ascii="Verdana" w:eastAsia="Arial" w:hAnsi="Verdana" w:cs="Arial"/>
          <w:sz w:val="20"/>
          <w:szCs w:val="20"/>
          <w:lang w:val="es-ES"/>
        </w:rPr>
        <w:t xml:space="preserve"> se refiere el inciso primero del artículo 2 de la Ley 816 de 2003—, sin que pueda oponerle la omisión del listado, siempre que se cumplan los presupuestos que para el efecto exige la norma.</w:t>
      </w:r>
    </w:p>
    <w:p w14:paraId="5F1425AC" w14:textId="77777777" w:rsidR="001348F0" w:rsidRPr="001348F0" w:rsidRDefault="001348F0" w:rsidP="001348F0">
      <w:pPr>
        <w:spacing w:after="120" w:line="240" w:lineRule="auto"/>
        <w:jc w:val="both"/>
        <w:rPr>
          <w:rFonts w:ascii="Verdana" w:eastAsia="Arial" w:hAnsi="Verdana" w:cs="Arial"/>
          <w:sz w:val="20"/>
          <w:szCs w:val="20"/>
          <w:lang w:val="es-ES"/>
        </w:rPr>
      </w:pPr>
      <w:r w:rsidRPr="001348F0">
        <w:rPr>
          <w:rFonts w:ascii="Verdana" w:eastAsia="Arial" w:hAnsi="Verdana" w:cs="Arial"/>
          <w:sz w:val="20"/>
          <w:szCs w:val="20"/>
          <w:lang w:val="es-ES"/>
        </w:rPr>
        <w:lastRenderedPageBreak/>
        <w:t>No obstante, la aplicación directa del tratado en sede de evaluación puede no resultar materialmente posible en todos los casos. Si el trato nacional puede acreditarse con la información y los documentos ya contemplados en los documentos del proceso, la entidad debe otorgar el puntaje directamente, integrando el vacío del pliego con el tratado y lo dispuesto en el Decreto 1082 de 2015. Si, en cambio, su reconocimiento exige acreditar condiciones o aportar documentos no previstos en el pliego, corresponde a la entidad adoptar las medidas procedimentales que permitan su aplicación sin sacrificar la igualdad, ni el debido proceso. Por ejemplo, si advierte la situación antes del cierre, podrá hacerlo mediante adenda que incorpore el acuerdo, ajuste el mecanismo de acreditación y amplíe el cronograma; si esto ocurre después del cierre, puede requerir al proponente para que aporte los documentos necesarios, siempre que acrediten circunstancias existentes al momento de ofertar, en el marco de las reglas de subsanabilidad y con observancia de la restricción del parágrafo 1º del artículo 5 de la Ley 1150 de 2007.</w:t>
      </w:r>
    </w:p>
    <w:p w14:paraId="22F61CA4" w14:textId="77777777" w:rsidR="001348F0" w:rsidRPr="001348F0" w:rsidRDefault="001348F0" w:rsidP="001348F0">
      <w:pPr>
        <w:spacing w:after="120" w:line="240" w:lineRule="auto"/>
        <w:jc w:val="both"/>
        <w:rPr>
          <w:rFonts w:ascii="Verdana" w:eastAsia="Arial" w:hAnsi="Verdana" w:cs="Arial"/>
          <w:sz w:val="20"/>
          <w:szCs w:val="20"/>
          <w:lang w:val="es-ES"/>
        </w:rPr>
      </w:pPr>
      <w:r w:rsidRPr="001348F0">
        <w:rPr>
          <w:rFonts w:ascii="Verdana" w:eastAsia="Arial" w:hAnsi="Verdana" w:cs="Arial"/>
          <w:sz w:val="20"/>
          <w:szCs w:val="20"/>
          <w:lang w:val="es-ES"/>
        </w:rPr>
        <w:t>Finalmente, si la omisión del acuerdo compromete el proceso, la entidad deberá acudir a las medidas remediales o de saneamiento que resulten adecuadas, en lugar de una aplicación directa del tratado, si resulta materialmente inviable o lesiva a la igualdad. En cualquier supuesto, corresponde a la entidad determinar, en el caso concreto, las medidas para armonizar la aplicación del acuerdo comercial con el pliego de condiciones, en cumplimiento del marco jurídico y de los principios que rigen su actividad contractual.</w:t>
      </w:r>
    </w:p>
    <w:p w14:paraId="643FA94B" w14:textId="77777777" w:rsidR="001348F0" w:rsidRPr="001348F0" w:rsidRDefault="001348F0" w:rsidP="001348F0">
      <w:pPr>
        <w:spacing w:after="0" w:line="240" w:lineRule="auto"/>
        <w:jc w:val="both"/>
        <w:rPr>
          <w:rFonts w:ascii="Verdana" w:hAnsi="Verdana"/>
          <w:b/>
          <w:sz w:val="20"/>
          <w:szCs w:val="20"/>
          <w:lang w:val="es-ES"/>
        </w:rPr>
      </w:pPr>
    </w:p>
    <w:p w14:paraId="5F62E1B9" w14:textId="77777777" w:rsidR="001348F0" w:rsidRDefault="001348F0" w:rsidP="003A2B2E">
      <w:pPr>
        <w:spacing w:after="0"/>
        <w:rPr>
          <w:rFonts w:ascii="Verdana" w:hAnsi="Verdana"/>
          <w:lang w:val="es-ES"/>
        </w:rPr>
      </w:pPr>
    </w:p>
    <w:p w14:paraId="77E36BEC" w14:textId="77777777" w:rsidR="001348F0" w:rsidRDefault="001348F0" w:rsidP="003A2B2E">
      <w:pPr>
        <w:spacing w:after="0"/>
        <w:rPr>
          <w:rFonts w:ascii="Verdana" w:hAnsi="Verdana"/>
          <w:lang w:val="es-ES"/>
        </w:rPr>
      </w:pPr>
    </w:p>
    <w:p w14:paraId="0677B101" w14:textId="77777777" w:rsidR="001348F0" w:rsidRDefault="001348F0" w:rsidP="003A2B2E">
      <w:pPr>
        <w:spacing w:after="0"/>
        <w:rPr>
          <w:rFonts w:ascii="Verdana" w:hAnsi="Verdana"/>
          <w:lang w:val="es-ES"/>
        </w:rPr>
      </w:pPr>
    </w:p>
    <w:p w14:paraId="57D4765B" w14:textId="77777777" w:rsidR="001348F0" w:rsidRDefault="001348F0" w:rsidP="003A2B2E">
      <w:pPr>
        <w:spacing w:after="0"/>
        <w:rPr>
          <w:rFonts w:ascii="Verdana" w:hAnsi="Verdana"/>
          <w:lang w:val="es-ES"/>
        </w:rPr>
      </w:pPr>
    </w:p>
    <w:p w14:paraId="3C086808" w14:textId="77777777" w:rsidR="001348F0" w:rsidRDefault="001348F0" w:rsidP="003A2B2E">
      <w:pPr>
        <w:spacing w:after="0"/>
        <w:rPr>
          <w:rFonts w:ascii="Verdana" w:hAnsi="Verdana"/>
          <w:lang w:val="es-ES"/>
        </w:rPr>
      </w:pPr>
    </w:p>
    <w:p w14:paraId="7242AE04" w14:textId="77777777" w:rsidR="001348F0" w:rsidRDefault="001348F0" w:rsidP="003A2B2E">
      <w:pPr>
        <w:spacing w:after="0"/>
        <w:rPr>
          <w:rFonts w:ascii="Verdana" w:hAnsi="Verdana"/>
          <w:lang w:val="es-ES"/>
        </w:rPr>
      </w:pPr>
    </w:p>
    <w:p w14:paraId="35022433" w14:textId="77777777" w:rsidR="001348F0" w:rsidRDefault="001348F0" w:rsidP="003A2B2E">
      <w:pPr>
        <w:spacing w:after="0"/>
        <w:rPr>
          <w:rFonts w:ascii="Verdana" w:hAnsi="Verdana"/>
          <w:lang w:val="es-ES"/>
        </w:rPr>
      </w:pPr>
    </w:p>
    <w:p w14:paraId="07C5D3E4" w14:textId="77777777" w:rsidR="001348F0" w:rsidRDefault="001348F0" w:rsidP="003A2B2E">
      <w:pPr>
        <w:spacing w:after="0"/>
        <w:rPr>
          <w:rFonts w:ascii="Verdana" w:hAnsi="Verdana"/>
          <w:lang w:val="es-ES"/>
        </w:rPr>
      </w:pPr>
    </w:p>
    <w:p w14:paraId="072F305A" w14:textId="77777777" w:rsidR="001348F0" w:rsidRDefault="001348F0" w:rsidP="003A2B2E">
      <w:pPr>
        <w:spacing w:after="0"/>
        <w:rPr>
          <w:rFonts w:ascii="Verdana" w:hAnsi="Verdana"/>
          <w:lang w:val="es-ES"/>
        </w:rPr>
      </w:pPr>
    </w:p>
    <w:p w14:paraId="2258BC78" w14:textId="77777777" w:rsidR="001348F0" w:rsidRDefault="001348F0" w:rsidP="003A2B2E">
      <w:pPr>
        <w:spacing w:after="0"/>
        <w:rPr>
          <w:rFonts w:ascii="Verdana" w:hAnsi="Verdana"/>
          <w:lang w:val="es-ES"/>
        </w:rPr>
      </w:pPr>
    </w:p>
    <w:p w14:paraId="41D4B124" w14:textId="77777777" w:rsidR="001348F0" w:rsidRDefault="001348F0" w:rsidP="003A2B2E">
      <w:pPr>
        <w:spacing w:after="0"/>
        <w:rPr>
          <w:rFonts w:ascii="Verdana" w:hAnsi="Verdana"/>
          <w:lang w:val="es-ES"/>
        </w:rPr>
      </w:pPr>
    </w:p>
    <w:p w14:paraId="6D3D3632" w14:textId="77777777" w:rsidR="001348F0" w:rsidRDefault="001348F0" w:rsidP="003A2B2E">
      <w:pPr>
        <w:spacing w:after="0"/>
        <w:rPr>
          <w:rFonts w:ascii="Verdana" w:hAnsi="Verdana"/>
          <w:lang w:val="es-ES"/>
        </w:rPr>
      </w:pPr>
    </w:p>
    <w:p w14:paraId="375FCB3F" w14:textId="77777777" w:rsidR="001348F0" w:rsidRDefault="001348F0" w:rsidP="003A2B2E">
      <w:pPr>
        <w:spacing w:after="0"/>
        <w:rPr>
          <w:rFonts w:ascii="Verdana" w:hAnsi="Verdana"/>
          <w:lang w:val="es-ES"/>
        </w:rPr>
      </w:pPr>
    </w:p>
    <w:p w14:paraId="6A2A8C8A" w14:textId="77777777" w:rsidR="001348F0" w:rsidRDefault="001348F0" w:rsidP="003A2B2E">
      <w:pPr>
        <w:spacing w:after="0"/>
        <w:rPr>
          <w:rFonts w:ascii="Verdana" w:hAnsi="Verdana"/>
          <w:lang w:val="es-ES"/>
        </w:rPr>
      </w:pPr>
    </w:p>
    <w:p w14:paraId="2E8C1B50" w14:textId="77777777" w:rsidR="001348F0" w:rsidRDefault="001348F0" w:rsidP="003A2B2E">
      <w:pPr>
        <w:spacing w:after="0"/>
        <w:rPr>
          <w:rFonts w:ascii="Verdana" w:hAnsi="Verdana"/>
          <w:lang w:val="es-ES"/>
        </w:rPr>
      </w:pPr>
    </w:p>
    <w:p w14:paraId="41D87863" w14:textId="77777777" w:rsidR="001348F0" w:rsidRDefault="001348F0" w:rsidP="003A2B2E">
      <w:pPr>
        <w:spacing w:after="0"/>
        <w:rPr>
          <w:rFonts w:ascii="Verdana" w:hAnsi="Verdana"/>
          <w:lang w:val="es-ES"/>
        </w:rPr>
      </w:pPr>
    </w:p>
    <w:p w14:paraId="1A584BCE" w14:textId="77777777" w:rsidR="001348F0" w:rsidRDefault="001348F0" w:rsidP="003A2B2E">
      <w:pPr>
        <w:spacing w:after="0"/>
        <w:rPr>
          <w:rFonts w:ascii="Verdana" w:hAnsi="Verdana"/>
          <w:lang w:val="es-ES"/>
        </w:rPr>
      </w:pPr>
    </w:p>
    <w:p w14:paraId="484D1913" w14:textId="77777777" w:rsidR="001348F0" w:rsidRDefault="001348F0" w:rsidP="003A2B2E">
      <w:pPr>
        <w:spacing w:after="0"/>
        <w:rPr>
          <w:rFonts w:ascii="Verdana" w:hAnsi="Verdana"/>
          <w:lang w:val="es-ES"/>
        </w:rPr>
      </w:pPr>
    </w:p>
    <w:p w14:paraId="1C6BC882" w14:textId="77777777" w:rsidR="001348F0" w:rsidRDefault="001348F0" w:rsidP="003A2B2E">
      <w:pPr>
        <w:spacing w:after="0"/>
        <w:rPr>
          <w:rFonts w:ascii="Verdana" w:hAnsi="Verdana"/>
          <w:lang w:val="es-ES"/>
        </w:rPr>
      </w:pPr>
    </w:p>
    <w:p w14:paraId="582286FE" w14:textId="77777777" w:rsidR="001348F0" w:rsidRDefault="001348F0" w:rsidP="003A2B2E">
      <w:pPr>
        <w:spacing w:after="0"/>
        <w:rPr>
          <w:rFonts w:ascii="Verdana" w:hAnsi="Verdana"/>
          <w:lang w:val="es-ES"/>
        </w:rPr>
      </w:pPr>
    </w:p>
    <w:p w14:paraId="1D685454" w14:textId="6DF7D7E6" w:rsidR="003A2B2E" w:rsidRPr="007548F6" w:rsidRDefault="003A2B2E" w:rsidP="003A2B2E">
      <w:pPr>
        <w:spacing w:after="0"/>
        <w:rPr>
          <w:rFonts w:ascii="Verdana" w:hAnsi="Verdana"/>
          <w:lang w:val="es-ES"/>
        </w:rPr>
      </w:pPr>
      <w:r w:rsidRPr="007548F6">
        <w:rPr>
          <w:rFonts w:ascii="Verdana" w:hAnsi="Verdana"/>
          <w:lang w:val="es-ES"/>
        </w:rPr>
        <w:lastRenderedPageBreak/>
        <w:t xml:space="preserve">Bogotá D.C., </w:t>
      </w:r>
      <w:r w:rsidR="0030051A">
        <w:rPr>
          <w:rFonts w:ascii="Verdana" w:hAnsi="Verdana"/>
          <w:lang w:val="es-ES"/>
        </w:rPr>
        <w:t>21 de julio de 2026</w:t>
      </w:r>
      <w:r w:rsidRPr="007548F6">
        <w:rPr>
          <w:rFonts w:ascii="Verdana" w:hAnsi="Verdana"/>
          <w:lang w:val="es-ES"/>
        </w:rPr>
        <w:tab/>
      </w:r>
    </w:p>
    <w:p w14:paraId="4677E7B1" w14:textId="65BC86DF" w:rsidR="003A2B2E" w:rsidRPr="007548F6" w:rsidRDefault="003A2B2E" w:rsidP="003A2B2E">
      <w:pPr>
        <w:spacing w:after="0"/>
        <w:rPr>
          <w:rFonts w:ascii="Verdana" w:hAnsi="Verdana"/>
          <w:lang w:val="es-ES"/>
        </w:rPr>
      </w:pPr>
    </w:p>
    <w:p w14:paraId="01004E97" w14:textId="0C8EF4BA" w:rsidR="003A2B2E" w:rsidRPr="007548F6" w:rsidRDefault="0030051A" w:rsidP="003A2B2E">
      <w:pPr>
        <w:spacing w:after="0" w:line="240" w:lineRule="auto"/>
        <w:jc w:val="both"/>
        <w:rPr>
          <w:rFonts w:ascii="Verdana" w:eastAsia="Calibri" w:hAnsi="Verdana" w:cs="Arial"/>
          <w:color w:val="000000" w:themeColor="text1"/>
          <w:lang w:val="es-ES" w:eastAsia="es-ES"/>
        </w:rPr>
      </w:pPr>
      <w:r>
        <w:rPr>
          <w:rFonts w:ascii="Verdana" w:eastAsia="Calibri" w:hAnsi="Verdana" w:cs="Arial"/>
          <w:noProof/>
          <w:color w:val="000000" w:themeColor="text1"/>
          <w:lang w:val="es-ES" w:eastAsia="es-ES"/>
        </w:rPr>
        <w:drawing>
          <wp:anchor distT="0" distB="0" distL="114300" distR="114300" simplePos="0" relativeHeight="251660288" behindDoc="0" locked="0" layoutInCell="1" allowOverlap="1" wp14:anchorId="65544181" wp14:editId="0C5818DF">
            <wp:simplePos x="0" y="0"/>
            <wp:positionH relativeFrom="column">
              <wp:posOffset>3303531</wp:posOffset>
            </wp:positionH>
            <wp:positionV relativeFrom="paragraph">
              <wp:posOffset>33169</wp:posOffset>
            </wp:positionV>
            <wp:extent cx="2673350" cy="752475"/>
            <wp:effectExtent l="0" t="0" r="6350" b="0"/>
            <wp:wrapSquare wrapText="bothSides"/>
            <wp:docPr id="1230416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416702" name="Picture 1230416702"/>
                    <pic:cNvPicPr/>
                  </pic:nvPicPr>
                  <pic:blipFill>
                    <a:blip r:embed="rId10">
                      <a:extLst>
                        <a:ext uri="{28A0092B-C50C-407E-A947-70E740481C1C}">
                          <a14:useLocalDpi xmlns:a14="http://schemas.microsoft.com/office/drawing/2010/main" val="0"/>
                        </a:ext>
                      </a:extLst>
                    </a:blip>
                    <a:stretch>
                      <a:fillRect/>
                    </a:stretch>
                  </pic:blipFill>
                  <pic:spPr>
                    <a:xfrm>
                      <a:off x="0" y="0"/>
                      <a:ext cx="2673350" cy="752475"/>
                    </a:xfrm>
                    <a:prstGeom prst="rect">
                      <a:avLst/>
                    </a:prstGeom>
                  </pic:spPr>
                </pic:pic>
              </a:graphicData>
            </a:graphic>
            <wp14:sizeRelH relativeFrom="page">
              <wp14:pctWidth>0</wp14:pctWidth>
            </wp14:sizeRelH>
            <wp14:sizeRelV relativeFrom="page">
              <wp14:pctHeight>0</wp14:pctHeight>
            </wp14:sizeRelV>
          </wp:anchor>
        </w:drawing>
      </w:r>
      <w:r w:rsidR="003A2B2E" w:rsidRPr="007548F6">
        <w:rPr>
          <w:rFonts w:ascii="Verdana" w:eastAsia="Calibri" w:hAnsi="Verdana" w:cs="Arial"/>
          <w:color w:val="000000" w:themeColor="text1"/>
          <w:lang w:val="es-ES" w:eastAsia="es-ES"/>
        </w:rPr>
        <w:t>Señora</w:t>
      </w:r>
    </w:p>
    <w:p w14:paraId="03D3AFCE" w14:textId="77777777" w:rsidR="003A2B2E" w:rsidRPr="00391463" w:rsidRDefault="003A2B2E" w:rsidP="003A2B2E">
      <w:pPr>
        <w:spacing w:after="0" w:line="240" w:lineRule="auto"/>
        <w:rPr>
          <w:rFonts w:ascii="Verdana" w:eastAsia="Calibri" w:hAnsi="Verdana" w:cs="Arial"/>
          <w:b/>
          <w:bCs/>
          <w:color w:val="000000" w:themeColor="text1"/>
          <w:lang w:val="es-ES" w:eastAsia="es-ES"/>
        </w:rPr>
      </w:pPr>
      <w:r w:rsidRPr="007548F6">
        <w:rPr>
          <w:rFonts w:ascii="Verdana" w:eastAsia="Calibri" w:hAnsi="Verdana" w:cs="Arial"/>
          <w:b/>
          <w:bCs/>
          <w:color w:val="000000" w:themeColor="text1"/>
          <w:lang w:val="es-ES" w:eastAsia="es-ES"/>
        </w:rPr>
        <w:t>María Clara Potes Mazuera</w:t>
      </w:r>
    </w:p>
    <w:p w14:paraId="6B0C271C" w14:textId="77777777" w:rsidR="003A2B2E" w:rsidRPr="00391463" w:rsidRDefault="003A2B2E" w:rsidP="003A2B2E">
      <w:pPr>
        <w:spacing w:after="0" w:line="240" w:lineRule="auto"/>
        <w:rPr>
          <w:rFonts w:ascii="Verdana" w:eastAsia="Calibri" w:hAnsi="Verdana" w:cs="Arial"/>
          <w:color w:val="000000" w:themeColor="text1"/>
          <w:lang w:val="es-ES" w:eastAsia="es-ES"/>
        </w:rPr>
      </w:pPr>
      <w:hyperlink r:id="rId11" w:history="1">
        <w:r w:rsidRPr="00391463">
          <w:rPr>
            <w:rStyle w:val="Hyperlink"/>
            <w:rFonts w:ascii="Verdana" w:eastAsia="Calibri" w:hAnsi="Verdana" w:cs="Arial"/>
            <w:lang w:val="es-ES" w:eastAsia="es-ES"/>
          </w:rPr>
          <w:t>mariacpm2010@gmail.com</w:t>
        </w:r>
      </w:hyperlink>
      <w:r w:rsidRPr="007548F6">
        <w:rPr>
          <w:rFonts w:ascii="Verdana" w:eastAsia="Calibri" w:hAnsi="Verdana" w:cs="Arial"/>
          <w:color w:val="000000" w:themeColor="text1"/>
          <w:lang w:val="es-ES" w:eastAsia="es-ES"/>
        </w:rPr>
        <w:t xml:space="preserve"> </w:t>
      </w:r>
    </w:p>
    <w:p w14:paraId="4C454820" w14:textId="77777777" w:rsidR="003A2B2E" w:rsidRPr="007548F6" w:rsidRDefault="003A2B2E" w:rsidP="003A2B2E">
      <w:pPr>
        <w:spacing w:after="0" w:line="240" w:lineRule="auto"/>
        <w:rPr>
          <w:rFonts w:ascii="Verdana" w:eastAsia="Calibri" w:hAnsi="Verdana" w:cs="Arial"/>
          <w:color w:val="000000" w:themeColor="text1"/>
          <w:lang w:val="es-ES" w:eastAsia="es-ES_tradnl"/>
        </w:rPr>
      </w:pPr>
      <w:r w:rsidRPr="007548F6">
        <w:rPr>
          <w:rFonts w:ascii="Verdana" w:eastAsia="Calibri" w:hAnsi="Verdana" w:cs="Arial"/>
          <w:color w:val="000000" w:themeColor="text1"/>
          <w:lang w:val="es-ES" w:eastAsia="es-ES"/>
        </w:rPr>
        <w:t>Villamaría, Caldas</w:t>
      </w:r>
    </w:p>
    <w:tbl>
      <w:tblPr>
        <w:tblStyle w:val="TableGrid"/>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gridCol w:w="4179"/>
      </w:tblGrid>
      <w:tr w:rsidR="003A2B2E" w:rsidRPr="007548F6" w14:paraId="2B067491" w14:textId="77777777" w:rsidTr="00EA669F">
        <w:trPr>
          <w:gridAfter w:val="1"/>
          <w:wAfter w:w="4179" w:type="dxa"/>
          <w:trHeight w:val="304"/>
        </w:trPr>
        <w:tc>
          <w:tcPr>
            <w:tcW w:w="2689" w:type="dxa"/>
          </w:tcPr>
          <w:p w14:paraId="18ECE43F" w14:textId="77777777" w:rsidR="003A2B2E" w:rsidRPr="007548F6" w:rsidRDefault="003A2B2E" w:rsidP="00EA669F">
            <w:pPr>
              <w:jc w:val="both"/>
              <w:rPr>
                <w:rFonts w:ascii="Verdana" w:eastAsia="Calibri" w:hAnsi="Verdana" w:cs="Arial"/>
                <w:b/>
                <w:bCs/>
                <w:color w:val="000000" w:themeColor="text1"/>
                <w:lang w:val="es-ES" w:eastAsia="es-ES_tradnl"/>
              </w:rPr>
            </w:pPr>
          </w:p>
        </w:tc>
        <w:tc>
          <w:tcPr>
            <w:tcW w:w="6100" w:type="dxa"/>
          </w:tcPr>
          <w:p w14:paraId="52FCF896" w14:textId="77777777" w:rsidR="003A2B2E" w:rsidRPr="007548F6" w:rsidRDefault="003A2B2E" w:rsidP="00EA669F">
            <w:pPr>
              <w:jc w:val="both"/>
              <w:rPr>
                <w:rFonts w:ascii="Verdana" w:eastAsia="Calibri" w:hAnsi="Verdana" w:cs="Arial"/>
                <w:b/>
                <w:bCs/>
                <w:color w:val="000000" w:themeColor="text1"/>
                <w:lang w:val="es-ES" w:eastAsia="es-ES"/>
              </w:rPr>
            </w:pPr>
            <w:r w:rsidRPr="007548F6">
              <w:rPr>
                <w:rFonts w:ascii="Verdana" w:eastAsia="Calibri" w:hAnsi="Verdana" w:cs="Arial"/>
                <w:b/>
                <w:bCs/>
                <w:color w:val="000000" w:themeColor="text1"/>
                <w:lang w:val="es-ES" w:eastAsia="es-ES"/>
              </w:rPr>
              <w:t>Concepto C-929 de 2026</w:t>
            </w:r>
          </w:p>
          <w:p w14:paraId="4DD97912" w14:textId="77777777" w:rsidR="003A2B2E" w:rsidRPr="007548F6" w:rsidRDefault="003A2B2E" w:rsidP="00EA669F">
            <w:pPr>
              <w:jc w:val="both"/>
              <w:rPr>
                <w:rFonts w:ascii="Verdana" w:eastAsia="Calibri" w:hAnsi="Verdana" w:cs="Arial"/>
                <w:b/>
                <w:bCs/>
                <w:color w:val="000000" w:themeColor="text1"/>
                <w:lang w:val="es-ES" w:eastAsia="es-ES"/>
              </w:rPr>
            </w:pPr>
          </w:p>
        </w:tc>
      </w:tr>
      <w:tr w:rsidR="003A2B2E" w:rsidRPr="007548F6" w14:paraId="2E0446CE" w14:textId="77777777" w:rsidTr="00EA669F">
        <w:trPr>
          <w:trHeight w:val="2095"/>
        </w:trPr>
        <w:tc>
          <w:tcPr>
            <w:tcW w:w="2689" w:type="dxa"/>
          </w:tcPr>
          <w:p w14:paraId="31B2AE07" w14:textId="77777777" w:rsidR="003A2B2E" w:rsidRPr="007548F6" w:rsidRDefault="003A2B2E" w:rsidP="00EA669F">
            <w:pPr>
              <w:jc w:val="both"/>
              <w:rPr>
                <w:rFonts w:ascii="Verdana" w:eastAsia="Calibri" w:hAnsi="Verdana" w:cs="Arial"/>
                <w:color w:val="000000" w:themeColor="text1"/>
                <w:lang w:val="es-ES" w:eastAsia="es-ES_tradnl"/>
              </w:rPr>
            </w:pPr>
            <w:r w:rsidRPr="007548F6">
              <w:rPr>
                <w:rFonts w:ascii="Verdana" w:eastAsia="Calibri" w:hAnsi="Verdana" w:cs="Arial"/>
                <w:b/>
                <w:color w:val="000000" w:themeColor="text1"/>
                <w:lang w:val="es-ES" w:eastAsia="es-ES_tradnl"/>
              </w:rPr>
              <w:t>Temas:</w:t>
            </w:r>
            <w:r w:rsidRPr="007548F6">
              <w:rPr>
                <w:rFonts w:ascii="Verdana" w:eastAsia="Calibri" w:hAnsi="Verdana" w:cs="Arial"/>
                <w:color w:val="000000" w:themeColor="text1"/>
                <w:lang w:val="es-ES" w:eastAsia="es-ES_tradnl"/>
              </w:rPr>
              <w:t xml:space="preserve">                   </w:t>
            </w:r>
          </w:p>
        </w:tc>
        <w:tc>
          <w:tcPr>
            <w:tcW w:w="6100" w:type="dxa"/>
          </w:tcPr>
          <w:p w14:paraId="2ECB03BB" w14:textId="6D8E0C21" w:rsidR="003A2B2E" w:rsidRPr="002C2F29" w:rsidRDefault="003A2B2E" w:rsidP="00EA669F">
            <w:pPr>
              <w:spacing w:before="100" w:beforeAutospacing="1" w:after="100" w:afterAutospacing="1"/>
              <w:jc w:val="both"/>
              <w:rPr>
                <w:rFonts w:ascii="Verdana" w:hAnsi="Verdana" w:cs="Arial"/>
                <w:bCs/>
                <w:lang w:val="es-ES" w:eastAsia="es-ES"/>
              </w:rPr>
            </w:pPr>
            <w:r w:rsidRPr="002C2F29">
              <w:rPr>
                <w:rFonts w:ascii="Verdana" w:eastAsia="Calibri" w:hAnsi="Verdana" w:cs="Arial"/>
                <w:bCs/>
                <w:lang w:val="es-ES" w:eastAsia="es-ES" w:bidi="es-ES"/>
              </w:rPr>
              <w:t xml:space="preserve">APOYO A LA INDUSTRIA NACIONAL – Decreto 680 de 2021 / </w:t>
            </w:r>
            <w:r w:rsidRPr="002C2F29">
              <w:rPr>
                <w:rFonts w:ascii="Verdana" w:eastAsia="Times New Roman" w:hAnsi="Verdana" w:cs="Times New Roman"/>
                <w:bCs/>
                <w:lang w:val="es-ES" w:eastAsia="es-CO"/>
              </w:rPr>
              <w:t>APOYO A LA INDUSTRIA NACIONAL – Criterios – Acreditación – Requisitos – Capital extranjero / PUNTAJE POR SERVICIOS NACIONALES O CON TRATO NACIONAL – Otorgamiento puntaje</w:t>
            </w:r>
            <w:r w:rsidRPr="002C2F29">
              <w:rPr>
                <w:rFonts w:ascii="Verdana" w:hAnsi="Verdana" w:cs="Arial"/>
                <w:bCs/>
                <w:lang w:val="es-ES" w:eastAsia="es-ES"/>
              </w:rPr>
              <w:t xml:space="preserve"> / ACUERDOS COMERCIALES – Omisión en el pliego – Consecuencia</w:t>
            </w:r>
          </w:p>
        </w:tc>
        <w:tc>
          <w:tcPr>
            <w:tcW w:w="4179" w:type="dxa"/>
          </w:tcPr>
          <w:p w14:paraId="3D5AF7D2" w14:textId="77777777" w:rsidR="003A2B2E" w:rsidRPr="007548F6" w:rsidRDefault="003A2B2E" w:rsidP="00EA669F">
            <w:pPr>
              <w:spacing w:line="276" w:lineRule="auto"/>
              <w:jc w:val="both"/>
              <w:rPr>
                <w:rFonts w:ascii="Verdana" w:eastAsia="Calibri" w:hAnsi="Verdana" w:cs="Arial"/>
                <w:b/>
                <w:bCs/>
                <w:color w:val="000000" w:themeColor="text1"/>
                <w:lang w:val="es-ES" w:eastAsia="es-ES"/>
              </w:rPr>
            </w:pPr>
          </w:p>
          <w:p w14:paraId="65E219CA" w14:textId="77777777" w:rsidR="003A2B2E" w:rsidRPr="007548F6" w:rsidRDefault="003A2B2E" w:rsidP="00EA669F">
            <w:pPr>
              <w:rPr>
                <w:rFonts w:ascii="Verdana" w:hAnsi="Verdana"/>
                <w:lang w:val="es-ES"/>
              </w:rPr>
            </w:pPr>
          </w:p>
        </w:tc>
      </w:tr>
      <w:tr w:rsidR="003A2B2E" w:rsidRPr="007548F6" w14:paraId="6DF77B12" w14:textId="77777777" w:rsidTr="00EA669F">
        <w:trPr>
          <w:gridAfter w:val="1"/>
          <w:wAfter w:w="4179" w:type="dxa"/>
        </w:trPr>
        <w:tc>
          <w:tcPr>
            <w:tcW w:w="2689" w:type="dxa"/>
          </w:tcPr>
          <w:p w14:paraId="751D204E" w14:textId="77777777" w:rsidR="003A2B2E" w:rsidRPr="007548F6" w:rsidRDefault="003A2B2E" w:rsidP="00EA669F">
            <w:pPr>
              <w:jc w:val="both"/>
              <w:rPr>
                <w:rFonts w:ascii="Verdana" w:eastAsia="Calibri" w:hAnsi="Verdana" w:cs="Arial"/>
                <w:b/>
                <w:color w:val="000000" w:themeColor="text1"/>
                <w:lang w:val="es-ES" w:eastAsia="es-ES_tradnl"/>
              </w:rPr>
            </w:pPr>
            <w:r w:rsidRPr="007548F6">
              <w:rPr>
                <w:rFonts w:ascii="Verdana" w:eastAsia="Calibri" w:hAnsi="Verdana" w:cs="Arial"/>
                <w:b/>
                <w:color w:val="000000" w:themeColor="text1"/>
                <w:lang w:val="es-ES" w:eastAsia="es-ES_tradnl"/>
              </w:rPr>
              <w:t>Radicación:</w:t>
            </w:r>
            <w:r w:rsidRPr="007548F6">
              <w:rPr>
                <w:rFonts w:ascii="Verdana" w:eastAsia="Calibri" w:hAnsi="Verdana" w:cs="Arial"/>
                <w:color w:val="000000" w:themeColor="text1"/>
                <w:lang w:val="es-ES" w:eastAsia="es-ES_tradnl"/>
              </w:rPr>
              <w:t xml:space="preserve">               </w:t>
            </w:r>
          </w:p>
        </w:tc>
        <w:tc>
          <w:tcPr>
            <w:tcW w:w="6100" w:type="dxa"/>
          </w:tcPr>
          <w:p w14:paraId="796D3782" w14:textId="77777777" w:rsidR="003A2B2E" w:rsidRPr="007548F6" w:rsidRDefault="003A2B2E" w:rsidP="00EA669F">
            <w:pPr>
              <w:jc w:val="both"/>
              <w:rPr>
                <w:rFonts w:ascii="Verdana" w:eastAsia="Calibri" w:hAnsi="Verdana" w:cs="Arial"/>
                <w:color w:val="000000" w:themeColor="text1"/>
                <w:lang w:val="es-ES" w:eastAsia="es-ES_tradnl"/>
              </w:rPr>
            </w:pPr>
            <w:r w:rsidRPr="007548F6">
              <w:rPr>
                <w:rFonts w:ascii="Verdana" w:eastAsia="Calibri" w:hAnsi="Verdana" w:cs="Arial"/>
                <w:color w:val="000000" w:themeColor="text1"/>
                <w:lang w:val="es-ES" w:eastAsia="es-ES_tradnl"/>
              </w:rPr>
              <w:t>Respuesta a la consulta con radicado No.</w:t>
            </w:r>
            <w:r w:rsidRPr="007548F6">
              <w:rPr>
                <w:lang w:val="es-ES"/>
              </w:rPr>
              <w:t xml:space="preserve"> </w:t>
            </w:r>
            <w:r w:rsidRPr="007548F6">
              <w:rPr>
                <w:rFonts w:ascii="Verdana" w:eastAsia="Calibri" w:hAnsi="Verdana" w:cs="Arial"/>
                <w:color w:val="000000" w:themeColor="text1"/>
                <w:lang w:val="es-ES" w:eastAsia="es-ES_tradnl"/>
              </w:rPr>
              <w:t>1_2026_06_03_007598</w:t>
            </w:r>
          </w:p>
        </w:tc>
      </w:tr>
    </w:tbl>
    <w:p w14:paraId="4A3963B0" w14:textId="77777777" w:rsidR="003A2B2E" w:rsidRPr="007548F6" w:rsidRDefault="003A2B2E" w:rsidP="003A2B2E">
      <w:pPr>
        <w:spacing w:after="0" w:line="276" w:lineRule="auto"/>
        <w:jc w:val="both"/>
        <w:rPr>
          <w:rFonts w:ascii="Verdana" w:eastAsia="Calibri" w:hAnsi="Verdana" w:cs="Arial"/>
          <w:color w:val="000000" w:themeColor="text1"/>
          <w:lang w:val="es-ES" w:eastAsia="es-ES_tradnl"/>
        </w:rPr>
      </w:pPr>
    </w:p>
    <w:p w14:paraId="16B24469" w14:textId="77777777" w:rsidR="003A2B2E" w:rsidRPr="007548F6" w:rsidRDefault="003A2B2E" w:rsidP="003A2B2E">
      <w:pPr>
        <w:spacing w:after="0" w:line="240" w:lineRule="auto"/>
        <w:jc w:val="both"/>
        <w:rPr>
          <w:rFonts w:ascii="Verdana" w:eastAsia="Calibri" w:hAnsi="Verdana" w:cs="Arial"/>
          <w:color w:val="000000" w:themeColor="text1"/>
          <w:lang w:val="es-ES" w:eastAsia="es-ES"/>
        </w:rPr>
      </w:pPr>
      <w:r w:rsidRPr="007548F6">
        <w:rPr>
          <w:rFonts w:ascii="Verdana" w:eastAsia="Calibri" w:hAnsi="Verdana" w:cs="Arial"/>
          <w:color w:val="000000" w:themeColor="text1"/>
          <w:lang w:val="es-ES" w:eastAsia="es-ES"/>
        </w:rPr>
        <w:t>Estimada señora Potes:</w:t>
      </w:r>
    </w:p>
    <w:p w14:paraId="4FF73215" w14:textId="77777777" w:rsidR="003A2B2E" w:rsidRPr="007548F6" w:rsidRDefault="003A2B2E" w:rsidP="003A2B2E">
      <w:pPr>
        <w:tabs>
          <w:tab w:val="left" w:pos="3768"/>
        </w:tabs>
        <w:spacing w:after="0" w:line="276" w:lineRule="auto"/>
        <w:jc w:val="both"/>
        <w:rPr>
          <w:rFonts w:ascii="Verdana" w:eastAsia="Calibri" w:hAnsi="Verdana" w:cs="Arial"/>
          <w:color w:val="000000" w:themeColor="text1"/>
          <w:lang w:val="es-ES" w:eastAsia="es-ES"/>
        </w:rPr>
      </w:pPr>
    </w:p>
    <w:p w14:paraId="59492379" w14:textId="77777777" w:rsidR="003A2B2E" w:rsidRPr="007548F6" w:rsidRDefault="003A2B2E" w:rsidP="003A2B2E">
      <w:pPr>
        <w:spacing w:after="0" w:line="276" w:lineRule="auto"/>
        <w:jc w:val="both"/>
        <w:rPr>
          <w:rFonts w:ascii="Verdana" w:eastAsia="Calibri" w:hAnsi="Verdana" w:cs="Arial"/>
          <w:color w:val="000000" w:themeColor="text1"/>
          <w:lang w:val="es-ES" w:eastAsia="es-ES"/>
        </w:rPr>
      </w:pPr>
      <w:r w:rsidRPr="007548F6">
        <w:rPr>
          <w:rFonts w:ascii="Verdana" w:eastAsia="Calibri" w:hAnsi="Verdana" w:cs="Arial"/>
          <w:color w:val="000000" w:themeColor="text1"/>
          <w:lang w:val="es-ES" w:eastAsia="es-ES"/>
        </w:rPr>
        <w:t>En ejercicio de la competencia otorgada por los artículos 3, numeral 5º, y 11, numeral 8º, del Decreto Ley 4170 de 2011,</w:t>
      </w:r>
      <w:r w:rsidRPr="007548F6">
        <w:rPr>
          <w:rFonts w:ascii="Verdana" w:eastAsia="Arial MT" w:hAnsi="Verdana" w:cs="Arial MT"/>
          <w:color w:val="000000" w:themeColor="text1"/>
          <w:lang w:val="es-ES" w:eastAsia="es-ES"/>
        </w:rPr>
        <w:t xml:space="preserve"> </w:t>
      </w:r>
      <w:r w:rsidRPr="007548F6">
        <w:rPr>
          <w:rFonts w:ascii="Verdana" w:hAnsi="Verdana" w:cs="Arial"/>
          <w:color w:val="000000" w:themeColor="text1"/>
          <w:lang w:val="es-ES"/>
        </w:rPr>
        <w:t>así como lo establecido en el artículo 4 de la Resolución 1707 de 2018 expedida por esta Entidad, la Agencia Nacional de Contratación Pública – Colombia Compra Eficiente– responde su solicitud de concepto del 04 de junio de 2026, en la cual manifiesta lo siguiente:</w:t>
      </w:r>
      <w:r w:rsidRPr="007548F6">
        <w:rPr>
          <w:rFonts w:ascii="Verdana" w:eastAsia="Calibri" w:hAnsi="Verdana" w:cs="Arial"/>
          <w:color w:val="000000" w:themeColor="text1"/>
          <w:lang w:val="es-ES" w:eastAsia="es-ES"/>
        </w:rPr>
        <w:t xml:space="preserve"> </w:t>
      </w:r>
    </w:p>
    <w:p w14:paraId="65E2BC9C" w14:textId="77777777" w:rsidR="003A2B2E" w:rsidRPr="007548F6" w:rsidRDefault="003A2B2E" w:rsidP="003A2B2E">
      <w:pPr>
        <w:spacing w:after="0" w:line="276" w:lineRule="auto"/>
        <w:jc w:val="both"/>
        <w:rPr>
          <w:rFonts w:ascii="Verdana" w:eastAsia="Calibri" w:hAnsi="Verdana" w:cs="Arial"/>
          <w:color w:val="000000" w:themeColor="text1"/>
          <w:lang w:val="es-ES" w:eastAsia="es-ES"/>
        </w:rPr>
      </w:pPr>
    </w:p>
    <w:p w14:paraId="466A9CD7" w14:textId="77777777" w:rsidR="003A2B2E" w:rsidRPr="007548F6" w:rsidRDefault="003A2B2E" w:rsidP="003A2B2E">
      <w:pPr>
        <w:spacing w:after="0"/>
        <w:ind w:left="709" w:right="709"/>
        <w:contextualSpacing/>
        <w:jc w:val="both"/>
        <w:rPr>
          <w:rFonts w:ascii="Verdana" w:eastAsia="Century Gothic" w:hAnsi="Verdana" w:cs="Century Gothic"/>
          <w:i/>
          <w:iCs/>
          <w:color w:val="000000" w:themeColor="text1"/>
          <w:sz w:val="20"/>
          <w:szCs w:val="20"/>
          <w:lang w:val="es-ES"/>
        </w:rPr>
      </w:pPr>
      <w:r w:rsidRPr="007548F6">
        <w:rPr>
          <w:rFonts w:ascii="Verdana" w:eastAsia="Century Gothic" w:hAnsi="Verdana" w:cs="Century Gothic"/>
          <w:i/>
          <w:iCs/>
          <w:color w:val="000000" w:themeColor="text1"/>
          <w:sz w:val="20"/>
          <w:szCs w:val="20"/>
          <w:lang w:val="es-ES"/>
        </w:rPr>
        <w:t xml:space="preserve">“Si una entidad estatal publica un pliego de condiciones sin mencionar un acuerdo comercial aplicable, pero al revisar los criterios de cobertura (entidad cubierta, objeto contractual y cuantía) se concluye que el proceso sí </w:t>
      </w:r>
      <w:proofErr w:type="spellStart"/>
      <w:r w:rsidRPr="007548F6">
        <w:rPr>
          <w:rFonts w:ascii="Verdana" w:eastAsia="Century Gothic" w:hAnsi="Verdana" w:cs="Century Gothic"/>
          <w:i/>
          <w:iCs/>
          <w:color w:val="000000" w:themeColor="text1"/>
          <w:sz w:val="20"/>
          <w:szCs w:val="20"/>
          <w:lang w:val="es-ES"/>
        </w:rPr>
        <w:t>debía</w:t>
      </w:r>
      <w:proofErr w:type="spellEnd"/>
      <w:r w:rsidRPr="007548F6">
        <w:rPr>
          <w:rFonts w:ascii="Verdana" w:eastAsia="Century Gothic" w:hAnsi="Verdana" w:cs="Century Gothic"/>
          <w:i/>
          <w:iCs/>
          <w:color w:val="000000" w:themeColor="text1"/>
          <w:sz w:val="20"/>
          <w:szCs w:val="20"/>
          <w:lang w:val="es-ES"/>
        </w:rPr>
        <w:t xml:space="preserve"> estar cobijado por dicho acuerdo comercial, ¿deben aplicarse las reglas del acuerdo comercial o </w:t>
      </w:r>
      <w:proofErr w:type="spellStart"/>
      <w:r w:rsidRPr="007548F6">
        <w:rPr>
          <w:rFonts w:ascii="Verdana" w:eastAsia="Century Gothic" w:hAnsi="Verdana" w:cs="Century Gothic"/>
          <w:i/>
          <w:iCs/>
          <w:color w:val="000000" w:themeColor="text1"/>
          <w:sz w:val="20"/>
          <w:szCs w:val="20"/>
          <w:lang w:val="es-ES"/>
        </w:rPr>
        <w:t>únicamente</w:t>
      </w:r>
      <w:proofErr w:type="spellEnd"/>
      <w:r w:rsidRPr="007548F6">
        <w:rPr>
          <w:rFonts w:ascii="Verdana" w:eastAsia="Century Gothic" w:hAnsi="Verdana" w:cs="Century Gothic"/>
          <w:i/>
          <w:iCs/>
          <w:color w:val="000000" w:themeColor="text1"/>
          <w:sz w:val="20"/>
          <w:szCs w:val="20"/>
          <w:lang w:val="es-ES"/>
        </w:rPr>
        <w:t xml:space="preserve"> las contenidas en el pliego? Es decir, en el caso del puntaje de Industria Nacional, en ese caso, se debe asignar el puntaje?”</w:t>
      </w:r>
    </w:p>
    <w:p w14:paraId="030FBABA" w14:textId="77777777" w:rsidR="003A2B2E" w:rsidRPr="007548F6" w:rsidRDefault="003A2B2E" w:rsidP="003A2B2E">
      <w:pPr>
        <w:spacing w:after="0"/>
        <w:ind w:left="709" w:right="709"/>
        <w:contextualSpacing/>
        <w:jc w:val="both"/>
        <w:rPr>
          <w:rFonts w:ascii="Verdana" w:eastAsia="Century Gothic" w:hAnsi="Verdana" w:cs="Century Gothic"/>
          <w:i/>
          <w:color w:val="000000" w:themeColor="text1"/>
          <w:sz w:val="20"/>
          <w:szCs w:val="20"/>
          <w:lang w:val="es-ES"/>
        </w:rPr>
      </w:pPr>
    </w:p>
    <w:p w14:paraId="0D7B2426" w14:textId="77777777" w:rsidR="003A2B2E" w:rsidRPr="007548F6" w:rsidRDefault="003A2B2E" w:rsidP="003A2B2E">
      <w:pPr>
        <w:spacing w:after="0" w:line="276" w:lineRule="auto"/>
        <w:contextualSpacing/>
        <w:jc w:val="both"/>
        <w:rPr>
          <w:rFonts w:ascii="Verdana" w:eastAsia="Calibri" w:hAnsi="Verdana" w:cs="Arial"/>
          <w:color w:val="000000" w:themeColor="text1"/>
          <w:szCs w:val="24"/>
          <w:lang w:val="es-ES" w:eastAsia="es-ES_tradnl"/>
        </w:rPr>
      </w:pPr>
      <w:r w:rsidRPr="007548F6">
        <w:rPr>
          <w:rFonts w:ascii="Verdana" w:eastAsia="Calibri" w:hAnsi="Verdana" w:cs="Arial"/>
          <w:color w:val="000000" w:themeColor="text1"/>
          <w:lang w:val="es-ES" w:eastAsia="es-ES"/>
        </w:rPr>
        <w:tab/>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w:t>
      </w:r>
      <w:r w:rsidRPr="007548F6">
        <w:rPr>
          <w:rFonts w:ascii="Verdana" w:eastAsia="Calibri" w:hAnsi="Verdana" w:cs="Arial"/>
          <w:color w:val="000000" w:themeColor="text1"/>
          <w:lang w:val="es-ES" w:eastAsia="es-ES"/>
        </w:rPr>
        <w:lastRenderedPageBreak/>
        <w:t xml:space="preserve">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7548F6">
        <w:rPr>
          <w:rFonts w:ascii="Verdana" w:eastAsia="Calibri" w:hAnsi="Verdana" w:cs="Arial"/>
          <w:color w:val="000000" w:themeColor="text1"/>
          <w:szCs w:val="24"/>
          <w:lang w:val="es-ES" w:eastAsia="es-ES_tradnl"/>
        </w:rPr>
        <w:tab/>
      </w:r>
    </w:p>
    <w:p w14:paraId="48269096" w14:textId="77777777" w:rsidR="003A2B2E" w:rsidRPr="007548F6" w:rsidRDefault="003A2B2E" w:rsidP="003A2B2E">
      <w:pPr>
        <w:spacing w:before="120" w:after="120" w:line="276" w:lineRule="auto"/>
        <w:ind w:firstLine="709"/>
        <w:jc w:val="both"/>
        <w:rPr>
          <w:rFonts w:ascii="Verdana" w:eastAsia="Calibri" w:hAnsi="Verdana" w:cs="Arial"/>
          <w:color w:val="000000" w:themeColor="text1"/>
          <w:lang w:val="es-ES" w:eastAsia="es-ES"/>
        </w:rPr>
      </w:pPr>
      <w:r w:rsidRPr="007548F6">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0A859F9D" w14:textId="77777777" w:rsidR="003A2B2E" w:rsidRPr="007548F6" w:rsidRDefault="003A2B2E" w:rsidP="003A2B2E">
      <w:pPr>
        <w:spacing w:after="0" w:line="276" w:lineRule="auto"/>
        <w:jc w:val="both"/>
        <w:rPr>
          <w:rFonts w:ascii="Verdana" w:eastAsia="Calibri" w:hAnsi="Verdana" w:cs="Arial"/>
          <w:color w:val="000000" w:themeColor="text1"/>
          <w:lang w:val="es-ES" w:eastAsia="es-ES"/>
        </w:rPr>
      </w:pPr>
    </w:p>
    <w:p w14:paraId="43490AB3" w14:textId="77777777" w:rsidR="003A2B2E" w:rsidRPr="007548F6" w:rsidRDefault="003A2B2E" w:rsidP="003A2B2E">
      <w:pPr>
        <w:pStyle w:val="ListParagraph"/>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7548F6">
        <w:rPr>
          <w:rFonts w:ascii="Verdana" w:eastAsia="Century Gothic" w:hAnsi="Verdana" w:cs="Century Gothic"/>
          <w:b/>
          <w:bCs/>
          <w:color w:val="000000" w:themeColor="text1"/>
        </w:rPr>
        <w:t>Problema planteado:</w:t>
      </w:r>
    </w:p>
    <w:p w14:paraId="642C4580" w14:textId="77777777" w:rsidR="003A2B2E" w:rsidRPr="007548F6" w:rsidRDefault="003A2B2E" w:rsidP="003A2B2E">
      <w:pPr>
        <w:tabs>
          <w:tab w:val="left" w:pos="426"/>
        </w:tabs>
        <w:spacing w:after="0" w:line="276" w:lineRule="auto"/>
        <w:jc w:val="both"/>
        <w:rPr>
          <w:rFonts w:ascii="Verdana" w:eastAsia="Century Gothic" w:hAnsi="Verdana" w:cs="Century Gothic"/>
          <w:color w:val="000000" w:themeColor="text1"/>
          <w:lang w:val="es-ES"/>
        </w:rPr>
      </w:pPr>
    </w:p>
    <w:p w14:paraId="11731C7D" w14:textId="77777777" w:rsidR="003A2B2E" w:rsidRPr="007548F6" w:rsidRDefault="003A2B2E" w:rsidP="003A2B2E">
      <w:pPr>
        <w:spacing w:after="0" w:line="276" w:lineRule="auto"/>
        <w:jc w:val="both"/>
        <w:rPr>
          <w:rFonts w:ascii="Verdana" w:eastAsia="Century Gothic" w:hAnsi="Verdana" w:cs="Century Gothic"/>
          <w:iCs/>
          <w:color w:val="000000" w:themeColor="text1"/>
          <w:lang w:val="es-ES"/>
        </w:rPr>
      </w:pPr>
      <w:r w:rsidRPr="007548F6">
        <w:rPr>
          <w:rFonts w:ascii="Verdana" w:eastAsia="Century Gothic" w:hAnsi="Verdana" w:cs="Century Gothic"/>
          <w:color w:val="000000" w:themeColor="text1"/>
          <w:lang w:val="es-ES"/>
        </w:rPr>
        <w:t>De acuerdo con el contenido de su solicitud, esta Agencia resolverá el siguiente problema jurídico: ¿Cómo debe proceder la Entidad Estatal cuando omite incluir un Acuerdo Comercial en el pliego de condiciones?</w:t>
      </w:r>
    </w:p>
    <w:p w14:paraId="0818AAD9" w14:textId="77777777" w:rsidR="003A2B2E" w:rsidRPr="007548F6" w:rsidRDefault="003A2B2E" w:rsidP="003A2B2E">
      <w:pPr>
        <w:spacing w:after="0" w:line="276" w:lineRule="auto"/>
        <w:jc w:val="both"/>
        <w:rPr>
          <w:rFonts w:ascii="Verdana" w:eastAsia="Calibri" w:hAnsi="Verdana" w:cs="Arial"/>
          <w:color w:val="000000" w:themeColor="text1"/>
          <w:lang w:val="es-ES"/>
        </w:rPr>
      </w:pPr>
    </w:p>
    <w:p w14:paraId="355F0C97" w14:textId="77777777" w:rsidR="003A2B2E" w:rsidRPr="007548F6" w:rsidRDefault="003A2B2E" w:rsidP="003A2B2E">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7548F6">
        <w:rPr>
          <w:rFonts w:ascii="Verdana" w:eastAsia="Century Gothic" w:hAnsi="Verdana" w:cs="Century Gothic"/>
          <w:b/>
          <w:bCs/>
          <w:color w:val="000000" w:themeColor="text1"/>
        </w:rPr>
        <w:t>Respuesta:</w:t>
      </w:r>
    </w:p>
    <w:p w14:paraId="1A72DAD1" w14:textId="77777777" w:rsidR="003A2B2E" w:rsidRPr="007548F6" w:rsidRDefault="003A2B2E" w:rsidP="003A2B2E">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3A2B2E" w:rsidRPr="007548F6" w14:paraId="6369E81F" w14:textId="77777777" w:rsidTr="00EA669F">
        <w:tc>
          <w:tcPr>
            <w:tcW w:w="8828" w:type="dxa"/>
          </w:tcPr>
          <w:p w14:paraId="43415539" w14:textId="77777777" w:rsidR="003A2B2E" w:rsidRPr="004050A5" w:rsidRDefault="003A2B2E" w:rsidP="00EA669F">
            <w:pPr>
              <w:spacing w:after="120" w:line="276" w:lineRule="auto"/>
              <w:jc w:val="both"/>
              <w:rPr>
                <w:rFonts w:ascii="Verdana" w:eastAsia="Arial" w:hAnsi="Verdana" w:cs="Arial"/>
                <w:lang w:val="es-ES"/>
              </w:rPr>
            </w:pPr>
            <w:r w:rsidRPr="004050A5">
              <w:rPr>
                <w:rFonts w:ascii="Verdana" w:eastAsia="Arial" w:hAnsi="Verdana" w:cs="Arial"/>
                <w:lang w:val="es-ES"/>
              </w:rPr>
              <w:t xml:space="preserve">La omisión de un acuerdo comercial aplicable en el pliego de condiciones no supone </w:t>
            </w:r>
            <w:r w:rsidRPr="004050A5">
              <w:rPr>
                <w:rFonts w:ascii="Verdana" w:eastAsia="Arial" w:hAnsi="Verdana" w:cs="Arial"/>
                <w:i/>
                <w:iCs/>
                <w:lang w:val="es-ES"/>
              </w:rPr>
              <w:t>per se</w:t>
            </w:r>
            <w:r w:rsidRPr="004050A5">
              <w:rPr>
                <w:rFonts w:ascii="Verdana" w:eastAsia="Arial" w:hAnsi="Verdana" w:cs="Arial"/>
                <w:lang w:val="es-ES"/>
              </w:rPr>
              <w:t xml:space="preserve"> su inaplicabilidad. Cuando la entidad simplemente omitió incluir el acuerdo, sin consignar una regla expresa de exclusión, no existe un acto administrativo cuyo contenido resulte contrario al tratado, sino un vacío en el pliego de condiciones que debe ser suplido con el ordenamiento jurídico aplicable, dentro del cual el acuerdo comercial</w:t>
            </w:r>
            <w:r w:rsidRPr="007548F6">
              <w:rPr>
                <w:rFonts w:ascii="Verdana" w:eastAsia="Arial" w:hAnsi="Verdana" w:cs="Arial"/>
                <w:lang w:val="es-ES"/>
              </w:rPr>
              <w:t xml:space="preserve">, </w:t>
            </w:r>
            <w:r w:rsidRPr="004050A5">
              <w:rPr>
                <w:rFonts w:ascii="Verdana" w:eastAsia="Arial" w:hAnsi="Verdana" w:cs="Arial"/>
                <w:lang w:val="es-ES"/>
              </w:rPr>
              <w:t>incorporado mediante ley aprobatoria</w:t>
            </w:r>
            <w:r w:rsidRPr="007548F6">
              <w:rPr>
                <w:rFonts w:ascii="Verdana" w:eastAsia="Arial" w:hAnsi="Verdana" w:cs="Arial"/>
                <w:lang w:val="es-ES"/>
              </w:rPr>
              <w:t xml:space="preserve">, </w:t>
            </w:r>
            <w:r w:rsidRPr="004050A5">
              <w:rPr>
                <w:rFonts w:ascii="Verdana" w:eastAsia="Arial" w:hAnsi="Verdana" w:cs="Arial"/>
                <w:lang w:val="es-ES"/>
              </w:rPr>
              <w:t>y el artículo 2.2.1.2.4.1.3 del Decreto 1082 de 2015 ocupan una posición de prevalencia. En consecuencia, el silencio de los documentos del proceso sobre un tratado ratificado no habilita a la entidad para desconocer u omitir su cumplimiento, por lo que esta debe, en la medida de lo posible, aplicar directamente el tratado, dando prelación a sus reglas en la evaluación.</w:t>
            </w:r>
          </w:p>
          <w:p w14:paraId="3C6F489E" w14:textId="77777777" w:rsidR="003A2B2E" w:rsidRPr="004050A5" w:rsidRDefault="003A2B2E" w:rsidP="00EA669F">
            <w:pPr>
              <w:spacing w:after="120" w:line="276" w:lineRule="auto"/>
              <w:ind w:firstLine="738"/>
              <w:jc w:val="both"/>
              <w:rPr>
                <w:rFonts w:ascii="Verdana" w:eastAsia="Arial" w:hAnsi="Verdana" w:cs="Arial"/>
                <w:lang w:val="es-ES"/>
              </w:rPr>
            </w:pPr>
            <w:r w:rsidRPr="004050A5">
              <w:rPr>
                <w:rFonts w:ascii="Verdana" w:eastAsia="Arial" w:hAnsi="Verdana" w:cs="Arial"/>
                <w:lang w:val="es-ES"/>
              </w:rPr>
              <w:t xml:space="preserve">Respecto del puntaje de apoyo a la industria nacional, lo anterior significa que, si el pliego previó el factor de la Ley 816 de 2003 y un </w:t>
            </w:r>
            <w:r w:rsidRPr="004050A5">
              <w:rPr>
                <w:rFonts w:ascii="Verdana" w:eastAsia="Arial" w:hAnsi="Verdana" w:cs="Arial"/>
                <w:lang w:val="es-ES"/>
              </w:rPr>
              <w:lastRenderedPageBreak/>
              <w:t>proponente acredita que se trata de un oferente, bienes o servicios provenientes de un Estado cubierto por el acuerdo comercial aplicable, la entidad debe asignarle el puntaje reservado a la oferta nacional —</w:t>
            </w:r>
            <w:r w:rsidRPr="007548F6">
              <w:rPr>
                <w:rFonts w:ascii="Verdana" w:eastAsia="Arial" w:hAnsi="Verdana" w:cs="Arial"/>
                <w:lang w:val="es-ES"/>
              </w:rPr>
              <w:t xml:space="preserve"> </w:t>
            </w:r>
            <w:proofErr w:type="spellStart"/>
            <w:r w:rsidRPr="007548F6">
              <w:rPr>
                <w:rFonts w:ascii="Verdana" w:eastAsia="Arial" w:hAnsi="Verdana" w:cs="Arial"/>
                <w:lang w:val="es-ES"/>
              </w:rPr>
              <w:t>alcual</w:t>
            </w:r>
            <w:proofErr w:type="spellEnd"/>
            <w:r w:rsidRPr="007548F6">
              <w:rPr>
                <w:rFonts w:ascii="Verdana" w:eastAsia="Arial" w:hAnsi="Verdana" w:cs="Arial"/>
                <w:lang w:val="es-ES"/>
              </w:rPr>
              <w:t xml:space="preserve"> se refiere el </w:t>
            </w:r>
            <w:r w:rsidRPr="004050A5">
              <w:rPr>
                <w:rFonts w:ascii="Verdana" w:eastAsia="Arial" w:hAnsi="Verdana" w:cs="Arial"/>
                <w:lang w:val="es-ES"/>
              </w:rPr>
              <w:t>inciso primero del artículo 2 de la Ley 816 de 2003—, sin que pueda oponerle la omisión del listado, siempre que se cumplan los presupuestos que para el efecto exige la norma.</w:t>
            </w:r>
          </w:p>
          <w:p w14:paraId="1441B83B" w14:textId="77777777" w:rsidR="003A2B2E" w:rsidRPr="004050A5" w:rsidRDefault="003A2B2E" w:rsidP="00EA669F">
            <w:pPr>
              <w:spacing w:after="120" w:line="276" w:lineRule="auto"/>
              <w:ind w:firstLine="738"/>
              <w:jc w:val="both"/>
              <w:rPr>
                <w:rFonts w:ascii="Verdana" w:eastAsia="Arial" w:hAnsi="Verdana" w:cs="Arial"/>
                <w:lang w:val="es-ES"/>
              </w:rPr>
            </w:pPr>
            <w:r w:rsidRPr="004050A5">
              <w:rPr>
                <w:rFonts w:ascii="Verdana" w:eastAsia="Arial" w:hAnsi="Verdana" w:cs="Arial"/>
                <w:lang w:val="es-ES"/>
              </w:rPr>
              <w:t xml:space="preserve">No obstante, la aplicación directa del tratado en sede de evaluación puede no resultar materialmente posible en todos los casos. Si el trato nacional puede acreditarse con la información y los documentos ya contemplados en los documentos del proceso, la entidad debe otorgar el puntaje directamente, integrando el vacío del pliego con el tratado y </w:t>
            </w:r>
            <w:r w:rsidRPr="007548F6">
              <w:rPr>
                <w:rFonts w:ascii="Verdana" w:eastAsia="Arial" w:hAnsi="Verdana" w:cs="Arial"/>
                <w:lang w:val="es-ES"/>
              </w:rPr>
              <w:t xml:space="preserve">lo dispuesto en </w:t>
            </w:r>
            <w:r w:rsidRPr="004050A5">
              <w:rPr>
                <w:rFonts w:ascii="Verdana" w:eastAsia="Arial" w:hAnsi="Verdana" w:cs="Arial"/>
                <w:lang w:val="es-ES"/>
              </w:rPr>
              <w:t>el Decreto 1082 de 2015. Si, en cambio, su reconocimiento exige acreditar condiciones o aportar documentos no previstos en el pliego, corresponde a la entidad adoptar las medidas procedimentales que permitan su aplicación sin sacrificar la igualdad</w:t>
            </w:r>
            <w:r w:rsidRPr="007548F6">
              <w:rPr>
                <w:rFonts w:ascii="Verdana" w:eastAsia="Arial" w:hAnsi="Verdana" w:cs="Arial"/>
                <w:lang w:val="es-ES"/>
              </w:rPr>
              <w:t>,</w:t>
            </w:r>
            <w:r w:rsidRPr="004050A5">
              <w:rPr>
                <w:rFonts w:ascii="Verdana" w:eastAsia="Arial" w:hAnsi="Verdana" w:cs="Arial"/>
                <w:lang w:val="es-ES"/>
              </w:rPr>
              <w:t xml:space="preserve"> ni el debido proceso</w:t>
            </w:r>
            <w:r w:rsidRPr="007548F6">
              <w:rPr>
                <w:rFonts w:ascii="Verdana" w:eastAsia="Arial" w:hAnsi="Verdana" w:cs="Arial"/>
                <w:lang w:val="es-ES"/>
              </w:rPr>
              <w:t>. Por ejemplo, si advierte la situación</w:t>
            </w:r>
            <w:r w:rsidRPr="004050A5">
              <w:rPr>
                <w:rFonts w:ascii="Verdana" w:eastAsia="Arial" w:hAnsi="Verdana" w:cs="Arial"/>
                <w:lang w:val="es-ES"/>
              </w:rPr>
              <w:t xml:space="preserve"> antes del cierre, </w:t>
            </w:r>
            <w:r w:rsidRPr="007548F6">
              <w:rPr>
                <w:rFonts w:ascii="Verdana" w:eastAsia="Arial" w:hAnsi="Verdana" w:cs="Arial"/>
                <w:lang w:val="es-ES"/>
              </w:rPr>
              <w:t xml:space="preserve">podrá hacerlo </w:t>
            </w:r>
            <w:r w:rsidRPr="004050A5">
              <w:rPr>
                <w:rFonts w:ascii="Verdana" w:eastAsia="Arial" w:hAnsi="Verdana" w:cs="Arial"/>
                <w:lang w:val="es-ES"/>
              </w:rPr>
              <w:t xml:space="preserve">mediante adenda que incorpore el acuerdo, ajuste el mecanismo de acreditación y amplíe el cronograma; </w:t>
            </w:r>
            <w:r w:rsidRPr="007548F6">
              <w:rPr>
                <w:rFonts w:ascii="Verdana" w:eastAsia="Arial" w:hAnsi="Verdana" w:cs="Arial"/>
                <w:lang w:val="es-ES"/>
              </w:rPr>
              <w:t xml:space="preserve">si esto ocurre </w:t>
            </w:r>
            <w:r w:rsidRPr="004050A5">
              <w:rPr>
                <w:rFonts w:ascii="Verdana" w:eastAsia="Arial" w:hAnsi="Verdana" w:cs="Arial"/>
                <w:lang w:val="es-ES"/>
              </w:rPr>
              <w:t xml:space="preserve">después del cierre, </w:t>
            </w:r>
            <w:r w:rsidRPr="007548F6">
              <w:rPr>
                <w:rFonts w:ascii="Verdana" w:eastAsia="Arial" w:hAnsi="Verdana" w:cs="Arial"/>
                <w:lang w:val="es-ES"/>
              </w:rPr>
              <w:t>puede requerir al proponente para que aporte l</w:t>
            </w:r>
            <w:r w:rsidRPr="004050A5">
              <w:rPr>
                <w:rFonts w:ascii="Verdana" w:eastAsia="Arial" w:hAnsi="Verdana" w:cs="Arial"/>
                <w:lang w:val="es-ES"/>
              </w:rPr>
              <w:t xml:space="preserve">os documentos </w:t>
            </w:r>
            <w:r w:rsidRPr="007548F6">
              <w:rPr>
                <w:rFonts w:ascii="Verdana" w:eastAsia="Arial" w:hAnsi="Verdana" w:cs="Arial"/>
                <w:lang w:val="es-ES"/>
              </w:rPr>
              <w:t xml:space="preserve">necesarios, siempre que acrediten </w:t>
            </w:r>
            <w:r w:rsidRPr="004050A5">
              <w:rPr>
                <w:rFonts w:ascii="Verdana" w:eastAsia="Arial" w:hAnsi="Verdana" w:cs="Arial"/>
                <w:lang w:val="es-ES"/>
              </w:rPr>
              <w:t>circunstancias existentes al momento de ofertar, en el marco de las reglas de subsanabilidad y con observancia de la restricción del parágrafo 1º del artículo 5 de la Ley 1150 de 2007.</w:t>
            </w:r>
          </w:p>
          <w:p w14:paraId="38457950" w14:textId="77777777" w:rsidR="003A2B2E" w:rsidRPr="007548F6" w:rsidRDefault="003A2B2E" w:rsidP="00EA669F">
            <w:pPr>
              <w:spacing w:after="120" w:line="276" w:lineRule="auto"/>
              <w:ind w:firstLine="738"/>
              <w:jc w:val="both"/>
              <w:rPr>
                <w:rFonts w:ascii="Verdana" w:eastAsia="Arial" w:hAnsi="Verdana" w:cs="Arial"/>
                <w:lang w:val="es-ES"/>
              </w:rPr>
            </w:pPr>
            <w:r w:rsidRPr="004050A5">
              <w:rPr>
                <w:rFonts w:ascii="Verdana" w:eastAsia="Arial" w:hAnsi="Verdana" w:cs="Arial"/>
                <w:lang w:val="es-ES"/>
              </w:rPr>
              <w:t>Finalmente, si la omisión del acuerdo compromete el proceso, la entidad deberá acudir a las medidas remediales o de saneamiento que resulten adecuadas, en lugar de una aplicación directa del tratado</w:t>
            </w:r>
            <w:r w:rsidRPr="007548F6">
              <w:rPr>
                <w:rFonts w:ascii="Verdana" w:eastAsia="Arial" w:hAnsi="Verdana" w:cs="Arial"/>
                <w:lang w:val="es-ES"/>
              </w:rPr>
              <w:t>,</w:t>
            </w:r>
            <w:r w:rsidRPr="004050A5">
              <w:rPr>
                <w:rFonts w:ascii="Verdana" w:eastAsia="Arial" w:hAnsi="Verdana" w:cs="Arial"/>
                <w:lang w:val="es-ES"/>
              </w:rPr>
              <w:t xml:space="preserve"> </w:t>
            </w:r>
            <w:r w:rsidRPr="007548F6">
              <w:rPr>
                <w:rFonts w:ascii="Verdana" w:eastAsia="Arial" w:hAnsi="Verdana" w:cs="Arial"/>
                <w:lang w:val="es-ES"/>
              </w:rPr>
              <w:t>si</w:t>
            </w:r>
            <w:r w:rsidRPr="004050A5">
              <w:rPr>
                <w:rFonts w:ascii="Verdana" w:eastAsia="Arial" w:hAnsi="Verdana" w:cs="Arial"/>
                <w:lang w:val="es-ES"/>
              </w:rPr>
              <w:t xml:space="preserve"> result</w:t>
            </w:r>
            <w:r w:rsidRPr="007548F6">
              <w:rPr>
                <w:rFonts w:ascii="Verdana" w:eastAsia="Arial" w:hAnsi="Verdana" w:cs="Arial"/>
                <w:lang w:val="es-ES"/>
              </w:rPr>
              <w:t>a</w:t>
            </w:r>
            <w:r w:rsidRPr="004050A5">
              <w:rPr>
                <w:rFonts w:ascii="Verdana" w:eastAsia="Arial" w:hAnsi="Verdana" w:cs="Arial"/>
                <w:lang w:val="es-ES"/>
              </w:rPr>
              <w:t xml:space="preserve"> materialmente inviable o lesiva </w:t>
            </w:r>
            <w:r w:rsidRPr="007548F6">
              <w:rPr>
                <w:rFonts w:ascii="Verdana" w:eastAsia="Arial" w:hAnsi="Verdana" w:cs="Arial"/>
                <w:lang w:val="es-ES"/>
              </w:rPr>
              <w:t>a</w:t>
            </w:r>
            <w:r w:rsidRPr="004050A5">
              <w:rPr>
                <w:rFonts w:ascii="Verdana" w:eastAsia="Arial" w:hAnsi="Verdana" w:cs="Arial"/>
                <w:lang w:val="es-ES"/>
              </w:rPr>
              <w:t xml:space="preserve"> la igualdad. En cualquier supuesto, corresponde a la entidad determinar, en el caso concreto, las medidas para armonizar la aplicación del acuerdo comercial con el pliego de condiciones, en cumplimiento del marco jurídico y de los principios que rigen su actividad contractual.</w:t>
            </w:r>
          </w:p>
          <w:p w14:paraId="5C4BCFA6" w14:textId="77777777" w:rsidR="003A2B2E" w:rsidRPr="007548F6" w:rsidRDefault="003A2B2E" w:rsidP="00EA669F">
            <w:pPr>
              <w:spacing w:after="120" w:line="276" w:lineRule="auto"/>
              <w:ind w:firstLine="738"/>
              <w:jc w:val="both"/>
              <w:rPr>
                <w:rFonts w:ascii="Verdana" w:eastAsia="Arial" w:hAnsi="Verdana" w:cs="Arial"/>
                <w:lang w:val="es-ES"/>
              </w:rPr>
            </w:pPr>
            <w:r w:rsidRPr="007548F6">
              <w:rPr>
                <w:rFonts w:ascii="Verdana" w:eastAsia="Arial" w:hAnsi="Verdana" w:cs="Arial"/>
                <w:lang w:val="es-ES"/>
              </w:rPr>
              <w:t xml:space="preserve">Al margen de lo expuesto, debe advertirse que el análisis para resolver problemas específicos en torno a los procesos de contratación debe ser realizado por quienes tengan interés en ello. De esta forma, las afirmaciones aquí realizadas no pueden ser interpretadas como juicios de valor sobre circunstancias concretas relacionadas con los hechos que motivan la consulta. Por lo anterior, previo concepto de sus asesores, la solución de situaciones </w:t>
            </w:r>
            <w:r w:rsidRPr="007548F6">
              <w:rPr>
                <w:rFonts w:ascii="Verdana" w:eastAsia="Arial" w:hAnsi="Verdana" w:cs="Arial"/>
                <w:lang w:val="es-ES"/>
              </w:rPr>
              <w:lastRenderedPageBreak/>
              <w:t xml:space="preserve">particulares corresponderá a los interesados adoptar la decisión y, en caso de conflicto, a las autoridades judiciales, fiscales y disciplinarias. </w:t>
            </w:r>
          </w:p>
        </w:tc>
      </w:tr>
    </w:tbl>
    <w:p w14:paraId="70FADEC7" w14:textId="77777777" w:rsidR="003A2B2E" w:rsidRPr="007548F6" w:rsidRDefault="003A2B2E" w:rsidP="003A2B2E">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63415940" w14:textId="77777777" w:rsidR="003A2B2E" w:rsidRPr="007548F6" w:rsidRDefault="003A2B2E" w:rsidP="003A2B2E">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7548F6">
        <w:rPr>
          <w:rFonts w:ascii="Verdana" w:eastAsia="Century Gothic" w:hAnsi="Verdana" w:cs="Century Gothic"/>
          <w:b/>
          <w:bCs/>
          <w:color w:val="000000" w:themeColor="text1"/>
        </w:rPr>
        <w:t>Razones de la respuesta:</w:t>
      </w:r>
    </w:p>
    <w:p w14:paraId="5D09C7E3" w14:textId="77777777" w:rsidR="003A2B2E" w:rsidRPr="007548F6" w:rsidRDefault="003A2B2E" w:rsidP="003A2B2E">
      <w:pPr>
        <w:spacing w:after="0" w:line="276" w:lineRule="auto"/>
        <w:jc w:val="both"/>
        <w:rPr>
          <w:rFonts w:ascii="Verdana" w:eastAsia="Calibri" w:hAnsi="Verdana" w:cs="Arial"/>
          <w:color w:val="000000" w:themeColor="text1"/>
          <w:lang w:val="es-ES"/>
        </w:rPr>
      </w:pPr>
    </w:p>
    <w:p w14:paraId="5B462EEC" w14:textId="77777777" w:rsidR="003A2B2E" w:rsidRPr="007548F6" w:rsidRDefault="003A2B2E" w:rsidP="003A2B2E">
      <w:pPr>
        <w:spacing w:after="0" w:line="276" w:lineRule="auto"/>
        <w:jc w:val="both"/>
        <w:rPr>
          <w:rFonts w:ascii="Verdana" w:eastAsia="Calibri" w:hAnsi="Verdana" w:cs="Arial"/>
          <w:color w:val="000000" w:themeColor="text1"/>
          <w:lang w:val="es-ES"/>
        </w:rPr>
      </w:pPr>
      <w:r w:rsidRPr="007548F6">
        <w:rPr>
          <w:rFonts w:ascii="Verdana" w:eastAsia="Calibri" w:hAnsi="Verdana" w:cs="Arial"/>
          <w:color w:val="000000" w:themeColor="text1"/>
          <w:lang w:val="es-ES"/>
        </w:rPr>
        <w:t xml:space="preserve">Lo anterior se sustenta en las siguientes consideraciones: </w:t>
      </w:r>
    </w:p>
    <w:p w14:paraId="2E82FD4F" w14:textId="77777777" w:rsidR="003A2B2E" w:rsidRPr="007548F6" w:rsidRDefault="003A2B2E" w:rsidP="003A2B2E">
      <w:pPr>
        <w:spacing w:after="0" w:line="276" w:lineRule="auto"/>
        <w:jc w:val="both"/>
        <w:rPr>
          <w:rFonts w:ascii="Verdana" w:eastAsia="Calibri" w:hAnsi="Verdana" w:cs="Arial"/>
          <w:lang w:val="es-ES"/>
        </w:rPr>
      </w:pPr>
    </w:p>
    <w:p w14:paraId="723C96EA" w14:textId="77777777" w:rsidR="003A2B2E" w:rsidRPr="007548F6" w:rsidRDefault="003A2B2E" w:rsidP="003A2B2E">
      <w:pPr>
        <w:tabs>
          <w:tab w:val="left" w:pos="0"/>
        </w:tabs>
        <w:spacing w:after="120" w:line="276" w:lineRule="auto"/>
        <w:jc w:val="both"/>
        <w:rPr>
          <w:rFonts w:ascii="Verdana" w:eastAsia="Calibri" w:hAnsi="Verdana" w:cs="Arial"/>
          <w:bCs/>
          <w:color w:val="000000" w:themeColor="text1"/>
          <w:lang w:val="es-ES"/>
        </w:rPr>
      </w:pPr>
      <w:r w:rsidRPr="007548F6">
        <w:rPr>
          <w:rFonts w:ascii="Verdana" w:eastAsia="Calibri" w:hAnsi="Verdana" w:cs="Arial"/>
          <w:bCs/>
          <w:lang w:val="es-ES"/>
        </w:rPr>
        <w:t>i)</w:t>
      </w:r>
      <w:r w:rsidRPr="007548F6">
        <w:rPr>
          <w:rFonts w:ascii="Verdana" w:eastAsia="Calibri" w:hAnsi="Verdana" w:cs="Arial"/>
          <w:color w:val="000000"/>
          <w:lang w:val="es-ES"/>
        </w:rPr>
        <w:t xml:space="preserve"> </w:t>
      </w:r>
      <w:bookmarkStart w:id="1" w:name="_Hlk66177778"/>
      <w:r w:rsidRPr="007548F6">
        <w:rPr>
          <w:rFonts w:ascii="Verdana" w:eastAsia="Calibri" w:hAnsi="Verdana" w:cs="Arial"/>
          <w:bCs/>
          <w:color w:val="000000" w:themeColor="text1"/>
          <w:lang w:val="es-ES"/>
        </w:rPr>
        <w:t xml:space="preserve">Los tratados bilaterales de comercio con capítulos sobre contratación pública son hoy en día una realidad en el ordenamiento jurídico colombiano y las normas de contratación nacionales, como el Estatuto General de Contratación de la Administración Pública, deben ser aplicadas en la práctica con la debida observancia de las obligaciones internacionales del Estado, so pena de causar responsabilidad por incumplimiento de dichas obligaciones. </w:t>
      </w:r>
    </w:p>
    <w:p w14:paraId="19767955" w14:textId="77777777" w:rsidR="003A2B2E" w:rsidRPr="007548F6" w:rsidRDefault="003A2B2E" w:rsidP="003A2B2E">
      <w:pPr>
        <w:spacing w:before="120" w:after="0" w:line="276" w:lineRule="auto"/>
        <w:jc w:val="both"/>
        <w:rPr>
          <w:rFonts w:ascii="Verdana" w:eastAsia="Calibri" w:hAnsi="Verdana" w:cs="Arial"/>
          <w:bCs/>
          <w:color w:val="000000" w:themeColor="text1"/>
          <w:sz w:val="18"/>
          <w:szCs w:val="18"/>
          <w:lang w:val="es-ES"/>
        </w:rPr>
      </w:pPr>
      <w:r w:rsidRPr="007548F6">
        <w:rPr>
          <w:rFonts w:ascii="Verdana" w:eastAsia="Calibri" w:hAnsi="Verdana" w:cs="Arial"/>
          <w:bCs/>
          <w:color w:val="000000" w:themeColor="text1"/>
          <w:lang w:val="es-ES"/>
        </w:rPr>
        <w:tab/>
      </w:r>
      <w:bookmarkEnd w:id="1"/>
      <w:r w:rsidRPr="007548F6">
        <w:rPr>
          <w:rFonts w:ascii="Verdana" w:eastAsia="Calibri" w:hAnsi="Verdana" w:cs="Arial"/>
          <w:bCs/>
          <w:color w:val="000000" w:themeColor="text1"/>
          <w:lang w:val="es-ES"/>
        </w:rPr>
        <w:t>Los acuerdos comerciales son tratados internacionales celebrados entre Estados e incorporados a los ordenamientos nacionales, cuyo contenido establece derechos y obligaciones en distintas materias, incluyendo las compras públicas. En el caso colombiano, cada acuerdo comercial debe ser aprobado y posteriormente incorporado al ordenamiento jurídico por una ley de la República</w:t>
      </w:r>
      <w:r w:rsidRPr="007548F6">
        <w:rPr>
          <w:rStyle w:val="FootnoteReference"/>
          <w:rFonts w:ascii="Verdana" w:eastAsia="Calibri" w:hAnsi="Verdana" w:cs="Arial"/>
          <w:bCs/>
          <w:color w:val="000000" w:themeColor="text1"/>
          <w:sz w:val="18"/>
          <w:szCs w:val="18"/>
          <w:lang w:val="es-ES"/>
        </w:rPr>
        <w:footnoteReference w:id="2"/>
      </w:r>
      <w:r w:rsidRPr="007548F6">
        <w:rPr>
          <w:rFonts w:ascii="Verdana" w:eastAsia="Calibri" w:hAnsi="Verdana" w:cs="Arial"/>
          <w:bCs/>
          <w:color w:val="000000" w:themeColor="text1"/>
          <w:sz w:val="18"/>
          <w:szCs w:val="18"/>
          <w:lang w:val="es-ES"/>
        </w:rPr>
        <w:t>.</w:t>
      </w:r>
    </w:p>
    <w:p w14:paraId="71198220" w14:textId="77777777" w:rsidR="003A2B2E" w:rsidRPr="007548F6" w:rsidRDefault="003A2B2E" w:rsidP="003A2B2E">
      <w:pPr>
        <w:spacing w:before="120" w:after="0" w:line="276" w:lineRule="auto"/>
        <w:ind w:firstLine="708"/>
        <w:jc w:val="both"/>
        <w:rPr>
          <w:rFonts w:ascii="Verdana" w:eastAsia="Calibri" w:hAnsi="Verdana" w:cs="Arial"/>
          <w:bCs/>
          <w:color w:val="000000" w:themeColor="text1"/>
          <w:lang w:val="es-ES"/>
        </w:rPr>
      </w:pPr>
      <w:r w:rsidRPr="007548F6">
        <w:rPr>
          <w:rFonts w:ascii="Verdana" w:eastAsia="Calibri" w:hAnsi="Verdana" w:cs="Arial"/>
          <w:bCs/>
          <w:color w:val="000000" w:themeColor="text1"/>
          <w:lang w:val="es-ES"/>
        </w:rPr>
        <w:t>Dado que los acuerdos comerciales se encuentran incorporados a la legislación interna, las Entidades Estatales deben aplicar las normas de contratación, como el Estatuto General de Contratación de la Administración Pública –Ley 80 de 1993, Ley 1150 de 2007 y demás normas complementarias–, con la debida observancia de las obligaciones internacionales incluidas en los acuerdos suscritos por Colombia, so pena de incurrir en responsabilidad por el incumplimiento de dichas obligaciones.</w:t>
      </w:r>
    </w:p>
    <w:p w14:paraId="7AA1F411" w14:textId="77777777" w:rsidR="003A2B2E" w:rsidRPr="007548F6" w:rsidRDefault="003A2B2E" w:rsidP="003A2B2E">
      <w:pPr>
        <w:tabs>
          <w:tab w:val="left" w:pos="0"/>
        </w:tabs>
        <w:spacing w:before="120" w:after="120" w:line="276" w:lineRule="auto"/>
        <w:jc w:val="both"/>
        <w:rPr>
          <w:rFonts w:ascii="Verdana" w:eastAsia="Calibri" w:hAnsi="Verdana" w:cs="Arial"/>
          <w:color w:val="000000" w:themeColor="text1"/>
          <w:lang w:val="es-ES"/>
        </w:rPr>
      </w:pPr>
      <w:r w:rsidRPr="007548F6">
        <w:rPr>
          <w:rFonts w:ascii="Verdana" w:eastAsia="Calibri" w:hAnsi="Verdana" w:cs="Arial"/>
          <w:bCs/>
          <w:color w:val="000000" w:themeColor="text1"/>
          <w:lang w:val="es-ES"/>
        </w:rPr>
        <w:tab/>
      </w:r>
      <w:r w:rsidRPr="007548F6">
        <w:rPr>
          <w:rFonts w:ascii="Verdana" w:eastAsia="Calibri" w:hAnsi="Verdana" w:cs="Arial"/>
          <w:color w:val="000000" w:themeColor="text1"/>
          <w:lang w:val="es-ES"/>
        </w:rPr>
        <w:t xml:space="preserve">Uno de los aspectos que presenta mayor complejidad a nivel internacional en materia de contratación pública se refiere al concepto de contratación pública cubierta. Esto es, las transacciones que se entienden comprendidas dentro del </w:t>
      </w:r>
      <w:r w:rsidRPr="007548F6">
        <w:rPr>
          <w:rFonts w:ascii="Verdana" w:eastAsia="Calibri" w:hAnsi="Verdana" w:cs="Arial"/>
          <w:color w:val="000000" w:themeColor="text1"/>
          <w:lang w:val="es-ES"/>
        </w:rPr>
        <w:lastRenderedPageBreak/>
        <w:t xml:space="preserve">acuerdo, y a las cuales deben, en consecuencia, aplicarse los estándares de protección acordados. Para poder determinar qué es </w:t>
      </w:r>
      <w:r w:rsidRPr="007548F6">
        <w:rPr>
          <w:rFonts w:ascii="Verdana" w:eastAsia="Calibri" w:hAnsi="Verdana" w:cs="Arial"/>
          <w:i/>
          <w:iCs/>
          <w:color w:val="000000" w:themeColor="text1"/>
          <w:lang w:val="es-ES"/>
        </w:rPr>
        <w:t>contratación cubierta</w:t>
      </w:r>
      <w:r w:rsidRPr="007548F6">
        <w:rPr>
          <w:rFonts w:ascii="Verdana" w:eastAsia="Calibri" w:hAnsi="Verdana" w:cs="Arial"/>
          <w:color w:val="000000" w:themeColor="text1"/>
          <w:lang w:val="es-ES"/>
        </w:rPr>
        <w:t xml:space="preserve"> es necesario revisar el instrumento normativo preciso cuya protección se invoca –el tratado– y determinar si la transacción que se alega como cubierta lo está o no. </w:t>
      </w:r>
    </w:p>
    <w:p w14:paraId="321D267D" w14:textId="77777777" w:rsidR="003A2B2E" w:rsidRPr="007548F6" w:rsidRDefault="003A2B2E" w:rsidP="003A2B2E">
      <w:pPr>
        <w:spacing w:before="120" w:after="0" w:line="276" w:lineRule="auto"/>
        <w:ind w:firstLine="708"/>
        <w:jc w:val="both"/>
        <w:rPr>
          <w:rFonts w:ascii="Verdana" w:eastAsia="Times New Roman" w:hAnsi="Verdana" w:cs="Arial"/>
          <w:lang w:val="es-ES" w:eastAsia="es-ES"/>
        </w:rPr>
      </w:pPr>
      <w:bookmarkStart w:id="2" w:name="_Hlk66177822"/>
      <w:r w:rsidRPr="007548F6">
        <w:rPr>
          <w:rFonts w:ascii="Verdana" w:eastAsia="Times New Roman" w:hAnsi="Verdana" w:cs="Arial"/>
          <w:lang w:val="es-ES" w:eastAsia="es-ES"/>
        </w:rPr>
        <w:t>En consecuencia, las Entidades Estatales tienen la obligación de identificar los acuerdos comerciales aplicables a sus procesos de contratación, y de esta manera cumplir con las obligaciones internacionales en materia de compras y contratación pública. Para esto, las Entidades Estatales deben tener en cuenta que los capítulos de compras públicas de los acuerdos comerciales señalan: (i) la cobertura específica, es decir, un listado de las entidades, los bienes y servicios cubiertos; (</w:t>
      </w:r>
      <w:proofErr w:type="spellStart"/>
      <w:r w:rsidRPr="007548F6">
        <w:rPr>
          <w:rFonts w:ascii="Verdana" w:eastAsia="Times New Roman" w:hAnsi="Verdana" w:cs="Arial"/>
          <w:lang w:val="es-ES" w:eastAsia="es-ES"/>
        </w:rPr>
        <w:t>ii</w:t>
      </w:r>
      <w:proofErr w:type="spellEnd"/>
      <w:r w:rsidRPr="007548F6">
        <w:rPr>
          <w:rFonts w:ascii="Verdana" w:eastAsia="Times New Roman" w:hAnsi="Verdana" w:cs="Arial"/>
          <w:lang w:val="es-ES" w:eastAsia="es-ES"/>
        </w:rPr>
        <w:t>) los valores a partir de los cuales el acuerdo comercial es aplicable al proceso de contratación, y (</w:t>
      </w:r>
      <w:proofErr w:type="spellStart"/>
      <w:r w:rsidRPr="007548F6">
        <w:rPr>
          <w:rFonts w:ascii="Verdana" w:eastAsia="Times New Roman" w:hAnsi="Verdana" w:cs="Arial"/>
          <w:lang w:val="es-ES" w:eastAsia="es-ES"/>
        </w:rPr>
        <w:t>iii</w:t>
      </w:r>
      <w:proofErr w:type="spellEnd"/>
      <w:r w:rsidRPr="007548F6">
        <w:rPr>
          <w:rFonts w:ascii="Verdana" w:eastAsia="Times New Roman" w:hAnsi="Verdana" w:cs="Arial"/>
          <w:lang w:val="es-ES" w:eastAsia="es-ES"/>
        </w:rPr>
        <w:t>) las excepciones a la aplicación del acuerdo comercial</w:t>
      </w:r>
      <w:r w:rsidRPr="007548F6">
        <w:rPr>
          <w:rFonts w:ascii="Verdana" w:eastAsia="Calibri" w:hAnsi="Verdana" w:cs="Arial"/>
          <w:bCs/>
          <w:color w:val="000000" w:themeColor="text1"/>
          <w:lang w:val="es-ES"/>
        </w:rPr>
        <w:t>.</w:t>
      </w:r>
      <w:bookmarkEnd w:id="2"/>
      <w:r w:rsidRPr="007548F6">
        <w:rPr>
          <w:rFonts w:ascii="Verdana" w:eastAsia="Calibri" w:hAnsi="Verdana" w:cs="Arial"/>
          <w:bCs/>
          <w:color w:val="000000" w:themeColor="text1"/>
          <w:lang w:val="es-ES"/>
        </w:rPr>
        <w:t xml:space="preserve"> </w:t>
      </w:r>
      <w:r w:rsidRPr="007548F6">
        <w:rPr>
          <w:rFonts w:ascii="Verdana" w:hAnsi="Verdana" w:cs="Arial"/>
          <w:lang w:val="es-ES"/>
        </w:rPr>
        <w:t>En suma, la finalidad de celebrar acuerdos comerciales es el cumplimiento recíproco de las obligaciones que estos contienen. Por ello, dependiendo del tratado y su contenido, se podrá determinar específicamente el tipo de obligaciones que Colombia tendrá que cumplir. </w:t>
      </w:r>
    </w:p>
    <w:p w14:paraId="235A5C0F" w14:textId="77777777" w:rsidR="003A2B2E" w:rsidRPr="007548F6" w:rsidRDefault="003A2B2E" w:rsidP="003A2B2E">
      <w:pPr>
        <w:tabs>
          <w:tab w:val="left" w:pos="0"/>
        </w:tabs>
        <w:spacing w:before="120" w:after="120" w:line="276" w:lineRule="auto"/>
        <w:jc w:val="both"/>
        <w:rPr>
          <w:rFonts w:ascii="Verdana" w:eastAsia="Calibri" w:hAnsi="Verdana" w:cs="Arial"/>
          <w:bCs/>
          <w:color w:val="000000" w:themeColor="text1"/>
          <w:lang w:val="es-ES"/>
        </w:rPr>
      </w:pPr>
      <w:r w:rsidRPr="007548F6">
        <w:rPr>
          <w:rFonts w:ascii="Verdana" w:eastAsia="Calibri" w:hAnsi="Verdana" w:cs="Arial"/>
          <w:bCs/>
          <w:color w:val="000000" w:themeColor="text1"/>
          <w:lang w:val="es-ES"/>
        </w:rPr>
        <w:tab/>
        <w:t xml:space="preserve">En este marco, la Agencia Nacional de Contratación Pública – Colombia Compra Eficiente expidió el Manual para el manejo de los Acuerdos Comerciales en Procesos de Contratación con el fin de lograr que las entidades estatales cumplan, en la práctica, de manera sencilla y pacífica las obligaciones internacionales adquiridas por el Estado. Este manual, sin introducir ninguna modificación o restricción a los tratados, condensa y explica los deberes internacionales del </w:t>
      </w:r>
      <w:r>
        <w:rPr>
          <w:rFonts w:ascii="Verdana" w:eastAsia="Calibri" w:hAnsi="Verdana" w:cs="Arial"/>
          <w:bCs/>
          <w:color w:val="000000" w:themeColor="text1"/>
          <w:lang w:val="es-ES"/>
        </w:rPr>
        <w:t>E</w:t>
      </w:r>
      <w:r w:rsidRPr="007548F6">
        <w:rPr>
          <w:rFonts w:ascii="Verdana" w:eastAsia="Calibri" w:hAnsi="Verdana" w:cs="Arial"/>
          <w:bCs/>
          <w:color w:val="000000" w:themeColor="text1"/>
          <w:lang w:val="es-ES"/>
        </w:rPr>
        <w:t>stado colombiano que deben iluminar la actuación de las entidades estatales contratantes.</w:t>
      </w:r>
    </w:p>
    <w:p w14:paraId="5C8A6C56" w14:textId="77777777" w:rsidR="003A2B2E" w:rsidRPr="007548F6" w:rsidRDefault="003A2B2E" w:rsidP="003A2B2E">
      <w:pPr>
        <w:spacing w:before="120" w:after="0" w:line="276" w:lineRule="auto"/>
        <w:ind w:firstLine="708"/>
        <w:jc w:val="both"/>
        <w:rPr>
          <w:rFonts w:ascii="Verdana" w:eastAsia="Calibri" w:hAnsi="Verdana" w:cs="Arial"/>
          <w:color w:val="000000" w:themeColor="text1"/>
          <w:lang w:val="es-ES"/>
        </w:rPr>
      </w:pPr>
      <w:r w:rsidRPr="007548F6">
        <w:rPr>
          <w:rFonts w:ascii="Verdana" w:eastAsia="Calibri" w:hAnsi="Verdana" w:cs="Arial"/>
          <w:color w:val="000000" w:themeColor="text1"/>
          <w:lang w:val="es-ES"/>
        </w:rPr>
        <w:t>Para determinar lo anterior, el Manual recomienda: (i) verificar si el tratado se encuentra vigente, (</w:t>
      </w:r>
      <w:proofErr w:type="spellStart"/>
      <w:r w:rsidRPr="007548F6">
        <w:rPr>
          <w:rFonts w:ascii="Verdana" w:eastAsia="Calibri" w:hAnsi="Verdana" w:cs="Arial"/>
          <w:color w:val="000000" w:themeColor="text1"/>
          <w:lang w:val="es-ES"/>
        </w:rPr>
        <w:t>ii</w:t>
      </w:r>
      <w:proofErr w:type="spellEnd"/>
      <w:r w:rsidRPr="007548F6">
        <w:rPr>
          <w:rFonts w:ascii="Verdana" w:eastAsia="Calibri" w:hAnsi="Verdana" w:cs="Arial"/>
          <w:color w:val="000000" w:themeColor="text1"/>
          <w:lang w:val="es-ES"/>
        </w:rPr>
        <w:t>) si la Entidad está incluida en el acuerdo, (</w:t>
      </w:r>
      <w:proofErr w:type="spellStart"/>
      <w:r w:rsidRPr="007548F6">
        <w:rPr>
          <w:rFonts w:ascii="Verdana" w:eastAsia="Calibri" w:hAnsi="Verdana" w:cs="Arial"/>
          <w:color w:val="000000" w:themeColor="text1"/>
          <w:lang w:val="es-ES"/>
        </w:rPr>
        <w:t>iii</w:t>
      </w:r>
      <w:proofErr w:type="spellEnd"/>
      <w:r w:rsidRPr="007548F6">
        <w:rPr>
          <w:rFonts w:ascii="Verdana" w:eastAsia="Calibri" w:hAnsi="Verdana" w:cs="Arial"/>
          <w:color w:val="000000" w:themeColor="text1"/>
          <w:lang w:val="es-ES"/>
        </w:rPr>
        <w:t>) identificar si el presupuesto oficial estimado del Proceso de Contratación es igual o superior al valor a partir del cual el acuerdo comercial es aplicable, y (</w:t>
      </w:r>
      <w:proofErr w:type="spellStart"/>
      <w:r w:rsidRPr="007548F6">
        <w:rPr>
          <w:rFonts w:ascii="Verdana" w:eastAsia="Calibri" w:hAnsi="Verdana" w:cs="Arial"/>
          <w:color w:val="000000" w:themeColor="text1"/>
          <w:lang w:val="es-ES"/>
        </w:rPr>
        <w:t>iv</w:t>
      </w:r>
      <w:proofErr w:type="spellEnd"/>
      <w:r w:rsidRPr="007548F6">
        <w:rPr>
          <w:rFonts w:ascii="Verdana" w:eastAsia="Calibri" w:hAnsi="Verdana" w:cs="Arial"/>
          <w:color w:val="000000" w:themeColor="text1"/>
          <w:lang w:val="es-ES"/>
        </w:rPr>
        <w:t>) determinar si hay excepciones que excluyan su aplicación</w:t>
      </w:r>
      <w:r w:rsidRPr="007548F6">
        <w:rPr>
          <w:rStyle w:val="FootnoteReference"/>
          <w:rFonts w:ascii="Verdana" w:eastAsia="Calibri" w:hAnsi="Verdana" w:cs="Arial"/>
          <w:color w:val="000000" w:themeColor="text1"/>
          <w:lang w:val="es-ES"/>
        </w:rPr>
        <w:footnoteReference w:id="3"/>
      </w:r>
      <w:r w:rsidRPr="007548F6">
        <w:rPr>
          <w:rFonts w:ascii="Verdana" w:eastAsia="Calibri" w:hAnsi="Verdana" w:cs="Arial"/>
          <w:color w:val="000000" w:themeColor="text1"/>
          <w:lang w:val="es-ES"/>
        </w:rPr>
        <w:t xml:space="preserve">. El Manual sugiere que las Entidades Estatales verifiquen el cumplimiento de estos criterios de manera sucesiva. De esta forma, una vez determinen que el acuerdo se encuentra vigente y que se trata de una Entidad cobijada, deberán confirmar </w:t>
      </w:r>
      <w:r w:rsidRPr="007548F6">
        <w:rPr>
          <w:rFonts w:ascii="Verdana" w:eastAsia="Calibri" w:hAnsi="Verdana" w:cs="Arial"/>
          <w:color w:val="000000" w:themeColor="text1"/>
          <w:lang w:val="es-ES"/>
        </w:rPr>
        <w:lastRenderedPageBreak/>
        <w:t xml:space="preserve">que el presupuesto oficial estimado del proceso de contratación que van a adelantar es igual o superior al umbral señalado por el acuerdo. </w:t>
      </w:r>
    </w:p>
    <w:p w14:paraId="456B049F" w14:textId="77777777" w:rsidR="003A2B2E" w:rsidRPr="007548F6" w:rsidRDefault="003A2B2E" w:rsidP="003A2B2E">
      <w:pPr>
        <w:tabs>
          <w:tab w:val="left" w:pos="0"/>
        </w:tabs>
        <w:spacing w:before="120" w:after="0" w:line="276" w:lineRule="auto"/>
        <w:jc w:val="both"/>
        <w:rPr>
          <w:rFonts w:ascii="Verdana" w:hAnsi="Verdana" w:cs="Arial"/>
          <w:lang w:val="es-ES"/>
        </w:rPr>
      </w:pPr>
      <w:r w:rsidRPr="007548F6">
        <w:rPr>
          <w:rFonts w:ascii="Verdana" w:hAnsi="Verdana" w:cs="Arial"/>
          <w:lang w:val="es-ES"/>
        </w:rPr>
        <w:tab/>
        <w:t>De igual forma, el ordenamiento jurídico colombiano, respecto a las compras públicas, en el artículo 2.2.1.2.4.1.1 del Decreto 1082 de 2015, dispuso que: “Las Entidades Estatales deben adelantar los Procesos de Contratación de acuerdo con lo previsto en los Acuerdos Comerciales, cuando estos les sean aplicables”. Por tanto, con base en lo dispuesto en el artículo en mención, la obligatoriedad de aplicar los tratados está sometid</w:t>
      </w:r>
      <w:r>
        <w:rPr>
          <w:rFonts w:ascii="Verdana" w:hAnsi="Verdana" w:cs="Arial"/>
          <w:lang w:val="es-ES"/>
        </w:rPr>
        <w:t>a</w:t>
      </w:r>
      <w:r w:rsidRPr="007548F6">
        <w:rPr>
          <w:rFonts w:ascii="Verdana" w:hAnsi="Verdana" w:cs="Arial"/>
          <w:lang w:val="es-ES"/>
        </w:rPr>
        <w:t xml:space="preserve"> al cumplimiento de los requisitos legales de incorporación en el derecho nacional y no a su consagración en el Manual de Acuerdos Comerciales expedido por la Agencia. </w:t>
      </w:r>
    </w:p>
    <w:p w14:paraId="359D1863" w14:textId="77777777" w:rsidR="003A2B2E" w:rsidRPr="007548F6" w:rsidRDefault="003A2B2E" w:rsidP="003A2B2E">
      <w:pPr>
        <w:spacing w:before="120" w:after="0" w:line="276" w:lineRule="auto"/>
        <w:ind w:firstLine="360"/>
        <w:jc w:val="both"/>
        <w:rPr>
          <w:rFonts w:ascii="Verdana" w:hAnsi="Verdana"/>
          <w:lang w:val="es-ES"/>
        </w:rPr>
      </w:pPr>
      <w:r w:rsidRPr="007548F6">
        <w:rPr>
          <w:rFonts w:ascii="Verdana" w:eastAsia="Times New Roman" w:hAnsi="Verdana" w:cs="Arial"/>
          <w:iCs/>
          <w:lang w:val="es-ES" w:eastAsia="es-ES_tradnl"/>
        </w:rPr>
        <w:t>Así las cosas, la determinación de si un proceso se encuentra cobijado por uno o varios acuerdos comerciales debe realizarse de forma individual y específica para cada caso, ya que factores como la naturaleza jurídica de la entidad estatal, el objeto del contrato y su valor pueden incidir en la aplicabilidad de un acuerdo en particular. En ese sentido, se recomienda revisar detalladamente el contenido de cada instrumento internacional vigente y apoyarse en herramientas orientativas como el Manual para el Manejo de Acuerdos Comerciales elaborado por Colombia Compra Eficiente.</w:t>
      </w:r>
      <w:r w:rsidRPr="007548F6">
        <w:rPr>
          <w:rFonts w:ascii="Verdana" w:hAnsi="Verdana"/>
          <w:lang w:val="es-ES"/>
        </w:rPr>
        <w:t xml:space="preserve"> </w:t>
      </w:r>
    </w:p>
    <w:p w14:paraId="66BD5286" w14:textId="77777777" w:rsidR="003A2B2E" w:rsidRPr="007548F6" w:rsidRDefault="003A2B2E" w:rsidP="003A2B2E">
      <w:pPr>
        <w:spacing w:after="0" w:line="276" w:lineRule="auto"/>
        <w:ind w:firstLine="360"/>
        <w:jc w:val="both"/>
        <w:rPr>
          <w:rFonts w:ascii="Verdana" w:hAnsi="Verdana"/>
          <w:lang w:val="es-ES"/>
        </w:rPr>
      </w:pPr>
    </w:p>
    <w:p w14:paraId="0813C03D" w14:textId="77777777" w:rsidR="003A2B2E" w:rsidRPr="007548F6" w:rsidRDefault="003A2B2E" w:rsidP="003A2B2E">
      <w:pPr>
        <w:spacing w:after="0" w:line="276" w:lineRule="auto"/>
        <w:jc w:val="both"/>
        <w:rPr>
          <w:rFonts w:ascii="Verdana" w:hAnsi="Verdana"/>
          <w:lang w:val="es-ES"/>
        </w:rPr>
      </w:pPr>
      <w:proofErr w:type="spellStart"/>
      <w:r w:rsidRPr="007548F6">
        <w:rPr>
          <w:rFonts w:ascii="Verdana" w:hAnsi="Verdana" w:cs="Arial"/>
          <w:lang w:val="es-ES"/>
        </w:rPr>
        <w:t>ii</w:t>
      </w:r>
      <w:proofErr w:type="spellEnd"/>
      <w:r w:rsidRPr="007548F6">
        <w:rPr>
          <w:rFonts w:ascii="Verdana" w:hAnsi="Verdana" w:cs="Arial"/>
          <w:lang w:val="es-ES"/>
        </w:rPr>
        <w:t>) En concordancia, el artículo 2.2.1.2.4.1.3 del Decreto 1082 de 2015 dispone que la Entidad Estatal debe conceder trato nacional a los oferentes, bienes y servicios provenientes de Estados con los cuales Colombia tenga Acuerdos Comerciales, en los términos establecidos en tales Acuerdos. Como lo ha explicado la Agencia, el trato nacional consiste en la consideración especial en la asignación de puntaje que se tiene sobre los oferentes, bienes y servicios colombianos y que, en virtud de la reciprocidad, se extiende a los extranjeros; privilegio que puede provenir de un tratado o acuerdo comercial, de un certificado de reciprocidad o de la regulación andina.</w:t>
      </w:r>
    </w:p>
    <w:p w14:paraId="78C2AAAA" w14:textId="77777777" w:rsidR="003A2B2E" w:rsidRPr="007548F6" w:rsidRDefault="003A2B2E" w:rsidP="003A2B2E">
      <w:pPr>
        <w:spacing w:before="120" w:after="120" w:line="276" w:lineRule="auto"/>
        <w:ind w:right="51" w:firstLine="708"/>
        <w:jc w:val="both"/>
        <w:rPr>
          <w:rFonts w:ascii="Verdana" w:eastAsia="Arial" w:hAnsi="Verdana" w:cs="Arial"/>
          <w:lang w:val="es-ES"/>
        </w:rPr>
      </w:pPr>
      <w:r w:rsidRPr="007548F6">
        <w:rPr>
          <w:rFonts w:ascii="Verdana" w:eastAsia="Arial" w:hAnsi="Verdana" w:cs="Arial"/>
          <w:color w:val="000000"/>
          <w:lang w:val="es-ES" w:eastAsia="es-CO"/>
        </w:rPr>
        <w:t>La Ley 816 de 2003, “por medio de la cual se apoya a la industria nacional a través de la contratación pública”, tiene como objetivo promover una mayor participación de los proveedores de bienes y servicios de origen colombiano en las compras de las entidades públicas. Asimismo, fue adoptada con el propósito de crear un factor de preferencia para las propuestas que ofrezcan productos o servicios nacionales.</w:t>
      </w:r>
    </w:p>
    <w:p w14:paraId="5F1A3909" w14:textId="77777777" w:rsidR="003A2B2E" w:rsidRPr="007548F6" w:rsidRDefault="003A2B2E" w:rsidP="003A2B2E">
      <w:pPr>
        <w:spacing w:after="0" w:line="276" w:lineRule="auto"/>
        <w:ind w:right="51" w:firstLine="708"/>
        <w:jc w:val="both"/>
        <w:rPr>
          <w:rFonts w:ascii="Verdana" w:eastAsia="Arial" w:hAnsi="Verdana" w:cs="Arial"/>
          <w:lang w:val="es-ES"/>
        </w:rPr>
      </w:pPr>
      <w:r w:rsidRPr="007548F6">
        <w:rPr>
          <w:rFonts w:ascii="Verdana" w:eastAsia="Arial" w:hAnsi="Verdana" w:cs="Arial"/>
          <w:color w:val="000000"/>
          <w:lang w:val="es-ES" w:eastAsia="es-CO"/>
        </w:rPr>
        <w:lastRenderedPageBreak/>
        <w:t>Para ello, el artículo 1 dispone que las entidades estatales, en los procedimientos de selección que realicen e independientemente del régimen contractual que les sea aplicable, deben adoptar criterios que apoyen la industria nacional. En consonancia con lo anterior, el parágrafo de dicho artículo indica que:</w:t>
      </w:r>
    </w:p>
    <w:p w14:paraId="0C0B0316" w14:textId="77777777" w:rsidR="003A2B2E" w:rsidRPr="007548F6" w:rsidRDefault="003A2B2E" w:rsidP="003A2B2E">
      <w:pPr>
        <w:tabs>
          <w:tab w:val="left" w:pos="0"/>
        </w:tabs>
        <w:spacing w:after="0" w:line="240" w:lineRule="auto"/>
        <w:ind w:left="709" w:right="709"/>
        <w:jc w:val="both"/>
        <w:rPr>
          <w:rFonts w:ascii="Arial" w:eastAsia="Calibri" w:hAnsi="Arial" w:cs="Arial"/>
          <w:bCs/>
          <w:color w:val="000000"/>
          <w:sz w:val="21"/>
          <w:szCs w:val="21"/>
          <w:lang w:val="es-ES"/>
        </w:rPr>
      </w:pPr>
    </w:p>
    <w:p w14:paraId="1D821D4A" w14:textId="77777777" w:rsidR="003A2B2E" w:rsidRPr="007548F6" w:rsidRDefault="003A2B2E" w:rsidP="003A2B2E">
      <w:pPr>
        <w:spacing w:after="0" w:line="240" w:lineRule="auto"/>
        <w:ind w:left="709" w:right="709"/>
        <w:jc w:val="both"/>
        <w:rPr>
          <w:rFonts w:ascii="Verdana" w:eastAsia="Calibri" w:hAnsi="Verdana" w:cs="Arial"/>
          <w:color w:val="000000" w:themeColor="text1"/>
          <w:sz w:val="20"/>
          <w:szCs w:val="20"/>
          <w:lang w:val="es-ES"/>
        </w:rPr>
      </w:pPr>
      <w:r w:rsidRPr="007548F6">
        <w:rPr>
          <w:rFonts w:ascii="Verdana" w:eastAsia="Calibri" w:hAnsi="Verdana" w:cs="Arial"/>
          <w:color w:val="000000" w:themeColor="text1"/>
          <w:sz w:val="20"/>
          <w:szCs w:val="20"/>
          <w:lang w:val="es-ES"/>
        </w:rPr>
        <w:t>“Se otorgará tratamiento de bienes y servicios nacionales a aquellos bienes y servicios originarios de los países con los que Colombia ha negociado trato nacional en materia de compras estatales y de aquellos países en los cuales a las ofertas de bienes y servicios colombianos se les conceda el mismo tratamiento otorgado a sus bienes y servicios nacionales. La acreditación o demostración de tal circunstancia se hará en los términos que señale el reglamento”.</w:t>
      </w:r>
    </w:p>
    <w:p w14:paraId="23AA5F80" w14:textId="77777777" w:rsidR="003A2B2E" w:rsidRPr="007548F6" w:rsidRDefault="003A2B2E" w:rsidP="003A2B2E">
      <w:pPr>
        <w:spacing w:after="0" w:line="240" w:lineRule="auto"/>
        <w:ind w:left="709" w:right="709"/>
        <w:jc w:val="both"/>
        <w:rPr>
          <w:rFonts w:ascii="Verdana" w:eastAsia="Calibri" w:hAnsi="Verdana" w:cs="Arial"/>
          <w:color w:val="000000"/>
          <w:sz w:val="20"/>
          <w:szCs w:val="20"/>
          <w:lang w:val="es-ES"/>
        </w:rPr>
      </w:pPr>
    </w:p>
    <w:p w14:paraId="5A1E6D24" w14:textId="77777777" w:rsidR="003A2B2E" w:rsidRPr="007548F6" w:rsidRDefault="003A2B2E" w:rsidP="003A2B2E">
      <w:pPr>
        <w:spacing w:after="120" w:line="276" w:lineRule="auto"/>
        <w:ind w:firstLine="709"/>
        <w:jc w:val="both"/>
        <w:rPr>
          <w:rFonts w:ascii="Verdana" w:eastAsia="Calibri" w:hAnsi="Verdana" w:cs="Arial"/>
          <w:color w:val="000000"/>
          <w:lang w:val="es-ES"/>
        </w:rPr>
      </w:pPr>
      <w:r w:rsidRPr="007548F6">
        <w:rPr>
          <w:rFonts w:ascii="Verdana" w:eastAsia="Calibri" w:hAnsi="Verdana" w:cs="Arial"/>
          <w:color w:val="000000"/>
          <w:lang w:val="es-ES"/>
        </w:rPr>
        <w:t>En materia de contratación pública, dicho trato nacional es aplicable a los proponentes que ofrezcan bienes y servicios nacionales, de conformidad con las definiciones del artículo 2.2.1.1.1.3.1 del Decreto 1082 de 2015, así como a los extranjeros que cumplan con los criterios que se encuentran regulados en el artículo 2.2.1.2.4.1.3. del mismo Decreto</w:t>
      </w:r>
      <w:r w:rsidRPr="007548F6">
        <w:rPr>
          <w:rFonts w:ascii="Verdana" w:eastAsia="Calibri" w:hAnsi="Verdana" w:cs="Arial"/>
          <w:color w:val="000000"/>
          <w:vertAlign w:val="superscript"/>
          <w:lang w:val="es-ES"/>
        </w:rPr>
        <w:footnoteReference w:id="4"/>
      </w:r>
      <w:r w:rsidRPr="007548F6">
        <w:rPr>
          <w:rFonts w:ascii="Verdana" w:eastAsia="Calibri" w:hAnsi="Verdana" w:cs="Arial"/>
          <w:color w:val="000000"/>
          <w:lang w:val="es-ES"/>
        </w:rPr>
        <w:t xml:space="preserve">, en el que se establece la forma como se debe acreditar la existencia de trato nacional para extranjeros, dependiendo del fundamento de este y exigiendo el certificado expedido por el Ministerio de Relaciones Exteriores, cuando no exista tratado, ni regulación andina aplicable. </w:t>
      </w:r>
    </w:p>
    <w:p w14:paraId="5C4DEE65" w14:textId="77777777" w:rsidR="003A2B2E" w:rsidRPr="007548F6" w:rsidRDefault="003A2B2E" w:rsidP="003A2B2E">
      <w:pPr>
        <w:spacing w:after="0" w:line="276" w:lineRule="auto"/>
        <w:ind w:firstLine="709"/>
        <w:jc w:val="both"/>
        <w:rPr>
          <w:rFonts w:ascii="Verdana" w:eastAsia="Calibri" w:hAnsi="Verdana" w:cs="Arial"/>
          <w:color w:val="000000"/>
          <w:lang w:val="es-ES"/>
        </w:rPr>
      </w:pPr>
      <w:r w:rsidRPr="007548F6">
        <w:rPr>
          <w:rFonts w:ascii="Verdana" w:eastAsia="Calibri" w:hAnsi="Verdana" w:cs="Arial"/>
          <w:color w:val="000000"/>
          <w:lang w:val="es-ES"/>
        </w:rPr>
        <w:lastRenderedPageBreak/>
        <w:t>Por otra parte, las entidades estatales deben aplicar en sus</w:t>
      </w:r>
      <w:r w:rsidRPr="007548F6">
        <w:rPr>
          <w:rFonts w:ascii="Arial" w:eastAsia="Calibri" w:hAnsi="Arial" w:cs="Arial"/>
          <w:color w:val="000000"/>
          <w:lang w:val="es-ES"/>
        </w:rPr>
        <w:t xml:space="preserve"> </w:t>
      </w:r>
      <w:r w:rsidRPr="007548F6">
        <w:rPr>
          <w:rFonts w:ascii="Verdana" w:eastAsia="Calibri" w:hAnsi="Verdana" w:cs="Arial"/>
          <w:color w:val="000000"/>
          <w:lang w:val="es-ES"/>
        </w:rPr>
        <w:t>procedimientos de selección lo previsto en el artículo 2 de la Ley 816 de 2003, que establece un criterio de calificación diferencial, en los siguientes términos:</w:t>
      </w:r>
    </w:p>
    <w:p w14:paraId="34BF7D3F" w14:textId="77777777" w:rsidR="003A2B2E" w:rsidRPr="007548F6" w:rsidRDefault="003A2B2E" w:rsidP="003A2B2E">
      <w:pPr>
        <w:tabs>
          <w:tab w:val="left" w:pos="0"/>
        </w:tabs>
        <w:spacing w:after="0" w:line="240" w:lineRule="auto"/>
        <w:ind w:left="709" w:right="709"/>
        <w:jc w:val="both"/>
        <w:rPr>
          <w:rFonts w:ascii="Verdana" w:eastAsia="Calibri" w:hAnsi="Verdana" w:cs="Arial"/>
          <w:bCs/>
          <w:color w:val="000000"/>
          <w:sz w:val="21"/>
          <w:szCs w:val="21"/>
          <w:lang w:val="es-ES"/>
        </w:rPr>
      </w:pPr>
    </w:p>
    <w:p w14:paraId="3134AA96" w14:textId="77777777" w:rsidR="003A2B2E" w:rsidRPr="007548F6" w:rsidRDefault="003A2B2E" w:rsidP="003A2B2E">
      <w:pPr>
        <w:tabs>
          <w:tab w:val="left" w:pos="0"/>
        </w:tabs>
        <w:spacing w:after="120" w:line="240" w:lineRule="auto"/>
        <w:ind w:left="709" w:right="709"/>
        <w:jc w:val="both"/>
        <w:rPr>
          <w:rFonts w:ascii="Verdana" w:eastAsia="Calibri" w:hAnsi="Verdana" w:cs="Arial"/>
          <w:color w:val="000000"/>
          <w:sz w:val="20"/>
          <w:szCs w:val="20"/>
          <w:lang w:val="es-ES"/>
        </w:rPr>
      </w:pPr>
      <w:r w:rsidRPr="007548F6">
        <w:rPr>
          <w:rFonts w:ascii="Verdana" w:eastAsia="Calibri" w:hAnsi="Verdana" w:cs="Arial"/>
          <w:color w:val="000000"/>
          <w:sz w:val="20"/>
          <w:szCs w:val="20"/>
          <w:lang w:val="es-ES"/>
        </w:rPr>
        <w:t>“Las entidades de que trata el artículo 1o asignarán, dentro de los criterios de calificación de las propuestas, un puntaje comprendido entre el diez (10) y el veinte por ciento (20%), para estimular la industria colombiana cuando los proponentes oferten bienes o servicios nacionales.</w:t>
      </w:r>
    </w:p>
    <w:p w14:paraId="4C810805" w14:textId="77777777" w:rsidR="003A2B2E" w:rsidRPr="007548F6" w:rsidRDefault="003A2B2E" w:rsidP="003A2B2E">
      <w:pPr>
        <w:tabs>
          <w:tab w:val="left" w:pos="0"/>
        </w:tabs>
        <w:spacing w:after="120" w:line="240" w:lineRule="auto"/>
        <w:ind w:left="709" w:right="709"/>
        <w:jc w:val="both"/>
        <w:rPr>
          <w:rFonts w:ascii="Verdana" w:eastAsia="Calibri" w:hAnsi="Verdana" w:cs="Arial"/>
          <w:color w:val="000000"/>
          <w:sz w:val="20"/>
          <w:szCs w:val="20"/>
          <w:lang w:val="es-ES"/>
        </w:rPr>
      </w:pPr>
      <w:r w:rsidRPr="007548F6">
        <w:rPr>
          <w:rFonts w:ascii="Verdana" w:eastAsia="Calibri" w:hAnsi="Verdana" w:cs="Arial"/>
          <w:color w:val="000000"/>
          <w:sz w:val="20"/>
          <w:szCs w:val="20"/>
          <w:lang w:val="es-ES"/>
        </w:rPr>
        <w:t>Tratándose de bienes o servicios extranjeros, la entidad contratante establecerá un puntaje comprendido entre el cinco (5) y el quince por ciento (15%), para incentivar la incorporación de componente colombiano de bienes y servicios profesionales, técnicos y operativos.</w:t>
      </w:r>
    </w:p>
    <w:p w14:paraId="0D1D8541" w14:textId="77777777" w:rsidR="003A2B2E" w:rsidRPr="007548F6" w:rsidRDefault="003A2B2E" w:rsidP="003A2B2E">
      <w:pPr>
        <w:tabs>
          <w:tab w:val="left" w:pos="0"/>
        </w:tabs>
        <w:spacing w:after="0" w:line="240" w:lineRule="auto"/>
        <w:ind w:left="709" w:right="709"/>
        <w:jc w:val="both"/>
        <w:rPr>
          <w:rFonts w:ascii="Verdana" w:eastAsia="Calibri" w:hAnsi="Verdana" w:cs="Arial"/>
          <w:color w:val="000000"/>
          <w:sz w:val="20"/>
          <w:szCs w:val="20"/>
          <w:lang w:val="es-ES"/>
        </w:rPr>
      </w:pPr>
      <w:r w:rsidRPr="007548F6">
        <w:rPr>
          <w:rFonts w:ascii="Verdana" w:eastAsia="Calibri" w:hAnsi="Verdana" w:cs="Arial"/>
          <w:color w:val="000000"/>
          <w:sz w:val="20"/>
          <w:szCs w:val="20"/>
          <w:lang w:val="es-ES"/>
        </w:rPr>
        <w:t>Si una vez efectuada la calificación correspondiente, la oferta de un proponente extranjero se encuentra en igualdad de condiciones con la de un proponente nacional, se adjudicará al nacional”.</w:t>
      </w:r>
    </w:p>
    <w:p w14:paraId="408DD57F" w14:textId="77777777" w:rsidR="003A2B2E" w:rsidRPr="007548F6" w:rsidRDefault="003A2B2E" w:rsidP="003A2B2E">
      <w:pPr>
        <w:tabs>
          <w:tab w:val="left" w:pos="0"/>
        </w:tabs>
        <w:spacing w:after="0" w:line="276" w:lineRule="auto"/>
        <w:jc w:val="both"/>
        <w:rPr>
          <w:rFonts w:ascii="Verdana" w:eastAsia="Calibri" w:hAnsi="Verdana" w:cs="Arial"/>
          <w:bCs/>
          <w:color w:val="000000"/>
          <w:lang w:val="es-ES"/>
        </w:rPr>
      </w:pPr>
      <w:r w:rsidRPr="007548F6">
        <w:rPr>
          <w:rFonts w:ascii="Verdana" w:eastAsia="Calibri" w:hAnsi="Verdana" w:cs="Arial"/>
          <w:bCs/>
          <w:color w:val="000000"/>
          <w:lang w:val="es-ES"/>
        </w:rPr>
        <w:tab/>
      </w:r>
    </w:p>
    <w:p w14:paraId="1C443C89" w14:textId="77777777" w:rsidR="003A2B2E" w:rsidRPr="007548F6" w:rsidRDefault="003A2B2E" w:rsidP="003A2B2E">
      <w:pPr>
        <w:tabs>
          <w:tab w:val="left" w:pos="851"/>
        </w:tabs>
        <w:spacing w:after="120" w:line="276" w:lineRule="auto"/>
        <w:jc w:val="both"/>
        <w:rPr>
          <w:rFonts w:ascii="Verdana" w:eastAsia="Calibri" w:hAnsi="Verdana" w:cs="Arial"/>
          <w:bCs/>
          <w:color w:val="000000"/>
          <w:lang w:val="es-ES"/>
        </w:rPr>
      </w:pPr>
      <w:r w:rsidRPr="007548F6">
        <w:rPr>
          <w:rFonts w:ascii="Verdana" w:eastAsia="Calibri" w:hAnsi="Verdana" w:cs="Arial"/>
          <w:bCs/>
          <w:color w:val="000000"/>
          <w:lang w:val="es-ES"/>
        </w:rPr>
        <w:tab/>
        <w:t>De acuerdo con esta norma, las ofertas de bienes y servicios nacionales —o extranjeros con derecho a trato nacional— deben beneficiarse de un puntaje entre el 10% y el 20% del total de los puntos, según lo haya definido la entidad estatal contratante en el pliego de condiciones o documento equivalente, con la finalidad de incentivar la industria nacional.</w:t>
      </w:r>
    </w:p>
    <w:p w14:paraId="00D30D9E" w14:textId="77777777" w:rsidR="003A2B2E" w:rsidRPr="007548F6" w:rsidRDefault="003A2B2E" w:rsidP="003A2B2E">
      <w:pPr>
        <w:tabs>
          <w:tab w:val="left" w:pos="851"/>
        </w:tabs>
        <w:spacing w:after="120" w:line="276" w:lineRule="auto"/>
        <w:jc w:val="both"/>
        <w:rPr>
          <w:rFonts w:ascii="Verdana" w:eastAsia="Calibri" w:hAnsi="Verdana" w:cs="Arial"/>
          <w:bCs/>
          <w:color w:val="000000"/>
          <w:lang w:val="es-ES"/>
        </w:rPr>
      </w:pPr>
      <w:r w:rsidRPr="007548F6">
        <w:rPr>
          <w:rFonts w:ascii="Verdana" w:eastAsia="Calibri" w:hAnsi="Verdana" w:cs="Arial"/>
          <w:bCs/>
          <w:color w:val="000000"/>
          <w:lang w:val="es-ES"/>
        </w:rPr>
        <w:tab/>
        <w:t>Conviene señalar que corresponde a la entidad pública fijar en el pliego de condiciones los criterios de asignación del puntaje o factores de evaluación. En consecuencia, la entidad cuenta con discrecionalidad administrativa para determinar los elementos o circunstancias que utilizará para la calificación de las propuestas. No obstante, dicha discrecionalidad no es absoluta, pues se encuentra limitada por las normas de orden público, incluidas las reglas imperativas para la elaboración del pliego de condiciones y el deber de selección objetiva.</w:t>
      </w:r>
    </w:p>
    <w:p w14:paraId="3BBE2291" w14:textId="77777777" w:rsidR="003A2B2E" w:rsidRPr="007548F6" w:rsidRDefault="003A2B2E" w:rsidP="003A2B2E">
      <w:pPr>
        <w:tabs>
          <w:tab w:val="left" w:pos="851"/>
        </w:tabs>
        <w:spacing w:after="120" w:line="276" w:lineRule="auto"/>
        <w:jc w:val="both"/>
        <w:rPr>
          <w:rFonts w:ascii="Verdana" w:eastAsia="Calibri" w:hAnsi="Verdana" w:cs="Arial"/>
          <w:bCs/>
          <w:color w:val="000000"/>
          <w:lang w:val="es-ES"/>
        </w:rPr>
      </w:pPr>
      <w:r w:rsidRPr="007548F6">
        <w:rPr>
          <w:rFonts w:ascii="Verdana" w:eastAsia="Calibri" w:hAnsi="Verdana" w:cs="Arial"/>
          <w:bCs/>
          <w:color w:val="000000"/>
          <w:lang w:val="es-ES"/>
        </w:rPr>
        <w:tab/>
        <w:t>Dentro de las reglas que restringen la discrecionalidad administrativa de las entidades estatales en la elaboración del pliego de condiciones se encuentra el artículo 2 de la Ley 816 de 2003. En efecto, este enunciado normativo establece que las entidades de la administración pública a las que se refiere el artículo 1 de la misma Ley deben incluir “</w:t>
      </w:r>
      <w:r w:rsidRPr="007548F6">
        <w:rPr>
          <w:rFonts w:ascii="Verdana" w:eastAsia="Calibri" w:hAnsi="Verdana" w:cs="Arial"/>
          <w:lang w:val="es-ES"/>
        </w:rPr>
        <w:t xml:space="preserve">[…] </w:t>
      </w:r>
      <w:r w:rsidRPr="007548F6">
        <w:rPr>
          <w:rFonts w:ascii="Verdana" w:eastAsia="Calibri" w:hAnsi="Verdana" w:cs="Arial"/>
          <w:bCs/>
          <w:color w:val="000000"/>
          <w:lang w:val="es-ES"/>
        </w:rPr>
        <w:t xml:space="preserve">un puntaje comprendido entre el diez (10) y el veinte por ciento (20%)” para estimular la industria nacional, cuando se oferten bienes o servicios nacionales” –inciso primero o “Franja 1”–. Adicionalmente, la norma indica que si no se ofertan bienes o servicios </w:t>
      </w:r>
      <w:r w:rsidRPr="007548F6">
        <w:rPr>
          <w:rFonts w:ascii="Verdana" w:eastAsia="Calibri" w:hAnsi="Verdana" w:cs="Arial"/>
          <w:bCs/>
          <w:color w:val="000000"/>
          <w:lang w:val="es-ES"/>
        </w:rPr>
        <w:lastRenderedPageBreak/>
        <w:t xml:space="preserve">nacionales, sino bienes o servicios </w:t>
      </w:r>
      <w:r w:rsidRPr="007548F6">
        <w:rPr>
          <w:rFonts w:ascii="Verdana" w:eastAsia="Calibri" w:hAnsi="Verdana" w:cs="Arial"/>
          <w:bCs/>
          <w:i/>
          <w:iCs/>
          <w:color w:val="000000"/>
          <w:lang w:val="es-ES"/>
        </w:rPr>
        <w:t>extranjeros</w:t>
      </w:r>
      <w:r w:rsidRPr="007548F6">
        <w:rPr>
          <w:rFonts w:ascii="Verdana" w:eastAsia="Calibri" w:hAnsi="Verdana" w:cs="Arial"/>
          <w:bCs/>
          <w:color w:val="000000"/>
          <w:lang w:val="es-ES"/>
        </w:rPr>
        <w:t xml:space="preserve">, “[…] la entidad contratante establecerá un puntaje comprendido entre el cinco (5) y el quince por ciento (15%), para incentivar la incorporación de componente colombiano de bienes y servicios profesionales, técnicos y operativos” –inciso segundo o “Franja 2”–. </w:t>
      </w:r>
    </w:p>
    <w:p w14:paraId="0840E90D" w14:textId="77777777" w:rsidR="003A2B2E" w:rsidRPr="007548F6" w:rsidRDefault="003A2B2E" w:rsidP="003A2B2E">
      <w:pPr>
        <w:spacing w:before="120" w:after="0" w:line="276" w:lineRule="auto"/>
        <w:ind w:firstLine="708"/>
        <w:jc w:val="both"/>
        <w:rPr>
          <w:rFonts w:ascii="Verdana" w:eastAsia="Calibri" w:hAnsi="Verdana" w:cs="Arial"/>
          <w:color w:val="000000"/>
          <w:lang w:val="es-ES"/>
        </w:rPr>
      </w:pPr>
      <w:r w:rsidRPr="007548F6">
        <w:rPr>
          <w:rFonts w:ascii="Verdana" w:eastAsia="Calibri" w:hAnsi="Verdana" w:cs="Arial"/>
          <w:color w:val="000000"/>
          <w:lang w:val="es-ES"/>
        </w:rPr>
        <w:t xml:space="preserve">La aplicación del puntaje al que se refiere el artículo 2 de la Ley 816 de 2003 fue reglamentada mediante el Decreto 680 de 2021. El artículo 1 del mencionado Decreto modificó parcialmente el artículo 2.2.1.1.1.3.1. del Decreto 1082 de 2015 para definir los </w:t>
      </w:r>
      <w:r w:rsidRPr="007548F6">
        <w:rPr>
          <w:rFonts w:ascii="Verdana" w:eastAsia="Calibri" w:hAnsi="Verdana" w:cs="Arial"/>
          <w:i/>
          <w:iCs/>
          <w:color w:val="000000"/>
          <w:lang w:val="es-ES"/>
        </w:rPr>
        <w:t>Servicios Nacionales</w:t>
      </w:r>
      <w:r w:rsidRPr="007548F6">
        <w:rPr>
          <w:rFonts w:ascii="Verdana" w:eastAsia="Calibri" w:hAnsi="Verdana" w:cs="Arial"/>
          <w:color w:val="000000"/>
          <w:lang w:val="es-ES"/>
        </w:rPr>
        <w:t xml:space="preserve"> en los siguientes términos:</w:t>
      </w:r>
    </w:p>
    <w:p w14:paraId="3D394488" w14:textId="77777777" w:rsidR="003A2B2E" w:rsidRPr="007548F6" w:rsidRDefault="003A2B2E" w:rsidP="003A2B2E">
      <w:pPr>
        <w:tabs>
          <w:tab w:val="left" w:pos="0"/>
        </w:tabs>
        <w:spacing w:after="0" w:line="240" w:lineRule="auto"/>
        <w:ind w:left="709" w:right="709"/>
        <w:jc w:val="both"/>
        <w:rPr>
          <w:rFonts w:ascii="Verdana" w:eastAsia="Calibri" w:hAnsi="Verdana" w:cs="Arial"/>
          <w:bCs/>
          <w:color w:val="000000"/>
          <w:sz w:val="21"/>
          <w:szCs w:val="21"/>
          <w:lang w:val="es-ES"/>
        </w:rPr>
      </w:pPr>
    </w:p>
    <w:p w14:paraId="5906E0B5" w14:textId="77777777" w:rsidR="003A2B2E" w:rsidRPr="007548F6" w:rsidRDefault="003A2B2E" w:rsidP="003A2B2E">
      <w:pPr>
        <w:tabs>
          <w:tab w:val="left" w:pos="0"/>
        </w:tabs>
        <w:spacing w:after="0" w:line="240" w:lineRule="auto"/>
        <w:ind w:left="709" w:right="709"/>
        <w:jc w:val="both"/>
        <w:rPr>
          <w:rFonts w:ascii="Verdana" w:eastAsia="Calibri" w:hAnsi="Verdana" w:cs="Arial"/>
          <w:bCs/>
          <w:color w:val="000000"/>
          <w:sz w:val="20"/>
          <w:szCs w:val="20"/>
          <w:lang w:val="es-ES"/>
        </w:rPr>
      </w:pPr>
      <w:r w:rsidRPr="007548F6">
        <w:rPr>
          <w:rFonts w:ascii="Verdana" w:eastAsia="Calibri" w:hAnsi="Verdana" w:cs="Arial"/>
          <w:bCs/>
          <w:color w:val="000000"/>
          <w:sz w:val="20"/>
          <w:szCs w:val="20"/>
          <w:lang w:val="es-ES"/>
        </w:rPr>
        <w:t>“En los contratos que deban cumplirse en Colombia, un servicio es colombiano si además de ser prestado por una persona natural colombiana o por un residente en Colombia, por una persona jurídica constituida de conformidad con la legislación colombiana o por un proponente plural conformado por estos o por estos y un extranjero con trato nacional, usa los bienes nacionales relevantes definidos por la Entidad Estatal para la prestación del servicio que será objeto del Proceso de Contratación o vinculen el porcentaje mínimo de personal colombiano según corresponda.</w:t>
      </w:r>
    </w:p>
    <w:p w14:paraId="77E76EA5" w14:textId="77777777" w:rsidR="003A2B2E" w:rsidRPr="007548F6" w:rsidRDefault="003A2B2E" w:rsidP="003A2B2E">
      <w:pPr>
        <w:tabs>
          <w:tab w:val="left" w:pos="0"/>
        </w:tabs>
        <w:spacing w:after="0" w:line="240" w:lineRule="auto"/>
        <w:ind w:left="709" w:right="709"/>
        <w:jc w:val="both"/>
        <w:rPr>
          <w:rFonts w:ascii="Verdana" w:eastAsia="Calibri" w:hAnsi="Verdana" w:cs="Arial"/>
          <w:bCs/>
          <w:color w:val="000000"/>
          <w:sz w:val="20"/>
          <w:szCs w:val="20"/>
          <w:lang w:val="es-ES"/>
        </w:rPr>
      </w:pPr>
    </w:p>
    <w:p w14:paraId="048CA98E" w14:textId="77777777" w:rsidR="003A2B2E" w:rsidRPr="007548F6" w:rsidRDefault="003A2B2E" w:rsidP="003A2B2E">
      <w:pPr>
        <w:tabs>
          <w:tab w:val="left" w:pos="0"/>
        </w:tabs>
        <w:spacing w:after="0" w:line="240" w:lineRule="auto"/>
        <w:ind w:left="709" w:right="709"/>
        <w:jc w:val="both"/>
        <w:rPr>
          <w:rFonts w:ascii="Verdana" w:eastAsia="Calibri" w:hAnsi="Verdana" w:cs="Arial"/>
          <w:bCs/>
          <w:color w:val="000000"/>
          <w:sz w:val="20"/>
          <w:szCs w:val="20"/>
          <w:lang w:val="es-ES"/>
        </w:rPr>
      </w:pPr>
      <w:r w:rsidRPr="007548F6">
        <w:rPr>
          <w:rFonts w:ascii="Verdana" w:eastAsia="Calibri" w:hAnsi="Verdana" w:cs="Arial"/>
          <w:bCs/>
          <w:color w:val="000000"/>
          <w:sz w:val="20"/>
          <w:szCs w:val="20"/>
          <w:lang w:val="es-ES"/>
        </w:rPr>
        <w:t>En los contratos que no deban cumplirse en Colombia, que sean prestados en el extranjero y estén sometidos a la legislación colombiana, un servicio es colombiano si es prestado por una persona natural colombiana o por un residente en Colombia, por una persona jurídica constituida de conformidad con la legislación colombiana o un proponente plural conformado por estos, sin que sea necesario el uso de bienes colombianos o la vinculación de personal colombiano.</w:t>
      </w:r>
    </w:p>
    <w:p w14:paraId="23515892" w14:textId="77777777" w:rsidR="003A2B2E" w:rsidRPr="007548F6" w:rsidRDefault="003A2B2E" w:rsidP="003A2B2E">
      <w:pPr>
        <w:tabs>
          <w:tab w:val="left" w:pos="0"/>
        </w:tabs>
        <w:spacing w:after="0" w:line="240" w:lineRule="auto"/>
        <w:ind w:left="709" w:right="709"/>
        <w:jc w:val="both"/>
        <w:rPr>
          <w:rFonts w:ascii="Verdana" w:eastAsia="Calibri" w:hAnsi="Verdana" w:cs="Arial"/>
          <w:bCs/>
          <w:color w:val="000000"/>
          <w:sz w:val="20"/>
          <w:szCs w:val="20"/>
          <w:lang w:val="es-ES"/>
        </w:rPr>
      </w:pPr>
    </w:p>
    <w:p w14:paraId="02BFA46C" w14:textId="77777777" w:rsidR="003A2B2E" w:rsidRPr="007548F6" w:rsidRDefault="003A2B2E" w:rsidP="003A2B2E">
      <w:pPr>
        <w:tabs>
          <w:tab w:val="left" w:pos="0"/>
        </w:tabs>
        <w:spacing w:after="0" w:line="240" w:lineRule="auto"/>
        <w:ind w:left="709" w:right="709"/>
        <w:jc w:val="both"/>
        <w:rPr>
          <w:rFonts w:ascii="Verdana" w:eastAsia="Calibri" w:hAnsi="Verdana" w:cs="Arial"/>
          <w:bCs/>
          <w:color w:val="000000"/>
          <w:sz w:val="20"/>
          <w:szCs w:val="20"/>
          <w:lang w:val="es-ES"/>
        </w:rPr>
      </w:pPr>
      <w:r w:rsidRPr="007548F6">
        <w:rPr>
          <w:rFonts w:ascii="Verdana" w:eastAsia="Calibri" w:hAnsi="Verdana" w:cs="Arial"/>
          <w:bCs/>
          <w:color w:val="000000"/>
          <w:sz w:val="20"/>
          <w:szCs w:val="20"/>
          <w:lang w:val="es-ES"/>
        </w:rPr>
        <w:t>Los extranjeros con trato nacional que participen en el Proceso de Contratación de manera singular o mediante la conformación de un proponente plural, podrán definir en su oferta si aplican la regla de origen aquí prevista, o cualquiera de las reglas de origen aplicables según el Acuerdo Comercial o la normativa comunitaria que corresponda. En aquellos casos en que no se indique en la oferta la regla de origen a aplicar, la Entidad Estatal deberá evaluar la oferta de acuerdo con la regla de origen aquí prevista”.</w:t>
      </w:r>
    </w:p>
    <w:p w14:paraId="0D136C60" w14:textId="77777777" w:rsidR="003A2B2E" w:rsidRPr="007548F6" w:rsidRDefault="003A2B2E" w:rsidP="003A2B2E">
      <w:pPr>
        <w:tabs>
          <w:tab w:val="left" w:pos="0"/>
        </w:tabs>
        <w:spacing w:after="0" w:line="240" w:lineRule="auto"/>
        <w:ind w:left="709" w:right="709"/>
        <w:jc w:val="both"/>
        <w:rPr>
          <w:rFonts w:ascii="Verdana" w:eastAsia="Calibri" w:hAnsi="Verdana" w:cs="Arial"/>
          <w:bCs/>
          <w:color w:val="000000"/>
          <w:sz w:val="20"/>
          <w:szCs w:val="20"/>
          <w:lang w:val="es-ES"/>
        </w:rPr>
      </w:pPr>
    </w:p>
    <w:p w14:paraId="3D3147A4" w14:textId="77777777" w:rsidR="003A2B2E" w:rsidRPr="007548F6" w:rsidRDefault="003A2B2E" w:rsidP="003A2B2E">
      <w:pPr>
        <w:tabs>
          <w:tab w:val="left" w:pos="0"/>
        </w:tabs>
        <w:spacing w:after="120" w:line="276" w:lineRule="auto"/>
        <w:ind w:firstLine="709"/>
        <w:jc w:val="both"/>
        <w:rPr>
          <w:rFonts w:ascii="Verdana" w:eastAsia="Calibri" w:hAnsi="Verdana" w:cs="Arial"/>
          <w:bCs/>
          <w:color w:val="000000"/>
          <w:lang w:val="es-ES"/>
        </w:rPr>
      </w:pPr>
      <w:r w:rsidRPr="007548F6">
        <w:rPr>
          <w:rFonts w:ascii="Verdana" w:eastAsia="Calibri" w:hAnsi="Verdana" w:cs="Arial"/>
          <w:bCs/>
          <w:color w:val="000000"/>
          <w:lang w:val="es-ES"/>
        </w:rPr>
        <w:t>De acuerdo con lo anterior, y respecto del factor de evaluación de apoyo a la industria nacional previsto en la Ley 816 de 2003, la regulación vigente refuerza la relevancia de la constitución jurídica del prestador del servicio como criterio central para determinar su carácter nacional. Esta exigencia no es meramente formal, pues implica que la sociedad haya sido creada bajo el ordenamiento jurídico colombiano y se encuentre sometida al régimen societario, tributario y de control estatal del país.</w:t>
      </w:r>
    </w:p>
    <w:p w14:paraId="269621DB" w14:textId="77777777" w:rsidR="003A2B2E" w:rsidRPr="007548F6" w:rsidRDefault="003A2B2E" w:rsidP="003A2B2E">
      <w:pPr>
        <w:tabs>
          <w:tab w:val="left" w:pos="0"/>
        </w:tabs>
        <w:spacing w:after="120" w:line="276" w:lineRule="auto"/>
        <w:ind w:firstLine="709"/>
        <w:jc w:val="both"/>
        <w:rPr>
          <w:rFonts w:ascii="Verdana" w:eastAsia="Calibri" w:hAnsi="Verdana" w:cs="Arial"/>
          <w:bCs/>
          <w:color w:val="000000"/>
          <w:lang w:val="es-ES"/>
        </w:rPr>
      </w:pPr>
      <w:r w:rsidRPr="007548F6">
        <w:rPr>
          <w:rFonts w:ascii="Verdana" w:eastAsia="Calibri" w:hAnsi="Verdana" w:cs="Arial"/>
          <w:bCs/>
          <w:color w:val="000000"/>
          <w:lang w:val="es-ES"/>
        </w:rPr>
        <w:lastRenderedPageBreak/>
        <w:t>En virtud del principio de reciprocidad, mediante el cual Colombia otorga a los bienes y servicios provenientes de Estados con los que exista un acuerdo vigente un trato no menos favorable que el otorgado a los nacionales —siempre que se cumplan las condiciones del respectivo instrumento internacional—, una persona jurídica extranjera puede recibir trato nacional. No obstante, ello no implica que dicha persona jurídica se transforme en colombiana ni que se equipare formalmente a una sociedad constituida bajo la legislación nacional; la equivalencia se limita al tratamiento dentro del proceso de selección.</w:t>
      </w:r>
    </w:p>
    <w:p w14:paraId="689D9D75" w14:textId="77777777" w:rsidR="003A2B2E" w:rsidRPr="007548F6" w:rsidRDefault="003A2B2E" w:rsidP="003A2B2E">
      <w:pPr>
        <w:tabs>
          <w:tab w:val="left" w:pos="0"/>
        </w:tabs>
        <w:spacing w:after="120" w:line="276" w:lineRule="auto"/>
        <w:ind w:firstLine="709"/>
        <w:jc w:val="both"/>
        <w:rPr>
          <w:rFonts w:ascii="Verdana" w:eastAsia="Calibri" w:hAnsi="Verdana" w:cs="Arial"/>
          <w:bCs/>
          <w:color w:val="000000"/>
          <w:lang w:val="es-ES"/>
        </w:rPr>
      </w:pPr>
      <w:r w:rsidRPr="007548F6">
        <w:rPr>
          <w:rFonts w:ascii="Verdana" w:eastAsia="Calibri" w:hAnsi="Verdana" w:cs="Arial"/>
          <w:bCs/>
          <w:color w:val="000000"/>
          <w:lang w:val="es-ES"/>
        </w:rPr>
        <w:t>Ahora bien, la noción de servicios nacionales no depende exclusivamente de la naturaleza jurídica del prestador. En principio, también se requiere que la propuesta contemple la utilización de bienes nacionales relevantes. Estos corresponden a los bienes definidos como nacionales en el Registro de Productores de Bienes Nacionales, conforme al Decreto 2680 de 2009.</w:t>
      </w:r>
    </w:p>
    <w:p w14:paraId="01AE759D" w14:textId="77777777" w:rsidR="003A2B2E" w:rsidRPr="007548F6" w:rsidRDefault="003A2B2E" w:rsidP="003A2B2E">
      <w:pPr>
        <w:tabs>
          <w:tab w:val="left" w:pos="0"/>
        </w:tabs>
        <w:spacing w:after="120" w:line="276" w:lineRule="auto"/>
        <w:ind w:firstLine="709"/>
        <w:jc w:val="both"/>
        <w:rPr>
          <w:rFonts w:ascii="Verdana" w:eastAsia="Calibri" w:hAnsi="Verdana" w:cs="Arial"/>
          <w:bCs/>
          <w:color w:val="000000"/>
          <w:lang w:val="es-ES"/>
        </w:rPr>
      </w:pPr>
      <w:r w:rsidRPr="007548F6">
        <w:rPr>
          <w:rFonts w:ascii="Verdana" w:eastAsia="Calibri" w:hAnsi="Verdana" w:cs="Arial"/>
          <w:bCs/>
          <w:color w:val="000000"/>
          <w:lang w:val="es-ES"/>
        </w:rPr>
        <w:t>En consecuencia, cuando el contrato deba ejecutarse en Colombia, la entidad estatal debe definir los bienes nacionales relevantes, pues su uso permite establecer si el servicio puede calificarse como nacional. Si no existen bienes nacionales relevantes o no hay oferta nacional registrada, el puntaje podrá otorgarse al proponente que se comprometa a vincular el porcentaje mínimo de personal colombiano que defina la entidad estatal, el cual no podrá ser inferior al cuarenta por ciento (40%) del total requerido para la ejecución del contrato.</w:t>
      </w:r>
    </w:p>
    <w:p w14:paraId="1CE2AEED" w14:textId="77777777" w:rsidR="003A2B2E" w:rsidRPr="007548F6" w:rsidRDefault="003A2B2E" w:rsidP="003A2B2E">
      <w:pPr>
        <w:tabs>
          <w:tab w:val="left" w:pos="0"/>
        </w:tabs>
        <w:spacing w:after="120" w:line="276" w:lineRule="auto"/>
        <w:ind w:firstLine="709"/>
        <w:jc w:val="both"/>
        <w:rPr>
          <w:rFonts w:ascii="Verdana" w:eastAsia="Calibri" w:hAnsi="Verdana" w:cs="Arial"/>
          <w:bCs/>
          <w:color w:val="000000"/>
          <w:lang w:val="es-ES"/>
        </w:rPr>
      </w:pPr>
      <w:r w:rsidRPr="007548F6">
        <w:rPr>
          <w:rFonts w:ascii="Verdana" w:eastAsia="Calibri" w:hAnsi="Verdana" w:cs="Arial"/>
          <w:bCs/>
          <w:color w:val="000000"/>
          <w:lang w:val="es-ES"/>
        </w:rPr>
        <w:t>En aplicación de estos criterios, corresponde a la entidad estatal determinar en los pliegos de condiciones la metodología para asignar el puntaje por apoyo a la industria nacional. El puntaje solo debe concederse al proponente que acredite el cumplimiento de los requisitos normativos, ya sea mediante la incorporación de bienes nacionales relevantes o mediante la vinculación del personal colombiano exigido. En consecuencia, la posibilidad de acceder al puntaje por apoyo a la industria nacional no depende exclusivamente de la composición del capital social, sino del cumplimiento de la regla de origen y de las condiciones previstas en la Ley 816 de 2003 y su reglamentación, cuya verificación corresponde a la entidad estatal en cada proceso de contratación.</w:t>
      </w:r>
    </w:p>
    <w:p w14:paraId="3F5D77FE" w14:textId="77777777" w:rsidR="003A2B2E" w:rsidRPr="007548F6" w:rsidRDefault="003A2B2E" w:rsidP="003A2B2E">
      <w:pPr>
        <w:tabs>
          <w:tab w:val="left" w:pos="0"/>
        </w:tabs>
        <w:spacing w:after="120" w:line="276" w:lineRule="auto"/>
        <w:ind w:firstLine="709"/>
        <w:jc w:val="both"/>
        <w:rPr>
          <w:rFonts w:ascii="Verdana" w:eastAsia="Calibri" w:hAnsi="Verdana" w:cs="Arial"/>
          <w:bCs/>
          <w:color w:val="000000"/>
          <w:lang w:val="es-ES"/>
        </w:rPr>
      </w:pPr>
      <w:r w:rsidRPr="007548F6">
        <w:rPr>
          <w:rFonts w:ascii="Verdana" w:eastAsia="Calibri" w:hAnsi="Verdana" w:cs="Arial"/>
          <w:bCs/>
          <w:color w:val="000000"/>
          <w:lang w:val="es-ES"/>
        </w:rPr>
        <w:t xml:space="preserve">En este contexto, la constitución de una persona jurídica conforme a la legislación colombiana adquiere especial relevancia como criterio autónomo para acceder a la condición de servicio nacional bajo la regla interna; sin embargo, no excluye la posibilidad de que una persona jurídica extranjera —no constituida </w:t>
      </w:r>
      <w:r w:rsidRPr="007548F6">
        <w:rPr>
          <w:rFonts w:ascii="Verdana" w:eastAsia="Calibri" w:hAnsi="Verdana" w:cs="Arial"/>
          <w:bCs/>
          <w:color w:val="000000"/>
          <w:lang w:val="es-ES"/>
        </w:rPr>
        <w:lastRenderedPageBreak/>
        <w:t>bajo la ley colombiana— pueda recibir un tratamiento equivalente, si proviene de un país con el cual Colombia haya suscrito un Acuerdo Comercial que incluya compromisos en materia de contratación pública y le reconozca trato nacional.</w:t>
      </w:r>
    </w:p>
    <w:p w14:paraId="7FD11719" w14:textId="77777777" w:rsidR="003A2B2E" w:rsidRPr="007548F6" w:rsidRDefault="003A2B2E" w:rsidP="003A2B2E">
      <w:pPr>
        <w:tabs>
          <w:tab w:val="left" w:pos="0"/>
        </w:tabs>
        <w:spacing w:after="120" w:line="276" w:lineRule="auto"/>
        <w:ind w:firstLine="709"/>
        <w:jc w:val="both"/>
        <w:rPr>
          <w:rFonts w:ascii="Verdana" w:eastAsia="Calibri" w:hAnsi="Verdana" w:cs="Arial"/>
          <w:bCs/>
          <w:color w:val="000000"/>
          <w:lang w:val="es-ES"/>
        </w:rPr>
      </w:pPr>
      <w:r w:rsidRPr="007548F6">
        <w:rPr>
          <w:rFonts w:ascii="Verdana" w:eastAsia="Calibri" w:hAnsi="Verdana" w:cs="Arial"/>
          <w:bCs/>
          <w:color w:val="000000"/>
          <w:lang w:val="es-ES"/>
        </w:rPr>
        <w:t xml:space="preserve">Respecto de la noción de Servicios Nacionales, cabe señalar que no está determinada únicamente por la naturaleza jurídica de su prestador, ya que además de tratarse de una persona natural colombiana o jurídica conformada según la ley colombiana, se requiere que la propuesta, en principio, incluya en la ejecución del contrato la utilización de los bienes nacionales relevantes. En ese sentido, la definición de </w:t>
      </w:r>
      <w:r w:rsidRPr="007548F6">
        <w:rPr>
          <w:rFonts w:ascii="Verdana" w:eastAsia="Calibri" w:hAnsi="Verdana" w:cs="Arial"/>
          <w:bCs/>
          <w:i/>
          <w:iCs/>
          <w:color w:val="000000"/>
          <w:lang w:val="es-ES"/>
        </w:rPr>
        <w:t xml:space="preserve">Servicios Nacionales </w:t>
      </w:r>
      <w:r w:rsidRPr="007548F6">
        <w:rPr>
          <w:rFonts w:ascii="Verdana" w:eastAsia="Calibri" w:hAnsi="Verdana" w:cs="Arial"/>
          <w:bCs/>
          <w:color w:val="000000"/>
          <w:lang w:val="es-ES"/>
        </w:rPr>
        <w:t xml:space="preserve">remite a la noción de </w:t>
      </w:r>
      <w:r w:rsidRPr="007548F6">
        <w:rPr>
          <w:rFonts w:ascii="Verdana" w:eastAsia="Calibri" w:hAnsi="Verdana" w:cs="Arial"/>
          <w:bCs/>
          <w:i/>
          <w:iCs/>
          <w:color w:val="000000"/>
          <w:lang w:val="es-ES"/>
        </w:rPr>
        <w:t>Bienes Nacionales</w:t>
      </w:r>
      <w:r w:rsidRPr="007548F6">
        <w:rPr>
          <w:rFonts w:ascii="Verdana" w:eastAsia="Calibri" w:hAnsi="Verdana" w:cs="Arial"/>
          <w:bCs/>
          <w:color w:val="000000"/>
          <w:lang w:val="es-ES"/>
        </w:rPr>
        <w:t xml:space="preserve"> establecida en el mismo artículo 2.2.1.1.1.3.1. del Decreto 1082 de 2015, que dispone que son aquellos “Bienes definidos como nacionales en el Registro de Productores de Bienes Nacionales, de conformidad con el Decreto 2680 de 2009 o las normas que lo modifiquen, aclaren, adicionen o sustituyan”. </w:t>
      </w:r>
    </w:p>
    <w:p w14:paraId="13701365" w14:textId="77777777" w:rsidR="003A2B2E" w:rsidRPr="007548F6" w:rsidRDefault="003A2B2E" w:rsidP="003A2B2E">
      <w:pPr>
        <w:spacing w:after="120" w:line="276" w:lineRule="auto"/>
        <w:ind w:firstLine="709"/>
        <w:jc w:val="both"/>
        <w:rPr>
          <w:rFonts w:ascii="Verdana" w:eastAsia="Calibri" w:hAnsi="Verdana" w:cs="Arial"/>
          <w:color w:val="000000"/>
          <w:lang w:val="es-ES"/>
        </w:rPr>
      </w:pPr>
      <w:r w:rsidRPr="007548F6">
        <w:rPr>
          <w:rFonts w:ascii="Verdana" w:eastAsia="Calibri" w:hAnsi="Verdana" w:cs="Arial"/>
          <w:color w:val="000000" w:themeColor="text1"/>
          <w:lang w:val="es-ES"/>
        </w:rPr>
        <w:t>El artículo 1 del Decreto 2680 de 2009 dispone que “Se entiende como bienes nacionales, aquellos bienes totalmente obtenidos, bienes elaborados con materiales nacionales o productos que sufran una transformación sustancial de conformidad con lo previsto en el presente decreto”. Asimismo, conforme al artículo 19.1 del Decreto Ley 210 de 2003 y artículo 1 de la Resolución del Ministerio de Comercio, Industria y Turismo 331 del 25 de junio de 2010, el Registro de Productores de Bienes Nacionales es administrado por la Subdirección de Diseño y Administración de Operaciones de la Dirección de Comercio Exterior, además de que puede consultarse en la ventanilla única de la dependencia mencionada.</w:t>
      </w:r>
    </w:p>
    <w:p w14:paraId="4DA4C02A" w14:textId="77777777" w:rsidR="003A2B2E" w:rsidRPr="007548F6" w:rsidRDefault="003A2B2E" w:rsidP="003A2B2E">
      <w:pPr>
        <w:spacing w:before="120" w:after="120" w:line="276" w:lineRule="auto"/>
        <w:ind w:firstLine="709"/>
        <w:jc w:val="both"/>
        <w:rPr>
          <w:rFonts w:ascii="Verdana" w:eastAsia="Calibri" w:hAnsi="Verdana" w:cs="Arial"/>
          <w:color w:val="000000"/>
          <w:lang w:val="es-ES"/>
        </w:rPr>
      </w:pPr>
      <w:r w:rsidRPr="007548F6">
        <w:rPr>
          <w:rFonts w:ascii="Verdana" w:eastAsia="Calibri" w:hAnsi="Verdana" w:cs="Arial"/>
          <w:color w:val="000000" w:themeColor="text1"/>
          <w:lang w:val="es-ES"/>
        </w:rPr>
        <w:t xml:space="preserve">En consecuencia, si el contrato debe cumplirse en Colombia, la entidad estatal debe definir los bienes nacionales relevantes, pues el uso de estos por parte del proponente es uno de los criterios que permiten establecer si el servicio puede calificarse como nacional. Si el contrato no debe cumplirse en Colombia, para que el servicio sea nacional, no es necesario que se usen bienes o personal colombianos, sino que basta con que sea prestado “por una persona natural colombiana o por un residente en Colombia, por una persona jurídica constituida de conformidad con la legislación colombiana o un proponente plural conformado por estos”. Lo anterior en consonancia con el artículo 1 del Decreto 680 de 2021. </w:t>
      </w:r>
    </w:p>
    <w:p w14:paraId="446CE71F" w14:textId="77777777" w:rsidR="003A2B2E" w:rsidRPr="007548F6" w:rsidRDefault="003A2B2E" w:rsidP="003A2B2E">
      <w:pPr>
        <w:tabs>
          <w:tab w:val="left" w:pos="0"/>
        </w:tabs>
        <w:spacing w:after="0" w:line="276" w:lineRule="auto"/>
        <w:ind w:firstLine="709"/>
        <w:jc w:val="both"/>
        <w:rPr>
          <w:rFonts w:ascii="Verdana" w:eastAsia="Calibri" w:hAnsi="Verdana" w:cs="Arial"/>
          <w:bCs/>
          <w:color w:val="000000"/>
          <w:lang w:val="es-ES"/>
        </w:rPr>
      </w:pPr>
      <w:r w:rsidRPr="007548F6">
        <w:rPr>
          <w:rFonts w:ascii="Verdana" w:eastAsia="Calibri" w:hAnsi="Verdana" w:cs="Arial"/>
          <w:bCs/>
          <w:color w:val="000000"/>
          <w:lang w:val="es-ES"/>
        </w:rPr>
        <w:t xml:space="preserve">De otra parte, el artículo 2 del Decreto 680 de 2021 consagra unos lineamientos que deben seguir las entidades estatales para definir los </w:t>
      </w:r>
      <w:r w:rsidRPr="007548F6">
        <w:rPr>
          <w:rFonts w:ascii="Verdana" w:eastAsia="Calibri" w:hAnsi="Verdana" w:cs="Arial"/>
          <w:bCs/>
          <w:i/>
          <w:iCs/>
          <w:color w:val="000000"/>
          <w:lang w:val="es-ES"/>
        </w:rPr>
        <w:t>bienes colombianos relevantes</w:t>
      </w:r>
      <w:r w:rsidRPr="007548F6">
        <w:rPr>
          <w:rFonts w:ascii="Verdana" w:eastAsia="Calibri" w:hAnsi="Verdana" w:cs="Arial"/>
          <w:bCs/>
          <w:color w:val="000000"/>
          <w:lang w:val="es-ES"/>
        </w:rPr>
        <w:t xml:space="preserve"> y otorgar el puntaje de que trata el inciso 1 del artículo </w:t>
      </w:r>
      <w:r w:rsidRPr="007548F6">
        <w:rPr>
          <w:rFonts w:ascii="Verdana" w:eastAsia="Calibri" w:hAnsi="Verdana" w:cs="Arial"/>
          <w:bCs/>
          <w:color w:val="000000"/>
          <w:lang w:val="es-ES"/>
        </w:rPr>
        <w:lastRenderedPageBreak/>
        <w:t xml:space="preserve">2 de la Ley 816 de 2003. En efecto, el artículo 2 del Decreto en comento dispone lo siguiente: </w:t>
      </w:r>
    </w:p>
    <w:p w14:paraId="20EB5E44" w14:textId="77777777" w:rsidR="003A2B2E" w:rsidRPr="007548F6" w:rsidRDefault="003A2B2E" w:rsidP="003A2B2E">
      <w:pPr>
        <w:tabs>
          <w:tab w:val="left" w:pos="0"/>
        </w:tabs>
        <w:spacing w:after="0" w:line="240" w:lineRule="auto"/>
        <w:ind w:left="709" w:right="709"/>
        <w:jc w:val="both"/>
        <w:rPr>
          <w:rFonts w:ascii="Verdana" w:eastAsia="Calibri" w:hAnsi="Verdana" w:cs="Arial"/>
          <w:bCs/>
          <w:color w:val="000000"/>
          <w:sz w:val="21"/>
          <w:szCs w:val="21"/>
          <w:lang w:val="es-ES"/>
        </w:rPr>
      </w:pPr>
    </w:p>
    <w:p w14:paraId="008C0D8E" w14:textId="77777777" w:rsidR="003A2B2E" w:rsidRPr="007548F6" w:rsidRDefault="003A2B2E" w:rsidP="003A2B2E">
      <w:pPr>
        <w:tabs>
          <w:tab w:val="left" w:pos="0"/>
        </w:tabs>
        <w:spacing w:after="0" w:line="240" w:lineRule="auto"/>
        <w:ind w:left="709" w:right="709"/>
        <w:jc w:val="both"/>
        <w:rPr>
          <w:rFonts w:ascii="Verdana" w:eastAsia="Calibri" w:hAnsi="Verdana" w:cs="Arial"/>
          <w:bCs/>
          <w:color w:val="000000"/>
          <w:sz w:val="20"/>
          <w:szCs w:val="20"/>
          <w:lang w:val="es-ES"/>
        </w:rPr>
      </w:pPr>
      <w:r w:rsidRPr="007548F6">
        <w:rPr>
          <w:rFonts w:ascii="Verdana" w:eastAsia="Calibri" w:hAnsi="Verdana" w:cs="Arial"/>
          <w:bCs/>
          <w:color w:val="000000"/>
          <w:sz w:val="20"/>
          <w:szCs w:val="20"/>
          <w:lang w:val="es-ES"/>
        </w:rPr>
        <w:t>“Adiciónese el artículo 2.2.1.2.4.2.9. a la Subsección 2 de la Sección 4 del Capítulo 2 del Título 1 de la Parte 2 del Libro 2 del Decreto 1082 de 2015, Único Reglamentario del Sector Administrativo de Planeación Nacional, cuyo texto será el siguiente:</w:t>
      </w:r>
    </w:p>
    <w:p w14:paraId="17F0B291" w14:textId="77777777" w:rsidR="003A2B2E" w:rsidRPr="007548F6" w:rsidRDefault="003A2B2E" w:rsidP="003A2B2E">
      <w:pPr>
        <w:tabs>
          <w:tab w:val="left" w:pos="0"/>
        </w:tabs>
        <w:spacing w:after="0" w:line="240" w:lineRule="auto"/>
        <w:ind w:right="709"/>
        <w:jc w:val="both"/>
        <w:rPr>
          <w:rFonts w:ascii="Verdana" w:eastAsia="Calibri" w:hAnsi="Verdana" w:cs="Arial"/>
          <w:bCs/>
          <w:color w:val="000000"/>
          <w:sz w:val="20"/>
          <w:szCs w:val="20"/>
          <w:lang w:val="es-ES"/>
        </w:rPr>
      </w:pPr>
    </w:p>
    <w:p w14:paraId="07FF1E13" w14:textId="77777777" w:rsidR="003A2B2E" w:rsidRPr="007548F6" w:rsidRDefault="003A2B2E" w:rsidP="003A2B2E">
      <w:pPr>
        <w:tabs>
          <w:tab w:val="left" w:pos="0"/>
        </w:tabs>
        <w:spacing w:after="120" w:line="240" w:lineRule="auto"/>
        <w:ind w:left="709" w:right="709"/>
        <w:jc w:val="both"/>
        <w:rPr>
          <w:rFonts w:ascii="Verdana" w:eastAsia="Calibri" w:hAnsi="Verdana" w:cs="Arial"/>
          <w:bCs/>
          <w:color w:val="000000"/>
          <w:sz w:val="20"/>
          <w:szCs w:val="20"/>
          <w:lang w:val="es-ES"/>
        </w:rPr>
      </w:pPr>
      <w:r w:rsidRPr="007548F6">
        <w:rPr>
          <w:rFonts w:ascii="Verdana" w:eastAsia="Calibri" w:hAnsi="Verdana" w:cs="Arial"/>
          <w:bCs/>
          <w:color w:val="000000"/>
          <w:sz w:val="20"/>
          <w:szCs w:val="20"/>
          <w:lang w:val="es-ES"/>
        </w:rPr>
        <w:t>“ARTÍCULO 2.2.1.2.4.2.9. Puntaje para la promoción de la industria nacional en los Procesos de Contratación de servicios. La Entidad Estatal en los Procesos de Contratación de servicios, otorgará el puntaje de que trata el inciso primero del artículo 2 de la Ley 816 de 2003 al proponente que oferte Servicios Nacionales o servicios extranjeros con trato nacional de acuerdo con la regla de origen aplicable.</w:t>
      </w:r>
    </w:p>
    <w:p w14:paraId="6131831F" w14:textId="77777777" w:rsidR="003A2B2E" w:rsidRPr="007548F6" w:rsidRDefault="003A2B2E" w:rsidP="003A2B2E">
      <w:pPr>
        <w:tabs>
          <w:tab w:val="left" w:pos="0"/>
        </w:tabs>
        <w:spacing w:after="120" w:line="240" w:lineRule="auto"/>
        <w:ind w:left="709" w:right="709"/>
        <w:jc w:val="both"/>
        <w:rPr>
          <w:rFonts w:ascii="Verdana" w:eastAsia="Calibri" w:hAnsi="Verdana" w:cs="Arial"/>
          <w:bCs/>
          <w:color w:val="000000"/>
          <w:sz w:val="20"/>
          <w:szCs w:val="20"/>
          <w:lang w:val="es-ES"/>
        </w:rPr>
      </w:pPr>
      <w:r w:rsidRPr="007548F6">
        <w:rPr>
          <w:rFonts w:ascii="Verdana" w:eastAsia="Calibri" w:hAnsi="Verdana" w:cs="Arial"/>
          <w:bCs/>
          <w:color w:val="000000"/>
          <w:sz w:val="20"/>
          <w:szCs w:val="20"/>
          <w:lang w:val="es-ES"/>
        </w:rPr>
        <w:t>En los contratos que deban cumplirse en Colombia, la Entidad Estatal definirá de manera razonable y proporcionada los bienes colombianos relevantes teniendo en cuenta:</w:t>
      </w:r>
    </w:p>
    <w:p w14:paraId="43803802" w14:textId="77777777" w:rsidR="003A2B2E" w:rsidRPr="007548F6" w:rsidRDefault="003A2B2E" w:rsidP="003A2B2E">
      <w:pPr>
        <w:tabs>
          <w:tab w:val="left" w:pos="0"/>
        </w:tabs>
        <w:spacing w:after="120" w:line="240" w:lineRule="auto"/>
        <w:ind w:left="709" w:right="709"/>
        <w:jc w:val="both"/>
        <w:rPr>
          <w:rFonts w:ascii="Verdana" w:eastAsia="Calibri" w:hAnsi="Verdana" w:cs="Arial"/>
          <w:bCs/>
          <w:color w:val="000000"/>
          <w:sz w:val="20"/>
          <w:szCs w:val="20"/>
          <w:lang w:val="es-ES"/>
        </w:rPr>
      </w:pPr>
      <w:r w:rsidRPr="007548F6">
        <w:rPr>
          <w:rFonts w:ascii="Verdana" w:eastAsia="Calibri" w:hAnsi="Verdana" w:cs="Arial"/>
          <w:bCs/>
          <w:color w:val="000000"/>
          <w:sz w:val="20"/>
          <w:szCs w:val="20"/>
          <w:lang w:val="es-ES"/>
        </w:rPr>
        <w:t>1. El análisis del sector económico y de los oferentes, y, toda aquella información adicional con la que cuente la Entidad Estatal en la etapa de planeación del Proceso de Contratación;</w:t>
      </w:r>
    </w:p>
    <w:p w14:paraId="28F16A90" w14:textId="77777777" w:rsidR="003A2B2E" w:rsidRPr="007548F6" w:rsidRDefault="003A2B2E" w:rsidP="003A2B2E">
      <w:pPr>
        <w:tabs>
          <w:tab w:val="left" w:pos="0"/>
        </w:tabs>
        <w:spacing w:after="120" w:line="240" w:lineRule="auto"/>
        <w:ind w:left="709" w:right="709"/>
        <w:jc w:val="both"/>
        <w:rPr>
          <w:rFonts w:ascii="Verdana" w:eastAsia="Calibri" w:hAnsi="Verdana" w:cs="Arial"/>
          <w:bCs/>
          <w:color w:val="000000"/>
          <w:sz w:val="20"/>
          <w:szCs w:val="20"/>
          <w:lang w:val="es-ES"/>
        </w:rPr>
      </w:pPr>
      <w:r w:rsidRPr="007548F6">
        <w:rPr>
          <w:rFonts w:ascii="Verdana" w:eastAsia="Calibri" w:hAnsi="Verdana" w:cs="Arial"/>
          <w:bCs/>
          <w:color w:val="000000"/>
          <w:sz w:val="20"/>
          <w:szCs w:val="20"/>
          <w:lang w:val="es-ES"/>
        </w:rPr>
        <w:t>2. El porcentaje de participación de los bienes en el presupuesto del Proceso de Contratación; y</w:t>
      </w:r>
    </w:p>
    <w:p w14:paraId="5091D4E0" w14:textId="77777777" w:rsidR="003A2B2E" w:rsidRPr="007548F6" w:rsidRDefault="003A2B2E" w:rsidP="003A2B2E">
      <w:pPr>
        <w:tabs>
          <w:tab w:val="left" w:pos="0"/>
        </w:tabs>
        <w:spacing w:after="120" w:line="240" w:lineRule="auto"/>
        <w:ind w:left="709" w:right="709"/>
        <w:jc w:val="both"/>
        <w:rPr>
          <w:rFonts w:ascii="Verdana" w:eastAsia="Calibri" w:hAnsi="Verdana" w:cs="Arial"/>
          <w:bCs/>
          <w:color w:val="000000"/>
          <w:sz w:val="20"/>
          <w:szCs w:val="20"/>
          <w:lang w:val="es-ES"/>
        </w:rPr>
      </w:pPr>
      <w:r w:rsidRPr="007548F6">
        <w:rPr>
          <w:rFonts w:ascii="Verdana" w:eastAsia="Calibri" w:hAnsi="Verdana" w:cs="Arial"/>
          <w:bCs/>
          <w:color w:val="000000"/>
          <w:sz w:val="20"/>
          <w:szCs w:val="20"/>
          <w:lang w:val="es-ES"/>
        </w:rPr>
        <w:t>3. La existencia de los bienes en el Registro de Productores de Bienes Nacionales, en los términos del Decreto 2680 de 2009 o las normas que lo modifiquen, aclaren, adicionen o sustituyan.</w:t>
      </w:r>
    </w:p>
    <w:p w14:paraId="05A088EB" w14:textId="77777777" w:rsidR="003A2B2E" w:rsidRPr="007548F6" w:rsidRDefault="003A2B2E" w:rsidP="003A2B2E">
      <w:pPr>
        <w:tabs>
          <w:tab w:val="left" w:pos="0"/>
        </w:tabs>
        <w:spacing w:after="120" w:line="240" w:lineRule="auto"/>
        <w:ind w:left="709" w:right="709"/>
        <w:jc w:val="both"/>
        <w:rPr>
          <w:rFonts w:ascii="Verdana" w:eastAsia="Calibri" w:hAnsi="Verdana" w:cs="Arial"/>
          <w:bCs/>
          <w:color w:val="000000"/>
          <w:sz w:val="20"/>
          <w:szCs w:val="20"/>
          <w:lang w:val="es-ES"/>
        </w:rPr>
      </w:pPr>
      <w:r w:rsidRPr="007548F6">
        <w:rPr>
          <w:rFonts w:ascii="Verdana" w:eastAsia="Calibri" w:hAnsi="Verdana" w:cs="Arial"/>
          <w:bCs/>
          <w:color w:val="000000"/>
          <w:sz w:val="20"/>
          <w:szCs w:val="20"/>
          <w:lang w:val="es-ES"/>
        </w:rPr>
        <w:t>En aquellos casos en que, de acuerdo con el objeto contractual, no existan bienes colombianos relevantes o no exista oferta nacional de los mismos en el Registro de Productores de Bienes Nacionales, la Entidad Estatal otorgará el puntaje de que trata el inciso primero del artículo 2 de la Ley 816 de 2003 al proponente que vincule el porcentaje mínimo establecido por la Entidad Estatal de empleados o contratistas por prestación de servicios colombianos, que no podrá ser inferior al 40% del total de empleado</w:t>
      </w:r>
      <w:r w:rsidRPr="007548F6">
        <w:rPr>
          <w:lang w:val="es-ES"/>
        </w:rPr>
        <w:t>s</w:t>
      </w:r>
      <w:r w:rsidRPr="007548F6">
        <w:rPr>
          <w:rFonts w:ascii="Verdana" w:eastAsia="Calibri" w:hAnsi="Verdana" w:cs="Arial"/>
          <w:bCs/>
          <w:color w:val="000000"/>
          <w:sz w:val="20"/>
          <w:szCs w:val="20"/>
          <w:lang w:val="es-ES"/>
        </w:rPr>
        <w:t xml:space="preserve"> y contratistas asociados al cumplimiento del contrato.</w:t>
      </w:r>
    </w:p>
    <w:p w14:paraId="7AB1564A" w14:textId="77777777" w:rsidR="003A2B2E" w:rsidRPr="007548F6" w:rsidRDefault="003A2B2E" w:rsidP="003A2B2E">
      <w:pPr>
        <w:tabs>
          <w:tab w:val="left" w:pos="0"/>
        </w:tabs>
        <w:spacing w:after="0" w:line="240" w:lineRule="auto"/>
        <w:ind w:left="709" w:right="709"/>
        <w:jc w:val="both"/>
        <w:rPr>
          <w:rFonts w:ascii="Verdana" w:eastAsia="Calibri" w:hAnsi="Verdana" w:cs="Arial"/>
          <w:bCs/>
          <w:color w:val="000000"/>
          <w:sz w:val="20"/>
          <w:szCs w:val="20"/>
          <w:lang w:val="es-ES"/>
        </w:rPr>
      </w:pPr>
      <w:r w:rsidRPr="007548F6">
        <w:rPr>
          <w:rFonts w:ascii="Verdana" w:eastAsia="Calibri" w:hAnsi="Verdana" w:cs="Arial"/>
          <w:bCs/>
          <w:color w:val="000000"/>
          <w:sz w:val="20"/>
          <w:szCs w:val="20"/>
          <w:lang w:val="es-ES"/>
        </w:rPr>
        <w:t>La Entidad Estatal documentará este análisis y dejará constancia en los Documentos del Proceso”.</w:t>
      </w:r>
    </w:p>
    <w:p w14:paraId="00485A8F" w14:textId="77777777" w:rsidR="003A2B2E" w:rsidRPr="007548F6" w:rsidRDefault="003A2B2E" w:rsidP="003A2B2E">
      <w:pPr>
        <w:tabs>
          <w:tab w:val="left" w:pos="0"/>
        </w:tabs>
        <w:spacing w:after="0" w:line="240" w:lineRule="auto"/>
        <w:ind w:left="709" w:right="709"/>
        <w:jc w:val="both"/>
        <w:rPr>
          <w:rFonts w:ascii="Verdana" w:eastAsia="Calibri" w:hAnsi="Verdana" w:cs="Arial"/>
          <w:bCs/>
          <w:color w:val="000000"/>
          <w:sz w:val="21"/>
          <w:szCs w:val="21"/>
          <w:lang w:val="es-ES"/>
        </w:rPr>
      </w:pPr>
    </w:p>
    <w:p w14:paraId="72C6D538" w14:textId="77777777" w:rsidR="003A2B2E" w:rsidRPr="007548F6" w:rsidRDefault="003A2B2E" w:rsidP="003A2B2E">
      <w:pPr>
        <w:tabs>
          <w:tab w:val="left" w:pos="0"/>
        </w:tabs>
        <w:spacing w:after="120" w:line="276" w:lineRule="auto"/>
        <w:ind w:firstLine="709"/>
        <w:jc w:val="both"/>
        <w:rPr>
          <w:rFonts w:ascii="Verdana" w:eastAsia="Calibri" w:hAnsi="Verdana" w:cs="Arial"/>
          <w:color w:val="000000"/>
          <w:lang w:val="es-ES"/>
        </w:rPr>
      </w:pPr>
      <w:bookmarkStart w:id="4" w:name="_Hlk86820149"/>
      <w:r w:rsidRPr="007548F6">
        <w:rPr>
          <w:rFonts w:ascii="Verdana" w:eastAsia="Calibri" w:hAnsi="Verdana" w:cs="Arial"/>
          <w:color w:val="000000" w:themeColor="text1"/>
          <w:lang w:val="es-ES"/>
        </w:rPr>
        <w:t xml:space="preserve">Según el artículo 2.2.1.2.4.2.9 del Decreto 1082 de 2015, adicionado por el Decreto 680 de 2021, que desarrolla lo establecido en la Ley 816 de 2003, para definir los bienes colombianos relevantes, la entidad estatal debe tener en cuenta tres criterios, a saber: i) “el análisis del sector económico y de los oferentes, y, toda aquella información adicional con la que cuente la entidad </w:t>
      </w:r>
      <w:r w:rsidRPr="007548F6">
        <w:rPr>
          <w:rFonts w:ascii="Verdana" w:eastAsia="Calibri" w:hAnsi="Verdana" w:cs="Arial"/>
          <w:color w:val="000000" w:themeColor="text1"/>
          <w:lang w:val="es-ES"/>
        </w:rPr>
        <w:lastRenderedPageBreak/>
        <w:t xml:space="preserve">estatal en la etapa de planeación del Proceso de Contratación”, </w:t>
      </w:r>
      <w:proofErr w:type="spellStart"/>
      <w:r w:rsidRPr="007548F6">
        <w:rPr>
          <w:rFonts w:ascii="Verdana" w:eastAsia="Calibri" w:hAnsi="Verdana" w:cs="Arial"/>
          <w:color w:val="000000" w:themeColor="text1"/>
          <w:lang w:val="es-ES"/>
        </w:rPr>
        <w:t>ii</w:t>
      </w:r>
      <w:proofErr w:type="spellEnd"/>
      <w:r w:rsidRPr="007548F6">
        <w:rPr>
          <w:rFonts w:ascii="Verdana" w:eastAsia="Calibri" w:hAnsi="Verdana" w:cs="Arial"/>
          <w:color w:val="000000" w:themeColor="text1"/>
          <w:lang w:val="es-ES"/>
        </w:rPr>
        <w:t xml:space="preserve">) el porcentaje de participación de los bienes en el presupuesto del Proceso de Contratación y </w:t>
      </w:r>
      <w:proofErr w:type="spellStart"/>
      <w:r w:rsidRPr="007548F6">
        <w:rPr>
          <w:rFonts w:ascii="Verdana" w:eastAsia="Calibri" w:hAnsi="Verdana" w:cs="Arial"/>
          <w:color w:val="000000" w:themeColor="text1"/>
          <w:lang w:val="es-ES"/>
        </w:rPr>
        <w:t>iii</w:t>
      </w:r>
      <w:proofErr w:type="spellEnd"/>
      <w:r w:rsidRPr="007548F6">
        <w:rPr>
          <w:rFonts w:ascii="Verdana" w:eastAsia="Calibri" w:hAnsi="Verdana" w:cs="Arial"/>
          <w:color w:val="000000" w:themeColor="text1"/>
          <w:lang w:val="es-ES"/>
        </w:rPr>
        <w:t xml:space="preserve">) la existencia de los bienes en el </w:t>
      </w:r>
      <w:bookmarkStart w:id="5" w:name="_Hlk108603140"/>
      <w:r w:rsidRPr="007548F6">
        <w:rPr>
          <w:rFonts w:ascii="Verdana" w:eastAsia="Calibri" w:hAnsi="Verdana" w:cs="Arial"/>
          <w:color w:val="000000" w:themeColor="text1"/>
          <w:lang w:val="es-ES"/>
        </w:rPr>
        <w:t>Registro de Productores de Bienes Nacionales</w:t>
      </w:r>
      <w:bookmarkEnd w:id="5"/>
      <w:r w:rsidRPr="007548F6">
        <w:rPr>
          <w:rFonts w:ascii="Verdana" w:eastAsia="Calibri" w:hAnsi="Verdana" w:cs="Arial"/>
          <w:color w:val="000000" w:themeColor="text1"/>
          <w:lang w:val="es-ES"/>
        </w:rPr>
        <w:t xml:space="preserve">, en los términos del Decreto 2680 de 2009. </w:t>
      </w:r>
    </w:p>
    <w:p w14:paraId="50EECB2B" w14:textId="77777777" w:rsidR="003A2B2E" w:rsidRPr="007548F6" w:rsidRDefault="003A2B2E" w:rsidP="003A2B2E">
      <w:pPr>
        <w:tabs>
          <w:tab w:val="left" w:pos="0"/>
        </w:tabs>
        <w:spacing w:after="120" w:line="276" w:lineRule="auto"/>
        <w:ind w:firstLine="709"/>
        <w:jc w:val="both"/>
        <w:rPr>
          <w:rFonts w:ascii="Verdana" w:eastAsia="Calibri" w:hAnsi="Verdana" w:cs="Arial"/>
          <w:bCs/>
          <w:color w:val="000000"/>
          <w:lang w:val="es-ES"/>
        </w:rPr>
      </w:pPr>
      <w:r w:rsidRPr="007548F6">
        <w:rPr>
          <w:rFonts w:ascii="Verdana" w:eastAsia="Calibri" w:hAnsi="Verdana" w:cs="Arial"/>
          <w:bCs/>
          <w:color w:val="000000"/>
          <w:lang w:val="es-ES"/>
        </w:rPr>
        <w:t>En aplicación de estos criterios, corresponde a la entidad estatal determinar en los respectivos pliegos de condiciones o documentos equivalentes, la metodología conforme con la cual se asignará el puntaje correspondiente por apoyo a la industria nacional</w:t>
      </w:r>
      <w:bookmarkEnd w:id="4"/>
      <w:r w:rsidRPr="007548F6">
        <w:rPr>
          <w:rFonts w:ascii="Verdana" w:eastAsia="Calibri" w:hAnsi="Verdana" w:cs="Arial"/>
          <w:bCs/>
          <w:color w:val="000000"/>
          <w:lang w:val="es-ES"/>
        </w:rPr>
        <w:t>. Así, los puntos para la promoción de la industria nacional s</w:t>
      </w:r>
      <w:r>
        <w:rPr>
          <w:rFonts w:ascii="Verdana" w:eastAsia="Calibri" w:hAnsi="Verdana" w:cs="Arial"/>
          <w:bCs/>
          <w:color w:val="000000"/>
          <w:lang w:val="es-ES"/>
        </w:rPr>
        <w:t>o</w:t>
      </w:r>
      <w:r w:rsidRPr="007548F6">
        <w:rPr>
          <w:rFonts w:ascii="Verdana" w:eastAsia="Calibri" w:hAnsi="Verdana" w:cs="Arial"/>
          <w:bCs/>
          <w:color w:val="000000"/>
          <w:lang w:val="es-ES"/>
        </w:rPr>
        <w:t>lo deben concederse al proponente si éste cuenta con el respectivo Registro de Productores de Bienes Nacionales para los bienes relevantes que ofrece para la prestación del servicio. El proponente es autónomo para definir si se presenta o no al proceso acreditando este factor de evaluación; sin embargo, la asignación del puntaje está sujeta al cumplimiento de los requisitos previstos en las normas citadas.</w:t>
      </w:r>
    </w:p>
    <w:p w14:paraId="73F50237" w14:textId="77777777" w:rsidR="003A2B2E" w:rsidRPr="007548F6" w:rsidRDefault="003A2B2E" w:rsidP="003A2B2E">
      <w:pPr>
        <w:tabs>
          <w:tab w:val="left" w:pos="0"/>
        </w:tabs>
        <w:spacing w:after="120" w:line="276" w:lineRule="auto"/>
        <w:ind w:firstLine="709"/>
        <w:jc w:val="both"/>
        <w:rPr>
          <w:rFonts w:ascii="Verdana" w:hAnsi="Verdana"/>
          <w:lang w:val="es-ES"/>
        </w:rPr>
      </w:pPr>
      <w:r w:rsidRPr="007548F6">
        <w:rPr>
          <w:rFonts w:ascii="Verdana" w:eastAsia="Calibri" w:hAnsi="Verdana" w:cs="Arial"/>
          <w:bCs/>
          <w:color w:val="000000"/>
          <w:lang w:val="es-ES"/>
        </w:rPr>
        <w:t xml:space="preserve">Sin perjuicio de lo anterior, el penúltimo inciso del artículo </w:t>
      </w:r>
      <w:r w:rsidRPr="007548F6">
        <w:rPr>
          <w:rFonts w:ascii="Verdana" w:hAnsi="Verdana"/>
          <w:lang w:val="es-ES"/>
        </w:rPr>
        <w:t xml:space="preserve">2.2.1.2.4.2.9 del Decreto 1082 de 2015, modificado por el Decreto 680 de 2021, </w:t>
      </w:r>
      <w:r>
        <w:rPr>
          <w:rFonts w:ascii="Verdana" w:hAnsi="Verdana"/>
          <w:lang w:val="es-ES"/>
        </w:rPr>
        <w:t xml:space="preserve">prevé </w:t>
      </w:r>
      <w:r w:rsidRPr="007548F6">
        <w:rPr>
          <w:rFonts w:ascii="Verdana" w:hAnsi="Verdana"/>
          <w:lang w:val="es-ES"/>
        </w:rPr>
        <w:t xml:space="preserve">el supuesto de hecho de que no existan unos Bienes Nacionales relevantes para la ejecución del objeto contractual, estableciendo la posibilidad de que, en estos casos, el puntaje se otorgue a los proponentes que se comprometan vincular un porcentaje determinado de personal colombiano a la ejecución del contrato. Este porcentaje, si </w:t>
      </w:r>
      <w:r>
        <w:rPr>
          <w:rFonts w:ascii="Verdana" w:hAnsi="Verdana"/>
          <w:lang w:val="es-ES"/>
        </w:rPr>
        <w:t xml:space="preserve">bien </w:t>
      </w:r>
      <w:r w:rsidRPr="007548F6">
        <w:rPr>
          <w:rFonts w:ascii="Verdana" w:hAnsi="Verdana"/>
          <w:lang w:val="es-ES"/>
        </w:rPr>
        <w:t xml:space="preserve">debe ser determinado por las Entidades Estatales en los pliegos de condiciones, no puede ser inferior al 40% del total de personas requeridas para ejecutar el objeto del contrato.   </w:t>
      </w:r>
    </w:p>
    <w:p w14:paraId="1962F0C4" w14:textId="77777777" w:rsidR="003A2B2E" w:rsidRPr="007548F6" w:rsidRDefault="003A2B2E" w:rsidP="003A2B2E">
      <w:pPr>
        <w:tabs>
          <w:tab w:val="left" w:pos="2949"/>
          <w:tab w:val="left" w:pos="4539"/>
          <w:tab w:val="left" w:pos="5121"/>
          <w:tab w:val="left" w:pos="6492"/>
          <w:tab w:val="left" w:pos="7329"/>
          <w:tab w:val="left" w:pos="8720"/>
        </w:tabs>
        <w:spacing w:before="50" w:line="276" w:lineRule="auto"/>
        <w:ind w:firstLine="709"/>
        <w:jc w:val="both"/>
        <w:rPr>
          <w:rFonts w:ascii="Verdana" w:hAnsi="Verdana"/>
          <w:lang w:val="es-ES"/>
        </w:rPr>
      </w:pPr>
      <w:r w:rsidRPr="007548F6">
        <w:rPr>
          <w:rFonts w:ascii="Verdana" w:hAnsi="Verdana"/>
          <w:lang w:val="es-ES"/>
        </w:rPr>
        <w:t xml:space="preserve">Lo anterior implica que, las Entidades Estatales, al regular el puntaje dentro de los pliegos de condiciones, deban establecer si el puntaje se otorgará por la utilización de Bienes Nacionales relevantes para la ejecución del objeto contractual o por la vinculación de un porcentaje determinado de personal colombiano durante la ejecución del contrato, el cual, según el penúltimo inciso del artículo 2.2.1.2.4.2.9 del Decreto 1082 de 2015, no podrá ser inferior al 40%. En todo caso, la Entidad Estatal tiene la obligación de justificar las razones por las que opta por una u otra opción, de acuerdo </w:t>
      </w:r>
      <w:r>
        <w:rPr>
          <w:rFonts w:ascii="Verdana" w:hAnsi="Verdana"/>
          <w:lang w:val="es-ES"/>
        </w:rPr>
        <w:t xml:space="preserve">con </w:t>
      </w:r>
      <w:r w:rsidRPr="007548F6">
        <w:rPr>
          <w:rFonts w:ascii="Verdana" w:hAnsi="Verdana"/>
          <w:lang w:val="es-ES"/>
        </w:rPr>
        <w:t xml:space="preserve">el último inciso de la referida norma reglamentaria.  </w:t>
      </w:r>
    </w:p>
    <w:p w14:paraId="03BB618E" w14:textId="77777777" w:rsidR="003A2B2E" w:rsidRPr="007548F6" w:rsidRDefault="003A2B2E" w:rsidP="003A2B2E">
      <w:pPr>
        <w:tabs>
          <w:tab w:val="left" w:pos="2949"/>
          <w:tab w:val="left" w:pos="4539"/>
          <w:tab w:val="left" w:pos="5121"/>
          <w:tab w:val="left" w:pos="6492"/>
          <w:tab w:val="left" w:pos="7329"/>
          <w:tab w:val="left" w:pos="8720"/>
        </w:tabs>
        <w:spacing w:before="50" w:after="0" w:line="276" w:lineRule="auto"/>
        <w:ind w:firstLine="709"/>
        <w:jc w:val="both"/>
        <w:rPr>
          <w:rFonts w:ascii="Verdana" w:hAnsi="Verdana"/>
          <w:lang w:val="es-ES"/>
        </w:rPr>
      </w:pPr>
      <w:r w:rsidRPr="007548F6">
        <w:rPr>
          <w:rFonts w:ascii="Verdana" w:hAnsi="Verdana"/>
          <w:lang w:val="es-ES"/>
        </w:rPr>
        <w:t xml:space="preserve">Este puntaje resulta aplicable tanto a proponentes singulares como plurales, ya sea por el compromiso de incorporar el Bien Nacional relevante o de vincular el personal colombiano en el porcentaje determinado por la Entidad </w:t>
      </w:r>
      <w:r w:rsidRPr="007548F6">
        <w:rPr>
          <w:rFonts w:ascii="Verdana" w:hAnsi="Verdana"/>
          <w:lang w:val="es-ES"/>
        </w:rPr>
        <w:lastRenderedPageBreak/>
        <w:t xml:space="preserve">Estatal. Con todo, es importante tener en consideración, que en medida en que se trata de supuestos de hecho que se proyectan a la ejecución del contrato, los bienes a incorporar o el porcentaje de personal a vincular, en últimas debe ser el mismo, independientemente de si se trata de un proponente singular o plural. Esto sin perjuicio de las determinaciones o acuerdos que se realicen por parte de los proponentes plurales de cara a la ejecución del contrato en el marco de la independencia técnica y autonomía que les asiste, </w:t>
      </w:r>
      <w:r>
        <w:rPr>
          <w:rFonts w:ascii="Verdana" w:hAnsi="Verdana"/>
          <w:lang w:val="es-ES"/>
        </w:rPr>
        <w:t xml:space="preserve">frente </w:t>
      </w:r>
      <w:r w:rsidRPr="007548F6">
        <w:rPr>
          <w:rFonts w:ascii="Verdana" w:hAnsi="Verdana"/>
          <w:lang w:val="es-ES"/>
        </w:rPr>
        <w:t>al compromiso que de manera solidaria asumen al optar al puntaje antes explicado.</w:t>
      </w:r>
    </w:p>
    <w:p w14:paraId="469A299A" w14:textId="77777777" w:rsidR="003A2B2E" w:rsidRPr="007548F6" w:rsidRDefault="003A2B2E" w:rsidP="003A2B2E">
      <w:pPr>
        <w:tabs>
          <w:tab w:val="left" w:pos="2949"/>
          <w:tab w:val="left" w:pos="4539"/>
          <w:tab w:val="left" w:pos="5121"/>
          <w:tab w:val="left" w:pos="6492"/>
          <w:tab w:val="left" w:pos="7329"/>
          <w:tab w:val="left" w:pos="8720"/>
        </w:tabs>
        <w:spacing w:after="0" w:line="276" w:lineRule="auto"/>
        <w:ind w:firstLine="709"/>
        <w:jc w:val="both"/>
        <w:rPr>
          <w:rFonts w:ascii="Verdana" w:hAnsi="Verdana"/>
          <w:lang w:val="es-ES"/>
        </w:rPr>
      </w:pPr>
    </w:p>
    <w:p w14:paraId="233AC872" w14:textId="77777777" w:rsidR="003A2B2E" w:rsidRPr="007548F6" w:rsidRDefault="003A2B2E" w:rsidP="003A2B2E">
      <w:pPr>
        <w:spacing w:after="120" w:line="276" w:lineRule="auto"/>
        <w:ind w:right="177"/>
        <w:jc w:val="both"/>
        <w:rPr>
          <w:rFonts w:ascii="Verdana" w:eastAsia="Calibri" w:hAnsi="Verdana" w:cs="Arial"/>
          <w:bCs/>
          <w:lang w:val="es-ES" w:eastAsia="es-ES_tradnl"/>
        </w:rPr>
      </w:pPr>
      <w:proofErr w:type="spellStart"/>
      <w:r w:rsidRPr="007548F6">
        <w:rPr>
          <w:rFonts w:ascii="Verdana" w:eastAsia="Calibri" w:hAnsi="Verdana" w:cs="Arial"/>
          <w:bCs/>
          <w:lang w:val="es-ES" w:eastAsia="es-ES_tradnl"/>
        </w:rPr>
        <w:t>iii</w:t>
      </w:r>
      <w:proofErr w:type="spellEnd"/>
      <w:r w:rsidRPr="007548F6">
        <w:rPr>
          <w:rFonts w:ascii="Verdana" w:eastAsia="Calibri" w:hAnsi="Verdana" w:cs="Arial"/>
          <w:bCs/>
          <w:lang w:val="es-ES" w:eastAsia="es-ES_tradnl"/>
        </w:rPr>
        <w:t xml:space="preserve">) En relación con su solicitud, corresponde a la Entidad Estatal determinar en el caso concreto la forma de proceder. Sin embargo, es importante resaltar que la sola omisión de un acuerdo comercial específico en el pliego de condiciones no supone per se su inaplicabilidad. Si la entidad simplemente omitió incluir el acuerdo, de modo que no consignó una regla de exclusión, no puede predicarse la existencia de un acto administrativo cuyo contenido resulte contrario al tratado internacional del cual es parte el </w:t>
      </w:r>
      <w:r>
        <w:rPr>
          <w:rFonts w:ascii="Verdana" w:eastAsia="Calibri" w:hAnsi="Verdana" w:cs="Arial"/>
          <w:bCs/>
          <w:lang w:val="es-ES" w:eastAsia="es-ES_tradnl"/>
        </w:rPr>
        <w:t>E</w:t>
      </w:r>
      <w:r w:rsidRPr="007548F6">
        <w:rPr>
          <w:rFonts w:ascii="Verdana" w:eastAsia="Calibri" w:hAnsi="Verdana" w:cs="Arial"/>
          <w:bCs/>
          <w:lang w:val="es-ES" w:eastAsia="es-ES_tradnl"/>
        </w:rPr>
        <w:t xml:space="preserve">stado colombiano. En este supuesto se trata un vacío en el pliego de condiciones que debe ser suplido con el ordenamiento jurídico aplicable, dentro del cual el Acuerdo Comercial, incorporado a este mediante ley aprobatoria, junto con el </w:t>
      </w:r>
      <w:r w:rsidRPr="00074318">
        <w:rPr>
          <w:rFonts w:ascii="Verdana" w:eastAsia="Calibri" w:hAnsi="Verdana" w:cs="Arial"/>
          <w:bCs/>
          <w:lang w:val="es-ES" w:eastAsia="es-ES_tradnl"/>
        </w:rPr>
        <w:t>artículo 2.2.1.2.4.1.3 del Decreto 1082 de 2015 ocupan</w:t>
      </w:r>
      <w:r w:rsidRPr="007548F6">
        <w:rPr>
          <w:rFonts w:ascii="Verdana" w:eastAsia="Calibri" w:hAnsi="Verdana" w:cs="Arial"/>
          <w:bCs/>
          <w:lang w:val="es-ES" w:eastAsia="es-ES_tradnl"/>
        </w:rPr>
        <w:t xml:space="preserve"> una</w:t>
      </w:r>
      <w:r w:rsidRPr="00074318">
        <w:rPr>
          <w:rFonts w:ascii="Verdana" w:eastAsia="Calibri" w:hAnsi="Verdana" w:cs="Arial"/>
          <w:bCs/>
          <w:lang w:val="es-ES" w:eastAsia="es-ES_tradnl"/>
        </w:rPr>
        <w:t xml:space="preserve"> posición de prevalencia. </w:t>
      </w:r>
    </w:p>
    <w:p w14:paraId="21288C8A" w14:textId="77777777" w:rsidR="003A2B2E" w:rsidRPr="007548F6" w:rsidRDefault="003A2B2E" w:rsidP="003A2B2E">
      <w:pPr>
        <w:spacing w:after="120" w:line="276" w:lineRule="auto"/>
        <w:ind w:right="177" w:firstLine="708"/>
        <w:jc w:val="both"/>
        <w:rPr>
          <w:rFonts w:ascii="Verdana" w:eastAsia="Calibri" w:hAnsi="Verdana" w:cs="Arial"/>
          <w:bCs/>
          <w:lang w:val="es-ES" w:eastAsia="es-ES_tradnl"/>
        </w:rPr>
      </w:pPr>
      <w:r w:rsidRPr="007548F6">
        <w:rPr>
          <w:rFonts w:ascii="Verdana" w:eastAsia="Calibri" w:hAnsi="Verdana" w:cs="Arial"/>
          <w:bCs/>
          <w:lang w:val="es-ES" w:eastAsia="es-ES_tradnl"/>
        </w:rPr>
        <w:t>En este sentido, teniendo en cuenta que el tratado hace parte de la normativa aplicable en materia de contratación, que implica le cumplimiento de</w:t>
      </w:r>
      <w:r>
        <w:rPr>
          <w:rFonts w:ascii="Verdana" w:eastAsia="Calibri" w:hAnsi="Verdana" w:cs="Arial"/>
          <w:bCs/>
          <w:lang w:val="es-ES" w:eastAsia="es-ES_tradnl"/>
        </w:rPr>
        <w:t xml:space="preserve"> </w:t>
      </w:r>
      <w:r w:rsidRPr="007548F6">
        <w:rPr>
          <w:rFonts w:ascii="Verdana" w:eastAsia="Calibri" w:hAnsi="Verdana" w:cs="Arial"/>
          <w:bCs/>
          <w:lang w:val="es-ES" w:eastAsia="es-ES_tradnl"/>
        </w:rPr>
        <w:t>los compromisos y</w:t>
      </w:r>
      <w:r>
        <w:rPr>
          <w:rFonts w:ascii="Verdana" w:eastAsia="Calibri" w:hAnsi="Verdana" w:cs="Arial"/>
          <w:bCs/>
          <w:lang w:val="es-ES" w:eastAsia="es-ES_tradnl"/>
        </w:rPr>
        <w:t xml:space="preserve"> </w:t>
      </w:r>
      <w:r w:rsidRPr="007548F6">
        <w:rPr>
          <w:rFonts w:ascii="Verdana" w:eastAsia="Calibri" w:hAnsi="Verdana" w:cs="Arial"/>
          <w:bCs/>
          <w:lang w:val="es-ES" w:eastAsia="es-ES_tradnl"/>
        </w:rPr>
        <w:t>obligaciones internacionales asumidas por el Estado, y que el mismo Estatuto señala que la entidad tiene la obligación de “conceder trato nacional los oferentes, bienes y servicios provenientes de Estados con los cuales Colombia tenga Acuerdos Comerciales, en los términos establecidos en tales Acuerdos Comerciales”, el silencio sobre un tratado ratificado en los documentos del proceso no implica que la entidad pueda desconocer u omitir su cumplimiento. En este sentido, la entidad debe</w:t>
      </w:r>
      <w:r w:rsidRPr="00074318">
        <w:rPr>
          <w:rFonts w:ascii="Verdana" w:eastAsia="Calibri" w:hAnsi="Verdana" w:cs="Arial"/>
          <w:bCs/>
          <w:lang w:val="es-ES" w:eastAsia="es-ES_tradnl"/>
        </w:rPr>
        <w:t>, en la medida de lo posible, aplicar directamente el tratado, dando prelación a sus reglas en la evaluación.</w:t>
      </w:r>
    </w:p>
    <w:p w14:paraId="2BA45CC8" w14:textId="77777777" w:rsidR="003A2B2E" w:rsidRPr="007548F6" w:rsidRDefault="003A2B2E" w:rsidP="003A2B2E">
      <w:pPr>
        <w:spacing w:after="120" w:line="276" w:lineRule="auto"/>
        <w:ind w:right="177" w:firstLine="708"/>
        <w:jc w:val="both"/>
        <w:rPr>
          <w:rFonts w:ascii="Verdana" w:eastAsia="Calibri" w:hAnsi="Verdana" w:cs="Arial"/>
          <w:bCs/>
          <w:lang w:val="es-ES" w:eastAsia="es-ES_tradnl"/>
        </w:rPr>
      </w:pPr>
      <w:r w:rsidRPr="007548F6">
        <w:rPr>
          <w:rFonts w:ascii="Verdana" w:eastAsia="Calibri" w:hAnsi="Verdana" w:cs="Arial"/>
          <w:bCs/>
          <w:lang w:val="es-ES" w:eastAsia="es-ES_tradnl"/>
        </w:rPr>
        <w:t xml:space="preserve">Sobre el </w:t>
      </w:r>
      <w:r w:rsidRPr="00074318">
        <w:rPr>
          <w:rFonts w:ascii="Verdana" w:eastAsia="Calibri" w:hAnsi="Verdana" w:cs="Arial"/>
          <w:bCs/>
          <w:lang w:val="es-ES" w:eastAsia="es-ES_tradnl"/>
        </w:rPr>
        <w:t xml:space="preserve">puntaje de Industria Nacional, </w:t>
      </w:r>
      <w:r w:rsidRPr="007548F6">
        <w:rPr>
          <w:rFonts w:ascii="Verdana" w:eastAsia="Calibri" w:hAnsi="Verdana" w:cs="Arial"/>
          <w:bCs/>
          <w:lang w:val="es-ES" w:eastAsia="es-ES_tradnl"/>
        </w:rPr>
        <w:t xml:space="preserve">lo anterior </w:t>
      </w:r>
      <w:r w:rsidRPr="00074318">
        <w:rPr>
          <w:rFonts w:ascii="Verdana" w:eastAsia="Calibri" w:hAnsi="Verdana" w:cs="Arial"/>
          <w:bCs/>
          <w:lang w:val="es-ES" w:eastAsia="es-ES_tradnl"/>
        </w:rPr>
        <w:t>significa que si el pliego previó el factor de la Ley 816 de 2003</w:t>
      </w:r>
      <w:r w:rsidRPr="007548F6">
        <w:rPr>
          <w:rFonts w:ascii="Verdana" w:eastAsia="Calibri" w:hAnsi="Verdana" w:cs="Arial"/>
          <w:bCs/>
          <w:lang w:val="es-ES" w:eastAsia="es-ES_tradnl"/>
        </w:rPr>
        <w:t xml:space="preserve"> </w:t>
      </w:r>
      <w:r w:rsidRPr="00074318">
        <w:rPr>
          <w:rFonts w:ascii="Verdana" w:eastAsia="Calibri" w:hAnsi="Verdana" w:cs="Arial"/>
          <w:bCs/>
          <w:lang w:val="es-ES" w:eastAsia="es-ES_tradnl"/>
        </w:rPr>
        <w:t xml:space="preserve">y un proponente acredita que </w:t>
      </w:r>
      <w:r w:rsidRPr="007548F6">
        <w:rPr>
          <w:rFonts w:ascii="Verdana" w:eastAsia="Calibri" w:hAnsi="Verdana" w:cs="Arial"/>
          <w:bCs/>
          <w:lang w:val="es-ES" w:eastAsia="es-ES_tradnl"/>
        </w:rPr>
        <w:t>se trata</w:t>
      </w:r>
      <w:r>
        <w:rPr>
          <w:rFonts w:ascii="Verdana" w:eastAsia="Calibri" w:hAnsi="Verdana" w:cs="Arial"/>
          <w:bCs/>
          <w:lang w:val="es-ES" w:eastAsia="es-ES_tradnl"/>
        </w:rPr>
        <w:t xml:space="preserve"> </w:t>
      </w:r>
      <w:r w:rsidRPr="007548F6">
        <w:rPr>
          <w:rFonts w:ascii="Verdana" w:eastAsia="Calibri" w:hAnsi="Verdana" w:cs="Arial"/>
          <w:bCs/>
          <w:lang w:val="es-ES" w:eastAsia="es-ES_tradnl"/>
        </w:rPr>
        <w:t>de</w:t>
      </w:r>
      <w:r>
        <w:rPr>
          <w:rFonts w:ascii="Verdana" w:eastAsia="Calibri" w:hAnsi="Verdana" w:cs="Arial"/>
          <w:bCs/>
          <w:lang w:val="es-ES" w:eastAsia="es-ES_tradnl"/>
        </w:rPr>
        <w:t xml:space="preserve"> </w:t>
      </w:r>
      <w:r w:rsidRPr="007548F6">
        <w:rPr>
          <w:rFonts w:ascii="Verdana" w:eastAsia="Calibri" w:hAnsi="Verdana" w:cs="Arial"/>
          <w:bCs/>
          <w:lang w:val="es-ES" w:eastAsia="es-ES_tradnl"/>
        </w:rPr>
        <w:t xml:space="preserve">un oferente, </w:t>
      </w:r>
      <w:r w:rsidRPr="00074318">
        <w:rPr>
          <w:rFonts w:ascii="Verdana" w:eastAsia="Calibri" w:hAnsi="Verdana" w:cs="Arial"/>
          <w:bCs/>
          <w:lang w:val="es-ES" w:eastAsia="es-ES_tradnl"/>
        </w:rPr>
        <w:t xml:space="preserve">bienes o servicios </w:t>
      </w:r>
      <w:r w:rsidRPr="007548F6">
        <w:rPr>
          <w:rFonts w:ascii="Verdana" w:eastAsia="Calibri" w:hAnsi="Verdana" w:cs="Arial"/>
          <w:bCs/>
          <w:lang w:val="es-ES" w:eastAsia="es-ES_tradnl"/>
        </w:rPr>
        <w:t xml:space="preserve">que </w:t>
      </w:r>
      <w:r w:rsidRPr="00074318">
        <w:rPr>
          <w:rFonts w:ascii="Verdana" w:eastAsia="Calibri" w:hAnsi="Verdana" w:cs="Arial"/>
          <w:bCs/>
          <w:lang w:val="es-ES" w:eastAsia="es-ES_tradnl"/>
        </w:rPr>
        <w:t xml:space="preserve">provienen de un Estado cubierto por el Acuerdo Comercial aplicable, la entidad debe asignarle el puntaje reservado a la oferta nacional, sin que pueda oponerle la omisión del listado. </w:t>
      </w:r>
      <w:r w:rsidRPr="007548F6">
        <w:rPr>
          <w:rFonts w:ascii="Verdana" w:eastAsia="Calibri" w:hAnsi="Verdana" w:cs="Arial"/>
          <w:bCs/>
          <w:lang w:val="es-ES" w:eastAsia="es-ES_tradnl"/>
        </w:rPr>
        <w:lastRenderedPageBreak/>
        <w:t xml:space="preserve">En cumplimiento de lo dispuesto en el EGCAP, </w:t>
      </w:r>
      <w:r w:rsidRPr="00074318">
        <w:rPr>
          <w:rFonts w:ascii="Verdana" w:eastAsia="Calibri" w:hAnsi="Verdana" w:cs="Arial"/>
          <w:bCs/>
          <w:lang w:val="es-ES" w:eastAsia="es-ES_tradnl"/>
        </w:rPr>
        <w:t xml:space="preserve">la entidad no puede negar </w:t>
      </w:r>
      <w:r w:rsidRPr="007548F6">
        <w:rPr>
          <w:rFonts w:ascii="Verdana" w:eastAsia="Calibri" w:hAnsi="Verdana" w:cs="Arial"/>
          <w:bCs/>
          <w:lang w:val="es-ES" w:eastAsia="es-ES_tradnl"/>
        </w:rPr>
        <w:t>dicho puntaje si cumple con los presupuestos que para este exige la norma</w:t>
      </w:r>
      <w:r w:rsidRPr="00074318">
        <w:rPr>
          <w:rFonts w:ascii="Verdana" w:eastAsia="Calibri" w:hAnsi="Verdana" w:cs="Arial"/>
          <w:bCs/>
          <w:lang w:val="es-ES" w:eastAsia="es-ES_tradnl"/>
        </w:rPr>
        <w:t>.</w:t>
      </w:r>
    </w:p>
    <w:p w14:paraId="5B88258B" w14:textId="77777777" w:rsidR="003A2B2E" w:rsidRPr="007548F6" w:rsidRDefault="003A2B2E" w:rsidP="003A2B2E">
      <w:pPr>
        <w:spacing w:after="120" w:line="276" w:lineRule="auto"/>
        <w:ind w:right="177" w:firstLine="708"/>
        <w:jc w:val="both"/>
        <w:rPr>
          <w:rFonts w:ascii="Verdana" w:eastAsia="Calibri" w:hAnsi="Verdana" w:cs="Arial"/>
          <w:bCs/>
          <w:lang w:val="es-ES" w:eastAsia="es-ES_tradnl"/>
        </w:rPr>
      </w:pPr>
      <w:r w:rsidRPr="00074318">
        <w:rPr>
          <w:rFonts w:ascii="Verdana" w:eastAsia="Calibri" w:hAnsi="Verdana" w:cs="Arial"/>
          <w:bCs/>
          <w:lang w:val="es-ES" w:eastAsia="es-ES_tradnl"/>
        </w:rPr>
        <w:t>Ahora bien</w:t>
      </w:r>
      <w:r w:rsidRPr="007548F6">
        <w:rPr>
          <w:rFonts w:ascii="Verdana" w:eastAsia="Calibri" w:hAnsi="Verdana" w:cs="Arial"/>
          <w:bCs/>
          <w:lang w:val="es-ES" w:eastAsia="es-ES_tradnl"/>
        </w:rPr>
        <w:t xml:space="preserve">, es importante resaltar que </w:t>
      </w:r>
      <w:r w:rsidRPr="00074318">
        <w:rPr>
          <w:rFonts w:ascii="Verdana" w:eastAsia="Calibri" w:hAnsi="Verdana" w:cs="Arial"/>
          <w:bCs/>
          <w:lang w:val="es-ES" w:eastAsia="es-ES_tradnl"/>
        </w:rPr>
        <w:t xml:space="preserve">la aplicación directa del tratado en sede de evaluación </w:t>
      </w:r>
      <w:r w:rsidRPr="007548F6">
        <w:rPr>
          <w:rFonts w:ascii="Verdana" w:eastAsia="Calibri" w:hAnsi="Verdana" w:cs="Arial"/>
          <w:bCs/>
          <w:lang w:val="es-ES" w:eastAsia="es-ES_tradnl"/>
        </w:rPr>
        <w:t xml:space="preserve">puede no resultar </w:t>
      </w:r>
      <w:r w:rsidRPr="00074318">
        <w:rPr>
          <w:rFonts w:ascii="Verdana" w:eastAsia="Calibri" w:hAnsi="Verdana" w:cs="Arial"/>
          <w:bCs/>
          <w:lang w:val="es-ES" w:eastAsia="es-ES_tradnl"/>
        </w:rPr>
        <w:t>materialmente posible</w:t>
      </w:r>
      <w:r w:rsidRPr="007548F6">
        <w:rPr>
          <w:rFonts w:ascii="Verdana" w:eastAsia="Calibri" w:hAnsi="Verdana" w:cs="Arial"/>
          <w:bCs/>
          <w:lang w:val="es-ES" w:eastAsia="es-ES_tradnl"/>
        </w:rPr>
        <w:t xml:space="preserve"> en todos los casos, según los requisitos y reglas que la entidad haya incorporado en el pliego de condiciones. En este sentido, si el proponente puede acreditar las condiciones para </w:t>
      </w:r>
      <w:r w:rsidRPr="00074318">
        <w:rPr>
          <w:rFonts w:ascii="Verdana" w:eastAsia="Calibri" w:hAnsi="Verdana" w:cs="Arial"/>
          <w:bCs/>
          <w:lang w:val="es-ES" w:eastAsia="es-ES_tradnl"/>
        </w:rPr>
        <w:t xml:space="preserve">el trato nacional </w:t>
      </w:r>
      <w:r w:rsidRPr="007548F6">
        <w:rPr>
          <w:rFonts w:ascii="Verdana" w:eastAsia="Calibri" w:hAnsi="Verdana" w:cs="Arial"/>
          <w:bCs/>
          <w:lang w:val="es-ES" w:eastAsia="es-ES_tradnl"/>
        </w:rPr>
        <w:t xml:space="preserve">mediante la </w:t>
      </w:r>
      <w:r w:rsidRPr="00074318">
        <w:rPr>
          <w:rFonts w:ascii="Verdana" w:eastAsia="Calibri" w:hAnsi="Verdana" w:cs="Arial"/>
          <w:bCs/>
          <w:lang w:val="es-ES" w:eastAsia="es-ES_tradnl"/>
        </w:rPr>
        <w:t xml:space="preserve">información y documentos </w:t>
      </w:r>
      <w:r w:rsidRPr="007548F6">
        <w:rPr>
          <w:rFonts w:ascii="Verdana" w:eastAsia="Calibri" w:hAnsi="Verdana" w:cs="Arial"/>
          <w:bCs/>
          <w:lang w:val="es-ES" w:eastAsia="es-ES_tradnl"/>
        </w:rPr>
        <w:t>ya contempladas en los documentos del proceso</w:t>
      </w:r>
      <w:r w:rsidRPr="00074318">
        <w:rPr>
          <w:rFonts w:ascii="Verdana" w:eastAsia="Calibri" w:hAnsi="Verdana" w:cs="Arial"/>
          <w:bCs/>
          <w:lang w:val="es-ES" w:eastAsia="es-ES_tradnl"/>
        </w:rPr>
        <w:t>, la entidad debe otorgar el puntaje directamente, integrando el vacío del pliego con el tratado y el Decreto 1082.</w:t>
      </w:r>
      <w:r w:rsidRPr="007548F6">
        <w:rPr>
          <w:rFonts w:ascii="Verdana" w:eastAsia="Calibri" w:hAnsi="Verdana" w:cs="Arial"/>
          <w:bCs/>
          <w:lang w:val="es-ES" w:eastAsia="es-ES_tradnl"/>
        </w:rPr>
        <w:t xml:space="preserve"> </w:t>
      </w:r>
    </w:p>
    <w:p w14:paraId="11152AE1" w14:textId="77777777" w:rsidR="003A2B2E" w:rsidRPr="007548F6" w:rsidRDefault="003A2B2E" w:rsidP="003A2B2E">
      <w:pPr>
        <w:spacing w:after="120" w:line="276" w:lineRule="auto"/>
        <w:ind w:right="177" w:firstLine="708"/>
        <w:jc w:val="both"/>
        <w:rPr>
          <w:rFonts w:ascii="Verdana" w:eastAsia="Calibri" w:hAnsi="Verdana" w:cs="Arial"/>
          <w:bCs/>
          <w:lang w:val="es-ES" w:eastAsia="es-ES_tradnl"/>
        </w:rPr>
      </w:pPr>
      <w:r w:rsidRPr="007548F6">
        <w:rPr>
          <w:rFonts w:ascii="Verdana" w:eastAsia="Calibri" w:hAnsi="Verdana" w:cs="Arial"/>
          <w:bCs/>
          <w:lang w:val="es-ES" w:eastAsia="es-ES_tradnl"/>
        </w:rPr>
        <w:t>Sin embargo, s</w:t>
      </w:r>
      <w:r w:rsidRPr="00074318">
        <w:rPr>
          <w:rFonts w:ascii="Verdana" w:eastAsia="Calibri" w:hAnsi="Verdana" w:cs="Arial"/>
          <w:bCs/>
          <w:lang w:val="es-ES" w:eastAsia="es-ES_tradnl"/>
        </w:rPr>
        <w:t>i el reconocimiento del trato nacional exige la acreditación de condiciones o</w:t>
      </w:r>
      <w:r w:rsidRPr="007548F6">
        <w:rPr>
          <w:rFonts w:ascii="Verdana" w:eastAsia="Calibri" w:hAnsi="Verdana" w:cs="Arial"/>
          <w:bCs/>
          <w:lang w:val="es-ES" w:eastAsia="es-ES_tradnl"/>
        </w:rPr>
        <w:t xml:space="preserve"> que el proponente aporte </w:t>
      </w:r>
      <w:r w:rsidRPr="00074318">
        <w:rPr>
          <w:rFonts w:ascii="Verdana" w:eastAsia="Calibri" w:hAnsi="Verdana" w:cs="Arial"/>
          <w:bCs/>
          <w:lang w:val="es-ES" w:eastAsia="es-ES_tradnl"/>
        </w:rPr>
        <w:t>documentos que el pliego no contempló</w:t>
      </w:r>
      <w:r w:rsidRPr="007548F6">
        <w:rPr>
          <w:rFonts w:ascii="Verdana" w:eastAsia="Calibri" w:hAnsi="Verdana" w:cs="Arial"/>
          <w:bCs/>
          <w:lang w:val="es-ES" w:eastAsia="es-ES_tradnl"/>
        </w:rPr>
        <w:t>, corresponde a</w:t>
      </w:r>
      <w:r w:rsidRPr="00074318">
        <w:rPr>
          <w:rFonts w:ascii="Verdana" w:eastAsia="Calibri" w:hAnsi="Verdana" w:cs="Arial"/>
          <w:bCs/>
          <w:lang w:val="es-ES" w:eastAsia="es-ES_tradnl"/>
        </w:rPr>
        <w:t xml:space="preserve"> la entidad </w:t>
      </w:r>
      <w:r w:rsidRPr="007548F6">
        <w:rPr>
          <w:rFonts w:ascii="Verdana" w:eastAsia="Calibri" w:hAnsi="Verdana" w:cs="Arial"/>
          <w:bCs/>
          <w:lang w:val="es-ES" w:eastAsia="es-ES_tradnl"/>
        </w:rPr>
        <w:t xml:space="preserve">adoptar </w:t>
      </w:r>
      <w:r w:rsidRPr="00074318">
        <w:rPr>
          <w:rFonts w:ascii="Verdana" w:eastAsia="Calibri" w:hAnsi="Verdana" w:cs="Arial"/>
          <w:bCs/>
          <w:lang w:val="es-ES" w:eastAsia="es-ES_tradnl"/>
        </w:rPr>
        <w:t xml:space="preserve">las medidas procedimentales que permitan su aplicación sin sacrificar la igualdad ni el debido proceso. </w:t>
      </w:r>
      <w:r w:rsidRPr="007548F6">
        <w:rPr>
          <w:rFonts w:ascii="Verdana" w:eastAsia="Calibri" w:hAnsi="Verdana" w:cs="Arial"/>
          <w:bCs/>
          <w:lang w:val="es-ES" w:eastAsia="es-ES_tradnl"/>
        </w:rPr>
        <w:t xml:space="preserve">Así, por ejemplo, si el momento en el cual se encuentra es </w:t>
      </w:r>
      <w:r w:rsidRPr="00074318">
        <w:rPr>
          <w:rFonts w:ascii="Verdana" w:eastAsia="Calibri" w:hAnsi="Verdana" w:cs="Arial"/>
          <w:bCs/>
          <w:lang w:val="es-ES" w:eastAsia="es-ES_tradnl"/>
        </w:rPr>
        <w:t xml:space="preserve">antes del cierre, la vía natural </w:t>
      </w:r>
      <w:r w:rsidRPr="007548F6">
        <w:rPr>
          <w:rFonts w:ascii="Verdana" w:eastAsia="Calibri" w:hAnsi="Verdana" w:cs="Arial"/>
          <w:bCs/>
          <w:lang w:val="es-ES" w:eastAsia="es-ES_tradnl"/>
        </w:rPr>
        <w:t>será</w:t>
      </w:r>
      <w:r w:rsidRPr="00074318">
        <w:rPr>
          <w:rFonts w:ascii="Verdana" w:eastAsia="Calibri" w:hAnsi="Verdana" w:cs="Arial"/>
          <w:bCs/>
          <w:lang w:val="es-ES" w:eastAsia="es-ES_tradnl"/>
        </w:rPr>
        <w:t xml:space="preserve"> </w:t>
      </w:r>
      <w:r w:rsidRPr="007548F6">
        <w:rPr>
          <w:rFonts w:ascii="Verdana" w:eastAsia="Calibri" w:hAnsi="Verdana" w:cs="Arial"/>
          <w:bCs/>
          <w:lang w:val="es-ES" w:eastAsia="es-ES_tradnl"/>
        </w:rPr>
        <w:t>una</w:t>
      </w:r>
      <w:r w:rsidRPr="00074318">
        <w:rPr>
          <w:rFonts w:ascii="Verdana" w:eastAsia="Calibri" w:hAnsi="Verdana" w:cs="Arial"/>
          <w:bCs/>
          <w:lang w:val="es-ES" w:eastAsia="es-ES_tradnl"/>
        </w:rPr>
        <w:t xml:space="preserve"> adenda que incorpore el acuerdo, ajuste el mecanismo de acreditación y</w:t>
      </w:r>
      <w:r w:rsidRPr="007548F6">
        <w:rPr>
          <w:rFonts w:ascii="Verdana" w:eastAsia="Calibri" w:hAnsi="Verdana" w:cs="Arial"/>
          <w:bCs/>
          <w:lang w:val="es-ES" w:eastAsia="es-ES_tradnl"/>
        </w:rPr>
        <w:t xml:space="preserve"> </w:t>
      </w:r>
      <w:r w:rsidRPr="00074318">
        <w:rPr>
          <w:rFonts w:ascii="Verdana" w:eastAsia="Calibri" w:hAnsi="Verdana" w:cs="Arial"/>
          <w:bCs/>
          <w:lang w:val="es-ES" w:eastAsia="es-ES_tradnl"/>
        </w:rPr>
        <w:t>amplíe el cronograma si los plazos mínimos del acuerdo no se respetaron</w:t>
      </w:r>
      <w:r w:rsidRPr="007548F6">
        <w:rPr>
          <w:rFonts w:ascii="Verdana" w:eastAsia="Calibri" w:hAnsi="Verdana" w:cs="Arial"/>
          <w:bCs/>
          <w:lang w:val="es-ES" w:eastAsia="es-ES_tradnl"/>
        </w:rPr>
        <w:t xml:space="preserve">. Cuando la situación se evidencie </w:t>
      </w:r>
      <w:r w:rsidRPr="00074318">
        <w:rPr>
          <w:rFonts w:ascii="Verdana" w:eastAsia="Calibri" w:hAnsi="Verdana" w:cs="Arial"/>
          <w:bCs/>
          <w:lang w:val="es-ES" w:eastAsia="es-ES_tradnl"/>
        </w:rPr>
        <w:t xml:space="preserve">después del cierre, </w:t>
      </w:r>
      <w:r w:rsidRPr="007548F6">
        <w:rPr>
          <w:rFonts w:ascii="Verdana" w:eastAsia="Calibri" w:hAnsi="Verdana" w:cs="Arial"/>
          <w:bCs/>
          <w:lang w:val="es-ES" w:eastAsia="es-ES_tradnl"/>
        </w:rPr>
        <w:t xml:space="preserve">y </w:t>
      </w:r>
      <w:r w:rsidRPr="00074318">
        <w:rPr>
          <w:rFonts w:ascii="Verdana" w:eastAsia="Calibri" w:hAnsi="Verdana" w:cs="Arial"/>
          <w:bCs/>
          <w:lang w:val="es-ES" w:eastAsia="es-ES_tradnl"/>
        </w:rPr>
        <w:t xml:space="preserve">la acreditación depende de documentos que prueban circunstancias existentes al momento de </w:t>
      </w:r>
      <w:r w:rsidRPr="007548F6">
        <w:rPr>
          <w:rFonts w:ascii="Verdana" w:eastAsia="Calibri" w:hAnsi="Verdana" w:cs="Arial"/>
          <w:bCs/>
          <w:lang w:val="es-ES" w:eastAsia="es-ES_tradnl"/>
        </w:rPr>
        <w:t xml:space="preserve">presentar la </w:t>
      </w:r>
      <w:r w:rsidRPr="00074318">
        <w:rPr>
          <w:rFonts w:ascii="Verdana" w:eastAsia="Calibri" w:hAnsi="Verdana" w:cs="Arial"/>
          <w:bCs/>
          <w:lang w:val="es-ES" w:eastAsia="es-ES_tradnl"/>
        </w:rPr>
        <w:t xml:space="preserve">oferta, la entidad puede requerir </w:t>
      </w:r>
      <w:r w:rsidRPr="007548F6">
        <w:rPr>
          <w:rFonts w:ascii="Verdana" w:eastAsia="Calibri" w:hAnsi="Verdana" w:cs="Arial"/>
          <w:bCs/>
          <w:lang w:val="es-ES" w:eastAsia="es-ES_tradnl"/>
        </w:rPr>
        <w:t xml:space="preserve">al proponente para </w:t>
      </w:r>
      <w:r>
        <w:rPr>
          <w:rFonts w:ascii="Verdana" w:eastAsia="Calibri" w:hAnsi="Verdana" w:cs="Arial"/>
          <w:bCs/>
          <w:lang w:val="es-ES" w:eastAsia="es-ES_tradnl"/>
        </w:rPr>
        <w:t>q</w:t>
      </w:r>
      <w:r w:rsidRPr="007548F6">
        <w:rPr>
          <w:rFonts w:ascii="Verdana" w:eastAsia="Calibri" w:hAnsi="Verdana" w:cs="Arial"/>
          <w:bCs/>
          <w:lang w:val="es-ES" w:eastAsia="es-ES_tradnl"/>
        </w:rPr>
        <w:t xml:space="preserve">ue las aporte </w:t>
      </w:r>
      <w:r w:rsidRPr="00074318">
        <w:rPr>
          <w:rFonts w:ascii="Verdana" w:eastAsia="Calibri" w:hAnsi="Verdana" w:cs="Arial"/>
          <w:bCs/>
          <w:lang w:val="es-ES" w:eastAsia="es-ES_tradnl"/>
        </w:rPr>
        <w:t>en el marco de las reglas de subsanabilidad, teniendo presente la restricción del parágrafo 1º del artículo 5 de la Ley 1150 de 2007</w:t>
      </w:r>
      <w:r w:rsidRPr="007548F6">
        <w:rPr>
          <w:rFonts w:ascii="Verdana" w:eastAsia="Calibri" w:hAnsi="Verdana" w:cs="Arial"/>
          <w:bCs/>
          <w:lang w:val="es-ES" w:eastAsia="es-ES_tradnl"/>
        </w:rPr>
        <w:t xml:space="preserve">. </w:t>
      </w:r>
    </w:p>
    <w:p w14:paraId="741AA3FF" w14:textId="77777777" w:rsidR="003A2B2E" w:rsidRPr="007548F6" w:rsidRDefault="003A2B2E" w:rsidP="003A2B2E">
      <w:pPr>
        <w:spacing w:after="120" w:line="276" w:lineRule="auto"/>
        <w:ind w:right="177" w:firstLine="708"/>
        <w:jc w:val="both"/>
        <w:rPr>
          <w:rFonts w:ascii="Verdana" w:eastAsia="Calibri" w:hAnsi="Verdana" w:cs="Arial"/>
          <w:bCs/>
          <w:lang w:val="es-ES" w:eastAsia="es-ES_tradnl"/>
        </w:rPr>
      </w:pPr>
      <w:r w:rsidRPr="00B56EED">
        <w:rPr>
          <w:rFonts w:ascii="Verdana" w:eastAsia="Calibri" w:hAnsi="Verdana" w:cs="Arial"/>
          <w:bCs/>
          <w:lang w:val="es-ES" w:eastAsia="es-ES_tradnl"/>
        </w:rPr>
        <w:t xml:space="preserve">Si la omisión </w:t>
      </w:r>
      <w:r w:rsidRPr="007548F6">
        <w:rPr>
          <w:rFonts w:ascii="Verdana" w:eastAsia="Calibri" w:hAnsi="Verdana" w:cs="Arial"/>
          <w:bCs/>
          <w:lang w:val="es-ES" w:eastAsia="es-ES_tradnl"/>
        </w:rPr>
        <w:t xml:space="preserve">del acuerdo compromete </w:t>
      </w:r>
      <w:r w:rsidRPr="00B56EED">
        <w:rPr>
          <w:rFonts w:ascii="Verdana" w:eastAsia="Calibri" w:hAnsi="Verdana" w:cs="Arial"/>
          <w:bCs/>
          <w:lang w:val="es-ES" w:eastAsia="es-ES_tradnl"/>
        </w:rPr>
        <w:t>el proceso, la entidad deberá acudir a las medidas remediales o de saneamiento</w:t>
      </w:r>
      <w:r w:rsidRPr="007548F6">
        <w:rPr>
          <w:rStyle w:val="FootnoteReference"/>
          <w:rFonts w:ascii="Verdana" w:eastAsia="Calibri" w:hAnsi="Verdana" w:cs="Arial"/>
          <w:bCs/>
          <w:lang w:val="es-ES" w:eastAsia="es-ES_tradnl"/>
        </w:rPr>
        <w:footnoteReference w:id="5"/>
      </w:r>
      <w:r w:rsidRPr="007548F6">
        <w:rPr>
          <w:rFonts w:ascii="Verdana" w:eastAsia="Calibri" w:hAnsi="Verdana" w:cs="Arial"/>
          <w:bCs/>
          <w:lang w:val="es-ES" w:eastAsia="es-ES_tradnl"/>
        </w:rPr>
        <w:t xml:space="preserve"> que puedan resultar </w:t>
      </w:r>
      <w:r w:rsidRPr="007548F6">
        <w:rPr>
          <w:rFonts w:ascii="Verdana" w:eastAsia="Calibri" w:hAnsi="Verdana" w:cs="Arial"/>
          <w:bCs/>
          <w:lang w:val="es-ES" w:eastAsia="es-ES_tradnl"/>
        </w:rPr>
        <w:lastRenderedPageBreak/>
        <w:t xml:space="preserve">adecuadas, </w:t>
      </w:r>
      <w:r w:rsidRPr="00B56EED">
        <w:rPr>
          <w:rFonts w:ascii="Verdana" w:eastAsia="Calibri" w:hAnsi="Verdana" w:cs="Arial"/>
          <w:bCs/>
          <w:lang w:val="es-ES" w:eastAsia="es-ES_tradnl"/>
        </w:rPr>
        <w:t xml:space="preserve">en lugar de una aplicación directa </w:t>
      </w:r>
      <w:r w:rsidRPr="007548F6">
        <w:rPr>
          <w:rFonts w:ascii="Verdana" w:eastAsia="Calibri" w:hAnsi="Verdana" w:cs="Arial"/>
          <w:bCs/>
          <w:lang w:val="es-ES" w:eastAsia="es-ES_tradnl"/>
        </w:rPr>
        <w:t xml:space="preserve">del tratado </w:t>
      </w:r>
      <w:r w:rsidRPr="00B56EED">
        <w:rPr>
          <w:rFonts w:ascii="Verdana" w:eastAsia="Calibri" w:hAnsi="Verdana" w:cs="Arial"/>
          <w:bCs/>
          <w:lang w:val="es-ES" w:eastAsia="es-ES_tradnl"/>
        </w:rPr>
        <w:t xml:space="preserve">que resulte materialmente inviable o lesiva </w:t>
      </w:r>
      <w:r w:rsidRPr="007548F6">
        <w:rPr>
          <w:rFonts w:ascii="Verdana" w:eastAsia="Calibri" w:hAnsi="Verdana" w:cs="Arial"/>
          <w:bCs/>
          <w:lang w:val="es-ES" w:eastAsia="es-ES_tradnl"/>
        </w:rPr>
        <w:t>a la</w:t>
      </w:r>
      <w:r w:rsidRPr="00B56EED">
        <w:rPr>
          <w:rFonts w:ascii="Verdana" w:eastAsia="Calibri" w:hAnsi="Verdana" w:cs="Arial"/>
          <w:bCs/>
          <w:lang w:val="es-ES" w:eastAsia="es-ES_tradnl"/>
        </w:rPr>
        <w:t xml:space="preserve"> igualdad.</w:t>
      </w:r>
      <w:r w:rsidRPr="007548F6">
        <w:rPr>
          <w:rFonts w:ascii="Verdana" w:eastAsia="Calibri" w:hAnsi="Verdana" w:cs="Arial"/>
          <w:bCs/>
          <w:lang w:val="es-ES" w:eastAsia="es-ES_tradnl"/>
        </w:rPr>
        <w:t xml:space="preserve"> En cualquier supuesto, corresponde a la entidad determinar las medidas que puede adoptar para lograr armonizar la aplicación del Acuerdo con el pliego de condiciones en cumplimiento del marco jurídico y de los principios que rigen su actividad contractual. </w:t>
      </w:r>
    </w:p>
    <w:p w14:paraId="3D12588F" w14:textId="77777777" w:rsidR="003A2B2E" w:rsidRPr="007548F6" w:rsidRDefault="003A2B2E" w:rsidP="003A2B2E">
      <w:pPr>
        <w:spacing w:before="120" w:after="0" w:line="276" w:lineRule="auto"/>
        <w:ind w:firstLine="708"/>
        <w:jc w:val="both"/>
        <w:rPr>
          <w:rFonts w:ascii="Verdana" w:eastAsia="Calibri" w:hAnsi="Verdana" w:cs="Arial"/>
          <w:bCs/>
          <w:color w:val="000000"/>
          <w:lang w:val="es-ES"/>
        </w:rPr>
      </w:pPr>
      <w:r w:rsidRPr="007548F6">
        <w:rPr>
          <w:rFonts w:ascii="Verdana" w:hAnsi="Verdana" w:cs="Arial"/>
          <w:bCs/>
          <w:lang w:val="es-ES" w:eastAsia="es-ES"/>
        </w:rPr>
        <w:t>Al margen de la explicación precedente debe advertirse que el análisis requerido para resolver problemas específicos en torno a la gestión contractual debe ser realizado por quienes tengan interés en ello, de acuerdo con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y, en caso de conflicto, a las autoridades judiciales, fiscales y disciplinarias.</w:t>
      </w:r>
      <w:r w:rsidRPr="007548F6">
        <w:rPr>
          <w:rFonts w:ascii="Verdana" w:eastAsia="Arial" w:hAnsi="Verdana" w:cs="Arial"/>
          <w:bCs/>
          <w:lang w:val="es-ES"/>
        </w:rPr>
        <w:t xml:space="preserve"> </w:t>
      </w:r>
    </w:p>
    <w:p w14:paraId="03DC4796" w14:textId="77777777" w:rsidR="003A2B2E" w:rsidRPr="007548F6" w:rsidRDefault="003A2B2E" w:rsidP="003A2B2E">
      <w:pPr>
        <w:spacing w:before="120" w:after="0" w:line="276" w:lineRule="auto"/>
        <w:ind w:firstLine="709"/>
        <w:jc w:val="both"/>
        <w:rPr>
          <w:rFonts w:ascii="Verdana" w:hAnsi="Verdana" w:cs="Arial"/>
          <w:lang w:val="es-ES" w:eastAsia="es-ES"/>
        </w:rPr>
      </w:pPr>
      <w:r w:rsidRPr="007548F6">
        <w:rPr>
          <w:rFonts w:ascii="Verdana" w:hAnsi="Verdana" w:cs="Arial"/>
          <w:bCs/>
          <w:lang w:val="es-ES" w:eastAsia="es-ES"/>
        </w:rPr>
        <w:t>Dentro de este marco, la entidad contratante definirá en cada caso concreto lo relacionado con el tema objeto de consulta. Al</w:t>
      </w:r>
      <w:r w:rsidRPr="007548F6">
        <w:rPr>
          <w:rFonts w:ascii="Verdana" w:hAnsi="Verdana" w:cs="Arial"/>
          <w:lang w:val="es-ES" w:eastAsia="es-ES"/>
        </w:rPr>
        <w:t xml:space="preserve">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De esta manera, cada entidad definirá la forma de adelantar su gestión contractual, sin que sea atribución de Colombia Compra Eficiente validar sus actuaciones.</w:t>
      </w:r>
    </w:p>
    <w:p w14:paraId="34B2EC9B" w14:textId="77777777" w:rsidR="003A2B2E" w:rsidRPr="007548F6" w:rsidRDefault="003A2B2E" w:rsidP="003A2B2E">
      <w:pPr>
        <w:spacing w:after="0" w:line="276" w:lineRule="auto"/>
        <w:ind w:firstLine="708"/>
        <w:jc w:val="both"/>
        <w:rPr>
          <w:rFonts w:ascii="Verdana" w:hAnsi="Verdana" w:cs="Arial"/>
          <w:lang w:val="es-ES"/>
        </w:rPr>
      </w:pPr>
    </w:p>
    <w:p w14:paraId="4F2BC91B" w14:textId="77777777" w:rsidR="003A2B2E" w:rsidRPr="007548F6" w:rsidRDefault="003A2B2E" w:rsidP="003A2B2E">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7548F6">
        <w:rPr>
          <w:rFonts w:ascii="Verdana" w:eastAsia="Century Gothic" w:hAnsi="Verdana" w:cs="Century Gothic"/>
          <w:b/>
          <w:bCs/>
          <w:color w:val="000000" w:themeColor="text1"/>
        </w:rPr>
        <w:t>Referencias normativas, jurisprudenciales y otras fuentes:</w:t>
      </w:r>
    </w:p>
    <w:p w14:paraId="5DCEDFA2" w14:textId="77777777" w:rsidR="003A2B2E" w:rsidRPr="007548F6" w:rsidRDefault="003A2B2E" w:rsidP="003A2B2E">
      <w:pPr>
        <w:pStyle w:val="ListParagraph"/>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eGrid"/>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3A2B2E" w:rsidRPr="007548F6" w14:paraId="0870E044" w14:textId="77777777" w:rsidTr="00EA669F">
        <w:trPr>
          <w:trHeight w:val="870"/>
        </w:trPr>
        <w:tc>
          <w:tcPr>
            <w:tcW w:w="8647" w:type="dxa"/>
          </w:tcPr>
          <w:p w14:paraId="646626FC" w14:textId="77777777" w:rsidR="003A2B2E" w:rsidRPr="001D37B6" w:rsidRDefault="003A2B2E" w:rsidP="003A2B2E">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1D37B6">
              <w:rPr>
                <w:rFonts w:ascii="Verdana" w:eastAsia="Calibri" w:hAnsi="Verdana" w:cs="Arial"/>
                <w:color w:val="000000" w:themeColor="text1"/>
                <w:lang w:val="es-ES"/>
              </w:rPr>
              <w:lastRenderedPageBreak/>
              <w:t>Ley 80 de 1993, artículo 49.</w:t>
            </w:r>
          </w:p>
          <w:p w14:paraId="3DF28948" w14:textId="77777777" w:rsidR="003A2B2E" w:rsidRPr="001D37B6" w:rsidRDefault="003A2B2E" w:rsidP="003A2B2E">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1D37B6">
              <w:rPr>
                <w:rFonts w:ascii="Verdana" w:eastAsia="Calibri" w:hAnsi="Verdana" w:cs="Arial"/>
                <w:color w:val="000000" w:themeColor="text1"/>
                <w:lang w:val="es-ES"/>
              </w:rPr>
              <w:t>Ley 816 de 2003, artículos 1 y 2.</w:t>
            </w:r>
          </w:p>
          <w:p w14:paraId="1C89730A" w14:textId="77777777" w:rsidR="003A2B2E" w:rsidRPr="001D37B6" w:rsidRDefault="003A2B2E" w:rsidP="003A2B2E">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1D37B6">
              <w:rPr>
                <w:rFonts w:ascii="Verdana" w:eastAsia="Calibri" w:hAnsi="Verdana" w:cs="Arial"/>
                <w:color w:val="000000" w:themeColor="text1"/>
                <w:lang w:val="es-ES"/>
              </w:rPr>
              <w:t>Ley 1150 de 2007, artículo 5, parágrafo 1º.</w:t>
            </w:r>
          </w:p>
          <w:p w14:paraId="600EFEFA" w14:textId="77777777" w:rsidR="003A2B2E" w:rsidRPr="007548F6" w:rsidRDefault="003A2B2E" w:rsidP="003A2B2E">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1D37B6">
              <w:rPr>
                <w:rFonts w:ascii="Verdana" w:eastAsia="Calibri" w:hAnsi="Verdana" w:cs="Arial"/>
                <w:color w:val="000000" w:themeColor="text1"/>
                <w:lang w:val="es-ES"/>
              </w:rPr>
              <w:t>Ley 1437 de 2011, artículo 137.</w:t>
            </w:r>
          </w:p>
          <w:p w14:paraId="3A58AD70" w14:textId="77777777" w:rsidR="003A2B2E" w:rsidRPr="007548F6" w:rsidRDefault="003A2B2E" w:rsidP="003A2B2E">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7548F6">
              <w:rPr>
                <w:rFonts w:ascii="Verdana" w:eastAsia="Calibri" w:hAnsi="Verdana" w:cs="Arial"/>
                <w:color w:val="000000" w:themeColor="text1"/>
                <w:lang w:val="es-ES"/>
              </w:rPr>
              <w:t>Decreto Ley 210 de 2003, artículo 19, numeral 1.</w:t>
            </w:r>
          </w:p>
          <w:p w14:paraId="77027BC0" w14:textId="77777777" w:rsidR="003A2B2E" w:rsidRPr="007548F6" w:rsidRDefault="003A2B2E" w:rsidP="003A2B2E">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7548F6">
              <w:rPr>
                <w:rFonts w:ascii="Verdana" w:eastAsia="Calibri" w:hAnsi="Verdana" w:cs="Arial"/>
                <w:color w:val="000000" w:themeColor="text1"/>
                <w:lang w:val="es-ES"/>
              </w:rPr>
              <w:t>Decreto 2680 de 2009, artículo 1.</w:t>
            </w:r>
          </w:p>
          <w:p w14:paraId="35525B54" w14:textId="77777777" w:rsidR="003A2B2E" w:rsidRPr="007548F6" w:rsidRDefault="003A2B2E" w:rsidP="003A2B2E">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7548F6">
              <w:rPr>
                <w:rFonts w:ascii="Verdana" w:eastAsia="Calibri" w:hAnsi="Verdana" w:cs="Arial"/>
                <w:color w:val="000000" w:themeColor="text1"/>
                <w:lang w:val="es-ES"/>
              </w:rPr>
              <w:t>Decreto 1082 de 2015, artículos 2.2.1.1.1.3.1, 2.2.1.2.4.1.1, 2.2.1.2.4.1.3 y 2.2.1.2.4.2.9.</w:t>
            </w:r>
          </w:p>
          <w:p w14:paraId="3386729E" w14:textId="77777777" w:rsidR="003A2B2E" w:rsidRPr="007548F6" w:rsidRDefault="003A2B2E" w:rsidP="003A2B2E">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7548F6">
              <w:rPr>
                <w:rFonts w:ascii="Verdana" w:eastAsia="Calibri" w:hAnsi="Verdana" w:cs="Arial"/>
                <w:color w:val="000000" w:themeColor="text1"/>
                <w:lang w:val="es-ES"/>
              </w:rPr>
              <w:t>Decreto 680 de 2021, artículos 1 y 2.</w:t>
            </w:r>
          </w:p>
          <w:p w14:paraId="47E7EDB7" w14:textId="77777777" w:rsidR="003A2B2E" w:rsidRPr="007548F6" w:rsidRDefault="003A2B2E" w:rsidP="003A2B2E">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1D37B6">
              <w:rPr>
                <w:rFonts w:ascii="Verdana" w:eastAsia="Calibri" w:hAnsi="Verdana" w:cs="Arial"/>
                <w:color w:val="000000" w:themeColor="text1"/>
                <w:lang w:val="es-ES"/>
              </w:rPr>
              <w:t xml:space="preserve">Resolución 331 de 2010 del Ministerio de Comercio, Industria y Turismo, artículo 1. </w:t>
            </w:r>
          </w:p>
          <w:p w14:paraId="279768EA" w14:textId="77777777" w:rsidR="003A2B2E" w:rsidRPr="007548F6" w:rsidRDefault="003A2B2E" w:rsidP="003A2B2E">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7548F6">
              <w:rPr>
                <w:rFonts w:ascii="Verdana" w:eastAsia="Calibri" w:hAnsi="Verdana" w:cs="Arial"/>
                <w:color w:val="000000" w:themeColor="text1"/>
                <w:lang w:val="es-ES"/>
              </w:rPr>
              <w:t>Resolución 304 de 2021 de la ANCP – Colombia Compra Eficiente.</w:t>
            </w:r>
          </w:p>
          <w:p w14:paraId="76A08DE7" w14:textId="77777777" w:rsidR="003A2B2E" w:rsidRPr="007548F6" w:rsidRDefault="003A2B2E" w:rsidP="003A2B2E">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7548F6">
              <w:rPr>
                <w:rFonts w:ascii="Verdana" w:eastAsia="Calibri" w:hAnsi="Verdana" w:cs="Arial"/>
                <w:color w:val="000000" w:themeColor="text1"/>
                <w:lang w:val="es-ES"/>
              </w:rPr>
              <w:t xml:space="preserve">ANCP – Colombia Compra Eficiente. </w:t>
            </w:r>
            <w:r w:rsidRPr="007548F6">
              <w:rPr>
                <w:rFonts w:ascii="Verdana" w:eastAsia="Calibri" w:hAnsi="Verdana" w:cs="Arial"/>
                <w:i/>
                <w:iCs/>
                <w:color w:val="000000" w:themeColor="text1"/>
                <w:lang w:val="es-ES"/>
              </w:rPr>
              <w:t>Manual para el manejo de los Acuerdos Comerciales en Procesos de Contratación</w:t>
            </w:r>
            <w:r w:rsidRPr="007548F6">
              <w:rPr>
                <w:rFonts w:ascii="Verdana" w:eastAsia="Calibri" w:hAnsi="Verdana" w:cs="Arial"/>
                <w:color w:val="000000" w:themeColor="text1"/>
                <w:lang w:val="es-ES"/>
              </w:rPr>
              <w:t>, p. 10.</w:t>
            </w:r>
          </w:p>
        </w:tc>
      </w:tr>
    </w:tbl>
    <w:p w14:paraId="6D58423A" w14:textId="77777777" w:rsidR="003A2B2E" w:rsidRPr="007548F6" w:rsidRDefault="003A2B2E" w:rsidP="003A2B2E">
      <w:pPr>
        <w:widowControl w:val="0"/>
        <w:autoSpaceDE w:val="0"/>
        <w:autoSpaceDN w:val="0"/>
        <w:spacing w:after="0" w:line="276" w:lineRule="auto"/>
        <w:jc w:val="both"/>
        <w:rPr>
          <w:rFonts w:ascii="Verdana" w:hAnsi="Verdana" w:cs="Arial"/>
          <w:color w:val="000000" w:themeColor="text1"/>
          <w:lang w:val="es-ES"/>
        </w:rPr>
      </w:pPr>
    </w:p>
    <w:p w14:paraId="6DF1ADBE" w14:textId="77777777" w:rsidR="003A2B2E" w:rsidRPr="007548F6" w:rsidRDefault="003A2B2E" w:rsidP="003A2B2E">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7548F6">
        <w:rPr>
          <w:rFonts w:ascii="Verdana" w:eastAsia="Century Gothic" w:hAnsi="Verdana" w:cs="Century Gothic"/>
          <w:b/>
          <w:bCs/>
          <w:color w:val="000000" w:themeColor="text1"/>
        </w:rPr>
        <w:t>Doctrina de la Agencia Nacional de Contratación Pública:</w:t>
      </w:r>
    </w:p>
    <w:p w14:paraId="6BA349D5" w14:textId="77777777" w:rsidR="003A2B2E" w:rsidRPr="007548F6" w:rsidRDefault="003A2B2E" w:rsidP="003A2B2E">
      <w:pPr>
        <w:widowControl w:val="0"/>
        <w:autoSpaceDE w:val="0"/>
        <w:autoSpaceDN w:val="0"/>
        <w:spacing w:after="0" w:line="276" w:lineRule="auto"/>
        <w:jc w:val="both"/>
        <w:rPr>
          <w:rFonts w:ascii="Verdana" w:hAnsi="Verdana" w:cs="Arial"/>
          <w:color w:val="000000" w:themeColor="text1"/>
          <w:lang w:val="es-ES"/>
        </w:rPr>
      </w:pPr>
    </w:p>
    <w:p w14:paraId="72545B4D" w14:textId="77777777" w:rsidR="003A2B2E" w:rsidRPr="007548F6" w:rsidRDefault="003A2B2E" w:rsidP="003A2B2E">
      <w:pPr>
        <w:spacing w:before="100" w:beforeAutospacing="1" w:after="100" w:afterAutospacing="1"/>
        <w:jc w:val="both"/>
        <w:rPr>
          <w:rStyle w:val="normaltextrun"/>
          <w:rFonts w:ascii="Verdana" w:eastAsia="Calibri" w:hAnsi="Verdana" w:cs="Arial"/>
          <w:b/>
          <w:bCs/>
          <w:sz w:val="24"/>
          <w:szCs w:val="24"/>
          <w:lang w:val="es-ES" w:eastAsia="es-ES"/>
        </w:rPr>
      </w:pPr>
      <w:r w:rsidRPr="007548F6">
        <w:rPr>
          <w:rStyle w:val="normaltextrun"/>
          <w:rFonts w:ascii="Verdana" w:hAnsi="Verdana" w:cs="Arial"/>
          <w:color w:val="000000" w:themeColor="text1"/>
          <w:shd w:val="clear" w:color="auto" w:fill="FFFFFF"/>
          <w:lang w:val="es-ES"/>
        </w:rPr>
        <w:t xml:space="preserve">La Agencia Nacional de Contratación Pública – Colombia Compra Eficiente se ha pronunciado </w:t>
      </w:r>
      <w:r w:rsidRPr="007548F6">
        <w:rPr>
          <w:rStyle w:val="normaltextrun"/>
          <w:rFonts w:ascii="Verdana" w:hAnsi="Verdana"/>
          <w:color w:val="000000" w:themeColor="text1"/>
          <w:shd w:val="clear" w:color="auto" w:fill="FFFFFF"/>
          <w:lang w:val="es-ES"/>
        </w:rPr>
        <w:t>sobre</w:t>
      </w:r>
      <w:r w:rsidRPr="007548F6">
        <w:rPr>
          <w:rFonts w:ascii="Verdana" w:hAnsi="Verdana" w:cs="Arial"/>
          <w:color w:val="000000" w:themeColor="text1"/>
          <w:shd w:val="clear" w:color="auto" w:fill="FFFFFF"/>
          <w:lang w:val="es-ES"/>
        </w:rPr>
        <w:t xml:space="preserve"> la aplicación del Decreto 680 de 2021 y el otorgamiento del puntaje por apoyo a la industria nacional en los procedimientos de selección en los conceptos C-442 del 26 de agosto de 2021, C-542 del 20 de octubre de 2021, C-549 del 5 de noviembre de 2021, C-020 del 22 de febrero de 2022, C-219 del 21 de abril de 2022, C-265 del 4 de abril de 2022. Asimismo, la Agencia explicó la aplicación de la Resolución 304 de 2021 “Por la cual se modifican los Documentos Tipo adoptados por la Agencia Nacional de Contratación Pública – Colombia Compra Eficiente” en los conceptos C-549 del 5 de noviembre de 2021, C-647 del 22 de noviembre de 2021, C-688 del 4 de enero de 2022, C-166 del 5 de abril de 2022, C-196 del 13 de abril de 2022, C-201 del 13 de abril de 2022, C-327 del 23 de mayo de 2022, C-352 del 2 de junio de 2022, C-396 del 15 de junio de 2022 y C-571 del 14 de septiembre de 2023, C-543 del 11 de octubre de 2024, Concepto C- 1032 del 04 de febrero de 2025, C- 100 del 05 de marzo de 2026, entre otros</w:t>
      </w:r>
      <w:r w:rsidRPr="007548F6">
        <w:rPr>
          <w:rFonts w:ascii="Verdana" w:hAnsi="Verdana"/>
          <w:lang w:val="es-ES"/>
        </w:rPr>
        <w:t>. Estos y otros conceptos se encuentran disponibles para consulta en</w:t>
      </w:r>
      <w:r w:rsidRPr="007548F6">
        <w:rPr>
          <w:rStyle w:val="normaltextrun"/>
          <w:rFonts w:ascii="Verdana" w:hAnsi="Verdana" w:cs="Arial"/>
          <w:color w:val="000000" w:themeColor="text1"/>
          <w:shd w:val="clear" w:color="auto" w:fill="FFFFFF"/>
          <w:lang w:val="es-ES"/>
        </w:rPr>
        <w:t xml:space="preserve"> el Sistema de relatoría de la Agencia, al cual puede accederse a </w:t>
      </w:r>
      <w:r w:rsidRPr="007548F6">
        <w:rPr>
          <w:rStyle w:val="normaltextrun"/>
          <w:rFonts w:ascii="Verdana" w:hAnsi="Verdana" w:cs="Arial"/>
          <w:color w:val="000000" w:themeColor="text1"/>
          <w:shd w:val="clear" w:color="auto" w:fill="FFFFFF"/>
          <w:lang w:val="es-ES"/>
        </w:rPr>
        <w:lastRenderedPageBreak/>
        <w:t xml:space="preserve">través del siguiente enlace: </w:t>
      </w:r>
      <w:hyperlink r:id="rId12" w:history="1">
        <w:r w:rsidRPr="007548F6">
          <w:rPr>
            <w:rStyle w:val="Hyperlink"/>
            <w:rFonts w:ascii="Verdana" w:hAnsi="Verdana" w:cs="Arial"/>
            <w:shd w:val="clear" w:color="auto" w:fill="FFFFFF"/>
            <w:lang w:val="es-ES"/>
          </w:rPr>
          <w:t>https://relatoria.colombiacompra.gov.co/busqueda/conceptos</w:t>
        </w:r>
      </w:hyperlink>
      <w:r w:rsidRPr="007548F6">
        <w:rPr>
          <w:rStyle w:val="normaltextrun"/>
          <w:rFonts w:ascii="Verdana" w:hAnsi="Verdana" w:cs="Arial"/>
          <w:shd w:val="clear" w:color="auto" w:fill="FFFFFF"/>
          <w:lang w:val="es-ES"/>
        </w:rPr>
        <w:t>.</w:t>
      </w:r>
      <w:r w:rsidRPr="007548F6">
        <w:rPr>
          <w:rStyle w:val="normaltextrun"/>
          <w:rFonts w:ascii="Verdana" w:hAnsi="Verdana" w:cs="Arial"/>
          <w:color w:val="FF0000"/>
          <w:shd w:val="clear" w:color="auto" w:fill="FFFFFF"/>
          <w:lang w:val="es-ES"/>
        </w:rPr>
        <w:t xml:space="preserve"> </w:t>
      </w:r>
    </w:p>
    <w:p w14:paraId="293F7A9B" w14:textId="77777777" w:rsidR="003A2B2E" w:rsidRPr="007548F6" w:rsidRDefault="003A2B2E" w:rsidP="003A2B2E">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034F59DD" w14:textId="77777777" w:rsidR="003A2B2E" w:rsidRPr="007548F6" w:rsidRDefault="003A2B2E" w:rsidP="003A2B2E">
      <w:pPr>
        <w:spacing w:after="0" w:line="276" w:lineRule="auto"/>
        <w:jc w:val="both"/>
        <w:rPr>
          <w:rFonts w:ascii="Verdana" w:hAnsi="Verdana"/>
          <w:lang w:val="es-ES"/>
        </w:rPr>
      </w:pPr>
      <w:r w:rsidRPr="007548F6">
        <w:rPr>
          <w:rFonts w:ascii="Verdana" w:hAnsi="Verdana"/>
          <w:lang w:val="es-ES"/>
        </w:rPr>
        <w:t xml:space="preserve">Por último, lo invitamos a seguirnos en las redes sociales en las cuales se difunde información institucional: </w:t>
      </w:r>
    </w:p>
    <w:p w14:paraId="163726B0" w14:textId="77777777" w:rsidR="003A2B2E" w:rsidRPr="007548F6" w:rsidRDefault="003A2B2E" w:rsidP="003A2B2E">
      <w:pPr>
        <w:spacing w:after="0" w:line="276" w:lineRule="auto"/>
        <w:jc w:val="both"/>
        <w:rPr>
          <w:rFonts w:ascii="Verdana" w:hAnsi="Verdana"/>
          <w:lang w:val="es-ES"/>
        </w:rPr>
      </w:pPr>
    </w:p>
    <w:p w14:paraId="5CD3F8A4" w14:textId="77777777" w:rsidR="003A2B2E" w:rsidRPr="007548F6" w:rsidRDefault="003A2B2E" w:rsidP="003A2B2E">
      <w:pPr>
        <w:spacing w:after="0" w:line="276" w:lineRule="auto"/>
        <w:jc w:val="both"/>
        <w:rPr>
          <w:rFonts w:ascii="Verdana" w:hAnsi="Verdana"/>
          <w:lang w:val="es-ES"/>
        </w:rPr>
      </w:pPr>
      <w:r w:rsidRPr="007548F6">
        <w:rPr>
          <w:rFonts w:ascii="Verdana" w:hAnsi="Verdana"/>
          <w:lang w:val="es-ES"/>
        </w:rPr>
        <w:t xml:space="preserve">Twitter: </w:t>
      </w:r>
      <w:r w:rsidRPr="007548F6">
        <w:rPr>
          <w:rStyle w:val="Hyperlink"/>
          <w:rFonts w:ascii="Verdana" w:hAnsi="Verdana" w:cs="Arial"/>
          <w:shd w:val="clear" w:color="auto" w:fill="FFFFFF"/>
          <w:lang w:val="es-ES"/>
        </w:rPr>
        <w:t>@colombiacompra</w:t>
      </w:r>
      <w:r w:rsidRPr="007548F6">
        <w:rPr>
          <w:rFonts w:ascii="Verdana" w:hAnsi="Verdana"/>
          <w:color w:val="4472C4" w:themeColor="accent1"/>
          <w:lang w:val="es-ES"/>
        </w:rPr>
        <w:t xml:space="preserve"> </w:t>
      </w:r>
    </w:p>
    <w:p w14:paraId="4AF6A017" w14:textId="77777777" w:rsidR="003A2B2E" w:rsidRPr="007548F6" w:rsidRDefault="003A2B2E" w:rsidP="003A2B2E">
      <w:pPr>
        <w:spacing w:after="0" w:line="276" w:lineRule="auto"/>
        <w:jc w:val="both"/>
        <w:rPr>
          <w:rFonts w:ascii="Verdana" w:hAnsi="Verdana"/>
          <w:lang w:val="es-ES"/>
        </w:rPr>
      </w:pPr>
      <w:r w:rsidRPr="007548F6">
        <w:rPr>
          <w:rFonts w:ascii="Verdana" w:hAnsi="Verdana"/>
          <w:lang w:val="es-ES"/>
        </w:rPr>
        <w:t xml:space="preserve">Facebook: </w:t>
      </w:r>
      <w:proofErr w:type="spellStart"/>
      <w:r w:rsidRPr="007548F6">
        <w:rPr>
          <w:rStyle w:val="Hyperlink"/>
          <w:rFonts w:ascii="Verdana" w:hAnsi="Verdana" w:cs="Arial"/>
          <w:shd w:val="clear" w:color="auto" w:fill="FFFFFF"/>
          <w:lang w:val="es-ES"/>
        </w:rPr>
        <w:t>ColombiaCompraEficiente</w:t>
      </w:r>
      <w:proofErr w:type="spellEnd"/>
    </w:p>
    <w:p w14:paraId="72687D80" w14:textId="77777777" w:rsidR="003A2B2E" w:rsidRPr="007548F6" w:rsidRDefault="003A2B2E" w:rsidP="003A2B2E">
      <w:pPr>
        <w:spacing w:after="0" w:line="276" w:lineRule="auto"/>
        <w:jc w:val="both"/>
        <w:rPr>
          <w:rFonts w:ascii="Verdana" w:hAnsi="Verdana"/>
          <w:lang w:val="es-ES"/>
        </w:rPr>
      </w:pPr>
      <w:r w:rsidRPr="007548F6">
        <w:rPr>
          <w:rFonts w:ascii="Verdana" w:hAnsi="Verdana"/>
          <w:lang w:val="es-ES"/>
        </w:rPr>
        <w:t xml:space="preserve">LinkedIn: </w:t>
      </w:r>
      <w:r w:rsidRPr="007548F6">
        <w:rPr>
          <w:rStyle w:val="Hyperlink"/>
          <w:rFonts w:ascii="Verdana" w:hAnsi="Verdana" w:cs="Arial"/>
          <w:shd w:val="clear" w:color="auto" w:fill="FFFFFF"/>
          <w:lang w:val="es-ES"/>
        </w:rPr>
        <w:t xml:space="preserve">Agencia Nacional de Contratación Pública - Colombia Compra Eficiente </w:t>
      </w:r>
      <w:r w:rsidRPr="007548F6">
        <w:rPr>
          <w:rFonts w:ascii="Verdana" w:hAnsi="Verdana"/>
          <w:lang w:val="es-ES"/>
        </w:rPr>
        <w:t xml:space="preserve">Instagram: </w:t>
      </w:r>
      <w:r w:rsidRPr="007548F6">
        <w:rPr>
          <w:rStyle w:val="Hyperlink"/>
          <w:rFonts w:ascii="Verdana" w:hAnsi="Verdana" w:cs="Arial"/>
          <w:shd w:val="clear" w:color="auto" w:fill="FFFFFF"/>
          <w:lang w:val="es-ES"/>
        </w:rPr>
        <w:t>@colombiacompraeficiente_cce</w:t>
      </w:r>
    </w:p>
    <w:p w14:paraId="2DA38DF7" w14:textId="77777777" w:rsidR="003A2B2E" w:rsidRPr="007548F6" w:rsidRDefault="003A2B2E" w:rsidP="003A2B2E">
      <w:pPr>
        <w:widowControl w:val="0"/>
        <w:autoSpaceDE w:val="0"/>
        <w:autoSpaceDN w:val="0"/>
        <w:spacing w:after="0" w:line="276" w:lineRule="auto"/>
        <w:jc w:val="both"/>
        <w:rPr>
          <w:rFonts w:ascii="Verdana" w:hAnsi="Verdana" w:cs="Arial"/>
          <w:color w:val="000000" w:themeColor="text1"/>
          <w:lang w:val="es-ES"/>
        </w:rPr>
      </w:pPr>
    </w:p>
    <w:p w14:paraId="7689F6F2" w14:textId="77777777" w:rsidR="003A2B2E" w:rsidRPr="007548F6" w:rsidRDefault="003A2B2E" w:rsidP="003A2B2E">
      <w:pPr>
        <w:widowControl w:val="0"/>
        <w:autoSpaceDE w:val="0"/>
        <w:autoSpaceDN w:val="0"/>
        <w:spacing w:after="0" w:line="276" w:lineRule="auto"/>
        <w:jc w:val="both"/>
        <w:rPr>
          <w:rFonts w:ascii="Verdana" w:hAnsi="Verdana" w:cs="Arial"/>
          <w:color w:val="000000" w:themeColor="text1"/>
          <w:lang w:val="es-ES"/>
        </w:rPr>
      </w:pPr>
      <w:r w:rsidRPr="007548F6">
        <w:rPr>
          <w:rFonts w:ascii="Verdana" w:hAnsi="Verdana" w:cs="Arial"/>
          <w:color w:val="000000" w:themeColor="text1"/>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25D3A74A" w14:textId="77777777" w:rsidR="003A2B2E" w:rsidRPr="007548F6" w:rsidRDefault="003A2B2E" w:rsidP="003A2B2E">
      <w:pPr>
        <w:widowControl w:val="0"/>
        <w:autoSpaceDE w:val="0"/>
        <w:autoSpaceDN w:val="0"/>
        <w:spacing w:after="0" w:line="276" w:lineRule="auto"/>
        <w:jc w:val="both"/>
        <w:rPr>
          <w:rFonts w:ascii="Verdana" w:hAnsi="Verdana" w:cs="Arial"/>
          <w:color w:val="000000" w:themeColor="text1"/>
          <w:lang w:val="es-ES"/>
        </w:rPr>
      </w:pPr>
    </w:p>
    <w:p w14:paraId="43C581A6" w14:textId="54CE4914" w:rsidR="003A2B2E" w:rsidRPr="007548F6" w:rsidRDefault="003A2B2E" w:rsidP="003A2B2E">
      <w:pPr>
        <w:spacing w:after="0" w:line="276" w:lineRule="auto"/>
        <w:rPr>
          <w:rFonts w:ascii="Verdana" w:hAnsi="Verdana" w:cs="Arial"/>
          <w:color w:val="000000" w:themeColor="text1"/>
          <w:lang w:val="es-ES" w:eastAsia="es-CO"/>
        </w:rPr>
      </w:pPr>
      <w:r w:rsidRPr="007548F6">
        <w:rPr>
          <w:rFonts w:ascii="Verdana" w:eastAsia="Times New Roman" w:hAnsi="Verdana" w:cs="Arial"/>
          <w:color w:val="000000" w:themeColor="text1"/>
          <w:lang w:val="es-ES" w:eastAsia="es-CO"/>
        </w:rPr>
        <w:t>Atentamente,</w:t>
      </w:r>
      <w:r w:rsidRPr="007548F6">
        <w:rPr>
          <w:rFonts w:ascii="Verdana" w:hAnsi="Verdana" w:cs="Arial"/>
          <w:color w:val="000000" w:themeColor="text1"/>
          <w:lang w:val="es-ES" w:eastAsia="es-CO"/>
        </w:rPr>
        <w:t xml:space="preserve"> </w:t>
      </w:r>
    </w:p>
    <w:p w14:paraId="0B0B86E3" w14:textId="44DB3D9F" w:rsidR="003A2B2E" w:rsidRDefault="0030051A" w:rsidP="003A2B2E">
      <w:pPr>
        <w:spacing w:line="276" w:lineRule="auto"/>
        <w:rPr>
          <w:lang w:val="es-ES"/>
        </w:rPr>
      </w:pPr>
      <w:r w:rsidRPr="002C3AD6">
        <w:rPr>
          <w:rFonts w:ascii="Century Gothic" w:hAnsi="Century Gothic"/>
          <w:noProof/>
        </w:rPr>
        <w:drawing>
          <wp:anchor distT="0" distB="0" distL="114300" distR="114300" simplePos="0" relativeHeight="251659264" behindDoc="0" locked="0" layoutInCell="1" allowOverlap="1" wp14:anchorId="72BD4BBD" wp14:editId="17F7D7C8">
            <wp:simplePos x="0" y="0"/>
            <wp:positionH relativeFrom="column">
              <wp:posOffset>923365</wp:posOffset>
            </wp:positionH>
            <wp:positionV relativeFrom="page">
              <wp:posOffset>5028453</wp:posOffset>
            </wp:positionV>
            <wp:extent cx="3771900" cy="1400175"/>
            <wp:effectExtent l="0" t="0" r="0" b="0"/>
            <wp:wrapSquare wrapText="bothSides"/>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3771900" cy="1400175"/>
                    </a:xfrm>
                    <a:prstGeom prst="rect">
                      <a:avLst/>
                    </a:prstGeom>
                  </pic:spPr>
                </pic:pic>
              </a:graphicData>
            </a:graphic>
            <wp14:sizeRelH relativeFrom="page">
              <wp14:pctWidth>0</wp14:pctWidth>
            </wp14:sizeRelH>
            <wp14:sizeRelV relativeFrom="page">
              <wp14:pctHeight>0</wp14:pctHeight>
            </wp14:sizeRelV>
          </wp:anchor>
        </w:drawing>
      </w:r>
    </w:p>
    <w:p w14:paraId="188F3844" w14:textId="0B61E001" w:rsidR="0030051A" w:rsidRPr="007548F6" w:rsidRDefault="0030051A" w:rsidP="003A2B2E">
      <w:pPr>
        <w:spacing w:line="276" w:lineRule="auto"/>
        <w:rPr>
          <w:lang w:val="es-ES"/>
        </w:rPr>
      </w:pPr>
    </w:p>
    <w:tbl>
      <w:tblPr>
        <w:tblStyle w:val="TableGrid"/>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3A2B2E" w:rsidRPr="007548F6" w14:paraId="1F6407D6" w14:textId="77777777" w:rsidTr="00EA669F">
        <w:trPr>
          <w:trHeight w:val="315"/>
        </w:trPr>
        <w:tc>
          <w:tcPr>
            <w:tcW w:w="893" w:type="dxa"/>
            <w:vAlign w:val="center"/>
            <w:hideMark/>
          </w:tcPr>
          <w:p w14:paraId="5442742D" w14:textId="77777777" w:rsidR="003A2B2E" w:rsidRPr="007548F6" w:rsidRDefault="003A2B2E" w:rsidP="00EA669F">
            <w:pPr>
              <w:contextualSpacing/>
              <w:rPr>
                <w:rFonts w:ascii="Verdana" w:hAnsi="Verdana" w:cs="Arial"/>
                <w:sz w:val="15"/>
                <w:szCs w:val="15"/>
                <w:lang w:val="es-ES" w:eastAsia="es-ES"/>
              </w:rPr>
            </w:pPr>
            <w:r w:rsidRPr="007548F6">
              <w:rPr>
                <w:rFonts w:ascii="Verdana" w:hAnsi="Verdana" w:cs="Arial"/>
                <w:sz w:val="15"/>
                <w:szCs w:val="15"/>
                <w:lang w:val="es-ES" w:eastAsia="es-ES"/>
              </w:rPr>
              <w:t>Elaboró:</w:t>
            </w:r>
          </w:p>
        </w:tc>
        <w:tc>
          <w:tcPr>
            <w:tcW w:w="5628" w:type="dxa"/>
            <w:tcBorders>
              <w:top w:val="nil"/>
              <w:left w:val="nil"/>
              <w:bottom w:val="dotted" w:sz="4" w:space="0" w:color="7F7F7F" w:themeColor="text1" w:themeTint="80"/>
              <w:right w:val="nil"/>
            </w:tcBorders>
            <w:vAlign w:val="center"/>
            <w:hideMark/>
          </w:tcPr>
          <w:p w14:paraId="146FC7A7" w14:textId="77777777" w:rsidR="003A2B2E" w:rsidRPr="007548F6" w:rsidRDefault="003A2B2E" w:rsidP="00EA669F">
            <w:pPr>
              <w:contextualSpacing/>
              <w:rPr>
                <w:rFonts w:ascii="Verdana" w:eastAsia="Arial" w:hAnsi="Verdana" w:cs="Arial"/>
                <w:color w:val="000000" w:themeColor="text1"/>
                <w:sz w:val="15"/>
                <w:szCs w:val="15"/>
                <w:lang w:val="es-ES"/>
              </w:rPr>
            </w:pPr>
            <w:r w:rsidRPr="007548F6">
              <w:rPr>
                <w:rFonts w:ascii="Verdana" w:eastAsia="Arial" w:hAnsi="Verdana" w:cs="Arial"/>
                <w:color w:val="000000" w:themeColor="text1"/>
                <w:sz w:val="15"/>
                <w:szCs w:val="15"/>
                <w:lang w:val="es-ES"/>
              </w:rPr>
              <w:t>Anamaría Bonilla Prieto</w:t>
            </w:r>
          </w:p>
          <w:p w14:paraId="1F4B1B53" w14:textId="77777777" w:rsidR="003A2B2E" w:rsidRPr="007548F6" w:rsidRDefault="003A2B2E" w:rsidP="00EA669F">
            <w:pPr>
              <w:contextualSpacing/>
              <w:rPr>
                <w:rFonts w:ascii="Verdana" w:eastAsia="Arial" w:hAnsi="Verdana" w:cs="Arial"/>
                <w:sz w:val="15"/>
                <w:szCs w:val="15"/>
                <w:lang w:val="es-ES"/>
              </w:rPr>
            </w:pPr>
            <w:r w:rsidRPr="007548F6">
              <w:rPr>
                <w:rStyle w:val="normaltextrun"/>
                <w:rFonts w:ascii="Verdana" w:eastAsia="Arial" w:hAnsi="Verdana" w:cs="Arial"/>
                <w:color w:val="000000" w:themeColor="text1"/>
                <w:sz w:val="15"/>
                <w:szCs w:val="15"/>
                <w:lang w:val="es-ES"/>
              </w:rPr>
              <w:t xml:space="preserve">Contratista de la Subdirección </w:t>
            </w:r>
            <w:r w:rsidRPr="007548F6">
              <w:rPr>
                <w:rStyle w:val="normaltextrun"/>
                <w:rFonts w:ascii="Verdana" w:eastAsia="Arial" w:hAnsi="Verdana" w:cs="Arial"/>
                <w:sz w:val="15"/>
                <w:szCs w:val="15"/>
                <w:lang w:val="es-ES"/>
              </w:rPr>
              <w:t>de Gestión Contractual</w:t>
            </w:r>
          </w:p>
        </w:tc>
      </w:tr>
      <w:tr w:rsidR="003A2B2E" w:rsidRPr="007548F6" w14:paraId="268BC694" w14:textId="77777777" w:rsidTr="00EA669F">
        <w:trPr>
          <w:trHeight w:val="330"/>
        </w:trPr>
        <w:tc>
          <w:tcPr>
            <w:tcW w:w="893" w:type="dxa"/>
            <w:vAlign w:val="center"/>
            <w:hideMark/>
          </w:tcPr>
          <w:p w14:paraId="5B8D578F" w14:textId="77777777" w:rsidR="003A2B2E" w:rsidRPr="007548F6" w:rsidRDefault="003A2B2E" w:rsidP="00EA669F">
            <w:pPr>
              <w:contextualSpacing/>
              <w:rPr>
                <w:rFonts w:ascii="Verdana" w:hAnsi="Verdana" w:cs="Arial"/>
                <w:sz w:val="15"/>
                <w:szCs w:val="15"/>
                <w:lang w:val="es-ES" w:eastAsia="es-ES"/>
              </w:rPr>
            </w:pPr>
            <w:r w:rsidRPr="007548F6">
              <w:rPr>
                <w:rFonts w:ascii="Verdana" w:hAnsi="Verdana" w:cs="Arial"/>
                <w:sz w:val="15"/>
                <w:szCs w:val="15"/>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864F957" w14:textId="77777777" w:rsidR="003A2B2E" w:rsidRPr="007548F6" w:rsidRDefault="003A2B2E" w:rsidP="00EA669F">
            <w:pPr>
              <w:contextualSpacing/>
              <w:rPr>
                <w:rFonts w:ascii="Verdana" w:eastAsia="Arial" w:hAnsi="Verdana" w:cs="Arial"/>
                <w:color w:val="000000" w:themeColor="text1"/>
                <w:sz w:val="15"/>
                <w:szCs w:val="15"/>
                <w:lang w:val="es-ES"/>
              </w:rPr>
            </w:pPr>
            <w:r w:rsidRPr="007548F6">
              <w:rPr>
                <w:rFonts w:ascii="Verdana" w:eastAsia="Arial" w:hAnsi="Verdana" w:cs="Arial"/>
                <w:color w:val="000000" w:themeColor="text1"/>
                <w:sz w:val="15"/>
                <w:szCs w:val="15"/>
                <w:lang w:val="es-ES"/>
              </w:rPr>
              <w:t>Alejandro Sarmiento Cantillo</w:t>
            </w:r>
          </w:p>
          <w:p w14:paraId="34BE6A21" w14:textId="77777777" w:rsidR="003A2B2E" w:rsidRPr="007548F6" w:rsidRDefault="003A2B2E" w:rsidP="00EA669F">
            <w:pPr>
              <w:pStyle w:val="paragraph"/>
              <w:spacing w:before="0" w:beforeAutospacing="0" w:after="0" w:afterAutospacing="0"/>
              <w:contextualSpacing/>
              <w:textAlignment w:val="baseline"/>
              <w:rPr>
                <w:rFonts w:ascii="Verdana" w:hAnsi="Verdana" w:cs="Segoe UI"/>
                <w:sz w:val="15"/>
                <w:szCs w:val="15"/>
                <w:lang w:val="es-ES"/>
              </w:rPr>
            </w:pPr>
            <w:r w:rsidRPr="007548F6">
              <w:rPr>
                <w:rFonts w:ascii="Verdana" w:eastAsia="Arial" w:hAnsi="Verdana" w:cs="Arial"/>
                <w:color w:val="000000" w:themeColor="text1"/>
                <w:sz w:val="15"/>
                <w:szCs w:val="15"/>
                <w:lang w:val="es-ES"/>
              </w:rPr>
              <w:t>Gestor T1 – 15 de la Subdirección de Gestión Contractual</w:t>
            </w:r>
            <w:r w:rsidRPr="007548F6">
              <w:rPr>
                <w:rFonts w:ascii="Verdana" w:hAnsi="Verdana" w:cs="Segoe UI"/>
                <w:sz w:val="15"/>
                <w:szCs w:val="15"/>
                <w:lang w:val="es-ES"/>
              </w:rPr>
              <w:t> </w:t>
            </w:r>
          </w:p>
          <w:p w14:paraId="07FA4092" w14:textId="77777777" w:rsidR="003A2B2E" w:rsidRPr="007548F6" w:rsidRDefault="003A2B2E" w:rsidP="00EA669F">
            <w:pPr>
              <w:pStyle w:val="paragraph"/>
              <w:spacing w:before="0" w:beforeAutospacing="0" w:after="0" w:afterAutospacing="0"/>
              <w:contextualSpacing/>
              <w:textAlignment w:val="baseline"/>
              <w:rPr>
                <w:rFonts w:ascii="Verdana" w:hAnsi="Verdana" w:cs="Segoe UI"/>
                <w:sz w:val="15"/>
                <w:szCs w:val="15"/>
                <w:lang w:val="es-ES"/>
              </w:rPr>
            </w:pPr>
          </w:p>
        </w:tc>
      </w:tr>
      <w:tr w:rsidR="003A2B2E" w:rsidRPr="007548F6" w14:paraId="3CA16FD5" w14:textId="77777777" w:rsidTr="00EA669F">
        <w:trPr>
          <w:trHeight w:val="300"/>
        </w:trPr>
        <w:tc>
          <w:tcPr>
            <w:tcW w:w="893" w:type="dxa"/>
            <w:vAlign w:val="center"/>
          </w:tcPr>
          <w:p w14:paraId="5B4DF5AE" w14:textId="77777777" w:rsidR="003A2B2E" w:rsidRPr="007548F6" w:rsidRDefault="003A2B2E" w:rsidP="00EA669F">
            <w:pPr>
              <w:contextualSpacing/>
              <w:rPr>
                <w:rFonts w:ascii="Verdana" w:hAnsi="Verdana" w:cs="Arial"/>
                <w:sz w:val="15"/>
                <w:szCs w:val="15"/>
                <w:lang w:val="es-ES" w:eastAsia="es-ES"/>
              </w:rPr>
            </w:pPr>
            <w:r w:rsidRPr="007548F6">
              <w:rPr>
                <w:rFonts w:ascii="Verdana" w:hAnsi="Verdana" w:cs="Arial"/>
                <w:sz w:val="15"/>
                <w:szCs w:val="15"/>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58D6ECDA" w14:textId="77777777" w:rsidR="003A2B2E" w:rsidRPr="007548F6" w:rsidRDefault="003A2B2E" w:rsidP="00EA669F">
            <w:pPr>
              <w:contextualSpacing/>
              <w:rPr>
                <w:rFonts w:ascii="Verdana" w:eastAsia="Calibri" w:hAnsi="Verdana" w:cs="Arial"/>
                <w:sz w:val="16"/>
                <w:szCs w:val="16"/>
                <w:lang w:val="es-ES" w:eastAsia="es-ES"/>
              </w:rPr>
            </w:pPr>
            <w:r w:rsidRPr="007548F6">
              <w:rPr>
                <w:rFonts w:ascii="Verdana" w:eastAsia="Calibri" w:hAnsi="Verdana" w:cs="Arial"/>
                <w:sz w:val="16"/>
                <w:szCs w:val="16"/>
                <w:lang w:val="es-ES" w:eastAsia="es-ES"/>
              </w:rPr>
              <w:t>Carolina Quintero Gacharná</w:t>
            </w:r>
          </w:p>
          <w:p w14:paraId="48493C77" w14:textId="77777777" w:rsidR="003A2B2E" w:rsidRPr="007548F6" w:rsidRDefault="003A2B2E" w:rsidP="00EA669F">
            <w:pPr>
              <w:contextualSpacing/>
              <w:rPr>
                <w:rFonts w:ascii="Verdana" w:eastAsia="Calibri" w:hAnsi="Verdana" w:cs="Arial"/>
                <w:sz w:val="15"/>
                <w:szCs w:val="15"/>
                <w:lang w:val="es-ES" w:eastAsia="es-ES"/>
              </w:rPr>
            </w:pPr>
            <w:r w:rsidRPr="007548F6">
              <w:rPr>
                <w:rFonts w:ascii="Verdana" w:eastAsia="Calibri" w:hAnsi="Verdana" w:cs="Arial"/>
                <w:sz w:val="16"/>
                <w:szCs w:val="16"/>
                <w:lang w:val="es-ES" w:eastAsia="es-ES"/>
              </w:rPr>
              <w:t>Subdirectora de Gestión Contractual ANCP – CCE</w:t>
            </w:r>
          </w:p>
        </w:tc>
      </w:tr>
      <w:bookmarkEnd w:id="0"/>
    </w:tbl>
    <w:p w14:paraId="184C069D" w14:textId="348C15BD" w:rsidR="003A2B2E" w:rsidRPr="007548F6" w:rsidRDefault="003A2B2E" w:rsidP="003A2B2E">
      <w:pPr>
        <w:rPr>
          <w:lang w:val="es-ES"/>
        </w:rPr>
      </w:pPr>
    </w:p>
    <w:p w14:paraId="618CE8B3" w14:textId="77777777" w:rsidR="003A2B2E" w:rsidRPr="007548F6" w:rsidRDefault="003A2B2E" w:rsidP="003A2B2E">
      <w:pPr>
        <w:rPr>
          <w:lang w:val="es-ES"/>
        </w:rPr>
      </w:pPr>
    </w:p>
    <w:p w14:paraId="0F293BF4" w14:textId="290E795D" w:rsidR="00127233" w:rsidRPr="003A2B2E" w:rsidRDefault="00127233" w:rsidP="003A2B2E"/>
    <w:sectPr w:rsidR="00127233" w:rsidRPr="003A2B2E" w:rsidSect="007C0C0F">
      <w:headerReference w:type="default" r:id="rId14"/>
      <w:footerReference w:type="default" r:id="rId15"/>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661582" w14:textId="77777777" w:rsidR="0080768E" w:rsidRDefault="0080768E" w:rsidP="004A1847">
      <w:pPr>
        <w:spacing w:after="0" w:line="240" w:lineRule="auto"/>
      </w:pPr>
      <w:r>
        <w:separator/>
      </w:r>
    </w:p>
  </w:endnote>
  <w:endnote w:type="continuationSeparator" w:id="0">
    <w:p w14:paraId="7C521F99" w14:textId="77777777" w:rsidR="0080768E" w:rsidRDefault="0080768E" w:rsidP="004A1847">
      <w:pPr>
        <w:spacing w:after="0" w:line="240" w:lineRule="auto"/>
      </w:pPr>
      <w:r>
        <w:continuationSeparator/>
      </w:r>
    </w:p>
  </w:endnote>
  <w:endnote w:type="continuationNotice" w:id="1">
    <w:p w14:paraId="2BD7545A" w14:textId="77777777" w:rsidR="0080768E" w:rsidRDefault="008076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10006FF" w:usb1="4000205B" w:usb2="00000010" w:usb3="00000000" w:csb0="0000019F" w:csb1="00000000"/>
  </w:font>
  <w:font w:name="Arial MT">
    <w:altName w:val="Arial"/>
    <w:panose1 w:val="020B0604020202020204"/>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11A32" w14:textId="6CE791A4" w:rsidR="004A1847" w:rsidRDefault="004A1847">
    <w:pPr>
      <w:pStyle w:val="Footer"/>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C7A12" w14:textId="77777777" w:rsidR="0080768E" w:rsidRDefault="0080768E" w:rsidP="004A1847">
      <w:pPr>
        <w:spacing w:after="0" w:line="240" w:lineRule="auto"/>
      </w:pPr>
      <w:r>
        <w:separator/>
      </w:r>
    </w:p>
  </w:footnote>
  <w:footnote w:type="continuationSeparator" w:id="0">
    <w:p w14:paraId="3A05C603" w14:textId="77777777" w:rsidR="0080768E" w:rsidRDefault="0080768E" w:rsidP="004A1847">
      <w:pPr>
        <w:spacing w:after="0" w:line="240" w:lineRule="auto"/>
      </w:pPr>
      <w:r>
        <w:continuationSeparator/>
      </w:r>
    </w:p>
  </w:footnote>
  <w:footnote w:type="continuationNotice" w:id="1">
    <w:p w14:paraId="7514A1D8" w14:textId="77777777" w:rsidR="0080768E" w:rsidRDefault="0080768E">
      <w:pPr>
        <w:spacing w:after="0" w:line="240" w:lineRule="auto"/>
      </w:pPr>
    </w:p>
  </w:footnote>
  <w:footnote w:id="2">
    <w:p w14:paraId="57D78814" w14:textId="77777777" w:rsidR="003A2B2E" w:rsidRPr="00064D80" w:rsidRDefault="003A2B2E" w:rsidP="003A2B2E">
      <w:pPr>
        <w:pStyle w:val="FootnoteText"/>
        <w:snapToGrid w:val="0"/>
        <w:ind w:firstLine="709"/>
        <w:contextualSpacing/>
        <w:jc w:val="both"/>
        <w:rPr>
          <w:rFonts w:ascii="Verdana" w:hAnsi="Verdana" w:cs="Arial"/>
          <w:sz w:val="16"/>
          <w:szCs w:val="16"/>
        </w:rPr>
      </w:pPr>
      <w:r w:rsidRPr="00064D80">
        <w:rPr>
          <w:rStyle w:val="FootnoteReference"/>
          <w:rFonts w:ascii="Verdana" w:hAnsi="Verdana" w:cs="Arial"/>
          <w:sz w:val="16"/>
          <w:szCs w:val="16"/>
        </w:rPr>
        <w:footnoteRef/>
      </w:r>
      <w:r w:rsidRPr="00064D80">
        <w:rPr>
          <w:rFonts w:ascii="Verdana" w:hAnsi="Verdana" w:cs="Arial"/>
          <w:sz w:val="16"/>
          <w:szCs w:val="16"/>
        </w:rPr>
        <w:t xml:space="preserve"> La Constitución Política, en el artículo 189, numeral 2, dispone que el Presidente de la República debe: “Dirigir las relaciones internacionales. Nombrar a los agentes diplomáticos y consulares, recibir a los agentes respectivos y celebrar con otros Estados y entidades de derecho internacional tratados o convenios que se someterán a la aprobación del Congreso”. Así́ mismo, en el artículo 150, numeral 16, establece que el Congreso de la Republica debe: “Aprobar o improbar los tratados que el Gobierno celebre con otros Estados o con entidades de derecho internacional. Por medio de dichos tratados podrá́ el Estado, sobre bases de equidad, reciprocidad y conveniencia nacional, transferir parcialmente determinadas atribuciones a organismos internacionales, que tengan por objeto promover o consolidar la integración económica con otros Estados”.</w:t>
      </w:r>
    </w:p>
  </w:footnote>
  <w:footnote w:id="3">
    <w:p w14:paraId="028C5C28" w14:textId="77777777" w:rsidR="003A2B2E" w:rsidRPr="00064D80" w:rsidRDefault="003A2B2E" w:rsidP="003A2B2E">
      <w:pPr>
        <w:pStyle w:val="FootnoteText"/>
        <w:snapToGrid w:val="0"/>
        <w:ind w:firstLine="708"/>
        <w:contextualSpacing/>
        <w:jc w:val="both"/>
        <w:rPr>
          <w:rFonts w:ascii="Verdana" w:hAnsi="Verdana"/>
          <w:sz w:val="16"/>
          <w:szCs w:val="16"/>
          <w:lang w:val="es-ES"/>
        </w:rPr>
      </w:pPr>
      <w:r w:rsidRPr="00064D80">
        <w:rPr>
          <w:rStyle w:val="FootnoteReference"/>
          <w:rFonts w:ascii="Verdana" w:hAnsi="Verdana"/>
          <w:sz w:val="16"/>
          <w:szCs w:val="16"/>
        </w:rPr>
        <w:footnoteRef/>
      </w:r>
      <w:r w:rsidRPr="00064D80">
        <w:rPr>
          <w:rFonts w:ascii="Verdana" w:hAnsi="Verdana"/>
          <w:sz w:val="16"/>
          <w:szCs w:val="16"/>
        </w:rPr>
        <w:t xml:space="preserve"> </w:t>
      </w:r>
      <w:r w:rsidRPr="00064D80">
        <w:rPr>
          <w:rFonts w:ascii="Verdana" w:eastAsia="Calibri" w:hAnsi="Verdana" w:cs="Arial"/>
          <w:sz w:val="16"/>
          <w:szCs w:val="16"/>
          <w:lang w:val="es-ES_tradnl"/>
        </w:rPr>
        <w:t>Manual para el manejo de los Acuerdos Comerciales en procesos de contratación. Pág. 10.</w:t>
      </w:r>
    </w:p>
  </w:footnote>
  <w:footnote w:id="4">
    <w:p w14:paraId="5DB82BCB" w14:textId="77777777" w:rsidR="003A2B2E" w:rsidRPr="00064D80" w:rsidRDefault="003A2B2E" w:rsidP="003A2B2E">
      <w:pPr>
        <w:pStyle w:val="NormalWeb"/>
        <w:shd w:val="clear" w:color="auto" w:fill="FFFFFF"/>
        <w:snapToGrid w:val="0"/>
        <w:spacing w:before="0" w:beforeAutospacing="0" w:after="0" w:afterAutospacing="0"/>
        <w:ind w:firstLine="708"/>
        <w:contextualSpacing/>
        <w:jc w:val="both"/>
        <w:rPr>
          <w:rFonts w:ascii="Verdana" w:hAnsi="Verdana" w:cs="Arial"/>
          <w:sz w:val="16"/>
          <w:szCs w:val="16"/>
        </w:rPr>
      </w:pPr>
      <w:r w:rsidRPr="00064D80">
        <w:rPr>
          <w:rStyle w:val="FootnoteReference"/>
          <w:rFonts w:ascii="Verdana" w:hAnsi="Verdana" w:cs="Arial"/>
          <w:sz w:val="16"/>
          <w:szCs w:val="16"/>
        </w:rPr>
        <w:footnoteRef/>
      </w:r>
      <w:r w:rsidRPr="00064D80">
        <w:rPr>
          <w:rFonts w:ascii="Verdana" w:hAnsi="Verdana" w:cs="Arial"/>
          <w:sz w:val="16"/>
          <w:szCs w:val="16"/>
        </w:rPr>
        <w:t xml:space="preserve"> Decreto 1082 de 2015: “Artículo </w:t>
      </w:r>
      <w:bookmarkStart w:id="3" w:name="2.2.1.2.4.1.3"/>
      <w:bookmarkEnd w:id="3"/>
      <w:r w:rsidRPr="00064D80">
        <w:rPr>
          <w:rFonts w:ascii="Verdana" w:hAnsi="Verdana" w:cs="Arial"/>
          <w:sz w:val="16"/>
          <w:szCs w:val="16"/>
        </w:rPr>
        <w:t>2.2.1.2.4.1.3.</w:t>
      </w:r>
      <w:r w:rsidRPr="00064D80">
        <w:rPr>
          <w:rFonts w:ascii="Verdana" w:hAnsi="Verdana" w:cs="Arial"/>
          <w:i/>
          <w:iCs/>
          <w:sz w:val="16"/>
          <w:szCs w:val="16"/>
        </w:rPr>
        <w:t> </w:t>
      </w:r>
      <w:r w:rsidRPr="00064D80">
        <w:rPr>
          <w:rFonts w:ascii="Verdana" w:hAnsi="Verdana" w:cs="Arial"/>
          <w:sz w:val="16"/>
          <w:szCs w:val="16"/>
        </w:rPr>
        <w:t> La Entidad Estatal debe conceder trato nacional a: (a) los oferentes, bienes y servicios provenientes de Estados con los cuales Colombia tenga Acuerdos Comerciales, en los términos establecidos en tales Acuerdos Comerciales; (b) a los bienes y servicios provenientes de Estados con los cuales no exista un Acuerdo Comercial pero respecto de los cuales el Gobierno Nacional haya certificado que los oferentes de Bienes y Servicios Nacionales gozan de trato nacional, con base en la revisión y comparación de la normativa en materia de compras y contratación pública de dicho Estado; y (</w:t>
      </w:r>
      <w:r>
        <w:rPr>
          <w:rFonts w:ascii="Verdana" w:hAnsi="Verdana" w:cs="Arial"/>
          <w:sz w:val="16"/>
          <w:szCs w:val="16"/>
        </w:rPr>
        <w:t>c</w:t>
      </w:r>
      <w:r w:rsidRPr="00064D80">
        <w:rPr>
          <w:rFonts w:ascii="Verdana" w:hAnsi="Verdana" w:cs="Arial"/>
          <w:sz w:val="16"/>
          <w:szCs w:val="16"/>
        </w:rPr>
        <w:t>) a los servicios prestados por oferentes miembros de la Comunidad Andina de Naciones teniendo en cuenta la regulación andina aplicable a la materia.</w:t>
      </w:r>
    </w:p>
    <w:p w14:paraId="7D74EC9A" w14:textId="77777777" w:rsidR="003A2B2E" w:rsidRPr="00064D80" w:rsidRDefault="003A2B2E" w:rsidP="003A2B2E">
      <w:pPr>
        <w:shd w:val="clear" w:color="auto" w:fill="FFFFFF"/>
        <w:snapToGrid w:val="0"/>
        <w:spacing w:after="0" w:line="240" w:lineRule="auto"/>
        <w:ind w:firstLine="708"/>
        <w:contextualSpacing/>
        <w:jc w:val="both"/>
        <w:rPr>
          <w:rFonts w:ascii="Verdana" w:eastAsia="Times New Roman" w:hAnsi="Verdana" w:cs="Arial"/>
          <w:sz w:val="16"/>
          <w:szCs w:val="16"/>
          <w:lang w:eastAsia="es-CO"/>
        </w:rPr>
      </w:pPr>
      <w:r w:rsidRPr="00064D80">
        <w:rPr>
          <w:rFonts w:ascii="Verdana" w:eastAsia="Times New Roman" w:hAnsi="Verdana" w:cs="Arial"/>
          <w:sz w:val="16"/>
          <w:szCs w:val="16"/>
          <w:lang w:eastAsia="es-CO"/>
        </w:rPr>
        <w:t>“El Ministerio de Relaciones Exteriores debe expedir el certificado por medio del cual se acredite la situación mencionada en el literal (b) anterior en relación con un Estado en particular, lo cual no es requerido para acreditar las situaciones a las que se refieren los literales (a) y (c) anteriores. Para constatar que los oferentes de Bienes y Servicios Nacionales gozan de trato nacional en un Estado, el Ministerio de Relaciones Exteriores debe revisar y comparar la normativa en materia de compras y contratación pública del respectivo Estado para lo cual puede solicitar el apoyo técnico del Ministerio de Comercio, Industria y Turismo y de Colombia Compra Eficiente, dentro de sus competencias legales.</w:t>
      </w:r>
    </w:p>
    <w:p w14:paraId="09A5C955" w14:textId="77777777" w:rsidR="003A2B2E" w:rsidRPr="00064D80" w:rsidRDefault="003A2B2E" w:rsidP="003A2B2E">
      <w:pPr>
        <w:shd w:val="clear" w:color="auto" w:fill="FFFFFF"/>
        <w:snapToGrid w:val="0"/>
        <w:spacing w:after="0" w:line="240" w:lineRule="auto"/>
        <w:ind w:firstLine="708"/>
        <w:contextualSpacing/>
        <w:jc w:val="both"/>
        <w:rPr>
          <w:rFonts w:ascii="Verdana" w:hAnsi="Verdana"/>
          <w:sz w:val="16"/>
          <w:szCs w:val="16"/>
        </w:rPr>
      </w:pPr>
      <w:r w:rsidRPr="00064D80">
        <w:rPr>
          <w:rFonts w:ascii="Verdana" w:eastAsia="Times New Roman" w:hAnsi="Verdana" w:cs="Arial"/>
          <w:sz w:val="16"/>
          <w:szCs w:val="16"/>
          <w:lang w:eastAsia="es-CO"/>
        </w:rPr>
        <w:t>“Los certificados para acreditar la condición a la que se refiere el literal (b) anterior deben ser publicados en la forma y oportunidad que para el efecto disponga Colombia Compra Eficiente. La vigencia de los certificados será de dos años contados a partir de la fecha de su expedición, sin perjuicio de que el Ministerio de Comercio, Industria y Turismo o Colombia Compra Eficiente soliciten al Ministerio de Relaciones Exteriores su revisión con ocasión de la expedición de nueva normativa en el Estado sobre el cual se expide el certificado. Colombia Compra Eficiente puede determinar vía circular la forma como el Ministerio de Relaciones Exteriores debe constatar que los oferentes de Bienes y Servicios Nacionales gozan de trato nacional y de revisar y comparar la normativa en materia de compras y contratación pública para la expedición del certificado”.</w:t>
      </w:r>
    </w:p>
  </w:footnote>
  <w:footnote w:id="5">
    <w:p w14:paraId="38297F3F" w14:textId="77777777" w:rsidR="003A2B2E" w:rsidRPr="00064D80" w:rsidRDefault="003A2B2E" w:rsidP="003A2B2E">
      <w:pPr>
        <w:snapToGrid w:val="0"/>
        <w:spacing w:after="0" w:line="240" w:lineRule="auto"/>
        <w:ind w:firstLine="708"/>
        <w:contextualSpacing/>
        <w:jc w:val="both"/>
        <w:textAlignment w:val="baseline"/>
        <w:rPr>
          <w:rFonts w:ascii="Verdana" w:eastAsia="Times New Roman" w:hAnsi="Verdana" w:cs="Arial"/>
          <w:sz w:val="16"/>
          <w:szCs w:val="16"/>
          <w:lang w:eastAsia="es-ES_tradnl"/>
        </w:rPr>
      </w:pPr>
      <w:r w:rsidRPr="00064D80">
        <w:rPr>
          <w:rStyle w:val="FootnoteReference"/>
          <w:rFonts w:ascii="Verdana" w:hAnsi="Verdana"/>
          <w:sz w:val="16"/>
          <w:szCs w:val="16"/>
        </w:rPr>
        <w:footnoteRef/>
      </w:r>
      <w:r w:rsidRPr="00064D80">
        <w:rPr>
          <w:rFonts w:ascii="Verdana" w:hAnsi="Verdana"/>
          <w:sz w:val="16"/>
          <w:szCs w:val="16"/>
        </w:rPr>
        <w:t xml:space="preserve"> </w:t>
      </w:r>
      <w:r>
        <w:rPr>
          <w:rFonts w:ascii="Verdana" w:hAnsi="Verdana"/>
          <w:sz w:val="16"/>
          <w:szCs w:val="16"/>
        </w:rPr>
        <w:t>Al respecto la Agencia ha señalado que a</w:t>
      </w:r>
      <w:r w:rsidRPr="00064D80">
        <w:rPr>
          <w:rFonts w:ascii="Verdana" w:eastAsia="Times New Roman" w:hAnsi="Verdana" w:cs="Arial"/>
          <w:sz w:val="16"/>
          <w:szCs w:val="16"/>
          <w:lang w:eastAsia="es-ES_tradnl"/>
        </w:rPr>
        <w:t xml:space="preserve">unque el artículo 49 de la Ley 80 de 1993 establece que «Ante la ocurrencia de vicios que no constituyan causales de nulidad y cuando las necesidades del servicio lo exijan o las reglas de la buena administración lo aconsejen, el jefe o representante legal de la entidad, en acto motivado, podrá sanear el correspondiente vicio» (énfasis fuera de texto), debe advertirse que este artículo condiciona dicha facultad de saneamiento de los defectos formales a que los vicios «no constituyan causales de nulidad».  En ese orden de ideas, será preciso revisar el régimen de las nulidades de los actos de adjudicación de los contratos estatales, al cual le serán aplicables las causales establecidas en artículo 137 de la Ley 1437 de 2011. </w:t>
      </w:r>
    </w:p>
    <w:p w14:paraId="2B0364A9" w14:textId="77777777" w:rsidR="003A2B2E" w:rsidRPr="00064D80" w:rsidRDefault="003A2B2E" w:rsidP="003A2B2E">
      <w:pPr>
        <w:snapToGrid w:val="0"/>
        <w:spacing w:after="0" w:line="240" w:lineRule="auto"/>
        <w:ind w:firstLine="708"/>
        <w:contextualSpacing/>
        <w:jc w:val="both"/>
        <w:textAlignment w:val="baseline"/>
        <w:rPr>
          <w:rFonts w:ascii="Verdana" w:eastAsia="Times New Roman" w:hAnsi="Verdana" w:cs="Arial"/>
          <w:sz w:val="16"/>
          <w:szCs w:val="16"/>
          <w:lang w:eastAsia="es-ES_tradnl"/>
        </w:rPr>
      </w:pPr>
      <w:r w:rsidRPr="00064D80">
        <w:rPr>
          <w:rFonts w:ascii="Verdana" w:eastAsia="Times New Roman" w:hAnsi="Verdana" w:cs="Arial"/>
          <w:sz w:val="16"/>
          <w:szCs w:val="16"/>
          <w:lang w:eastAsia="es-ES_tradnl"/>
        </w:rPr>
        <w:t xml:space="preserve">La Ley 80 de 1993 otorga una autorización a las entidades estatales para que puedan remediar o corregir aquellos defectos o irregularidades de procedimiento o de forma que no constituyen causales de nulidad del contrato, a través de la figura del «saneamiento de los vicios de procedimiento o de forma» establecida en el artículo 49 de la siguiente manera: «Artículo 49. Del saneamiento de los vicios de procedimiento o de forma. Ante la ocurrencia de vicios que no constituyan causales de nulidad y cuando las necesidades del servicio lo exijan o las reglas de la buena administración lo aconsejen, el jefe o representante legal de la entidad, en acto motivado, podrá sanear el correspondiente vicio.» De la lectura de esta norma se puede apreciar que para su aplicación se requiere el cumplimiento de los siguientes requisitos: i) el vicio a sanear tiene que ser de procedimiento o de forma, lo que significa que no es posible sanear a través de esta figura los vicios de fondo o sustanciales del acto o contrato, lo que lleva a que,  ii) el vicio a sanear no puede corresponder a  ninguna de las causales de nulidad absoluta o relativa de los contratos estatales, iii) debe hacerse mediante acto administrativo motivado, iv) el funcionario competente es el jefe o representante legal de la entidad y v) el saneamiento debe ocurrir cuando las necesidades del servicio lo exijan o a las reglas de la buena administración lo aconsejen. </w:t>
      </w:r>
    </w:p>
    <w:p w14:paraId="3C3979E4" w14:textId="77777777" w:rsidR="003A2B2E" w:rsidRPr="00064D80" w:rsidRDefault="003A2B2E" w:rsidP="003A2B2E">
      <w:pPr>
        <w:pStyle w:val="FootnoteText"/>
        <w:snapToGrid w:val="0"/>
        <w:ind w:firstLine="708"/>
        <w:contextualSpacing/>
        <w:jc w:val="both"/>
        <w:rPr>
          <w:rFonts w:ascii="Verdana" w:hAnsi="Verdana"/>
          <w:sz w:val="16"/>
          <w:szCs w:val="16"/>
          <w:lang w:val="es-ES"/>
        </w:rPr>
      </w:pPr>
      <w:r w:rsidRPr="00064D80">
        <w:rPr>
          <w:rFonts w:ascii="Verdana" w:eastAsia="Times New Roman" w:hAnsi="Verdana" w:cs="Arial"/>
          <w:sz w:val="16"/>
          <w:szCs w:val="16"/>
          <w:lang w:eastAsia="es-ES_tradnl"/>
        </w:rPr>
        <w:t>Bajo esta lectura siempre será oportuno revisar las circunstancias particulares de cada caso y, en especial, el ejercicio del deber de diligencia y de buena fe por parte del contratista para así poder establecer con certeza si este también debía advertir el yerro, en vez de utilizarlo en su propio favor alegando un posterior restablecimiento del derecho.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F4D03" w14:textId="0903BF04" w:rsidR="00756841" w:rsidRDefault="009D3058" w:rsidP="00844AE9">
    <w:pPr>
      <w:pStyle w:val="Header"/>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Header"/>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3" type="#_x0000_t75" style="width:14.8pt;height:14.8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5B62B67"/>
    <w:multiLevelType w:val="multilevel"/>
    <w:tmpl w:val="8214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6"/>
  </w:num>
  <w:num w:numId="8" w16cid:durableId="152644682">
    <w:abstractNumId w:val="12"/>
  </w:num>
  <w:num w:numId="9" w16cid:durableId="1317221377">
    <w:abstractNumId w:val="8"/>
  </w:num>
  <w:num w:numId="10" w16cid:durableId="1471245386">
    <w:abstractNumId w:val="11"/>
  </w:num>
  <w:num w:numId="11" w16cid:durableId="289172385">
    <w:abstractNumId w:val="9"/>
  </w:num>
  <w:num w:numId="12" w16cid:durableId="1470781324">
    <w:abstractNumId w:val="1"/>
  </w:num>
  <w:num w:numId="13" w16cid:durableId="1512908409">
    <w:abstractNumId w:val="4"/>
  </w:num>
  <w:num w:numId="14" w16cid:durableId="895897244">
    <w:abstractNumId w:val="14"/>
  </w:num>
  <w:num w:numId="15" w16cid:durableId="390349800">
    <w:abstractNumId w:val="10"/>
  </w:num>
  <w:num w:numId="16" w16cid:durableId="341274352">
    <w:abstractNumId w:val="0"/>
  </w:num>
  <w:num w:numId="17" w16cid:durableId="1291131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1C38"/>
    <w:rsid w:val="00046945"/>
    <w:rsid w:val="00061B2A"/>
    <w:rsid w:val="00082362"/>
    <w:rsid w:val="000A683E"/>
    <w:rsid w:val="000B19B9"/>
    <w:rsid w:val="000D0334"/>
    <w:rsid w:val="000D5DA7"/>
    <w:rsid w:val="000F6486"/>
    <w:rsid w:val="00116940"/>
    <w:rsid w:val="00125105"/>
    <w:rsid w:val="00127233"/>
    <w:rsid w:val="001348F0"/>
    <w:rsid w:val="0015699B"/>
    <w:rsid w:val="001A1845"/>
    <w:rsid w:val="001A328E"/>
    <w:rsid w:val="001A33BF"/>
    <w:rsid w:val="001D4BB3"/>
    <w:rsid w:val="001E4177"/>
    <w:rsid w:val="001F0B24"/>
    <w:rsid w:val="001F7DC6"/>
    <w:rsid w:val="002021F3"/>
    <w:rsid w:val="0022400B"/>
    <w:rsid w:val="002421BB"/>
    <w:rsid w:val="0025796E"/>
    <w:rsid w:val="002707A2"/>
    <w:rsid w:val="002951A0"/>
    <w:rsid w:val="002962BC"/>
    <w:rsid w:val="002A093D"/>
    <w:rsid w:val="002A0DD0"/>
    <w:rsid w:val="002A49AC"/>
    <w:rsid w:val="002A64FD"/>
    <w:rsid w:val="002B50D6"/>
    <w:rsid w:val="002C7A84"/>
    <w:rsid w:val="002E2BF8"/>
    <w:rsid w:val="002E4FD9"/>
    <w:rsid w:val="0030051A"/>
    <w:rsid w:val="0030657A"/>
    <w:rsid w:val="00322A85"/>
    <w:rsid w:val="00324168"/>
    <w:rsid w:val="00330834"/>
    <w:rsid w:val="003448F4"/>
    <w:rsid w:val="00374F5E"/>
    <w:rsid w:val="00377E3E"/>
    <w:rsid w:val="003A2B2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D232D"/>
    <w:rsid w:val="004F21C4"/>
    <w:rsid w:val="004F685F"/>
    <w:rsid w:val="00532C34"/>
    <w:rsid w:val="005566E8"/>
    <w:rsid w:val="00574867"/>
    <w:rsid w:val="00591460"/>
    <w:rsid w:val="005A65E0"/>
    <w:rsid w:val="005C3777"/>
    <w:rsid w:val="005C5CDC"/>
    <w:rsid w:val="005D476C"/>
    <w:rsid w:val="006200BF"/>
    <w:rsid w:val="006219F8"/>
    <w:rsid w:val="006302F7"/>
    <w:rsid w:val="00646B9F"/>
    <w:rsid w:val="006513F8"/>
    <w:rsid w:val="00665D70"/>
    <w:rsid w:val="006900D9"/>
    <w:rsid w:val="00706C16"/>
    <w:rsid w:val="007340C3"/>
    <w:rsid w:val="0075235A"/>
    <w:rsid w:val="00756841"/>
    <w:rsid w:val="007649AB"/>
    <w:rsid w:val="00771D0C"/>
    <w:rsid w:val="007833AC"/>
    <w:rsid w:val="007961D8"/>
    <w:rsid w:val="007B268C"/>
    <w:rsid w:val="007B7171"/>
    <w:rsid w:val="007C0C0F"/>
    <w:rsid w:val="007C3DC2"/>
    <w:rsid w:val="007E5497"/>
    <w:rsid w:val="00806F5F"/>
    <w:rsid w:val="0080768E"/>
    <w:rsid w:val="00820278"/>
    <w:rsid w:val="008258C9"/>
    <w:rsid w:val="00844AE9"/>
    <w:rsid w:val="00867F95"/>
    <w:rsid w:val="008843B6"/>
    <w:rsid w:val="00891928"/>
    <w:rsid w:val="008A446D"/>
    <w:rsid w:val="008B25F1"/>
    <w:rsid w:val="008D180B"/>
    <w:rsid w:val="008F0EA7"/>
    <w:rsid w:val="00923EEF"/>
    <w:rsid w:val="00937743"/>
    <w:rsid w:val="009419F9"/>
    <w:rsid w:val="0095685E"/>
    <w:rsid w:val="00961B09"/>
    <w:rsid w:val="00963521"/>
    <w:rsid w:val="00965334"/>
    <w:rsid w:val="0097093E"/>
    <w:rsid w:val="009A0DFA"/>
    <w:rsid w:val="009A1C6F"/>
    <w:rsid w:val="009B2D26"/>
    <w:rsid w:val="009C5B14"/>
    <w:rsid w:val="009C71FA"/>
    <w:rsid w:val="009C72E7"/>
    <w:rsid w:val="009C7F7E"/>
    <w:rsid w:val="009D3058"/>
    <w:rsid w:val="009F3A13"/>
    <w:rsid w:val="00A122D3"/>
    <w:rsid w:val="00A14468"/>
    <w:rsid w:val="00A17F13"/>
    <w:rsid w:val="00A20739"/>
    <w:rsid w:val="00A23AF9"/>
    <w:rsid w:val="00A33C78"/>
    <w:rsid w:val="00A47FFC"/>
    <w:rsid w:val="00AB0ADB"/>
    <w:rsid w:val="00B00C0E"/>
    <w:rsid w:val="00B01B1A"/>
    <w:rsid w:val="00B0381D"/>
    <w:rsid w:val="00B44A47"/>
    <w:rsid w:val="00B72CD3"/>
    <w:rsid w:val="00B72FFF"/>
    <w:rsid w:val="00BC3D36"/>
    <w:rsid w:val="00BD54A6"/>
    <w:rsid w:val="00BD7F72"/>
    <w:rsid w:val="00BF7425"/>
    <w:rsid w:val="00C04FB3"/>
    <w:rsid w:val="00C11D8B"/>
    <w:rsid w:val="00C15139"/>
    <w:rsid w:val="00C20D11"/>
    <w:rsid w:val="00C24234"/>
    <w:rsid w:val="00C330EB"/>
    <w:rsid w:val="00C50D69"/>
    <w:rsid w:val="00C5365C"/>
    <w:rsid w:val="00C5385F"/>
    <w:rsid w:val="00C754BE"/>
    <w:rsid w:val="00C76B1C"/>
    <w:rsid w:val="00C925AC"/>
    <w:rsid w:val="00CB6357"/>
    <w:rsid w:val="00CC1B26"/>
    <w:rsid w:val="00CE14EE"/>
    <w:rsid w:val="00D361FD"/>
    <w:rsid w:val="00D423A2"/>
    <w:rsid w:val="00D44E26"/>
    <w:rsid w:val="00D520D8"/>
    <w:rsid w:val="00D63AC2"/>
    <w:rsid w:val="00D7383B"/>
    <w:rsid w:val="00D7788A"/>
    <w:rsid w:val="00D81683"/>
    <w:rsid w:val="00DA231B"/>
    <w:rsid w:val="00DC39FC"/>
    <w:rsid w:val="00DF5254"/>
    <w:rsid w:val="00E02524"/>
    <w:rsid w:val="00E16408"/>
    <w:rsid w:val="00E20894"/>
    <w:rsid w:val="00E245AB"/>
    <w:rsid w:val="00E2764C"/>
    <w:rsid w:val="00E27F2E"/>
    <w:rsid w:val="00E50AFE"/>
    <w:rsid w:val="00E578AF"/>
    <w:rsid w:val="00E75C92"/>
    <w:rsid w:val="00E771DC"/>
    <w:rsid w:val="00E8772A"/>
    <w:rsid w:val="00E90F6B"/>
    <w:rsid w:val="00E92C27"/>
    <w:rsid w:val="00EA0E3D"/>
    <w:rsid w:val="00EC38A7"/>
    <w:rsid w:val="00EE1AA8"/>
    <w:rsid w:val="00F23FEA"/>
    <w:rsid w:val="00F31EDC"/>
    <w:rsid w:val="00F339BE"/>
    <w:rsid w:val="00F462B3"/>
    <w:rsid w:val="00F5664F"/>
    <w:rsid w:val="00F666C4"/>
    <w:rsid w:val="00F76AFC"/>
    <w:rsid w:val="00FA47C0"/>
    <w:rsid w:val="00FB5DD1"/>
    <w:rsid w:val="00FC2B5D"/>
    <w:rsid w:val="00FF1449"/>
    <w:rsid w:val="00FF5B16"/>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1847"/>
    <w:pPr>
      <w:tabs>
        <w:tab w:val="center" w:pos="4419"/>
        <w:tab w:val="right" w:pos="8838"/>
      </w:tabs>
      <w:spacing w:after="0" w:line="240" w:lineRule="auto"/>
    </w:pPr>
  </w:style>
  <w:style w:type="character" w:customStyle="1" w:styleId="HeaderChar">
    <w:name w:val="Header Char"/>
    <w:basedOn w:val="DefaultParagraphFont"/>
    <w:link w:val="Header"/>
    <w:uiPriority w:val="99"/>
    <w:rsid w:val="004A1847"/>
  </w:style>
  <w:style w:type="paragraph" w:styleId="Footer">
    <w:name w:val="footer"/>
    <w:basedOn w:val="Normal"/>
    <w:link w:val="FooterChar"/>
    <w:uiPriority w:val="99"/>
    <w:unhideWhenUsed/>
    <w:rsid w:val="004A1847"/>
    <w:pPr>
      <w:tabs>
        <w:tab w:val="center" w:pos="4419"/>
        <w:tab w:val="right" w:pos="8838"/>
      </w:tabs>
      <w:spacing w:after="0" w:line="240" w:lineRule="auto"/>
    </w:pPr>
  </w:style>
  <w:style w:type="character" w:customStyle="1" w:styleId="FooterChar">
    <w:name w:val="Footer Char"/>
    <w:basedOn w:val="DefaultParagraphFont"/>
    <w:link w:val="Footer"/>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FootnoteTextChar">
    <w:name w:val="Footnote Text Char"/>
    <w:aliases w:val="Ref. de nota al pie1 Char,Texto de nota al pie Char,referencia nota al pie Char,Appel note de bas de page Char,Footnotes refss Char,Footnote number Char,BVI fnr Char,Footnote Text Char Char Char Char Char Char,Footnote reference Char"/>
    <w:basedOn w:val="DefaultParagraphFont"/>
    <w:link w:val="FootnoteText"/>
    <w:uiPriority w:val="99"/>
    <w:qFormat/>
    <w:locked/>
    <w:rsid w:val="006219F8"/>
    <w:rPr>
      <w:sz w:val="20"/>
      <w:szCs w:val="20"/>
      <w:lang w:val="es-MX"/>
    </w:rPr>
  </w:style>
  <w:style w:type="paragraph" w:styleId="FootnoteText">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FootnoteTextChar"/>
    <w:uiPriority w:val="99"/>
    <w:unhideWhenUsed/>
    <w:qFormat/>
    <w:rsid w:val="006219F8"/>
    <w:pPr>
      <w:spacing w:after="0" w:line="240" w:lineRule="auto"/>
    </w:pPr>
    <w:rPr>
      <w:sz w:val="20"/>
      <w:szCs w:val="20"/>
      <w:lang w:val="es-MX"/>
    </w:rPr>
  </w:style>
  <w:style w:type="character" w:customStyle="1" w:styleId="TextonotapieCar1">
    <w:name w:val="Texto nota pie Car1"/>
    <w:basedOn w:val="DefaultParagraphFont"/>
    <w:uiPriority w:val="99"/>
    <w:semiHidden/>
    <w:rsid w:val="006219F8"/>
    <w:rPr>
      <w:sz w:val="20"/>
      <w:szCs w:val="20"/>
    </w:rPr>
  </w:style>
  <w:style w:type="character" w:styleId="FootnoteReference">
    <w:name w:val="footnote reference"/>
    <w:aliases w:val="Ref. de nota al pie 2,Ref,de nota al pie,FC,Appel note de bas de p,f,4_G,16 Point,Superscript 6 Point,Texto nota al pie,Pie de Página,Texto de nota al pi,Nota de pie,Texto de nota al p,Footnote Reference Char3,Texto nota pie Car2,F,R"/>
    <w:basedOn w:val="DefaultParagraphFont"/>
    <w:link w:val="Appelnotedebasde"/>
    <w:uiPriority w:val="99"/>
    <w:unhideWhenUsed/>
    <w:qFormat/>
    <w:rsid w:val="006219F8"/>
    <w:rPr>
      <w:vertAlign w:val="superscript"/>
    </w:rPr>
  </w:style>
  <w:style w:type="character" w:customStyle="1" w:styleId="normaltextrun">
    <w:name w:val="normaltextrun"/>
    <w:basedOn w:val="DefaultParagraphFont"/>
    <w:rsid w:val="006219F8"/>
  </w:style>
  <w:style w:type="table" w:styleId="TableGrid">
    <w:name w:val="Table Grid"/>
    <w:basedOn w:val="Table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tografía,Párrafo de lista1,Bullet List,FooterText,numbered,Paragraphe de liste1,lp1,Scitum normal,HOJA,Bolita,Párrafo de lista4,BOLADEF,Párrafo de lista3,Párrafo de lista21,BOLA,Nivel 1 OS,Colorful List Accent 1,Foot"/>
    <w:basedOn w:val="Normal"/>
    <w:link w:val="ListParagraphChar"/>
    <w:uiPriority w:val="34"/>
    <w:qFormat/>
    <w:rsid w:val="005566E8"/>
    <w:pPr>
      <w:ind w:left="720"/>
      <w:contextualSpacing/>
    </w:pPr>
    <w:rPr>
      <w:rFonts w:ascii="Geomanist Light" w:hAnsi="Geomanist Light"/>
      <w:lang w:val="es-ES"/>
    </w:rPr>
  </w:style>
  <w:style w:type="paragraph" w:styleId="Title">
    <w:name w:val="Title"/>
    <w:basedOn w:val="Normal"/>
    <w:next w:val="Normal"/>
    <w:link w:val="TitleCh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itleChar">
    <w:name w:val="Title Char"/>
    <w:basedOn w:val="DefaultParagraphFont"/>
    <w:link w:val="Title"/>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DefaultParagraphFont"/>
    <w:rsid w:val="00DA231B"/>
  </w:style>
  <w:style w:type="character" w:styleId="Hyperlink">
    <w:name w:val="Hyperlink"/>
    <w:basedOn w:val="DefaultParagraphFont"/>
    <w:uiPriority w:val="99"/>
    <w:unhideWhenUsed/>
    <w:rsid w:val="00125105"/>
    <w:rPr>
      <w:color w:val="0000FF"/>
      <w:u w:val="single"/>
    </w:rPr>
  </w:style>
  <w:style w:type="character" w:styleId="FollowedHyperlink">
    <w:name w:val="FollowedHyperlink"/>
    <w:basedOn w:val="DefaultParagraphFont"/>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DefaultParagraphFont"/>
    <w:rsid w:val="00322A85"/>
  </w:style>
  <w:style w:type="character" w:customStyle="1" w:styleId="eop">
    <w:name w:val="eop"/>
    <w:basedOn w:val="DefaultParagraphFont"/>
    <w:rsid w:val="00322A85"/>
  </w:style>
  <w:style w:type="character" w:styleId="UnresolvedMention">
    <w:name w:val="Unresolved Mention"/>
    <w:basedOn w:val="DefaultParagraphFont"/>
    <w:uiPriority w:val="99"/>
    <w:semiHidden/>
    <w:unhideWhenUsed/>
    <w:rsid w:val="001F7DC6"/>
    <w:rPr>
      <w:color w:val="605E5C"/>
      <w:shd w:val="clear" w:color="auto" w:fill="E1DFDD"/>
    </w:rPr>
  </w:style>
  <w:style w:type="paragraph" w:styleId="NormalWeb">
    <w:name w:val="Normal (Web)"/>
    <w:basedOn w:val="Normal"/>
    <w:link w:val="NormalWebCh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on">
    <w:name w:val="Revision"/>
    <w:hidden/>
    <w:uiPriority w:val="99"/>
    <w:semiHidden/>
    <w:rsid w:val="009F3A13"/>
    <w:pPr>
      <w:spacing w:after="0" w:line="240" w:lineRule="auto"/>
    </w:pPr>
  </w:style>
  <w:style w:type="paragraph" w:customStyle="1" w:styleId="Appelnotedebasde">
    <w:name w:val="Appel note de bas de..."/>
    <w:basedOn w:val="Normal"/>
    <w:link w:val="FootnoteReference"/>
    <w:uiPriority w:val="99"/>
    <w:rsid w:val="003A2B2E"/>
    <w:pPr>
      <w:spacing w:line="240" w:lineRule="exact"/>
    </w:pPr>
    <w:rPr>
      <w:vertAlign w:val="superscript"/>
    </w:rPr>
  </w:style>
  <w:style w:type="character" w:customStyle="1" w:styleId="ListParagraphChar">
    <w:name w:val="List Paragraph Char"/>
    <w:aliases w:val="Fotografía Char,Párrafo de lista1 Char,Bullet List Char,FooterText Char,numbered Char,Paragraphe de liste1 Char,lp1 Char,Scitum normal Char,HOJA Char,Bolita Char,Párrafo de lista4 Char,BOLADEF Char,Párrafo de lista3 Char,BOLA Char"/>
    <w:link w:val="ListParagraph"/>
    <w:uiPriority w:val="34"/>
    <w:qFormat/>
    <w:locked/>
    <w:rsid w:val="003A2B2E"/>
    <w:rPr>
      <w:rFonts w:ascii="Geomanist Light" w:hAnsi="Geomanist Light"/>
      <w:lang w:val="es-ES"/>
    </w:rPr>
  </w:style>
  <w:style w:type="character" w:customStyle="1" w:styleId="NormalWebChar">
    <w:name w:val="Normal (Web) Char"/>
    <w:link w:val="NormalWeb"/>
    <w:uiPriority w:val="99"/>
    <w:rsid w:val="003A2B2E"/>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iacpm2010@gmail.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6EC429-D8EF-451A-99A9-EF16AE348FCB}"/>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21</Pages>
  <Words>6983</Words>
  <Characters>39809</Characters>
  <Application>Microsoft Office Word</Application>
  <DocSecurity>0</DocSecurity>
  <Lines>331</Lines>
  <Paragraphs>93</Paragraphs>
  <ScaleCrop>false</ScaleCrop>
  <Company/>
  <LinksUpToDate>false</LinksUpToDate>
  <CharactersWithSpaces>46699</CharactersWithSpaces>
  <SharedDoc>false</SharedDoc>
  <HLinks>
    <vt:vector size="12" baseType="variant">
      <vt:variant>
        <vt:i4>7471218</vt:i4>
      </vt:variant>
      <vt:variant>
        <vt:i4>3</vt:i4>
      </vt:variant>
      <vt:variant>
        <vt:i4>0</vt:i4>
      </vt:variant>
      <vt:variant>
        <vt:i4>5</vt:i4>
      </vt:variant>
      <vt:variant>
        <vt:lpwstr>https://relatoria.colombiacompra.gov.co/busqueda/conceptos</vt:lpwstr>
      </vt:variant>
      <vt:variant>
        <vt:lpwstr/>
      </vt:variant>
      <vt:variant>
        <vt:i4>6946885</vt:i4>
      </vt:variant>
      <vt:variant>
        <vt:i4>0</vt:i4>
      </vt:variant>
      <vt:variant>
        <vt:i4>0</vt:i4>
      </vt:variant>
      <vt:variant>
        <vt:i4>5</vt:i4>
      </vt:variant>
      <vt:variant>
        <vt:lpwstr>mailto:mariacpm2010@gmail.com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Agencia Nacional de Contratación Pública - CCE</cp:lastModifiedBy>
  <cp:revision>4</cp:revision>
  <cp:lastPrinted>2023-01-10T21:18:00Z</cp:lastPrinted>
  <dcterms:created xsi:type="dcterms:W3CDTF">2026-07-23T14:31:00Z</dcterms:created>
  <dcterms:modified xsi:type="dcterms:W3CDTF">2026-07-23T14:40:00Z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